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DB837" w14:textId="77777777" w:rsidR="00544C10" w:rsidRDefault="00544C10" w:rsidP="00544C10">
      <w:bookmarkStart w:id="0" w:name="_GoBack"/>
      <w:bookmarkEnd w:id="0"/>
    </w:p>
    <w:p w14:paraId="69B0E088" w14:textId="77777777" w:rsidR="00B06E6A" w:rsidRDefault="00B06E6A" w:rsidP="00544C10"/>
    <w:p w14:paraId="41A2B758" w14:textId="77777777" w:rsidR="0087205F" w:rsidRDefault="0087205F" w:rsidP="00E55D50">
      <w:pPr>
        <w:ind w:left="1440" w:hanging="1440"/>
        <w:outlineLvl w:val="0"/>
      </w:pPr>
    </w:p>
    <w:p w14:paraId="1A608110" w14:textId="77777777" w:rsidR="0087205F" w:rsidRDefault="0087205F" w:rsidP="00E55D50">
      <w:pPr>
        <w:ind w:left="1440" w:hanging="1440"/>
        <w:outlineLvl w:val="0"/>
      </w:pPr>
    </w:p>
    <w:p w14:paraId="03441157" w14:textId="77777777" w:rsidR="0087205F" w:rsidRDefault="0087205F" w:rsidP="00E55D50">
      <w:pPr>
        <w:ind w:left="1440" w:hanging="1440"/>
        <w:outlineLvl w:val="0"/>
      </w:pPr>
    </w:p>
    <w:p w14:paraId="6559F7DE" w14:textId="77777777" w:rsidR="00642397" w:rsidRDefault="00642397" w:rsidP="00E55D50">
      <w:pPr>
        <w:ind w:left="1440" w:hanging="1440"/>
        <w:outlineLvl w:val="0"/>
      </w:pPr>
    </w:p>
    <w:p w14:paraId="4786E182" w14:textId="77777777" w:rsidR="00642397" w:rsidRDefault="00642397" w:rsidP="00E55D50">
      <w:pPr>
        <w:ind w:left="1440" w:hanging="1440"/>
        <w:outlineLvl w:val="0"/>
      </w:pPr>
    </w:p>
    <w:p w14:paraId="1C860B40" w14:textId="77777777" w:rsidR="0087205F" w:rsidRDefault="0087205F" w:rsidP="00E55D50">
      <w:pPr>
        <w:ind w:left="1440" w:hanging="1440"/>
        <w:outlineLvl w:val="0"/>
      </w:pPr>
    </w:p>
    <w:p w14:paraId="5D6A539D" w14:textId="77777777" w:rsidR="0087205F" w:rsidRDefault="0087205F" w:rsidP="00E55D50">
      <w:pPr>
        <w:ind w:left="1440" w:hanging="1440"/>
        <w:outlineLvl w:val="0"/>
      </w:pPr>
    </w:p>
    <w:p w14:paraId="5316A52C" w14:textId="77777777" w:rsidR="0087205F" w:rsidRDefault="0087205F" w:rsidP="00E55D50">
      <w:pPr>
        <w:ind w:left="1440" w:hanging="1440"/>
        <w:outlineLvl w:val="0"/>
      </w:pPr>
    </w:p>
    <w:p w14:paraId="26CB5B7B" w14:textId="77777777" w:rsidR="0087205F" w:rsidRDefault="0087205F" w:rsidP="00AF2B33">
      <w:pPr>
        <w:ind w:left="1440" w:hanging="1440"/>
        <w:jc w:val="center"/>
        <w:outlineLvl w:val="0"/>
      </w:pPr>
    </w:p>
    <w:p w14:paraId="628156FF" w14:textId="77777777" w:rsidR="002352F5" w:rsidRDefault="00AF2B33" w:rsidP="00AF2B33">
      <w:pPr>
        <w:jc w:val="center"/>
        <w:outlineLvl w:val="0"/>
        <w:rPr>
          <w:b/>
          <w:sz w:val="32"/>
          <w:szCs w:val="32"/>
        </w:rPr>
      </w:pPr>
      <w:bookmarkStart w:id="1" w:name="_Toc455558059"/>
      <w:r>
        <w:rPr>
          <w:b/>
          <w:sz w:val="32"/>
          <w:szCs w:val="32"/>
        </w:rPr>
        <w:t xml:space="preserve">Prevalence Survey </w:t>
      </w:r>
      <w:r w:rsidR="00B06E6A" w:rsidRPr="002352F5">
        <w:rPr>
          <w:b/>
          <w:sz w:val="32"/>
          <w:szCs w:val="32"/>
        </w:rPr>
        <w:t xml:space="preserve">of </w:t>
      </w:r>
      <w:r w:rsidR="00544C10" w:rsidRPr="002352F5">
        <w:rPr>
          <w:b/>
          <w:sz w:val="32"/>
          <w:szCs w:val="32"/>
        </w:rPr>
        <w:t>Healthcare-Associated Infections</w:t>
      </w:r>
      <w:r w:rsidR="00B06E6A" w:rsidRPr="002352F5">
        <w:rPr>
          <w:b/>
          <w:sz w:val="32"/>
          <w:szCs w:val="32"/>
        </w:rPr>
        <w:t xml:space="preserve"> </w:t>
      </w:r>
      <w:r>
        <w:rPr>
          <w:b/>
          <w:sz w:val="32"/>
          <w:szCs w:val="32"/>
        </w:rPr>
        <w:t xml:space="preserve">and </w:t>
      </w:r>
      <w:r w:rsidR="004D2D29" w:rsidRPr="002352F5">
        <w:rPr>
          <w:b/>
          <w:sz w:val="32"/>
          <w:szCs w:val="32"/>
        </w:rPr>
        <w:t xml:space="preserve">Antimicrobial Use </w:t>
      </w:r>
      <w:r w:rsidR="00B06E6A" w:rsidRPr="002352F5">
        <w:rPr>
          <w:b/>
          <w:sz w:val="32"/>
          <w:szCs w:val="32"/>
        </w:rPr>
        <w:t>in U.S.</w:t>
      </w:r>
      <w:bookmarkStart w:id="2" w:name="_Toc455558060"/>
      <w:bookmarkEnd w:id="1"/>
      <w:r w:rsidR="002352F5">
        <w:rPr>
          <w:b/>
          <w:sz w:val="32"/>
          <w:szCs w:val="32"/>
        </w:rPr>
        <w:t xml:space="preserve"> </w:t>
      </w:r>
      <w:r w:rsidR="00B06E6A" w:rsidRPr="002352F5">
        <w:rPr>
          <w:b/>
          <w:sz w:val="32"/>
          <w:szCs w:val="32"/>
        </w:rPr>
        <w:t>Hospitals</w:t>
      </w:r>
      <w:bookmarkStart w:id="3" w:name="_Toc455558061"/>
      <w:bookmarkEnd w:id="2"/>
    </w:p>
    <w:p w14:paraId="16F36242" w14:textId="77777777" w:rsidR="002352F5" w:rsidRDefault="002352F5" w:rsidP="002352F5">
      <w:pPr>
        <w:ind w:left="1440" w:hanging="1440"/>
        <w:jc w:val="center"/>
        <w:outlineLvl w:val="0"/>
        <w:rPr>
          <w:b/>
          <w:sz w:val="32"/>
          <w:szCs w:val="32"/>
        </w:rPr>
      </w:pPr>
    </w:p>
    <w:p w14:paraId="120D4DDA" w14:textId="77777777" w:rsidR="00AF2B33" w:rsidRDefault="00526F15" w:rsidP="002352F5">
      <w:pPr>
        <w:ind w:left="1440" w:hanging="1440"/>
        <w:jc w:val="center"/>
        <w:outlineLvl w:val="0"/>
        <w:rPr>
          <w:b/>
        </w:rPr>
      </w:pPr>
      <w:r>
        <w:rPr>
          <w:b/>
        </w:rPr>
        <w:t xml:space="preserve">(OMB Control No. </w:t>
      </w:r>
      <w:r w:rsidR="00A75FEB">
        <w:rPr>
          <w:b/>
        </w:rPr>
        <w:t>0920-0852</w:t>
      </w:r>
      <w:r>
        <w:rPr>
          <w:b/>
        </w:rPr>
        <w:t xml:space="preserve">, Expiration </w:t>
      </w:r>
      <w:r w:rsidR="00702441">
        <w:rPr>
          <w:b/>
        </w:rPr>
        <w:t>12</w:t>
      </w:r>
      <w:r>
        <w:rPr>
          <w:b/>
        </w:rPr>
        <w:t>/31/</w:t>
      </w:r>
      <w:r w:rsidR="00131718">
        <w:rPr>
          <w:b/>
        </w:rPr>
        <w:t>2019</w:t>
      </w:r>
      <w:r>
        <w:rPr>
          <w:b/>
        </w:rPr>
        <w:t>)</w:t>
      </w:r>
      <w:bookmarkEnd w:id="3"/>
    </w:p>
    <w:p w14:paraId="23706FCD" w14:textId="77777777" w:rsidR="002352F5" w:rsidRDefault="00AF2B33" w:rsidP="002352F5">
      <w:pPr>
        <w:ind w:left="1440" w:hanging="1440"/>
        <w:jc w:val="center"/>
        <w:outlineLvl w:val="0"/>
        <w:rPr>
          <w:b/>
          <w:sz w:val="32"/>
          <w:szCs w:val="32"/>
        </w:rPr>
      </w:pPr>
      <w:r>
        <w:rPr>
          <w:b/>
          <w:sz w:val="32"/>
          <w:szCs w:val="32"/>
        </w:rPr>
        <w:t xml:space="preserve"> </w:t>
      </w:r>
    </w:p>
    <w:p w14:paraId="2B7DC984" w14:textId="77777777" w:rsidR="003E734F" w:rsidRPr="002352F5" w:rsidRDefault="00426BB7" w:rsidP="002352F5">
      <w:pPr>
        <w:ind w:left="1440" w:hanging="1440"/>
        <w:jc w:val="center"/>
        <w:outlineLvl w:val="0"/>
        <w:rPr>
          <w:b/>
          <w:sz w:val="32"/>
          <w:szCs w:val="32"/>
        </w:rPr>
      </w:pPr>
      <w:r>
        <w:rPr>
          <w:b/>
        </w:rPr>
        <w:t>Extension</w:t>
      </w:r>
      <w:r w:rsidR="00F40290">
        <w:rPr>
          <w:b/>
        </w:rPr>
        <w:t xml:space="preserve"> ICR</w:t>
      </w:r>
    </w:p>
    <w:p w14:paraId="13A88FB8" w14:textId="77777777" w:rsidR="002352F5" w:rsidRDefault="002352F5" w:rsidP="002352F5">
      <w:pPr>
        <w:ind w:left="1440" w:hanging="1440"/>
        <w:jc w:val="center"/>
        <w:rPr>
          <w:b/>
        </w:rPr>
      </w:pPr>
    </w:p>
    <w:p w14:paraId="449E3340" w14:textId="77777777" w:rsidR="003E734F" w:rsidRDefault="002352F5" w:rsidP="002352F5">
      <w:pPr>
        <w:ind w:left="1440" w:hanging="1440"/>
        <w:jc w:val="center"/>
        <w:rPr>
          <w:b/>
        </w:rPr>
      </w:pPr>
      <w:r>
        <w:rPr>
          <w:b/>
        </w:rPr>
        <w:t xml:space="preserve">Supporting Statement </w:t>
      </w:r>
      <w:r w:rsidR="003E734F">
        <w:rPr>
          <w:b/>
        </w:rPr>
        <w:t>A</w:t>
      </w:r>
    </w:p>
    <w:p w14:paraId="0420FAF1" w14:textId="77777777" w:rsidR="00642397" w:rsidRDefault="00642397" w:rsidP="002352F5">
      <w:pPr>
        <w:ind w:left="1440" w:hanging="1440"/>
        <w:jc w:val="center"/>
        <w:rPr>
          <w:b/>
        </w:rPr>
      </w:pPr>
    </w:p>
    <w:p w14:paraId="0047971E" w14:textId="299E1D87" w:rsidR="00207E90" w:rsidRDefault="00061956" w:rsidP="002352F5">
      <w:pPr>
        <w:ind w:left="1440" w:hanging="1440"/>
        <w:jc w:val="center"/>
        <w:rPr>
          <w:b/>
        </w:rPr>
      </w:pPr>
      <w:r>
        <w:rPr>
          <w:b/>
        </w:rPr>
        <w:fldChar w:fldCharType="begin"/>
      </w:r>
      <w:r>
        <w:rPr>
          <w:b/>
        </w:rPr>
        <w:instrText xml:space="preserve"> DATE \@ "MMMM d, yyyy" </w:instrText>
      </w:r>
      <w:r>
        <w:rPr>
          <w:b/>
        </w:rPr>
        <w:fldChar w:fldCharType="separate"/>
      </w:r>
      <w:r w:rsidR="00490FD4">
        <w:rPr>
          <w:b/>
          <w:noProof/>
        </w:rPr>
        <w:t>October 17, 2019</w:t>
      </w:r>
      <w:r>
        <w:rPr>
          <w:b/>
        </w:rPr>
        <w:fldChar w:fldCharType="end"/>
      </w:r>
    </w:p>
    <w:p w14:paraId="557D09C7" w14:textId="77777777" w:rsidR="00207E90" w:rsidRDefault="00207E90" w:rsidP="0087205F">
      <w:pPr>
        <w:ind w:left="1440" w:hanging="1440"/>
        <w:jc w:val="center"/>
        <w:rPr>
          <w:b/>
        </w:rPr>
      </w:pPr>
    </w:p>
    <w:p w14:paraId="38ECF3C2" w14:textId="77777777" w:rsidR="00207E90" w:rsidRDefault="00207E90" w:rsidP="0087205F">
      <w:pPr>
        <w:ind w:left="1440" w:hanging="1440"/>
        <w:jc w:val="center"/>
        <w:rPr>
          <w:b/>
        </w:rPr>
      </w:pPr>
    </w:p>
    <w:p w14:paraId="755020E1" w14:textId="77777777" w:rsidR="00207E90" w:rsidRDefault="00207E90" w:rsidP="0087205F">
      <w:pPr>
        <w:ind w:left="1440" w:hanging="1440"/>
        <w:jc w:val="center"/>
        <w:rPr>
          <w:b/>
        </w:rPr>
      </w:pPr>
    </w:p>
    <w:p w14:paraId="1E0A5BEA" w14:textId="77777777" w:rsidR="00207E90" w:rsidRDefault="00207E90" w:rsidP="0087205F">
      <w:pPr>
        <w:ind w:left="1440" w:hanging="1440"/>
        <w:jc w:val="center"/>
        <w:rPr>
          <w:b/>
        </w:rPr>
      </w:pPr>
    </w:p>
    <w:p w14:paraId="1C148D03" w14:textId="77777777" w:rsidR="0087205F" w:rsidRDefault="0087205F" w:rsidP="00044D31">
      <w:pPr>
        <w:rPr>
          <w:b/>
        </w:rPr>
      </w:pPr>
    </w:p>
    <w:p w14:paraId="5B7271FF" w14:textId="77777777" w:rsidR="0087205F" w:rsidRDefault="0087205F" w:rsidP="00544C10">
      <w:pPr>
        <w:ind w:left="1440" w:hanging="1440"/>
        <w:rPr>
          <w:b/>
        </w:rPr>
      </w:pPr>
    </w:p>
    <w:p w14:paraId="5E97A918" w14:textId="77777777" w:rsidR="00044D31" w:rsidRDefault="00044D31" w:rsidP="00044D31">
      <w:pPr>
        <w:ind w:left="1440" w:hanging="1440"/>
        <w:outlineLvl w:val="0"/>
        <w:rPr>
          <w:b/>
        </w:rPr>
      </w:pPr>
      <w:bookmarkStart w:id="4" w:name="_Toc455558062"/>
    </w:p>
    <w:p w14:paraId="3924A97A" w14:textId="77777777" w:rsidR="00044D31" w:rsidRDefault="00044D31" w:rsidP="00044D31">
      <w:pPr>
        <w:ind w:left="1440" w:hanging="1440"/>
        <w:outlineLvl w:val="0"/>
        <w:rPr>
          <w:b/>
        </w:rPr>
      </w:pPr>
    </w:p>
    <w:p w14:paraId="1AF8F630" w14:textId="77777777" w:rsidR="00044D31" w:rsidRDefault="00044D31" w:rsidP="00044D31">
      <w:pPr>
        <w:ind w:left="1440" w:hanging="1440"/>
        <w:outlineLvl w:val="0"/>
        <w:rPr>
          <w:b/>
        </w:rPr>
      </w:pPr>
    </w:p>
    <w:p w14:paraId="6D6C793E" w14:textId="77777777" w:rsidR="00044D31" w:rsidRDefault="00044D31" w:rsidP="00044D31">
      <w:pPr>
        <w:ind w:left="1440" w:hanging="1440"/>
        <w:outlineLvl w:val="0"/>
        <w:rPr>
          <w:b/>
        </w:rPr>
      </w:pPr>
    </w:p>
    <w:p w14:paraId="052E31CF" w14:textId="77777777" w:rsidR="00044D31" w:rsidRDefault="00044D31" w:rsidP="00044D31">
      <w:pPr>
        <w:ind w:left="1440" w:hanging="1440"/>
        <w:outlineLvl w:val="0"/>
        <w:rPr>
          <w:b/>
        </w:rPr>
      </w:pPr>
    </w:p>
    <w:p w14:paraId="2FDBA5C4" w14:textId="77777777" w:rsidR="00044D31" w:rsidRDefault="00044D31" w:rsidP="00044D31">
      <w:pPr>
        <w:ind w:left="1440" w:hanging="1440"/>
        <w:outlineLvl w:val="0"/>
        <w:rPr>
          <w:b/>
        </w:rPr>
      </w:pPr>
    </w:p>
    <w:p w14:paraId="120D1D1B" w14:textId="77777777" w:rsidR="00044D31" w:rsidRDefault="00044D31" w:rsidP="00044D31">
      <w:pPr>
        <w:ind w:left="1440" w:hanging="1440"/>
        <w:outlineLvl w:val="0"/>
        <w:rPr>
          <w:b/>
        </w:rPr>
      </w:pPr>
    </w:p>
    <w:p w14:paraId="508C2F88" w14:textId="18731584" w:rsidR="0087205F" w:rsidRDefault="00544C10" w:rsidP="00044D31">
      <w:pPr>
        <w:ind w:left="1440" w:hanging="1440"/>
        <w:outlineLvl w:val="0"/>
        <w:rPr>
          <w:b/>
        </w:rPr>
      </w:pPr>
      <w:r w:rsidRPr="003F70F9">
        <w:rPr>
          <w:b/>
        </w:rPr>
        <w:t>Contact:</w:t>
      </w:r>
      <w:bookmarkEnd w:id="4"/>
    </w:p>
    <w:p w14:paraId="0E4135BD" w14:textId="77777777" w:rsidR="00044D31" w:rsidRPr="00044D31" w:rsidRDefault="00044D31" w:rsidP="00044D31">
      <w:pPr>
        <w:pStyle w:val="TOCHeading"/>
        <w:spacing w:before="0" w:line="240" w:lineRule="auto"/>
        <w:rPr>
          <w:rFonts w:ascii="Times New Roman" w:hAnsi="Times New Roman"/>
          <w:color w:val="auto"/>
          <w:sz w:val="24"/>
          <w:szCs w:val="24"/>
        </w:rPr>
      </w:pPr>
      <w:r w:rsidRPr="00044D31">
        <w:rPr>
          <w:rFonts w:ascii="Times New Roman" w:hAnsi="Times New Roman"/>
          <w:color w:val="auto"/>
          <w:sz w:val="24"/>
          <w:szCs w:val="24"/>
        </w:rPr>
        <w:t>Nancy Khalil, J.D.</w:t>
      </w:r>
    </w:p>
    <w:p w14:paraId="76B73C45" w14:textId="77777777" w:rsidR="00044D31" w:rsidRPr="00044D31" w:rsidRDefault="00044D31" w:rsidP="00044D31">
      <w:pPr>
        <w:pStyle w:val="TOCHeading"/>
        <w:spacing w:before="0" w:line="240" w:lineRule="auto"/>
        <w:rPr>
          <w:rFonts w:ascii="Times New Roman" w:hAnsi="Times New Roman"/>
          <w:color w:val="auto"/>
          <w:sz w:val="24"/>
          <w:szCs w:val="24"/>
        </w:rPr>
      </w:pPr>
      <w:r w:rsidRPr="00044D31">
        <w:rPr>
          <w:rFonts w:ascii="Times New Roman" w:hAnsi="Times New Roman"/>
          <w:color w:val="auto"/>
          <w:sz w:val="24"/>
          <w:szCs w:val="24"/>
        </w:rPr>
        <w:t>MS H16-5</w:t>
      </w:r>
    </w:p>
    <w:p w14:paraId="6E900E23" w14:textId="77777777" w:rsidR="00044D31" w:rsidRPr="00044D31" w:rsidRDefault="00044D31" w:rsidP="00044D31">
      <w:pPr>
        <w:pStyle w:val="TOCHeading"/>
        <w:spacing w:before="0" w:line="240" w:lineRule="auto"/>
        <w:rPr>
          <w:rFonts w:ascii="Times New Roman" w:hAnsi="Times New Roman"/>
          <w:color w:val="auto"/>
          <w:sz w:val="24"/>
          <w:szCs w:val="24"/>
        </w:rPr>
      </w:pPr>
      <w:r w:rsidRPr="00044D31">
        <w:rPr>
          <w:rFonts w:ascii="Times New Roman" w:hAnsi="Times New Roman"/>
          <w:color w:val="auto"/>
          <w:sz w:val="24"/>
          <w:szCs w:val="24"/>
        </w:rPr>
        <w:t>Centers for Disease Control and Prevention</w:t>
      </w:r>
    </w:p>
    <w:p w14:paraId="277B4449" w14:textId="77777777" w:rsidR="00044D31" w:rsidRPr="00044D31" w:rsidRDefault="00044D31" w:rsidP="00044D31">
      <w:pPr>
        <w:pStyle w:val="TOCHeading"/>
        <w:spacing w:before="0" w:line="240" w:lineRule="auto"/>
        <w:rPr>
          <w:rFonts w:ascii="Times New Roman" w:hAnsi="Times New Roman"/>
          <w:color w:val="auto"/>
          <w:sz w:val="24"/>
          <w:szCs w:val="24"/>
        </w:rPr>
      </w:pPr>
      <w:r w:rsidRPr="00044D31">
        <w:rPr>
          <w:rFonts w:ascii="Times New Roman" w:hAnsi="Times New Roman"/>
          <w:color w:val="auto"/>
          <w:sz w:val="24"/>
          <w:szCs w:val="24"/>
        </w:rPr>
        <w:t xml:space="preserve">1600 Clifton Road NE </w:t>
      </w:r>
    </w:p>
    <w:p w14:paraId="3EF769D4" w14:textId="77777777" w:rsidR="00044D31" w:rsidRPr="00044D31" w:rsidRDefault="00044D31" w:rsidP="00044D31">
      <w:pPr>
        <w:pStyle w:val="TOCHeading"/>
        <w:spacing w:before="0" w:line="240" w:lineRule="auto"/>
        <w:rPr>
          <w:rFonts w:ascii="Times New Roman" w:hAnsi="Times New Roman"/>
          <w:color w:val="auto"/>
          <w:sz w:val="24"/>
          <w:szCs w:val="24"/>
        </w:rPr>
      </w:pPr>
      <w:r w:rsidRPr="00044D31">
        <w:rPr>
          <w:rFonts w:ascii="Times New Roman" w:hAnsi="Times New Roman"/>
          <w:color w:val="auto"/>
          <w:sz w:val="24"/>
          <w:szCs w:val="24"/>
        </w:rPr>
        <w:t xml:space="preserve">Atlanta, Georgia 30329-4027 </w:t>
      </w:r>
    </w:p>
    <w:p w14:paraId="34A3C488" w14:textId="77777777" w:rsidR="00044D31" w:rsidRPr="00044D31" w:rsidRDefault="00044D31" w:rsidP="00044D31">
      <w:pPr>
        <w:pStyle w:val="TOCHeading"/>
        <w:spacing w:before="0" w:line="240" w:lineRule="auto"/>
        <w:rPr>
          <w:rFonts w:ascii="Times New Roman" w:hAnsi="Times New Roman"/>
          <w:color w:val="auto"/>
          <w:sz w:val="24"/>
          <w:szCs w:val="24"/>
        </w:rPr>
      </w:pPr>
      <w:r w:rsidRPr="00044D31">
        <w:rPr>
          <w:rFonts w:ascii="Times New Roman" w:hAnsi="Times New Roman"/>
          <w:color w:val="auto"/>
          <w:sz w:val="24"/>
          <w:szCs w:val="24"/>
        </w:rPr>
        <w:t xml:space="preserve">Phone: (770) 488-2070 </w:t>
      </w:r>
    </w:p>
    <w:p w14:paraId="1D92F8B4" w14:textId="3D768011" w:rsidR="00044D31" w:rsidRDefault="00044D31" w:rsidP="00044D31">
      <w:pPr>
        <w:pStyle w:val="TOCHeading"/>
        <w:spacing w:before="0" w:line="240" w:lineRule="auto"/>
        <w:rPr>
          <w:rFonts w:ascii="Times New Roman" w:hAnsi="Times New Roman"/>
          <w:color w:val="auto"/>
          <w:sz w:val="24"/>
          <w:szCs w:val="24"/>
        </w:rPr>
      </w:pPr>
      <w:r w:rsidRPr="00044D31">
        <w:rPr>
          <w:rFonts w:ascii="Times New Roman" w:hAnsi="Times New Roman"/>
          <w:color w:val="auto"/>
          <w:sz w:val="24"/>
          <w:szCs w:val="24"/>
        </w:rPr>
        <w:t xml:space="preserve">Email: </w:t>
      </w:r>
      <w:hyperlink r:id="rId14" w:history="1">
        <w:r w:rsidRPr="00FA74C5">
          <w:rPr>
            <w:rStyle w:val="Hyperlink"/>
            <w:rFonts w:ascii="Times New Roman" w:hAnsi="Times New Roman"/>
            <w:sz w:val="24"/>
            <w:szCs w:val="24"/>
          </w:rPr>
          <w:t>kuj2@cdc.gov</w:t>
        </w:r>
      </w:hyperlink>
    </w:p>
    <w:p w14:paraId="061BF2C2" w14:textId="77777777" w:rsidR="00044D31" w:rsidRPr="00044D31" w:rsidRDefault="00044D31" w:rsidP="00044D31"/>
    <w:p w14:paraId="43EC532B" w14:textId="59E0BBD6" w:rsidR="00850461" w:rsidRPr="00850461" w:rsidRDefault="00850461" w:rsidP="00044D31">
      <w:pPr>
        <w:pStyle w:val="TOCHeading"/>
        <w:jc w:val="center"/>
        <w:rPr>
          <w:rFonts w:ascii="Times New Roman" w:hAnsi="Times New Roman"/>
          <w:b/>
          <w:color w:val="auto"/>
        </w:rPr>
      </w:pPr>
      <w:r>
        <w:rPr>
          <w:rFonts w:ascii="Times New Roman" w:hAnsi="Times New Roman"/>
          <w:b/>
          <w:color w:val="auto"/>
        </w:rPr>
        <w:lastRenderedPageBreak/>
        <w:t xml:space="preserve">Table of </w:t>
      </w:r>
      <w:r w:rsidRPr="00850461">
        <w:rPr>
          <w:rFonts w:ascii="Times New Roman" w:hAnsi="Times New Roman"/>
          <w:b/>
          <w:color w:val="auto"/>
        </w:rPr>
        <w:t>Contents</w:t>
      </w:r>
    </w:p>
    <w:p w14:paraId="5C3F7B9A" w14:textId="77777777" w:rsidR="00850461" w:rsidRDefault="00850461" w:rsidP="00850461">
      <w:pPr>
        <w:pStyle w:val="TOC1"/>
        <w:tabs>
          <w:tab w:val="right" w:leader="dot" w:pos="9350"/>
        </w:tabs>
        <w:rPr>
          <w:noProof/>
        </w:rPr>
      </w:pPr>
      <w:r>
        <w:fldChar w:fldCharType="begin"/>
      </w:r>
      <w:r>
        <w:instrText xml:space="preserve"> TOC \o "1-3" \h \z \u </w:instrText>
      </w:r>
      <w:r>
        <w:fldChar w:fldCharType="separate"/>
      </w:r>
    </w:p>
    <w:p w14:paraId="0A759AC4" w14:textId="02FC5A70" w:rsidR="00850461" w:rsidRDefault="00490FD4" w:rsidP="00850461">
      <w:pPr>
        <w:pStyle w:val="TOC1"/>
        <w:tabs>
          <w:tab w:val="left" w:pos="440"/>
          <w:tab w:val="right" w:leader="dot" w:pos="9350"/>
        </w:tabs>
        <w:spacing w:line="360" w:lineRule="auto"/>
        <w:rPr>
          <w:noProof/>
        </w:rPr>
      </w:pPr>
      <w:hyperlink w:anchor="_Toc455558069" w:history="1">
        <w:r w:rsidR="00850461" w:rsidRPr="00A9341D">
          <w:rPr>
            <w:rStyle w:val="Hyperlink"/>
            <w:noProof/>
          </w:rPr>
          <w:t>1.</w:t>
        </w:r>
        <w:r w:rsidR="00850461">
          <w:rPr>
            <w:noProof/>
          </w:rPr>
          <w:tab/>
        </w:r>
        <w:r w:rsidR="00850461" w:rsidRPr="00A9341D">
          <w:rPr>
            <w:rStyle w:val="Hyperlink"/>
            <w:noProof/>
          </w:rPr>
          <w:t>Circumstances Making the Collection of Information Necessary</w:t>
        </w:r>
        <w:r w:rsidR="00850461">
          <w:rPr>
            <w:noProof/>
            <w:webHidden/>
          </w:rPr>
          <w:tab/>
        </w:r>
        <w:r w:rsidR="00850461">
          <w:rPr>
            <w:noProof/>
            <w:webHidden/>
          </w:rPr>
          <w:fldChar w:fldCharType="begin"/>
        </w:r>
        <w:r w:rsidR="00850461">
          <w:rPr>
            <w:noProof/>
            <w:webHidden/>
          </w:rPr>
          <w:instrText xml:space="preserve"> PAGEREF _Toc455558069 \h </w:instrText>
        </w:r>
        <w:r w:rsidR="00850461">
          <w:rPr>
            <w:noProof/>
            <w:webHidden/>
          </w:rPr>
        </w:r>
        <w:r w:rsidR="00850461">
          <w:rPr>
            <w:noProof/>
            <w:webHidden/>
          </w:rPr>
          <w:fldChar w:fldCharType="separate"/>
        </w:r>
        <w:r w:rsidR="00241ECB">
          <w:rPr>
            <w:noProof/>
            <w:webHidden/>
          </w:rPr>
          <w:t>3</w:t>
        </w:r>
        <w:r w:rsidR="00850461">
          <w:rPr>
            <w:noProof/>
            <w:webHidden/>
          </w:rPr>
          <w:fldChar w:fldCharType="end"/>
        </w:r>
      </w:hyperlink>
    </w:p>
    <w:p w14:paraId="5CBF002F" w14:textId="7DCFFF90" w:rsidR="00850461" w:rsidRDefault="00490FD4" w:rsidP="00850461">
      <w:pPr>
        <w:pStyle w:val="TOC1"/>
        <w:tabs>
          <w:tab w:val="left" w:pos="440"/>
          <w:tab w:val="right" w:leader="dot" w:pos="9350"/>
        </w:tabs>
        <w:spacing w:line="360" w:lineRule="auto"/>
        <w:rPr>
          <w:noProof/>
        </w:rPr>
      </w:pPr>
      <w:hyperlink w:anchor="_Toc455558070" w:history="1">
        <w:r w:rsidR="00850461" w:rsidRPr="00A9341D">
          <w:rPr>
            <w:rStyle w:val="Hyperlink"/>
            <w:noProof/>
          </w:rPr>
          <w:t>2.</w:t>
        </w:r>
        <w:r w:rsidR="00850461">
          <w:rPr>
            <w:noProof/>
          </w:rPr>
          <w:tab/>
        </w:r>
        <w:r w:rsidR="00850461" w:rsidRPr="00A9341D">
          <w:rPr>
            <w:rStyle w:val="Hyperlink"/>
            <w:noProof/>
          </w:rPr>
          <w:t>Purpose and Use of Information Collection</w:t>
        </w:r>
        <w:r w:rsidR="00850461">
          <w:rPr>
            <w:noProof/>
            <w:webHidden/>
          </w:rPr>
          <w:tab/>
        </w:r>
        <w:r w:rsidR="00850461">
          <w:rPr>
            <w:noProof/>
            <w:webHidden/>
          </w:rPr>
          <w:fldChar w:fldCharType="begin"/>
        </w:r>
        <w:r w:rsidR="00850461">
          <w:rPr>
            <w:noProof/>
            <w:webHidden/>
          </w:rPr>
          <w:instrText xml:space="preserve"> PAGEREF _Toc455558070 \h </w:instrText>
        </w:r>
        <w:r w:rsidR="00850461">
          <w:rPr>
            <w:noProof/>
            <w:webHidden/>
          </w:rPr>
        </w:r>
        <w:r w:rsidR="00850461">
          <w:rPr>
            <w:noProof/>
            <w:webHidden/>
          </w:rPr>
          <w:fldChar w:fldCharType="separate"/>
        </w:r>
        <w:r w:rsidR="00241ECB">
          <w:rPr>
            <w:noProof/>
            <w:webHidden/>
          </w:rPr>
          <w:t>4</w:t>
        </w:r>
        <w:r w:rsidR="00850461">
          <w:rPr>
            <w:noProof/>
            <w:webHidden/>
          </w:rPr>
          <w:fldChar w:fldCharType="end"/>
        </w:r>
      </w:hyperlink>
    </w:p>
    <w:p w14:paraId="2676E0A5" w14:textId="74C16335" w:rsidR="00850461" w:rsidRDefault="00490FD4" w:rsidP="00850461">
      <w:pPr>
        <w:pStyle w:val="TOC1"/>
        <w:tabs>
          <w:tab w:val="left" w:pos="440"/>
          <w:tab w:val="right" w:leader="dot" w:pos="9350"/>
        </w:tabs>
        <w:spacing w:line="360" w:lineRule="auto"/>
        <w:rPr>
          <w:noProof/>
        </w:rPr>
      </w:pPr>
      <w:hyperlink w:anchor="_Toc455558071" w:history="1">
        <w:r w:rsidR="00850461" w:rsidRPr="00A9341D">
          <w:rPr>
            <w:rStyle w:val="Hyperlink"/>
            <w:noProof/>
          </w:rPr>
          <w:t>3.</w:t>
        </w:r>
        <w:r w:rsidR="00850461">
          <w:rPr>
            <w:noProof/>
          </w:rPr>
          <w:tab/>
        </w:r>
        <w:r w:rsidR="00850461" w:rsidRPr="00A9341D">
          <w:rPr>
            <w:rStyle w:val="Hyperlink"/>
            <w:noProof/>
          </w:rPr>
          <w:t>Use of Improved Information Technology and Burden Reduction</w:t>
        </w:r>
        <w:r w:rsidR="00850461">
          <w:rPr>
            <w:noProof/>
            <w:webHidden/>
          </w:rPr>
          <w:tab/>
        </w:r>
        <w:r w:rsidR="00850461">
          <w:rPr>
            <w:noProof/>
            <w:webHidden/>
          </w:rPr>
          <w:fldChar w:fldCharType="begin"/>
        </w:r>
        <w:r w:rsidR="00850461">
          <w:rPr>
            <w:noProof/>
            <w:webHidden/>
          </w:rPr>
          <w:instrText xml:space="preserve"> PAGEREF _Toc455558071 \h </w:instrText>
        </w:r>
        <w:r w:rsidR="00850461">
          <w:rPr>
            <w:noProof/>
            <w:webHidden/>
          </w:rPr>
        </w:r>
        <w:r w:rsidR="00850461">
          <w:rPr>
            <w:noProof/>
            <w:webHidden/>
          </w:rPr>
          <w:fldChar w:fldCharType="separate"/>
        </w:r>
        <w:r w:rsidR="00241ECB">
          <w:rPr>
            <w:noProof/>
            <w:webHidden/>
          </w:rPr>
          <w:t>6</w:t>
        </w:r>
        <w:r w:rsidR="00850461">
          <w:rPr>
            <w:noProof/>
            <w:webHidden/>
          </w:rPr>
          <w:fldChar w:fldCharType="end"/>
        </w:r>
      </w:hyperlink>
    </w:p>
    <w:p w14:paraId="3994DE0D" w14:textId="24CBBF11" w:rsidR="00850461" w:rsidRDefault="00490FD4" w:rsidP="00850461">
      <w:pPr>
        <w:pStyle w:val="TOC1"/>
        <w:tabs>
          <w:tab w:val="left" w:pos="440"/>
          <w:tab w:val="right" w:leader="dot" w:pos="9350"/>
        </w:tabs>
        <w:spacing w:line="360" w:lineRule="auto"/>
        <w:rPr>
          <w:noProof/>
        </w:rPr>
      </w:pPr>
      <w:hyperlink w:anchor="_Toc455558072" w:history="1">
        <w:r w:rsidR="00850461" w:rsidRPr="00A9341D">
          <w:rPr>
            <w:rStyle w:val="Hyperlink"/>
            <w:noProof/>
            <w:lang w:val="en-CA"/>
          </w:rPr>
          <w:t>4.</w:t>
        </w:r>
        <w:r w:rsidR="00850461">
          <w:rPr>
            <w:noProof/>
          </w:rPr>
          <w:tab/>
        </w:r>
        <w:r w:rsidR="00850461" w:rsidRPr="00A9341D">
          <w:rPr>
            <w:rStyle w:val="Hyperlink"/>
            <w:noProof/>
          </w:rPr>
          <w:t>Efforts to Identify Duplication and Use of Similar Information</w:t>
        </w:r>
        <w:r w:rsidR="00850461">
          <w:rPr>
            <w:noProof/>
            <w:webHidden/>
          </w:rPr>
          <w:tab/>
        </w:r>
        <w:r w:rsidR="00850461">
          <w:rPr>
            <w:noProof/>
            <w:webHidden/>
          </w:rPr>
          <w:fldChar w:fldCharType="begin"/>
        </w:r>
        <w:r w:rsidR="00850461">
          <w:rPr>
            <w:noProof/>
            <w:webHidden/>
          </w:rPr>
          <w:instrText xml:space="preserve"> PAGEREF _Toc455558072 \h </w:instrText>
        </w:r>
        <w:r w:rsidR="00850461">
          <w:rPr>
            <w:noProof/>
            <w:webHidden/>
          </w:rPr>
        </w:r>
        <w:r w:rsidR="00850461">
          <w:rPr>
            <w:noProof/>
            <w:webHidden/>
          </w:rPr>
          <w:fldChar w:fldCharType="separate"/>
        </w:r>
        <w:r w:rsidR="00241ECB">
          <w:rPr>
            <w:noProof/>
            <w:webHidden/>
          </w:rPr>
          <w:t>7</w:t>
        </w:r>
        <w:r w:rsidR="00850461">
          <w:rPr>
            <w:noProof/>
            <w:webHidden/>
          </w:rPr>
          <w:fldChar w:fldCharType="end"/>
        </w:r>
      </w:hyperlink>
    </w:p>
    <w:p w14:paraId="1F1776D6" w14:textId="164EF352" w:rsidR="00850461" w:rsidRDefault="00490FD4" w:rsidP="00850461">
      <w:pPr>
        <w:pStyle w:val="TOC1"/>
        <w:tabs>
          <w:tab w:val="left" w:pos="440"/>
          <w:tab w:val="right" w:leader="dot" w:pos="9350"/>
        </w:tabs>
        <w:spacing w:line="360" w:lineRule="auto"/>
        <w:rPr>
          <w:noProof/>
        </w:rPr>
      </w:pPr>
      <w:hyperlink w:anchor="_Toc455558073" w:history="1">
        <w:r w:rsidR="00850461" w:rsidRPr="00A9341D">
          <w:rPr>
            <w:rStyle w:val="Hyperlink"/>
            <w:noProof/>
          </w:rPr>
          <w:t>5.</w:t>
        </w:r>
        <w:r w:rsidR="00850461">
          <w:rPr>
            <w:noProof/>
          </w:rPr>
          <w:tab/>
        </w:r>
        <w:r w:rsidR="00850461" w:rsidRPr="00A9341D">
          <w:rPr>
            <w:rStyle w:val="Hyperlink"/>
            <w:noProof/>
          </w:rPr>
          <w:t>Impact on Small Businesses or Other Small Entities</w:t>
        </w:r>
        <w:r w:rsidR="00850461">
          <w:rPr>
            <w:noProof/>
            <w:webHidden/>
          </w:rPr>
          <w:tab/>
        </w:r>
        <w:r w:rsidR="00850461">
          <w:rPr>
            <w:noProof/>
            <w:webHidden/>
          </w:rPr>
          <w:fldChar w:fldCharType="begin"/>
        </w:r>
        <w:r w:rsidR="00850461">
          <w:rPr>
            <w:noProof/>
            <w:webHidden/>
          </w:rPr>
          <w:instrText xml:space="preserve"> PAGEREF _Toc455558073 \h </w:instrText>
        </w:r>
        <w:r w:rsidR="00850461">
          <w:rPr>
            <w:noProof/>
            <w:webHidden/>
          </w:rPr>
        </w:r>
        <w:r w:rsidR="00850461">
          <w:rPr>
            <w:noProof/>
            <w:webHidden/>
          </w:rPr>
          <w:fldChar w:fldCharType="separate"/>
        </w:r>
        <w:r w:rsidR="00241ECB">
          <w:rPr>
            <w:noProof/>
            <w:webHidden/>
          </w:rPr>
          <w:t>8</w:t>
        </w:r>
        <w:r w:rsidR="00850461">
          <w:rPr>
            <w:noProof/>
            <w:webHidden/>
          </w:rPr>
          <w:fldChar w:fldCharType="end"/>
        </w:r>
      </w:hyperlink>
    </w:p>
    <w:p w14:paraId="6236A89C" w14:textId="40D8ACDE" w:rsidR="00850461" w:rsidRDefault="00490FD4" w:rsidP="00850461">
      <w:pPr>
        <w:pStyle w:val="TOC1"/>
        <w:tabs>
          <w:tab w:val="left" w:pos="440"/>
          <w:tab w:val="right" w:leader="dot" w:pos="9350"/>
        </w:tabs>
        <w:spacing w:line="360" w:lineRule="auto"/>
        <w:rPr>
          <w:noProof/>
        </w:rPr>
      </w:pPr>
      <w:hyperlink w:anchor="_Toc455558074" w:history="1">
        <w:r w:rsidR="00850461" w:rsidRPr="00A9341D">
          <w:rPr>
            <w:rStyle w:val="Hyperlink"/>
            <w:noProof/>
          </w:rPr>
          <w:t>6.</w:t>
        </w:r>
        <w:r w:rsidR="00850461">
          <w:rPr>
            <w:noProof/>
          </w:rPr>
          <w:tab/>
        </w:r>
        <w:r w:rsidR="00850461" w:rsidRPr="00A9341D">
          <w:rPr>
            <w:rStyle w:val="Hyperlink"/>
            <w:noProof/>
          </w:rPr>
          <w:t>Consequences of Collecting the Information Less Frequently</w:t>
        </w:r>
        <w:r w:rsidR="00850461">
          <w:rPr>
            <w:noProof/>
            <w:webHidden/>
          </w:rPr>
          <w:tab/>
        </w:r>
        <w:r w:rsidR="00850461">
          <w:rPr>
            <w:noProof/>
            <w:webHidden/>
          </w:rPr>
          <w:fldChar w:fldCharType="begin"/>
        </w:r>
        <w:r w:rsidR="00850461">
          <w:rPr>
            <w:noProof/>
            <w:webHidden/>
          </w:rPr>
          <w:instrText xml:space="preserve"> PAGEREF _Toc455558074 \h </w:instrText>
        </w:r>
        <w:r w:rsidR="00850461">
          <w:rPr>
            <w:noProof/>
            <w:webHidden/>
          </w:rPr>
        </w:r>
        <w:r w:rsidR="00850461">
          <w:rPr>
            <w:noProof/>
            <w:webHidden/>
          </w:rPr>
          <w:fldChar w:fldCharType="separate"/>
        </w:r>
        <w:r w:rsidR="00241ECB">
          <w:rPr>
            <w:noProof/>
            <w:webHidden/>
          </w:rPr>
          <w:t>9</w:t>
        </w:r>
        <w:r w:rsidR="00850461">
          <w:rPr>
            <w:noProof/>
            <w:webHidden/>
          </w:rPr>
          <w:fldChar w:fldCharType="end"/>
        </w:r>
      </w:hyperlink>
    </w:p>
    <w:p w14:paraId="65EF63B4" w14:textId="635AC162" w:rsidR="00850461" w:rsidRDefault="00490FD4" w:rsidP="00850461">
      <w:pPr>
        <w:pStyle w:val="TOC1"/>
        <w:tabs>
          <w:tab w:val="left" w:pos="440"/>
          <w:tab w:val="right" w:leader="dot" w:pos="9350"/>
        </w:tabs>
        <w:spacing w:line="360" w:lineRule="auto"/>
        <w:rPr>
          <w:noProof/>
        </w:rPr>
      </w:pPr>
      <w:hyperlink w:anchor="_Toc455558075" w:history="1">
        <w:r w:rsidR="00850461" w:rsidRPr="00A9341D">
          <w:rPr>
            <w:rStyle w:val="Hyperlink"/>
            <w:noProof/>
          </w:rPr>
          <w:t>7.</w:t>
        </w:r>
        <w:r w:rsidR="00850461">
          <w:rPr>
            <w:noProof/>
          </w:rPr>
          <w:tab/>
        </w:r>
        <w:r w:rsidR="00850461" w:rsidRPr="00A9341D">
          <w:rPr>
            <w:rStyle w:val="Hyperlink"/>
            <w:noProof/>
          </w:rPr>
          <w:t>Special Circumstances Relating to the Guidelines of 5 CFR 1320.5</w:t>
        </w:r>
        <w:r w:rsidR="00850461">
          <w:rPr>
            <w:noProof/>
            <w:webHidden/>
          </w:rPr>
          <w:tab/>
        </w:r>
        <w:r w:rsidR="00850461">
          <w:rPr>
            <w:noProof/>
            <w:webHidden/>
          </w:rPr>
          <w:fldChar w:fldCharType="begin"/>
        </w:r>
        <w:r w:rsidR="00850461">
          <w:rPr>
            <w:noProof/>
            <w:webHidden/>
          </w:rPr>
          <w:instrText xml:space="preserve"> PAGEREF _Toc455558075 \h </w:instrText>
        </w:r>
        <w:r w:rsidR="00850461">
          <w:rPr>
            <w:noProof/>
            <w:webHidden/>
          </w:rPr>
        </w:r>
        <w:r w:rsidR="00850461">
          <w:rPr>
            <w:noProof/>
            <w:webHidden/>
          </w:rPr>
          <w:fldChar w:fldCharType="separate"/>
        </w:r>
        <w:r w:rsidR="00241ECB">
          <w:rPr>
            <w:noProof/>
            <w:webHidden/>
          </w:rPr>
          <w:t>9</w:t>
        </w:r>
        <w:r w:rsidR="00850461">
          <w:rPr>
            <w:noProof/>
            <w:webHidden/>
          </w:rPr>
          <w:fldChar w:fldCharType="end"/>
        </w:r>
      </w:hyperlink>
    </w:p>
    <w:p w14:paraId="2BD0D3F9" w14:textId="2300E05D" w:rsidR="00850461" w:rsidRDefault="00490FD4" w:rsidP="00850461">
      <w:pPr>
        <w:pStyle w:val="TOC1"/>
        <w:tabs>
          <w:tab w:val="left" w:pos="440"/>
          <w:tab w:val="right" w:leader="dot" w:pos="9350"/>
        </w:tabs>
        <w:spacing w:line="360" w:lineRule="auto"/>
        <w:rPr>
          <w:noProof/>
        </w:rPr>
      </w:pPr>
      <w:hyperlink w:anchor="_Toc455558076" w:history="1">
        <w:r w:rsidR="00850461" w:rsidRPr="00A9341D">
          <w:rPr>
            <w:rStyle w:val="Hyperlink"/>
            <w:noProof/>
          </w:rPr>
          <w:t>8.</w:t>
        </w:r>
        <w:r w:rsidR="00850461">
          <w:rPr>
            <w:noProof/>
          </w:rPr>
          <w:tab/>
        </w:r>
        <w:r w:rsidR="00850461" w:rsidRPr="00A9341D">
          <w:rPr>
            <w:rStyle w:val="Hyperlink"/>
            <w:noProof/>
          </w:rPr>
          <w:t>Comments in Response to the Federal Register Notice and Efforts to Consult Outside the Agency</w:t>
        </w:r>
        <w:r w:rsidR="00850461">
          <w:rPr>
            <w:noProof/>
            <w:webHidden/>
          </w:rPr>
          <w:tab/>
        </w:r>
        <w:r w:rsidR="00850461">
          <w:rPr>
            <w:noProof/>
            <w:webHidden/>
          </w:rPr>
          <w:fldChar w:fldCharType="begin"/>
        </w:r>
        <w:r w:rsidR="00850461">
          <w:rPr>
            <w:noProof/>
            <w:webHidden/>
          </w:rPr>
          <w:instrText xml:space="preserve"> PAGEREF _Toc455558076 \h </w:instrText>
        </w:r>
        <w:r w:rsidR="00850461">
          <w:rPr>
            <w:noProof/>
            <w:webHidden/>
          </w:rPr>
        </w:r>
        <w:r w:rsidR="00850461">
          <w:rPr>
            <w:noProof/>
            <w:webHidden/>
          </w:rPr>
          <w:fldChar w:fldCharType="separate"/>
        </w:r>
        <w:r w:rsidR="00241ECB">
          <w:rPr>
            <w:noProof/>
            <w:webHidden/>
          </w:rPr>
          <w:t>9</w:t>
        </w:r>
        <w:r w:rsidR="00850461">
          <w:rPr>
            <w:noProof/>
            <w:webHidden/>
          </w:rPr>
          <w:fldChar w:fldCharType="end"/>
        </w:r>
      </w:hyperlink>
    </w:p>
    <w:p w14:paraId="0560BA4C" w14:textId="13443544" w:rsidR="00850461" w:rsidRDefault="00490FD4" w:rsidP="00850461">
      <w:pPr>
        <w:pStyle w:val="TOC1"/>
        <w:tabs>
          <w:tab w:val="left" w:pos="440"/>
          <w:tab w:val="right" w:leader="dot" w:pos="9350"/>
        </w:tabs>
        <w:spacing w:line="360" w:lineRule="auto"/>
        <w:rPr>
          <w:noProof/>
        </w:rPr>
      </w:pPr>
      <w:hyperlink w:anchor="_Toc455558077" w:history="1">
        <w:r w:rsidR="00850461" w:rsidRPr="00A9341D">
          <w:rPr>
            <w:rStyle w:val="Hyperlink"/>
            <w:noProof/>
          </w:rPr>
          <w:t>9.</w:t>
        </w:r>
        <w:r w:rsidR="00850461">
          <w:rPr>
            <w:noProof/>
          </w:rPr>
          <w:tab/>
        </w:r>
        <w:r w:rsidR="00850461" w:rsidRPr="00A9341D">
          <w:rPr>
            <w:rStyle w:val="Hyperlink"/>
            <w:noProof/>
          </w:rPr>
          <w:t>Explanation of Any Payment or Gift to Respondents</w:t>
        </w:r>
        <w:r w:rsidR="00850461">
          <w:rPr>
            <w:noProof/>
            <w:webHidden/>
          </w:rPr>
          <w:tab/>
        </w:r>
        <w:r w:rsidR="00850461">
          <w:rPr>
            <w:noProof/>
            <w:webHidden/>
          </w:rPr>
          <w:fldChar w:fldCharType="begin"/>
        </w:r>
        <w:r w:rsidR="00850461">
          <w:rPr>
            <w:noProof/>
            <w:webHidden/>
          </w:rPr>
          <w:instrText xml:space="preserve"> PAGEREF _Toc455558077 \h </w:instrText>
        </w:r>
        <w:r w:rsidR="00850461">
          <w:rPr>
            <w:noProof/>
            <w:webHidden/>
          </w:rPr>
        </w:r>
        <w:r w:rsidR="00850461">
          <w:rPr>
            <w:noProof/>
            <w:webHidden/>
          </w:rPr>
          <w:fldChar w:fldCharType="separate"/>
        </w:r>
        <w:r w:rsidR="00241ECB">
          <w:rPr>
            <w:noProof/>
            <w:webHidden/>
          </w:rPr>
          <w:t>9</w:t>
        </w:r>
        <w:r w:rsidR="00850461">
          <w:rPr>
            <w:noProof/>
            <w:webHidden/>
          </w:rPr>
          <w:fldChar w:fldCharType="end"/>
        </w:r>
      </w:hyperlink>
    </w:p>
    <w:p w14:paraId="6AD7A9FB" w14:textId="275B6F4C" w:rsidR="00850461" w:rsidRDefault="00490FD4" w:rsidP="00850461">
      <w:pPr>
        <w:pStyle w:val="TOC1"/>
        <w:tabs>
          <w:tab w:val="left" w:pos="660"/>
          <w:tab w:val="right" w:leader="dot" w:pos="9350"/>
        </w:tabs>
        <w:spacing w:line="360" w:lineRule="auto"/>
        <w:rPr>
          <w:noProof/>
        </w:rPr>
      </w:pPr>
      <w:hyperlink w:anchor="_Toc455558079" w:history="1">
        <w:r w:rsidR="00850461" w:rsidRPr="00A9341D">
          <w:rPr>
            <w:rStyle w:val="Hyperlink"/>
            <w:noProof/>
          </w:rPr>
          <w:t>10.</w:t>
        </w:r>
        <w:r w:rsidR="00850461">
          <w:rPr>
            <w:noProof/>
          </w:rPr>
          <w:tab/>
        </w:r>
        <w:r w:rsidR="00850461" w:rsidRPr="00A9341D">
          <w:rPr>
            <w:rStyle w:val="Hyperlink"/>
            <w:noProof/>
          </w:rPr>
          <w:t>Protection of Privacy and Confidentiality of Information Provided by Respondents</w:t>
        </w:r>
        <w:r w:rsidR="00850461">
          <w:rPr>
            <w:noProof/>
            <w:webHidden/>
          </w:rPr>
          <w:tab/>
        </w:r>
        <w:r w:rsidR="00850461">
          <w:rPr>
            <w:noProof/>
            <w:webHidden/>
          </w:rPr>
          <w:fldChar w:fldCharType="begin"/>
        </w:r>
        <w:r w:rsidR="00850461">
          <w:rPr>
            <w:noProof/>
            <w:webHidden/>
          </w:rPr>
          <w:instrText xml:space="preserve"> PAGEREF _Toc455558079 \h </w:instrText>
        </w:r>
        <w:r w:rsidR="00850461">
          <w:rPr>
            <w:noProof/>
            <w:webHidden/>
          </w:rPr>
        </w:r>
        <w:r w:rsidR="00850461">
          <w:rPr>
            <w:noProof/>
            <w:webHidden/>
          </w:rPr>
          <w:fldChar w:fldCharType="separate"/>
        </w:r>
        <w:r w:rsidR="00241ECB">
          <w:rPr>
            <w:noProof/>
            <w:webHidden/>
          </w:rPr>
          <w:t>9</w:t>
        </w:r>
        <w:r w:rsidR="00850461">
          <w:rPr>
            <w:noProof/>
            <w:webHidden/>
          </w:rPr>
          <w:fldChar w:fldCharType="end"/>
        </w:r>
      </w:hyperlink>
    </w:p>
    <w:p w14:paraId="6EA1011C" w14:textId="386AD9BE" w:rsidR="00850461" w:rsidRDefault="00490FD4" w:rsidP="00850461">
      <w:pPr>
        <w:pStyle w:val="TOC1"/>
        <w:tabs>
          <w:tab w:val="left" w:pos="660"/>
          <w:tab w:val="right" w:leader="dot" w:pos="9350"/>
        </w:tabs>
        <w:spacing w:line="360" w:lineRule="auto"/>
        <w:rPr>
          <w:noProof/>
        </w:rPr>
      </w:pPr>
      <w:hyperlink w:anchor="_Toc455558080" w:history="1">
        <w:r w:rsidR="00850461" w:rsidRPr="00A9341D">
          <w:rPr>
            <w:rStyle w:val="Hyperlink"/>
            <w:noProof/>
          </w:rPr>
          <w:t>11.</w:t>
        </w:r>
        <w:r w:rsidR="00850461">
          <w:rPr>
            <w:noProof/>
          </w:rPr>
          <w:tab/>
        </w:r>
        <w:r w:rsidR="00850461" w:rsidRPr="00A9341D">
          <w:rPr>
            <w:rStyle w:val="Hyperlink"/>
            <w:noProof/>
          </w:rPr>
          <w:t>Institutional Review Board (IRB) and Justification for Sensitive Questions</w:t>
        </w:r>
        <w:r w:rsidR="00850461">
          <w:rPr>
            <w:noProof/>
            <w:webHidden/>
          </w:rPr>
          <w:tab/>
        </w:r>
        <w:r w:rsidR="00850461">
          <w:rPr>
            <w:noProof/>
            <w:webHidden/>
          </w:rPr>
          <w:fldChar w:fldCharType="begin"/>
        </w:r>
        <w:r w:rsidR="00850461">
          <w:rPr>
            <w:noProof/>
            <w:webHidden/>
          </w:rPr>
          <w:instrText xml:space="preserve"> PAGEREF _Toc455558080 \h </w:instrText>
        </w:r>
        <w:r w:rsidR="00850461">
          <w:rPr>
            <w:noProof/>
            <w:webHidden/>
          </w:rPr>
        </w:r>
        <w:r w:rsidR="00850461">
          <w:rPr>
            <w:noProof/>
            <w:webHidden/>
          </w:rPr>
          <w:fldChar w:fldCharType="separate"/>
        </w:r>
        <w:r w:rsidR="00241ECB">
          <w:rPr>
            <w:noProof/>
            <w:webHidden/>
          </w:rPr>
          <w:t>12</w:t>
        </w:r>
        <w:r w:rsidR="00850461">
          <w:rPr>
            <w:noProof/>
            <w:webHidden/>
          </w:rPr>
          <w:fldChar w:fldCharType="end"/>
        </w:r>
      </w:hyperlink>
    </w:p>
    <w:p w14:paraId="31B483FC" w14:textId="69611643" w:rsidR="00850461" w:rsidRDefault="00490FD4" w:rsidP="00850461">
      <w:pPr>
        <w:pStyle w:val="TOC1"/>
        <w:tabs>
          <w:tab w:val="left" w:pos="660"/>
          <w:tab w:val="right" w:leader="dot" w:pos="9350"/>
        </w:tabs>
        <w:spacing w:line="360" w:lineRule="auto"/>
        <w:rPr>
          <w:noProof/>
        </w:rPr>
      </w:pPr>
      <w:hyperlink w:anchor="_Toc455558081" w:history="1">
        <w:r w:rsidR="00850461" w:rsidRPr="00A9341D">
          <w:rPr>
            <w:rStyle w:val="Hyperlink"/>
            <w:noProof/>
          </w:rPr>
          <w:t>12.</w:t>
        </w:r>
        <w:r w:rsidR="00850461">
          <w:rPr>
            <w:noProof/>
          </w:rPr>
          <w:tab/>
        </w:r>
        <w:r w:rsidR="00850461" w:rsidRPr="00A9341D">
          <w:rPr>
            <w:rStyle w:val="Hyperlink"/>
            <w:noProof/>
          </w:rPr>
          <w:t>Estimates of Annualized Burden Hours and Costs</w:t>
        </w:r>
        <w:r w:rsidR="00850461">
          <w:rPr>
            <w:noProof/>
            <w:webHidden/>
          </w:rPr>
          <w:tab/>
        </w:r>
        <w:r w:rsidR="00850461">
          <w:rPr>
            <w:noProof/>
            <w:webHidden/>
          </w:rPr>
          <w:fldChar w:fldCharType="begin"/>
        </w:r>
        <w:r w:rsidR="00850461">
          <w:rPr>
            <w:noProof/>
            <w:webHidden/>
          </w:rPr>
          <w:instrText xml:space="preserve"> PAGEREF _Toc455558081 \h </w:instrText>
        </w:r>
        <w:r w:rsidR="00850461">
          <w:rPr>
            <w:noProof/>
            <w:webHidden/>
          </w:rPr>
        </w:r>
        <w:r w:rsidR="00850461">
          <w:rPr>
            <w:noProof/>
            <w:webHidden/>
          </w:rPr>
          <w:fldChar w:fldCharType="separate"/>
        </w:r>
        <w:r w:rsidR="00241ECB">
          <w:rPr>
            <w:noProof/>
            <w:webHidden/>
          </w:rPr>
          <w:t>13</w:t>
        </w:r>
        <w:r w:rsidR="00850461">
          <w:rPr>
            <w:noProof/>
            <w:webHidden/>
          </w:rPr>
          <w:fldChar w:fldCharType="end"/>
        </w:r>
      </w:hyperlink>
    </w:p>
    <w:p w14:paraId="75383B47" w14:textId="608D9EC3" w:rsidR="00850461" w:rsidRDefault="00490FD4" w:rsidP="00850461">
      <w:pPr>
        <w:pStyle w:val="TOC1"/>
        <w:tabs>
          <w:tab w:val="left" w:pos="660"/>
          <w:tab w:val="right" w:leader="dot" w:pos="9350"/>
        </w:tabs>
        <w:spacing w:line="360" w:lineRule="auto"/>
        <w:rPr>
          <w:noProof/>
        </w:rPr>
      </w:pPr>
      <w:hyperlink w:anchor="_Toc455558107" w:history="1">
        <w:r w:rsidR="00850461" w:rsidRPr="00A9341D">
          <w:rPr>
            <w:rStyle w:val="Hyperlink"/>
            <w:noProof/>
          </w:rPr>
          <w:t>13.</w:t>
        </w:r>
        <w:r w:rsidR="00850461">
          <w:rPr>
            <w:noProof/>
          </w:rPr>
          <w:tab/>
        </w:r>
        <w:r w:rsidR="00850461" w:rsidRPr="00A9341D">
          <w:rPr>
            <w:rStyle w:val="Hyperlink"/>
            <w:noProof/>
          </w:rPr>
          <w:t>Estimates of Other Total Annual Cost Burden to Respondents or Record Keepers</w:t>
        </w:r>
        <w:r w:rsidR="00850461">
          <w:rPr>
            <w:noProof/>
            <w:webHidden/>
          </w:rPr>
          <w:tab/>
        </w:r>
        <w:r w:rsidR="00850461">
          <w:rPr>
            <w:noProof/>
            <w:webHidden/>
          </w:rPr>
          <w:fldChar w:fldCharType="begin"/>
        </w:r>
        <w:r w:rsidR="00850461">
          <w:rPr>
            <w:noProof/>
            <w:webHidden/>
          </w:rPr>
          <w:instrText xml:space="preserve"> PAGEREF _Toc455558107 \h </w:instrText>
        </w:r>
        <w:r w:rsidR="00850461">
          <w:rPr>
            <w:noProof/>
            <w:webHidden/>
          </w:rPr>
        </w:r>
        <w:r w:rsidR="00850461">
          <w:rPr>
            <w:noProof/>
            <w:webHidden/>
          </w:rPr>
          <w:fldChar w:fldCharType="separate"/>
        </w:r>
        <w:r w:rsidR="00241ECB">
          <w:rPr>
            <w:noProof/>
            <w:webHidden/>
          </w:rPr>
          <w:t>14</w:t>
        </w:r>
        <w:r w:rsidR="00850461">
          <w:rPr>
            <w:noProof/>
            <w:webHidden/>
          </w:rPr>
          <w:fldChar w:fldCharType="end"/>
        </w:r>
      </w:hyperlink>
    </w:p>
    <w:p w14:paraId="0946FFBE" w14:textId="72A47B48" w:rsidR="00850461" w:rsidRDefault="00490FD4" w:rsidP="00850461">
      <w:pPr>
        <w:pStyle w:val="TOC1"/>
        <w:tabs>
          <w:tab w:val="left" w:pos="660"/>
          <w:tab w:val="right" w:leader="dot" w:pos="9350"/>
        </w:tabs>
        <w:spacing w:line="360" w:lineRule="auto"/>
        <w:rPr>
          <w:noProof/>
        </w:rPr>
      </w:pPr>
      <w:hyperlink w:anchor="_Toc455558108" w:history="1">
        <w:r w:rsidR="00850461" w:rsidRPr="00A9341D">
          <w:rPr>
            <w:rStyle w:val="Hyperlink"/>
            <w:noProof/>
          </w:rPr>
          <w:t>14.</w:t>
        </w:r>
        <w:r w:rsidR="00850461">
          <w:rPr>
            <w:noProof/>
          </w:rPr>
          <w:tab/>
        </w:r>
        <w:r w:rsidR="00850461" w:rsidRPr="00A9341D">
          <w:rPr>
            <w:rStyle w:val="Hyperlink"/>
            <w:noProof/>
          </w:rPr>
          <w:t>Annualized Cost to the Government</w:t>
        </w:r>
        <w:r w:rsidR="00850461">
          <w:rPr>
            <w:noProof/>
            <w:webHidden/>
          </w:rPr>
          <w:tab/>
        </w:r>
        <w:r w:rsidR="00850461">
          <w:rPr>
            <w:noProof/>
            <w:webHidden/>
          </w:rPr>
          <w:fldChar w:fldCharType="begin"/>
        </w:r>
        <w:r w:rsidR="00850461">
          <w:rPr>
            <w:noProof/>
            <w:webHidden/>
          </w:rPr>
          <w:instrText xml:space="preserve"> PAGEREF _Toc455558108 \h </w:instrText>
        </w:r>
        <w:r w:rsidR="00850461">
          <w:rPr>
            <w:noProof/>
            <w:webHidden/>
          </w:rPr>
        </w:r>
        <w:r w:rsidR="00850461">
          <w:rPr>
            <w:noProof/>
            <w:webHidden/>
          </w:rPr>
          <w:fldChar w:fldCharType="separate"/>
        </w:r>
        <w:r w:rsidR="00241ECB">
          <w:rPr>
            <w:noProof/>
            <w:webHidden/>
          </w:rPr>
          <w:t>15</w:t>
        </w:r>
        <w:r w:rsidR="00850461">
          <w:rPr>
            <w:noProof/>
            <w:webHidden/>
          </w:rPr>
          <w:fldChar w:fldCharType="end"/>
        </w:r>
      </w:hyperlink>
    </w:p>
    <w:p w14:paraId="03CDD3B3" w14:textId="42D82DB7" w:rsidR="00850461" w:rsidRDefault="00490FD4" w:rsidP="00850461">
      <w:pPr>
        <w:pStyle w:val="TOC1"/>
        <w:tabs>
          <w:tab w:val="left" w:pos="660"/>
          <w:tab w:val="right" w:leader="dot" w:pos="9350"/>
        </w:tabs>
        <w:spacing w:line="360" w:lineRule="auto"/>
        <w:rPr>
          <w:noProof/>
        </w:rPr>
      </w:pPr>
      <w:hyperlink w:anchor="_Toc455558111" w:history="1">
        <w:r w:rsidR="00850461" w:rsidRPr="00A9341D">
          <w:rPr>
            <w:rStyle w:val="Hyperlink"/>
            <w:noProof/>
          </w:rPr>
          <w:t>15.</w:t>
        </w:r>
        <w:r w:rsidR="00850461">
          <w:rPr>
            <w:noProof/>
          </w:rPr>
          <w:tab/>
        </w:r>
        <w:r w:rsidR="00850461" w:rsidRPr="00A9341D">
          <w:rPr>
            <w:rStyle w:val="Hyperlink"/>
            <w:noProof/>
          </w:rPr>
          <w:t>Explanation for Program Changes or Adjustments</w:t>
        </w:r>
        <w:r w:rsidR="00850461">
          <w:rPr>
            <w:noProof/>
            <w:webHidden/>
          </w:rPr>
          <w:tab/>
        </w:r>
        <w:r w:rsidR="00850461">
          <w:rPr>
            <w:noProof/>
            <w:webHidden/>
          </w:rPr>
          <w:fldChar w:fldCharType="begin"/>
        </w:r>
        <w:r w:rsidR="00850461">
          <w:rPr>
            <w:noProof/>
            <w:webHidden/>
          </w:rPr>
          <w:instrText xml:space="preserve"> PAGEREF _Toc455558111 \h </w:instrText>
        </w:r>
        <w:r w:rsidR="00850461">
          <w:rPr>
            <w:noProof/>
            <w:webHidden/>
          </w:rPr>
        </w:r>
        <w:r w:rsidR="00850461">
          <w:rPr>
            <w:noProof/>
            <w:webHidden/>
          </w:rPr>
          <w:fldChar w:fldCharType="separate"/>
        </w:r>
        <w:r w:rsidR="00241ECB">
          <w:rPr>
            <w:noProof/>
            <w:webHidden/>
          </w:rPr>
          <w:t>16</w:t>
        </w:r>
        <w:r w:rsidR="00850461">
          <w:rPr>
            <w:noProof/>
            <w:webHidden/>
          </w:rPr>
          <w:fldChar w:fldCharType="end"/>
        </w:r>
      </w:hyperlink>
    </w:p>
    <w:p w14:paraId="0A3F2BEF" w14:textId="755E2BF7" w:rsidR="00850461" w:rsidRDefault="00490FD4" w:rsidP="00850461">
      <w:pPr>
        <w:pStyle w:val="TOC1"/>
        <w:tabs>
          <w:tab w:val="left" w:pos="660"/>
          <w:tab w:val="right" w:leader="dot" w:pos="9350"/>
        </w:tabs>
        <w:spacing w:line="360" w:lineRule="auto"/>
        <w:rPr>
          <w:noProof/>
        </w:rPr>
      </w:pPr>
      <w:hyperlink w:anchor="_Toc455558112" w:history="1">
        <w:r w:rsidR="00850461" w:rsidRPr="00A9341D">
          <w:rPr>
            <w:rStyle w:val="Hyperlink"/>
            <w:noProof/>
          </w:rPr>
          <w:t>16.</w:t>
        </w:r>
        <w:r w:rsidR="00850461">
          <w:rPr>
            <w:noProof/>
          </w:rPr>
          <w:tab/>
        </w:r>
        <w:r w:rsidR="00850461" w:rsidRPr="00A9341D">
          <w:rPr>
            <w:rStyle w:val="Hyperlink"/>
            <w:noProof/>
          </w:rPr>
          <w:t>Plans for Tabulation and Publication and Project Time Schedule</w:t>
        </w:r>
        <w:r w:rsidR="00850461">
          <w:rPr>
            <w:noProof/>
            <w:webHidden/>
          </w:rPr>
          <w:tab/>
        </w:r>
        <w:r w:rsidR="00850461">
          <w:rPr>
            <w:noProof/>
            <w:webHidden/>
          </w:rPr>
          <w:fldChar w:fldCharType="begin"/>
        </w:r>
        <w:r w:rsidR="00850461">
          <w:rPr>
            <w:noProof/>
            <w:webHidden/>
          </w:rPr>
          <w:instrText xml:space="preserve"> PAGEREF _Toc455558112 \h </w:instrText>
        </w:r>
        <w:r w:rsidR="00850461">
          <w:rPr>
            <w:noProof/>
            <w:webHidden/>
          </w:rPr>
        </w:r>
        <w:r w:rsidR="00850461">
          <w:rPr>
            <w:noProof/>
            <w:webHidden/>
          </w:rPr>
          <w:fldChar w:fldCharType="separate"/>
        </w:r>
        <w:r w:rsidR="00241ECB">
          <w:rPr>
            <w:noProof/>
            <w:webHidden/>
          </w:rPr>
          <w:t>18</w:t>
        </w:r>
        <w:r w:rsidR="00850461">
          <w:rPr>
            <w:noProof/>
            <w:webHidden/>
          </w:rPr>
          <w:fldChar w:fldCharType="end"/>
        </w:r>
      </w:hyperlink>
    </w:p>
    <w:p w14:paraId="34852241" w14:textId="6F0114D0" w:rsidR="00850461" w:rsidRDefault="00490FD4" w:rsidP="00850461">
      <w:pPr>
        <w:pStyle w:val="TOC1"/>
        <w:tabs>
          <w:tab w:val="right" w:leader="dot" w:pos="9350"/>
        </w:tabs>
        <w:spacing w:line="360" w:lineRule="auto"/>
        <w:rPr>
          <w:noProof/>
        </w:rPr>
      </w:pPr>
      <w:hyperlink w:anchor="_Toc455558115" w:history="1">
        <w:r w:rsidR="00850461" w:rsidRPr="00A9341D">
          <w:rPr>
            <w:rStyle w:val="Hyperlink"/>
            <w:noProof/>
          </w:rPr>
          <w:t>17.</w:t>
        </w:r>
        <w:r w:rsidR="00850461">
          <w:rPr>
            <w:rStyle w:val="Hyperlink"/>
            <w:noProof/>
          </w:rPr>
          <w:t xml:space="preserve">      </w:t>
        </w:r>
        <w:r w:rsidR="00850461" w:rsidRPr="00A9341D">
          <w:rPr>
            <w:rStyle w:val="Hyperlink"/>
            <w:noProof/>
          </w:rPr>
          <w:t>Reason(s) Display of OMB Expiration Date is Inappropriate</w:t>
        </w:r>
        <w:r w:rsidR="00850461">
          <w:rPr>
            <w:noProof/>
            <w:webHidden/>
          </w:rPr>
          <w:tab/>
        </w:r>
        <w:r w:rsidR="00850461">
          <w:rPr>
            <w:noProof/>
            <w:webHidden/>
          </w:rPr>
          <w:fldChar w:fldCharType="begin"/>
        </w:r>
        <w:r w:rsidR="00850461">
          <w:rPr>
            <w:noProof/>
            <w:webHidden/>
          </w:rPr>
          <w:instrText xml:space="preserve"> PAGEREF _Toc455558115 \h </w:instrText>
        </w:r>
        <w:r w:rsidR="00850461">
          <w:rPr>
            <w:noProof/>
            <w:webHidden/>
          </w:rPr>
        </w:r>
        <w:r w:rsidR="00850461">
          <w:rPr>
            <w:noProof/>
            <w:webHidden/>
          </w:rPr>
          <w:fldChar w:fldCharType="separate"/>
        </w:r>
        <w:r w:rsidR="00241ECB">
          <w:rPr>
            <w:noProof/>
            <w:webHidden/>
          </w:rPr>
          <w:t>19</w:t>
        </w:r>
        <w:r w:rsidR="00850461">
          <w:rPr>
            <w:noProof/>
            <w:webHidden/>
          </w:rPr>
          <w:fldChar w:fldCharType="end"/>
        </w:r>
      </w:hyperlink>
    </w:p>
    <w:p w14:paraId="727FD474" w14:textId="2DF74A5B" w:rsidR="00850461" w:rsidRDefault="00490FD4" w:rsidP="00850461">
      <w:pPr>
        <w:pStyle w:val="TOC1"/>
        <w:tabs>
          <w:tab w:val="left" w:pos="660"/>
          <w:tab w:val="right" w:leader="dot" w:pos="9350"/>
        </w:tabs>
        <w:spacing w:line="360" w:lineRule="auto"/>
        <w:rPr>
          <w:noProof/>
        </w:rPr>
      </w:pPr>
      <w:hyperlink w:anchor="_Toc455558116" w:history="1">
        <w:r w:rsidR="00850461" w:rsidRPr="00A9341D">
          <w:rPr>
            <w:rStyle w:val="Hyperlink"/>
            <w:noProof/>
          </w:rPr>
          <w:t>18.</w:t>
        </w:r>
        <w:r w:rsidR="00850461">
          <w:rPr>
            <w:noProof/>
          </w:rPr>
          <w:tab/>
        </w:r>
        <w:r w:rsidR="00850461" w:rsidRPr="00A9341D">
          <w:rPr>
            <w:rStyle w:val="Hyperlink"/>
            <w:noProof/>
          </w:rPr>
          <w:t>Exceptions to Certification for Paperwork Reduction Act Submissions</w:t>
        </w:r>
        <w:r w:rsidR="00850461">
          <w:rPr>
            <w:noProof/>
            <w:webHidden/>
          </w:rPr>
          <w:tab/>
        </w:r>
        <w:r w:rsidR="00850461">
          <w:rPr>
            <w:noProof/>
            <w:webHidden/>
          </w:rPr>
          <w:fldChar w:fldCharType="begin"/>
        </w:r>
        <w:r w:rsidR="00850461">
          <w:rPr>
            <w:noProof/>
            <w:webHidden/>
          </w:rPr>
          <w:instrText xml:space="preserve"> PAGEREF _Toc455558116 \h </w:instrText>
        </w:r>
        <w:r w:rsidR="00850461">
          <w:rPr>
            <w:noProof/>
            <w:webHidden/>
          </w:rPr>
        </w:r>
        <w:r w:rsidR="00850461">
          <w:rPr>
            <w:noProof/>
            <w:webHidden/>
          </w:rPr>
          <w:fldChar w:fldCharType="separate"/>
        </w:r>
        <w:r w:rsidR="00241ECB">
          <w:rPr>
            <w:noProof/>
            <w:webHidden/>
          </w:rPr>
          <w:t>19</w:t>
        </w:r>
        <w:r w:rsidR="00850461">
          <w:rPr>
            <w:noProof/>
            <w:webHidden/>
          </w:rPr>
          <w:fldChar w:fldCharType="end"/>
        </w:r>
      </w:hyperlink>
    </w:p>
    <w:p w14:paraId="2D0652DD" w14:textId="16940C06" w:rsidR="00B06E6A" w:rsidRPr="00B06E6A" w:rsidRDefault="00490FD4" w:rsidP="00850461">
      <w:pPr>
        <w:pStyle w:val="TOC1"/>
        <w:tabs>
          <w:tab w:val="right" w:leader="dot" w:pos="9350"/>
        </w:tabs>
        <w:spacing w:line="360" w:lineRule="auto"/>
        <w:jc w:val="center"/>
        <w:rPr>
          <w:b/>
        </w:rPr>
      </w:pPr>
      <w:hyperlink w:anchor="_Toc455558117" w:history="1">
        <w:r w:rsidR="00850461" w:rsidRPr="00A9341D">
          <w:rPr>
            <w:rStyle w:val="Hyperlink"/>
            <w:noProof/>
          </w:rPr>
          <w:t>List of Attachments</w:t>
        </w:r>
        <w:r w:rsidR="00850461">
          <w:rPr>
            <w:noProof/>
            <w:webHidden/>
          </w:rPr>
          <w:tab/>
        </w:r>
        <w:r w:rsidR="00850461">
          <w:rPr>
            <w:noProof/>
            <w:webHidden/>
          </w:rPr>
          <w:fldChar w:fldCharType="begin"/>
        </w:r>
        <w:r w:rsidR="00850461">
          <w:rPr>
            <w:noProof/>
            <w:webHidden/>
          </w:rPr>
          <w:instrText xml:space="preserve"> PAGEREF _Toc455558117 \h </w:instrText>
        </w:r>
        <w:r w:rsidR="00850461">
          <w:rPr>
            <w:noProof/>
            <w:webHidden/>
          </w:rPr>
        </w:r>
        <w:r w:rsidR="00850461">
          <w:rPr>
            <w:noProof/>
            <w:webHidden/>
          </w:rPr>
          <w:fldChar w:fldCharType="separate"/>
        </w:r>
        <w:r w:rsidR="00241ECB">
          <w:rPr>
            <w:noProof/>
            <w:webHidden/>
          </w:rPr>
          <w:t>22</w:t>
        </w:r>
        <w:r w:rsidR="00850461">
          <w:rPr>
            <w:noProof/>
            <w:webHidden/>
          </w:rPr>
          <w:fldChar w:fldCharType="end"/>
        </w:r>
      </w:hyperlink>
      <w:r w:rsidR="00850461">
        <w:rPr>
          <w:b/>
          <w:bCs/>
          <w:noProof/>
        </w:rPr>
        <w:fldChar w:fldCharType="end"/>
      </w:r>
      <w:r w:rsidR="00850461">
        <w:rPr>
          <w:b/>
        </w:rPr>
        <w:br w:type="page"/>
      </w:r>
      <w:bookmarkStart w:id="5" w:name="_Toc455558067"/>
      <w:r w:rsidR="00B06E6A">
        <w:rPr>
          <w:b/>
        </w:rPr>
        <w:lastRenderedPageBreak/>
        <w:t>Prevalence Survey of Healthcare Associated Infections and</w:t>
      </w:r>
      <w:bookmarkStart w:id="6" w:name="_Toc455558068"/>
      <w:bookmarkEnd w:id="5"/>
      <w:r w:rsidR="00850461">
        <w:rPr>
          <w:b/>
        </w:rPr>
        <w:t xml:space="preserve"> </w:t>
      </w:r>
      <w:r w:rsidR="00B06E6A">
        <w:rPr>
          <w:b/>
        </w:rPr>
        <w:t xml:space="preserve">Antimicrobial Use in U.S. </w:t>
      </w:r>
      <w:r w:rsidR="00FD10DC">
        <w:rPr>
          <w:noProof/>
        </w:rPr>
        <mc:AlternateContent>
          <mc:Choice Requires="wps">
            <w:drawing>
              <wp:anchor distT="45720" distB="45720" distL="114300" distR="114300" simplePos="0" relativeHeight="251657728" behindDoc="0" locked="0" layoutInCell="1" allowOverlap="1" wp14:anchorId="7C4DDE7C" wp14:editId="525D2406">
                <wp:simplePos x="0" y="0"/>
                <wp:positionH relativeFrom="column">
                  <wp:posOffset>-47625</wp:posOffset>
                </wp:positionH>
                <wp:positionV relativeFrom="paragraph">
                  <wp:posOffset>609600</wp:posOffset>
                </wp:positionV>
                <wp:extent cx="6038850" cy="31623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3162300"/>
                        </a:xfrm>
                        <a:prstGeom prst="rect">
                          <a:avLst/>
                        </a:prstGeom>
                        <a:solidFill>
                          <a:srgbClr val="FFFFFF"/>
                        </a:solidFill>
                        <a:ln w="9525">
                          <a:solidFill>
                            <a:srgbClr val="000000"/>
                          </a:solidFill>
                          <a:miter lim="800000"/>
                          <a:headEnd/>
                          <a:tailEnd/>
                        </a:ln>
                      </wps:spPr>
                      <wps:txbx>
                        <w:txbxContent>
                          <w:p w14:paraId="49315E7D" w14:textId="77777777" w:rsidR="0090047D" w:rsidRDefault="0090047D" w:rsidP="00061956">
                            <w:pPr>
                              <w:numPr>
                                <w:ilvl w:val="0"/>
                                <w:numId w:val="31"/>
                              </w:numPr>
                              <w:tabs>
                                <w:tab w:val="left" w:pos="180"/>
                              </w:tabs>
                              <w:ind w:left="180" w:hanging="180"/>
                            </w:pPr>
                            <w:r w:rsidRPr="00061956">
                              <w:rPr>
                                <w:b/>
                              </w:rPr>
                              <w:t>Goals of project</w:t>
                            </w:r>
                            <w:r>
                              <w:t xml:space="preserve">: Estimate </w:t>
                            </w:r>
                            <w:r w:rsidRPr="00D25001">
                              <w:rPr>
                                <w:color w:val="000000"/>
                              </w:rPr>
                              <w:t>the</w:t>
                            </w:r>
                            <w:r>
                              <w:rPr>
                                <w:color w:val="000000"/>
                              </w:rPr>
                              <w:t xml:space="preserve"> p</w:t>
                            </w:r>
                            <w:r w:rsidRPr="00D25001">
                              <w:rPr>
                                <w:color w:val="000000"/>
                              </w:rPr>
                              <w:t xml:space="preserve">revalence of </w:t>
                            </w:r>
                            <w:r>
                              <w:rPr>
                                <w:color w:val="000000"/>
                              </w:rPr>
                              <w:t>Healthcare-Associated Infections (</w:t>
                            </w:r>
                            <w:r w:rsidRPr="00D25001">
                              <w:rPr>
                                <w:color w:val="000000"/>
                              </w:rPr>
                              <w:t>HAIs</w:t>
                            </w:r>
                            <w:r>
                              <w:rPr>
                                <w:color w:val="000000"/>
                              </w:rPr>
                              <w:t xml:space="preserve">) in a large sample of inpatients in U.S. acute care hospitals; determine </w:t>
                            </w:r>
                            <w:r>
                              <w:t>t</w:t>
                            </w:r>
                            <w:r w:rsidRPr="00D25001">
                              <w:rPr>
                                <w:color w:val="000000"/>
                              </w:rPr>
                              <w:t>ypes of HAIs and causative pathogens;</w:t>
                            </w:r>
                            <w:r>
                              <w:rPr>
                                <w:color w:val="000000"/>
                              </w:rPr>
                              <w:t xml:space="preserve"> and identify changes in HAI prevalence. Estimate the prevalence and describe indications for Antimicrobial U</w:t>
                            </w:r>
                            <w:r w:rsidRPr="00D25001">
                              <w:rPr>
                                <w:color w:val="000000"/>
                              </w:rPr>
                              <w:t>se</w:t>
                            </w:r>
                            <w:r>
                              <w:rPr>
                                <w:color w:val="000000"/>
                              </w:rPr>
                              <w:t xml:space="preserve"> (AU)</w:t>
                            </w:r>
                            <w:r w:rsidRPr="00D25001">
                              <w:rPr>
                                <w:color w:val="000000"/>
                              </w:rPr>
                              <w:t>;</w:t>
                            </w:r>
                            <w:r>
                              <w:rPr>
                                <w:color w:val="000000"/>
                              </w:rPr>
                              <w:t xml:space="preserve"> describe the quality of antimicrobial prescribing and identify changes for selected clinical circumstances</w:t>
                            </w:r>
                            <w:r w:rsidRPr="00D25001">
                              <w:rPr>
                                <w:color w:val="000000"/>
                              </w:rPr>
                              <w:t>;</w:t>
                            </w:r>
                            <w:r>
                              <w:t xml:space="preserve"> and estimate the p</w:t>
                            </w:r>
                            <w:r w:rsidRPr="00D25001">
                              <w:rPr>
                                <w:color w:val="000000"/>
                              </w:rPr>
                              <w:t>revalence of antimicrobial resistance among pathogens causing HAIs</w:t>
                            </w:r>
                            <w:r w:rsidRPr="00C34429">
                              <w:rPr>
                                <w:color w:val="000000"/>
                              </w:rPr>
                              <w:t>.</w:t>
                            </w:r>
                          </w:p>
                          <w:p w14:paraId="0602BC27" w14:textId="77777777" w:rsidR="0090047D" w:rsidRDefault="0090047D" w:rsidP="00061956">
                            <w:pPr>
                              <w:numPr>
                                <w:ilvl w:val="0"/>
                                <w:numId w:val="31"/>
                              </w:numPr>
                              <w:tabs>
                                <w:tab w:val="left" w:pos="180"/>
                              </w:tabs>
                              <w:ind w:left="180" w:hanging="180"/>
                            </w:pPr>
                            <w:r w:rsidRPr="00061956">
                              <w:rPr>
                                <w:b/>
                              </w:rPr>
                              <w:t>Intended use of the resulting data</w:t>
                            </w:r>
                            <w:r>
                              <w:t>: Provide current, national estimates of the HAI and AU burden in U.S. acute care hospitals, and assess progress made in preventing HAIs, controlling antimicrobial resistance, and improving the quality of hospital antimicrobial prescribing.</w:t>
                            </w:r>
                          </w:p>
                          <w:p w14:paraId="31F8D65F" w14:textId="77777777" w:rsidR="0090047D" w:rsidRDefault="0090047D" w:rsidP="00061956">
                            <w:pPr>
                              <w:numPr>
                                <w:ilvl w:val="0"/>
                                <w:numId w:val="31"/>
                              </w:numPr>
                              <w:tabs>
                                <w:tab w:val="left" w:pos="180"/>
                              </w:tabs>
                              <w:ind w:left="180" w:hanging="180"/>
                            </w:pPr>
                            <w:r w:rsidRPr="00061956">
                              <w:rPr>
                                <w:b/>
                              </w:rPr>
                              <w:t>Method to be used to collect</w:t>
                            </w:r>
                            <w:r>
                              <w:t>: Cross-sectional approach via point-prevalence surveys in participating U.S. short-term, acute care hospitals.</w:t>
                            </w:r>
                          </w:p>
                          <w:p w14:paraId="3244C8D0" w14:textId="77777777" w:rsidR="0090047D" w:rsidRDefault="0090047D" w:rsidP="00061956">
                            <w:pPr>
                              <w:numPr>
                                <w:ilvl w:val="0"/>
                                <w:numId w:val="31"/>
                              </w:numPr>
                              <w:tabs>
                                <w:tab w:val="left" w:pos="180"/>
                              </w:tabs>
                              <w:ind w:left="180" w:hanging="180"/>
                            </w:pPr>
                            <w:r w:rsidRPr="00061956">
                              <w:rPr>
                                <w:b/>
                              </w:rPr>
                              <w:t>Subpopulation to be studied</w:t>
                            </w:r>
                            <w:r>
                              <w:t>: Patients of all ages in U.S. short-term, acute care hospitals.</w:t>
                            </w:r>
                          </w:p>
                          <w:p w14:paraId="13D8A649" w14:textId="77777777" w:rsidR="0090047D" w:rsidRDefault="0090047D" w:rsidP="00061956">
                            <w:pPr>
                              <w:numPr>
                                <w:ilvl w:val="0"/>
                                <w:numId w:val="31"/>
                              </w:numPr>
                              <w:tabs>
                                <w:tab w:val="left" w:pos="180"/>
                              </w:tabs>
                              <w:ind w:left="180" w:hanging="180"/>
                            </w:pPr>
                            <w:r w:rsidRPr="00061956">
                              <w:rPr>
                                <w:b/>
                              </w:rPr>
                              <w:t>How data will be analyzed</w:t>
                            </w:r>
                            <w:r>
                              <w:t>: The proportions of patients with HAIs and on antimicrobial drugs will be calculated. Factors associated with HAIs and AU will be analyzed using log binomial regression modeling and/or other appropriate methods. Prevalence will be converted to incidence using the formula of Rhame and Sudderth to estimate the burden of HAIs and AU in the U.S.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5pt;margin-top:48pt;width:475.5pt;height:24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">
                <v:textbox>
                  <w:txbxContent>
                    <w:p w14:paraId="49315E7D" w14:textId="77777777" w:rsidR="0090047D" w:rsidRDefault="0090047D" w:rsidP="00061956">
                      <w:pPr>
                        <w:numPr>
                          <w:ilvl w:val="0"/>
                          <w:numId w:val="31"/>
                        </w:numPr>
                        <w:tabs>
                          <w:tab w:val="left" w:pos="180"/>
                        </w:tabs>
                        <w:ind w:left="180" w:hanging="180"/>
                      </w:pPr>
                      <w:r w:rsidRPr="00061956">
                        <w:rPr>
                          <w:b/>
                        </w:rPr>
                        <w:t>Goals of project</w:t>
                      </w:r>
                      <w:r>
                        <w:t xml:space="preserve">: Estimate </w:t>
                      </w:r>
                      <w:r w:rsidRPr="00D25001">
                        <w:rPr>
                          <w:color w:val="000000"/>
                        </w:rPr>
                        <w:t>the</w:t>
                      </w:r>
                      <w:r>
                        <w:rPr>
                          <w:color w:val="000000"/>
                        </w:rPr>
                        <w:t xml:space="preserve"> p</w:t>
                      </w:r>
                      <w:r w:rsidRPr="00D25001">
                        <w:rPr>
                          <w:color w:val="000000"/>
                        </w:rPr>
                        <w:t xml:space="preserve">revalence of </w:t>
                      </w:r>
                      <w:r>
                        <w:rPr>
                          <w:color w:val="000000"/>
                        </w:rPr>
                        <w:t>Healthcare-Associated Infections (</w:t>
                      </w:r>
                      <w:r w:rsidRPr="00D25001">
                        <w:rPr>
                          <w:color w:val="000000"/>
                        </w:rPr>
                        <w:t>HAIs</w:t>
                      </w:r>
                      <w:r>
                        <w:rPr>
                          <w:color w:val="000000"/>
                        </w:rPr>
                        <w:t xml:space="preserve">) in a large sample of inpatients in U.S. acute care hospitals; determine </w:t>
                      </w:r>
                      <w:r>
                        <w:t>t</w:t>
                      </w:r>
                      <w:r w:rsidRPr="00D25001">
                        <w:rPr>
                          <w:color w:val="000000"/>
                        </w:rPr>
                        <w:t>ypes of HAIs and causative pathogens;</w:t>
                      </w:r>
                      <w:r>
                        <w:rPr>
                          <w:color w:val="000000"/>
                        </w:rPr>
                        <w:t xml:space="preserve"> and identify changes in HAI prevalence. Estimate the prevalence and describe indications for Antimicrobial U</w:t>
                      </w:r>
                      <w:r w:rsidRPr="00D25001">
                        <w:rPr>
                          <w:color w:val="000000"/>
                        </w:rPr>
                        <w:t>se</w:t>
                      </w:r>
                      <w:r>
                        <w:rPr>
                          <w:color w:val="000000"/>
                        </w:rPr>
                        <w:t xml:space="preserve"> (AU)</w:t>
                      </w:r>
                      <w:r w:rsidRPr="00D25001">
                        <w:rPr>
                          <w:color w:val="000000"/>
                        </w:rPr>
                        <w:t>;</w:t>
                      </w:r>
                      <w:r>
                        <w:rPr>
                          <w:color w:val="000000"/>
                        </w:rPr>
                        <w:t xml:space="preserve"> describe the quality of antimicrobial prescribing and identify changes for selected clinical circumstances</w:t>
                      </w:r>
                      <w:r w:rsidRPr="00D25001">
                        <w:rPr>
                          <w:color w:val="000000"/>
                        </w:rPr>
                        <w:t>;</w:t>
                      </w:r>
                      <w:r>
                        <w:t xml:space="preserve"> and estimate the p</w:t>
                      </w:r>
                      <w:r w:rsidRPr="00D25001">
                        <w:rPr>
                          <w:color w:val="000000"/>
                        </w:rPr>
                        <w:t>revalence of antimicrobial resistance among pathogens causing HAIs</w:t>
                      </w:r>
                      <w:r w:rsidRPr="00C34429">
                        <w:rPr>
                          <w:color w:val="000000"/>
                        </w:rPr>
                        <w:t>.</w:t>
                      </w:r>
                    </w:p>
                    <w:p w14:paraId="0602BC27" w14:textId="77777777" w:rsidR="0090047D" w:rsidRDefault="0090047D" w:rsidP="00061956">
                      <w:pPr>
                        <w:numPr>
                          <w:ilvl w:val="0"/>
                          <w:numId w:val="31"/>
                        </w:numPr>
                        <w:tabs>
                          <w:tab w:val="left" w:pos="180"/>
                        </w:tabs>
                        <w:ind w:left="180" w:hanging="180"/>
                      </w:pPr>
                      <w:r w:rsidRPr="00061956">
                        <w:rPr>
                          <w:b/>
                        </w:rPr>
                        <w:t>Intended use of the resulting data</w:t>
                      </w:r>
                      <w:r>
                        <w:t>: Provide current, national estimates of the HAI and AU burden in U.S. acute care hospitals, and assess progress made in preventing HAIs, controlling antimicrobial resistance, and improving the quality of hospital antimicrobial prescribing.</w:t>
                      </w:r>
                    </w:p>
                    <w:p w14:paraId="31F8D65F" w14:textId="77777777" w:rsidR="0090047D" w:rsidRDefault="0090047D" w:rsidP="00061956">
                      <w:pPr>
                        <w:numPr>
                          <w:ilvl w:val="0"/>
                          <w:numId w:val="31"/>
                        </w:numPr>
                        <w:tabs>
                          <w:tab w:val="left" w:pos="180"/>
                        </w:tabs>
                        <w:ind w:left="180" w:hanging="180"/>
                      </w:pPr>
                      <w:r w:rsidRPr="00061956">
                        <w:rPr>
                          <w:b/>
                        </w:rPr>
                        <w:t>Method to be used to collect</w:t>
                      </w:r>
                      <w:r>
                        <w:t>: Cross-sectional approach via point-prevalence surveys in participating U.S. short-term, acute care hospitals.</w:t>
                      </w:r>
                    </w:p>
                    <w:p w14:paraId="3244C8D0" w14:textId="77777777" w:rsidR="0090047D" w:rsidRDefault="0090047D" w:rsidP="00061956">
                      <w:pPr>
                        <w:numPr>
                          <w:ilvl w:val="0"/>
                          <w:numId w:val="31"/>
                        </w:numPr>
                        <w:tabs>
                          <w:tab w:val="left" w:pos="180"/>
                        </w:tabs>
                        <w:ind w:left="180" w:hanging="180"/>
                      </w:pPr>
                      <w:r w:rsidRPr="00061956">
                        <w:rPr>
                          <w:b/>
                        </w:rPr>
                        <w:t>Subpopulation to be studied</w:t>
                      </w:r>
                      <w:r>
                        <w:t>: Patients of all ages in U.S. short-term, acute care hospitals.</w:t>
                      </w:r>
                    </w:p>
                    <w:p w14:paraId="13D8A649" w14:textId="77777777" w:rsidR="0090047D" w:rsidRDefault="0090047D" w:rsidP="00061956">
                      <w:pPr>
                        <w:numPr>
                          <w:ilvl w:val="0"/>
                          <w:numId w:val="31"/>
                        </w:numPr>
                        <w:tabs>
                          <w:tab w:val="left" w:pos="180"/>
                        </w:tabs>
                        <w:ind w:left="180" w:hanging="180"/>
                      </w:pPr>
                      <w:r w:rsidRPr="00061956">
                        <w:rPr>
                          <w:b/>
                        </w:rPr>
                        <w:t>How data will be analyzed</w:t>
                      </w:r>
                      <w:r>
                        <w:t>: The proportions of patients with HAIs and on antimicrobial drugs will be calculated. Factors associated with HAIs and AU will be analyzed using log binomial regression modeling and/or other appropriate methods. Prevalence will be converted to incidence using the formula of Rhame and Sudderth to estimate the burden of HAIs and AU in the U.S. [1].</w:t>
                      </w:r>
                    </w:p>
                  </w:txbxContent>
                </v:textbox>
                <w10:wrap type="square"/>
              </v:shape>
            </w:pict>
          </mc:Fallback>
        </mc:AlternateContent>
      </w:r>
      <w:r w:rsidR="00B06E6A">
        <w:rPr>
          <w:b/>
        </w:rPr>
        <w:t>Hospitals</w:t>
      </w:r>
      <w:bookmarkEnd w:id="6"/>
    </w:p>
    <w:p w14:paraId="66A5B157" w14:textId="77777777" w:rsidR="003E672C" w:rsidRDefault="003E672C" w:rsidP="00EE7469">
      <w:pPr>
        <w:ind w:left="1440" w:hanging="1440"/>
        <w:jc w:val="center"/>
        <w:rPr>
          <w:b/>
        </w:rPr>
      </w:pPr>
    </w:p>
    <w:p w14:paraId="577400B4" w14:textId="3E61A98A" w:rsidR="00715DE1" w:rsidRPr="00F66735" w:rsidRDefault="00715DE1" w:rsidP="00EE7469">
      <w:pPr>
        <w:rPr>
          <w:b/>
          <w:u w:val="single"/>
        </w:rPr>
      </w:pPr>
    </w:p>
    <w:p w14:paraId="184BE990" w14:textId="77777777" w:rsidR="0042065E" w:rsidRPr="00F66735" w:rsidRDefault="00544C10" w:rsidP="00061956">
      <w:pPr>
        <w:pStyle w:val="Heading1"/>
      </w:pPr>
      <w:bookmarkStart w:id="7" w:name="_Toc455558069"/>
      <w:r w:rsidRPr="00F66735">
        <w:t>Circumstances Making the Collection of Information Necessary</w:t>
      </w:r>
      <w:bookmarkEnd w:id="7"/>
    </w:p>
    <w:p w14:paraId="334BE991" w14:textId="77777777" w:rsidR="0042065E" w:rsidRPr="00F66735" w:rsidRDefault="0042065E" w:rsidP="0042065E">
      <w:pPr>
        <w:rPr>
          <w:b/>
        </w:rPr>
      </w:pPr>
    </w:p>
    <w:p w14:paraId="7A47C589" w14:textId="77777777" w:rsidR="00241ECB" w:rsidRPr="00F66735" w:rsidRDefault="00241ECB" w:rsidP="00241ECB">
      <w:pPr>
        <w:tabs>
          <w:tab w:val="left" w:pos="7920"/>
        </w:tabs>
      </w:pPr>
      <w:r w:rsidRPr="00F66735">
        <w:t xml:space="preserve">This is a request for OMB approval of an extension to an approved data collection for the Centers for Disease Control and Prevention (CDC) Healthcare-Associated Infections (HAI) and Antimicrobial Use (AU) Prevalence Survey (OMB Control Number 0920-0852). A request for extension was most recently approved in December 2016, with an expiration date of 12/31/2019. CDC is requesting a new three-year extension of the approval to: 1) conduct a full-scale survey in acute care hospitals in 2020; and 2) describe non-substantive changes in data collection instruments. </w:t>
      </w:r>
    </w:p>
    <w:p w14:paraId="2E7209B0" w14:textId="77777777" w:rsidR="00241ECB" w:rsidRPr="00F66735" w:rsidRDefault="00241ECB" w:rsidP="00241ECB">
      <w:pPr>
        <w:tabs>
          <w:tab w:val="left" w:pos="7920"/>
        </w:tabs>
      </w:pPr>
    </w:p>
    <w:p w14:paraId="67EA7496" w14:textId="6AE13391" w:rsidR="00241ECB" w:rsidRPr="00F66735" w:rsidRDefault="00241ECB" w:rsidP="00241ECB">
      <w:r w:rsidRPr="00F66735">
        <w:t xml:space="preserve">This data collection is authorized by Section 301 of the Public Health Service Act (42 U.S.C. 241) (Attachment A) and the American Recovery and Reinvestment </w:t>
      </w:r>
      <w:r w:rsidR="00C76D71">
        <w:t>Act of 2009 (ARRA) (Attachment A.2</w:t>
      </w:r>
      <w:r w:rsidRPr="00F66735">
        <w:t>). Conducted through CDC’s Emerging Infections Program (EIP) (</w:t>
      </w:r>
      <w:hyperlink r:id="rId15" w:history="1">
        <w:r w:rsidRPr="00F66735">
          <w:rPr>
            <w:rStyle w:val="Hyperlink"/>
          </w:rPr>
          <w:t>www.cdc.gov/ncezid/dpei/eip/</w:t>
        </w:r>
      </w:hyperlink>
      <w:r w:rsidRPr="00F66735">
        <w:t xml:space="preserve">), this project is a collaboration between CDC and 10 state health departments and their academic partners. </w:t>
      </w:r>
    </w:p>
    <w:p w14:paraId="28877B8E" w14:textId="77777777" w:rsidR="00241ECB" w:rsidRPr="00F66735" w:rsidRDefault="00241ECB" w:rsidP="00241ECB"/>
    <w:p w14:paraId="709BC0FD" w14:textId="77777777" w:rsidR="00241ECB" w:rsidRPr="00F66735" w:rsidRDefault="00241ECB" w:rsidP="00241ECB">
      <w:pPr>
        <w:rPr>
          <w:i/>
        </w:rPr>
      </w:pPr>
      <w:r w:rsidRPr="00F66735">
        <w:t xml:space="preserve">Conducting the survey at regular intervals provides important information about changes in HAIs and AU over time. This information is necessary to evaluate the success of infection control and antimicrobial stewardship interventions and to understand HAIs and types of AU that should be targeted for more intensive surveillance and prevention efforts.  </w:t>
      </w:r>
    </w:p>
    <w:p w14:paraId="0AF1A8D9" w14:textId="77777777" w:rsidR="00241ECB" w:rsidRDefault="00241ECB" w:rsidP="005A4FAB"/>
    <w:p w14:paraId="74435F25" w14:textId="77777777" w:rsidR="00241ECB" w:rsidRDefault="00241ECB" w:rsidP="005A4FAB"/>
    <w:p w14:paraId="024C389F" w14:textId="2DD79F68" w:rsidR="005A4FAB" w:rsidRPr="00F66735" w:rsidRDefault="005E35AE" w:rsidP="005A4FAB">
      <w:r w:rsidRPr="00F66735">
        <w:t xml:space="preserve">The elimination of HAIs </w:t>
      </w:r>
      <w:r w:rsidR="0090047D">
        <w:t>and control of antimicrobial resistance are</w:t>
      </w:r>
      <w:r w:rsidRPr="00F66735">
        <w:t xml:space="preserve"> priorit</w:t>
      </w:r>
      <w:r w:rsidR="0090047D">
        <w:t>ies</w:t>
      </w:r>
      <w:r w:rsidRPr="00F66735">
        <w:t xml:space="preserve"> of the U.S. Department of Health and Human Services (HHS) (see </w:t>
      </w:r>
      <w:hyperlink r:id="rId16" w:history="1">
        <w:r w:rsidRPr="00F66735">
          <w:rPr>
            <w:rStyle w:val="Hyperlink"/>
          </w:rPr>
          <w:t>www.hhs.gov/ash/initiatives/hai/</w:t>
        </w:r>
      </w:hyperlink>
      <w:r w:rsidRPr="00F66735">
        <w:t xml:space="preserve">) and CDC (see </w:t>
      </w:r>
      <w:hyperlink r:id="rId17" w:history="1">
        <w:r w:rsidRPr="00F66735">
          <w:rPr>
            <w:rStyle w:val="Hyperlink"/>
          </w:rPr>
          <w:t>/www.cdc.gov/winnablebattles/healthcareassociatedinfections/index.html</w:t>
        </w:r>
      </w:hyperlink>
      <w:r w:rsidRPr="00F66735">
        <w:t xml:space="preserve">). </w:t>
      </w:r>
      <w:r w:rsidR="005A4FAB" w:rsidRPr="00F66735">
        <w:t>Improving antimicrobial prescribing is also a critical component of strategies to reduce antimicrobial resistance in healthcare facilities (</w:t>
      </w:r>
      <w:hyperlink r:id="rId18" w:history="1">
        <w:r w:rsidR="005A4FAB" w:rsidRPr="00F66735">
          <w:rPr>
            <w:rStyle w:val="Hyperlink"/>
          </w:rPr>
          <w:t>http://www.cdc.gov/mmwr/preview/mmwrhtml/mm6309a4.htm?s_cid=mm6309a4_w</w:t>
        </w:r>
      </w:hyperlink>
      <w:r w:rsidR="005A4FAB" w:rsidRPr="00F66735">
        <w:t>), such as the National Strategy for Combating Antibiotic Resistant Bacteria (CARB),(</w:t>
      </w:r>
      <w:hyperlink r:id="rId19" w:history="1">
        <w:r w:rsidR="005A4FAB" w:rsidRPr="00F66735">
          <w:rPr>
            <w:rStyle w:val="Hyperlink"/>
          </w:rPr>
          <w:t>https://www.cdc.gov/drugresistance/pdf/national_action_plan_for_combating_antibotic-resistant_bacteria.pdf</w:t>
        </w:r>
      </w:hyperlink>
      <w:r w:rsidR="005A4FAB" w:rsidRPr="00F66735">
        <w:t xml:space="preserve">). </w:t>
      </w:r>
      <w:r w:rsidR="00A46377" w:rsidRPr="00F66735">
        <w:t>Data from the prevalence survey are essential</w:t>
      </w:r>
      <w:r w:rsidR="005A4FAB" w:rsidRPr="00F66735">
        <w:t xml:space="preserve"> to understanding the scope and magnitude of all types of HAIs and AU in patient populations across the spectrum of U.S. healthcare facilities and to the development of e</w:t>
      </w:r>
      <w:r w:rsidR="00BD5173" w:rsidRPr="00F66735">
        <w:t xml:space="preserve">ffective prevention </w:t>
      </w:r>
      <w:r w:rsidR="005A4FAB" w:rsidRPr="00F66735">
        <w:t xml:space="preserve">strategies and policies. </w:t>
      </w:r>
    </w:p>
    <w:p w14:paraId="4124D02D" w14:textId="77777777" w:rsidR="005A4FAB" w:rsidRPr="00F66735" w:rsidRDefault="005A4FAB" w:rsidP="005E35AE"/>
    <w:p w14:paraId="3C5332D4" w14:textId="3F5A1776" w:rsidR="005E35AE" w:rsidRPr="00F66735" w:rsidRDefault="00F65FA3" w:rsidP="005E35AE">
      <w:r w:rsidRPr="00F66735">
        <w:t xml:space="preserve">CDC currently conducts </w:t>
      </w:r>
      <w:r w:rsidR="005E35AE" w:rsidRPr="00F66735">
        <w:t>surveillance through the National Healthcare Safety Network (NHSN) (OMB Control No. 0920-</w:t>
      </w:r>
      <w:r w:rsidR="009037AC" w:rsidRPr="00F66735">
        <w:t>0666</w:t>
      </w:r>
      <w:r w:rsidR="005E35AE" w:rsidRPr="00F66735">
        <w:t>)</w:t>
      </w:r>
      <w:r w:rsidRPr="00F66735">
        <w:t xml:space="preserve"> for priority HAIs such as</w:t>
      </w:r>
      <w:r w:rsidR="009665C3" w:rsidRPr="00F66735">
        <w:t xml:space="preserve"> device-associated HAIs and HAIs</w:t>
      </w:r>
      <w:r w:rsidRPr="00F66735">
        <w:t xml:space="preserve"> related to select types of surgeries</w:t>
      </w:r>
      <w:r w:rsidR="00727CE5">
        <w:t xml:space="preserve">. Although approximately 3883 acute care hospitals across the country participate in NHSN surveillance for selected types of HAIs in specific inpatient locations, </w:t>
      </w:r>
      <w:r w:rsidR="005E35AE" w:rsidRPr="00F66735">
        <w:t xml:space="preserve">CDC cannot currently estimate the scope and magnitude of </w:t>
      </w:r>
      <w:r w:rsidRPr="00F66735">
        <w:t xml:space="preserve">all </w:t>
      </w:r>
      <w:r w:rsidR="005E35AE" w:rsidRPr="00F66735">
        <w:t>HAIs affecting</w:t>
      </w:r>
      <w:r w:rsidRPr="00F66735">
        <w:t xml:space="preserve"> i</w:t>
      </w:r>
      <w:r w:rsidR="00005736" w:rsidRPr="00F66735">
        <w:t>n</w:t>
      </w:r>
      <w:r w:rsidR="005E35AE" w:rsidRPr="00F66735">
        <w:t xml:space="preserve">patient populations </w:t>
      </w:r>
      <w:r w:rsidRPr="00F66735">
        <w:t xml:space="preserve">in acute care hospitals </w:t>
      </w:r>
      <w:r w:rsidR="005E35AE" w:rsidRPr="00F66735">
        <w:t xml:space="preserve">using NHSN data alone. </w:t>
      </w:r>
      <w:r w:rsidR="00727CE5">
        <w:t>In addition, a</w:t>
      </w:r>
      <w:r w:rsidR="0090047D">
        <w:t>lthough inpatient location-specific antimicrobial use data can be submitted by healthcare facilities to</w:t>
      </w:r>
      <w:r w:rsidR="005E35AE" w:rsidRPr="00F66735">
        <w:t xml:space="preserve"> NHSN</w:t>
      </w:r>
      <w:r w:rsidR="0090047D">
        <w:t xml:space="preserve"> (see </w:t>
      </w:r>
      <w:hyperlink r:id="rId20" w:history="1">
        <w:r w:rsidR="0090047D" w:rsidRPr="00521081">
          <w:rPr>
            <w:rStyle w:val="Hyperlink"/>
          </w:rPr>
          <w:t>https://www.cdc.gov/nhsn/acute-care-hospital/aur/index.html</w:t>
        </w:r>
      </w:hyperlink>
      <w:r w:rsidR="0090047D">
        <w:t>), detailed, patient-level information on the reasons for prescribing or the quality of prescribing are not collected.</w:t>
      </w:r>
      <w:r w:rsidR="005E35AE" w:rsidRPr="00F66735">
        <w:t xml:space="preserve"> </w:t>
      </w:r>
      <w:r w:rsidRPr="00F66735">
        <w:t xml:space="preserve">Such data are essential in the effort to develop and implement strategies to reduce inappropriate AU and prevent the emergence of resistant pathogens. </w:t>
      </w:r>
    </w:p>
    <w:p w14:paraId="5ED1CFBF" w14:textId="77777777" w:rsidR="00D67E4A" w:rsidRPr="00F66735" w:rsidRDefault="00D67E4A" w:rsidP="00D67E4A"/>
    <w:p w14:paraId="321BBF55" w14:textId="517FDFE2" w:rsidR="00633A82" w:rsidRPr="00866F1A" w:rsidRDefault="00786200" w:rsidP="006C7912">
      <w:r w:rsidRPr="00896264">
        <w:t xml:space="preserve">Currently, the </w:t>
      </w:r>
      <w:r w:rsidR="00A86B92" w:rsidRPr="00896264">
        <w:t xml:space="preserve">EIP </w:t>
      </w:r>
      <w:r w:rsidR="00D67E4A" w:rsidRPr="00866F1A">
        <w:t xml:space="preserve">HAI and </w:t>
      </w:r>
      <w:r w:rsidR="00644B02" w:rsidRPr="00866F1A">
        <w:t>AU</w:t>
      </w:r>
      <w:r w:rsidR="00D67E4A" w:rsidRPr="00866F1A">
        <w:t xml:space="preserve"> Prevalence Survey </w:t>
      </w:r>
      <w:r w:rsidR="008F749A" w:rsidRPr="00866F1A">
        <w:t>[2-</w:t>
      </w:r>
      <w:r w:rsidR="00C27228">
        <w:t>6</w:t>
      </w:r>
      <w:r w:rsidR="008F749A" w:rsidRPr="00896264">
        <w:t xml:space="preserve">] </w:t>
      </w:r>
      <w:r w:rsidR="00D67E4A" w:rsidRPr="00896264">
        <w:t>is the only large-scal</w:t>
      </w:r>
      <w:r w:rsidR="00D67E4A" w:rsidRPr="00866F1A">
        <w:t xml:space="preserve">e CDC project </w:t>
      </w:r>
      <w:r w:rsidR="005A4FAB" w:rsidRPr="00866F1A">
        <w:t>in the U</w:t>
      </w:r>
      <w:r w:rsidR="0090047D" w:rsidRPr="00866F1A">
        <w:t xml:space="preserve">nited </w:t>
      </w:r>
      <w:r w:rsidR="005A4FAB" w:rsidRPr="00866F1A">
        <w:t>S</w:t>
      </w:r>
      <w:r w:rsidR="0090047D" w:rsidRPr="00866F1A">
        <w:t>tates</w:t>
      </w:r>
      <w:r w:rsidR="005A4FAB" w:rsidRPr="00866F1A">
        <w:t xml:space="preserve"> </w:t>
      </w:r>
      <w:r w:rsidR="00D67E4A" w:rsidRPr="00866F1A">
        <w:t>designed to measure the scope an</w:t>
      </w:r>
      <w:r w:rsidR="00AB0647" w:rsidRPr="00866F1A">
        <w:t xml:space="preserve">d magnitude of </w:t>
      </w:r>
      <w:r w:rsidR="00F65FA3" w:rsidRPr="00866F1A">
        <w:t xml:space="preserve">all HAIs </w:t>
      </w:r>
      <w:r w:rsidR="00727CE5" w:rsidRPr="00866F1A">
        <w:t xml:space="preserve">(not limited to device-associated HAIs and HAIs related to surgical procedures) across </w:t>
      </w:r>
      <w:r w:rsidR="00F65FA3" w:rsidRPr="00866F1A">
        <w:t>acute care in</w:t>
      </w:r>
      <w:r w:rsidR="00D67E4A" w:rsidRPr="00866F1A">
        <w:t>patient populations and</w:t>
      </w:r>
      <w:r w:rsidR="00AB0647" w:rsidRPr="00866F1A">
        <w:t xml:space="preserve"> to assess the quality of </w:t>
      </w:r>
      <w:r w:rsidR="00D67E4A" w:rsidRPr="00866F1A">
        <w:t>antimi</w:t>
      </w:r>
      <w:r w:rsidR="00F65FA3" w:rsidRPr="00866F1A">
        <w:t>crobial prescribing for select</w:t>
      </w:r>
      <w:r w:rsidR="00F02A2A" w:rsidRPr="00866F1A">
        <w:t>ed</w:t>
      </w:r>
      <w:r w:rsidR="00D67E4A" w:rsidRPr="00866F1A">
        <w:t xml:space="preserve"> clinical conditions. </w:t>
      </w:r>
      <w:r w:rsidR="005A4FAB" w:rsidRPr="00866F1A">
        <w:t>Prevalence surveys, in which data are collect</w:t>
      </w:r>
      <w:r w:rsidR="00F65FA3" w:rsidRPr="00866F1A">
        <w:t>ed</w:t>
      </w:r>
      <w:r w:rsidR="005A4FAB" w:rsidRPr="00866F1A">
        <w:t xml:space="preserve"> during a defined time period, provide a snapshot of the frequency and nature of HAIs and AU and represent an efficient, cost-effective alternative to on-going surveillance initiatives</w:t>
      </w:r>
      <w:r w:rsidR="00F65FA3" w:rsidRPr="00866F1A">
        <w:t xml:space="preserve"> for all HAIs hospital-wide</w:t>
      </w:r>
      <w:r w:rsidR="005A4FAB" w:rsidRPr="00866F1A">
        <w:t xml:space="preserve">. </w:t>
      </w:r>
    </w:p>
    <w:p w14:paraId="282A0B6D" w14:textId="28DB0E28" w:rsidR="00727CE5" w:rsidRPr="00866F1A" w:rsidRDefault="00727CE5" w:rsidP="006C7912"/>
    <w:p w14:paraId="4FD683FD" w14:textId="5C4AC9C5" w:rsidR="000F1B68" w:rsidRPr="001E0FD7" w:rsidRDefault="00C27228" w:rsidP="000F1B68">
      <w:r>
        <w:t>Following</w:t>
      </w:r>
      <w:r w:rsidR="000F1B68" w:rsidRPr="001E0FD7">
        <w:t xml:space="preserve"> the </w:t>
      </w:r>
      <w:r w:rsidR="000F1B68">
        <w:t>original</w:t>
      </w:r>
      <w:r w:rsidR="000F1B68" w:rsidRPr="001E0FD7">
        <w:t xml:space="preserve"> approval for this data collection</w:t>
      </w:r>
      <w:r w:rsidR="000F1B68">
        <w:t xml:space="preserve">, a limited roll-out survey (2010) and the first full-scale survey (2011) were conducted. Since the most recent approval </w:t>
      </w:r>
      <w:r w:rsidR="000F1B68" w:rsidRPr="001E0FD7">
        <w:t xml:space="preserve">in December 2016, data cleaning for the </w:t>
      </w:r>
      <w:r>
        <w:t>second-full scale hospital survey (</w:t>
      </w:r>
      <w:r w:rsidR="000F1B68" w:rsidRPr="001E0FD7">
        <w:t>2015 EIP HAI and AU Prevalence Survey</w:t>
      </w:r>
      <w:r>
        <w:t>)</w:t>
      </w:r>
      <w:r w:rsidR="000F1B68" w:rsidRPr="001E0FD7">
        <w:t xml:space="preserve"> has been completed and results on HAI prevalence, types of HAIs, and estimated national HAI burden have been published and shared with internal and external public health partners [2]. Initial analyses of AU data </w:t>
      </w:r>
      <w:r>
        <w:t xml:space="preserve">and prescribing quality data </w:t>
      </w:r>
      <w:r w:rsidR="000F1B68" w:rsidRPr="001E0FD7">
        <w:t>have been presented to infectious disease and epidemiology professionals, and additional analyses are projected for release in 2019</w:t>
      </w:r>
      <w:r w:rsidR="000F1B68">
        <w:t>–2020</w:t>
      </w:r>
      <w:r w:rsidR="000F1B68" w:rsidRPr="001E0FD7">
        <w:t xml:space="preserve"> [3</w:t>
      </w:r>
      <w:r>
        <w:t>, 6</w:t>
      </w:r>
      <w:r w:rsidR="000F1B68" w:rsidRPr="001E0FD7">
        <w:t xml:space="preserve">].  </w:t>
      </w:r>
    </w:p>
    <w:p w14:paraId="4F2C14F3" w14:textId="77777777" w:rsidR="00C27228" w:rsidRDefault="00C27228" w:rsidP="00896264"/>
    <w:p w14:paraId="76BAE5C0" w14:textId="35F07384" w:rsidR="00727CE5" w:rsidRPr="00896264" w:rsidRDefault="00727CE5">
      <w:r>
        <w:t>The prevalence of HAIs determined through these surveys can be used to estimate incidence</w:t>
      </w:r>
      <w:r w:rsidR="008F749A">
        <w:t xml:space="preserve"> and HAI burden</w:t>
      </w:r>
      <w:r>
        <w:t xml:space="preserve"> by applying the formula of Rhame and Sudderth</w:t>
      </w:r>
      <w:r w:rsidR="008F749A">
        <w:t xml:space="preserve"> and using data from the National Inpatient Sample (Healthcare Cost and Utilization Project, Agency for Healthcare Research and Quality) [</w:t>
      </w:r>
      <w:r w:rsidR="00C27228">
        <w:t>7</w:t>
      </w:r>
      <w:r w:rsidR="008F749A">
        <w:t>]</w:t>
      </w:r>
      <w:r>
        <w:t>. The following excerpt from Magill, et al. [</w:t>
      </w:r>
      <w:r w:rsidR="008F749A">
        <w:t>4</w:t>
      </w:r>
      <w:r>
        <w:t xml:space="preserve">] explains the formula and the approach we have taken to estimating national HAI burden from </w:t>
      </w:r>
      <w:r w:rsidR="008F749A" w:rsidRPr="00896264">
        <w:t>prevalence survey data:</w:t>
      </w:r>
    </w:p>
    <w:p w14:paraId="0ED4FB94" w14:textId="03D9331E" w:rsidR="00727CE5" w:rsidRPr="008504F7" w:rsidRDefault="00727CE5" w:rsidP="008504F7">
      <w:pPr>
        <w:pStyle w:val="f-body"/>
        <w:spacing w:line="240" w:lineRule="auto"/>
        <w:rPr>
          <w:sz w:val="24"/>
          <w:szCs w:val="24"/>
          <w:lang w:val="en"/>
        </w:rPr>
      </w:pPr>
      <w:r>
        <w:rPr>
          <w:sz w:val="24"/>
          <w:szCs w:val="24"/>
          <w:lang w:val="en"/>
        </w:rPr>
        <w:t>“</w:t>
      </w:r>
      <w:r w:rsidRPr="008504F7">
        <w:rPr>
          <w:sz w:val="24"/>
          <w:szCs w:val="24"/>
          <w:lang w:val="en"/>
        </w:rPr>
        <w:t>To generate estimates of the national burden of health care–associated infections, we converted infection prevalence to incidence using the formula of Rhame and Sudderth</w:t>
      </w:r>
      <w:hyperlink r:id="rId21" w:history="1">
        <w:r w:rsidRPr="008504F7">
          <w:rPr>
            <w:rStyle w:val="Hyperlink"/>
            <w:color w:val="auto"/>
            <w:sz w:val="24"/>
            <w:szCs w:val="24"/>
            <w:vertAlign w:val="superscript"/>
            <w:lang w:val="en"/>
          </w:rPr>
          <w:t>33</w:t>
        </w:r>
      </w:hyperlink>
      <w:r w:rsidRPr="008504F7">
        <w:rPr>
          <w:sz w:val="24"/>
          <w:szCs w:val="24"/>
          <w:lang w:val="en"/>
        </w:rPr>
        <w:t>: I=P×[LA÷(LN−INT)], where I denotes incidence, P prevalence, LA the mean length of hospitalization for all patients, LN the mean length of hospitalization for patients who acquired one or more health care–associated infections, and INT the mean interval between admission and the onset of the first such infection. Numbers of patients with health care–associated infections were obtained by multiplying infection incidence by numbers of U.S. hospital discharges, obtained from the 2010 Nationwide Inpatient Sample (NIS).</w:t>
      </w:r>
      <w:hyperlink r:id="rId22" w:history="1">
        <w:r w:rsidRPr="008504F7">
          <w:rPr>
            <w:rStyle w:val="Hyperlink"/>
            <w:color w:val="auto"/>
            <w:sz w:val="24"/>
            <w:szCs w:val="24"/>
            <w:vertAlign w:val="superscript"/>
            <w:lang w:val="en"/>
          </w:rPr>
          <w:t>34</w:t>
        </w:r>
      </w:hyperlink>
      <w:r w:rsidRPr="008504F7">
        <w:rPr>
          <w:sz w:val="24"/>
          <w:szCs w:val="24"/>
          <w:lang w:val="en"/>
        </w:rPr>
        <w:t xml:space="preserve"> This database of hospitalizations from a sample of U.S. community hospitals was developed as part of the Healthcare Cost and Utilization Project of the Agency for Healthcare Research and Quality; discharge weighting allows national estimates to be generated from the sample.</w:t>
      </w:r>
    </w:p>
    <w:p w14:paraId="1BC40A1A" w14:textId="77777777" w:rsidR="00727CE5" w:rsidRPr="008504F7" w:rsidRDefault="00727CE5" w:rsidP="008504F7">
      <w:pPr>
        <w:pStyle w:val="f-body"/>
        <w:spacing w:line="240" w:lineRule="auto"/>
        <w:rPr>
          <w:sz w:val="24"/>
          <w:szCs w:val="24"/>
          <w:lang w:val="en"/>
        </w:rPr>
      </w:pPr>
      <w:r w:rsidRPr="008504F7">
        <w:rPr>
          <w:sz w:val="24"/>
          <w:szCs w:val="24"/>
          <w:lang w:val="en"/>
        </w:rPr>
        <w:t xml:space="preserve">We sought to improve the precision of the burden-estimation process by performing log-binomial regression modeling to identify factors significantly associated with the prevalence of health care–associated infections. Through a process described in the </w:t>
      </w:r>
      <w:hyperlink r:id="rId23" w:tgtFrame="_blank" w:history="1">
        <w:r w:rsidRPr="008504F7">
          <w:rPr>
            <w:rStyle w:val="Hyperlink"/>
            <w:color w:val="auto"/>
            <w:sz w:val="24"/>
            <w:szCs w:val="24"/>
            <w:lang w:val="en"/>
          </w:rPr>
          <w:t>Supplementary Appendix</w:t>
        </w:r>
      </w:hyperlink>
      <w:r w:rsidRPr="008504F7">
        <w:rPr>
          <w:sz w:val="24"/>
          <w:szCs w:val="24"/>
          <w:lang w:val="en"/>
        </w:rPr>
        <w:t>, the results of regression modeling were used to create multiple strata based on patient age and a proxy measure of the length of the hospital stay. Within each stratum, the predicted prevalence of health care–associated infections was converted to incidence with the use of the median length of the hospital stay for surveyed patients for whom such information was available (LA in the formula of Rhame and Sudderth), the median length of hospital stay for patients with health care–associated infections (LN), and the median interval from admission to the onset of the first health care–associated infection (INT). Median rather than mean values were used owing to a skewed distribution. The incidence in each stratum of age and length of stay was multiplied by the total number of U.S. discharges in that stratum (with the use of weighted discharge data from the NIS), under the assumption that each discharge represented a unique patient, to get stratum-specific numbers of patients with health care–associated infections. These stratum-specific numbers were summed to obtain an estimate of the total number of inpatients with health care–associated infections in U.S. acute care hospitals in 2011. Because our estimates of the median length of the hospital stay for all patients were based on data from patients receiving antimicrobial therapy, who may have had a longer median length of stay than patients not receiving such therapy, we also performed the burden-estimation process using data from the NIS for the median length of the hospital stay for all patients in the formula of Rhame and Sudderth.</w:t>
      </w:r>
    </w:p>
    <w:p w14:paraId="4AC436CD" w14:textId="02DC110F" w:rsidR="00727CE5" w:rsidRPr="008504F7" w:rsidRDefault="00727CE5" w:rsidP="008504F7">
      <w:pPr>
        <w:pStyle w:val="f-body"/>
        <w:spacing w:line="240" w:lineRule="auto"/>
        <w:rPr>
          <w:sz w:val="24"/>
          <w:szCs w:val="24"/>
          <w:lang w:val="en"/>
        </w:rPr>
      </w:pPr>
      <w:r w:rsidRPr="008504F7">
        <w:rPr>
          <w:sz w:val="24"/>
          <w:szCs w:val="24"/>
          <w:lang w:val="en"/>
        </w:rPr>
        <w:t>Burden estimates for major types of health care–associated infection were generated by multiplying the proportion of surveyed patients with each infection type by the estimated total number of patients with health care–associated infections. The numbers of each major type of infection were summed to obtain an estimate of the total number of inpatient health care–associated infections in U.S. acute care hospitals in 2011.</w:t>
      </w:r>
      <w:r w:rsidR="008F749A">
        <w:rPr>
          <w:sz w:val="24"/>
          <w:szCs w:val="24"/>
          <w:lang w:val="en"/>
        </w:rPr>
        <w:t>”</w:t>
      </w:r>
    </w:p>
    <w:p w14:paraId="0FBAAF65" w14:textId="77777777" w:rsidR="00727CE5" w:rsidRPr="00896264" w:rsidRDefault="00727CE5" w:rsidP="00896264"/>
    <w:p w14:paraId="641AD398" w14:textId="64B88BC0" w:rsidR="00065EFD" w:rsidRDefault="008F749A" w:rsidP="008504F7">
      <w:pPr>
        <w:autoSpaceDE w:val="0"/>
        <w:autoSpaceDN w:val="0"/>
        <w:adjustRightInd w:val="0"/>
        <w:contextualSpacing/>
        <w:rPr>
          <w:rFonts w:cstheme="minorHAnsi"/>
        </w:rPr>
      </w:pPr>
      <w:r>
        <w:t>This approach was used in the two full-scale EIP</w:t>
      </w:r>
      <w:r w:rsidRPr="008F749A">
        <w:t xml:space="preserve"> </w:t>
      </w:r>
      <w:r w:rsidRPr="00F66735">
        <w:t>HAI and AU Prevalence Survey</w:t>
      </w:r>
      <w:r>
        <w:t xml:space="preserve">s performed in 2011 and 2015. Limitations of the approach have been described [2, 4]. </w:t>
      </w:r>
      <w:r w:rsidR="0096651E">
        <w:t>B</w:t>
      </w:r>
      <w:r w:rsidR="00065EFD">
        <w:t>ecause the survey includes a limited number of hospitals and patients in 10 states, the results may not be generalizable. The population of the EIP surveillance catchment area has been shown to be similar to the U.S. population with respect to certain demographic characteristics and health indicators [</w:t>
      </w:r>
      <w:r w:rsidR="00C27228">
        <w:t>8, 9</w:t>
      </w:r>
      <w:r w:rsidR="0082563E">
        <w:t>, unpublished data</w:t>
      </w:r>
      <w:r w:rsidR="00C27228">
        <w:t>], although the catchment area may differ by EIP project. The prevalence survey is not population-based, and therefore it is more important to consider the similarity of the survey sample of hospitals and patients to all hospitals and patients in the nation.</w:t>
      </w:r>
      <w:r w:rsidR="00065EFD">
        <w:t xml:space="preserve"> </w:t>
      </w:r>
      <w:r w:rsidR="0096651E">
        <w:t>The</w:t>
      </w:r>
      <w:r w:rsidR="00065EFD" w:rsidRPr="00896264">
        <w:rPr>
          <w:rFonts w:cstheme="minorHAnsi"/>
        </w:rPr>
        <w:t xml:space="preserve"> </w:t>
      </w:r>
      <w:r w:rsidR="00065EFD">
        <w:rPr>
          <w:rFonts w:cstheme="minorHAnsi"/>
        </w:rPr>
        <w:t xml:space="preserve">hospital </w:t>
      </w:r>
      <w:r w:rsidR="0082563E">
        <w:rPr>
          <w:rFonts w:cstheme="minorHAnsi"/>
        </w:rPr>
        <w:t xml:space="preserve">stratified random </w:t>
      </w:r>
      <w:r w:rsidR="00065EFD" w:rsidRPr="00896264">
        <w:rPr>
          <w:rFonts w:cstheme="minorHAnsi"/>
        </w:rPr>
        <w:t>sampling scheme</w:t>
      </w:r>
      <w:r w:rsidR="0082563E">
        <w:rPr>
          <w:rFonts w:cstheme="minorHAnsi"/>
        </w:rPr>
        <w:t xml:space="preserve"> based on acute care staffed bed size that was</w:t>
      </w:r>
      <w:r w:rsidR="00065EFD" w:rsidRPr="00896264">
        <w:rPr>
          <w:rFonts w:cstheme="minorHAnsi"/>
        </w:rPr>
        <w:t xml:space="preserve"> developed for the </w:t>
      </w:r>
      <w:r w:rsidR="00065EFD">
        <w:rPr>
          <w:rFonts w:cstheme="minorHAnsi"/>
        </w:rPr>
        <w:t xml:space="preserve">prevalence </w:t>
      </w:r>
      <w:r w:rsidR="00065EFD" w:rsidRPr="00896264">
        <w:rPr>
          <w:rFonts w:cstheme="minorHAnsi"/>
        </w:rPr>
        <w:t xml:space="preserve">survey was designed to approximate the </w:t>
      </w:r>
      <w:r w:rsidR="0096651E">
        <w:rPr>
          <w:rFonts w:cstheme="minorHAnsi"/>
        </w:rPr>
        <w:t xml:space="preserve">hospital </w:t>
      </w:r>
      <w:r w:rsidR="00065EFD" w:rsidRPr="00896264">
        <w:rPr>
          <w:rFonts w:cstheme="minorHAnsi"/>
        </w:rPr>
        <w:t>bed size distribution in the EIP sites as a whole, rather than the nation.</w:t>
      </w:r>
      <w:r w:rsidR="00065EFD">
        <w:rPr>
          <w:rFonts w:cstheme="minorHAnsi"/>
        </w:rPr>
        <w:t xml:space="preserve"> </w:t>
      </w:r>
      <w:r w:rsidR="00065EFD" w:rsidRPr="00896264">
        <w:rPr>
          <w:rFonts w:cstheme="minorHAnsi"/>
        </w:rPr>
        <w:t xml:space="preserve">However, when we compare </w:t>
      </w:r>
      <w:r w:rsidR="00065EFD">
        <w:rPr>
          <w:rFonts w:cstheme="minorHAnsi"/>
        </w:rPr>
        <w:t xml:space="preserve">selected </w:t>
      </w:r>
      <w:r w:rsidR="00065EFD" w:rsidRPr="00896264">
        <w:rPr>
          <w:rFonts w:cstheme="minorHAnsi"/>
        </w:rPr>
        <w:t>characteristics of hospitals included in the EIP survey, they are similar to characteristics of all acute care hospitals in the United States. For example</w:t>
      </w:r>
      <w:r w:rsidR="00065EFD">
        <w:rPr>
          <w:rFonts w:cstheme="minorHAnsi"/>
        </w:rPr>
        <w:t xml:space="preserve">, </w:t>
      </w:r>
      <w:r w:rsidR="00065EFD" w:rsidRPr="00896264">
        <w:rPr>
          <w:rFonts w:cstheme="minorHAnsi"/>
        </w:rPr>
        <w:t>s</w:t>
      </w:r>
      <w:r w:rsidR="00065EFD" w:rsidRPr="008504F7">
        <w:rPr>
          <w:rFonts w:cstheme="minorHAnsi"/>
        </w:rPr>
        <w:t>taffed bed size</w:t>
      </w:r>
      <w:r w:rsidR="0096651E">
        <w:rPr>
          <w:rFonts w:cstheme="minorHAnsi"/>
        </w:rPr>
        <w:t>, intensive care unit bed numbers, and the mean number of hospital epidemiologists</w:t>
      </w:r>
      <w:r w:rsidR="00065EFD" w:rsidRPr="00896264">
        <w:rPr>
          <w:rFonts w:cstheme="minorHAnsi"/>
        </w:rPr>
        <w:t xml:space="preserve"> in 2015 prevalence survey hospitals was similar to that of </w:t>
      </w:r>
      <w:r w:rsidR="0082563E">
        <w:rPr>
          <w:rFonts w:cstheme="minorHAnsi"/>
        </w:rPr>
        <w:t xml:space="preserve">the 3883 </w:t>
      </w:r>
      <w:r w:rsidR="0096651E">
        <w:rPr>
          <w:rFonts w:cstheme="minorHAnsi"/>
        </w:rPr>
        <w:t>acute care</w:t>
      </w:r>
      <w:r w:rsidR="00065EFD" w:rsidRPr="00896264">
        <w:rPr>
          <w:rFonts w:cstheme="minorHAnsi"/>
        </w:rPr>
        <w:t xml:space="preserve"> hospitals participating in NHSN in 2018</w:t>
      </w:r>
      <w:r w:rsidR="0096651E" w:rsidRPr="00896264">
        <w:rPr>
          <w:rFonts w:cstheme="minorHAnsi"/>
        </w:rPr>
        <w:t>. Hospital prevalence survey patients are also similar with respect to age distribution when compared</w:t>
      </w:r>
      <w:r w:rsidR="00810E3A">
        <w:rPr>
          <w:rFonts w:cstheme="minorHAnsi"/>
        </w:rPr>
        <w:t xml:space="preserve"> to</w:t>
      </w:r>
      <w:r w:rsidR="0096651E" w:rsidRPr="00896264">
        <w:rPr>
          <w:rFonts w:cstheme="minorHAnsi"/>
        </w:rPr>
        <w:t xml:space="preserve"> </w:t>
      </w:r>
      <w:r w:rsidR="0096651E">
        <w:rPr>
          <w:rFonts w:cstheme="minorHAnsi"/>
        </w:rPr>
        <w:t>the NIS (2015 prevalence survey: mean age 51 years, median age 58 years, interquartile range 32-73 years, vs. 2014 NIS: mean age 49, median age 52, interquartile range 31-71 years). Age has been shown to be a</w:t>
      </w:r>
      <w:r w:rsidR="0082563E">
        <w:rPr>
          <w:rFonts w:cstheme="minorHAnsi"/>
        </w:rPr>
        <w:t>n important</w:t>
      </w:r>
      <w:r w:rsidR="0096651E">
        <w:rPr>
          <w:rFonts w:cstheme="minorHAnsi"/>
        </w:rPr>
        <w:t xml:space="preserve"> risk factor for HAIs [2, 4]. Hospital length of stay, which has also been shown to be </w:t>
      </w:r>
      <w:r w:rsidR="0082563E">
        <w:rPr>
          <w:rFonts w:cstheme="minorHAnsi"/>
        </w:rPr>
        <w:t>a</w:t>
      </w:r>
      <w:r w:rsidR="0096651E">
        <w:rPr>
          <w:rFonts w:cstheme="minorHAnsi"/>
        </w:rPr>
        <w:t xml:space="preserve"> risk factor for HAIs [2, 4], was longer among 2015 prevalence survey patients than in the NIS. This is an expected consequence of the prevalence survey method, which is biased toward inclusion of longer stay patients. Among 2015 prevalence survey patients, the median length of stay was 5 days (interquartile range 3-11 days), whereas in the 2014 NIS the median length of stay was 2.43 days (interquartile range 1.35-4.57 days). </w:t>
      </w:r>
    </w:p>
    <w:p w14:paraId="52C0E456" w14:textId="5E2FB61D" w:rsidR="0096651E" w:rsidRDefault="0096651E" w:rsidP="008504F7">
      <w:pPr>
        <w:autoSpaceDE w:val="0"/>
        <w:autoSpaceDN w:val="0"/>
        <w:adjustRightInd w:val="0"/>
        <w:contextualSpacing/>
        <w:rPr>
          <w:rFonts w:cstheme="minorHAnsi"/>
        </w:rPr>
      </w:pPr>
    </w:p>
    <w:p w14:paraId="325278D2" w14:textId="4186F15E" w:rsidR="0096651E" w:rsidRDefault="0096651E" w:rsidP="008504F7">
      <w:pPr>
        <w:autoSpaceDE w:val="0"/>
        <w:autoSpaceDN w:val="0"/>
        <w:adjustRightInd w:val="0"/>
        <w:contextualSpacing/>
        <w:rPr>
          <w:rFonts w:cstheme="minorHAnsi"/>
        </w:rPr>
      </w:pPr>
      <w:r>
        <w:rPr>
          <w:rFonts w:cstheme="minorHAnsi"/>
        </w:rPr>
        <w:t>The Rhame and Sudderth formula has several recognized limitations [</w:t>
      </w:r>
      <w:r w:rsidR="00866F1A">
        <w:rPr>
          <w:rFonts w:cstheme="minorHAnsi"/>
        </w:rPr>
        <w:t>2</w:t>
      </w:r>
      <w:r>
        <w:rPr>
          <w:rFonts w:cstheme="minorHAnsi"/>
        </w:rPr>
        <w:t>], although it remai</w:t>
      </w:r>
      <w:r w:rsidR="00866F1A">
        <w:rPr>
          <w:rFonts w:cstheme="minorHAnsi"/>
        </w:rPr>
        <w:t>ns a commonly used method for generating national or regional HAI burden estimates. Because it was developed approximately 40 years ago, changes in healthcare delivery may not be accounted for by the formula. As an example, the formula incorporates the time from hospital admission to HAI onset, whereas in the current healthcare environment, many HAIs have their onset outside of the hospital [1, 2]. The formula was also intended to include active and cured HAIs, but due to the methods employed in our survey and other prevalence surveys, only active HAIs are included [1, 2]. More details can be found in Magill, et al. [2].</w:t>
      </w:r>
    </w:p>
    <w:p w14:paraId="70E6800F" w14:textId="5427419D" w:rsidR="00866F1A" w:rsidRDefault="00866F1A" w:rsidP="008504F7">
      <w:pPr>
        <w:autoSpaceDE w:val="0"/>
        <w:autoSpaceDN w:val="0"/>
        <w:adjustRightInd w:val="0"/>
        <w:contextualSpacing/>
        <w:rPr>
          <w:rFonts w:cstheme="minorHAnsi"/>
        </w:rPr>
      </w:pPr>
    </w:p>
    <w:p w14:paraId="010D1149" w14:textId="5CEB413D" w:rsidR="00866F1A" w:rsidRDefault="00866F1A" w:rsidP="008504F7">
      <w:pPr>
        <w:autoSpaceDE w:val="0"/>
        <w:autoSpaceDN w:val="0"/>
        <w:adjustRightInd w:val="0"/>
        <w:contextualSpacing/>
      </w:pPr>
      <w:r>
        <w:rPr>
          <w:rFonts w:cstheme="minorHAnsi"/>
        </w:rPr>
        <w:t xml:space="preserve">In addition to burden estimation, a main objective of the </w:t>
      </w:r>
      <w:r w:rsidRPr="001E0FD7">
        <w:t>EIP HAI and AU Prevalence Survey</w:t>
      </w:r>
      <w:r>
        <w:t xml:space="preserve"> is to describe changes over time in HAI prevalence and antimicrobial use in hospitals. Overall, 183 hospitals participated in the 2011 survey and 199 hospitals in the 2015 survey; of these, 148 part</w:t>
      </w:r>
      <w:r w:rsidR="000F1B68">
        <w:t>icipated in both surveys. The large number of hospitals participating in both surveys facilitated comparisons of HAI prevalence and distribution in 2011 and 2015 [2]. We observed that the percentage of patients with HAIs in the 2015 survey was significantly lower than in the 2011 survey (2015: 3.2%, 95% confidence interval 2.9 to 2.5%, vs. 2011: 4.0%, 95% confidence interval 3.7 to 4.4%), suggesting progress in prevention of HAIs. Recognizing that even among the same group of hospitals, the characteristics of the hospitals and their inpatients may change over time and affect HAI prevalence, we performed multivariable log-binomial regression modeling to adjust for key differences between 2011 and 2015 hospitals and patients [2]. The final model adjusted for patient age, the presence of medical devices, hospital size, and days from hospital admission to the survey date. After adjusting for these factors, patients in the 2015 survey were 16% less likely to have an HAI than patients in the 2011 survey [2].</w:t>
      </w:r>
    </w:p>
    <w:p w14:paraId="4832A138" w14:textId="29DAD589" w:rsidR="00810E3A" w:rsidRDefault="00810E3A" w:rsidP="008504F7">
      <w:pPr>
        <w:autoSpaceDE w:val="0"/>
        <w:autoSpaceDN w:val="0"/>
        <w:adjustRightInd w:val="0"/>
        <w:contextualSpacing/>
      </w:pPr>
    </w:p>
    <w:p w14:paraId="4B3EA922" w14:textId="516EC108" w:rsidR="00810E3A" w:rsidRDefault="00810E3A" w:rsidP="008504F7">
      <w:pPr>
        <w:autoSpaceDE w:val="0"/>
        <w:autoSpaceDN w:val="0"/>
        <w:adjustRightInd w:val="0"/>
        <w:contextualSpacing/>
        <w:rPr>
          <w:rFonts w:cstheme="minorHAnsi"/>
        </w:rPr>
      </w:pPr>
      <w:r>
        <w:t>Although the population of hospitals and patients included in the EIP HAI and AU Prevalence Surveys may not be nationally representative, a number of factors build confidence in the robustness and usefulness of the survey results. These include: 1) the similarity of the survey sample of hospitals and patients to the populations of hospitals and inpatients in the United States based on selected key characteristics; 2) participation of a large group of the same hospitals in the 2011 and the 2015 surveys; 3) adjustment for differences in survey hospitals and patients between 2011 and 2015; and 4) the multiple sensitivity analyses we performed [2].</w:t>
      </w:r>
    </w:p>
    <w:p w14:paraId="6416CC70" w14:textId="77777777" w:rsidR="00BB782A" w:rsidRPr="00727CE5" w:rsidRDefault="00BB782A"/>
    <w:p w14:paraId="59ADC724" w14:textId="77777777" w:rsidR="00544C10" w:rsidRPr="00F66735" w:rsidRDefault="00544C10" w:rsidP="00061956">
      <w:pPr>
        <w:pStyle w:val="Heading1"/>
      </w:pPr>
      <w:bookmarkStart w:id="8" w:name="_Toc455558070"/>
      <w:r w:rsidRPr="00F66735">
        <w:t>Purpose and Use of Information Collection</w:t>
      </w:r>
      <w:bookmarkEnd w:id="8"/>
    </w:p>
    <w:p w14:paraId="7ABDA3D7" w14:textId="77777777" w:rsidR="00AF2959" w:rsidRPr="00F66735" w:rsidRDefault="00043B2E" w:rsidP="006A7F56">
      <w:r w:rsidRPr="00F66735">
        <w:t xml:space="preserve">     </w:t>
      </w:r>
      <w:r w:rsidR="00B31E5D" w:rsidRPr="00F66735">
        <w:tab/>
      </w:r>
    </w:p>
    <w:p w14:paraId="5843614C" w14:textId="21966BD7" w:rsidR="00786200" w:rsidRPr="00F66735" w:rsidRDefault="00B54544" w:rsidP="00DA405D">
      <w:r w:rsidRPr="00F66735">
        <w:t>E</w:t>
      </w:r>
      <w:r w:rsidR="00EE11B0" w:rsidRPr="00F66735">
        <w:t>ssential step</w:t>
      </w:r>
      <w:r w:rsidRPr="00F66735">
        <w:t>s</w:t>
      </w:r>
      <w:r w:rsidR="00EE11B0" w:rsidRPr="00F66735">
        <w:t xml:space="preserve"> in reducing the occurrence of HAIs</w:t>
      </w:r>
      <w:r w:rsidR="001C0011" w:rsidRPr="00F66735">
        <w:t xml:space="preserve"> and prevalence of </w:t>
      </w:r>
      <w:r w:rsidR="00786200" w:rsidRPr="00F66735">
        <w:t xml:space="preserve">antimicrobial </w:t>
      </w:r>
      <w:r w:rsidR="001C0011" w:rsidRPr="00F66735">
        <w:t>resistant pathogens</w:t>
      </w:r>
      <w:r w:rsidR="00EE11B0" w:rsidRPr="00F66735">
        <w:t xml:space="preserve"> </w:t>
      </w:r>
      <w:r w:rsidRPr="00F66735">
        <w:t>are</w:t>
      </w:r>
      <w:r w:rsidR="00B625DE" w:rsidRPr="00F66735">
        <w:t xml:space="preserve"> to estimate </w:t>
      </w:r>
      <w:r w:rsidR="00EE11B0" w:rsidRPr="00F66735">
        <w:t xml:space="preserve">the burden of </w:t>
      </w:r>
      <w:r w:rsidR="001C0011" w:rsidRPr="00F66735">
        <w:t>HAIs</w:t>
      </w:r>
      <w:r w:rsidR="00EE11B0" w:rsidRPr="00F66735">
        <w:t xml:space="preserve"> </w:t>
      </w:r>
      <w:r w:rsidRPr="00F66735">
        <w:t xml:space="preserve">in U.S. </w:t>
      </w:r>
      <w:r w:rsidR="00A8435A" w:rsidRPr="00F66735">
        <w:t>hospitals</w:t>
      </w:r>
      <w:r w:rsidRPr="00F66735">
        <w:t xml:space="preserve">, </w:t>
      </w:r>
      <w:r w:rsidR="00EE11B0" w:rsidRPr="00F66735">
        <w:t xml:space="preserve">describe the types of </w:t>
      </w:r>
      <w:r w:rsidR="001C0011" w:rsidRPr="00F66735">
        <w:t>infection</w:t>
      </w:r>
      <w:r w:rsidRPr="00F66735">
        <w:t xml:space="preserve">s and causative organisms, and </w:t>
      </w:r>
      <w:r w:rsidR="001134BF" w:rsidRPr="00F66735">
        <w:t>assess the nature</w:t>
      </w:r>
      <w:r w:rsidR="00786200" w:rsidRPr="00F66735">
        <w:t xml:space="preserve"> and extent of AU</w:t>
      </w:r>
      <w:r w:rsidR="001134BF" w:rsidRPr="00F66735">
        <w:t>.</w:t>
      </w:r>
      <w:r w:rsidR="000C456B" w:rsidRPr="00F66735">
        <w:t xml:space="preserve"> </w:t>
      </w:r>
      <w:r w:rsidR="00914368" w:rsidRPr="00F66735">
        <w:t xml:space="preserve">Updated </w:t>
      </w:r>
      <w:r w:rsidR="00437F2E" w:rsidRPr="00F66735">
        <w:t xml:space="preserve">estimates are needed for public health priority setting, for policy-making purposes, and for communications with the public and other stakeholders. These estimates are also necessary for collaborations with partners </w:t>
      </w:r>
      <w:r w:rsidR="00A8435A" w:rsidRPr="00F66735">
        <w:t xml:space="preserve">in other parts of the world </w:t>
      </w:r>
      <w:r w:rsidR="00437F2E" w:rsidRPr="00F66735">
        <w:t xml:space="preserve">and internally within state health departments and the CDC for setting surveillance and prevention priorities. </w:t>
      </w:r>
      <w:r w:rsidR="00786200" w:rsidRPr="00F66735">
        <w:t>The HAI and AU Prevalence Survey has be</w:t>
      </w:r>
      <w:r w:rsidR="00B625DE" w:rsidRPr="00F66735">
        <w:t xml:space="preserve">en conducted </w:t>
      </w:r>
      <w:r w:rsidR="00896264">
        <w:t>four</w:t>
      </w:r>
      <w:r w:rsidR="00896264" w:rsidRPr="00F66735">
        <w:t xml:space="preserve"> </w:t>
      </w:r>
      <w:r w:rsidR="00B625DE" w:rsidRPr="00F66735">
        <w:t>times previously:</w:t>
      </w:r>
      <w:r w:rsidR="00786200" w:rsidRPr="00F66735">
        <w:t xml:space="preserve"> in 2009, </w:t>
      </w:r>
      <w:r w:rsidR="00896264">
        <w:t xml:space="preserve">and three times with the EIP, in </w:t>
      </w:r>
      <w:r w:rsidR="00786200" w:rsidRPr="00F66735">
        <w:t xml:space="preserve">2010, 2011, and 2015. </w:t>
      </w:r>
    </w:p>
    <w:p w14:paraId="2BF8738E" w14:textId="77777777" w:rsidR="00786200" w:rsidRPr="00F66735" w:rsidRDefault="00786200" w:rsidP="00DA405D"/>
    <w:p w14:paraId="7575EB58" w14:textId="501D27AB" w:rsidR="00BB782A" w:rsidRPr="00F66735" w:rsidRDefault="00786200" w:rsidP="00DA2BA7">
      <w:r w:rsidRPr="00F66735">
        <w:t xml:space="preserve">The most recent prevalence survey was conducted </w:t>
      </w:r>
      <w:r w:rsidR="00A8435A" w:rsidRPr="00F66735">
        <w:t>in 199 participating hospitals</w:t>
      </w:r>
      <w:r w:rsidR="00914368" w:rsidRPr="00F66735">
        <w:t xml:space="preserve"> in 2015.</w:t>
      </w:r>
      <w:r w:rsidRPr="00F66735">
        <w:t xml:space="preserve"> </w:t>
      </w:r>
      <w:r w:rsidR="00297581" w:rsidRPr="00F66735">
        <w:t>Approximately</w:t>
      </w:r>
      <w:r w:rsidR="00A8435A" w:rsidRPr="00F66735">
        <w:t xml:space="preserve"> </w:t>
      </w:r>
      <w:r w:rsidR="00FD10DC" w:rsidRPr="00F66735">
        <w:t>74</w:t>
      </w:r>
      <w:r w:rsidR="00A8435A" w:rsidRPr="00F66735">
        <w:t>% of these hospitals</w:t>
      </w:r>
      <w:r w:rsidRPr="00F66735">
        <w:t xml:space="preserve"> had previously participated in the 2011 survey</w:t>
      </w:r>
      <w:r w:rsidR="00E35DB5" w:rsidRPr="00F66735">
        <w:t xml:space="preserve"> [</w:t>
      </w:r>
      <w:r w:rsidR="00FD10DC" w:rsidRPr="00F66735">
        <w:t>2</w:t>
      </w:r>
      <w:r w:rsidR="00E35DB5" w:rsidRPr="00F66735">
        <w:t>]</w:t>
      </w:r>
      <w:r w:rsidRPr="00F66735">
        <w:t xml:space="preserve">, allowing CDC to </w:t>
      </w:r>
      <w:r w:rsidR="00914368" w:rsidRPr="00F66735">
        <w:t>assess changes in HAI prevalence</w:t>
      </w:r>
      <w:r w:rsidRPr="00F66735">
        <w:t xml:space="preserve">. </w:t>
      </w:r>
      <w:r w:rsidR="00914368" w:rsidRPr="00F66735">
        <w:t xml:space="preserve">In 2018, these findings </w:t>
      </w:r>
      <w:r w:rsidRPr="00F66735">
        <w:t>were published</w:t>
      </w:r>
      <w:r w:rsidR="00C945A4" w:rsidRPr="00F66735">
        <w:t xml:space="preserve"> in </w:t>
      </w:r>
      <w:r w:rsidR="00297581" w:rsidRPr="00F66735">
        <w:t>t</w:t>
      </w:r>
      <w:r w:rsidR="007C73DC" w:rsidRPr="00F66735">
        <w:t xml:space="preserve">he </w:t>
      </w:r>
      <w:r w:rsidR="00914368" w:rsidRPr="00F66735">
        <w:rPr>
          <w:i/>
        </w:rPr>
        <w:t>New England Journal of Medicine</w:t>
      </w:r>
      <w:r w:rsidR="00C945A4" w:rsidRPr="00F66735">
        <w:rPr>
          <w:i/>
        </w:rPr>
        <w:t xml:space="preserve"> </w:t>
      </w:r>
      <w:r w:rsidR="00C945A4" w:rsidRPr="00F66735">
        <w:t>[2]</w:t>
      </w:r>
      <w:r w:rsidR="00297581" w:rsidRPr="00F66735">
        <w:t xml:space="preserve">. Notably, the percentage of </w:t>
      </w:r>
      <w:r w:rsidR="00A8435A" w:rsidRPr="00F66735">
        <w:t>in</w:t>
      </w:r>
      <w:r w:rsidR="00297581" w:rsidRPr="00F66735">
        <w:t xml:space="preserve">patients with </w:t>
      </w:r>
      <w:r w:rsidR="00914368" w:rsidRPr="00F66735">
        <w:t>HAIs in 2015</w:t>
      </w:r>
      <w:r w:rsidR="00297581" w:rsidRPr="00F66735">
        <w:t xml:space="preserve"> was lower than in 2011. Patients’ risk of having a HAI was </w:t>
      </w:r>
      <w:r w:rsidR="00914368" w:rsidRPr="00F66735">
        <w:t xml:space="preserve">16% lower after adjusting for certain factors. Pneumonia, gastrointestinal infections (most of which were due to </w:t>
      </w:r>
      <w:r w:rsidR="00914368" w:rsidRPr="00F66735">
        <w:rPr>
          <w:i/>
        </w:rPr>
        <w:t>Clostridium difficile</w:t>
      </w:r>
      <w:r w:rsidR="00914368" w:rsidRPr="00F66735">
        <w:t xml:space="preserve"> [now </w:t>
      </w:r>
      <w:r w:rsidR="00914368" w:rsidRPr="00F66735">
        <w:rPr>
          <w:i/>
        </w:rPr>
        <w:t>Clostridioides difficile]),</w:t>
      </w:r>
      <w:r w:rsidR="00914368" w:rsidRPr="00F66735">
        <w:t xml:space="preserve"> and surgical-site infections were the most common</w:t>
      </w:r>
      <w:r w:rsidR="00726B2F" w:rsidRPr="00F66735">
        <w:t xml:space="preserve"> HAIs. The percentages of HAIs that were device-associated [i.e.</w:t>
      </w:r>
      <w:r w:rsidR="00F02A2A" w:rsidRPr="00F66735">
        <w:t>,</w:t>
      </w:r>
      <w:r w:rsidR="00726B2F" w:rsidRPr="00F66735">
        <w:t xml:space="preserve"> ventilator-associated pneumonia, central line-associated bloodstream infections (CLABSIs), and catheter-associated urinary tract infections (CAUTIs)] remained low (23.6%), highlighting a need for continued surveillance and adjustments to prevention strategies. </w:t>
      </w:r>
      <w:r w:rsidR="00DA2BA7" w:rsidRPr="00F66735">
        <w:t xml:space="preserve">Using National Inpatient Sample (NIS) data </w:t>
      </w:r>
      <w:r w:rsidR="0082563E">
        <w:t xml:space="preserve">[7] </w:t>
      </w:r>
      <w:r w:rsidR="00DA2BA7" w:rsidRPr="00F66735">
        <w:t xml:space="preserve">stratified according to the categories of age and length of stay, we estimated that there were 633,300 </w:t>
      </w:r>
      <w:r w:rsidR="00A8435A" w:rsidRPr="00F66735">
        <w:t>in</w:t>
      </w:r>
      <w:r w:rsidR="00DA2BA7" w:rsidRPr="00F66735">
        <w:t xml:space="preserve">patients with a HAI and 687,200 total HAIs in U.S. hospitals in 2015 </w:t>
      </w:r>
      <w:r w:rsidR="008C03E2" w:rsidRPr="00F66735">
        <w:t>[2</w:t>
      </w:r>
      <w:r w:rsidRPr="00F66735">
        <w:t>].</w:t>
      </w:r>
      <w:r w:rsidR="00DA2BA7" w:rsidRPr="00F66735">
        <w:t xml:space="preserve"> </w:t>
      </w:r>
    </w:p>
    <w:p w14:paraId="47D28A3A" w14:textId="77777777" w:rsidR="00BB782A" w:rsidRPr="00F66735" w:rsidRDefault="00BB782A" w:rsidP="00786200"/>
    <w:p w14:paraId="730DA544" w14:textId="3A464E51" w:rsidR="00914368" w:rsidRPr="00F66735" w:rsidRDefault="00DA2BA7" w:rsidP="00C945A4">
      <w:r w:rsidRPr="00F66735">
        <w:t xml:space="preserve">In 2011, </w:t>
      </w:r>
      <w:r w:rsidR="003E60D4" w:rsidRPr="00F66735">
        <w:t xml:space="preserve">AU </w:t>
      </w:r>
      <w:r w:rsidR="00982574" w:rsidRPr="00F66735">
        <w:t>was p</w:t>
      </w:r>
      <w:r w:rsidR="007C73DC" w:rsidRPr="00F66735">
        <w:t>revalent</w:t>
      </w:r>
      <w:r w:rsidR="005633D8" w:rsidRPr="00F66735">
        <w:t>,</w:t>
      </w:r>
      <w:r w:rsidR="007C73DC" w:rsidRPr="00F66735">
        <w:t xml:space="preserve"> with </w:t>
      </w:r>
      <w:r w:rsidR="00982574" w:rsidRPr="00F66735">
        <w:t>approximately hal</w:t>
      </w:r>
      <w:r w:rsidR="007C73DC" w:rsidRPr="00F66735">
        <w:t xml:space="preserve">f of all surveyed </w:t>
      </w:r>
      <w:r w:rsidR="00A8435A" w:rsidRPr="00F66735">
        <w:t>in</w:t>
      </w:r>
      <w:r w:rsidR="007C73DC" w:rsidRPr="00F66735">
        <w:t xml:space="preserve">patients </w:t>
      </w:r>
      <w:r w:rsidR="00982574" w:rsidRPr="00F66735">
        <w:t>receiving at least one antimicrobial ag</w:t>
      </w:r>
      <w:r w:rsidR="00297581" w:rsidRPr="00F66735">
        <w:t>ent at the time of the survey. Intravenous v</w:t>
      </w:r>
      <w:r w:rsidR="00982574" w:rsidRPr="00F66735">
        <w:t xml:space="preserve">ancomycin, a drug used to treat infections with resistant Gram-positive pathogens such as methicillin-resistant </w:t>
      </w:r>
      <w:r w:rsidR="00982574" w:rsidRPr="00F66735">
        <w:rPr>
          <w:i/>
        </w:rPr>
        <w:t xml:space="preserve">S. aureus </w:t>
      </w:r>
      <w:r w:rsidR="00982574" w:rsidRPr="00F66735">
        <w:t>(MRSA), was the</w:t>
      </w:r>
      <w:r w:rsidR="007C73DC" w:rsidRPr="00F66735">
        <w:t xml:space="preserve"> most common antimicrobial used </w:t>
      </w:r>
      <w:r w:rsidRPr="00F66735">
        <w:t xml:space="preserve">in 2011 </w:t>
      </w:r>
      <w:r w:rsidR="00086C9A" w:rsidRPr="00F66735">
        <w:t>[5</w:t>
      </w:r>
      <w:r w:rsidR="007C73DC" w:rsidRPr="00F66735">
        <w:t>].</w:t>
      </w:r>
      <w:r w:rsidR="00086C9A" w:rsidRPr="00F66735">
        <w:t xml:space="preserve"> Data from the 2015 survey show</w:t>
      </w:r>
      <w:r w:rsidR="00FD10DC" w:rsidRPr="00F66735">
        <w:t>ed</w:t>
      </w:r>
      <w:r w:rsidR="00086C9A" w:rsidRPr="00F66735">
        <w:t xml:space="preserve"> that the overall prevalence of </w:t>
      </w:r>
      <w:r w:rsidR="00A8435A" w:rsidRPr="00F66735">
        <w:t>AU</w:t>
      </w:r>
      <w:r w:rsidR="00086C9A" w:rsidRPr="00F66735">
        <w:t xml:space="preserve"> was not significantly different than it wa</w:t>
      </w:r>
      <w:r w:rsidR="00C945A4" w:rsidRPr="00F66735">
        <w:t>s in 2011</w:t>
      </w:r>
      <w:r w:rsidR="00086C9A" w:rsidRPr="00F66735">
        <w:t xml:space="preserve">, although there were changes in the percentages of </w:t>
      </w:r>
      <w:r w:rsidR="00A8435A" w:rsidRPr="00F66735">
        <w:t>in</w:t>
      </w:r>
      <w:r w:rsidR="00086C9A" w:rsidRPr="00F66735">
        <w:t xml:space="preserve">patients receiving certain types of antimicrobial drugs; for example, fewer </w:t>
      </w:r>
      <w:r w:rsidR="00A8435A" w:rsidRPr="00F66735">
        <w:t>in</w:t>
      </w:r>
      <w:r w:rsidR="00086C9A" w:rsidRPr="00F66735">
        <w:t>patients were receiving fluoroquinolones in 2015, likely reflecting antimicrobial stewardship efforts [3].</w:t>
      </w:r>
      <w:r w:rsidR="00C945A4" w:rsidRPr="00F66735">
        <w:t xml:space="preserve"> Additional analyses from the 2015 survey, such as AU estimates and antimicrobial prescribing quality findings, are expected in 2019</w:t>
      </w:r>
      <w:r w:rsidR="0082563E">
        <w:t>–2020</w:t>
      </w:r>
      <w:r w:rsidR="00C945A4" w:rsidRPr="00F66735">
        <w:t>.</w:t>
      </w:r>
    </w:p>
    <w:p w14:paraId="6D8A0581" w14:textId="77777777" w:rsidR="00A86B92" w:rsidRPr="00F66735" w:rsidRDefault="00A86B92" w:rsidP="00A86B92"/>
    <w:p w14:paraId="630223F7" w14:textId="77777777" w:rsidR="00A86B92" w:rsidRPr="00F66735" w:rsidRDefault="00A86B92" w:rsidP="00A86B92">
      <w:r w:rsidRPr="00F66735">
        <w:t>Results from previous surveys have been used in a variety of settings, including the following:</w:t>
      </w:r>
    </w:p>
    <w:p w14:paraId="642AAF8B" w14:textId="77777777" w:rsidR="00A86B92" w:rsidRPr="00F66735" w:rsidRDefault="00A86B92" w:rsidP="00A86B92">
      <w:pPr>
        <w:ind w:firstLine="720"/>
      </w:pPr>
    </w:p>
    <w:p w14:paraId="549D4827" w14:textId="77777777" w:rsidR="00A86B92" w:rsidRPr="00F66735" w:rsidRDefault="00A86B92" w:rsidP="00A86B92">
      <w:pPr>
        <w:numPr>
          <w:ilvl w:val="0"/>
          <w:numId w:val="15"/>
        </w:numPr>
      </w:pPr>
      <w:r w:rsidRPr="00F66735">
        <w:t>State health departments of participating EIP sites have shared survey data with their HAI Committees to inform priority setting for public health initiativ</w:t>
      </w:r>
      <w:r w:rsidR="008C03E2" w:rsidRPr="00F66735">
        <w:t xml:space="preserve">es to </w:t>
      </w:r>
      <w:r w:rsidR="00BD103A" w:rsidRPr="00F66735">
        <w:t>reduce HAIs and to improve AU</w:t>
      </w:r>
      <w:r w:rsidR="008C03E2" w:rsidRPr="00F66735">
        <w:t>.</w:t>
      </w:r>
    </w:p>
    <w:p w14:paraId="30E5E626" w14:textId="77777777" w:rsidR="00A86B92" w:rsidRPr="00F66735" w:rsidRDefault="00A86B92" w:rsidP="00A2048F">
      <w:pPr>
        <w:numPr>
          <w:ilvl w:val="0"/>
          <w:numId w:val="15"/>
        </w:numPr>
      </w:pPr>
      <w:r w:rsidRPr="00F66735">
        <w:t xml:space="preserve">The CDC has collaborated with the European Centre for Disease Prevention and Control (ECDC) to harmonize HAI and </w:t>
      </w:r>
      <w:r w:rsidR="00BD103A" w:rsidRPr="00F66735">
        <w:t>AU</w:t>
      </w:r>
      <w:r w:rsidRPr="00F66735">
        <w:t xml:space="preserve"> prevalence survey methods to allow for selected comparisons of prevalence and burden, and </w:t>
      </w:r>
      <w:r w:rsidR="00BD103A" w:rsidRPr="00F66735">
        <w:t xml:space="preserve">to </w:t>
      </w:r>
      <w:r w:rsidRPr="00F66735">
        <w:t xml:space="preserve">facilitate international situational awareness of HAI and </w:t>
      </w:r>
      <w:r w:rsidR="00BD103A" w:rsidRPr="00F66735">
        <w:t>AU</w:t>
      </w:r>
      <w:r w:rsidRPr="00F66735">
        <w:t xml:space="preserve">. Collaborations on prevalence survey methods between the CDC and the ECDC </w:t>
      </w:r>
      <w:r w:rsidR="00FD10DC" w:rsidRPr="00F66735">
        <w:t xml:space="preserve">and other countries </w:t>
      </w:r>
      <w:r w:rsidRPr="00F66735">
        <w:t xml:space="preserve">are included in the work plan for the Transatlantic Task Force </w:t>
      </w:r>
      <w:r w:rsidR="008C03E2" w:rsidRPr="00F66735">
        <w:t>on Antimicrobial Resistance (</w:t>
      </w:r>
      <w:hyperlink r:id="rId24" w:history="1">
        <w:r w:rsidR="00A2048F" w:rsidRPr="00F66735">
          <w:rPr>
            <w:rStyle w:val="Hyperlink"/>
          </w:rPr>
          <w:t>https://www.cdc.gov/drugresistance/tatfar/index.html</w:t>
        </w:r>
      </w:hyperlink>
      <w:r w:rsidRPr="00F66735">
        <w:t>).</w:t>
      </w:r>
    </w:p>
    <w:p w14:paraId="7EBAFB72" w14:textId="77777777" w:rsidR="00A86B92" w:rsidRPr="00F66735" w:rsidRDefault="00BD103A" w:rsidP="00A86B92">
      <w:pPr>
        <w:numPr>
          <w:ilvl w:val="0"/>
          <w:numId w:val="15"/>
        </w:numPr>
      </w:pPr>
      <w:r w:rsidRPr="00F66735">
        <w:t>Burden estimates for select</w:t>
      </w:r>
      <w:r w:rsidR="00D87D93" w:rsidRPr="00F66735">
        <w:t>ed</w:t>
      </w:r>
      <w:r w:rsidR="00A86B92" w:rsidRPr="00F66735">
        <w:t xml:space="preserve"> HAIs generated using survey data have been used to validate estimates obtained through oth</w:t>
      </w:r>
      <w:r w:rsidR="00102725" w:rsidRPr="00F66735">
        <w:t>er surveillance systems, such as NHSN</w:t>
      </w:r>
      <w:r w:rsidRPr="00F66735">
        <w:t xml:space="preserve"> [</w:t>
      </w:r>
      <w:r w:rsidR="008C03E2" w:rsidRPr="00F66735">
        <w:t>e.g.</w:t>
      </w:r>
      <w:r w:rsidR="00173EFB" w:rsidRPr="00F66735">
        <w:t xml:space="preserve"> CLABSIs</w:t>
      </w:r>
      <w:r w:rsidR="00A86B92" w:rsidRPr="00F66735">
        <w:t>, surgical site infections</w:t>
      </w:r>
      <w:r w:rsidRPr="00F66735">
        <w:t xml:space="preserve"> (SSIs), etc.]</w:t>
      </w:r>
      <w:r w:rsidR="00A86B92" w:rsidRPr="00F66735">
        <w:t>.</w:t>
      </w:r>
    </w:p>
    <w:p w14:paraId="29BD41FB" w14:textId="3CFEC1B8" w:rsidR="00173EFB" w:rsidRPr="00F66735" w:rsidRDefault="00173EFB" w:rsidP="00EC05AD"/>
    <w:p w14:paraId="5C990197" w14:textId="77777777" w:rsidR="00EC05AD" w:rsidRPr="00F66735" w:rsidRDefault="002D61CC" w:rsidP="00EC05AD">
      <w:r w:rsidRPr="00F66735">
        <w:t xml:space="preserve">As </w:t>
      </w:r>
      <w:r w:rsidR="007C1EE3" w:rsidRPr="00F66735">
        <w:t>there is no on</w:t>
      </w:r>
      <w:r w:rsidR="008E0257" w:rsidRPr="00F66735">
        <w:t>-</w:t>
      </w:r>
      <w:r w:rsidR="007C1EE3" w:rsidRPr="00F66735">
        <w:t xml:space="preserve">going surveillance for all HAI types occurring across </w:t>
      </w:r>
      <w:r w:rsidR="003B1E04" w:rsidRPr="00F66735">
        <w:t>in</w:t>
      </w:r>
      <w:r w:rsidR="007C1EE3" w:rsidRPr="00F66735">
        <w:t xml:space="preserve">patient populations </w:t>
      </w:r>
      <w:r w:rsidR="00A86B92" w:rsidRPr="00F66735">
        <w:t xml:space="preserve">and no large-scale patient-level assessment of inpatient antimicrobial prescribing quality </w:t>
      </w:r>
      <w:r w:rsidR="00A8435A" w:rsidRPr="00F66735">
        <w:t>in U.S. acute care hospitals</w:t>
      </w:r>
      <w:r w:rsidR="007C1EE3" w:rsidRPr="00F66735">
        <w:t xml:space="preserve">, </w:t>
      </w:r>
      <w:r w:rsidR="00A86B92" w:rsidRPr="00F66735">
        <w:t xml:space="preserve">repeating this survey at regular intervals </w:t>
      </w:r>
      <w:r w:rsidR="00EC05AD" w:rsidRPr="00F66735">
        <w:t>is critical to measure</w:t>
      </w:r>
      <w:r w:rsidR="007C1EE3" w:rsidRPr="00F66735">
        <w:t xml:space="preserve"> th</w:t>
      </w:r>
      <w:r w:rsidR="00EC05AD" w:rsidRPr="00F66735">
        <w:t xml:space="preserve">e impact of prevention strategies. </w:t>
      </w:r>
      <w:r w:rsidR="007C1EE3" w:rsidRPr="00F66735">
        <w:t>Without on</w:t>
      </w:r>
      <w:r w:rsidR="008E0257" w:rsidRPr="00F66735">
        <w:t>-</w:t>
      </w:r>
      <w:r w:rsidR="007C1EE3" w:rsidRPr="00F66735">
        <w:t xml:space="preserve">going surveys, knowledge of the entire spectrum of HAIs and </w:t>
      </w:r>
      <w:r w:rsidR="00113C71" w:rsidRPr="00F66735">
        <w:t xml:space="preserve">AU in </w:t>
      </w:r>
      <w:r w:rsidR="00EC05AD" w:rsidRPr="00F66735">
        <w:t>U.S.</w:t>
      </w:r>
      <w:r w:rsidR="007C1EE3" w:rsidRPr="00F66735">
        <w:t xml:space="preserve"> </w:t>
      </w:r>
      <w:r w:rsidR="00D87D93" w:rsidRPr="00F66735">
        <w:t xml:space="preserve">acute care </w:t>
      </w:r>
      <w:r w:rsidR="00113C71" w:rsidRPr="00F66735">
        <w:t xml:space="preserve">hospitals </w:t>
      </w:r>
      <w:r w:rsidR="007C1EE3" w:rsidRPr="00F66735">
        <w:t xml:space="preserve">will be lost. </w:t>
      </w:r>
      <w:r w:rsidR="00EC05AD" w:rsidRPr="00F66735">
        <w:t>The 2020 EIP HAI and AU Prevalence Survey will allow CDC and its partners to continue to monitor HAI and AU trends, to measure progress in meeting national targets, and to further refine prevention strategies. Antimicro</w:t>
      </w:r>
      <w:r w:rsidR="008E0257" w:rsidRPr="00F66735">
        <w:t>bial prescribing quality data</w:t>
      </w:r>
      <w:r w:rsidR="00EC05AD" w:rsidRPr="00F66735">
        <w:t xml:space="preserve"> </w:t>
      </w:r>
      <w:r w:rsidR="008C03E2" w:rsidRPr="00F66735">
        <w:t>collected in the 2015 survey will</w:t>
      </w:r>
      <w:r w:rsidR="00EC05AD" w:rsidRPr="00F66735">
        <w:t xml:space="preserve"> also now be used as a baseline to measure progress in 2020.</w:t>
      </w:r>
    </w:p>
    <w:p w14:paraId="74DEDBAA" w14:textId="77777777" w:rsidR="003B5D61" w:rsidRPr="00F66735" w:rsidRDefault="003B5D61" w:rsidP="00EE7469"/>
    <w:p w14:paraId="249DF27C" w14:textId="77777777" w:rsidR="00245111" w:rsidRPr="00F66735" w:rsidRDefault="00544C10" w:rsidP="00061956">
      <w:pPr>
        <w:pStyle w:val="Heading1"/>
      </w:pPr>
      <w:bookmarkStart w:id="9" w:name="_Toc455558071"/>
      <w:r w:rsidRPr="00F66735">
        <w:t>Use of Improved Information Technology and Burden Reduction</w:t>
      </w:r>
      <w:bookmarkEnd w:id="9"/>
    </w:p>
    <w:p w14:paraId="5A6C3DE9" w14:textId="77777777" w:rsidR="00AF2959" w:rsidRPr="00F66735" w:rsidRDefault="009C40B0" w:rsidP="00EE7469">
      <w:r w:rsidRPr="00F66735">
        <w:t xml:space="preserve">     </w:t>
      </w:r>
      <w:r w:rsidR="00C31088" w:rsidRPr="00F66735">
        <w:tab/>
      </w:r>
    </w:p>
    <w:p w14:paraId="058FFCB3" w14:textId="77777777" w:rsidR="002E183F" w:rsidRPr="00F66735" w:rsidRDefault="003B5BAE" w:rsidP="00DA405D">
      <w:r w:rsidRPr="00F66735">
        <w:t>Data collection and data entry partners outside of CDC will in</w:t>
      </w:r>
      <w:r w:rsidR="0015102C" w:rsidRPr="00F66735">
        <w:t xml:space="preserve">clude local hospital </w:t>
      </w:r>
      <w:r w:rsidRPr="00F66735">
        <w:t>staff (e.g.</w:t>
      </w:r>
      <w:r w:rsidR="002D5965" w:rsidRPr="00F66735">
        <w:t>,</w:t>
      </w:r>
      <w:r w:rsidRPr="00F66735">
        <w:t xml:space="preserve"> Infection Preventionists or </w:t>
      </w:r>
      <w:r w:rsidR="0015102C" w:rsidRPr="00F66735">
        <w:t xml:space="preserve">other </w:t>
      </w:r>
      <w:r w:rsidRPr="00F66735">
        <w:t>staff), EIP site personnel (</w:t>
      </w:r>
      <w:r w:rsidR="00154F16" w:rsidRPr="00F66735">
        <w:t>i.e.</w:t>
      </w:r>
      <w:r w:rsidR="002D5965" w:rsidRPr="00F66735">
        <w:t>,</w:t>
      </w:r>
      <w:r w:rsidR="00154F16" w:rsidRPr="00F66735">
        <w:t xml:space="preserve"> </w:t>
      </w:r>
      <w:r w:rsidRPr="00F66735">
        <w:t xml:space="preserve">employees and contractors), academic collaborators, and local and state public health professionals. </w:t>
      </w:r>
      <w:r w:rsidR="00D244D7" w:rsidRPr="00F66735">
        <w:t>T</w:t>
      </w:r>
      <w:r w:rsidR="00F2689F" w:rsidRPr="00F66735">
        <w:t xml:space="preserve">he survey </w:t>
      </w:r>
      <w:r w:rsidR="00DB3E33" w:rsidRPr="00F66735">
        <w:t>primarily utilizes</w:t>
      </w:r>
      <w:r w:rsidR="009738AD" w:rsidRPr="00F66735">
        <w:t xml:space="preserve"> </w:t>
      </w:r>
      <w:r w:rsidR="00246B21" w:rsidRPr="00F66735">
        <w:t>paper data collection forms</w:t>
      </w:r>
      <w:r w:rsidR="009C40B0" w:rsidRPr="00F66735">
        <w:t xml:space="preserve"> </w:t>
      </w:r>
      <w:r w:rsidR="003A14D3" w:rsidRPr="00F66735">
        <w:t xml:space="preserve">as EIP </w:t>
      </w:r>
      <w:r w:rsidR="00154F16" w:rsidRPr="00F66735">
        <w:t xml:space="preserve">site </w:t>
      </w:r>
      <w:r w:rsidR="00246B21" w:rsidRPr="00F66735">
        <w:t xml:space="preserve">personnel </w:t>
      </w:r>
      <w:r w:rsidR="009C40B0" w:rsidRPr="00F66735">
        <w:t xml:space="preserve">will </w:t>
      </w:r>
      <w:r w:rsidR="003A14D3" w:rsidRPr="00F66735">
        <w:t>often</w:t>
      </w:r>
      <w:r w:rsidR="00246B21" w:rsidRPr="00F66735">
        <w:t xml:space="preserve"> travel to multiple </w:t>
      </w:r>
      <w:r w:rsidR="0015102C" w:rsidRPr="00F66735">
        <w:t>in</w:t>
      </w:r>
      <w:r w:rsidR="00246B21" w:rsidRPr="00F66735">
        <w:t>patient un</w:t>
      </w:r>
      <w:r w:rsidR="0015102C" w:rsidRPr="00F66735">
        <w:t>its within hospitals</w:t>
      </w:r>
      <w:r w:rsidR="00246B21" w:rsidRPr="00F66735">
        <w:t xml:space="preserve"> </w:t>
      </w:r>
      <w:r w:rsidR="00C1765E" w:rsidRPr="00F66735">
        <w:t xml:space="preserve">to collect data </w:t>
      </w:r>
      <w:r w:rsidR="00246B21" w:rsidRPr="00F66735">
        <w:t xml:space="preserve">and will not necessarily have reliable, timely access to computers or the internet. </w:t>
      </w:r>
      <w:r w:rsidR="00DA405D" w:rsidRPr="00F66735">
        <w:t>Electronic health record systems</w:t>
      </w:r>
      <w:r w:rsidR="00D244D7" w:rsidRPr="00F66735">
        <w:t>, access,</w:t>
      </w:r>
      <w:r w:rsidR="00DA405D" w:rsidRPr="00F66735">
        <w:t xml:space="preserve"> and information technology resources</w:t>
      </w:r>
      <w:r w:rsidR="0015102C" w:rsidRPr="00F66735">
        <w:t xml:space="preserve"> vary widely among hospitals</w:t>
      </w:r>
      <w:r w:rsidR="00D244D7" w:rsidRPr="00F66735">
        <w:t xml:space="preserve"> and EIP sites</w:t>
      </w:r>
      <w:r w:rsidR="00DA405D" w:rsidRPr="00F66735">
        <w:t xml:space="preserve">. </w:t>
      </w:r>
      <w:r w:rsidR="009738AD" w:rsidRPr="00F66735">
        <w:t>If reso</w:t>
      </w:r>
      <w:r w:rsidR="00DB3E33" w:rsidRPr="00F66735">
        <w:t>urces and capabilities allow, CDC</w:t>
      </w:r>
      <w:r w:rsidR="009738AD" w:rsidRPr="00F66735">
        <w:t xml:space="preserve"> will explore options for electronic data collection. </w:t>
      </w:r>
      <w:r w:rsidR="00DB3E33" w:rsidRPr="00F66735">
        <w:t>After collection, d</w:t>
      </w:r>
      <w:r w:rsidR="00F2689F" w:rsidRPr="00F66735">
        <w:t>ata</w:t>
      </w:r>
      <w:r w:rsidR="00246B21" w:rsidRPr="00F66735">
        <w:t xml:space="preserve"> will be entered by </w:t>
      </w:r>
      <w:r w:rsidR="00DA405D" w:rsidRPr="00F66735">
        <w:t>EIP site</w:t>
      </w:r>
      <w:r w:rsidR="00246B21" w:rsidRPr="00F66735">
        <w:t xml:space="preserve"> personnel into a</w:t>
      </w:r>
      <w:r w:rsidR="002E183F" w:rsidRPr="00F66735">
        <w:t xml:space="preserve"> </w:t>
      </w:r>
      <w:r w:rsidR="009738AD" w:rsidRPr="00F66735">
        <w:t xml:space="preserve">web-based, </w:t>
      </w:r>
      <w:r w:rsidR="00A01735" w:rsidRPr="00F66735">
        <w:t>CDC-developed</w:t>
      </w:r>
      <w:r w:rsidR="00F2689F" w:rsidRPr="00F66735">
        <w:t xml:space="preserve"> database</w:t>
      </w:r>
      <w:r w:rsidR="002E183F" w:rsidRPr="00F66735">
        <w:t>.</w:t>
      </w:r>
      <w:r w:rsidR="009C40B0" w:rsidRPr="00F66735">
        <w:t xml:space="preserve"> </w:t>
      </w:r>
      <w:r w:rsidR="00D064B7" w:rsidRPr="00F66735">
        <w:t xml:space="preserve">No </w:t>
      </w:r>
      <w:r w:rsidR="004935C3" w:rsidRPr="00F66735">
        <w:t>personal identifiers such as name or medical record number</w:t>
      </w:r>
      <w:r w:rsidR="00D064B7" w:rsidRPr="00F66735">
        <w:t xml:space="preserve"> will be submitted to CDC. </w:t>
      </w:r>
    </w:p>
    <w:p w14:paraId="7FDE0576" w14:textId="77777777" w:rsidR="001244FC" w:rsidRPr="00F66735" w:rsidRDefault="001244FC" w:rsidP="00EE7469"/>
    <w:p w14:paraId="0384870B" w14:textId="6696FDD6" w:rsidR="00DB3E33" w:rsidRPr="00F66735" w:rsidRDefault="00394B08" w:rsidP="00DB3E33">
      <w:r w:rsidRPr="00F66735">
        <w:t xml:space="preserve">As part of the </w:t>
      </w:r>
      <w:r w:rsidR="00547282" w:rsidRPr="00F66735">
        <w:t>proposed</w:t>
      </w:r>
      <w:r w:rsidRPr="00F66735">
        <w:t xml:space="preserve"> </w:t>
      </w:r>
      <w:r w:rsidR="00F2689F" w:rsidRPr="00F66735">
        <w:t>data collection</w:t>
      </w:r>
      <w:r w:rsidR="008A7A1D" w:rsidRPr="00F66735">
        <w:t xml:space="preserve"> and </w:t>
      </w:r>
      <w:r w:rsidR="009A31DC" w:rsidRPr="00F66735">
        <w:t>public burden estimate</w:t>
      </w:r>
      <w:r w:rsidRPr="00F66735">
        <w:t xml:space="preserve">, </w:t>
      </w:r>
      <w:r w:rsidR="0015102C" w:rsidRPr="00F66735">
        <w:t>hospital</w:t>
      </w:r>
      <w:r w:rsidRPr="00F66735">
        <w:t xml:space="preserve"> staff will </w:t>
      </w:r>
      <w:r w:rsidR="00DB3E33" w:rsidRPr="00F66735">
        <w:t>complete the</w:t>
      </w:r>
      <w:r w:rsidR="00BC7CD3" w:rsidRPr="00F66735">
        <w:t xml:space="preserve"> </w:t>
      </w:r>
      <w:r w:rsidR="009738AD" w:rsidRPr="00F66735">
        <w:t>Healthcare Facility Assessment (HFA,</w:t>
      </w:r>
      <w:r w:rsidR="00BC7CD3" w:rsidRPr="00F66735">
        <w:t xml:space="preserve"> Attachment </w:t>
      </w:r>
      <w:r w:rsidR="00D01F98" w:rsidRPr="00F66735">
        <w:t>C</w:t>
      </w:r>
      <w:r w:rsidR="00BC7CD3" w:rsidRPr="00F66735">
        <w:t>)</w:t>
      </w:r>
      <w:r w:rsidR="003A14D3" w:rsidRPr="00F66735">
        <w:t xml:space="preserve"> </w:t>
      </w:r>
      <w:r w:rsidR="00DB3E33" w:rsidRPr="00F66735">
        <w:t xml:space="preserve">on a one-time basis </w:t>
      </w:r>
      <w:r w:rsidR="003A14D3" w:rsidRPr="00F66735">
        <w:t xml:space="preserve">and </w:t>
      </w:r>
      <w:r w:rsidR="00FD10DC" w:rsidRPr="00F66735">
        <w:t xml:space="preserve">in some cases may </w:t>
      </w:r>
      <w:r w:rsidR="003A14D3" w:rsidRPr="00F66735">
        <w:t>assist</w:t>
      </w:r>
      <w:r w:rsidR="00DB3E33" w:rsidRPr="00F66735">
        <w:t xml:space="preserve"> EIP </w:t>
      </w:r>
      <w:r w:rsidR="00CF42A7" w:rsidRPr="00F66735">
        <w:t>site personnel</w:t>
      </w:r>
      <w:r w:rsidR="00DB3E33" w:rsidRPr="00F66735">
        <w:t xml:space="preserve"> in the completion of </w:t>
      </w:r>
      <w:r w:rsidR="003A14D3" w:rsidRPr="00F66735">
        <w:t>Patient Information Form</w:t>
      </w:r>
      <w:r w:rsidR="00D01F98" w:rsidRPr="00F66735">
        <w:t>s (PIF, Attachment D</w:t>
      </w:r>
      <w:r w:rsidR="00DB3E33" w:rsidRPr="00F66735">
        <w:t>) as needed (e.g.</w:t>
      </w:r>
      <w:r w:rsidR="002D5965" w:rsidRPr="00F66735">
        <w:t>,</w:t>
      </w:r>
      <w:r w:rsidR="00DB3E33" w:rsidRPr="00F66735">
        <w:t xml:space="preserve"> assistance locating records, answering questions, etc.)</w:t>
      </w:r>
      <w:r w:rsidR="003A14D3" w:rsidRPr="00F66735">
        <w:t xml:space="preserve">. </w:t>
      </w:r>
      <w:r w:rsidR="009A31DC" w:rsidRPr="00F66735">
        <w:t xml:space="preserve">HFAs will be used </w:t>
      </w:r>
      <w:r w:rsidR="0015102C" w:rsidRPr="00F66735">
        <w:t xml:space="preserve">to gain information on hospital </w:t>
      </w:r>
      <w:r w:rsidR="009A31DC" w:rsidRPr="00F66735">
        <w:t>infection control and antimicrobial stewardship policies, practices, and resources. This information is critical</w:t>
      </w:r>
      <w:r w:rsidR="0015102C" w:rsidRPr="00F66735">
        <w:t xml:space="preserve"> for</w:t>
      </w:r>
      <w:r w:rsidR="009A31DC" w:rsidRPr="00F66735">
        <w:t xml:space="preserve"> </w:t>
      </w:r>
      <w:r w:rsidR="00726B2F" w:rsidRPr="00F66735">
        <w:t>identifying fa</w:t>
      </w:r>
      <w:r w:rsidR="0015102C" w:rsidRPr="00F66735">
        <w:t>cility-level risk factors and for</w:t>
      </w:r>
      <w:r w:rsidR="00726B2F" w:rsidRPr="00F66735">
        <w:t xml:space="preserve"> enhancing</w:t>
      </w:r>
      <w:r w:rsidR="009A31DC" w:rsidRPr="00F66735">
        <w:t xml:space="preserve"> understanding of challenges and key opportunities for intervention. PIFs will be used to assess patient-level risk factors and potential indicators of infection, such as the presence of a medical device or AU. Patients will not be interviewed. Additional forms, such as the HAI, AU, and the Antimicrobial Quality Use Assessm</w:t>
      </w:r>
      <w:r w:rsidR="00976151" w:rsidRPr="00F66735">
        <w:t>ent (AQUA) forms (Attachments E-I</w:t>
      </w:r>
      <w:r w:rsidR="009A31DC" w:rsidRPr="00F66735">
        <w:t>), will be completed by EIP site personnel and are not considered public burden</w:t>
      </w:r>
      <w:r w:rsidR="003B1E04" w:rsidRPr="00F66735">
        <w:t xml:space="preserve"> (See Section 14)</w:t>
      </w:r>
      <w:r w:rsidR="009A31DC" w:rsidRPr="00F66735">
        <w:t xml:space="preserve">. </w:t>
      </w:r>
    </w:p>
    <w:p w14:paraId="0E3D5830" w14:textId="77777777" w:rsidR="00736D6C" w:rsidRPr="00F66735" w:rsidRDefault="00736D6C" w:rsidP="00DB3E33"/>
    <w:p w14:paraId="626CDCD6" w14:textId="6BD9EF65" w:rsidR="00726B2F" w:rsidRPr="00F66735" w:rsidRDefault="00394B08" w:rsidP="00394B08">
      <w:r w:rsidRPr="00F66735">
        <w:t xml:space="preserve">EIP </w:t>
      </w:r>
      <w:r w:rsidR="001A22E9" w:rsidRPr="00F66735">
        <w:t xml:space="preserve">site </w:t>
      </w:r>
      <w:r w:rsidRPr="00F66735">
        <w:t>per</w:t>
      </w:r>
      <w:r w:rsidR="00726B2F" w:rsidRPr="00F66735">
        <w:t xml:space="preserve">sonnel will provide </w:t>
      </w:r>
      <w:r w:rsidR="00E801AF" w:rsidRPr="00F66735">
        <w:t xml:space="preserve">HFA </w:t>
      </w:r>
      <w:r w:rsidRPr="00F66735">
        <w:t>inst</w:t>
      </w:r>
      <w:r w:rsidR="0015102C" w:rsidRPr="00F66735">
        <w:t xml:space="preserve">ructions to hospital </w:t>
      </w:r>
      <w:r w:rsidRPr="00F66735">
        <w:t>staff either in person or via electronic communication</w:t>
      </w:r>
      <w:r w:rsidR="00D01F98" w:rsidRPr="00F66735">
        <w:t xml:space="preserve"> (Attachment J)</w:t>
      </w:r>
      <w:r w:rsidRPr="00F66735">
        <w:t xml:space="preserve">. </w:t>
      </w:r>
      <w:r w:rsidR="00E83D04" w:rsidRPr="00F66735">
        <w:t xml:space="preserve">Due to the wide array of electronic communication capabilities across </w:t>
      </w:r>
      <w:r w:rsidR="0015102C" w:rsidRPr="00F66735">
        <w:t>hospitals</w:t>
      </w:r>
      <w:r w:rsidR="00E83D04" w:rsidRPr="00F66735">
        <w:t xml:space="preserve"> and to the potenti</w:t>
      </w:r>
      <w:r w:rsidR="0015102C" w:rsidRPr="00F66735">
        <w:t xml:space="preserve">al need for hospital </w:t>
      </w:r>
      <w:r w:rsidR="00E83D04" w:rsidRPr="00F66735">
        <w:t>staff to consult with other colleagues in the facility to answer some of the questions, t</w:t>
      </w:r>
      <w:r w:rsidRPr="00F66735">
        <w:t xml:space="preserve">he HFA </w:t>
      </w:r>
      <w:r w:rsidR="00D244D7" w:rsidRPr="00F66735">
        <w:t xml:space="preserve">is anticipated to </w:t>
      </w:r>
      <w:r w:rsidRPr="00F66735">
        <w:t>be completed in paper form</w:t>
      </w:r>
      <w:r w:rsidR="008F7F98" w:rsidRPr="00F66735">
        <w:t xml:space="preserve"> in most hospitals</w:t>
      </w:r>
      <w:r w:rsidR="00E83D04" w:rsidRPr="00F66735">
        <w:t xml:space="preserve">. </w:t>
      </w:r>
      <w:r w:rsidR="008F7F98" w:rsidRPr="00F66735">
        <w:t xml:space="preserve">Some hospitals </w:t>
      </w:r>
      <w:r w:rsidR="00D244D7" w:rsidRPr="00F66735">
        <w:t>may elect to comple</w:t>
      </w:r>
      <w:r w:rsidR="00E83D04" w:rsidRPr="00F66735">
        <w:t>te the form electronically (e.g.</w:t>
      </w:r>
      <w:r w:rsidR="00FA00F8" w:rsidRPr="00F66735">
        <w:t>,</w:t>
      </w:r>
      <w:r w:rsidR="00D244D7" w:rsidRPr="00F66735">
        <w:t xml:space="preserve"> fillable PDF). </w:t>
      </w:r>
      <w:r w:rsidR="00736D6C" w:rsidRPr="00F66735">
        <w:t xml:space="preserve">EIP site personnel will also provide </w:t>
      </w:r>
      <w:r w:rsidR="008F7F98" w:rsidRPr="00F66735">
        <w:t xml:space="preserve">training to hospital </w:t>
      </w:r>
      <w:r w:rsidR="00736D6C" w:rsidRPr="00F66735">
        <w:t>staff for completing the PIF</w:t>
      </w:r>
      <w:r w:rsidR="00FD10DC" w:rsidRPr="00F66735">
        <w:t xml:space="preserve"> as needed</w:t>
      </w:r>
      <w:r w:rsidR="00736D6C" w:rsidRPr="00F66735">
        <w:t xml:space="preserve">, although it is expected that </w:t>
      </w:r>
      <w:r w:rsidR="00FD10DC" w:rsidRPr="00F66735">
        <w:t>most or all</w:t>
      </w:r>
      <w:r w:rsidR="00736D6C" w:rsidRPr="00F66735">
        <w:t xml:space="preserve"> PIF data collection will be c</w:t>
      </w:r>
      <w:r w:rsidR="00E801AF" w:rsidRPr="00F66735">
        <w:t xml:space="preserve">ompleted by </w:t>
      </w:r>
      <w:r w:rsidR="008A7A1D" w:rsidRPr="00F66735">
        <w:t xml:space="preserve">EIP site personnel with </w:t>
      </w:r>
      <w:r w:rsidR="00FD10DC" w:rsidRPr="00F66735">
        <w:t xml:space="preserve">minimal </w:t>
      </w:r>
      <w:r w:rsidR="00E801AF" w:rsidRPr="00F66735">
        <w:t xml:space="preserve">assistance from </w:t>
      </w:r>
      <w:r w:rsidR="008F7F98" w:rsidRPr="00F66735">
        <w:t>hospital</w:t>
      </w:r>
      <w:r w:rsidR="00E801AF" w:rsidRPr="00F66735">
        <w:t xml:space="preserve"> staff. </w:t>
      </w:r>
    </w:p>
    <w:p w14:paraId="72B658B5" w14:textId="041E126D" w:rsidR="00BF6D34" w:rsidRPr="00F66735" w:rsidRDefault="00BF6D34" w:rsidP="00394B08"/>
    <w:p w14:paraId="58760BF7" w14:textId="2522C1CD" w:rsidR="008F2644" w:rsidRPr="00F66735" w:rsidRDefault="00231FDD" w:rsidP="00394B08">
      <w:pPr>
        <w:rPr>
          <w:b/>
        </w:rPr>
      </w:pPr>
      <w:r w:rsidRPr="00F66735">
        <w:t>In an effort to re-examine</w:t>
      </w:r>
      <w:r w:rsidR="00736D6C" w:rsidRPr="00F66735">
        <w:t xml:space="preserve"> public burden</w:t>
      </w:r>
      <w:r w:rsidR="00A64B19" w:rsidRPr="00F66735">
        <w:t xml:space="preserve"> and </w:t>
      </w:r>
      <w:r w:rsidR="008F7F98" w:rsidRPr="00F66735">
        <w:t xml:space="preserve">to </w:t>
      </w:r>
      <w:r w:rsidR="00A64B19" w:rsidRPr="00F66735">
        <w:t>improve data collection</w:t>
      </w:r>
      <w:r w:rsidR="00736D6C" w:rsidRPr="00F66735">
        <w:t>, CDC and EIP site pers</w:t>
      </w:r>
      <w:r w:rsidR="00102725" w:rsidRPr="00F66735">
        <w:t xml:space="preserve">onnel have conducted </w:t>
      </w:r>
      <w:r w:rsidR="00736D6C" w:rsidRPr="00F66735">
        <w:t xml:space="preserve">reviews of the two primary data collection instruments, HFA and PIF. </w:t>
      </w:r>
      <w:r w:rsidR="00866C99" w:rsidRPr="00F66735">
        <w:t xml:space="preserve">As a result, </w:t>
      </w:r>
      <w:r w:rsidR="00EA7F7D" w:rsidRPr="00F66735">
        <w:t xml:space="preserve">non-substantive </w:t>
      </w:r>
      <w:r w:rsidR="00866C99" w:rsidRPr="00F66735">
        <w:t>changes to thes</w:t>
      </w:r>
      <w:r w:rsidR="0021444F" w:rsidRPr="00F66735">
        <w:t xml:space="preserve">e instruments </w:t>
      </w:r>
      <w:r w:rsidR="00866C99" w:rsidRPr="00F66735">
        <w:t>have been made</w:t>
      </w:r>
      <w:r w:rsidR="00736D6C" w:rsidRPr="00F66735">
        <w:t>.</w:t>
      </w:r>
      <w:r w:rsidR="00866C99" w:rsidRPr="00F66735">
        <w:t xml:space="preserve"> In regards to the addition of new data collection elements, </w:t>
      </w:r>
      <w:r w:rsidR="00BF3D1B" w:rsidRPr="00F66735">
        <w:t xml:space="preserve">all </w:t>
      </w:r>
      <w:r w:rsidR="00866C99" w:rsidRPr="00F66735">
        <w:t xml:space="preserve">changes were thoroughly evaluated and deemed necessary to </w:t>
      </w:r>
      <w:r w:rsidR="00736D6C" w:rsidRPr="00F66735">
        <w:t xml:space="preserve">enhance </w:t>
      </w:r>
      <w:r w:rsidR="00866C99" w:rsidRPr="00F66735">
        <w:t xml:space="preserve">future </w:t>
      </w:r>
      <w:r w:rsidR="00736D6C" w:rsidRPr="00F66735">
        <w:t xml:space="preserve">analysis and utility of </w:t>
      </w:r>
      <w:r w:rsidR="00866C99" w:rsidRPr="00F66735">
        <w:t>survey data for CDC</w:t>
      </w:r>
      <w:r w:rsidR="00736D6C" w:rsidRPr="00F66735">
        <w:t xml:space="preserve">, EIP, and other </w:t>
      </w:r>
      <w:r w:rsidR="00BF3D1B" w:rsidRPr="00F66735">
        <w:t xml:space="preserve">public health partners. </w:t>
      </w:r>
      <w:r w:rsidR="0081337D" w:rsidRPr="00F66735">
        <w:t xml:space="preserve">These changes are not expected to increase the public reporting burden. </w:t>
      </w:r>
      <w:r w:rsidR="00EA7F7D" w:rsidRPr="00F66735">
        <w:t>Det</w:t>
      </w:r>
      <w:r w:rsidR="0081337D" w:rsidRPr="00F66735">
        <w:t xml:space="preserve">ailed descriptions of </w:t>
      </w:r>
      <w:r w:rsidR="00EA7F7D" w:rsidRPr="00F66735">
        <w:t xml:space="preserve">changes </w:t>
      </w:r>
      <w:r w:rsidR="0081337D" w:rsidRPr="00F66735">
        <w:t xml:space="preserve">to the HFA and PIF </w:t>
      </w:r>
      <w:r w:rsidR="00EA7F7D" w:rsidRPr="00F66735">
        <w:t xml:space="preserve">are provided in Section 15. </w:t>
      </w:r>
    </w:p>
    <w:p w14:paraId="43B5F871" w14:textId="77777777" w:rsidR="007A4CBA" w:rsidRPr="00F66735" w:rsidRDefault="007A4CBA" w:rsidP="00EE7469"/>
    <w:p w14:paraId="3708EE9A" w14:textId="77777777" w:rsidR="00BC7CD3" w:rsidRPr="00F66735" w:rsidRDefault="00B21225" w:rsidP="00061956">
      <w:pPr>
        <w:pStyle w:val="Heading1"/>
        <w:rPr>
          <w:lang w:val="en-CA"/>
        </w:rPr>
      </w:pPr>
      <w:bookmarkStart w:id="10" w:name="_Toc455558072"/>
      <w:r w:rsidRPr="00F66735">
        <w:t>Efforts to Identify Duplication and Use of Similar Information</w:t>
      </w:r>
      <w:bookmarkEnd w:id="10"/>
    </w:p>
    <w:p w14:paraId="6CB664D5" w14:textId="77777777" w:rsidR="00BC7CD3" w:rsidRPr="00F66735" w:rsidRDefault="00BC7CD3" w:rsidP="00EE7469">
      <w:pPr>
        <w:rPr>
          <w:lang w:val="en-CA"/>
        </w:rPr>
      </w:pPr>
    </w:p>
    <w:p w14:paraId="2C4725E2" w14:textId="22B3DE97" w:rsidR="009037AC" w:rsidRPr="00F66735" w:rsidRDefault="00BC7CD3" w:rsidP="00EE7469">
      <w:r w:rsidRPr="00F66735">
        <w:rPr>
          <w:lang w:val="en-CA"/>
        </w:rPr>
        <w:t>C</w:t>
      </w:r>
      <w:r w:rsidR="003A6AFC" w:rsidRPr="00F66735">
        <w:t xml:space="preserve">DC’s first </w:t>
      </w:r>
      <w:r w:rsidR="00A01735" w:rsidRPr="00F66735">
        <w:t xml:space="preserve">large-scale </w:t>
      </w:r>
      <w:r w:rsidR="003A6AFC" w:rsidRPr="00F66735">
        <w:t>HAI prevalence survey was conducted in</w:t>
      </w:r>
      <w:r w:rsidR="00050F77" w:rsidRPr="00F66735">
        <w:t xml:space="preserve"> the 1970s </w:t>
      </w:r>
      <w:r w:rsidR="00443968" w:rsidRPr="00F66735">
        <w:t>(Study on the Efficacy of Nosocomial Infection Control, SENIC</w:t>
      </w:r>
      <w:r w:rsidR="00DB4A55" w:rsidRPr="00F66735">
        <w:t>)</w:t>
      </w:r>
      <w:r w:rsidR="00C77282" w:rsidRPr="00F66735">
        <w:t xml:space="preserve">, </w:t>
      </w:r>
      <w:r w:rsidR="003A6AFC" w:rsidRPr="00F66735">
        <w:t xml:space="preserve">using a team of trained abstractors to collect comprehensive HAI data from a probability sample of 338 hospitals </w:t>
      </w:r>
      <w:r w:rsidR="00246B21" w:rsidRPr="00F66735">
        <w:t>[</w:t>
      </w:r>
      <w:r w:rsidR="0082563E">
        <w:t>10</w:t>
      </w:r>
      <w:r w:rsidR="00246B21" w:rsidRPr="00F66735">
        <w:t>]</w:t>
      </w:r>
      <w:r w:rsidR="003A6AFC" w:rsidRPr="00F66735">
        <w:t>.</w:t>
      </w:r>
      <w:r w:rsidR="009C40B0" w:rsidRPr="00F66735">
        <w:t xml:space="preserve"> </w:t>
      </w:r>
      <w:r w:rsidR="00050F77" w:rsidRPr="00F66735">
        <w:t>In the 1980s and 1990s</w:t>
      </w:r>
      <w:r w:rsidR="00C926F3" w:rsidRPr="00F66735">
        <w:t>,</w:t>
      </w:r>
      <w:r w:rsidR="00050F77" w:rsidRPr="00F66735">
        <w:t xml:space="preserve"> CDC conducted voluntary, hospital-wide infection surveillance through the National Nosocomial Infections Surveillance (NNIS) system</w:t>
      </w:r>
      <w:r w:rsidR="009C3201" w:rsidRPr="00F66735">
        <w:t xml:space="preserve"> (OMB Control Number 0920-0012)</w:t>
      </w:r>
      <w:r w:rsidR="00050F77" w:rsidRPr="00F66735">
        <w:t>; in NNIS, data were reported from local hospital</w:t>
      </w:r>
      <w:r w:rsidR="00CB5E5F" w:rsidRPr="00F66735">
        <w:t xml:space="preserve"> personnel rather than a </w:t>
      </w:r>
      <w:r w:rsidR="00050F77" w:rsidRPr="00F66735">
        <w:t>team of CDC-trained data collectors</w:t>
      </w:r>
      <w:r w:rsidR="00903FC3" w:rsidRPr="00F66735">
        <w:t xml:space="preserve"> (</w:t>
      </w:r>
      <w:hyperlink r:id="rId25" w:history="1">
        <w:r w:rsidR="00C926F3" w:rsidRPr="00F66735">
          <w:rPr>
            <w:rStyle w:val="Hyperlink"/>
          </w:rPr>
          <w:t>https://wwwnc.cdc.gov/eid/article/7/2/70-0295_article</w:t>
        </w:r>
      </w:hyperlink>
      <w:r w:rsidR="00903FC3" w:rsidRPr="00F66735">
        <w:t>)</w:t>
      </w:r>
      <w:r w:rsidR="00050F77" w:rsidRPr="00F66735">
        <w:t>.</w:t>
      </w:r>
      <w:r w:rsidR="009C40B0" w:rsidRPr="00F66735">
        <w:t xml:space="preserve"> </w:t>
      </w:r>
      <w:r w:rsidR="003C5F8F" w:rsidRPr="00F66735">
        <w:t xml:space="preserve"> </w:t>
      </w:r>
      <w:r w:rsidR="00050F77" w:rsidRPr="00F66735">
        <w:t xml:space="preserve">As demands on infection control grew, voluntary NNIS hospitals </w:t>
      </w:r>
      <w:r w:rsidR="00C77282" w:rsidRPr="00F66735">
        <w:t xml:space="preserve">began to perform </w:t>
      </w:r>
      <w:r w:rsidR="00050F77" w:rsidRPr="00F66735">
        <w:t>target</w:t>
      </w:r>
      <w:r w:rsidR="00C77282" w:rsidRPr="00F66735">
        <w:t>ed</w:t>
      </w:r>
      <w:r w:rsidR="00050F77" w:rsidRPr="00F66735">
        <w:t xml:space="preserve"> surveillance in high-risk hospital areas (such as intensive care units) that were most useful </w:t>
      </w:r>
      <w:r w:rsidR="003C5F8F" w:rsidRPr="00F66735">
        <w:t xml:space="preserve">in calculating </w:t>
      </w:r>
      <w:r w:rsidR="00050F77" w:rsidRPr="00F66735">
        <w:t>risk-adjusted</w:t>
      </w:r>
      <w:r w:rsidR="003C5F8F" w:rsidRPr="00F66735">
        <w:t xml:space="preserve"> HAI incidence rates</w:t>
      </w:r>
      <w:r w:rsidR="00050F77" w:rsidRPr="00F66735">
        <w:t>.</w:t>
      </w:r>
      <w:r w:rsidR="009C40B0" w:rsidRPr="00F66735">
        <w:t xml:space="preserve"> </w:t>
      </w:r>
      <w:r w:rsidR="00050F77" w:rsidRPr="00F66735">
        <w:t xml:space="preserve"> </w:t>
      </w:r>
      <w:r w:rsidR="003C5F8F" w:rsidRPr="00F66735">
        <w:t xml:space="preserve">The </w:t>
      </w:r>
      <w:r w:rsidR="00050F77" w:rsidRPr="00F66735">
        <w:t xml:space="preserve">NNIS system’s hospital-wide HAI surveillance component was eliminated in 1996. </w:t>
      </w:r>
    </w:p>
    <w:p w14:paraId="40851529" w14:textId="77777777" w:rsidR="009037AC" w:rsidRPr="00F66735" w:rsidRDefault="009037AC" w:rsidP="00EE7469"/>
    <w:p w14:paraId="4C89995D" w14:textId="77777777" w:rsidR="009037AC" w:rsidRPr="00F66735" w:rsidRDefault="00050F77" w:rsidP="00EE7469">
      <w:r w:rsidRPr="00F66735">
        <w:t xml:space="preserve">CDC’s successor to the NNIS system, the </w:t>
      </w:r>
      <w:r w:rsidR="003C5F8F" w:rsidRPr="00F66735">
        <w:t>N</w:t>
      </w:r>
      <w:r w:rsidR="009C40B0" w:rsidRPr="00F66735">
        <w:t xml:space="preserve">ational </w:t>
      </w:r>
      <w:r w:rsidR="003C5F8F" w:rsidRPr="00F66735">
        <w:t>H</w:t>
      </w:r>
      <w:r w:rsidR="009C40B0" w:rsidRPr="00F66735">
        <w:t xml:space="preserve">ealthcare </w:t>
      </w:r>
      <w:r w:rsidR="003C5F8F" w:rsidRPr="00F66735">
        <w:t>S</w:t>
      </w:r>
      <w:r w:rsidR="009C40B0" w:rsidRPr="00F66735">
        <w:t xml:space="preserve">afety </w:t>
      </w:r>
      <w:r w:rsidR="003C5F8F" w:rsidRPr="00F66735">
        <w:t>N</w:t>
      </w:r>
      <w:r w:rsidR="009C40B0" w:rsidRPr="00F66735">
        <w:t>etwork (NHSN)</w:t>
      </w:r>
      <w:r w:rsidR="003C5F8F" w:rsidRPr="00F66735">
        <w:t xml:space="preserve"> </w:t>
      </w:r>
      <w:r w:rsidR="009C3201" w:rsidRPr="00F66735">
        <w:t>(OMB Control No. 0920-0666)</w:t>
      </w:r>
      <w:r w:rsidRPr="00F66735">
        <w:t>, is not designed to estimate the scope</w:t>
      </w:r>
      <w:r w:rsidR="003C5F8F" w:rsidRPr="00F66735">
        <w:t xml:space="preserve"> and magnitude of HAIs hospital-</w:t>
      </w:r>
      <w:r w:rsidRPr="00F66735">
        <w:t>wide; rather, it focuses on device-associated and procedure-associated infections</w:t>
      </w:r>
      <w:r w:rsidR="00903FC3" w:rsidRPr="00F66735">
        <w:t xml:space="preserve"> </w:t>
      </w:r>
      <w:r w:rsidR="00043599" w:rsidRPr="00F66735">
        <w:t>[e.g.</w:t>
      </w:r>
      <w:r w:rsidR="00173EFB" w:rsidRPr="00F66735">
        <w:t xml:space="preserve"> CLABSIs, CAUTIs, SSIs</w:t>
      </w:r>
      <w:r w:rsidR="003C5F8F" w:rsidRPr="00F66735">
        <w:t xml:space="preserve">, </w:t>
      </w:r>
      <w:r w:rsidR="00A01735" w:rsidRPr="00F66735">
        <w:t>etc.</w:t>
      </w:r>
      <w:r w:rsidR="00043599" w:rsidRPr="00F66735">
        <w:t>]</w:t>
      </w:r>
      <w:r w:rsidR="003C5F8F" w:rsidRPr="00F66735">
        <w:t xml:space="preserve"> </w:t>
      </w:r>
      <w:r w:rsidR="00903FC3" w:rsidRPr="00F66735">
        <w:t>(</w:t>
      </w:r>
      <w:hyperlink r:id="rId26" w:history="1">
        <w:r w:rsidR="003C5F8F" w:rsidRPr="00F66735">
          <w:rPr>
            <w:rStyle w:val="Hyperlink"/>
          </w:rPr>
          <w:t>http://www.cdc.gov/nhsn/about.html</w:t>
        </w:r>
      </w:hyperlink>
      <w:r w:rsidR="00903FC3" w:rsidRPr="00F66735">
        <w:t>)</w:t>
      </w:r>
      <w:r w:rsidR="00043599" w:rsidRPr="00F66735">
        <w:t>, and select</w:t>
      </w:r>
      <w:r w:rsidR="00E13F0C" w:rsidRPr="00F66735">
        <w:t xml:space="preserve"> infections due to resistant organisms</w:t>
      </w:r>
      <w:r w:rsidRPr="00F66735">
        <w:t>.</w:t>
      </w:r>
      <w:r w:rsidR="009C40B0" w:rsidRPr="00F66735">
        <w:t xml:space="preserve"> </w:t>
      </w:r>
      <w:r w:rsidR="00D53F36" w:rsidRPr="00F66735">
        <w:t xml:space="preserve">An </w:t>
      </w:r>
      <w:r w:rsidR="00CB5E5F" w:rsidRPr="00F66735">
        <w:t xml:space="preserve">AU </w:t>
      </w:r>
      <w:r w:rsidR="00F2689F" w:rsidRPr="00F66735">
        <w:t>reporting module a</w:t>
      </w:r>
      <w:r w:rsidR="003E1F1B" w:rsidRPr="00F66735">
        <w:t>lso allows hospitals</w:t>
      </w:r>
      <w:r w:rsidR="00F2689F" w:rsidRPr="00F66735">
        <w:t xml:space="preserve"> to submit location-specific antimi</w:t>
      </w:r>
      <w:r w:rsidR="00CB5E5F" w:rsidRPr="00F66735">
        <w:t xml:space="preserve">crobial consumption data to </w:t>
      </w:r>
      <w:r w:rsidR="00F2689F" w:rsidRPr="00F66735">
        <w:t>NHSN; data submission mu</w:t>
      </w:r>
      <w:r w:rsidR="00043599" w:rsidRPr="00F66735">
        <w:t>st be done electronically (i.e.</w:t>
      </w:r>
      <w:r w:rsidR="00004DF8" w:rsidRPr="00F66735">
        <w:t>,</w:t>
      </w:r>
      <w:r w:rsidR="00F2689F" w:rsidRPr="00F66735">
        <w:t xml:space="preserve"> no manual data entry), and facility-wide data submission is not required. Patient-level data are not submitted to </w:t>
      </w:r>
      <w:r w:rsidR="00CB5E5F" w:rsidRPr="00F66735">
        <w:t>this AU</w:t>
      </w:r>
      <w:r w:rsidR="00F2689F" w:rsidRPr="00F66735">
        <w:t xml:space="preserve"> reporting option. </w:t>
      </w:r>
      <w:r w:rsidR="009C40B0" w:rsidRPr="00F66735">
        <w:t xml:space="preserve"> </w:t>
      </w:r>
      <w:r w:rsidR="003E1F1B" w:rsidRPr="00F66735">
        <w:t xml:space="preserve">Hospital </w:t>
      </w:r>
      <w:r w:rsidR="00CB5E5F" w:rsidRPr="00F66735">
        <w:t xml:space="preserve">participation in </w:t>
      </w:r>
      <w:r w:rsidR="00A01735" w:rsidRPr="00F66735">
        <w:t xml:space="preserve">NHSN is in many cases driven by state HAI reporting mandates and by requirements of the Centers for Medicare and Medicaid Services’ </w:t>
      </w:r>
      <w:r w:rsidR="0001233E" w:rsidRPr="00F66735">
        <w:t xml:space="preserve">(CMS) </w:t>
      </w:r>
      <w:r w:rsidR="00A01735" w:rsidRPr="00F66735">
        <w:t xml:space="preserve">Hospital Inpatient Quality Reporting </w:t>
      </w:r>
      <w:r w:rsidR="0001233E" w:rsidRPr="00F66735">
        <w:t xml:space="preserve">(IQR) </w:t>
      </w:r>
      <w:r w:rsidR="00A01735" w:rsidRPr="00F66735">
        <w:t>Program</w:t>
      </w:r>
      <w:r w:rsidR="000A2064" w:rsidRPr="00F66735">
        <w:t xml:space="preserve"> (</w:t>
      </w:r>
      <w:hyperlink r:id="rId27" w:history="1">
        <w:r w:rsidR="000A2064" w:rsidRPr="00F66735">
          <w:rPr>
            <w:rStyle w:val="Hyperlink"/>
          </w:rPr>
          <w:t>https://www.cms.gov/Medicare/Quality-Initiatives-Patient-Assessment-Instruments/HospitalQualityInits/HospitalRHQDAPU.html</w:t>
        </w:r>
      </w:hyperlink>
      <w:r w:rsidR="000A2064" w:rsidRPr="00F66735">
        <w:t>)</w:t>
      </w:r>
      <w:r w:rsidR="008C03E2" w:rsidRPr="00F66735">
        <w:t>, which includes select</w:t>
      </w:r>
      <w:r w:rsidR="00694EE2" w:rsidRPr="00F66735">
        <w:t>ed</w:t>
      </w:r>
      <w:r w:rsidR="00A01735" w:rsidRPr="00F66735">
        <w:t xml:space="preserve"> HAIs. </w:t>
      </w:r>
      <w:r w:rsidR="00CB5E5F" w:rsidRPr="00F66735">
        <w:t xml:space="preserve">In its current form, </w:t>
      </w:r>
      <w:r w:rsidR="001268FF" w:rsidRPr="00F66735">
        <w:t xml:space="preserve">NHSN cannot provide estimates of </w:t>
      </w:r>
      <w:r w:rsidR="00CB5E5F" w:rsidRPr="00F66735">
        <w:t xml:space="preserve">all types of </w:t>
      </w:r>
      <w:r w:rsidR="001268FF" w:rsidRPr="00F66735">
        <w:t>HAI</w:t>
      </w:r>
      <w:r w:rsidR="00CB5E5F" w:rsidRPr="00F66735">
        <w:t xml:space="preserve">s </w:t>
      </w:r>
      <w:r w:rsidR="00443968" w:rsidRPr="00F66735">
        <w:t>or</w:t>
      </w:r>
      <w:r w:rsidR="00CB5E5F" w:rsidRPr="00F66735">
        <w:t xml:space="preserve"> of</w:t>
      </w:r>
      <w:r w:rsidR="00443968" w:rsidRPr="00F66735">
        <w:t xml:space="preserve"> </w:t>
      </w:r>
      <w:r w:rsidR="009121E5" w:rsidRPr="00F66735">
        <w:t>AU</w:t>
      </w:r>
      <w:r w:rsidR="00443968" w:rsidRPr="00F66735">
        <w:t xml:space="preserve"> </w:t>
      </w:r>
      <w:r w:rsidR="001268FF" w:rsidRPr="00F66735">
        <w:t xml:space="preserve">throughout an entire hospital. </w:t>
      </w:r>
      <w:r w:rsidR="00CB5E5F" w:rsidRPr="00F66735">
        <w:t xml:space="preserve">However, these estimates </w:t>
      </w:r>
      <w:r w:rsidR="009037AC" w:rsidRPr="00F66735">
        <w:t xml:space="preserve">can be obtained using </w:t>
      </w:r>
      <w:r w:rsidRPr="00F66735">
        <w:t>prevalence surveys.</w:t>
      </w:r>
      <w:r w:rsidR="009C40B0" w:rsidRPr="00F66735">
        <w:t xml:space="preserve"> </w:t>
      </w:r>
    </w:p>
    <w:p w14:paraId="55CD6BF6" w14:textId="77777777" w:rsidR="009121E5" w:rsidRPr="00F66735" w:rsidRDefault="009121E5" w:rsidP="009121E5"/>
    <w:p w14:paraId="15924734" w14:textId="79DE3E7D" w:rsidR="00241ECB" w:rsidRDefault="009121E5" w:rsidP="00334757">
      <w:r w:rsidRPr="00F66735">
        <w:t xml:space="preserve">While the information collected in the EIP HAI and AU Prevalence Survey is broader in scope than the data collected in NHSN, there may be some minimal overlap. Most hospitals in the United States are </w:t>
      </w:r>
      <w:r w:rsidR="00043599" w:rsidRPr="00F66735">
        <w:t>participating in CLABSI</w:t>
      </w:r>
      <w:r w:rsidRPr="00F66735">
        <w:t xml:space="preserve"> s</w:t>
      </w:r>
      <w:r w:rsidR="00173EFB" w:rsidRPr="00F66735">
        <w:t xml:space="preserve">urveillance and </w:t>
      </w:r>
      <w:r w:rsidR="00043599" w:rsidRPr="00F66735">
        <w:t>CAUTI</w:t>
      </w:r>
      <w:r w:rsidRPr="00F66735">
        <w:t xml:space="preserve"> surveillance in intensive care units through NHSN as part of required reporting for the CMS IQR program. Most hospitals are also reporting deep incisional and organ/space SSI data from colon surgeries and abdominal hysterectomies to NHSN due to CMS requirements. Other, more recent additions to the CMS IQR program requirem</w:t>
      </w:r>
      <w:r w:rsidR="003E1F1B" w:rsidRPr="00F66735">
        <w:t>ents include reporting of hospital</w:t>
      </w:r>
      <w:r w:rsidRPr="00F66735">
        <w:t xml:space="preserve">-wide MRSA bacteremia and </w:t>
      </w:r>
      <w:r w:rsidRPr="00F66735">
        <w:rPr>
          <w:i/>
        </w:rPr>
        <w:t>C. difficile</w:t>
      </w:r>
      <w:r w:rsidRPr="00F66735">
        <w:t xml:space="preserve"> infection</w:t>
      </w:r>
      <w:r w:rsidR="000A2064" w:rsidRPr="00F66735">
        <w:t xml:space="preserve"> through </w:t>
      </w:r>
      <w:r w:rsidRPr="00F66735">
        <w:t xml:space="preserve">NHSN. We estimate that these infections account for approximately 24% of all HAIs, based on 2011 and 2015 </w:t>
      </w:r>
      <w:r w:rsidR="000A2064" w:rsidRPr="00F66735">
        <w:t xml:space="preserve">prevalence </w:t>
      </w:r>
      <w:r w:rsidRPr="00F66735">
        <w:t>survey results</w:t>
      </w:r>
      <w:r w:rsidR="00102725" w:rsidRPr="00F66735">
        <w:t xml:space="preserve"> [2,4</w:t>
      </w:r>
      <w:r w:rsidR="00043599" w:rsidRPr="00F66735">
        <w:t>]</w:t>
      </w:r>
      <w:r w:rsidRPr="00F66735">
        <w:t xml:space="preserve">. It is important to note that while we estimate that approximately 24% of the HAIs identified in the prevalence survey </w:t>
      </w:r>
      <w:r w:rsidR="000A2064" w:rsidRPr="00F66735">
        <w:t>in a given hospital will also be entered into NHSN</w:t>
      </w:r>
      <w:r w:rsidR="003E1F1B" w:rsidRPr="00F66735">
        <w:t>, each hospital</w:t>
      </w:r>
      <w:r w:rsidRPr="00F66735">
        <w:t xml:space="preserve"> will conduct the prevalence survey over a very short period of time (one day) and will only be collecting data on a sample of </w:t>
      </w:r>
      <w:r w:rsidR="003E1F1B" w:rsidRPr="00F66735">
        <w:t>in</w:t>
      </w:r>
      <w:r w:rsidRPr="00F66735">
        <w:t xml:space="preserve">patients in </w:t>
      </w:r>
      <w:r w:rsidR="003E1F1B" w:rsidRPr="00F66735">
        <w:t>the hospital</w:t>
      </w:r>
      <w:r w:rsidRPr="00F66735">
        <w:t xml:space="preserve"> during that short time period. For example, a hospital with 500 acute care beds may be asked to review 100 </w:t>
      </w:r>
      <w:r w:rsidR="003E1F1B" w:rsidRPr="00F66735">
        <w:t>in</w:t>
      </w:r>
      <w:r w:rsidRPr="00F66735">
        <w:t xml:space="preserve">patient medical records for the purposes of the prevalence survey. If </w:t>
      </w:r>
      <w:r w:rsidR="00801C75" w:rsidRPr="00F66735">
        <w:t>3</w:t>
      </w:r>
      <w:r w:rsidRPr="00F66735">
        <w:t xml:space="preserve">% of these </w:t>
      </w:r>
      <w:r w:rsidR="003E1F1B" w:rsidRPr="00F66735">
        <w:t>in</w:t>
      </w:r>
      <w:r w:rsidRPr="00F66735">
        <w:t>patients have HAI</w:t>
      </w:r>
      <w:r w:rsidR="00801C75" w:rsidRPr="00F66735">
        <w:t>s (3</w:t>
      </w:r>
      <w:r w:rsidRPr="00F66735">
        <w:t xml:space="preserve"> </w:t>
      </w:r>
      <w:r w:rsidR="003E1F1B" w:rsidRPr="00F66735">
        <w:t>in</w:t>
      </w:r>
      <w:r w:rsidRPr="00F66735">
        <w:t xml:space="preserve">patients) and we estimate that 24% of HAIs detected will also need to be entered into NHSN, that represents a burden of </w:t>
      </w:r>
      <w:r w:rsidR="00801C75" w:rsidRPr="00F66735">
        <w:t xml:space="preserve">less than </w:t>
      </w:r>
      <w:r w:rsidRPr="00F66735">
        <w:t xml:space="preserve">one </w:t>
      </w:r>
      <w:r w:rsidR="003E1F1B" w:rsidRPr="00F66735">
        <w:t>inpatient record for that hospital</w:t>
      </w:r>
      <w:r w:rsidRPr="00F66735">
        <w:t xml:space="preserve">. </w:t>
      </w:r>
    </w:p>
    <w:p w14:paraId="5E104D99" w14:textId="77777777" w:rsidR="0082563E" w:rsidRDefault="0082563E" w:rsidP="00334757"/>
    <w:p w14:paraId="3E0CD8D1" w14:textId="632A0DAB" w:rsidR="000A2064" w:rsidRPr="00F66735" w:rsidRDefault="00334757" w:rsidP="00334757">
      <w:r w:rsidRPr="00F66735">
        <w:t xml:space="preserve">Other CDC systems that have the capability of collecting information on HAIs in acute care </w:t>
      </w:r>
      <w:r w:rsidR="000A2064" w:rsidRPr="00F66735">
        <w:t>hospitals</w:t>
      </w:r>
      <w:r w:rsidRPr="00F66735">
        <w:t xml:space="preserve"> include the National </w:t>
      </w:r>
      <w:r w:rsidR="00DC7A73" w:rsidRPr="00F66735">
        <w:t xml:space="preserve">Hospital </w:t>
      </w:r>
      <w:r w:rsidRPr="00F66735">
        <w:t>Care Survey (NHCS), run by the National Center for Health Statistics (NCHS)</w:t>
      </w:r>
      <w:r w:rsidR="009E4B33" w:rsidRPr="00F66735">
        <w:t xml:space="preserve"> (</w:t>
      </w:r>
      <w:hyperlink r:id="rId28" w:history="1">
        <w:r w:rsidR="009E4B33" w:rsidRPr="00F66735">
          <w:rPr>
            <w:rStyle w:val="Hyperlink"/>
          </w:rPr>
          <w:t>https://www.cdc.gov/nchs/nhcs/index.htm</w:t>
        </w:r>
      </w:hyperlink>
      <w:r w:rsidR="009E4B33" w:rsidRPr="00F66735">
        <w:t>)</w:t>
      </w:r>
      <w:r w:rsidRPr="00F66735">
        <w:t xml:space="preserve">. </w:t>
      </w:r>
      <w:r w:rsidR="00CB5E5F" w:rsidRPr="00F66735">
        <w:t xml:space="preserve">The </w:t>
      </w:r>
      <w:r w:rsidRPr="00F66735">
        <w:t xml:space="preserve">NHCS collects data on </w:t>
      </w:r>
      <w:r w:rsidR="000A2064" w:rsidRPr="00F66735">
        <w:t xml:space="preserve">hospital </w:t>
      </w:r>
      <w:r w:rsidRPr="00F66735">
        <w:t>inpatients and visits to emerg</w:t>
      </w:r>
      <w:r w:rsidR="000A2064" w:rsidRPr="00F66735">
        <w:t>ency departments and outpatient</w:t>
      </w:r>
      <w:r w:rsidRPr="00F66735">
        <w:t xml:space="preserve"> departments</w:t>
      </w:r>
      <w:r w:rsidR="000A2064" w:rsidRPr="00F66735">
        <w:t>,</w:t>
      </w:r>
      <w:r w:rsidRPr="00F66735">
        <w:t xml:space="preserve"> including ambulatory surgery. We in the Division of Healthcare Quality Promotion (DHQP) previously worked with NCHS staff to incorporate a CLABSI event detection component into</w:t>
      </w:r>
      <w:r w:rsidR="000A2064" w:rsidRPr="00F66735">
        <w:t xml:space="preserve"> a precursor </w:t>
      </w:r>
      <w:r w:rsidR="00CB5E5F" w:rsidRPr="00F66735">
        <w:t xml:space="preserve">to </w:t>
      </w:r>
      <w:r w:rsidRPr="00F66735">
        <w:t xml:space="preserve">NHCS, in 2007-2008. </w:t>
      </w:r>
      <w:r w:rsidR="000A2064" w:rsidRPr="00F66735">
        <w:t>After the conclusion of a 9-fac</w:t>
      </w:r>
      <w:r w:rsidR="00884F36" w:rsidRPr="00F66735">
        <w:t xml:space="preserve">ility pilot of the CLABSI </w:t>
      </w:r>
      <w:r w:rsidR="000A2064" w:rsidRPr="00F66735">
        <w:t xml:space="preserve">component, it was determined that the </w:t>
      </w:r>
      <w:r w:rsidR="00CB5E5F" w:rsidRPr="00F66735">
        <w:t xml:space="preserve">burden of </w:t>
      </w:r>
      <w:r w:rsidR="00884F36" w:rsidRPr="00F66735">
        <w:t xml:space="preserve">medical record </w:t>
      </w:r>
      <w:r w:rsidR="00CB5E5F" w:rsidRPr="00F66735">
        <w:t xml:space="preserve">abstraction </w:t>
      </w:r>
      <w:r w:rsidR="00884F36" w:rsidRPr="00F66735">
        <w:t>rendered the component impractical.</w:t>
      </w:r>
      <w:r w:rsidR="00453EE7" w:rsidRPr="00F66735">
        <w:t xml:space="preserve"> In addition, h</w:t>
      </w:r>
      <w:r w:rsidR="00CB5E5F" w:rsidRPr="00F66735">
        <w:t xml:space="preserve">ospitals participating in </w:t>
      </w:r>
      <w:r w:rsidR="00453EE7" w:rsidRPr="00F66735">
        <w:t xml:space="preserve">NHCS submit inpatient and ambulatory UB-04 administrative claims </w:t>
      </w:r>
      <w:r w:rsidR="00CB5E5F" w:rsidRPr="00F66735">
        <w:t>data</w:t>
      </w:r>
      <w:r w:rsidR="00453EE7" w:rsidRPr="00F66735">
        <w:t>, and studies have shown that administrative claims data are not acc</w:t>
      </w:r>
      <w:r w:rsidR="008C03E2" w:rsidRPr="00F66735">
        <w:t>eptable for identifyi</w:t>
      </w:r>
      <w:r w:rsidR="00D53F36" w:rsidRPr="00F66735">
        <w:t>ng HAIs [</w:t>
      </w:r>
      <w:r w:rsidR="0082563E">
        <w:t>11</w:t>
      </w:r>
      <w:r w:rsidR="00453EE7" w:rsidRPr="00F66735">
        <w:t>-</w:t>
      </w:r>
      <w:r w:rsidR="0082563E" w:rsidRPr="00F66735">
        <w:t>1</w:t>
      </w:r>
      <w:r w:rsidR="0082563E">
        <w:t>4</w:t>
      </w:r>
      <w:r w:rsidR="00453EE7" w:rsidRPr="00F66735">
        <w:t xml:space="preserve">]. </w:t>
      </w:r>
      <w:r w:rsidR="00884F36" w:rsidRPr="00F66735">
        <w:t>We have previously had communications with NCHS colleagues (Clarice Brown, Paul Beatty and Carol DeFrances) to explore the possibility of using the NHCS infrastructure in future years to conduct or enhance the prevalence survey, and we will continue to explore these possibilities as implementation of the NHCS progresses. Currently</w:t>
      </w:r>
      <w:r w:rsidR="004C7CBB" w:rsidRPr="00F66735">
        <w:t>,</w:t>
      </w:r>
      <w:r w:rsidR="00884F36" w:rsidRPr="00F66735">
        <w:t xml:space="preserve"> it is necessary to use the prevalence survey</w:t>
      </w:r>
      <w:r w:rsidR="00AB0662" w:rsidRPr="00F66735">
        <w:t xml:space="preserve"> with the same data collection methods</w:t>
      </w:r>
      <w:r w:rsidR="00884F36" w:rsidRPr="00F66735">
        <w:t xml:space="preserve"> to</w:t>
      </w:r>
      <w:r w:rsidR="004C7CBB" w:rsidRPr="00F66735">
        <w:t xml:space="preserve"> assess changes in HAIs and AU over time</w:t>
      </w:r>
      <w:r w:rsidR="00CF49A6" w:rsidRPr="00F66735">
        <w:t xml:space="preserve"> and to evaluate changes in antimicrobial prescribing quality</w:t>
      </w:r>
      <w:r w:rsidR="004C7CBB" w:rsidRPr="00F66735">
        <w:t xml:space="preserve"> </w:t>
      </w:r>
      <w:r w:rsidR="00694EE2" w:rsidRPr="00F66735">
        <w:t>in a similar group of hospitals</w:t>
      </w:r>
      <w:r w:rsidR="00CF49A6" w:rsidRPr="00F66735">
        <w:t>.</w:t>
      </w:r>
    </w:p>
    <w:p w14:paraId="0DE6AF02" w14:textId="77777777" w:rsidR="00884F36" w:rsidRPr="00F66735" w:rsidRDefault="00884F36" w:rsidP="00334757"/>
    <w:p w14:paraId="65D49479" w14:textId="1B73FDB4" w:rsidR="00884F36" w:rsidRDefault="00453EE7" w:rsidP="004C7CBB">
      <w:r w:rsidRPr="00F66735">
        <w:t>Although other p</w:t>
      </w:r>
      <w:r w:rsidR="00884F36" w:rsidRPr="00F66735">
        <w:t>revalence surveys have been conducted in several countries aro</w:t>
      </w:r>
      <w:r w:rsidR="00735694" w:rsidRPr="00F66735">
        <w:t>u</w:t>
      </w:r>
      <w:r w:rsidR="00D53F36" w:rsidRPr="00F66735">
        <w:t>nd the world [11-35</w:t>
      </w:r>
      <w:r w:rsidR="00884F36" w:rsidRPr="00F66735">
        <w:t>]</w:t>
      </w:r>
      <w:r w:rsidRPr="00F66735">
        <w:t>, t</w:t>
      </w:r>
      <w:r w:rsidR="00884F36" w:rsidRPr="00F66735">
        <w:t>here are currently no duplicate efforts u</w:t>
      </w:r>
      <w:r w:rsidRPr="00F66735">
        <w:t xml:space="preserve">nderway within the U.S. A </w:t>
      </w:r>
      <w:r w:rsidR="00884F36" w:rsidRPr="00F66735">
        <w:t xml:space="preserve">global prevalence survey </w:t>
      </w:r>
      <w:r w:rsidR="00E608A3" w:rsidRPr="00F66735">
        <w:t xml:space="preserve">supported by bioMérieux and </w:t>
      </w:r>
      <w:r w:rsidR="00884F36" w:rsidRPr="00F66735">
        <w:t xml:space="preserve">focusing on </w:t>
      </w:r>
      <w:r w:rsidRPr="00F66735">
        <w:t>AU and not HAIs</w:t>
      </w:r>
      <w:r w:rsidR="00884F36" w:rsidRPr="00F66735">
        <w:t xml:space="preserve"> is </w:t>
      </w:r>
      <w:r w:rsidR="00CB5E5F" w:rsidRPr="00F66735">
        <w:t xml:space="preserve">currently </w:t>
      </w:r>
      <w:r w:rsidR="00884F36" w:rsidRPr="00F66735">
        <w:t>on-going (</w:t>
      </w:r>
      <w:hyperlink r:id="rId29" w:history="1">
        <w:r w:rsidR="004C7CBB" w:rsidRPr="00F66735">
          <w:rPr>
            <w:rStyle w:val="Hyperlink"/>
          </w:rPr>
          <w:t>https://www.antimicrobial-resistance.biomerieux.com/popup/global-point-prevalence-survey/</w:t>
        </w:r>
      </w:hyperlink>
      <w:r w:rsidRPr="00F66735">
        <w:t>), but t</w:t>
      </w:r>
      <w:r w:rsidR="00884F36" w:rsidRPr="00F66735">
        <w:t>he extent to which U.S. hospitals have been included in this effort is uncertain</w:t>
      </w:r>
      <w:r w:rsidRPr="00F66735">
        <w:t xml:space="preserve">. A </w:t>
      </w:r>
      <w:r w:rsidR="00884F36" w:rsidRPr="00F66735">
        <w:t xml:space="preserve">report presented at the European Conference on Clinical Microbiology and Infectious Diseases in 2016 indicated that 15 U.S. hospitals (all part of the Healthcare Corporation of America) had participated </w:t>
      </w:r>
      <w:r w:rsidRPr="00F66735">
        <w:t xml:space="preserve">in this survey </w:t>
      </w:r>
      <w:r w:rsidR="00884F36" w:rsidRPr="00F66735">
        <w:t>(</w:t>
      </w:r>
      <w:hyperlink r:id="rId30" w:history="1">
        <w:r w:rsidR="00884F36" w:rsidRPr="00F66735">
          <w:rPr>
            <w:rStyle w:val="Hyperlink"/>
          </w:rPr>
          <w:t>http://www.global-pps.com/wp-content/uploads/ECCMID-2016_USA.pdf</w:t>
        </w:r>
      </w:hyperlink>
      <w:r w:rsidR="00884F36" w:rsidRPr="00F66735">
        <w:t xml:space="preserve">). </w:t>
      </w:r>
      <w:r w:rsidR="004C7CBB" w:rsidRPr="00F66735">
        <w:t xml:space="preserve">In 2018, a paper published in </w:t>
      </w:r>
      <w:r w:rsidR="004C7CBB" w:rsidRPr="00F66735">
        <w:rPr>
          <w:i/>
        </w:rPr>
        <w:t>Lancet Global Health</w:t>
      </w:r>
      <w:r w:rsidR="004C7CBB" w:rsidRPr="00F66735">
        <w:t xml:space="preserve"> reported that 24 hospitals in North America recently participated (</w:t>
      </w:r>
      <w:hyperlink r:id="rId31" w:history="1">
        <w:r w:rsidR="004C7CBB" w:rsidRPr="00F66735">
          <w:rPr>
            <w:rStyle w:val="Hyperlink"/>
          </w:rPr>
          <w:t>http://www.global-pps.com/wp-content/uploads/2018/05/1-1-LANGH-2015_Global-PPS_results-on-adults_main-article_Versporten_April2018.pdf</w:t>
        </w:r>
      </w:hyperlink>
      <w:r w:rsidR="004C7CBB" w:rsidRPr="00F66735">
        <w:t>). Information on the project website indicates that an optional HAI data collection component is being introduced in 2019 (</w:t>
      </w:r>
      <w:hyperlink r:id="rId32" w:history="1">
        <w:r w:rsidR="004C7CBB" w:rsidRPr="00F66735">
          <w:rPr>
            <w:rStyle w:val="Hyperlink"/>
          </w:rPr>
          <w:t>http://www.global-pps.com/ourproject/</w:t>
        </w:r>
      </w:hyperlink>
      <w:r w:rsidR="004C7CBB" w:rsidRPr="00F66735">
        <w:t>).</w:t>
      </w:r>
      <w:r w:rsidR="00E608A3" w:rsidRPr="00F66735">
        <w:t xml:space="preserve"> Although HAI definitions are not yet available, it is very unlikely that this global survey will use the HAI definitions of the CDC’s NHSN. </w:t>
      </w:r>
    </w:p>
    <w:p w14:paraId="4BD8A527" w14:textId="259F2222" w:rsidR="0082563E" w:rsidRDefault="0082563E" w:rsidP="004C7CBB"/>
    <w:p w14:paraId="64ED4A51" w14:textId="4C9B6445" w:rsidR="0082563E" w:rsidRPr="00F66735" w:rsidRDefault="0082563E" w:rsidP="004C7CBB">
      <w:r>
        <w:t>CDC has conducted analyses of purchased datasets from electronic health records to provide information about changes in inpatient antimicrobial use over time</w:t>
      </w:r>
      <w:r w:rsidR="004D60D4">
        <w:t xml:space="preserve"> [15, 16]</w:t>
      </w:r>
      <w:r>
        <w:t>. Although these datasets contain electronic health record data</w:t>
      </w:r>
      <w:r w:rsidR="004D60D4">
        <w:t>, including prescribing data,</w:t>
      </w:r>
      <w:r>
        <w:t xml:space="preserve"> from a large number of hospitals</w:t>
      </w:r>
      <w:r w:rsidR="004D60D4">
        <w:t xml:space="preserve"> and patients</w:t>
      </w:r>
      <w:r>
        <w:t xml:space="preserve">, hospital participation may change from year to year, and the ability to determine the indications for antimicrobial use in individual patients is limited. </w:t>
      </w:r>
    </w:p>
    <w:p w14:paraId="4F64DD8E" w14:textId="68D837A4" w:rsidR="002C62F8" w:rsidRPr="00F66735" w:rsidRDefault="002C62F8" w:rsidP="00910E9B"/>
    <w:p w14:paraId="6B946AF2" w14:textId="77777777" w:rsidR="00FD343E" w:rsidRPr="00F66735" w:rsidRDefault="00B21225" w:rsidP="00061956">
      <w:pPr>
        <w:pStyle w:val="Heading1"/>
      </w:pPr>
      <w:bookmarkStart w:id="11" w:name="_Toc455558073"/>
      <w:r w:rsidRPr="00F66735">
        <w:t>Impact on Small Businesses or Other Small Entities</w:t>
      </w:r>
      <w:bookmarkEnd w:id="11"/>
    </w:p>
    <w:p w14:paraId="37D7C85D" w14:textId="77777777" w:rsidR="0073632E" w:rsidRPr="00F66735" w:rsidRDefault="0073632E" w:rsidP="00EE7469"/>
    <w:p w14:paraId="6C2E7AC3" w14:textId="77777777" w:rsidR="00633A82" w:rsidRPr="00F66735" w:rsidRDefault="006C4689" w:rsidP="00EE7469">
      <w:r w:rsidRPr="00F66735">
        <w:t xml:space="preserve">Small </w:t>
      </w:r>
      <w:r w:rsidR="00130315" w:rsidRPr="00F66735">
        <w:t>hospitals</w:t>
      </w:r>
      <w:r w:rsidR="0073632E" w:rsidRPr="00F66735">
        <w:t xml:space="preserve"> </w:t>
      </w:r>
      <w:r w:rsidRPr="00F66735">
        <w:t xml:space="preserve">may participate in the </w:t>
      </w:r>
      <w:r w:rsidR="00F2689F" w:rsidRPr="00F66735">
        <w:t>data collection</w:t>
      </w:r>
      <w:r w:rsidR="00CE165F" w:rsidRPr="00F66735">
        <w:t xml:space="preserve"> for the survey</w:t>
      </w:r>
      <w:r w:rsidRPr="00F66735">
        <w:t xml:space="preserve">. </w:t>
      </w:r>
      <w:r w:rsidR="00220043" w:rsidRPr="00F66735">
        <w:t xml:space="preserve">Participation is voluntary, but </w:t>
      </w:r>
      <w:r w:rsidR="00227C56" w:rsidRPr="00F66735">
        <w:t xml:space="preserve">we anticipate that most </w:t>
      </w:r>
      <w:r w:rsidR="00130315" w:rsidRPr="00F66735">
        <w:t>hospitals</w:t>
      </w:r>
      <w:r w:rsidR="00227C56" w:rsidRPr="00F66735">
        <w:t xml:space="preserve"> selected for participation will</w:t>
      </w:r>
      <w:r w:rsidR="00DC3B9C" w:rsidRPr="00F66735">
        <w:t xml:space="preserve"> agree to</w:t>
      </w:r>
      <w:r w:rsidR="00227C56" w:rsidRPr="00F66735">
        <w:t xml:space="preserve"> participate.</w:t>
      </w:r>
      <w:r w:rsidR="009C40B0" w:rsidRPr="00F66735">
        <w:t xml:space="preserve"> </w:t>
      </w:r>
      <w:r w:rsidR="00227C56" w:rsidRPr="00F66735">
        <w:t xml:space="preserve">Elimination of </w:t>
      </w:r>
      <w:r w:rsidR="00675784" w:rsidRPr="00F66735">
        <w:t>HAI</w:t>
      </w:r>
      <w:r w:rsidR="00227C56" w:rsidRPr="00F66735">
        <w:t xml:space="preserve">s </w:t>
      </w:r>
      <w:r w:rsidR="00F2689F" w:rsidRPr="00F66735">
        <w:t xml:space="preserve">and improving antimicrobial prescribing are major goals </w:t>
      </w:r>
      <w:r w:rsidR="00227C56" w:rsidRPr="00F66735">
        <w:t xml:space="preserve">of </w:t>
      </w:r>
      <w:r w:rsidR="00C1765E" w:rsidRPr="00F66735">
        <w:t xml:space="preserve">all </w:t>
      </w:r>
      <w:r w:rsidR="00227C56" w:rsidRPr="00F66735">
        <w:t>U.S. healthcare institutions,</w:t>
      </w:r>
      <w:r w:rsidR="00C1765E" w:rsidRPr="00F66735">
        <w:t xml:space="preserve"> large and small,</w:t>
      </w:r>
      <w:r w:rsidR="00130315" w:rsidRPr="00F66735">
        <w:t xml:space="preserve"> and we expect that hospitals </w:t>
      </w:r>
      <w:r w:rsidR="00227C56" w:rsidRPr="00F66735">
        <w:t xml:space="preserve">will be highly motivated to participate. </w:t>
      </w:r>
      <w:r w:rsidR="00220043" w:rsidRPr="00F66735">
        <w:t xml:space="preserve">The data collection and management burden for </w:t>
      </w:r>
      <w:r w:rsidR="008469B7" w:rsidRPr="00F66735">
        <w:t>participating</w:t>
      </w:r>
      <w:r w:rsidR="00220043" w:rsidRPr="00F66735">
        <w:t xml:space="preserve"> h</w:t>
      </w:r>
      <w:r w:rsidR="00130315" w:rsidRPr="00F66735">
        <w:t>ospitals</w:t>
      </w:r>
      <w:r w:rsidR="00CE165F" w:rsidRPr="00F66735">
        <w:t xml:space="preserve"> was reviewed following the 2015 survey </w:t>
      </w:r>
      <w:r w:rsidR="003471E4" w:rsidRPr="00F66735">
        <w:t xml:space="preserve">and reassessed for the </w:t>
      </w:r>
      <w:r w:rsidR="00CE165F" w:rsidRPr="00F66735">
        <w:t>2020 survey.</w:t>
      </w:r>
      <w:r w:rsidR="00675784" w:rsidRPr="00F66735">
        <w:t xml:space="preserve"> </w:t>
      </w:r>
      <w:r w:rsidR="00CE165F" w:rsidRPr="00F66735">
        <w:t>In general, burden is minimized by</w:t>
      </w:r>
      <w:r w:rsidR="00675784" w:rsidRPr="00F66735">
        <w:t xml:space="preserve"> having </w:t>
      </w:r>
      <w:r w:rsidR="00CE165F" w:rsidRPr="00F66735">
        <w:t xml:space="preserve">CDC-trained </w:t>
      </w:r>
      <w:r w:rsidR="00675784" w:rsidRPr="00F66735">
        <w:t xml:space="preserve">EIP </w:t>
      </w:r>
      <w:r w:rsidR="00CE165F" w:rsidRPr="00F66735">
        <w:t xml:space="preserve">site </w:t>
      </w:r>
      <w:r w:rsidR="00675784" w:rsidRPr="00F66735">
        <w:t xml:space="preserve">personnel perform </w:t>
      </w:r>
      <w:r w:rsidR="00CE165F" w:rsidRPr="00F66735">
        <w:t>the majority of</w:t>
      </w:r>
      <w:r w:rsidR="00675784" w:rsidRPr="00F66735">
        <w:t xml:space="preserve"> data collection.</w:t>
      </w:r>
      <w:r w:rsidR="00CD4F28" w:rsidRPr="00F66735">
        <w:t xml:space="preserve"> </w:t>
      </w:r>
      <w:r w:rsidR="00CE165F" w:rsidRPr="00F66735">
        <w:t xml:space="preserve">In participating hospitals </w:t>
      </w:r>
      <w:r w:rsidR="003471E4" w:rsidRPr="00F66735">
        <w:t>that have</w:t>
      </w:r>
      <w:r w:rsidR="00CE165F" w:rsidRPr="00F66735">
        <w:t xml:space="preserve"> insuffici</w:t>
      </w:r>
      <w:r w:rsidR="004B0F24" w:rsidRPr="00F66735">
        <w:t xml:space="preserve">ent resources to </w:t>
      </w:r>
      <w:r w:rsidR="009A0DD4" w:rsidRPr="00F66735">
        <w:t xml:space="preserve">assist EIP site personnel in </w:t>
      </w:r>
      <w:r w:rsidR="00CE165F" w:rsidRPr="00F66735">
        <w:t>PIF data collection,</w:t>
      </w:r>
      <w:r w:rsidR="00CD4F28" w:rsidRPr="00F66735">
        <w:t xml:space="preserve"> EIP </w:t>
      </w:r>
      <w:r w:rsidR="00CE165F" w:rsidRPr="00F66735">
        <w:t xml:space="preserve">site </w:t>
      </w:r>
      <w:r w:rsidR="00CD4F28" w:rsidRPr="00F66735">
        <w:t xml:space="preserve">personnel may perform all of the </w:t>
      </w:r>
      <w:r w:rsidR="009A0DD4" w:rsidRPr="00F66735">
        <w:t xml:space="preserve">PIF </w:t>
      </w:r>
      <w:r w:rsidR="00CD4F28" w:rsidRPr="00F66735">
        <w:t>data collection.</w:t>
      </w:r>
    </w:p>
    <w:p w14:paraId="4E288905" w14:textId="77777777" w:rsidR="0064248A" w:rsidRPr="00F66735" w:rsidRDefault="0064248A" w:rsidP="00EE7469"/>
    <w:p w14:paraId="041D5A2A" w14:textId="77777777" w:rsidR="0073632E" w:rsidRPr="00F66735" w:rsidRDefault="00B21225" w:rsidP="00061956">
      <w:pPr>
        <w:pStyle w:val="Heading1"/>
      </w:pPr>
      <w:bookmarkStart w:id="12" w:name="_Toc455558074"/>
      <w:r w:rsidRPr="00F66735">
        <w:t>Consequences of Collecting the Information Less Frequently</w:t>
      </w:r>
      <w:bookmarkEnd w:id="12"/>
    </w:p>
    <w:p w14:paraId="7518AC76" w14:textId="77777777" w:rsidR="0073632E" w:rsidRPr="00F66735" w:rsidRDefault="0073632E" w:rsidP="00680AE7">
      <w:pPr>
        <w:rPr>
          <w:b/>
        </w:rPr>
      </w:pPr>
    </w:p>
    <w:p w14:paraId="4E9D1557" w14:textId="77777777" w:rsidR="00C2382F" w:rsidRPr="00F66735" w:rsidRDefault="00BF312D" w:rsidP="00680AE7">
      <w:pPr>
        <w:rPr>
          <w:b/>
        </w:rPr>
      </w:pPr>
      <w:r w:rsidRPr="00F66735">
        <w:t xml:space="preserve">The survey was developed </w:t>
      </w:r>
      <w:r w:rsidR="00E1127F" w:rsidRPr="00F66735">
        <w:t xml:space="preserve">with the </w:t>
      </w:r>
      <w:r w:rsidR="0073632E" w:rsidRPr="00F66735">
        <w:t>goal of repeating it</w:t>
      </w:r>
      <w:r w:rsidR="00E1127F" w:rsidRPr="00F66735">
        <w:t xml:space="preserve"> at regular but infrequent intervals (</w:t>
      </w:r>
      <w:r w:rsidR="00173EFB" w:rsidRPr="00F66735">
        <w:t>e.g.</w:t>
      </w:r>
      <w:r w:rsidR="00AB0662" w:rsidRPr="00F66735">
        <w:t>,</w:t>
      </w:r>
      <w:r w:rsidR="003F5BE0" w:rsidRPr="00F66735">
        <w:t xml:space="preserve"> </w:t>
      </w:r>
      <w:r w:rsidR="00E1127F" w:rsidRPr="00F66735">
        <w:t>once every 3</w:t>
      </w:r>
      <w:r w:rsidR="00EA72B1" w:rsidRPr="00F66735">
        <w:t>-5</w:t>
      </w:r>
      <w:r w:rsidR="003F5BE0" w:rsidRPr="00F66735">
        <w:t xml:space="preserve"> years</w:t>
      </w:r>
      <w:r w:rsidR="00E1127F" w:rsidRPr="00F66735">
        <w:t xml:space="preserve">). Repeating the survey will provide information on changes in HAI </w:t>
      </w:r>
      <w:r w:rsidR="0064248A" w:rsidRPr="00F66735">
        <w:t xml:space="preserve">and AU </w:t>
      </w:r>
      <w:r w:rsidR="00E1127F" w:rsidRPr="00F66735">
        <w:t xml:space="preserve">prevalence </w:t>
      </w:r>
      <w:r w:rsidR="004259D1" w:rsidRPr="00F66735">
        <w:t xml:space="preserve">over time </w:t>
      </w:r>
      <w:r w:rsidR="00024FEC" w:rsidRPr="00F66735">
        <w:t>as well as</w:t>
      </w:r>
      <w:r w:rsidR="004259D1" w:rsidRPr="00F66735">
        <w:t xml:space="preserve"> </w:t>
      </w:r>
      <w:r w:rsidR="00E1127F" w:rsidRPr="00F66735">
        <w:t>changes in</w:t>
      </w:r>
      <w:r w:rsidR="009F34E3" w:rsidRPr="00F66735">
        <w:t xml:space="preserve"> </w:t>
      </w:r>
      <w:r w:rsidR="004259D1" w:rsidRPr="00F66735">
        <w:t xml:space="preserve">the </w:t>
      </w:r>
      <w:r w:rsidR="00EA72B1" w:rsidRPr="00F66735">
        <w:t xml:space="preserve">estimated </w:t>
      </w:r>
      <w:r w:rsidR="004259D1" w:rsidRPr="00F66735">
        <w:t xml:space="preserve">burden and distribution of infection types and causative organisms. </w:t>
      </w:r>
      <w:r w:rsidR="004B0F24" w:rsidRPr="00F66735">
        <w:t>These</w:t>
      </w:r>
      <w:r w:rsidR="00EA72B1" w:rsidRPr="00F66735">
        <w:t xml:space="preserve"> data</w:t>
      </w:r>
      <w:r w:rsidR="004B0F24" w:rsidRPr="00F66735">
        <w:t xml:space="preserve"> are</w:t>
      </w:r>
      <w:r w:rsidR="00EA72B1" w:rsidRPr="00F66735">
        <w:t xml:space="preserve"> critical to inform CDC decisions and national policy makers, to assess progress in meeting national reduction targets, and to validate data from other sources such as NHSN. </w:t>
      </w:r>
      <w:r w:rsidR="004B0F24" w:rsidRPr="00F66735">
        <w:t xml:space="preserve">In addition, these </w:t>
      </w:r>
      <w:r w:rsidR="00EA72B1" w:rsidRPr="00F66735">
        <w:t>data will allow CDC to assess changes in antimicrobial prescr</w:t>
      </w:r>
      <w:r w:rsidR="004B0F24" w:rsidRPr="00F66735">
        <w:t>ibing quality. A baseline assessment w</w:t>
      </w:r>
      <w:r w:rsidR="003D510C" w:rsidRPr="00F66735">
        <w:t>as included in the 2015 survey;</w:t>
      </w:r>
      <w:r w:rsidR="004B0F24" w:rsidRPr="00F66735">
        <w:t xml:space="preserve"> this is a key area of importance to </w:t>
      </w:r>
      <w:r w:rsidR="0064248A" w:rsidRPr="00F66735">
        <w:t xml:space="preserve">public health </w:t>
      </w:r>
      <w:r w:rsidR="00EA72B1" w:rsidRPr="00F66735">
        <w:t>researchers and the medical community</w:t>
      </w:r>
      <w:r w:rsidR="004B0F24" w:rsidRPr="00F66735">
        <w:t>, particularly regarding efforts to combat antimicrobial resistance</w:t>
      </w:r>
      <w:r w:rsidR="00EA72B1" w:rsidRPr="00F66735">
        <w:t xml:space="preserve">. </w:t>
      </w:r>
    </w:p>
    <w:p w14:paraId="7B4888C9" w14:textId="77777777" w:rsidR="00C2382F" w:rsidRPr="00F66735" w:rsidRDefault="00C2382F" w:rsidP="00EE7469">
      <w:r w:rsidRPr="00F66735">
        <w:tab/>
      </w:r>
    </w:p>
    <w:p w14:paraId="28B49396" w14:textId="77777777" w:rsidR="00F33801" w:rsidRPr="00F66735" w:rsidRDefault="00B21225" w:rsidP="00061956">
      <w:pPr>
        <w:pStyle w:val="Heading1"/>
      </w:pPr>
      <w:bookmarkStart w:id="13" w:name="_Toc455558075"/>
      <w:r w:rsidRPr="00F66735">
        <w:t>Special Circumstances Relating to the Guidelines of 5 CFR 1320.5</w:t>
      </w:r>
      <w:bookmarkEnd w:id="13"/>
    </w:p>
    <w:p w14:paraId="328EB20B" w14:textId="77777777" w:rsidR="0073632E" w:rsidRPr="00F66735" w:rsidRDefault="0073632E" w:rsidP="00024FEC"/>
    <w:p w14:paraId="27510D97" w14:textId="77777777" w:rsidR="004E1E68" w:rsidRPr="00F66735" w:rsidRDefault="004E1E68" w:rsidP="00024FEC">
      <w:r w:rsidRPr="00F66735">
        <w:t>There are no special circumstances that require the information to be collected in any of the for</w:t>
      </w:r>
      <w:r w:rsidR="0064248A" w:rsidRPr="00F66735">
        <w:t>mats identified, and this</w:t>
      </w:r>
      <w:r w:rsidRPr="00F66735">
        <w:t xml:space="preserve"> request fully complies with regulations.</w:t>
      </w:r>
    </w:p>
    <w:p w14:paraId="6B83192B" w14:textId="77777777" w:rsidR="004E1E68" w:rsidRPr="00F66735" w:rsidRDefault="004E1E68" w:rsidP="00EE7469"/>
    <w:p w14:paraId="1F69731F" w14:textId="77777777" w:rsidR="00DF2683" w:rsidRPr="00F66735" w:rsidRDefault="00F33801" w:rsidP="00061956">
      <w:pPr>
        <w:pStyle w:val="Heading1"/>
      </w:pPr>
      <w:bookmarkStart w:id="14" w:name="_Toc455558076"/>
      <w:r w:rsidRPr="00F66735">
        <w:t>Comments in Response to the Federal Register Notice and Efforts to Consult Outside</w:t>
      </w:r>
      <w:r w:rsidR="00024FEC" w:rsidRPr="00F66735">
        <w:t xml:space="preserve"> </w:t>
      </w:r>
      <w:r w:rsidRPr="00F66735">
        <w:t>the Agency</w:t>
      </w:r>
      <w:bookmarkEnd w:id="14"/>
    </w:p>
    <w:p w14:paraId="2B722057" w14:textId="77777777" w:rsidR="0073632E" w:rsidRPr="00F66735" w:rsidRDefault="0073632E" w:rsidP="00C65134">
      <w:pPr>
        <w:ind w:left="1080" w:hanging="360"/>
      </w:pPr>
    </w:p>
    <w:p w14:paraId="544F664C" w14:textId="0D4C7157" w:rsidR="00716EA3" w:rsidRPr="00F66735" w:rsidRDefault="00FF08E2" w:rsidP="0073632E">
      <w:pPr>
        <w:ind w:left="360" w:hanging="360"/>
      </w:pPr>
      <w:r w:rsidRPr="00F66735">
        <w:t xml:space="preserve">A.  </w:t>
      </w:r>
      <w:r w:rsidR="00860CA3" w:rsidRPr="00F66735">
        <w:t xml:space="preserve">A </w:t>
      </w:r>
      <w:r w:rsidR="009F26EA">
        <w:t xml:space="preserve">60-Day </w:t>
      </w:r>
      <w:r w:rsidR="00860CA3" w:rsidRPr="00F66735">
        <w:t xml:space="preserve">Federal Register Notice was published </w:t>
      </w:r>
      <w:r w:rsidR="009F26EA">
        <w:t xml:space="preserve">in the Federal Register </w:t>
      </w:r>
      <w:r w:rsidR="00860CA3" w:rsidRPr="00F66735">
        <w:t xml:space="preserve">on </w:t>
      </w:r>
      <w:r w:rsidR="009F26EA">
        <w:t>June 10</w:t>
      </w:r>
      <w:r w:rsidR="00860CA3" w:rsidRPr="00F66735">
        <w:t>,</w:t>
      </w:r>
      <w:r w:rsidR="009F26EA">
        <w:t xml:space="preserve"> 2019, Vol</w:t>
      </w:r>
      <w:r w:rsidR="00860CA3" w:rsidRPr="00F66735">
        <w:t xml:space="preserve"> </w:t>
      </w:r>
      <w:r w:rsidR="00C056D5">
        <w:t>84</w:t>
      </w:r>
      <w:r w:rsidR="00860CA3" w:rsidRPr="00F66735">
        <w:t xml:space="preserve">, </w:t>
      </w:r>
      <w:r w:rsidR="001B337C" w:rsidRPr="00F66735">
        <w:t xml:space="preserve">No. </w:t>
      </w:r>
      <w:r w:rsidR="00C056D5">
        <w:t>111</w:t>
      </w:r>
      <w:r w:rsidR="001B337C" w:rsidRPr="00F66735">
        <w:t xml:space="preserve">, </w:t>
      </w:r>
      <w:r w:rsidR="00860CA3" w:rsidRPr="00F66735">
        <w:t xml:space="preserve">page </w:t>
      </w:r>
      <w:r w:rsidR="00C056D5">
        <w:t>26876</w:t>
      </w:r>
      <w:r w:rsidR="001B337C" w:rsidRPr="00F66735">
        <w:t>-</w:t>
      </w:r>
      <w:r w:rsidR="00C056D5">
        <w:t>26877</w:t>
      </w:r>
      <w:r w:rsidR="009F26EA">
        <w:t xml:space="preserve"> (Attachment N)</w:t>
      </w:r>
      <w:r w:rsidR="00860CA3" w:rsidRPr="00F66735">
        <w:t>.</w:t>
      </w:r>
      <w:r w:rsidR="009F26EA">
        <w:t xml:space="preserve"> No public comments were received.</w:t>
      </w:r>
      <w:r w:rsidR="00860CA3" w:rsidRPr="00F66735">
        <w:t xml:space="preserve"> </w:t>
      </w:r>
    </w:p>
    <w:p w14:paraId="05145066" w14:textId="77777777" w:rsidR="0073632E" w:rsidRPr="00F66735" w:rsidRDefault="0073632E" w:rsidP="0073632E">
      <w:pPr>
        <w:ind w:left="360" w:hanging="360"/>
      </w:pPr>
    </w:p>
    <w:p w14:paraId="775D03E9" w14:textId="77777777" w:rsidR="00716EA3" w:rsidRPr="00F66735" w:rsidRDefault="00D918AC" w:rsidP="00C14FBA">
      <w:pPr>
        <w:tabs>
          <w:tab w:val="left" w:pos="360"/>
        </w:tabs>
        <w:ind w:left="360" w:hanging="300"/>
      </w:pPr>
      <w:r w:rsidRPr="00F66735">
        <w:t>B.</w:t>
      </w:r>
      <w:r w:rsidRPr="00F66735">
        <w:tab/>
      </w:r>
      <w:r w:rsidR="00D40522" w:rsidRPr="00F66735">
        <w:t xml:space="preserve">As required in the </w:t>
      </w:r>
      <w:r w:rsidR="00B20525" w:rsidRPr="00F66735">
        <w:t xml:space="preserve">Notice of Action for the 2010 </w:t>
      </w:r>
      <w:r w:rsidR="00D40522" w:rsidRPr="00F66735">
        <w:t>survey, on June 14, 2010 we consulted with colleagues in the National Center for Health Statistics (Dr. Jane Sisk</w:t>
      </w:r>
      <w:r w:rsidR="0062757C" w:rsidRPr="00F66735">
        <w:t xml:space="preserve">, </w:t>
      </w:r>
      <w:r w:rsidR="0026537C" w:rsidRPr="00F66735">
        <w:t xml:space="preserve">former </w:t>
      </w:r>
      <w:r w:rsidR="0062757C" w:rsidRPr="00F66735">
        <w:t xml:space="preserve">Director of the </w:t>
      </w:r>
      <w:r w:rsidR="00D40522" w:rsidRPr="00F66735">
        <w:t>Division of Health Care Statistics</w:t>
      </w:r>
      <w:r w:rsidR="00173EFB" w:rsidRPr="00F66735">
        <w:t>, Attachment K</w:t>
      </w:r>
      <w:r w:rsidR="00D40522" w:rsidRPr="00F66735">
        <w:t xml:space="preserve">). </w:t>
      </w:r>
      <w:r w:rsidR="00860CA3" w:rsidRPr="00F66735">
        <w:t xml:space="preserve">In the process of developing and conducting </w:t>
      </w:r>
      <w:r w:rsidR="00B20525" w:rsidRPr="00F66735">
        <w:t>previous</w:t>
      </w:r>
      <w:r w:rsidR="00860CA3" w:rsidRPr="00F66735">
        <w:t xml:space="preserve"> survey</w:t>
      </w:r>
      <w:r w:rsidR="00B20525" w:rsidRPr="00F66735">
        <w:t>s,</w:t>
      </w:r>
      <w:r w:rsidR="007A6F67" w:rsidRPr="00F66735">
        <w:t xml:space="preserve"> </w:t>
      </w:r>
      <w:r w:rsidR="00860CA3" w:rsidRPr="00F66735">
        <w:t xml:space="preserve">we </w:t>
      </w:r>
      <w:r w:rsidR="00D40522" w:rsidRPr="00F66735">
        <w:t xml:space="preserve">also </w:t>
      </w:r>
      <w:r w:rsidR="00860CA3" w:rsidRPr="00F66735">
        <w:t xml:space="preserve">consulted with experts in the </w:t>
      </w:r>
      <w:r w:rsidR="00150985" w:rsidRPr="00F66735">
        <w:t>ECDC</w:t>
      </w:r>
      <w:r w:rsidR="00860CA3" w:rsidRPr="00F66735">
        <w:t xml:space="preserve">, where our primary point of contact </w:t>
      </w:r>
      <w:r w:rsidR="00716EA3" w:rsidRPr="00F66735">
        <w:t>is</w:t>
      </w:r>
      <w:r w:rsidR="00860CA3" w:rsidRPr="00F66735">
        <w:t xml:space="preserve"> Dr. Carl Suetens, Senior Expert. We </w:t>
      </w:r>
      <w:r w:rsidR="00150985" w:rsidRPr="00F66735">
        <w:t>have continued our</w:t>
      </w:r>
      <w:r w:rsidR="00860CA3" w:rsidRPr="00F66735">
        <w:t xml:space="preserve"> communications with ECDC experts</w:t>
      </w:r>
      <w:r w:rsidR="00150985" w:rsidRPr="00F66735">
        <w:t>, participating in conference calls</w:t>
      </w:r>
      <w:r w:rsidR="00B20525" w:rsidRPr="00F66735">
        <w:t xml:space="preserve"> and </w:t>
      </w:r>
      <w:r w:rsidR="007A6F67" w:rsidRPr="00F66735">
        <w:t>Transatlantic Task Force on Antimicrobi</w:t>
      </w:r>
      <w:r w:rsidR="00B20525" w:rsidRPr="00F66735">
        <w:t>al Resistance (TATFAR) meetings. The most recent TATFAR meeting wa</w:t>
      </w:r>
      <w:r w:rsidR="00E3687D" w:rsidRPr="00F66735">
        <w:t>s held at CDC in March 2018. The implementers for the TATFAR action</w:t>
      </w:r>
      <w:r w:rsidR="00FF339A" w:rsidRPr="00F66735">
        <w:t xml:space="preserve"> items</w:t>
      </w:r>
      <w:r w:rsidR="00E3687D" w:rsidRPr="00F66735">
        <w:t xml:space="preserve"> on prevalence survey collaborations have met via conference call as recently as January 2019. ECDC will host an experts meeting to discuss methods for estimating national and regional burden of HAIs in hospitals and nursing homes in Stockholm in May 2019. </w:t>
      </w:r>
    </w:p>
    <w:p w14:paraId="466BFDF3" w14:textId="77777777" w:rsidR="00E608A3" w:rsidRPr="00F66735" w:rsidRDefault="00E608A3" w:rsidP="00C14FBA">
      <w:pPr>
        <w:tabs>
          <w:tab w:val="left" w:pos="360"/>
        </w:tabs>
        <w:ind w:left="360" w:hanging="300"/>
      </w:pPr>
    </w:p>
    <w:p w14:paraId="37FA3A4E" w14:textId="77777777" w:rsidR="00AD36BD" w:rsidRPr="00F66735" w:rsidRDefault="00AD36BD" w:rsidP="00061956">
      <w:pPr>
        <w:pStyle w:val="Heading1"/>
      </w:pPr>
      <w:bookmarkStart w:id="15" w:name="_Toc455558077"/>
      <w:r w:rsidRPr="00F66735">
        <w:t>Explanation of Any Payment or Gift to Respondents</w:t>
      </w:r>
      <w:bookmarkEnd w:id="15"/>
    </w:p>
    <w:p w14:paraId="159B92D0" w14:textId="77777777" w:rsidR="0026537C" w:rsidRPr="00F66735" w:rsidRDefault="0026537C" w:rsidP="00024FEC">
      <w:pPr>
        <w:outlineLvl w:val="0"/>
      </w:pPr>
    </w:p>
    <w:p w14:paraId="0C5BEC30" w14:textId="77777777" w:rsidR="005A2E28" w:rsidRPr="00F66735" w:rsidRDefault="00121275" w:rsidP="00173EFB">
      <w:pPr>
        <w:outlineLvl w:val="0"/>
      </w:pPr>
      <w:bookmarkStart w:id="16" w:name="_Toc455558078"/>
      <w:r w:rsidRPr="00F66735">
        <w:t xml:space="preserve">Participating </w:t>
      </w:r>
      <w:r w:rsidR="00E3687D" w:rsidRPr="00F66735">
        <w:t>hospitals</w:t>
      </w:r>
      <w:r w:rsidRPr="00F66735">
        <w:t xml:space="preserve"> may receive a certificate or letter of appreciation</w:t>
      </w:r>
      <w:r w:rsidR="00E3687D" w:rsidRPr="00F66735">
        <w:t xml:space="preserve"> and a summary of project results</w:t>
      </w:r>
      <w:r w:rsidRPr="00F66735">
        <w:t xml:space="preserve">. </w:t>
      </w:r>
      <w:r w:rsidR="00BF312D" w:rsidRPr="00F66735">
        <w:t xml:space="preserve">EIP sites or state health departments may choose to provide education and/or training resources to participating </w:t>
      </w:r>
      <w:r w:rsidR="00E3687D" w:rsidRPr="00F66735">
        <w:t>hospitals</w:t>
      </w:r>
      <w:r w:rsidR="00BF312D" w:rsidRPr="00F66735">
        <w:t>.</w:t>
      </w:r>
      <w:bookmarkEnd w:id="16"/>
      <w:r w:rsidR="00E3687D" w:rsidRPr="00F66735">
        <w:t xml:space="preserve"> </w:t>
      </w:r>
    </w:p>
    <w:p w14:paraId="3D80B0E0" w14:textId="77777777" w:rsidR="00FF339A" w:rsidRPr="00F66735" w:rsidRDefault="00FF339A" w:rsidP="00173EFB">
      <w:pPr>
        <w:outlineLvl w:val="0"/>
      </w:pPr>
    </w:p>
    <w:p w14:paraId="0D0E4723" w14:textId="77777777" w:rsidR="0026537C" w:rsidRPr="00F66735" w:rsidRDefault="008808D4" w:rsidP="00061956">
      <w:pPr>
        <w:pStyle w:val="Heading1"/>
      </w:pPr>
      <w:bookmarkStart w:id="17" w:name="_Toc455558079"/>
      <w:r w:rsidRPr="00F66735">
        <w:t>Protection of Privacy and Confidentiality of Information Provided by Respondents</w:t>
      </w:r>
      <w:bookmarkEnd w:id="17"/>
      <w:r w:rsidRPr="00F66735">
        <w:t xml:space="preserve"> </w:t>
      </w:r>
    </w:p>
    <w:p w14:paraId="77CBC14F" w14:textId="77777777" w:rsidR="0026537C" w:rsidRPr="00F66735" w:rsidRDefault="0026537C" w:rsidP="0026537C">
      <w:pPr>
        <w:ind w:left="720" w:hanging="720"/>
        <w:rPr>
          <w:b/>
        </w:rPr>
      </w:pPr>
    </w:p>
    <w:p w14:paraId="5EC3EB5C" w14:textId="77777777" w:rsidR="00D61A7C" w:rsidRPr="00F66735" w:rsidRDefault="000A30F1" w:rsidP="00DF3E0F">
      <w:r w:rsidRPr="00F66735">
        <w:t xml:space="preserve">This information collection request has been reviewed by NCEZID’s Information Systems Security Officer who has determined that the Privacy Act does not apply. </w:t>
      </w:r>
      <w:r w:rsidR="00FF339A" w:rsidRPr="00F66735">
        <w:t>Hospitals</w:t>
      </w:r>
      <w:r w:rsidR="00DF3E0F" w:rsidRPr="00F66735">
        <w:t xml:space="preserve"> selected to participate in the data collection are informed that participation is voluntary. Individual patients are not the respondents for this data collection, and are not informed of their inclusion in the data collection</w:t>
      </w:r>
      <w:r w:rsidR="00C25E5B" w:rsidRPr="00F66735">
        <w:t xml:space="preserve">. There is no interaction between </w:t>
      </w:r>
      <w:r w:rsidR="00DF3E0F" w:rsidRPr="00F66735">
        <w:t>EIP</w:t>
      </w:r>
      <w:r w:rsidR="009F2AE7" w:rsidRPr="00F66735">
        <w:t xml:space="preserve"> site</w:t>
      </w:r>
      <w:r w:rsidR="00C25E5B" w:rsidRPr="00F66735">
        <w:t xml:space="preserve"> or CDC personnel and</w:t>
      </w:r>
      <w:r w:rsidR="00DF3E0F" w:rsidRPr="00F66735">
        <w:t xml:space="preserve"> individual patients. </w:t>
      </w:r>
    </w:p>
    <w:p w14:paraId="1D290569" w14:textId="77777777" w:rsidR="002777A0" w:rsidRPr="00F66735" w:rsidRDefault="002777A0" w:rsidP="00DF3E0F"/>
    <w:p w14:paraId="49C15094" w14:textId="77777777" w:rsidR="00D61A7C" w:rsidRPr="00F66735" w:rsidRDefault="00DD64DC" w:rsidP="00D61A7C">
      <w:r w:rsidRPr="00F66735">
        <w:t>Most data collection and data collection forms will be completed by EIP site personnel</w:t>
      </w:r>
      <w:r w:rsidR="00890DE3" w:rsidRPr="00F66735">
        <w:t xml:space="preserve">. </w:t>
      </w:r>
      <w:r w:rsidR="00FF339A" w:rsidRPr="00F66735">
        <w:t>Hospital</w:t>
      </w:r>
      <w:r w:rsidR="00772C14" w:rsidRPr="00F66735">
        <w:t xml:space="preserve"> staff</w:t>
      </w:r>
      <w:r w:rsidR="00A94ED3" w:rsidRPr="00F66735">
        <w:t xml:space="preserve"> (e.g.</w:t>
      </w:r>
      <w:r w:rsidR="00267DB1" w:rsidRPr="00F66735">
        <w:t>,</w:t>
      </w:r>
      <w:r w:rsidR="00A94ED3" w:rsidRPr="00F66735">
        <w:t xml:space="preserve"> Infection Preventionist</w:t>
      </w:r>
      <w:r w:rsidR="00267DB1" w:rsidRPr="00F66735">
        <w:t>s</w:t>
      </w:r>
      <w:r w:rsidR="00A94ED3" w:rsidRPr="00F66735">
        <w:t xml:space="preserve"> or other </w:t>
      </w:r>
      <w:r w:rsidR="00154F16" w:rsidRPr="00F66735">
        <w:t xml:space="preserve">facility </w:t>
      </w:r>
      <w:r w:rsidR="00A94ED3" w:rsidRPr="00F66735">
        <w:t>staff member</w:t>
      </w:r>
      <w:r w:rsidR="00267DB1" w:rsidRPr="00F66735">
        <w:t>s</w:t>
      </w:r>
      <w:r w:rsidR="00A94ED3" w:rsidRPr="00F66735">
        <w:t xml:space="preserve">) </w:t>
      </w:r>
      <w:r w:rsidR="00772C14" w:rsidRPr="00F66735">
        <w:t>wil</w:t>
      </w:r>
      <w:r w:rsidR="00173EFB" w:rsidRPr="00F66735">
        <w:t xml:space="preserve">l complete the HFA </w:t>
      </w:r>
      <w:r w:rsidR="000F4688" w:rsidRPr="00F66735">
        <w:t xml:space="preserve">and may </w:t>
      </w:r>
      <w:r w:rsidR="00772C14" w:rsidRPr="00F66735">
        <w:t xml:space="preserve">assist EIP site personnel in completion of </w:t>
      </w:r>
      <w:r w:rsidRPr="00F66735">
        <w:t>PIF</w:t>
      </w:r>
      <w:r w:rsidR="00772C14" w:rsidRPr="00F66735">
        <w:t>s</w:t>
      </w:r>
      <w:r w:rsidR="00FF339A" w:rsidRPr="00F66735">
        <w:t>,</w:t>
      </w:r>
      <w:r w:rsidR="00D01F98" w:rsidRPr="00F66735">
        <w:t xml:space="preserve"> </w:t>
      </w:r>
      <w:r w:rsidR="00173EFB" w:rsidRPr="00F66735">
        <w:t>depending on resources</w:t>
      </w:r>
      <w:r w:rsidRPr="00F66735">
        <w:t xml:space="preserve">. </w:t>
      </w:r>
      <w:r w:rsidR="004011D6" w:rsidRPr="00F66735">
        <w:t>Data collection performed by EIP site personnel is not considered public burden (See Section 14).</w:t>
      </w:r>
      <w:r w:rsidR="005D34E6" w:rsidRPr="00F66735">
        <w:t xml:space="preserve"> </w:t>
      </w:r>
      <w:r w:rsidR="00A94ED3" w:rsidRPr="00F66735">
        <w:t>Descriptions</w:t>
      </w:r>
      <w:r w:rsidR="00D61A7C" w:rsidRPr="00F66735">
        <w:t xml:space="preserve"> of information to be collected </w:t>
      </w:r>
      <w:r w:rsidR="00FF339A" w:rsidRPr="00F66735">
        <w:t xml:space="preserve">and measures to protect the privacy and confidentiality of information </w:t>
      </w:r>
      <w:r w:rsidR="00A94ED3" w:rsidRPr="00F66735">
        <w:t xml:space="preserve">are provided below. These data (HFA and PIF) are included in the public burden estimate. </w:t>
      </w:r>
    </w:p>
    <w:p w14:paraId="183D29E4" w14:textId="77777777" w:rsidR="00DD64DC" w:rsidRPr="00F66735" w:rsidRDefault="00DD64DC" w:rsidP="00D61A7C"/>
    <w:p w14:paraId="7D7CC76C" w14:textId="77777777" w:rsidR="00535033" w:rsidRPr="00F66735" w:rsidRDefault="00B37553" w:rsidP="00154F16">
      <w:pPr>
        <w:numPr>
          <w:ilvl w:val="0"/>
          <w:numId w:val="35"/>
        </w:numPr>
      </w:pPr>
      <w:r w:rsidRPr="00F66735">
        <w:t>Healthcare-Facility Assessment (HFA) Form</w:t>
      </w:r>
      <w:r w:rsidR="00D01F98" w:rsidRPr="00F66735">
        <w:t xml:space="preserve"> [Attachment C</w:t>
      </w:r>
      <w:r w:rsidR="00C53696" w:rsidRPr="00F66735">
        <w:t>]</w:t>
      </w:r>
      <w:r w:rsidRPr="00F66735">
        <w:t xml:space="preserve">: </w:t>
      </w:r>
      <w:r w:rsidR="004011D6" w:rsidRPr="00F66735">
        <w:t>Data will be collected primarily by</w:t>
      </w:r>
      <w:r w:rsidR="00FF339A" w:rsidRPr="00F66735">
        <w:t xml:space="preserve"> hospital </w:t>
      </w:r>
      <w:r w:rsidR="004011D6" w:rsidRPr="00F66735">
        <w:t>staff</w:t>
      </w:r>
      <w:r w:rsidR="004568C7" w:rsidRPr="00F66735">
        <w:t xml:space="preserve"> with assistance from </w:t>
      </w:r>
      <w:r w:rsidR="004011D6" w:rsidRPr="00F66735">
        <w:t>EI</w:t>
      </w:r>
      <w:r w:rsidR="004568C7" w:rsidRPr="00F66735">
        <w:t>P site personnel</w:t>
      </w:r>
      <w:r w:rsidR="004011D6" w:rsidRPr="00F66735">
        <w:t>. Information to be collected i</w:t>
      </w:r>
      <w:r w:rsidR="00C53696" w:rsidRPr="00F66735">
        <w:t>ncludes</w:t>
      </w:r>
      <w:r w:rsidR="00E55683" w:rsidRPr="00F66735">
        <w:t xml:space="preserve"> </w:t>
      </w:r>
      <w:r w:rsidR="004568C7" w:rsidRPr="00F66735">
        <w:t>facility demographics</w:t>
      </w:r>
      <w:r w:rsidR="00E55683" w:rsidRPr="00F66735">
        <w:t xml:space="preserve"> </w:t>
      </w:r>
      <w:r w:rsidR="004011D6" w:rsidRPr="00F66735">
        <w:t>and information about infection control and antimicrobial stewardship resources, policies</w:t>
      </w:r>
      <w:r w:rsidR="00C25E5B" w:rsidRPr="00F66735">
        <w:t>,</w:t>
      </w:r>
      <w:r w:rsidR="004011D6" w:rsidRPr="00F66735">
        <w:t xml:space="preserve"> and practices. </w:t>
      </w:r>
    </w:p>
    <w:p w14:paraId="36FB71E5" w14:textId="77777777" w:rsidR="00535033" w:rsidRPr="00F66735" w:rsidRDefault="00535033" w:rsidP="00535033">
      <w:pPr>
        <w:ind w:left="1080"/>
      </w:pPr>
    </w:p>
    <w:p w14:paraId="674D3B2D" w14:textId="77777777" w:rsidR="00535033" w:rsidRPr="00F66735" w:rsidRDefault="00535033" w:rsidP="00535033">
      <w:pPr>
        <w:numPr>
          <w:ilvl w:val="1"/>
          <w:numId w:val="35"/>
        </w:numPr>
      </w:pPr>
      <w:r w:rsidRPr="00F66735">
        <w:t xml:space="preserve">EIP site personnel will assign a unique code to each </w:t>
      </w:r>
      <w:r w:rsidR="00FF339A" w:rsidRPr="00F66735">
        <w:t>hospital</w:t>
      </w:r>
      <w:r w:rsidRPr="00F66735">
        <w:t xml:space="preserve"> participating in the survey for completion of data collection forms</w:t>
      </w:r>
      <w:r w:rsidR="00FF339A" w:rsidRPr="00F66735">
        <w:t>. These codes will not include facility</w:t>
      </w:r>
      <w:r w:rsidRPr="00F66735">
        <w:t xml:space="preserve"> identifiers and will only be linked to the individual facility </w:t>
      </w:r>
      <w:r w:rsidR="002777A0" w:rsidRPr="00F66735">
        <w:t xml:space="preserve">name </w:t>
      </w:r>
      <w:r w:rsidRPr="00F66735">
        <w:t xml:space="preserve">at the EIP site and </w:t>
      </w:r>
      <w:r w:rsidR="00FF339A" w:rsidRPr="00F66735">
        <w:t>facility</w:t>
      </w:r>
      <w:r w:rsidRPr="00F66735">
        <w:t xml:space="preserve"> levels</w:t>
      </w:r>
      <w:r w:rsidR="002777A0" w:rsidRPr="00F66735">
        <w:t xml:space="preserve">. Links to </w:t>
      </w:r>
      <w:r w:rsidR="00FF339A" w:rsidRPr="00F66735">
        <w:t>hospital</w:t>
      </w:r>
      <w:r w:rsidRPr="00F66735">
        <w:t xml:space="preserve"> </w:t>
      </w:r>
      <w:r w:rsidR="002777A0" w:rsidRPr="00F66735">
        <w:t>names will not be shared with CDC, although CDC will know the complete list of h</w:t>
      </w:r>
      <w:r w:rsidR="00FF339A" w:rsidRPr="00F66735">
        <w:t xml:space="preserve">ospitals participating </w:t>
      </w:r>
      <w:r w:rsidR="002777A0" w:rsidRPr="00F66735">
        <w:t>in the survey</w:t>
      </w:r>
      <w:r w:rsidR="00FF339A" w:rsidRPr="00F66735">
        <w:t>.</w:t>
      </w:r>
    </w:p>
    <w:p w14:paraId="18E41726" w14:textId="77777777" w:rsidR="00517CF8" w:rsidRPr="00F66735" w:rsidRDefault="00517CF8" w:rsidP="005D34E6"/>
    <w:p w14:paraId="0158D291" w14:textId="212474DA" w:rsidR="00535033" w:rsidRPr="00F66735" w:rsidRDefault="00772C14" w:rsidP="004A2598">
      <w:pPr>
        <w:numPr>
          <w:ilvl w:val="0"/>
          <w:numId w:val="34"/>
        </w:numPr>
      </w:pPr>
      <w:r w:rsidRPr="00F66735">
        <w:t>Patient Information Form (PIF)</w:t>
      </w:r>
      <w:r w:rsidR="00D01F98" w:rsidRPr="00F66735">
        <w:t xml:space="preserve"> [Attachment D</w:t>
      </w:r>
      <w:r w:rsidR="00C53696" w:rsidRPr="00F66735">
        <w:t>]</w:t>
      </w:r>
      <w:r w:rsidRPr="00F66735">
        <w:t xml:space="preserve">: </w:t>
      </w:r>
      <w:r w:rsidR="00C53696" w:rsidRPr="00F66735">
        <w:t xml:space="preserve">Data will be collected </w:t>
      </w:r>
      <w:r w:rsidR="00B74573" w:rsidRPr="00F66735">
        <w:t xml:space="preserve">via review of medical records </w:t>
      </w:r>
      <w:r w:rsidR="00C53696" w:rsidRPr="00F66735">
        <w:t>primarily by EIP site personnel</w:t>
      </w:r>
      <w:r w:rsidR="00E608A3" w:rsidRPr="00F66735">
        <w:t>. In some cases, hospital staff may provide assistance.</w:t>
      </w:r>
      <w:r w:rsidR="00C53696" w:rsidRPr="00F66735">
        <w:t xml:space="preserve"> </w:t>
      </w:r>
      <w:r w:rsidR="004011D6" w:rsidRPr="00F66735">
        <w:t>Patients will not be interviewed.</w:t>
      </w:r>
      <w:r w:rsidR="00C53696" w:rsidRPr="00F66735">
        <w:t xml:space="preserve"> Information to be collected i</w:t>
      </w:r>
      <w:r w:rsidR="00B37553" w:rsidRPr="00F66735">
        <w:t xml:space="preserve">ncludes </w:t>
      </w:r>
      <w:r w:rsidR="00DD64DC" w:rsidRPr="00F66735">
        <w:t>state, d</w:t>
      </w:r>
      <w:r w:rsidR="002777A0" w:rsidRPr="00F66735">
        <w:t>ata collection date, age, sex at birth</w:t>
      </w:r>
      <w:r w:rsidR="00DD64DC" w:rsidRPr="00F66735">
        <w:t xml:space="preserve">, race, ethnicity, primary payer, survey date, patient location within the </w:t>
      </w:r>
      <w:r w:rsidR="00FF339A" w:rsidRPr="00F66735">
        <w:t>hospital</w:t>
      </w:r>
      <w:r w:rsidR="00DD64DC" w:rsidRPr="00F66735">
        <w:t>, hospital admission and discharge date</w:t>
      </w:r>
      <w:r w:rsidR="00FF339A" w:rsidRPr="00F66735">
        <w:t>s</w:t>
      </w:r>
      <w:r w:rsidR="00DD64DC" w:rsidRPr="00F66735">
        <w:t xml:space="preserve">, weight and height (or birth weight in neonatal locations), </w:t>
      </w:r>
      <w:r w:rsidR="008C0350" w:rsidRPr="00F66735">
        <w:t xml:space="preserve">body mass index, </w:t>
      </w:r>
      <w:r w:rsidR="00DD64DC" w:rsidRPr="00F66735">
        <w:t>outcome, presence and numbers of medical devices (urinary catheter, central line, ventilator),</w:t>
      </w:r>
      <w:r w:rsidRPr="00F66735">
        <w:t xml:space="preserve"> </w:t>
      </w:r>
      <w:r w:rsidR="008C0350" w:rsidRPr="00F66735">
        <w:t xml:space="preserve">presence of pressure </w:t>
      </w:r>
      <w:r w:rsidR="00FF339A" w:rsidRPr="00F66735">
        <w:t xml:space="preserve">injuries </w:t>
      </w:r>
      <w:r w:rsidR="00C7028E" w:rsidRPr="00F66735">
        <w:t xml:space="preserve">or </w:t>
      </w:r>
      <w:r w:rsidR="008C0350" w:rsidRPr="00F66735">
        <w:t xml:space="preserve">ulcers, </w:t>
      </w:r>
      <w:r w:rsidR="00DD64DC" w:rsidRPr="00F66735">
        <w:t>and whether the patient was on antimi</w:t>
      </w:r>
      <w:r w:rsidRPr="00F66735">
        <w:t xml:space="preserve">crobial therapy. </w:t>
      </w:r>
    </w:p>
    <w:p w14:paraId="4792BC46" w14:textId="77777777" w:rsidR="00535033" w:rsidRPr="00F66735" w:rsidRDefault="00535033" w:rsidP="00535033">
      <w:pPr>
        <w:ind w:left="720"/>
      </w:pPr>
    </w:p>
    <w:p w14:paraId="634D9ABA" w14:textId="77777777" w:rsidR="00535033" w:rsidRPr="00F66735" w:rsidRDefault="00535033" w:rsidP="00535033">
      <w:pPr>
        <w:numPr>
          <w:ilvl w:val="1"/>
          <w:numId w:val="34"/>
        </w:numPr>
      </w:pPr>
      <w:r w:rsidRPr="00F66735">
        <w:t>EIP site personnel will assign a unique code to each patient included in the survey for completion of data collection forms. These codes will not include patient identifiers and will o</w:t>
      </w:r>
      <w:r w:rsidR="002777A0" w:rsidRPr="00F66735">
        <w:t xml:space="preserve">nly be linked to the individual, direct patient identifiers </w:t>
      </w:r>
      <w:r w:rsidRPr="00F66735">
        <w:t xml:space="preserve">at the EIP site and facility levels. Links and patient identifiers, other than certain dates, will not be shared with CDC. </w:t>
      </w:r>
    </w:p>
    <w:p w14:paraId="3335B9F2" w14:textId="77777777" w:rsidR="00FF339A" w:rsidRPr="00F66735" w:rsidRDefault="00FF339A" w:rsidP="00D61A7C"/>
    <w:p w14:paraId="2F2B53BA" w14:textId="77777777" w:rsidR="00DD64DC" w:rsidRPr="00F66735" w:rsidRDefault="00A94ED3" w:rsidP="00890DE3">
      <w:r w:rsidRPr="00F66735">
        <w:t xml:space="preserve">Descriptions of information to be collected by EIP site personnel </w:t>
      </w:r>
      <w:r w:rsidR="00EF59F6" w:rsidRPr="00F66735">
        <w:t>(</w:t>
      </w:r>
      <w:r w:rsidRPr="00F66735">
        <w:t>only</w:t>
      </w:r>
      <w:r w:rsidR="00EF59F6" w:rsidRPr="00F66735">
        <w:t>)</w:t>
      </w:r>
      <w:r w:rsidRPr="00F66735">
        <w:t xml:space="preserve"> are included below as supplemental information. D</w:t>
      </w:r>
      <w:r w:rsidR="00772C14" w:rsidRPr="00F66735">
        <w:t>ata collection by EIP site personnel is not part of the public burde</w:t>
      </w:r>
      <w:r w:rsidR="00890DE3" w:rsidRPr="00F66735">
        <w:t xml:space="preserve">n </w:t>
      </w:r>
      <w:r w:rsidR="00EF59F6" w:rsidRPr="00F66735">
        <w:t xml:space="preserve">estimate </w:t>
      </w:r>
      <w:r w:rsidR="00890DE3" w:rsidRPr="00F66735">
        <w:t>(S</w:t>
      </w:r>
      <w:r w:rsidR="00772C14" w:rsidRPr="00F66735">
        <w:t>ee Section 14).</w:t>
      </w:r>
      <w:r w:rsidR="00173EFB" w:rsidRPr="00F66735">
        <w:t xml:space="preserve"> As with</w:t>
      </w:r>
      <w:r w:rsidR="008F2644" w:rsidRPr="00F66735">
        <w:t xml:space="preserve"> the HFA and PIF, data will be collected using unique codes to protect the ident</w:t>
      </w:r>
      <w:r w:rsidR="00FF339A" w:rsidRPr="00F66735">
        <w:t>ities of patients and hospitals</w:t>
      </w:r>
      <w:r w:rsidR="008F2644" w:rsidRPr="00F66735">
        <w:t xml:space="preserve">. </w:t>
      </w:r>
    </w:p>
    <w:p w14:paraId="2C37E61B" w14:textId="77777777" w:rsidR="00772C14" w:rsidRPr="00F66735" w:rsidRDefault="00772C14" w:rsidP="00772C14"/>
    <w:p w14:paraId="778363FC" w14:textId="11E9EBC0" w:rsidR="00D01F98" w:rsidRPr="00F66735" w:rsidRDefault="0021444F" w:rsidP="00D01F98">
      <w:pPr>
        <w:numPr>
          <w:ilvl w:val="0"/>
          <w:numId w:val="33"/>
        </w:numPr>
      </w:pPr>
      <w:r w:rsidRPr="00F66735">
        <w:t xml:space="preserve">Draft </w:t>
      </w:r>
      <w:r w:rsidR="00D01F98" w:rsidRPr="00F66735">
        <w:t>Healthcare-Associated Infection (HAI) Form [Attachment E]</w:t>
      </w:r>
      <w:r w:rsidR="00EF59F6" w:rsidRPr="00F66735">
        <w:t>: Includes presence of</w:t>
      </w:r>
      <w:r w:rsidR="006A3D68" w:rsidRPr="00F66735">
        <w:t xml:space="preserve"> </w:t>
      </w:r>
      <w:r w:rsidR="00D01F98" w:rsidRPr="00F66735">
        <w:t xml:space="preserve">HAIs, types of HAIs, and specific details for each HAI (the specific type, whether device or procedure-associated, location and dates of onset and treatment, dates on which all definition criteria were met, causative pathogens, and antimicrobial susceptibility of those pathogens). </w:t>
      </w:r>
      <w:r w:rsidR="00D831D6" w:rsidRPr="00F66735">
        <w:t xml:space="preserve">Note: Additional changes to this form may be made prior to data collection. </w:t>
      </w:r>
    </w:p>
    <w:p w14:paraId="069FB402" w14:textId="77777777" w:rsidR="00D01F98" w:rsidRPr="00F66735" w:rsidRDefault="00D01F98" w:rsidP="00D01F98">
      <w:pPr>
        <w:ind w:left="720"/>
      </w:pPr>
    </w:p>
    <w:p w14:paraId="37C97523" w14:textId="3F4DFE08" w:rsidR="00772C14" w:rsidRPr="00F66735" w:rsidRDefault="0021444F" w:rsidP="00D831D6">
      <w:pPr>
        <w:numPr>
          <w:ilvl w:val="0"/>
          <w:numId w:val="33"/>
        </w:numPr>
      </w:pPr>
      <w:r w:rsidRPr="00F66735">
        <w:t xml:space="preserve">Draft </w:t>
      </w:r>
      <w:r w:rsidR="00772C14" w:rsidRPr="00F66735">
        <w:t>Antimicrobial Use (AU) Form</w:t>
      </w:r>
      <w:r w:rsidR="00D01F98" w:rsidRPr="00F66735">
        <w:t xml:space="preserve"> [Attachment F</w:t>
      </w:r>
      <w:r w:rsidR="00C53696" w:rsidRPr="00F66735">
        <w:t>]</w:t>
      </w:r>
      <w:r w:rsidR="00772C14" w:rsidRPr="00F66735">
        <w:t xml:space="preserve">: </w:t>
      </w:r>
      <w:r w:rsidR="00B37553" w:rsidRPr="00F66735">
        <w:t>I</w:t>
      </w:r>
      <w:r w:rsidR="00772C14" w:rsidRPr="00F66735">
        <w:t xml:space="preserve">ncludes drug names, route of administration, </w:t>
      </w:r>
      <w:r w:rsidR="00EC5BF7" w:rsidRPr="00F66735">
        <w:t>s</w:t>
      </w:r>
      <w:r w:rsidR="00772C14" w:rsidRPr="00F66735">
        <w:t>tart dates, indication or rationale for use,</w:t>
      </w:r>
      <w:r w:rsidR="00B37553" w:rsidRPr="00F66735">
        <w:t xml:space="preserve"> </w:t>
      </w:r>
      <w:r w:rsidR="00EF59F6" w:rsidRPr="00F66735">
        <w:t xml:space="preserve">documentation of sepsis, location of onset for </w:t>
      </w:r>
      <w:r w:rsidR="00772C14" w:rsidRPr="00F66735">
        <w:t>t</w:t>
      </w:r>
      <w:r w:rsidR="00EF59F6" w:rsidRPr="00F66735">
        <w:t>he infection in</w:t>
      </w:r>
      <w:r w:rsidR="00772C14" w:rsidRPr="00F66735">
        <w:t xml:space="preserve"> which antimicrobials were prescribed, and therapeutic sites. </w:t>
      </w:r>
      <w:r w:rsidR="00D831D6" w:rsidRPr="00F66735">
        <w:t>Note: Additional changes to this form may be made prior to data collection.</w:t>
      </w:r>
    </w:p>
    <w:p w14:paraId="469F9356" w14:textId="77777777" w:rsidR="00772C14" w:rsidRPr="00F66735" w:rsidRDefault="00772C14" w:rsidP="00772C14"/>
    <w:p w14:paraId="72E418FD" w14:textId="7C87F453" w:rsidR="00772C14" w:rsidRPr="00F66735" w:rsidRDefault="0021444F" w:rsidP="00D831D6">
      <w:pPr>
        <w:numPr>
          <w:ilvl w:val="0"/>
          <w:numId w:val="33"/>
        </w:numPr>
      </w:pPr>
      <w:r w:rsidRPr="00F66735">
        <w:t xml:space="preserve">Draft </w:t>
      </w:r>
      <w:r w:rsidR="00B37553" w:rsidRPr="00F66735">
        <w:t>Antimicrobial Quality Use Assessment (AQUA) Form(s)</w:t>
      </w:r>
      <w:r w:rsidR="00D01F98" w:rsidRPr="00F66735">
        <w:t xml:space="preserve"> [Attachments G-I</w:t>
      </w:r>
      <w:r w:rsidR="00C53696" w:rsidRPr="00F66735">
        <w:t>]</w:t>
      </w:r>
      <w:r w:rsidR="00043B46" w:rsidRPr="00F66735">
        <w:t>: Include</w:t>
      </w:r>
      <w:r w:rsidR="00B37553" w:rsidRPr="00F66735">
        <w:t xml:space="preserve"> detailed information</w:t>
      </w:r>
      <w:r w:rsidR="00772C14" w:rsidRPr="00F66735">
        <w:t xml:space="preserve"> on antimicrobial treatment, patient allergies or other adverse events, underlying conditions and diagnoses, clinical signs and symptoms of infection, and results of laboratory and microbiological testing. Prescribing quality will be</w:t>
      </w:r>
      <w:r w:rsidR="00B37553" w:rsidRPr="00F66735">
        <w:t xml:space="preserve"> assessed for the following </w:t>
      </w:r>
      <w:r w:rsidR="00772C14" w:rsidRPr="00F66735">
        <w:t xml:space="preserve">prescribing events: adult and pediatric pneumonia, adult and pediatric urinary tract infection, adult and pediatric intravenous vancomycin prescribing, and adult fluoroquinolone prescribing. </w:t>
      </w:r>
      <w:r w:rsidR="00D831D6" w:rsidRPr="00F66735">
        <w:t>Note: Additional changes to this form may be made prior to data collection.</w:t>
      </w:r>
    </w:p>
    <w:p w14:paraId="339F9E71" w14:textId="77777777" w:rsidR="00D61A7C" w:rsidRPr="00F66735" w:rsidRDefault="00D61A7C" w:rsidP="00D61A7C"/>
    <w:p w14:paraId="0D8E2AB2" w14:textId="77777777" w:rsidR="001244FC" w:rsidRPr="00F66735" w:rsidRDefault="001244FC" w:rsidP="001244FC">
      <w:r w:rsidRPr="00F66735">
        <w:t xml:space="preserve">As described above, local data collectors in participating </w:t>
      </w:r>
      <w:r w:rsidR="005D6B9C" w:rsidRPr="00F66735">
        <w:t>hospitals</w:t>
      </w:r>
      <w:r w:rsidRPr="00F66735">
        <w:t xml:space="preserve"> and EIP site personnel will</w:t>
      </w:r>
      <w:r w:rsidR="00B74573" w:rsidRPr="00F66735">
        <w:t xml:space="preserve"> need to collect personally identifiable information</w:t>
      </w:r>
      <w:r w:rsidR="00043B46" w:rsidRPr="00F66735">
        <w:t xml:space="preserve"> (PII)</w:t>
      </w:r>
      <w:r w:rsidR="00B74573" w:rsidRPr="00F66735">
        <w:t xml:space="preserve"> </w:t>
      </w:r>
      <w:r w:rsidRPr="00F66735">
        <w:t xml:space="preserve">for patients within their own facility or catchment area. Medical information and hospital admission and discharge dates, survey dates and data collection dates, infection and therapy dates, and other dates pertaining to clinical information (such as </w:t>
      </w:r>
      <w:r w:rsidR="00B74573" w:rsidRPr="00F66735">
        <w:t xml:space="preserve">date of specimen collection </w:t>
      </w:r>
      <w:r w:rsidRPr="00F66735">
        <w:t>for testing) will be transmitted to CDC. Identifiable information, such as patient name, date of birth, medical record number, h</w:t>
      </w:r>
      <w:r w:rsidR="005D6B9C" w:rsidRPr="00F66735">
        <w:t>ospital</w:t>
      </w:r>
      <w:r w:rsidRPr="00F66735">
        <w:t xml:space="preserve"> unit name</w:t>
      </w:r>
      <w:r w:rsidR="00B74573" w:rsidRPr="00F66735">
        <w:t>, and patient</w:t>
      </w:r>
      <w:r w:rsidRPr="00F66735">
        <w:t xml:space="preserve"> room number will not be transmitted to CDC.</w:t>
      </w:r>
    </w:p>
    <w:p w14:paraId="2208B9BF" w14:textId="77777777" w:rsidR="00D61A7C" w:rsidRPr="00F66735" w:rsidRDefault="00D61A7C" w:rsidP="00DF3E0F"/>
    <w:p w14:paraId="43CA8803" w14:textId="77777777" w:rsidR="00C53696" w:rsidRPr="00F66735" w:rsidRDefault="00DF3E0F" w:rsidP="001244FC">
      <w:r w:rsidRPr="00F66735">
        <w:t xml:space="preserve">Information received by CDC will be stored in a secure database. </w:t>
      </w:r>
      <w:r w:rsidR="00D61A7C" w:rsidRPr="00F66735">
        <w:t xml:space="preserve">This database will comply with applicable information technology and information security standards at CDC and will undergo the applicable evaluation and approval processes prior to deployment. </w:t>
      </w:r>
      <w:r w:rsidRPr="00F66735">
        <w:t>Access to the CDC database will be provided only to those individuals at CDC (</w:t>
      </w:r>
      <w:r w:rsidR="00B74573" w:rsidRPr="00F66735">
        <w:t>e.g.</w:t>
      </w:r>
      <w:r w:rsidR="001D3B5F" w:rsidRPr="00F66735">
        <w:t>,</w:t>
      </w:r>
      <w:r w:rsidR="00B74573" w:rsidRPr="00F66735">
        <w:t xml:space="preserve"> </w:t>
      </w:r>
      <w:r w:rsidRPr="00F66735">
        <w:t xml:space="preserve">employees, trainees/fellows, and contractors) </w:t>
      </w:r>
      <w:r w:rsidR="00C53696" w:rsidRPr="00F66735">
        <w:t>who are members of the</w:t>
      </w:r>
      <w:r w:rsidR="00B74573" w:rsidRPr="00F66735">
        <w:t xml:space="preserve"> CDC</w:t>
      </w:r>
      <w:r w:rsidR="00C53696" w:rsidRPr="00F66735">
        <w:t xml:space="preserve"> project team.</w:t>
      </w:r>
      <w:r w:rsidRPr="00F66735">
        <w:t xml:space="preserve"> Data will be </w:t>
      </w:r>
      <w:r w:rsidR="005D6B9C" w:rsidRPr="00F66735">
        <w:t>stored and analyzed</w:t>
      </w:r>
      <w:r w:rsidRPr="00F66735">
        <w:t xml:space="preserve"> in a secure manner, and will not be disclosed, unless otherwise compelled by law. </w:t>
      </w:r>
      <w:r w:rsidR="00D61A7C" w:rsidRPr="00F66735">
        <w:t xml:space="preserve">The information in the CDC database will be maintained indefinitely, since this data collection will be repeated at regular intervals for comparison purposes. </w:t>
      </w:r>
    </w:p>
    <w:p w14:paraId="41062B53" w14:textId="5931071D" w:rsidR="001244FC" w:rsidRDefault="00D61A7C" w:rsidP="001244FC">
      <w:r w:rsidRPr="00F66735">
        <w:t xml:space="preserve">Designated EIP site personnel will have access to data submitted from </w:t>
      </w:r>
      <w:r w:rsidR="005D6B9C" w:rsidRPr="00F66735">
        <w:t>hospitals</w:t>
      </w:r>
      <w:r w:rsidRPr="00F66735">
        <w:t xml:space="preserve"> within their site only and will not be able to access data from other sites. </w:t>
      </w:r>
      <w:r w:rsidR="00043B46" w:rsidRPr="00F66735">
        <w:t>PII</w:t>
      </w:r>
      <w:r w:rsidR="00B0321B" w:rsidRPr="00F66735">
        <w:t xml:space="preserve"> </w:t>
      </w:r>
      <w:r w:rsidR="00B74573" w:rsidRPr="00F66735">
        <w:t>(e.g.</w:t>
      </w:r>
      <w:r w:rsidR="001D3B5F" w:rsidRPr="00F66735">
        <w:t>,</w:t>
      </w:r>
      <w:r w:rsidR="00B74573" w:rsidRPr="00F66735">
        <w:t xml:space="preserve"> </w:t>
      </w:r>
      <w:r w:rsidR="00C53696" w:rsidRPr="00F66735">
        <w:t xml:space="preserve">name, address, birthdate, medical record numbers, and </w:t>
      </w:r>
      <w:r w:rsidR="00B74573" w:rsidRPr="00F66735">
        <w:t xml:space="preserve">other </w:t>
      </w:r>
      <w:r w:rsidR="00C53696" w:rsidRPr="00F66735">
        <w:t xml:space="preserve">medical information) will be maintained by local </w:t>
      </w:r>
      <w:r w:rsidR="005D6B9C" w:rsidRPr="00F66735">
        <w:t xml:space="preserve">hospitals </w:t>
      </w:r>
      <w:r w:rsidR="00C53696" w:rsidRPr="00F66735">
        <w:t>and/or EIP sites until completion of all survey activities, and according to local and/or state re</w:t>
      </w:r>
      <w:r w:rsidR="00B74573" w:rsidRPr="00F66735">
        <w:t>quirements and regulations</w:t>
      </w:r>
      <w:r w:rsidR="00B0321B" w:rsidRPr="00F66735">
        <w:t xml:space="preserve">. However, </w:t>
      </w:r>
      <w:r w:rsidR="002777A0" w:rsidRPr="00F66735">
        <w:t>PII (other than demographic characteristics, clinical information, and certain dates)</w:t>
      </w:r>
      <w:r w:rsidR="00C53696" w:rsidRPr="00F66735">
        <w:t xml:space="preserve"> will not be transmitted to CDC. EIP site personnel may provide </w:t>
      </w:r>
      <w:r w:rsidR="00B74573" w:rsidRPr="00F66735">
        <w:t xml:space="preserve">a participating </w:t>
      </w:r>
      <w:r w:rsidR="005D6B9C" w:rsidRPr="00F66735">
        <w:t>hospital</w:t>
      </w:r>
      <w:r w:rsidR="002777A0" w:rsidRPr="00F66735">
        <w:t xml:space="preserve"> with its own data </w:t>
      </w:r>
      <w:r w:rsidR="00C53696" w:rsidRPr="00F66735">
        <w:t xml:space="preserve">to facilitate prevention, improvement, and stewardship initiatives. </w:t>
      </w:r>
      <w:r w:rsidR="002777A0" w:rsidRPr="00F66735">
        <w:t>Results of analyses of data aggregated at the EIP site level or across EIP sites may also be prov</w:t>
      </w:r>
      <w:r w:rsidR="005D6B9C" w:rsidRPr="00F66735">
        <w:t>ided to participating hospitals</w:t>
      </w:r>
      <w:r w:rsidR="002777A0" w:rsidRPr="00F66735">
        <w:t xml:space="preserve">. </w:t>
      </w:r>
    </w:p>
    <w:p w14:paraId="48EAD6B3" w14:textId="77777777" w:rsidR="00241ECB" w:rsidRPr="00F66735" w:rsidRDefault="00241ECB" w:rsidP="001244FC"/>
    <w:p w14:paraId="61A48E6A" w14:textId="77777777" w:rsidR="00D25001" w:rsidRPr="00F66735" w:rsidRDefault="001244FC" w:rsidP="0026537C">
      <w:pPr>
        <w:rPr>
          <w:color w:val="000000"/>
        </w:rPr>
      </w:pPr>
      <w:r w:rsidRPr="00F66735">
        <w:t xml:space="preserve">Following the conclusion of the 2020 survey, data may be analyzed to determine whether </w:t>
      </w:r>
      <w:r w:rsidR="005D6B9C" w:rsidRPr="00F66735">
        <w:t>certain hospital</w:t>
      </w:r>
      <w:r w:rsidRPr="00F66735">
        <w:t xml:space="preserve"> characteristics (e.g., bed size, etc.) or patient characteristics are associated with aspects of HAI prevalence or antimicrobial prescribing. Individual </w:t>
      </w:r>
      <w:r w:rsidR="004011D6" w:rsidRPr="00F66735">
        <w:t>EIP sites</w:t>
      </w:r>
      <w:r w:rsidRPr="00F66735">
        <w:t xml:space="preserve"> and/or CDC may choose to present or pu</w:t>
      </w:r>
      <w:r w:rsidR="004011D6" w:rsidRPr="00F66735">
        <w:t xml:space="preserve">blish </w:t>
      </w:r>
      <w:r w:rsidR="00C25E5B" w:rsidRPr="00F66735">
        <w:t xml:space="preserve">aggregated, </w:t>
      </w:r>
      <w:r w:rsidR="004011D6" w:rsidRPr="00F66735">
        <w:t>site</w:t>
      </w:r>
      <w:r w:rsidRPr="00F66735">
        <w:t>-specifi</w:t>
      </w:r>
      <w:r w:rsidR="004011D6" w:rsidRPr="00F66735">
        <w:t>c survey data. Individual EIP sites</w:t>
      </w:r>
      <w:r w:rsidRPr="00F66735">
        <w:t>, in consultation with partic</w:t>
      </w:r>
      <w:r w:rsidR="005D6B9C" w:rsidRPr="00F66735">
        <w:t>ipating hospitals</w:t>
      </w:r>
      <w:r w:rsidR="004011D6" w:rsidRPr="00F66735">
        <w:t xml:space="preserve"> in that site</w:t>
      </w:r>
      <w:r w:rsidRPr="00F66735">
        <w:t xml:space="preserve">, may elect to present or publish facility-specific information. </w:t>
      </w:r>
      <w:r w:rsidRPr="00F66735">
        <w:rPr>
          <w:color w:val="000000"/>
        </w:rPr>
        <w:t>Survey results may be shared in local, state, national and international presentations and publications, and will be used by local, state</w:t>
      </w:r>
      <w:r w:rsidR="00B74573" w:rsidRPr="00F66735">
        <w:rPr>
          <w:color w:val="000000"/>
        </w:rPr>
        <w:t>,</w:t>
      </w:r>
      <w:r w:rsidRPr="00F66735">
        <w:rPr>
          <w:color w:val="000000"/>
        </w:rPr>
        <w:t xml:space="preserve"> and federal public health authorities to inform the development of HAI prevention and antimicrobial stewardship strategies and policies. </w:t>
      </w:r>
    </w:p>
    <w:p w14:paraId="00F85D24" w14:textId="77777777" w:rsidR="006B0273" w:rsidRPr="00F66735" w:rsidRDefault="006B0273" w:rsidP="0026537C">
      <w:pPr>
        <w:rPr>
          <w:color w:val="000000"/>
        </w:rPr>
      </w:pPr>
    </w:p>
    <w:p w14:paraId="5319DF61" w14:textId="77777777" w:rsidR="00AF37B2" w:rsidRPr="00F66735" w:rsidRDefault="008808D4" w:rsidP="00061956">
      <w:pPr>
        <w:pStyle w:val="Heading1"/>
      </w:pPr>
      <w:bookmarkStart w:id="18" w:name="_Toc455558080"/>
      <w:r w:rsidRPr="00F66735">
        <w:t xml:space="preserve">Institutional Review Board (IRB) and </w:t>
      </w:r>
      <w:r w:rsidR="00AD36BD" w:rsidRPr="00F66735">
        <w:t>Justification for Sensitive Questions</w:t>
      </w:r>
      <w:bookmarkEnd w:id="18"/>
    </w:p>
    <w:p w14:paraId="229B7A03" w14:textId="77777777" w:rsidR="00630F1B" w:rsidRPr="00F66735" w:rsidRDefault="00630F1B" w:rsidP="00EE7469"/>
    <w:p w14:paraId="41A48800" w14:textId="77777777" w:rsidR="00B07DFF" w:rsidRPr="00F66735" w:rsidRDefault="00B07DFF" w:rsidP="00DF3E0F">
      <w:pPr>
        <w:rPr>
          <w:u w:val="single"/>
        </w:rPr>
      </w:pPr>
      <w:r w:rsidRPr="00F66735">
        <w:rPr>
          <w:u w:val="single"/>
        </w:rPr>
        <w:t>Institutional Review Board (IRB)</w:t>
      </w:r>
    </w:p>
    <w:p w14:paraId="600249B4" w14:textId="77777777" w:rsidR="006B0273" w:rsidRPr="00F66735" w:rsidRDefault="006B0273" w:rsidP="00DF3E0F"/>
    <w:p w14:paraId="52D27933" w14:textId="77777777" w:rsidR="00DF3E0F" w:rsidRPr="00F66735" w:rsidRDefault="0083055F" w:rsidP="00DF3E0F">
      <w:pPr>
        <w:rPr>
          <w:u w:val="single"/>
        </w:rPr>
      </w:pPr>
      <w:r w:rsidRPr="00F66735">
        <w:t xml:space="preserve">The 2011 </w:t>
      </w:r>
      <w:r w:rsidR="00DF3E0F" w:rsidRPr="00F66735">
        <w:t>survey and the 2015 survey were determined not to be human subjects research</w:t>
      </w:r>
      <w:r w:rsidR="004568C7" w:rsidRPr="00F66735">
        <w:t xml:space="preserve"> (Attachment L</w:t>
      </w:r>
      <w:r w:rsidR="00B07DFF" w:rsidRPr="00F66735">
        <w:t>)</w:t>
      </w:r>
      <w:r w:rsidR="00DF3E0F" w:rsidRPr="00F66735">
        <w:t xml:space="preserve">. A formal determination has </w:t>
      </w:r>
      <w:r w:rsidR="00276FA3" w:rsidRPr="00F66735">
        <w:t xml:space="preserve">not </w:t>
      </w:r>
      <w:r w:rsidRPr="00F66735">
        <w:t>been sought for the 2020</w:t>
      </w:r>
      <w:r w:rsidR="00DF3E0F" w:rsidRPr="00F66735">
        <w:t xml:space="preserve"> survey, but we do not anticipate it to differ from previous survey determinations, since the objectives, methods and the nature of the data collection have not changed substantially. </w:t>
      </w:r>
    </w:p>
    <w:p w14:paraId="6F806833" w14:textId="77777777" w:rsidR="00DF3E0F" w:rsidRPr="00F66735" w:rsidRDefault="00DF3E0F" w:rsidP="00DF3E0F"/>
    <w:p w14:paraId="2C2A6217" w14:textId="77777777" w:rsidR="00B07DFF" w:rsidRPr="00F66735" w:rsidRDefault="00B07DFF" w:rsidP="00EE7469">
      <w:pPr>
        <w:rPr>
          <w:u w:val="single"/>
        </w:rPr>
      </w:pPr>
      <w:r w:rsidRPr="00F66735">
        <w:rPr>
          <w:u w:val="single"/>
        </w:rPr>
        <w:t>Justification for Sensitive Questions</w:t>
      </w:r>
    </w:p>
    <w:p w14:paraId="7101E60B" w14:textId="77777777" w:rsidR="006B0273" w:rsidRPr="00F66735" w:rsidRDefault="006B0273" w:rsidP="00EE7469"/>
    <w:p w14:paraId="70E31E18" w14:textId="77777777" w:rsidR="00E754A0" w:rsidRPr="00F66735" w:rsidRDefault="001C4601" w:rsidP="00EE7469">
      <w:r w:rsidRPr="00F66735">
        <w:t xml:space="preserve">Information on criminal behavior, sexual behavior and attitudes, </w:t>
      </w:r>
      <w:r w:rsidR="00C3244F" w:rsidRPr="00F66735">
        <w:t xml:space="preserve">and </w:t>
      </w:r>
      <w:r w:rsidRPr="00F66735">
        <w:t>religious beliefs</w:t>
      </w:r>
      <w:r w:rsidR="00642397" w:rsidRPr="00F66735">
        <w:t xml:space="preserve">, </w:t>
      </w:r>
      <w:r w:rsidRPr="00F66735">
        <w:t>will not be collected</w:t>
      </w:r>
      <w:r w:rsidR="00EC1359" w:rsidRPr="00F66735">
        <w:t xml:space="preserve">, </w:t>
      </w:r>
      <w:r w:rsidR="00871666" w:rsidRPr="00F66735">
        <w:t>with the exception of collection of drug use (which impacts the need for vancomycin treatment in patients with skin and soft tissue infections). W</w:t>
      </w:r>
      <w:r w:rsidR="00EC1359" w:rsidRPr="00F66735">
        <w:t xml:space="preserve">e will collect information on </w:t>
      </w:r>
      <w:r w:rsidR="005D6B9C" w:rsidRPr="00F66735">
        <w:t>in</w:t>
      </w:r>
      <w:r w:rsidR="00EC1359" w:rsidRPr="00F66735">
        <w:t xml:space="preserve">patient location within </w:t>
      </w:r>
      <w:r w:rsidR="005D6B9C" w:rsidRPr="00F66735">
        <w:t>hospitals</w:t>
      </w:r>
      <w:r w:rsidR="00DF3E0F" w:rsidRPr="00F66735">
        <w:t xml:space="preserve"> (</w:t>
      </w:r>
      <w:r w:rsidR="00EC1359" w:rsidRPr="00F66735">
        <w:t>one type of location is a jail unit</w:t>
      </w:r>
      <w:r w:rsidR="00DF3E0F" w:rsidRPr="00F66735">
        <w:t>), and we will collect information on locations of patients prior to admission and upon discharge from the hospital (such as a</w:t>
      </w:r>
      <w:r w:rsidR="00E754A0" w:rsidRPr="00F66735">
        <w:t xml:space="preserve"> </w:t>
      </w:r>
      <w:r w:rsidR="00DF3E0F" w:rsidRPr="00F66735">
        <w:t>correctional facility)</w:t>
      </w:r>
      <w:r w:rsidRPr="00F66735">
        <w:t>.</w:t>
      </w:r>
      <w:r w:rsidR="00612172" w:rsidRPr="00F66735">
        <w:t xml:space="preserve"> </w:t>
      </w:r>
    </w:p>
    <w:p w14:paraId="54066059" w14:textId="77777777" w:rsidR="006B0273" w:rsidRPr="00F66735" w:rsidRDefault="006B0273" w:rsidP="00EE7469"/>
    <w:p w14:paraId="13AB2A40" w14:textId="1F37ED9E" w:rsidR="00E754A0" w:rsidRPr="00F66735" w:rsidRDefault="002C1661" w:rsidP="00EE7469">
      <w:pPr>
        <w:rPr>
          <w:color w:val="000000"/>
        </w:rPr>
      </w:pPr>
      <w:r w:rsidRPr="00F66735">
        <w:t xml:space="preserve">Race and ethnicity will be collected by </w:t>
      </w:r>
      <w:r w:rsidR="005D6B9C" w:rsidRPr="00F66735">
        <w:t>local hospital</w:t>
      </w:r>
      <w:r w:rsidRPr="00F66735">
        <w:t xml:space="preserve"> staff and EIP </w:t>
      </w:r>
      <w:r w:rsidR="005D6B9C" w:rsidRPr="00F66735">
        <w:t xml:space="preserve">site </w:t>
      </w:r>
      <w:r w:rsidRPr="00F66735">
        <w:t xml:space="preserve">personnel. </w:t>
      </w:r>
      <w:r w:rsidRPr="00F66735">
        <w:rPr>
          <w:color w:val="000000"/>
        </w:rPr>
        <w:t xml:space="preserve">We believe it is important to collect data on race and ethnicity because studies have indicated that there is a higher burden of some types of </w:t>
      </w:r>
      <w:r w:rsidR="00630F1B" w:rsidRPr="00F66735">
        <w:rPr>
          <w:color w:val="000000"/>
        </w:rPr>
        <w:t>HAIs</w:t>
      </w:r>
      <w:r w:rsidR="006B0273" w:rsidRPr="00F66735">
        <w:rPr>
          <w:color w:val="000000"/>
        </w:rPr>
        <w:t xml:space="preserve"> in </w:t>
      </w:r>
      <w:r w:rsidRPr="00F66735">
        <w:rPr>
          <w:color w:val="000000"/>
        </w:rPr>
        <w:t>patients</w:t>
      </w:r>
      <w:r w:rsidR="006B0273" w:rsidRPr="00F66735">
        <w:rPr>
          <w:color w:val="000000"/>
        </w:rPr>
        <w:t xml:space="preserve"> of certain races or ethnicities</w:t>
      </w:r>
      <w:r w:rsidR="00711900" w:rsidRPr="00F66735">
        <w:rPr>
          <w:color w:val="000000"/>
        </w:rPr>
        <w:t>. F</w:t>
      </w:r>
      <w:r w:rsidRPr="00F66735">
        <w:rPr>
          <w:color w:val="000000"/>
        </w:rPr>
        <w:t>or example, a study published in 2010 showed that post-operative infections were significantly more common among black patients than white patients [3</w:t>
      </w:r>
      <w:r w:rsidR="006B0273" w:rsidRPr="00F66735">
        <w:rPr>
          <w:color w:val="000000"/>
        </w:rPr>
        <w:t>6</w:t>
      </w:r>
      <w:r w:rsidRPr="00F66735">
        <w:rPr>
          <w:color w:val="000000"/>
        </w:rPr>
        <w:t>].</w:t>
      </w:r>
      <w:r w:rsidR="00711900" w:rsidRPr="00F66735">
        <w:rPr>
          <w:color w:val="000000"/>
        </w:rPr>
        <w:t xml:space="preserve"> Similarly, data from</w:t>
      </w:r>
      <w:r w:rsidR="005D6B9C" w:rsidRPr="00F66735">
        <w:rPr>
          <w:color w:val="000000"/>
        </w:rPr>
        <w:t xml:space="preserve"> the EIP</w:t>
      </w:r>
      <w:r w:rsidR="00711900" w:rsidRPr="00F66735">
        <w:rPr>
          <w:color w:val="000000"/>
        </w:rPr>
        <w:t>’s invasive MRSA surveillance have shown that the incidence of healthcare-associated</w:t>
      </w:r>
      <w:r w:rsidR="00DC29B1" w:rsidRPr="00F66735">
        <w:rPr>
          <w:color w:val="000000"/>
        </w:rPr>
        <w:t xml:space="preserve"> invasive MRSA</w:t>
      </w:r>
      <w:r w:rsidR="00711900" w:rsidRPr="00F66735">
        <w:rPr>
          <w:color w:val="000000"/>
        </w:rPr>
        <w:t xml:space="preserve"> infections w</w:t>
      </w:r>
      <w:r w:rsidR="00DC29B1" w:rsidRPr="00F66735">
        <w:rPr>
          <w:color w:val="000000"/>
        </w:rPr>
        <w:t>as</w:t>
      </w:r>
      <w:r w:rsidR="00711900" w:rsidRPr="00F66735">
        <w:rPr>
          <w:color w:val="000000"/>
        </w:rPr>
        <w:t xml:space="preserve"> significantly higher in black persons than in white persons [3</w:t>
      </w:r>
      <w:r w:rsidR="006B0273" w:rsidRPr="00F66735">
        <w:rPr>
          <w:color w:val="000000"/>
        </w:rPr>
        <w:t>7</w:t>
      </w:r>
      <w:r w:rsidR="00711900" w:rsidRPr="00F66735">
        <w:rPr>
          <w:color w:val="000000"/>
        </w:rPr>
        <w:t xml:space="preserve">]. </w:t>
      </w:r>
      <w:r w:rsidR="00EC1359" w:rsidRPr="00F66735">
        <w:rPr>
          <w:color w:val="000000"/>
        </w:rPr>
        <w:t xml:space="preserve">Data on race and ethnicity will be collected in accordance with federal standards, except that a classification of “other race” will be provided. This category is present in the </w:t>
      </w:r>
      <w:r w:rsidR="00C27CC4" w:rsidRPr="00F66735">
        <w:rPr>
          <w:color w:val="000000"/>
        </w:rPr>
        <w:t>Nationa</w:t>
      </w:r>
      <w:r w:rsidR="009B7EE5" w:rsidRPr="00F66735">
        <w:rPr>
          <w:color w:val="000000"/>
        </w:rPr>
        <w:t xml:space="preserve">l </w:t>
      </w:r>
      <w:r w:rsidR="00EC1359" w:rsidRPr="00F66735">
        <w:rPr>
          <w:color w:val="000000"/>
        </w:rPr>
        <w:t>Inpatient Sample database</w:t>
      </w:r>
      <w:r w:rsidR="000D1EA4" w:rsidRPr="00F66735">
        <w:rPr>
          <w:color w:val="000000"/>
        </w:rPr>
        <w:t xml:space="preserve"> (NIS)</w:t>
      </w:r>
      <w:r w:rsidR="00770812" w:rsidRPr="00F66735">
        <w:rPr>
          <w:color w:val="000000"/>
        </w:rPr>
        <w:t xml:space="preserve"> (see </w:t>
      </w:r>
      <w:hyperlink r:id="rId33" w:history="1">
        <w:r w:rsidR="00770812" w:rsidRPr="00F66735">
          <w:rPr>
            <w:rStyle w:val="Hyperlink"/>
          </w:rPr>
          <w:t>http://www.hcup-us.ahrq.gov/db/vars/race/nisnote.jsp</w:t>
        </w:r>
      </w:hyperlink>
      <w:r w:rsidR="00770812" w:rsidRPr="00F66735">
        <w:rPr>
          <w:color w:val="000000"/>
        </w:rPr>
        <w:t>)</w:t>
      </w:r>
      <w:r w:rsidR="00EC1359" w:rsidRPr="00F66735">
        <w:rPr>
          <w:color w:val="000000"/>
        </w:rPr>
        <w:t xml:space="preserve">, and where possible we have sought to align prevalence survey patient demographic variables with those in the </w:t>
      </w:r>
      <w:r w:rsidR="00233496" w:rsidRPr="00F66735">
        <w:rPr>
          <w:color w:val="000000"/>
        </w:rPr>
        <w:t>NIS</w:t>
      </w:r>
      <w:r w:rsidR="00EC1359" w:rsidRPr="00F66735">
        <w:rPr>
          <w:color w:val="000000"/>
        </w:rPr>
        <w:t xml:space="preserve">. </w:t>
      </w:r>
      <w:r w:rsidR="00E754A0" w:rsidRPr="00F66735">
        <w:rPr>
          <w:color w:val="000000"/>
        </w:rPr>
        <w:t>Also, some medical records allow race to be reported as “other,” and this is a data collection based on medical records.</w:t>
      </w:r>
    </w:p>
    <w:p w14:paraId="66A1FECA" w14:textId="77777777" w:rsidR="006A3D68" w:rsidRPr="00F66735" w:rsidRDefault="006A3D68" w:rsidP="00EE7469">
      <w:pPr>
        <w:rPr>
          <w:color w:val="000000"/>
        </w:rPr>
      </w:pPr>
    </w:p>
    <w:p w14:paraId="28808CA7" w14:textId="77777777" w:rsidR="00D93F67" w:rsidRPr="00F66735" w:rsidRDefault="00F83B1B" w:rsidP="00EE7469">
      <w:r w:rsidRPr="00F66735">
        <w:rPr>
          <w:color w:val="000000"/>
        </w:rPr>
        <w:t>W</w:t>
      </w:r>
      <w:r w:rsidR="00CC69F3" w:rsidRPr="00F66735">
        <w:rPr>
          <w:color w:val="000000"/>
        </w:rPr>
        <w:t>e will collect information on the presence of underlying conditions, including alcoholism</w:t>
      </w:r>
      <w:r w:rsidR="00871666" w:rsidRPr="00F66735">
        <w:rPr>
          <w:color w:val="000000"/>
        </w:rPr>
        <w:t>, drug use</w:t>
      </w:r>
      <w:r w:rsidR="00CC69F3" w:rsidRPr="00F66735">
        <w:rPr>
          <w:color w:val="000000"/>
        </w:rPr>
        <w:t xml:space="preserve"> and HIV/AIDS, because these conditions are risk factors for certain types of infections and may warrant modifications to antimicrobial treatment in certain circumstances. </w:t>
      </w:r>
      <w:r w:rsidR="00D93F67" w:rsidRPr="00F66735">
        <w:t xml:space="preserve">The reporting of adverse events </w:t>
      </w:r>
      <w:r w:rsidR="001C4601" w:rsidRPr="00F66735">
        <w:t>occurring in hospitalized patients</w:t>
      </w:r>
      <w:r w:rsidR="00323420" w:rsidRPr="00F66735">
        <w:t xml:space="preserve">, including infections, </w:t>
      </w:r>
      <w:r w:rsidR="001C4601" w:rsidRPr="00F66735">
        <w:t xml:space="preserve">could </w:t>
      </w:r>
      <w:r w:rsidR="00D93F67" w:rsidRPr="00F66735">
        <w:t xml:space="preserve">be </w:t>
      </w:r>
      <w:r w:rsidR="001C4601" w:rsidRPr="00F66735">
        <w:t xml:space="preserve">considered sensitive unless </w:t>
      </w:r>
      <w:r w:rsidR="005D6B9C" w:rsidRPr="00F66735">
        <w:t>hospitals</w:t>
      </w:r>
      <w:r w:rsidR="001C4601" w:rsidRPr="00F66735">
        <w:t xml:space="preserve"> are</w:t>
      </w:r>
      <w:r w:rsidR="00323420" w:rsidRPr="00F66735">
        <w:t xml:space="preserve"> assured that the data-</w:t>
      </w:r>
      <w:r w:rsidR="00D93F67" w:rsidRPr="00F66735">
        <w:t xml:space="preserve">aggregating organization will provide security for the data and maintain the institution’s confidentiality. </w:t>
      </w:r>
      <w:r w:rsidR="00323420" w:rsidRPr="00F66735">
        <w:t>Data security will b</w:t>
      </w:r>
      <w:r w:rsidR="00612172" w:rsidRPr="00F66735">
        <w:t xml:space="preserve">e </w:t>
      </w:r>
      <w:r w:rsidR="00F2689F" w:rsidRPr="00F66735">
        <w:t xml:space="preserve">protected </w:t>
      </w:r>
      <w:r w:rsidR="00912D9D" w:rsidRPr="00F66735">
        <w:t>as described in Section A.10</w:t>
      </w:r>
      <w:r w:rsidR="00612172" w:rsidRPr="00F66735">
        <w:t>.</w:t>
      </w:r>
    </w:p>
    <w:p w14:paraId="66A0AD5F" w14:textId="77777777" w:rsidR="006F30FC" w:rsidRPr="00F66735" w:rsidRDefault="006F30FC" w:rsidP="00EE7469"/>
    <w:p w14:paraId="3D27F306" w14:textId="77777777" w:rsidR="00F570F3" w:rsidRPr="00F66735" w:rsidRDefault="00F570F3" w:rsidP="00061956">
      <w:pPr>
        <w:pStyle w:val="Heading1"/>
      </w:pPr>
      <w:bookmarkStart w:id="19" w:name="_Toc455558081"/>
      <w:r w:rsidRPr="00F66735">
        <w:t>Estimates of Annualized Burden Hours and Costs</w:t>
      </w:r>
      <w:bookmarkEnd w:id="19"/>
    </w:p>
    <w:p w14:paraId="40A2FB08" w14:textId="77777777" w:rsidR="00630F1B" w:rsidRPr="00F66735" w:rsidRDefault="00630F1B" w:rsidP="00F570F3">
      <w:pPr>
        <w:ind w:left="720" w:hanging="720"/>
        <w:rPr>
          <w:b/>
        </w:rPr>
      </w:pPr>
    </w:p>
    <w:p w14:paraId="4785312E" w14:textId="77777777" w:rsidR="00952FBC" w:rsidRPr="00F66735" w:rsidRDefault="00F570F3" w:rsidP="00952FBC">
      <w:pPr>
        <w:ind w:left="360" w:hanging="360"/>
      </w:pPr>
      <w:r w:rsidRPr="00F66735">
        <w:t xml:space="preserve">A.  Infection </w:t>
      </w:r>
      <w:r w:rsidR="00881B74" w:rsidRPr="00F66735">
        <w:t>preventionists (or other designated staff)</w:t>
      </w:r>
      <w:r w:rsidRPr="00F66735">
        <w:t xml:space="preserve"> in participating </w:t>
      </w:r>
      <w:r w:rsidR="0064204F" w:rsidRPr="00F66735">
        <w:t>hospitals</w:t>
      </w:r>
      <w:r w:rsidRPr="00F66735">
        <w:t xml:space="preserve"> will be asked to </w:t>
      </w:r>
      <w:r w:rsidR="00630F1B" w:rsidRPr="00F66735">
        <w:t xml:space="preserve">do the following: 1) </w:t>
      </w:r>
      <w:r w:rsidR="00226B3D" w:rsidRPr="00F66735">
        <w:t xml:space="preserve">participate in survey training; 2) </w:t>
      </w:r>
      <w:r w:rsidR="00630F1B" w:rsidRPr="00F66735">
        <w:t>complete the HFA</w:t>
      </w:r>
      <w:r w:rsidR="00EA18D3" w:rsidRPr="00F66735">
        <w:t xml:space="preserve"> (Attachment C)</w:t>
      </w:r>
      <w:r w:rsidR="00226B3D" w:rsidRPr="00F66735">
        <w:t xml:space="preserve">; </w:t>
      </w:r>
      <w:r w:rsidR="00F2689F" w:rsidRPr="00F66735">
        <w:t xml:space="preserve">and 3) </w:t>
      </w:r>
      <w:r w:rsidR="00226B3D" w:rsidRPr="00F66735">
        <w:t>assist EIP site personnel with PIF data collection if resources are available</w:t>
      </w:r>
      <w:r w:rsidR="00EA18D3" w:rsidRPr="00F66735">
        <w:t xml:space="preserve"> (Attachment D)</w:t>
      </w:r>
      <w:r w:rsidR="00A759F6" w:rsidRPr="00F66735">
        <w:t>.</w:t>
      </w:r>
      <w:r w:rsidR="00952FBC" w:rsidRPr="00F66735">
        <w:t xml:space="preserve"> </w:t>
      </w:r>
    </w:p>
    <w:p w14:paraId="5BBC924B" w14:textId="77777777" w:rsidR="00952FBC" w:rsidRPr="00F66735" w:rsidRDefault="00952FBC" w:rsidP="00952FBC">
      <w:pPr>
        <w:ind w:left="360"/>
      </w:pPr>
    </w:p>
    <w:p w14:paraId="6C452641" w14:textId="77777777" w:rsidR="00F570F3" w:rsidRPr="00F66735" w:rsidRDefault="00952FBC" w:rsidP="00952FBC">
      <w:pPr>
        <w:ind w:left="360"/>
      </w:pPr>
      <w:r w:rsidRPr="00F66735">
        <w:rPr>
          <w:b/>
        </w:rPr>
        <w:t xml:space="preserve">Note: Any reference to the number of patients surveyed or included in the survey should be interpreted as the number of patients’ </w:t>
      </w:r>
      <w:r w:rsidRPr="00F66735">
        <w:rPr>
          <w:b/>
          <w:i/>
        </w:rPr>
        <w:t>medical records</w:t>
      </w:r>
      <w:r w:rsidRPr="00F66735">
        <w:rPr>
          <w:b/>
        </w:rPr>
        <w:t xml:space="preserve"> reviewed/included in the survey; patients are </w:t>
      </w:r>
      <w:r w:rsidRPr="00F66735">
        <w:rPr>
          <w:b/>
          <w:i/>
        </w:rPr>
        <w:t>not</w:t>
      </w:r>
      <w:r w:rsidRPr="00F66735">
        <w:rPr>
          <w:b/>
        </w:rPr>
        <w:t xml:space="preserve"> interviewed or interacted with directly.</w:t>
      </w:r>
    </w:p>
    <w:p w14:paraId="33D971BE" w14:textId="77777777" w:rsidR="00F570F3" w:rsidRPr="00F66735" w:rsidRDefault="00F570F3" w:rsidP="00F570F3"/>
    <w:p w14:paraId="37ED4FAE" w14:textId="77777777" w:rsidR="00CD06C4" w:rsidRPr="00F66735" w:rsidRDefault="00CD06C4" w:rsidP="00E01B7C">
      <w:pPr>
        <w:tabs>
          <w:tab w:val="left" w:pos="360"/>
        </w:tabs>
        <w:ind w:left="360"/>
      </w:pPr>
      <w:r w:rsidRPr="00F66735">
        <w:t xml:space="preserve">For the </w:t>
      </w:r>
      <w:r w:rsidR="00952FBC" w:rsidRPr="00F66735">
        <w:t xml:space="preserve">HFA, </w:t>
      </w:r>
      <w:r w:rsidR="003165AE" w:rsidRPr="00F66735">
        <w:t>w</w:t>
      </w:r>
      <w:r w:rsidRPr="00F66735">
        <w:t xml:space="preserve">e anticipate a total of </w:t>
      </w:r>
      <w:r w:rsidR="003165AE" w:rsidRPr="00F66735">
        <w:t>no more than 3</w:t>
      </w:r>
      <w:r w:rsidRPr="00F66735">
        <w:t xml:space="preserve">00 respondents, one </w:t>
      </w:r>
      <w:r w:rsidR="00952FBC" w:rsidRPr="00F66735">
        <w:t xml:space="preserve">HFA </w:t>
      </w:r>
      <w:r w:rsidRPr="00F66735">
        <w:t xml:space="preserve">for each participating </w:t>
      </w:r>
      <w:r w:rsidR="007D6D21" w:rsidRPr="00F66735">
        <w:t>hospital</w:t>
      </w:r>
      <w:r w:rsidR="00952FBC" w:rsidRPr="00F66735">
        <w:t xml:space="preserve">. The HFA will be completed in close proximity to </w:t>
      </w:r>
      <w:r w:rsidR="0064204F" w:rsidRPr="00F66735">
        <w:t xml:space="preserve">the </w:t>
      </w:r>
      <w:r w:rsidR="00952FBC" w:rsidRPr="00F66735">
        <w:t xml:space="preserve">survey date </w:t>
      </w:r>
      <w:r w:rsidR="00C831F5" w:rsidRPr="00F66735">
        <w:t>(ideally during the month before the survey date)</w:t>
      </w:r>
      <w:r w:rsidRPr="00F66735">
        <w:t xml:space="preserve">. The time required to complete the </w:t>
      </w:r>
      <w:r w:rsidR="00952FBC" w:rsidRPr="00F66735">
        <w:t xml:space="preserve">HFA </w:t>
      </w:r>
      <w:r w:rsidRPr="00F66735">
        <w:t>is estimated to be 45 minutes</w:t>
      </w:r>
      <w:r w:rsidR="00952FBC" w:rsidRPr="00F66735">
        <w:t xml:space="preserve"> (Table A)</w:t>
      </w:r>
      <w:r w:rsidR="00EF390E" w:rsidRPr="00F66735">
        <w:t>.</w:t>
      </w:r>
      <w:r w:rsidRPr="00F66735">
        <w:t xml:space="preserve"> </w:t>
      </w:r>
    </w:p>
    <w:p w14:paraId="26168EE5" w14:textId="77777777" w:rsidR="00F2689F" w:rsidRPr="00F66735" w:rsidRDefault="00F2689F" w:rsidP="00061956"/>
    <w:p w14:paraId="4A74A203" w14:textId="77777777" w:rsidR="00B16BA3" w:rsidRPr="00F66735" w:rsidRDefault="00952FBC" w:rsidP="00B16BA3">
      <w:pPr>
        <w:ind w:left="360"/>
        <w:rPr>
          <w:color w:val="000000"/>
        </w:rPr>
      </w:pPr>
      <w:r w:rsidRPr="00F66735">
        <w:t xml:space="preserve">For </w:t>
      </w:r>
      <w:r w:rsidR="0098037C" w:rsidRPr="00F66735">
        <w:t xml:space="preserve">training and </w:t>
      </w:r>
      <w:r w:rsidRPr="00F66735">
        <w:t xml:space="preserve">the </w:t>
      </w:r>
      <w:r w:rsidR="00922F7B" w:rsidRPr="00F66735">
        <w:t>PIF</w:t>
      </w:r>
      <w:r w:rsidRPr="00F66735">
        <w:t>,</w:t>
      </w:r>
      <w:r w:rsidR="0098037C" w:rsidRPr="00F66735">
        <w:t xml:space="preserve"> </w:t>
      </w:r>
      <w:r w:rsidR="00F570F3" w:rsidRPr="00F66735">
        <w:t xml:space="preserve">we incorporated knowledge gained from </w:t>
      </w:r>
      <w:r w:rsidRPr="00F66735">
        <w:t xml:space="preserve">the 2011 and 2015 surveys to estimate burden. In these prior surveys, EIP site personnel </w:t>
      </w:r>
      <w:r w:rsidR="00F570F3" w:rsidRPr="00F66735">
        <w:t>ask</w:t>
      </w:r>
      <w:r w:rsidR="0033012F" w:rsidRPr="00F66735">
        <w:t>ed</w:t>
      </w:r>
      <w:r w:rsidR="00F570F3" w:rsidRPr="00F66735">
        <w:t xml:space="preserve"> each participating </w:t>
      </w:r>
      <w:r w:rsidR="0064204F" w:rsidRPr="00F66735">
        <w:t>hospital</w:t>
      </w:r>
      <w:r w:rsidR="00F570F3" w:rsidRPr="00F66735">
        <w:t xml:space="preserve"> to survey a fixed number of patient </w:t>
      </w:r>
      <w:r w:rsidRPr="00F66735">
        <w:t xml:space="preserve">medical </w:t>
      </w:r>
      <w:r w:rsidR="00F570F3" w:rsidRPr="00F66735">
        <w:t xml:space="preserve">records, 75-100 randomly-selected acute care inpatients, depending upon hospital size. </w:t>
      </w:r>
      <w:r w:rsidR="0033012F" w:rsidRPr="00F66735">
        <w:t>S</w:t>
      </w:r>
      <w:r w:rsidR="0064204F" w:rsidRPr="00F66735">
        <w:t>mall and medium hospitals</w:t>
      </w:r>
      <w:r w:rsidR="00F570F3" w:rsidRPr="00F66735">
        <w:t xml:space="preserve"> </w:t>
      </w:r>
      <w:r w:rsidR="0033012F" w:rsidRPr="00F66735">
        <w:t>were</w:t>
      </w:r>
      <w:r w:rsidR="00F570F3" w:rsidRPr="00F66735">
        <w:t xml:space="preserve"> asked to survey 75 </w:t>
      </w:r>
      <w:r w:rsidR="0064204F" w:rsidRPr="00F66735">
        <w:t>in</w:t>
      </w:r>
      <w:r w:rsidR="00F570F3" w:rsidRPr="00F66735">
        <w:t xml:space="preserve">patients each (or, if the hospital has &lt;75 beds, the </w:t>
      </w:r>
      <w:r w:rsidR="0064204F" w:rsidRPr="00F66735">
        <w:t>hospital</w:t>
      </w:r>
      <w:r w:rsidR="00F570F3" w:rsidRPr="00F66735">
        <w:t xml:space="preserve"> survey</w:t>
      </w:r>
      <w:r w:rsidR="0033012F" w:rsidRPr="00F66735">
        <w:t>ed</w:t>
      </w:r>
      <w:r w:rsidR="00F570F3" w:rsidRPr="00F66735">
        <w:t xml:space="preserve"> all </w:t>
      </w:r>
      <w:r w:rsidR="0064204F" w:rsidRPr="00F66735">
        <w:t>in</w:t>
      </w:r>
      <w:r w:rsidR="00F570F3" w:rsidRPr="00F66735">
        <w:t xml:space="preserve">patients), while </w:t>
      </w:r>
      <w:r w:rsidR="00F570F3" w:rsidRPr="00F66735">
        <w:rPr>
          <w:color w:val="000000"/>
        </w:rPr>
        <w:t xml:space="preserve">large hospitals </w:t>
      </w:r>
      <w:r w:rsidR="0033012F" w:rsidRPr="00F66735">
        <w:rPr>
          <w:color w:val="000000"/>
        </w:rPr>
        <w:t>were</w:t>
      </w:r>
      <w:r w:rsidR="00F570F3" w:rsidRPr="00F66735">
        <w:rPr>
          <w:color w:val="000000"/>
        </w:rPr>
        <w:t xml:space="preserve"> asked to survey 100 </w:t>
      </w:r>
      <w:r w:rsidR="0064204F" w:rsidRPr="00F66735">
        <w:rPr>
          <w:color w:val="000000"/>
        </w:rPr>
        <w:t>in</w:t>
      </w:r>
      <w:r w:rsidR="00F570F3" w:rsidRPr="00F66735">
        <w:rPr>
          <w:color w:val="000000"/>
        </w:rPr>
        <w:t xml:space="preserve">patients each. Small hospitals </w:t>
      </w:r>
      <w:r w:rsidR="00A759F6" w:rsidRPr="00F66735">
        <w:rPr>
          <w:color w:val="000000"/>
        </w:rPr>
        <w:t>accounted</w:t>
      </w:r>
      <w:r w:rsidR="00F570F3" w:rsidRPr="00F66735">
        <w:rPr>
          <w:color w:val="000000"/>
        </w:rPr>
        <w:t xml:space="preserve"> for </w:t>
      </w:r>
      <w:r w:rsidR="00B16BA3" w:rsidRPr="00F66735">
        <w:rPr>
          <w:color w:val="000000"/>
        </w:rPr>
        <w:t xml:space="preserve">approximately </w:t>
      </w:r>
      <w:r w:rsidR="00A759F6" w:rsidRPr="00F66735">
        <w:rPr>
          <w:color w:val="000000"/>
        </w:rPr>
        <w:t>51</w:t>
      </w:r>
      <w:r w:rsidR="0064204F" w:rsidRPr="00F66735">
        <w:rPr>
          <w:color w:val="000000"/>
        </w:rPr>
        <w:t>% of hospitals</w:t>
      </w:r>
      <w:r w:rsidR="00F570F3" w:rsidRPr="00F66735">
        <w:rPr>
          <w:color w:val="000000"/>
        </w:rPr>
        <w:t xml:space="preserve"> in the survey (and not all of these hospitals </w:t>
      </w:r>
      <w:r w:rsidR="0033012F" w:rsidRPr="00F66735">
        <w:rPr>
          <w:color w:val="000000"/>
        </w:rPr>
        <w:t>had</w:t>
      </w:r>
      <w:r w:rsidR="00F570F3" w:rsidRPr="00F66735">
        <w:rPr>
          <w:color w:val="000000"/>
        </w:rPr>
        <w:t xml:space="preserve"> 75 </w:t>
      </w:r>
      <w:r w:rsidR="0064204F" w:rsidRPr="00F66735">
        <w:rPr>
          <w:color w:val="000000"/>
        </w:rPr>
        <w:t>in</w:t>
      </w:r>
      <w:r w:rsidR="00F570F3" w:rsidRPr="00F66735">
        <w:rPr>
          <w:color w:val="000000"/>
        </w:rPr>
        <w:t>patients to survey), medium hospitals account</w:t>
      </w:r>
      <w:r w:rsidR="00A759F6" w:rsidRPr="00F66735">
        <w:rPr>
          <w:color w:val="000000"/>
        </w:rPr>
        <w:t>ed</w:t>
      </w:r>
      <w:r w:rsidR="00F570F3" w:rsidRPr="00F66735">
        <w:rPr>
          <w:color w:val="000000"/>
        </w:rPr>
        <w:t xml:space="preserve"> for approximately </w:t>
      </w:r>
      <w:r w:rsidR="00A759F6" w:rsidRPr="00F66735">
        <w:rPr>
          <w:color w:val="000000"/>
        </w:rPr>
        <w:t>37</w:t>
      </w:r>
      <w:r w:rsidR="00F570F3" w:rsidRPr="00F66735">
        <w:rPr>
          <w:color w:val="000000"/>
        </w:rPr>
        <w:t xml:space="preserve">% of </w:t>
      </w:r>
      <w:r w:rsidR="0064204F" w:rsidRPr="00F66735">
        <w:rPr>
          <w:color w:val="000000"/>
        </w:rPr>
        <w:t>hospitals</w:t>
      </w:r>
      <w:r w:rsidR="00F570F3" w:rsidRPr="00F66735">
        <w:rPr>
          <w:color w:val="000000"/>
        </w:rPr>
        <w:t xml:space="preserve"> in the survey, and large hospitals account</w:t>
      </w:r>
      <w:r w:rsidR="00A759F6" w:rsidRPr="00F66735">
        <w:rPr>
          <w:color w:val="000000"/>
        </w:rPr>
        <w:t>ed</w:t>
      </w:r>
      <w:r w:rsidR="00F570F3" w:rsidRPr="00F66735">
        <w:rPr>
          <w:color w:val="000000"/>
        </w:rPr>
        <w:t xml:space="preserve"> for </w:t>
      </w:r>
      <w:r w:rsidR="00A759F6" w:rsidRPr="00F66735">
        <w:rPr>
          <w:color w:val="000000"/>
        </w:rPr>
        <w:t>12</w:t>
      </w:r>
      <w:r w:rsidR="0064204F" w:rsidRPr="00F66735">
        <w:rPr>
          <w:color w:val="000000"/>
        </w:rPr>
        <w:t>% of hospitals</w:t>
      </w:r>
      <w:r w:rsidR="00F570F3" w:rsidRPr="00F66735">
        <w:rPr>
          <w:color w:val="000000"/>
        </w:rPr>
        <w:t xml:space="preserve"> i</w:t>
      </w:r>
      <w:r w:rsidR="00B16BA3" w:rsidRPr="00F66735">
        <w:rPr>
          <w:color w:val="000000"/>
        </w:rPr>
        <w:t>n the survey</w:t>
      </w:r>
      <w:r w:rsidR="00C842A3" w:rsidRPr="00F66735">
        <w:rPr>
          <w:color w:val="000000"/>
        </w:rPr>
        <w:t xml:space="preserve"> [4]</w:t>
      </w:r>
      <w:r w:rsidR="00B16BA3" w:rsidRPr="00F66735">
        <w:rPr>
          <w:color w:val="000000"/>
        </w:rPr>
        <w:t xml:space="preserve">. </w:t>
      </w:r>
    </w:p>
    <w:p w14:paraId="7778171E" w14:textId="77777777" w:rsidR="00B16BA3" w:rsidRPr="00F66735" w:rsidRDefault="00B16BA3" w:rsidP="00B16BA3">
      <w:pPr>
        <w:ind w:left="360"/>
        <w:rPr>
          <w:color w:val="000000"/>
        </w:rPr>
      </w:pPr>
    </w:p>
    <w:p w14:paraId="551BC56B" w14:textId="77777777" w:rsidR="002109D7" w:rsidRPr="00F66735" w:rsidRDefault="00B16BA3" w:rsidP="00B16BA3">
      <w:pPr>
        <w:ind w:left="360"/>
        <w:rPr>
          <w:color w:val="000000"/>
        </w:rPr>
      </w:pPr>
      <w:r w:rsidRPr="00F66735">
        <w:rPr>
          <w:color w:val="000000"/>
        </w:rPr>
        <w:t xml:space="preserve">Using the </w:t>
      </w:r>
      <w:r w:rsidR="00871666" w:rsidRPr="00F66735">
        <w:rPr>
          <w:color w:val="000000"/>
        </w:rPr>
        <w:t xml:space="preserve">maximum </w:t>
      </w:r>
      <w:r w:rsidRPr="00F66735">
        <w:rPr>
          <w:color w:val="000000"/>
        </w:rPr>
        <w:t xml:space="preserve">estimate </w:t>
      </w:r>
      <w:r w:rsidR="00871666" w:rsidRPr="00F66735">
        <w:rPr>
          <w:color w:val="000000"/>
        </w:rPr>
        <w:t xml:space="preserve">of </w:t>
      </w:r>
      <w:r w:rsidR="003165AE" w:rsidRPr="00F66735">
        <w:rPr>
          <w:color w:val="000000"/>
        </w:rPr>
        <w:t xml:space="preserve">300 </w:t>
      </w:r>
      <w:r w:rsidRPr="00F66735">
        <w:rPr>
          <w:color w:val="000000"/>
        </w:rPr>
        <w:t xml:space="preserve">participating </w:t>
      </w:r>
      <w:r w:rsidR="0064204F" w:rsidRPr="00F66735">
        <w:rPr>
          <w:color w:val="000000"/>
        </w:rPr>
        <w:t>hospitals</w:t>
      </w:r>
      <w:r w:rsidR="00F570F3" w:rsidRPr="00F66735">
        <w:rPr>
          <w:color w:val="000000"/>
        </w:rPr>
        <w:t xml:space="preserve">, </w:t>
      </w:r>
      <w:r w:rsidR="003165AE" w:rsidRPr="00F66735">
        <w:rPr>
          <w:color w:val="000000"/>
        </w:rPr>
        <w:t xml:space="preserve">153 </w:t>
      </w:r>
      <w:r w:rsidR="00F570F3" w:rsidRPr="00F66735">
        <w:rPr>
          <w:color w:val="000000"/>
        </w:rPr>
        <w:t xml:space="preserve">of these </w:t>
      </w:r>
      <w:r w:rsidR="0033012F" w:rsidRPr="00F66735">
        <w:rPr>
          <w:color w:val="000000"/>
        </w:rPr>
        <w:t xml:space="preserve">would </w:t>
      </w:r>
      <w:r w:rsidR="00310290" w:rsidRPr="00F66735">
        <w:rPr>
          <w:color w:val="000000"/>
        </w:rPr>
        <w:t xml:space="preserve">be small hospitals, </w:t>
      </w:r>
      <w:r w:rsidR="003165AE" w:rsidRPr="00F66735">
        <w:rPr>
          <w:color w:val="000000"/>
        </w:rPr>
        <w:t xml:space="preserve">111 </w:t>
      </w:r>
      <w:r w:rsidR="0033012F" w:rsidRPr="00F66735">
        <w:rPr>
          <w:color w:val="000000"/>
        </w:rPr>
        <w:t xml:space="preserve">would </w:t>
      </w:r>
      <w:r w:rsidR="00F570F3" w:rsidRPr="00F66735">
        <w:rPr>
          <w:color w:val="000000"/>
        </w:rPr>
        <w:t xml:space="preserve">be medium hospitals, and </w:t>
      </w:r>
      <w:r w:rsidR="003165AE" w:rsidRPr="00F66735">
        <w:rPr>
          <w:color w:val="000000"/>
        </w:rPr>
        <w:t>36</w:t>
      </w:r>
      <w:r w:rsidR="00F570F3" w:rsidRPr="00F66735">
        <w:rPr>
          <w:color w:val="000000"/>
        </w:rPr>
        <w:t xml:space="preserve"> </w:t>
      </w:r>
      <w:r w:rsidR="0033012F" w:rsidRPr="00F66735">
        <w:rPr>
          <w:color w:val="000000"/>
        </w:rPr>
        <w:t>would be</w:t>
      </w:r>
      <w:r w:rsidR="00F570F3" w:rsidRPr="00F66735">
        <w:rPr>
          <w:color w:val="000000"/>
        </w:rPr>
        <w:t xml:space="preserve"> large hospitals. Of the </w:t>
      </w:r>
      <w:r w:rsidR="003165AE" w:rsidRPr="00F66735">
        <w:rPr>
          <w:color w:val="000000"/>
        </w:rPr>
        <w:t xml:space="preserve">153 </w:t>
      </w:r>
      <w:r w:rsidR="00F570F3" w:rsidRPr="00F66735">
        <w:rPr>
          <w:color w:val="000000"/>
        </w:rPr>
        <w:t xml:space="preserve">small hospitals, we estimate that </w:t>
      </w:r>
      <w:r w:rsidR="00F521B3" w:rsidRPr="00F66735">
        <w:rPr>
          <w:color w:val="000000"/>
        </w:rPr>
        <w:t>20</w:t>
      </w:r>
      <w:r w:rsidR="00F570F3" w:rsidRPr="00F66735">
        <w:rPr>
          <w:color w:val="000000"/>
        </w:rPr>
        <w:t xml:space="preserve">% of these </w:t>
      </w:r>
      <w:r w:rsidR="00F521B3" w:rsidRPr="00F66735">
        <w:rPr>
          <w:color w:val="000000"/>
        </w:rPr>
        <w:t>(</w:t>
      </w:r>
      <w:r w:rsidR="003165AE" w:rsidRPr="00F66735">
        <w:rPr>
          <w:color w:val="000000"/>
        </w:rPr>
        <w:t>3</w:t>
      </w:r>
      <w:r w:rsidR="00F521B3" w:rsidRPr="00F66735">
        <w:rPr>
          <w:color w:val="000000"/>
        </w:rPr>
        <w:t xml:space="preserve">1 hospitals) </w:t>
      </w:r>
      <w:r w:rsidR="0033012F" w:rsidRPr="00F66735">
        <w:rPr>
          <w:color w:val="000000"/>
        </w:rPr>
        <w:t xml:space="preserve">would be </w:t>
      </w:r>
      <w:r w:rsidR="00F570F3" w:rsidRPr="00F66735">
        <w:rPr>
          <w:color w:val="000000"/>
        </w:rPr>
        <w:t>ab</w:t>
      </w:r>
      <w:r w:rsidRPr="00F66735">
        <w:rPr>
          <w:color w:val="000000"/>
        </w:rPr>
        <w:t xml:space="preserve">le to review 75 </w:t>
      </w:r>
      <w:r w:rsidR="00662519" w:rsidRPr="00F66735">
        <w:rPr>
          <w:color w:val="000000"/>
        </w:rPr>
        <w:t>in</w:t>
      </w:r>
      <w:r w:rsidRPr="00F66735">
        <w:rPr>
          <w:color w:val="000000"/>
        </w:rPr>
        <w:t>patients. I</w:t>
      </w:r>
      <w:r w:rsidR="00F570F3" w:rsidRPr="00F66735">
        <w:rPr>
          <w:color w:val="000000"/>
        </w:rPr>
        <w:t xml:space="preserve">n the other </w:t>
      </w:r>
      <w:r w:rsidR="00F521B3" w:rsidRPr="00F66735">
        <w:rPr>
          <w:color w:val="000000"/>
        </w:rPr>
        <w:t>8</w:t>
      </w:r>
      <w:r w:rsidR="00F570F3" w:rsidRPr="00F66735">
        <w:rPr>
          <w:color w:val="000000"/>
        </w:rPr>
        <w:t>0%</w:t>
      </w:r>
      <w:r w:rsidR="00F521B3" w:rsidRPr="00F66735">
        <w:rPr>
          <w:color w:val="000000"/>
        </w:rPr>
        <w:t xml:space="preserve"> </w:t>
      </w:r>
      <w:r w:rsidRPr="00F66735">
        <w:rPr>
          <w:color w:val="000000"/>
        </w:rPr>
        <w:t xml:space="preserve">of small hospitals </w:t>
      </w:r>
      <w:r w:rsidR="00F521B3" w:rsidRPr="00F66735">
        <w:rPr>
          <w:color w:val="000000"/>
        </w:rPr>
        <w:t>(</w:t>
      </w:r>
      <w:r w:rsidR="003165AE" w:rsidRPr="00F66735">
        <w:rPr>
          <w:color w:val="000000"/>
        </w:rPr>
        <w:t xml:space="preserve">122 </w:t>
      </w:r>
      <w:r w:rsidR="00F521B3" w:rsidRPr="00F66735">
        <w:rPr>
          <w:color w:val="000000"/>
        </w:rPr>
        <w:t>hospitals)</w:t>
      </w:r>
      <w:r w:rsidR="00F570F3" w:rsidRPr="00F66735">
        <w:rPr>
          <w:color w:val="000000"/>
        </w:rPr>
        <w:t>, we estimate</w:t>
      </w:r>
      <w:r w:rsidR="00F521B3" w:rsidRPr="00F66735">
        <w:rPr>
          <w:color w:val="000000"/>
        </w:rPr>
        <w:t xml:space="preserve"> that 37</w:t>
      </w:r>
      <w:r w:rsidR="00F570F3" w:rsidRPr="00F66735">
        <w:rPr>
          <w:color w:val="000000"/>
        </w:rPr>
        <w:t xml:space="preserve"> </w:t>
      </w:r>
      <w:r w:rsidR="00662519" w:rsidRPr="00F66735">
        <w:rPr>
          <w:color w:val="000000"/>
        </w:rPr>
        <w:t>in</w:t>
      </w:r>
      <w:r w:rsidR="00F570F3" w:rsidRPr="00F66735">
        <w:rPr>
          <w:color w:val="000000"/>
        </w:rPr>
        <w:t xml:space="preserve">patients </w:t>
      </w:r>
      <w:r w:rsidR="00E963F2" w:rsidRPr="00F66735">
        <w:rPr>
          <w:color w:val="000000"/>
        </w:rPr>
        <w:t xml:space="preserve">would </w:t>
      </w:r>
      <w:r w:rsidR="00F570F3" w:rsidRPr="00F66735">
        <w:rPr>
          <w:color w:val="000000"/>
        </w:rPr>
        <w:t xml:space="preserve">be available for review. </w:t>
      </w:r>
    </w:p>
    <w:p w14:paraId="25718CE3" w14:textId="77777777" w:rsidR="002109D7" w:rsidRPr="00F66735" w:rsidRDefault="002109D7" w:rsidP="00B16BA3">
      <w:pPr>
        <w:ind w:left="360"/>
        <w:rPr>
          <w:color w:val="000000"/>
        </w:rPr>
      </w:pPr>
    </w:p>
    <w:p w14:paraId="1036B357" w14:textId="77777777" w:rsidR="00E01B7C" w:rsidRPr="00F66735" w:rsidRDefault="00F570F3" w:rsidP="00B16BA3">
      <w:pPr>
        <w:ind w:left="360"/>
      </w:pPr>
      <w:r w:rsidRPr="00F66735">
        <w:rPr>
          <w:color w:val="000000"/>
        </w:rPr>
        <w:t xml:space="preserve">Therefore, the total number of records reviewed </w:t>
      </w:r>
      <w:r w:rsidR="00E963F2" w:rsidRPr="00F66735">
        <w:rPr>
          <w:color w:val="000000"/>
        </w:rPr>
        <w:t>was estimated</w:t>
      </w:r>
      <w:r w:rsidRPr="00F66735">
        <w:rPr>
          <w:color w:val="000000"/>
        </w:rPr>
        <w:t xml:space="preserve"> as follows: [(</w:t>
      </w:r>
      <w:r w:rsidR="003165AE" w:rsidRPr="00F66735">
        <w:rPr>
          <w:color w:val="000000"/>
        </w:rPr>
        <w:t xml:space="preserve">31 </w:t>
      </w:r>
      <w:r w:rsidR="00662519" w:rsidRPr="00F66735">
        <w:rPr>
          <w:color w:val="000000"/>
        </w:rPr>
        <w:t>small hospitals</w:t>
      </w:r>
      <w:r w:rsidRPr="00F66735">
        <w:rPr>
          <w:color w:val="000000"/>
        </w:rPr>
        <w:t>)*(75 records)] + [(</w:t>
      </w:r>
      <w:r w:rsidR="003165AE" w:rsidRPr="00F66735">
        <w:rPr>
          <w:color w:val="000000"/>
        </w:rPr>
        <w:t xml:space="preserve">122 </w:t>
      </w:r>
      <w:r w:rsidR="00662519" w:rsidRPr="00F66735">
        <w:rPr>
          <w:color w:val="000000"/>
        </w:rPr>
        <w:t>small hospitals</w:t>
      </w:r>
      <w:r w:rsidRPr="00F66735">
        <w:rPr>
          <w:color w:val="000000"/>
        </w:rPr>
        <w:t>)*(</w:t>
      </w:r>
      <w:r w:rsidR="003165AE" w:rsidRPr="00F66735">
        <w:rPr>
          <w:color w:val="000000"/>
        </w:rPr>
        <w:t xml:space="preserve">37 </w:t>
      </w:r>
      <w:r w:rsidRPr="00F66735">
        <w:rPr>
          <w:color w:val="000000"/>
        </w:rPr>
        <w:t>records)] + [(</w:t>
      </w:r>
      <w:r w:rsidR="003165AE" w:rsidRPr="00F66735">
        <w:rPr>
          <w:color w:val="000000"/>
        </w:rPr>
        <w:t xml:space="preserve">111 </w:t>
      </w:r>
      <w:r w:rsidR="00662519" w:rsidRPr="00F66735">
        <w:rPr>
          <w:color w:val="000000"/>
        </w:rPr>
        <w:t>medium hospitals</w:t>
      </w:r>
      <w:r w:rsidRPr="00F66735">
        <w:rPr>
          <w:color w:val="000000"/>
        </w:rPr>
        <w:t>)*(75 records)] + [</w:t>
      </w:r>
      <w:r w:rsidR="003165AE" w:rsidRPr="00F66735">
        <w:rPr>
          <w:color w:val="000000"/>
        </w:rPr>
        <w:t xml:space="preserve">36 </w:t>
      </w:r>
      <w:r w:rsidR="00662519" w:rsidRPr="00F66735">
        <w:rPr>
          <w:color w:val="000000"/>
        </w:rPr>
        <w:t>large hospitals</w:t>
      </w:r>
      <w:r w:rsidRPr="00F66735">
        <w:rPr>
          <w:color w:val="000000"/>
        </w:rPr>
        <w:t xml:space="preserve">)*(100 records)] = </w:t>
      </w:r>
      <w:r w:rsidR="003165AE" w:rsidRPr="00F66735">
        <w:rPr>
          <w:color w:val="000000"/>
        </w:rPr>
        <w:t>18,764</w:t>
      </w:r>
      <w:r w:rsidRPr="00F66735">
        <w:rPr>
          <w:color w:val="000000"/>
        </w:rPr>
        <w:t xml:space="preserve"> </w:t>
      </w:r>
      <w:r w:rsidR="00662519" w:rsidRPr="00F66735">
        <w:rPr>
          <w:color w:val="000000"/>
        </w:rPr>
        <w:t xml:space="preserve">patient </w:t>
      </w:r>
      <w:r w:rsidRPr="00F66735">
        <w:rPr>
          <w:color w:val="000000"/>
        </w:rPr>
        <w:t>records,</w:t>
      </w:r>
      <w:r w:rsidRPr="00F66735">
        <w:t xml:space="preserve"> which </w:t>
      </w:r>
      <w:r w:rsidR="00E963F2" w:rsidRPr="00F66735">
        <w:t>translate</w:t>
      </w:r>
      <w:r w:rsidR="00B16BA3" w:rsidRPr="00F66735">
        <w:t xml:space="preserve">s </w:t>
      </w:r>
      <w:r w:rsidRPr="00F66735">
        <w:t xml:space="preserve">to an average of </w:t>
      </w:r>
      <w:r w:rsidR="003165AE" w:rsidRPr="00F66735">
        <w:t xml:space="preserve">63 </w:t>
      </w:r>
      <w:r w:rsidR="00662519" w:rsidRPr="00F66735">
        <w:t>PIF responses per hospital</w:t>
      </w:r>
      <w:r w:rsidRPr="00F66735">
        <w:t xml:space="preserve">. </w:t>
      </w:r>
      <w:r w:rsidR="00922F7B" w:rsidRPr="00F66735">
        <w:t>Th</w:t>
      </w:r>
      <w:r w:rsidR="00CE3CBC" w:rsidRPr="00F66735">
        <w:t xml:space="preserve">e time required </w:t>
      </w:r>
      <w:r w:rsidR="00922F7B" w:rsidRPr="00F66735">
        <w:t xml:space="preserve">to </w:t>
      </w:r>
      <w:r w:rsidR="00CE3CBC" w:rsidRPr="00F66735">
        <w:t>p</w:t>
      </w:r>
      <w:r w:rsidR="00922F7B" w:rsidRPr="00F66735">
        <w:t>articipate in training and data</w:t>
      </w:r>
      <w:r w:rsidR="00B16BA3" w:rsidRPr="00F66735">
        <w:t xml:space="preserve"> collection to complete the PIF</w:t>
      </w:r>
      <w:r w:rsidR="002109D7" w:rsidRPr="00F66735">
        <w:t xml:space="preserve"> </w:t>
      </w:r>
      <w:r w:rsidR="00922F7B" w:rsidRPr="00F66735">
        <w:t>is estimated to be 17 minutes</w:t>
      </w:r>
      <w:r w:rsidR="00612246" w:rsidRPr="00F66735">
        <w:t xml:space="preserve">. </w:t>
      </w:r>
    </w:p>
    <w:p w14:paraId="1D8AC00A" w14:textId="77777777" w:rsidR="00213910" w:rsidRPr="00F66735" w:rsidRDefault="00213910" w:rsidP="009842E3">
      <w:pPr>
        <w:ind w:left="360"/>
      </w:pPr>
    </w:p>
    <w:p w14:paraId="3A498D23" w14:textId="19D247D9" w:rsidR="00BF6D34" w:rsidRPr="00F66735" w:rsidRDefault="002109D7" w:rsidP="00241ECB">
      <w:pPr>
        <w:ind w:left="360"/>
      </w:pPr>
      <w:r w:rsidRPr="00F66735">
        <w:t>In summary, o</w:t>
      </w:r>
      <w:r w:rsidR="00C32D60" w:rsidRPr="00F66735">
        <w:t>ne full-scale survey is planned for t</w:t>
      </w:r>
      <w:r w:rsidRPr="00F66735">
        <w:t xml:space="preserve">he three-year approval period. </w:t>
      </w:r>
      <w:r w:rsidR="00C32D60" w:rsidRPr="00F66735">
        <w:t xml:space="preserve">In total, 300 </w:t>
      </w:r>
      <w:r w:rsidRPr="00F66735">
        <w:t xml:space="preserve">facility </w:t>
      </w:r>
      <w:r w:rsidR="00C32D60" w:rsidRPr="00F66735">
        <w:t>respon</w:t>
      </w:r>
      <w:r w:rsidRPr="00F66735">
        <w:t>dents will complete the HFA 1x</w:t>
      </w:r>
      <w:r w:rsidR="00C32D60" w:rsidRPr="00F66735">
        <w:t xml:space="preserve"> a</w:t>
      </w:r>
      <w:r w:rsidRPr="00F66735">
        <w:t>nd the PIF, on average, 63x</w:t>
      </w:r>
      <w:r w:rsidR="00C32D60" w:rsidRPr="00F66735">
        <w:t>.  To annualize the burden over a three-year period in Table A below, the number of respondents has been set at 100 per year.</w:t>
      </w:r>
      <w:r w:rsidRPr="00F66735">
        <w:t xml:space="preserve"> The total estimated annualiz</w:t>
      </w:r>
      <w:r w:rsidR="00EA0628" w:rsidRPr="00F66735">
        <w:t xml:space="preserve">ed public burden is 1,860 hours, which represents no change from the 2016 </w:t>
      </w:r>
      <w:r w:rsidR="00BE0EEF" w:rsidRPr="00F66735">
        <w:t xml:space="preserve">OMB </w:t>
      </w:r>
      <w:r w:rsidR="00EA0628" w:rsidRPr="00F66735">
        <w:t>approval.</w:t>
      </w:r>
    </w:p>
    <w:p w14:paraId="32B848DD" w14:textId="77777777" w:rsidR="00612246" w:rsidRPr="00F66735" w:rsidRDefault="00612246" w:rsidP="00612246">
      <w:pPr>
        <w:outlineLvl w:val="0"/>
        <w:rPr>
          <w:b/>
        </w:rPr>
      </w:pPr>
      <w:bookmarkStart w:id="20" w:name="_Toc455558082"/>
      <w:r w:rsidRPr="00F66735">
        <w:rPr>
          <w:b/>
        </w:rPr>
        <w:t>Table A: Estimated Annualized Burden Hours</w:t>
      </w:r>
      <w:bookmarkEnd w:id="20"/>
      <w:r w:rsidRPr="00F66735">
        <w:rPr>
          <w:b/>
        </w:rPr>
        <w:t xml:space="preserve"> </w:t>
      </w:r>
    </w:p>
    <w:p w14:paraId="62D01542" w14:textId="77777777" w:rsidR="00A269D4" w:rsidRPr="00F66735" w:rsidRDefault="00A269D4" w:rsidP="00612246">
      <w:pPr>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684"/>
        <w:gridCol w:w="1585"/>
        <w:gridCol w:w="1577"/>
        <w:gridCol w:w="1557"/>
        <w:gridCol w:w="1535"/>
      </w:tblGrid>
      <w:tr w:rsidR="00B9027B" w:rsidRPr="00F66735" w14:paraId="73247044" w14:textId="77777777" w:rsidTr="007D6D21">
        <w:tc>
          <w:tcPr>
            <w:tcW w:w="1638" w:type="dxa"/>
            <w:tcBorders>
              <w:top w:val="single" w:sz="4" w:space="0" w:color="auto"/>
              <w:left w:val="single" w:sz="4" w:space="0" w:color="auto"/>
              <w:bottom w:val="single" w:sz="4" w:space="0" w:color="auto"/>
              <w:right w:val="single" w:sz="4" w:space="0" w:color="auto"/>
            </w:tcBorders>
            <w:vAlign w:val="center"/>
            <w:hideMark/>
          </w:tcPr>
          <w:p w14:paraId="63CC700C" w14:textId="77777777" w:rsidR="00612246" w:rsidRPr="00F66735" w:rsidRDefault="005D20E7" w:rsidP="00DE498D">
            <w:pPr>
              <w:jc w:val="center"/>
              <w:outlineLvl w:val="0"/>
              <w:rPr>
                <w:b/>
              </w:rPr>
            </w:pPr>
            <w:bookmarkStart w:id="21" w:name="_Toc455558083"/>
            <w:r w:rsidRPr="00F66735">
              <w:rPr>
                <w:b/>
              </w:rPr>
              <w:t>Type of R</w:t>
            </w:r>
            <w:r w:rsidR="00612246" w:rsidRPr="00F66735">
              <w:rPr>
                <w:b/>
              </w:rPr>
              <w:t>espondent</w:t>
            </w:r>
            <w:bookmarkEnd w:id="21"/>
            <w:r w:rsidRPr="00F66735">
              <w:rPr>
                <w:b/>
              </w:rPr>
              <w:t>s</w:t>
            </w:r>
          </w:p>
        </w:tc>
        <w:tc>
          <w:tcPr>
            <w:tcW w:w="1684" w:type="dxa"/>
            <w:tcBorders>
              <w:top w:val="single" w:sz="4" w:space="0" w:color="auto"/>
              <w:left w:val="single" w:sz="4" w:space="0" w:color="auto"/>
              <w:bottom w:val="single" w:sz="4" w:space="0" w:color="auto"/>
              <w:right w:val="single" w:sz="4" w:space="0" w:color="auto"/>
            </w:tcBorders>
            <w:vAlign w:val="center"/>
            <w:hideMark/>
          </w:tcPr>
          <w:p w14:paraId="34F36BDB" w14:textId="77777777" w:rsidR="00612246" w:rsidRPr="00F66735" w:rsidRDefault="00612246" w:rsidP="00DE498D">
            <w:pPr>
              <w:jc w:val="center"/>
              <w:outlineLvl w:val="0"/>
              <w:rPr>
                <w:b/>
              </w:rPr>
            </w:pPr>
            <w:bookmarkStart w:id="22" w:name="_Toc455558084"/>
            <w:r w:rsidRPr="00F66735">
              <w:rPr>
                <w:b/>
              </w:rPr>
              <w:t>Form</w:t>
            </w:r>
            <w:bookmarkStart w:id="23" w:name="_Toc455558085"/>
            <w:bookmarkEnd w:id="22"/>
            <w:r w:rsidR="005D20E7" w:rsidRPr="00F66735">
              <w:rPr>
                <w:b/>
              </w:rPr>
              <w:t xml:space="preserve"> </w:t>
            </w:r>
            <w:r w:rsidRPr="00F66735">
              <w:rPr>
                <w:b/>
              </w:rPr>
              <w:t>Name</w:t>
            </w:r>
            <w:bookmarkEnd w:id="23"/>
          </w:p>
        </w:tc>
        <w:tc>
          <w:tcPr>
            <w:tcW w:w="1585" w:type="dxa"/>
            <w:tcBorders>
              <w:top w:val="single" w:sz="4" w:space="0" w:color="auto"/>
              <w:left w:val="single" w:sz="4" w:space="0" w:color="auto"/>
              <w:bottom w:val="single" w:sz="4" w:space="0" w:color="auto"/>
              <w:right w:val="single" w:sz="4" w:space="0" w:color="auto"/>
            </w:tcBorders>
            <w:vAlign w:val="center"/>
            <w:hideMark/>
          </w:tcPr>
          <w:p w14:paraId="797D6ED2" w14:textId="77777777" w:rsidR="00612246" w:rsidRPr="00F66735" w:rsidRDefault="00612246" w:rsidP="00DE498D">
            <w:pPr>
              <w:jc w:val="center"/>
              <w:outlineLvl w:val="0"/>
              <w:rPr>
                <w:b/>
              </w:rPr>
            </w:pPr>
            <w:bookmarkStart w:id="24" w:name="_Toc455558086"/>
            <w:r w:rsidRPr="00F66735">
              <w:rPr>
                <w:b/>
              </w:rPr>
              <w:t>N</w:t>
            </w:r>
            <w:r w:rsidR="005D20E7" w:rsidRPr="00F66735">
              <w:rPr>
                <w:b/>
              </w:rPr>
              <w:t>o.</w:t>
            </w:r>
            <w:r w:rsidRPr="00F66735">
              <w:rPr>
                <w:b/>
              </w:rPr>
              <w:t xml:space="preserve"> of Respondents</w:t>
            </w:r>
            <w:bookmarkEnd w:id="24"/>
          </w:p>
        </w:tc>
        <w:tc>
          <w:tcPr>
            <w:tcW w:w="1577" w:type="dxa"/>
            <w:tcBorders>
              <w:top w:val="single" w:sz="4" w:space="0" w:color="auto"/>
              <w:left w:val="single" w:sz="4" w:space="0" w:color="auto"/>
              <w:bottom w:val="single" w:sz="4" w:space="0" w:color="auto"/>
              <w:right w:val="single" w:sz="4" w:space="0" w:color="auto"/>
            </w:tcBorders>
            <w:vAlign w:val="center"/>
            <w:hideMark/>
          </w:tcPr>
          <w:p w14:paraId="5C116C51" w14:textId="77777777" w:rsidR="00612246" w:rsidRPr="00F66735" w:rsidRDefault="00612246" w:rsidP="00DE498D">
            <w:pPr>
              <w:jc w:val="center"/>
              <w:outlineLvl w:val="0"/>
              <w:rPr>
                <w:b/>
              </w:rPr>
            </w:pPr>
            <w:bookmarkStart w:id="25" w:name="_Toc455558087"/>
            <w:r w:rsidRPr="00F66735">
              <w:rPr>
                <w:b/>
              </w:rPr>
              <w:t>N</w:t>
            </w:r>
            <w:r w:rsidR="005D20E7" w:rsidRPr="00F66735">
              <w:rPr>
                <w:b/>
              </w:rPr>
              <w:t xml:space="preserve">o. </w:t>
            </w:r>
            <w:bookmarkStart w:id="26" w:name="_Toc455558088"/>
            <w:bookmarkEnd w:id="25"/>
            <w:r w:rsidR="00DE498D" w:rsidRPr="00F66735">
              <w:rPr>
                <w:b/>
              </w:rPr>
              <w:t xml:space="preserve">of </w:t>
            </w:r>
            <w:r w:rsidR="005D20E7" w:rsidRPr="00F66735">
              <w:rPr>
                <w:b/>
              </w:rPr>
              <w:t xml:space="preserve">Responses </w:t>
            </w:r>
            <w:r w:rsidRPr="00F66735">
              <w:rPr>
                <w:b/>
              </w:rPr>
              <w:t>per Respondent</w:t>
            </w:r>
            <w:bookmarkEnd w:id="26"/>
          </w:p>
        </w:tc>
        <w:tc>
          <w:tcPr>
            <w:tcW w:w="1557" w:type="dxa"/>
            <w:tcBorders>
              <w:top w:val="single" w:sz="4" w:space="0" w:color="auto"/>
              <w:left w:val="single" w:sz="4" w:space="0" w:color="auto"/>
              <w:bottom w:val="single" w:sz="4" w:space="0" w:color="auto"/>
              <w:right w:val="single" w:sz="4" w:space="0" w:color="auto"/>
            </w:tcBorders>
            <w:vAlign w:val="center"/>
            <w:hideMark/>
          </w:tcPr>
          <w:p w14:paraId="23754D59" w14:textId="77777777" w:rsidR="00612246" w:rsidRPr="00F66735" w:rsidRDefault="00612246" w:rsidP="00DE498D">
            <w:pPr>
              <w:jc w:val="center"/>
              <w:outlineLvl w:val="0"/>
              <w:rPr>
                <w:b/>
              </w:rPr>
            </w:pPr>
            <w:bookmarkStart w:id="27" w:name="_Toc455558089"/>
            <w:r w:rsidRPr="00F66735">
              <w:rPr>
                <w:b/>
              </w:rPr>
              <w:t>Av</w:t>
            </w:r>
            <w:r w:rsidR="005D20E7" w:rsidRPr="00F66735">
              <w:rPr>
                <w:b/>
              </w:rPr>
              <w:t>g.</w:t>
            </w:r>
            <w:r w:rsidRPr="00F66735">
              <w:rPr>
                <w:b/>
              </w:rPr>
              <w:t xml:space="preserve"> Burden per Response</w:t>
            </w:r>
            <w:bookmarkEnd w:id="27"/>
          </w:p>
          <w:p w14:paraId="662514B7" w14:textId="77777777" w:rsidR="00612246" w:rsidRPr="00F66735" w:rsidRDefault="002109D7" w:rsidP="00DE498D">
            <w:pPr>
              <w:jc w:val="center"/>
              <w:outlineLvl w:val="0"/>
              <w:rPr>
                <w:b/>
              </w:rPr>
            </w:pPr>
            <w:bookmarkStart w:id="28" w:name="_Toc455558090"/>
            <w:r w:rsidRPr="00F66735">
              <w:rPr>
                <w:b/>
              </w:rPr>
              <w:t>(H</w:t>
            </w:r>
            <w:r w:rsidR="00612246" w:rsidRPr="00F66735">
              <w:rPr>
                <w:b/>
              </w:rPr>
              <w:t>ours)</w:t>
            </w:r>
            <w:bookmarkEnd w:id="28"/>
          </w:p>
        </w:tc>
        <w:tc>
          <w:tcPr>
            <w:tcW w:w="1535" w:type="dxa"/>
            <w:tcBorders>
              <w:top w:val="single" w:sz="4" w:space="0" w:color="auto"/>
              <w:left w:val="single" w:sz="4" w:space="0" w:color="auto"/>
              <w:bottom w:val="single" w:sz="4" w:space="0" w:color="auto"/>
              <w:right w:val="single" w:sz="4" w:space="0" w:color="auto"/>
            </w:tcBorders>
            <w:vAlign w:val="center"/>
            <w:hideMark/>
          </w:tcPr>
          <w:p w14:paraId="379891F7" w14:textId="77777777" w:rsidR="00612246" w:rsidRPr="00F66735" w:rsidRDefault="00612246" w:rsidP="00DE498D">
            <w:pPr>
              <w:jc w:val="center"/>
              <w:outlineLvl w:val="0"/>
              <w:rPr>
                <w:b/>
              </w:rPr>
            </w:pPr>
            <w:bookmarkStart w:id="29" w:name="_Toc455558091"/>
            <w:r w:rsidRPr="00F66735">
              <w:rPr>
                <w:b/>
              </w:rPr>
              <w:t xml:space="preserve">Total Burden </w:t>
            </w:r>
            <w:r w:rsidR="002109D7" w:rsidRPr="00F66735">
              <w:rPr>
                <w:b/>
              </w:rPr>
              <w:t>(</w:t>
            </w:r>
            <w:r w:rsidR="005D20E7" w:rsidRPr="00F66735">
              <w:rPr>
                <w:b/>
              </w:rPr>
              <w:t>H</w:t>
            </w:r>
            <w:r w:rsidR="00E754A0" w:rsidRPr="00F66735">
              <w:rPr>
                <w:b/>
              </w:rPr>
              <w:t>ours</w:t>
            </w:r>
            <w:bookmarkEnd w:id="29"/>
            <w:r w:rsidR="002109D7" w:rsidRPr="00F66735">
              <w:rPr>
                <w:b/>
              </w:rPr>
              <w:t>)</w:t>
            </w:r>
          </w:p>
        </w:tc>
      </w:tr>
      <w:tr w:rsidR="00B9027B" w:rsidRPr="00F66735" w14:paraId="1B9AC448" w14:textId="77777777" w:rsidTr="007D6D21">
        <w:tc>
          <w:tcPr>
            <w:tcW w:w="1638" w:type="dxa"/>
            <w:vMerge w:val="restart"/>
            <w:tcBorders>
              <w:top w:val="single" w:sz="4" w:space="0" w:color="auto"/>
              <w:left w:val="single" w:sz="4" w:space="0" w:color="auto"/>
              <w:right w:val="single" w:sz="4" w:space="0" w:color="auto"/>
            </w:tcBorders>
            <w:vAlign w:val="center"/>
          </w:tcPr>
          <w:p w14:paraId="57F3E21A" w14:textId="77777777" w:rsidR="00B9027B" w:rsidRPr="00F66735" w:rsidRDefault="008F2843" w:rsidP="008F2843">
            <w:pPr>
              <w:outlineLvl w:val="0"/>
            </w:pPr>
            <w:bookmarkStart w:id="30" w:name="_Toc455558092"/>
            <w:r w:rsidRPr="00F66735">
              <w:t>Hospital Staff (i.e.</w:t>
            </w:r>
            <w:r w:rsidR="007D6D21" w:rsidRPr="00F66735">
              <w:t>,</w:t>
            </w:r>
            <w:r w:rsidRPr="00F66735">
              <w:t xml:space="preserve"> </w:t>
            </w:r>
            <w:r w:rsidR="00B9027B" w:rsidRPr="00F66735">
              <w:t xml:space="preserve">Infection </w:t>
            </w:r>
            <w:r w:rsidR="00B0321B" w:rsidRPr="00F66735">
              <w:t>P</w:t>
            </w:r>
            <w:r w:rsidR="00B9027B" w:rsidRPr="00F66735">
              <w:t>reventionist</w:t>
            </w:r>
            <w:bookmarkEnd w:id="30"/>
            <w:r w:rsidRPr="00F66735">
              <w:t>)</w:t>
            </w:r>
            <w:r w:rsidR="000B7CA0" w:rsidRPr="00F66735">
              <w:t xml:space="preserve"> </w:t>
            </w:r>
          </w:p>
        </w:tc>
        <w:tc>
          <w:tcPr>
            <w:tcW w:w="1684" w:type="dxa"/>
            <w:tcBorders>
              <w:top w:val="single" w:sz="4" w:space="0" w:color="auto"/>
              <w:left w:val="single" w:sz="4" w:space="0" w:color="auto"/>
              <w:bottom w:val="single" w:sz="4" w:space="0" w:color="auto"/>
              <w:right w:val="single" w:sz="4" w:space="0" w:color="auto"/>
            </w:tcBorders>
          </w:tcPr>
          <w:p w14:paraId="4235F3F6" w14:textId="77777777" w:rsidR="00B9027B" w:rsidRPr="00F66735" w:rsidRDefault="00B9027B" w:rsidP="00CA6501">
            <w:pPr>
              <w:jc w:val="center"/>
              <w:outlineLvl w:val="0"/>
            </w:pPr>
            <w:bookmarkStart w:id="31" w:name="_Toc455558093"/>
            <w:r w:rsidRPr="00F66735">
              <w:t>Healthcare Facility Assessment (HFA)</w:t>
            </w:r>
            <w:bookmarkEnd w:id="31"/>
            <w:r w:rsidRPr="00F66735">
              <w:t xml:space="preserve"> </w:t>
            </w:r>
          </w:p>
        </w:tc>
        <w:tc>
          <w:tcPr>
            <w:tcW w:w="1585" w:type="dxa"/>
            <w:tcBorders>
              <w:top w:val="single" w:sz="4" w:space="0" w:color="auto"/>
              <w:left w:val="single" w:sz="4" w:space="0" w:color="auto"/>
              <w:bottom w:val="single" w:sz="4" w:space="0" w:color="auto"/>
              <w:right w:val="single" w:sz="4" w:space="0" w:color="auto"/>
            </w:tcBorders>
          </w:tcPr>
          <w:p w14:paraId="2ADCE927" w14:textId="77777777" w:rsidR="00B9027B" w:rsidRPr="00F66735" w:rsidRDefault="00F97CBD" w:rsidP="00CA6501">
            <w:pPr>
              <w:jc w:val="center"/>
              <w:outlineLvl w:val="0"/>
            </w:pPr>
            <w:bookmarkStart w:id="32" w:name="_Toc455558094"/>
            <w:r w:rsidRPr="00F66735">
              <w:t>1</w:t>
            </w:r>
            <w:r w:rsidR="00B9027B" w:rsidRPr="00F66735">
              <w:t>00</w:t>
            </w:r>
            <w:bookmarkEnd w:id="32"/>
          </w:p>
        </w:tc>
        <w:tc>
          <w:tcPr>
            <w:tcW w:w="1577" w:type="dxa"/>
            <w:tcBorders>
              <w:top w:val="single" w:sz="4" w:space="0" w:color="auto"/>
              <w:left w:val="single" w:sz="4" w:space="0" w:color="auto"/>
              <w:bottom w:val="single" w:sz="4" w:space="0" w:color="auto"/>
              <w:right w:val="single" w:sz="4" w:space="0" w:color="auto"/>
            </w:tcBorders>
          </w:tcPr>
          <w:p w14:paraId="77E94D43" w14:textId="77777777" w:rsidR="00B9027B" w:rsidRPr="00F66735" w:rsidRDefault="00B9027B" w:rsidP="00CA6501">
            <w:pPr>
              <w:jc w:val="center"/>
              <w:outlineLvl w:val="0"/>
            </w:pPr>
            <w:bookmarkStart w:id="33" w:name="_Toc455558095"/>
            <w:r w:rsidRPr="00F66735">
              <w:t>1</w:t>
            </w:r>
            <w:bookmarkEnd w:id="33"/>
          </w:p>
        </w:tc>
        <w:tc>
          <w:tcPr>
            <w:tcW w:w="1557" w:type="dxa"/>
            <w:tcBorders>
              <w:top w:val="single" w:sz="4" w:space="0" w:color="auto"/>
              <w:left w:val="single" w:sz="4" w:space="0" w:color="auto"/>
              <w:bottom w:val="single" w:sz="4" w:space="0" w:color="auto"/>
              <w:right w:val="single" w:sz="4" w:space="0" w:color="auto"/>
            </w:tcBorders>
          </w:tcPr>
          <w:p w14:paraId="4C460A36" w14:textId="77777777" w:rsidR="00B9027B" w:rsidRPr="00F66735" w:rsidRDefault="00B9027B" w:rsidP="00CA6501">
            <w:pPr>
              <w:jc w:val="center"/>
              <w:outlineLvl w:val="0"/>
            </w:pPr>
            <w:bookmarkStart w:id="34" w:name="_Toc455558096"/>
            <w:r w:rsidRPr="00F66735">
              <w:t>45/60</w:t>
            </w:r>
            <w:bookmarkEnd w:id="34"/>
          </w:p>
        </w:tc>
        <w:tc>
          <w:tcPr>
            <w:tcW w:w="1535" w:type="dxa"/>
            <w:tcBorders>
              <w:top w:val="single" w:sz="4" w:space="0" w:color="auto"/>
              <w:left w:val="single" w:sz="4" w:space="0" w:color="auto"/>
              <w:bottom w:val="single" w:sz="4" w:space="0" w:color="auto"/>
              <w:right w:val="single" w:sz="4" w:space="0" w:color="auto"/>
            </w:tcBorders>
          </w:tcPr>
          <w:p w14:paraId="360291A9" w14:textId="77777777" w:rsidR="00B9027B" w:rsidRPr="00F66735" w:rsidRDefault="00F97CBD" w:rsidP="008808D4">
            <w:pPr>
              <w:jc w:val="right"/>
              <w:outlineLvl w:val="0"/>
            </w:pPr>
            <w:r w:rsidRPr="00F66735">
              <w:t>75</w:t>
            </w:r>
          </w:p>
        </w:tc>
      </w:tr>
      <w:tr w:rsidR="00B9027B" w:rsidRPr="00F66735" w14:paraId="380BADDC" w14:textId="77777777" w:rsidTr="007D6D21">
        <w:tc>
          <w:tcPr>
            <w:tcW w:w="1638" w:type="dxa"/>
            <w:vMerge/>
            <w:tcBorders>
              <w:left w:val="single" w:sz="4" w:space="0" w:color="auto"/>
              <w:bottom w:val="single" w:sz="4" w:space="0" w:color="auto"/>
              <w:right w:val="single" w:sz="4" w:space="0" w:color="auto"/>
            </w:tcBorders>
            <w:hideMark/>
          </w:tcPr>
          <w:p w14:paraId="1B68C75D" w14:textId="77777777" w:rsidR="00B9027B" w:rsidRPr="00F66735" w:rsidRDefault="00B9027B" w:rsidP="00CA6501">
            <w:pPr>
              <w:outlineLvl w:val="0"/>
            </w:pPr>
          </w:p>
        </w:tc>
        <w:tc>
          <w:tcPr>
            <w:tcW w:w="1684" w:type="dxa"/>
            <w:tcBorders>
              <w:top w:val="single" w:sz="4" w:space="0" w:color="auto"/>
              <w:left w:val="single" w:sz="4" w:space="0" w:color="auto"/>
              <w:bottom w:val="single" w:sz="4" w:space="0" w:color="auto"/>
              <w:right w:val="single" w:sz="4" w:space="0" w:color="auto"/>
            </w:tcBorders>
            <w:hideMark/>
          </w:tcPr>
          <w:p w14:paraId="1DB50005" w14:textId="77777777" w:rsidR="00B9027B" w:rsidRPr="00F66735" w:rsidRDefault="00B9027B" w:rsidP="00CA6501">
            <w:pPr>
              <w:jc w:val="center"/>
              <w:outlineLvl w:val="0"/>
            </w:pPr>
            <w:bookmarkStart w:id="35" w:name="_Toc455558099"/>
            <w:r w:rsidRPr="00F66735">
              <w:t>Patient Information Form (PIF)</w:t>
            </w:r>
            <w:bookmarkEnd w:id="35"/>
          </w:p>
        </w:tc>
        <w:tc>
          <w:tcPr>
            <w:tcW w:w="1585" w:type="dxa"/>
            <w:tcBorders>
              <w:top w:val="single" w:sz="4" w:space="0" w:color="auto"/>
              <w:left w:val="single" w:sz="4" w:space="0" w:color="auto"/>
              <w:bottom w:val="single" w:sz="4" w:space="0" w:color="auto"/>
              <w:right w:val="single" w:sz="4" w:space="0" w:color="auto"/>
            </w:tcBorders>
            <w:hideMark/>
          </w:tcPr>
          <w:p w14:paraId="43CE935D" w14:textId="77777777" w:rsidR="00B9027B" w:rsidRPr="00F66735" w:rsidRDefault="00F97CBD" w:rsidP="00CA6501">
            <w:pPr>
              <w:jc w:val="center"/>
              <w:outlineLvl w:val="0"/>
            </w:pPr>
            <w:bookmarkStart w:id="36" w:name="_Toc455558100"/>
            <w:r w:rsidRPr="00F66735">
              <w:t>1</w:t>
            </w:r>
            <w:r w:rsidR="00B9027B" w:rsidRPr="00F66735">
              <w:t>00</w:t>
            </w:r>
            <w:bookmarkEnd w:id="36"/>
          </w:p>
        </w:tc>
        <w:tc>
          <w:tcPr>
            <w:tcW w:w="1577" w:type="dxa"/>
            <w:tcBorders>
              <w:top w:val="single" w:sz="4" w:space="0" w:color="auto"/>
              <w:left w:val="single" w:sz="4" w:space="0" w:color="auto"/>
              <w:bottom w:val="single" w:sz="4" w:space="0" w:color="auto"/>
              <w:right w:val="single" w:sz="4" w:space="0" w:color="auto"/>
            </w:tcBorders>
            <w:hideMark/>
          </w:tcPr>
          <w:p w14:paraId="66F81E90" w14:textId="77777777" w:rsidR="00B9027B" w:rsidRPr="00F66735" w:rsidRDefault="00F97CBD" w:rsidP="00CA6501">
            <w:pPr>
              <w:jc w:val="center"/>
              <w:outlineLvl w:val="0"/>
            </w:pPr>
            <w:r w:rsidRPr="00F66735">
              <w:t>63</w:t>
            </w:r>
          </w:p>
        </w:tc>
        <w:tc>
          <w:tcPr>
            <w:tcW w:w="1557" w:type="dxa"/>
            <w:tcBorders>
              <w:top w:val="single" w:sz="4" w:space="0" w:color="auto"/>
              <w:left w:val="single" w:sz="4" w:space="0" w:color="auto"/>
              <w:bottom w:val="single" w:sz="4" w:space="0" w:color="auto"/>
              <w:right w:val="single" w:sz="4" w:space="0" w:color="auto"/>
            </w:tcBorders>
            <w:hideMark/>
          </w:tcPr>
          <w:p w14:paraId="57B97AF7" w14:textId="77777777" w:rsidR="00B9027B" w:rsidRPr="00F66735" w:rsidRDefault="00B9027B" w:rsidP="00CA6501">
            <w:pPr>
              <w:jc w:val="center"/>
              <w:outlineLvl w:val="0"/>
            </w:pPr>
            <w:bookmarkStart w:id="37" w:name="_Toc455558102"/>
            <w:r w:rsidRPr="00F66735">
              <w:t>17/60</w:t>
            </w:r>
            <w:bookmarkEnd w:id="37"/>
          </w:p>
        </w:tc>
        <w:tc>
          <w:tcPr>
            <w:tcW w:w="1535" w:type="dxa"/>
            <w:tcBorders>
              <w:top w:val="single" w:sz="4" w:space="0" w:color="auto"/>
              <w:left w:val="single" w:sz="4" w:space="0" w:color="auto"/>
              <w:bottom w:val="single" w:sz="4" w:space="0" w:color="auto"/>
              <w:right w:val="single" w:sz="4" w:space="0" w:color="auto"/>
            </w:tcBorders>
            <w:hideMark/>
          </w:tcPr>
          <w:p w14:paraId="01AF2ADA" w14:textId="77777777" w:rsidR="00B9027B" w:rsidRPr="00F66735" w:rsidRDefault="00F97CBD" w:rsidP="008A73D9">
            <w:pPr>
              <w:jc w:val="right"/>
              <w:outlineLvl w:val="0"/>
            </w:pPr>
            <w:r w:rsidRPr="00F66735">
              <w:t>1,785</w:t>
            </w:r>
          </w:p>
        </w:tc>
      </w:tr>
      <w:tr w:rsidR="00B9027B" w:rsidRPr="00F66735" w14:paraId="5C2EDE76" w14:textId="77777777" w:rsidTr="007D6D21">
        <w:tc>
          <w:tcPr>
            <w:tcW w:w="1638" w:type="dxa"/>
            <w:tcBorders>
              <w:top w:val="single" w:sz="4" w:space="0" w:color="auto"/>
              <w:left w:val="single" w:sz="4" w:space="0" w:color="auto"/>
              <w:bottom w:val="single" w:sz="4" w:space="0" w:color="auto"/>
              <w:right w:val="nil"/>
            </w:tcBorders>
            <w:hideMark/>
          </w:tcPr>
          <w:p w14:paraId="3319A166" w14:textId="77777777" w:rsidR="00612246" w:rsidRPr="00F66735" w:rsidRDefault="00612246" w:rsidP="00CA6501">
            <w:pPr>
              <w:outlineLvl w:val="0"/>
              <w:rPr>
                <w:b/>
              </w:rPr>
            </w:pPr>
            <w:bookmarkStart w:id="38" w:name="_Toc455558104"/>
            <w:r w:rsidRPr="00F66735">
              <w:rPr>
                <w:b/>
              </w:rPr>
              <w:t>Total</w:t>
            </w:r>
            <w:bookmarkEnd w:id="38"/>
            <w:r w:rsidR="002109D7" w:rsidRPr="00F66735">
              <w:rPr>
                <w:b/>
              </w:rPr>
              <w:t xml:space="preserve"> (Hours)</w:t>
            </w:r>
          </w:p>
        </w:tc>
        <w:tc>
          <w:tcPr>
            <w:tcW w:w="1684" w:type="dxa"/>
            <w:tcBorders>
              <w:top w:val="single" w:sz="4" w:space="0" w:color="auto"/>
              <w:left w:val="nil"/>
              <w:bottom w:val="single" w:sz="4" w:space="0" w:color="auto"/>
              <w:right w:val="nil"/>
            </w:tcBorders>
          </w:tcPr>
          <w:p w14:paraId="795193AD" w14:textId="77777777" w:rsidR="00612246" w:rsidRPr="00F66735" w:rsidRDefault="00612246" w:rsidP="00CA6501">
            <w:pPr>
              <w:jc w:val="center"/>
              <w:outlineLvl w:val="0"/>
            </w:pPr>
          </w:p>
        </w:tc>
        <w:tc>
          <w:tcPr>
            <w:tcW w:w="1585" w:type="dxa"/>
            <w:tcBorders>
              <w:top w:val="single" w:sz="4" w:space="0" w:color="auto"/>
              <w:left w:val="nil"/>
              <w:bottom w:val="single" w:sz="4" w:space="0" w:color="auto"/>
              <w:right w:val="nil"/>
            </w:tcBorders>
          </w:tcPr>
          <w:p w14:paraId="499B5AF1" w14:textId="77777777" w:rsidR="00612246" w:rsidRPr="00F66735" w:rsidRDefault="00612246" w:rsidP="00CA6501">
            <w:pPr>
              <w:jc w:val="center"/>
              <w:outlineLvl w:val="0"/>
            </w:pPr>
          </w:p>
        </w:tc>
        <w:tc>
          <w:tcPr>
            <w:tcW w:w="1577" w:type="dxa"/>
            <w:tcBorders>
              <w:top w:val="single" w:sz="4" w:space="0" w:color="auto"/>
              <w:left w:val="nil"/>
              <w:bottom w:val="single" w:sz="4" w:space="0" w:color="auto"/>
              <w:right w:val="nil"/>
            </w:tcBorders>
          </w:tcPr>
          <w:p w14:paraId="67FCBC92" w14:textId="77777777" w:rsidR="00612246" w:rsidRPr="00F66735" w:rsidRDefault="00612246" w:rsidP="00CA6501">
            <w:pPr>
              <w:jc w:val="center"/>
              <w:outlineLvl w:val="0"/>
            </w:pPr>
          </w:p>
        </w:tc>
        <w:tc>
          <w:tcPr>
            <w:tcW w:w="1557" w:type="dxa"/>
            <w:tcBorders>
              <w:top w:val="single" w:sz="4" w:space="0" w:color="auto"/>
              <w:left w:val="nil"/>
              <w:bottom w:val="single" w:sz="4" w:space="0" w:color="auto"/>
              <w:right w:val="nil"/>
            </w:tcBorders>
            <w:hideMark/>
          </w:tcPr>
          <w:p w14:paraId="65DB11E4" w14:textId="77777777" w:rsidR="00612246" w:rsidRPr="00F66735" w:rsidRDefault="00612246" w:rsidP="00CA6501">
            <w:pPr>
              <w:jc w:val="center"/>
              <w:outlineLvl w:val="0"/>
            </w:pPr>
          </w:p>
        </w:tc>
        <w:tc>
          <w:tcPr>
            <w:tcW w:w="1535" w:type="dxa"/>
            <w:tcBorders>
              <w:top w:val="single" w:sz="4" w:space="0" w:color="auto"/>
              <w:left w:val="nil"/>
              <w:bottom w:val="single" w:sz="4" w:space="0" w:color="auto"/>
              <w:right w:val="single" w:sz="4" w:space="0" w:color="auto"/>
            </w:tcBorders>
            <w:hideMark/>
          </w:tcPr>
          <w:p w14:paraId="204A4467" w14:textId="77777777" w:rsidR="00612246" w:rsidRPr="00F66735" w:rsidRDefault="00F97CBD" w:rsidP="008A73D9">
            <w:pPr>
              <w:jc w:val="right"/>
              <w:outlineLvl w:val="0"/>
              <w:rPr>
                <w:b/>
              </w:rPr>
            </w:pPr>
            <w:r w:rsidRPr="00F66735">
              <w:rPr>
                <w:b/>
              </w:rPr>
              <w:t>1,860</w:t>
            </w:r>
          </w:p>
        </w:tc>
      </w:tr>
    </w:tbl>
    <w:p w14:paraId="0D1933CE" w14:textId="77777777" w:rsidR="00612246" w:rsidRPr="00F66735" w:rsidRDefault="00612246" w:rsidP="00FF08E2"/>
    <w:p w14:paraId="1AE51EA2" w14:textId="77777777" w:rsidR="00642397" w:rsidRPr="00F66735" w:rsidRDefault="00642397" w:rsidP="002C1661">
      <w:pPr>
        <w:ind w:firstLine="720"/>
      </w:pPr>
    </w:p>
    <w:p w14:paraId="62D4FA8D" w14:textId="77777777" w:rsidR="00E83D88" w:rsidRPr="00F66735" w:rsidRDefault="00E7342B" w:rsidP="00CE3CBC">
      <w:pPr>
        <w:ind w:left="360" w:hanging="360"/>
      </w:pPr>
      <w:r w:rsidRPr="00F66735">
        <w:t xml:space="preserve">B.  </w:t>
      </w:r>
      <w:r w:rsidR="002109D7" w:rsidRPr="00F66735">
        <w:t>To calculate t</w:t>
      </w:r>
      <w:r w:rsidRPr="00F66735">
        <w:t>he total</w:t>
      </w:r>
      <w:r w:rsidR="002109D7" w:rsidRPr="00F66735">
        <w:t xml:space="preserve"> cost bur</w:t>
      </w:r>
      <w:r w:rsidR="00E4344F" w:rsidRPr="00F66735">
        <w:t>den for hospital</w:t>
      </w:r>
      <w:r w:rsidR="002109D7" w:rsidRPr="00F66735">
        <w:t xml:space="preserve"> respondents (i.e.</w:t>
      </w:r>
      <w:r w:rsidR="007D6D21" w:rsidRPr="00F66735">
        <w:t>,</w:t>
      </w:r>
      <w:r w:rsidRPr="00F66735">
        <w:t xml:space="preserve"> </w:t>
      </w:r>
      <w:r w:rsidR="002109D7" w:rsidRPr="00F66735">
        <w:t>Infection P</w:t>
      </w:r>
      <w:r w:rsidR="008F4D4A" w:rsidRPr="00F66735">
        <w:t>reventionist</w:t>
      </w:r>
      <w:r w:rsidR="002109D7" w:rsidRPr="00F66735">
        <w:t xml:space="preserve">s), we utilized the mean hourly wage </w:t>
      </w:r>
      <w:r w:rsidR="00E83D88" w:rsidRPr="00F66735">
        <w:t xml:space="preserve">of $35.36 </w:t>
      </w:r>
      <w:r w:rsidR="002109D7" w:rsidRPr="00F66735">
        <w:t>for</w:t>
      </w:r>
      <w:r w:rsidR="00E83D88" w:rsidRPr="00F66735">
        <w:t xml:space="preserve"> a Registered Nurse (RN) (obtained from the Bureau of Labor Statistics, Occupational and Employment Statistics Section May 2017 data, accessed January 03, 2019 at </w:t>
      </w:r>
      <w:hyperlink r:id="rId34" w:history="1">
        <w:r w:rsidR="00E83D88" w:rsidRPr="00F66735">
          <w:rPr>
            <w:rStyle w:val="Hyperlink"/>
          </w:rPr>
          <w:t>http://www.bls.gov/news.release/ocwage.t01.htm</w:t>
        </w:r>
        <w:r w:rsidR="00E83D88" w:rsidRPr="00F66735" w:rsidDel="00B10D1D">
          <w:rPr>
            <w:rStyle w:val="Hyperlink"/>
          </w:rPr>
          <w:t xml:space="preserve"> </w:t>
        </w:r>
      </w:hyperlink>
      <w:r w:rsidR="00E83D88" w:rsidRPr="00F66735">
        <w:t xml:space="preserve">). We utilized this wage because: 1) Infection Preventionists are in many cases RNs; and 2) there is no wage information available for Infection Preventionists in the Bureau of Labor Statistics database cited above. There will be no direct costs to </w:t>
      </w:r>
      <w:r w:rsidR="00E4344F" w:rsidRPr="00F66735">
        <w:t>hospitals</w:t>
      </w:r>
      <w:r w:rsidR="00E83D88" w:rsidRPr="00F66735">
        <w:t xml:space="preserve"> and local data collectors other than their time to participate in the project.  </w:t>
      </w:r>
    </w:p>
    <w:p w14:paraId="1F9CDAED" w14:textId="77777777" w:rsidR="00E83D88" w:rsidRPr="00F66735" w:rsidRDefault="00E83D88" w:rsidP="00173EFB"/>
    <w:p w14:paraId="5F87788F" w14:textId="77777777" w:rsidR="00E7342B" w:rsidRPr="00F66735" w:rsidRDefault="00A269D4" w:rsidP="00E83D88">
      <w:pPr>
        <w:ind w:left="360"/>
      </w:pPr>
      <w:r w:rsidRPr="00F66735">
        <w:t>With a</w:t>
      </w:r>
      <w:r w:rsidR="00F04E79" w:rsidRPr="00F66735">
        <w:t>n</w:t>
      </w:r>
      <w:r w:rsidR="00E83D88" w:rsidRPr="00F66735">
        <w:t xml:space="preserve"> estimated</w:t>
      </w:r>
      <w:r w:rsidR="00F04E79" w:rsidRPr="00F66735">
        <w:t xml:space="preserve"> annualized</w:t>
      </w:r>
      <w:r w:rsidRPr="00F66735">
        <w:t xml:space="preserve"> burden of </w:t>
      </w:r>
      <w:r w:rsidR="00F04E79" w:rsidRPr="00F66735">
        <w:t>1,860</w:t>
      </w:r>
      <w:r w:rsidR="00011A29" w:rsidRPr="00F66735">
        <w:t xml:space="preserve"> </w:t>
      </w:r>
      <w:r w:rsidR="00E7342B" w:rsidRPr="00F66735">
        <w:t>hours</w:t>
      </w:r>
      <w:r w:rsidR="00E83D88" w:rsidRPr="00F66735">
        <w:t xml:space="preserve"> (Table A)</w:t>
      </w:r>
      <w:r w:rsidR="00E7342B" w:rsidRPr="00F66735">
        <w:t xml:space="preserve">, the </w:t>
      </w:r>
      <w:r w:rsidR="00E83D88" w:rsidRPr="00F66735">
        <w:t xml:space="preserve">estimated </w:t>
      </w:r>
      <w:r w:rsidR="00F04E79" w:rsidRPr="00F66735">
        <w:t>annualized</w:t>
      </w:r>
      <w:r w:rsidR="00FD621A" w:rsidRPr="00F66735">
        <w:t xml:space="preserve"> cost of </w:t>
      </w:r>
      <w:r w:rsidR="00E83D88" w:rsidRPr="00F66735">
        <w:t xml:space="preserve">time to respond to the survey is </w:t>
      </w:r>
      <w:r w:rsidRPr="00F66735">
        <w:t>$</w:t>
      </w:r>
      <w:r w:rsidR="00C37323" w:rsidRPr="00F66735">
        <w:t>6</w:t>
      </w:r>
      <w:r w:rsidR="00E83D88" w:rsidRPr="00F66735">
        <w:t>5</w:t>
      </w:r>
      <w:r w:rsidR="00C37323" w:rsidRPr="00F66735">
        <w:t>,</w:t>
      </w:r>
      <w:r w:rsidR="00E83D88" w:rsidRPr="00F66735">
        <w:t>769.6</w:t>
      </w:r>
      <w:r w:rsidR="00C37323" w:rsidRPr="00F66735">
        <w:t>0</w:t>
      </w:r>
      <w:r w:rsidRPr="00F66735">
        <w:t xml:space="preserve"> </w:t>
      </w:r>
      <w:r w:rsidR="00E7342B" w:rsidRPr="00F66735">
        <w:t xml:space="preserve">(Table B).  </w:t>
      </w:r>
      <w:r w:rsidR="00EA0628" w:rsidRPr="00F66735">
        <w:t>This represents a minor increase from the estimate approved in 2016 (+ $2,269.20) due to</w:t>
      </w:r>
      <w:r w:rsidR="006B0273" w:rsidRPr="00F66735">
        <w:t xml:space="preserve"> an</w:t>
      </w:r>
      <w:r w:rsidR="00EA0628" w:rsidRPr="00F66735">
        <w:t xml:space="preserve"> increase in </w:t>
      </w:r>
      <w:r w:rsidR="006B0273" w:rsidRPr="00F66735">
        <w:t xml:space="preserve">the </w:t>
      </w:r>
      <w:r w:rsidR="00EA0628" w:rsidRPr="00F66735">
        <w:t>estimated mean hourly wage for RNs.</w:t>
      </w:r>
    </w:p>
    <w:p w14:paraId="52555546" w14:textId="7699A18F" w:rsidR="00BE0EEF" w:rsidRPr="00F66735" w:rsidRDefault="00BE0EEF" w:rsidP="007A21D9">
      <w:pPr>
        <w:outlineLvl w:val="0"/>
        <w:rPr>
          <w:b/>
        </w:rPr>
      </w:pPr>
    </w:p>
    <w:p w14:paraId="79002373" w14:textId="77777777" w:rsidR="00E7342B" w:rsidRPr="00F66735" w:rsidRDefault="00E7342B" w:rsidP="007A21D9">
      <w:pPr>
        <w:outlineLvl w:val="0"/>
        <w:rPr>
          <w:b/>
        </w:rPr>
      </w:pPr>
      <w:bookmarkStart w:id="39" w:name="_Toc455558106"/>
      <w:r w:rsidRPr="00F66735">
        <w:rPr>
          <w:b/>
        </w:rPr>
        <w:t>Table B: Estimated Annualized Burden Costs</w:t>
      </w:r>
      <w:bookmarkEnd w:id="39"/>
      <w:r w:rsidRPr="00F66735">
        <w:rPr>
          <w:b/>
        </w:rPr>
        <w:t xml:space="preserve"> </w:t>
      </w:r>
    </w:p>
    <w:p w14:paraId="155CFC59" w14:textId="77777777" w:rsidR="00E7342B" w:rsidRPr="00F66735" w:rsidRDefault="00E7342B" w:rsidP="00E7342B">
      <w:pPr>
        <w:ind w:left="720" w:hanging="720"/>
        <w:outlineLvl w:val="0"/>
      </w:pPr>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900"/>
        <w:gridCol w:w="1532"/>
        <w:gridCol w:w="1439"/>
        <w:gridCol w:w="1260"/>
        <w:gridCol w:w="991"/>
        <w:gridCol w:w="1081"/>
        <w:gridCol w:w="1437"/>
      </w:tblGrid>
      <w:tr w:rsidR="00DE498D" w:rsidRPr="00F66735" w14:paraId="5F21D8A9" w14:textId="77777777" w:rsidTr="008F2843">
        <w:tc>
          <w:tcPr>
            <w:tcW w:w="797" w:type="pct"/>
            <w:tcBorders>
              <w:top w:val="single" w:sz="4" w:space="0" w:color="auto"/>
              <w:left w:val="single" w:sz="4" w:space="0" w:color="auto"/>
              <w:bottom w:val="single" w:sz="4" w:space="0" w:color="auto"/>
              <w:right w:val="single" w:sz="4" w:space="0" w:color="auto"/>
            </w:tcBorders>
            <w:hideMark/>
          </w:tcPr>
          <w:p w14:paraId="2B49A8B1" w14:textId="77777777" w:rsidR="00DE498D" w:rsidRPr="00F66735" w:rsidRDefault="00DE498D" w:rsidP="00DE498D">
            <w:pPr>
              <w:rPr>
                <w:b/>
              </w:rPr>
            </w:pPr>
            <w:r w:rsidRPr="00F66735">
              <w:rPr>
                <w:b/>
              </w:rPr>
              <w:t>Type of Respondents</w:t>
            </w:r>
          </w:p>
        </w:tc>
        <w:tc>
          <w:tcPr>
            <w:tcW w:w="438" w:type="pct"/>
            <w:tcBorders>
              <w:top w:val="single" w:sz="4" w:space="0" w:color="auto"/>
              <w:left w:val="single" w:sz="4" w:space="0" w:color="auto"/>
              <w:bottom w:val="single" w:sz="4" w:space="0" w:color="auto"/>
              <w:right w:val="single" w:sz="4" w:space="0" w:color="auto"/>
            </w:tcBorders>
          </w:tcPr>
          <w:p w14:paraId="43D95748" w14:textId="77777777" w:rsidR="00DE498D" w:rsidRPr="00F66735" w:rsidRDefault="00DE498D" w:rsidP="00DE498D">
            <w:pPr>
              <w:rPr>
                <w:b/>
              </w:rPr>
            </w:pPr>
            <w:r w:rsidRPr="00F66735">
              <w:rPr>
                <w:b/>
              </w:rPr>
              <w:t>Form Name</w:t>
            </w:r>
          </w:p>
        </w:tc>
        <w:tc>
          <w:tcPr>
            <w:tcW w:w="744" w:type="pct"/>
            <w:tcBorders>
              <w:top w:val="single" w:sz="4" w:space="0" w:color="auto"/>
              <w:left w:val="single" w:sz="4" w:space="0" w:color="auto"/>
              <w:bottom w:val="single" w:sz="4" w:space="0" w:color="auto"/>
              <w:right w:val="single" w:sz="4" w:space="0" w:color="auto"/>
            </w:tcBorders>
          </w:tcPr>
          <w:p w14:paraId="03F63BDA" w14:textId="77777777" w:rsidR="00DE498D" w:rsidRPr="00F66735" w:rsidRDefault="00DE498D" w:rsidP="00DE498D">
            <w:pPr>
              <w:rPr>
                <w:b/>
              </w:rPr>
            </w:pPr>
            <w:r w:rsidRPr="00F66735">
              <w:rPr>
                <w:b/>
              </w:rPr>
              <w:t>No. of Respondents</w:t>
            </w:r>
          </w:p>
        </w:tc>
        <w:tc>
          <w:tcPr>
            <w:tcW w:w="700" w:type="pct"/>
            <w:tcBorders>
              <w:top w:val="single" w:sz="4" w:space="0" w:color="auto"/>
              <w:left w:val="single" w:sz="4" w:space="0" w:color="auto"/>
              <w:bottom w:val="single" w:sz="4" w:space="0" w:color="auto"/>
              <w:right w:val="single" w:sz="4" w:space="0" w:color="auto"/>
            </w:tcBorders>
          </w:tcPr>
          <w:p w14:paraId="1862D3BE" w14:textId="77777777" w:rsidR="00DE498D" w:rsidRPr="00F66735" w:rsidRDefault="00DE498D" w:rsidP="00DE498D">
            <w:pPr>
              <w:rPr>
                <w:b/>
              </w:rPr>
            </w:pPr>
            <w:r w:rsidRPr="00F66735">
              <w:rPr>
                <w:b/>
              </w:rPr>
              <w:t>No. Responses per Respondent</w:t>
            </w:r>
          </w:p>
        </w:tc>
        <w:tc>
          <w:tcPr>
            <w:tcW w:w="613" w:type="pct"/>
            <w:tcBorders>
              <w:top w:val="single" w:sz="4" w:space="0" w:color="auto"/>
              <w:left w:val="single" w:sz="4" w:space="0" w:color="auto"/>
              <w:bottom w:val="single" w:sz="4" w:space="0" w:color="auto"/>
              <w:right w:val="single" w:sz="4" w:space="0" w:color="auto"/>
            </w:tcBorders>
            <w:hideMark/>
          </w:tcPr>
          <w:p w14:paraId="2261E6AF" w14:textId="77777777" w:rsidR="00DE498D" w:rsidRPr="00F66735" w:rsidRDefault="00DE498D" w:rsidP="00DE498D">
            <w:pPr>
              <w:rPr>
                <w:b/>
              </w:rPr>
            </w:pPr>
            <w:r w:rsidRPr="00F66735">
              <w:rPr>
                <w:b/>
              </w:rPr>
              <w:t>Avg. Burden per Response (in hours)</w:t>
            </w:r>
          </w:p>
        </w:tc>
        <w:tc>
          <w:tcPr>
            <w:tcW w:w="482" w:type="pct"/>
            <w:tcBorders>
              <w:top w:val="single" w:sz="4" w:space="0" w:color="auto"/>
              <w:left w:val="single" w:sz="4" w:space="0" w:color="auto"/>
              <w:bottom w:val="single" w:sz="4" w:space="0" w:color="auto"/>
              <w:right w:val="single" w:sz="4" w:space="0" w:color="auto"/>
            </w:tcBorders>
            <w:hideMark/>
          </w:tcPr>
          <w:p w14:paraId="20DB8611" w14:textId="77777777" w:rsidR="00DE498D" w:rsidRPr="00F66735" w:rsidRDefault="00DE498D" w:rsidP="00DE498D">
            <w:pPr>
              <w:rPr>
                <w:b/>
              </w:rPr>
            </w:pPr>
            <w:r w:rsidRPr="00F66735">
              <w:rPr>
                <w:b/>
              </w:rPr>
              <w:t>Total Burden Hours</w:t>
            </w:r>
          </w:p>
        </w:tc>
        <w:tc>
          <w:tcPr>
            <w:tcW w:w="526" w:type="pct"/>
            <w:tcBorders>
              <w:top w:val="single" w:sz="4" w:space="0" w:color="auto"/>
              <w:left w:val="single" w:sz="4" w:space="0" w:color="auto"/>
              <w:bottom w:val="single" w:sz="4" w:space="0" w:color="auto"/>
              <w:right w:val="single" w:sz="4" w:space="0" w:color="auto"/>
            </w:tcBorders>
            <w:hideMark/>
          </w:tcPr>
          <w:p w14:paraId="20B30063" w14:textId="77777777" w:rsidR="00DE498D" w:rsidRPr="00F66735" w:rsidRDefault="00DE498D" w:rsidP="00DE498D">
            <w:pPr>
              <w:rPr>
                <w:b/>
              </w:rPr>
            </w:pPr>
            <w:r w:rsidRPr="00F66735">
              <w:rPr>
                <w:b/>
              </w:rPr>
              <w:t xml:space="preserve">Hourly Wage Rate </w:t>
            </w:r>
          </w:p>
        </w:tc>
        <w:tc>
          <w:tcPr>
            <w:tcW w:w="700" w:type="pct"/>
            <w:tcBorders>
              <w:top w:val="single" w:sz="4" w:space="0" w:color="auto"/>
              <w:left w:val="single" w:sz="4" w:space="0" w:color="auto"/>
              <w:bottom w:val="single" w:sz="4" w:space="0" w:color="auto"/>
              <w:right w:val="single" w:sz="4" w:space="0" w:color="auto"/>
            </w:tcBorders>
          </w:tcPr>
          <w:p w14:paraId="0E229103" w14:textId="77777777" w:rsidR="00DE498D" w:rsidRPr="00F66735" w:rsidRDefault="00DE498D" w:rsidP="00DE498D">
            <w:pPr>
              <w:rPr>
                <w:b/>
              </w:rPr>
            </w:pPr>
            <w:r w:rsidRPr="00F66735">
              <w:rPr>
                <w:b/>
              </w:rPr>
              <w:t>Total Respondent Costs</w:t>
            </w:r>
          </w:p>
        </w:tc>
      </w:tr>
      <w:tr w:rsidR="00DE498D" w:rsidRPr="00F66735" w14:paraId="5136AB36" w14:textId="77777777" w:rsidTr="008F2843">
        <w:tc>
          <w:tcPr>
            <w:tcW w:w="797" w:type="pct"/>
            <w:vMerge w:val="restart"/>
            <w:tcBorders>
              <w:top w:val="single" w:sz="4" w:space="0" w:color="auto"/>
              <w:left w:val="single" w:sz="4" w:space="0" w:color="auto"/>
              <w:right w:val="single" w:sz="4" w:space="0" w:color="auto"/>
            </w:tcBorders>
            <w:vAlign w:val="center"/>
            <w:hideMark/>
          </w:tcPr>
          <w:p w14:paraId="3081AA8E" w14:textId="77777777" w:rsidR="00DE498D" w:rsidRPr="00F66735" w:rsidRDefault="008F2843" w:rsidP="00DE498D">
            <w:r w:rsidRPr="00F66735">
              <w:t>Hospital Staff         (i.e.</w:t>
            </w:r>
            <w:r w:rsidR="007D6D21" w:rsidRPr="00F66735">
              <w:t>,</w:t>
            </w:r>
            <w:r w:rsidRPr="00F66735">
              <w:t xml:space="preserve"> Infection Preventionist)</w:t>
            </w:r>
          </w:p>
        </w:tc>
        <w:tc>
          <w:tcPr>
            <w:tcW w:w="437" w:type="pct"/>
            <w:tcBorders>
              <w:top w:val="single" w:sz="4" w:space="0" w:color="auto"/>
              <w:left w:val="single" w:sz="4" w:space="0" w:color="auto"/>
              <w:bottom w:val="single" w:sz="4" w:space="0" w:color="auto"/>
              <w:right w:val="single" w:sz="4" w:space="0" w:color="auto"/>
            </w:tcBorders>
          </w:tcPr>
          <w:p w14:paraId="7978D749" w14:textId="77777777" w:rsidR="00DE498D" w:rsidRPr="00F66735" w:rsidRDefault="00DE498D" w:rsidP="00DE498D">
            <w:pPr>
              <w:jc w:val="center"/>
            </w:pPr>
            <w:r w:rsidRPr="00F66735">
              <w:t>HFA</w:t>
            </w:r>
          </w:p>
        </w:tc>
        <w:tc>
          <w:tcPr>
            <w:tcW w:w="745" w:type="pct"/>
            <w:tcBorders>
              <w:top w:val="single" w:sz="4" w:space="0" w:color="auto"/>
              <w:left w:val="single" w:sz="4" w:space="0" w:color="auto"/>
              <w:bottom w:val="single" w:sz="4" w:space="0" w:color="auto"/>
              <w:right w:val="single" w:sz="4" w:space="0" w:color="auto"/>
            </w:tcBorders>
          </w:tcPr>
          <w:p w14:paraId="2BE7F339" w14:textId="77777777" w:rsidR="00DE498D" w:rsidRPr="00F66735" w:rsidRDefault="00ED22AE" w:rsidP="00DE498D">
            <w:pPr>
              <w:jc w:val="center"/>
            </w:pPr>
            <w:r w:rsidRPr="00F66735">
              <w:t>1</w:t>
            </w:r>
            <w:r w:rsidR="00DE498D" w:rsidRPr="00F66735">
              <w:t>00</w:t>
            </w:r>
          </w:p>
        </w:tc>
        <w:tc>
          <w:tcPr>
            <w:tcW w:w="700" w:type="pct"/>
            <w:tcBorders>
              <w:top w:val="single" w:sz="4" w:space="0" w:color="auto"/>
              <w:left w:val="single" w:sz="4" w:space="0" w:color="auto"/>
              <w:bottom w:val="single" w:sz="4" w:space="0" w:color="auto"/>
              <w:right w:val="single" w:sz="4" w:space="0" w:color="auto"/>
            </w:tcBorders>
          </w:tcPr>
          <w:p w14:paraId="7C6A942A" w14:textId="77777777" w:rsidR="00DE498D" w:rsidRPr="00F66735" w:rsidRDefault="00DE498D" w:rsidP="00DE498D">
            <w:pPr>
              <w:jc w:val="center"/>
            </w:pPr>
            <w:r w:rsidRPr="00F66735">
              <w:t>1</w:t>
            </w:r>
          </w:p>
        </w:tc>
        <w:tc>
          <w:tcPr>
            <w:tcW w:w="613" w:type="pct"/>
            <w:tcBorders>
              <w:top w:val="single" w:sz="4" w:space="0" w:color="auto"/>
              <w:left w:val="single" w:sz="4" w:space="0" w:color="auto"/>
              <w:bottom w:val="single" w:sz="4" w:space="0" w:color="auto"/>
              <w:right w:val="single" w:sz="4" w:space="0" w:color="auto"/>
            </w:tcBorders>
            <w:hideMark/>
          </w:tcPr>
          <w:p w14:paraId="1FC313E2" w14:textId="77777777" w:rsidR="00DE498D" w:rsidRPr="00F66735" w:rsidRDefault="00DE498D" w:rsidP="00DE498D">
            <w:pPr>
              <w:jc w:val="center"/>
            </w:pPr>
            <w:r w:rsidRPr="00F66735">
              <w:t>45/60</w:t>
            </w:r>
          </w:p>
        </w:tc>
        <w:tc>
          <w:tcPr>
            <w:tcW w:w="482" w:type="pct"/>
            <w:tcBorders>
              <w:top w:val="single" w:sz="4" w:space="0" w:color="auto"/>
              <w:left w:val="single" w:sz="4" w:space="0" w:color="auto"/>
              <w:bottom w:val="single" w:sz="4" w:space="0" w:color="auto"/>
              <w:right w:val="single" w:sz="4" w:space="0" w:color="auto"/>
            </w:tcBorders>
          </w:tcPr>
          <w:p w14:paraId="19DE8C10" w14:textId="77777777" w:rsidR="00DE498D" w:rsidRPr="00F66735" w:rsidRDefault="00ED22AE" w:rsidP="00DE498D">
            <w:pPr>
              <w:jc w:val="center"/>
            </w:pPr>
            <w:r w:rsidRPr="00F66735">
              <w:t>75</w:t>
            </w:r>
          </w:p>
        </w:tc>
        <w:tc>
          <w:tcPr>
            <w:tcW w:w="526" w:type="pct"/>
            <w:tcBorders>
              <w:top w:val="single" w:sz="4" w:space="0" w:color="auto"/>
              <w:left w:val="single" w:sz="4" w:space="0" w:color="auto"/>
              <w:bottom w:val="single" w:sz="4" w:space="0" w:color="auto"/>
              <w:right w:val="single" w:sz="4" w:space="0" w:color="auto"/>
            </w:tcBorders>
          </w:tcPr>
          <w:p w14:paraId="09AFF5D1" w14:textId="77777777" w:rsidR="00DE498D" w:rsidRPr="00F66735" w:rsidRDefault="00DE498D" w:rsidP="00DE498D">
            <w:pPr>
              <w:jc w:val="center"/>
            </w:pPr>
            <w:r w:rsidRPr="00F66735">
              <w:t>$</w:t>
            </w:r>
            <w:r w:rsidR="00E83D88" w:rsidRPr="00F66735">
              <w:t>35.36</w:t>
            </w:r>
          </w:p>
        </w:tc>
        <w:tc>
          <w:tcPr>
            <w:tcW w:w="700" w:type="pct"/>
            <w:tcBorders>
              <w:top w:val="single" w:sz="4" w:space="0" w:color="auto"/>
              <w:left w:val="single" w:sz="4" w:space="0" w:color="auto"/>
              <w:bottom w:val="single" w:sz="4" w:space="0" w:color="auto"/>
              <w:right w:val="single" w:sz="4" w:space="0" w:color="auto"/>
            </w:tcBorders>
          </w:tcPr>
          <w:p w14:paraId="3E7608A6" w14:textId="77777777" w:rsidR="00DE498D" w:rsidRPr="00F66735" w:rsidRDefault="00E83D88" w:rsidP="00ED22AE">
            <w:pPr>
              <w:jc w:val="center"/>
            </w:pPr>
            <w:r w:rsidRPr="00F66735">
              <w:t>$2,652.00</w:t>
            </w:r>
          </w:p>
        </w:tc>
      </w:tr>
      <w:tr w:rsidR="00DE498D" w:rsidRPr="00F66735" w14:paraId="65D8F20C" w14:textId="77777777" w:rsidTr="008F2843">
        <w:tc>
          <w:tcPr>
            <w:tcW w:w="797" w:type="pct"/>
            <w:vMerge/>
            <w:tcBorders>
              <w:left w:val="single" w:sz="4" w:space="0" w:color="auto"/>
              <w:bottom w:val="single" w:sz="4" w:space="0" w:color="auto"/>
              <w:right w:val="single" w:sz="4" w:space="0" w:color="auto"/>
            </w:tcBorders>
          </w:tcPr>
          <w:p w14:paraId="39530777" w14:textId="77777777" w:rsidR="00DE498D" w:rsidRPr="00F66735" w:rsidRDefault="00DE498D" w:rsidP="00DE498D"/>
        </w:tc>
        <w:tc>
          <w:tcPr>
            <w:tcW w:w="437" w:type="pct"/>
            <w:tcBorders>
              <w:top w:val="single" w:sz="4" w:space="0" w:color="auto"/>
              <w:left w:val="single" w:sz="4" w:space="0" w:color="auto"/>
              <w:bottom w:val="single" w:sz="4" w:space="0" w:color="auto"/>
              <w:right w:val="single" w:sz="4" w:space="0" w:color="auto"/>
            </w:tcBorders>
          </w:tcPr>
          <w:p w14:paraId="415239B2" w14:textId="77777777" w:rsidR="00DE498D" w:rsidRPr="00F66735" w:rsidRDefault="00DE498D" w:rsidP="00DE498D">
            <w:pPr>
              <w:jc w:val="center"/>
            </w:pPr>
            <w:r w:rsidRPr="00F66735">
              <w:t>PIF</w:t>
            </w:r>
          </w:p>
        </w:tc>
        <w:tc>
          <w:tcPr>
            <w:tcW w:w="745" w:type="pct"/>
            <w:tcBorders>
              <w:top w:val="single" w:sz="4" w:space="0" w:color="auto"/>
              <w:left w:val="single" w:sz="4" w:space="0" w:color="auto"/>
              <w:bottom w:val="single" w:sz="4" w:space="0" w:color="auto"/>
              <w:right w:val="single" w:sz="4" w:space="0" w:color="auto"/>
            </w:tcBorders>
          </w:tcPr>
          <w:p w14:paraId="0A7C36DC" w14:textId="77777777" w:rsidR="00DE498D" w:rsidRPr="00F66735" w:rsidRDefault="00ED22AE" w:rsidP="00DE498D">
            <w:pPr>
              <w:jc w:val="center"/>
            </w:pPr>
            <w:r w:rsidRPr="00F66735">
              <w:t>1</w:t>
            </w:r>
            <w:r w:rsidR="00DE498D" w:rsidRPr="00F66735">
              <w:t>00</w:t>
            </w:r>
          </w:p>
        </w:tc>
        <w:tc>
          <w:tcPr>
            <w:tcW w:w="700" w:type="pct"/>
            <w:tcBorders>
              <w:top w:val="single" w:sz="4" w:space="0" w:color="auto"/>
              <w:left w:val="single" w:sz="4" w:space="0" w:color="auto"/>
              <w:bottom w:val="single" w:sz="4" w:space="0" w:color="auto"/>
              <w:right w:val="single" w:sz="4" w:space="0" w:color="auto"/>
            </w:tcBorders>
          </w:tcPr>
          <w:p w14:paraId="5A515D8D" w14:textId="77777777" w:rsidR="00DE498D" w:rsidRPr="00F66735" w:rsidRDefault="00ED22AE" w:rsidP="00DE498D">
            <w:pPr>
              <w:jc w:val="center"/>
            </w:pPr>
            <w:r w:rsidRPr="00F66735">
              <w:t>63</w:t>
            </w:r>
          </w:p>
        </w:tc>
        <w:tc>
          <w:tcPr>
            <w:tcW w:w="613" w:type="pct"/>
            <w:tcBorders>
              <w:top w:val="single" w:sz="4" w:space="0" w:color="auto"/>
              <w:left w:val="single" w:sz="4" w:space="0" w:color="auto"/>
              <w:bottom w:val="single" w:sz="4" w:space="0" w:color="auto"/>
              <w:right w:val="single" w:sz="4" w:space="0" w:color="auto"/>
            </w:tcBorders>
          </w:tcPr>
          <w:p w14:paraId="7E7EDCEF" w14:textId="77777777" w:rsidR="00DE498D" w:rsidRPr="00F66735" w:rsidRDefault="00DE498D" w:rsidP="00DE498D">
            <w:pPr>
              <w:jc w:val="center"/>
            </w:pPr>
            <w:r w:rsidRPr="00F66735">
              <w:t>17/60</w:t>
            </w:r>
          </w:p>
        </w:tc>
        <w:tc>
          <w:tcPr>
            <w:tcW w:w="482" w:type="pct"/>
            <w:tcBorders>
              <w:top w:val="single" w:sz="4" w:space="0" w:color="auto"/>
              <w:left w:val="single" w:sz="4" w:space="0" w:color="auto"/>
              <w:bottom w:val="single" w:sz="4" w:space="0" w:color="auto"/>
              <w:right w:val="single" w:sz="4" w:space="0" w:color="auto"/>
            </w:tcBorders>
          </w:tcPr>
          <w:p w14:paraId="63EEC08C" w14:textId="77777777" w:rsidR="00DE498D" w:rsidRPr="00F66735" w:rsidRDefault="00DE498D" w:rsidP="00DE498D">
            <w:pPr>
              <w:jc w:val="center"/>
            </w:pPr>
            <w:r w:rsidRPr="00F66735">
              <w:t>1</w:t>
            </w:r>
            <w:r w:rsidR="00ED22AE" w:rsidRPr="00F66735">
              <w:t>,</w:t>
            </w:r>
            <w:r w:rsidRPr="00F66735">
              <w:t>785</w:t>
            </w:r>
          </w:p>
        </w:tc>
        <w:tc>
          <w:tcPr>
            <w:tcW w:w="526" w:type="pct"/>
            <w:tcBorders>
              <w:top w:val="single" w:sz="4" w:space="0" w:color="auto"/>
              <w:left w:val="single" w:sz="4" w:space="0" w:color="auto"/>
              <w:bottom w:val="single" w:sz="4" w:space="0" w:color="auto"/>
              <w:right w:val="single" w:sz="4" w:space="0" w:color="auto"/>
            </w:tcBorders>
          </w:tcPr>
          <w:p w14:paraId="595DA149" w14:textId="77777777" w:rsidR="00DE498D" w:rsidRPr="00F66735" w:rsidRDefault="00E83D88" w:rsidP="00DE498D">
            <w:pPr>
              <w:jc w:val="center"/>
            </w:pPr>
            <w:r w:rsidRPr="00F66735">
              <w:t>$35.36</w:t>
            </w:r>
          </w:p>
        </w:tc>
        <w:tc>
          <w:tcPr>
            <w:tcW w:w="700" w:type="pct"/>
            <w:tcBorders>
              <w:top w:val="single" w:sz="4" w:space="0" w:color="auto"/>
              <w:left w:val="single" w:sz="4" w:space="0" w:color="auto"/>
              <w:bottom w:val="single" w:sz="4" w:space="0" w:color="auto"/>
              <w:right w:val="single" w:sz="4" w:space="0" w:color="auto"/>
            </w:tcBorders>
          </w:tcPr>
          <w:p w14:paraId="780152F8" w14:textId="77777777" w:rsidR="00DE498D" w:rsidRPr="00F66735" w:rsidRDefault="00E83D88" w:rsidP="00E83D88">
            <w:pPr>
              <w:jc w:val="center"/>
            </w:pPr>
            <w:r w:rsidRPr="00F66735">
              <w:t>$63,117.6</w:t>
            </w:r>
            <w:r w:rsidR="00DE498D" w:rsidRPr="00F66735">
              <w:t>0</w:t>
            </w:r>
          </w:p>
        </w:tc>
      </w:tr>
      <w:tr w:rsidR="00DE498D" w:rsidRPr="00F66735" w14:paraId="42F9AD52" w14:textId="77777777" w:rsidTr="008F2843">
        <w:tc>
          <w:tcPr>
            <w:tcW w:w="797" w:type="pct"/>
            <w:tcBorders>
              <w:top w:val="single" w:sz="4" w:space="0" w:color="auto"/>
              <w:left w:val="single" w:sz="4" w:space="0" w:color="auto"/>
              <w:bottom w:val="single" w:sz="4" w:space="0" w:color="auto"/>
              <w:right w:val="single" w:sz="4" w:space="0" w:color="auto"/>
            </w:tcBorders>
          </w:tcPr>
          <w:p w14:paraId="4ECA9D3C" w14:textId="77777777" w:rsidR="00DE498D" w:rsidRPr="00F66735" w:rsidRDefault="00DE498D" w:rsidP="003D1CD5">
            <w:pPr>
              <w:rPr>
                <w:b/>
              </w:rPr>
            </w:pPr>
            <w:r w:rsidRPr="00F66735">
              <w:rPr>
                <w:b/>
              </w:rPr>
              <w:t>Total</w:t>
            </w:r>
          </w:p>
        </w:tc>
        <w:tc>
          <w:tcPr>
            <w:tcW w:w="437" w:type="pct"/>
            <w:tcBorders>
              <w:top w:val="single" w:sz="4" w:space="0" w:color="auto"/>
              <w:left w:val="single" w:sz="4" w:space="0" w:color="auto"/>
              <w:bottom w:val="single" w:sz="4" w:space="0" w:color="auto"/>
              <w:right w:val="nil"/>
            </w:tcBorders>
          </w:tcPr>
          <w:p w14:paraId="4DFEEFB2" w14:textId="77777777" w:rsidR="00DE498D" w:rsidRPr="00F66735" w:rsidRDefault="00DE498D" w:rsidP="000C0C9F">
            <w:pPr>
              <w:jc w:val="center"/>
            </w:pPr>
          </w:p>
        </w:tc>
        <w:tc>
          <w:tcPr>
            <w:tcW w:w="745" w:type="pct"/>
            <w:tcBorders>
              <w:top w:val="single" w:sz="4" w:space="0" w:color="auto"/>
              <w:left w:val="nil"/>
              <w:bottom w:val="single" w:sz="4" w:space="0" w:color="auto"/>
              <w:right w:val="nil"/>
            </w:tcBorders>
          </w:tcPr>
          <w:p w14:paraId="483E64E4" w14:textId="77777777" w:rsidR="00DE498D" w:rsidRPr="00F66735" w:rsidRDefault="00DE498D" w:rsidP="000C0C9F">
            <w:pPr>
              <w:jc w:val="center"/>
            </w:pPr>
          </w:p>
        </w:tc>
        <w:tc>
          <w:tcPr>
            <w:tcW w:w="700" w:type="pct"/>
            <w:tcBorders>
              <w:top w:val="single" w:sz="4" w:space="0" w:color="auto"/>
              <w:left w:val="nil"/>
              <w:bottom w:val="single" w:sz="4" w:space="0" w:color="auto"/>
              <w:right w:val="nil"/>
            </w:tcBorders>
          </w:tcPr>
          <w:p w14:paraId="1CB167E1" w14:textId="77777777" w:rsidR="00DE498D" w:rsidRPr="00F66735" w:rsidRDefault="00DE498D" w:rsidP="000C0C9F">
            <w:pPr>
              <w:jc w:val="center"/>
            </w:pPr>
          </w:p>
        </w:tc>
        <w:tc>
          <w:tcPr>
            <w:tcW w:w="613" w:type="pct"/>
            <w:tcBorders>
              <w:top w:val="single" w:sz="4" w:space="0" w:color="auto"/>
              <w:left w:val="nil"/>
              <w:bottom w:val="single" w:sz="4" w:space="0" w:color="auto"/>
              <w:right w:val="nil"/>
            </w:tcBorders>
          </w:tcPr>
          <w:p w14:paraId="5CEAEF8A" w14:textId="77777777" w:rsidR="00DE498D" w:rsidRPr="00F66735" w:rsidRDefault="00DE498D" w:rsidP="000C0C9F">
            <w:pPr>
              <w:jc w:val="center"/>
            </w:pPr>
          </w:p>
        </w:tc>
        <w:tc>
          <w:tcPr>
            <w:tcW w:w="482" w:type="pct"/>
            <w:tcBorders>
              <w:top w:val="single" w:sz="4" w:space="0" w:color="auto"/>
              <w:left w:val="nil"/>
              <w:bottom w:val="single" w:sz="4" w:space="0" w:color="auto"/>
              <w:right w:val="nil"/>
            </w:tcBorders>
          </w:tcPr>
          <w:p w14:paraId="3BF461F1" w14:textId="77777777" w:rsidR="00DE498D" w:rsidRPr="00F66735" w:rsidRDefault="00DE498D" w:rsidP="00A269D4">
            <w:pPr>
              <w:jc w:val="center"/>
            </w:pPr>
          </w:p>
        </w:tc>
        <w:tc>
          <w:tcPr>
            <w:tcW w:w="526" w:type="pct"/>
            <w:tcBorders>
              <w:top w:val="single" w:sz="4" w:space="0" w:color="auto"/>
              <w:left w:val="nil"/>
              <w:bottom w:val="single" w:sz="4" w:space="0" w:color="auto"/>
              <w:right w:val="single" w:sz="4" w:space="0" w:color="auto"/>
            </w:tcBorders>
          </w:tcPr>
          <w:p w14:paraId="295E281A" w14:textId="77777777" w:rsidR="00DE498D" w:rsidRPr="00F66735" w:rsidRDefault="00DE498D" w:rsidP="008808D4">
            <w:pPr>
              <w:jc w:val="center"/>
              <w:rPr>
                <w:b/>
              </w:rPr>
            </w:pPr>
          </w:p>
        </w:tc>
        <w:tc>
          <w:tcPr>
            <w:tcW w:w="700" w:type="pct"/>
            <w:tcBorders>
              <w:top w:val="single" w:sz="4" w:space="0" w:color="auto"/>
              <w:left w:val="nil"/>
              <w:bottom w:val="single" w:sz="4" w:space="0" w:color="auto"/>
              <w:right w:val="single" w:sz="4" w:space="0" w:color="auto"/>
            </w:tcBorders>
          </w:tcPr>
          <w:p w14:paraId="1C354736" w14:textId="77777777" w:rsidR="00DE498D" w:rsidRPr="00F66735" w:rsidRDefault="00DE498D" w:rsidP="00ED22AE">
            <w:pPr>
              <w:jc w:val="center"/>
              <w:rPr>
                <w:b/>
              </w:rPr>
            </w:pPr>
            <w:r w:rsidRPr="00F66735">
              <w:rPr>
                <w:b/>
              </w:rPr>
              <w:t>$</w:t>
            </w:r>
            <w:r w:rsidR="00E83D88" w:rsidRPr="00F66735">
              <w:rPr>
                <w:b/>
              </w:rPr>
              <w:t>65</w:t>
            </w:r>
            <w:r w:rsidRPr="00F66735">
              <w:rPr>
                <w:b/>
              </w:rPr>
              <w:t>,</w:t>
            </w:r>
            <w:r w:rsidR="00E83D88" w:rsidRPr="00F66735">
              <w:rPr>
                <w:b/>
              </w:rPr>
              <w:t>769.6</w:t>
            </w:r>
            <w:r w:rsidR="00ED22AE" w:rsidRPr="00F66735">
              <w:rPr>
                <w:b/>
              </w:rPr>
              <w:t>0</w:t>
            </w:r>
          </w:p>
        </w:tc>
      </w:tr>
    </w:tbl>
    <w:p w14:paraId="7F7B004C" w14:textId="77777777" w:rsidR="00633A82" w:rsidRPr="00F66735" w:rsidRDefault="00633A82" w:rsidP="00815675"/>
    <w:p w14:paraId="2CC757D3" w14:textId="77777777" w:rsidR="00E4255B" w:rsidRPr="00F66735" w:rsidRDefault="00E4255B" w:rsidP="00815675"/>
    <w:p w14:paraId="76810900" w14:textId="77777777" w:rsidR="003F5BE0" w:rsidRPr="00F66735" w:rsidRDefault="00AD36BD" w:rsidP="00061956">
      <w:pPr>
        <w:pStyle w:val="Heading1"/>
      </w:pPr>
      <w:bookmarkStart w:id="40" w:name="_Toc455558107"/>
      <w:r w:rsidRPr="00F66735">
        <w:t>Estimates of Other Total Annual Cost Burden to Respondents or Record Keepers</w:t>
      </w:r>
      <w:bookmarkEnd w:id="40"/>
    </w:p>
    <w:p w14:paraId="4F432C8D" w14:textId="77777777" w:rsidR="003F5BE0" w:rsidRPr="00F66735" w:rsidRDefault="003F5BE0" w:rsidP="003F5BE0">
      <w:pPr>
        <w:ind w:left="720" w:hanging="720"/>
        <w:rPr>
          <w:b/>
        </w:rPr>
      </w:pPr>
    </w:p>
    <w:p w14:paraId="2910F06B" w14:textId="1B801080" w:rsidR="00FD621A" w:rsidRDefault="0095586D" w:rsidP="00241ECB">
      <w:pPr>
        <w:ind w:left="720" w:hanging="720"/>
      </w:pPr>
      <w:r w:rsidRPr="00F66735">
        <w:t xml:space="preserve">None. </w:t>
      </w:r>
    </w:p>
    <w:p w14:paraId="1B05CF93" w14:textId="77777777" w:rsidR="008A20E0" w:rsidRPr="00F66735" w:rsidRDefault="008A20E0" w:rsidP="00241ECB">
      <w:pPr>
        <w:ind w:left="720" w:hanging="720"/>
        <w:rPr>
          <w:b/>
        </w:rPr>
      </w:pPr>
    </w:p>
    <w:p w14:paraId="09E3F6B1" w14:textId="77777777" w:rsidR="00D36BF1" w:rsidRPr="00F66735" w:rsidRDefault="00B02A30" w:rsidP="00061956">
      <w:pPr>
        <w:pStyle w:val="Heading1"/>
      </w:pPr>
      <w:bookmarkStart w:id="41" w:name="_Toc455558108"/>
      <w:r w:rsidRPr="00F66735">
        <w:t>Annualized Cost to the Government</w:t>
      </w:r>
      <w:bookmarkEnd w:id="41"/>
    </w:p>
    <w:p w14:paraId="097B9229" w14:textId="77777777" w:rsidR="00D36BF1" w:rsidRPr="00F66735" w:rsidRDefault="00D36BF1" w:rsidP="00D36BF1">
      <w:pPr>
        <w:ind w:left="720" w:hanging="720"/>
        <w:rPr>
          <w:b/>
        </w:rPr>
      </w:pPr>
    </w:p>
    <w:p w14:paraId="64A2E8AA" w14:textId="77777777" w:rsidR="00B02A30" w:rsidRPr="00F66735" w:rsidRDefault="00B02A30" w:rsidP="00D36BF1">
      <w:pPr>
        <w:rPr>
          <w:b/>
        </w:rPr>
      </w:pPr>
      <w:r w:rsidRPr="00F66735">
        <w:t xml:space="preserve">Costs to the government include costs for CDC </w:t>
      </w:r>
      <w:r w:rsidR="00DE6C46" w:rsidRPr="00F66735">
        <w:t>and EIP site personnel</w:t>
      </w:r>
      <w:r w:rsidRPr="00F66735">
        <w:t xml:space="preserve"> to develop and coordinate </w:t>
      </w:r>
      <w:r w:rsidR="00E743B7" w:rsidRPr="00F66735">
        <w:t xml:space="preserve">data collection </w:t>
      </w:r>
      <w:r w:rsidRPr="00F66735">
        <w:t xml:space="preserve">activities, EIP </w:t>
      </w:r>
      <w:r w:rsidR="00D36BF1" w:rsidRPr="00F66735">
        <w:t xml:space="preserve">site </w:t>
      </w:r>
      <w:r w:rsidRPr="00F66735">
        <w:t>personnel to perform local coordination and data collection and entry activiti</w:t>
      </w:r>
      <w:r w:rsidR="00E4344F" w:rsidRPr="00F66735">
        <w:t xml:space="preserve">es, </w:t>
      </w:r>
      <w:r w:rsidR="006B0273" w:rsidRPr="00F66735">
        <w:t xml:space="preserve">and </w:t>
      </w:r>
      <w:r w:rsidRPr="00F66735">
        <w:t>costs for photocopying survey materi</w:t>
      </w:r>
      <w:r w:rsidR="00FD621A" w:rsidRPr="00F66735">
        <w:t>als</w:t>
      </w:r>
      <w:r w:rsidR="006B0273" w:rsidRPr="00F66735">
        <w:t xml:space="preserve">. </w:t>
      </w:r>
    </w:p>
    <w:p w14:paraId="58C49D52" w14:textId="77777777" w:rsidR="00DE6C46" w:rsidRPr="00F66735" w:rsidRDefault="00DE6C46" w:rsidP="00B02A30"/>
    <w:p w14:paraId="09D42B48" w14:textId="4A7F44DD" w:rsidR="00B02A30" w:rsidRPr="00F66735" w:rsidRDefault="00B02A30" w:rsidP="00B02A30">
      <w:r w:rsidRPr="00F66735">
        <w:t xml:space="preserve">CDC personnel working on </w:t>
      </w:r>
      <w:r w:rsidR="00E743B7" w:rsidRPr="00F66735">
        <w:t>the data collection</w:t>
      </w:r>
      <w:r w:rsidR="00DE6C46" w:rsidRPr="00F66735">
        <w:t xml:space="preserve"> are estimated to include </w:t>
      </w:r>
      <w:r w:rsidR="00C37323" w:rsidRPr="00F66735">
        <w:t>1</w:t>
      </w:r>
      <w:r w:rsidRPr="00F66735">
        <w:t xml:space="preserve"> full-time-</w:t>
      </w:r>
      <w:r w:rsidR="00DE6C46" w:rsidRPr="00F66735">
        <w:t xml:space="preserve">equivalent (FTE) public health analyst or epidemiologist </w:t>
      </w:r>
      <w:r w:rsidR="00EA18D3" w:rsidRPr="00F66735">
        <w:t>(</w:t>
      </w:r>
      <w:r w:rsidRPr="00F66735">
        <w:t>Table C)</w:t>
      </w:r>
      <w:r w:rsidR="00C37323" w:rsidRPr="00F66735">
        <w:t>, 0.5 FTE business analyst,</w:t>
      </w:r>
      <w:r w:rsidR="00444BFC" w:rsidRPr="00F66735">
        <w:t xml:space="preserve"> 0.25 FTE data analyst, 0.05 FTE statistician,</w:t>
      </w:r>
      <w:r w:rsidR="00C37323" w:rsidRPr="00F66735">
        <w:t xml:space="preserve"> 1</w:t>
      </w:r>
      <w:r w:rsidRPr="00F66735">
        <w:t xml:space="preserve"> FTE </w:t>
      </w:r>
      <w:r w:rsidR="004661EA" w:rsidRPr="00F66735">
        <w:t>database</w:t>
      </w:r>
      <w:r w:rsidRPr="00F66735">
        <w:t xml:space="preserve"> </w:t>
      </w:r>
      <w:r w:rsidR="00DE6C46" w:rsidRPr="00F66735">
        <w:t>developer</w:t>
      </w:r>
      <w:r w:rsidR="00586AEF" w:rsidRPr="00F66735">
        <w:t>,</w:t>
      </w:r>
      <w:r w:rsidR="00DE6C46" w:rsidRPr="00F66735">
        <w:t xml:space="preserve"> and a 0.</w:t>
      </w:r>
      <w:r w:rsidR="00C37323" w:rsidRPr="00F66735">
        <w:t xml:space="preserve">5 </w:t>
      </w:r>
      <w:r w:rsidR="00DE6C46" w:rsidRPr="00F66735">
        <w:t xml:space="preserve">FTE database </w:t>
      </w:r>
      <w:r w:rsidR="0062486E" w:rsidRPr="00F66735">
        <w:t>administrator</w:t>
      </w:r>
      <w:r w:rsidRPr="00F66735">
        <w:t xml:space="preserve"> (see Table C). The mean hourly wage for an epidemiologist is $</w:t>
      </w:r>
      <w:r w:rsidR="0052493F" w:rsidRPr="00F66735">
        <w:t>36.65</w:t>
      </w:r>
      <w:r w:rsidR="004661EA" w:rsidRPr="00F66735">
        <w:t xml:space="preserve"> (</w:t>
      </w:r>
      <w:r w:rsidRPr="00F66735">
        <w:t>$</w:t>
      </w:r>
      <w:r w:rsidR="0052493F" w:rsidRPr="00F66735">
        <w:t>76,230</w:t>
      </w:r>
      <w:r w:rsidR="00E4344F" w:rsidRPr="00F66735">
        <w:t xml:space="preserve"> annually);</w:t>
      </w:r>
      <w:r w:rsidR="004661EA" w:rsidRPr="00F66735">
        <w:t xml:space="preserve"> </w:t>
      </w:r>
      <w:r w:rsidRPr="00F66735">
        <w:t xml:space="preserve">for </w:t>
      </w:r>
      <w:r w:rsidR="004661EA" w:rsidRPr="00F66735">
        <w:t xml:space="preserve">a </w:t>
      </w:r>
      <w:r w:rsidR="006E46B0" w:rsidRPr="00F66735">
        <w:t>business analyst is $44.92</w:t>
      </w:r>
      <w:r w:rsidR="004661EA" w:rsidRPr="00F66735">
        <w:t xml:space="preserve"> ($46,720 annually)</w:t>
      </w:r>
      <w:r w:rsidR="00E4344F" w:rsidRPr="00F66735">
        <w:t>;</w:t>
      </w:r>
      <w:r w:rsidR="002F5238" w:rsidRPr="00F66735">
        <w:t xml:space="preserve"> </w:t>
      </w:r>
      <w:r w:rsidR="00552698" w:rsidRPr="00F66735">
        <w:t>for a dat</w:t>
      </w:r>
      <w:r w:rsidR="00A75864" w:rsidRPr="00F66735">
        <w:t>a analyst is $41.59 ($21,627</w:t>
      </w:r>
      <w:r w:rsidR="00BF449F" w:rsidRPr="00F66735">
        <w:t xml:space="preserve"> </w:t>
      </w:r>
      <w:r w:rsidR="00E4344F" w:rsidRPr="00F66735">
        <w:t>annually);</w:t>
      </w:r>
      <w:r w:rsidR="00552698" w:rsidRPr="00F66735">
        <w:t xml:space="preserve"> for a s</w:t>
      </w:r>
      <w:r w:rsidR="00A75864" w:rsidRPr="00F66735">
        <w:t>tatistician is $42.78 ($4,449</w:t>
      </w:r>
      <w:r w:rsidR="00552698" w:rsidRPr="00F66735">
        <w:t xml:space="preserve"> annually)</w:t>
      </w:r>
      <w:r w:rsidR="00E4344F" w:rsidRPr="00F66735">
        <w:t>;</w:t>
      </w:r>
      <w:r w:rsidR="00444BFC" w:rsidRPr="00F66735">
        <w:t xml:space="preserve"> </w:t>
      </w:r>
      <w:r w:rsidR="002F5238" w:rsidRPr="00F66735">
        <w:t xml:space="preserve">for a </w:t>
      </w:r>
      <w:r w:rsidR="004661EA" w:rsidRPr="00F66735">
        <w:t>database</w:t>
      </w:r>
      <w:r w:rsidR="002F5238" w:rsidRPr="00F66735">
        <w:t xml:space="preserve"> developer is $51.30</w:t>
      </w:r>
      <w:r w:rsidR="0062486E" w:rsidRPr="00F66735">
        <w:t xml:space="preserve"> </w:t>
      </w:r>
      <w:r w:rsidR="002F5238" w:rsidRPr="00F66735">
        <w:t>($106,710</w:t>
      </w:r>
      <w:r w:rsidR="00E4344F" w:rsidRPr="00F66735">
        <w:t xml:space="preserve"> annually);</w:t>
      </w:r>
      <w:r w:rsidR="00C37323" w:rsidRPr="00F66735">
        <w:t xml:space="preserve"> and for </w:t>
      </w:r>
      <w:r w:rsidRPr="00F66735">
        <w:t>a database administrator is $</w:t>
      </w:r>
      <w:r w:rsidR="002F5238" w:rsidRPr="00F66735">
        <w:t>42.8</w:t>
      </w:r>
      <w:r w:rsidR="00C37323" w:rsidRPr="00F66735">
        <w:t>1</w:t>
      </w:r>
      <w:r w:rsidR="004661EA" w:rsidRPr="00F66735">
        <w:t xml:space="preserve"> ($44,525 annually)</w:t>
      </w:r>
      <w:r w:rsidR="00E4344F" w:rsidRPr="00F66735">
        <w:t xml:space="preserve"> [</w:t>
      </w:r>
      <w:r w:rsidRPr="00F66735">
        <w:t xml:space="preserve">obtained from the Bureau of Labor Statistics, Occupational and Employment Statistics Section May </w:t>
      </w:r>
      <w:r w:rsidR="00C37323" w:rsidRPr="00F66735">
        <w:t>20</w:t>
      </w:r>
      <w:r w:rsidR="006404EE" w:rsidRPr="00F66735">
        <w:t>17</w:t>
      </w:r>
      <w:r w:rsidR="00C37323" w:rsidRPr="00F66735">
        <w:t xml:space="preserve"> </w:t>
      </w:r>
      <w:r w:rsidRPr="00F66735">
        <w:t xml:space="preserve">data, </w:t>
      </w:r>
      <w:r w:rsidR="00667789" w:rsidRPr="00F66735">
        <w:t xml:space="preserve">accessed </w:t>
      </w:r>
      <w:r w:rsidR="006404EE" w:rsidRPr="00F66735">
        <w:t>January 03, 2019</w:t>
      </w:r>
      <w:r w:rsidR="00667789" w:rsidRPr="00F66735">
        <w:t xml:space="preserve"> at </w:t>
      </w:r>
      <w:r w:rsidR="00552698" w:rsidRPr="00F66735">
        <w:t>(</w:t>
      </w:r>
      <w:hyperlink r:id="rId35" w:history="1">
        <w:r w:rsidR="008A20E0" w:rsidRPr="00896264">
          <w:rPr>
            <w:rStyle w:val="Hyperlink"/>
          </w:rPr>
          <w:t>http://www.bls.gov/news.release/ocwage.t01.htm</w:t>
        </w:r>
      </w:hyperlink>
      <w:r w:rsidR="008A20E0">
        <w:t>)</w:t>
      </w:r>
      <w:r w:rsidRPr="00F66735">
        <w:t>.</w:t>
      </w:r>
      <w:r w:rsidR="008A20E0">
        <w:t xml:space="preserve"> </w:t>
      </w:r>
      <w:r w:rsidRPr="00F66735">
        <w:t xml:space="preserve"> </w:t>
      </w:r>
    </w:p>
    <w:p w14:paraId="2B8D307D" w14:textId="77777777" w:rsidR="00B02A30" w:rsidRPr="00F66735" w:rsidRDefault="00B02A30" w:rsidP="00B02A30"/>
    <w:p w14:paraId="614DF308" w14:textId="2624E729" w:rsidR="00B2039E" w:rsidRPr="00F66735" w:rsidRDefault="00EA18D3" w:rsidP="00B2039E">
      <w:pPr>
        <w:outlineLvl w:val="0"/>
      </w:pPr>
      <w:bookmarkStart w:id="42" w:name="_Toc455558109"/>
      <w:r w:rsidRPr="00F66735">
        <w:t>EIP sites (</w:t>
      </w:r>
      <w:r w:rsidR="00B02A30" w:rsidRPr="00F66735">
        <w:t xml:space="preserve">Table C) are supported through a Cooperative Agreement with CDC. </w:t>
      </w:r>
      <w:r w:rsidR="008C0323" w:rsidRPr="00F66735">
        <w:t xml:space="preserve">During a May 7, 2010 teleconference with Dr. Margo Schwab and Ms. Julie Wise from OMB, Dr. Schwab informed CDC prevalence survey personnel that because the EIP is a CDC-run program under a Cooperative Agreement, EIP </w:t>
      </w:r>
      <w:r w:rsidR="00F62173" w:rsidRPr="00F66735">
        <w:t xml:space="preserve">site </w:t>
      </w:r>
      <w:r w:rsidR="008C0323" w:rsidRPr="00F66735">
        <w:t xml:space="preserve">personnel </w:t>
      </w:r>
      <w:r w:rsidR="00586AEF" w:rsidRPr="00F66735">
        <w:t xml:space="preserve">are </w:t>
      </w:r>
      <w:r w:rsidR="008C0323" w:rsidRPr="00F66735">
        <w:t xml:space="preserve">not be included in the annualized public burden estimate, but rather in the estimate of annualized cost to the government. </w:t>
      </w:r>
      <w:r w:rsidR="00B02A30" w:rsidRPr="00F66735">
        <w:t xml:space="preserve">We estimate that on an annualized basis, </w:t>
      </w:r>
      <w:r w:rsidR="00322CF0" w:rsidRPr="00F66735">
        <w:t>2.0</w:t>
      </w:r>
      <w:r w:rsidR="00B02A30" w:rsidRPr="00F66735">
        <w:t xml:space="preserve"> FTE employees are needed in each</w:t>
      </w:r>
      <w:r w:rsidR="00F62173" w:rsidRPr="00F66735">
        <w:t xml:space="preserve"> EIP</w:t>
      </w:r>
      <w:r w:rsidR="00B02A30" w:rsidRPr="00F66735">
        <w:t xml:space="preserve"> site to conduct survey activities. These employees are epidemiologists, with an estimated </w:t>
      </w:r>
      <w:r w:rsidR="00E04559" w:rsidRPr="00F66735">
        <w:t xml:space="preserve">mean </w:t>
      </w:r>
      <w:r w:rsidR="00B02A30" w:rsidRPr="00F66735">
        <w:t xml:space="preserve">hourly wage of </w:t>
      </w:r>
      <w:r w:rsidR="00CB193B" w:rsidRPr="00F66735">
        <w:t xml:space="preserve">$36.65 </w:t>
      </w:r>
      <w:r w:rsidR="00B02A30" w:rsidRPr="00F66735">
        <w:t xml:space="preserve">(obtained from the Bureau of Labor Statistics, Occupational and Employment Statistics Section May </w:t>
      </w:r>
      <w:r w:rsidR="00667789" w:rsidRPr="00F66735">
        <w:t>20</w:t>
      </w:r>
      <w:r w:rsidR="00CB193B" w:rsidRPr="00F66735">
        <w:t>17</w:t>
      </w:r>
      <w:r w:rsidR="00667789" w:rsidRPr="00F66735">
        <w:t xml:space="preserve"> </w:t>
      </w:r>
      <w:r w:rsidR="00B02A30" w:rsidRPr="00F66735">
        <w:t xml:space="preserve">data). The estimated </w:t>
      </w:r>
      <w:r w:rsidR="00BE73E8" w:rsidRPr="00F66735">
        <w:t xml:space="preserve">annual </w:t>
      </w:r>
      <w:r w:rsidR="00B02A30" w:rsidRPr="00F66735">
        <w:t>c</w:t>
      </w:r>
      <w:r w:rsidR="00D831D6" w:rsidRPr="00F66735">
        <w:t>ost across the 10 EIP sites is $1,524,640</w:t>
      </w:r>
      <w:bookmarkEnd w:id="42"/>
      <w:r w:rsidR="00EE6F35" w:rsidRPr="00F66735">
        <w:t xml:space="preserve"> (Table C)</w:t>
      </w:r>
      <w:r w:rsidR="00586AEF" w:rsidRPr="00F66735">
        <w:t>, wh</w:t>
      </w:r>
      <w:r w:rsidR="00B84E3C" w:rsidRPr="00F66735">
        <w:t>ich represents a</w:t>
      </w:r>
      <w:r w:rsidR="00D831D6" w:rsidRPr="00F66735">
        <w:t>n</w:t>
      </w:r>
      <w:r w:rsidR="00B84E3C" w:rsidRPr="00F66735">
        <w:t xml:space="preserve"> </w:t>
      </w:r>
      <w:r w:rsidR="00D831D6" w:rsidRPr="00F66735">
        <w:t>in</w:t>
      </w:r>
      <w:r w:rsidR="00586AEF" w:rsidRPr="00F66735">
        <w:t>crease f</w:t>
      </w:r>
      <w:r w:rsidR="00D831D6" w:rsidRPr="00F66735">
        <w:t xml:space="preserve">rom the 2016 estimate (+ $371,176 </w:t>
      </w:r>
      <w:r w:rsidR="00586AEF" w:rsidRPr="00F66735">
        <w:t>) due to</w:t>
      </w:r>
      <w:r w:rsidR="006B0273" w:rsidRPr="00F66735">
        <w:t xml:space="preserve"> a</w:t>
      </w:r>
      <w:r w:rsidR="00D831D6" w:rsidRPr="00F66735">
        <w:t>n in</w:t>
      </w:r>
      <w:r w:rsidR="006B0273" w:rsidRPr="00F66735">
        <w:t>crease</w:t>
      </w:r>
      <w:r w:rsidR="00586AEF" w:rsidRPr="00F66735">
        <w:t xml:space="preserve"> in </w:t>
      </w:r>
      <w:r w:rsidR="006B0273" w:rsidRPr="00F66735">
        <w:t xml:space="preserve">the </w:t>
      </w:r>
      <w:r w:rsidR="00D831D6" w:rsidRPr="00F66735">
        <w:t xml:space="preserve">estimated number of FTE </w:t>
      </w:r>
      <w:r w:rsidR="00CA6CF8" w:rsidRPr="00F66735">
        <w:t xml:space="preserve">EIP </w:t>
      </w:r>
      <w:r w:rsidR="00586AEF" w:rsidRPr="00F66735">
        <w:t>epidemiologists</w:t>
      </w:r>
      <w:r w:rsidR="00D831D6" w:rsidRPr="00F66735">
        <w:t xml:space="preserve"> needed</w:t>
      </w:r>
      <w:r w:rsidR="00B2039E" w:rsidRPr="00F66735">
        <w:t xml:space="preserve"> (1.5 to 2.0 FTEs)</w:t>
      </w:r>
      <w:r w:rsidR="00D831D6" w:rsidRPr="00F66735">
        <w:t xml:space="preserve"> to conduct survey activities</w:t>
      </w:r>
      <w:r w:rsidR="00586AEF" w:rsidRPr="00F66735">
        <w:t>.</w:t>
      </w:r>
      <w:r w:rsidR="00291A3A" w:rsidRPr="00F66735">
        <w:t xml:space="preserve"> However, this increase is offset by removing </w:t>
      </w:r>
      <w:r w:rsidR="00B2039E" w:rsidRPr="00F66735">
        <w:t>funds</w:t>
      </w:r>
      <w:r w:rsidR="00291A3A" w:rsidRPr="00F66735">
        <w:t xml:space="preserve"> (-$127,166) proposed in 2016</w:t>
      </w:r>
      <w:r w:rsidR="00B2039E" w:rsidRPr="00F66735">
        <w:t xml:space="preserve"> for external contractors to perform data validation. Upon review, this proposal was modified to include data validation by EIP site personnel only, if resources are available, as use of EIP site personnel is more cost-effective with the addition of the extra 0.5 FTE per site. </w:t>
      </w:r>
    </w:p>
    <w:p w14:paraId="53CA7599" w14:textId="77777777" w:rsidR="00B2039E" w:rsidRPr="00F66735" w:rsidRDefault="00B2039E" w:rsidP="00E4344F">
      <w:pPr>
        <w:outlineLvl w:val="0"/>
      </w:pPr>
    </w:p>
    <w:p w14:paraId="63853F18" w14:textId="47F9C369" w:rsidR="00B77C36" w:rsidRPr="00F66735" w:rsidRDefault="00B77C36" w:rsidP="00E4344F">
      <w:pPr>
        <w:outlineLvl w:val="0"/>
      </w:pPr>
      <w:r w:rsidRPr="00F66735">
        <w:t>There will also be costs related to photocopying of forms and instructions. The cost is estimated to be $</w:t>
      </w:r>
      <w:r w:rsidR="00B46A42" w:rsidRPr="00F66735">
        <w:t>8,382</w:t>
      </w:r>
      <w:r w:rsidRPr="00F66735">
        <w:t xml:space="preserve"> ($0.05 to copy each page, estimated </w:t>
      </w:r>
      <w:r w:rsidR="00B46A42" w:rsidRPr="00F66735">
        <w:t>167,648</w:t>
      </w:r>
      <w:r w:rsidRPr="00F66735">
        <w:t xml:space="preserve"> copies made to support survey activities in </w:t>
      </w:r>
      <w:r w:rsidR="00B46A42" w:rsidRPr="00F66735">
        <w:t>30</w:t>
      </w:r>
      <w:r w:rsidR="00B70862" w:rsidRPr="00F66735">
        <w:t xml:space="preserve">0 </w:t>
      </w:r>
      <w:r w:rsidR="00E4344F" w:rsidRPr="00F66735">
        <w:t>hospitals</w:t>
      </w:r>
      <w:r w:rsidR="00B70862" w:rsidRPr="00F66735">
        <w:t xml:space="preserve"> in 10 EIP sites),</w:t>
      </w:r>
      <w:r w:rsidRPr="00F66735">
        <w:t xml:space="preserve"> or $</w:t>
      </w:r>
      <w:r w:rsidR="00C00B79" w:rsidRPr="00F66735">
        <w:t>2</w:t>
      </w:r>
      <w:r w:rsidR="00B46A42" w:rsidRPr="00F66735">
        <w:t>,794</w:t>
      </w:r>
      <w:r w:rsidR="00B70862" w:rsidRPr="00F66735">
        <w:t xml:space="preserve"> per year</w:t>
      </w:r>
      <w:r w:rsidRPr="00F66735">
        <w:t>.</w:t>
      </w:r>
    </w:p>
    <w:p w14:paraId="09D26080" w14:textId="77777777" w:rsidR="00B77C36" w:rsidRPr="00F66735" w:rsidRDefault="00B77C36" w:rsidP="00C96FE2"/>
    <w:p w14:paraId="66CCCDBD" w14:textId="7F5E0391" w:rsidR="00B77C36" w:rsidRPr="00F66735" w:rsidRDefault="00B77C36" w:rsidP="00B77C36">
      <w:r w:rsidRPr="00F66735">
        <w:t>The total annualized cost to the federal government for personnel and photocopying is therefore estimated to be $1,</w:t>
      </w:r>
      <w:r w:rsidR="00FB6DF1" w:rsidRPr="00F66735">
        <w:t>827,69</w:t>
      </w:r>
      <w:r w:rsidR="00A75864" w:rsidRPr="00F66735">
        <w:t>5</w:t>
      </w:r>
      <w:r w:rsidR="000A003E" w:rsidRPr="00F66735">
        <w:t>.00</w:t>
      </w:r>
      <w:r w:rsidR="00A8120E" w:rsidRPr="00F66735">
        <w:t xml:space="preserve"> (Table C)</w:t>
      </w:r>
      <w:r w:rsidR="00A75864" w:rsidRPr="00F66735">
        <w:t xml:space="preserve">, which represents a </w:t>
      </w:r>
      <w:r w:rsidR="00B2039E" w:rsidRPr="00F66735">
        <w:t xml:space="preserve">net increase of $277,779 </w:t>
      </w:r>
      <w:r w:rsidR="00A75864" w:rsidRPr="00F66735">
        <w:t>fr</w:t>
      </w:r>
      <w:r w:rsidR="00B2039E" w:rsidRPr="00F66735">
        <w:t>om the 2016 estimate</w:t>
      </w:r>
      <w:r w:rsidR="00B362E6" w:rsidRPr="00F66735">
        <w:t xml:space="preserve">. </w:t>
      </w:r>
    </w:p>
    <w:p w14:paraId="74835CFE" w14:textId="77777777" w:rsidR="00BF6D34" w:rsidRPr="00F66735" w:rsidRDefault="00BF6D34" w:rsidP="005F7F31"/>
    <w:p w14:paraId="6E938551" w14:textId="77777777" w:rsidR="00B02A30" w:rsidRPr="00F66735" w:rsidRDefault="00F62173" w:rsidP="00B02A30">
      <w:pPr>
        <w:outlineLvl w:val="0"/>
        <w:rPr>
          <w:b/>
        </w:rPr>
      </w:pPr>
      <w:bookmarkStart w:id="43" w:name="_Toc455558110"/>
      <w:r w:rsidRPr="00F66735">
        <w:rPr>
          <w:b/>
        </w:rPr>
        <w:t>Table C: Annualized Cost to the Federal G</w:t>
      </w:r>
      <w:r w:rsidR="00B02A30" w:rsidRPr="00F66735">
        <w:rPr>
          <w:b/>
        </w:rPr>
        <w:t>overnment</w:t>
      </w:r>
      <w:bookmarkEnd w:id="43"/>
      <w:r w:rsidR="00B02A30" w:rsidRPr="00F66735">
        <w:rPr>
          <w:b/>
        </w:rPr>
        <w:t xml:space="preserve"> </w:t>
      </w:r>
    </w:p>
    <w:p w14:paraId="2C6E56CF" w14:textId="77777777" w:rsidR="00F62173" w:rsidRPr="00F66735" w:rsidRDefault="00F62173" w:rsidP="00B02A30">
      <w:pPr>
        <w:outlineLvl w:val="0"/>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250"/>
        <w:gridCol w:w="1530"/>
        <w:gridCol w:w="2160"/>
      </w:tblGrid>
      <w:tr w:rsidR="00B02A30" w:rsidRPr="00F66735" w14:paraId="3B59DC9B" w14:textId="77777777" w:rsidTr="00B02A30">
        <w:tc>
          <w:tcPr>
            <w:tcW w:w="3258" w:type="dxa"/>
            <w:tcBorders>
              <w:top w:val="single" w:sz="4" w:space="0" w:color="auto"/>
              <w:left w:val="single" w:sz="4" w:space="0" w:color="auto"/>
              <w:bottom w:val="single" w:sz="12" w:space="0" w:color="auto"/>
              <w:right w:val="single" w:sz="4" w:space="0" w:color="auto"/>
            </w:tcBorders>
            <w:vAlign w:val="center"/>
            <w:hideMark/>
          </w:tcPr>
          <w:p w14:paraId="200509B6" w14:textId="77777777" w:rsidR="00B02A30" w:rsidRPr="00F66735" w:rsidRDefault="00B02A30">
            <w:pPr>
              <w:jc w:val="center"/>
              <w:rPr>
                <w:b/>
              </w:rPr>
            </w:pPr>
            <w:r w:rsidRPr="00F66735">
              <w:rPr>
                <w:b/>
              </w:rPr>
              <w:t>Government Employee Title</w:t>
            </w:r>
          </w:p>
        </w:tc>
        <w:tc>
          <w:tcPr>
            <w:tcW w:w="2250" w:type="dxa"/>
            <w:tcBorders>
              <w:top w:val="single" w:sz="4" w:space="0" w:color="auto"/>
              <w:left w:val="single" w:sz="4" w:space="0" w:color="auto"/>
              <w:bottom w:val="single" w:sz="12" w:space="0" w:color="auto"/>
              <w:right w:val="single" w:sz="4" w:space="0" w:color="auto"/>
            </w:tcBorders>
            <w:vAlign w:val="center"/>
            <w:hideMark/>
          </w:tcPr>
          <w:p w14:paraId="7C523BAB" w14:textId="77777777" w:rsidR="00B02A30" w:rsidRPr="00F66735" w:rsidRDefault="00B02A30" w:rsidP="00E743B7">
            <w:pPr>
              <w:jc w:val="center"/>
              <w:rPr>
                <w:b/>
              </w:rPr>
            </w:pPr>
            <w:r w:rsidRPr="00F66735">
              <w:rPr>
                <w:b/>
              </w:rPr>
              <w:t>Total Number of Hours Dedicated per Year</w:t>
            </w:r>
          </w:p>
        </w:tc>
        <w:tc>
          <w:tcPr>
            <w:tcW w:w="1530" w:type="dxa"/>
            <w:tcBorders>
              <w:top w:val="single" w:sz="4" w:space="0" w:color="auto"/>
              <w:left w:val="single" w:sz="4" w:space="0" w:color="auto"/>
              <w:bottom w:val="single" w:sz="12" w:space="0" w:color="auto"/>
              <w:right w:val="single" w:sz="4" w:space="0" w:color="auto"/>
            </w:tcBorders>
            <w:vAlign w:val="center"/>
            <w:hideMark/>
          </w:tcPr>
          <w:p w14:paraId="79C803EE" w14:textId="77777777" w:rsidR="00B02A30" w:rsidRPr="00F66735" w:rsidRDefault="00B02A30">
            <w:pPr>
              <w:jc w:val="center"/>
              <w:rPr>
                <w:b/>
              </w:rPr>
            </w:pPr>
            <w:r w:rsidRPr="00F66735">
              <w:rPr>
                <w:b/>
              </w:rPr>
              <w:t>Hourly Rate</w:t>
            </w:r>
          </w:p>
        </w:tc>
        <w:tc>
          <w:tcPr>
            <w:tcW w:w="2160" w:type="dxa"/>
            <w:tcBorders>
              <w:top w:val="single" w:sz="4" w:space="0" w:color="auto"/>
              <w:left w:val="single" w:sz="4" w:space="0" w:color="auto"/>
              <w:bottom w:val="single" w:sz="12" w:space="0" w:color="auto"/>
              <w:right w:val="single" w:sz="4" w:space="0" w:color="auto"/>
            </w:tcBorders>
            <w:vAlign w:val="center"/>
            <w:hideMark/>
          </w:tcPr>
          <w:p w14:paraId="094BC88F" w14:textId="77777777" w:rsidR="00B02A30" w:rsidRPr="00F66735" w:rsidRDefault="000A003E">
            <w:pPr>
              <w:jc w:val="center"/>
              <w:rPr>
                <w:b/>
              </w:rPr>
            </w:pPr>
            <w:r w:rsidRPr="00F66735">
              <w:rPr>
                <w:b/>
              </w:rPr>
              <w:t>Total Annualized Cost</w:t>
            </w:r>
          </w:p>
        </w:tc>
      </w:tr>
      <w:tr w:rsidR="00B02A30" w:rsidRPr="00F66735" w14:paraId="3C782F2D" w14:textId="77777777" w:rsidTr="00B02A30">
        <w:tc>
          <w:tcPr>
            <w:tcW w:w="3258" w:type="dxa"/>
            <w:tcBorders>
              <w:top w:val="single" w:sz="12" w:space="0" w:color="auto"/>
              <w:left w:val="single" w:sz="4" w:space="0" w:color="auto"/>
              <w:bottom w:val="single" w:sz="4" w:space="0" w:color="auto"/>
              <w:right w:val="single" w:sz="4" w:space="0" w:color="auto"/>
            </w:tcBorders>
            <w:vAlign w:val="center"/>
            <w:hideMark/>
          </w:tcPr>
          <w:p w14:paraId="01710B2B" w14:textId="77777777" w:rsidR="00B02A30" w:rsidRPr="00F66735" w:rsidRDefault="00BF449F" w:rsidP="005F7F31">
            <w:r w:rsidRPr="00F66735">
              <w:t>CDC E</w:t>
            </w:r>
            <w:r w:rsidR="00B02A30" w:rsidRPr="00F66735">
              <w:t xml:space="preserve">pidemiologist </w:t>
            </w:r>
          </w:p>
        </w:tc>
        <w:tc>
          <w:tcPr>
            <w:tcW w:w="2250" w:type="dxa"/>
            <w:tcBorders>
              <w:top w:val="single" w:sz="12" w:space="0" w:color="auto"/>
              <w:left w:val="single" w:sz="4" w:space="0" w:color="auto"/>
              <w:bottom w:val="single" w:sz="4" w:space="0" w:color="auto"/>
              <w:right w:val="single" w:sz="4" w:space="0" w:color="auto"/>
            </w:tcBorders>
            <w:vAlign w:val="center"/>
            <w:hideMark/>
          </w:tcPr>
          <w:p w14:paraId="68C61077" w14:textId="77777777" w:rsidR="00B02A30" w:rsidRPr="00F66735" w:rsidRDefault="00667789">
            <w:pPr>
              <w:jc w:val="center"/>
            </w:pPr>
            <w:r w:rsidRPr="00F66735">
              <w:t>2080</w:t>
            </w:r>
          </w:p>
        </w:tc>
        <w:tc>
          <w:tcPr>
            <w:tcW w:w="1530" w:type="dxa"/>
            <w:tcBorders>
              <w:top w:val="single" w:sz="12" w:space="0" w:color="auto"/>
              <w:left w:val="single" w:sz="4" w:space="0" w:color="auto"/>
              <w:bottom w:val="single" w:sz="4" w:space="0" w:color="auto"/>
              <w:right w:val="single" w:sz="4" w:space="0" w:color="auto"/>
            </w:tcBorders>
            <w:vAlign w:val="center"/>
            <w:hideMark/>
          </w:tcPr>
          <w:p w14:paraId="117286A4" w14:textId="77777777" w:rsidR="00B02A30" w:rsidRPr="00F66735" w:rsidRDefault="00B02A30" w:rsidP="008808D4">
            <w:pPr>
              <w:jc w:val="center"/>
            </w:pPr>
            <w:r w:rsidRPr="00F66735">
              <w:t>$</w:t>
            </w:r>
            <w:r w:rsidR="004661EA" w:rsidRPr="00F66735">
              <w:t>36.65</w:t>
            </w:r>
          </w:p>
        </w:tc>
        <w:tc>
          <w:tcPr>
            <w:tcW w:w="2160" w:type="dxa"/>
            <w:tcBorders>
              <w:top w:val="single" w:sz="12" w:space="0" w:color="auto"/>
              <w:left w:val="single" w:sz="4" w:space="0" w:color="auto"/>
              <w:bottom w:val="single" w:sz="4" w:space="0" w:color="auto"/>
              <w:right w:val="single" w:sz="4" w:space="0" w:color="auto"/>
            </w:tcBorders>
            <w:vAlign w:val="center"/>
            <w:hideMark/>
          </w:tcPr>
          <w:p w14:paraId="71A4059C" w14:textId="77777777" w:rsidR="00B02A30" w:rsidRPr="00F66735" w:rsidRDefault="00B02A30" w:rsidP="008808D4">
            <w:pPr>
              <w:jc w:val="center"/>
            </w:pPr>
            <w:r w:rsidRPr="00F66735">
              <w:t>$</w:t>
            </w:r>
            <w:r w:rsidR="004661EA" w:rsidRPr="00F66735">
              <w:t>76,230</w:t>
            </w:r>
          </w:p>
        </w:tc>
      </w:tr>
      <w:tr w:rsidR="00667789" w:rsidRPr="00F66735" w14:paraId="3BC2101E" w14:textId="77777777" w:rsidTr="00B02A30">
        <w:tc>
          <w:tcPr>
            <w:tcW w:w="3258" w:type="dxa"/>
            <w:tcBorders>
              <w:top w:val="single" w:sz="4" w:space="0" w:color="auto"/>
              <w:left w:val="single" w:sz="4" w:space="0" w:color="auto"/>
              <w:bottom w:val="single" w:sz="4" w:space="0" w:color="auto"/>
              <w:right w:val="single" w:sz="4" w:space="0" w:color="auto"/>
            </w:tcBorders>
            <w:vAlign w:val="center"/>
          </w:tcPr>
          <w:p w14:paraId="69B6B4C6" w14:textId="77777777" w:rsidR="00667789" w:rsidRPr="00F66735" w:rsidRDefault="00552698" w:rsidP="005F7F31">
            <w:r w:rsidRPr="00F66735">
              <w:t xml:space="preserve">CDC </w:t>
            </w:r>
            <w:r w:rsidR="00BF449F" w:rsidRPr="00F66735">
              <w:t>Business A</w:t>
            </w:r>
            <w:r w:rsidR="00667789" w:rsidRPr="00F66735">
              <w:t>nalyst</w:t>
            </w:r>
          </w:p>
        </w:tc>
        <w:tc>
          <w:tcPr>
            <w:tcW w:w="2250" w:type="dxa"/>
            <w:tcBorders>
              <w:top w:val="single" w:sz="4" w:space="0" w:color="auto"/>
              <w:left w:val="single" w:sz="4" w:space="0" w:color="auto"/>
              <w:bottom w:val="single" w:sz="4" w:space="0" w:color="auto"/>
              <w:right w:val="single" w:sz="4" w:space="0" w:color="auto"/>
            </w:tcBorders>
            <w:vAlign w:val="center"/>
          </w:tcPr>
          <w:p w14:paraId="2142118F" w14:textId="77777777" w:rsidR="00667789" w:rsidRPr="00F66735" w:rsidDel="00667789" w:rsidRDefault="00667789">
            <w:pPr>
              <w:jc w:val="center"/>
            </w:pPr>
            <w:r w:rsidRPr="00F66735">
              <w:t>1040</w:t>
            </w:r>
          </w:p>
        </w:tc>
        <w:tc>
          <w:tcPr>
            <w:tcW w:w="1530" w:type="dxa"/>
            <w:tcBorders>
              <w:top w:val="single" w:sz="4" w:space="0" w:color="auto"/>
              <w:left w:val="single" w:sz="4" w:space="0" w:color="auto"/>
              <w:bottom w:val="single" w:sz="4" w:space="0" w:color="auto"/>
              <w:right w:val="single" w:sz="4" w:space="0" w:color="auto"/>
            </w:tcBorders>
            <w:vAlign w:val="center"/>
          </w:tcPr>
          <w:p w14:paraId="7EA85790" w14:textId="77777777" w:rsidR="00667789" w:rsidRPr="00F66735" w:rsidDel="00667789" w:rsidRDefault="004661EA" w:rsidP="00B00683">
            <w:pPr>
              <w:jc w:val="center"/>
            </w:pPr>
            <w:r w:rsidRPr="00F66735">
              <w:t>$44.92</w:t>
            </w:r>
          </w:p>
        </w:tc>
        <w:tc>
          <w:tcPr>
            <w:tcW w:w="2160" w:type="dxa"/>
            <w:tcBorders>
              <w:top w:val="single" w:sz="4" w:space="0" w:color="auto"/>
              <w:left w:val="single" w:sz="4" w:space="0" w:color="auto"/>
              <w:bottom w:val="single" w:sz="4" w:space="0" w:color="auto"/>
              <w:right w:val="single" w:sz="4" w:space="0" w:color="auto"/>
            </w:tcBorders>
            <w:vAlign w:val="center"/>
          </w:tcPr>
          <w:p w14:paraId="1B342D7F" w14:textId="77777777" w:rsidR="00667789" w:rsidRPr="00F66735" w:rsidDel="00667789" w:rsidRDefault="004661EA" w:rsidP="00B00683">
            <w:pPr>
              <w:jc w:val="center"/>
            </w:pPr>
            <w:r w:rsidRPr="00F66735">
              <w:t>$46,720</w:t>
            </w:r>
          </w:p>
        </w:tc>
      </w:tr>
      <w:tr w:rsidR="00BF449F" w:rsidRPr="00F66735" w14:paraId="1EEAA7F8" w14:textId="77777777" w:rsidTr="00B02A30">
        <w:tc>
          <w:tcPr>
            <w:tcW w:w="3258" w:type="dxa"/>
            <w:tcBorders>
              <w:top w:val="single" w:sz="4" w:space="0" w:color="auto"/>
              <w:left w:val="single" w:sz="4" w:space="0" w:color="auto"/>
              <w:bottom w:val="single" w:sz="4" w:space="0" w:color="auto"/>
              <w:right w:val="single" w:sz="4" w:space="0" w:color="auto"/>
            </w:tcBorders>
            <w:vAlign w:val="center"/>
          </w:tcPr>
          <w:p w14:paraId="1EF12478" w14:textId="77777777" w:rsidR="00BF449F" w:rsidRPr="00F66735" w:rsidRDefault="00BF449F" w:rsidP="005F7F31">
            <w:r w:rsidRPr="00F66735">
              <w:t>CDC Data Analyst</w:t>
            </w:r>
          </w:p>
        </w:tc>
        <w:tc>
          <w:tcPr>
            <w:tcW w:w="2250" w:type="dxa"/>
            <w:tcBorders>
              <w:top w:val="single" w:sz="4" w:space="0" w:color="auto"/>
              <w:left w:val="single" w:sz="4" w:space="0" w:color="auto"/>
              <w:bottom w:val="single" w:sz="4" w:space="0" w:color="auto"/>
              <w:right w:val="single" w:sz="4" w:space="0" w:color="auto"/>
            </w:tcBorders>
            <w:vAlign w:val="center"/>
          </w:tcPr>
          <w:p w14:paraId="2410D3B5" w14:textId="77777777" w:rsidR="00BF449F" w:rsidRPr="00F66735" w:rsidRDefault="00A75864">
            <w:pPr>
              <w:jc w:val="center"/>
            </w:pPr>
            <w:r w:rsidRPr="00F66735">
              <w:t>520</w:t>
            </w:r>
          </w:p>
        </w:tc>
        <w:tc>
          <w:tcPr>
            <w:tcW w:w="1530" w:type="dxa"/>
            <w:tcBorders>
              <w:top w:val="single" w:sz="4" w:space="0" w:color="auto"/>
              <w:left w:val="single" w:sz="4" w:space="0" w:color="auto"/>
              <w:bottom w:val="single" w:sz="4" w:space="0" w:color="auto"/>
              <w:right w:val="single" w:sz="4" w:space="0" w:color="auto"/>
            </w:tcBorders>
            <w:vAlign w:val="center"/>
          </w:tcPr>
          <w:p w14:paraId="34967E80" w14:textId="77777777" w:rsidR="00BF449F" w:rsidRPr="00F66735" w:rsidRDefault="00A75864" w:rsidP="00B00683">
            <w:pPr>
              <w:jc w:val="center"/>
            </w:pPr>
            <w:r w:rsidRPr="00F66735">
              <w:t>$41.59</w:t>
            </w:r>
          </w:p>
        </w:tc>
        <w:tc>
          <w:tcPr>
            <w:tcW w:w="2160" w:type="dxa"/>
            <w:tcBorders>
              <w:top w:val="single" w:sz="4" w:space="0" w:color="auto"/>
              <w:left w:val="single" w:sz="4" w:space="0" w:color="auto"/>
              <w:bottom w:val="single" w:sz="4" w:space="0" w:color="auto"/>
              <w:right w:val="single" w:sz="4" w:space="0" w:color="auto"/>
            </w:tcBorders>
            <w:vAlign w:val="center"/>
          </w:tcPr>
          <w:p w14:paraId="0C7FD3BD" w14:textId="77777777" w:rsidR="00BF449F" w:rsidRPr="00F66735" w:rsidRDefault="00BF449F" w:rsidP="00B00683">
            <w:pPr>
              <w:jc w:val="center"/>
            </w:pPr>
            <w:r w:rsidRPr="00F66735">
              <w:t>$21,62</w:t>
            </w:r>
            <w:r w:rsidR="00A75864" w:rsidRPr="00F66735">
              <w:t>7</w:t>
            </w:r>
          </w:p>
        </w:tc>
      </w:tr>
      <w:tr w:rsidR="00BF449F" w:rsidRPr="00F66735" w14:paraId="60FDF553" w14:textId="77777777" w:rsidTr="00B02A30">
        <w:tc>
          <w:tcPr>
            <w:tcW w:w="3258" w:type="dxa"/>
            <w:tcBorders>
              <w:top w:val="single" w:sz="4" w:space="0" w:color="auto"/>
              <w:left w:val="single" w:sz="4" w:space="0" w:color="auto"/>
              <w:bottom w:val="single" w:sz="4" w:space="0" w:color="auto"/>
              <w:right w:val="single" w:sz="4" w:space="0" w:color="auto"/>
            </w:tcBorders>
            <w:vAlign w:val="center"/>
          </w:tcPr>
          <w:p w14:paraId="2B3A9250" w14:textId="77777777" w:rsidR="00BF449F" w:rsidRPr="00F66735" w:rsidRDefault="00BF449F" w:rsidP="005F7F31">
            <w:r w:rsidRPr="00F66735">
              <w:t xml:space="preserve">CDC Statistician </w:t>
            </w:r>
          </w:p>
        </w:tc>
        <w:tc>
          <w:tcPr>
            <w:tcW w:w="2250" w:type="dxa"/>
            <w:tcBorders>
              <w:top w:val="single" w:sz="4" w:space="0" w:color="auto"/>
              <w:left w:val="single" w:sz="4" w:space="0" w:color="auto"/>
              <w:bottom w:val="single" w:sz="4" w:space="0" w:color="auto"/>
              <w:right w:val="single" w:sz="4" w:space="0" w:color="auto"/>
            </w:tcBorders>
            <w:vAlign w:val="center"/>
          </w:tcPr>
          <w:p w14:paraId="010BC9E7" w14:textId="77777777" w:rsidR="00BF449F" w:rsidRPr="00F66735" w:rsidRDefault="00A75864">
            <w:pPr>
              <w:jc w:val="center"/>
            </w:pPr>
            <w:r w:rsidRPr="00F66735">
              <w:t>104</w:t>
            </w:r>
          </w:p>
        </w:tc>
        <w:tc>
          <w:tcPr>
            <w:tcW w:w="1530" w:type="dxa"/>
            <w:tcBorders>
              <w:top w:val="single" w:sz="4" w:space="0" w:color="auto"/>
              <w:left w:val="single" w:sz="4" w:space="0" w:color="auto"/>
              <w:bottom w:val="single" w:sz="4" w:space="0" w:color="auto"/>
              <w:right w:val="single" w:sz="4" w:space="0" w:color="auto"/>
            </w:tcBorders>
            <w:vAlign w:val="center"/>
          </w:tcPr>
          <w:p w14:paraId="3C4D574B" w14:textId="77777777" w:rsidR="00BF449F" w:rsidRPr="00F66735" w:rsidRDefault="00A75864" w:rsidP="00B00683">
            <w:pPr>
              <w:jc w:val="center"/>
            </w:pPr>
            <w:r w:rsidRPr="00F66735">
              <w:t>$42.78</w:t>
            </w:r>
          </w:p>
        </w:tc>
        <w:tc>
          <w:tcPr>
            <w:tcW w:w="2160" w:type="dxa"/>
            <w:tcBorders>
              <w:top w:val="single" w:sz="4" w:space="0" w:color="auto"/>
              <w:left w:val="single" w:sz="4" w:space="0" w:color="auto"/>
              <w:bottom w:val="single" w:sz="4" w:space="0" w:color="auto"/>
              <w:right w:val="single" w:sz="4" w:space="0" w:color="auto"/>
            </w:tcBorders>
            <w:vAlign w:val="center"/>
          </w:tcPr>
          <w:p w14:paraId="7E1AB0CF" w14:textId="77777777" w:rsidR="00BF449F" w:rsidRPr="00F66735" w:rsidRDefault="00BF449F" w:rsidP="00B00683">
            <w:pPr>
              <w:jc w:val="center"/>
            </w:pPr>
            <w:r w:rsidRPr="00F66735">
              <w:t>$4,44</w:t>
            </w:r>
            <w:r w:rsidR="00A75864" w:rsidRPr="00F66735">
              <w:t>9</w:t>
            </w:r>
          </w:p>
        </w:tc>
      </w:tr>
      <w:tr w:rsidR="00EA74FD" w:rsidRPr="00F66735" w14:paraId="608D3531" w14:textId="77777777" w:rsidTr="00B02A30">
        <w:tc>
          <w:tcPr>
            <w:tcW w:w="3258" w:type="dxa"/>
            <w:tcBorders>
              <w:top w:val="single" w:sz="4" w:space="0" w:color="auto"/>
              <w:left w:val="single" w:sz="4" w:space="0" w:color="auto"/>
              <w:bottom w:val="single" w:sz="4" w:space="0" w:color="auto"/>
              <w:right w:val="single" w:sz="4" w:space="0" w:color="auto"/>
            </w:tcBorders>
            <w:vAlign w:val="center"/>
          </w:tcPr>
          <w:p w14:paraId="09B9625F" w14:textId="77777777" w:rsidR="00EA74FD" w:rsidRPr="00F66735" w:rsidRDefault="00552698" w:rsidP="005F7F31">
            <w:r w:rsidRPr="00F66735">
              <w:t xml:space="preserve">CDC </w:t>
            </w:r>
            <w:r w:rsidR="00BF449F" w:rsidRPr="00F66735">
              <w:t>Database D</w:t>
            </w:r>
            <w:r w:rsidR="00EA74FD" w:rsidRPr="00F66735">
              <w:t>eveloper</w:t>
            </w:r>
          </w:p>
        </w:tc>
        <w:tc>
          <w:tcPr>
            <w:tcW w:w="2250" w:type="dxa"/>
            <w:tcBorders>
              <w:top w:val="single" w:sz="4" w:space="0" w:color="auto"/>
              <w:left w:val="single" w:sz="4" w:space="0" w:color="auto"/>
              <w:bottom w:val="single" w:sz="4" w:space="0" w:color="auto"/>
              <w:right w:val="single" w:sz="4" w:space="0" w:color="auto"/>
            </w:tcBorders>
            <w:vAlign w:val="center"/>
          </w:tcPr>
          <w:p w14:paraId="27FF9B99" w14:textId="77777777" w:rsidR="00EA74FD" w:rsidRPr="00F66735" w:rsidRDefault="00667789">
            <w:pPr>
              <w:jc w:val="center"/>
            </w:pPr>
            <w:r w:rsidRPr="00F66735">
              <w:t>2080</w:t>
            </w:r>
          </w:p>
        </w:tc>
        <w:tc>
          <w:tcPr>
            <w:tcW w:w="1530" w:type="dxa"/>
            <w:tcBorders>
              <w:top w:val="single" w:sz="4" w:space="0" w:color="auto"/>
              <w:left w:val="single" w:sz="4" w:space="0" w:color="auto"/>
              <w:bottom w:val="single" w:sz="4" w:space="0" w:color="auto"/>
              <w:right w:val="single" w:sz="4" w:space="0" w:color="auto"/>
            </w:tcBorders>
            <w:vAlign w:val="center"/>
          </w:tcPr>
          <w:p w14:paraId="14010232" w14:textId="77777777" w:rsidR="00EA74FD" w:rsidRPr="00F66735" w:rsidRDefault="004661EA" w:rsidP="00B00683">
            <w:pPr>
              <w:jc w:val="center"/>
            </w:pPr>
            <w:r w:rsidRPr="00F66735">
              <w:t>$51.30</w:t>
            </w:r>
          </w:p>
        </w:tc>
        <w:tc>
          <w:tcPr>
            <w:tcW w:w="2160" w:type="dxa"/>
            <w:tcBorders>
              <w:top w:val="single" w:sz="4" w:space="0" w:color="auto"/>
              <w:left w:val="single" w:sz="4" w:space="0" w:color="auto"/>
              <w:bottom w:val="single" w:sz="4" w:space="0" w:color="auto"/>
              <w:right w:val="single" w:sz="4" w:space="0" w:color="auto"/>
            </w:tcBorders>
            <w:vAlign w:val="center"/>
          </w:tcPr>
          <w:p w14:paraId="05BDE1D4" w14:textId="77777777" w:rsidR="00EA74FD" w:rsidRPr="00F66735" w:rsidRDefault="004661EA" w:rsidP="00B00683">
            <w:pPr>
              <w:jc w:val="center"/>
            </w:pPr>
            <w:r w:rsidRPr="00F66735">
              <w:t>$106,710</w:t>
            </w:r>
          </w:p>
        </w:tc>
      </w:tr>
      <w:tr w:rsidR="00B02A30" w:rsidRPr="00F66735" w14:paraId="2B69F71B" w14:textId="77777777" w:rsidTr="00B02A30">
        <w:tc>
          <w:tcPr>
            <w:tcW w:w="3258" w:type="dxa"/>
            <w:tcBorders>
              <w:top w:val="single" w:sz="4" w:space="0" w:color="auto"/>
              <w:left w:val="single" w:sz="4" w:space="0" w:color="auto"/>
              <w:bottom w:val="single" w:sz="4" w:space="0" w:color="auto"/>
              <w:right w:val="single" w:sz="4" w:space="0" w:color="auto"/>
            </w:tcBorders>
            <w:vAlign w:val="center"/>
            <w:hideMark/>
          </w:tcPr>
          <w:p w14:paraId="243E74F7" w14:textId="77777777" w:rsidR="00B02A30" w:rsidRPr="00F66735" w:rsidRDefault="00552698" w:rsidP="005F7F31">
            <w:r w:rsidRPr="00F66735">
              <w:t xml:space="preserve">CDC </w:t>
            </w:r>
            <w:r w:rsidR="00B02A30" w:rsidRPr="00F66735">
              <w:t xml:space="preserve">Database </w:t>
            </w:r>
            <w:r w:rsidR="00BF449F" w:rsidRPr="00F66735">
              <w:t>A</w:t>
            </w:r>
            <w:r w:rsidR="00667789" w:rsidRPr="00F66735">
              <w:t>dministrator</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B19EB3F" w14:textId="77777777" w:rsidR="00B02A30" w:rsidRPr="00F66735" w:rsidRDefault="00667789">
            <w:pPr>
              <w:jc w:val="center"/>
            </w:pPr>
            <w:r w:rsidRPr="00F66735">
              <w:t>1040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C62763F" w14:textId="77777777" w:rsidR="00B02A30" w:rsidRPr="00F66735" w:rsidRDefault="00B02A30" w:rsidP="008808D4">
            <w:pPr>
              <w:jc w:val="center"/>
            </w:pPr>
            <w:r w:rsidRPr="00F66735">
              <w:t>$</w:t>
            </w:r>
            <w:r w:rsidR="004661EA" w:rsidRPr="00F66735">
              <w:t>42.8</w:t>
            </w:r>
            <w:r w:rsidR="00667789" w:rsidRPr="00F66735">
              <w:t>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85F4F16" w14:textId="77777777" w:rsidR="00B02A30" w:rsidRPr="00F66735" w:rsidRDefault="004661EA" w:rsidP="00EA74FD">
            <w:pPr>
              <w:jc w:val="center"/>
            </w:pPr>
            <w:r w:rsidRPr="00F66735">
              <w:t>$44,525</w:t>
            </w:r>
          </w:p>
        </w:tc>
      </w:tr>
      <w:tr w:rsidR="00B02A30" w:rsidRPr="00F66735" w14:paraId="00BDB467" w14:textId="77777777" w:rsidTr="00B02A30">
        <w:tc>
          <w:tcPr>
            <w:tcW w:w="3258" w:type="dxa"/>
            <w:tcBorders>
              <w:top w:val="single" w:sz="4" w:space="0" w:color="auto"/>
              <w:left w:val="single" w:sz="4" w:space="0" w:color="auto"/>
              <w:bottom w:val="single" w:sz="4" w:space="0" w:color="auto"/>
              <w:right w:val="single" w:sz="4" w:space="0" w:color="auto"/>
            </w:tcBorders>
            <w:vAlign w:val="center"/>
            <w:hideMark/>
          </w:tcPr>
          <w:p w14:paraId="1B3980CE" w14:textId="65BE21B5" w:rsidR="00B02A30" w:rsidRPr="00F66735" w:rsidRDefault="00BF449F" w:rsidP="005F7F31">
            <w:r w:rsidRPr="00F66735">
              <w:t>EIP E</w:t>
            </w:r>
            <w:r w:rsidR="00C141D5" w:rsidRPr="00F66735">
              <w:t>pidemiologists (2.0</w:t>
            </w:r>
            <w:r w:rsidR="00B02A30" w:rsidRPr="00F66735">
              <w:t xml:space="preserve"> FTE in each of 10 sites)</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80F28F2" w14:textId="2176299B" w:rsidR="00B02A30" w:rsidRPr="00F66735" w:rsidRDefault="000A1F53" w:rsidP="00C7510F">
            <w:pPr>
              <w:jc w:val="center"/>
            </w:pPr>
            <w:r w:rsidRPr="00F66735">
              <w:t>41,6</w:t>
            </w:r>
            <w:r w:rsidR="00B02A30" w:rsidRPr="00F66735">
              <w:t>0</w:t>
            </w:r>
            <w:r w:rsidR="00C7510F" w:rsidRPr="00F66735">
              <w:t>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8A271AD" w14:textId="77777777" w:rsidR="00B02A30" w:rsidRPr="00F66735" w:rsidRDefault="00B02A30" w:rsidP="008808D4">
            <w:pPr>
              <w:jc w:val="center"/>
            </w:pPr>
            <w:r w:rsidRPr="00F66735">
              <w:t>$</w:t>
            </w:r>
            <w:r w:rsidR="00C00B79" w:rsidRPr="00F66735">
              <w:t>36.65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AEFE8AB" w14:textId="2BF8A851" w:rsidR="00B02A30" w:rsidRPr="00F66735" w:rsidRDefault="00B02A30" w:rsidP="008808D4">
            <w:pPr>
              <w:jc w:val="center"/>
            </w:pPr>
            <w:r w:rsidRPr="00F66735">
              <w:t>$</w:t>
            </w:r>
            <w:r w:rsidR="00B00683" w:rsidRPr="00F66735">
              <w:t>1,</w:t>
            </w:r>
            <w:r w:rsidR="000A1F53" w:rsidRPr="00F66735">
              <w:t>524,64</w:t>
            </w:r>
            <w:r w:rsidR="00C00B79" w:rsidRPr="00F66735">
              <w:t>0</w:t>
            </w:r>
          </w:p>
        </w:tc>
      </w:tr>
      <w:tr w:rsidR="009A653B" w:rsidRPr="00F66735" w14:paraId="21985DE6" w14:textId="77777777" w:rsidTr="00B02A30">
        <w:tc>
          <w:tcPr>
            <w:tcW w:w="3258" w:type="dxa"/>
            <w:tcBorders>
              <w:top w:val="single" w:sz="4" w:space="0" w:color="auto"/>
              <w:left w:val="single" w:sz="4" w:space="0" w:color="auto"/>
              <w:bottom w:val="single" w:sz="4" w:space="0" w:color="auto"/>
              <w:right w:val="single" w:sz="4" w:space="0" w:color="auto"/>
            </w:tcBorders>
            <w:vAlign w:val="center"/>
          </w:tcPr>
          <w:p w14:paraId="08BE8373" w14:textId="77777777" w:rsidR="009A653B" w:rsidRPr="00F66735" w:rsidRDefault="009A653B" w:rsidP="005F7F31">
            <w:r w:rsidRPr="00F66735">
              <w:t>Photocopying</w:t>
            </w:r>
          </w:p>
        </w:tc>
        <w:tc>
          <w:tcPr>
            <w:tcW w:w="2250" w:type="dxa"/>
            <w:tcBorders>
              <w:top w:val="single" w:sz="4" w:space="0" w:color="auto"/>
              <w:left w:val="single" w:sz="4" w:space="0" w:color="auto"/>
              <w:bottom w:val="single" w:sz="4" w:space="0" w:color="auto"/>
              <w:right w:val="single" w:sz="4" w:space="0" w:color="auto"/>
            </w:tcBorders>
            <w:vAlign w:val="center"/>
          </w:tcPr>
          <w:p w14:paraId="0FC596D1" w14:textId="77777777" w:rsidR="009A653B" w:rsidRPr="00F66735" w:rsidRDefault="009A653B" w:rsidP="00C7510F">
            <w:pPr>
              <w:jc w:val="center"/>
            </w:pPr>
            <w:r w:rsidRPr="00F66735">
              <w:t>--</w:t>
            </w:r>
          </w:p>
        </w:tc>
        <w:tc>
          <w:tcPr>
            <w:tcW w:w="1530" w:type="dxa"/>
            <w:tcBorders>
              <w:top w:val="single" w:sz="4" w:space="0" w:color="auto"/>
              <w:left w:val="single" w:sz="4" w:space="0" w:color="auto"/>
              <w:bottom w:val="single" w:sz="4" w:space="0" w:color="auto"/>
              <w:right w:val="single" w:sz="4" w:space="0" w:color="auto"/>
            </w:tcBorders>
            <w:vAlign w:val="center"/>
          </w:tcPr>
          <w:p w14:paraId="2A378C35" w14:textId="77777777" w:rsidR="009A653B" w:rsidRPr="00F66735" w:rsidRDefault="009A653B" w:rsidP="00C7510F">
            <w:pPr>
              <w:jc w:val="center"/>
            </w:pPr>
            <w:r w:rsidRPr="00F66735">
              <w:t>--</w:t>
            </w:r>
          </w:p>
        </w:tc>
        <w:tc>
          <w:tcPr>
            <w:tcW w:w="2160" w:type="dxa"/>
            <w:tcBorders>
              <w:top w:val="single" w:sz="4" w:space="0" w:color="auto"/>
              <w:left w:val="single" w:sz="4" w:space="0" w:color="auto"/>
              <w:bottom w:val="single" w:sz="4" w:space="0" w:color="auto"/>
              <w:right w:val="single" w:sz="4" w:space="0" w:color="auto"/>
            </w:tcBorders>
            <w:vAlign w:val="center"/>
          </w:tcPr>
          <w:p w14:paraId="300A98E5" w14:textId="77777777" w:rsidR="009A653B" w:rsidRPr="00F66735" w:rsidRDefault="009A653B" w:rsidP="008808D4">
            <w:pPr>
              <w:jc w:val="center"/>
            </w:pPr>
            <w:r w:rsidRPr="00F66735">
              <w:t>$</w:t>
            </w:r>
            <w:r w:rsidR="00B46A42" w:rsidRPr="00F66735">
              <w:t>2,794</w:t>
            </w:r>
          </w:p>
        </w:tc>
      </w:tr>
      <w:tr w:rsidR="00B02A30" w:rsidRPr="00F66735" w14:paraId="7DA63B27" w14:textId="77777777" w:rsidTr="005F7F31">
        <w:tc>
          <w:tcPr>
            <w:tcW w:w="3258" w:type="dxa"/>
            <w:tcBorders>
              <w:top w:val="single" w:sz="4" w:space="0" w:color="auto"/>
              <w:left w:val="single" w:sz="4" w:space="0" w:color="auto"/>
              <w:bottom w:val="single" w:sz="4" w:space="0" w:color="auto"/>
              <w:right w:val="single" w:sz="4" w:space="0" w:color="auto"/>
            </w:tcBorders>
            <w:hideMark/>
          </w:tcPr>
          <w:p w14:paraId="6D57146F" w14:textId="77777777" w:rsidR="00B02A30" w:rsidRPr="00F66735" w:rsidRDefault="00B02A30" w:rsidP="005F7F31">
            <w:pPr>
              <w:rPr>
                <w:b/>
              </w:rPr>
            </w:pPr>
            <w:r w:rsidRPr="00F66735">
              <w:rPr>
                <w:b/>
              </w:rPr>
              <w:t xml:space="preserve">Total </w:t>
            </w:r>
          </w:p>
        </w:tc>
        <w:tc>
          <w:tcPr>
            <w:tcW w:w="2250" w:type="dxa"/>
            <w:tcBorders>
              <w:top w:val="single" w:sz="4" w:space="0" w:color="auto"/>
              <w:left w:val="single" w:sz="4" w:space="0" w:color="auto"/>
              <w:bottom w:val="single" w:sz="4" w:space="0" w:color="auto"/>
              <w:right w:val="nil"/>
            </w:tcBorders>
          </w:tcPr>
          <w:p w14:paraId="40B7E0A5" w14:textId="77777777" w:rsidR="00B02A30" w:rsidRPr="00F66735" w:rsidRDefault="00B02A30">
            <w:pPr>
              <w:jc w:val="center"/>
              <w:rPr>
                <w:i/>
              </w:rPr>
            </w:pPr>
          </w:p>
        </w:tc>
        <w:tc>
          <w:tcPr>
            <w:tcW w:w="1530" w:type="dxa"/>
            <w:tcBorders>
              <w:top w:val="single" w:sz="4" w:space="0" w:color="auto"/>
              <w:left w:val="nil"/>
              <w:bottom w:val="single" w:sz="4" w:space="0" w:color="auto"/>
              <w:right w:val="nil"/>
            </w:tcBorders>
          </w:tcPr>
          <w:p w14:paraId="6931F4FA" w14:textId="77777777" w:rsidR="00B02A30" w:rsidRPr="00F66735" w:rsidRDefault="00B02A30">
            <w:pPr>
              <w:jc w:val="center"/>
              <w:rPr>
                <w:i/>
              </w:rPr>
            </w:pPr>
          </w:p>
        </w:tc>
        <w:tc>
          <w:tcPr>
            <w:tcW w:w="2160" w:type="dxa"/>
            <w:tcBorders>
              <w:top w:val="single" w:sz="4" w:space="0" w:color="auto"/>
              <w:left w:val="nil"/>
              <w:bottom w:val="single" w:sz="4" w:space="0" w:color="auto"/>
              <w:right w:val="single" w:sz="4" w:space="0" w:color="auto"/>
            </w:tcBorders>
            <w:hideMark/>
          </w:tcPr>
          <w:p w14:paraId="3C900F42" w14:textId="7F36CF99" w:rsidR="00B02A30" w:rsidRPr="00F66735" w:rsidRDefault="000A003E" w:rsidP="008808D4">
            <w:pPr>
              <w:jc w:val="center"/>
              <w:rPr>
                <w:b/>
              </w:rPr>
            </w:pPr>
            <w:r w:rsidRPr="00F66735">
              <w:rPr>
                <w:b/>
              </w:rPr>
              <w:fldChar w:fldCharType="begin"/>
            </w:r>
            <w:r w:rsidRPr="00F66735">
              <w:rPr>
                <w:b/>
              </w:rPr>
              <w:instrText xml:space="preserve"> =SUM(ABOVE) </w:instrText>
            </w:r>
            <w:r w:rsidRPr="00F66735">
              <w:rPr>
                <w:b/>
              </w:rPr>
              <w:fldChar w:fldCharType="separate"/>
            </w:r>
            <w:r w:rsidR="00C00B79" w:rsidRPr="00F66735">
              <w:rPr>
                <w:b/>
                <w:noProof/>
              </w:rPr>
              <w:t>$1,</w:t>
            </w:r>
            <w:r w:rsidR="00FB6DF1" w:rsidRPr="00F66735">
              <w:rPr>
                <w:b/>
                <w:noProof/>
              </w:rPr>
              <w:t>827,695</w:t>
            </w:r>
            <w:r w:rsidRPr="00F66735">
              <w:rPr>
                <w:b/>
                <w:noProof/>
              </w:rPr>
              <w:t>.00</w:t>
            </w:r>
            <w:r w:rsidRPr="00F66735">
              <w:rPr>
                <w:b/>
              </w:rPr>
              <w:fldChar w:fldCharType="end"/>
            </w:r>
          </w:p>
        </w:tc>
      </w:tr>
    </w:tbl>
    <w:p w14:paraId="6D3841C0" w14:textId="77777777" w:rsidR="00BA4EE2" w:rsidRPr="00F66735" w:rsidRDefault="00BA4EE2" w:rsidP="00061956"/>
    <w:p w14:paraId="223F42E3" w14:textId="77777777" w:rsidR="00BB5CA3" w:rsidRPr="00F66735" w:rsidRDefault="00BB5CA3" w:rsidP="00061956"/>
    <w:p w14:paraId="6FF5B3BC" w14:textId="77777777" w:rsidR="002F5670" w:rsidRPr="00F66735" w:rsidRDefault="00AD36BD" w:rsidP="00061956">
      <w:pPr>
        <w:pStyle w:val="Heading1"/>
      </w:pPr>
      <w:bookmarkStart w:id="44" w:name="_Toc455558111"/>
      <w:r w:rsidRPr="00F66735">
        <w:t>Explanation for Program Changes or Adjustments</w:t>
      </w:r>
      <w:bookmarkEnd w:id="44"/>
    </w:p>
    <w:p w14:paraId="3FFD391F" w14:textId="77777777" w:rsidR="002F5670" w:rsidRPr="00F66735" w:rsidRDefault="002F5670" w:rsidP="002F5670">
      <w:pPr>
        <w:ind w:left="120" w:hanging="120"/>
      </w:pPr>
    </w:p>
    <w:p w14:paraId="70851D9F" w14:textId="23692EEE" w:rsidR="00265A87" w:rsidRPr="00F66735" w:rsidRDefault="000A003E" w:rsidP="002F5670">
      <w:r w:rsidRPr="00F66735">
        <w:t>T</w:t>
      </w:r>
      <w:r w:rsidR="00B77C36" w:rsidRPr="00F66735">
        <w:t xml:space="preserve">he annualized </w:t>
      </w:r>
      <w:r w:rsidRPr="00F66735">
        <w:t xml:space="preserve">public </w:t>
      </w:r>
      <w:r w:rsidR="00B77C36" w:rsidRPr="00F66735">
        <w:t>burden for th</w:t>
      </w:r>
      <w:r w:rsidR="00265A87" w:rsidRPr="00F66735">
        <w:t xml:space="preserve">is </w:t>
      </w:r>
      <w:r w:rsidR="00B5320A" w:rsidRPr="00F66735">
        <w:t>request (</w:t>
      </w:r>
      <w:r w:rsidR="0027361A" w:rsidRPr="00F66735">
        <w:t>1,860</w:t>
      </w:r>
      <w:r w:rsidRPr="00F66735">
        <w:t xml:space="preserve"> hour</w:t>
      </w:r>
      <w:r w:rsidR="00265A87" w:rsidRPr="00F66735">
        <w:t>s</w:t>
      </w:r>
      <w:r w:rsidR="00B5320A" w:rsidRPr="00F66735">
        <w:t>)</w:t>
      </w:r>
      <w:r w:rsidR="00265A87" w:rsidRPr="00F66735">
        <w:t xml:space="preserve"> is equal to the burden</w:t>
      </w:r>
      <w:r w:rsidR="00B46A42" w:rsidRPr="00F66735">
        <w:t xml:space="preserve"> approved in the most recent </w:t>
      </w:r>
      <w:r w:rsidR="00295E5E" w:rsidRPr="00F66735">
        <w:t xml:space="preserve">OMB </w:t>
      </w:r>
      <w:r w:rsidR="00B46A42" w:rsidRPr="00F66735">
        <w:t xml:space="preserve">request in </w:t>
      </w:r>
      <w:r w:rsidR="00ED4AE6" w:rsidRPr="00F66735">
        <w:t>December 2016</w:t>
      </w:r>
      <w:r w:rsidR="00265A87" w:rsidRPr="00F66735">
        <w:t xml:space="preserve"> as proposed changes to the two data collection in</w:t>
      </w:r>
      <w:r w:rsidR="005533F1" w:rsidRPr="00F66735">
        <w:t>struments (HFA and PIF) are non-substantive and</w:t>
      </w:r>
      <w:r w:rsidR="00E4344F" w:rsidRPr="00F66735">
        <w:t xml:space="preserve"> not determined to impact t</w:t>
      </w:r>
      <w:r w:rsidR="00265A87" w:rsidRPr="00F66735">
        <w:t>he average burden per response.</w:t>
      </w:r>
      <w:r w:rsidRPr="00F66735">
        <w:t xml:space="preserve"> </w:t>
      </w:r>
    </w:p>
    <w:p w14:paraId="3DCE41EA" w14:textId="77777777" w:rsidR="00265A87" w:rsidRPr="00F66735" w:rsidRDefault="00265A87" w:rsidP="002F5670"/>
    <w:p w14:paraId="2CC3903E" w14:textId="27B94BF5" w:rsidR="000A003E" w:rsidRPr="00F66735" w:rsidRDefault="00265A87" w:rsidP="002F5670">
      <w:r w:rsidRPr="00F66735">
        <w:t xml:space="preserve">Since the 2016 approval, the estimated annualized cost of time to respond to the survey has increased (+ $2,269.20) due to an increase in estimated mean hourly wage for </w:t>
      </w:r>
      <w:r w:rsidR="00E4344F" w:rsidRPr="00F66735">
        <w:t>hospital infection preventionists (</w:t>
      </w:r>
      <w:r w:rsidRPr="00F66735">
        <w:t>RNs</w:t>
      </w:r>
      <w:r w:rsidR="00E4344F" w:rsidRPr="00F66735">
        <w:t>)</w:t>
      </w:r>
      <w:r w:rsidRPr="00F66735">
        <w:t xml:space="preserve">. The total annualized cost to the federal government </w:t>
      </w:r>
      <w:r w:rsidR="00291A3A" w:rsidRPr="00F66735">
        <w:t>has also in</w:t>
      </w:r>
      <w:r w:rsidRPr="00F66735">
        <w:t xml:space="preserve">creased </w:t>
      </w:r>
      <w:r w:rsidR="00291A3A" w:rsidRPr="00F66735">
        <w:t>(+$277,779</w:t>
      </w:r>
      <w:r w:rsidR="00095259" w:rsidRPr="00F66735">
        <w:t xml:space="preserve">) due to </w:t>
      </w:r>
      <w:r w:rsidR="00E4344F" w:rsidRPr="00F66735">
        <w:t xml:space="preserve">the </w:t>
      </w:r>
      <w:r w:rsidR="0068218F" w:rsidRPr="00F66735">
        <w:t xml:space="preserve">addition of a 0.5 FTE Epidemiologist per EIP site for </w:t>
      </w:r>
      <w:r w:rsidR="00291A3A" w:rsidRPr="00F66735">
        <w:t>survey activities</w:t>
      </w:r>
      <w:r w:rsidR="0068218F" w:rsidRPr="00F66735">
        <w:t xml:space="preserve"> such as data validation</w:t>
      </w:r>
      <w:r w:rsidR="00291A3A" w:rsidRPr="00F66735">
        <w:t xml:space="preserve">, the addition of a 0.25 FTE CDC Data Analyst and </w:t>
      </w:r>
      <w:r w:rsidR="0068218F" w:rsidRPr="00F66735">
        <w:t xml:space="preserve">a </w:t>
      </w:r>
      <w:r w:rsidR="00291A3A" w:rsidRPr="00F66735">
        <w:t>0.05 FTE CDC Statistician</w:t>
      </w:r>
      <w:r w:rsidR="0068218F" w:rsidRPr="00F66735">
        <w:t xml:space="preserve"> </w:t>
      </w:r>
      <w:r w:rsidR="00291A3A" w:rsidRPr="00F66735">
        <w:t>for internal operations</w:t>
      </w:r>
      <w:r w:rsidR="0068218F" w:rsidRPr="00F66735">
        <w:t xml:space="preserve"> and guidance</w:t>
      </w:r>
      <w:r w:rsidR="00291A3A" w:rsidRPr="00F66735">
        <w:t xml:space="preserve">, </w:t>
      </w:r>
      <w:r w:rsidR="0064451F" w:rsidRPr="00F66735">
        <w:t>and other changes in salary estimates</w:t>
      </w:r>
      <w:r w:rsidR="00291A3A" w:rsidRPr="00F66735">
        <w:t xml:space="preserve"> for CDC </w:t>
      </w:r>
      <w:r w:rsidR="005533F1" w:rsidRPr="00F66735">
        <w:t>staff</w:t>
      </w:r>
      <w:r w:rsidR="00E4344F" w:rsidRPr="00F66735">
        <w:t xml:space="preserve">. </w:t>
      </w:r>
      <w:r w:rsidRPr="00F66735">
        <w:t xml:space="preserve"> </w:t>
      </w:r>
    </w:p>
    <w:p w14:paraId="65815304" w14:textId="4AF98269" w:rsidR="00EA7F7D" w:rsidRPr="00F66735" w:rsidRDefault="00EA7F7D" w:rsidP="002F5670"/>
    <w:p w14:paraId="2D5ABF02" w14:textId="77777777" w:rsidR="00835EBC" w:rsidRPr="00F66735" w:rsidRDefault="005533F1" w:rsidP="00EA7F7D">
      <w:r w:rsidRPr="00F66735">
        <w:t>Non-substantive changes</w:t>
      </w:r>
      <w:r w:rsidR="00EA7F7D" w:rsidRPr="00F66735">
        <w:t xml:space="preserve"> to the Healthcare Facility Assessment (HFA, Attachment C) form include the following: </w:t>
      </w:r>
    </w:p>
    <w:p w14:paraId="0D5E818D" w14:textId="77777777" w:rsidR="00835EBC" w:rsidRPr="00F66735" w:rsidRDefault="00835EBC" w:rsidP="00835EBC">
      <w:pPr>
        <w:numPr>
          <w:ilvl w:val="0"/>
          <w:numId w:val="37"/>
        </w:numPr>
      </w:pPr>
      <w:r w:rsidRPr="00F66735">
        <w:t>Formatting/</w:t>
      </w:r>
      <w:r w:rsidR="00A93A38" w:rsidRPr="00F66735">
        <w:t xml:space="preserve">general </w:t>
      </w:r>
      <w:r w:rsidRPr="00F66735">
        <w:t xml:space="preserve">appearance of the form was updated; </w:t>
      </w:r>
    </w:p>
    <w:p w14:paraId="7D9CBF2F" w14:textId="77777777" w:rsidR="00835EBC" w:rsidRPr="00F66735" w:rsidRDefault="00EA7F7D" w:rsidP="00835EBC">
      <w:pPr>
        <w:numPr>
          <w:ilvl w:val="0"/>
          <w:numId w:val="37"/>
        </w:numPr>
      </w:pPr>
      <w:r w:rsidRPr="00F66735">
        <w:t xml:space="preserve">General instructions were removed from </w:t>
      </w:r>
      <w:r w:rsidR="00835EBC" w:rsidRPr="00F66735">
        <w:t xml:space="preserve">pg. 1 of </w:t>
      </w:r>
      <w:r w:rsidRPr="00F66735">
        <w:t xml:space="preserve">the form and added to a separate instructions document (Attachment J); </w:t>
      </w:r>
    </w:p>
    <w:p w14:paraId="015F5A6D" w14:textId="77777777" w:rsidR="00835EBC" w:rsidRPr="00F66735" w:rsidRDefault="00EA7F7D" w:rsidP="00835EBC">
      <w:pPr>
        <w:numPr>
          <w:ilvl w:val="0"/>
          <w:numId w:val="37"/>
        </w:numPr>
      </w:pPr>
      <w:r w:rsidRPr="00F66735">
        <w:t xml:space="preserve">Section titles were reworded for simplification and to improve clarity; </w:t>
      </w:r>
    </w:p>
    <w:p w14:paraId="421CADE3" w14:textId="77777777" w:rsidR="00835EBC" w:rsidRPr="00F66735" w:rsidRDefault="00A93A38" w:rsidP="00835EBC">
      <w:pPr>
        <w:numPr>
          <w:ilvl w:val="0"/>
          <w:numId w:val="37"/>
        </w:numPr>
      </w:pPr>
      <w:r w:rsidRPr="00F66735">
        <w:t>Sub-q</w:t>
      </w:r>
      <w:r w:rsidR="00EA7F7D" w:rsidRPr="00F66735">
        <w:t xml:space="preserve">uestions on the total number of annual discharges, patient rooms, single patient rooms, intensive care unit beds, and the average daily acute care census were removed from </w:t>
      </w:r>
      <w:r w:rsidR="00835EBC" w:rsidRPr="00F66735">
        <w:rPr>
          <w:i/>
        </w:rPr>
        <w:t>Question #</w:t>
      </w:r>
      <w:r w:rsidR="00EA7F7D" w:rsidRPr="00F66735">
        <w:rPr>
          <w:i/>
        </w:rPr>
        <w:t>3</w:t>
      </w:r>
      <w:r w:rsidR="00EA7F7D" w:rsidRPr="00F66735">
        <w:t xml:space="preserve"> </w:t>
      </w:r>
      <w:r w:rsidR="00835EBC" w:rsidRPr="00F66735">
        <w:t>as data</w:t>
      </w:r>
      <w:r w:rsidR="005F2A3D" w:rsidRPr="00F66735">
        <w:t xml:space="preserve"> collection is no longer needed </w:t>
      </w:r>
      <w:r w:rsidR="00835EBC" w:rsidRPr="00F66735">
        <w:t>for analyses</w:t>
      </w:r>
      <w:r w:rsidR="00EA7F7D" w:rsidRPr="00F66735">
        <w:t xml:space="preserve">; </w:t>
      </w:r>
    </w:p>
    <w:p w14:paraId="6147B056" w14:textId="77777777" w:rsidR="00835EBC" w:rsidRPr="00F66735" w:rsidRDefault="00835EBC" w:rsidP="00835EBC">
      <w:pPr>
        <w:numPr>
          <w:ilvl w:val="0"/>
          <w:numId w:val="37"/>
        </w:numPr>
      </w:pPr>
      <w:r w:rsidRPr="00F66735">
        <w:rPr>
          <w:i/>
        </w:rPr>
        <w:t>Question #</w:t>
      </w:r>
      <w:r w:rsidR="00EA7F7D" w:rsidRPr="00F66735">
        <w:rPr>
          <w:i/>
        </w:rPr>
        <w:t xml:space="preserve">3 </w:t>
      </w:r>
      <w:r w:rsidR="00EA7F7D" w:rsidRPr="00F66735">
        <w:t xml:space="preserve">responses and format for “Number” were adjusted </w:t>
      </w:r>
      <w:r w:rsidRPr="00F66735">
        <w:t xml:space="preserve">to provide additional options; </w:t>
      </w:r>
    </w:p>
    <w:p w14:paraId="1644B481" w14:textId="77777777" w:rsidR="00835EBC" w:rsidRPr="00F66735" w:rsidRDefault="00835EBC" w:rsidP="00835EBC">
      <w:pPr>
        <w:numPr>
          <w:ilvl w:val="0"/>
          <w:numId w:val="37"/>
        </w:numPr>
      </w:pPr>
      <w:r w:rsidRPr="00F66735">
        <w:rPr>
          <w:i/>
        </w:rPr>
        <w:t>Question #</w:t>
      </w:r>
      <w:r w:rsidR="00EA7F7D" w:rsidRPr="00F66735">
        <w:rPr>
          <w:i/>
        </w:rPr>
        <w:t xml:space="preserve">3 </w:t>
      </w:r>
      <w:r w:rsidR="00EA7F7D" w:rsidRPr="00F66735">
        <w:t>response options for “What year are data from?” were adjusted to reflect data collection in 2020;</w:t>
      </w:r>
    </w:p>
    <w:p w14:paraId="64CD637F" w14:textId="77777777" w:rsidR="00835EBC" w:rsidRPr="00F66735" w:rsidRDefault="00835EBC" w:rsidP="00835EBC">
      <w:pPr>
        <w:numPr>
          <w:ilvl w:val="0"/>
          <w:numId w:val="37"/>
        </w:numPr>
      </w:pPr>
      <w:r w:rsidRPr="00F66735">
        <w:rPr>
          <w:i/>
        </w:rPr>
        <w:t>Question #</w:t>
      </w:r>
      <w:r w:rsidR="00EA7F7D" w:rsidRPr="00F66735">
        <w:rPr>
          <w:i/>
        </w:rPr>
        <w:t xml:space="preserve">3 </w:t>
      </w:r>
      <w:r w:rsidR="00EA7F7D" w:rsidRPr="00F66735">
        <w:t xml:space="preserve">instructions for how to calculate the number of full-time equivalent infection preventionists, hospital epidemiologists, and interns/residents were adjusted to provide more specific calculation examples; </w:t>
      </w:r>
    </w:p>
    <w:p w14:paraId="366EE68A" w14:textId="77777777" w:rsidR="00835EBC" w:rsidRPr="00F66735" w:rsidRDefault="00835EBC" w:rsidP="00835EBC">
      <w:pPr>
        <w:numPr>
          <w:ilvl w:val="0"/>
          <w:numId w:val="37"/>
        </w:numPr>
      </w:pPr>
      <w:r w:rsidRPr="00F66735">
        <w:t>Individual q</w:t>
      </w:r>
      <w:r w:rsidR="00EA7F7D" w:rsidRPr="00F66735">
        <w:t>uestions on the “Number of Interns/Residents” and “Official Intern/Residen</w:t>
      </w:r>
      <w:r w:rsidRPr="00F66735">
        <w:t>t to Bed Ratio (IRB)” were removed and added</w:t>
      </w:r>
      <w:r w:rsidR="00A93A38" w:rsidRPr="00F66735">
        <w:t xml:space="preserve"> as sub-questions</w:t>
      </w:r>
      <w:r w:rsidR="006C5990" w:rsidRPr="00F66735">
        <w:t xml:space="preserve"> to </w:t>
      </w:r>
      <w:r w:rsidR="006C5990" w:rsidRPr="00F66735">
        <w:rPr>
          <w:i/>
        </w:rPr>
        <w:t>Question #</w:t>
      </w:r>
      <w:r w:rsidR="00EA7F7D" w:rsidRPr="00F66735">
        <w:rPr>
          <w:i/>
        </w:rPr>
        <w:t>3</w:t>
      </w:r>
      <w:r w:rsidR="00EA7F7D" w:rsidRPr="00F66735">
        <w:t xml:space="preserve"> to better organize questions of similar response type; response options for these questions were also simplified to improve collection; </w:t>
      </w:r>
    </w:p>
    <w:p w14:paraId="578F0915" w14:textId="77777777" w:rsidR="00835EBC" w:rsidRPr="00F66735" w:rsidRDefault="00EA7F7D" w:rsidP="00835EBC">
      <w:pPr>
        <w:numPr>
          <w:ilvl w:val="0"/>
          <w:numId w:val="37"/>
        </w:numPr>
      </w:pPr>
      <w:r w:rsidRPr="00F66735">
        <w:t>A new question on the “Average Registered Nurse (RN) to Patient Ratio” was added</w:t>
      </w:r>
      <w:r w:rsidR="00835EBC" w:rsidRPr="00F66735">
        <w:t xml:space="preserve"> (</w:t>
      </w:r>
      <w:r w:rsidR="006C5990" w:rsidRPr="00F66735">
        <w:rPr>
          <w:i/>
        </w:rPr>
        <w:t>Question #4</w:t>
      </w:r>
      <w:r w:rsidR="00835EBC" w:rsidRPr="00F66735">
        <w:t>)</w:t>
      </w:r>
      <w:r w:rsidRPr="00F66735">
        <w:t xml:space="preserve"> to better capture and identify areas where staffing could impact quality of patient care;</w:t>
      </w:r>
    </w:p>
    <w:p w14:paraId="255C5960" w14:textId="44844D56" w:rsidR="00835EBC" w:rsidRPr="00F66735" w:rsidRDefault="006C5990" w:rsidP="00835EBC">
      <w:pPr>
        <w:numPr>
          <w:ilvl w:val="0"/>
          <w:numId w:val="37"/>
        </w:numPr>
      </w:pPr>
      <w:r w:rsidRPr="00F66735">
        <w:rPr>
          <w:i/>
        </w:rPr>
        <w:t>Question #</w:t>
      </w:r>
      <w:r w:rsidR="00EA7F7D" w:rsidRPr="00F66735">
        <w:rPr>
          <w:i/>
        </w:rPr>
        <w:t>6</w:t>
      </w:r>
      <w:r w:rsidR="00357829" w:rsidRPr="00F66735">
        <w:t xml:space="preserve"> was renumbered</w:t>
      </w:r>
      <w:r w:rsidR="00835EBC" w:rsidRPr="00F66735">
        <w:t xml:space="preserve"> as</w:t>
      </w:r>
      <w:r w:rsidR="00EA7F7D" w:rsidRPr="00F66735">
        <w:t xml:space="preserve"> </w:t>
      </w:r>
      <w:r w:rsidR="00EA7F7D" w:rsidRPr="00F66735">
        <w:rPr>
          <w:i/>
        </w:rPr>
        <w:t>Q</w:t>
      </w:r>
      <w:r w:rsidR="005F2A3D" w:rsidRPr="00F66735">
        <w:rPr>
          <w:i/>
        </w:rPr>
        <w:t>uestion #</w:t>
      </w:r>
      <w:r w:rsidR="00EA7F7D" w:rsidRPr="00F66735">
        <w:rPr>
          <w:i/>
        </w:rPr>
        <w:t>5</w:t>
      </w:r>
      <w:r w:rsidR="00EA7F7D" w:rsidRPr="00F66735">
        <w:t xml:space="preserve"> and reworded to improve question clarity; </w:t>
      </w:r>
    </w:p>
    <w:p w14:paraId="62DD7D2F" w14:textId="77777777" w:rsidR="00835EBC" w:rsidRPr="00F66735" w:rsidRDefault="006C5990" w:rsidP="00835EBC">
      <w:pPr>
        <w:numPr>
          <w:ilvl w:val="0"/>
          <w:numId w:val="37"/>
        </w:numPr>
      </w:pPr>
      <w:r w:rsidRPr="00F66735">
        <w:t xml:space="preserve">Response options for </w:t>
      </w:r>
      <w:r w:rsidRPr="00F66735">
        <w:rPr>
          <w:i/>
        </w:rPr>
        <w:t>Questions #</w:t>
      </w:r>
      <w:r w:rsidR="00835EBC" w:rsidRPr="00F66735">
        <w:rPr>
          <w:i/>
        </w:rPr>
        <w:t>7</w:t>
      </w:r>
      <w:r w:rsidR="00A93A38" w:rsidRPr="00F66735">
        <w:rPr>
          <w:i/>
        </w:rPr>
        <w:t xml:space="preserve"> </w:t>
      </w:r>
      <w:r w:rsidR="00A93A38" w:rsidRPr="00F66735">
        <w:t>and</w:t>
      </w:r>
      <w:r w:rsidR="00835EBC" w:rsidRPr="00F66735">
        <w:rPr>
          <w:i/>
        </w:rPr>
        <w:t xml:space="preserve"> </w:t>
      </w:r>
      <w:r w:rsidRPr="00F66735">
        <w:rPr>
          <w:i/>
        </w:rPr>
        <w:t>#</w:t>
      </w:r>
      <w:r w:rsidR="00835EBC" w:rsidRPr="00F66735">
        <w:rPr>
          <w:i/>
        </w:rPr>
        <w:t xml:space="preserve">26 </w:t>
      </w:r>
      <w:r w:rsidR="00835EBC" w:rsidRPr="00F66735">
        <w:t>were changed from text descriptions to numeric;</w:t>
      </w:r>
    </w:p>
    <w:p w14:paraId="66184E96" w14:textId="77777777" w:rsidR="00835EBC" w:rsidRPr="00F66735" w:rsidRDefault="006C5990" w:rsidP="00835EBC">
      <w:pPr>
        <w:numPr>
          <w:ilvl w:val="0"/>
          <w:numId w:val="37"/>
        </w:numPr>
        <w:rPr>
          <w:i/>
        </w:rPr>
      </w:pPr>
      <w:r w:rsidRPr="00F66735">
        <w:rPr>
          <w:i/>
        </w:rPr>
        <w:t xml:space="preserve">Unknown </w:t>
      </w:r>
      <w:r w:rsidRPr="00F66735">
        <w:t xml:space="preserve">was added as a response option to </w:t>
      </w:r>
      <w:r w:rsidRPr="00F66735">
        <w:rPr>
          <w:i/>
        </w:rPr>
        <w:t>Questions #12, #13, #14, #16 and #29</w:t>
      </w:r>
      <w:r w:rsidRPr="00F66735">
        <w:t>;</w:t>
      </w:r>
    </w:p>
    <w:p w14:paraId="4D8BBA84" w14:textId="77777777" w:rsidR="006C5990" w:rsidRPr="00F66735" w:rsidRDefault="006C5990" w:rsidP="00835EBC">
      <w:pPr>
        <w:numPr>
          <w:ilvl w:val="0"/>
          <w:numId w:val="37"/>
        </w:numPr>
        <w:rPr>
          <w:i/>
        </w:rPr>
      </w:pPr>
      <w:r w:rsidRPr="00F66735">
        <w:rPr>
          <w:i/>
        </w:rPr>
        <w:t>Clostridium difficile</w:t>
      </w:r>
      <w:r w:rsidRPr="00F66735">
        <w:t xml:space="preserve"> was changed to </w:t>
      </w:r>
      <w:r w:rsidRPr="00F66735">
        <w:rPr>
          <w:i/>
        </w:rPr>
        <w:t>Clostridioides difficile</w:t>
      </w:r>
      <w:r w:rsidRPr="00F66735">
        <w:t xml:space="preserve"> in relevant questions to reflect the official change in genus;</w:t>
      </w:r>
    </w:p>
    <w:p w14:paraId="047F349F" w14:textId="77777777" w:rsidR="00835EBC" w:rsidRPr="00F66735" w:rsidRDefault="00EA7F7D" w:rsidP="00835EBC">
      <w:pPr>
        <w:numPr>
          <w:ilvl w:val="0"/>
          <w:numId w:val="37"/>
        </w:numPr>
      </w:pPr>
      <w:r w:rsidRPr="00F66735">
        <w:t>A new question</w:t>
      </w:r>
      <w:r w:rsidR="006C5990" w:rsidRPr="00F66735">
        <w:t xml:space="preserve"> (</w:t>
      </w:r>
      <w:r w:rsidR="006C5990" w:rsidRPr="00F66735">
        <w:rPr>
          <w:i/>
        </w:rPr>
        <w:t>Question #17</w:t>
      </w:r>
      <w:r w:rsidR="006C5990" w:rsidRPr="00F66735">
        <w:t>)</w:t>
      </w:r>
      <w:r w:rsidRPr="00F66735">
        <w:t xml:space="preserve"> on “Primary Testing Method for </w:t>
      </w:r>
      <w:r w:rsidR="006C5990" w:rsidRPr="00F66735">
        <w:rPr>
          <w:i/>
        </w:rPr>
        <w:t>Clostridioides difficile</w:t>
      </w:r>
      <w:r w:rsidR="006C5990" w:rsidRPr="00F66735">
        <w:t xml:space="preserve"> (</w:t>
      </w:r>
      <w:r w:rsidRPr="00F66735">
        <w:rPr>
          <w:i/>
        </w:rPr>
        <w:t>C. difficile</w:t>
      </w:r>
      <w:r w:rsidR="006C5990" w:rsidRPr="00F66735">
        <w:rPr>
          <w:i/>
        </w:rPr>
        <w:t>)</w:t>
      </w:r>
      <w:r w:rsidRPr="00F66735">
        <w:t xml:space="preserve">” was added to complement data collected on </w:t>
      </w:r>
      <w:r w:rsidRPr="00F66735">
        <w:rPr>
          <w:i/>
        </w:rPr>
        <w:t>C. difficile</w:t>
      </w:r>
      <w:r w:rsidRPr="00F66735">
        <w:t xml:space="preserve"> infection control practices</w:t>
      </w:r>
      <w:r w:rsidR="00696804" w:rsidRPr="00F66735">
        <w:t xml:space="preserve"> </w:t>
      </w:r>
      <w:r w:rsidRPr="00F66735">
        <w:t xml:space="preserve">and to better understand the changes in </w:t>
      </w:r>
      <w:r w:rsidRPr="00F66735">
        <w:rPr>
          <w:i/>
        </w:rPr>
        <w:t>C. difficile</w:t>
      </w:r>
      <w:r w:rsidRPr="00F66735">
        <w:t xml:space="preserve"> prevalence; </w:t>
      </w:r>
    </w:p>
    <w:p w14:paraId="1F1262FF" w14:textId="77777777" w:rsidR="00134460" w:rsidRPr="00F66735" w:rsidRDefault="00134460" w:rsidP="00835EBC">
      <w:pPr>
        <w:numPr>
          <w:ilvl w:val="0"/>
          <w:numId w:val="37"/>
        </w:numPr>
      </w:pPr>
      <w:r w:rsidRPr="00F66735">
        <w:rPr>
          <w:i/>
        </w:rPr>
        <w:t>Other (specify)</w:t>
      </w:r>
      <w:r w:rsidRPr="00F66735">
        <w:t xml:space="preserve"> was added as a response option to </w:t>
      </w:r>
      <w:r w:rsidRPr="00F66735">
        <w:rPr>
          <w:i/>
        </w:rPr>
        <w:t>Question</w:t>
      </w:r>
      <w:r w:rsidR="0050729C" w:rsidRPr="00F66735">
        <w:rPr>
          <w:i/>
        </w:rPr>
        <w:t>s</w:t>
      </w:r>
      <w:r w:rsidRPr="00F66735">
        <w:rPr>
          <w:i/>
        </w:rPr>
        <w:t xml:space="preserve"> #18</w:t>
      </w:r>
      <w:r w:rsidR="0050729C" w:rsidRPr="00F66735">
        <w:rPr>
          <w:i/>
        </w:rPr>
        <w:t xml:space="preserve"> </w:t>
      </w:r>
      <w:r w:rsidR="0050729C" w:rsidRPr="00F66735">
        <w:t>and</w:t>
      </w:r>
      <w:r w:rsidR="0050729C" w:rsidRPr="00F66735">
        <w:rPr>
          <w:i/>
        </w:rPr>
        <w:t xml:space="preserve"> #32</w:t>
      </w:r>
      <w:r w:rsidRPr="00F66735">
        <w:t xml:space="preserve"> </w:t>
      </w:r>
      <w:r w:rsidR="009A6F42" w:rsidRPr="00F66735">
        <w:t>to improve consistency of data collection;</w:t>
      </w:r>
    </w:p>
    <w:p w14:paraId="1F6CA30F" w14:textId="77777777" w:rsidR="00835EBC" w:rsidRPr="00F66735" w:rsidRDefault="009A6F42" w:rsidP="00835EBC">
      <w:pPr>
        <w:numPr>
          <w:ilvl w:val="0"/>
          <w:numId w:val="37"/>
        </w:numPr>
      </w:pPr>
      <w:r w:rsidRPr="00F66735">
        <w:t xml:space="preserve">Sub-questions in </w:t>
      </w:r>
      <w:r w:rsidRPr="00F66735">
        <w:rPr>
          <w:i/>
        </w:rPr>
        <w:t>Question #</w:t>
      </w:r>
      <w:r w:rsidR="00EA7F7D" w:rsidRPr="00F66735">
        <w:rPr>
          <w:i/>
        </w:rPr>
        <w:t xml:space="preserve">29 </w:t>
      </w:r>
      <w:r w:rsidRPr="00F66735">
        <w:t>were adjusted to</w:t>
      </w:r>
      <w:r w:rsidR="00A93A38" w:rsidRPr="00F66735">
        <w:t xml:space="preserve"> better</w:t>
      </w:r>
      <w:r w:rsidRPr="00F66735">
        <w:t xml:space="preserve"> </w:t>
      </w:r>
      <w:r w:rsidR="00EA7F7D" w:rsidRPr="00F66735">
        <w:t>capture the implementation of CDC’s recommendations on Core Elements of Hospi</w:t>
      </w:r>
      <w:r w:rsidR="00835EBC" w:rsidRPr="00F66735">
        <w:t xml:space="preserve">tal Antibiotic Stewardship; </w:t>
      </w:r>
    </w:p>
    <w:p w14:paraId="25B848CC" w14:textId="36DECA96" w:rsidR="0050729C" w:rsidRPr="00F66735" w:rsidRDefault="0050729C" w:rsidP="00835EBC">
      <w:pPr>
        <w:numPr>
          <w:ilvl w:val="0"/>
          <w:numId w:val="37"/>
        </w:numPr>
      </w:pPr>
      <w:r w:rsidRPr="00F66735">
        <w:rPr>
          <w:i/>
        </w:rPr>
        <w:t>Unknown</w:t>
      </w:r>
      <w:r w:rsidR="00EB3C34" w:rsidRPr="00F66735">
        <w:t xml:space="preserve"> was removed as a response</w:t>
      </w:r>
      <w:r w:rsidRPr="00F66735">
        <w:t xml:space="preserve"> option from </w:t>
      </w:r>
      <w:r w:rsidRPr="00F66735">
        <w:rPr>
          <w:i/>
        </w:rPr>
        <w:t>Questions #32</w:t>
      </w:r>
      <w:r w:rsidRPr="00F66735">
        <w:t xml:space="preserve"> and </w:t>
      </w:r>
      <w:r w:rsidRPr="00F66735">
        <w:rPr>
          <w:i/>
        </w:rPr>
        <w:t>#33</w:t>
      </w:r>
      <w:r w:rsidRPr="00F66735">
        <w:t xml:space="preserve"> to improve consistency of data collection;</w:t>
      </w:r>
    </w:p>
    <w:p w14:paraId="29CD857D" w14:textId="77777777" w:rsidR="003278B4" w:rsidRPr="00F66735" w:rsidRDefault="00EA7F7D" w:rsidP="00835EBC">
      <w:pPr>
        <w:numPr>
          <w:ilvl w:val="0"/>
          <w:numId w:val="37"/>
        </w:numPr>
      </w:pPr>
      <w:r w:rsidRPr="00F66735">
        <w:t xml:space="preserve">The NHSN’s Standardized Antimicrobial Administration Ratio (SAAR) was added as a response option in </w:t>
      </w:r>
      <w:r w:rsidR="003278B4" w:rsidRPr="00F66735">
        <w:rPr>
          <w:i/>
        </w:rPr>
        <w:t>Question #</w:t>
      </w:r>
      <w:r w:rsidRPr="00F66735">
        <w:rPr>
          <w:i/>
        </w:rPr>
        <w:t>33</w:t>
      </w:r>
      <w:r w:rsidRPr="00F66735">
        <w:t xml:space="preserve"> to capture data on facilities using the SAAR to monitor antimicrobial consumption. </w:t>
      </w:r>
    </w:p>
    <w:p w14:paraId="4C86DBE9" w14:textId="77777777" w:rsidR="00EA7F7D" w:rsidRPr="00F66735" w:rsidRDefault="00EA7F7D" w:rsidP="00EA7F7D"/>
    <w:p w14:paraId="6CAF48C4" w14:textId="77777777" w:rsidR="00EA7F7D" w:rsidRPr="00F66735" w:rsidRDefault="00EA7F7D" w:rsidP="00EA7F7D">
      <w:r w:rsidRPr="00F66735">
        <w:t xml:space="preserve">These changes were based on experience </w:t>
      </w:r>
      <w:r w:rsidR="00A93A38" w:rsidRPr="00F66735">
        <w:t xml:space="preserve">conducting prior surveys, </w:t>
      </w:r>
      <w:r w:rsidRPr="00F66735">
        <w:t>findings highlighted in recent research [2-5]</w:t>
      </w:r>
      <w:r w:rsidR="00A93A38" w:rsidRPr="00F66735">
        <w:t>, and a need to improve clarity and enhance guidance for hospital staff</w:t>
      </w:r>
      <w:r w:rsidRPr="00F66735">
        <w:t>. All changes were discussed with and approve</w:t>
      </w:r>
      <w:r w:rsidR="00A93A38" w:rsidRPr="00F66735">
        <w:t xml:space="preserve">d by EIP site partners. There is no change in the total number of questions proposed. </w:t>
      </w:r>
      <w:r w:rsidRPr="00F66735">
        <w:t xml:space="preserve">As a result, these changes are not expected to increase </w:t>
      </w:r>
      <w:r w:rsidR="00A93A38" w:rsidRPr="00F66735">
        <w:t xml:space="preserve">public </w:t>
      </w:r>
      <w:r w:rsidRPr="00F66735">
        <w:t xml:space="preserve">reporting burden for hospital staff. </w:t>
      </w:r>
    </w:p>
    <w:p w14:paraId="47AA1D65" w14:textId="40D5D1E9" w:rsidR="004C4D67" w:rsidRPr="00F66735" w:rsidRDefault="004C4D67" w:rsidP="00EA7F7D"/>
    <w:p w14:paraId="6DFC770E" w14:textId="5A1DE369" w:rsidR="00A93A38" w:rsidRPr="00F66735" w:rsidRDefault="005533F1" w:rsidP="00EA7F7D">
      <w:r w:rsidRPr="00F66735">
        <w:t>Non-substantive changes</w:t>
      </w:r>
      <w:r w:rsidR="00EA7F7D" w:rsidRPr="00F66735">
        <w:t xml:space="preserve"> to the Patient Information Form (PIF, Attachment D) include the following: </w:t>
      </w:r>
    </w:p>
    <w:p w14:paraId="09703F63" w14:textId="77777777" w:rsidR="00125B72" w:rsidRPr="00F66735" w:rsidRDefault="00125B72" w:rsidP="00125B72">
      <w:pPr>
        <w:numPr>
          <w:ilvl w:val="0"/>
          <w:numId w:val="39"/>
        </w:numPr>
      </w:pPr>
      <w:r w:rsidRPr="00F66735">
        <w:t xml:space="preserve">Formatting/general appearance of the form was updated; </w:t>
      </w:r>
    </w:p>
    <w:p w14:paraId="323C70A3" w14:textId="77777777" w:rsidR="00A93A38" w:rsidRPr="00F66735" w:rsidRDefault="00EA7F7D" w:rsidP="00125B72">
      <w:pPr>
        <w:numPr>
          <w:ilvl w:val="0"/>
          <w:numId w:val="39"/>
        </w:numPr>
      </w:pPr>
      <w:r w:rsidRPr="00F66735">
        <w:t xml:space="preserve">In </w:t>
      </w:r>
      <w:r w:rsidRPr="00F66735">
        <w:rPr>
          <w:i/>
        </w:rPr>
        <w:t>Section II</w:t>
      </w:r>
      <w:r w:rsidRPr="00F66735">
        <w:t xml:space="preserve">, an example of the requested format for “Admission Date” was added to provide more specific instruction; </w:t>
      </w:r>
    </w:p>
    <w:p w14:paraId="53B9F57B" w14:textId="77777777" w:rsidR="00A93A38" w:rsidRPr="00F66735" w:rsidRDefault="00EA7F7D" w:rsidP="00125B72">
      <w:pPr>
        <w:numPr>
          <w:ilvl w:val="0"/>
          <w:numId w:val="39"/>
        </w:numPr>
      </w:pPr>
      <w:r w:rsidRPr="00F66735">
        <w:t xml:space="preserve">In </w:t>
      </w:r>
      <w:r w:rsidRPr="00F66735">
        <w:rPr>
          <w:i/>
        </w:rPr>
        <w:t>Section II</w:t>
      </w:r>
      <w:r w:rsidRPr="00F66735">
        <w:t xml:space="preserve">, a question on “Gender” was reworded to ask for “Sex at birth”; </w:t>
      </w:r>
    </w:p>
    <w:p w14:paraId="3CF2F32B" w14:textId="77777777" w:rsidR="002705A2" w:rsidRPr="00F66735" w:rsidRDefault="00EA7F7D" w:rsidP="00125B72">
      <w:pPr>
        <w:numPr>
          <w:ilvl w:val="0"/>
          <w:numId w:val="39"/>
        </w:numPr>
      </w:pPr>
      <w:r w:rsidRPr="00F66735">
        <w:t xml:space="preserve">In </w:t>
      </w:r>
      <w:r w:rsidRPr="00F66735">
        <w:rPr>
          <w:i/>
        </w:rPr>
        <w:t>Section III</w:t>
      </w:r>
      <w:r w:rsidRPr="00F66735">
        <w:t>, “BMI” was adjusted to be completed only if “Weight</w:t>
      </w:r>
      <w:r w:rsidR="00125B72" w:rsidRPr="00F66735">
        <w:t xml:space="preserve">” or “Height” are unavailable; </w:t>
      </w:r>
      <w:r w:rsidR="00125B72" w:rsidRPr="00F66735">
        <w:rPr>
          <w:i/>
        </w:rPr>
        <w:t>NA</w:t>
      </w:r>
      <w:r w:rsidRPr="00F66735">
        <w:t xml:space="preserve"> was also added as a response since this question is now optional;</w:t>
      </w:r>
    </w:p>
    <w:p w14:paraId="200B487A" w14:textId="405FE6CD" w:rsidR="00A93A38" w:rsidRPr="00F66735" w:rsidRDefault="00EA7F7D" w:rsidP="002705A2">
      <w:pPr>
        <w:numPr>
          <w:ilvl w:val="0"/>
          <w:numId w:val="39"/>
        </w:numPr>
      </w:pPr>
      <w:r w:rsidRPr="00F66735">
        <w:t xml:space="preserve"> </w:t>
      </w:r>
      <w:r w:rsidR="002705A2" w:rsidRPr="00F66735">
        <w:t xml:space="preserve">In </w:t>
      </w:r>
      <w:r w:rsidR="002705A2" w:rsidRPr="00F66735">
        <w:rPr>
          <w:i/>
        </w:rPr>
        <w:t>Section IV</w:t>
      </w:r>
      <w:r w:rsidR="002705A2" w:rsidRPr="00F66735">
        <w:t>, the section title was adjusted to “Devices and pressure injuries/ulcers present on the survey date”;</w:t>
      </w:r>
    </w:p>
    <w:p w14:paraId="6BE82D29" w14:textId="36B11A44" w:rsidR="00EA7F7D" w:rsidRPr="00F66735" w:rsidRDefault="00EA7F7D" w:rsidP="00125B72">
      <w:pPr>
        <w:numPr>
          <w:ilvl w:val="0"/>
          <w:numId w:val="39"/>
        </w:numPr>
      </w:pPr>
      <w:r w:rsidRPr="00F66735">
        <w:t xml:space="preserve">In </w:t>
      </w:r>
      <w:r w:rsidRPr="00F66735">
        <w:rPr>
          <w:i/>
        </w:rPr>
        <w:t>Section IV</w:t>
      </w:r>
      <w:r w:rsidRPr="00F66735">
        <w:t>, a new question, “Pressure Injury or</w:t>
      </w:r>
      <w:r w:rsidR="002705A2" w:rsidRPr="00F66735">
        <w:t xml:space="preserve"> Ulcer Present</w:t>
      </w:r>
      <w:r w:rsidRPr="00F66735">
        <w:t>?” with two sub-questions “Pressure Injury or Ulcer Present on Admission?” and “Stage of Pressure I</w:t>
      </w:r>
      <w:r w:rsidR="002705A2" w:rsidRPr="00F66735">
        <w:t>njury or Ulcer</w:t>
      </w:r>
      <w:r w:rsidRPr="00F66735">
        <w:t>” was added to better understand the prevalence and onset locations of pressure ulcers/injuries among inpatients in acute care hospitals. Moreover, the addition of this question was added following a request by the Organization for Economic Co-operation and Development (OECD) who has recently sought collaboration with CDC and ECDC to expand research efforts on pressure injuries/ulcers and to establish global metr</w:t>
      </w:r>
      <w:r w:rsidR="004C4D67" w:rsidRPr="00F66735">
        <w:t xml:space="preserve">ics for prevention initiatives </w:t>
      </w:r>
      <w:r w:rsidRPr="00F66735">
        <w:t>(</w:t>
      </w:r>
      <w:hyperlink r:id="rId36" w:history="1">
        <w:r w:rsidRPr="00F66735">
          <w:rPr>
            <w:rStyle w:val="Hyperlink"/>
          </w:rPr>
          <w:t>http://ewma.org/fileadmin/user_upload/EWMA.org/EWMA_and_EPUAP_added_values_to_OECD_efforts.pdf</w:t>
        </w:r>
      </w:hyperlink>
      <w:r w:rsidRPr="00F66735">
        <w:t xml:space="preserve">). </w:t>
      </w:r>
    </w:p>
    <w:p w14:paraId="45196A9E" w14:textId="77777777" w:rsidR="00EA7F7D" w:rsidRPr="00F66735" w:rsidRDefault="00EA7F7D" w:rsidP="00EA7F7D"/>
    <w:p w14:paraId="7B1BF873" w14:textId="77777777" w:rsidR="00EA7F7D" w:rsidRPr="00F66735" w:rsidRDefault="00EA7F7D" w:rsidP="00A93A38">
      <w:r w:rsidRPr="00F66735">
        <w:t xml:space="preserve">These changes were made to simplify data collection </w:t>
      </w:r>
      <w:r w:rsidR="00125B72" w:rsidRPr="00F66735">
        <w:t xml:space="preserve">for hospital staff </w:t>
      </w:r>
      <w:r w:rsidRPr="00F66735">
        <w:t xml:space="preserve">and to enhance the utility of data for future prevention initiatives. All changes were discussed with and approved by EIP site partners. </w:t>
      </w:r>
      <w:r w:rsidR="00A93A38" w:rsidRPr="00F66735">
        <w:t xml:space="preserve">There is </w:t>
      </w:r>
      <w:r w:rsidR="00125B72" w:rsidRPr="00F66735">
        <w:t xml:space="preserve">a net increase of one </w:t>
      </w:r>
      <w:r w:rsidR="00A93A38" w:rsidRPr="00F66735">
        <w:t>question</w:t>
      </w:r>
      <w:r w:rsidR="00125B72" w:rsidRPr="00F66735">
        <w:t xml:space="preserve"> (with two sub-questions)</w:t>
      </w:r>
      <w:r w:rsidR="00A93A38" w:rsidRPr="00F66735">
        <w:t xml:space="preserve"> proposed. As a result, these changes are not expected to increase public reporting burden for hospital staff.</w:t>
      </w:r>
    </w:p>
    <w:p w14:paraId="7B1757CC" w14:textId="77777777" w:rsidR="003F2B34" w:rsidRPr="00F66735" w:rsidRDefault="003F2B34" w:rsidP="002F5670">
      <w:pPr>
        <w:rPr>
          <w:b/>
        </w:rPr>
      </w:pPr>
    </w:p>
    <w:p w14:paraId="49902F69" w14:textId="77777777" w:rsidR="00952A9B" w:rsidRPr="00F66735" w:rsidRDefault="00AD36BD" w:rsidP="00061956">
      <w:pPr>
        <w:pStyle w:val="Heading1"/>
      </w:pPr>
      <w:bookmarkStart w:id="45" w:name="_Toc455558112"/>
      <w:r w:rsidRPr="00F66735">
        <w:t>Plans for Tabulation and Publication and Project Time Schedule</w:t>
      </w:r>
      <w:bookmarkEnd w:id="45"/>
      <w:r w:rsidR="008469B7" w:rsidRPr="00F66735">
        <w:t xml:space="preserve"> </w:t>
      </w:r>
    </w:p>
    <w:p w14:paraId="3B77A430" w14:textId="77777777" w:rsidR="00AA64C4" w:rsidRPr="00F66735" w:rsidRDefault="00AA64C4" w:rsidP="003F4EE5">
      <w:pPr>
        <w:outlineLvl w:val="0"/>
      </w:pPr>
    </w:p>
    <w:p w14:paraId="77E2A57E" w14:textId="7F20BF01" w:rsidR="00E4344F" w:rsidRPr="00F66735" w:rsidRDefault="004745CD" w:rsidP="00B13715">
      <w:pPr>
        <w:outlineLvl w:val="0"/>
      </w:pPr>
      <w:bookmarkStart w:id="46" w:name="_Toc455558113"/>
      <w:r w:rsidRPr="00F66735">
        <w:t>P</w:t>
      </w:r>
      <w:r w:rsidR="00F1020B" w:rsidRPr="00F66735">
        <w:t xml:space="preserve">atient-level </w:t>
      </w:r>
      <w:r w:rsidR="00F157D2" w:rsidRPr="00F66735">
        <w:t xml:space="preserve">and </w:t>
      </w:r>
      <w:r w:rsidR="00FF0126" w:rsidRPr="00F66735">
        <w:t>hospital-level survey dataset</w:t>
      </w:r>
      <w:r w:rsidR="00F157D2" w:rsidRPr="00F66735">
        <w:t>s</w:t>
      </w:r>
      <w:r w:rsidRPr="00F66735">
        <w:t>, containing the data elements described in previous</w:t>
      </w:r>
      <w:r w:rsidR="00E4344F" w:rsidRPr="00F66735">
        <w:t xml:space="preserve"> sections</w:t>
      </w:r>
      <w:r w:rsidR="00DC713A" w:rsidRPr="00F66735">
        <w:t xml:space="preserve"> and in the Attachments</w:t>
      </w:r>
      <w:r w:rsidRPr="00F66735">
        <w:t xml:space="preserve">, </w:t>
      </w:r>
      <w:r w:rsidR="00AA64C4" w:rsidRPr="00F66735">
        <w:t>will continue to be</w:t>
      </w:r>
      <w:r w:rsidR="00952A9B" w:rsidRPr="00F66735">
        <w:t xml:space="preserve"> </w:t>
      </w:r>
      <w:r w:rsidR="00F1020B" w:rsidRPr="00F66735">
        <w:t>maintained</w:t>
      </w:r>
      <w:r w:rsidR="00952A9B" w:rsidRPr="00F66735">
        <w:t xml:space="preserve"> at CDC. </w:t>
      </w:r>
      <w:r w:rsidR="00F1020B" w:rsidRPr="00F66735">
        <w:t>Th</w:t>
      </w:r>
      <w:r w:rsidR="00FF0126" w:rsidRPr="00F66735">
        <w:t>ese</w:t>
      </w:r>
      <w:r w:rsidR="00F1020B" w:rsidRPr="00F66735">
        <w:t xml:space="preserve"> dataset</w:t>
      </w:r>
      <w:r w:rsidR="00FF0126" w:rsidRPr="00F66735">
        <w:t>s</w:t>
      </w:r>
      <w:r w:rsidR="00F1020B" w:rsidRPr="00F66735">
        <w:t xml:space="preserve"> will be used to determine HAI </w:t>
      </w:r>
      <w:r w:rsidR="00F157D2" w:rsidRPr="00F66735">
        <w:t xml:space="preserve">and AU </w:t>
      </w:r>
      <w:r w:rsidR="00F1020B" w:rsidRPr="00F66735">
        <w:t>pr</w:t>
      </w:r>
      <w:r w:rsidR="00F157D2" w:rsidRPr="00F66735">
        <w:t xml:space="preserve">evalence, </w:t>
      </w:r>
      <w:r w:rsidR="00F1020B" w:rsidRPr="00F66735">
        <w:t xml:space="preserve">the </w:t>
      </w:r>
      <w:r w:rsidR="007124A6" w:rsidRPr="00F66735">
        <w:t xml:space="preserve">distribution of </w:t>
      </w:r>
      <w:r w:rsidR="00F1020B" w:rsidRPr="00F66735">
        <w:t>HAI</w:t>
      </w:r>
      <w:r w:rsidR="007124A6" w:rsidRPr="00F66735">
        <w:t xml:space="preserve"> t</w:t>
      </w:r>
      <w:r w:rsidR="00E4344F" w:rsidRPr="00F66735">
        <w:t>ypes and pathogens</w:t>
      </w:r>
      <w:r w:rsidR="000A24DA" w:rsidRPr="00F66735">
        <w:t xml:space="preserve">, and </w:t>
      </w:r>
      <w:r w:rsidR="00F1020B" w:rsidRPr="00F66735">
        <w:t xml:space="preserve">the distribution of types of </w:t>
      </w:r>
      <w:r w:rsidR="000A24DA" w:rsidRPr="00F66735">
        <w:t>antimicrobial</w:t>
      </w:r>
      <w:r w:rsidR="00F157D2" w:rsidRPr="00F66735">
        <w:t xml:space="preserve">s and rationale for </w:t>
      </w:r>
      <w:r w:rsidR="000A24DA" w:rsidRPr="00F66735">
        <w:t>use</w:t>
      </w:r>
      <w:r w:rsidR="00AA64C4" w:rsidRPr="00F66735">
        <w:t xml:space="preserve">. </w:t>
      </w:r>
      <w:r w:rsidR="00F157D2" w:rsidRPr="00F66735">
        <w:t xml:space="preserve">They will also be </w:t>
      </w:r>
      <w:r w:rsidR="00FF0126" w:rsidRPr="00F66735">
        <w:t xml:space="preserve">used to describe hospitals participating in the survey, </w:t>
      </w:r>
      <w:r w:rsidR="00F157D2" w:rsidRPr="00F66735">
        <w:t xml:space="preserve">to </w:t>
      </w:r>
      <w:r w:rsidR="00FF0126" w:rsidRPr="00F66735">
        <w:t>assess factors associated</w:t>
      </w:r>
      <w:r w:rsidR="00F157D2" w:rsidRPr="00F66735">
        <w:t xml:space="preserve"> with HAIs and AU</w:t>
      </w:r>
      <w:r w:rsidR="00FF0126" w:rsidRPr="00F66735">
        <w:t>,</w:t>
      </w:r>
      <w:r w:rsidR="00F157D2" w:rsidRPr="00F66735">
        <w:t xml:space="preserve"> and to describe antimicrobial </w:t>
      </w:r>
      <w:r w:rsidR="00FF0126" w:rsidRPr="00F66735">
        <w:t xml:space="preserve">prescribing quality. </w:t>
      </w:r>
    </w:p>
    <w:p w14:paraId="4CF3CDBB" w14:textId="77777777" w:rsidR="007A6601" w:rsidRPr="00F66735" w:rsidRDefault="007A6601" w:rsidP="00B13715">
      <w:pPr>
        <w:outlineLvl w:val="0"/>
        <w:rPr>
          <w:rStyle w:val="A0"/>
          <w:rFonts w:cs="Times New Roman"/>
          <w:sz w:val="24"/>
          <w:szCs w:val="24"/>
        </w:rPr>
      </w:pPr>
    </w:p>
    <w:p w14:paraId="40285B9F" w14:textId="77777777" w:rsidR="00B13715" w:rsidRPr="00F66735" w:rsidRDefault="00F157D2" w:rsidP="00B13715">
      <w:pPr>
        <w:outlineLvl w:val="0"/>
        <w:rPr>
          <w:rStyle w:val="A0"/>
          <w:rFonts w:cs="Times New Roman"/>
          <w:color w:val="auto"/>
          <w:sz w:val="24"/>
          <w:szCs w:val="24"/>
        </w:rPr>
      </w:pPr>
      <w:r w:rsidRPr="00F66735">
        <w:rPr>
          <w:rStyle w:val="A0"/>
          <w:rFonts w:cs="Times New Roman"/>
          <w:sz w:val="24"/>
          <w:szCs w:val="24"/>
        </w:rPr>
        <w:t xml:space="preserve">Categorical and continuous variables will be compared in patients with and without HAIs (and receiving and not receiving antimicrobials) using chi-square tests and Wilcoxon rank-sum or median tests, respectively. Associations between patient and facility-level characteristics and HAIs and </w:t>
      </w:r>
      <w:r w:rsidR="008C0350" w:rsidRPr="00F66735">
        <w:rPr>
          <w:rStyle w:val="A0"/>
          <w:rFonts w:cs="Times New Roman"/>
          <w:sz w:val="24"/>
          <w:szCs w:val="24"/>
        </w:rPr>
        <w:t>AU</w:t>
      </w:r>
      <w:r w:rsidRPr="00F66735">
        <w:rPr>
          <w:rStyle w:val="A0"/>
          <w:rFonts w:cs="Times New Roman"/>
          <w:sz w:val="24"/>
          <w:szCs w:val="24"/>
        </w:rPr>
        <w:t xml:space="preserve"> will be explored using univariate and multivariable log binomial regression modeling or other appropriate methods. HAI and AU</w:t>
      </w:r>
      <w:r w:rsidR="008C0350" w:rsidRPr="00F66735">
        <w:rPr>
          <w:rStyle w:val="A0"/>
          <w:rFonts w:cs="Times New Roman"/>
          <w:sz w:val="24"/>
          <w:szCs w:val="24"/>
        </w:rPr>
        <w:t xml:space="preserve"> </w:t>
      </w:r>
      <w:r w:rsidRPr="00F66735">
        <w:rPr>
          <w:rStyle w:val="A0"/>
          <w:rFonts w:cs="Times New Roman"/>
          <w:sz w:val="24"/>
          <w:szCs w:val="24"/>
        </w:rPr>
        <w:t>prevalence will be converted to incidence using the f</w:t>
      </w:r>
      <w:r w:rsidR="00D9460C" w:rsidRPr="00F66735">
        <w:rPr>
          <w:rStyle w:val="A0"/>
          <w:rFonts w:cs="Times New Roman"/>
          <w:sz w:val="24"/>
          <w:szCs w:val="24"/>
        </w:rPr>
        <w:t>ormula of Rhame and Sudderth [1</w:t>
      </w:r>
      <w:r w:rsidRPr="00F66735">
        <w:rPr>
          <w:rStyle w:val="A0"/>
          <w:rFonts w:cs="Times New Roman"/>
          <w:sz w:val="24"/>
          <w:szCs w:val="24"/>
        </w:rPr>
        <w:t xml:space="preserve">]. </w:t>
      </w:r>
      <w:r w:rsidR="004745CD" w:rsidRPr="00F66735">
        <w:rPr>
          <w:rStyle w:val="A0"/>
          <w:rFonts w:cs="Times New Roman"/>
          <w:sz w:val="24"/>
          <w:szCs w:val="24"/>
        </w:rPr>
        <w:t xml:space="preserve">Other methods may be employed based on on-going collaboration with external partners such as TATFAR. </w:t>
      </w:r>
      <w:r w:rsidRPr="00F66735">
        <w:rPr>
          <w:rStyle w:val="A0"/>
          <w:rFonts w:cs="Times New Roman"/>
          <w:sz w:val="24"/>
          <w:szCs w:val="24"/>
        </w:rPr>
        <w:t xml:space="preserve">HAI and AU burden estimates will be generated using prevalence survey data and data from the National Inpatient Sample (NIS), Healthcare Cost and Utilization Project (HCUP), and Agency for Healthcare Research and Quality (AHRQ). </w:t>
      </w:r>
      <w:r w:rsidR="007124A6" w:rsidRPr="00F66735">
        <w:t>Analysis will occur in SAS version 9.</w:t>
      </w:r>
      <w:r w:rsidRPr="00F66735">
        <w:t>4</w:t>
      </w:r>
      <w:r w:rsidR="00FF08E2" w:rsidRPr="00F66735">
        <w:t xml:space="preserve"> </w:t>
      </w:r>
      <w:r w:rsidR="00A67200" w:rsidRPr="00F66735">
        <w:t xml:space="preserve">or </w:t>
      </w:r>
      <w:r w:rsidRPr="00F66735">
        <w:t>a newer version as it</w:t>
      </w:r>
      <w:r w:rsidR="00A67200" w:rsidRPr="00F66735">
        <w:t xml:space="preserve"> become</w:t>
      </w:r>
      <w:r w:rsidRPr="00F66735">
        <w:t>s</w:t>
      </w:r>
      <w:r w:rsidR="00A67200" w:rsidRPr="00F66735">
        <w:t xml:space="preserve"> available </w:t>
      </w:r>
      <w:r w:rsidR="00B13715" w:rsidRPr="00F66735">
        <w:t>(SAS Institute, Carey, NC)</w:t>
      </w:r>
      <w:r w:rsidRPr="00F66735">
        <w:t xml:space="preserve">. </w:t>
      </w:r>
      <w:bookmarkEnd w:id="46"/>
    </w:p>
    <w:p w14:paraId="674FB0AF" w14:textId="77777777" w:rsidR="00B13715" w:rsidRPr="00F66735" w:rsidRDefault="00B13715" w:rsidP="00AA64C4">
      <w:pPr>
        <w:outlineLvl w:val="0"/>
      </w:pPr>
    </w:p>
    <w:p w14:paraId="773A262D" w14:textId="14FFF7AD" w:rsidR="00C83B78" w:rsidRDefault="00AA64C4" w:rsidP="00AA64C4">
      <w:pPr>
        <w:outlineLvl w:val="0"/>
      </w:pPr>
      <w:bookmarkStart w:id="47" w:name="_Toc455558114"/>
      <w:r w:rsidRPr="00F66735">
        <w:t>R</w:t>
      </w:r>
      <w:r w:rsidR="00C83B78" w:rsidRPr="00F66735">
        <w:t xml:space="preserve">esults from this </w:t>
      </w:r>
      <w:r w:rsidR="008C50A1" w:rsidRPr="00F66735">
        <w:t xml:space="preserve">data collection </w:t>
      </w:r>
      <w:r w:rsidR="00C83B78" w:rsidRPr="00F66735">
        <w:t xml:space="preserve">will be </w:t>
      </w:r>
      <w:r w:rsidR="00914852" w:rsidRPr="00F66735">
        <w:t xml:space="preserve">presented at </w:t>
      </w:r>
      <w:r w:rsidR="00A8120E" w:rsidRPr="00F66735">
        <w:t>local/state/</w:t>
      </w:r>
      <w:r w:rsidR="00914852" w:rsidRPr="00F66735">
        <w:t xml:space="preserve">national meetings and </w:t>
      </w:r>
      <w:r w:rsidR="00F157D2" w:rsidRPr="00F66735">
        <w:t xml:space="preserve">in </w:t>
      </w:r>
      <w:r w:rsidR="00C83B78" w:rsidRPr="00F66735">
        <w:t>peer-rev</w:t>
      </w:r>
      <w:r w:rsidR="000A24DA" w:rsidRPr="00F66735">
        <w:t>iewed scientific journal</w:t>
      </w:r>
      <w:r w:rsidR="00F157D2" w:rsidRPr="00F66735">
        <w:t>s</w:t>
      </w:r>
      <w:r w:rsidR="000A24DA" w:rsidRPr="00F66735">
        <w:t>.</w:t>
      </w:r>
      <w:r w:rsidRPr="00F66735">
        <w:t xml:space="preserve"> </w:t>
      </w:r>
      <w:r w:rsidR="0022519E" w:rsidRPr="00F66735">
        <w:t>Publications will include a discussion of potential biases and other limitations of the project.</w:t>
      </w:r>
      <w:bookmarkEnd w:id="47"/>
      <w:r w:rsidR="0022519E" w:rsidRPr="00F66735">
        <w:t xml:space="preserve"> </w:t>
      </w:r>
    </w:p>
    <w:p w14:paraId="3ACD60DF" w14:textId="034843B0" w:rsidR="00241ECB" w:rsidRDefault="00241ECB" w:rsidP="00AA64C4">
      <w:pPr>
        <w:outlineLvl w:val="0"/>
      </w:pPr>
    </w:p>
    <w:p w14:paraId="449C6A85" w14:textId="77777777" w:rsidR="0056142F" w:rsidRPr="00F66735" w:rsidRDefault="00A8120E" w:rsidP="00EE7469">
      <w:pPr>
        <w:rPr>
          <w:b/>
        </w:rPr>
      </w:pPr>
      <w:r w:rsidRPr="00F66735">
        <w:rPr>
          <w:b/>
        </w:rPr>
        <w:t xml:space="preserve">Table D: </w:t>
      </w:r>
      <w:r w:rsidR="007124A6" w:rsidRPr="00F66735">
        <w:rPr>
          <w:b/>
        </w:rPr>
        <w:t xml:space="preserve">Project </w:t>
      </w:r>
      <w:r w:rsidRPr="00F66735">
        <w:rPr>
          <w:b/>
        </w:rPr>
        <w:t>Timeline</w:t>
      </w:r>
    </w:p>
    <w:p w14:paraId="3FAF3A7F" w14:textId="77777777" w:rsidR="003F2B34" w:rsidRPr="00F66735" w:rsidRDefault="003F2B34" w:rsidP="00EE7469">
      <w:pPr>
        <w:rPr>
          <w:b/>
        </w:rPr>
      </w:pP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4200"/>
      </w:tblGrid>
      <w:tr w:rsidR="0056142F" w:rsidRPr="00F66735" w14:paraId="54337401" w14:textId="77777777" w:rsidTr="00EF390E">
        <w:tc>
          <w:tcPr>
            <w:tcW w:w="4668" w:type="dxa"/>
            <w:tcBorders>
              <w:top w:val="single" w:sz="4" w:space="0" w:color="auto"/>
              <w:left w:val="single" w:sz="4" w:space="0" w:color="auto"/>
              <w:bottom w:val="single" w:sz="4" w:space="0" w:color="auto"/>
              <w:right w:val="single" w:sz="4" w:space="0" w:color="auto"/>
            </w:tcBorders>
            <w:vAlign w:val="center"/>
            <w:hideMark/>
          </w:tcPr>
          <w:p w14:paraId="4063ED3C" w14:textId="77777777" w:rsidR="0056142F" w:rsidRPr="00F66735" w:rsidRDefault="0056142F">
            <w:pPr>
              <w:rPr>
                <w:b/>
              </w:rPr>
            </w:pPr>
            <w:r w:rsidRPr="00F66735">
              <w:rPr>
                <w:b/>
              </w:rPr>
              <w:t>Activity</w:t>
            </w:r>
          </w:p>
        </w:tc>
        <w:tc>
          <w:tcPr>
            <w:tcW w:w="4200" w:type="dxa"/>
            <w:tcBorders>
              <w:top w:val="single" w:sz="4" w:space="0" w:color="auto"/>
              <w:left w:val="single" w:sz="4" w:space="0" w:color="auto"/>
              <w:bottom w:val="single" w:sz="4" w:space="0" w:color="auto"/>
              <w:right w:val="single" w:sz="4" w:space="0" w:color="auto"/>
            </w:tcBorders>
            <w:vAlign w:val="center"/>
            <w:hideMark/>
          </w:tcPr>
          <w:p w14:paraId="5490DB21" w14:textId="77777777" w:rsidR="0056142F" w:rsidRPr="00F66735" w:rsidRDefault="0056142F">
            <w:pPr>
              <w:rPr>
                <w:b/>
              </w:rPr>
            </w:pPr>
            <w:r w:rsidRPr="00F66735">
              <w:rPr>
                <w:b/>
              </w:rPr>
              <w:t>Time Schedule</w:t>
            </w:r>
          </w:p>
        </w:tc>
      </w:tr>
      <w:tr w:rsidR="0056142F" w:rsidRPr="00F66735" w14:paraId="5F676DC2" w14:textId="77777777" w:rsidTr="00061956">
        <w:trPr>
          <w:trHeight w:val="773"/>
        </w:trPr>
        <w:tc>
          <w:tcPr>
            <w:tcW w:w="4668" w:type="dxa"/>
            <w:tcBorders>
              <w:top w:val="single" w:sz="4" w:space="0" w:color="auto"/>
              <w:left w:val="single" w:sz="4" w:space="0" w:color="auto"/>
              <w:bottom w:val="single" w:sz="4" w:space="0" w:color="auto"/>
              <w:right w:val="single" w:sz="4" w:space="0" w:color="auto"/>
            </w:tcBorders>
            <w:vAlign w:val="center"/>
            <w:hideMark/>
          </w:tcPr>
          <w:p w14:paraId="54F61D3C" w14:textId="77777777" w:rsidR="0056142F" w:rsidRPr="00F66735" w:rsidRDefault="0056142F" w:rsidP="00B45105">
            <w:r w:rsidRPr="00F66735">
              <w:t xml:space="preserve">Training of </w:t>
            </w:r>
            <w:r w:rsidR="00B45105" w:rsidRPr="00F66735">
              <w:t xml:space="preserve">hospital staff for </w:t>
            </w:r>
            <w:r w:rsidR="005E4F46" w:rsidRPr="00F66735">
              <w:t>survey activities</w:t>
            </w:r>
          </w:p>
        </w:tc>
        <w:tc>
          <w:tcPr>
            <w:tcW w:w="4200" w:type="dxa"/>
            <w:tcBorders>
              <w:top w:val="single" w:sz="4" w:space="0" w:color="auto"/>
              <w:left w:val="single" w:sz="4" w:space="0" w:color="auto"/>
              <w:bottom w:val="single" w:sz="4" w:space="0" w:color="auto"/>
              <w:right w:val="single" w:sz="4" w:space="0" w:color="auto"/>
            </w:tcBorders>
            <w:vAlign w:val="center"/>
            <w:hideMark/>
          </w:tcPr>
          <w:p w14:paraId="00CC5C98" w14:textId="77777777" w:rsidR="005E4F46" w:rsidRPr="00F66735" w:rsidRDefault="00B45105" w:rsidP="008808D4">
            <w:r w:rsidRPr="00F66735">
              <w:t>4-5</w:t>
            </w:r>
            <w:r w:rsidR="0056142F" w:rsidRPr="00F66735">
              <w:t xml:space="preserve"> months after OMB approval </w:t>
            </w:r>
          </w:p>
          <w:p w14:paraId="3B08E5DF" w14:textId="77777777" w:rsidR="0056142F" w:rsidRPr="00F66735" w:rsidRDefault="0056142F" w:rsidP="008808D4">
            <w:r w:rsidRPr="00F66735">
              <w:t>(</w:t>
            </w:r>
            <w:r w:rsidR="00B45105" w:rsidRPr="00F66735">
              <w:t xml:space="preserve">March </w:t>
            </w:r>
            <w:r w:rsidR="00C02AE2" w:rsidRPr="00F66735">
              <w:t xml:space="preserve">2020 </w:t>
            </w:r>
            <w:r w:rsidR="005E4F46" w:rsidRPr="00F66735">
              <w:t>-</w:t>
            </w:r>
            <w:r w:rsidR="00B45105" w:rsidRPr="00F66735">
              <w:t xml:space="preserve"> April 2020</w:t>
            </w:r>
            <w:r w:rsidRPr="00F66735">
              <w:t>)</w:t>
            </w:r>
          </w:p>
        </w:tc>
      </w:tr>
      <w:tr w:rsidR="0056142F" w:rsidRPr="00F66735" w14:paraId="69374ED8" w14:textId="77777777" w:rsidTr="0056142F">
        <w:trPr>
          <w:trHeight w:val="398"/>
        </w:trPr>
        <w:tc>
          <w:tcPr>
            <w:tcW w:w="4668" w:type="dxa"/>
            <w:tcBorders>
              <w:top w:val="single" w:sz="4" w:space="0" w:color="auto"/>
              <w:left w:val="single" w:sz="4" w:space="0" w:color="auto"/>
              <w:bottom w:val="single" w:sz="4" w:space="0" w:color="auto"/>
              <w:right w:val="single" w:sz="4" w:space="0" w:color="auto"/>
            </w:tcBorders>
            <w:vAlign w:val="center"/>
            <w:hideMark/>
          </w:tcPr>
          <w:p w14:paraId="1DEA974D" w14:textId="77777777" w:rsidR="0056142F" w:rsidRPr="00F66735" w:rsidRDefault="008C0350" w:rsidP="00F075B1">
            <w:r w:rsidRPr="00F66735">
              <w:t>Survey Implementation</w:t>
            </w:r>
            <w:r w:rsidR="0056142F" w:rsidRPr="00F66735">
              <w:t xml:space="preserve"> </w:t>
            </w:r>
            <w:r w:rsidR="005E4F46" w:rsidRPr="00F66735">
              <w:t xml:space="preserve">by EIP </w:t>
            </w:r>
            <w:r w:rsidR="00C02AE2" w:rsidRPr="00F66735">
              <w:t xml:space="preserve">site personnel </w:t>
            </w:r>
            <w:r w:rsidR="005E4F46" w:rsidRPr="00F66735">
              <w:t>and hospital staff</w:t>
            </w:r>
          </w:p>
        </w:tc>
        <w:tc>
          <w:tcPr>
            <w:tcW w:w="4200" w:type="dxa"/>
            <w:tcBorders>
              <w:top w:val="single" w:sz="4" w:space="0" w:color="auto"/>
              <w:left w:val="single" w:sz="4" w:space="0" w:color="auto"/>
              <w:bottom w:val="single" w:sz="4" w:space="0" w:color="auto"/>
              <w:right w:val="single" w:sz="4" w:space="0" w:color="auto"/>
            </w:tcBorders>
            <w:vAlign w:val="center"/>
            <w:hideMark/>
          </w:tcPr>
          <w:p w14:paraId="4BBB270F" w14:textId="77777777" w:rsidR="00C02AE2" w:rsidRPr="00F66735" w:rsidRDefault="00C02AE2" w:rsidP="008808D4">
            <w:r w:rsidRPr="00F66735">
              <w:t>6-10</w:t>
            </w:r>
            <w:r w:rsidR="0056142F" w:rsidRPr="00F66735">
              <w:t xml:space="preserve"> months after OMB approval</w:t>
            </w:r>
          </w:p>
          <w:p w14:paraId="65D64C3B" w14:textId="77777777" w:rsidR="0056142F" w:rsidRPr="00F66735" w:rsidRDefault="0056142F" w:rsidP="008808D4">
            <w:r w:rsidRPr="00F66735">
              <w:t>(</w:t>
            </w:r>
            <w:r w:rsidR="005E4F46" w:rsidRPr="00F66735">
              <w:t>May</w:t>
            </w:r>
            <w:r w:rsidR="00C02AE2" w:rsidRPr="00F66735">
              <w:t xml:space="preserve"> 2020 </w:t>
            </w:r>
            <w:r w:rsidR="00F075B1" w:rsidRPr="00F66735">
              <w:t>-</w:t>
            </w:r>
            <w:r w:rsidR="00C02AE2" w:rsidRPr="00F66735">
              <w:t xml:space="preserve"> </w:t>
            </w:r>
            <w:r w:rsidR="005E4F46" w:rsidRPr="00F66735">
              <w:t xml:space="preserve">September </w:t>
            </w:r>
            <w:r w:rsidR="00C02AE2" w:rsidRPr="00F66735">
              <w:t>2020</w:t>
            </w:r>
            <w:r w:rsidRPr="00F66735">
              <w:t>)</w:t>
            </w:r>
          </w:p>
        </w:tc>
      </w:tr>
      <w:tr w:rsidR="0056142F" w:rsidRPr="00F66735" w14:paraId="56950239" w14:textId="77777777" w:rsidTr="0056142F">
        <w:tc>
          <w:tcPr>
            <w:tcW w:w="4668" w:type="dxa"/>
            <w:tcBorders>
              <w:top w:val="single" w:sz="4" w:space="0" w:color="auto"/>
              <w:left w:val="single" w:sz="4" w:space="0" w:color="auto"/>
              <w:bottom w:val="single" w:sz="4" w:space="0" w:color="auto"/>
              <w:right w:val="single" w:sz="4" w:space="0" w:color="auto"/>
            </w:tcBorders>
            <w:vAlign w:val="center"/>
            <w:hideMark/>
          </w:tcPr>
          <w:p w14:paraId="09D8A564" w14:textId="77777777" w:rsidR="0056142F" w:rsidRPr="00F66735" w:rsidRDefault="0056142F">
            <w:r w:rsidRPr="00F66735">
              <w:t xml:space="preserve">Data collection by EIP </w:t>
            </w:r>
            <w:r w:rsidR="00C02AE2" w:rsidRPr="00F66735">
              <w:t xml:space="preserve">site </w:t>
            </w:r>
            <w:r w:rsidRPr="00F66735">
              <w:t>personnel</w:t>
            </w:r>
            <w:r w:rsidR="008C0350" w:rsidRPr="00F66735">
              <w:t xml:space="preserve"> </w:t>
            </w:r>
            <w:r w:rsidR="00C02AE2" w:rsidRPr="00F66735">
              <w:t>and transmission of data to CDC</w:t>
            </w:r>
          </w:p>
        </w:tc>
        <w:tc>
          <w:tcPr>
            <w:tcW w:w="4200" w:type="dxa"/>
            <w:tcBorders>
              <w:top w:val="single" w:sz="4" w:space="0" w:color="auto"/>
              <w:left w:val="single" w:sz="4" w:space="0" w:color="auto"/>
              <w:bottom w:val="single" w:sz="4" w:space="0" w:color="auto"/>
              <w:right w:val="single" w:sz="4" w:space="0" w:color="auto"/>
            </w:tcBorders>
            <w:vAlign w:val="center"/>
            <w:hideMark/>
          </w:tcPr>
          <w:p w14:paraId="574D968A" w14:textId="77777777" w:rsidR="0056142F" w:rsidRPr="00F66735" w:rsidRDefault="00C02AE2" w:rsidP="00C02AE2">
            <w:r w:rsidRPr="00F66735">
              <w:t>6-18 months after OMB approval     (May 2020 – June 2021)</w:t>
            </w:r>
          </w:p>
        </w:tc>
      </w:tr>
      <w:tr w:rsidR="00B45105" w:rsidRPr="00F66735" w14:paraId="0D9B4D89" w14:textId="77777777" w:rsidTr="0056142F">
        <w:tc>
          <w:tcPr>
            <w:tcW w:w="4668" w:type="dxa"/>
            <w:tcBorders>
              <w:top w:val="single" w:sz="4" w:space="0" w:color="auto"/>
              <w:left w:val="single" w:sz="4" w:space="0" w:color="auto"/>
              <w:bottom w:val="single" w:sz="4" w:space="0" w:color="auto"/>
              <w:right w:val="single" w:sz="4" w:space="0" w:color="auto"/>
            </w:tcBorders>
            <w:vAlign w:val="center"/>
          </w:tcPr>
          <w:p w14:paraId="2D833999" w14:textId="77777777" w:rsidR="00B45105" w:rsidRPr="00F66735" w:rsidRDefault="00B45105" w:rsidP="00F075B1">
            <w:r w:rsidRPr="00F66735">
              <w:t>Data cleaning activities</w:t>
            </w:r>
            <w:r w:rsidR="00C02AE2" w:rsidRPr="00F66735">
              <w:t xml:space="preserve"> by EIP sit</w:t>
            </w:r>
            <w:r w:rsidR="008C0350" w:rsidRPr="00F66735">
              <w:t>e personnel and CDC personnel</w:t>
            </w:r>
          </w:p>
        </w:tc>
        <w:tc>
          <w:tcPr>
            <w:tcW w:w="4200" w:type="dxa"/>
            <w:tcBorders>
              <w:top w:val="single" w:sz="4" w:space="0" w:color="auto"/>
              <w:left w:val="single" w:sz="4" w:space="0" w:color="auto"/>
              <w:bottom w:val="single" w:sz="4" w:space="0" w:color="auto"/>
              <w:right w:val="single" w:sz="4" w:space="0" w:color="auto"/>
            </w:tcBorders>
            <w:vAlign w:val="center"/>
          </w:tcPr>
          <w:p w14:paraId="1E4563D9" w14:textId="77777777" w:rsidR="00B45105" w:rsidRPr="00F66735" w:rsidRDefault="00C02AE2" w:rsidP="008C50A1">
            <w:r w:rsidRPr="00F66735">
              <w:t>18-24 months after OMB approval</w:t>
            </w:r>
          </w:p>
          <w:p w14:paraId="67143753" w14:textId="77777777" w:rsidR="00C02AE2" w:rsidRPr="00F66735" w:rsidRDefault="00C02AE2" w:rsidP="008C50A1">
            <w:r w:rsidRPr="00F66735">
              <w:t xml:space="preserve">(June 2021- December 2021) </w:t>
            </w:r>
          </w:p>
        </w:tc>
      </w:tr>
      <w:tr w:rsidR="0056142F" w:rsidRPr="00F66735" w14:paraId="1739BC22" w14:textId="77777777" w:rsidTr="0056142F">
        <w:tc>
          <w:tcPr>
            <w:tcW w:w="4668" w:type="dxa"/>
            <w:tcBorders>
              <w:top w:val="single" w:sz="4" w:space="0" w:color="auto"/>
              <w:left w:val="single" w:sz="4" w:space="0" w:color="auto"/>
              <w:bottom w:val="single" w:sz="4" w:space="0" w:color="auto"/>
              <w:right w:val="single" w:sz="4" w:space="0" w:color="auto"/>
            </w:tcBorders>
            <w:vAlign w:val="center"/>
            <w:hideMark/>
          </w:tcPr>
          <w:p w14:paraId="19FA4734" w14:textId="77777777" w:rsidR="0056142F" w:rsidRPr="00F66735" w:rsidRDefault="0056142F" w:rsidP="00F075B1">
            <w:r w:rsidRPr="00F66735">
              <w:t xml:space="preserve">Analysis and presentation of </w:t>
            </w:r>
            <w:r w:rsidR="00B45105" w:rsidRPr="00F66735">
              <w:t xml:space="preserve">2020 survey </w:t>
            </w:r>
            <w:r w:rsidRPr="00F66735">
              <w:t xml:space="preserve">results </w:t>
            </w:r>
            <w:r w:rsidR="008C0350" w:rsidRPr="00F66735">
              <w:t>by CDC personnel</w:t>
            </w:r>
          </w:p>
        </w:tc>
        <w:tc>
          <w:tcPr>
            <w:tcW w:w="4200" w:type="dxa"/>
            <w:tcBorders>
              <w:top w:val="single" w:sz="4" w:space="0" w:color="auto"/>
              <w:left w:val="single" w:sz="4" w:space="0" w:color="auto"/>
              <w:bottom w:val="single" w:sz="4" w:space="0" w:color="auto"/>
              <w:right w:val="single" w:sz="4" w:space="0" w:color="auto"/>
            </w:tcBorders>
            <w:vAlign w:val="center"/>
            <w:hideMark/>
          </w:tcPr>
          <w:p w14:paraId="318A65D7" w14:textId="77777777" w:rsidR="00C02AE2" w:rsidRPr="00F66735" w:rsidRDefault="00C02AE2" w:rsidP="008C50A1">
            <w:r w:rsidRPr="00F66735">
              <w:t>24-36 months after OMB approval</w:t>
            </w:r>
          </w:p>
          <w:p w14:paraId="2571BBAE" w14:textId="77777777" w:rsidR="0056142F" w:rsidRPr="00F66735" w:rsidRDefault="008C0350" w:rsidP="008C50A1">
            <w:r w:rsidRPr="00F66735">
              <w:t>(December 2021 – December 2022</w:t>
            </w:r>
            <w:r w:rsidR="00C02AE2" w:rsidRPr="00F66735">
              <w:t xml:space="preserve">; anticipate </w:t>
            </w:r>
            <w:r w:rsidR="00580062" w:rsidRPr="00F66735">
              <w:t xml:space="preserve">new </w:t>
            </w:r>
            <w:r w:rsidR="00C02AE2" w:rsidRPr="00F66735">
              <w:t>extension request in 2022</w:t>
            </w:r>
            <w:r w:rsidR="005E4F46" w:rsidRPr="00F66735">
              <w:t>)</w:t>
            </w:r>
          </w:p>
        </w:tc>
      </w:tr>
    </w:tbl>
    <w:p w14:paraId="1CF3277D" w14:textId="77777777" w:rsidR="003F2B34" w:rsidRPr="00F66735" w:rsidRDefault="003F2B34" w:rsidP="0056142F">
      <w:pPr>
        <w:rPr>
          <w:b/>
        </w:rPr>
      </w:pPr>
    </w:p>
    <w:p w14:paraId="373EB6A9" w14:textId="77777777" w:rsidR="003F2B34" w:rsidRPr="00F66735" w:rsidRDefault="003F2B34" w:rsidP="0056142F">
      <w:pPr>
        <w:rPr>
          <w:b/>
        </w:rPr>
      </w:pPr>
    </w:p>
    <w:p w14:paraId="7BF23979" w14:textId="77777777" w:rsidR="00B13715" w:rsidRPr="00F66735" w:rsidRDefault="00AD36BD" w:rsidP="00061956">
      <w:pPr>
        <w:pStyle w:val="Heading1"/>
      </w:pPr>
      <w:bookmarkStart w:id="48" w:name="_Toc455558115"/>
      <w:r w:rsidRPr="00F66735">
        <w:t>Reason(s) Display of OMB Expiration Date is Inappropriate</w:t>
      </w:r>
      <w:bookmarkEnd w:id="48"/>
    </w:p>
    <w:p w14:paraId="1693CD1F" w14:textId="77777777" w:rsidR="00AD36BD" w:rsidRPr="00F66735" w:rsidRDefault="00AD36BD" w:rsidP="00EE7469"/>
    <w:p w14:paraId="3F30E2F9" w14:textId="77777777" w:rsidR="00A8120E" w:rsidRPr="00F66735" w:rsidRDefault="00A8120E" w:rsidP="00EE7469">
      <w:r w:rsidRPr="00F66735">
        <w:t>None.</w:t>
      </w:r>
    </w:p>
    <w:p w14:paraId="51803396" w14:textId="77777777" w:rsidR="00A8120E" w:rsidRPr="00F66735" w:rsidRDefault="00A8120E" w:rsidP="00EE7469"/>
    <w:p w14:paraId="3E47E61F" w14:textId="77777777" w:rsidR="00E03C8B" w:rsidRPr="00F66735" w:rsidRDefault="00AD36BD" w:rsidP="00061956">
      <w:pPr>
        <w:pStyle w:val="Heading1"/>
      </w:pPr>
      <w:bookmarkStart w:id="49" w:name="_Toc455558116"/>
      <w:r w:rsidRPr="00F66735">
        <w:t>Exceptions to Certification for Paperwork Reduction Act Submissions</w:t>
      </w:r>
      <w:bookmarkEnd w:id="49"/>
    </w:p>
    <w:p w14:paraId="67540AED" w14:textId="77777777" w:rsidR="00E03C8B" w:rsidRPr="00F66735" w:rsidRDefault="00E03C8B" w:rsidP="00E03C8B">
      <w:pPr>
        <w:ind w:left="720" w:hanging="720"/>
        <w:rPr>
          <w:b/>
        </w:rPr>
      </w:pPr>
    </w:p>
    <w:p w14:paraId="5D3BBFA5" w14:textId="073035D6" w:rsidR="00265511" w:rsidRPr="00F66735" w:rsidRDefault="00A8120E" w:rsidP="009842E3">
      <w:pPr>
        <w:rPr>
          <w:b/>
        </w:rPr>
        <w:sectPr w:rsidR="00265511" w:rsidRPr="00F66735" w:rsidSect="0022519E">
          <w:footerReference w:type="even" r:id="rId37"/>
          <w:footerReference w:type="default" r:id="rId38"/>
          <w:pgSz w:w="12240" w:h="15840"/>
          <w:pgMar w:top="1440" w:right="1440" w:bottom="1440" w:left="1440" w:header="720" w:footer="720" w:gutter="0"/>
          <w:cols w:space="720"/>
          <w:docGrid w:linePitch="360"/>
        </w:sectPr>
      </w:pPr>
      <w:r w:rsidRPr="00F66735">
        <w:t>None.</w:t>
      </w:r>
    </w:p>
    <w:p w14:paraId="29D6B73B" w14:textId="77777777" w:rsidR="003B0301" w:rsidRPr="00F66735" w:rsidRDefault="003B0301" w:rsidP="009842E3">
      <w:pPr>
        <w:rPr>
          <w:b/>
        </w:rPr>
      </w:pPr>
      <w:r w:rsidRPr="00F66735">
        <w:rPr>
          <w:b/>
        </w:rPr>
        <w:t>References</w:t>
      </w:r>
    </w:p>
    <w:p w14:paraId="2D40113A" w14:textId="77777777" w:rsidR="004D15D7" w:rsidRPr="00F66735" w:rsidRDefault="004D15D7" w:rsidP="00D5304C">
      <w:pPr>
        <w:ind w:left="720" w:hanging="720"/>
      </w:pPr>
    </w:p>
    <w:p w14:paraId="0DE199CB" w14:textId="77777777" w:rsidR="00D9460C" w:rsidRPr="00F66735" w:rsidRDefault="00D9460C" w:rsidP="00D9460C">
      <w:pPr>
        <w:numPr>
          <w:ilvl w:val="0"/>
          <w:numId w:val="17"/>
        </w:numPr>
      </w:pPr>
      <w:r w:rsidRPr="00F66735">
        <w:t xml:space="preserve">Rhame FS, Sudderth WD. Incidence and prevalence as used in the analysis of the occurrence of nosocomial infections Am J Epidemiol 1981;113:1-11. </w:t>
      </w:r>
    </w:p>
    <w:p w14:paraId="22D5AB4F" w14:textId="77777777" w:rsidR="00364456" w:rsidRPr="00F66735" w:rsidRDefault="00364456" w:rsidP="00135263">
      <w:pPr>
        <w:pStyle w:val="links"/>
        <w:numPr>
          <w:ilvl w:val="0"/>
          <w:numId w:val="17"/>
        </w:numPr>
      </w:pPr>
      <w:r w:rsidRPr="00F66735">
        <w:t xml:space="preserve">Magill SS, O’Leary E, Janelle S, et al. Changes in Prevalence of Health Care-Associated Infections in U.S. Hospitals. </w:t>
      </w:r>
      <w:r w:rsidRPr="00F66735">
        <w:rPr>
          <w:i/>
        </w:rPr>
        <w:t>N Engl J Med</w:t>
      </w:r>
      <w:r w:rsidR="005A1235" w:rsidRPr="00F66735">
        <w:rPr>
          <w:i/>
        </w:rPr>
        <w:t xml:space="preserve"> </w:t>
      </w:r>
      <w:r w:rsidR="00F83117" w:rsidRPr="00F66735">
        <w:t>2018;379</w:t>
      </w:r>
      <w:r w:rsidR="005A1235" w:rsidRPr="00F66735">
        <w:t>:1732-44.</w:t>
      </w:r>
    </w:p>
    <w:p w14:paraId="7A19AFC4" w14:textId="738BE8E2" w:rsidR="009C4372" w:rsidRPr="00F66735" w:rsidRDefault="009C4372" w:rsidP="00135263">
      <w:pPr>
        <w:numPr>
          <w:ilvl w:val="0"/>
          <w:numId w:val="17"/>
        </w:numPr>
      </w:pPr>
      <w:r w:rsidRPr="00F66735">
        <w:t xml:space="preserve">Magill SS, O’Leary E, Ray S, et al. Prevalence of Antimicrobial Use in U.S. Hospital Patients, 2011 vs. 2015. IDWeek 2018. Oct 3-7 San Francisco, CA. Abstract no 1859. </w:t>
      </w:r>
    </w:p>
    <w:p w14:paraId="4678E9A4" w14:textId="77777777" w:rsidR="00D9460C" w:rsidRPr="00F66735" w:rsidRDefault="00357325" w:rsidP="00135263">
      <w:pPr>
        <w:numPr>
          <w:ilvl w:val="0"/>
          <w:numId w:val="17"/>
        </w:numPr>
      </w:pPr>
      <w:r w:rsidRPr="00F66735">
        <w:t xml:space="preserve">Magill SS, Edwards J, Bamberg W, et al. Multistate Point-Prevalence Survey of Health Care-Associated Infections. </w:t>
      </w:r>
      <w:r w:rsidRPr="00F66735">
        <w:rPr>
          <w:i/>
        </w:rPr>
        <w:t xml:space="preserve">N Engl J Med </w:t>
      </w:r>
      <w:r w:rsidRPr="00F66735">
        <w:t>2014;370:1198-208.</w:t>
      </w:r>
    </w:p>
    <w:p w14:paraId="27A800BC" w14:textId="77777777" w:rsidR="00357325" w:rsidRPr="00F66735" w:rsidRDefault="00B00C61" w:rsidP="00B00C61">
      <w:pPr>
        <w:numPr>
          <w:ilvl w:val="0"/>
          <w:numId w:val="17"/>
        </w:numPr>
      </w:pPr>
      <w:r w:rsidRPr="00F66735">
        <w:t xml:space="preserve">Magill SS, Edwards J, Beldavs Z, et al. Prevalence of Antimicrobial Use in U.S. Acute Care Hospitals, May-September 2011. </w:t>
      </w:r>
      <w:r w:rsidRPr="00F66735">
        <w:rPr>
          <w:i/>
        </w:rPr>
        <w:t>JAMA</w:t>
      </w:r>
      <w:r w:rsidRPr="00F66735">
        <w:t xml:space="preserve"> 2014;312:1438-46.</w:t>
      </w:r>
    </w:p>
    <w:p w14:paraId="7CD64F16" w14:textId="5AFB36B7" w:rsidR="00C27228" w:rsidRPr="00C27228" w:rsidRDefault="00C27228" w:rsidP="00C27228">
      <w:pPr>
        <w:numPr>
          <w:ilvl w:val="0"/>
          <w:numId w:val="17"/>
        </w:numPr>
      </w:pPr>
      <w:r w:rsidRPr="00F66735">
        <w:t xml:space="preserve">Magill </w:t>
      </w:r>
      <w:r w:rsidRPr="00896264">
        <w:t xml:space="preserve">SS, O’Leary E, </w:t>
      </w:r>
      <w:r w:rsidRPr="00C27228">
        <w:t xml:space="preserve">Nadle J, et al. </w:t>
      </w:r>
      <w:r w:rsidRPr="008504F7">
        <w:rPr>
          <w:b/>
          <w:bCs/>
          <w:vanish/>
          <w:spacing w:val="-15"/>
          <w:kern w:val="36"/>
          <w:lang w:val="en"/>
        </w:rPr>
        <w:t>Measuring the quality of fluoroquinolone prescribing in hospitals: results from the Emerging Infections Program Hospital Prevalence Survey Antimicrobial Quality Assessment</w:t>
      </w:r>
      <w:r w:rsidRPr="00896264">
        <w:t xml:space="preserve"> </w:t>
      </w:r>
      <w:hyperlink r:id="rId39" w:history="1">
        <w:r w:rsidRPr="008504F7">
          <w:rPr>
            <w:rStyle w:val="Hyperlink"/>
            <w:color w:val="auto"/>
            <w:u w:val="none"/>
            <w:lang w:val="en"/>
          </w:rPr>
          <w:t>Measuring the quality of fluoroquinolone prescribing in hospitals: results from the Emerging Infections Program Hospital Prevalence Survey Antimicrobial Quality Assessment</w:t>
        </w:r>
      </w:hyperlink>
      <w:r w:rsidRPr="008504F7">
        <w:rPr>
          <w:lang w:val="en"/>
        </w:rPr>
        <w:t xml:space="preserve">. </w:t>
      </w:r>
      <w:r w:rsidRPr="00896264">
        <w:t>IDWeek</w:t>
      </w:r>
      <w:r w:rsidRPr="00C27228">
        <w:t xml:space="preserve"> 2019. Oct </w:t>
      </w:r>
      <w:r>
        <w:t>2-6</w:t>
      </w:r>
      <w:r w:rsidRPr="00896264">
        <w:t xml:space="preserve"> </w:t>
      </w:r>
      <w:r>
        <w:t>Washington, D.C</w:t>
      </w:r>
      <w:r w:rsidRPr="00896264">
        <w:t>. Abstract no 1009</w:t>
      </w:r>
      <w:r w:rsidRPr="00C27228">
        <w:t xml:space="preserve">. </w:t>
      </w:r>
    </w:p>
    <w:p w14:paraId="18510256" w14:textId="77777777" w:rsidR="008F749A" w:rsidRPr="001E0FD7" w:rsidRDefault="008F749A" w:rsidP="008F749A">
      <w:pPr>
        <w:numPr>
          <w:ilvl w:val="0"/>
          <w:numId w:val="17"/>
        </w:numPr>
      </w:pPr>
      <w:r w:rsidRPr="001E0FD7">
        <w:rPr>
          <w:lang w:val="en"/>
        </w:rPr>
        <w:t xml:space="preserve">Healthcare Cost and Utilization Project (HCUP). </w:t>
      </w:r>
      <w:r w:rsidRPr="001E0FD7">
        <w:rPr>
          <w:bCs/>
        </w:rPr>
        <w:t>Overview of the National (Nationwide) Inpatient Sample (NIS)</w:t>
      </w:r>
      <w:r>
        <w:rPr>
          <w:bCs/>
        </w:rPr>
        <w:t xml:space="preserve">. </w:t>
      </w:r>
      <w:r w:rsidRPr="001E0FD7">
        <w:rPr>
          <w:lang w:val="en"/>
        </w:rPr>
        <w:t>Rockville, MD: Agency for Healthcare Research and Quality (</w:t>
      </w:r>
      <w:hyperlink r:id="rId40" w:history="1">
        <w:r w:rsidRPr="001E0FD7">
          <w:rPr>
            <w:rStyle w:val="Hyperlink"/>
            <w:color w:val="auto"/>
            <w:lang w:val="en"/>
          </w:rPr>
          <w:t>http://www.hcup-us.ahrq.gov/nisoverview.jsp</w:t>
        </w:r>
      </w:hyperlink>
      <w:r w:rsidRPr="001E0FD7">
        <w:rPr>
          <w:lang w:val="en"/>
        </w:rPr>
        <w:t>.)</w:t>
      </w:r>
    </w:p>
    <w:p w14:paraId="764E63A5" w14:textId="5F98DC3C" w:rsidR="00C27228" w:rsidRPr="00C27228" w:rsidRDefault="00C27228" w:rsidP="00C27228">
      <w:pPr>
        <w:pStyle w:val="ListParagraph"/>
        <w:numPr>
          <w:ilvl w:val="0"/>
          <w:numId w:val="17"/>
        </w:numPr>
        <w:spacing w:after="160" w:line="259" w:lineRule="auto"/>
        <w:contextualSpacing/>
        <w:rPr>
          <w:rStyle w:val="Hyperlink"/>
          <w:rFonts w:ascii="Times New Roman" w:hAnsi="Times New Roman"/>
          <w:color w:val="211D1E"/>
          <w:sz w:val="24"/>
          <w:szCs w:val="24"/>
          <w:u w:val="none"/>
        </w:rPr>
      </w:pPr>
      <w:r w:rsidRPr="008504F7">
        <w:rPr>
          <w:rFonts w:ascii="Times New Roman" w:hAnsi="Times New Roman"/>
          <w:color w:val="000000"/>
          <w:sz w:val="24"/>
          <w:szCs w:val="24"/>
        </w:rPr>
        <w:t xml:space="preserve">Pinner RW, Rebmann CA, Schuchat A, Hughes JM. Disease </w:t>
      </w:r>
      <w:r w:rsidRPr="008504F7">
        <w:rPr>
          <w:rFonts w:ascii="Times New Roman" w:hAnsi="Times New Roman"/>
          <w:color w:val="211D1E"/>
          <w:sz w:val="24"/>
          <w:szCs w:val="24"/>
        </w:rPr>
        <w:t xml:space="preserve">surveillance and the academic, clinical, and public health communities. </w:t>
      </w:r>
      <w:r w:rsidRPr="008504F7">
        <w:rPr>
          <w:rFonts w:ascii="Times New Roman" w:hAnsi="Times New Roman"/>
          <w:i/>
          <w:color w:val="211D1E"/>
          <w:sz w:val="24"/>
          <w:szCs w:val="24"/>
        </w:rPr>
        <w:t>Emerg Infect Dis</w:t>
      </w:r>
      <w:r w:rsidRPr="00896264">
        <w:rPr>
          <w:rFonts w:ascii="Times New Roman" w:hAnsi="Times New Roman"/>
          <w:color w:val="211D1E"/>
          <w:sz w:val="24"/>
          <w:szCs w:val="24"/>
        </w:rPr>
        <w:t xml:space="preserve"> </w:t>
      </w:r>
      <w:r w:rsidRPr="008504F7">
        <w:rPr>
          <w:rFonts w:ascii="Times New Roman" w:hAnsi="Times New Roman"/>
          <w:color w:val="211D1E"/>
          <w:sz w:val="24"/>
          <w:szCs w:val="24"/>
        </w:rPr>
        <w:t xml:space="preserve">2003;9:781–7. </w:t>
      </w:r>
    </w:p>
    <w:p w14:paraId="3851A7A1" w14:textId="65055BE4" w:rsidR="00C27228" w:rsidRPr="008504F7" w:rsidRDefault="00C27228" w:rsidP="008504F7">
      <w:pPr>
        <w:pStyle w:val="ListParagraph"/>
        <w:numPr>
          <w:ilvl w:val="0"/>
          <w:numId w:val="17"/>
        </w:numPr>
        <w:spacing w:line="259" w:lineRule="auto"/>
        <w:contextualSpacing/>
        <w:rPr>
          <w:rFonts w:ascii="Times New Roman" w:hAnsi="Times New Roman"/>
          <w:color w:val="211D1E"/>
          <w:sz w:val="24"/>
          <w:szCs w:val="24"/>
        </w:rPr>
      </w:pPr>
      <w:r w:rsidRPr="008504F7">
        <w:rPr>
          <w:rStyle w:val="xml-surname"/>
          <w:rFonts w:ascii="Times New Roman" w:hAnsi="Times New Roman"/>
          <w:sz w:val="24"/>
          <w:szCs w:val="24"/>
        </w:rPr>
        <w:t>Hardnett </w:t>
      </w:r>
      <w:r w:rsidRPr="008504F7">
        <w:rPr>
          <w:rStyle w:val="xml-given-names"/>
          <w:rFonts w:ascii="Times New Roman" w:hAnsi="Times New Roman"/>
          <w:sz w:val="24"/>
          <w:szCs w:val="24"/>
        </w:rPr>
        <w:t>FP</w:t>
      </w:r>
      <w:r w:rsidRPr="008504F7">
        <w:rPr>
          <w:rFonts w:ascii="Times New Roman" w:hAnsi="Times New Roman"/>
          <w:sz w:val="24"/>
          <w:szCs w:val="24"/>
        </w:rPr>
        <w:t xml:space="preserve">, </w:t>
      </w:r>
      <w:r w:rsidRPr="008504F7">
        <w:rPr>
          <w:rStyle w:val="xml-surname"/>
          <w:rFonts w:ascii="Times New Roman" w:hAnsi="Times New Roman"/>
          <w:sz w:val="24"/>
          <w:szCs w:val="24"/>
        </w:rPr>
        <w:t>Hoekstra </w:t>
      </w:r>
      <w:r w:rsidRPr="008504F7">
        <w:rPr>
          <w:rStyle w:val="xml-given-names"/>
          <w:rFonts w:ascii="Times New Roman" w:hAnsi="Times New Roman"/>
          <w:sz w:val="24"/>
          <w:szCs w:val="24"/>
        </w:rPr>
        <w:t>RM</w:t>
      </w:r>
      <w:r w:rsidRPr="008504F7">
        <w:rPr>
          <w:rFonts w:ascii="Times New Roman" w:hAnsi="Times New Roman"/>
          <w:sz w:val="24"/>
          <w:szCs w:val="24"/>
        </w:rPr>
        <w:t xml:space="preserve">, </w:t>
      </w:r>
      <w:r w:rsidRPr="008504F7">
        <w:rPr>
          <w:rStyle w:val="xml-surname"/>
          <w:rFonts w:ascii="Times New Roman" w:hAnsi="Times New Roman"/>
          <w:sz w:val="24"/>
          <w:szCs w:val="24"/>
        </w:rPr>
        <w:t>Kennedy</w:t>
      </w:r>
      <w:r w:rsidRPr="00896264">
        <w:rPr>
          <w:rStyle w:val="xml-surname"/>
          <w:rFonts w:ascii="Times New Roman" w:hAnsi="Times New Roman"/>
          <w:sz w:val="24"/>
          <w:szCs w:val="24"/>
        </w:rPr>
        <w:t xml:space="preserve"> </w:t>
      </w:r>
      <w:r w:rsidRPr="008504F7">
        <w:rPr>
          <w:rStyle w:val="xml-given-names"/>
          <w:rFonts w:ascii="Times New Roman" w:hAnsi="Times New Roman"/>
          <w:sz w:val="24"/>
          <w:szCs w:val="24"/>
        </w:rPr>
        <w:t>MH</w:t>
      </w:r>
      <w:r w:rsidRPr="008504F7">
        <w:rPr>
          <w:rFonts w:ascii="Times New Roman" w:hAnsi="Times New Roman"/>
          <w:sz w:val="24"/>
          <w:szCs w:val="24"/>
        </w:rPr>
        <w:t xml:space="preserve">, </w:t>
      </w:r>
      <w:r w:rsidRPr="008504F7">
        <w:rPr>
          <w:rStyle w:val="xml-surname"/>
          <w:rFonts w:ascii="Times New Roman" w:hAnsi="Times New Roman"/>
          <w:sz w:val="24"/>
          <w:szCs w:val="24"/>
        </w:rPr>
        <w:t>Angulo </w:t>
      </w:r>
      <w:r w:rsidRPr="008504F7">
        <w:rPr>
          <w:rStyle w:val="xml-given-names"/>
          <w:rFonts w:ascii="Times New Roman" w:hAnsi="Times New Roman"/>
          <w:sz w:val="24"/>
          <w:szCs w:val="24"/>
        </w:rPr>
        <w:t>FJ</w:t>
      </w:r>
      <w:r w:rsidRPr="008504F7">
        <w:rPr>
          <w:rFonts w:ascii="Times New Roman" w:hAnsi="Times New Roman"/>
          <w:sz w:val="24"/>
          <w:szCs w:val="24"/>
        </w:rPr>
        <w:t xml:space="preserve">; </w:t>
      </w:r>
      <w:r w:rsidRPr="008504F7">
        <w:rPr>
          <w:rStyle w:val="xml-collab"/>
          <w:rFonts w:ascii="Times New Roman" w:hAnsi="Times New Roman"/>
          <w:sz w:val="24"/>
          <w:szCs w:val="24"/>
        </w:rPr>
        <w:t>EIP Foodnet Working Group</w:t>
      </w:r>
      <w:r w:rsidRPr="008504F7">
        <w:rPr>
          <w:rFonts w:ascii="Times New Roman" w:hAnsi="Times New Roman"/>
          <w:sz w:val="24"/>
          <w:szCs w:val="24"/>
        </w:rPr>
        <w:t xml:space="preserve">. Comparability of FoodNet and United States populations. </w:t>
      </w:r>
      <w:r w:rsidRPr="001E0FD7">
        <w:rPr>
          <w:rFonts w:ascii="Times New Roman" w:hAnsi="Times New Roman"/>
          <w:sz w:val="24"/>
          <w:szCs w:val="24"/>
        </w:rPr>
        <w:t xml:space="preserve">March </w:t>
      </w:r>
      <w:r>
        <w:rPr>
          <w:rFonts w:ascii="Times New Roman" w:hAnsi="Times New Roman"/>
          <w:sz w:val="24"/>
          <w:szCs w:val="24"/>
        </w:rPr>
        <w:t xml:space="preserve">24–27, 2002. </w:t>
      </w:r>
      <w:r w:rsidRPr="008504F7">
        <w:rPr>
          <w:rFonts w:ascii="Times New Roman" w:hAnsi="Times New Roman"/>
          <w:sz w:val="24"/>
          <w:szCs w:val="24"/>
        </w:rPr>
        <w:t>International Conference o</w:t>
      </w:r>
      <w:r w:rsidRPr="00896264">
        <w:rPr>
          <w:rFonts w:ascii="Times New Roman" w:hAnsi="Times New Roman"/>
          <w:sz w:val="24"/>
          <w:szCs w:val="24"/>
        </w:rPr>
        <w:t xml:space="preserve">n Emerging Infectious Diseases. </w:t>
      </w:r>
      <w:r w:rsidRPr="008504F7">
        <w:rPr>
          <w:rFonts w:ascii="Times New Roman" w:hAnsi="Times New Roman"/>
          <w:sz w:val="24"/>
          <w:szCs w:val="24"/>
        </w:rPr>
        <w:t>Atlanta, G</w:t>
      </w:r>
      <w:r>
        <w:rPr>
          <w:rFonts w:ascii="Times New Roman" w:hAnsi="Times New Roman"/>
          <w:sz w:val="24"/>
          <w:szCs w:val="24"/>
        </w:rPr>
        <w:t>A</w:t>
      </w:r>
      <w:r w:rsidRPr="008504F7">
        <w:rPr>
          <w:rFonts w:ascii="Times New Roman" w:hAnsi="Times New Roman"/>
          <w:sz w:val="24"/>
          <w:szCs w:val="24"/>
        </w:rPr>
        <w:t>.</w:t>
      </w:r>
    </w:p>
    <w:p w14:paraId="73310310" w14:textId="77777777" w:rsidR="00C77282" w:rsidRPr="00F66735" w:rsidRDefault="00C77282" w:rsidP="00896264">
      <w:pPr>
        <w:numPr>
          <w:ilvl w:val="0"/>
          <w:numId w:val="17"/>
        </w:numPr>
      </w:pPr>
      <w:r w:rsidRPr="00896264">
        <w:t>Haley RW, Culver DH, White JW, et al. Study on the Efficacy</w:t>
      </w:r>
      <w:r w:rsidRPr="00F66735">
        <w:t xml:space="preserve"> of Nosocomial Infection Control (SENIC project): summary of study design. Am J Epidemiol 1980;111:472-85.</w:t>
      </w:r>
    </w:p>
    <w:p w14:paraId="3A4F63B1" w14:textId="77777777" w:rsidR="00D9460C" w:rsidRPr="00F66735" w:rsidRDefault="00D9460C" w:rsidP="00D9460C">
      <w:pPr>
        <w:numPr>
          <w:ilvl w:val="0"/>
          <w:numId w:val="17"/>
        </w:numPr>
      </w:pPr>
      <w:r w:rsidRPr="00F66735">
        <w:t>Sherman ER, Heydon KH, St John KH, et al. Administrative data fail to accurately identify cases of healthcare-associated infection. Infect Control Hosp Epidemiol 2006;27:332-7.</w:t>
      </w:r>
    </w:p>
    <w:p w14:paraId="12B03FEA" w14:textId="77777777" w:rsidR="00D9460C" w:rsidRPr="00F66735" w:rsidRDefault="00D9460C" w:rsidP="00D9460C">
      <w:pPr>
        <w:numPr>
          <w:ilvl w:val="0"/>
          <w:numId w:val="17"/>
        </w:numPr>
      </w:pPr>
      <w:r w:rsidRPr="00F66735">
        <w:t>Jhung MA, Banerjee SN. Administrative coding data and health care-associated infections. Clin Infect Dis 2009;49:949-55.</w:t>
      </w:r>
    </w:p>
    <w:p w14:paraId="0E90B9D8" w14:textId="77777777" w:rsidR="00D9460C" w:rsidRPr="00F66735" w:rsidRDefault="00D9460C" w:rsidP="00D9460C">
      <w:pPr>
        <w:numPr>
          <w:ilvl w:val="0"/>
          <w:numId w:val="17"/>
        </w:numPr>
      </w:pPr>
      <w:r w:rsidRPr="00F66735">
        <w:t>Cass AL, Kelly JW, Probst JC, et al. Identification of device-associated infections utilizing administrative data. Am J Infect Control 2013 Jun 12 (Epub ahead of print).</w:t>
      </w:r>
    </w:p>
    <w:p w14:paraId="61365208" w14:textId="77777777" w:rsidR="00D9460C" w:rsidRPr="004D60D4" w:rsidRDefault="00D9460C" w:rsidP="00896264">
      <w:pPr>
        <w:numPr>
          <w:ilvl w:val="0"/>
          <w:numId w:val="17"/>
        </w:numPr>
      </w:pPr>
      <w:r w:rsidRPr="00F66735">
        <w:t xml:space="preserve">Moehring R, Staheli R, Miller BA, et al. Central line-associated infections as defined by the Centers for Medicare and Medicaid Services’ Hospital-acquired Condition versus standard </w:t>
      </w:r>
      <w:r w:rsidRPr="00896264">
        <w:t>infection control surveillance: why Hospital Compare seems conflicted. Infect Control Hosp Epidemiol 2013;34:238-44.</w:t>
      </w:r>
    </w:p>
    <w:p w14:paraId="52B1658C" w14:textId="1F8A9F66" w:rsidR="004D60D4" w:rsidRPr="00044D31" w:rsidRDefault="00490FD4" w:rsidP="008504F7">
      <w:pPr>
        <w:pStyle w:val="ListParagraph"/>
        <w:numPr>
          <w:ilvl w:val="0"/>
          <w:numId w:val="17"/>
        </w:numPr>
        <w:contextualSpacing/>
      </w:pPr>
      <w:hyperlink r:id="rId41" w:history="1">
        <w:r w:rsidR="004D60D4" w:rsidRPr="008504F7">
          <w:rPr>
            <w:rStyle w:val="highlight"/>
            <w:rFonts w:ascii="Times New Roman" w:hAnsi="Times New Roman"/>
            <w:sz w:val="24"/>
            <w:szCs w:val="24"/>
            <w:lang w:val="en"/>
          </w:rPr>
          <w:t>Baggs J</w:t>
        </w:r>
      </w:hyperlink>
      <w:r w:rsidR="004D60D4" w:rsidRPr="008504F7">
        <w:rPr>
          <w:rFonts w:ascii="Times New Roman" w:hAnsi="Times New Roman"/>
          <w:sz w:val="24"/>
          <w:szCs w:val="24"/>
          <w:lang w:val="en"/>
        </w:rPr>
        <w:t xml:space="preserve">, </w:t>
      </w:r>
      <w:hyperlink r:id="rId42" w:history="1">
        <w:r w:rsidR="004D60D4" w:rsidRPr="008504F7">
          <w:rPr>
            <w:rFonts w:ascii="Times New Roman" w:hAnsi="Times New Roman"/>
            <w:sz w:val="24"/>
            <w:szCs w:val="24"/>
            <w:lang w:val="en"/>
          </w:rPr>
          <w:t>Fridkin SK</w:t>
        </w:r>
      </w:hyperlink>
      <w:r w:rsidR="004D60D4" w:rsidRPr="008504F7">
        <w:rPr>
          <w:rFonts w:ascii="Times New Roman" w:hAnsi="Times New Roman"/>
          <w:sz w:val="24"/>
          <w:szCs w:val="24"/>
          <w:lang w:val="en"/>
        </w:rPr>
        <w:t xml:space="preserve">, </w:t>
      </w:r>
      <w:hyperlink r:id="rId43" w:history="1">
        <w:r w:rsidR="004D60D4" w:rsidRPr="008504F7">
          <w:rPr>
            <w:rFonts w:ascii="Times New Roman" w:hAnsi="Times New Roman"/>
            <w:sz w:val="24"/>
            <w:szCs w:val="24"/>
            <w:lang w:val="en"/>
          </w:rPr>
          <w:t>Pollack LA</w:t>
        </w:r>
      </w:hyperlink>
      <w:r w:rsidR="004D60D4" w:rsidRPr="008504F7">
        <w:rPr>
          <w:rFonts w:ascii="Times New Roman" w:hAnsi="Times New Roman"/>
          <w:sz w:val="24"/>
          <w:szCs w:val="24"/>
          <w:lang w:val="en"/>
        </w:rPr>
        <w:t xml:space="preserve">, </w:t>
      </w:r>
      <w:hyperlink r:id="rId44" w:history="1">
        <w:r w:rsidR="004D60D4" w:rsidRPr="008504F7">
          <w:rPr>
            <w:rFonts w:ascii="Times New Roman" w:hAnsi="Times New Roman"/>
            <w:sz w:val="24"/>
            <w:szCs w:val="24"/>
            <w:lang w:val="en"/>
          </w:rPr>
          <w:t>Srinivasan A</w:t>
        </w:r>
      </w:hyperlink>
      <w:r w:rsidR="004D60D4" w:rsidRPr="008504F7">
        <w:rPr>
          <w:rFonts w:ascii="Times New Roman" w:hAnsi="Times New Roman"/>
          <w:sz w:val="24"/>
          <w:szCs w:val="24"/>
          <w:lang w:val="en"/>
        </w:rPr>
        <w:t xml:space="preserve">, </w:t>
      </w:r>
      <w:hyperlink r:id="rId45" w:history="1">
        <w:r w:rsidR="004D60D4" w:rsidRPr="008504F7">
          <w:rPr>
            <w:rFonts w:ascii="Times New Roman" w:hAnsi="Times New Roman"/>
            <w:sz w:val="24"/>
            <w:szCs w:val="24"/>
            <w:lang w:val="en"/>
          </w:rPr>
          <w:t>Jernigan JA</w:t>
        </w:r>
      </w:hyperlink>
      <w:r w:rsidR="004D60D4" w:rsidRPr="008504F7">
        <w:rPr>
          <w:rFonts w:ascii="Times New Roman" w:hAnsi="Times New Roman"/>
          <w:sz w:val="24"/>
          <w:szCs w:val="24"/>
          <w:lang w:val="en"/>
        </w:rPr>
        <w:t xml:space="preserve">. Estimating national trends in inpatient antibiotic use among US hospitals from 2006 to 2012. </w:t>
      </w:r>
      <w:hyperlink r:id="rId46" w:tooltip="JAMA internal medicine." w:history="1">
        <w:r w:rsidR="004D60D4" w:rsidRPr="008504F7">
          <w:rPr>
            <w:rFonts w:ascii="Times New Roman" w:hAnsi="Times New Roman"/>
            <w:i/>
            <w:sz w:val="24"/>
            <w:szCs w:val="24"/>
            <w:lang w:val="en"/>
          </w:rPr>
          <w:t>JAMA Intern Med</w:t>
        </w:r>
      </w:hyperlink>
      <w:r w:rsidR="004D60D4" w:rsidRPr="008504F7">
        <w:rPr>
          <w:rFonts w:ascii="Times New Roman" w:hAnsi="Times New Roman"/>
          <w:i/>
          <w:sz w:val="24"/>
          <w:szCs w:val="24"/>
          <w:lang w:val="en"/>
        </w:rPr>
        <w:t xml:space="preserve"> </w:t>
      </w:r>
      <w:r w:rsidR="004D60D4" w:rsidRPr="008504F7">
        <w:rPr>
          <w:rFonts w:ascii="Times New Roman" w:hAnsi="Times New Roman"/>
          <w:sz w:val="24"/>
          <w:szCs w:val="24"/>
          <w:lang w:val="en"/>
        </w:rPr>
        <w:t>2016;176:1639-1648.</w:t>
      </w:r>
    </w:p>
    <w:p w14:paraId="401BC3D9" w14:textId="5101F218" w:rsidR="004D60D4" w:rsidRDefault="004D60D4" w:rsidP="00896264">
      <w:pPr>
        <w:numPr>
          <w:ilvl w:val="0"/>
          <w:numId w:val="17"/>
        </w:numPr>
      </w:pPr>
      <w:r w:rsidRPr="00896264">
        <w:t xml:space="preserve">Baggs J, </w:t>
      </w:r>
      <w:r w:rsidRPr="004D60D4">
        <w:t>Kazakova S, Hatfield K, et al. Trends in inpatient antibiotic use in U.S. hospitals, 2012-2017. IDWeek</w:t>
      </w:r>
      <w:r>
        <w:t xml:space="preserve"> 2019. Oct 2-6 Washington, D.C. Abstract no. 2891.</w:t>
      </w:r>
    </w:p>
    <w:p w14:paraId="7BF5F071" w14:textId="40E8DAB9" w:rsidR="00C77282" w:rsidRPr="00F66735" w:rsidRDefault="00C77282" w:rsidP="00D9460C">
      <w:pPr>
        <w:numPr>
          <w:ilvl w:val="0"/>
          <w:numId w:val="17"/>
        </w:numPr>
      </w:pPr>
      <w:r w:rsidRPr="00F66735">
        <w:t xml:space="preserve">Lanini S, Jarvis WR, Nicastri E, et al. Healthcare-associated infection in Italy: annual point-prevalence surveys, 2002-2004. </w:t>
      </w:r>
      <w:r w:rsidRPr="00F66735">
        <w:rPr>
          <w:i/>
        </w:rPr>
        <w:t xml:space="preserve">Infect Control Hosp Epidemiol </w:t>
      </w:r>
      <w:r w:rsidRPr="00F66735">
        <w:t xml:space="preserve">2009;30:659-65. </w:t>
      </w:r>
    </w:p>
    <w:p w14:paraId="251622B4" w14:textId="77777777" w:rsidR="00C77282" w:rsidRPr="00F66735" w:rsidRDefault="003C5F8F" w:rsidP="00135263">
      <w:pPr>
        <w:numPr>
          <w:ilvl w:val="0"/>
          <w:numId w:val="17"/>
        </w:numPr>
      </w:pPr>
      <w:r w:rsidRPr="00F66735">
        <w:t xml:space="preserve">Smyth ETM, McIlvenny G, Enstone JE, et al. </w:t>
      </w:r>
      <w:r w:rsidR="006F35FE" w:rsidRPr="00F66735">
        <w:t>Four Country H</w:t>
      </w:r>
      <w:r w:rsidRPr="00F66735">
        <w:t xml:space="preserve">ealthcare </w:t>
      </w:r>
      <w:r w:rsidR="006F35FE" w:rsidRPr="00F66735">
        <w:t>Associated I</w:t>
      </w:r>
      <w:r w:rsidRPr="00F66735">
        <w:t xml:space="preserve">nfection </w:t>
      </w:r>
      <w:r w:rsidR="006F35FE" w:rsidRPr="00F66735">
        <w:t>P</w:t>
      </w:r>
      <w:r w:rsidRPr="00F66735">
        <w:t xml:space="preserve">revalence </w:t>
      </w:r>
      <w:r w:rsidR="006F35FE" w:rsidRPr="00F66735">
        <w:t>S</w:t>
      </w:r>
      <w:r w:rsidRPr="00F66735">
        <w:t xml:space="preserve">urvey 2006: overview of the results. </w:t>
      </w:r>
      <w:r w:rsidRPr="00F66735">
        <w:rPr>
          <w:i/>
        </w:rPr>
        <w:t>J Hosp Infect</w:t>
      </w:r>
      <w:r w:rsidRPr="00F66735">
        <w:t xml:space="preserve"> 2008;69:230-48.</w:t>
      </w:r>
    </w:p>
    <w:p w14:paraId="5D3E0C69" w14:textId="77777777" w:rsidR="00C77282" w:rsidRPr="00F66735" w:rsidRDefault="006F35FE" w:rsidP="00135263">
      <w:pPr>
        <w:numPr>
          <w:ilvl w:val="0"/>
          <w:numId w:val="17"/>
        </w:numPr>
      </w:pPr>
      <w:r w:rsidRPr="00F66735">
        <w:t xml:space="preserve">Reilly J, Stewart S, Allardice GA, et al. Results from the Scottish National HAI Prevalence Survey. </w:t>
      </w:r>
      <w:r w:rsidRPr="00F66735">
        <w:rPr>
          <w:i/>
        </w:rPr>
        <w:t xml:space="preserve">J Hosp Infect </w:t>
      </w:r>
      <w:r w:rsidRPr="00F66735">
        <w:t>2008;69:62-68.</w:t>
      </w:r>
    </w:p>
    <w:p w14:paraId="306EFAC0" w14:textId="77777777" w:rsidR="00C77282" w:rsidRPr="00F66735" w:rsidRDefault="006F35FE" w:rsidP="00135263">
      <w:pPr>
        <w:numPr>
          <w:ilvl w:val="0"/>
          <w:numId w:val="17"/>
        </w:numPr>
      </w:pPr>
      <w:r w:rsidRPr="00F66735">
        <w:t xml:space="preserve">Kanerva M, Ollgren J, Virtanen MJ, Lyytikäinen O, for the Prevalence Survey Study Group. Estimating the annual burden of healthcare-associated infections in Finnish adult acute care hospitals. </w:t>
      </w:r>
      <w:r w:rsidRPr="00F66735">
        <w:rPr>
          <w:i/>
        </w:rPr>
        <w:t>Am J Infect Control</w:t>
      </w:r>
      <w:r w:rsidRPr="00F66735">
        <w:t xml:space="preserve"> 2009;37:227-30.</w:t>
      </w:r>
    </w:p>
    <w:p w14:paraId="2C967317" w14:textId="77777777" w:rsidR="00C77282" w:rsidRPr="00F66735" w:rsidRDefault="00C77282" w:rsidP="00135263">
      <w:pPr>
        <w:numPr>
          <w:ilvl w:val="0"/>
          <w:numId w:val="17"/>
        </w:numPr>
      </w:pPr>
      <w:r w:rsidRPr="00F66735">
        <w:t>Gastmeier P, Kampf G, Wischnewsky N, et al. Prevalence of nosocomial infections in representative German hospitals. J Hosp Infect 1998;38:37-49.</w:t>
      </w:r>
    </w:p>
    <w:p w14:paraId="22C9FCF1" w14:textId="77777777" w:rsidR="00C77282" w:rsidRPr="00F66735" w:rsidRDefault="00C77282" w:rsidP="00135263">
      <w:pPr>
        <w:numPr>
          <w:ilvl w:val="0"/>
          <w:numId w:val="17"/>
        </w:numPr>
      </w:pPr>
      <w:r w:rsidRPr="00F66735">
        <w:t>Scheel O, Stormark M. National prevalence survey on hospital infections in Norway. J Hosp Infect 1999;41:331-5.</w:t>
      </w:r>
    </w:p>
    <w:p w14:paraId="39F97D3F" w14:textId="77777777" w:rsidR="00C77282" w:rsidRPr="00F66735" w:rsidRDefault="00C77282" w:rsidP="00135263">
      <w:pPr>
        <w:numPr>
          <w:ilvl w:val="0"/>
          <w:numId w:val="17"/>
        </w:numPr>
      </w:pPr>
      <w:r w:rsidRPr="00F66735">
        <w:rPr>
          <w:lang w:val="fr-FR"/>
        </w:rPr>
        <w:t xml:space="preserve">Vaque J, Rossello J, Arribas JL, et al. </w:t>
      </w:r>
      <w:r w:rsidRPr="00F66735">
        <w:t>Prevalence of nosocomial infections in Spain. J Hosp Infect 1999;43:105-11.</w:t>
      </w:r>
    </w:p>
    <w:p w14:paraId="3346AF9B" w14:textId="77777777" w:rsidR="00C77282" w:rsidRPr="00F66735" w:rsidRDefault="00C77282" w:rsidP="00135263">
      <w:pPr>
        <w:numPr>
          <w:ilvl w:val="0"/>
          <w:numId w:val="17"/>
        </w:numPr>
      </w:pPr>
      <w:r w:rsidRPr="00F66735">
        <w:t xml:space="preserve"> The French Prevalence Survey Study Group. Prevalence of nosocomial infections in France: results of the nationwide survey in 1996. J Hosp Infect 2000;46:186-193.</w:t>
      </w:r>
    </w:p>
    <w:p w14:paraId="39CB9F5B" w14:textId="77777777" w:rsidR="00C77282" w:rsidRPr="00F66735" w:rsidRDefault="00C77282" w:rsidP="00135263">
      <w:pPr>
        <w:numPr>
          <w:ilvl w:val="0"/>
          <w:numId w:val="17"/>
        </w:numPr>
      </w:pPr>
      <w:r w:rsidRPr="00F66735">
        <w:t>Azzam R, Dramaix M. A one day prevalence survey of hospital-acquired infections in Lebanon. J Hosp Infect 2001;49:74-8.</w:t>
      </w:r>
    </w:p>
    <w:p w14:paraId="53AD3BED" w14:textId="77777777" w:rsidR="00C77282" w:rsidRPr="00F66735" w:rsidRDefault="00C77282" w:rsidP="00135263">
      <w:pPr>
        <w:numPr>
          <w:ilvl w:val="0"/>
          <w:numId w:val="17"/>
        </w:numPr>
      </w:pPr>
      <w:r w:rsidRPr="00F66735">
        <w:rPr>
          <w:lang w:val="it-IT"/>
        </w:rPr>
        <w:t xml:space="preserve">Zotti CM, Messori G, Charrier L, et al. </w:t>
      </w:r>
      <w:r w:rsidRPr="00F66735">
        <w:t>Hospital-acquired infections in Italy: a region wide prevalence study. J Hosp Infect 2003;56:142-9.</w:t>
      </w:r>
    </w:p>
    <w:p w14:paraId="37E0D315" w14:textId="77777777" w:rsidR="00C77282" w:rsidRPr="00F66735" w:rsidRDefault="00C77282" w:rsidP="00135263">
      <w:pPr>
        <w:numPr>
          <w:ilvl w:val="0"/>
          <w:numId w:val="17"/>
        </w:numPr>
      </w:pPr>
      <w:r w:rsidRPr="00F66735">
        <w:rPr>
          <w:lang w:val="fi-FI"/>
        </w:rPr>
        <w:t xml:space="preserve">Gikas A, Pediaditis J, Papadakis JA, et al. </w:t>
      </w:r>
      <w:r w:rsidRPr="00F66735">
        <w:t>Prevalence study of hospital-acquired infections in 14 Greek hospitals.  J Hosp Infect 2002;50:269-75.</w:t>
      </w:r>
    </w:p>
    <w:p w14:paraId="470E9A41" w14:textId="77777777" w:rsidR="00C77282" w:rsidRPr="00F66735" w:rsidRDefault="00C77282" w:rsidP="00135263">
      <w:pPr>
        <w:numPr>
          <w:ilvl w:val="0"/>
          <w:numId w:val="17"/>
        </w:numPr>
      </w:pPr>
      <w:r w:rsidRPr="00F66735">
        <w:rPr>
          <w:lang w:val="fr-FR"/>
        </w:rPr>
        <w:t xml:space="preserve">Plowman R, Graves N, Griffin MA, et al. </w:t>
      </w:r>
      <w:r w:rsidRPr="00F66735">
        <w:t>The rate and cost of hospital-acquired infections occurring in patients admitted to selected specialities of a district general hospital in England and the national burden imposed. J Hosp Infect 2001;47:198-209.</w:t>
      </w:r>
    </w:p>
    <w:p w14:paraId="16409059" w14:textId="77777777" w:rsidR="00C77282" w:rsidRPr="00F66735" w:rsidRDefault="00C77282" w:rsidP="00135263">
      <w:pPr>
        <w:numPr>
          <w:ilvl w:val="0"/>
          <w:numId w:val="17"/>
        </w:numPr>
      </w:pPr>
      <w:r w:rsidRPr="00F66735">
        <w:t>Emmerson AM, Enstone JE, Griffin MA, et al. The Second National Prevalence Survey of infection in hospitals—overview of the results.  J Hosp Infect 1996;32:175-90.</w:t>
      </w:r>
    </w:p>
    <w:p w14:paraId="45EE6CEA" w14:textId="77777777" w:rsidR="00C77282" w:rsidRPr="00F66735" w:rsidRDefault="00C77282" w:rsidP="00135263">
      <w:pPr>
        <w:numPr>
          <w:ilvl w:val="0"/>
          <w:numId w:val="17"/>
        </w:numPr>
      </w:pPr>
      <w:r w:rsidRPr="00F66735">
        <w:rPr>
          <w:lang w:val="da-DK"/>
        </w:rPr>
        <w:t xml:space="preserve">Pittet D, Harbarth S, Ruef C, et al. </w:t>
      </w:r>
      <w:r w:rsidRPr="00F66735">
        <w:t>Prevalence and risk factors for nosocomial infection in four university hospitals in Switzerland. Infect Control Hosp Epidemiol 1997;20:37-42.</w:t>
      </w:r>
    </w:p>
    <w:p w14:paraId="66D52AE4" w14:textId="77777777" w:rsidR="00C77282" w:rsidRPr="00F66735" w:rsidRDefault="00C77282" w:rsidP="00135263">
      <w:pPr>
        <w:numPr>
          <w:ilvl w:val="0"/>
          <w:numId w:val="17"/>
        </w:numPr>
      </w:pPr>
      <w:r w:rsidRPr="00F66735">
        <w:rPr>
          <w:lang w:val="it-IT"/>
        </w:rPr>
        <w:t xml:space="preserve">Faria S, Sodano L, Gjata A, et al. </w:t>
      </w:r>
      <w:r w:rsidRPr="00F66735">
        <w:t>The first prevalence survey of nosocomial infections in the University Hospital Centre Mother Teresa of Tirana, Albania. J Hosp Infect 2007;65:244-50.</w:t>
      </w:r>
    </w:p>
    <w:p w14:paraId="1ADB5D86" w14:textId="77777777" w:rsidR="00C77282" w:rsidRPr="00F66735" w:rsidRDefault="00C77282" w:rsidP="00135263">
      <w:pPr>
        <w:numPr>
          <w:ilvl w:val="0"/>
          <w:numId w:val="17"/>
        </w:numPr>
      </w:pPr>
      <w:r w:rsidRPr="00F66735">
        <w:t>Hajdu A, Samodova OV, Carlsson TR, et al. A point prevalence survey of hospital-acquired infections and antimicrobial use in a pediatric hospital in north-western Russia. J Hosp Infect 2007;66:378-84.</w:t>
      </w:r>
    </w:p>
    <w:p w14:paraId="6C9F9859" w14:textId="77777777" w:rsidR="00C77282" w:rsidRPr="00F66735" w:rsidRDefault="00C77282" w:rsidP="00135263">
      <w:pPr>
        <w:numPr>
          <w:ilvl w:val="0"/>
          <w:numId w:val="17"/>
        </w:numPr>
      </w:pPr>
      <w:r w:rsidRPr="00F66735">
        <w:t>Lee MK, Chiu CS, Chow VC, et al. Prevalence of hospital infection and antibiotic use at a university medical Center in Hong Kong. J Hosp Infect 2007;65:341-74.</w:t>
      </w:r>
    </w:p>
    <w:p w14:paraId="41A470CA" w14:textId="77777777" w:rsidR="00C77282" w:rsidRPr="00F66735" w:rsidRDefault="00C77282" w:rsidP="00135263">
      <w:pPr>
        <w:numPr>
          <w:ilvl w:val="0"/>
          <w:numId w:val="17"/>
        </w:numPr>
      </w:pPr>
      <w:r w:rsidRPr="00F66735">
        <w:rPr>
          <w:lang w:val="pt-BR"/>
        </w:rPr>
        <w:t xml:space="preserve">Duerink DO, Roeshadi D, Wahjono H, et al. </w:t>
      </w:r>
      <w:r w:rsidRPr="00F66735">
        <w:t>Surveillance of healthcare-associated infections in Indonesian hospitals. J Hosp Infect 2006;62:219-29.</w:t>
      </w:r>
    </w:p>
    <w:p w14:paraId="5C87C2EF" w14:textId="77777777" w:rsidR="00C77282" w:rsidRPr="00F66735" w:rsidRDefault="00C77282" w:rsidP="00135263">
      <w:pPr>
        <w:numPr>
          <w:ilvl w:val="0"/>
          <w:numId w:val="17"/>
        </w:numPr>
      </w:pPr>
      <w:r w:rsidRPr="00F66735">
        <w:rPr>
          <w:lang w:val="da-DK"/>
        </w:rPr>
        <w:t xml:space="preserve">Klavs I, Luznik TB, Skerl M, et al. </w:t>
      </w:r>
      <w:r w:rsidRPr="00F66735">
        <w:t>Prevalence of and risk factors for hospital-acquired infections in Slovenia—results of the first national survey, 2001. J Hosp Infect 2003;54:149-57.</w:t>
      </w:r>
    </w:p>
    <w:p w14:paraId="5F4E2496" w14:textId="77777777" w:rsidR="00C77282" w:rsidRPr="00F66735" w:rsidRDefault="00C77282" w:rsidP="00135263">
      <w:pPr>
        <w:numPr>
          <w:ilvl w:val="0"/>
          <w:numId w:val="17"/>
        </w:numPr>
      </w:pPr>
      <w:r w:rsidRPr="00F66735">
        <w:rPr>
          <w:lang w:val="da-DK"/>
        </w:rPr>
        <w:t xml:space="preserve">Kallel H, Bahoul M, Ksibi H, et al. </w:t>
      </w:r>
      <w:r w:rsidRPr="00F66735">
        <w:t>Prevalence of hospital-acquired infection in a Tunisian hospital. J Hosp Infect 2005;59:343-7.</w:t>
      </w:r>
    </w:p>
    <w:p w14:paraId="53DE7F8F" w14:textId="77777777" w:rsidR="00C77282" w:rsidRPr="00F66735" w:rsidRDefault="00C77282" w:rsidP="00135263">
      <w:pPr>
        <w:numPr>
          <w:ilvl w:val="0"/>
          <w:numId w:val="17"/>
        </w:numPr>
      </w:pPr>
      <w:r w:rsidRPr="00F66735">
        <w:rPr>
          <w:lang w:val="es-ES"/>
        </w:rPr>
        <w:t xml:space="preserve">Metintas S, Akgun Y, Durmaz G, et al. </w:t>
      </w:r>
      <w:r w:rsidRPr="00F66735">
        <w:t>Prevalence and characteristics of nosocomial infections in a Turkish university hospital. Am J Infect Control 2004;32:409-13.</w:t>
      </w:r>
    </w:p>
    <w:p w14:paraId="19D06E76" w14:textId="77777777" w:rsidR="00C77282" w:rsidRPr="00F66735" w:rsidRDefault="00C77282" w:rsidP="00135263">
      <w:pPr>
        <w:numPr>
          <w:ilvl w:val="0"/>
          <w:numId w:val="17"/>
        </w:numPr>
        <w:rPr>
          <w:lang w:val="it-IT"/>
        </w:rPr>
      </w:pPr>
      <w:r w:rsidRPr="00F66735">
        <w:t xml:space="preserve">Danchaivijitr S, Judaeng T, Sripalakij S, Naksawas K, Plipat T. Prevalence of nosocomial infection in Thailand 2006. </w:t>
      </w:r>
      <w:r w:rsidRPr="00F66735">
        <w:rPr>
          <w:lang w:val="it-IT"/>
        </w:rPr>
        <w:t>J Med Assoc Thai 2007;90:1524-9.</w:t>
      </w:r>
    </w:p>
    <w:p w14:paraId="6C2A72B7" w14:textId="77777777" w:rsidR="00C77282" w:rsidRPr="00F66735" w:rsidRDefault="00C77282" w:rsidP="00135263">
      <w:pPr>
        <w:numPr>
          <w:ilvl w:val="0"/>
          <w:numId w:val="17"/>
        </w:numPr>
      </w:pPr>
      <w:r w:rsidRPr="00F66735">
        <w:t>Gravel D, Matlow A, Ofner-Agostini M, et al. A point prevalence survey of healthcare-associated infections in pediatric populations in major Canadian acute care hospitals. Am J Infect Control 2007;35:157-62.</w:t>
      </w:r>
    </w:p>
    <w:p w14:paraId="337FCC1E" w14:textId="77777777" w:rsidR="00C77282" w:rsidRPr="00F66735" w:rsidRDefault="00C77282" w:rsidP="00135263">
      <w:pPr>
        <w:numPr>
          <w:ilvl w:val="0"/>
          <w:numId w:val="17"/>
        </w:numPr>
      </w:pPr>
      <w:r w:rsidRPr="00F66735">
        <w:t>Gravel D, Taylor G, Ofner M, et al. Point prevalence survey for healthcare-associated infections within Canadian adult acute-care hospitals. J Hosp Infect 2007;66:243-8.</w:t>
      </w:r>
    </w:p>
    <w:p w14:paraId="48C67BA1" w14:textId="77777777" w:rsidR="00C77282" w:rsidRPr="00F66735" w:rsidRDefault="00C77282" w:rsidP="00135263">
      <w:pPr>
        <w:numPr>
          <w:ilvl w:val="0"/>
          <w:numId w:val="17"/>
        </w:numPr>
      </w:pPr>
      <w:r w:rsidRPr="00F66735">
        <w:t>Ansari F, Erntell M, Goossens H, et al. The European Surveillance of Antimicrobial Consumption (ESAC) point-prevalence survey of antibacterial use in 20 European hospitals in 2006. Clin Infect Dis 2009;49:1496-1504.</w:t>
      </w:r>
    </w:p>
    <w:p w14:paraId="0181BC70" w14:textId="77777777" w:rsidR="00B01377" w:rsidRPr="00F66735" w:rsidRDefault="00B01377" w:rsidP="00135263">
      <w:pPr>
        <w:numPr>
          <w:ilvl w:val="0"/>
          <w:numId w:val="17"/>
        </w:numPr>
        <w:contextualSpacing/>
      </w:pPr>
      <w:r w:rsidRPr="00F66735">
        <w:t xml:space="preserve">Mayr FB, Yende S, Linde-Zwirble WT, et al. </w:t>
      </w:r>
      <w:r w:rsidRPr="00F66735">
        <w:rPr>
          <w:bCs/>
          <w:kern w:val="36"/>
          <w:lang w:val="en"/>
        </w:rPr>
        <w:t>Infection rate and acute organ dysfunction risk as explanations for racial differences in severe sepsis. JAMA 2010;303:2495-2503.</w:t>
      </w:r>
    </w:p>
    <w:p w14:paraId="6926CC35" w14:textId="77777777" w:rsidR="00A1590B" w:rsidRPr="00F66735" w:rsidRDefault="00BF2C92" w:rsidP="005A38AD">
      <w:pPr>
        <w:numPr>
          <w:ilvl w:val="0"/>
          <w:numId w:val="17"/>
        </w:numPr>
        <w:contextualSpacing/>
      </w:pPr>
      <w:r w:rsidRPr="00F66735">
        <w:t xml:space="preserve">Klevens RM, Morrison MA, Nadle J, et al. Invasive methicillin-resistant </w:t>
      </w:r>
      <w:r w:rsidRPr="00F66735">
        <w:rPr>
          <w:i/>
        </w:rPr>
        <w:t xml:space="preserve">Staphylococcus aureus </w:t>
      </w:r>
      <w:r w:rsidRPr="00F66735">
        <w:t>infections in the United States. JAMA 2007;298:1763-71.</w:t>
      </w:r>
    </w:p>
    <w:p w14:paraId="1074FDF3" w14:textId="77777777" w:rsidR="00B01377" w:rsidRPr="00F66735" w:rsidRDefault="00B01377" w:rsidP="00B01377">
      <w:pPr>
        <w:numPr>
          <w:ilvl w:val="0"/>
          <w:numId w:val="17"/>
        </w:numPr>
        <w:contextualSpacing/>
        <w:rPr>
          <w:b/>
        </w:rPr>
        <w:sectPr w:rsidR="00B01377" w:rsidRPr="00F66735" w:rsidSect="0022519E">
          <w:pgSz w:w="12240" w:h="15840"/>
          <w:pgMar w:top="1440" w:right="1440" w:bottom="1440" w:left="1440" w:header="720" w:footer="720" w:gutter="0"/>
          <w:cols w:space="720"/>
          <w:docGrid w:linePitch="360"/>
        </w:sectPr>
      </w:pPr>
    </w:p>
    <w:p w14:paraId="733F1968" w14:textId="77777777" w:rsidR="005A2E28" w:rsidRPr="00F66735" w:rsidRDefault="00E65193" w:rsidP="00061956">
      <w:pPr>
        <w:pStyle w:val="Heading1"/>
        <w:numPr>
          <w:ilvl w:val="0"/>
          <w:numId w:val="0"/>
        </w:numPr>
      </w:pPr>
      <w:bookmarkStart w:id="50" w:name="_Toc455558117"/>
      <w:r w:rsidRPr="00F66735">
        <w:t>List of Attachments</w:t>
      </w:r>
      <w:bookmarkEnd w:id="50"/>
    </w:p>
    <w:p w14:paraId="56BEAB95" w14:textId="77777777" w:rsidR="00E65193" w:rsidRPr="00F66735" w:rsidRDefault="00E65193" w:rsidP="00EE7469">
      <w:pPr>
        <w:ind w:left="720" w:hanging="720"/>
        <w:jc w:val="center"/>
        <w:rPr>
          <w:b/>
        </w:rPr>
      </w:pPr>
    </w:p>
    <w:p w14:paraId="6BC95642" w14:textId="77777777" w:rsidR="009E2D51" w:rsidRPr="00F66735" w:rsidRDefault="009E2D51" w:rsidP="000058F9">
      <w:pPr>
        <w:numPr>
          <w:ilvl w:val="0"/>
          <w:numId w:val="36"/>
        </w:numPr>
      </w:pPr>
      <w:r w:rsidRPr="00F66735">
        <w:t>United States Code, Title 42, Chapter 6A Part 241</w:t>
      </w:r>
      <w:r w:rsidR="00C23549" w:rsidRPr="00F66735">
        <w:t xml:space="preserve"> (referenced in Part A)</w:t>
      </w:r>
    </w:p>
    <w:p w14:paraId="25FF07BB" w14:textId="77777777" w:rsidR="009E2D51" w:rsidRPr="00F66735" w:rsidRDefault="009E2D51" w:rsidP="000058F9"/>
    <w:p w14:paraId="43D85E2F" w14:textId="227F4FCB" w:rsidR="00B70723" w:rsidRPr="00F66735" w:rsidRDefault="007B0189" w:rsidP="007B0189">
      <w:pPr>
        <w:ind w:left="720" w:hanging="360"/>
      </w:pPr>
      <w:r>
        <w:t xml:space="preserve">A.2 </w:t>
      </w:r>
      <w:r w:rsidR="00B70723" w:rsidRPr="00F66735">
        <w:t>American Recovery and Reinvestment Act of 2009</w:t>
      </w:r>
      <w:r w:rsidR="00C23549" w:rsidRPr="00F66735">
        <w:t xml:space="preserve"> (referenced in Part A)</w:t>
      </w:r>
    </w:p>
    <w:p w14:paraId="5EA21554" w14:textId="77777777" w:rsidR="009E2D51" w:rsidRPr="00F66735" w:rsidRDefault="009E2D51" w:rsidP="00930740">
      <w:pPr>
        <w:ind w:left="360" w:hanging="360"/>
      </w:pPr>
    </w:p>
    <w:p w14:paraId="4E3B5769" w14:textId="325A2118" w:rsidR="007B0189" w:rsidRDefault="001A0E07" w:rsidP="007B0189">
      <w:pPr>
        <w:numPr>
          <w:ilvl w:val="0"/>
          <w:numId w:val="36"/>
        </w:numPr>
      </w:pPr>
      <w:r>
        <w:t>30</w:t>
      </w:r>
      <w:r w:rsidR="00C76D71">
        <w:t>-Day FRN</w:t>
      </w:r>
    </w:p>
    <w:p w14:paraId="76913073" w14:textId="77777777" w:rsidR="007B0189" w:rsidRDefault="007B0189" w:rsidP="007B0189">
      <w:pPr>
        <w:pStyle w:val="ListParagraph"/>
      </w:pPr>
    </w:p>
    <w:p w14:paraId="0B1912B5" w14:textId="2432DC54" w:rsidR="006B10FB" w:rsidRPr="00F66735" w:rsidRDefault="000058F9" w:rsidP="007B0189">
      <w:pPr>
        <w:numPr>
          <w:ilvl w:val="0"/>
          <w:numId w:val="36"/>
        </w:numPr>
      </w:pPr>
      <w:r w:rsidRPr="00F66735">
        <w:t>Healthcare</w:t>
      </w:r>
      <w:r w:rsidR="00FD1252" w:rsidRPr="00F66735">
        <w:t xml:space="preserve"> </w:t>
      </w:r>
      <w:r w:rsidR="006B10FB" w:rsidRPr="00F66735">
        <w:t xml:space="preserve">Facility Assessment (HFA) </w:t>
      </w:r>
      <w:r w:rsidR="00C23549" w:rsidRPr="00F66735">
        <w:t>(referenced in Part A)</w:t>
      </w:r>
    </w:p>
    <w:p w14:paraId="5BEF5F67" w14:textId="77777777" w:rsidR="009E2D51" w:rsidRPr="00F66735" w:rsidRDefault="009E2D51" w:rsidP="00930740">
      <w:pPr>
        <w:ind w:left="360" w:hanging="360"/>
      </w:pPr>
    </w:p>
    <w:p w14:paraId="092BCE5C" w14:textId="77777777" w:rsidR="006B10FB" w:rsidRPr="00F66735" w:rsidRDefault="006B10FB" w:rsidP="007B0189">
      <w:pPr>
        <w:numPr>
          <w:ilvl w:val="0"/>
          <w:numId w:val="36"/>
        </w:numPr>
      </w:pPr>
      <w:r w:rsidRPr="00F66735">
        <w:t>Patient Information Form (PIF)</w:t>
      </w:r>
      <w:r w:rsidR="00C23549" w:rsidRPr="00F66735">
        <w:t xml:space="preserve"> (referenced in Part A)</w:t>
      </w:r>
    </w:p>
    <w:p w14:paraId="70984E06" w14:textId="77777777" w:rsidR="009842E3" w:rsidRPr="00F66735" w:rsidRDefault="009842E3" w:rsidP="00930740">
      <w:pPr>
        <w:ind w:left="360" w:hanging="360"/>
      </w:pPr>
    </w:p>
    <w:p w14:paraId="1DF63BA3" w14:textId="6CD06F42" w:rsidR="000058F9" w:rsidRPr="00F66735" w:rsidRDefault="00265511" w:rsidP="007B0189">
      <w:pPr>
        <w:numPr>
          <w:ilvl w:val="0"/>
          <w:numId w:val="36"/>
        </w:numPr>
      </w:pPr>
      <w:r w:rsidRPr="00F66735">
        <w:t xml:space="preserve">Draft </w:t>
      </w:r>
      <w:r w:rsidR="000058F9" w:rsidRPr="00F66735">
        <w:t>Healthcare-Associated Infection (HAI) Form (referenced in Part A, supplemental information only)</w:t>
      </w:r>
    </w:p>
    <w:p w14:paraId="0A5A8EA5" w14:textId="77777777" w:rsidR="000058F9" w:rsidRPr="00F66735" w:rsidRDefault="000058F9" w:rsidP="000058F9">
      <w:pPr>
        <w:pStyle w:val="ListParagraph"/>
      </w:pPr>
    </w:p>
    <w:p w14:paraId="4F1F0CC8" w14:textId="7875D01B" w:rsidR="000058F9" w:rsidRPr="00F66735" w:rsidRDefault="00265511" w:rsidP="007B0189">
      <w:pPr>
        <w:numPr>
          <w:ilvl w:val="0"/>
          <w:numId w:val="36"/>
        </w:numPr>
      </w:pPr>
      <w:r w:rsidRPr="00F66735">
        <w:t xml:space="preserve">Draft </w:t>
      </w:r>
      <w:r w:rsidR="000058F9" w:rsidRPr="00F66735">
        <w:t>Antimicrobial Use (AU) Form (referenced in Part A, supplemental information only)</w:t>
      </w:r>
    </w:p>
    <w:p w14:paraId="753A4160" w14:textId="77777777" w:rsidR="000058F9" w:rsidRPr="00F66735" w:rsidRDefault="000058F9" w:rsidP="000058F9">
      <w:pPr>
        <w:pStyle w:val="ListParagraph"/>
      </w:pPr>
    </w:p>
    <w:p w14:paraId="56EAEF38" w14:textId="079DBEFC" w:rsidR="000058F9" w:rsidRPr="00F66735" w:rsidRDefault="00265511" w:rsidP="007B0189">
      <w:pPr>
        <w:numPr>
          <w:ilvl w:val="0"/>
          <w:numId w:val="36"/>
        </w:numPr>
      </w:pPr>
      <w:r w:rsidRPr="00F66735">
        <w:t xml:space="preserve">Draft </w:t>
      </w:r>
      <w:r w:rsidR="000058F9" w:rsidRPr="00F66735">
        <w:t>Antimicrobial Quality Use Assessment (AQUA) Form 1: Case Eligibility (referenced in Part A, supplemental information only)</w:t>
      </w:r>
    </w:p>
    <w:p w14:paraId="0DE80E30" w14:textId="77777777" w:rsidR="000058F9" w:rsidRPr="00F66735" w:rsidRDefault="000058F9" w:rsidP="000058F9">
      <w:pPr>
        <w:pStyle w:val="ListParagraph"/>
      </w:pPr>
    </w:p>
    <w:p w14:paraId="1A750EEC" w14:textId="03C9E408" w:rsidR="000058F9" w:rsidRPr="00F66735" w:rsidRDefault="00265511" w:rsidP="007B0189">
      <w:pPr>
        <w:numPr>
          <w:ilvl w:val="0"/>
          <w:numId w:val="36"/>
        </w:numPr>
      </w:pPr>
      <w:r w:rsidRPr="00F66735">
        <w:t xml:space="preserve">Draft </w:t>
      </w:r>
      <w:r w:rsidR="000058F9" w:rsidRPr="00F66735">
        <w:t>Antimicrobial Quality Use Assessment (AQUA) Form 2: General Patient Assessment (referenced in Part A, supplemental information only)</w:t>
      </w:r>
    </w:p>
    <w:p w14:paraId="17CA3227" w14:textId="77777777" w:rsidR="000058F9" w:rsidRPr="00F66735" w:rsidRDefault="000058F9" w:rsidP="000058F9">
      <w:pPr>
        <w:pStyle w:val="ListParagraph"/>
      </w:pPr>
    </w:p>
    <w:p w14:paraId="42F2C168" w14:textId="01649C1B" w:rsidR="000058F9" w:rsidRPr="00F66735" w:rsidRDefault="00265511" w:rsidP="007B0189">
      <w:pPr>
        <w:numPr>
          <w:ilvl w:val="0"/>
          <w:numId w:val="36"/>
        </w:numPr>
      </w:pPr>
      <w:r w:rsidRPr="00F66735">
        <w:t xml:space="preserve">Draft </w:t>
      </w:r>
      <w:r w:rsidR="000058F9" w:rsidRPr="00F66735">
        <w:t>Antimicrobial Quality Use Assessment (AQUA) Forms 3 (a-d) (referenced in Part A, supplemental information only)</w:t>
      </w:r>
    </w:p>
    <w:p w14:paraId="75F2984E" w14:textId="77777777" w:rsidR="000058F9" w:rsidRPr="00F66735" w:rsidRDefault="000058F9" w:rsidP="000058F9">
      <w:pPr>
        <w:ind w:left="360"/>
      </w:pPr>
    </w:p>
    <w:p w14:paraId="76C9ED41" w14:textId="5267C22F" w:rsidR="00FD1252" w:rsidRPr="00F66735" w:rsidRDefault="00265511" w:rsidP="007B0189">
      <w:pPr>
        <w:numPr>
          <w:ilvl w:val="0"/>
          <w:numId w:val="36"/>
        </w:numPr>
      </w:pPr>
      <w:r w:rsidRPr="00F66735">
        <w:t xml:space="preserve">Draft </w:t>
      </w:r>
      <w:r w:rsidR="00B21EFE" w:rsidRPr="00F66735">
        <w:t xml:space="preserve">HFA and PIF </w:t>
      </w:r>
      <w:r w:rsidR="00FD1252" w:rsidRPr="00F66735">
        <w:t>instructions for</w:t>
      </w:r>
      <w:r w:rsidRPr="00F66735">
        <w:t xml:space="preserve"> data collection </w:t>
      </w:r>
      <w:r w:rsidR="00C23549" w:rsidRPr="00F66735">
        <w:t>(referenced in Part A)</w:t>
      </w:r>
    </w:p>
    <w:p w14:paraId="3B9FDFCF" w14:textId="77777777" w:rsidR="009E2D51" w:rsidRPr="00F66735" w:rsidRDefault="009E2D51" w:rsidP="000058F9"/>
    <w:p w14:paraId="7F59D226" w14:textId="77777777" w:rsidR="00930740" w:rsidRPr="00F66735" w:rsidRDefault="00930740" w:rsidP="007B0189">
      <w:pPr>
        <w:numPr>
          <w:ilvl w:val="0"/>
          <w:numId w:val="36"/>
        </w:numPr>
      </w:pPr>
      <w:r w:rsidRPr="00F66735">
        <w:t>Email correspondence from Dr. Jane Sisk, Director, Division of Healthcare Statistics,   National Center for Health Statistics (referenced in Part A)</w:t>
      </w:r>
    </w:p>
    <w:p w14:paraId="33E006B9" w14:textId="77777777" w:rsidR="00540882" w:rsidRPr="00F66735" w:rsidRDefault="00540882" w:rsidP="002637A2"/>
    <w:p w14:paraId="346EB80E" w14:textId="77777777" w:rsidR="00540882" w:rsidRPr="00F66735" w:rsidRDefault="00540882" w:rsidP="007B0189">
      <w:pPr>
        <w:numPr>
          <w:ilvl w:val="0"/>
          <w:numId w:val="36"/>
        </w:numPr>
      </w:pPr>
      <w:r w:rsidRPr="00F66735">
        <w:t>Non-research determination</w:t>
      </w:r>
      <w:r w:rsidR="002637A2" w:rsidRPr="00F66735">
        <w:t xml:space="preserve"> (referenced in Part A)</w:t>
      </w:r>
    </w:p>
    <w:p w14:paraId="1697CA8E" w14:textId="77777777" w:rsidR="002637A2" w:rsidRPr="00F66735" w:rsidRDefault="002637A2" w:rsidP="002637A2"/>
    <w:p w14:paraId="5842586A" w14:textId="68FFBED7" w:rsidR="002637A2" w:rsidRDefault="00C14569" w:rsidP="007B0189">
      <w:pPr>
        <w:numPr>
          <w:ilvl w:val="0"/>
          <w:numId w:val="36"/>
        </w:numPr>
      </w:pPr>
      <w:r w:rsidRPr="00F66735">
        <w:t xml:space="preserve">Draft </w:t>
      </w:r>
      <w:r w:rsidR="002637A2" w:rsidRPr="00F66735">
        <w:t>Example of informational document distributed to healthcare facilities in EIP catchment areas (referenced in Part B)</w:t>
      </w:r>
    </w:p>
    <w:p w14:paraId="7494148D" w14:textId="77777777" w:rsidR="001A0E07" w:rsidRDefault="001A0E07" w:rsidP="001A0E07">
      <w:pPr>
        <w:pStyle w:val="ListParagraph"/>
      </w:pPr>
    </w:p>
    <w:p w14:paraId="3649285B" w14:textId="60E98531" w:rsidR="001A0E07" w:rsidRPr="00F66735" w:rsidRDefault="001A0E07" w:rsidP="007B0189">
      <w:pPr>
        <w:numPr>
          <w:ilvl w:val="0"/>
          <w:numId w:val="36"/>
        </w:numPr>
      </w:pPr>
      <w:r>
        <w:t>Published 60-Day FRN</w:t>
      </w:r>
    </w:p>
    <w:p w14:paraId="0446C882" w14:textId="77777777" w:rsidR="00115E5D" w:rsidRDefault="00115E5D" w:rsidP="00FE4E0D">
      <w:pPr>
        <w:ind w:left="360" w:hanging="360"/>
      </w:pPr>
    </w:p>
    <w:sectPr w:rsidR="00115E5D" w:rsidSect="002251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8414E" w14:textId="77777777" w:rsidR="0090047D" w:rsidRDefault="0090047D">
      <w:r>
        <w:separator/>
      </w:r>
    </w:p>
  </w:endnote>
  <w:endnote w:type="continuationSeparator" w:id="0">
    <w:p w14:paraId="6E71E687" w14:textId="77777777" w:rsidR="0090047D" w:rsidRDefault="0090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E456F" w14:textId="77777777" w:rsidR="0090047D" w:rsidRDefault="0090047D" w:rsidP="00DB52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0A8598" w14:textId="77777777" w:rsidR="0090047D" w:rsidRDefault="0090047D" w:rsidP="003127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39DE5" w14:textId="49C2005A" w:rsidR="0090047D" w:rsidRPr="004F2001" w:rsidRDefault="0090047D" w:rsidP="00DB5284">
    <w:pPr>
      <w:pStyle w:val="Footer"/>
      <w:framePr w:wrap="around" w:vAnchor="text" w:hAnchor="margin" w:xAlign="right" w:y="1"/>
      <w:rPr>
        <w:rStyle w:val="PageNumber"/>
        <w:sz w:val="20"/>
        <w:szCs w:val="20"/>
      </w:rPr>
    </w:pPr>
    <w:r w:rsidRPr="004F2001">
      <w:rPr>
        <w:rStyle w:val="PageNumber"/>
        <w:sz w:val="20"/>
        <w:szCs w:val="20"/>
      </w:rPr>
      <w:fldChar w:fldCharType="begin"/>
    </w:r>
    <w:r w:rsidRPr="004F2001">
      <w:rPr>
        <w:rStyle w:val="PageNumber"/>
        <w:sz w:val="20"/>
        <w:szCs w:val="20"/>
      </w:rPr>
      <w:instrText xml:space="preserve">PAGE  </w:instrText>
    </w:r>
    <w:r w:rsidRPr="004F2001">
      <w:rPr>
        <w:rStyle w:val="PageNumber"/>
        <w:sz w:val="20"/>
        <w:szCs w:val="20"/>
      </w:rPr>
      <w:fldChar w:fldCharType="separate"/>
    </w:r>
    <w:r w:rsidR="00490FD4">
      <w:rPr>
        <w:rStyle w:val="PageNumber"/>
        <w:noProof/>
        <w:sz w:val="20"/>
        <w:szCs w:val="20"/>
      </w:rPr>
      <w:t>1</w:t>
    </w:r>
    <w:r w:rsidRPr="004F2001">
      <w:rPr>
        <w:rStyle w:val="PageNumber"/>
        <w:sz w:val="20"/>
        <w:szCs w:val="20"/>
      </w:rPr>
      <w:fldChar w:fldCharType="end"/>
    </w:r>
  </w:p>
  <w:p w14:paraId="242D28F1" w14:textId="77777777" w:rsidR="0090047D" w:rsidRPr="004F2001" w:rsidRDefault="0090047D" w:rsidP="004F2001">
    <w:pPr>
      <w:pStyle w:val="Footer"/>
      <w:rPr>
        <w:sz w:val="20"/>
        <w:szCs w:val="20"/>
      </w:rPr>
    </w:pPr>
  </w:p>
  <w:p w14:paraId="73887BB7" w14:textId="77777777" w:rsidR="0090047D" w:rsidRDefault="0090047D" w:rsidP="003127DA">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619E4" w14:textId="77777777" w:rsidR="0090047D" w:rsidRDefault="0090047D">
      <w:r>
        <w:separator/>
      </w:r>
    </w:p>
  </w:footnote>
  <w:footnote w:type="continuationSeparator" w:id="0">
    <w:p w14:paraId="6E1C2879" w14:textId="77777777" w:rsidR="0090047D" w:rsidRDefault="00900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936"/>
    <w:multiLevelType w:val="hybridMultilevel"/>
    <w:tmpl w:val="7FF6828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0B30E4"/>
    <w:multiLevelType w:val="hybridMultilevel"/>
    <w:tmpl w:val="9FE23F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63ADB"/>
    <w:multiLevelType w:val="hybridMultilevel"/>
    <w:tmpl w:val="A78E71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472F4"/>
    <w:multiLevelType w:val="hybridMultilevel"/>
    <w:tmpl w:val="A2284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508F3"/>
    <w:multiLevelType w:val="hybridMultilevel"/>
    <w:tmpl w:val="1EDEA48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CA4E27"/>
    <w:multiLevelType w:val="hybridMultilevel"/>
    <w:tmpl w:val="F150439C"/>
    <w:lvl w:ilvl="0" w:tplc="D4C402E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6C142B"/>
    <w:multiLevelType w:val="hybridMultilevel"/>
    <w:tmpl w:val="6FDE17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4177E2"/>
    <w:multiLevelType w:val="hybridMultilevel"/>
    <w:tmpl w:val="966EA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7212C4"/>
    <w:multiLevelType w:val="hybridMultilevel"/>
    <w:tmpl w:val="400A3470"/>
    <w:lvl w:ilvl="0" w:tplc="9560ED7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377A3E"/>
    <w:multiLevelType w:val="hybridMultilevel"/>
    <w:tmpl w:val="D7AA194E"/>
    <w:lvl w:ilvl="0" w:tplc="E5B881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943EA6"/>
    <w:multiLevelType w:val="hybridMultilevel"/>
    <w:tmpl w:val="17F2232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C820A1"/>
    <w:multiLevelType w:val="hybridMultilevel"/>
    <w:tmpl w:val="BDA84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EB2FAD"/>
    <w:multiLevelType w:val="hybridMultilevel"/>
    <w:tmpl w:val="129E9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FE6D49"/>
    <w:multiLevelType w:val="hybridMultilevel"/>
    <w:tmpl w:val="B7CA55C0"/>
    <w:lvl w:ilvl="0" w:tplc="BB986F4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D922045"/>
    <w:multiLevelType w:val="hybridMultilevel"/>
    <w:tmpl w:val="91E0DA90"/>
    <w:lvl w:ilvl="0" w:tplc="CAC69F5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FE96FA7"/>
    <w:multiLevelType w:val="hybridMultilevel"/>
    <w:tmpl w:val="83B056CA"/>
    <w:lvl w:ilvl="0" w:tplc="5748E152">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4515FA7"/>
    <w:multiLevelType w:val="hybridMultilevel"/>
    <w:tmpl w:val="BC522BEE"/>
    <w:lvl w:ilvl="0" w:tplc="484279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8CA7D36"/>
    <w:multiLevelType w:val="hybridMultilevel"/>
    <w:tmpl w:val="294814CC"/>
    <w:lvl w:ilvl="0" w:tplc="A394D6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510CE6"/>
    <w:multiLevelType w:val="hybridMultilevel"/>
    <w:tmpl w:val="1D8860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F02306"/>
    <w:multiLevelType w:val="hybridMultilevel"/>
    <w:tmpl w:val="814A8B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E11B99"/>
    <w:multiLevelType w:val="hybridMultilevel"/>
    <w:tmpl w:val="F5CA0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145BCE"/>
    <w:multiLevelType w:val="hybridMultilevel"/>
    <w:tmpl w:val="361058B0"/>
    <w:lvl w:ilvl="0" w:tplc="070A51E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7574AA8"/>
    <w:multiLevelType w:val="hybridMultilevel"/>
    <w:tmpl w:val="32ECE156"/>
    <w:lvl w:ilvl="0" w:tplc="4CA25E50">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A127B3E"/>
    <w:multiLevelType w:val="hybridMultilevel"/>
    <w:tmpl w:val="8AF08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D233093"/>
    <w:multiLevelType w:val="hybridMultilevel"/>
    <w:tmpl w:val="4A9EE3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1A765A4"/>
    <w:multiLevelType w:val="hybridMultilevel"/>
    <w:tmpl w:val="23DC11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82614B2"/>
    <w:multiLevelType w:val="hybridMultilevel"/>
    <w:tmpl w:val="5BA88E26"/>
    <w:lvl w:ilvl="0" w:tplc="F76EF6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9185ADE"/>
    <w:multiLevelType w:val="hybridMultilevel"/>
    <w:tmpl w:val="EC3071AA"/>
    <w:lvl w:ilvl="0" w:tplc="29482FC4">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01593B"/>
    <w:multiLevelType w:val="hybridMultilevel"/>
    <w:tmpl w:val="035AD572"/>
    <w:lvl w:ilvl="0" w:tplc="71BCC2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A0E4FEE"/>
    <w:multiLevelType w:val="hybridMultilevel"/>
    <w:tmpl w:val="4D3C8804"/>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30">
    <w:nsid w:val="4A304D39"/>
    <w:multiLevelType w:val="hybridMultilevel"/>
    <w:tmpl w:val="8A48707C"/>
    <w:lvl w:ilvl="0" w:tplc="04090015">
      <w:start w:val="1"/>
      <w:numFmt w:val="upperLetter"/>
      <w:lvlText w:val="%1."/>
      <w:lvlJc w:val="left"/>
      <w:pPr>
        <w:tabs>
          <w:tab w:val="num" w:pos="720"/>
        </w:tabs>
        <w:ind w:left="720" w:hanging="360"/>
      </w:pPr>
      <w:rPr>
        <w:rFonts w:hint="default"/>
      </w:rPr>
    </w:lvl>
    <w:lvl w:ilvl="1" w:tplc="B2BA308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D7D66CB"/>
    <w:multiLevelType w:val="hybridMultilevel"/>
    <w:tmpl w:val="8D5C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FB4BA0"/>
    <w:multiLevelType w:val="hybridMultilevel"/>
    <w:tmpl w:val="D5F4996C"/>
    <w:lvl w:ilvl="0" w:tplc="38C2F6F0">
      <w:start w:val="1"/>
      <w:numFmt w:val="upperLetter"/>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nsid w:val="4EDD39D3"/>
    <w:multiLevelType w:val="hybridMultilevel"/>
    <w:tmpl w:val="2268454E"/>
    <w:lvl w:ilvl="0" w:tplc="F76EF6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2693FA6"/>
    <w:multiLevelType w:val="hybridMultilevel"/>
    <w:tmpl w:val="B086B648"/>
    <w:lvl w:ilvl="0" w:tplc="5C5A6FE2">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52A842F5"/>
    <w:multiLevelType w:val="hybridMultilevel"/>
    <w:tmpl w:val="C00C42D4"/>
    <w:lvl w:ilvl="0" w:tplc="D752ECD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6776BC5"/>
    <w:multiLevelType w:val="hybridMultilevel"/>
    <w:tmpl w:val="DA8CD728"/>
    <w:lvl w:ilvl="0" w:tplc="00E6EEC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0C4280"/>
    <w:multiLevelType w:val="hybridMultilevel"/>
    <w:tmpl w:val="5D3C3836"/>
    <w:lvl w:ilvl="0" w:tplc="C6565D76">
      <w:start w:val="1"/>
      <w:numFmt w:val="decimal"/>
      <w:lvlText w:val="%1)"/>
      <w:lvlJc w:val="left"/>
      <w:pPr>
        <w:ind w:left="360" w:hanging="360"/>
      </w:pPr>
      <w:rPr>
        <w:rFonts w:ascii="Calibri" w:eastAsia="Times New Roman" w:hAnsi="Calibri"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4B82A1A"/>
    <w:multiLevelType w:val="hybridMultilevel"/>
    <w:tmpl w:val="CC74F2A2"/>
    <w:lvl w:ilvl="0" w:tplc="A10E2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5A02D3"/>
    <w:multiLevelType w:val="hybridMultilevel"/>
    <w:tmpl w:val="ED2E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145F03"/>
    <w:multiLevelType w:val="hybridMultilevel"/>
    <w:tmpl w:val="75E65D4C"/>
    <w:lvl w:ilvl="0" w:tplc="A80A17BC">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AE48B0"/>
    <w:multiLevelType w:val="hybridMultilevel"/>
    <w:tmpl w:val="F57415F8"/>
    <w:lvl w:ilvl="0" w:tplc="59A2FA38">
      <w:start w:val="1"/>
      <w:numFmt w:val="upperLetter"/>
      <w:lvlText w:val="%1."/>
      <w:lvlJc w:val="left"/>
      <w:pPr>
        <w:tabs>
          <w:tab w:val="num" w:pos="465"/>
        </w:tabs>
        <w:ind w:left="465" w:hanging="46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0"/>
  </w:num>
  <w:num w:numId="2">
    <w:abstractNumId w:val="5"/>
  </w:num>
  <w:num w:numId="3">
    <w:abstractNumId w:val="13"/>
  </w:num>
  <w:num w:numId="4">
    <w:abstractNumId w:val="35"/>
  </w:num>
  <w:num w:numId="5">
    <w:abstractNumId w:val="14"/>
  </w:num>
  <w:num w:numId="6">
    <w:abstractNumId w:val="15"/>
  </w:num>
  <w:num w:numId="7">
    <w:abstractNumId w:val="41"/>
  </w:num>
  <w:num w:numId="8">
    <w:abstractNumId w:val="16"/>
  </w:num>
  <w:num w:numId="9">
    <w:abstractNumId w:val="21"/>
  </w:num>
  <w:num w:numId="10">
    <w:abstractNumId w:val="33"/>
  </w:num>
  <w:num w:numId="11">
    <w:abstractNumId w:val="8"/>
  </w:num>
  <w:num w:numId="12">
    <w:abstractNumId w:val="26"/>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0"/>
  </w:num>
  <w:num w:numId="16">
    <w:abstractNumId w:val="22"/>
  </w:num>
  <w:num w:numId="17">
    <w:abstractNumId w:val="25"/>
  </w:num>
  <w:num w:numId="18">
    <w:abstractNumId w:val="34"/>
  </w:num>
  <w:num w:numId="19">
    <w:abstractNumId w:val="37"/>
  </w:num>
  <w:num w:numId="20">
    <w:abstractNumId w:val="32"/>
  </w:num>
  <w:num w:numId="21">
    <w:abstractNumId w:val="23"/>
  </w:num>
  <w:num w:numId="22">
    <w:abstractNumId w:val="23"/>
  </w:num>
  <w:num w:numId="23">
    <w:abstractNumId w:val="29"/>
  </w:num>
  <w:num w:numId="24">
    <w:abstractNumId w:val="20"/>
  </w:num>
  <w:num w:numId="25">
    <w:abstractNumId w:val="4"/>
  </w:num>
  <w:num w:numId="26">
    <w:abstractNumId w:val="10"/>
  </w:num>
  <w:num w:numId="27">
    <w:abstractNumId w:val="40"/>
  </w:num>
  <w:num w:numId="28">
    <w:abstractNumId w:val="17"/>
  </w:num>
  <w:num w:numId="29">
    <w:abstractNumId w:val="38"/>
  </w:num>
  <w:num w:numId="30">
    <w:abstractNumId w:val="39"/>
  </w:num>
  <w:num w:numId="31">
    <w:abstractNumId w:val="3"/>
  </w:num>
  <w:num w:numId="32">
    <w:abstractNumId w:val="7"/>
  </w:num>
  <w:num w:numId="33">
    <w:abstractNumId w:val="12"/>
  </w:num>
  <w:num w:numId="34">
    <w:abstractNumId w:val="11"/>
  </w:num>
  <w:num w:numId="35">
    <w:abstractNumId w:val="24"/>
  </w:num>
  <w:num w:numId="36">
    <w:abstractNumId w:val="2"/>
  </w:num>
  <w:num w:numId="37">
    <w:abstractNumId w:val="1"/>
  </w:num>
  <w:num w:numId="38">
    <w:abstractNumId w:val="6"/>
  </w:num>
  <w:num w:numId="39">
    <w:abstractNumId w:val="18"/>
  </w:num>
  <w:num w:numId="40">
    <w:abstractNumId w:val="19"/>
  </w:num>
  <w:num w:numId="41">
    <w:abstractNumId w:val="9"/>
  </w:num>
  <w:num w:numId="42">
    <w:abstractNumId w:val="31"/>
  </w:num>
  <w:num w:numId="43">
    <w:abstractNumId w:val="27"/>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C10"/>
    <w:rsid w:val="00000863"/>
    <w:rsid w:val="00001898"/>
    <w:rsid w:val="00001DC7"/>
    <w:rsid w:val="00004DF8"/>
    <w:rsid w:val="00005736"/>
    <w:rsid w:val="000058F9"/>
    <w:rsid w:val="00007152"/>
    <w:rsid w:val="00011A29"/>
    <w:rsid w:val="0001233E"/>
    <w:rsid w:val="00013037"/>
    <w:rsid w:val="00014404"/>
    <w:rsid w:val="00022DB7"/>
    <w:rsid w:val="00024FEC"/>
    <w:rsid w:val="00025781"/>
    <w:rsid w:val="00025F19"/>
    <w:rsid w:val="00031D0E"/>
    <w:rsid w:val="0003393E"/>
    <w:rsid w:val="0003477E"/>
    <w:rsid w:val="00034AF0"/>
    <w:rsid w:val="00034F7E"/>
    <w:rsid w:val="000359B8"/>
    <w:rsid w:val="00043599"/>
    <w:rsid w:val="00043A7E"/>
    <w:rsid w:val="00043B2E"/>
    <w:rsid w:val="00043B46"/>
    <w:rsid w:val="00044D31"/>
    <w:rsid w:val="00047771"/>
    <w:rsid w:val="00050746"/>
    <w:rsid w:val="00050EB3"/>
    <w:rsid w:val="00050F77"/>
    <w:rsid w:val="00051D2C"/>
    <w:rsid w:val="000525FF"/>
    <w:rsid w:val="00052BC1"/>
    <w:rsid w:val="000533B4"/>
    <w:rsid w:val="000545CE"/>
    <w:rsid w:val="0005487B"/>
    <w:rsid w:val="00061956"/>
    <w:rsid w:val="000640C7"/>
    <w:rsid w:val="000646D5"/>
    <w:rsid w:val="00064D45"/>
    <w:rsid w:val="00065EFD"/>
    <w:rsid w:val="00072F6A"/>
    <w:rsid w:val="000770EA"/>
    <w:rsid w:val="000845ED"/>
    <w:rsid w:val="00086328"/>
    <w:rsid w:val="00086C9A"/>
    <w:rsid w:val="00091050"/>
    <w:rsid w:val="00094172"/>
    <w:rsid w:val="00095259"/>
    <w:rsid w:val="000A003E"/>
    <w:rsid w:val="000A1F53"/>
    <w:rsid w:val="000A2064"/>
    <w:rsid w:val="000A24DA"/>
    <w:rsid w:val="000A30F1"/>
    <w:rsid w:val="000A53DE"/>
    <w:rsid w:val="000B04B9"/>
    <w:rsid w:val="000B7AF3"/>
    <w:rsid w:val="000B7CA0"/>
    <w:rsid w:val="000C0C9F"/>
    <w:rsid w:val="000C0EBC"/>
    <w:rsid w:val="000C19CD"/>
    <w:rsid w:val="000C2902"/>
    <w:rsid w:val="000C456B"/>
    <w:rsid w:val="000C50D1"/>
    <w:rsid w:val="000C57C1"/>
    <w:rsid w:val="000D054E"/>
    <w:rsid w:val="000D1EA4"/>
    <w:rsid w:val="000D2170"/>
    <w:rsid w:val="000D260F"/>
    <w:rsid w:val="000D5C88"/>
    <w:rsid w:val="000F17A2"/>
    <w:rsid w:val="000F1B68"/>
    <w:rsid w:val="000F3065"/>
    <w:rsid w:val="000F4688"/>
    <w:rsid w:val="00102725"/>
    <w:rsid w:val="0011250A"/>
    <w:rsid w:val="00112D5F"/>
    <w:rsid w:val="001134BF"/>
    <w:rsid w:val="00113C71"/>
    <w:rsid w:val="00114840"/>
    <w:rsid w:val="00115E5D"/>
    <w:rsid w:val="00115F57"/>
    <w:rsid w:val="0011782E"/>
    <w:rsid w:val="00121275"/>
    <w:rsid w:val="001244FC"/>
    <w:rsid w:val="00125B72"/>
    <w:rsid w:val="001268FF"/>
    <w:rsid w:val="001276FD"/>
    <w:rsid w:val="00130315"/>
    <w:rsid w:val="00130799"/>
    <w:rsid w:val="001311AB"/>
    <w:rsid w:val="00131718"/>
    <w:rsid w:val="00132174"/>
    <w:rsid w:val="00132DBA"/>
    <w:rsid w:val="00134460"/>
    <w:rsid w:val="00135263"/>
    <w:rsid w:val="001367BB"/>
    <w:rsid w:val="00136821"/>
    <w:rsid w:val="00136A50"/>
    <w:rsid w:val="00141C57"/>
    <w:rsid w:val="00143660"/>
    <w:rsid w:val="00150985"/>
    <w:rsid w:val="0015102C"/>
    <w:rsid w:val="0015399F"/>
    <w:rsid w:val="00154F16"/>
    <w:rsid w:val="001551F7"/>
    <w:rsid w:val="00162058"/>
    <w:rsid w:val="00166993"/>
    <w:rsid w:val="00172172"/>
    <w:rsid w:val="00173266"/>
    <w:rsid w:val="00173EFB"/>
    <w:rsid w:val="00175769"/>
    <w:rsid w:val="00175BD7"/>
    <w:rsid w:val="001827DD"/>
    <w:rsid w:val="0018578D"/>
    <w:rsid w:val="00185C50"/>
    <w:rsid w:val="00186937"/>
    <w:rsid w:val="001A0E07"/>
    <w:rsid w:val="001A22E9"/>
    <w:rsid w:val="001A2AAC"/>
    <w:rsid w:val="001B0986"/>
    <w:rsid w:val="001B0B09"/>
    <w:rsid w:val="001B228B"/>
    <w:rsid w:val="001B31B8"/>
    <w:rsid w:val="001B337C"/>
    <w:rsid w:val="001B3F74"/>
    <w:rsid w:val="001B7108"/>
    <w:rsid w:val="001C0011"/>
    <w:rsid w:val="001C3A3A"/>
    <w:rsid w:val="001C4601"/>
    <w:rsid w:val="001C4C2C"/>
    <w:rsid w:val="001C6937"/>
    <w:rsid w:val="001C7709"/>
    <w:rsid w:val="001D34CC"/>
    <w:rsid w:val="001D3B5F"/>
    <w:rsid w:val="001D3F53"/>
    <w:rsid w:val="001D4BA6"/>
    <w:rsid w:val="001D653C"/>
    <w:rsid w:val="001D6985"/>
    <w:rsid w:val="001D7F7D"/>
    <w:rsid w:val="001E1985"/>
    <w:rsid w:val="001E2BD8"/>
    <w:rsid w:val="001E30F8"/>
    <w:rsid w:val="001E7A1B"/>
    <w:rsid w:val="001E7C12"/>
    <w:rsid w:val="001F13EF"/>
    <w:rsid w:val="00201770"/>
    <w:rsid w:val="0020447B"/>
    <w:rsid w:val="00207E90"/>
    <w:rsid w:val="00207FC3"/>
    <w:rsid w:val="002109D7"/>
    <w:rsid w:val="002124E6"/>
    <w:rsid w:val="00213910"/>
    <w:rsid w:val="0021444F"/>
    <w:rsid w:val="00215519"/>
    <w:rsid w:val="002173AA"/>
    <w:rsid w:val="00220043"/>
    <w:rsid w:val="002225C7"/>
    <w:rsid w:val="00223458"/>
    <w:rsid w:val="00223B96"/>
    <w:rsid w:val="00223C4B"/>
    <w:rsid w:val="00224DB3"/>
    <w:rsid w:val="0022519E"/>
    <w:rsid w:val="00226B3D"/>
    <w:rsid w:val="00227C56"/>
    <w:rsid w:val="00231061"/>
    <w:rsid w:val="00231FDD"/>
    <w:rsid w:val="00233496"/>
    <w:rsid w:val="002352F5"/>
    <w:rsid w:val="002354DB"/>
    <w:rsid w:val="00235F0C"/>
    <w:rsid w:val="00236A2B"/>
    <w:rsid w:val="00237165"/>
    <w:rsid w:val="002418C9"/>
    <w:rsid w:val="00241ECB"/>
    <w:rsid w:val="00245111"/>
    <w:rsid w:val="002454E0"/>
    <w:rsid w:val="00246225"/>
    <w:rsid w:val="00246B21"/>
    <w:rsid w:val="00246FC3"/>
    <w:rsid w:val="0025217A"/>
    <w:rsid w:val="00253F90"/>
    <w:rsid w:val="0025400E"/>
    <w:rsid w:val="00254C1F"/>
    <w:rsid w:val="00261F2F"/>
    <w:rsid w:val="0026292A"/>
    <w:rsid w:val="002637A2"/>
    <w:rsid w:val="0026537C"/>
    <w:rsid w:val="00265511"/>
    <w:rsid w:val="00265A87"/>
    <w:rsid w:val="0026602A"/>
    <w:rsid w:val="0026676C"/>
    <w:rsid w:val="00267DB1"/>
    <w:rsid w:val="002705A2"/>
    <w:rsid w:val="0027361A"/>
    <w:rsid w:val="002760F2"/>
    <w:rsid w:val="002764AC"/>
    <w:rsid w:val="00276FA3"/>
    <w:rsid w:val="002777A0"/>
    <w:rsid w:val="00280F57"/>
    <w:rsid w:val="00281C89"/>
    <w:rsid w:val="002820B3"/>
    <w:rsid w:val="00284156"/>
    <w:rsid w:val="00286501"/>
    <w:rsid w:val="00286F6E"/>
    <w:rsid w:val="00290635"/>
    <w:rsid w:val="00291A3A"/>
    <w:rsid w:val="00293285"/>
    <w:rsid w:val="00295E5E"/>
    <w:rsid w:val="00297385"/>
    <w:rsid w:val="00297581"/>
    <w:rsid w:val="002A1675"/>
    <w:rsid w:val="002A4411"/>
    <w:rsid w:val="002A5CFA"/>
    <w:rsid w:val="002A6DBA"/>
    <w:rsid w:val="002B6B08"/>
    <w:rsid w:val="002B700A"/>
    <w:rsid w:val="002C1661"/>
    <w:rsid w:val="002C50D9"/>
    <w:rsid w:val="002C61A3"/>
    <w:rsid w:val="002C62F8"/>
    <w:rsid w:val="002C6AF4"/>
    <w:rsid w:val="002D3252"/>
    <w:rsid w:val="002D3596"/>
    <w:rsid w:val="002D3ADF"/>
    <w:rsid w:val="002D3FF0"/>
    <w:rsid w:val="002D4207"/>
    <w:rsid w:val="002D5965"/>
    <w:rsid w:val="002D61CC"/>
    <w:rsid w:val="002E01FA"/>
    <w:rsid w:val="002E09E4"/>
    <w:rsid w:val="002E0D3D"/>
    <w:rsid w:val="002E1790"/>
    <w:rsid w:val="002E183F"/>
    <w:rsid w:val="002E382B"/>
    <w:rsid w:val="002F16AA"/>
    <w:rsid w:val="002F1914"/>
    <w:rsid w:val="002F1E49"/>
    <w:rsid w:val="002F3BA7"/>
    <w:rsid w:val="002F5238"/>
    <w:rsid w:val="002F5670"/>
    <w:rsid w:val="002F5EAF"/>
    <w:rsid w:val="00300680"/>
    <w:rsid w:val="00303110"/>
    <w:rsid w:val="00307B2D"/>
    <w:rsid w:val="00310290"/>
    <w:rsid w:val="003127DA"/>
    <w:rsid w:val="00312894"/>
    <w:rsid w:val="00315C83"/>
    <w:rsid w:val="003165AE"/>
    <w:rsid w:val="00320145"/>
    <w:rsid w:val="003203FD"/>
    <w:rsid w:val="00322083"/>
    <w:rsid w:val="00322CF0"/>
    <w:rsid w:val="00322F2C"/>
    <w:rsid w:val="00323420"/>
    <w:rsid w:val="00324F2B"/>
    <w:rsid w:val="00325896"/>
    <w:rsid w:val="00326605"/>
    <w:rsid w:val="00327389"/>
    <w:rsid w:val="003278B4"/>
    <w:rsid w:val="0033012F"/>
    <w:rsid w:val="00332B94"/>
    <w:rsid w:val="00334757"/>
    <w:rsid w:val="003356F3"/>
    <w:rsid w:val="00340D3B"/>
    <w:rsid w:val="00341A6B"/>
    <w:rsid w:val="00342735"/>
    <w:rsid w:val="00344B7A"/>
    <w:rsid w:val="003465D0"/>
    <w:rsid w:val="00346B0F"/>
    <w:rsid w:val="003471E4"/>
    <w:rsid w:val="003519B2"/>
    <w:rsid w:val="003530BD"/>
    <w:rsid w:val="00353912"/>
    <w:rsid w:val="00357325"/>
    <w:rsid w:val="00357829"/>
    <w:rsid w:val="00360CC6"/>
    <w:rsid w:val="00364456"/>
    <w:rsid w:val="0036772B"/>
    <w:rsid w:val="003679CC"/>
    <w:rsid w:val="00367BCB"/>
    <w:rsid w:val="00371C1C"/>
    <w:rsid w:val="00372C0E"/>
    <w:rsid w:val="0037409C"/>
    <w:rsid w:val="003763CD"/>
    <w:rsid w:val="00377BF0"/>
    <w:rsid w:val="00380C55"/>
    <w:rsid w:val="003829C7"/>
    <w:rsid w:val="00384FF4"/>
    <w:rsid w:val="00385E69"/>
    <w:rsid w:val="00387F85"/>
    <w:rsid w:val="00392BA2"/>
    <w:rsid w:val="003938F2"/>
    <w:rsid w:val="00394B08"/>
    <w:rsid w:val="00396641"/>
    <w:rsid w:val="00397B73"/>
    <w:rsid w:val="003A14D3"/>
    <w:rsid w:val="003A18B4"/>
    <w:rsid w:val="003A52C7"/>
    <w:rsid w:val="003A56B1"/>
    <w:rsid w:val="003A57CE"/>
    <w:rsid w:val="003A6129"/>
    <w:rsid w:val="003A6AFC"/>
    <w:rsid w:val="003A77BB"/>
    <w:rsid w:val="003B0213"/>
    <w:rsid w:val="003B0301"/>
    <w:rsid w:val="003B1E04"/>
    <w:rsid w:val="003B4E21"/>
    <w:rsid w:val="003B5A74"/>
    <w:rsid w:val="003B5BAE"/>
    <w:rsid w:val="003B5D61"/>
    <w:rsid w:val="003C1094"/>
    <w:rsid w:val="003C12C7"/>
    <w:rsid w:val="003C1795"/>
    <w:rsid w:val="003C3A09"/>
    <w:rsid w:val="003C4ED0"/>
    <w:rsid w:val="003C5359"/>
    <w:rsid w:val="003C5889"/>
    <w:rsid w:val="003C5F8F"/>
    <w:rsid w:val="003D1CD5"/>
    <w:rsid w:val="003D1F9B"/>
    <w:rsid w:val="003D283D"/>
    <w:rsid w:val="003D510C"/>
    <w:rsid w:val="003D727C"/>
    <w:rsid w:val="003E16CC"/>
    <w:rsid w:val="003E1F1B"/>
    <w:rsid w:val="003E60D4"/>
    <w:rsid w:val="003E672C"/>
    <w:rsid w:val="003E6A9D"/>
    <w:rsid w:val="003E734F"/>
    <w:rsid w:val="003F00A8"/>
    <w:rsid w:val="003F2B34"/>
    <w:rsid w:val="003F2B60"/>
    <w:rsid w:val="003F4EE5"/>
    <w:rsid w:val="003F5BE0"/>
    <w:rsid w:val="004011D6"/>
    <w:rsid w:val="004026B6"/>
    <w:rsid w:val="00404B49"/>
    <w:rsid w:val="00406459"/>
    <w:rsid w:val="00406806"/>
    <w:rsid w:val="0041403E"/>
    <w:rsid w:val="004140CE"/>
    <w:rsid w:val="00415DE6"/>
    <w:rsid w:val="00416757"/>
    <w:rsid w:val="0042065E"/>
    <w:rsid w:val="0042315E"/>
    <w:rsid w:val="0042376E"/>
    <w:rsid w:val="00425678"/>
    <w:rsid w:val="004259D1"/>
    <w:rsid w:val="00426BB7"/>
    <w:rsid w:val="0043364A"/>
    <w:rsid w:val="004370DC"/>
    <w:rsid w:val="00437F2E"/>
    <w:rsid w:val="00443968"/>
    <w:rsid w:val="00443DF6"/>
    <w:rsid w:val="00444BFC"/>
    <w:rsid w:val="0045347D"/>
    <w:rsid w:val="00453EE7"/>
    <w:rsid w:val="004568C7"/>
    <w:rsid w:val="00460464"/>
    <w:rsid w:val="0046221E"/>
    <w:rsid w:val="004661EA"/>
    <w:rsid w:val="00466814"/>
    <w:rsid w:val="004673D2"/>
    <w:rsid w:val="00470DFF"/>
    <w:rsid w:val="00473299"/>
    <w:rsid w:val="004745CD"/>
    <w:rsid w:val="00476C26"/>
    <w:rsid w:val="00476C6B"/>
    <w:rsid w:val="004772DD"/>
    <w:rsid w:val="004840AB"/>
    <w:rsid w:val="00490FD4"/>
    <w:rsid w:val="004935C3"/>
    <w:rsid w:val="0049566F"/>
    <w:rsid w:val="004A2430"/>
    <w:rsid w:val="004A2598"/>
    <w:rsid w:val="004A59F1"/>
    <w:rsid w:val="004A5FD6"/>
    <w:rsid w:val="004B0F24"/>
    <w:rsid w:val="004B47EC"/>
    <w:rsid w:val="004C304D"/>
    <w:rsid w:val="004C4CBC"/>
    <w:rsid w:val="004C4D67"/>
    <w:rsid w:val="004C6493"/>
    <w:rsid w:val="004C6BF4"/>
    <w:rsid w:val="004C706A"/>
    <w:rsid w:val="004C7CBB"/>
    <w:rsid w:val="004D15D7"/>
    <w:rsid w:val="004D2D29"/>
    <w:rsid w:val="004D4091"/>
    <w:rsid w:val="004D60D4"/>
    <w:rsid w:val="004D62B6"/>
    <w:rsid w:val="004D747C"/>
    <w:rsid w:val="004E1E68"/>
    <w:rsid w:val="004E2C4E"/>
    <w:rsid w:val="004E3BE7"/>
    <w:rsid w:val="004E404E"/>
    <w:rsid w:val="004E41E5"/>
    <w:rsid w:val="004E58BE"/>
    <w:rsid w:val="004E6525"/>
    <w:rsid w:val="004E7F82"/>
    <w:rsid w:val="004F2001"/>
    <w:rsid w:val="004F2A6A"/>
    <w:rsid w:val="004F451F"/>
    <w:rsid w:val="004F6CE5"/>
    <w:rsid w:val="004F73A3"/>
    <w:rsid w:val="005062F4"/>
    <w:rsid w:val="005067B8"/>
    <w:rsid w:val="0050729C"/>
    <w:rsid w:val="005077E3"/>
    <w:rsid w:val="0051234A"/>
    <w:rsid w:val="00514802"/>
    <w:rsid w:val="00517CF8"/>
    <w:rsid w:val="005213B0"/>
    <w:rsid w:val="005227FE"/>
    <w:rsid w:val="00523F48"/>
    <w:rsid w:val="0052493F"/>
    <w:rsid w:val="00526F15"/>
    <w:rsid w:val="00531B92"/>
    <w:rsid w:val="00532469"/>
    <w:rsid w:val="00535033"/>
    <w:rsid w:val="00535DD5"/>
    <w:rsid w:val="00536966"/>
    <w:rsid w:val="0053790A"/>
    <w:rsid w:val="00537E05"/>
    <w:rsid w:val="00540882"/>
    <w:rsid w:val="00540A6A"/>
    <w:rsid w:val="00542A68"/>
    <w:rsid w:val="00544C10"/>
    <w:rsid w:val="005460EB"/>
    <w:rsid w:val="00547282"/>
    <w:rsid w:val="00547F23"/>
    <w:rsid w:val="00550C81"/>
    <w:rsid w:val="005518BB"/>
    <w:rsid w:val="00552698"/>
    <w:rsid w:val="005533F1"/>
    <w:rsid w:val="0055778F"/>
    <w:rsid w:val="0056038D"/>
    <w:rsid w:val="0056142F"/>
    <w:rsid w:val="005624D6"/>
    <w:rsid w:val="005633D8"/>
    <w:rsid w:val="00563FD5"/>
    <w:rsid w:val="00565096"/>
    <w:rsid w:val="0057115E"/>
    <w:rsid w:val="0057171A"/>
    <w:rsid w:val="00574C40"/>
    <w:rsid w:val="00574C70"/>
    <w:rsid w:val="005773EC"/>
    <w:rsid w:val="00580062"/>
    <w:rsid w:val="00580432"/>
    <w:rsid w:val="00586AEF"/>
    <w:rsid w:val="005903B1"/>
    <w:rsid w:val="0059518D"/>
    <w:rsid w:val="00595AD3"/>
    <w:rsid w:val="005A0AA9"/>
    <w:rsid w:val="005A1235"/>
    <w:rsid w:val="005A1548"/>
    <w:rsid w:val="005A2E28"/>
    <w:rsid w:val="005A3832"/>
    <w:rsid w:val="005A38AD"/>
    <w:rsid w:val="005A44F8"/>
    <w:rsid w:val="005A4FAB"/>
    <w:rsid w:val="005A7189"/>
    <w:rsid w:val="005B01C5"/>
    <w:rsid w:val="005B10AE"/>
    <w:rsid w:val="005B30B7"/>
    <w:rsid w:val="005B6623"/>
    <w:rsid w:val="005B777A"/>
    <w:rsid w:val="005C0087"/>
    <w:rsid w:val="005C38F1"/>
    <w:rsid w:val="005C4E27"/>
    <w:rsid w:val="005C5A6D"/>
    <w:rsid w:val="005C6240"/>
    <w:rsid w:val="005C756D"/>
    <w:rsid w:val="005D0D2D"/>
    <w:rsid w:val="005D20E7"/>
    <w:rsid w:val="005D25BB"/>
    <w:rsid w:val="005D34E6"/>
    <w:rsid w:val="005D3A25"/>
    <w:rsid w:val="005D5116"/>
    <w:rsid w:val="005D52C0"/>
    <w:rsid w:val="005D6B9C"/>
    <w:rsid w:val="005E35AE"/>
    <w:rsid w:val="005E4F46"/>
    <w:rsid w:val="005E6E99"/>
    <w:rsid w:val="005F2A3D"/>
    <w:rsid w:val="005F4202"/>
    <w:rsid w:val="005F6B88"/>
    <w:rsid w:val="005F7DEA"/>
    <w:rsid w:val="005F7F31"/>
    <w:rsid w:val="00600512"/>
    <w:rsid w:val="00601026"/>
    <w:rsid w:val="00607697"/>
    <w:rsid w:val="00612172"/>
    <w:rsid w:val="00612246"/>
    <w:rsid w:val="00616C6A"/>
    <w:rsid w:val="006206B4"/>
    <w:rsid w:val="006239BF"/>
    <w:rsid w:val="0062467E"/>
    <w:rsid w:val="0062486E"/>
    <w:rsid w:val="006274E6"/>
    <w:rsid w:val="0062757C"/>
    <w:rsid w:val="00630F1B"/>
    <w:rsid w:val="00631870"/>
    <w:rsid w:val="00633A82"/>
    <w:rsid w:val="00634904"/>
    <w:rsid w:val="00637212"/>
    <w:rsid w:val="006375D5"/>
    <w:rsid w:val="006404EE"/>
    <w:rsid w:val="00641EF6"/>
    <w:rsid w:val="00641F20"/>
    <w:rsid w:val="0064204F"/>
    <w:rsid w:val="00642397"/>
    <w:rsid w:val="0064248A"/>
    <w:rsid w:val="006426D0"/>
    <w:rsid w:val="00642DFF"/>
    <w:rsid w:val="0064451F"/>
    <w:rsid w:val="006447B3"/>
    <w:rsid w:val="00644B02"/>
    <w:rsid w:val="006475FD"/>
    <w:rsid w:val="0064798E"/>
    <w:rsid w:val="00647ECC"/>
    <w:rsid w:val="00651546"/>
    <w:rsid w:val="00652721"/>
    <w:rsid w:val="00655795"/>
    <w:rsid w:val="00661557"/>
    <w:rsid w:val="00662519"/>
    <w:rsid w:val="006642B4"/>
    <w:rsid w:val="006647CB"/>
    <w:rsid w:val="00667789"/>
    <w:rsid w:val="00667F84"/>
    <w:rsid w:val="0067129D"/>
    <w:rsid w:val="006712F9"/>
    <w:rsid w:val="00674BAD"/>
    <w:rsid w:val="00675784"/>
    <w:rsid w:val="00676A12"/>
    <w:rsid w:val="00680AE7"/>
    <w:rsid w:val="006815AC"/>
    <w:rsid w:val="00681F45"/>
    <w:rsid w:val="0068218F"/>
    <w:rsid w:val="00694EE2"/>
    <w:rsid w:val="00694FE0"/>
    <w:rsid w:val="00696804"/>
    <w:rsid w:val="00697F49"/>
    <w:rsid w:val="006A1FD4"/>
    <w:rsid w:val="006A3234"/>
    <w:rsid w:val="006A3614"/>
    <w:rsid w:val="006A3D68"/>
    <w:rsid w:val="006A4567"/>
    <w:rsid w:val="006A4618"/>
    <w:rsid w:val="006A7F56"/>
    <w:rsid w:val="006B0273"/>
    <w:rsid w:val="006B10FB"/>
    <w:rsid w:val="006B47CD"/>
    <w:rsid w:val="006B76C1"/>
    <w:rsid w:val="006B7A54"/>
    <w:rsid w:val="006C15B2"/>
    <w:rsid w:val="006C3FC8"/>
    <w:rsid w:val="006C4689"/>
    <w:rsid w:val="006C5990"/>
    <w:rsid w:val="006C7912"/>
    <w:rsid w:val="006D00DE"/>
    <w:rsid w:val="006D047D"/>
    <w:rsid w:val="006D4694"/>
    <w:rsid w:val="006D5219"/>
    <w:rsid w:val="006D7F33"/>
    <w:rsid w:val="006E0295"/>
    <w:rsid w:val="006E46B0"/>
    <w:rsid w:val="006E543F"/>
    <w:rsid w:val="006E5C06"/>
    <w:rsid w:val="006E65D1"/>
    <w:rsid w:val="006F30FC"/>
    <w:rsid w:val="006F35FE"/>
    <w:rsid w:val="006F4CF7"/>
    <w:rsid w:val="00700236"/>
    <w:rsid w:val="00702441"/>
    <w:rsid w:val="00706D81"/>
    <w:rsid w:val="007112C6"/>
    <w:rsid w:val="00711900"/>
    <w:rsid w:val="007124A6"/>
    <w:rsid w:val="007140A5"/>
    <w:rsid w:val="0071526D"/>
    <w:rsid w:val="00715279"/>
    <w:rsid w:val="00715DE1"/>
    <w:rsid w:val="00716EA3"/>
    <w:rsid w:val="00726B2F"/>
    <w:rsid w:val="00727990"/>
    <w:rsid w:val="00727CE5"/>
    <w:rsid w:val="00730ADB"/>
    <w:rsid w:val="0073262A"/>
    <w:rsid w:val="00735694"/>
    <w:rsid w:val="00735CA4"/>
    <w:rsid w:val="007362FB"/>
    <w:rsid w:val="0073632E"/>
    <w:rsid w:val="00736D6C"/>
    <w:rsid w:val="00741417"/>
    <w:rsid w:val="0074669B"/>
    <w:rsid w:val="00755F14"/>
    <w:rsid w:val="0075646E"/>
    <w:rsid w:val="00756E15"/>
    <w:rsid w:val="007579D3"/>
    <w:rsid w:val="00761E7D"/>
    <w:rsid w:val="00770804"/>
    <w:rsid w:val="00770812"/>
    <w:rsid w:val="00772C14"/>
    <w:rsid w:val="007747BC"/>
    <w:rsid w:val="0077624E"/>
    <w:rsid w:val="00781BAC"/>
    <w:rsid w:val="00782B43"/>
    <w:rsid w:val="00786200"/>
    <w:rsid w:val="00797D80"/>
    <w:rsid w:val="007A21D9"/>
    <w:rsid w:val="007A32B5"/>
    <w:rsid w:val="007A3C27"/>
    <w:rsid w:val="007A4CBA"/>
    <w:rsid w:val="007A63B1"/>
    <w:rsid w:val="007A6601"/>
    <w:rsid w:val="007A6F67"/>
    <w:rsid w:val="007B0189"/>
    <w:rsid w:val="007B172D"/>
    <w:rsid w:val="007B30FD"/>
    <w:rsid w:val="007B66E1"/>
    <w:rsid w:val="007B7511"/>
    <w:rsid w:val="007C1EE3"/>
    <w:rsid w:val="007C715E"/>
    <w:rsid w:val="007C73DC"/>
    <w:rsid w:val="007D0A71"/>
    <w:rsid w:val="007D42B5"/>
    <w:rsid w:val="007D5DE8"/>
    <w:rsid w:val="007D6D21"/>
    <w:rsid w:val="007E1D82"/>
    <w:rsid w:val="007E259D"/>
    <w:rsid w:val="007E335B"/>
    <w:rsid w:val="007F06C0"/>
    <w:rsid w:val="007F3213"/>
    <w:rsid w:val="007F332A"/>
    <w:rsid w:val="007F5A8F"/>
    <w:rsid w:val="00801C75"/>
    <w:rsid w:val="00801E88"/>
    <w:rsid w:val="00802571"/>
    <w:rsid w:val="00802BC4"/>
    <w:rsid w:val="00810E3A"/>
    <w:rsid w:val="0081293A"/>
    <w:rsid w:val="0081337D"/>
    <w:rsid w:val="00815675"/>
    <w:rsid w:val="00815C7F"/>
    <w:rsid w:val="00816572"/>
    <w:rsid w:val="00817F7A"/>
    <w:rsid w:val="00820513"/>
    <w:rsid w:val="008218CB"/>
    <w:rsid w:val="0082563E"/>
    <w:rsid w:val="0083055F"/>
    <w:rsid w:val="00831E86"/>
    <w:rsid w:val="008333DD"/>
    <w:rsid w:val="00833EB5"/>
    <w:rsid w:val="00835EBC"/>
    <w:rsid w:val="00837E94"/>
    <w:rsid w:val="0084595B"/>
    <w:rsid w:val="008469B7"/>
    <w:rsid w:val="00850461"/>
    <w:rsid w:val="008504F7"/>
    <w:rsid w:val="00853EC4"/>
    <w:rsid w:val="00855D1A"/>
    <w:rsid w:val="008568FE"/>
    <w:rsid w:val="008604DC"/>
    <w:rsid w:val="00860CA3"/>
    <w:rsid w:val="008669F0"/>
    <w:rsid w:val="00866A6C"/>
    <w:rsid w:val="00866B07"/>
    <w:rsid w:val="00866C99"/>
    <w:rsid w:val="00866F1A"/>
    <w:rsid w:val="008714D3"/>
    <w:rsid w:val="00871666"/>
    <w:rsid w:val="0087205F"/>
    <w:rsid w:val="00872AEB"/>
    <w:rsid w:val="00880148"/>
    <w:rsid w:val="008808D4"/>
    <w:rsid w:val="008811D6"/>
    <w:rsid w:val="00881B74"/>
    <w:rsid w:val="00882FB9"/>
    <w:rsid w:val="00884F36"/>
    <w:rsid w:val="0088670A"/>
    <w:rsid w:val="00887083"/>
    <w:rsid w:val="00890DE3"/>
    <w:rsid w:val="00891780"/>
    <w:rsid w:val="00896264"/>
    <w:rsid w:val="00896B9D"/>
    <w:rsid w:val="008A20E0"/>
    <w:rsid w:val="008A6D22"/>
    <w:rsid w:val="008A73D9"/>
    <w:rsid w:val="008A7A1D"/>
    <w:rsid w:val="008A7B1E"/>
    <w:rsid w:val="008B1FF9"/>
    <w:rsid w:val="008C0323"/>
    <w:rsid w:val="008C0350"/>
    <w:rsid w:val="008C03E2"/>
    <w:rsid w:val="008C05C5"/>
    <w:rsid w:val="008C0F7E"/>
    <w:rsid w:val="008C1C30"/>
    <w:rsid w:val="008C4C20"/>
    <w:rsid w:val="008C50A1"/>
    <w:rsid w:val="008C6005"/>
    <w:rsid w:val="008D05E4"/>
    <w:rsid w:val="008D16A0"/>
    <w:rsid w:val="008D468D"/>
    <w:rsid w:val="008E0257"/>
    <w:rsid w:val="008E1A2D"/>
    <w:rsid w:val="008E4239"/>
    <w:rsid w:val="008E6313"/>
    <w:rsid w:val="008F2644"/>
    <w:rsid w:val="008F2843"/>
    <w:rsid w:val="008F4D4A"/>
    <w:rsid w:val="008F749A"/>
    <w:rsid w:val="008F795D"/>
    <w:rsid w:val="008F7F98"/>
    <w:rsid w:val="0090047D"/>
    <w:rsid w:val="0090102D"/>
    <w:rsid w:val="00903536"/>
    <w:rsid w:val="009037AC"/>
    <w:rsid w:val="00903FC3"/>
    <w:rsid w:val="00907149"/>
    <w:rsid w:val="00910E9B"/>
    <w:rsid w:val="009121E5"/>
    <w:rsid w:val="009128B2"/>
    <w:rsid w:val="00912D9D"/>
    <w:rsid w:val="00914368"/>
    <w:rsid w:val="00914852"/>
    <w:rsid w:val="009169AC"/>
    <w:rsid w:val="00917E23"/>
    <w:rsid w:val="00922F7B"/>
    <w:rsid w:val="00927955"/>
    <w:rsid w:val="00930740"/>
    <w:rsid w:val="009326B3"/>
    <w:rsid w:val="00932E81"/>
    <w:rsid w:val="009349E6"/>
    <w:rsid w:val="00935419"/>
    <w:rsid w:val="009427C0"/>
    <w:rsid w:val="009437C4"/>
    <w:rsid w:val="00944F8B"/>
    <w:rsid w:val="00945879"/>
    <w:rsid w:val="00951464"/>
    <w:rsid w:val="0095155E"/>
    <w:rsid w:val="00952A9B"/>
    <w:rsid w:val="00952FBC"/>
    <w:rsid w:val="0095586D"/>
    <w:rsid w:val="009564C7"/>
    <w:rsid w:val="00956BC5"/>
    <w:rsid w:val="009602F2"/>
    <w:rsid w:val="009629FD"/>
    <w:rsid w:val="00962E8C"/>
    <w:rsid w:val="0096651E"/>
    <w:rsid w:val="009665C3"/>
    <w:rsid w:val="00967FDF"/>
    <w:rsid w:val="00971FB3"/>
    <w:rsid w:val="009720B8"/>
    <w:rsid w:val="00972F1A"/>
    <w:rsid w:val="009738AD"/>
    <w:rsid w:val="0097473C"/>
    <w:rsid w:val="00976151"/>
    <w:rsid w:val="00976F57"/>
    <w:rsid w:val="0097738D"/>
    <w:rsid w:val="009801DC"/>
    <w:rsid w:val="0098037C"/>
    <w:rsid w:val="009803FA"/>
    <w:rsid w:val="00982574"/>
    <w:rsid w:val="009842E3"/>
    <w:rsid w:val="00984440"/>
    <w:rsid w:val="0098656B"/>
    <w:rsid w:val="00986FEC"/>
    <w:rsid w:val="00990E99"/>
    <w:rsid w:val="0099119E"/>
    <w:rsid w:val="00991B8E"/>
    <w:rsid w:val="00991BA5"/>
    <w:rsid w:val="00991C5B"/>
    <w:rsid w:val="0099218D"/>
    <w:rsid w:val="009923BA"/>
    <w:rsid w:val="00992D3B"/>
    <w:rsid w:val="00993AA6"/>
    <w:rsid w:val="0099769E"/>
    <w:rsid w:val="009A0DD4"/>
    <w:rsid w:val="009A31DC"/>
    <w:rsid w:val="009A653B"/>
    <w:rsid w:val="009A6C69"/>
    <w:rsid w:val="009A6F42"/>
    <w:rsid w:val="009A7D5D"/>
    <w:rsid w:val="009B054D"/>
    <w:rsid w:val="009B6387"/>
    <w:rsid w:val="009B7EE5"/>
    <w:rsid w:val="009C2B52"/>
    <w:rsid w:val="009C3201"/>
    <w:rsid w:val="009C40B0"/>
    <w:rsid w:val="009C4372"/>
    <w:rsid w:val="009C4B2D"/>
    <w:rsid w:val="009C708A"/>
    <w:rsid w:val="009D1411"/>
    <w:rsid w:val="009D3C63"/>
    <w:rsid w:val="009D7200"/>
    <w:rsid w:val="009E1105"/>
    <w:rsid w:val="009E1EB1"/>
    <w:rsid w:val="009E2D51"/>
    <w:rsid w:val="009E4B33"/>
    <w:rsid w:val="009F26EA"/>
    <w:rsid w:val="009F2AE7"/>
    <w:rsid w:val="009F34E3"/>
    <w:rsid w:val="00A00071"/>
    <w:rsid w:val="00A006AD"/>
    <w:rsid w:val="00A01735"/>
    <w:rsid w:val="00A06A63"/>
    <w:rsid w:val="00A079F6"/>
    <w:rsid w:val="00A11A33"/>
    <w:rsid w:val="00A14029"/>
    <w:rsid w:val="00A15689"/>
    <w:rsid w:val="00A1590B"/>
    <w:rsid w:val="00A17E7A"/>
    <w:rsid w:val="00A2048F"/>
    <w:rsid w:val="00A23D0A"/>
    <w:rsid w:val="00A269D4"/>
    <w:rsid w:val="00A26E68"/>
    <w:rsid w:val="00A43646"/>
    <w:rsid w:val="00A44368"/>
    <w:rsid w:val="00A44CD2"/>
    <w:rsid w:val="00A46377"/>
    <w:rsid w:val="00A471C4"/>
    <w:rsid w:val="00A50DF2"/>
    <w:rsid w:val="00A5332E"/>
    <w:rsid w:val="00A55173"/>
    <w:rsid w:val="00A6328D"/>
    <w:rsid w:val="00A64B19"/>
    <w:rsid w:val="00A64D68"/>
    <w:rsid w:val="00A65230"/>
    <w:rsid w:val="00A66EAA"/>
    <w:rsid w:val="00A67200"/>
    <w:rsid w:val="00A7305E"/>
    <w:rsid w:val="00A75864"/>
    <w:rsid w:val="00A759F6"/>
    <w:rsid w:val="00A75FEB"/>
    <w:rsid w:val="00A76BEC"/>
    <w:rsid w:val="00A76F92"/>
    <w:rsid w:val="00A8061C"/>
    <w:rsid w:val="00A8120E"/>
    <w:rsid w:val="00A83576"/>
    <w:rsid w:val="00A8435A"/>
    <w:rsid w:val="00A84457"/>
    <w:rsid w:val="00A86B92"/>
    <w:rsid w:val="00A87404"/>
    <w:rsid w:val="00A87E37"/>
    <w:rsid w:val="00A903CB"/>
    <w:rsid w:val="00A90D8A"/>
    <w:rsid w:val="00A93A38"/>
    <w:rsid w:val="00A94E06"/>
    <w:rsid w:val="00A94ED3"/>
    <w:rsid w:val="00A95F81"/>
    <w:rsid w:val="00A96C76"/>
    <w:rsid w:val="00A978BB"/>
    <w:rsid w:val="00A97C00"/>
    <w:rsid w:val="00AA0328"/>
    <w:rsid w:val="00AA47F4"/>
    <w:rsid w:val="00AA5A02"/>
    <w:rsid w:val="00AA64C4"/>
    <w:rsid w:val="00AA6BC8"/>
    <w:rsid w:val="00AA77C4"/>
    <w:rsid w:val="00AB0647"/>
    <w:rsid w:val="00AB0662"/>
    <w:rsid w:val="00AB1E64"/>
    <w:rsid w:val="00AB1FE8"/>
    <w:rsid w:val="00AB2A90"/>
    <w:rsid w:val="00AB2C16"/>
    <w:rsid w:val="00AB43C0"/>
    <w:rsid w:val="00AC5DC0"/>
    <w:rsid w:val="00AC685C"/>
    <w:rsid w:val="00AC7748"/>
    <w:rsid w:val="00AD2488"/>
    <w:rsid w:val="00AD33A9"/>
    <w:rsid w:val="00AD36BD"/>
    <w:rsid w:val="00AD608E"/>
    <w:rsid w:val="00AE1AAD"/>
    <w:rsid w:val="00AE2D18"/>
    <w:rsid w:val="00AE574A"/>
    <w:rsid w:val="00AF0849"/>
    <w:rsid w:val="00AF2959"/>
    <w:rsid w:val="00AF2B33"/>
    <w:rsid w:val="00AF37B2"/>
    <w:rsid w:val="00AF3F93"/>
    <w:rsid w:val="00B00683"/>
    <w:rsid w:val="00B00ACE"/>
    <w:rsid w:val="00B00C61"/>
    <w:rsid w:val="00B01377"/>
    <w:rsid w:val="00B02A30"/>
    <w:rsid w:val="00B0321B"/>
    <w:rsid w:val="00B05493"/>
    <w:rsid w:val="00B06B4E"/>
    <w:rsid w:val="00B06C6A"/>
    <w:rsid w:val="00B06E6A"/>
    <w:rsid w:val="00B07DFF"/>
    <w:rsid w:val="00B10D1D"/>
    <w:rsid w:val="00B1121E"/>
    <w:rsid w:val="00B13715"/>
    <w:rsid w:val="00B150D4"/>
    <w:rsid w:val="00B163E7"/>
    <w:rsid w:val="00B16BA3"/>
    <w:rsid w:val="00B2039E"/>
    <w:rsid w:val="00B20525"/>
    <w:rsid w:val="00B208A1"/>
    <w:rsid w:val="00B21225"/>
    <w:rsid w:val="00B21EFE"/>
    <w:rsid w:val="00B23960"/>
    <w:rsid w:val="00B23DD8"/>
    <w:rsid w:val="00B2686F"/>
    <w:rsid w:val="00B30EBC"/>
    <w:rsid w:val="00B31165"/>
    <w:rsid w:val="00B31E5D"/>
    <w:rsid w:val="00B31F07"/>
    <w:rsid w:val="00B325B6"/>
    <w:rsid w:val="00B32AB8"/>
    <w:rsid w:val="00B32CC0"/>
    <w:rsid w:val="00B362E6"/>
    <w:rsid w:val="00B37553"/>
    <w:rsid w:val="00B4092E"/>
    <w:rsid w:val="00B45105"/>
    <w:rsid w:val="00B45612"/>
    <w:rsid w:val="00B46A42"/>
    <w:rsid w:val="00B5127A"/>
    <w:rsid w:val="00B5320A"/>
    <w:rsid w:val="00B53479"/>
    <w:rsid w:val="00B54544"/>
    <w:rsid w:val="00B54E2C"/>
    <w:rsid w:val="00B56B03"/>
    <w:rsid w:val="00B6005A"/>
    <w:rsid w:val="00B60724"/>
    <w:rsid w:val="00B625DE"/>
    <w:rsid w:val="00B63395"/>
    <w:rsid w:val="00B63FB4"/>
    <w:rsid w:val="00B64C87"/>
    <w:rsid w:val="00B7004C"/>
    <w:rsid w:val="00B70723"/>
    <w:rsid w:val="00B70862"/>
    <w:rsid w:val="00B74573"/>
    <w:rsid w:val="00B77C36"/>
    <w:rsid w:val="00B80D8F"/>
    <w:rsid w:val="00B81ED8"/>
    <w:rsid w:val="00B82DB6"/>
    <w:rsid w:val="00B84E3C"/>
    <w:rsid w:val="00B853DD"/>
    <w:rsid w:val="00B86DB4"/>
    <w:rsid w:val="00B9027B"/>
    <w:rsid w:val="00B91C4D"/>
    <w:rsid w:val="00B96F0D"/>
    <w:rsid w:val="00BA0136"/>
    <w:rsid w:val="00BA091D"/>
    <w:rsid w:val="00BA440A"/>
    <w:rsid w:val="00BA4EE2"/>
    <w:rsid w:val="00BA4F77"/>
    <w:rsid w:val="00BA5F59"/>
    <w:rsid w:val="00BA6273"/>
    <w:rsid w:val="00BB5CA3"/>
    <w:rsid w:val="00BB782A"/>
    <w:rsid w:val="00BC0CEA"/>
    <w:rsid w:val="00BC4375"/>
    <w:rsid w:val="00BC75F6"/>
    <w:rsid w:val="00BC7CD3"/>
    <w:rsid w:val="00BD049A"/>
    <w:rsid w:val="00BD103A"/>
    <w:rsid w:val="00BD218D"/>
    <w:rsid w:val="00BD5173"/>
    <w:rsid w:val="00BD565C"/>
    <w:rsid w:val="00BD72BC"/>
    <w:rsid w:val="00BD7597"/>
    <w:rsid w:val="00BE0EEF"/>
    <w:rsid w:val="00BE130B"/>
    <w:rsid w:val="00BE1951"/>
    <w:rsid w:val="00BE5164"/>
    <w:rsid w:val="00BE6ACE"/>
    <w:rsid w:val="00BE73E8"/>
    <w:rsid w:val="00BF0164"/>
    <w:rsid w:val="00BF25DB"/>
    <w:rsid w:val="00BF2C92"/>
    <w:rsid w:val="00BF312D"/>
    <w:rsid w:val="00BF3D1B"/>
    <w:rsid w:val="00BF449F"/>
    <w:rsid w:val="00BF5A40"/>
    <w:rsid w:val="00BF6D34"/>
    <w:rsid w:val="00BF7EDA"/>
    <w:rsid w:val="00C00B79"/>
    <w:rsid w:val="00C0109D"/>
    <w:rsid w:val="00C0257F"/>
    <w:rsid w:val="00C02AE2"/>
    <w:rsid w:val="00C056D5"/>
    <w:rsid w:val="00C141D5"/>
    <w:rsid w:val="00C14569"/>
    <w:rsid w:val="00C14FBA"/>
    <w:rsid w:val="00C1765E"/>
    <w:rsid w:val="00C178A5"/>
    <w:rsid w:val="00C214C0"/>
    <w:rsid w:val="00C23549"/>
    <w:rsid w:val="00C2382F"/>
    <w:rsid w:val="00C25E5B"/>
    <w:rsid w:val="00C26257"/>
    <w:rsid w:val="00C27228"/>
    <w:rsid w:val="00C27CC4"/>
    <w:rsid w:val="00C31088"/>
    <w:rsid w:val="00C3238F"/>
    <w:rsid w:val="00C3244F"/>
    <w:rsid w:val="00C32D60"/>
    <w:rsid w:val="00C34429"/>
    <w:rsid w:val="00C366F0"/>
    <w:rsid w:val="00C37323"/>
    <w:rsid w:val="00C37655"/>
    <w:rsid w:val="00C469D3"/>
    <w:rsid w:val="00C51380"/>
    <w:rsid w:val="00C53696"/>
    <w:rsid w:val="00C53F3D"/>
    <w:rsid w:val="00C548FE"/>
    <w:rsid w:val="00C55055"/>
    <w:rsid w:val="00C56831"/>
    <w:rsid w:val="00C614A7"/>
    <w:rsid w:val="00C61BC8"/>
    <w:rsid w:val="00C6261B"/>
    <w:rsid w:val="00C6439D"/>
    <w:rsid w:val="00C65134"/>
    <w:rsid w:val="00C6758B"/>
    <w:rsid w:val="00C7028E"/>
    <w:rsid w:val="00C70CAA"/>
    <w:rsid w:val="00C7510F"/>
    <w:rsid w:val="00C754D1"/>
    <w:rsid w:val="00C7600C"/>
    <w:rsid w:val="00C762CE"/>
    <w:rsid w:val="00C76D71"/>
    <w:rsid w:val="00C77282"/>
    <w:rsid w:val="00C7789B"/>
    <w:rsid w:val="00C831F5"/>
    <w:rsid w:val="00C836F1"/>
    <w:rsid w:val="00C83B78"/>
    <w:rsid w:val="00C842A3"/>
    <w:rsid w:val="00C910D1"/>
    <w:rsid w:val="00C926F3"/>
    <w:rsid w:val="00C945A4"/>
    <w:rsid w:val="00C968FA"/>
    <w:rsid w:val="00C96FE2"/>
    <w:rsid w:val="00CA6501"/>
    <w:rsid w:val="00CA6CF8"/>
    <w:rsid w:val="00CB193B"/>
    <w:rsid w:val="00CB1D7D"/>
    <w:rsid w:val="00CB5E5F"/>
    <w:rsid w:val="00CB612B"/>
    <w:rsid w:val="00CB6E11"/>
    <w:rsid w:val="00CB7688"/>
    <w:rsid w:val="00CC69F3"/>
    <w:rsid w:val="00CD06C4"/>
    <w:rsid w:val="00CD4116"/>
    <w:rsid w:val="00CD4F28"/>
    <w:rsid w:val="00CD60E2"/>
    <w:rsid w:val="00CE165F"/>
    <w:rsid w:val="00CE3CBC"/>
    <w:rsid w:val="00CE564F"/>
    <w:rsid w:val="00CE61F5"/>
    <w:rsid w:val="00CF42A7"/>
    <w:rsid w:val="00CF49A6"/>
    <w:rsid w:val="00CF6A21"/>
    <w:rsid w:val="00D01F98"/>
    <w:rsid w:val="00D04378"/>
    <w:rsid w:val="00D064B7"/>
    <w:rsid w:val="00D06573"/>
    <w:rsid w:val="00D06A5F"/>
    <w:rsid w:val="00D11C47"/>
    <w:rsid w:val="00D11FC3"/>
    <w:rsid w:val="00D12685"/>
    <w:rsid w:val="00D13592"/>
    <w:rsid w:val="00D1375F"/>
    <w:rsid w:val="00D203C6"/>
    <w:rsid w:val="00D204A7"/>
    <w:rsid w:val="00D20537"/>
    <w:rsid w:val="00D22F15"/>
    <w:rsid w:val="00D23933"/>
    <w:rsid w:val="00D244D7"/>
    <w:rsid w:val="00D25001"/>
    <w:rsid w:val="00D271CF"/>
    <w:rsid w:val="00D301ED"/>
    <w:rsid w:val="00D30AFD"/>
    <w:rsid w:val="00D34CA3"/>
    <w:rsid w:val="00D36BF1"/>
    <w:rsid w:val="00D37D44"/>
    <w:rsid w:val="00D40522"/>
    <w:rsid w:val="00D4197A"/>
    <w:rsid w:val="00D43864"/>
    <w:rsid w:val="00D43ADC"/>
    <w:rsid w:val="00D461D2"/>
    <w:rsid w:val="00D47AE0"/>
    <w:rsid w:val="00D47B13"/>
    <w:rsid w:val="00D505E0"/>
    <w:rsid w:val="00D5126B"/>
    <w:rsid w:val="00D517D9"/>
    <w:rsid w:val="00D5304C"/>
    <w:rsid w:val="00D53F36"/>
    <w:rsid w:val="00D57DA0"/>
    <w:rsid w:val="00D61A7C"/>
    <w:rsid w:val="00D61F28"/>
    <w:rsid w:val="00D65C29"/>
    <w:rsid w:val="00D66D47"/>
    <w:rsid w:val="00D67E4A"/>
    <w:rsid w:val="00D67FAD"/>
    <w:rsid w:val="00D70F36"/>
    <w:rsid w:val="00D73539"/>
    <w:rsid w:val="00D831D6"/>
    <w:rsid w:val="00D87D15"/>
    <w:rsid w:val="00D87D93"/>
    <w:rsid w:val="00D90450"/>
    <w:rsid w:val="00D90B01"/>
    <w:rsid w:val="00D918AC"/>
    <w:rsid w:val="00D939E3"/>
    <w:rsid w:val="00D93F67"/>
    <w:rsid w:val="00D9460C"/>
    <w:rsid w:val="00D956D7"/>
    <w:rsid w:val="00D973ED"/>
    <w:rsid w:val="00D97F06"/>
    <w:rsid w:val="00DA225B"/>
    <w:rsid w:val="00DA24E0"/>
    <w:rsid w:val="00DA2BA7"/>
    <w:rsid w:val="00DA3625"/>
    <w:rsid w:val="00DA405D"/>
    <w:rsid w:val="00DA7FCB"/>
    <w:rsid w:val="00DB0214"/>
    <w:rsid w:val="00DB0A04"/>
    <w:rsid w:val="00DB3AC3"/>
    <w:rsid w:val="00DB3E33"/>
    <w:rsid w:val="00DB48CA"/>
    <w:rsid w:val="00DB4A55"/>
    <w:rsid w:val="00DB5169"/>
    <w:rsid w:val="00DB5284"/>
    <w:rsid w:val="00DB7AC4"/>
    <w:rsid w:val="00DC29B1"/>
    <w:rsid w:val="00DC3B9C"/>
    <w:rsid w:val="00DC6152"/>
    <w:rsid w:val="00DC713A"/>
    <w:rsid w:val="00DC7A3A"/>
    <w:rsid w:val="00DC7A73"/>
    <w:rsid w:val="00DD0984"/>
    <w:rsid w:val="00DD19A7"/>
    <w:rsid w:val="00DD29A9"/>
    <w:rsid w:val="00DD41AE"/>
    <w:rsid w:val="00DD64DC"/>
    <w:rsid w:val="00DE16C1"/>
    <w:rsid w:val="00DE1C62"/>
    <w:rsid w:val="00DE23CE"/>
    <w:rsid w:val="00DE498D"/>
    <w:rsid w:val="00DE4C2E"/>
    <w:rsid w:val="00DE5E2E"/>
    <w:rsid w:val="00DE6B4A"/>
    <w:rsid w:val="00DE6C46"/>
    <w:rsid w:val="00DE6F1A"/>
    <w:rsid w:val="00DF2683"/>
    <w:rsid w:val="00DF326A"/>
    <w:rsid w:val="00DF3E0F"/>
    <w:rsid w:val="00DF4DE2"/>
    <w:rsid w:val="00DF5B0A"/>
    <w:rsid w:val="00DF5E94"/>
    <w:rsid w:val="00E01B7C"/>
    <w:rsid w:val="00E03B5A"/>
    <w:rsid w:val="00E03C8B"/>
    <w:rsid w:val="00E03CBF"/>
    <w:rsid w:val="00E03D60"/>
    <w:rsid w:val="00E04261"/>
    <w:rsid w:val="00E04559"/>
    <w:rsid w:val="00E0534A"/>
    <w:rsid w:val="00E054C8"/>
    <w:rsid w:val="00E06A0F"/>
    <w:rsid w:val="00E071BB"/>
    <w:rsid w:val="00E1127F"/>
    <w:rsid w:val="00E127F8"/>
    <w:rsid w:val="00E137AE"/>
    <w:rsid w:val="00E13F0C"/>
    <w:rsid w:val="00E1673D"/>
    <w:rsid w:val="00E23E80"/>
    <w:rsid w:val="00E26667"/>
    <w:rsid w:val="00E26BBB"/>
    <w:rsid w:val="00E31DCB"/>
    <w:rsid w:val="00E32048"/>
    <w:rsid w:val="00E35DB5"/>
    <w:rsid w:val="00E3687D"/>
    <w:rsid w:val="00E37A42"/>
    <w:rsid w:val="00E4078F"/>
    <w:rsid w:val="00E4255B"/>
    <w:rsid w:val="00E4344F"/>
    <w:rsid w:val="00E467CE"/>
    <w:rsid w:val="00E47098"/>
    <w:rsid w:val="00E50D46"/>
    <w:rsid w:val="00E524ED"/>
    <w:rsid w:val="00E54156"/>
    <w:rsid w:val="00E55683"/>
    <w:rsid w:val="00E55D50"/>
    <w:rsid w:val="00E608A3"/>
    <w:rsid w:val="00E60CD4"/>
    <w:rsid w:val="00E61EC6"/>
    <w:rsid w:val="00E6225A"/>
    <w:rsid w:val="00E627F4"/>
    <w:rsid w:val="00E63D1D"/>
    <w:rsid w:val="00E65193"/>
    <w:rsid w:val="00E67D5F"/>
    <w:rsid w:val="00E7342B"/>
    <w:rsid w:val="00E73ADB"/>
    <w:rsid w:val="00E743B7"/>
    <w:rsid w:val="00E754A0"/>
    <w:rsid w:val="00E76AF5"/>
    <w:rsid w:val="00E801AF"/>
    <w:rsid w:val="00E80EE4"/>
    <w:rsid w:val="00E81ECE"/>
    <w:rsid w:val="00E820FD"/>
    <w:rsid w:val="00E822FC"/>
    <w:rsid w:val="00E83D04"/>
    <w:rsid w:val="00E83D88"/>
    <w:rsid w:val="00E91D60"/>
    <w:rsid w:val="00E93AFD"/>
    <w:rsid w:val="00E963F2"/>
    <w:rsid w:val="00E97410"/>
    <w:rsid w:val="00EA0628"/>
    <w:rsid w:val="00EA18D3"/>
    <w:rsid w:val="00EA2C2F"/>
    <w:rsid w:val="00EA72B1"/>
    <w:rsid w:val="00EA74FD"/>
    <w:rsid w:val="00EA7F7D"/>
    <w:rsid w:val="00EB31CD"/>
    <w:rsid w:val="00EB3C34"/>
    <w:rsid w:val="00EC043C"/>
    <w:rsid w:val="00EC05AD"/>
    <w:rsid w:val="00EC1359"/>
    <w:rsid w:val="00EC45C7"/>
    <w:rsid w:val="00EC5BF7"/>
    <w:rsid w:val="00ED22AE"/>
    <w:rsid w:val="00ED4AE6"/>
    <w:rsid w:val="00ED4F71"/>
    <w:rsid w:val="00EE11B0"/>
    <w:rsid w:val="00EE44FE"/>
    <w:rsid w:val="00EE6F35"/>
    <w:rsid w:val="00EE7469"/>
    <w:rsid w:val="00EF2034"/>
    <w:rsid w:val="00EF208D"/>
    <w:rsid w:val="00EF390E"/>
    <w:rsid w:val="00EF59F6"/>
    <w:rsid w:val="00F02A2A"/>
    <w:rsid w:val="00F04E79"/>
    <w:rsid w:val="00F07484"/>
    <w:rsid w:val="00F075A2"/>
    <w:rsid w:val="00F075B1"/>
    <w:rsid w:val="00F1020B"/>
    <w:rsid w:val="00F11527"/>
    <w:rsid w:val="00F12C46"/>
    <w:rsid w:val="00F157D2"/>
    <w:rsid w:val="00F2325A"/>
    <w:rsid w:val="00F243E8"/>
    <w:rsid w:val="00F2689F"/>
    <w:rsid w:val="00F27C2A"/>
    <w:rsid w:val="00F32C01"/>
    <w:rsid w:val="00F33801"/>
    <w:rsid w:val="00F33F37"/>
    <w:rsid w:val="00F35C12"/>
    <w:rsid w:val="00F40290"/>
    <w:rsid w:val="00F4390D"/>
    <w:rsid w:val="00F465FA"/>
    <w:rsid w:val="00F516E9"/>
    <w:rsid w:val="00F521B3"/>
    <w:rsid w:val="00F550EB"/>
    <w:rsid w:val="00F570F3"/>
    <w:rsid w:val="00F62173"/>
    <w:rsid w:val="00F631B8"/>
    <w:rsid w:val="00F65031"/>
    <w:rsid w:val="00F65FA3"/>
    <w:rsid w:val="00F66735"/>
    <w:rsid w:val="00F72348"/>
    <w:rsid w:val="00F77005"/>
    <w:rsid w:val="00F7787C"/>
    <w:rsid w:val="00F80114"/>
    <w:rsid w:val="00F80CF9"/>
    <w:rsid w:val="00F814FF"/>
    <w:rsid w:val="00F83117"/>
    <w:rsid w:val="00F83B1B"/>
    <w:rsid w:val="00F85712"/>
    <w:rsid w:val="00F8687C"/>
    <w:rsid w:val="00F8694C"/>
    <w:rsid w:val="00F92614"/>
    <w:rsid w:val="00F95E56"/>
    <w:rsid w:val="00F97CBD"/>
    <w:rsid w:val="00FA00F8"/>
    <w:rsid w:val="00FA1994"/>
    <w:rsid w:val="00FA441C"/>
    <w:rsid w:val="00FB1DCD"/>
    <w:rsid w:val="00FB52D4"/>
    <w:rsid w:val="00FB6DF1"/>
    <w:rsid w:val="00FB784A"/>
    <w:rsid w:val="00FC0C90"/>
    <w:rsid w:val="00FC578B"/>
    <w:rsid w:val="00FD06D9"/>
    <w:rsid w:val="00FD0EE4"/>
    <w:rsid w:val="00FD10DC"/>
    <w:rsid w:val="00FD1252"/>
    <w:rsid w:val="00FD1A72"/>
    <w:rsid w:val="00FD1F90"/>
    <w:rsid w:val="00FD343E"/>
    <w:rsid w:val="00FD621A"/>
    <w:rsid w:val="00FD726A"/>
    <w:rsid w:val="00FD7888"/>
    <w:rsid w:val="00FE27B2"/>
    <w:rsid w:val="00FE315B"/>
    <w:rsid w:val="00FE33EC"/>
    <w:rsid w:val="00FE4E0D"/>
    <w:rsid w:val="00FE7727"/>
    <w:rsid w:val="00FF0126"/>
    <w:rsid w:val="00FF08E2"/>
    <w:rsid w:val="00FF1BD1"/>
    <w:rsid w:val="00FF1FE0"/>
    <w:rsid w:val="00FF339A"/>
    <w:rsid w:val="00FF4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2CEE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B72"/>
    <w:rPr>
      <w:sz w:val="24"/>
      <w:szCs w:val="24"/>
    </w:rPr>
  </w:style>
  <w:style w:type="paragraph" w:styleId="Heading1">
    <w:name w:val="heading 1"/>
    <w:basedOn w:val="Normal"/>
    <w:next w:val="Normal"/>
    <w:link w:val="Heading1Char"/>
    <w:qFormat/>
    <w:rsid w:val="00061956"/>
    <w:pPr>
      <w:numPr>
        <w:numId w:val="16"/>
      </w:num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44C10"/>
    <w:rPr>
      <w:color w:val="0000FF"/>
      <w:u w:val="single"/>
    </w:rPr>
  </w:style>
  <w:style w:type="table" w:styleId="TableGrid">
    <w:name w:val="Table Grid"/>
    <w:basedOn w:val="TableNormal"/>
    <w:rsid w:val="00437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461D2"/>
    <w:rPr>
      <w:sz w:val="16"/>
      <w:szCs w:val="16"/>
    </w:rPr>
  </w:style>
  <w:style w:type="paragraph" w:styleId="CommentText">
    <w:name w:val="annotation text"/>
    <w:basedOn w:val="Normal"/>
    <w:semiHidden/>
    <w:rsid w:val="00D461D2"/>
    <w:rPr>
      <w:sz w:val="20"/>
      <w:szCs w:val="20"/>
    </w:rPr>
  </w:style>
  <w:style w:type="paragraph" w:styleId="CommentSubject">
    <w:name w:val="annotation subject"/>
    <w:basedOn w:val="CommentText"/>
    <w:next w:val="CommentText"/>
    <w:semiHidden/>
    <w:rsid w:val="00D461D2"/>
    <w:rPr>
      <w:b/>
      <w:bCs/>
    </w:rPr>
  </w:style>
  <w:style w:type="paragraph" w:styleId="BalloonText">
    <w:name w:val="Balloon Text"/>
    <w:basedOn w:val="Normal"/>
    <w:semiHidden/>
    <w:rsid w:val="00D461D2"/>
    <w:rPr>
      <w:rFonts w:ascii="Tahoma" w:hAnsi="Tahoma" w:cs="Tahoma"/>
      <w:sz w:val="16"/>
      <w:szCs w:val="16"/>
    </w:rPr>
  </w:style>
  <w:style w:type="paragraph" w:styleId="NormalWeb">
    <w:name w:val="Normal (Web)"/>
    <w:basedOn w:val="Normal"/>
    <w:uiPriority w:val="99"/>
    <w:rsid w:val="00E1127F"/>
    <w:pPr>
      <w:spacing w:before="100" w:beforeAutospacing="1" w:after="100" w:afterAutospacing="1"/>
    </w:pPr>
  </w:style>
  <w:style w:type="paragraph" w:styleId="DocumentMap">
    <w:name w:val="Document Map"/>
    <w:basedOn w:val="Normal"/>
    <w:semiHidden/>
    <w:rsid w:val="00E55D50"/>
    <w:pPr>
      <w:shd w:val="clear" w:color="auto" w:fill="000080"/>
    </w:pPr>
    <w:rPr>
      <w:rFonts w:ascii="Tahoma" w:hAnsi="Tahoma" w:cs="Tahoma"/>
      <w:sz w:val="20"/>
      <w:szCs w:val="20"/>
    </w:rPr>
  </w:style>
  <w:style w:type="paragraph" w:styleId="Header">
    <w:name w:val="header"/>
    <w:basedOn w:val="Normal"/>
    <w:rsid w:val="00DC6152"/>
    <w:pPr>
      <w:tabs>
        <w:tab w:val="center" w:pos="4320"/>
        <w:tab w:val="right" w:pos="8640"/>
      </w:tabs>
    </w:pPr>
  </w:style>
  <w:style w:type="paragraph" w:styleId="Footer">
    <w:name w:val="footer"/>
    <w:basedOn w:val="Normal"/>
    <w:rsid w:val="00DC6152"/>
    <w:pPr>
      <w:tabs>
        <w:tab w:val="center" w:pos="4320"/>
        <w:tab w:val="right" w:pos="8640"/>
      </w:tabs>
    </w:pPr>
  </w:style>
  <w:style w:type="character" w:styleId="PageNumber">
    <w:name w:val="page number"/>
    <w:basedOn w:val="DefaultParagraphFont"/>
    <w:rsid w:val="00387F85"/>
  </w:style>
  <w:style w:type="character" w:styleId="FollowedHyperlink">
    <w:name w:val="FollowedHyperlink"/>
    <w:rsid w:val="00246B21"/>
    <w:rPr>
      <w:color w:val="800080"/>
      <w:u w:val="single"/>
    </w:rPr>
  </w:style>
  <w:style w:type="table" w:styleId="TableClassic1">
    <w:name w:val="Table Classic 1"/>
    <w:basedOn w:val="TableNormal"/>
    <w:rsid w:val="00A006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rsid w:val="00246FC3"/>
    <w:rPr>
      <w:rFonts w:ascii="Courier New" w:hAnsi="Courier New" w:cs="Courier New"/>
      <w:sz w:val="20"/>
      <w:szCs w:val="20"/>
    </w:rPr>
  </w:style>
  <w:style w:type="character" w:customStyle="1" w:styleId="A0">
    <w:name w:val="A0"/>
    <w:uiPriority w:val="99"/>
    <w:rsid w:val="00B13715"/>
    <w:rPr>
      <w:rFonts w:cs="Calibri"/>
      <w:color w:val="000000"/>
      <w:sz w:val="48"/>
      <w:szCs w:val="48"/>
    </w:rPr>
  </w:style>
  <w:style w:type="paragraph" w:customStyle="1" w:styleId="links">
    <w:name w:val="links"/>
    <w:basedOn w:val="Normal"/>
    <w:rsid w:val="00135263"/>
    <w:pPr>
      <w:spacing w:before="100" w:beforeAutospacing="1" w:after="100" w:afterAutospacing="1"/>
    </w:pPr>
  </w:style>
  <w:style w:type="paragraph" w:customStyle="1" w:styleId="Title1">
    <w:name w:val="Title1"/>
    <w:basedOn w:val="Normal"/>
    <w:rsid w:val="00135263"/>
    <w:pPr>
      <w:spacing w:before="100" w:beforeAutospacing="1" w:after="100" w:afterAutospacing="1"/>
    </w:pPr>
  </w:style>
  <w:style w:type="paragraph" w:customStyle="1" w:styleId="desc">
    <w:name w:val="desc"/>
    <w:basedOn w:val="Normal"/>
    <w:rsid w:val="00135263"/>
    <w:pPr>
      <w:spacing w:before="100" w:beforeAutospacing="1" w:after="100" w:afterAutospacing="1"/>
    </w:pPr>
  </w:style>
  <w:style w:type="paragraph" w:customStyle="1" w:styleId="details">
    <w:name w:val="details"/>
    <w:basedOn w:val="Normal"/>
    <w:rsid w:val="00135263"/>
    <w:pPr>
      <w:spacing w:before="100" w:beforeAutospacing="1" w:after="100" w:afterAutospacing="1"/>
    </w:pPr>
  </w:style>
  <w:style w:type="character" w:customStyle="1" w:styleId="jrnl">
    <w:name w:val="jrnl"/>
    <w:rsid w:val="00135263"/>
  </w:style>
  <w:style w:type="character" w:customStyle="1" w:styleId="cit-print-date">
    <w:name w:val="cit-print-date"/>
    <w:rsid w:val="005A38AD"/>
  </w:style>
  <w:style w:type="character" w:customStyle="1" w:styleId="cit-sep2">
    <w:name w:val="cit-sep2"/>
    <w:rsid w:val="005A38AD"/>
  </w:style>
  <w:style w:type="character" w:customStyle="1" w:styleId="cit-vol5">
    <w:name w:val="cit-vol5"/>
    <w:rsid w:val="005A38AD"/>
  </w:style>
  <w:style w:type="character" w:customStyle="1" w:styleId="cit-issue">
    <w:name w:val="cit-issue"/>
    <w:rsid w:val="005A38AD"/>
  </w:style>
  <w:style w:type="character" w:customStyle="1" w:styleId="cit-pages2">
    <w:name w:val="cit-pages2"/>
    <w:rsid w:val="005A38AD"/>
  </w:style>
  <w:style w:type="character" w:customStyle="1" w:styleId="cit-first-page">
    <w:name w:val="cit-first-page"/>
    <w:rsid w:val="005A38AD"/>
  </w:style>
  <w:style w:type="character" w:customStyle="1" w:styleId="cit-last-page2">
    <w:name w:val="cit-last-page2"/>
    <w:rsid w:val="005A38AD"/>
  </w:style>
  <w:style w:type="paragraph" w:styleId="ListParagraph">
    <w:name w:val="List Paragraph"/>
    <w:basedOn w:val="Normal"/>
    <w:uiPriority w:val="34"/>
    <w:qFormat/>
    <w:rsid w:val="00910E9B"/>
    <w:pPr>
      <w:ind w:left="720"/>
    </w:pPr>
    <w:rPr>
      <w:rFonts w:ascii="Calibri" w:eastAsia="Calibri" w:hAnsi="Calibri"/>
      <w:sz w:val="22"/>
      <w:szCs w:val="22"/>
    </w:rPr>
  </w:style>
  <w:style w:type="paragraph" w:styleId="Revision">
    <w:name w:val="Revision"/>
    <w:hidden/>
    <w:uiPriority w:val="99"/>
    <w:semiHidden/>
    <w:rsid w:val="00C34429"/>
    <w:rPr>
      <w:sz w:val="24"/>
      <w:szCs w:val="24"/>
    </w:rPr>
  </w:style>
  <w:style w:type="character" w:customStyle="1" w:styleId="Heading1Char">
    <w:name w:val="Heading 1 Char"/>
    <w:link w:val="Heading1"/>
    <w:rsid w:val="00061956"/>
    <w:rPr>
      <w:b/>
      <w:sz w:val="24"/>
      <w:szCs w:val="24"/>
    </w:rPr>
  </w:style>
  <w:style w:type="paragraph" w:styleId="TOCHeading">
    <w:name w:val="TOC Heading"/>
    <w:basedOn w:val="Heading1"/>
    <w:next w:val="Normal"/>
    <w:uiPriority w:val="39"/>
    <w:unhideWhenUsed/>
    <w:qFormat/>
    <w:rsid w:val="00850461"/>
    <w:pPr>
      <w:keepNext/>
      <w:keepLines/>
      <w:numPr>
        <w:numId w:val="0"/>
      </w:numPr>
      <w:spacing w:before="240" w:line="259" w:lineRule="auto"/>
      <w:outlineLvl w:val="9"/>
    </w:pPr>
    <w:rPr>
      <w:rFonts w:ascii="Calibri Light" w:hAnsi="Calibri Light"/>
      <w:b w:val="0"/>
      <w:color w:val="2E74B5"/>
      <w:sz w:val="32"/>
      <w:szCs w:val="32"/>
    </w:rPr>
  </w:style>
  <w:style w:type="paragraph" w:styleId="TOC1">
    <w:name w:val="toc 1"/>
    <w:basedOn w:val="Normal"/>
    <w:next w:val="Normal"/>
    <w:autoRedefine/>
    <w:uiPriority w:val="39"/>
    <w:rsid w:val="00850461"/>
  </w:style>
  <w:style w:type="paragraph" w:customStyle="1" w:styleId="f-body">
    <w:name w:val="f-body"/>
    <w:basedOn w:val="Normal"/>
    <w:rsid w:val="00727CE5"/>
    <w:pPr>
      <w:spacing w:before="300" w:line="360" w:lineRule="atLeast"/>
    </w:pPr>
    <w:rPr>
      <w:sz w:val="26"/>
      <w:szCs w:val="26"/>
    </w:rPr>
  </w:style>
  <w:style w:type="character" w:customStyle="1" w:styleId="sr-only1">
    <w:name w:val="sr-only1"/>
    <w:basedOn w:val="DefaultParagraphFont"/>
    <w:rsid w:val="008F749A"/>
    <w:rPr>
      <w:bdr w:val="none" w:sz="0" w:space="0" w:color="auto" w:frame="1"/>
    </w:rPr>
  </w:style>
  <w:style w:type="character" w:customStyle="1" w:styleId="xml-string-name">
    <w:name w:val="xml-string-name"/>
    <w:basedOn w:val="DefaultParagraphFont"/>
    <w:rsid w:val="00C27228"/>
  </w:style>
  <w:style w:type="character" w:customStyle="1" w:styleId="xml-surname">
    <w:name w:val="xml-surname"/>
    <w:basedOn w:val="DefaultParagraphFont"/>
    <w:rsid w:val="00C27228"/>
  </w:style>
  <w:style w:type="character" w:customStyle="1" w:styleId="xml-given-names">
    <w:name w:val="xml-given-names"/>
    <w:basedOn w:val="DefaultParagraphFont"/>
    <w:rsid w:val="00C27228"/>
  </w:style>
  <w:style w:type="character" w:customStyle="1" w:styleId="xml-collab">
    <w:name w:val="xml-collab"/>
    <w:basedOn w:val="DefaultParagraphFont"/>
    <w:rsid w:val="00C27228"/>
  </w:style>
  <w:style w:type="character" w:customStyle="1" w:styleId="xml-year">
    <w:name w:val="xml-year"/>
    <w:basedOn w:val="DefaultParagraphFont"/>
    <w:rsid w:val="00C27228"/>
  </w:style>
  <w:style w:type="character" w:customStyle="1" w:styleId="highlight">
    <w:name w:val="highlight"/>
    <w:basedOn w:val="DefaultParagraphFont"/>
    <w:rsid w:val="004D60D4"/>
  </w:style>
  <w:style w:type="character" w:customStyle="1" w:styleId="UnresolvedMention">
    <w:name w:val="Unresolved Mention"/>
    <w:basedOn w:val="DefaultParagraphFont"/>
    <w:uiPriority w:val="99"/>
    <w:semiHidden/>
    <w:unhideWhenUsed/>
    <w:rsid w:val="00D1375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B72"/>
    <w:rPr>
      <w:sz w:val="24"/>
      <w:szCs w:val="24"/>
    </w:rPr>
  </w:style>
  <w:style w:type="paragraph" w:styleId="Heading1">
    <w:name w:val="heading 1"/>
    <w:basedOn w:val="Normal"/>
    <w:next w:val="Normal"/>
    <w:link w:val="Heading1Char"/>
    <w:qFormat/>
    <w:rsid w:val="00061956"/>
    <w:pPr>
      <w:numPr>
        <w:numId w:val="16"/>
      </w:num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44C10"/>
    <w:rPr>
      <w:color w:val="0000FF"/>
      <w:u w:val="single"/>
    </w:rPr>
  </w:style>
  <w:style w:type="table" w:styleId="TableGrid">
    <w:name w:val="Table Grid"/>
    <w:basedOn w:val="TableNormal"/>
    <w:rsid w:val="00437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461D2"/>
    <w:rPr>
      <w:sz w:val="16"/>
      <w:szCs w:val="16"/>
    </w:rPr>
  </w:style>
  <w:style w:type="paragraph" w:styleId="CommentText">
    <w:name w:val="annotation text"/>
    <w:basedOn w:val="Normal"/>
    <w:semiHidden/>
    <w:rsid w:val="00D461D2"/>
    <w:rPr>
      <w:sz w:val="20"/>
      <w:szCs w:val="20"/>
    </w:rPr>
  </w:style>
  <w:style w:type="paragraph" w:styleId="CommentSubject">
    <w:name w:val="annotation subject"/>
    <w:basedOn w:val="CommentText"/>
    <w:next w:val="CommentText"/>
    <w:semiHidden/>
    <w:rsid w:val="00D461D2"/>
    <w:rPr>
      <w:b/>
      <w:bCs/>
    </w:rPr>
  </w:style>
  <w:style w:type="paragraph" w:styleId="BalloonText">
    <w:name w:val="Balloon Text"/>
    <w:basedOn w:val="Normal"/>
    <w:semiHidden/>
    <w:rsid w:val="00D461D2"/>
    <w:rPr>
      <w:rFonts w:ascii="Tahoma" w:hAnsi="Tahoma" w:cs="Tahoma"/>
      <w:sz w:val="16"/>
      <w:szCs w:val="16"/>
    </w:rPr>
  </w:style>
  <w:style w:type="paragraph" w:styleId="NormalWeb">
    <w:name w:val="Normal (Web)"/>
    <w:basedOn w:val="Normal"/>
    <w:uiPriority w:val="99"/>
    <w:rsid w:val="00E1127F"/>
    <w:pPr>
      <w:spacing w:before="100" w:beforeAutospacing="1" w:after="100" w:afterAutospacing="1"/>
    </w:pPr>
  </w:style>
  <w:style w:type="paragraph" w:styleId="DocumentMap">
    <w:name w:val="Document Map"/>
    <w:basedOn w:val="Normal"/>
    <w:semiHidden/>
    <w:rsid w:val="00E55D50"/>
    <w:pPr>
      <w:shd w:val="clear" w:color="auto" w:fill="000080"/>
    </w:pPr>
    <w:rPr>
      <w:rFonts w:ascii="Tahoma" w:hAnsi="Tahoma" w:cs="Tahoma"/>
      <w:sz w:val="20"/>
      <w:szCs w:val="20"/>
    </w:rPr>
  </w:style>
  <w:style w:type="paragraph" w:styleId="Header">
    <w:name w:val="header"/>
    <w:basedOn w:val="Normal"/>
    <w:rsid w:val="00DC6152"/>
    <w:pPr>
      <w:tabs>
        <w:tab w:val="center" w:pos="4320"/>
        <w:tab w:val="right" w:pos="8640"/>
      </w:tabs>
    </w:pPr>
  </w:style>
  <w:style w:type="paragraph" w:styleId="Footer">
    <w:name w:val="footer"/>
    <w:basedOn w:val="Normal"/>
    <w:rsid w:val="00DC6152"/>
    <w:pPr>
      <w:tabs>
        <w:tab w:val="center" w:pos="4320"/>
        <w:tab w:val="right" w:pos="8640"/>
      </w:tabs>
    </w:pPr>
  </w:style>
  <w:style w:type="character" w:styleId="PageNumber">
    <w:name w:val="page number"/>
    <w:basedOn w:val="DefaultParagraphFont"/>
    <w:rsid w:val="00387F85"/>
  </w:style>
  <w:style w:type="character" w:styleId="FollowedHyperlink">
    <w:name w:val="FollowedHyperlink"/>
    <w:rsid w:val="00246B21"/>
    <w:rPr>
      <w:color w:val="800080"/>
      <w:u w:val="single"/>
    </w:rPr>
  </w:style>
  <w:style w:type="table" w:styleId="TableClassic1">
    <w:name w:val="Table Classic 1"/>
    <w:basedOn w:val="TableNormal"/>
    <w:rsid w:val="00A006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rsid w:val="00246FC3"/>
    <w:rPr>
      <w:rFonts w:ascii="Courier New" w:hAnsi="Courier New" w:cs="Courier New"/>
      <w:sz w:val="20"/>
      <w:szCs w:val="20"/>
    </w:rPr>
  </w:style>
  <w:style w:type="character" w:customStyle="1" w:styleId="A0">
    <w:name w:val="A0"/>
    <w:uiPriority w:val="99"/>
    <w:rsid w:val="00B13715"/>
    <w:rPr>
      <w:rFonts w:cs="Calibri"/>
      <w:color w:val="000000"/>
      <w:sz w:val="48"/>
      <w:szCs w:val="48"/>
    </w:rPr>
  </w:style>
  <w:style w:type="paragraph" w:customStyle="1" w:styleId="links">
    <w:name w:val="links"/>
    <w:basedOn w:val="Normal"/>
    <w:rsid w:val="00135263"/>
    <w:pPr>
      <w:spacing w:before="100" w:beforeAutospacing="1" w:after="100" w:afterAutospacing="1"/>
    </w:pPr>
  </w:style>
  <w:style w:type="paragraph" w:customStyle="1" w:styleId="Title1">
    <w:name w:val="Title1"/>
    <w:basedOn w:val="Normal"/>
    <w:rsid w:val="00135263"/>
    <w:pPr>
      <w:spacing w:before="100" w:beforeAutospacing="1" w:after="100" w:afterAutospacing="1"/>
    </w:pPr>
  </w:style>
  <w:style w:type="paragraph" w:customStyle="1" w:styleId="desc">
    <w:name w:val="desc"/>
    <w:basedOn w:val="Normal"/>
    <w:rsid w:val="00135263"/>
    <w:pPr>
      <w:spacing w:before="100" w:beforeAutospacing="1" w:after="100" w:afterAutospacing="1"/>
    </w:pPr>
  </w:style>
  <w:style w:type="paragraph" w:customStyle="1" w:styleId="details">
    <w:name w:val="details"/>
    <w:basedOn w:val="Normal"/>
    <w:rsid w:val="00135263"/>
    <w:pPr>
      <w:spacing w:before="100" w:beforeAutospacing="1" w:after="100" w:afterAutospacing="1"/>
    </w:pPr>
  </w:style>
  <w:style w:type="character" w:customStyle="1" w:styleId="jrnl">
    <w:name w:val="jrnl"/>
    <w:rsid w:val="00135263"/>
  </w:style>
  <w:style w:type="character" w:customStyle="1" w:styleId="cit-print-date">
    <w:name w:val="cit-print-date"/>
    <w:rsid w:val="005A38AD"/>
  </w:style>
  <w:style w:type="character" w:customStyle="1" w:styleId="cit-sep2">
    <w:name w:val="cit-sep2"/>
    <w:rsid w:val="005A38AD"/>
  </w:style>
  <w:style w:type="character" w:customStyle="1" w:styleId="cit-vol5">
    <w:name w:val="cit-vol5"/>
    <w:rsid w:val="005A38AD"/>
  </w:style>
  <w:style w:type="character" w:customStyle="1" w:styleId="cit-issue">
    <w:name w:val="cit-issue"/>
    <w:rsid w:val="005A38AD"/>
  </w:style>
  <w:style w:type="character" w:customStyle="1" w:styleId="cit-pages2">
    <w:name w:val="cit-pages2"/>
    <w:rsid w:val="005A38AD"/>
  </w:style>
  <w:style w:type="character" w:customStyle="1" w:styleId="cit-first-page">
    <w:name w:val="cit-first-page"/>
    <w:rsid w:val="005A38AD"/>
  </w:style>
  <w:style w:type="character" w:customStyle="1" w:styleId="cit-last-page2">
    <w:name w:val="cit-last-page2"/>
    <w:rsid w:val="005A38AD"/>
  </w:style>
  <w:style w:type="paragraph" w:styleId="ListParagraph">
    <w:name w:val="List Paragraph"/>
    <w:basedOn w:val="Normal"/>
    <w:uiPriority w:val="34"/>
    <w:qFormat/>
    <w:rsid w:val="00910E9B"/>
    <w:pPr>
      <w:ind w:left="720"/>
    </w:pPr>
    <w:rPr>
      <w:rFonts w:ascii="Calibri" w:eastAsia="Calibri" w:hAnsi="Calibri"/>
      <w:sz w:val="22"/>
      <w:szCs w:val="22"/>
    </w:rPr>
  </w:style>
  <w:style w:type="paragraph" w:styleId="Revision">
    <w:name w:val="Revision"/>
    <w:hidden/>
    <w:uiPriority w:val="99"/>
    <w:semiHidden/>
    <w:rsid w:val="00C34429"/>
    <w:rPr>
      <w:sz w:val="24"/>
      <w:szCs w:val="24"/>
    </w:rPr>
  </w:style>
  <w:style w:type="character" w:customStyle="1" w:styleId="Heading1Char">
    <w:name w:val="Heading 1 Char"/>
    <w:link w:val="Heading1"/>
    <w:rsid w:val="00061956"/>
    <w:rPr>
      <w:b/>
      <w:sz w:val="24"/>
      <w:szCs w:val="24"/>
    </w:rPr>
  </w:style>
  <w:style w:type="paragraph" w:styleId="TOCHeading">
    <w:name w:val="TOC Heading"/>
    <w:basedOn w:val="Heading1"/>
    <w:next w:val="Normal"/>
    <w:uiPriority w:val="39"/>
    <w:unhideWhenUsed/>
    <w:qFormat/>
    <w:rsid w:val="00850461"/>
    <w:pPr>
      <w:keepNext/>
      <w:keepLines/>
      <w:numPr>
        <w:numId w:val="0"/>
      </w:numPr>
      <w:spacing w:before="240" w:line="259" w:lineRule="auto"/>
      <w:outlineLvl w:val="9"/>
    </w:pPr>
    <w:rPr>
      <w:rFonts w:ascii="Calibri Light" w:hAnsi="Calibri Light"/>
      <w:b w:val="0"/>
      <w:color w:val="2E74B5"/>
      <w:sz w:val="32"/>
      <w:szCs w:val="32"/>
    </w:rPr>
  </w:style>
  <w:style w:type="paragraph" w:styleId="TOC1">
    <w:name w:val="toc 1"/>
    <w:basedOn w:val="Normal"/>
    <w:next w:val="Normal"/>
    <w:autoRedefine/>
    <w:uiPriority w:val="39"/>
    <w:rsid w:val="00850461"/>
  </w:style>
  <w:style w:type="paragraph" w:customStyle="1" w:styleId="f-body">
    <w:name w:val="f-body"/>
    <w:basedOn w:val="Normal"/>
    <w:rsid w:val="00727CE5"/>
    <w:pPr>
      <w:spacing w:before="300" w:line="360" w:lineRule="atLeast"/>
    </w:pPr>
    <w:rPr>
      <w:sz w:val="26"/>
      <w:szCs w:val="26"/>
    </w:rPr>
  </w:style>
  <w:style w:type="character" w:customStyle="1" w:styleId="sr-only1">
    <w:name w:val="sr-only1"/>
    <w:basedOn w:val="DefaultParagraphFont"/>
    <w:rsid w:val="008F749A"/>
    <w:rPr>
      <w:bdr w:val="none" w:sz="0" w:space="0" w:color="auto" w:frame="1"/>
    </w:rPr>
  </w:style>
  <w:style w:type="character" w:customStyle="1" w:styleId="xml-string-name">
    <w:name w:val="xml-string-name"/>
    <w:basedOn w:val="DefaultParagraphFont"/>
    <w:rsid w:val="00C27228"/>
  </w:style>
  <w:style w:type="character" w:customStyle="1" w:styleId="xml-surname">
    <w:name w:val="xml-surname"/>
    <w:basedOn w:val="DefaultParagraphFont"/>
    <w:rsid w:val="00C27228"/>
  </w:style>
  <w:style w:type="character" w:customStyle="1" w:styleId="xml-given-names">
    <w:name w:val="xml-given-names"/>
    <w:basedOn w:val="DefaultParagraphFont"/>
    <w:rsid w:val="00C27228"/>
  </w:style>
  <w:style w:type="character" w:customStyle="1" w:styleId="xml-collab">
    <w:name w:val="xml-collab"/>
    <w:basedOn w:val="DefaultParagraphFont"/>
    <w:rsid w:val="00C27228"/>
  </w:style>
  <w:style w:type="character" w:customStyle="1" w:styleId="xml-year">
    <w:name w:val="xml-year"/>
    <w:basedOn w:val="DefaultParagraphFont"/>
    <w:rsid w:val="00C27228"/>
  </w:style>
  <w:style w:type="character" w:customStyle="1" w:styleId="highlight">
    <w:name w:val="highlight"/>
    <w:basedOn w:val="DefaultParagraphFont"/>
    <w:rsid w:val="004D60D4"/>
  </w:style>
  <w:style w:type="character" w:customStyle="1" w:styleId="UnresolvedMention">
    <w:name w:val="Unresolved Mention"/>
    <w:basedOn w:val="DefaultParagraphFont"/>
    <w:uiPriority w:val="99"/>
    <w:semiHidden/>
    <w:unhideWhenUsed/>
    <w:rsid w:val="00D13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88113">
      <w:bodyDiv w:val="1"/>
      <w:marLeft w:val="0"/>
      <w:marRight w:val="0"/>
      <w:marTop w:val="0"/>
      <w:marBottom w:val="0"/>
      <w:divBdr>
        <w:top w:val="none" w:sz="0" w:space="0" w:color="auto"/>
        <w:left w:val="none" w:sz="0" w:space="0" w:color="auto"/>
        <w:bottom w:val="none" w:sz="0" w:space="0" w:color="auto"/>
        <w:right w:val="none" w:sz="0" w:space="0" w:color="auto"/>
      </w:divBdr>
    </w:div>
    <w:div w:id="362676541">
      <w:bodyDiv w:val="1"/>
      <w:marLeft w:val="0"/>
      <w:marRight w:val="0"/>
      <w:marTop w:val="0"/>
      <w:marBottom w:val="0"/>
      <w:divBdr>
        <w:top w:val="none" w:sz="0" w:space="0" w:color="auto"/>
        <w:left w:val="none" w:sz="0" w:space="0" w:color="auto"/>
        <w:bottom w:val="none" w:sz="0" w:space="0" w:color="auto"/>
        <w:right w:val="none" w:sz="0" w:space="0" w:color="auto"/>
      </w:divBdr>
      <w:divsChild>
        <w:div w:id="122427014">
          <w:marLeft w:val="0"/>
          <w:marRight w:val="0"/>
          <w:marTop w:val="100"/>
          <w:marBottom w:val="100"/>
          <w:divBdr>
            <w:top w:val="none" w:sz="0" w:space="0" w:color="auto"/>
            <w:left w:val="none" w:sz="0" w:space="0" w:color="auto"/>
            <w:bottom w:val="none" w:sz="0" w:space="0" w:color="auto"/>
            <w:right w:val="none" w:sz="0" w:space="0" w:color="auto"/>
          </w:divBdr>
          <w:divsChild>
            <w:div w:id="100489579">
              <w:marLeft w:val="0"/>
              <w:marRight w:val="0"/>
              <w:marTop w:val="0"/>
              <w:marBottom w:val="0"/>
              <w:divBdr>
                <w:top w:val="none" w:sz="0" w:space="0" w:color="auto"/>
                <w:left w:val="none" w:sz="0" w:space="0" w:color="auto"/>
                <w:bottom w:val="none" w:sz="0" w:space="0" w:color="auto"/>
                <w:right w:val="none" w:sz="0" w:space="0" w:color="auto"/>
              </w:divBdr>
              <w:divsChild>
                <w:div w:id="396175897">
                  <w:marLeft w:val="0"/>
                  <w:marRight w:val="0"/>
                  <w:marTop w:val="0"/>
                  <w:marBottom w:val="0"/>
                  <w:divBdr>
                    <w:top w:val="none" w:sz="0" w:space="0" w:color="auto"/>
                    <w:left w:val="none" w:sz="0" w:space="0" w:color="auto"/>
                    <w:bottom w:val="none" w:sz="0" w:space="0" w:color="auto"/>
                    <w:right w:val="none" w:sz="0" w:space="0" w:color="auto"/>
                  </w:divBdr>
                  <w:divsChild>
                    <w:div w:id="1901936511">
                      <w:marLeft w:val="0"/>
                      <w:marRight w:val="0"/>
                      <w:marTop w:val="0"/>
                      <w:marBottom w:val="0"/>
                      <w:divBdr>
                        <w:top w:val="none" w:sz="0" w:space="0" w:color="auto"/>
                        <w:left w:val="none" w:sz="0" w:space="0" w:color="auto"/>
                        <w:bottom w:val="none" w:sz="0" w:space="0" w:color="auto"/>
                        <w:right w:val="none" w:sz="0" w:space="0" w:color="auto"/>
                      </w:divBdr>
                      <w:divsChild>
                        <w:div w:id="1027945842">
                          <w:marLeft w:val="0"/>
                          <w:marRight w:val="0"/>
                          <w:marTop w:val="0"/>
                          <w:marBottom w:val="0"/>
                          <w:divBdr>
                            <w:top w:val="none" w:sz="0" w:space="0" w:color="auto"/>
                            <w:left w:val="none" w:sz="0" w:space="0" w:color="auto"/>
                            <w:bottom w:val="none" w:sz="0" w:space="0" w:color="auto"/>
                            <w:right w:val="none" w:sz="0" w:space="0" w:color="auto"/>
                          </w:divBdr>
                          <w:divsChild>
                            <w:div w:id="2087997484">
                              <w:marLeft w:val="0"/>
                              <w:marRight w:val="0"/>
                              <w:marTop w:val="0"/>
                              <w:marBottom w:val="0"/>
                              <w:divBdr>
                                <w:top w:val="none" w:sz="0" w:space="0" w:color="auto"/>
                                <w:left w:val="none" w:sz="0" w:space="0" w:color="auto"/>
                                <w:bottom w:val="none" w:sz="0" w:space="0" w:color="auto"/>
                                <w:right w:val="none" w:sz="0" w:space="0" w:color="auto"/>
                              </w:divBdr>
                              <w:divsChild>
                                <w:div w:id="160313037">
                                  <w:marLeft w:val="0"/>
                                  <w:marRight w:val="0"/>
                                  <w:marTop w:val="0"/>
                                  <w:marBottom w:val="0"/>
                                  <w:divBdr>
                                    <w:top w:val="none" w:sz="0" w:space="0" w:color="auto"/>
                                    <w:left w:val="none" w:sz="0" w:space="0" w:color="auto"/>
                                    <w:bottom w:val="none" w:sz="0" w:space="0" w:color="auto"/>
                                    <w:right w:val="none" w:sz="0" w:space="0" w:color="auto"/>
                                  </w:divBdr>
                                  <w:divsChild>
                                    <w:div w:id="2003117506">
                                      <w:marLeft w:val="0"/>
                                      <w:marRight w:val="0"/>
                                      <w:marTop w:val="0"/>
                                      <w:marBottom w:val="0"/>
                                      <w:divBdr>
                                        <w:top w:val="none" w:sz="0" w:space="0" w:color="auto"/>
                                        <w:left w:val="none" w:sz="0" w:space="0" w:color="auto"/>
                                        <w:bottom w:val="none" w:sz="0" w:space="0" w:color="auto"/>
                                        <w:right w:val="none" w:sz="0" w:space="0" w:color="auto"/>
                                      </w:divBdr>
                                      <w:divsChild>
                                        <w:div w:id="1465544558">
                                          <w:marLeft w:val="0"/>
                                          <w:marRight w:val="-30"/>
                                          <w:marTop w:val="300"/>
                                          <w:marBottom w:val="0"/>
                                          <w:divBdr>
                                            <w:top w:val="none" w:sz="0" w:space="0" w:color="auto"/>
                                            <w:left w:val="none" w:sz="0" w:space="0" w:color="auto"/>
                                            <w:bottom w:val="none" w:sz="0" w:space="0" w:color="auto"/>
                                            <w:right w:val="none" w:sz="0" w:space="0" w:color="auto"/>
                                          </w:divBdr>
                                          <w:divsChild>
                                            <w:div w:id="1426265328">
                                              <w:marLeft w:val="0"/>
                                              <w:marRight w:val="0"/>
                                              <w:marTop w:val="0"/>
                                              <w:marBottom w:val="0"/>
                                              <w:divBdr>
                                                <w:top w:val="none" w:sz="0" w:space="0" w:color="auto"/>
                                                <w:left w:val="none" w:sz="0" w:space="0" w:color="auto"/>
                                                <w:bottom w:val="none" w:sz="0" w:space="0" w:color="auto"/>
                                                <w:right w:val="none" w:sz="0" w:space="0" w:color="auto"/>
                                              </w:divBdr>
                                              <w:divsChild>
                                                <w:div w:id="1096831314">
                                                  <w:marLeft w:val="0"/>
                                                  <w:marRight w:val="0"/>
                                                  <w:marTop w:val="0"/>
                                                  <w:marBottom w:val="0"/>
                                                  <w:divBdr>
                                                    <w:top w:val="none" w:sz="0" w:space="0" w:color="auto"/>
                                                    <w:left w:val="none" w:sz="0" w:space="0" w:color="auto"/>
                                                    <w:bottom w:val="none" w:sz="0" w:space="0" w:color="auto"/>
                                                    <w:right w:val="none" w:sz="0" w:space="0" w:color="auto"/>
                                                  </w:divBdr>
                                                  <w:divsChild>
                                                    <w:div w:id="1418791765">
                                                      <w:marLeft w:val="0"/>
                                                      <w:marRight w:val="0"/>
                                                      <w:marTop w:val="0"/>
                                                      <w:marBottom w:val="0"/>
                                                      <w:divBdr>
                                                        <w:top w:val="none" w:sz="0" w:space="0" w:color="auto"/>
                                                        <w:left w:val="none" w:sz="0" w:space="0" w:color="auto"/>
                                                        <w:bottom w:val="none" w:sz="0" w:space="0" w:color="auto"/>
                                                        <w:right w:val="none" w:sz="0" w:space="0" w:color="auto"/>
                                                      </w:divBdr>
                                                      <w:divsChild>
                                                        <w:div w:id="1541939538">
                                                          <w:marLeft w:val="0"/>
                                                          <w:marRight w:val="0"/>
                                                          <w:marTop w:val="0"/>
                                                          <w:marBottom w:val="0"/>
                                                          <w:divBdr>
                                                            <w:top w:val="none" w:sz="0" w:space="0" w:color="auto"/>
                                                            <w:left w:val="none" w:sz="0" w:space="0" w:color="auto"/>
                                                            <w:bottom w:val="none" w:sz="0" w:space="0" w:color="auto"/>
                                                            <w:right w:val="none" w:sz="0" w:space="0" w:color="auto"/>
                                                          </w:divBdr>
                                                          <w:divsChild>
                                                            <w:div w:id="120779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7019546">
      <w:bodyDiv w:val="1"/>
      <w:marLeft w:val="0"/>
      <w:marRight w:val="0"/>
      <w:marTop w:val="0"/>
      <w:marBottom w:val="0"/>
      <w:divBdr>
        <w:top w:val="none" w:sz="0" w:space="0" w:color="auto"/>
        <w:left w:val="none" w:sz="0" w:space="0" w:color="auto"/>
        <w:bottom w:val="none" w:sz="0" w:space="0" w:color="auto"/>
        <w:right w:val="none" w:sz="0" w:space="0" w:color="auto"/>
      </w:divBdr>
    </w:div>
    <w:div w:id="630018874">
      <w:bodyDiv w:val="1"/>
      <w:marLeft w:val="0"/>
      <w:marRight w:val="0"/>
      <w:marTop w:val="0"/>
      <w:marBottom w:val="0"/>
      <w:divBdr>
        <w:top w:val="none" w:sz="0" w:space="0" w:color="auto"/>
        <w:left w:val="none" w:sz="0" w:space="0" w:color="auto"/>
        <w:bottom w:val="none" w:sz="0" w:space="0" w:color="auto"/>
        <w:right w:val="none" w:sz="0" w:space="0" w:color="auto"/>
      </w:divBdr>
    </w:div>
    <w:div w:id="640115007">
      <w:bodyDiv w:val="1"/>
      <w:marLeft w:val="0"/>
      <w:marRight w:val="0"/>
      <w:marTop w:val="0"/>
      <w:marBottom w:val="0"/>
      <w:divBdr>
        <w:top w:val="none" w:sz="0" w:space="0" w:color="auto"/>
        <w:left w:val="none" w:sz="0" w:space="0" w:color="auto"/>
        <w:bottom w:val="none" w:sz="0" w:space="0" w:color="auto"/>
        <w:right w:val="none" w:sz="0" w:space="0" w:color="auto"/>
      </w:divBdr>
    </w:div>
    <w:div w:id="876039377">
      <w:bodyDiv w:val="1"/>
      <w:marLeft w:val="0"/>
      <w:marRight w:val="0"/>
      <w:marTop w:val="0"/>
      <w:marBottom w:val="0"/>
      <w:divBdr>
        <w:top w:val="none" w:sz="0" w:space="0" w:color="auto"/>
        <w:left w:val="none" w:sz="0" w:space="0" w:color="auto"/>
        <w:bottom w:val="none" w:sz="0" w:space="0" w:color="auto"/>
        <w:right w:val="none" w:sz="0" w:space="0" w:color="auto"/>
      </w:divBdr>
      <w:divsChild>
        <w:div w:id="1485702983">
          <w:marLeft w:val="0"/>
          <w:marRight w:val="0"/>
          <w:marTop w:val="0"/>
          <w:marBottom w:val="0"/>
          <w:divBdr>
            <w:top w:val="none" w:sz="0" w:space="0" w:color="auto"/>
            <w:left w:val="none" w:sz="0" w:space="0" w:color="auto"/>
            <w:bottom w:val="none" w:sz="0" w:space="0" w:color="auto"/>
            <w:right w:val="none" w:sz="0" w:space="0" w:color="auto"/>
          </w:divBdr>
          <w:divsChild>
            <w:div w:id="210389346">
              <w:marLeft w:val="0"/>
              <w:marRight w:val="0"/>
              <w:marTop w:val="0"/>
              <w:marBottom w:val="0"/>
              <w:divBdr>
                <w:top w:val="none" w:sz="0" w:space="0" w:color="auto"/>
                <w:left w:val="none" w:sz="0" w:space="0" w:color="auto"/>
                <w:bottom w:val="none" w:sz="0" w:space="0" w:color="auto"/>
                <w:right w:val="none" w:sz="0" w:space="0" w:color="auto"/>
              </w:divBdr>
              <w:divsChild>
                <w:div w:id="1953660163">
                  <w:marLeft w:val="0"/>
                  <w:marRight w:val="0"/>
                  <w:marTop w:val="0"/>
                  <w:marBottom w:val="0"/>
                  <w:divBdr>
                    <w:top w:val="none" w:sz="0" w:space="0" w:color="auto"/>
                    <w:left w:val="none" w:sz="0" w:space="0" w:color="auto"/>
                    <w:bottom w:val="none" w:sz="0" w:space="0" w:color="auto"/>
                    <w:right w:val="none" w:sz="0" w:space="0" w:color="auto"/>
                  </w:divBdr>
                  <w:divsChild>
                    <w:div w:id="114057032">
                      <w:marLeft w:val="0"/>
                      <w:marRight w:val="0"/>
                      <w:marTop w:val="0"/>
                      <w:marBottom w:val="0"/>
                      <w:divBdr>
                        <w:top w:val="none" w:sz="0" w:space="0" w:color="auto"/>
                        <w:left w:val="none" w:sz="0" w:space="0" w:color="auto"/>
                        <w:bottom w:val="none" w:sz="0" w:space="0" w:color="auto"/>
                        <w:right w:val="none" w:sz="0" w:space="0" w:color="auto"/>
                      </w:divBdr>
                      <w:divsChild>
                        <w:div w:id="269287848">
                          <w:marLeft w:val="0"/>
                          <w:marRight w:val="0"/>
                          <w:marTop w:val="0"/>
                          <w:marBottom w:val="0"/>
                          <w:divBdr>
                            <w:top w:val="none" w:sz="0" w:space="0" w:color="auto"/>
                            <w:left w:val="none" w:sz="0" w:space="0" w:color="auto"/>
                            <w:bottom w:val="none" w:sz="0" w:space="0" w:color="auto"/>
                            <w:right w:val="none" w:sz="0" w:space="0" w:color="auto"/>
                          </w:divBdr>
                          <w:divsChild>
                            <w:div w:id="1085954795">
                              <w:marLeft w:val="0"/>
                              <w:marRight w:val="0"/>
                              <w:marTop w:val="0"/>
                              <w:marBottom w:val="0"/>
                              <w:divBdr>
                                <w:top w:val="none" w:sz="0" w:space="0" w:color="auto"/>
                                <w:left w:val="none" w:sz="0" w:space="0" w:color="auto"/>
                                <w:bottom w:val="none" w:sz="0" w:space="0" w:color="auto"/>
                                <w:right w:val="none" w:sz="0" w:space="0" w:color="auto"/>
                              </w:divBdr>
                              <w:divsChild>
                                <w:div w:id="1346980891">
                                  <w:marLeft w:val="0"/>
                                  <w:marRight w:val="0"/>
                                  <w:marTop w:val="0"/>
                                  <w:marBottom w:val="0"/>
                                  <w:divBdr>
                                    <w:top w:val="none" w:sz="0" w:space="0" w:color="auto"/>
                                    <w:left w:val="none" w:sz="0" w:space="0" w:color="auto"/>
                                    <w:bottom w:val="none" w:sz="0" w:space="0" w:color="auto"/>
                                    <w:right w:val="none" w:sz="0" w:space="0" w:color="auto"/>
                                  </w:divBdr>
                                  <w:divsChild>
                                    <w:div w:id="246623952">
                                      <w:marLeft w:val="0"/>
                                      <w:marRight w:val="0"/>
                                      <w:marTop w:val="0"/>
                                      <w:marBottom w:val="0"/>
                                      <w:divBdr>
                                        <w:top w:val="none" w:sz="0" w:space="0" w:color="auto"/>
                                        <w:left w:val="none" w:sz="0" w:space="0" w:color="auto"/>
                                        <w:bottom w:val="none" w:sz="0" w:space="0" w:color="auto"/>
                                        <w:right w:val="none" w:sz="0" w:space="0" w:color="auto"/>
                                      </w:divBdr>
                                    </w:div>
                                    <w:div w:id="1066223389">
                                      <w:marLeft w:val="0"/>
                                      <w:marRight w:val="0"/>
                                      <w:marTop w:val="0"/>
                                      <w:marBottom w:val="0"/>
                                      <w:divBdr>
                                        <w:top w:val="none" w:sz="0" w:space="0" w:color="auto"/>
                                        <w:left w:val="none" w:sz="0" w:space="0" w:color="auto"/>
                                        <w:bottom w:val="none" w:sz="0" w:space="0" w:color="auto"/>
                                        <w:right w:val="none" w:sz="0" w:space="0" w:color="auto"/>
                                      </w:divBdr>
                                      <w:divsChild>
                                        <w:div w:id="19735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45364">
                                  <w:marLeft w:val="0"/>
                                  <w:marRight w:val="0"/>
                                  <w:marTop w:val="0"/>
                                  <w:marBottom w:val="0"/>
                                  <w:divBdr>
                                    <w:top w:val="none" w:sz="0" w:space="0" w:color="auto"/>
                                    <w:left w:val="none" w:sz="0" w:space="0" w:color="auto"/>
                                    <w:bottom w:val="none" w:sz="0" w:space="0" w:color="auto"/>
                                    <w:right w:val="none" w:sz="0" w:space="0" w:color="auto"/>
                                  </w:divBdr>
                                  <w:divsChild>
                                    <w:div w:id="1222326322">
                                      <w:marLeft w:val="0"/>
                                      <w:marRight w:val="0"/>
                                      <w:marTop w:val="0"/>
                                      <w:marBottom w:val="0"/>
                                      <w:divBdr>
                                        <w:top w:val="none" w:sz="0" w:space="0" w:color="auto"/>
                                        <w:left w:val="none" w:sz="0" w:space="0" w:color="auto"/>
                                        <w:bottom w:val="none" w:sz="0" w:space="0" w:color="auto"/>
                                        <w:right w:val="none" w:sz="0" w:space="0" w:color="auto"/>
                                      </w:divBdr>
                                      <w:divsChild>
                                        <w:div w:id="15049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278405">
      <w:bodyDiv w:val="1"/>
      <w:marLeft w:val="0"/>
      <w:marRight w:val="0"/>
      <w:marTop w:val="0"/>
      <w:marBottom w:val="0"/>
      <w:divBdr>
        <w:top w:val="none" w:sz="0" w:space="0" w:color="auto"/>
        <w:left w:val="none" w:sz="0" w:space="0" w:color="auto"/>
        <w:bottom w:val="none" w:sz="0" w:space="0" w:color="auto"/>
        <w:right w:val="none" w:sz="0" w:space="0" w:color="auto"/>
      </w:divBdr>
    </w:div>
    <w:div w:id="1037780429">
      <w:bodyDiv w:val="1"/>
      <w:marLeft w:val="0"/>
      <w:marRight w:val="0"/>
      <w:marTop w:val="0"/>
      <w:marBottom w:val="0"/>
      <w:divBdr>
        <w:top w:val="none" w:sz="0" w:space="0" w:color="auto"/>
        <w:left w:val="none" w:sz="0" w:space="0" w:color="auto"/>
        <w:bottom w:val="none" w:sz="0" w:space="0" w:color="auto"/>
        <w:right w:val="none" w:sz="0" w:space="0" w:color="auto"/>
      </w:divBdr>
    </w:div>
    <w:div w:id="1073773215">
      <w:bodyDiv w:val="1"/>
      <w:marLeft w:val="0"/>
      <w:marRight w:val="0"/>
      <w:marTop w:val="0"/>
      <w:marBottom w:val="0"/>
      <w:divBdr>
        <w:top w:val="none" w:sz="0" w:space="0" w:color="auto"/>
        <w:left w:val="none" w:sz="0" w:space="0" w:color="auto"/>
        <w:bottom w:val="none" w:sz="0" w:space="0" w:color="auto"/>
        <w:right w:val="none" w:sz="0" w:space="0" w:color="auto"/>
      </w:divBdr>
    </w:div>
    <w:div w:id="1086151482">
      <w:bodyDiv w:val="1"/>
      <w:marLeft w:val="0"/>
      <w:marRight w:val="0"/>
      <w:marTop w:val="0"/>
      <w:marBottom w:val="0"/>
      <w:divBdr>
        <w:top w:val="none" w:sz="0" w:space="0" w:color="auto"/>
        <w:left w:val="none" w:sz="0" w:space="0" w:color="auto"/>
        <w:bottom w:val="none" w:sz="0" w:space="0" w:color="auto"/>
        <w:right w:val="none" w:sz="0" w:space="0" w:color="auto"/>
      </w:divBdr>
      <w:divsChild>
        <w:div w:id="1731883440">
          <w:marLeft w:val="0"/>
          <w:marRight w:val="0"/>
          <w:marTop w:val="0"/>
          <w:marBottom w:val="0"/>
          <w:divBdr>
            <w:top w:val="none" w:sz="0" w:space="0" w:color="auto"/>
            <w:left w:val="none" w:sz="0" w:space="0" w:color="auto"/>
            <w:bottom w:val="none" w:sz="0" w:space="0" w:color="auto"/>
            <w:right w:val="none" w:sz="0" w:space="0" w:color="auto"/>
          </w:divBdr>
        </w:div>
      </w:divsChild>
    </w:div>
    <w:div w:id="1086536783">
      <w:bodyDiv w:val="1"/>
      <w:marLeft w:val="0"/>
      <w:marRight w:val="0"/>
      <w:marTop w:val="0"/>
      <w:marBottom w:val="0"/>
      <w:divBdr>
        <w:top w:val="none" w:sz="0" w:space="0" w:color="auto"/>
        <w:left w:val="none" w:sz="0" w:space="0" w:color="auto"/>
        <w:bottom w:val="none" w:sz="0" w:space="0" w:color="auto"/>
        <w:right w:val="none" w:sz="0" w:space="0" w:color="auto"/>
      </w:divBdr>
    </w:div>
    <w:div w:id="1215041751">
      <w:bodyDiv w:val="1"/>
      <w:marLeft w:val="0"/>
      <w:marRight w:val="0"/>
      <w:marTop w:val="0"/>
      <w:marBottom w:val="0"/>
      <w:divBdr>
        <w:top w:val="none" w:sz="0" w:space="0" w:color="auto"/>
        <w:left w:val="none" w:sz="0" w:space="0" w:color="auto"/>
        <w:bottom w:val="none" w:sz="0" w:space="0" w:color="auto"/>
        <w:right w:val="none" w:sz="0" w:space="0" w:color="auto"/>
      </w:divBdr>
      <w:divsChild>
        <w:div w:id="374043147">
          <w:marLeft w:val="0"/>
          <w:marRight w:val="0"/>
          <w:marTop w:val="0"/>
          <w:marBottom w:val="0"/>
          <w:divBdr>
            <w:top w:val="none" w:sz="0" w:space="0" w:color="auto"/>
            <w:left w:val="none" w:sz="0" w:space="0" w:color="auto"/>
            <w:bottom w:val="none" w:sz="0" w:space="0" w:color="auto"/>
            <w:right w:val="none" w:sz="0" w:space="0" w:color="auto"/>
          </w:divBdr>
        </w:div>
        <w:div w:id="1013873219">
          <w:marLeft w:val="0"/>
          <w:marRight w:val="0"/>
          <w:marTop w:val="0"/>
          <w:marBottom w:val="0"/>
          <w:divBdr>
            <w:top w:val="none" w:sz="0" w:space="0" w:color="auto"/>
            <w:left w:val="none" w:sz="0" w:space="0" w:color="auto"/>
            <w:bottom w:val="none" w:sz="0" w:space="0" w:color="auto"/>
            <w:right w:val="none" w:sz="0" w:space="0" w:color="auto"/>
          </w:divBdr>
        </w:div>
      </w:divsChild>
    </w:div>
    <w:div w:id="1314873014">
      <w:bodyDiv w:val="1"/>
      <w:marLeft w:val="0"/>
      <w:marRight w:val="0"/>
      <w:marTop w:val="0"/>
      <w:marBottom w:val="0"/>
      <w:divBdr>
        <w:top w:val="none" w:sz="0" w:space="0" w:color="auto"/>
        <w:left w:val="none" w:sz="0" w:space="0" w:color="auto"/>
        <w:bottom w:val="none" w:sz="0" w:space="0" w:color="auto"/>
        <w:right w:val="none" w:sz="0" w:space="0" w:color="auto"/>
      </w:divBdr>
    </w:div>
    <w:div w:id="1482503161">
      <w:bodyDiv w:val="1"/>
      <w:marLeft w:val="0"/>
      <w:marRight w:val="0"/>
      <w:marTop w:val="0"/>
      <w:marBottom w:val="0"/>
      <w:divBdr>
        <w:top w:val="none" w:sz="0" w:space="0" w:color="auto"/>
        <w:left w:val="none" w:sz="0" w:space="0" w:color="auto"/>
        <w:bottom w:val="none" w:sz="0" w:space="0" w:color="auto"/>
        <w:right w:val="none" w:sz="0" w:space="0" w:color="auto"/>
      </w:divBdr>
      <w:divsChild>
        <w:div w:id="407459663">
          <w:marLeft w:val="0"/>
          <w:marRight w:val="0"/>
          <w:marTop w:val="0"/>
          <w:marBottom w:val="0"/>
          <w:divBdr>
            <w:top w:val="none" w:sz="0" w:space="0" w:color="auto"/>
            <w:left w:val="none" w:sz="0" w:space="0" w:color="auto"/>
            <w:bottom w:val="none" w:sz="0" w:space="0" w:color="auto"/>
            <w:right w:val="none" w:sz="0" w:space="0" w:color="auto"/>
          </w:divBdr>
        </w:div>
        <w:div w:id="418134486">
          <w:marLeft w:val="0"/>
          <w:marRight w:val="0"/>
          <w:marTop w:val="0"/>
          <w:marBottom w:val="0"/>
          <w:divBdr>
            <w:top w:val="none" w:sz="0" w:space="0" w:color="auto"/>
            <w:left w:val="none" w:sz="0" w:space="0" w:color="auto"/>
            <w:bottom w:val="none" w:sz="0" w:space="0" w:color="auto"/>
            <w:right w:val="none" w:sz="0" w:space="0" w:color="auto"/>
          </w:divBdr>
        </w:div>
      </w:divsChild>
    </w:div>
    <w:div w:id="1539319298">
      <w:bodyDiv w:val="1"/>
      <w:marLeft w:val="0"/>
      <w:marRight w:val="0"/>
      <w:marTop w:val="0"/>
      <w:marBottom w:val="0"/>
      <w:divBdr>
        <w:top w:val="none" w:sz="0" w:space="0" w:color="auto"/>
        <w:left w:val="none" w:sz="0" w:space="0" w:color="auto"/>
        <w:bottom w:val="none" w:sz="0" w:space="0" w:color="auto"/>
        <w:right w:val="none" w:sz="0" w:space="0" w:color="auto"/>
      </w:divBdr>
      <w:divsChild>
        <w:div w:id="1121654718">
          <w:marLeft w:val="0"/>
          <w:marRight w:val="0"/>
          <w:marTop w:val="0"/>
          <w:marBottom w:val="0"/>
          <w:divBdr>
            <w:top w:val="none" w:sz="0" w:space="0" w:color="auto"/>
            <w:left w:val="none" w:sz="0" w:space="0" w:color="auto"/>
            <w:bottom w:val="none" w:sz="0" w:space="0" w:color="auto"/>
            <w:right w:val="none" w:sz="0" w:space="0" w:color="auto"/>
          </w:divBdr>
        </w:div>
      </w:divsChild>
    </w:div>
    <w:div w:id="1621759883">
      <w:bodyDiv w:val="1"/>
      <w:marLeft w:val="0"/>
      <w:marRight w:val="0"/>
      <w:marTop w:val="0"/>
      <w:marBottom w:val="0"/>
      <w:divBdr>
        <w:top w:val="none" w:sz="0" w:space="0" w:color="auto"/>
        <w:left w:val="none" w:sz="0" w:space="0" w:color="auto"/>
        <w:bottom w:val="none" w:sz="0" w:space="0" w:color="auto"/>
        <w:right w:val="none" w:sz="0" w:space="0" w:color="auto"/>
      </w:divBdr>
    </w:div>
    <w:div w:id="1905288454">
      <w:bodyDiv w:val="1"/>
      <w:marLeft w:val="0"/>
      <w:marRight w:val="0"/>
      <w:marTop w:val="0"/>
      <w:marBottom w:val="0"/>
      <w:divBdr>
        <w:top w:val="none" w:sz="0" w:space="0" w:color="auto"/>
        <w:left w:val="none" w:sz="0" w:space="0" w:color="auto"/>
        <w:bottom w:val="none" w:sz="0" w:space="0" w:color="auto"/>
        <w:right w:val="none" w:sz="0" w:space="0" w:color="auto"/>
      </w:divBdr>
    </w:div>
    <w:div w:id="1990746258">
      <w:bodyDiv w:val="1"/>
      <w:marLeft w:val="0"/>
      <w:marRight w:val="0"/>
      <w:marTop w:val="0"/>
      <w:marBottom w:val="0"/>
      <w:divBdr>
        <w:top w:val="none" w:sz="0" w:space="0" w:color="auto"/>
        <w:left w:val="none" w:sz="0" w:space="0" w:color="auto"/>
        <w:bottom w:val="none" w:sz="0" w:space="0" w:color="auto"/>
        <w:right w:val="none" w:sz="0" w:space="0" w:color="auto"/>
      </w:divBdr>
    </w:div>
    <w:div w:id="2103836690">
      <w:bodyDiv w:val="1"/>
      <w:marLeft w:val="0"/>
      <w:marRight w:val="0"/>
      <w:marTop w:val="0"/>
      <w:marBottom w:val="0"/>
      <w:divBdr>
        <w:top w:val="none" w:sz="0" w:space="0" w:color="auto"/>
        <w:left w:val="none" w:sz="0" w:space="0" w:color="auto"/>
        <w:bottom w:val="none" w:sz="0" w:space="0" w:color="auto"/>
        <w:right w:val="none" w:sz="0" w:space="0" w:color="auto"/>
      </w:divBdr>
    </w:div>
    <w:div w:id="211100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cdc.gov/mmwr/preview/mmwrhtml/mm6309a4.htm?s_cid=mm6309a4_w" TargetMode="External"/><Relationship Id="rId26" Type="http://schemas.openxmlformats.org/officeDocument/2006/relationships/hyperlink" Target="http://www.cdc.gov/nhsn/about.html" TargetMode="External"/><Relationship Id="rId39" Type="http://schemas.openxmlformats.org/officeDocument/2006/relationships/hyperlink" Target="https://www.eventscribe.com/2019/IDWeek/ajaxcalls/PosterInfo.asp?efp=Q0NRVktHSkw2ODg2&amp;PosterID=228752&amp;rnd=0.1548666" TargetMode="External"/><Relationship Id="rId3" Type="http://schemas.openxmlformats.org/officeDocument/2006/relationships/customXml" Target="../customXml/item3.xml"/><Relationship Id="rId21" Type="http://schemas.openxmlformats.org/officeDocument/2006/relationships/hyperlink" Target="https://www.nejm.org/doi/10.1056/NEJMoa1306801" TargetMode="External"/><Relationship Id="rId34" Type="http://schemas.openxmlformats.org/officeDocument/2006/relationships/hyperlink" Target="http://www.bls.gov/news.release/ocwage.t01.htm%20" TargetMode="External"/><Relationship Id="rId42" Type="http://schemas.openxmlformats.org/officeDocument/2006/relationships/hyperlink" Target="https://www.ncbi.nlm.nih.gov/pubmed/?term=Fridkin%20SK%5BAuthor%5D&amp;cauthor=true&amp;cauthor_uid=27653796" TargetMode="External"/><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cdc.gov/winnablebattles/healthcareassociatedinfections/index.html" TargetMode="External"/><Relationship Id="rId25" Type="http://schemas.openxmlformats.org/officeDocument/2006/relationships/hyperlink" Target="https://wwwnc.cdc.gov/eid/article/7/2/70-0295_article" TargetMode="External"/><Relationship Id="rId33" Type="http://schemas.openxmlformats.org/officeDocument/2006/relationships/hyperlink" Target="http://www.hcup-us.ahrq.gov/db/vars/race/nisnote.jsp" TargetMode="External"/><Relationship Id="rId38" Type="http://schemas.openxmlformats.org/officeDocument/2006/relationships/footer" Target="footer2.xml"/><Relationship Id="rId46" Type="http://schemas.openxmlformats.org/officeDocument/2006/relationships/hyperlink" Target="https://www.ncbi.nlm.nih.gov/pubmed/27653796" TargetMode="External"/><Relationship Id="rId2" Type="http://schemas.openxmlformats.org/officeDocument/2006/relationships/customXml" Target="../customXml/item2.xml"/><Relationship Id="rId16" Type="http://schemas.openxmlformats.org/officeDocument/2006/relationships/hyperlink" Target="http://www.hhs.gov/ash/initiatives/hai/" TargetMode="External"/><Relationship Id="rId20" Type="http://schemas.openxmlformats.org/officeDocument/2006/relationships/hyperlink" Target="https://www.cdc.gov/nhsn/acute-care-hospital/aur/index.html" TargetMode="External"/><Relationship Id="rId29" Type="http://schemas.openxmlformats.org/officeDocument/2006/relationships/hyperlink" Target="https://www.antimicrobial-resistance.biomerieux.com/popup/global-point-prevalence-survey/" TargetMode="External"/><Relationship Id="rId41" Type="http://schemas.openxmlformats.org/officeDocument/2006/relationships/hyperlink" Target="https://www.ncbi.nlm.nih.gov/pubmed/?term=Baggs%20J%5BAuthor%5D&amp;cauthor=true&amp;cauthor_uid=2765379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cdc.gov/drugresistance/tatfar/index.html" TargetMode="External"/><Relationship Id="rId32" Type="http://schemas.openxmlformats.org/officeDocument/2006/relationships/hyperlink" Target="http://www.global-pps.com/ourproject/" TargetMode="External"/><Relationship Id="rId37" Type="http://schemas.openxmlformats.org/officeDocument/2006/relationships/footer" Target="footer1.xml"/><Relationship Id="rId40" Type="http://schemas.openxmlformats.org/officeDocument/2006/relationships/hyperlink" Target="http://www.hcup-us.ahrq.gov/nisoverview.jsp" TargetMode="External"/><Relationship Id="rId45" Type="http://schemas.openxmlformats.org/officeDocument/2006/relationships/hyperlink" Target="https://www.ncbi.nlm.nih.gov/pubmed/?term=Jernigan%20JA%5BAuthor%5D&amp;cauthor=true&amp;cauthor_uid=27653796" TargetMode="External"/><Relationship Id="rId5" Type="http://schemas.openxmlformats.org/officeDocument/2006/relationships/customXml" Target="../customXml/item5.xml"/><Relationship Id="rId15" Type="http://schemas.openxmlformats.org/officeDocument/2006/relationships/hyperlink" Target="http://www.cdc.gov/ncezid/dpei/eip/" TargetMode="External"/><Relationship Id="rId23" Type="http://schemas.openxmlformats.org/officeDocument/2006/relationships/hyperlink" Target="https://www.nejm.org/doi/suppl/10.1056/NEJMoa1306801/suppl_file/nejmoa1306801_appendix.pdf" TargetMode="External"/><Relationship Id="rId28" Type="http://schemas.openxmlformats.org/officeDocument/2006/relationships/hyperlink" Target="https://www.cdc.gov/nchs/nhcs/index.htm" TargetMode="External"/><Relationship Id="rId36" Type="http://schemas.openxmlformats.org/officeDocument/2006/relationships/hyperlink" Target="http://ewma.org/fileadmin/user_upload/EWMA.org/EWMA_and_EPUAP_added_values_to_OECD_efforts.pdf" TargetMode="External"/><Relationship Id="rId10" Type="http://schemas.openxmlformats.org/officeDocument/2006/relationships/settings" Target="settings.xml"/><Relationship Id="rId19" Type="http://schemas.openxmlformats.org/officeDocument/2006/relationships/hyperlink" Target="https://www.cdc.gov/drugresistance/pdf/national_action_plan_for_combating_antibotic-resistant_bacteria.pdf" TargetMode="External"/><Relationship Id="rId31" Type="http://schemas.openxmlformats.org/officeDocument/2006/relationships/hyperlink" Target="http://www.global-pps.com/wp-content/uploads/2018/05/1-1-LANGH-2015_Global-PPS_results-on-adults_main-article_Versporten_April2018.pdf" TargetMode="External"/><Relationship Id="rId44" Type="http://schemas.openxmlformats.org/officeDocument/2006/relationships/hyperlink" Target="https://www.ncbi.nlm.nih.gov/pubmed/?term=Srinivasan%20A%5BAuthor%5D&amp;cauthor=true&amp;cauthor_uid=27653796"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kuj2@cdc.gov" TargetMode="External"/><Relationship Id="rId22" Type="http://schemas.openxmlformats.org/officeDocument/2006/relationships/hyperlink" Target="https://www.nejm.org/doi/10.1056/NEJMoa1306801" TargetMode="External"/><Relationship Id="rId27" Type="http://schemas.openxmlformats.org/officeDocument/2006/relationships/hyperlink" Target="https://www.cms.gov/Medicare/Quality-Initiatives-Patient-Assessment-Instruments/HospitalQualityInits/HospitalRHQDAPU.html" TargetMode="External"/><Relationship Id="rId30" Type="http://schemas.openxmlformats.org/officeDocument/2006/relationships/hyperlink" Target="http://www.global-pps.com/wp-content/uploads/ECCMID-2016_USA.pdf" TargetMode="External"/><Relationship Id="rId35" Type="http://schemas.openxmlformats.org/officeDocument/2006/relationships/hyperlink" Target="http://www.bls.gov/news.release/ocwage.t01.htm" TargetMode="External"/><Relationship Id="rId43" Type="http://schemas.openxmlformats.org/officeDocument/2006/relationships/hyperlink" Target="https://www.ncbi.nlm.nih.gov/pubmed/?term=Pollack%20LA%5BAuthor%5D&amp;cauthor=true&amp;cauthor_uid=27653796"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4EBDB-A8D4-4CA4-BBC8-A60C87008F0B}">
  <ds:schemaRefs>
    <ds:schemaRef ds:uri="d335559b-c20a-4874-978e-77d2be77e01f"/>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 ds:uri="81daf041-c113-401c-bf82-107f5d396711"/>
    <ds:schemaRef ds:uri="http://purl.org/dc/dcmitype/"/>
  </ds:schemaRefs>
</ds:datastoreItem>
</file>

<file path=customXml/itemProps2.xml><?xml version="1.0" encoding="utf-8"?>
<ds:datastoreItem xmlns:ds="http://schemas.openxmlformats.org/officeDocument/2006/customXml" ds:itemID="{6E8EACE8-C3CE-4A15-B724-78289B339931}">
  <ds:schemaRefs>
    <ds:schemaRef ds:uri="http://schemas.microsoft.com/sharepoint/events"/>
  </ds:schemaRefs>
</ds:datastoreItem>
</file>

<file path=customXml/itemProps3.xml><?xml version="1.0" encoding="utf-8"?>
<ds:datastoreItem xmlns:ds="http://schemas.openxmlformats.org/officeDocument/2006/customXml" ds:itemID="{F3F6F31E-E915-421D-B73C-5428F514A4D7}">
  <ds:schemaRefs>
    <ds:schemaRef ds:uri="http://schemas.microsoft.com/office/2006/metadata/longProperties"/>
  </ds:schemaRefs>
</ds:datastoreItem>
</file>

<file path=customXml/itemProps4.xml><?xml version="1.0" encoding="utf-8"?>
<ds:datastoreItem xmlns:ds="http://schemas.openxmlformats.org/officeDocument/2006/customXml" ds:itemID="{9561E518-4F80-43AA-92ED-ECFBE2CCD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A2D00A-EEE9-4011-A880-4C3D254BF9B0}">
  <ds:schemaRefs>
    <ds:schemaRef ds:uri="http://schemas.microsoft.com/sharepoint/v3/contenttype/forms"/>
  </ds:schemaRefs>
</ds:datastoreItem>
</file>

<file path=customXml/itemProps6.xml><?xml version="1.0" encoding="utf-8"?>
<ds:datastoreItem xmlns:ds="http://schemas.openxmlformats.org/officeDocument/2006/customXml" ds:itemID="{A59C4CD4-9EDB-4031-AAB9-8EB578CC1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10966</Words>
  <Characters>62509</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OMB Package</vt:lpstr>
    </vt:vector>
  </TitlesOfParts>
  <Company>ITSO</Company>
  <LinksUpToDate>false</LinksUpToDate>
  <CharactersWithSpaces>73329</CharactersWithSpaces>
  <SharedDoc>false</SharedDoc>
  <HLinks>
    <vt:vector size="228" baseType="variant">
      <vt:variant>
        <vt:i4>1638409</vt:i4>
      </vt:variant>
      <vt:variant>
        <vt:i4>177</vt:i4>
      </vt:variant>
      <vt:variant>
        <vt:i4>0</vt:i4>
      </vt:variant>
      <vt:variant>
        <vt:i4>5</vt:i4>
      </vt:variant>
      <vt:variant>
        <vt:lpwstr>http://ewma.org/fileadmin/user_upload/EWMA.org/EWMA_and_EPUAP_added_values_to_OECD_efforts.pdf</vt:lpwstr>
      </vt:variant>
      <vt:variant>
        <vt:lpwstr/>
      </vt:variant>
      <vt:variant>
        <vt:i4>6750309</vt:i4>
      </vt:variant>
      <vt:variant>
        <vt:i4>171</vt:i4>
      </vt:variant>
      <vt:variant>
        <vt:i4>0</vt:i4>
      </vt:variant>
      <vt:variant>
        <vt:i4>5</vt:i4>
      </vt:variant>
      <vt:variant>
        <vt:lpwstr>http://www.bls.gov/news.release/ocwage.t01.htm</vt:lpwstr>
      </vt:variant>
      <vt:variant>
        <vt:lpwstr/>
      </vt:variant>
      <vt:variant>
        <vt:i4>6750309</vt:i4>
      </vt:variant>
      <vt:variant>
        <vt:i4>168</vt:i4>
      </vt:variant>
      <vt:variant>
        <vt:i4>0</vt:i4>
      </vt:variant>
      <vt:variant>
        <vt:i4>5</vt:i4>
      </vt:variant>
      <vt:variant>
        <vt:lpwstr>http://www.bls.gov/news.release/ocwage.t01.htm</vt:lpwstr>
      </vt:variant>
      <vt:variant>
        <vt:lpwstr/>
      </vt:variant>
      <vt:variant>
        <vt:i4>5570649</vt:i4>
      </vt:variant>
      <vt:variant>
        <vt:i4>165</vt:i4>
      </vt:variant>
      <vt:variant>
        <vt:i4>0</vt:i4>
      </vt:variant>
      <vt:variant>
        <vt:i4>5</vt:i4>
      </vt:variant>
      <vt:variant>
        <vt:lpwstr>http://www.hcup-us.ahrq.gov/db/vars/race/nisnote.jsp</vt:lpwstr>
      </vt:variant>
      <vt:variant>
        <vt:lpwstr/>
      </vt:variant>
      <vt:variant>
        <vt:i4>655449</vt:i4>
      </vt:variant>
      <vt:variant>
        <vt:i4>162</vt:i4>
      </vt:variant>
      <vt:variant>
        <vt:i4>0</vt:i4>
      </vt:variant>
      <vt:variant>
        <vt:i4>5</vt:i4>
      </vt:variant>
      <vt:variant>
        <vt:lpwstr>http://www.global-pps.com/ourproject/</vt:lpwstr>
      </vt:variant>
      <vt:variant>
        <vt:lpwstr/>
      </vt:variant>
      <vt:variant>
        <vt:i4>8126545</vt:i4>
      </vt:variant>
      <vt:variant>
        <vt:i4>159</vt:i4>
      </vt:variant>
      <vt:variant>
        <vt:i4>0</vt:i4>
      </vt:variant>
      <vt:variant>
        <vt:i4>5</vt:i4>
      </vt:variant>
      <vt:variant>
        <vt:lpwstr>http://www.global-pps.com/wp-content/uploads/2018/05/1-1-LANGH-2015_Global-PPS_results-on-adults_main-article_Versporten_April2018.pdf</vt:lpwstr>
      </vt:variant>
      <vt:variant>
        <vt:lpwstr/>
      </vt:variant>
      <vt:variant>
        <vt:i4>5242980</vt:i4>
      </vt:variant>
      <vt:variant>
        <vt:i4>156</vt:i4>
      </vt:variant>
      <vt:variant>
        <vt:i4>0</vt:i4>
      </vt:variant>
      <vt:variant>
        <vt:i4>5</vt:i4>
      </vt:variant>
      <vt:variant>
        <vt:lpwstr>http://www.global-pps.com/wp-content/uploads/ECCMID-2016_USA.pdf</vt:lpwstr>
      </vt:variant>
      <vt:variant>
        <vt:lpwstr/>
      </vt:variant>
      <vt:variant>
        <vt:i4>786453</vt:i4>
      </vt:variant>
      <vt:variant>
        <vt:i4>153</vt:i4>
      </vt:variant>
      <vt:variant>
        <vt:i4>0</vt:i4>
      </vt:variant>
      <vt:variant>
        <vt:i4>5</vt:i4>
      </vt:variant>
      <vt:variant>
        <vt:lpwstr>https://www.antimicrobial-resistance.biomerieux.com/popup/global-point-prevalence-survey/</vt:lpwstr>
      </vt:variant>
      <vt:variant>
        <vt:lpwstr/>
      </vt:variant>
      <vt:variant>
        <vt:i4>2162814</vt:i4>
      </vt:variant>
      <vt:variant>
        <vt:i4>150</vt:i4>
      </vt:variant>
      <vt:variant>
        <vt:i4>0</vt:i4>
      </vt:variant>
      <vt:variant>
        <vt:i4>5</vt:i4>
      </vt:variant>
      <vt:variant>
        <vt:lpwstr>https://www.cdc.gov/nchs/nhcs/index.htm</vt:lpwstr>
      </vt:variant>
      <vt:variant>
        <vt:lpwstr/>
      </vt:variant>
      <vt:variant>
        <vt:i4>4718668</vt:i4>
      </vt:variant>
      <vt:variant>
        <vt:i4>147</vt:i4>
      </vt:variant>
      <vt:variant>
        <vt:i4>0</vt:i4>
      </vt:variant>
      <vt:variant>
        <vt:i4>5</vt:i4>
      </vt:variant>
      <vt:variant>
        <vt:lpwstr>https://www.cms.gov/Medicare/Quality-Initiatives-Patient-Assessment-Instruments/HospitalQualityInits/HospitalRHQDAPU.html</vt:lpwstr>
      </vt:variant>
      <vt:variant>
        <vt:lpwstr/>
      </vt:variant>
      <vt:variant>
        <vt:i4>2687011</vt:i4>
      </vt:variant>
      <vt:variant>
        <vt:i4>144</vt:i4>
      </vt:variant>
      <vt:variant>
        <vt:i4>0</vt:i4>
      </vt:variant>
      <vt:variant>
        <vt:i4>5</vt:i4>
      </vt:variant>
      <vt:variant>
        <vt:lpwstr>http://www.cdc.gov/nhsn/about.html</vt:lpwstr>
      </vt:variant>
      <vt:variant>
        <vt:lpwstr/>
      </vt:variant>
      <vt:variant>
        <vt:i4>2293838</vt:i4>
      </vt:variant>
      <vt:variant>
        <vt:i4>141</vt:i4>
      </vt:variant>
      <vt:variant>
        <vt:i4>0</vt:i4>
      </vt:variant>
      <vt:variant>
        <vt:i4>5</vt:i4>
      </vt:variant>
      <vt:variant>
        <vt:lpwstr>https://wwwnc.cdc.gov/eid/article/7/2/70-0295_article</vt:lpwstr>
      </vt:variant>
      <vt:variant>
        <vt:lpwstr/>
      </vt:variant>
      <vt:variant>
        <vt:i4>5701658</vt:i4>
      </vt:variant>
      <vt:variant>
        <vt:i4>138</vt:i4>
      </vt:variant>
      <vt:variant>
        <vt:i4>0</vt:i4>
      </vt:variant>
      <vt:variant>
        <vt:i4>5</vt:i4>
      </vt:variant>
      <vt:variant>
        <vt:lpwstr>https://www.cdc.gov/drugresistance/tatfar/index.html</vt:lpwstr>
      </vt:variant>
      <vt:variant>
        <vt:lpwstr/>
      </vt:variant>
      <vt:variant>
        <vt:i4>6160460</vt:i4>
      </vt:variant>
      <vt:variant>
        <vt:i4>135</vt:i4>
      </vt:variant>
      <vt:variant>
        <vt:i4>0</vt:i4>
      </vt:variant>
      <vt:variant>
        <vt:i4>5</vt:i4>
      </vt:variant>
      <vt:variant>
        <vt:lpwstr>https://www.cdc.gov/drugresistance/pdf/national_action_plan_for_combating_antibotic-resistant_bacteria.pdf</vt:lpwstr>
      </vt:variant>
      <vt:variant>
        <vt:lpwstr/>
      </vt:variant>
      <vt:variant>
        <vt:i4>393225</vt:i4>
      </vt:variant>
      <vt:variant>
        <vt:i4>132</vt:i4>
      </vt:variant>
      <vt:variant>
        <vt:i4>0</vt:i4>
      </vt:variant>
      <vt:variant>
        <vt:i4>5</vt:i4>
      </vt:variant>
      <vt:variant>
        <vt:lpwstr>http://www.cdc.gov/mmwr/preview/mmwrhtml/mm6309a4.htm?s_cid=mm6309a4_w</vt:lpwstr>
      </vt:variant>
      <vt:variant>
        <vt:lpwstr/>
      </vt:variant>
      <vt:variant>
        <vt:i4>4653078</vt:i4>
      </vt:variant>
      <vt:variant>
        <vt:i4>129</vt:i4>
      </vt:variant>
      <vt:variant>
        <vt:i4>0</vt:i4>
      </vt:variant>
      <vt:variant>
        <vt:i4>5</vt:i4>
      </vt:variant>
      <vt:variant>
        <vt:lpwstr>http://www.cdc.gov/winnablebattles/healthcareassociatedinfections/index.html</vt:lpwstr>
      </vt:variant>
      <vt:variant>
        <vt:lpwstr/>
      </vt:variant>
      <vt:variant>
        <vt:i4>3211315</vt:i4>
      </vt:variant>
      <vt:variant>
        <vt:i4>126</vt:i4>
      </vt:variant>
      <vt:variant>
        <vt:i4>0</vt:i4>
      </vt:variant>
      <vt:variant>
        <vt:i4>5</vt:i4>
      </vt:variant>
      <vt:variant>
        <vt:lpwstr>http://www.hhs.gov/ash/initiatives/hai/</vt:lpwstr>
      </vt:variant>
      <vt:variant>
        <vt:lpwstr/>
      </vt:variant>
      <vt:variant>
        <vt:i4>8061024</vt:i4>
      </vt:variant>
      <vt:variant>
        <vt:i4>123</vt:i4>
      </vt:variant>
      <vt:variant>
        <vt:i4>0</vt:i4>
      </vt:variant>
      <vt:variant>
        <vt:i4>5</vt:i4>
      </vt:variant>
      <vt:variant>
        <vt:lpwstr>http://www.cdc.gov/ncezid/dpei/eip/</vt:lpwstr>
      </vt:variant>
      <vt:variant>
        <vt:lpwstr/>
      </vt:variant>
      <vt:variant>
        <vt:i4>1966133</vt:i4>
      </vt:variant>
      <vt:variant>
        <vt:i4>116</vt:i4>
      </vt:variant>
      <vt:variant>
        <vt:i4>0</vt:i4>
      </vt:variant>
      <vt:variant>
        <vt:i4>5</vt:i4>
      </vt:variant>
      <vt:variant>
        <vt:lpwstr/>
      </vt:variant>
      <vt:variant>
        <vt:lpwstr>_Toc455558117</vt:lpwstr>
      </vt:variant>
      <vt:variant>
        <vt:i4>1966133</vt:i4>
      </vt:variant>
      <vt:variant>
        <vt:i4>110</vt:i4>
      </vt:variant>
      <vt:variant>
        <vt:i4>0</vt:i4>
      </vt:variant>
      <vt:variant>
        <vt:i4>5</vt:i4>
      </vt:variant>
      <vt:variant>
        <vt:lpwstr/>
      </vt:variant>
      <vt:variant>
        <vt:lpwstr>_Toc455558116</vt:lpwstr>
      </vt:variant>
      <vt:variant>
        <vt:i4>1966133</vt:i4>
      </vt:variant>
      <vt:variant>
        <vt:i4>104</vt:i4>
      </vt:variant>
      <vt:variant>
        <vt:i4>0</vt:i4>
      </vt:variant>
      <vt:variant>
        <vt:i4>5</vt:i4>
      </vt:variant>
      <vt:variant>
        <vt:lpwstr/>
      </vt:variant>
      <vt:variant>
        <vt:lpwstr>_Toc455558115</vt:lpwstr>
      </vt:variant>
      <vt:variant>
        <vt:i4>1966133</vt:i4>
      </vt:variant>
      <vt:variant>
        <vt:i4>98</vt:i4>
      </vt:variant>
      <vt:variant>
        <vt:i4>0</vt:i4>
      </vt:variant>
      <vt:variant>
        <vt:i4>5</vt:i4>
      </vt:variant>
      <vt:variant>
        <vt:lpwstr/>
      </vt:variant>
      <vt:variant>
        <vt:lpwstr>_Toc455558112</vt:lpwstr>
      </vt:variant>
      <vt:variant>
        <vt:i4>1966133</vt:i4>
      </vt:variant>
      <vt:variant>
        <vt:i4>92</vt:i4>
      </vt:variant>
      <vt:variant>
        <vt:i4>0</vt:i4>
      </vt:variant>
      <vt:variant>
        <vt:i4>5</vt:i4>
      </vt:variant>
      <vt:variant>
        <vt:lpwstr/>
      </vt:variant>
      <vt:variant>
        <vt:lpwstr>_Toc455558111</vt:lpwstr>
      </vt:variant>
      <vt:variant>
        <vt:i4>2031669</vt:i4>
      </vt:variant>
      <vt:variant>
        <vt:i4>86</vt:i4>
      </vt:variant>
      <vt:variant>
        <vt:i4>0</vt:i4>
      </vt:variant>
      <vt:variant>
        <vt:i4>5</vt:i4>
      </vt:variant>
      <vt:variant>
        <vt:lpwstr/>
      </vt:variant>
      <vt:variant>
        <vt:lpwstr>_Toc455558108</vt:lpwstr>
      </vt:variant>
      <vt:variant>
        <vt:i4>2031669</vt:i4>
      </vt:variant>
      <vt:variant>
        <vt:i4>80</vt:i4>
      </vt:variant>
      <vt:variant>
        <vt:i4>0</vt:i4>
      </vt:variant>
      <vt:variant>
        <vt:i4>5</vt:i4>
      </vt:variant>
      <vt:variant>
        <vt:lpwstr/>
      </vt:variant>
      <vt:variant>
        <vt:lpwstr>_Toc455558107</vt:lpwstr>
      </vt:variant>
      <vt:variant>
        <vt:i4>1507380</vt:i4>
      </vt:variant>
      <vt:variant>
        <vt:i4>74</vt:i4>
      </vt:variant>
      <vt:variant>
        <vt:i4>0</vt:i4>
      </vt:variant>
      <vt:variant>
        <vt:i4>5</vt:i4>
      </vt:variant>
      <vt:variant>
        <vt:lpwstr/>
      </vt:variant>
      <vt:variant>
        <vt:lpwstr>_Toc455558081</vt:lpwstr>
      </vt:variant>
      <vt:variant>
        <vt:i4>1507380</vt:i4>
      </vt:variant>
      <vt:variant>
        <vt:i4>68</vt:i4>
      </vt:variant>
      <vt:variant>
        <vt:i4>0</vt:i4>
      </vt:variant>
      <vt:variant>
        <vt:i4>5</vt:i4>
      </vt:variant>
      <vt:variant>
        <vt:lpwstr/>
      </vt:variant>
      <vt:variant>
        <vt:lpwstr>_Toc455558080</vt:lpwstr>
      </vt:variant>
      <vt:variant>
        <vt:i4>1572916</vt:i4>
      </vt:variant>
      <vt:variant>
        <vt:i4>62</vt:i4>
      </vt:variant>
      <vt:variant>
        <vt:i4>0</vt:i4>
      </vt:variant>
      <vt:variant>
        <vt:i4>5</vt:i4>
      </vt:variant>
      <vt:variant>
        <vt:lpwstr/>
      </vt:variant>
      <vt:variant>
        <vt:lpwstr>_Toc455558079</vt:lpwstr>
      </vt:variant>
      <vt:variant>
        <vt:i4>1572916</vt:i4>
      </vt:variant>
      <vt:variant>
        <vt:i4>56</vt:i4>
      </vt:variant>
      <vt:variant>
        <vt:i4>0</vt:i4>
      </vt:variant>
      <vt:variant>
        <vt:i4>5</vt:i4>
      </vt:variant>
      <vt:variant>
        <vt:lpwstr/>
      </vt:variant>
      <vt:variant>
        <vt:lpwstr>_Toc455558077</vt:lpwstr>
      </vt:variant>
      <vt:variant>
        <vt:i4>1572916</vt:i4>
      </vt:variant>
      <vt:variant>
        <vt:i4>50</vt:i4>
      </vt:variant>
      <vt:variant>
        <vt:i4>0</vt:i4>
      </vt:variant>
      <vt:variant>
        <vt:i4>5</vt:i4>
      </vt:variant>
      <vt:variant>
        <vt:lpwstr/>
      </vt:variant>
      <vt:variant>
        <vt:lpwstr>_Toc455558076</vt:lpwstr>
      </vt:variant>
      <vt:variant>
        <vt:i4>1572916</vt:i4>
      </vt:variant>
      <vt:variant>
        <vt:i4>44</vt:i4>
      </vt:variant>
      <vt:variant>
        <vt:i4>0</vt:i4>
      </vt:variant>
      <vt:variant>
        <vt:i4>5</vt:i4>
      </vt:variant>
      <vt:variant>
        <vt:lpwstr/>
      </vt:variant>
      <vt:variant>
        <vt:lpwstr>_Toc455558075</vt:lpwstr>
      </vt:variant>
      <vt:variant>
        <vt:i4>1572916</vt:i4>
      </vt:variant>
      <vt:variant>
        <vt:i4>38</vt:i4>
      </vt:variant>
      <vt:variant>
        <vt:i4>0</vt:i4>
      </vt:variant>
      <vt:variant>
        <vt:i4>5</vt:i4>
      </vt:variant>
      <vt:variant>
        <vt:lpwstr/>
      </vt:variant>
      <vt:variant>
        <vt:lpwstr>_Toc455558074</vt:lpwstr>
      </vt:variant>
      <vt:variant>
        <vt:i4>1572916</vt:i4>
      </vt:variant>
      <vt:variant>
        <vt:i4>32</vt:i4>
      </vt:variant>
      <vt:variant>
        <vt:i4>0</vt:i4>
      </vt:variant>
      <vt:variant>
        <vt:i4>5</vt:i4>
      </vt:variant>
      <vt:variant>
        <vt:lpwstr/>
      </vt:variant>
      <vt:variant>
        <vt:lpwstr>_Toc455558073</vt:lpwstr>
      </vt:variant>
      <vt:variant>
        <vt:i4>1572916</vt:i4>
      </vt:variant>
      <vt:variant>
        <vt:i4>26</vt:i4>
      </vt:variant>
      <vt:variant>
        <vt:i4>0</vt:i4>
      </vt:variant>
      <vt:variant>
        <vt:i4>5</vt:i4>
      </vt:variant>
      <vt:variant>
        <vt:lpwstr/>
      </vt:variant>
      <vt:variant>
        <vt:lpwstr>_Toc455558072</vt:lpwstr>
      </vt:variant>
      <vt:variant>
        <vt:i4>1572916</vt:i4>
      </vt:variant>
      <vt:variant>
        <vt:i4>20</vt:i4>
      </vt:variant>
      <vt:variant>
        <vt:i4>0</vt:i4>
      </vt:variant>
      <vt:variant>
        <vt:i4>5</vt:i4>
      </vt:variant>
      <vt:variant>
        <vt:lpwstr/>
      </vt:variant>
      <vt:variant>
        <vt:lpwstr>_Toc455558071</vt:lpwstr>
      </vt:variant>
      <vt:variant>
        <vt:i4>1572916</vt:i4>
      </vt:variant>
      <vt:variant>
        <vt:i4>14</vt:i4>
      </vt:variant>
      <vt:variant>
        <vt:i4>0</vt:i4>
      </vt:variant>
      <vt:variant>
        <vt:i4>5</vt:i4>
      </vt:variant>
      <vt:variant>
        <vt:lpwstr/>
      </vt:variant>
      <vt:variant>
        <vt:lpwstr>_Toc455558070</vt:lpwstr>
      </vt:variant>
      <vt:variant>
        <vt:i4>1638452</vt:i4>
      </vt:variant>
      <vt:variant>
        <vt:i4>8</vt:i4>
      </vt:variant>
      <vt:variant>
        <vt:i4>0</vt:i4>
      </vt:variant>
      <vt:variant>
        <vt:i4>5</vt:i4>
      </vt:variant>
      <vt:variant>
        <vt:lpwstr/>
      </vt:variant>
      <vt:variant>
        <vt:lpwstr>_Toc455558069</vt:lpwstr>
      </vt:variant>
      <vt:variant>
        <vt:i4>262193</vt:i4>
      </vt:variant>
      <vt:variant>
        <vt:i4>3</vt:i4>
      </vt:variant>
      <vt:variant>
        <vt:i4>0</vt:i4>
      </vt:variant>
      <vt:variant>
        <vt:i4>5</vt:i4>
      </vt:variant>
      <vt:variant>
        <vt:lpwstr>mailto:aoconnor@cdc.gov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dc:title>
  <dc:subject/>
  <dc:creator>hgx8</dc:creator>
  <cp:keywords/>
  <cp:lastModifiedBy>SYSTEM</cp:lastModifiedBy>
  <cp:revision>2</cp:revision>
  <cp:lastPrinted>2019-02-07T14:58:00Z</cp:lastPrinted>
  <dcterms:created xsi:type="dcterms:W3CDTF">2019-10-17T14:05:00Z</dcterms:created>
  <dcterms:modified xsi:type="dcterms:W3CDTF">2019-10-17T14:05:00Z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PFY6PPX2AYTS-2589-1233</vt:lpwstr>
  </property>
  <property fmtid="{D5CDD505-2E9C-101B-9397-08002B2CF9AE}" pid="3" name="_dlc_DocIdItemGuid">
    <vt:lpwstr>e1c0aade-3d72-44e3-8d29-91806767db20</vt:lpwstr>
  </property>
  <property fmtid="{D5CDD505-2E9C-101B-9397-08002B2CF9AE}" pid="4" name="_dlc_DocIdUrl">
    <vt:lpwstr>https://esp.cdc.gov/sites/ncezid/OD/policy/PRA/_layouts/15/DocIdRedir.aspx?ID=PFY6PPX2AYTS-2589-1233, PFY6PPX2AYTS-2589-1233</vt:lpwstr>
  </property>
</Properties>
</file>