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C7C3B" w14:textId="77777777" w:rsidR="00651BF1" w:rsidRDefault="00651BF1" w:rsidP="00651BF1">
      <w:pPr>
        <w:pStyle w:val="Header"/>
        <w:jc w:val="center"/>
        <w:rPr>
          <w:sz w:val="50"/>
          <w:szCs w:val="50"/>
        </w:rPr>
      </w:pPr>
      <w:bookmarkStart w:id="0" w:name="_GoBack"/>
      <w:bookmarkEnd w:id="0"/>
    </w:p>
    <w:p w14:paraId="0A36E0B8" w14:textId="77777777" w:rsidR="00651BF1" w:rsidRDefault="00651BF1" w:rsidP="00651BF1">
      <w:pPr>
        <w:pStyle w:val="Header"/>
        <w:jc w:val="center"/>
        <w:rPr>
          <w:sz w:val="50"/>
          <w:szCs w:val="50"/>
        </w:rPr>
      </w:pPr>
    </w:p>
    <w:p w14:paraId="76579AED" w14:textId="77777777" w:rsidR="00651BF1" w:rsidRDefault="00651BF1" w:rsidP="00651BF1">
      <w:pPr>
        <w:pStyle w:val="Header"/>
        <w:jc w:val="center"/>
        <w:rPr>
          <w:sz w:val="50"/>
          <w:szCs w:val="50"/>
        </w:rPr>
      </w:pPr>
    </w:p>
    <w:p w14:paraId="19DF7D1F" w14:textId="77777777" w:rsidR="00651BF1" w:rsidRDefault="00651BF1" w:rsidP="00651BF1">
      <w:pPr>
        <w:pStyle w:val="Header"/>
        <w:jc w:val="center"/>
        <w:rPr>
          <w:sz w:val="50"/>
          <w:szCs w:val="50"/>
        </w:rPr>
      </w:pPr>
    </w:p>
    <w:p w14:paraId="2DCFCE07" w14:textId="77777777" w:rsidR="00651BF1" w:rsidRDefault="00651BF1" w:rsidP="00651BF1">
      <w:pPr>
        <w:pStyle w:val="Header"/>
        <w:jc w:val="center"/>
        <w:rPr>
          <w:sz w:val="50"/>
          <w:szCs w:val="50"/>
        </w:rPr>
      </w:pPr>
    </w:p>
    <w:p w14:paraId="181FAC20" w14:textId="77777777" w:rsidR="00651BF1" w:rsidRPr="00C15922" w:rsidRDefault="00651BF1" w:rsidP="00651BF1">
      <w:pPr>
        <w:pStyle w:val="Header"/>
        <w:jc w:val="center"/>
        <w:rPr>
          <w:sz w:val="50"/>
          <w:szCs w:val="50"/>
        </w:rPr>
      </w:pPr>
      <w:r w:rsidRPr="00C15922">
        <w:rPr>
          <w:sz w:val="50"/>
          <w:szCs w:val="50"/>
        </w:rPr>
        <w:t>National Healthcare Safety Network (NHSN)</w:t>
      </w:r>
    </w:p>
    <w:p w14:paraId="121B0957" w14:textId="77777777" w:rsidR="00651BF1" w:rsidRPr="00C15922" w:rsidRDefault="00651BF1" w:rsidP="00651BF1">
      <w:pPr>
        <w:pStyle w:val="Header"/>
        <w:jc w:val="center"/>
        <w:rPr>
          <w:sz w:val="50"/>
          <w:szCs w:val="50"/>
        </w:rPr>
      </w:pPr>
      <w:r w:rsidRPr="00C15922">
        <w:rPr>
          <w:sz w:val="50"/>
          <w:szCs w:val="50"/>
        </w:rPr>
        <w:t>OMB Control No. 0920-0666</w:t>
      </w:r>
    </w:p>
    <w:p w14:paraId="32420D8C" w14:textId="43213351" w:rsidR="00651BF1" w:rsidRPr="00C15922" w:rsidRDefault="00DE3B5B" w:rsidP="00651BF1">
      <w:pPr>
        <w:pStyle w:val="Header"/>
        <w:jc w:val="center"/>
        <w:rPr>
          <w:sz w:val="50"/>
          <w:szCs w:val="50"/>
        </w:rPr>
      </w:pPr>
      <w:r w:rsidRPr="00C15922">
        <w:rPr>
          <w:sz w:val="50"/>
          <w:szCs w:val="50"/>
        </w:rPr>
        <w:t xml:space="preserve">Expiration </w:t>
      </w:r>
      <w:r w:rsidR="002752F3">
        <w:rPr>
          <w:sz w:val="50"/>
          <w:szCs w:val="50"/>
        </w:rPr>
        <w:t>01/31/2021</w:t>
      </w:r>
    </w:p>
    <w:p w14:paraId="2B0E7D84" w14:textId="77777777" w:rsidR="00651BF1" w:rsidRPr="00C15922" w:rsidRDefault="00651BF1" w:rsidP="00651BF1">
      <w:pPr>
        <w:pStyle w:val="Header"/>
        <w:jc w:val="center"/>
        <w:rPr>
          <w:sz w:val="50"/>
          <w:szCs w:val="50"/>
        </w:rPr>
      </w:pPr>
      <w:r w:rsidRPr="00C15922">
        <w:rPr>
          <w:sz w:val="50"/>
          <w:szCs w:val="50"/>
        </w:rPr>
        <w:t xml:space="preserve">Revision Request </w:t>
      </w:r>
    </w:p>
    <w:p w14:paraId="65F1F9A2" w14:textId="77777777" w:rsidR="00651BF1" w:rsidRPr="00C15922" w:rsidRDefault="00651BF1" w:rsidP="00651BF1">
      <w:pPr>
        <w:pStyle w:val="Header"/>
        <w:jc w:val="center"/>
        <w:rPr>
          <w:sz w:val="44"/>
          <w:szCs w:val="44"/>
        </w:rPr>
      </w:pPr>
      <w:r w:rsidRPr="00C15922">
        <w:rPr>
          <w:sz w:val="44"/>
          <w:szCs w:val="44"/>
        </w:rPr>
        <w:t>Supporting Statement Part B</w:t>
      </w:r>
    </w:p>
    <w:p w14:paraId="0F029D09" w14:textId="77777777" w:rsidR="00651BF1" w:rsidRPr="00C15922" w:rsidRDefault="00651BF1" w:rsidP="00651BF1">
      <w:pPr>
        <w:pStyle w:val="Header"/>
        <w:jc w:val="center"/>
        <w:rPr>
          <w:sz w:val="50"/>
          <w:szCs w:val="50"/>
        </w:rPr>
      </w:pPr>
    </w:p>
    <w:p w14:paraId="724F2C4C" w14:textId="77777777" w:rsidR="00651BF1" w:rsidRPr="00C15922" w:rsidRDefault="00651BF1" w:rsidP="00651BF1">
      <w:pPr>
        <w:pStyle w:val="Header"/>
        <w:rPr>
          <w:sz w:val="30"/>
          <w:szCs w:val="30"/>
        </w:rPr>
      </w:pPr>
    </w:p>
    <w:p w14:paraId="62634B21" w14:textId="77777777" w:rsidR="00651BF1" w:rsidRPr="00C15922" w:rsidRDefault="00651BF1" w:rsidP="00651BF1">
      <w:pPr>
        <w:pStyle w:val="Header"/>
        <w:rPr>
          <w:sz w:val="30"/>
          <w:szCs w:val="30"/>
        </w:rPr>
      </w:pPr>
    </w:p>
    <w:p w14:paraId="16462402" w14:textId="77777777" w:rsidR="00651BF1" w:rsidRPr="00C15922" w:rsidRDefault="00651BF1" w:rsidP="00651BF1">
      <w:pPr>
        <w:pStyle w:val="Header"/>
        <w:rPr>
          <w:sz w:val="30"/>
          <w:szCs w:val="30"/>
        </w:rPr>
      </w:pPr>
    </w:p>
    <w:p w14:paraId="1BE00D3D" w14:textId="77777777" w:rsidR="00651BF1" w:rsidRPr="00C15922" w:rsidRDefault="00651BF1" w:rsidP="00651BF1">
      <w:pPr>
        <w:pStyle w:val="Header"/>
        <w:rPr>
          <w:sz w:val="30"/>
          <w:szCs w:val="30"/>
        </w:rPr>
      </w:pPr>
    </w:p>
    <w:p w14:paraId="7D688C96" w14:textId="77777777" w:rsidR="00651BF1" w:rsidRPr="00C15922" w:rsidRDefault="00651BF1" w:rsidP="00651BF1">
      <w:pPr>
        <w:pStyle w:val="Header"/>
        <w:rPr>
          <w:sz w:val="30"/>
          <w:szCs w:val="30"/>
        </w:rPr>
      </w:pPr>
    </w:p>
    <w:p w14:paraId="2EE655DF" w14:textId="77777777" w:rsidR="00651BF1" w:rsidRPr="00C15922" w:rsidRDefault="00651BF1" w:rsidP="00651BF1">
      <w:pPr>
        <w:pStyle w:val="Header"/>
        <w:rPr>
          <w:sz w:val="30"/>
          <w:szCs w:val="30"/>
        </w:rPr>
      </w:pPr>
    </w:p>
    <w:p w14:paraId="55791DC2" w14:textId="77777777" w:rsidR="00651BF1" w:rsidRPr="00C15922" w:rsidRDefault="00651BF1" w:rsidP="00651BF1">
      <w:pPr>
        <w:pStyle w:val="Header"/>
        <w:rPr>
          <w:sz w:val="30"/>
          <w:szCs w:val="30"/>
        </w:rPr>
      </w:pPr>
    </w:p>
    <w:p w14:paraId="22777BD6" w14:textId="77777777" w:rsidR="00651BF1" w:rsidRPr="00C15922" w:rsidRDefault="00651BF1" w:rsidP="00651BF1">
      <w:pPr>
        <w:pStyle w:val="Header"/>
        <w:rPr>
          <w:sz w:val="30"/>
          <w:szCs w:val="30"/>
        </w:rPr>
      </w:pPr>
    </w:p>
    <w:p w14:paraId="5CD68AD8" w14:textId="77777777" w:rsidR="00651BF1" w:rsidRPr="00C15922" w:rsidRDefault="00651BF1" w:rsidP="00651BF1">
      <w:pPr>
        <w:pStyle w:val="Header"/>
        <w:rPr>
          <w:sz w:val="30"/>
          <w:szCs w:val="30"/>
        </w:rPr>
      </w:pPr>
      <w:r w:rsidRPr="00C15922">
        <w:rPr>
          <w:sz w:val="30"/>
          <w:szCs w:val="30"/>
        </w:rPr>
        <w:t>Daniel A. Pollock. MD</w:t>
      </w:r>
    </w:p>
    <w:p w14:paraId="2D9972F6" w14:textId="77777777" w:rsidR="00651BF1" w:rsidRPr="00C15922" w:rsidRDefault="00651BF1" w:rsidP="00651BF1">
      <w:pPr>
        <w:pStyle w:val="Header"/>
        <w:rPr>
          <w:sz w:val="30"/>
          <w:szCs w:val="30"/>
        </w:rPr>
      </w:pPr>
      <w:r w:rsidRPr="00C15922">
        <w:rPr>
          <w:sz w:val="30"/>
          <w:szCs w:val="30"/>
        </w:rPr>
        <w:t>Surveillance Branch Chief</w:t>
      </w:r>
    </w:p>
    <w:p w14:paraId="72DC0FD2" w14:textId="77777777" w:rsidR="00651BF1" w:rsidRPr="00C15922" w:rsidRDefault="00651BF1" w:rsidP="00651BF1">
      <w:pPr>
        <w:pStyle w:val="Header"/>
        <w:rPr>
          <w:sz w:val="30"/>
          <w:szCs w:val="30"/>
        </w:rPr>
      </w:pPr>
      <w:r w:rsidRPr="00C15922">
        <w:rPr>
          <w:sz w:val="30"/>
          <w:szCs w:val="30"/>
        </w:rPr>
        <w:t>Division of Healthcare Quality Promotion</w:t>
      </w:r>
    </w:p>
    <w:p w14:paraId="7F57DDED" w14:textId="77777777" w:rsidR="00651BF1" w:rsidRPr="00C15922" w:rsidRDefault="00651BF1" w:rsidP="00651BF1">
      <w:pPr>
        <w:pStyle w:val="Header"/>
        <w:rPr>
          <w:sz w:val="30"/>
          <w:szCs w:val="30"/>
        </w:rPr>
      </w:pPr>
      <w:r w:rsidRPr="00C15922">
        <w:rPr>
          <w:sz w:val="30"/>
          <w:szCs w:val="30"/>
        </w:rPr>
        <w:t>National Center for Emerging and Zoonotic Infectious Diseases</w:t>
      </w:r>
    </w:p>
    <w:p w14:paraId="68E9CA00" w14:textId="77777777" w:rsidR="00651BF1" w:rsidRPr="00C15922" w:rsidRDefault="00651BF1" w:rsidP="00651BF1">
      <w:pPr>
        <w:pStyle w:val="Header"/>
        <w:rPr>
          <w:sz w:val="30"/>
          <w:szCs w:val="30"/>
        </w:rPr>
      </w:pPr>
      <w:r w:rsidRPr="00C15922">
        <w:rPr>
          <w:sz w:val="30"/>
          <w:szCs w:val="30"/>
        </w:rPr>
        <w:t>Centers for Disease Control and Prevention</w:t>
      </w:r>
    </w:p>
    <w:p w14:paraId="6BF75A68" w14:textId="77777777" w:rsidR="00651BF1" w:rsidRPr="00C15922" w:rsidRDefault="00651BF1" w:rsidP="00651BF1">
      <w:pPr>
        <w:pStyle w:val="Header"/>
        <w:rPr>
          <w:sz w:val="30"/>
          <w:szCs w:val="30"/>
        </w:rPr>
      </w:pPr>
      <w:r w:rsidRPr="00C15922">
        <w:rPr>
          <w:sz w:val="30"/>
          <w:szCs w:val="30"/>
        </w:rPr>
        <w:t xml:space="preserve">Atlanta, Georgia </w:t>
      </w:r>
      <w:r w:rsidR="00D6545D" w:rsidRPr="00C15922">
        <w:rPr>
          <w:sz w:val="30"/>
          <w:szCs w:val="30"/>
        </w:rPr>
        <w:t>30329-4018</w:t>
      </w:r>
    </w:p>
    <w:p w14:paraId="0B544404" w14:textId="77777777" w:rsidR="00651BF1" w:rsidRPr="00C15922" w:rsidRDefault="00651BF1" w:rsidP="00651BF1">
      <w:pPr>
        <w:pStyle w:val="Header"/>
        <w:rPr>
          <w:sz w:val="30"/>
          <w:szCs w:val="30"/>
        </w:rPr>
      </w:pPr>
      <w:r w:rsidRPr="00C15922">
        <w:rPr>
          <w:sz w:val="30"/>
          <w:szCs w:val="30"/>
        </w:rPr>
        <w:t>Phone: (404) 639-4237</w:t>
      </w:r>
    </w:p>
    <w:p w14:paraId="3AC20739" w14:textId="77777777" w:rsidR="00651BF1" w:rsidRPr="00C15922" w:rsidRDefault="00651BF1" w:rsidP="00651BF1">
      <w:pPr>
        <w:pStyle w:val="Header"/>
        <w:rPr>
          <w:sz w:val="30"/>
          <w:szCs w:val="30"/>
        </w:rPr>
      </w:pPr>
      <w:r w:rsidRPr="00C15922">
        <w:rPr>
          <w:sz w:val="30"/>
          <w:szCs w:val="30"/>
        </w:rPr>
        <w:t>Fax: (404) 639-4043</w:t>
      </w:r>
    </w:p>
    <w:p w14:paraId="409BF145" w14:textId="77777777" w:rsidR="00651BF1" w:rsidRPr="00C15922" w:rsidRDefault="00651BF1" w:rsidP="00651BF1">
      <w:pPr>
        <w:pStyle w:val="Header"/>
        <w:rPr>
          <w:sz w:val="30"/>
          <w:szCs w:val="30"/>
        </w:rPr>
      </w:pPr>
      <w:r w:rsidRPr="00C15922">
        <w:rPr>
          <w:sz w:val="30"/>
          <w:szCs w:val="30"/>
        </w:rPr>
        <w:t>Email: dap1@cdc.gov</w:t>
      </w:r>
    </w:p>
    <w:p w14:paraId="3983BC8F" w14:textId="77777777" w:rsidR="00651BF1" w:rsidRPr="00C15922" w:rsidRDefault="00651BF1" w:rsidP="00D830F2">
      <w:pPr>
        <w:pStyle w:val="NoSpacing"/>
        <w:jc w:val="center"/>
        <w:rPr>
          <w:b/>
          <w:sz w:val="26"/>
          <w:szCs w:val="26"/>
        </w:rPr>
      </w:pPr>
    </w:p>
    <w:p w14:paraId="0DE58149" w14:textId="77777777" w:rsidR="00651BF1" w:rsidRPr="00C15922" w:rsidRDefault="00651BF1">
      <w:pPr>
        <w:spacing w:after="200" w:line="276" w:lineRule="auto"/>
        <w:rPr>
          <w:rFonts w:eastAsiaTheme="minorHAnsi"/>
          <w:b/>
          <w:sz w:val="26"/>
          <w:szCs w:val="26"/>
        </w:rPr>
      </w:pPr>
      <w:r w:rsidRPr="00C15922">
        <w:rPr>
          <w:b/>
          <w:sz w:val="26"/>
          <w:szCs w:val="26"/>
        </w:rPr>
        <w:br w:type="page"/>
      </w:r>
    </w:p>
    <w:p w14:paraId="389D7E00" w14:textId="77777777" w:rsidR="002F574F" w:rsidRPr="00C15922" w:rsidRDefault="002F574F" w:rsidP="002F574F">
      <w:pPr>
        <w:pStyle w:val="NoSpacing"/>
        <w:jc w:val="center"/>
        <w:rPr>
          <w:b/>
          <w:sz w:val="26"/>
          <w:szCs w:val="26"/>
        </w:rPr>
      </w:pPr>
      <w:r w:rsidRPr="00C15922">
        <w:rPr>
          <w:b/>
          <w:sz w:val="26"/>
          <w:szCs w:val="26"/>
        </w:rPr>
        <w:lastRenderedPageBreak/>
        <w:t>OMB No. 0920-0666</w:t>
      </w:r>
    </w:p>
    <w:p w14:paraId="0CF78D7C" w14:textId="77777777" w:rsidR="002F574F" w:rsidRPr="00C15922" w:rsidRDefault="002F574F" w:rsidP="002F574F">
      <w:pPr>
        <w:pStyle w:val="NoSpacing"/>
        <w:jc w:val="center"/>
        <w:rPr>
          <w:b/>
          <w:bCs/>
          <w:sz w:val="26"/>
          <w:szCs w:val="26"/>
        </w:rPr>
      </w:pPr>
      <w:r w:rsidRPr="00C15922">
        <w:rPr>
          <w:b/>
          <w:bCs/>
          <w:sz w:val="26"/>
          <w:szCs w:val="26"/>
        </w:rPr>
        <w:t>National Healthcare Safety Network (NHSN)</w:t>
      </w:r>
    </w:p>
    <w:p w14:paraId="0FFB8C77" w14:textId="67A28C08" w:rsidR="002F574F" w:rsidRPr="00C15922" w:rsidRDefault="002F574F" w:rsidP="002F574F">
      <w:pPr>
        <w:pStyle w:val="NoSpacing"/>
        <w:jc w:val="center"/>
        <w:rPr>
          <w:b/>
          <w:sz w:val="26"/>
          <w:szCs w:val="26"/>
        </w:rPr>
      </w:pPr>
      <w:r w:rsidRPr="00C15922">
        <w:rPr>
          <w:b/>
          <w:sz w:val="26"/>
          <w:szCs w:val="26"/>
        </w:rPr>
        <w:t xml:space="preserve">Revision Request, </w:t>
      </w:r>
      <w:r w:rsidR="00CC7549">
        <w:rPr>
          <w:b/>
          <w:sz w:val="26"/>
          <w:szCs w:val="26"/>
        </w:rPr>
        <w:t>April</w:t>
      </w:r>
      <w:r w:rsidR="00F95666">
        <w:rPr>
          <w:b/>
          <w:sz w:val="26"/>
          <w:szCs w:val="26"/>
        </w:rPr>
        <w:t xml:space="preserve"> </w:t>
      </w:r>
      <w:r w:rsidR="00D9253D">
        <w:rPr>
          <w:b/>
          <w:sz w:val="26"/>
          <w:szCs w:val="26"/>
        </w:rPr>
        <w:t>2019</w:t>
      </w:r>
    </w:p>
    <w:p w14:paraId="40487078" w14:textId="77777777" w:rsidR="002F574F" w:rsidRPr="00C15922" w:rsidRDefault="002F574F" w:rsidP="002F574F">
      <w:pPr>
        <w:pStyle w:val="NoSpacing"/>
        <w:jc w:val="center"/>
        <w:rPr>
          <w:b/>
          <w:sz w:val="26"/>
          <w:szCs w:val="26"/>
        </w:rPr>
      </w:pPr>
    </w:p>
    <w:p w14:paraId="360F911F" w14:textId="77777777" w:rsidR="002F574F" w:rsidRPr="00C15922" w:rsidRDefault="002F574F" w:rsidP="002F574F">
      <w:pPr>
        <w:pStyle w:val="NoSpacing"/>
        <w:rPr>
          <w:b/>
        </w:rPr>
      </w:pPr>
      <w:r w:rsidRPr="00C15922">
        <w:rPr>
          <w:b/>
        </w:rPr>
        <w:t>Supporting Statement Part B – Table of Contents</w:t>
      </w:r>
    </w:p>
    <w:p w14:paraId="0E3F30D3" w14:textId="77777777" w:rsidR="002F574F" w:rsidRPr="00C15922" w:rsidRDefault="002F574F" w:rsidP="002F574F">
      <w:pPr>
        <w:pStyle w:val="NoSpacing"/>
        <w:numPr>
          <w:ilvl w:val="0"/>
          <w:numId w:val="2"/>
        </w:numPr>
      </w:pPr>
      <w:r w:rsidRPr="00C15922">
        <w:t>Statistical Methods</w:t>
      </w:r>
    </w:p>
    <w:p w14:paraId="2940CAF9" w14:textId="77777777" w:rsidR="002F574F" w:rsidRPr="00C15922" w:rsidRDefault="002F574F" w:rsidP="002F574F">
      <w:pPr>
        <w:pStyle w:val="NoSpacing"/>
        <w:numPr>
          <w:ilvl w:val="1"/>
          <w:numId w:val="2"/>
        </w:numPr>
        <w:ind w:left="1080"/>
      </w:pPr>
      <w:r w:rsidRPr="00C15922">
        <w:t>Respondent Universe and Sampling Methods</w:t>
      </w:r>
    </w:p>
    <w:p w14:paraId="35B76E67" w14:textId="77777777" w:rsidR="002F574F" w:rsidRPr="00C15922" w:rsidRDefault="002F574F" w:rsidP="002F574F">
      <w:pPr>
        <w:pStyle w:val="NoSpacing"/>
        <w:numPr>
          <w:ilvl w:val="1"/>
          <w:numId w:val="2"/>
        </w:numPr>
        <w:ind w:left="1080"/>
      </w:pPr>
      <w:r w:rsidRPr="00C15922">
        <w:t>Procedures for the Collection of Information</w:t>
      </w:r>
    </w:p>
    <w:p w14:paraId="591324E2" w14:textId="77777777" w:rsidR="002F574F" w:rsidRPr="00C15922" w:rsidRDefault="002F574F" w:rsidP="002F574F">
      <w:pPr>
        <w:pStyle w:val="NoSpacing"/>
        <w:numPr>
          <w:ilvl w:val="1"/>
          <w:numId w:val="2"/>
        </w:numPr>
        <w:ind w:left="1080"/>
      </w:pPr>
      <w:r w:rsidRPr="00C15922">
        <w:t>Methods to Maximize Response Rates and Deal with Nonresponse</w:t>
      </w:r>
    </w:p>
    <w:p w14:paraId="4E7AC62C" w14:textId="77777777" w:rsidR="002F574F" w:rsidRPr="00C15922" w:rsidRDefault="002F574F" w:rsidP="002F574F">
      <w:pPr>
        <w:pStyle w:val="NoSpacing"/>
        <w:numPr>
          <w:ilvl w:val="1"/>
          <w:numId w:val="2"/>
        </w:numPr>
        <w:ind w:left="1080"/>
      </w:pPr>
      <w:r w:rsidRPr="00C15922">
        <w:t>Test of Procedures or Methods to be Undertaken</w:t>
      </w:r>
    </w:p>
    <w:p w14:paraId="5711582E" w14:textId="49068075" w:rsidR="002F574F" w:rsidRPr="00C15922" w:rsidRDefault="002F574F" w:rsidP="002F574F">
      <w:pPr>
        <w:pStyle w:val="NoSpacing"/>
        <w:numPr>
          <w:ilvl w:val="1"/>
          <w:numId w:val="2"/>
        </w:numPr>
        <w:ind w:left="1080"/>
      </w:pPr>
      <w:r w:rsidRPr="00C15922">
        <w:t xml:space="preserve">Individuals Consulted on Statistical Aspects and Individuals Collecting </w:t>
      </w:r>
      <w:r w:rsidRPr="0021098B">
        <w:rPr>
          <w:noProof/>
        </w:rPr>
        <w:t>and</w:t>
      </w:r>
      <w:r w:rsidRPr="00C15922">
        <w:t xml:space="preserve"> Analyzing Data</w:t>
      </w:r>
    </w:p>
    <w:p w14:paraId="4F70C084" w14:textId="77777777" w:rsidR="002F574F" w:rsidRPr="00C15922" w:rsidRDefault="002F574F" w:rsidP="002F574F">
      <w:pPr>
        <w:pStyle w:val="NoSpacing"/>
        <w:rPr>
          <w:b/>
        </w:rPr>
      </w:pPr>
    </w:p>
    <w:p w14:paraId="33965FB2" w14:textId="77777777" w:rsidR="002F574F" w:rsidRPr="00C15922" w:rsidRDefault="002F574F" w:rsidP="002F574F">
      <w:pPr>
        <w:pStyle w:val="NoSpacing"/>
        <w:rPr>
          <w:b/>
        </w:rPr>
      </w:pPr>
    </w:p>
    <w:p w14:paraId="2AE1FE0A" w14:textId="77777777" w:rsidR="002F574F" w:rsidRPr="00C15922" w:rsidRDefault="002F574F" w:rsidP="002F574F">
      <w:pPr>
        <w:pStyle w:val="NoSpacing"/>
        <w:rPr>
          <w:b/>
        </w:rPr>
      </w:pPr>
      <w:r w:rsidRPr="00C15922">
        <w:rPr>
          <w:b/>
        </w:rPr>
        <w:t>Attachments</w:t>
      </w:r>
    </w:p>
    <w:p w14:paraId="3ADB9F53" w14:textId="77777777" w:rsidR="002F574F" w:rsidRPr="00C15922" w:rsidRDefault="002F574F" w:rsidP="002F574F">
      <w:pPr>
        <w:pStyle w:val="NoSpacing"/>
        <w:numPr>
          <w:ilvl w:val="0"/>
          <w:numId w:val="5"/>
        </w:numPr>
      </w:pPr>
      <w:r w:rsidRPr="00C15922">
        <w:t>Surveillance Methods Supporting Materials</w:t>
      </w:r>
    </w:p>
    <w:p w14:paraId="167BF6E4" w14:textId="77777777" w:rsidR="004762D5" w:rsidRPr="00C15922" w:rsidRDefault="004762D5" w:rsidP="004762D5">
      <w:pPr>
        <w:numPr>
          <w:ilvl w:val="0"/>
          <w:numId w:val="4"/>
        </w:numPr>
        <w:tabs>
          <w:tab w:val="left" w:pos="-1440"/>
          <w:tab w:val="left" w:pos="-720"/>
          <w:tab w:val="left" w:pos="990"/>
        </w:tabs>
        <w:rPr>
          <w:rFonts w:eastAsia="SimSun"/>
          <w:lang w:eastAsia="zh-CN"/>
        </w:rPr>
      </w:pPr>
      <w:r w:rsidRPr="00C15922">
        <w:rPr>
          <w:rFonts w:eastAsia="SimSun"/>
          <w:lang w:eastAsia="zh-CN"/>
        </w:rPr>
        <w:t>Crosswalk for Supporting Documentation in Attachment G and Corresponding Data Collection Forms in Attachment C</w:t>
      </w:r>
    </w:p>
    <w:p w14:paraId="2CBB4419"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Antimicrobial Use and Resistance</w:t>
      </w:r>
    </w:p>
    <w:p w14:paraId="2730408F"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Biovigilance Component</w:t>
      </w:r>
    </w:p>
    <w:p w14:paraId="012980C0"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Catheter-Associated Urinary Tract Infection</w:t>
      </w:r>
    </w:p>
    <w:p w14:paraId="303CEE36"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Central Line-Associated Blood Stream Infection</w:t>
      </w:r>
    </w:p>
    <w:p w14:paraId="2C8B6AC1"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Central Line Insertion Practices Adherence</w:t>
      </w:r>
    </w:p>
    <w:p w14:paraId="7B8B4AFC" w14:textId="77777777" w:rsidR="00514F56" w:rsidRPr="00C15922" w:rsidRDefault="00514F56" w:rsidP="00C305D7">
      <w:pPr>
        <w:numPr>
          <w:ilvl w:val="0"/>
          <w:numId w:val="4"/>
        </w:numPr>
        <w:tabs>
          <w:tab w:val="left" w:pos="-1440"/>
          <w:tab w:val="left" w:pos="-720"/>
          <w:tab w:val="left" w:pos="990"/>
        </w:tabs>
        <w:rPr>
          <w:rFonts w:eastAsia="SimSun"/>
          <w:lang w:eastAsia="zh-CN"/>
        </w:rPr>
      </w:pPr>
      <w:r w:rsidRPr="00C15922">
        <w:rPr>
          <w:rFonts w:eastAsia="SimSun"/>
          <w:lang w:eastAsia="zh-CN"/>
        </w:rPr>
        <w:t>Custom Event Surveillance</w:t>
      </w:r>
    </w:p>
    <w:p w14:paraId="29C89814"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Denominators for Patient Safety Component</w:t>
      </w:r>
    </w:p>
    <w:p w14:paraId="0F7EF024"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Dialysis Event</w:t>
      </w:r>
    </w:p>
    <w:p w14:paraId="13CF4363"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Dialysis Patient Influenza Vaccination</w:t>
      </w:r>
    </w:p>
    <w:p w14:paraId="1158EA2F"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Dialysis Prevention Process Measures</w:t>
      </w:r>
    </w:p>
    <w:p w14:paraId="1B1CCFEA"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Healthcare Personnel Exposure</w:t>
      </w:r>
    </w:p>
    <w:p w14:paraId="3B60F862"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LTCF MDRO CDI</w:t>
      </w:r>
    </w:p>
    <w:p w14:paraId="1225A02C"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LTCF Prevention Process Measures</w:t>
      </w:r>
    </w:p>
    <w:p w14:paraId="487E5FEC"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LTCF Urinary Tract Infection</w:t>
      </w:r>
    </w:p>
    <w:p w14:paraId="3332B375"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MDRO &amp; CDI</w:t>
      </w:r>
    </w:p>
    <w:p w14:paraId="3B1B575C"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Outpatient Procedure Component</w:t>
      </w:r>
    </w:p>
    <w:p w14:paraId="22F345AE" w14:textId="77777777" w:rsidR="00514F56" w:rsidRPr="00C15922" w:rsidRDefault="00514F56" w:rsidP="00C305D7">
      <w:pPr>
        <w:numPr>
          <w:ilvl w:val="0"/>
          <w:numId w:val="4"/>
        </w:numPr>
        <w:tabs>
          <w:tab w:val="left" w:pos="-1440"/>
          <w:tab w:val="left" w:pos="-720"/>
          <w:tab w:val="left" w:pos="990"/>
        </w:tabs>
        <w:rPr>
          <w:rFonts w:eastAsia="SimSun"/>
          <w:lang w:eastAsia="zh-CN"/>
        </w:rPr>
      </w:pPr>
      <w:r w:rsidRPr="00C15922">
        <w:rPr>
          <w:rFonts w:eastAsia="SimSun"/>
          <w:lang w:eastAsia="zh-CN"/>
        </w:rPr>
        <w:t>Pediatric Ventilator-Associated Event</w:t>
      </w:r>
    </w:p>
    <w:p w14:paraId="69C4F535" w14:textId="77777777" w:rsidR="00514F56" w:rsidRPr="00C15922" w:rsidRDefault="00514F56" w:rsidP="00C305D7">
      <w:pPr>
        <w:numPr>
          <w:ilvl w:val="0"/>
          <w:numId w:val="4"/>
        </w:numPr>
        <w:tabs>
          <w:tab w:val="left" w:pos="-1440"/>
          <w:tab w:val="left" w:pos="-720"/>
          <w:tab w:val="left" w:pos="990"/>
        </w:tabs>
        <w:rPr>
          <w:rFonts w:eastAsia="SimSun"/>
          <w:lang w:eastAsia="zh-CN"/>
        </w:rPr>
      </w:pPr>
      <w:r w:rsidRPr="00C15922">
        <w:rPr>
          <w:rFonts w:eastAsia="SimSun"/>
          <w:lang w:eastAsia="zh-CN"/>
        </w:rPr>
        <w:t>Sepsis</w:t>
      </w:r>
    </w:p>
    <w:p w14:paraId="43FFD9A8"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Surgical Site Infection</w:t>
      </w:r>
    </w:p>
    <w:p w14:paraId="494DCEFB"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 xml:space="preserve">Surveys – Hospital, </w:t>
      </w:r>
      <w:r w:rsidR="004762D5" w:rsidRPr="00C15922">
        <w:rPr>
          <w:rFonts w:eastAsia="SimSun"/>
          <w:lang w:eastAsia="zh-CN"/>
        </w:rPr>
        <w:t>LTAC, IRF, and Dialysis</w:t>
      </w:r>
    </w:p>
    <w:p w14:paraId="490A61ED"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Ventilator-Associated Event</w:t>
      </w:r>
    </w:p>
    <w:p w14:paraId="2E5BACC5"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 xml:space="preserve">Ventilator-Associated Pneumonia </w:t>
      </w:r>
    </w:p>
    <w:p w14:paraId="0DFFDC15" w14:textId="77777777" w:rsidR="002F574F" w:rsidRPr="00C15922" w:rsidRDefault="002F574F" w:rsidP="002F574F">
      <w:pPr>
        <w:pStyle w:val="NoSpacing"/>
        <w:sectPr w:rsidR="002F574F" w:rsidRPr="00C15922" w:rsidSect="0026129E">
          <w:footerReference w:type="default" r:id="rId8"/>
          <w:pgSz w:w="12240" w:h="15840"/>
          <w:pgMar w:top="1440" w:right="1440" w:bottom="1440" w:left="1440" w:header="720" w:footer="720" w:gutter="0"/>
          <w:cols w:space="720"/>
          <w:docGrid w:linePitch="360"/>
        </w:sectPr>
      </w:pPr>
    </w:p>
    <w:p w14:paraId="2BAAD54A" w14:textId="77777777" w:rsidR="00D830F2" w:rsidRPr="00C15922" w:rsidRDefault="00D830F2" w:rsidP="00D830F2">
      <w:pPr>
        <w:pStyle w:val="NoSpacing"/>
        <w:jc w:val="center"/>
        <w:rPr>
          <w:b/>
          <w:sz w:val="26"/>
          <w:szCs w:val="26"/>
        </w:rPr>
      </w:pPr>
      <w:r w:rsidRPr="00C15922">
        <w:rPr>
          <w:b/>
          <w:sz w:val="26"/>
          <w:szCs w:val="26"/>
        </w:rPr>
        <w:lastRenderedPageBreak/>
        <w:t>OMB No. 0920-0666</w:t>
      </w:r>
    </w:p>
    <w:p w14:paraId="53C5528C" w14:textId="77777777" w:rsidR="00D830F2" w:rsidRPr="00C15922" w:rsidRDefault="00D830F2" w:rsidP="00D830F2">
      <w:pPr>
        <w:pStyle w:val="NoSpacing"/>
        <w:jc w:val="center"/>
        <w:rPr>
          <w:b/>
          <w:bCs/>
          <w:sz w:val="26"/>
          <w:szCs w:val="26"/>
        </w:rPr>
      </w:pPr>
      <w:r w:rsidRPr="00C15922">
        <w:rPr>
          <w:b/>
          <w:bCs/>
          <w:sz w:val="26"/>
          <w:szCs w:val="26"/>
        </w:rPr>
        <w:t>National Healthcare Safety Network (NHSN)</w:t>
      </w:r>
    </w:p>
    <w:p w14:paraId="53FC9675" w14:textId="7C8BFB08" w:rsidR="00D830F2" w:rsidRPr="00C15922" w:rsidRDefault="00D830F2" w:rsidP="00D830F2">
      <w:pPr>
        <w:pStyle w:val="NoSpacing"/>
        <w:jc w:val="center"/>
        <w:rPr>
          <w:b/>
          <w:sz w:val="26"/>
          <w:szCs w:val="26"/>
        </w:rPr>
      </w:pPr>
      <w:r w:rsidRPr="00C15922">
        <w:rPr>
          <w:b/>
          <w:sz w:val="26"/>
          <w:szCs w:val="26"/>
        </w:rPr>
        <w:t xml:space="preserve">Revision Request, </w:t>
      </w:r>
      <w:r w:rsidR="00CC7549">
        <w:rPr>
          <w:b/>
          <w:sz w:val="26"/>
          <w:szCs w:val="26"/>
        </w:rPr>
        <w:t>April 2018</w:t>
      </w:r>
    </w:p>
    <w:p w14:paraId="1C24D8ED" w14:textId="77777777" w:rsidR="0026129E" w:rsidRPr="00C15922" w:rsidRDefault="0026129E"/>
    <w:p w14:paraId="4CA2CE72" w14:textId="77777777" w:rsidR="00D830F2" w:rsidRPr="00C15922" w:rsidRDefault="00D830F2" w:rsidP="00D830F2">
      <w:pPr>
        <w:pStyle w:val="NoSpacing"/>
        <w:rPr>
          <w:b/>
        </w:rPr>
      </w:pPr>
      <w:r w:rsidRPr="00C15922">
        <w:rPr>
          <w:b/>
        </w:rPr>
        <w:t>B.</w:t>
      </w:r>
      <w:r w:rsidRPr="00C15922">
        <w:rPr>
          <w:b/>
        </w:rPr>
        <w:tab/>
        <w:t>Collections of Information Employing Statistical Methods</w:t>
      </w:r>
    </w:p>
    <w:p w14:paraId="1CD6B6CB" w14:textId="77777777" w:rsidR="00D830F2" w:rsidRPr="00C15922" w:rsidRDefault="00D830F2" w:rsidP="00D830F2">
      <w:pPr>
        <w:pStyle w:val="NoSpacing"/>
      </w:pPr>
    </w:p>
    <w:p w14:paraId="742F593E" w14:textId="77777777" w:rsidR="00D830F2" w:rsidRPr="00C15922" w:rsidRDefault="00D830F2" w:rsidP="00D830F2">
      <w:pPr>
        <w:pStyle w:val="NoSpacing"/>
        <w:rPr>
          <w:b/>
        </w:rPr>
      </w:pPr>
      <w:r w:rsidRPr="00C15922">
        <w:rPr>
          <w:b/>
        </w:rPr>
        <w:t>1.</w:t>
      </w:r>
      <w:r w:rsidRPr="00C15922">
        <w:rPr>
          <w:b/>
        </w:rPr>
        <w:tab/>
        <w:t>Respondent Universe and Sampling Methods</w:t>
      </w:r>
    </w:p>
    <w:p w14:paraId="577F9503" w14:textId="6C31E4BA" w:rsidR="003E1D78" w:rsidRPr="00C15922" w:rsidRDefault="003E1D78" w:rsidP="003E1D78">
      <w:pPr>
        <w:ind w:firstLine="720"/>
      </w:pPr>
      <w:r w:rsidRPr="00C15922">
        <w:t>NHSN is an ongoing surveillance system that does not employ probability sampling methods for selecting participating hospitals. The respondent universe for NHSN is potentially all institutions in the United States that provide healthcare, including</w:t>
      </w:r>
      <w:r w:rsidR="00C77E3D" w:rsidRPr="00C15922">
        <w:t>,</w:t>
      </w:r>
      <w:r w:rsidR="00DE3B5B" w:rsidRPr="00C15922">
        <w:t xml:space="preserve"> but not limited to</w:t>
      </w:r>
      <w:r w:rsidR="00C77E3D" w:rsidRPr="00C15922">
        <w:t>,</w:t>
      </w:r>
      <w:r w:rsidRPr="00C15922">
        <w:t xml:space="preserve"> acute or long-term care facilities,</w:t>
      </w:r>
      <w:r w:rsidR="00B8440E" w:rsidRPr="00C15922">
        <w:t xml:space="preserve"> </w:t>
      </w:r>
      <w:r w:rsidR="00B8440E" w:rsidRPr="002752F3">
        <w:rPr>
          <w:noProof/>
        </w:rPr>
        <w:t>long</w:t>
      </w:r>
      <w:r w:rsidR="002752F3" w:rsidRPr="002752F3">
        <w:rPr>
          <w:noProof/>
        </w:rPr>
        <w:t>-</w:t>
      </w:r>
      <w:r w:rsidR="00B8440E" w:rsidRPr="002752F3">
        <w:rPr>
          <w:noProof/>
        </w:rPr>
        <w:t>term</w:t>
      </w:r>
      <w:r w:rsidR="00B8440E" w:rsidRPr="00C15922">
        <w:t xml:space="preserve"> acute care facilities,</w:t>
      </w:r>
      <w:r w:rsidRPr="00C15922">
        <w:t xml:space="preserve"> </w:t>
      </w:r>
      <w:r w:rsidR="00DE3B5B" w:rsidRPr="00C15922">
        <w:t>oncology facilities, inpatient rehabilitation facilities,</w:t>
      </w:r>
      <w:r w:rsidR="00B8440E" w:rsidRPr="00C15922">
        <w:t xml:space="preserve"> inpatient psychiatric facilities,</w:t>
      </w:r>
      <w:r w:rsidR="00DE3B5B" w:rsidRPr="00C15922">
        <w:t xml:space="preserve"> </w:t>
      </w:r>
      <w:r w:rsidRPr="00C15922">
        <w:t>outpatient dialysis centers,</w:t>
      </w:r>
      <w:r w:rsidR="00DE3B5B" w:rsidRPr="00C15922">
        <w:t xml:space="preserve"> and</w:t>
      </w:r>
      <w:r w:rsidRPr="00C15922">
        <w:t xml:space="preserve"> ambulatory surgery centers. </w:t>
      </w:r>
      <w:r w:rsidR="00C77E3D" w:rsidRPr="00C15922">
        <w:t>According to the</w:t>
      </w:r>
      <w:r w:rsidR="00382A6A" w:rsidRPr="00C15922">
        <w:t xml:space="preserve"> March 201</w:t>
      </w:r>
      <w:r w:rsidR="00C051E5" w:rsidRPr="00C15922">
        <w:t>6</w:t>
      </w:r>
      <w:r w:rsidR="00382A6A" w:rsidRPr="00C15922">
        <w:t xml:space="preserve"> Medicare Payment Advisory Commission Report to Congress on the Medicare Payment Policy (</w:t>
      </w:r>
      <w:hyperlink r:id="rId9" w:history="1">
        <w:r w:rsidR="00C051E5" w:rsidRPr="00C15922">
          <w:rPr>
            <w:rStyle w:val="Hyperlink"/>
          </w:rPr>
          <w:t>http://www.medpac.gov/documents/reports/march-2016-report-to-the-congress-medicare-payment-policy.pdf?sfvrsn=2</w:t>
        </w:r>
      </w:hyperlink>
      <w:r w:rsidR="00382A6A" w:rsidRPr="00C15922">
        <w:t>)</w:t>
      </w:r>
      <w:r w:rsidR="00C051E5" w:rsidRPr="00C15922">
        <w:t>, in 2014</w:t>
      </w:r>
      <w:r w:rsidR="00382A6A" w:rsidRPr="00C15922">
        <w:t xml:space="preserve"> </w:t>
      </w:r>
      <w:r w:rsidR="00C77E3D" w:rsidRPr="00C15922">
        <w:t xml:space="preserve">there </w:t>
      </w:r>
      <w:r w:rsidR="00AC3B57" w:rsidRPr="00C15922">
        <w:t>were</w:t>
      </w:r>
      <w:r w:rsidR="00EC264F" w:rsidRPr="00C15922">
        <w:t xml:space="preserve"> roughly </w:t>
      </w:r>
      <w:r w:rsidR="00382A6A" w:rsidRPr="00C15922">
        <w:t>4,700</w:t>
      </w:r>
      <w:r w:rsidR="00EC264F" w:rsidRPr="00C15922">
        <w:t xml:space="preserve"> acute care facilities, 6,</w:t>
      </w:r>
      <w:r w:rsidR="00AA7EFB" w:rsidRPr="00C15922">
        <w:t>3</w:t>
      </w:r>
      <w:r w:rsidR="00EC264F" w:rsidRPr="00C15922">
        <w:t>00 dialysis facilities, 2</w:t>
      </w:r>
      <w:r w:rsidR="00AA7EFB" w:rsidRPr="00C15922">
        <w:t>51</w:t>
      </w:r>
      <w:r w:rsidR="00EC264F" w:rsidRPr="00C15922">
        <w:t xml:space="preserve"> free-standing inpatient rehabilitation facilities (IRFs), </w:t>
      </w:r>
      <w:r w:rsidR="00AA7EFB" w:rsidRPr="00C15922">
        <w:t>391</w:t>
      </w:r>
      <w:r w:rsidR="00EC264F" w:rsidRPr="00C15922">
        <w:t xml:space="preserve"> long-term acute care facilities (LTAC/LTCHs), </w:t>
      </w:r>
      <w:r w:rsidR="00382A6A" w:rsidRPr="00C15922">
        <w:t>5,</w:t>
      </w:r>
      <w:r w:rsidR="00C051E5" w:rsidRPr="00C15922">
        <w:t>400</w:t>
      </w:r>
      <w:r w:rsidR="00EC264F" w:rsidRPr="00C15922">
        <w:t xml:space="preserve"> ambulatory surgery centers (ASCs), and over 1</w:t>
      </w:r>
      <w:r w:rsidR="00382A6A" w:rsidRPr="00C15922">
        <w:t>5</w:t>
      </w:r>
      <w:r w:rsidR="00EC264F" w:rsidRPr="00C15922">
        <w:t>,000 long-term care and skilled nursing facilities (LTCFs)</w:t>
      </w:r>
      <w:r w:rsidR="00382A6A" w:rsidRPr="00C15922">
        <w:t xml:space="preserve"> that billed for Medicare </w:t>
      </w:r>
      <w:r w:rsidR="00A75B05" w:rsidRPr="00C15922">
        <w:t>reimbursement</w:t>
      </w:r>
      <w:r w:rsidR="00EC264F" w:rsidRPr="00C15922">
        <w:t xml:space="preserve">. </w:t>
      </w:r>
      <w:r w:rsidR="00C77E3D" w:rsidRPr="00C15922">
        <w:t xml:space="preserve"> </w:t>
      </w:r>
    </w:p>
    <w:p w14:paraId="7666218C" w14:textId="6193540E" w:rsidR="00AA7EFB" w:rsidRPr="00C15922" w:rsidRDefault="00AA7EFB" w:rsidP="00DE3B5B">
      <w:pPr>
        <w:pStyle w:val="NoSpacing"/>
        <w:ind w:firstLine="720"/>
      </w:pPr>
      <w:r w:rsidRPr="003071C4">
        <w:rPr>
          <w:highlight w:val="yellow"/>
        </w:rPr>
        <w:t xml:space="preserve">As of </w:t>
      </w:r>
      <w:r w:rsidR="007E7E18" w:rsidRPr="003071C4">
        <w:rPr>
          <w:highlight w:val="yellow"/>
        </w:rPr>
        <w:t>April 201</w:t>
      </w:r>
      <w:r w:rsidR="00D9253D" w:rsidRPr="003071C4">
        <w:rPr>
          <w:highlight w:val="yellow"/>
        </w:rPr>
        <w:t>9</w:t>
      </w:r>
      <w:r w:rsidRPr="003071C4">
        <w:rPr>
          <w:highlight w:val="yellow"/>
        </w:rPr>
        <w:t xml:space="preserve">, </w:t>
      </w:r>
      <w:r w:rsidR="003071C4" w:rsidRPr="007C367C">
        <w:rPr>
          <w:highlight w:val="yellow"/>
        </w:rPr>
        <w:t>enrollment in NHSN has continuously increased, with over 25,000 enrolled healthcare facilities and 21,700 actively reporting healthcare facilities across the U.S. Of these, there are over 5,000 acute care facilities, 7,800 dialysis facilities, 600 long-term acute care facilities, 1,100 inpatient rehabilitation facilities, 800 inpatient psychiatric facilities, 3,100 long-term care facilities, and 6,000 ambulatory surgery facilities.</w:t>
      </w:r>
      <w:r w:rsidR="003071C4" w:rsidRPr="003071C4">
        <w:t xml:space="preserve"> </w:t>
      </w:r>
    </w:p>
    <w:p w14:paraId="4721DD3D" w14:textId="77777777" w:rsidR="00D830F2" w:rsidRPr="00C15922" w:rsidRDefault="00D830F2" w:rsidP="00D830F2">
      <w:pPr>
        <w:pStyle w:val="NoSpacing"/>
        <w:rPr>
          <w:b/>
        </w:rPr>
      </w:pPr>
      <w:r w:rsidRPr="00C15922">
        <w:rPr>
          <w:b/>
        </w:rPr>
        <w:t>2.</w:t>
      </w:r>
      <w:r w:rsidRPr="00C15922">
        <w:rPr>
          <w:b/>
        </w:rPr>
        <w:tab/>
        <w:t>Procedures for the Collection of Information</w:t>
      </w:r>
    </w:p>
    <w:p w14:paraId="79313DDB" w14:textId="7543705E" w:rsidR="00673D8E" w:rsidRPr="00C15922" w:rsidRDefault="00673D8E" w:rsidP="00673D8E">
      <w:pPr>
        <w:pStyle w:val="NoSpacing"/>
        <w:ind w:firstLine="720"/>
      </w:pPr>
      <w:r w:rsidRPr="00C15922">
        <w:t xml:space="preserve">NHSN data collection methods vary by component and event type under surveillance as chosen by the participating facility. For example, many facilities opt to </w:t>
      </w:r>
      <w:r w:rsidR="00D42C8E">
        <w:t>conduct</w:t>
      </w:r>
      <w:r w:rsidRPr="00C15922">
        <w:t xml:space="preserve"> surveillance for </w:t>
      </w:r>
      <w:r w:rsidR="007E1DC5" w:rsidRPr="00C15922">
        <w:t>ventilator-</w:t>
      </w:r>
      <w:r w:rsidRPr="00C15922">
        <w:t xml:space="preserve">associated </w:t>
      </w:r>
      <w:r w:rsidR="007E1DC5" w:rsidRPr="00C15922">
        <w:t>events (VAE</w:t>
      </w:r>
      <w:r w:rsidRPr="00C15922">
        <w:t xml:space="preserve">) in ICUs only, while facilities participating in transfusion safety surveillance, or hemovigilance, must monitor blood transfusions facility-wide. Denominator data (central line days, ventilator days, units of blood components transfused, etc.) </w:t>
      </w:r>
      <w:r w:rsidRPr="0021098B">
        <w:rPr>
          <w:noProof/>
        </w:rPr>
        <w:t>are entered</w:t>
      </w:r>
      <w:r w:rsidRPr="00C15922">
        <w:t xml:space="preserve"> on a monthly basis. Event data (CLABSI, surgical site infections, transfusion-associated lung injury</w:t>
      </w:r>
      <w:r w:rsidR="007E1DC5" w:rsidRPr="00C15922">
        <w:t>, etc.</w:t>
      </w:r>
      <w:r w:rsidRPr="00C15922">
        <w:t xml:space="preserve">) are collected and entered on a per-event basis. Each event must meet the case definitions provided in the surveillance protocols. Collection of information methods </w:t>
      </w:r>
      <w:r w:rsidRPr="0021098B">
        <w:rPr>
          <w:noProof/>
        </w:rPr>
        <w:t>are explained</w:t>
      </w:r>
      <w:r w:rsidRPr="00C15922">
        <w:t xml:space="preserve"> in detail in the surv</w:t>
      </w:r>
      <w:r w:rsidR="00AC3028" w:rsidRPr="00C15922">
        <w:t xml:space="preserve">eillance protocols (Attachment </w:t>
      </w:r>
      <w:r w:rsidR="006A72BC" w:rsidRPr="00C15922">
        <w:t>G</w:t>
      </w:r>
      <w:r w:rsidRPr="00C15922">
        <w:t>).</w:t>
      </w:r>
    </w:p>
    <w:p w14:paraId="711EEC72" w14:textId="77777777" w:rsidR="00D830F2" w:rsidRPr="00C15922" w:rsidRDefault="00D830F2" w:rsidP="00D830F2">
      <w:pPr>
        <w:pStyle w:val="NoSpacing"/>
      </w:pPr>
    </w:p>
    <w:p w14:paraId="4A61D536" w14:textId="77777777" w:rsidR="00D830F2" w:rsidRPr="00C15922" w:rsidRDefault="00D830F2" w:rsidP="00D830F2">
      <w:pPr>
        <w:pStyle w:val="NoSpacing"/>
        <w:rPr>
          <w:b/>
        </w:rPr>
      </w:pPr>
      <w:r w:rsidRPr="00C15922">
        <w:rPr>
          <w:b/>
        </w:rPr>
        <w:t>3.</w:t>
      </w:r>
      <w:r w:rsidRPr="00C15922">
        <w:rPr>
          <w:b/>
        </w:rPr>
        <w:tab/>
        <w:t>Methods to Maximize Response Rates and Deal with No response</w:t>
      </w:r>
    </w:p>
    <w:p w14:paraId="263D65F1" w14:textId="1F50840B" w:rsidR="00673D8E" w:rsidRPr="00C15922" w:rsidRDefault="00673D8E" w:rsidP="00673D8E">
      <w:pPr>
        <w:pStyle w:val="NoSpacing"/>
        <w:ind w:firstLine="720"/>
      </w:pPr>
      <w:r w:rsidRPr="00C15922">
        <w:t>Participation in NHSN is open to all healthcare institutions with patient population groups that are addressed by the NHSN modules. Participating institutions have complete autonomy on</w:t>
      </w:r>
      <w:r w:rsidR="002752F3">
        <w:t xml:space="preserve"> the</w:t>
      </w:r>
      <w:r w:rsidRPr="00C15922">
        <w:t xml:space="preserve"> </w:t>
      </w:r>
      <w:r w:rsidRPr="002752F3">
        <w:rPr>
          <w:noProof/>
        </w:rPr>
        <w:t>choice</w:t>
      </w:r>
      <w:r w:rsidRPr="00C15922">
        <w:t xml:space="preserve"> of modules to use</w:t>
      </w:r>
      <w:r w:rsidR="00CF06DD">
        <w:t>,</w:t>
      </w:r>
      <w:r w:rsidRPr="00C15922">
        <w:t xml:space="preserve"> </w:t>
      </w:r>
      <w:r w:rsidRPr="0021098B">
        <w:rPr>
          <w:noProof/>
        </w:rPr>
        <w:t>and</w:t>
      </w:r>
      <w:r w:rsidRPr="00C15922">
        <w:t xml:space="preserve"> modules </w:t>
      </w:r>
      <w:r w:rsidRPr="0021098B">
        <w:rPr>
          <w:noProof/>
        </w:rPr>
        <w:t>are reported</w:t>
      </w:r>
      <w:r w:rsidRPr="00C15922">
        <w:t xml:space="preserve"> each year. </w:t>
      </w:r>
      <w:r w:rsidRPr="0021098B">
        <w:rPr>
          <w:noProof/>
        </w:rPr>
        <w:t>This</w:t>
      </w:r>
      <w:r w:rsidRPr="00C15922">
        <w:t xml:space="preserve"> is unchanged from the original application for OMB approval of NHSN. Healthcare institutions must apply for membership in NHSN by completing a series of forms that include identifying and contact information and agree to collect and report data using the NHSN protocols. However, many stakeholders external to CDC encourage or require participation in NHSN for varying purposes. The flexibility of NHSN that permits healthcare institutions to choose from a wide array of options while participating in a national surveillance system that will permit them to comply with accreditation requirements and provide confidentiality to them and their patients </w:t>
      </w:r>
      <w:r w:rsidRPr="002752F3">
        <w:rPr>
          <w:noProof/>
        </w:rPr>
        <w:t>ha</w:t>
      </w:r>
      <w:r w:rsidR="002752F3">
        <w:rPr>
          <w:noProof/>
        </w:rPr>
        <w:t>ve</w:t>
      </w:r>
      <w:r w:rsidRPr="00C15922">
        <w:t xml:space="preserve"> resulted in increasing numbers of participants. Three examples </w:t>
      </w:r>
      <w:r w:rsidRPr="0021098B">
        <w:rPr>
          <w:noProof/>
        </w:rPr>
        <w:t>are provided</w:t>
      </w:r>
      <w:r w:rsidRPr="00C15922">
        <w:t xml:space="preserve"> below.</w:t>
      </w:r>
    </w:p>
    <w:p w14:paraId="1C7C828E" w14:textId="77777777" w:rsidR="00673D8E" w:rsidRPr="00F95666" w:rsidRDefault="00673D8E" w:rsidP="00673D8E">
      <w:pPr>
        <w:pStyle w:val="NoSpacing"/>
      </w:pPr>
    </w:p>
    <w:p w14:paraId="6FA9374F" w14:textId="1D985DBE" w:rsidR="00673D8E" w:rsidRPr="007C367C" w:rsidRDefault="00673D8E" w:rsidP="00CC7549">
      <w:pPr>
        <w:pStyle w:val="NoSpacing"/>
        <w:numPr>
          <w:ilvl w:val="0"/>
          <w:numId w:val="1"/>
        </w:numPr>
        <w:rPr>
          <w:highlight w:val="yellow"/>
        </w:rPr>
      </w:pPr>
      <w:r w:rsidRPr="007C367C">
        <w:rPr>
          <w:highlight w:val="yellow"/>
        </w:rPr>
        <w:t xml:space="preserve">As of </w:t>
      </w:r>
      <w:r w:rsidR="00CC7549" w:rsidRPr="007C367C">
        <w:rPr>
          <w:highlight w:val="yellow"/>
        </w:rPr>
        <w:t>March</w:t>
      </w:r>
      <w:r w:rsidR="00AA7EFB" w:rsidRPr="007C367C">
        <w:rPr>
          <w:highlight w:val="yellow"/>
        </w:rPr>
        <w:t xml:space="preserve"> 201</w:t>
      </w:r>
      <w:r w:rsidR="00D9253D" w:rsidRPr="007C367C">
        <w:rPr>
          <w:highlight w:val="yellow"/>
        </w:rPr>
        <w:t>9</w:t>
      </w:r>
      <w:r w:rsidR="007E2DFD" w:rsidRPr="007C367C">
        <w:rPr>
          <w:highlight w:val="yellow"/>
        </w:rPr>
        <w:t>, 3</w:t>
      </w:r>
      <w:r w:rsidR="00CC7549" w:rsidRPr="007C367C">
        <w:rPr>
          <w:highlight w:val="yellow"/>
        </w:rPr>
        <w:t>6</w:t>
      </w:r>
      <w:r w:rsidRPr="007C367C">
        <w:rPr>
          <w:highlight w:val="yellow"/>
        </w:rPr>
        <w:t xml:space="preserve"> states</w:t>
      </w:r>
      <w:r w:rsidR="00F95666" w:rsidRPr="007C367C">
        <w:rPr>
          <w:highlight w:val="yellow"/>
        </w:rPr>
        <w:t>,</w:t>
      </w:r>
      <w:r w:rsidR="00CC7549" w:rsidRPr="007C367C">
        <w:rPr>
          <w:highlight w:val="yellow"/>
        </w:rPr>
        <w:t xml:space="preserve"> the District of Columbia</w:t>
      </w:r>
      <w:r w:rsidR="00F95666" w:rsidRPr="007C367C">
        <w:rPr>
          <w:highlight w:val="yellow"/>
        </w:rPr>
        <w:t>,</w:t>
      </w:r>
      <w:r w:rsidR="00CC7549" w:rsidRPr="007C367C">
        <w:rPr>
          <w:highlight w:val="yellow"/>
        </w:rPr>
        <w:t xml:space="preserve"> </w:t>
      </w:r>
      <w:r w:rsidR="00F95666" w:rsidRPr="007C367C">
        <w:rPr>
          <w:highlight w:val="yellow"/>
        </w:rPr>
        <w:t xml:space="preserve">and </w:t>
      </w:r>
      <w:r w:rsidR="00CC7549" w:rsidRPr="007C367C">
        <w:rPr>
          <w:highlight w:val="yellow"/>
        </w:rPr>
        <w:t>Philadelphia</w:t>
      </w:r>
      <w:r w:rsidR="00784B0C" w:rsidRPr="007C367C">
        <w:rPr>
          <w:highlight w:val="yellow"/>
        </w:rPr>
        <w:t xml:space="preserve"> </w:t>
      </w:r>
      <w:r w:rsidRPr="007C367C">
        <w:rPr>
          <w:highlight w:val="yellow"/>
        </w:rPr>
        <w:t>require facilities in their jurisdictions to join NHSN to c</w:t>
      </w:r>
      <w:r w:rsidR="00F23FE4" w:rsidRPr="007C367C">
        <w:rPr>
          <w:highlight w:val="yellow"/>
        </w:rPr>
        <w:t xml:space="preserve">omply with legal requirements – </w:t>
      </w:r>
      <w:r w:rsidRPr="007C367C">
        <w:rPr>
          <w:highlight w:val="yellow"/>
        </w:rPr>
        <w:t xml:space="preserve">including but not limited to state or federal laws, regulations, or other requirements – for mandatory reporting of healthcare facility-specific adverse event, prevention practice adherence, and other public health purposes. </w:t>
      </w:r>
    </w:p>
    <w:p w14:paraId="49BBB49B" w14:textId="77777777" w:rsidR="00673D8E" w:rsidRPr="00C15922" w:rsidRDefault="00673D8E" w:rsidP="00AA7EFB">
      <w:pPr>
        <w:pStyle w:val="NoSpacing"/>
        <w:ind w:left="720"/>
      </w:pPr>
    </w:p>
    <w:p w14:paraId="410C6F28" w14:textId="77777777" w:rsidR="00673D8E" w:rsidRPr="00C15922" w:rsidRDefault="00673D8E" w:rsidP="00AA7EFB">
      <w:pPr>
        <w:pStyle w:val="NoSpacing"/>
        <w:numPr>
          <w:ilvl w:val="0"/>
          <w:numId w:val="1"/>
        </w:numPr>
      </w:pPr>
      <w:r w:rsidRPr="00C15922">
        <w:t>The U.S. Center</w:t>
      </w:r>
      <w:r w:rsidR="00153CBB" w:rsidRPr="00C15922">
        <w:t>s</w:t>
      </w:r>
      <w:r w:rsidRPr="00C15922">
        <w:t xml:space="preserve"> for Medicare and Medicaid Services (CMS) has identified NHSN as the surveillance mechanism to enable healthcare facilities to report HAI and prevention practice adherence data in fulfillment of CMS’s quality measurement reporting requirements for those data. </w:t>
      </w:r>
    </w:p>
    <w:p w14:paraId="15112B00" w14:textId="77777777" w:rsidR="00673D8E" w:rsidRPr="00C15922" w:rsidRDefault="00673D8E" w:rsidP="00AA7EFB">
      <w:pPr>
        <w:pStyle w:val="NoSpacing"/>
        <w:ind w:left="720"/>
      </w:pPr>
    </w:p>
    <w:p w14:paraId="4EAB4DD4" w14:textId="2BC4B109" w:rsidR="00673D8E" w:rsidRDefault="00673D8E" w:rsidP="00AA7EFB">
      <w:pPr>
        <w:pStyle w:val="NoSpacing"/>
        <w:numPr>
          <w:ilvl w:val="0"/>
          <w:numId w:val="1"/>
        </w:numPr>
      </w:pPr>
      <w:r w:rsidRPr="00C15922">
        <w:t>Hospitals accredited by The Joint Commission (TJC) are required to conduct ongoing hospital infection surveillance</w:t>
      </w:r>
      <w:r w:rsidR="00CF06DD">
        <w:t>,</w:t>
      </w:r>
      <w:r w:rsidRPr="00C15922">
        <w:t xml:space="preserve"> </w:t>
      </w:r>
      <w:r w:rsidRPr="0021098B">
        <w:rPr>
          <w:noProof/>
        </w:rPr>
        <w:t>but</w:t>
      </w:r>
      <w:r w:rsidRPr="00C15922">
        <w:t xml:space="preserve"> the surveillance methodology or patient groups to be included in the surveillance are not specified. The Joint Commission accepts participation in NHSN to satisfy their surveillance requirements.</w:t>
      </w:r>
    </w:p>
    <w:p w14:paraId="45963871" w14:textId="77777777" w:rsidR="002752F3" w:rsidRDefault="002752F3" w:rsidP="002752F3">
      <w:pPr>
        <w:pStyle w:val="ListParagraph"/>
      </w:pPr>
    </w:p>
    <w:p w14:paraId="6A59C572" w14:textId="77777777" w:rsidR="002752F3" w:rsidRPr="00C15922" w:rsidRDefault="002752F3" w:rsidP="002752F3">
      <w:pPr>
        <w:pStyle w:val="NoSpacing"/>
        <w:ind w:left="720"/>
      </w:pPr>
    </w:p>
    <w:p w14:paraId="4C34BB71" w14:textId="18DA2C32" w:rsidR="00673D8E" w:rsidRPr="00C15922" w:rsidRDefault="00D626B5" w:rsidP="00673D8E">
      <w:pPr>
        <w:pStyle w:val="NoSpacing"/>
        <w:ind w:firstLine="720"/>
      </w:pPr>
      <w:r>
        <w:t>Participating facilities submit an annual facility survey</w:t>
      </w:r>
      <w:r w:rsidR="00424591">
        <w:t xml:space="preserve"> to NHSN</w:t>
      </w:r>
      <w:r>
        <w:t>, which provides</w:t>
      </w:r>
      <w:r w:rsidR="00424591">
        <w:t xml:space="preserve"> data</w:t>
      </w:r>
      <w:r>
        <w:t xml:space="preserve"> </w:t>
      </w:r>
      <w:r w:rsidR="00274A1C">
        <w:t xml:space="preserve">factors such as </w:t>
      </w:r>
      <w:r>
        <w:t xml:space="preserve">facility characteristics, laboratory practices, and infection prevention programs. Elements of the survey </w:t>
      </w:r>
      <w:r w:rsidR="00424591">
        <w:t xml:space="preserve">are </w:t>
      </w:r>
      <w:r w:rsidR="008A6F92">
        <w:t xml:space="preserve">considered and used for risk adjustment </w:t>
      </w:r>
      <w:r w:rsidR="00424591">
        <w:t xml:space="preserve">purposes </w:t>
      </w:r>
      <w:r w:rsidR="008A6F92">
        <w:t xml:space="preserve">and </w:t>
      </w:r>
      <w:r w:rsidR="00424591" w:rsidRPr="002752F3">
        <w:rPr>
          <w:noProof/>
        </w:rPr>
        <w:t>enable</w:t>
      </w:r>
      <w:r w:rsidR="00424591">
        <w:t xml:space="preserve"> NHSN to provide</w:t>
      </w:r>
      <w:r w:rsidR="002752F3">
        <w:t xml:space="preserve"> a</w:t>
      </w:r>
      <w:r w:rsidR="00424591">
        <w:t xml:space="preserve"> comparative data on </w:t>
      </w:r>
      <w:r w:rsidR="008A6F92">
        <w:t>like facilities</w:t>
      </w:r>
      <w:r w:rsidR="00222477">
        <w:t xml:space="preserve"> at the national, state, and local levels</w:t>
      </w:r>
      <w:r w:rsidR="008A6F92">
        <w:t>.</w:t>
      </w:r>
      <w:r>
        <w:t xml:space="preserve"> </w:t>
      </w:r>
      <w:r w:rsidR="00673D8E" w:rsidRPr="00C15922">
        <w:t xml:space="preserve">The </w:t>
      </w:r>
      <w:r w:rsidR="00424591">
        <w:t xml:space="preserve">HAI and other healthcare outcome and process </w:t>
      </w:r>
      <w:r w:rsidR="00673D8E" w:rsidRPr="00C15922">
        <w:t>data reported to NHSN are aggregated, summarized, and disseminated to participating facilities and the public through peer-review journal publications</w:t>
      </w:r>
      <w:r w:rsidR="00114E5A">
        <w:t xml:space="preserve"> and CDC publications</w:t>
      </w:r>
      <w:r w:rsidR="00673D8E" w:rsidRPr="00C15922">
        <w:t xml:space="preserve">. Aggregate statistics (pooled means, median event rates, standardized infection ratios, etc.) are built into the NHSN application to allow participating facilities to compare the facility’s data </w:t>
      </w:r>
      <w:r w:rsidR="002D4138">
        <w:t xml:space="preserve">using risk-adjusted measures and </w:t>
      </w:r>
      <w:r w:rsidR="00673D8E" w:rsidRPr="00C15922">
        <w:t xml:space="preserve">with published aggregate statistics. Detailed analysis methods and results can </w:t>
      </w:r>
      <w:r w:rsidR="00673D8E" w:rsidRPr="0021098B">
        <w:rPr>
          <w:noProof/>
        </w:rPr>
        <w:t>be reviewed</w:t>
      </w:r>
      <w:r w:rsidR="00673D8E" w:rsidRPr="00C15922">
        <w:t xml:space="preserve"> in the </w:t>
      </w:r>
      <w:r w:rsidR="008A6F92">
        <w:t xml:space="preserve">National and State HAI Progress </w:t>
      </w:r>
      <w:r w:rsidR="008A6F92" w:rsidRPr="002752F3">
        <w:rPr>
          <w:noProof/>
        </w:rPr>
        <w:t>Report</w:t>
      </w:r>
      <w:r w:rsidR="008A6F92">
        <w:t xml:space="preserve"> as well as </w:t>
      </w:r>
      <w:r w:rsidR="00673D8E" w:rsidRPr="00C15922">
        <w:t xml:space="preserve">NHSN data summary reports published in the </w:t>
      </w:r>
      <w:r w:rsidR="00673D8E" w:rsidRPr="00C15922">
        <w:rPr>
          <w:i/>
        </w:rPr>
        <w:t>American Journal of Infection Control</w:t>
      </w:r>
      <w:r w:rsidR="007E1DC5" w:rsidRPr="00C15922">
        <w:t xml:space="preserve"> and </w:t>
      </w:r>
      <w:r w:rsidR="007E1DC5" w:rsidRPr="00C15922">
        <w:rPr>
          <w:i/>
        </w:rPr>
        <w:t>Infection Control and Hospital Epidemiology</w:t>
      </w:r>
      <w:r w:rsidR="00673D8E" w:rsidRPr="00C15922">
        <w:t xml:space="preserve">, which can </w:t>
      </w:r>
      <w:r w:rsidR="00673D8E" w:rsidRPr="0021098B">
        <w:rPr>
          <w:noProof/>
        </w:rPr>
        <w:t>be found</w:t>
      </w:r>
      <w:r w:rsidR="00673D8E" w:rsidRPr="00C15922">
        <w:t xml:space="preserve"> on the NHSN website: </w:t>
      </w:r>
      <w:hyperlink r:id="rId10" w:history="1">
        <w:r w:rsidR="00673D8E" w:rsidRPr="00C15922">
          <w:rPr>
            <w:rStyle w:val="Hyperlink"/>
          </w:rPr>
          <w:t>http://www.cdc.gov/nhsn/dataStat.html</w:t>
        </w:r>
      </w:hyperlink>
      <w:r w:rsidR="00673D8E" w:rsidRPr="00C15922">
        <w:t xml:space="preserve">. </w:t>
      </w:r>
      <w:r w:rsidR="002D4138">
        <w:t xml:space="preserve">National and State HAI Progress Reports </w:t>
      </w:r>
      <w:r w:rsidR="002752F3">
        <w:rPr>
          <w:noProof/>
        </w:rPr>
        <w:t>hav</w:t>
      </w:r>
      <w:r w:rsidR="002D4138" w:rsidRPr="002752F3">
        <w:rPr>
          <w:noProof/>
        </w:rPr>
        <w:t>e published</w:t>
      </w:r>
      <w:r w:rsidR="002D4138">
        <w:t xml:space="preserve"> annually on the CDC website and provide an assessment of HAI prevention and incidence in the form of standardized infection ratios (SIRs). </w:t>
      </w:r>
      <w:r w:rsidR="00CF06DD">
        <w:rPr>
          <w:noProof/>
        </w:rPr>
        <w:t>Also</w:t>
      </w:r>
      <w:r w:rsidR="002D4138">
        <w:t xml:space="preserve">, these reports include facility SIR distributions, for each HAI and setting, and a temporal comparison at the national and state levels. </w:t>
      </w:r>
      <w:r w:rsidR="00673D8E" w:rsidRPr="00C15922">
        <w:t xml:space="preserve">Similar analyses of the </w:t>
      </w:r>
      <w:r w:rsidR="00E458FF" w:rsidRPr="00C15922">
        <w:t>other NHSN components’</w:t>
      </w:r>
      <w:r w:rsidR="00673D8E" w:rsidRPr="00C15922">
        <w:t xml:space="preserve"> data </w:t>
      </w:r>
      <w:r w:rsidR="00673D8E" w:rsidRPr="0021098B">
        <w:rPr>
          <w:noProof/>
        </w:rPr>
        <w:t>are planned</w:t>
      </w:r>
      <w:r w:rsidR="00673D8E" w:rsidRPr="00C15922">
        <w:t>. CDC has limited ability to make population-based national estimates using these data.</w:t>
      </w:r>
    </w:p>
    <w:p w14:paraId="1E07BB6A" w14:textId="77777777" w:rsidR="00673D8E" w:rsidRPr="00C15922" w:rsidRDefault="00673D8E" w:rsidP="00673D8E">
      <w:pPr>
        <w:pStyle w:val="NoSpacing"/>
      </w:pPr>
    </w:p>
    <w:p w14:paraId="29AD916C" w14:textId="5EC84D5D" w:rsidR="00673D8E" w:rsidRPr="00C15922" w:rsidRDefault="00673D8E" w:rsidP="00673D8E">
      <w:pPr>
        <w:pStyle w:val="NoSpacing"/>
        <w:ind w:firstLine="720"/>
      </w:pPr>
      <w:r w:rsidRPr="00C15922">
        <w:t xml:space="preserve">NHSN is used for a variety of surveillance purposes, including estimates of the magnitude of HAIs, monitoring HAI trends, facilitating interfacility and </w:t>
      </w:r>
      <w:r w:rsidRPr="002752F3">
        <w:rPr>
          <w:noProof/>
        </w:rPr>
        <w:t>intrafacility</w:t>
      </w:r>
      <w:r w:rsidRPr="00C15922">
        <w:t xml:space="preserve"> comparisons with risk-adjusted data, and assisting healthcare facilities in their efforts to identify and respond to patient safety problems. </w:t>
      </w:r>
      <w:r w:rsidRPr="0021098B">
        <w:rPr>
          <w:noProof/>
        </w:rPr>
        <w:t>These purposes, along with other NHSN purposes, are listed comprehensively in the section titled Purpose and Use of Data Collection of the Supporting Statement Part A. Historically and currently, the sample of hospitals participating in NHSN was not selected randomly and might not represent all acute care hospitals in the U.S. As a result, use of NHSN for national estimates of the magnitude of HAIs or national HAI trend analyses must be done with caution and with appropriate caveats.</w:t>
      </w:r>
      <w:r w:rsidRPr="00C15922">
        <w:t xml:space="preserve"> Limitations of NHSN data for HAI magnitude estimates and trend analyses are acknowledged and discussed in individual reports published by CDC. These limitations should </w:t>
      </w:r>
      <w:r w:rsidRPr="0021098B">
        <w:rPr>
          <w:noProof/>
        </w:rPr>
        <w:t>be balanced</w:t>
      </w:r>
      <w:r w:rsidRPr="00C15922">
        <w:t xml:space="preserve"> against strengths of the system for HAI surveillance, including</w:t>
      </w:r>
      <w:r w:rsidR="002752F3">
        <w:t xml:space="preserve"> the</w:t>
      </w:r>
      <w:r w:rsidRPr="00C15922">
        <w:t xml:space="preserve"> </w:t>
      </w:r>
      <w:r w:rsidRPr="002752F3">
        <w:rPr>
          <w:noProof/>
        </w:rPr>
        <w:t>use</w:t>
      </w:r>
      <w:r w:rsidRPr="00C15922">
        <w:t xml:space="preserve"> of a single set of HAI definitions and methods by surveillance staff in hospitals throughout the U.S. and a rapidly increasing number of U.S. hospitals participating in the system. Largely because of state and federal reporting requirements, participation in NHSN has increased to approximate</w:t>
      </w:r>
      <w:r w:rsidR="00153CBB" w:rsidRPr="00C15922">
        <w:t xml:space="preserve">ly </w:t>
      </w:r>
      <w:r w:rsidR="00E81D62" w:rsidRPr="00C15922">
        <w:t>5,000</w:t>
      </w:r>
      <w:r w:rsidR="00153CBB" w:rsidRPr="00C15922">
        <w:t xml:space="preserve"> hospitals in spring 201</w:t>
      </w:r>
      <w:r w:rsidR="00E81D62" w:rsidRPr="00C15922">
        <w:t>6</w:t>
      </w:r>
      <w:r w:rsidRPr="00C15922">
        <w:t xml:space="preserve">, a </w:t>
      </w:r>
      <w:r w:rsidR="00EC264F" w:rsidRPr="00C15922">
        <w:t xml:space="preserve">significant </w:t>
      </w:r>
      <w:r w:rsidRPr="00C15922">
        <w:t xml:space="preserve">rise since the system’s inception in 2005 that includes an influx of smaller hospitals that </w:t>
      </w:r>
      <w:r w:rsidRPr="0021098B">
        <w:rPr>
          <w:noProof/>
        </w:rPr>
        <w:t>were previously underrepresented</w:t>
      </w:r>
      <w:r w:rsidRPr="00C15922">
        <w:t xml:space="preserve">. One consequence is that interfacility comparisons with risk-adjusted data are now possible for a wider range of hospital sizes. Also, </w:t>
      </w:r>
      <w:r w:rsidRPr="002752F3">
        <w:rPr>
          <w:noProof/>
        </w:rPr>
        <w:t>intrafacility</w:t>
      </w:r>
      <w:r w:rsidRPr="00C15922">
        <w:t xml:space="preserve"> comparisons with risk-adjusted data </w:t>
      </w:r>
      <w:r w:rsidRPr="0021098B">
        <w:rPr>
          <w:noProof/>
        </w:rPr>
        <w:t>are strengthened</w:t>
      </w:r>
      <w:r w:rsidRPr="00C15922">
        <w:t xml:space="preserve"> as more data are available to improve the performance of risk models used to </w:t>
      </w:r>
      <w:r w:rsidRPr="0021098B">
        <w:rPr>
          <w:noProof/>
        </w:rPr>
        <w:t>risk adjust</w:t>
      </w:r>
      <w:r w:rsidRPr="00C15922">
        <w:t xml:space="preserve"> outcomes in individual facilities.</w:t>
      </w:r>
    </w:p>
    <w:p w14:paraId="02B0B3C1" w14:textId="77777777" w:rsidR="00D830F2" w:rsidRPr="00C15922" w:rsidRDefault="00D830F2" w:rsidP="00D830F2">
      <w:pPr>
        <w:pStyle w:val="NoSpacing"/>
      </w:pPr>
    </w:p>
    <w:p w14:paraId="4FECAC95" w14:textId="77777777" w:rsidR="00D830F2" w:rsidRPr="00C15922" w:rsidRDefault="00D830F2" w:rsidP="00D830F2">
      <w:pPr>
        <w:pStyle w:val="NoSpacing"/>
        <w:rPr>
          <w:b/>
        </w:rPr>
      </w:pPr>
      <w:r w:rsidRPr="00C15922">
        <w:rPr>
          <w:b/>
        </w:rPr>
        <w:t>4.</w:t>
      </w:r>
      <w:r w:rsidRPr="00C15922">
        <w:rPr>
          <w:b/>
        </w:rPr>
        <w:tab/>
        <w:t>Tests of Procedures or Methods to be Undertaken</w:t>
      </w:r>
    </w:p>
    <w:p w14:paraId="45A5B62F" w14:textId="48ED3E1D" w:rsidR="00673D8E" w:rsidRPr="00C15922" w:rsidRDefault="00673D8E" w:rsidP="00673D8E">
      <w:pPr>
        <w:pStyle w:val="NoSpacing"/>
        <w:ind w:firstLine="720"/>
      </w:pPr>
      <w:r w:rsidRPr="00C15922">
        <w:t xml:space="preserve">NHSN is a surveillance system </w:t>
      </w:r>
      <w:r w:rsidR="000D514D">
        <w:t xml:space="preserve">has </w:t>
      </w:r>
      <w:r w:rsidRPr="00C15922">
        <w:t>integrate</w:t>
      </w:r>
      <w:r w:rsidR="000D514D">
        <w:t>d</w:t>
      </w:r>
      <w:r w:rsidRPr="00C15922">
        <w:t xml:space="preserve"> legacy patient and </w:t>
      </w:r>
      <w:r w:rsidRPr="0021098B">
        <w:rPr>
          <w:noProof/>
        </w:rPr>
        <w:t>healthcare personnel safety surveillance systems</w:t>
      </w:r>
      <w:r w:rsidRPr="00C15922">
        <w:t xml:space="preserve"> managed by the Division of Healthcare Quality Promotion (DHQP) at CDC,</w:t>
      </w:r>
      <w:r w:rsidR="000D514D">
        <w:t xml:space="preserve"> which has</w:t>
      </w:r>
      <w:r w:rsidRPr="00C15922">
        <w:t xml:space="preserve"> served as</w:t>
      </w:r>
      <w:r w:rsidR="00EA1755" w:rsidRPr="00C15922">
        <w:t xml:space="preserve"> </w:t>
      </w:r>
      <w:r w:rsidR="000D514D">
        <w:t xml:space="preserve">the </w:t>
      </w:r>
      <w:r w:rsidR="00EA1755" w:rsidRPr="00C15922">
        <w:t xml:space="preserve">successful pilot tests of the </w:t>
      </w:r>
      <w:r w:rsidRPr="00C15922">
        <w:t>NHSN surveillance methods. Those systems were the National Nosocomial Infection Surveillance (NNIS) system, the National Surveillance System for Healthcare Workers (NaSH), and the Dialysis Surveillance Network (DSN).</w:t>
      </w:r>
    </w:p>
    <w:p w14:paraId="014B02B1" w14:textId="77777777" w:rsidR="00D830F2" w:rsidRPr="00C15922" w:rsidRDefault="00D830F2" w:rsidP="00D830F2">
      <w:pPr>
        <w:pStyle w:val="NoSpacing"/>
      </w:pPr>
    </w:p>
    <w:p w14:paraId="35B2FD12" w14:textId="454CD14F" w:rsidR="00D830F2" w:rsidRPr="00C15922" w:rsidRDefault="00D830F2" w:rsidP="00D830F2">
      <w:pPr>
        <w:pStyle w:val="NoSpacing"/>
        <w:rPr>
          <w:b/>
        </w:rPr>
      </w:pPr>
      <w:r w:rsidRPr="00C15922">
        <w:rPr>
          <w:b/>
        </w:rPr>
        <w:t>5.</w:t>
      </w:r>
      <w:r w:rsidRPr="00C15922">
        <w:rPr>
          <w:b/>
        </w:rPr>
        <w:tab/>
        <w:t xml:space="preserve">Individuals Consulted on Statistical Aspects and Individuals Collecting </w:t>
      </w:r>
      <w:r w:rsidRPr="0021098B">
        <w:rPr>
          <w:b/>
          <w:noProof/>
        </w:rPr>
        <w:t>and</w:t>
      </w:r>
      <w:r w:rsidRPr="00C15922">
        <w:rPr>
          <w:b/>
        </w:rPr>
        <w:t xml:space="preserve"> Analyzing Data</w:t>
      </w:r>
    </w:p>
    <w:p w14:paraId="2EA35AEE" w14:textId="4D7277A5" w:rsidR="00673D8E" w:rsidRPr="00673D8E" w:rsidRDefault="00673D8E" w:rsidP="00673D8E">
      <w:pPr>
        <w:pStyle w:val="NoSpacing"/>
        <w:ind w:firstLine="720"/>
      </w:pPr>
      <w:r w:rsidRPr="00C15922">
        <w:t xml:space="preserve">It is the responsibility of the CDC Division of Healthcare Quality Promotion, Surveillance Branch staff to manage and analyze data collected through NHSN. </w:t>
      </w:r>
      <w:r w:rsidR="00CF06DD">
        <w:rPr>
          <w:noProof/>
        </w:rPr>
        <w:t>Also</w:t>
      </w:r>
      <w:r w:rsidRPr="00C15922">
        <w:t xml:space="preserve">, facilities and groups of facilities (quality improvement organizations, state health departments, prevention collaborative) </w:t>
      </w:r>
      <w:r w:rsidR="00CF06DD">
        <w:rPr>
          <w:noProof/>
        </w:rPr>
        <w:t>can</w:t>
      </w:r>
      <w:r w:rsidRPr="00C15922">
        <w:t xml:space="preserve"> analyze their data for their purposes.</w:t>
      </w:r>
    </w:p>
    <w:p w14:paraId="4BE43507" w14:textId="77777777" w:rsidR="00673D8E" w:rsidRPr="00D830F2" w:rsidRDefault="00673D8E" w:rsidP="00D830F2">
      <w:pPr>
        <w:pStyle w:val="NoSpacing"/>
        <w:rPr>
          <w:b/>
        </w:rPr>
      </w:pPr>
    </w:p>
    <w:sectPr w:rsidR="00673D8E" w:rsidRPr="00D830F2" w:rsidSect="002612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AA692" w14:textId="77777777" w:rsidR="00B2717C" w:rsidRPr="0038354A" w:rsidRDefault="00B2717C" w:rsidP="00D830F2">
      <w:pPr>
        <w:rPr>
          <w:rFonts w:eastAsia="Times New Roman"/>
        </w:rPr>
      </w:pPr>
      <w:r>
        <w:separator/>
      </w:r>
    </w:p>
  </w:endnote>
  <w:endnote w:type="continuationSeparator" w:id="0">
    <w:p w14:paraId="196B40C9" w14:textId="77777777" w:rsidR="00B2717C" w:rsidRPr="0038354A" w:rsidRDefault="00B2717C" w:rsidP="00D830F2">
      <w:pPr>
        <w:rPr>
          <w:rFonts w:eastAsia="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065380"/>
      <w:docPartObj>
        <w:docPartGallery w:val="Page Numbers (Bottom of Page)"/>
        <w:docPartUnique/>
      </w:docPartObj>
    </w:sdtPr>
    <w:sdtEndPr/>
    <w:sdtContent>
      <w:p w14:paraId="476E0043" w14:textId="6EEADA31" w:rsidR="00B466B5" w:rsidRDefault="00B466B5">
        <w:pPr>
          <w:pStyle w:val="Footer"/>
          <w:jc w:val="right"/>
        </w:pPr>
        <w:r>
          <w:fldChar w:fldCharType="begin"/>
        </w:r>
        <w:r>
          <w:instrText xml:space="preserve"> PAGE   \* MERGEFORMAT </w:instrText>
        </w:r>
        <w:r>
          <w:fldChar w:fldCharType="separate"/>
        </w:r>
        <w:r w:rsidR="007C367C">
          <w:rPr>
            <w:noProof/>
          </w:rPr>
          <w:t>1</w:t>
        </w:r>
        <w:r>
          <w:rPr>
            <w:noProof/>
          </w:rPr>
          <w:fldChar w:fldCharType="end"/>
        </w:r>
      </w:p>
    </w:sdtContent>
  </w:sdt>
  <w:p w14:paraId="620CE97F" w14:textId="77777777" w:rsidR="00B466B5" w:rsidRDefault="00B46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222B4" w14:textId="77777777" w:rsidR="00B2717C" w:rsidRPr="0038354A" w:rsidRDefault="00B2717C" w:rsidP="00D830F2">
      <w:pPr>
        <w:rPr>
          <w:rFonts w:eastAsia="Times New Roman"/>
        </w:rPr>
      </w:pPr>
      <w:r>
        <w:separator/>
      </w:r>
    </w:p>
  </w:footnote>
  <w:footnote w:type="continuationSeparator" w:id="0">
    <w:p w14:paraId="4A68BACB" w14:textId="77777777" w:rsidR="00B2717C" w:rsidRPr="0038354A" w:rsidRDefault="00B2717C" w:rsidP="00D830F2">
      <w:pPr>
        <w:rPr>
          <w:rFonts w:eastAsia="Times New Roman"/>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E65"/>
    <w:multiLevelType w:val="hybridMultilevel"/>
    <w:tmpl w:val="4D2ABD2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E7349"/>
    <w:multiLevelType w:val="hybridMultilevel"/>
    <w:tmpl w:val="AC26D906"/>
    <w:lvl w:ilvl="0" w:tplc="42F05D2C">
      <w:start w:val="2"/>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2452D"/>
    <w:multiLevelType w:val="hybridMultilevel"/>
    <w:tmpl w:val="46EA0998"/>
    <w:lvl w:ilvl="0" w:tplc="CF6CDB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3B4E27"/>
    <w:multiLevelType w:val="hybridMultilevel"/>
    <w:tmpl w:val="C0C6E730"/>
    <w:lvl w:ilvl="0" w:tplc="4CB416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A426FBE"/>
    <w:multiLevelType w:val="hybridMultilevel"/>
    <w:tmpl w:val="4B86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trackRevisions/>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E3MTCxMDEwMzYzNzVW0lEKTi0uzszPAykwNKoFAPZAuC8tAAAA"/>
  </w:docVars>
  <w:rsids>
    <w:rsidRoot w:val="00D830F2"/>
    <w:rsid w:val="0008216F"/>
    <w:rsid w:val="000D43DB"/>
    <w:rsid w:val="000D514D"/>
    <w:rsid w:val="00114E5A"/>
    <w:rsid w:val="00153CBB"/>
    <w:rsid w:val="0017008C"/>
    <w:rsid w:val="0017408B"/>
    <w:rsid w:val="001B28D3"/>
    <w:rsid w:val="001E2C25"/>
    <w:rsid w:val="0021098B"/>
    <w:rsid w:val="00222477"/>
    <w:rsid w:val="002418AE"/>
    <w:rsid w:val="0026129E"/>
    <w:rsid w:val="00266172"/>
    <w:rsid w:val="00267BBE"/>
    <w:rsid w:val="00274A1C"/>
    <w:rsid w:val="002752F3"/>
    <w:rsid w:val="002D4138"/>
    <w:rsid w:val="002F574F"/>
    <w:rsid w:val="00304CC7"/>
    <w:rsid w:val="003071C4"/>
    <w:rsid w:val="00313FC0"/>
    <w:rsid w:val="00382A6A"/>
    <w:rsid w:val="00386B0A"/>
    <w:rsid w:val="003E1D78"/>
    <w:rsid w:val="003F3319"/>
    <w:rsid w:val="00424591"/>
    <w:rsid w:val="00436E52"/>
    <w:rsid w:val="00446174"/>
    <w:rsid w:val="004762D5"/>
    <w:rsid w:val="004E6BB9"/>
    <w:rsid w:val="0050186A"/>
    <w:rsid w:val="00514F56"/>
    <w:rsid w:val="00554C64"/>
    <w:rsid w:val="00576FD3"/>
    <w:rsid w:val="005C4746"/>
    <w:rsid w:val="005F5461"/>
    <w:rsid w:val="00641D26"/>
    <w:rsid w:val="00651BF1"/>
    <w:rsid w:val="00673D8E"/>
    <w:rsid w:val="006A72BC"/>
    <w:rsid w:val="0077790C"/>
    <w:rsid w:val="00784B0C"/>
    <w:rsid w:val="0079188C"/>
    <w:rsid w:val="0079216F"/>
    <w:rsid w:val="007A15B7"/>
    <w:rsid w:val="007B20D6"/>
    <w:rsid w:val="007B6273"/>
    <w:rsid w:val="007C367C"/>
    <w:rsid w:val="007C7098"/>
    <w:rsid w:val="007D40D7"/>
    <w:rsid w:val="007E1DC5"/>
    <w:rsid w:val="007E2DFD"/>
    <w:rsid w:val="007E7E18"/>
    <w:rsid w:val="00813762"/>
    <w:rsid w:val="00840998"/>
    <w:rsid w:val="00873019"/>
    <w:rsid w:val="008733F7"/>
    <w:rsid w:val="008A6F92"/>
    <w:rsid w:val="008B5975"/>
    <w:rsid w:val="008F3598"/>
    <w:rsid w:val="00907D5E"/>
    <w:rsid w:val="009E056A"/>
    <w:rsid w:val="00A12793"/>
    <w:rsid w:val="00A3080E"/>
    <w:rsid w:val="00A5482E"/>
    <w:rsid w:val="00A60E7D"/>
    <w:rsid w:val="00A75B05"/>
    <w:rsid w:val="00AA7EFB"/>
    <w:rsid w:val="00AC3028"/>
    <w:rsid w:val="00AC3B57"/>
    <w:rsid w:val="00AD1BA1"/>
    <w:rsid w:val="00B071C3"/>
    <w:rsid w:val="00B2717C"/>
    <w:rsid w:val="00B33461"/>
    <w:rsid w:val="00B466B5"/>
    <w:rsid w:val="00B64209"/>
    <w:rsid w:val="00B8440E"/>
    <w:rsid w:val="00BA0EDE"/>
    <w:rsid w:val="00BC25D7"/>
    <w:rsid w:val="00C051E5"/>
    <w:rsid w:val="00C054CE"/>
    <w:rsid w:val="00C15922"/>
    <w:rsid w:val="00C213C5"/>
    <w:rsid w:val="00C305D7"/>
    <w:rsid w:val="00C368FB"/>
    <w:rsid w:val="00C50D36"/>
    <w:rsid w:val="00C77E3D"/>
    <w:rsid w:val="00CC7549"/>
    <w:rsid w:val="00CD70F5"/>
    <w:rsid w:val="00CF0574"/>
    <w:rsid w:val="00CF06DD"/>
    <w:rsid w:val="00D06842"/>
    <w:rsid w:val="00D12E3A"/>
    <w:rsid w:val="00D255C3"/>
    <w:rsid w:val="00D27EE9"/>
    <w:rsid w:val="00D42C8E"/>
    <w:rsid w:val="00D5472D"/>
    <w:rsid w:val="00D558BC"/>
    <w:rsid w:val="00D626B5"/>
    <w:rsid w:val="00D6545D"/>
    <w:rsid w:val="00D830F2"/>
    <w:rsid w:val="00D9253D"/>
    <w:rsid w:val="00DE3B5B"/>
    <w:rsid w:val="00E124DA"/>
    <w:rsid w:val="00E16D27"/>
    <w:rsid w:val="00E36AAD"/>
    <w:rsid w:val="00E458FF"/>
    <w:rsid w:val="00E81D62"/>
    <w:rsid w:val="00E960F3"/>
    <w:rsid w:val="00EA1755"/>
    <w:rsid w:val="00EC264F"/>
    <w:rsid w:val="00F23FE4"/>
    <w:rsid w:val="00F26EF4"/>
    <w:rsid w:val="00F95666"/>
    <w:rsid w:val="00FA06CF"/>
    <w:rsid w:val="00FC2060"/>
    <w:rsid w:val="00FF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004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78"/>
    <w:pPr>
      <w:spacing w:after="0" w:line="240"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0F2"/>
    <w:pPr>
      <w:spacing w:after="0" w:line="240" w:lineRule="auto"/>
    </w:pPr>
  </w:style>
  <w:style w:type="paragraph" w:styleId="Header">
    <w:name w:val="header"/>
    <w:basedOn w:val="Normal"/>
    <w:link w:val="HeaderChar"/>
    <w:uiPriority w:val="99"/>
    <w:unhideWhenUsed/>
    <w:rsid w:val="00D830F2"/>
    <w:pPr>
      <w:tabs>
        <w:tab w:val="center" w:pos="4680"/>
        <w:tab w:val="right" w:pos="9360"/>
      </w:tabs>
    </w:pPr>
  </w:style>
  <w:style w:type="character" w:customStyle="1" w:styleId="HeaderChar">
    <w:name w:val="Header Char"/>
    <w:basedOn w:val="DefaultParagraphFont"/>
    <w:link w:val="Header"/>
    <w:uiPriority w:val="99"/>
    <w:rsid w:val="00D830F2"/>
  </w:style>
  <w:style w:type="paragraph" w:styleId="Footer">
    <w:name w:val="footer"/>
    <w:basedOn w:val="Normal"/>
    <w:link w:val="FooterChar"/>
    <w:uiPriority w:val="99"/>
    <w:unhideWhenUsed/>
    <w:rsid w:val="00D830F2"/>
    <w:pPr>
      <w:tabs>
        <w:tab w:val="center" w:pos="4680"/>
        <w:tab w:val="right" w:pos="9360"/>
      </w:tabs>
    </w:pPr>
  </w:style>
  <w:style w:type="character" w:customStyle="1" w:styleId="FooterChar">
    <w:name w:val="Footer Char"/>
    <w:basedOn w:val="DefaultParagraphFont"/>
    <w:link w:val="Footer"/>
    <w:uiPriority w:val="99"/>
    <w:rsid w:val="00D830F2"/>
  </w:style>
  <w:style w:type="character" w:styleId="Hyperlink">
    <w:name w:val="Hyperlink"/>
    <w:basedOn w:val="DefaultParagraphFont"/>
    <w:uiPriority w:val="99"/>
    <w:unhideWhenUsed/>
    <w:rsid w:val="00673D8E"/>
    <w:rPr>
      <w:color w:val="0000FF" w:themeColor="hyperlink"/>
      <w:u w:val="single"/>
    </w:rPr>
  </w:style>
  <w:style w:type="character" w:styleId="FollowedHyperlink">
    <w:name w:val="FollowedHyperlink"/>
    <w:basedOn w:val="DefaultParagraphFont"/>
    <w:uiPriority w:val="99"/>
    <w:semiHidden/>
    <w:unhideWhenUsed/>
    <w:rsid w:val="00EA1755"/>
    <w:rPr>
      <w:color w:val="800080" w:themeColor="followedHyperlink"/>
      <w:u w:val="single"/>
    </w:rPr>
  </w:style>
  <w:style w:type="character" w:styleId="CommentReference">
    <w:name w:val="annotation reference"/>
    <w:basedOn w:val="DefaultParagraphFont"/>
    <w:uiPriority w:val="99"/>
    <w:semiHidden/>
    <w:unhideWhenUsed/>
    <w:rsid w:val="00E960F3"/>
    <w:rPr>
      <w:sz w:val="16"/>
      <w:szCs w:val="16"/>
    </w:rPr>
  </w:style>
  <w:style w:type="paragraph" w:styleId="CommentText">
    <w:name w:val="annotation text"/>
    <w:basedOn w:val="Normal"/>
    <w:link w:val="CommentTextChar"/>
    <w:uiPriority w:val="99"/>
    <w:semiHidden/>
    <w:unhideWhenUsed/>
    <w:rsid w:val="00E960F3"/>
    <w:rPr>
      <w:sz w:val="20"/>
      <w:szCs w:val="20"/>
    </w:rPr>
  </w:style>
  <w:style w:type="character" w:customStyle="1" w:styleId="CommentTextChar">
    <w:name w:val="Comment Text Char"/>
    <w:basedOn w:val="DefaultParagraphFont"/>
    <w:link w:val="CommentText"/>
    <w:uiPriority w:val="99"/>
    <w:semiHidden/>
    <w:rsid w:val="00E960F3"/>
    <w:rPr>
      <w:rFonts w:eastAsia="Calibri"/>
      <w:sz w:val="20"/>
      <w:szCs w:val="20"/>
    </w:rPr>
  </w:style>
  <w:style w:type="paragraph" w:styleId="CommentSubject">
    <w:name w:val="annotation subject"/>
    <w:basedOn w:val="CommentText"/>
    <w:next w:val="CommentText"/>
    <w:link w:val="CommentSubjectChar"/>
    <w:uiPriority w:val="99"/>
    <w:semiHidden/>
    <w:unhideWhenUsed/>
    <w:rsid w:val="00E960F3"/>
    <w:rPr>
      <w:b/>
      <w:bCs/>
    </w:rPr>
  </w:style>
  <w:style w:type="character" w:customStyle="1" w:styleId="CommentSubjectChar">
    <w:name w:val="Comment Subject Char"/>
    <w:basedOn w:val="CommentTextChar"/>
    <w:link w:val="CommentSubject"/>
    <w:uiPriority w:val="99"/>
    <w:semiHidden/>
    <w:rsid w:val="00E960F3"/>
    <w:rPr>
      <w:rFonts w:eastAsia="Calibri"/>
      <w:b/>
      <w:bCs/>
      <w:sz w:val="20"/>
      <w:szCs w:val="20"/>
    </w:rPr>
  </w:style>
  <w:style w:type="paragraph" w:styleId="BalloonText">
    <w:name w:val="Balloon Text"/>
    <w:basedOn w:val="Normal"/>
    <w:link w:val="BalloonTextChar"/>
    <w:uiPriority w:val="99"/>
    <w:semiHidden/>
    <w:unhideWhenUsed/>
    <w:rsid w:val="00E960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0F3"/>
    <w:rPr>
      <w:rFonts w:ascii="Segoe UI" w:eastAsia="Calibri" w:hAnsi="Segoe UI" w:cs="Segoe UI"/>
      <w:sz w:val="18"/>
      <w:szCs w:val="18"/>
    </w:rPr>
  </w:style>
  <w:style w:type="paragraph" w:styleId="ListParagraph">
    <w:name w:val="List Paragraph"/>
    <w:basedOn w:val="Normal"/>
    <w:uiPriority w:val="34"/>
    <w:qFormat/>
    <w:rsid w:val="007C70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78"/>
    <w:pPr>
      <w:spacing w:after="0" w:line="240"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0F2"/>
    <w:pPr>
      <w:spacing w:after="0" w:line="240" w:lineRule="auto"/>
    </w:pPr>
  </w:style>
  <w:style w:type="paragraph" w:styleId="Header">
    <w:name w:val="header"/>
    <w:basedOn w:val="Normal"/>
    <w:link w:val="HeaderChar"/>
    <w:uiPriority w:val="99"/>
    <w:unhideWhenUsed/>
    <w:rsid w:val="00D830F2"/>
    <w:pPr>
      <w:tabs>
        <w:tab w:val="center" w:pos="4680"/>
        <w:tab w:val="right" w:pos="9360"/>
      </w:tabs>
    </w:pPr>
  </w:style>
  <w:style w:type="character" w:customStyle="1" w:styleId="HeaderChar">
    <w:name w:val="Header Char"/>
    <w:basedOn w:val="DefaultParagraphFont"/>
    <w:link w:val="Header"/>
    <w:uiPriority w:val="99"/>
    <w:rsid w:val="00D830F2"/>
  </w:style>
  <w:style w:type="paragraph" w:styleId="Footer">
    <w:name w:val="footer"/>
    <w:basedOn w:val="Normal"/>
    <w:link w:val="FooterChar"/>
    <w:uiPriority w:val="99"/>
    <w:unhideWhenUsed/>
    <w:rsid w:val="00D830F2"/>
    <w:pPr>
      <w:tabs>
        <w:tab w:val="center" w:pos="4680"/>
        <w:tab w:val="right" w:pos="9360"/>
      </w:tabs>
    </w:pPr>
  </w:style>
  <w:style w:type="character" w:customStyle="1" w:styleId="FooterChar">
    <w:name w:val="Footer Char"/>
    <w:basedOn w:val="DefaultParagraphFont"/>
    <w:link w:val="Footer"/>
    <w:uiPriority w:val="99"/>
    <w:rsid w:val="00D830F2"/>
  </w:style>
  <w:style w:type="character" w:styleId="Hyperlink">
    <w:name w:val="Hyperlink"/>
    <w:basedOn w:val="DefaultParagraphFont"/>
    <w:uiPriority w:val="99"/>
    <w:unhideWhenUsed/>
    <w:rsid w:val="00673D8E"/>
    <w:rPr>
      <w:color w:val="0000FF" w:themeColor="hyperlink"/>
      <w:u w:val="single"/>
    </w:rPr>
  </w:style>
  <w:style w:type="character" w:styleId="FollowedHyperlink">
    <w:name w:val="FollowedHyperlink"/>
    <w:basedOn w:val="DefaultParagraphFont"/>
    <w:uiPriority w:val="99"/>
    <w:semiHidden/>
    <w:unhideWhenUsed/>
    <w:rsid w:val="00EA1755"/>
    <w:rPr>
      <w:color w:val="800080" w:themeColor="followedHyperlink"/>
      <w:u w:val="single"/>
    </w:rPr>
  </w:style>
  <w:style w:type="character" w:styleId="CommentReference">
    <w:name w:val="annotation reference"/>
    <w:basedOn w:val="DefaultParagraphFont"/>
    <w:uiPriority w:val="99"/>
    <w:semiHidden/>
    <w:unhideWhenUsed/>
    <w:rsid w:val="00E960F3"/>
    <w:rPr>
      <w:sz w:val="16"/>
      <w:szCs w:val="16"/>
    </w:rPr>
  </w:style>
  <w:style w:type="paragraph" w:styleId="CommentText">
    <w:name w:val="annotation text"/>
    <w:basedOn w:val="Normal"/>
    <w:link w:val="CommentTextChar"/>
    <w:uiPriority w:val="99"/>
    <w:semiHidden/>
    <w:unhideWhenUsed/>
    <w:rsid w:val="00E960F3"/>
    <w:rPr>
      <w:sz w:val="20"/>
      <w:szCs w:val="20"/>
    </w:rPr>
  </w:style>
  <w:style w:type="character" w:customStyle="1" w:styleId="CommentTextChar">
    <w:name w:val="Comment Text Char"/>
    <w:basedOn w:val="DefaultParagraphFont"/>
    <w:link w:val="CommentText"/>
    <w:uiPriority w:val="99"/>
    <w:semiHidden/>
    <w:rsid w:val="00E960F3"/>
    <w:rPr>
      <w:rFonts w:eastAsia="Calibri"/>
      <w:sz w:val="20"/>
      <w:szCs w:val="20"/>
    </w:rPr>
  </w:style>
  <w:style w:type="paragraph" w:styleId="CommentSubject">
    <w:name w:val="annotation subject"/>
    <w:basedOn w:val="CommentText"/>
    <w:next w:val="CommentText"/>
    <w:link w:val="CommentSubjectChar"/>
    <w:uiPriority w:val="99"/>
    <w:semiHidden/>
    <w:unhideWhenUsed/>
    <w:rsid w:val="00E960F3"/>
    <w:rPr>
      <w:b/>
      <w:bCs/>
    </w:rPr>
  </w:style>
  <w:style w:type="character" w:customStyle="1" w:styleId="CommentSubjectChar">
    <w:name w:val="Comment Subject Char"/>
    <w:basedOn w:val="CommentTextChar"/>
    <w:link w:val="CommentSubject"/>
    <w:uiPriority w:val="99"/>
    <w:semiHidden/>
    <w:rsid w:val="00E960F3"/>
    <w:rPr>
      <w:rFonts w:eastAsia="Calibri"/>
      <w:b/>
      <w:bCs/>
      <w:sz w:val="20"/>
      <w:szCs w:val="20"/>
    </w:rPr>
  </w:style>
  <w:style w:type="paragraph" w:styleId="BalloonText">
    <w:name w:val="Balloon Text"/>
    <w:basedOn w:val="Normal"/>
    <w:link w:val="BalloonTextChar"/>
    <w:uiPriority w:val="99"/>
    <w:semiHidden/>
    <w:unhideWhenUsed/>
    <w:rsid w:val="00E960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0F3"/>
    <w:rPr>
      <w:rFonts w:ascii="Segoe UI" w:eastAsia="Calibri" w:hAnsi="Segoe UI" w:cs="Segoe UI"/>
      <w:sz w:val="18"/>
      <w:szCs w:val="18"/>
    </w:rPr>
  </w:style>
  <w:style w:type="paragraph" w:styleId="ListParagraph">
    <w:name w:val="List Paragraph"/>
    <w:basedOn w:val="Normal"/>
    <w:uiPriority w:val="34"/>
    <w:qFormat/>
    <w:rsid w:val="007C7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dc.gov/nhsn/dataStat.html" TargetMode="External"/><Relationship Id="rId4" Type="http://schemas.openxmlformats.org/officeDocument/2006/relationships/settings" Target="settings.xml"/><Relationship Id="rId9" Type="http://schemas.openxmlformats.org/officeDocument/2006/relationships/hyperlink" Target="http://www.medpac.gov/documents/reports/march-2016-report-to-the-congress-medicare-payment-policy.pdf?sfvrs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2019-10-10T19:20:00Z</dcterms:created>
  <dcterms:modified xsi:type="dcterms:W3CDTF">2019-10-10T19:20:00Z</dcterms:modified>
</cp:coreProperties>
</file>