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F5E41" w14:textId="0F9863BC" w:rsidR="009E7DA7" w:rsidRDefault="009E7DA7" w:rsidP="00E011CC">
      <w:pPr>
        <w:jc w:val="center"/>
      </w:pPr>
      <w:bookmarkStart w:id="0" w:name="_GoBack"/>
      <w:bookmarkEnd w:id="0"/>
      <w:r>
        <w:t>U.S. Food and Drug Administration</w:t>
      </w:r>
    </w:p>
    <w:p w14:paraId="7D503C64" w14:textId="2AFFD0F0" w:rsidR="00EB7538" w:rsidRPr="009A1674" w:rsidRDefault="00E011CC" w:rsidP="00E011CC">
      <w:pPr>
        <w:jc w:val="center"/>
      </w:pPr>
      <w:r w:rsidRPr="00E011CC">
        <w:t>Required Warnings for Cigarette Packages and Advertisements</w:t>
      </w:r>
    </w:p>
    <w:p w14:paraId="0A29BF18" w14:textId="77777777" w:rsidR="00B23769" w:rsidRPr="009A1674" w:rsidRDefault="00B23769" w:rsidP="00B23769">
      <w:pPr>
        <w:jc w:val="center"/>
      </w:pPr>
    </w:p>
    <w:p w14:paraId="7E94AB72" w14:textId="77777777" w:rsidR="00EB7538" w:rsidRPr="009A1674" w:rsidRDefault="00EB7538" w:rsidP="00B23769">
      <w:pPr>
        <w:jc w:val="center"/>
      </w:pPr>
      <w:r w:rsidRPr="009A1674">
        <w:t>0910-</w:t>
      </w:r>
      <w:r w:rsidR="003863B0">
        <w:t>NEW</w:t>
      </w:r>
      <w:r w:rsidR="003863B0" w:rsidRPr="009A1674">
        <w:t xml:space="preserve"> </w:t>
      </w:r>
      <w:r w:rsidR="00A35D42" w:rsidRPr="009A1674">
        <w:br/>
      </w:r>
      <w:r w:rsidR="00A8225A" w:rsidRPr="00A8225A">
        <w:t>RIN 0910-AI39</w:t>
      </w:r>
    </w:p>
    <w:p w14:paraId="2882294E" w14:textId="77777777" w:rsidR="00EB7538" w:rsidRPr="009A1674" w:rsidRDefault="00EB7538" w:rsidP="00B23769">
      <w:pPr>
        <w:jc w:val="center"/>
      </w:pPr>
      <w:r w:rsidRPr="009A1674">
        <w:t>SUPPORTING STATEMENT</w:t>
      </w:r>
      <w:r w:rsidR="00E011CC">
        <w:t xml:space="preserve"> PART A</w:t>
      </w:r>
    </w:p>
    <w:p w14:paraId="2477569A" w14:textId="77777777" w:rsidR="00810FF1" w:rsidRDefault="00810FF1" w:rsidP="00B23769">
      <w:pPr>
        <w:jc w:val="center"/>
        <w:rPr>
          <w:b/>
        </w:rPr>
      </w:pPr>
    </w:p>
    <w:p w14:paraId="11420D71" w14:textId="77777777" w:rsidR="00EB7538" w:rsidRDefault="00EB7538" w:rsidP="00EB7538">
      <w:pPr>
        <w:pStyle w:val="NormalWeb"/>
      </w:pPr>
      <w:r>
        <w:rPr>
          <w:b/>
          <w:bCs/>
        </w:rPr>
        <w:t>A. Justification</w:t>
      </w:r>
    </w:p>
    <w:p w14:paraId="2E0A6412"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7F5AB4C4" w14:textId="08871354" w:rsidR="004544C2" w:rsidRDefault="00281B34" w:rsidP="004544C2">
      <w:pPr>
        <w:ind w:left="720"/>
        <w:contextualSpacing/>
      </w:pPr>
      <w:r>
        <w:t xml:space="preserve">This proposed rule is being issued in accordance with sections 201 and 202 of the Tobacco Control Act (Pub. L. 111-31, 123 Stat. 1776), which amend section 4 of FCLAA (15 U.S.C. 1333).  This proposed rule is also being issued based upon FDA's authorities related to misbranded tobacco products under sections 903 (21 U.S.C. 387c); FDA's authorities related to records and reports under section 909 (21 U.S.C. 387i); and FDA's rulemaking and inspection authorities under sections 701 (21 U.S.C. 371), 704 (21 U.S.C. 374), and 905(g) (21 U.S.C. 387e(g)) </w:t>
      </w:r>
      <w:r w:rsidRPr="006576CD">
        <w:t>of the Federal Food, Drug, and Cosmetic Act (FD&amp;C Act).</w:t>
      </w:r>
    </w:p>
    <w:p w14:paraId="40FD2A19" w14:textId="77777777" w:rsidR="004544C2" w:rsidRDefault="004544C2" w:rsidP="004544C2">
      <w:pPr>
        <w:ind w:left="720"/>
        <w:contextualSpacing/>
      </w:pPr>
    </w:p>
    <w:p w14:paraId="05B8F2E4" w14:textId="44E647D2" w:rsidR="004544C2" w:rsidRDefault="004544C2" w:rsidP="009B27F8">
      <w:pPr>
        <w:ind w:left="720"/>
        <w:contextualSpacing/>
      </w:pPr>
      <w:r w:rsidRPr="004544C2">
        <w:t xml:space="preserve">In 2009, in enacting the Tobacco Control Act, Congress amended the FCLAA and directed FDA to issue new cigarette health warnings that would include a </w:t>
      </w:r>
      <w:r w:rsidR="00645DB2">
        <w:t xml:space="preserve">color </w:t>
      </w:r>
      <w:r w:rsidRPr="004544C2">
        <w:t>graphic component depicting the negative health consequences of smoking to accompany the new textual warnings (section 201 of the Tobacco Control Act).  In enacting this legislation, Congress also provided that FDA may adjust the warnings if FDA found that such a change would promote greater public understanding of the risks associated with the use of tobacco products (section 202 of the Tobacco Control Act).</w:t>
      </w:r>
    </w:p>
    <w:p w14:paraId="299D3C68" w14:textId="77777777" w:rsidR="009B27F8" w:rsidRDefault="009B27F8" w:rsidP="009B27F8">
      <w:pPr>
        <w:ind w:left="720"/>
        <w:contextualSpacing/>
      </w:pPr>
    </w:p>
    <w:p w14:paraId="1023345B" w14:textId="29FFB8DC" w:rsidR="00584583" w:rsidRPr="00075DE8" w:rsidRDefault="009B27F8" w:rsidP="009B27F8">
      <w:pPr>
        <w:ind w:left="720"/>
        <w:contextualSpacing/>
      </w:pPr>
      <w:r w:rsidRPr="009B27F8">
        <w:t>The requirement for submission of plans for cigarette packages and advertisements, and the specific marketing requirements relating to the random and equal display and distribution of required warning statements on cigarette packaging and quarterly rotation of required warning statements in alternating sequence in cigarette product advertising, appear in proposed § 1141.10(d)(5).  A record of the FDA-approved plan must also be established and maintained.</w:t>
      </w:r>
    </w:p>
    <w:p w14:paraId="319C40FB" w14:textId="77777777"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14:paraId="0534B8C9" w14:textId="7F3F7915" w:rsidR="007F60A4" w:rsidRDefault="00257509" w:rsidP="00257509">
      <w:pPr>
        <w:ind w:left="720"/>
      </w:pPr>
      <w:r>
        <w:t xml:space="preserve">FDA intends to ask that each plan cover both packaging and advertising to the extent applicable.  The tobacco product manufacturer, distributor, or retailer should demonstrate how they plan to achieve the random and equal display and distribution of the required warning statements on packages and the quarterly rotation in advertisements.  Required warnings for cigarettes must be randomly and equally displayed and distributed on packages, and rotated quarterly in advertisements, in accordance with an </w:t>
      </w:r>
      <w:r w:rsidR="00645DB2">
        <w:t>FDA-</w:t>
      </w:r>
      <w:r>
        <w:t xml:space="preserve">approved plan. </w:t>
      </w:r>
      <w:r w:rsidR="007F60A4" w:rsidRPr="00BF4696">
        <w:rPr>
          <w:color w:val="000000"/>
        </w:rPr>
        <w:t xml:space="preserve"> </w:t>
      </w:r>
      <w:r w:rsidR="007F60A4" w:rsidRPr="00BF4696">
        <w:t>FDA's</w:t>
      </w:r>
      <w:r w:rsidR="007F60A4" w:rsidRPr="007F60A4">
        <w:t xml:space="preserve"> review of a plan would only be for the purpose of determining compliance with the regulatory criteria for approval of a plan, as set forth in proposed §1141.10(g)(1) </w:t>
      </w:r>
      <w:r w:rsidR="007F60A4" w:rsidRPr="007F60A4">
        <w:lastRenderedPageBreak/>
        <w:t>and (2).  FDA requests that each plan include representative samples of packages and advertisements with each of the required warnings.  Such samples would place the plan in context and, therefore, facilitate FDA's review of the plan, not a review of the content of the package labels and advertisements.</w:t>
      </w:r>
    </w:p>
    <w:p w14:paraId="05943A0B" w14:textId="77777777" w:rsidR="001E6576" w:rsidRDefault="001E6576" w:rsidP="00257509">
      <w:pPr>
        <w:ind w:left="720"/>
      </w:pPr>
    </w:p>
    <w:p w14:paraId="228359B7" w14:textId="5CF14BD0" w:rsidR="00257509" w:rsidRDefault="00645DB2" w:rsidP="00257509">
      <w:pPr>
        <w:ind w:left="720"/>
      </w:pPr>
      <w:r>
        <w:t>P</w:t>
      </w:r>
      <w:r w:rsidR="00257509">
        <w:t xml:space="preserve">lans should be submitted to FDA no later than five (5) months after the date of publication of the final rule and before advertising or commercially marketing a product that is subject to the rule.  Packages and advertisements of cigarettes would be required to bear the required warnings beginning 15 months after the date of publication of the final rule.  FDA intends to request an amendment to a plan under review if FDA needs clarification of information in the plan or other additional information to determine whether it could approve the plan.  Any such amendments would likely increase the overall review time.  </w:t>
      </w:r>
    </w:p>
    <w:p w14:paraId="5F3BC6BB" w14:textId="77777777" w:rsidR="004544C2" w:rsidRDefault="004544C2" w:rsidP="00257509">
      <w:pPr>
        <w:ind w:left="720"/>
      </w:pPr>
    </w:p>
    <w:p w14:paraId="24159148" w14:textId="3556AC79" w:rsidR="00257509" w:rsidRDefault="00257509" w:rsidP="00257509">
      <w:pPr>
        <w:ind w:left="720"/>
      </w:pPr>
      <w:r>
        <w:t xml:space="preserve">After FDA approval of an initial plan, a supplement to the approved plan should be submitted to FDA and approved before making changes to the random and equal display or distribution of required warning statements on packages or the quarterly rotation of required warning statements in advertisements.  For a new brand, a new plan or a supplement to an approved plan would be required to be submitted and approved before displaying or distributing packages and advertisements for that new brand.  </w:t>
      </w:r>
    </w:p>
    <w:p w14:paraId="6A733BCA" w14:textId="77777777" w:rsidR="001E6576" w:rsidRDefault="001E6576" w:rsidP="00257509">
      <w:pPr>
        <w:ind w:left="720"/>
      </w:pPr>
    </w:p>
    <w:p w14:paraId="61C99CE8" w14:textId="0A8111A1" w:rsidR="00257509" w:rsidRDefault="00257509" w:rsidP="00257509">
      <w:pPr>
        <w:ind w:left="720"/>
      </w:pPr>
      <w:r>
        <w:t>However, in lieu of a supplement to an approved plan for a new brand, manufacturers may reference in their initial plan all brands in their product listing(s) under section 905(i) of the FD&amp;C Act and incorporate any new brands into their approved plan, so long as no other changes are made to the plan.  For retailer-generated advertising, retailers may list "all brands" in their plan, which would cover future brands, so long as the plan provides for the same schedule for quarterly rotation of the required warning statements for all brands.</w:t>
      </w:r>
    </w:p>
    <w:p w14:paraId="0E955909" w14:textId="77777777" w:rsidR="001E6576" w:rsidRDefault="001E6576" w:rsidP="001E6576">
      <w:pPr>
        <w:ind w:left="720"/>
      </w:pPr>
    </w:p>
    <w:p w14:paraId="12855F33" w14:textId="295CF7A9" w:rsidR="001E6576" w:rsidRDefault="001E6576" w:rsidP="001E6576">
      <w:pPr>
        <w:ind w:left="720"/>
      </w:pPr>
      <w:r w:rsidRPr="001E6576">
        <w:t>The respondents to this collection of information are manufacturers, distributors, and certain retailers of cigarettes who will be required to submit plans for cigarette packages and advertisements to FDA.</w:t>
      </w:r>
      <w:r>
        <w:t xml:space="preserve"> </w:t>
      </w:r>
      <w:r w:rsidR="00645DB2">
        <w:t xml:space="preserve"> </w:t>
      </w:r>
      <w:r w:rsidRPr="00875AD7">
        <w:t xml:space="preserve">Respondents are </w:t>
      </w:r>
      <w:r w:rsidR="00645DB2" w:rsidRPr="00875AD7">
        <w:t>for</w:t>
      </w:r>
      <w:r w:rsidR="00645DB2">
        <w:t>-</w:t>
      </w:r>
      <w:r w:rsidRPr="00875AD7">
        <w:t>profit businesses from the private sector</w:t>
      </w:r>
      <w:r w:rsidRPr="00875AD7">
        <w:rPr>
          <w:iCs/>
        </w:rPr>
        <w:t>.</w:t>
      </w:r>
    </w:p>
    <w:p w14:paraId="21A1F275"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6B8C8897" w14:textId="03D94711" w:rsidR="00645DB2" w:rsidRDefault="00257509" w:rsidP="00645DB2">
      <w:pPr>
        <w:ind w:left="720"/>
      </w:pPr>
      <w:r w:rsidRPr="00257509">
        <w:rPr>
          <w:rFonts w:eastAsia="Calibri"/>
          <w:szCs w:val="22"/>
        </w:rPr>
        <w:t>FDA intends to allow electronic submissions, via FDA's Electronic Submissions Gateway, and written submissions.  FDA strongly encourages electronic submission to facilitate efficiency and timeliness of submission and processing</w:t>
      </w:r>
      <w:r w:rsidR="00645DB2">
        <w:rPr>
          <w:rFonts w:eastAsia="Calibri"/>
          <w:szCs w:val="22"/>
        </w:rPr>
        <w:t>.</w:t>
      </w:r>
      <w:r w:rsidR="00645DB2">
        <w:t xml:space="preserve">  </w:t>
      </w:r>
    </w:p>
    <w:p w14:paraId="7B6FB56F" w14:textId="4187F85F" w:rsidR="00843752" w:rsidRDefault="006D5D57" w:rsidP="00645DB2">
      <w:pPr>
        <w:ind w:left="720"/>
      </w:pPr>
      <w:r w:rsidRPr="002A1210">
        <w:t xml:space="preserve">FDA estimates that </w:t>
      </w:r>
      <w:r w:rsidR="000C3FA2">
        <w:t>99</w:t>
      </w:r>
      <w:r w:rsidRPr="002A1210">
        <w:t xml:space="preserve">% of the respondents will use electronic means to </w:t>
      </w:r>
      <w:r w:rsidR="00257509">
        <w:t>submit their plans.</w:t>
      </w:r>
      <w:r>
        <w:t xml:space="preserve"> </w:t>
      </w:r>
    </w:p>
    <w:p w14:paraId="07905A17"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47DCD416" w14:textId="5BC0EC00" w:rsidR="00A91A3B" w:rsidRPr="000956F0" w:rsidRDefault="00A91A3B" w:rsidP="000956F0">
      <w:pPr>
        <w:ind w:left="720"/>
      </w:pPr>
      <w:r w:rsidRPr="000956F0">
        <w:t xml:space="preserve">This information collection is not duplicative.  The Tobacco Control Act amends the Federal Cigarette Labeling and Advertising Act (FCLAA) of 1965 to require each </w:t>
      </w:r>
      <w:r w:rsidRPr="000956F0">
        <w:lastRenderedPageBreak/>
        <w:t xml:space="preserve">cigarette package and advertisement to bear one of the new required warnings.  </w:t>
      </w:r>
      <w:r w:rsidR="00645DB2">
        <w:t>Once this rule is finalized</w:t>
      </w:r>
      <w:r w:rsidR="00866814">
        <w:t xml:space="preserve"> and becomes effective.</w:t>
      </w:r>
      <w:r w:rsidR="00645DB2">
        <w:t xml:space="preserve"> </w:t>
      </w:r>
      <w:r w:rsidR="000956F0" w:rsidRPr="000956F0">
        <w:t xml:space="preserve">FDA </w:t>
      </w:r>
      <w:r w:rsidR="00645DB2">
        <w:t>will be</w:t>
      </w:r>
      <w:r w:rsidR="00645DB2" w:rsidRPr="000956F0">
        <w:t xml:space="preserve"> </w:t>
      </w:r>
      <w:r w:rsidR="000956F0" w:rsidRPr="000956F0">
        <w:t>the only Federal agency responsible for the collection of plans for cigarette packages and advertising.</w:t>
      </w:r>
    </w:p>
    <w:p w14:paraId="7DC11E83"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01C330B3" w14:textId="207414AF" w:rsidR="000956F0" w:rsidRDefault="00206918" w:rsidP="004544C2">
      <w:pPr>
        <w:ind w:left="720"/>
      </w:pPr>
      <w:r>
        <w:t xml:space="preserve">We anticipate that small businesses are mostly affected by this information collection. </w:t>
      </w:r>
      <w:r w:rsidR="0065553C">
        <w:t>B</w:t>
      </w:r>
      <w:r w:rsidR="0065553C" w:rsidRPr="0065553C">
        <w:t xml:space="preserve">ased on data obtained from </w:t>
      </w:r>
      <w:r w:rsidR="0065553C">
        <w:t xml:space="preserve">2017 </w:t>
      </w:r>
      <w:r w:rsidR="0065553C" w:rsidRPr="0065553C">
        <w:t>TTB</w:t>
      </w:r>
      <w:r w:rsidR="0065553C">
        <w:t xml:space="preserve"> data</w:t>
      </w:r>
      <w:r w:rsidR="0065553C" w:rsidRPr="0065553C">
        <w:t>, there were 32 active cigarette manufacturers and 27 active cigarette importers</w:t>
      </w:r>
      <w:r w:rsidR="006E49F3">
        <w:t xml:space="preserve"> (total of 59)</w:t>
      </w:r>
      <w:r w:rsidR="0065553C">
        <w:t xml:space="preserve">. </w:t>
      </w:r>
      <w:r w:rsidR="000956F0">
        <w:t>W</w:t>
      </w:r>
      <w:r w:rsidR="000956F0" w:rsidRPr="000956F0">
        <w:t>e estimate that about 30</w:t>
      </w:r>
      <w:r w:rsidR="000956F0">
        <w:t xml:space="preserve"> s</w:t>
      </w:r>
      <w:r w:rsidR="000956F0" w:rsidRPr="000956F0">
        <w:t>mall cigarette manufacturers and roughly 25 small cigarette importers</w:t>
      </w:r>
      <w:r w:rsidR="006E49F3">
        <w:t xml:space="preserve"> (total of 55)</w:t>
      </w:r>
      <w:r w:rsidR="000956F0" w:rsidRPr="000956F0">
        <w:t xml:space="preserve"> could be affected by this proposed rule.</w:t>
      </w:r>
      <w:r w:rsidR="0065553C">
        <w:t xml:space="preserve"> </w:t>
      </w:r>
    </w:p>
    <w:p w14:paraId="204A400A" w14:textId="5B877787" w:rsidR="000D7E7A" w:rsidRDefault="000D7E7A" w:rsidP="004544C2">
      <w:pPr>
        <w:ind w:left="720"/>
        <w:rPr>
          <w:highlight w:val="yellow"/>
        </w:rPr>
      </w:pPr>
    </w:p>
    <w:p w14:paraId="77016336" w14:textId="562182D0" w:rsidR="000D7E7A" w:rsidRPr="00D30C4F" w:rsidRDefault="000D7E7A" w:rsidP="004544C2">
      <w:pPr>
        <w:ind w:left="720"/>
      </w:pPr>
      <w:r w:rsidRPr="00D30C4F">
        <w:t xml:space="preserve">FDA intends to issue guidance documents to assist the entities affected by this information collection. One guidance document would provide information addressing the logistics of submitting plans to FDA for review and approval (required under FCLAA) to help make this process as transparent and manageable as possible. Another guidance would </w:t>
      </w:r>
      <w:r w:rsidR="00866814">
        <w:t>provide</w:t>
      </w:r>
      <w:r w:rsidRPr="00D30C4F">
        <w:t xml:space="preserve"> information on questions that entities might have related to the required warnings, marketing requirements, and plans, including when these requirements would apply and to whom.</w:t>
      </w:r>
    </w:p>
    <w:p w14:paraId="64EF756B" w14:textId="77777777" w:rsidR="006173AF" w:rsidRPr="000E0A18" w:rsidRDefault="00EB7538" w:rsidP="000E0A18">
      <w:pPr>
        <w:numPr>
          <w:ilvl w:val="0"/>
          <w:numId w:val="1"/>
        </w:numPr>
        <w:spacing w:before="100" w:beforeAutospacing="1" w:after="100" w:afterAutospacing="1"/>
        <w:rPr>
          <w:u w:val="single"/>
        </w:rPr>
      </w:pPr>
      <w:r w:rsidRPr="004C6979">
        <w:rPr>
          <w:u w:val="single"/>
        </w:rPr>
        <w:t>Consequences of Collecting the Information Less Frequently</w:t>
      </w:r>
    </w:p>
    <w:p w14:paraId="757FD617" w14:textId="67BF9CDD" w:rsidR="004544C2" w:rsidRDefault="006173AF" w:rsidP="004544C2">
      <w:pPr>
        <w:ind w:left="720"/>
      </w:pPr>
      <w:r w:rsidRPr="006173AF">
        <w:t>Collecting the information less frequently would impede FDA’s regulatory authority over tobacco product manufacturers and their products.</w:t>
      </w:r>
      <w:r w:rsidR="00C24EB9" w:rsidRPr="00C24EB9">
        <w:t xml:space="preserve"> Submission of plans for </w:t>
      </w:r>
      <w:r w:rsidR="00C24EB9">
        <w:t>cigarette packages</w:t>
      </w:r>
      <w:r w:rsidR="006E7902">
        <w:t xml:space="preserve"> and advertisements</w:t>
      </w:r>
      <w:r w:rsidR="00C24EB9" w:rsidRPr="00C24EB9">
        <w:t xml:space="preserve"> to FDA is required so FDA can review and ensure the plan complies with the requirements set forth in the Tobacco </w:t>
      </w:r>
      <w:r w:rsidR="00C24EB9">
        <w:t xml:space="preserve">Control </w:t>
      </w:r>
      <w:r w:rsidR="00C24EB9" w:rsidRPr="00C24EB9">
        <w:t xml:space="preserve">Act. </w:t>
      </w:r>
    </w:p>
    <w:p w14:paraId="2B605AED" w14:textId="2A8CFE68" w:rsidR="007F60A4" w:rsidRDefault="007F60A4" w:rsidP="004544C2">
      <w:pPr>
        <w:ind w:left="720"/>
      </w:pPr>
    </w:p>
    <w:p w14:paraId="7E089A1E" w14:textId="4652A7B6" w:rsidR="007F60A4" w:rsidRDefault="007F60A4" w:rsidP="004544C2">
      <w:pPr>
        <w:ind w:left="720"/>
      </w:pPr>
      <w:r w:rsidRPr="007F60A4">
        <w:t>FDA's review of a plan would only be for the purpose of determining compliance with the regulatory criteria for approval of a plan, as set forth in proposed § 1141.10(g)(1) and (2).  FDA requests that each plan include representative samples of packages and advertisements with each of the required warnings.  Such samples would place the plan in context and, therefore, facilitate FDA's review of the plan, not a review of the content of the package labels and advertisements. </w:t>
      </w:r>
    </w:p>
    <w:p w14:paraId="60A541E7" w14:textId="77777777" w:rsidR="00645DB2" w:rsidRDefault="00645DB2" w:rsidP="004544C2">
      <w:pPr>
        <w:ind w:left="720"/>
      </w:pPr>
    </w:p>
    <w:p w14:paraId="2418D4E8" w14:textId="72D85143" w:rsidR="006D7173" w:rsidRDefault="006D7173" w:rsidP="006D7173">
      <w:pPr>
        <w:ind w:left="720"/>
      </w:pPr>
      <w:r w:rsidRPr="00C24EB9">
        <w:t xml:space="preserve">The consequence of collecting this collection of information less frequently </w:t>
      </w:r>
      <w:r>
        <w:t>would result in a decrease of the promotion</w:t>
      </w:r>
      <w:r w:rsidRPr="00C24EB9">
        <w:t xml:space="preserve"> </w:t>
      </w:r>
      <w:r>
        <w:t xml:space="preserve">of </w:t>
      </w:r>
      <w:r w:rsidRPr="004544C2">
        <w:t>increasing understanding of the negative health consequences of smoking.</w:t>
      </w:r>
    </w:p>
    <w:p w14:paraId="66E6B3D0" w14:textId="77777777" w:rsidR="006D7173" w:rsidRDefault="006D7173" w:rsidP="004544C2">
      <w:pPr>
        <w:ind w:left="720"/>
      </w:pPr>
    </w:p>
    <w:p w14:paraId="449C7532" w14:textId="221A58C9" w:rsidR="006D7173" w:rsidRPr="004544C2" w:rsidRDefault="006D7173" w:rsidP="007F3134">
      <w:pPr>
        <w:ind w:left="720"/>
      </w:pPr>
      <w:r>
        <w:t>T</w:t>
      </w:r>
      <w:r w:rsidRPr="006D7173">
        <w:t xml:space="preserve">he required cigarette health warnings </w:t>
      </w:r>
      <w:r>
        <w:t xml:space="preserve">must </w:t>
      </w:r>
      <w:r w:rsidRPr="006D7173">
        <w:t xml:space="preserve">be randomly displayed in each 12-month period, in as equal a number of times as is possible on each brand of the </w:t>
      </w:r>
      <w:r w:rsidR="007F3134" w:rsidRPr="006D7173">
        <w:t>product and</w:t>
      </w:r>
      <w:r w:rsidRPr="006D7173">
        <w:t xml:space="preserve"> be randomly distributed throughout the United States in accordance with a plan approved by the FDA.</w:t>
      </w:r>
      <w:r>
        <w:t xml:space="preserve"> If FDA does not receive and approve the </w:t>
      </w:r>
      <w:r w:rsidR="007F3134">
        <w:t>plan,</w:t>
      </w:r>
      <w:r>
        <w:t xml:space="preserve"> we would not be able to verify that </w:t>
      </w:r>
      <w:r w:rsidR="007F3134">
        <w:t>manufacturers</w:t>
      </w:r>
      <w:r>
        <w:t xml:space="preserve"> are randomly displaying and </w:t>
      </w:r>
      <w:r w:rsidR="007F3134">
        <w:t>distributing the new proposed cigarette health warnings</w:t>
      </w:r>
      <w:r w:rsidR="00D30C4F">
        <w:t xml:space="preserve"> in accordance with the requirements of the rule</w:t>
      </w:r>
      <w:r w:rsidR="007F3134">
        <w:t>.</w:t>
      </w:r>
    </w:p>
    <w:p w14:paraId="76C1BFE4"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01EB972D" w14:textId="77777777" w:rsidR="008108FA" w:rsidRDefault="008108FA" w:rsidP="008108FA">
      <w:pPr>
        <w:ind w:left="720"/>
      </w:pPr>
      <w:r>
        <w:t>There are no special circumstances for this collection of information.</w:t>
      </w:r>
    </w:p>
    <w:p w14:paraId="46134AE0"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2C2DE6E6" w14:textId="7D2AD252" w:rsidR="00F207A4" w:rsidRDefault="00705086" w:rsidP="00DB6205">
      <w:pPr>
        <w:ind w:left="720"/>
      </w:pPr>
      <w:r w:rsidRPr="000E0A18">
        <w:t>“As required by section 3506(c)(2)(B) of the Paperwork Reduction Act of 1995 (PRA), FDA provided an opportunity for public comment on the information collection requirements of the proposed rule that published in the FEDERAL REGISTER o</w:t>
      </w:r>
      <w:r w:rsidR="00DA2482">
        <w:t>f August 16, 2019</w:t>
      </w:r>
      <w:r w:rsidRPr="000E0A18">
        <w:t xml:space="preserve"> (</w:t>
      </w:r>
      <w:r w:rsidR="00DA2482">
        <w:t>84</w:t>
      </w:r>
      <w:r w:rsidRPr="000E0A18">
        <w:t xml:space="preserve"> FR </w:t>
      </w:r>
      <w:r w:rsidR="00010F17">
        <w:t>42754</w:t>
      </w:r>
      <w:r w:rsidRPr="000E0A18">
        <w:t>).”</w:t>
      </w:r>
    </w:p>
    <w:p w14:paraId="77FFC88A" w14:textId="77777777"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14:paraId="2ABD3ECF" w14:textId="77777777" w:rsidR="00CD77C3" w:rsidRDefault="003333D1" w:rsidP="00DD09F5">
      <w:pPr>
        <w:ind w:left="720"/>
      </w:pPr>
      <w:r>
        <w:t>There is no incentive offered to respond to this collection.</w:t>
      </w:r>
    </w:p>
    <w:p w14:paraId="391F5B99" w14:textId="77777777"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14:paraId="0309D29B" w14:textId="77777777" w:rsidR="00EF7269" w:rsidRDefault="002961BA" w:rsidP="00477E52">
      <w:pPr>
        <w:ind w:left="720"/>
      </w:pPr>
      <w:r w:rsidRPr="002961BA">
        <w:t>Information provided by respondents will be kept private and anonymous, except as otherwise required by law.  Among the laws governing the disclosure of data submitted under this collection of information are the Freedom of Information Act (FOIA) (5 U.S.C. 552), section 101 of the Family Smoking Prevention and Tobacco Control Act (which protects certain information from disclosure see Public Law 111-31, June 22, 2009), and FDA’s implementing regulations at 21 CFR Part 20.  Under FOIA, the public has broad access to agency records, unless the records (or a part of the records) are protected from disclosure by any of the law’s nine exemptions.</w:t>
      </w:r>
    </w:p>
    <w:p w14:paraId="2AE12581" w14:textId="77777777" w:rsidR="002961BA" w:rsidRDefault="002961BA" w:rsidP="00477E52">
      <w:pPr>
        <w:ind w:left="720"/>
      </w:pPr>
    </w:p>
    <w:p w14:paraId="1A688B40" w14:textId="77777777" w:rsidR="00107885" w:rsidRDefault="00477E52" w:rsidP="00477E52">
      <w:pPr>
        <w:ind w:left="720"/>
      </w:pPr>
      <w:r w:rsidRPr="00477E52">
        <w:t>T</w:t>
      </w:r>
      <w:r w:rsidR="002E53A5" w:rsidRPr="00477E52">
        <w:t xml:space="preserve">his ICR </w:t>
      </w:r>
      <w:r w:rsidRPr="00477E52">
        <w:t xml:space="preserve">does not </w:t>
      </w:r>
      <w:r w:rsidR="002E53A5" w:rsidRPr="00477E52">
        <w:t>request any personally identifiable information</w:t>
      </w:r>
      <w:r w:rsidR="002961BA">
        <w:t xml:space="preserve"> and </w:t>
      </w:r>
      <w:r w:rsidRPr="00477E52">
        <w:t>d</w:t>
      </w:r>
      <w:r w:rsidR="002E53A5" w:rsidRPr="00477E52">
        <w:t>oes</w:t>
      </w:r>
      <w:r w:rsidRPr="00477E52">
        <w:t xml:space="preserve"> not</w:t>
      </w:r>
      <w:r w:rsidR="002E53A5" w:rsidRPr="00477E52">
        <w:t xml:space="preserve"> include a form that requires a Privacy Act Statement</w:t>
      </w:r>
      <w:r w:rsidRPr="00477E52">
        <w:t>.</w:t>
      </w:r>
    </w:p>
    <w:p w14:paraId="37B2E85F" w14:textId="77777777"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14:paraId="65896159" w14:textId="77777777" w:rsidR="006173AF" w:rsidRDefault="006173AF" w:rsidP="00DD09F5">
      <w:pPr>
        <w:ind w:left="720"/>
      </w:pPr>
      <w:r w:rsidRPr="006173AF">
        <w:t>This information collection does not contain questions of a sensitive nature.</w:t>
      </w:r>
    </w:p>
    <w:p w14:paraId="62686F31"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14:paraId="23ACEB78" w14:textId="5E3857FF" w:rsidR="00DC76C7" w:rsidRDefault="008B0E29" w:rsidP="00DB6205">
      <w:pPr>
        <w:ind w:left="720"/>
      </w:pPr>
      <w:r>
        <w:rPr>
          <w:u w:val="single"/>
        </w:rPr>
        <w:t xml:space="preserve">12 a. </w:t>
      </w:r>
      <w:r w:rsidR="00411D11">
        <w:rPr>
          <w:u w:val="single"/>
        </w:rPr>
        <w:t xml:space="preserve">Annualized </w:t>
      </w:r>
      <w:r w:rsidR="004C6979">
        <w:rPr>
          <w:u w:val="single"/>
        </w:rPr>
        <w:t>Hour Burden Estimate</w:t>
      </w:r>
    </w:p>
    <w:p w14:paraId="3BD232EF" w14:textId="77777777" w:rsidR="00E65A37" w:rsidRDefault="00E65A37" w:rsidP="00E65A37">
      <w:pPr>
        <w:jc w:val="center"/>
      </w:pPr>
    </w:p>
    <w:tbl>
      <w:tblPr>
        <w:tblW w:w="8550" w:type="dxa"/>
        <w:tblInd w:w="690" w:type="dxa"/>
        <w:tblLayout w:type="fixed"/>
        <w:tblCellMar>
          <w:left w:w="0" w:type="dxa"/>
          <w:right w:w="0" w:type="dxa"/>
        </w:tblCellMar>
        <w:tblLook w:val="0000" w:firstRow="0" w:lastRow="0" w:firstColumn="0" w:lastColumn="0" w:noHBand="0" w:noVBand="0"/>
      </w:tblPr>
      <w:tblGrid>
        <w:gridCol w:w="2116"/>
        <w:gridCol w:w="1336"/>
        <w:gridCol w:w="1644"/>
        <w:gridCol w:w="1232"/>
        <w:gridCol w:w="1483"/>
        <w:gridCol w:w="739"/>
      </w:tblGrid>
      <w:tr w:rsidR="006C22E9" w:rsidRPr="006C22E9" w14:paraId="2AE66537" w14:textId="77777777" w:rsidTr="00CB2A8C">
        <w:trPr>
          <w:trHeight w:val="274"/>
        </w:trPr>
        <w:tc>
          <w:tcPr>
            <w:tcW w:w="8550" w:type="dxa"/>
            <w:gridSpan w:val="6"/>
            <w:tcBorders>
              <w:bottom w:val="single" w:sz="4" w:space="0" w:color="auto"/>
            </w:tcBorders>
            <w:vAlign w:val="center"/>
          </w:tcPr>
          <w:p w14:paraId="09F8DA96" w14:textId="67CCCC37" w:rsidR="006C22E9" w:rsidRPr="006C22E9" w:rsidRDefault="006C22E9" w:rsidP="006C22E9">
            <w:pPr>
              <w:keepNext/>
              <w:widowControl w:val="0"/>
              <w:spacing w:line="276" w:lineRule="auto"/>
              <w:jc w:val="center"/>
              <w:rPr>
                <w:rFonts w:eastAsia="Calibri"/>
                <w:sz w:val="22"/>
                <w:szCs w:val="22"/>
              </w:rPr>
            </w:pPr>
            <w:bookmarkStart w:id="1" w:name="_Hlk3881804"/>
            <w:r w:rsidRPr="006C22E9">
              <w:rPr>
                <w:rFonts w:eastAsia="Calibri"/>
                <w:sz w:val="22"/>
                <w:szCs w:val="22"/>
              </w:rPr>
              <w:t xml:space="preserve">Table </w:t>
            </w:r>
            <w:r>
              <w:rPr>
                <w:rFonts w:eastAsia="Calibri"/>
                <w:sz w:val="22"/>
                <w:szCs w:val="22"/>
              </w:rPr>
              <w:t>1</w:t>
            </w:r>
            <w:r w:rsidRPr="006C22E9">
              <w:rPr>
                <w:rFonts w:eastAsia="Calibri"/>
                <w:sz w:val="22"/>
                <w:szCs w:val="22"/>
              </w:rPr>
              <w:t xml:space="preserve">.-- Estimated </w:t>
            </w:r>
            <w:r w:rsidR="00837F93">
              <w:rPr>
                <w:rFonts w:eastAsia="Calibri"/>
                <w:sz w:val="22"/>
                <w:szCs w:val="22"/>
              </w:rPr>
              <w:t xml:space="preserve">One-Time </w:t>
            </w:r>
            <w:r w:rsidRPr="006C22E9">
              <w:rPr>
                <w:rFonts w:eastAsia="Calibri"/>
                <w:sz w:val="22"/>
                <w:szCs w:val="22"/>
              </w:rPr>
              <w:t xml:space="preserve">Reporting Burden </w:t>
            </w:r>
          </w:p>
        </w:tc>
      </w:tr>
      <w:tr w:rsidR="006C22E9" w:rsidRPr="006C22E9" w14:paraId="30BCDD5E" w14:textId="77777777" w:rsidTr="00CB2A8C">
        <w:trPr>
          <w:trHeight w:val="565"/>
        </w:trPr>
        <w:tc>
          <w:tcPr>
            <w:tcW w:w="2116" w:type="dxa"/>
            <w:tcBorders>
              <w:top w:val="single" w:sz="4" w:space="0" w:color="auto"/>
              <w:left w:val="single" w:sz="4" w:space="0" w:color="auto"/>
              <w:bottom w:val="single" w:sz="4" w:space="0" w:color="auto"/>
              <w:right w:val="single" w:sz="4" w:space="0" w:color="auto"/>
            </w:tcBorders>
            <w:vAlign w:val="center"/>
          </w:tcPr>
          <w:p w14:paraId="63C5B5B6" w14:textId="54C4339E" w:rsidR="006C22E9" w:rsidRPr="006C22E9" w:rsidRDefault="00837F93" w:rsidP="006C22E9">
            <w:pPr>
              <w:keepNext/>
              <w:widowControl w:val="0"/>
              <w:spacing w:line="276" w:lineRule="auto"/>
              <w:jc w:val="center"/>
              <w:rPr>
                <w:rFonts w:eastAsia="Calibri"/>
                <w:sz w:val="22"/>
                <w:szCs w:val="22"/>
              </w:rPr>
            </w:pPr>
            <w:r>
              <w:rPr>
                <w:rFonts w:eastAsia="Calibri"/>
                <w:sz w:val="22"/>
                <w:szCs w:val="22"/>
              </w:rPr>
              <w:t>Type of Plan</w:t>
            </w:r>
          </w:p>
        </w:tc>
        <w:tc>
          <w:tcPr>
            <w:tcW w:w="1336" w:type="dxa"/>
            <w:tcBorders>
              <w:top w:val="single" w:sz="4" w:space="0" w:color="auto"/>
              <w:left w:val="single" w:sz="4" w:space="0" w:color="auto"/>
              <w:bottom w:val="single" w:sz="4" w:space="0" w:color="auto"/>
              <w:right w:val="single" w:sz="4" w:space="0" w:color="auto"/>
            </w:tcBorders>
            <w:vAlign w:val="center"/>
          </w:tcPr>
          <w:p w14:paraId="32D8F2F1" w14:textId="77777777" w:rsidR="006C22E9" w:rsidRPr="006C22E9" w:rsidRDefault="006C22E9" w:rsidP="006C22E9">
            <w:pPr>
              <w:keepNext/>
              <w:widowControl w:val="0"/>
              <w:spacing w:line="276" w:lineRule="auto"/>
              <w:jc w:val="center"/>
              <w:rPr>
                <w:rFonts w:eastAsia="Calibri"/>
                <w:sz w:val="22"/>
                <w:szCs w:val="22"/>
              </w:rPr>
            </w:pPr>
            <w:r w:rsidRPr="006C22E9">
              <w:rPr>
                <w:rFonts w:eastAsia="Calibri"/>
                <w:sz w:val="22"/>
                <w:szCs w:val="22"/>
              </w:rPr>
              <w:t>No. of Respondents</w:t>
            </w:r>
          </w:p>
        </w:tc>
        <w:tc>
          <w:tcPr>
            <w:tcW w:w="1644" w:type="dxa"/>
            <w:tcBorders>
              <w:top w:val="single" w:sz="4" w:space="0" w:color="auto"/>
              <w:left w:val="single" w:sz="4" w:space="0" w:color="auto"/>
              <w:bottom w:val="single" w:sz="4" w:space="0" w:color="auto"/>
              <w:right w:val="single" w:sz="4" w:space="0" w:color="auto"/>
            </w:tcBorders>
            <w:vAlign w:val="center"/>
          </w:tcPr>
          <w:p w14:paraId="47ECC9A3" w14:textId="77777777" w:rsidR="006C22E9" w:rsidRPr="006C22E9" w:rsidRDefault="006C22E9" w:rsidP="006C22E9">
            <w:pPr>
              <w:keepNext/>
              <w:widowControl w:val="0"/>
              <w:spacing w:line="276" w:lineRule="auto"/>
              <w:jc w:val="center"/>
              <w:rPr>
                <w:rFonts w:eastAsia="Calibri"/>
                <w:sz w:val="22"/>
                <w:szCs w:val="22"/>
              </w:rPr>
            </w:pPr>
            <w:r w:rsidRPr="006C22E9">
              <w:rPr>
                <w:rFonts w:eastAsia="Calibri"/>
                <w:sz w:val="22"/>
                <w:szCs w:val="22"/>
              </w:rPr>
              <w:t>No. of Responses per Respondent</w:t>
            </w:r>
          </w:p>
        </w:tc>
        <w:tc>
          <w:tcPr>
            <w:tcW w:w="1232" w:type="dxa"/>
            <w:tcBorders>
              <w:top w:val="single" w:sz="4" w:space="0" w:color="auto"/>
              <w:left w:val="single" w:sz="4" w:space="0" w:color="auto"/>
              <w:bottom w:val="single" w:sz="4" w:space="0" w:color="auto"/>
              <w:right w:val="single" w:sz="4" w:space="0" w:color="auto"/>
            </w:tcBorders>
            <w:vAlign w:val="center"/>
          </w:tcPr>
          <w:p w14:paraId="620053FF" w14:textId="77777777" w:rsidR="006C22E9" w:rsidRPr="006C22E9" w:rsidRDefault="006C22E9" w:rsidP="006C22E9">
            <w:pPr>
              <w:keepNext/>
              <w:widowControl w:val="0"/>
              <w:spacing w:line="276" w:lineRule="auto"/>
              <w:jc w:val="center"/>
              <w:rPr>
                <w:rFonts w:eastAsia="Calibri"/>
                <w:sz w:val="22"/>
                <w:szCs w:val="22"/>
              </w:rPr>
            </w:pPr>
            <w:r w:rsidRPr="006C22E9">
              <w:rPr>
                <w:rFonts w:eastAsia="Calibri"/>
                <w:sz w:val="22"/>
                <w:szCs w:val="22"/>
              </w:rPr>
              <w:t>Total Annual Responses</w:t>
            </w:r>
          </w:p>
        </w:tc>
        <w:tc>
          <w:tcPr>
            <w:tcW w:w="1482" w:type="dxa"/>
            <w:tcBorders>
              <w:top w:val="single" w:sz="4" w:space="0" w:color="auto"/>
              <w:left w:val="single" w:sz="4" w:space="0" w:color="auto"/>
              <w:bottom w:val="single" w:sz="4" w:space="0" w:color="auto"/>
              <w:right w:val="single" w:sz="4" w:space="0" w:color="auto"/>
            </w:tcBorders>
            <w:vAlign w:val="center"/>
          </w:tcPr>
          <w:p w14:paraId="41A3390D" w14:textId="77777777" w:rsidR="006C22E9" w:rsidRPr="006C22E9" w:rsidRDefault="006C22E9" w:rsidP="006C22E9">
            <w:pPr>
              <w:keepNext/>
              <w:widowControl w:val="0"/>
              <w:spacing w:line="276" w:lineRule="auto"/>
              <w:jc w:val="center"/>
              <w:rPr>
                <w:rFonts w:eastAsia="Calibri"/>
                <w:sz w:val="22"/>
                <w:szCs w:val="22"/>
              </w:rPr>
            </w:pPr>
            <w:r w:rsidRPr="006C22E9">
              <w:rPr>
                <w:rFonts w:eastAsia="Calibri"/>
                <w:sz w:val="22"/>
                <w:szCs w:val="22"/>
              </w:rPr>
              <w:t>Average Burden per Response</w:t>
            </w:r>
          </w:p>
        </w:tc>
        <w:tc>
          <w:tcPr>
            <w:tcW w:w="739" w:type="dxa"/>
            <w:tcBorders>
              <w:top w:val="single" w:sz="4" w:space="0" w:color="auto"/>
              <w:left w:val="single" w:sz="4" w:space="0" w:color="auto"/>
              <w:bottom w:val="single" w:sz="4" w:space="0" w:color="auto"/>
              <w:right w:val="single" w:sz="4" w:space="0" w:color="auto"/>
            </w:tcBorders>
          </w:tcPr>
          <w:p w14:paraId="2DD07247" w14:textId="77777777" w:rsidR="006C22E9" w:rsidRPr="006C22E9" w:rsidRDefault="006C22E9" w:rsidP="006C22E9">
            <w:pPr>
              <w:keepNext/>
              <w:widowControl w:val="0"/>
              <w:spacing w:line="276" w:lineRule="auto"/>
              <w:jc w:val="center"/>
              <w:rPr>
                <w:rFonts w:eastAsia="Calibri"/>
                <w:sz w:val="22"/>
                <w:szCs w:val="22"/>
              </w:rPr>
            </w:pPr>
            <w:r w:rsidRPr="006C22E9">
              <w:rPr>
                <w:rFonts w:eastAsia="Calibri"/>
                <w:sz w:val="22"/>
                <w:szCs w:val="22"/>
              </w:rPr>
              <w:t>Total Hours</w:t>
            </w:r>
          </w:p>
        </w:tc>
      </w:tr>
      <w:tr w:rsidR="006C22E9" w:rsidRPr="006C22E9" w14:paraId="3C86A13B" w14:textId="77777777" w:rsidTr="00CB2A8C">
        <w:trPr>
          <w:trHeight w:val="274"/>
        </w:trPr>
        <w:tc>
          <w:tcPr>
            <w:tcW w:w="2116" w:type="dxa"/>
            <w:tcBorders>
              <w:top w:val="single" w:sz="4" w:space="0" w:color="auto"/>
              <w:left w:val="single" w:sz="4" w:space="0" w:color="auto"/>
              <w:bottom w:val="single" w:sz="4" w:space="0" w:color="auto"/>
              <w:right w:val="single" w:sz="4" w:space="0" w:color="auto"/>
            </w:tcBorders>
          </w:tcPr>
          <w:p w14:paraId="5885353D" w14:textId="7F33D112" w:rsidR="006C22E9" w:rsidRPr="006C22E9" w:rsidRDefault="00837F93" w:rsidP="006C22E9">
            <w:pPr>
              <w:keepNext/>
              <w:widowControl w:val="0"/>
              <w:autoSpaceDE w:val="0"/>
              <w:autoSpaceDN w:val="0"/>
              <w:adjustRightInd w:val="0"/>
              <w:spacing w:line="276" w:lineRule="auto"/>
              <w:rPr>
                <w:rFonts w:eastAsia="Calibri"/>
                <w:sz w:val="22"/>
                <w:szCs w:val="22"/>
              </w:rPr>
            </w:pPr>
            <w:r>
              <w:rPr>
                <w:rFonts w:eastAsia="Calibri"/>
                <w:sz w:val="22"/>
                <w:szCs w:val="22"/>
              </w:rPr>
              <w:t>Initial</w:t>
            </w:r>
            <w:r w:rsidR="006C22E9" w:rsidRPr="006C22E9">
              <w:rPr>
                <w:rFonts w:eastAsia="Calibri"/>
                <w:sz w:val="22"/>
                <w:szCs w:val="22"/>
              </w:rPr>
              <w:t xml:space="preserve"> plans</w:t>
            </w:r>
          </w:p>
        </w:tc>
        <w:tc>
          <w:tcPr>
            <w:tcW w:w="1336" w:type="dxa"/>
            <w:tcBorders>
              <w:top w:val="single" w:sz="4" w:space="0" w:color="auto"/>
              <w:left w:val="single" w:sz="4" w:space="0" w:color="auto"/>
              <w:bottom w:val="single" w:sz="4" w:space="0" w:color="auto"/>
              <w:right w:val="single" w:sz="4" w:space="0" w:color="auto"/>
            </w:tcBorders>
            <w:vAlign w:val="center"/>
          </w:tcPr>
          <w:p w14:paraId="09585A0D"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59</w:t>
            </w:r>
          </w:p>
        </w:tc>
        <w:tc>
          <w:tcPr>
            <w:tcW w:w="1644" w:type="dxa"/>
            <w:tcBorders>
              <w:top w:val="single" w:sz="4" w:space="0" w:color="auto"/>
              <w:left w:val="single" w:sz="4" w:space="0" w:color="auto"/>
              <w:bottom w:val="single" w:sz="4" w:space="0" w:color="auto"/>
              <w:right w:val="single" w:sz="4" w:space="0" w:color="auto"/>
            </w:tcBorders>
            <w:vAlign w:val="center"/>
          </w:tcPr>
          <w:p w14:paraId="1D8365FD"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1</w:t>
            </w:r>
          </w:p>
        </w:tc>
        <w:tc>
          <w:tcPr>
            <w:tcW w:w="1232" w:type="dxa"/>
            <w:tcBorders>
              <w:top w:val="single" w:sz="4" w:space="0" w:color="auto"/>
              <w:left w:val="single" w:sz="4" w:space="0" w:color="auto"/>
              <w:bottom w:val="single" w:sz="4" w:space="0" w:color="auto"/>
              <w:right w:val="single" w:sz="4" w:space="0" w:color="auto"/>
            </w:tcBorders>
            <w:vAlign w:val="center"/>
          </w:tcPr>
          <w:p w14:paraId="54EC5667"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59</w:t>
            </w:r>
          </w:p>
        </w:tc>
        <w:tc>
          <w:tcPr>
            <w:tcW w:w="1482" w:type="dxa"/>
            <w:tcBorders>
              <w:top w:val="single" w:sz="4" w:space="0" w:color="auto"/>
              <w:left w:val="single" w:sz="4" w:space="0" w:color="auto"/>
              <w:bottom w:val="single" w:sz="4" w:space="0" w:color="auto"/>
              <w:right w:val="single" w:sz="4" w:space="0" w:color="auto"/>
            </w:tcBorders>
            <w:vAlign w:val="center"/>
          </w:tcPr>
          <w:p w14:paraId="09BB8FCD"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150</w:t>
            </w:r>
          </w:p>
        </w:tc>
        <w:tc>
          <w:tcPr>
            <w:tcW w:w="739" w:type="dxa"/>
            <w:tcBorders>
              <w:top w:val="single" w:sz="4" w:space="0" w:color="auto"/>
              <w:left w:val="single" w:sz="4" w:space="0" w:color="auto"/>
              <w:bottom w:val="single" w:sz="4" w:space="0" w:color="auto"/>
              <w:right w:val="single" w:sz="4" w:space="0" w:color="auto"/>
            </w:tcBorders>
            <w:vAlign w:val="center"/>
          </w:tcPr>
          <w:p w14:paraId="7B8871E7"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8,850</w:t>
            </w:r>
          </w:p>
        </w:tc>
      </w:tr>
      <w:tr w:rsidR="006C22E9" w:rsidRPr="006C22E9" w14:paraId="2D4A5E41" w14:textId="77777777" w:rsidTr="00CB2A8C">
        <w:trPr>
          <w:trHeight w:val="274"/>
        </w:trPr>
        <w:tc>
          <w:tcPr>
            <w:tcW w:w="2116" w:type="dxa"/>
            <w:tcBorders>
              <w:top w:val="single" w:sz="4" w:space="0" w:color="auto"/>
              <w:left w:val="single" w:sz="4" w:space="0" w:color="auto"/>
              <w:bottom w:val="single" w:sz="4" w:space="0" w:color="auto"/>
              <w:right w:val="single" w:sz="4" w:space="0" w:color="auto"/>
            </w:tcBorders>
          </w:tcPr>
          <w:p w14:paraId="13E42715" w14:textId="77777777" w:rsidR="006C22E9" w:rsidRPr="006C22E9" w:rsidRDefault="006C22E9" w:rsidP="006C22E9">
            <w:pPr>
              <w:keepNext/>
              <w:widowControl w:val="0"/>
              <w:autoSpaceDE w:val="0"/>
              <w:autoSpaceDN w:val="0"/>
              <w:adjustRightInd w:val="0"/>
              <w:spacing w:line="276" w:lineRule="auto"/>
              <w:rPr>
                <w:rFonts w:eastAsia="Calibri"/>
                <w:sz w:val="22"/>
                <w:szCs w:val="22"/>
              </w:rPr>
            </w:pPr>
            <w:r w:rsidRPr="006C22E9">
              <w:rPr>
                <w:rFonts w:eastAsia="Calibri"/>
                <w:sz w:val="22"/>
                <w:szCs w:val="22"/>
              </w:rPr>
              <w:t>Supplements</w:t>
            </w:r>
          </w:p>
        </w:tc>
        <w:tc>
          <w:tcPr>
            <w:tcW w:w="1336" w:type="dxa"/>
            <w:tcBorders>
              <w:top w:val="single" w:sz="4" w:space="0" w:color="auto"/>
              <w:left w:val="single" w:sz="4" w:space="0" w:color="auto"/>
              <w:bottom w:val="single" w:sz="4" w:space="0" w:color="auto"/>
              <w:right w:val="single" w:sz="4" w:space="0" w:color="auto"/>
            </w:tcBorders>
            <w:vAlign w:val="center"/>
          </w:tcPr>
          <w:p w14:paraId="32BC1185"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30</w:t>
            </w:r>
          </w:p>
        </w:tc>
        <w:tc>
          <w:tcPr>
            <w:tcW w:w="1644" w:type="dxa"/>
            <w:tcBorders>
              <w:top w:val="single" w:sz="4" w:space="0" w:color="auto"/>
              <w:left w:val="single" w:sz="4" w:space="0" w:color="auto"/>
              <w:bottom w:val="single" w:sz="4" w:space="0" w:color="auto"/>
              <w:right w:val="single" w:sz="4" w:space="0" w:color="auto"/>
            </w:tcBorders>
            <w:vAlign w:val="center"/>
          </w:tcPr>
          <w:p w14:paraId="73F8DA54"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1</w:t>
            </w:r>
          </w:p>
        </w:tc>
        <w:tc>
          <w:tcPr>
            <w:tcW w:w="1232" w:type="dxa"/>
            <w:tcBorders>
              <w:top w:val="single" w:sz="4" w:space="0" w:color="auto"/>
              <w:left w:val="single" w:sz="4" w:space="0" w:color="auto"/>
              <w:bottom w:val="single" w:sz="4" w:space="0" w:color="auto"/>
              <w:right w:val="single" w:sz="4" w:space="0" w:color="auto"/>
            </w:tcBorders>
            <w:vAlign w:val="center"/>
          </w:tcPr>
          <w:p w14:paraId="2CDCBF81"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30</w:t>
            </w:r>
          </w:p>
        </w:tc>
        <w:tc>
          <w:tcPr>
            <w:tcW w:w="1482" w:type="dxa"/>
            <w:tcBorders>
              <w:top w:val="single" w:sz="4" w:space="0" w:color="auto"/>
              <w:left w:val="single" w:sz="4" w:space="0" w:color="auto"/>
              <w:bottom w:val="single" w:sz="4" w:space="0" w:color="auto"/>
              <w:right w:val="single" w:sz="4" w:space="0" w:color="auto"/>
            </w:tcBorders>
            <w:vAlign w:val="center"/>
          </w:tcPr>
          <w:p w14:paraId="2BAB7C6D"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75</w:t>
            </w:r>
          </w:p>
        </w:tc>
        <w:tc>
          <w:tcPr>
            <w:tcW w:w="739" w:type="dxa"/>
            <w:tcBorders>
              <w:top w:val="single" w:sz="4" w:space="0" w:color="auto"/>
              <w:left w:val="single" w:sz="4" w:space="0" w:color="auto"/>
              <w:bottom w:val="single" w:sz="4" w:space="0" w:color="auto"/>
              <w:right w:val="single" w:sz="4" w:space="0" w:color="auto"/>
            </w:tcBorders>
            <w:vAlign w:val="center"/>
          </w:tcPr>
          <w:p w14:paraId="6CD11CCA"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2,250</w:t>
            </w:r>
          </w:p>
        </w:tc>
      </w:tr>
      <w:tr w:rsidR="006C22E9" w:rsidRPr="006C22E9" w14:paraId="235E391C" w14:textId="77777777" w:rsidTr="00CB2A8C">
        <w:trPr>
          <w:trHeight w:val="274"/>
        </w:trPr>
        <w:tc>
          <w:tcPr>
            <w:tcW w:w="7811" w:type="dxa"/>
            <w:gridSpan w:val="5"/>
            <w:tcBorders>
              <w:top w:val="single" w:sz="4" w:space="0" w:color="auto"/>
              <w:left w:val="single" w:sz="4" w:space="0" w:color="auto"/>
              <w:bottom w:val="single" w:sz="4" w:space="0" w:color="auto"/>
              <w:right w:val="single" w:sz="4" w:space="0" w:color="auto"/>
            </w:tcBorders>
          </w:tcPr>
          <w:p w14:paraId="190EBA9C" w14:textId="77777777" w:rsidR="006C22E9" w:rsidRPr="006C22E9" w:rsidRDefault="006C22E9" w:rsidP="006C22E9">
            <w:pPr>
              <w:keepNext/>
              <w:widowControl w:val="0"/>
              <w:spacing w:line="276" w:lineRule="auto"/>
              <w:rPr>
                <w:rFonts w:eastAsia="Calibri"/>
                <w:sz w:val="22"/>
                <w:szCs w:val="22"/>
              </w:rPr>
            </w:pPr>
            <w:r w:rsidRPr="006C22E9">
              <w:rPr>
                <w:rFonts w:eastAsia="Calibri"/>
                <w:sz w:val="22"/>
                <w:szCs w:val="22"/>
              </w:rPr>
              <w:t>Total</w:t>
            </w:r>
          </w:p>
        </w:tc>
        <w:tc>
          <w:tcPr>
            <w:tcW w:w="739" w:type="dxa"/>
            <w:tcBorders>
              <w:top w:val="single" w:sz="4" w:space="0" w:color="auto"/>
              <w:left w:val="single" w:sz="4" w:space="0" w:color="auto"/>
              <w:bottom w:val="single" w:sz="4" w:space="0" w:color="auto"/>
              <w:right w:val="single" w:sz="4" w:space="0" w:color="auto"/>
            </w:tcBorders>
            <w:vAlign w:val="center"/>
          </w:tcPr>
          <w:p w14:paraId="6519A1BA"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11,100</w:t>
            </w:r>
          </w:p>
        </w:tc>
      </w:tr>
    </w:tbl>
    <w:p w14:paraId="70C1A728" w14:textId="77777777" w:rsidR="006C22E9" w:rsidRPr="006C22E9" w:rsidRDefault="006C22E9" w:rsidP="006C22E9">
      <w:pPr>
        <w:widowControl w:val="0"/>
        <w:rPr>
          <w:rFonts w:eastAsia="Calibri"/>
        </w:rPr>
      </w:pPr>
    </w:p>
    <w:bookmarkEnd w:id="1"/>
    <w:p w14:paraId="5036AE61" w14:textId="1878C319" w:rsidR="006C22E9" w:rsidRDefault="006C22E9" w:rsidP="00CB2A8C">
      <w:pPr>
        <w:ind w:left="720"/>
        <w:rPr>
          <w:rFonts w:eastAsia="Calibri"/>
          <w:szCs w:val="22"/>
        </w:rPr>
      </w:pPr>
      <w:r w:rsidRPr="006C22E9">
        <w:rPr>
          <w:rFonts w:eastAsia="Calibri"/>
          <w:szCs w:val="22"/>
        </w:rPr>
        <w:t>The burden estimates are based on FDA's experience with information collections for other tobacco product plans (i.e., smokeless OMB control number 0910-0671 and cigars OMB control number 0910-0768) and 2017 Treasury Alcohol and Tobacco Tax and Trade Bureau (TTB) data.</w:t>
      </w:r>
    </w:p>
    <w:p w14:paraId="27B7DBF8" w14:textId="77777777" w:rsidR="00CB2A8C" w:rsidRPr="006C22E9" w:rsidRDefault="00CB2A8C" w:rsidP="00CB2A8C">
      <w:pPr>
        <w:ind w:left="720"/>
        <w:rPr>
          <w:rFonts w:eastAsia="Calibri"/>
          <w:szCs w:val="22"/>
        </w:rPr>
      </w:pPr>
    </w:p>
    <w:p w14:paraId="5CCC9B06" w14:textId="44B76CED" w:rsidR="006C22E9" w:rsidRDefault="006C22E9" w:rsidP="00CB2A8C">
      <w:pPr>
        <w:ind w:left="720"/>
        <w:rPr>
          <w:rFonts w:eastAsia="Calibri"/>
          <w:szCs w:val="22"/>
        </w:rPr>
      </w:pPr>
      <w:r w:rsidRPr="006C22E9">
        <w:rPr>
          <w:rFonts w:eastAsia="Calibri"/>
          <w:szCs w:val="22"/>
        </w:rPr>
        <w:t xml:space="preserve">As discussed in the </w:t>
      </w:r>
      <w:bookmarkStart w:id="2" w:name="_Hlk11758591"/>
      <w:r w:rsidRPr="006C22E9">
        <w:rPr>
          <w:rFonts w:eastAsia="Calibri"/>
          <w:szCs w:val="22"/>
        </w:rPr>
        <w:t>preliminary regulatory impact analysis</w:t>
      </w:r>
      <w:bookmarkEnd w:id="2"/>
      <w:r w:rsidRPr="006C22E9">
        <w:rPr>
          <w:rFonts w:eastAsia="Calibri"/>
          <w:szCs w:val="22"/>
        </w:rPr>
        <w:t xml:space="preserve">, based on 2017 TTB data FDA estimates 59 entities will be affected by the rule.  We estimate these 59 entities will submit </w:t>
      </w:r>
      <w:r w:rsidR="00DA20EF">
        <w:rPr>
          <w:rFonts w:eastAsia="Calibri"/>
          <w:szCs w:val="22"/>
        </w:rPr>
        <w:t xml:space="preserve">initial </w:t>
      </w:r>
      <w:r w:rsidRPr="006C22E9">
        <w:rPr>
          <w:rFonts w:eastAsia="Calibri"/>
          <w:szCs w:val="22"/>
        </w:rPr>
        <w:t xml:space="preserve">plans, and it will take an average of 150 hours per respondent to prepare and submit a plan for packaging and advertising for a total of 8,850 hours.  We estimate that about half of respondents will submit a supplement.  If a supplement to an approved plan is submitted, FDA estimates it will take half the time per response.  We estimate receiving 30 supplements at 75 hours per response for a total of 2,250 hours.  FDA estimates that the total hours for submitting </w:t>
      </w:r>
      <w:r w:rsidR="006E7902">
        <w:rPr>
          <w:rFonts w:eastAsia="Calibri"/>
          <w:szCs w:val="22"/>
        </w:rPr>
        <w:t>initial</w:t>
      </w:r>
      <w:r w:rsidRPr="006C22E9">
        <w:rPr>
          <w:rFonts w:eastAsia="Calibri"/>
          <w:szCs w:val="22"/>
        </w:rPr>
        <w:t xml:space="preserve"> plans and supplements will be 11,100.</w:t>
      </w:r>
    </w:p>
    <w:p w14:paraId="2AB73CF5" w14:textId="77777777" w:rsidR="00CB2A8C" w:rsidRPr="006C22E9" w:rsidRDefault="00CB2A8C" w:rsidP="00CB2A8C">
      <w:pPr>
        <w:ind w:left="720"/>
        <w:rPr>
          <w:rFonts w:eastAsia="Calibri"/>
          <w:szCs w:val="22"/>
        </w:rPr>
      </w:pPr>
    </w:p>
    <w:p w14:paraId="30642294" w14:textId="537E77F5" w:rsidR="006C22E9" w:rsidRDefault="006C22E9" w:rsidP="00CB2A8C">
      <w:pPr>
        <w:ind w:left="720"/>
        <w:rPr>
          <w:rFonts w:eastAsia="Calibri"/>
          <w:szCs w:val="22"/>
        </w:rPr>
      </w:pPr>
      <w:r w:rsidRPr="006C22E9">
        <w:rPr>
          <w:rFonts w:eastAsia="Calibri"/>
          <w:szCs w:val="22"/>
        </w:rPr>
        <w:t>Proposed § 1141.10(g)(4) would establish that each tobacco product manufacturer required to randomly and equally display and distribute warnings on packaging or quarterly rotate warnings on advertisements in accordance with an FDA-approved plan under section 4 of the FCLAA and this proposed part must maintain a copy of the FDA-approved plan (approved under proposed § 1141.10(g)(3)).  This copy (or record) of such FDA-approved plan must be available for inspection and copying by officers or employees of FDA.  This proposed subsection would require that the record(s) be retained for a period of not less than 4 years from the date of FDA's approval of the plan.</w:t>
      </w:r>
    </w:p>
    <w:p w14:paraId="35CCDB0E" w14:textId="77777777" w:rsidR="00CB2A8C" w:rsidRPr="006C22E9" w:rsidRDefault="00CB2A8C" w:rsidP="00CB2A8C">
      <w:pPr>
        <w:ind w:left="720"/>
        <w:rPr>
          <w:rFonts w:eastAsia="Calibri"/>
          <w:szCs w:val="22"/>
        </w:rPr>
      </w:pPr>
    </w:p>
    <w:tbl>
      <w:tblPr>
        <w:tblW w:w="8625" w:type="dxa"/>
        <w:tblInd w:w="719" w:type="dxa"/>
        <w:tblLayout w:type="fixed"/>
        <w:tblCellMar>
          <w:left w:w="0" w:type="dxa"/>
          <w:right w:w="0" w:type="dxa"/>
        </w:tblCellMar>
        <w:tblLook w:val="0000" w:firstRow="0" w:lastRow="0" w:firstColumn="0" w:lastColumn="0" w:noHBand="0" w:noVBand="0"/>
      </w:tblPr>
      <w:tblGrid>
        <w:gridCol w:w="1366"/>
        <w:gridCol w:w="1366"/>
        <w:gridCol w:w="1708"/>
        <w:gridCol w:w="1451"/>
        <w:gridCol w:w="1880"/>
        <w:gridCol w:w="854"/>
      </w:tblGrid>
      <w:tr w:rsidR="006C22E9" w:rsidRPr="006C22E9" w14:paraId="6EFFFE43" w14:textId="77777777" w:rsidTr="00CB2A8C">
        <w:trPr>
          <w:trHeight w:val="270"/>
        </w:trPr>
        <w:tc>
          <w:tcPr>
            <w:tcW w:w="8625" w:type="dxa"/>
            <w:gridSpan w:val="6"/>
            <w:tcBorders>
              <w:bottom w:val="single" w:sz="4" w:space="0" w:color="auto"/>
            </w:tcBorders>
            <w:vAlign w:val="center"/>
          </w:tcPr>
          <w:p w14:paraId="0C8F42BD" w14:textId="77777777" w:rsidR="006C22E9" w:rsidRPr="006C22E9" w:rsidRDefault="006C22E9" w:rsidP="006C22E9">
            <w:pPr>
              <w:keepNext/>
              <w:widowControl w:val="0"/>
              <w:spacing w:line="276" w:lineRule="auto"/>
              <w:jc w:val="center"/>
              <w:rPr>
                <w:rFonts w:eastAsia="Calibri"/>
                <w:sz w:val="22"/>
                <w:szCs w:val="22"/>
              </w:rPr>
            </w:pPr>
            <w:bookmarkStart w:id="3" w:name="_Hlk11685476"/>
            <w:r w:rsidRPr="006C22E9">
              <w:rPr>
                <w:rFonts w:eastAsia="Calibri"/>
                <w:sz w:val="22"/>
                <w:szCs w:val="22"/>
              </w:rPr>
              <w:t xml:space="preserve">Table </w:t>
            </w:r>
            <w:r>
              <w:rPr>
                <w:rFonts w:eastAsia="Calibri"/>
                <w:sz w:val="22"/>
                <w:szCs w:val="22"/>
              </w:rPr>
              <w:t>2</w:t>
            </w:r>
            <w:r w:rsidRPr="006C22E9">
              <w:rPr>
                <w:rFonts w:eastAsia="Calibri"/>
                <w:sz w:val="22"/>
                <w:szCs w:val="22"/>
              </w:rPr>
              <w:t>.--Estimated Annual Recordkeeping Burden</w:t>
            </w:r>
          </w:p>
        </w:tc>
      </w:tr>
      <w:tr w:rsidR="006C22E9" w:rsidRPr="006C22E9" w14:paraId="7255E7A2" w14:textId="77777777" w:rsidTr="00CB2A8C">
        <w:trPr>
          <w:trHeight w:val="555"/>
        </w:trPr>
        <w:tc>
          <w:tcPr>
            <w:tcW w:w="1366" w:type="dxa"/>
            <w:tcBorders>
              <w:top w:val="single" w:sz="4" w:space="0" w:color="auto"/>
              <w:left w:val="single" w:sz="4" w:space="0" w:color="auto"/>
              <w:bottom w:val="single" w:sz="4" w:space="0" w:color="auto"/>
              <w:right w:val="single" w:sz="4" w:space="0" w:color="auto"/>
            </w:tcBorders>
            <w:vAlign w:val="center"/>
          </w:tcPr>
          <w:p w14:paraId="6DCA339E" w14:textId="4BDAAB3F" w:rsidR="006C22E9" w:rsidRPr="006C22E9" w:rsidRDefault="006C22E9" w:rsidP="006C22E9">
            <w:pPr>
              <w:keepNext/>
              <w:widowControl w:val="0"/>
              <w:spacing w:line="276" w:lineRule="auto"/>
              <w:jc w:val="center"/>
              <w:rPr>
                <w:rFonts w:eastAsia="Calibri"/>
                <w:sz w:val="22"/>
                <w:szCs w:val="22"/>
              </w:rPr>
            </w:pPr>
            <w:r w:rsidRPr="006C22E9">
              <w:rPr>
                <w:rFonts w:eastAsia="Calibri"/>
                <w:sz w:val="22"/>
                <w:szCs w:val="22"/>
              </w:rPr>
              <w:t>Plan Records</w:t>
            </w:r>
          </w:p>
        </w:tc>
        <w:tc>
          <w:tcPr>
            <w:tcW w:w="1366" w:type="dxa"/>
            <w:tcBorders>
              <w:top w:val="single" w:sz="4" w:space="0" w:color="auto"/>
              <w:left w:val="single" w:sz="4" w:space="0" w:color="auto"/>
              <w:bottom w:val="single" w:sz="4" w:space="0" w:color="auto"/>
              <w:right w:val="single" w:sz="4" w:space="0" w:color="auto"/>
            </w:tcBorders>
            <w:vAlign w:val="center"/>
          </w:tcPr>
          <w:p w14:paraId="012B282B" w14:textId="77777777" w:rsidR="006C22E9" w:rsidRPr="006C22E9" w:rsidRDefault="006C22E9" w:rsidP="006C22E9">
            <w:pPr>
              <w:keepNext/>
              <w:widowControl w:val="0"/>
              <w:spacing w:line="276" w:lineRule="auto"/>
              <w:jc w:val="center"/>
              <w:rPr>
                <w:rFonts w:eastAsia="Calibri"/>
                <w:sz w:val="22"/>
                <w:szCs w:val="22"/>
              </w:rPr>
            </w:pPr>
            <w:r w:rsidRPr="006C22E9">
              <w:rPr>
                <w:rFonts w:eastAsia="Calibri"/>
                <w:sz w:val="22"/>
                <w:szCs w:val="22"/>
              </w:rPr>
              <w:t>No. of Recordkeepers</w:t>
            </w:r>
          </w:p>
        </w:tc>
        <w:tc>
          <w:tcPr>
            <w:tcW w:w="1708" w:type="dxa"/>
            <w:tcBorders>
              <w:top w:val="single" w:sz="4" w:space="0" w:color="auto"/>
              <w:left w:val="single" w:sz="4" w:space="0" w:color="auto"/>
              <w:bottom w:val="single" w:sz="4" w:space="0" w:color="auto"/>
              <w:right w:val="single" w:sz="4" w:space="0" w:color="auto"/>
            </w:tcBorders>
            <w:vAlign w:val="center"/>
          </w:tcPr>
          <w:p w14:paraId="6FB09F28" w14:textId="77777777" w:rsidR="006C22E9" w:rsidRPr="006C22E9" w:rsidRDefault="006C22E9" w:rsidP="006C22E9">
            <w:pPr>
              <w:keepNext/>
              <w:widowControl w:val="0"/>
              <w:spacing w:line="276" w:lineRule="auto"/>
              <w:jc w:val="center"/>
              <w:rPr>
                <w:rFonts w:eastAsia="Calibri"/>
                <w:sz w:val="22"/>
                <w:szCs w:val="22"/>
              </w:rPr>
            </w:pPr>
            <w:r w:rsidRPr="006C22E9">
              <w:rPr>
                <w:rFonts w:eastAsia="Calibri"/>
                <w:bCs/>
                <w:sz w:val="22"/>
                <w:szCs w:val="22"/>
              </w:rPr>
              <w:t>No. of Records per Recordkeeper</w:t>
            </w:r>
          </w:p>
        </w:tc>
        <w:tc>
          <w:tcPr>
            <w:tcW w:w="1451" w:type="dxa"/>
            <w:tcBorders>
              <w:top w:val="single" w:sz="4" w:space="0" w:color="auto"/>
              <w:left w:val="single" w:sz="4" w:space="0" w:color="auto"/>
              <w:bottom w:val="single" w:sz="4" w:space="0" w:color="auto"/>
              <w:right w:val="single" w:sz="4" w:space="0" w:color="auto"/>
            </w:tcBorders>
            <w:vAlign w:val="center"/>
          </w:tcPr>
          <w:p w14:paraId="65D6C1CF" w14:textId="77777777" w:rsidR="006C22E9" w:rsidRPr="006C22E9" w:rsidRDefault="006C22E9" w:rsidP="006C22E9">
            <w:pPr>
              <w:keepNext/>
              <w:widowControl w:val="0"/>
              <w:spacing w:line="276" w:lineRule="auto"/>
              <w:jc w:val="center"/>
              <w:rPr>
                <w:rFonts w:eastAsia="Calibri"/>
                <w:sz w:val="22"/>
                <w:szCs w:val="22"/>
              </w:rPr>
            </w:pPr>
            <w:r w:rsidRPr="006C22E9">
              <w:rPr>
                <w:rFonts w:eastAsia="Calibri"/>
                <w:sz w:val="22"/>
                <w:szCs w:val="22"/>
              </w:rPr>
              <w:t>Total Annual Records</w:t>
            </w:r>
          </w:p>
        </w:tc>
        <w:tc>
          <w:tcPr>
            <w:tcW w:w="1880" w:type="dxa"/>
            <w:tcBorders>
              <w:top w:val="single" w:sz="4" w:space="0" w:color="auto"/>
              <w:left w:val="single" w:sz="4" w:space="0" w:color="auto"/>
              <w:bottom w:val="single" w:sz="4" w:space="0" w:color="auto"/>
              <w:right w:val="single" w:sz="4" w:space="0" w:color="auto"/>
            </w:tcBorders>
            <w:vAlign w:val="center"/>
          </w:tcPr>
          <w:p w14:paraId="7AD60660" w14:textId="77777777" w:rsidR="006C22E9" w:rsidRPr="006C22E9" w:rsidRDefault="006C22E9" w:rsidP="006C22E9">
            <w:pPr>
              <w:keepNext/>
              <w:widowControl w:val="0"/>
              <w:spacing w:line="276" w:lineRule="auto"/>
              <w:jc w:val="center"/>
              <w:rPr>
                <w:rFonts w:eastAsia="Calibri"/>
                <w:sz w:val="22"/>
                <w:szCs w:val="22"/>
              </w:rPr>
            </w:pPr>
            <w:r w:rsidRPr="006C22E9">
              <w:rPr>
                <w:rFonts w:eastAsia="Calibri"/>
                <w:bCs/>
                <w:sz w:val="22"/>
                <w:szCs w:val="22"/>
              </w:rPr>
              <w:t>Average Burden per Recordkeeping</w:t>
            </w:r>
          </w:p>
        </w:tc>
        <w:tc>
          <w:tcPr>
            <w:tcW w:w="854" w:type="dxa"/>
            <w:tcBorders>
              <w:top w:val="single" w:sz="4" w:space="0" w:color="auto"/>
              <w:left w:val="single" w:sz="4" w:space="0" w:color="auto"/>
              <w:bottom w:val="single" w:sz="4" w:space="0" w:color="auto"/>
              <w:right w:val="single" w:sz="4" w:space="0" w:color="auto"/>
            </w:tcBorders>
          </w:tcPr>
          <w:p w14:paraId="7FBF8B74" w14:textId="77777777" w:rsidR="006C22E9" w:rsidRPr="006C22E9" w:rsidRDefault="006C22E9" w:rsidP="006C22E9">
            <w:pPr>
              <w:keepNext/>
              <w:widowControl w:val="0"/>
              <w:spacing w:line="276" w:lineRule="auto"/>
              <w:jc w:val="center"/>
              <w:rPr>
                <w:rFonts w:eastAsia="Calibri"/>
                <w:sz w:val="22"/>
                <w:szCs w:val="22"/>
              </w:rPr>
            </w:pPr>
            <w:r w:rsidRPr="006C22E9">
              <w:rPr>
                <w:rFonts w:eastAsia="Calibri"/>
                <w:sz w:val="22"/>
                <w:szCs w:val="22"/>
              </w:rPr>
              <w:t>Total Hours</w:t>
            </w:r>
          </w:p>
        </w:tc>
      </w:tr>
      <w:tr w:rsidR="006C22E9" w:rsidRPr="006C22E9" w14:paraId="64259239" w14:textId="77777777" w:rsidTr="00CB2A8C">
        <w:trPr>
          <w:trHeight w:val="270"/>
        </w:trPr>
        <w:tc>
          <w:tcPr>
            <w:tcW w:w="1366" w:type="dxa"/>
            <w:tcBorders>
              <w:top w:val="single" w:sz="4" w:space="0" w:color="auto"/>
              <w:left w:val="single" w:sz="4" w:space="0" w:color="auto"/>
              <w:bottom w:val="single" w:sz="4" w:space="0" w:color="auto"/>
              <w:right w:val="single" w:sz="4" w:space="0" w:color="auto"/>
            </w:tcBorders>
          </w:tcPr>
          <w:p w14:paraId="64A433DA" w14:textId="77777777" w:rsidR="006C22E9" w:rsidRPr="006C22E9" w:rsidRDefault="006C22E9" w:rsidP="006C22E9">
            <w:pPr>
              <w:keepNext/>
              <w:widowControl w:val="0"/>
              <w:autoSpaceDE w:val="0"/>
              <w:autoSpaceDN w:val="0"/>
              <w:adjustRightInd w:val="0"/>
              <w:spacing w:line="276" w:lineRule="auto"/>
              <w:rPr>
                <w:rFonts w:eastAsia="Calibri"/>
                <w:sz w:val="22"/>
                <w:szCs w:val="22"/>
              </w:rPr>
            </w:pPr>
            <w:r w:rsidRPr="006C22E9">
              <w:rPr>
                <w:rFonts w:eastAsia="Calibri"/>
                <w:sz w:val="22"/>
                <w:szCs w:val="22"/>
              </w:rPr>
              <w:t xml:space="preserve">Records </w:t>
            </w:r>
          </w:p>
        </w:tc>
        <w:tc>
          <w:tcPr>
            <w:tcW w:w="1366" w:type="dxa"/>
            <w:tcBorders>
              <w:top w:val="single" w:sz="4" w:space="0" w:color="auto"/>
              <w:left w:val="single" w:sz="4" w:space="0" w:color="auto"/>
              <w:bottom w:val="single" w:sz="4" w:space="0" w:color="auto"/>
              <w:right w:val="single" w:sz="4" w:space="0" w:color="auto"/>
            </w:tcBorders>
            <w:vAlign w:val="center"/>
          </w:tcPr>
          <w:p w14:paraId="0A6611BC"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59</w:t>
            </w:r>
          </w:p>
        </w:tc>
        <w:tc>
          <w:tcPr>
            <w:tcW w:w="1708" w:type="dxa"/>
            <w:tcBorders>
              <w:top w:val="single" w:sz="4" w:space="0" w:color="auto"/>
              <w:left w:val="single" w:sz="4" w:space="0" w:color="auto"/>
              <w:bottom w:val="single" w:sz="4" w:space="0" w:color="auto"/>
              <w:right w:val="single" w:sz="4" w:space="0" w:color="auto"/>
            </w:tcBorders>
            <w:vAlign w:val="center"/>
          </w:tcPr>
          <w:p w14:paraId="08C2FD1E"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1.5</w:t>
            </w:r>
          </w:p>
        </w:tc>
        <w:tc>
          <w:tcPr>
            <w:tcW w:w="1451" w:type="dxa"/>
            <w:tcBorders>
              <w:top w:val="single" w:sz="4" w:space="0" w:color="auto"/>
              <w:left w:val="single" w:sz="4" w:space="0" w:color="auto"/>
              <w:bottom w:val="single" w:sz="4" w:space="0" w:color="auto"/>
              <w:right w:val="single" w:sz="4" w:space="0" w:color="auto"/>
            </w:tcBorders>
            <w:vAlign w:val="center"/>
          </w:tcPr>
          <w:p w14:paraId="3B7514A2"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89</w:t>
            </w:r>
          </w:p>
        </w:tc>
        <w:tc>
          <w:tcPr>
            <w:tcW w:w="1880" w:type="dxa"/>
            <w:tcBorders>
              <w:top w:val="single" w:sz="4" w:space="0" w:color="auto"/>
              <w:left w:val="single" w:sz="4" w:space="0" w:color="auto"/>
              <w:bottom w:val="single" w:sz="4" w:space="0" w:color="auto"/>
              <w:right w:val="single" w:sz="4" w:space="0" w:color="auto"/>
            </w:tcBorders>
            <w:vAlign w:val="center"/>
          </w:tcPr>
          <w:p w14:paraId="15A54F30"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3</w:t>
            </w:r>
          </w:p>
        </w:tc>
        <w:tc>
          <w:tcPr>
            <w:tcW w:w="854" w:type="dxa"/>
            <w:tcBorders>
              <w:top w:val="single" w:sz="4" w:space="0" w:color="auto"/>
              <w:left w:val="single" w:sz="4" w:space="0" w:color="auto"/>
              <w:bottom w:val="single" w:sz="4" w:space="0" w:color="auto"/>
              <w:right w:val="single" w:sz="4" w:space="0" w:color="auto"/>
            </w:tcBorders>
            <w:vAlign w:val="center"/>
          </w:tcPr>
          <w:p w14:paraId="01DBB118"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267</w:t>
            </w:r>
          </w:p>
        </w:tc>
      </w:tr>
      <w:tr w:rsidR="006C22E9" w:rsidRPr="006C22E9" w14:paraId="17879F05" w14:textId="77777777" w:rsidTr="00CB2A8C">
        <w:trPr>
          <w:trHeight w:val="270"/>
        </w:trPr>
        <w:tc>
          <w:tcPr>
            <w:tcW w:w="7771" w:type="dxa"/>
            <w:gridSpan w:val="5"/>
            <w:tcBorders>
              <w:top w:val="single" w:sz="4" w:space="0" w:color="auto"/>
              <w:left w:val="single" w:sz="4" w:space="0" w:color="auto"/>
              <w:bottom w:val="single" w:sz="4" w:space="0" w:color="auto"/>
              <w:right w:val="single" w:sz="4" w:space="0" w:color="auto"/>
            </w:tcBorders>
          </w:tcPr>
          <w:p w14:paraId="106790DE" w14:textId="77777777" w:rsidR="006C22E9" w:rsidRPr="006C22E9" w:rsidRDefault="006C22E9" w:rsidP="006C22E9">
            <w:pPr>
              <w:keepNext/>
              <w:widowControl w:val="0"/>
              <w:spacing w:line="276" w:lineRule="auto"/>
              <w:rPr>
                <w:rFonts w:eastAsia="Calibri"/>
                <w:sz w:val="22"/>
                <w:szCs w:val="22"/>
              </w:rPr>
            </w:pPr>
            <w:r w:rsidRPr="006C22E9">
              <w:rPr>
                <w:rFonts w:eastAsia="Calibri"/>
                <w:sz w:val="22"/>
                <w:szCs w:val="22"/>
              </w:rPr>
              <w:t>Total</w:t>
            </w:r>
          </w:p>
        </w:tc>
        <w:tc>
          <w:tcPr>
            <w:tcW w:w="854" w:type="dxa"/>
            <w:tcBorders>
              <w:top w:val="single" w:sz="4" w:space="0" w:color="auto"/>
              <w:left w:val="single" w:sz="4" w:space="0" w:color="auto"/>
              <w:bottom w:val="single" w:sz="4" w:space="0" w:color="auto"/>
              <w:right w:val="single" w:sz="4" w:space="0" w:color="auto"/>
            </w:tcBorders>
            <w:vAlign w:val="center"/>
          </w:tcPr>
          <w:p w14:paraId="702D5E4D" w14:textId="77777777" w:rsidR="006C22E9" w:rsidRPr="006C22E9" w:rsidRDefault="006C22E9" w:rsidP="006C22E9">
            <w:pPr>
              <w:keepNext/>
              <w:widowControl w:val="0"/>
              <w:spacing w:line="276" w:lineRule="auto"/>
              <w:jc w:val="right"/>
              <w:rPr>
                <w:rFonts w:eastAsia="Calibri"/>
                <w:sz w:val="22"/>
                <w:szCs w:val="22"/>
              </w:rPr>
            </w:pPr>
            <w:r w:rsidRPr="006C22E9">
              <w:rPr>
                <w:rFonts w:eastAsia="Calibri"/>
                <w:sz w:val="22"/>
                <w:szCs w:val="22"/>
              </w:rPr>
              <w:t>267</w:t>
            </w:r>
          </w:p>
        </w:tc>
      </w:tr>
      <w:bookmarkEnd w:id="3"/>
    </w:tbl>
    <w:p w14:paraId="397EA80C" w14:textId="77777777" w:rsidR="00CB2A8C" w:rsidRDefault="00CB2A8C" w:rsidP="00CB2A8C">
      <w:pPr>
        <w:ind w:left="720"/>
        <w:rPr>
          <w:rFonts w:eastAsia="Calibri"/>
          <w:szCs w:val="22"/>
        </w:rPr>
      </w:pPr>
    </w:p>
    <w:p w14:paraId="2A0B1FFD" w14:textId="2B84E755" w:rsidR="006C22E9" w:rsidRDefault="006C22E9" w:rsidP="00CB2A8C">
      <w:pPr>
        <w:ind w:left="720"/>
        <w:rPr>
          <w:rFonts w:eastAsia="Calibri"/>
          <w:szCs w:val="22"/>
        </w:rPr>
      </w:pPr>
      <w:r w:rsidRPr="006C22E9">
        <w:rPr>
          <w:rFonts w:eastAsia="Calibri"/>
          <w:szCs w:val="22"/>
        </w:rPr>
        <w:t xml:space="preserve">FDA estimates that 59 recordkeepers will keep a total of about 89 records at 2 hours per record for a total of 267 hours.  As stated previously, these estimates are based on FDA's experience with information collections for other tobacco product plans (i.e., smokeless OMB control number 0910-0671 and cigars OMB control number 0910-0768).  Based on our estimates for the submission of </w:t>
      </w:r>
      <w:r w:rsidR="00837F93">
        <w:rPr>
          <w:rFonts w:eastAsia="Calibri"/>
          <w:szCs w:val="22"/>
        </w:rPr>
        <w:t>one-time, initial</w:t>
      </w:r>
      <w:r w:rsidRPr="006C22E9">
        <w:rPr>
          <w:rFonts w:eastAsia="Calibri"/>
          <w:szCs w:val="22"/>
        </w:rPr>
        <w:t xml:space="preserve"> plans and supplements (</w:t>
      </w:r>
      <w:r w:rsidR="00837F93">
        <w:rPr>
          <w:rFonts w:eastAsia="Calibri"/>
          <w:szCs w:val="22"/>
        </w:rPr>
        <w:t xml:space="preserve">i.e., </w:t>
      </w:r>
      <w:r w:rsidRPr="006C22E9">
        <w:rPr>
          <w:rFonts w:eastAsia="Calibri"/>
          <w:szCs w:val="22"/>
        </w:rPr>
        <w:t xml:space="preserve">that all respondents will submit </w:t>
      </w:r>
      <w:r w:rsidR="00837F93">
        <w:rPr>
          <w:rFonts w:eastAsia="Calibri"/>
          <w:szCs w:val="22"/>
        </w:rPr>
        <w:t>one-time, initial</w:t>
      </w:r>
      <w:r w:rsidR="00837F93" w:rsidRPr="006C22E9">
        <w:rPr>
          <w:rFonts w:eastAsia="Calibri"/>
          <w:szCs w:val="22"/>
        </w:rPr>
        <w:t xml:space="preserve"> </w:t>
      </w:r>
      <w:r w:rsidRPr="006C22E9">
        <w:rPr>
          <w:rFonts w:eastAsia="Calibri"/>
          <w:szCs w:val="22"/>
        </w:rPr>
        <w:t>plans and about half of respondents will submit supplements</w:t>
      </w:r>
      <w:r w:rsidR="00837F93">
        <w:rPr>
          <w:rFonts w:eastAsia="Calibri"/>
          <w:szCs w:val="22"/>
        </w:rPr>
        <w:t xml:space="preserve"> to FDA-approved plans</w:t>
      </w:r>
      <w:r w:rsidRPr="006C22E9">
        <w:rPr>
          <w:rFonts w:eastAsia="Calibri"/>
          <w:szCs w:val="22"/>
        </w:rPr>
        <w:t xml:space="preserve">), we estimate that each recordkeeper will keep an average of 1.5 records.  </w:t>
      </w:r>
    </w:p>
    <w:p w14:paraId="30FA11FB" w14:textId="77777777" w:rsidR="00CB2A8C" w:rsidRPr="006C22E9" w:rsidRDefault="00CB2A8C" w:rsidP="00CB2A8C">
      <w:pPr>
        <w:ind w:left="720"/>
        <w:rPr>
          <w:rFonts w:eastAsia="Calibri"/>
          <w:szCs w:val="22"/>
        </w:rPr>
      </w:pPr>
    </w:p>
    <w:p w14:paraId="07D6E9D5" w14:textId="6FB92435" w:rsidR="006C22E9" w:rsidRDefault="006C22E9" w:rsidP="00CB2A8C">
      <w:pPr>
        <w:ind w:left="720"/>
        <w:rPr>
          <w:rFonts w:eastAsia="Calibri"/>
          <w:szCs w:val="22"/>
        </w:rPr>
      </w:pPr>
      <w:r w:rsidRPr="006C22E9">
        <w:rPr>
          <w:rFonts w:eastAsia="Calibri"/>
          <w:szCs w:val="22"/>
        </w:rPr>
        <w:t>FDA estimates that the total burden for this information collection is 11,367 hours (11,100 reporting + 267 recordkeeping).</w:t>
      </w:r>
    </w:p>
    <w:p w14:paraId="2CAEFDAA" w14:textId="77777777" w:rsidR="00CB2A8C" w:rsidRPr="006C22E9" w:rsidRDefault="00CB2A8C" w:rsidP="00CB2A8C">
      <w:pPr>
        <w:ind w:left="720"/>
        <w:rPr>
          <w:rFonts w:eastAsia="Calibri"/>
          <w:szCs w:val="22"/>
        </w:rPr>
      </w:pPr>
    </w:p>
    <w:p w14:paraId="5AD53757" w14:textId="77777777" w:rsidR="00C75CBF" w:rsidRPr="002708B0" w:rsidRDefault="006C22E9" w:rsidP="00CB2A8C">
      <w:pPr>
        <w:ind w:left="720"/>
        <w:rPr>
          <w:rFonts w:eastAsia="Calibri"/>
          <w:szCs w:val="22"/>
        </w:rPr>
      </w:pPr>
      <w:r w:rsidRPr="006C22E9">
        <w:rPr>
          <w:rFonts w:eastAsia="Calibri"/>
          <w:szCs w:val="22"/>
        </w:rPr>
        <w:t>FDA tentatively concludes that the proposed required warnings for cigarette packages and cigarette advertisements in proposed § 1141.10 are not subject to review by OMB because they do not constitute a "collection of information" under the PRA (44 U.S.C. 3501-3520).  Rather, these labeling statements are a "public disclosure" of information originally supplied by the Federal Government to the recipient for the purpose of "disclosure to the public" (5 CFR 1320.3(c)(2)).</w:t>
      </w:r>
    </w:p>
    <w:p w14:paraId="40B8EFD4" w14:textId="77777777" w:rsidR="003740BC" w:rsidRDefault="003740BC" w:rsidP="00A93ED9">
      <w:pPr>
        <w:pStyle w:val="BodyText2"/>
        <w:ind w:left="360"/>
      </w:pPr>
    </w:p>
    <w:p w14:paraId="11D56F16" w14:textId="77777777" w:rsidR="00A93ED9" w:rsidRDefault="00A93ED9" w:rsidP="00A93ED9">
      <w:pPr>
        <w:pStyle w:val="BodyText2"/>
        <w:ind w:left="360"/>
      </w:pPr>
      <w:r w:rsidRPr="00C75CBF">
        <w:t xml:space="preserve">12b. </w:t>
      </w:r>
      <w:r w:rsidR="00411D11" w:rsidRPr="00C75CBF">
        <w:rPr>
          <w:u w:val="single"/>
        </w:rPr>
        <w:t>Annualized Cost Burden Estimate</w:t>
      </w:r>
    </w:p>
    <w:p w14:paraId="26A58537" w14:textId="77777777" w:rsidR="000E0A18" w:rsidRDefault="000E0A18" w:rsidP="00DB6205">
      <w:pPr>
        <w:pStyle w:val="BodyText2"/>
      </w:pPr>
    </w:p>
    <w:p w14:paraId="55D11B37" w14:textId="56F2D906" w:rsidR="000E0A18" w:rsidRPr="00D30C4F" w:rsidRDefault="0036766A" w:rsidP="00DB6205">
      <w:pPr>
        <w:pStyle w:val="BodyText2"/>
        <w:ind w:left="720"/>
      </w:pPr>
      <w:r w:rsidRPr="00D30C4F">
        <w:t xml:space="preserve">The estimated annual reporting cost to respondents for submitting plans is $2,307,595.  This estimate </w:t>
      </w:r>
      <w:r w:rsidR="006D3843" w:rsidRPr="00D30C4F">
        <w:t>assumes</w:t>
      </w:r>
      <w:r w:rsidRPr="00D30C4F">
        <w:t xml:space="preserve"> that management or attorneys will account for 80 percent of the estimated 11,367 hours required to draft initial plans, at an hourly billing rate of $250 per hour, and that clerical support will account for the remaining time (20 percent) at an hourly billing rate of $15. [Management and attorneys’ time (9,094 hours x 0.80 x $250 = $2,273,500) + clerical time (2,273 hours x 0.20 x $15 = $34,095) = $2,273,500.]</w:t>
      </w:r>
    </w:p>
    <w:p w14:paraId="520DF0A2" w14:textId="77777777" w:rsidR="003740BC" w:rsidRDefault="003740BC"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14:paraId="4ACD1A29" w14:textId="77777777" w:rsidTr="00B86DFA">
        <w:tc>
          <w:tcPr>
            <w:tcW w:w="2160" w:type="dxa"/>
            <w:shd w:val="clear" w:color="auto" w:fill="auto"/>
          </w:tcPr>
          <w:p w14:paraId="7BD56704" w14:textId="77777777" w:rsidR="003740BC" w:rsidRDefault="007E2F07" w:rsidP="00442A3C">
            <w:r>
              <w:t>Activit</w:t>
            </w:r>
            <w:r w:rsidR="000E0A18">
              <w:t>y</w:t>
            </w:r>
          </w:p>
        </w:tc>
        <w:tc>
          <w:tcPr>
            <w:tcW w:w="1800" w:type="dxa"/>
            <w:shd w:val="clear" w:color="auto" w:fill="auto"/>
          </w:tcPr>
          <w:p w14:paraId="44DE016F" w14:textId="77777777" w:rsidR="003740BC" w:rsidRDefault="003740BC" w:rsidP="00754497">
            <w:r>
              <w:t>Total Burden Hours</w:t>
            </w:r>
          </w:p>
        </w:tc>
        <w:tc>
          <w:tcPr>
            <w:tcW w:w="2394" w:type="dxa"/>
            <w:shd w:val="clear" w:color="auto" w:fill="auto"/>
          </w:tcPr>
          <w:p w14:paraId="13E9D844" w14:textId="77777777" w:rsidR="003740BC" w:rsidRDefault="003740BC" w:rsidP="00754497">
            <w:r>
              <w:t>Hourly Wage Rate</w:t>
            </w:r>
          </w:p>
        </w:tc>
        <w:tc>
          <w:tcPr>
            <w:tcW w:w="1926" w:type="dxa"/>
            <w:shd w:val="clear" w:color="auto" w:fill="auto"/>
          </w:tcPr>
          <w:p w14:paraId="0D1A737C" w14:textId="77777777" w:rsidR="003740BC" w:rsidRDefault="003740BC" w:rsidP="00754497">
            <w:r>
              <w:t>Total Respondent Costs</w:t>
            </w:r>
          </w:p>
        </w:tc>
      </w:tr>
      <w:tr w:rsidR="003740BC" w14:paraId="7066D8C5" w14:textId="77777777" w:rsidTr="00B86DFA">
        <w:tc>
          <w:tcPr>
            <w:tcW w:w="2160" w:type="dxa"/>
            <w:shd w:val="clear" w:color="auto" w:fill="auto"/>
          </w:tcPr>
          <w:p w14:paraId="397186FD" w14:textId="7DFB5387" w:rsidR="003740BC" w:rsidRDefault="000E0A18" w:rsidP="00754497">
            <w:r>
              <w:t xml:space="preserve">Submitting plans and </w:t>
            </w:r>
            <w:r w:rsidR="00837F93">
              <w:t xml:space="preserve">records </w:t>
            </w:r>
            <w:r w:rsidR="00A2594B" w:rsidRPr="00BF4696">
              <w:t>(Management and Attorneys)</w:t>
            </w:r>
          </w:p>
        </w:tc>
        <w:tc>
          <w:tcPr>
            <w:tcW w:w="1800" w:type="dxa"/>
            <w:shd w:val="clear" w:color="auto" w:fill="auto"/>
          </w:tcPr>
          <w:p w14:paraId="5354678F" w14:textId="77777777" w:rsidR="003740BC" w:rsidRDefault="00A2594B" w:rsidP="00754497">
            <w:r>
              <w:t>9,094</w:t>
            </w:r>
          </w:p>
        </w:tc>
        <w:tc>
          <w:tcPr>
            <w:tcW w:w="2394" w:type="dxa"/>
            <w:shd w:val="clear" w:color="auto" w:fill="auto"/>
          </w:tcPr>
          <w:p w14:paraId="6815B602" w14:textId="77777777" w:rsidR="003740BC" w:rsidRDefault="003740BC" w:rsidP="00754497">
            <w:r>
              <w:t>$</w:t>
            </w:r>
            <w:r w:rsidR="00A2594B">
              <w:t>250</w:t>
            </w:r>
            <w:r>
              <w:t>.</w:t>
            </w:r>
            <w:r w:rsidR="00A2594B">
              <w:t>00</w:t>
            </w:r>
          </w:p>
        </w:tc>
        <w:tc>
          <w:tcPr>
            <w:tcW w:w="1926" w:type="dxa"/>
            <w:shd w:val="clear" w:color="auto" w:fill="auto"/>
          </w:tcPr>
          <w:p w14:paraId="23F45B7F" w14:textId="77777777" w:rsidR="003740BC" w:rsidRDefault="003740BC" w:rsidP="00754497">
            <w:r>
              <w:t>$</w:t>
            </w:r>
            <w:r w:rsidR="0036766A">
              <w:t>2,273,500</w:t>
            </w:r>
          </w:p>
        </w:tc>
      </w:tr>
      <w:tr w:rsidR="00A2594B" w14:paraId="73D289DF" w14:textId="77777777" w:rsidTr="00B86DFA">
        <w:tc>
          <w:tcPr>
            <w:tcW w:w="2160" w:type="dxa"/>
            <w:shd w:val="clear" w:color="auto" w:fill="auto"/>
          </w:tcPr>
          <w:p w14:paraId="34970244" w14:textId="2C9DE5D9" w:rsidR="00A2594B" w:rsidRDefault="00A2594B" w:rsidP="00A2594B">
            <w:r>
              <w:t xml:space="preserve">Submitting plans and </w:t>
            </w:r>
            <w:r w:rsidR="00837F93">
              <w:t xml:space="preserve">records </w:t>
            </w:r>
            <w:r w:rsidRPr="00BF4696">
              <w:t>(Clerical)</w:t>
            </w:r>
          </w:p>
        </w:tc>
        <w:tc>
          <w:tcPr>
            <w:tcW w:w="1800" w:type="dxa"/>
            <w:shd w:val="clear" w:color="auto" w:fill="auto"/>
          </w:tcPr>
          <w:p w14:paraId="203EB88E" w14:textId="77777777" w:rsidR="00A2594B" w:rsidRDefault="0036766A" w:rsidP="00A2594B">
            <w:r>
              <w:t>2,273</w:t>
            </w:r>
          </w:p>
        </w:tc>
        <w:tc>
          <w:tcPr>
            <w:tcW w:w="2394" w:type="dxa"/>
            <w:shd w:val="clear" w:color="auto" w:fill="auto"/>
          </w:tcPr>
          <w:p w14:paraId="213AEEDD" w14:textId="77777777" w:rsidR="00A2594B" w:rsidRDefault="0036766A" w:rsidP="00A2594B">
            <w:r>
              <w:t>$15</w:t>
            </w:r>
          </w:p>
        </w:tc>
        <w:tc>
          <w:tcPr>
            <w:tcW w:w="1926" w:type="dxa"/>
            <w:shd w:val="clear" w:color="auto" w:fill="auto"/>
          </w:tcPr>
          <w:p w14:paraId="6CEA4E81" w14:textId="77777777" w:rsidR="00A2594B" w:rsidRDefault="0036766A" w:rsidP="00A2594B">
            <w:r>
              <w:t>34,095</w:t>
            </w:r>
          </w:p>
        </w:tc>
      </w:tr>
      <w:tr w:rsidR="00A2594B" w14:paraId="44E6F10D" w14:textId="77777777" w:rsidTr="00B86DFA">
        <w:tc>
          <w:tcPr>
            <w:tcW w:w="6354" w:type="dxa"/>
            <w:gridSpan w:val="3"/>
            <w:shd w:val="clear" w:color="auto" w:fill="auto"/>
          </w:tcPr>
          <w:p w14:paraId="6F001623" w14:textId="77777777" w:rsidR="00A2594B" w:rsidRDefault="00A2594B" w:rsidP="00A2594B">
            <w:r>
              <w:t>Total</w:t>
            </w:r>
          </w:p>
        </w:tc>
        <w:tc>
          <w:tcPr>
            <w:tcW w:w="1926" w:type="dxa"/>
            <w:shd w:val="clear" w:color="auto" w:fill="auto"/>
          </w:tcPr>
          <w:p w14:paraId="715E2CBB" w14:textId="77777777" w:rsidR="00A2594B" w:rsidRDefault="0036766A" w:rsidP="00A2594B">
            <w:r>
              <w:fldChar w:fldCharType="begin"/>
            </w:r>
            <w:r>
              <w:instrText xml:space="preserve"> =SUM(ABOVE) </w:instrText>
            </w:r>
            <w:r>
              <w:fldChar w:fldCharType="separate"/>
            </w:r>
            <w:r>
              <w:rPr>
                <w:noProof/>
              </w:rPr>
              <w:t>$2,307,595.00</w:t>
            </w:r>
            <w:r>
              <w:fldChar w:fldCharType="end"/>
            </w:r>
          </w:p>
        </w:tc>
      </w:tr>
    </w:tbl>
    <w:p w14:paraId="6ABA67F2" w14:textId="77777777" w:rsidR="004D3E7A" w:rsidRDefault="004D3E7A" w:rsidP="000E0A18">
      <w:pPr>
        <w:pStyle w:val="BodyText2"/>
      </w:pPr>
    </w:p>
    <w:p w14:paraId="0C32A228"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14:paraId="0D8399F2" w14:textId="77777777" w:rsidR="007330F0" w:rsidRPr="00F71A5A" w:rsidRDefault="007330F0" w:rsidP="007330F0">
      <w:pPr>
        <w:ind w:left="720"/>
      </w:pPr>
      <w:r w:rsidRPr="007330F0">
        <w:t>There are no capital, start-up, operating or maintenance costs associated with this information collection.</w:t>
      </w:r>
    </w:p>
    <w:p w14:paraId="0CB5A259" w14:textId="77777777"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14:paraId="2F21E41C" w14:textId="408779DE" w:rsidR="002E68AD" w:rsidRDefault="002E68AD" w:rsidP="002E68AD">
      <w:pPr>
        <w:ind w:left="720"/>
      </w:pPr>
      <w:r>
        <w:t xml:space="preserve">FDA anticipates that the Federal </w:t>
      </w:r>
      <w:r w:rsidR="00837F93">
        <w:t xml:space="preserve">Government </w:t>
      </w:r>
      <w:r>
        <w:t xml:space="preserve">will incur the following costs: </w:t>
      </w:r>
    </w:p>
    <w:p w14:paraId="4238CD5B" w14:textId="77777777" w:rsidR="002E68AD" w:rsidRDefault="002E68AD" w:rsidP="002E68AD">
      <w:pPr>
        <w:ind w:left="720"/>
      </w:pPr>
    </w:p>
    <w:p w14:paraId="182AE4F7" w14:textId="77777777" w:rsidR="002E68AD" w:rsidRDefault="002E68AD" w:rsidP="002E68AD">
      <w:pPr>
        <w:ind w:left="720"/>
      </w:pPr>
      <w:r>
        <w:t>Staff Costs</w:t>
      </w:r>
    </w:p>
    <w:p w14:paraId="409EA774" w14:textId="489FF8BD" w:rsidR="002E68AD" w:rsidRDefault="002E68AD" w:rsidP="002E68AD">
      <w:pPr>
        <w:ind w:left="720"/>
      </w:pPr>
      <w:r>
        <w:t xml:space="preserve">Total annual cost to the Federal </w:t>
      </w:r>
      <w:r w:rsidR="00837F93">
        <w:t xml:space="preserve">Government </w:t>
      </w:r>
      <w:r>
        <w:t>= $</w:t>
      </w:r>
      <w:r w:rsidR="00DA20EF">
        <w:t>1,740,000</w:t>
      </w:r>
    </w:p>
    <w:p w14:paraId="218AF12C" w14:textId="3C163EF4" w:rsidR="002E68AD" w:rsidRDefault="002E68AD" w:rsidP="002E68AD">
      <w:pPr>
        <w:ind w:left="720"/>
      </w:pPr>
      <w:r>
        <w:t xml:space="preserve">Full-time Equivalents (FTEs) = </w:t>
      </w:r>
      <w:r w:rsidR="00DA20EF">
        <w:t>15</w:t>
      </w:r>
    </w:p>
    <w:p w14:paraId="0A187815" w14:textId="3C79FDBE" w:rsidR="00A70426" w:rsidRDefault="002E68AD" w:rsidP="00BF4696">
      <w:pPr>
        <w:ind w:left="720"/>
      </w:pPr>
      <w:r>
        <w:t>Annual Cost per FTE=$</w:t>
      </w:r>
      <w:r w:rsidR="006E49F3">
        <w:t>116,000</w:t>
      </w:r>
    </w:p>
    <w:p w14:paraId="4376BCAD" w14:textId="77777777" w:rsidR="00DA20EF" w:rsidRDefault="00DA20EF" w:rsidP="00A70426">
      <w:pPr>
        <w:pStyle w:val="BodyText2"/>
        <w:ind w:left="720"/>
      </w:pPr>
    </w:p>
    <w:p w14:paraId="353AE5B9" w14:textId="2F083977" w:rsidR="00DA20EF" w:rsidRDefault="00DA20EF" w:rsidP="00A70426">
      <w:pPr>
        <w:pStyle w:val="BodyText2"/>
        <w:ind w:left="720"/>
      </w:pPr>
      <w:r w:rsidRPr="00BF4696">
        <w:t xml:space="preserve">FDA estimates that the equivalent of 15 full-time equivalent employees (FTEs) would be required annually. </w:t>
      </w:r>
    </w:p>
    <w:p w14:paraId="4D7C085A" w14:textId="6BE0FB06" w:rsidR="00DA20EF" w:rsidRDefault="001B3A64" w:rsidP="00DA20EF">
      <w:pPr>
        <w:pStyle w:val="BodyText2"/>
        <w:ind w:left="720"/>
      </w:pPr>
      <w:r w:rsidRPr="001B3A64">
        <w:t>The salary rate of $116,000 includes salary, benefits, overhead, technical staff, support staff, etc.  This annual rate was determined by the Agency’s current estimates of staff expenses.</w:t>
      </w:r>
      <w:r w:rsidR="00DA20EF" w:rsidRPr="00DA20EF">
        <w:t xml:space="preserve"> </w:t>
      </w:r>
      <w:r w:rsidR="00DA20EF">
        <w:t xml:space="preserve">FDA estimates the total annualized cost to the government is </w:t>
      </w:r>
      <w:r w:rsidR="002F4084">
        <w:t>$1</w:t>
      </w:r>
      <w:r w:rsidR="00DA20EF">
        <w:t>,740,00</w:t>
      </w:r>
      <w:r w:rsidR="002F4084">
        <w:t>0</w:t>
      </w:r>
    </w:p>
    <w:p w14:paraId="7A4586ED" w14:textId="67962160" w:rsidR="001B3A64" w:rsidRDefault="001B3A64" w:rsidP="001B3A64">
      <w:pPr>
        <w:pStyle w:val="BodyText2"/>
        <w:ind w:left="720"/>
      </w:pPr>
    </w:p>
    <w:p w14:paraId="357C9BC4" w14:textId="77777777"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14:paraId="0870728B" w14:textId="77777777" w:rsidR="005C55C2" w:rsidRDefault="00280CAF" w:rsidP="00B17139">
      <w:pPr>
        <w:pStyle w:val="BodyTextIndent"/>
        <w:ind w:firstLine="360"/>
      </w:pPr>
      <w:r>
        <w:t>This is a new data collection.</w:t>
      </w:r>
    </w:p>
    <w:p w14:paraId="5CE6E4C8" w14:textId="77777777"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14:paraId="20E3C5E4" w14:textId="77777777" w:rsidR="003C4EBB" w:rsidRDefault="002E68AD" w:rsidP="002E68AD">
      <w:pPr>
        <w:ind w:left="720"/>
      </w:pPr>
      <w:r w:rsidRPr="002E68AD">
        <w:t>FDA does not intend to publish the results of this information collection.</w:t>
      </w:r>
    </w:p>
    <w:p w14:paraId="5D2B919F" w14:textId="69916318" w:rsidR="00B41789" w:rsidRPr="000536F0" w:rsidRDefault="00EB7538" w:rsidP="000536F0">
      <w:pPr>
        <w:numPr>
          <w:ilvl w:val="0"/>
          <w:numId w:val="1"/>
        </w:numPr>
        <w:spacing w:before="100" w:beforeAutospacing="1" w:after="100" w:afterAutospacing="1"/>
        <w:rPr>
          <w:u w:val="single"/>
        </w:rPr>
      </w:pPr>
      <w:r w:rsidRPr="004C6979">
        <w:rPr>
          <w:u w:val="single"/>
        </w:rPr>
        <w:t xml:space="preserve">Reason(s) Display of OMB Expiration Date </w:t>
      </w:r>
      <w:r w:rsidR="00837F93">
        <w:rPr>
          <w:u w:val="single"/>
        </w:rPr>
        <w:t>I</w:t>
      </w:r>
      <w:r w:rsidR="00837F93" w:rsidRPr="004C6979">
        <w:rPr>
          <w:u w:val="single"/>
        </w:rPr>
        <w:t xml:space="preserve">s </w:t>
      </w:r>
      <w:r w:rsidRPr="004C6979">
        <w:rPr>
          <w:u w:val="single"/>
        </w:rPr>
        <w:t>Inappropriate</w:t>
      </w:r>
    </w:p>
    <w:p w14:paraId="6B7E59C6" w14:textId="77777777" w:rsidR="00B41789" w:rsidRPr="00B41789" w:rsidRDefault="00B41789" w:rsidP="00D730BF">
      <w:pPr>
        <w:ind w:left="720"/>
      </w:pPr>
      <w:r w:rsidRPr="00B41789">
        <w:t>FDA will display the OMB expiration date as required by 5 CFR 1320.5.</w:t>
      </w:r>
    </w:p>
    <w:p w14:paraId="6946F90A"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62CCD510" w14:textId="77777777" w:rsidR="00E00EA0" w:rsidRDefault="000536F0" w:rsidP="00D730BF">
      <w:pPr>
        <w:spacing w:before="100" w:beforeAutospacing="1" w:after="100" w:afterAutospacing="1"/>
        <w:ind w:left="720"/>
      </w:pPr>
      <w:r>
        <w:t>T</w:t>
      </w:r>
      <w:r w:rsidR="00754497">
        <w:t>here are no exceptions to the certification</w:t>
      </w:r>
      <w:r>
        <w:t>.</w:t>
      </w:r>
    </w:p>
    <w:p w14:paraId="6716BE3F" w14:textId="77777777" w:rsidR="002746DB" w:rsidRPr="004C6979" w:rsidRDefault="004C6979" w:rsidP="00BE70B0">
      <w:pPr>
        <w:spacing w:before="100" w:beforeAutospacing="1" w:after="100" w:afterAutospacing="1"/>
        <w:rPr>
          <w:b/>
        </w:rPr>
      </w:pPr>
      <w:r>
        <w:t xml:space="preserve"> </w:t>
      </w:r>
    </w:p>
    <w:sectPr w:rsidR="002746DB" w:rsidRPr="004C6979"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E374D" w14:textId="77777777" w:rsidR="00C65A15" w:rsidRDefault="00C65A15">
      <w:r>
        <w:separator/>
      </w:r>
    </w:p>
  </w:endnote>
  <w:endnote w:type="continuationSeparator" w:id="0">
    <w:p w14:paraId="5EE0CB5E" w14:textId="77777777" w:rsidR="00C65A15" w:rsidRDefault="00C6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9096F"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3BC9B4" w14:textId="77777777"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C6063"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15D0">
      <w:rPr>
        <w:rStyle w:val="PageNumber"/>
        <w:noProof/>
      </w:rPr>
      <w:t>1</w:t>
    </w:r>
    <w:r>
      <w:rPr>
        <w:rStyle w:val="PageNumber"/>
      </w:rPr>
      <w:fldChar w:fldCharType="end"/>
    </w:r>
  </w:p>
  <w:p w14:paraId="4CDA8889" w14:textId="77777777"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25A25" w14:textId="77777777" w:rsidR="00C65A15" w:rsidRDefault="00C65A15">
      <w:r>
        <w:separator/>
      </w:r>
    </w:p>
  </w:footnote>
  <w:footnote w:type="continuationSeparator" w:id="0">
    <w:p w14:paraId="2BE6722D" w14:textId="77777777" w:rsidR="00C65A15" w:rsidRDefault="00C65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4"/>
  </w:num>
  <w:num w:numId="5">
    <w:abstractNumId w:val="8"/>
  </w:num>
  <w:num w:numId="6">
    <w:abstractNumId w:val="27"/>
  </w:num>
  <w:num w:numId="7">
    <w:abstractNumId w:val="35"/>
  </w:num>
  <w:num w:numId="8">
    <w:abstractNumId w:val="5"/>
  </w:num>
  <w:num w:numId="9">
    <w:abstractNumId w:val="28"/>
  </w:num>
  <w:num w:numId="10">
    <w:abstractNumId w:val="23"/>
  </w:num>
  <w:num w:numId="11">
    <w:abstractNumId w:val="10"/>
  </w:num>
  <w:num w:numId="12">
    <w:abstractNumId w:val="39"/>
  </w:num>
  <w:num w:numId="13">
    <w:abstractNumId w:val="21"/>
  </w:num>
  <w:num w:numId="14">
    <w:abstractNumId w:val="9"/>
  </w:num>
  <w:num w:numId="15">
    <w:abstractNumId w:val="17"/>
  </w:num>
  <w:num w:numId="16">
    <w:abstractNumId w:val="16"/>
  </w:num>
  <w:num w:numId="17">
    <w:abstractNumId w:val="34"/>
  </w:num>
  <w:num w:numId="18">
    <w:abstractNumId w:val="38"/>
  </w:num>
  <w:num w:numId="19">
    <w:abstractNumId w:val="36"/>
  </w:num>
  <w:num w:numId="20">
    <w:abstractNumId w:val="20"/>
  </w:num>
  <w:num w:numId="21">
    <w:abstractNumId w:val="15"/>
  </w:num>
  <w:num w:numId="22">
    <w:abstractNumId w:val="4"/>
  </w:num>
  <w:num w:numId="23">
    <w:abstractNumId w:val="31"/>
  </w:num>
  <w:num w:numId="24">
    <w:abstractNumId w:val="25"/>
  </w:num>
  <w:num w:numId="25">
    <w:abstractNumId w:val="13"/>
  </w:num>
  <w:num w:numId="26">
    <w:abstractNumId w:val="7"/>
  </w:num>
  <w:num w:numId="27">
    <w:abstractNumId w:val="40"/>
  </w:num>
  <w:num w:numId="28">
    <w:abstractNumId w:val="32"/>
  </w:num>
  <w:num w:numId="29">
    <w:abstractNumId w:val="6"/>
  </w:num>
  <w:num w:numId="30">
    <w:abstractNumId w:val="19"/>
  </w:num>
  <w:num w:numId="31">
    <w:abstractNumId w:val="3"/>
  </w:num>
  <w:num w:numId="32">
    <w:abstractNumId w:val="1"/>
  </w:num>
  <w:num w:numId="33">
    <w:abstractNumId w:val="22"/>
  </w:num>
  <w:num w:numId="34">
    <w:abstractNumId w:val="37"/>
  </w:num>
  <w:num w:numId="35">
    <w:abstractNumId w:val="14"/>
  </w:num>
  <w:num w:numId="36">
    <w:abstractNumId w:val="29"/>
  </w:num>
  <w:num w:numId="37">
    <w:abstractNumId w:val="11"/>
  </w:num>
  <w:num w:numId="38">
    <w:abstractNumId w:val="26"/>
  </w:num>
  <w:num w:numId="39">
    <w:abstractNumId w:val="30"/>
  </w:num>
  <w:num w:numId="40">
    <w:abstractNumId w:val="2"/>
  </w:num>
  <w:num w:numId="41">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0F17"/>
    <w:rsid w:val="00031A2C"/>
    <w:rsid w:val="00036FFA"/>
    <w:rsid w:val="00043C7F"/>
    <w:rsid w:val="000536F0"/>
    <w:rsid w:val="0006570F"/>
    <w:rsid w:val="00075DE8"/>
    <w:rsid w:val="000956F0"/>
    <w:rsid w:val="000C3FA2"/>
    <w:rsid w:val="000C560C"/>
    <w:rsid w:val="000D48FD"/>
    <w:rsid w:val="000D7E7A"/>
    <w:rsid w:val="000E0A18"/>
    <w:rsid w:val="000E1C64"/>
    <w:rsid w:val="000F7119"/>
    <w:rsid w:val="00100739"/>
    <w:rsid w:val="00107885"/>
    <w:rsid w:val="00114FC4"/>
    <w:rsid w:val="0012329C"/>
    <w:rsid w:val="00134FA7"/>
    <w:rsid w:val="00137950"/>
    <w:rsid w:val="00152F29"/>
    <w:rsid w:val="00174D54"/>
    <w:rsid w:val="00185270"/>
    <w:rsid w:val="001A3B5A"/>
    <w:rsid w:val="001B3A64"/>
    <w:rsid w:val="001B7CE9"/>
    <w:rsid w:val="001C077B"/>
    <w:rsid w:val="001D495A"/>
    <w:rsid w:val="001E244C"/>
    <w:rsid w:val="001E6576"/>
    <w:rsid w:val="001F1437"/>
    <w:rsid w:val="00206918"/>
    <w:rsid w:val="00217636"/>
    <w:rsid w:val="002259EF"/>
    <w:rsid w:val="00242ED1"/>
    <w:rsid w:val="002444BB"/>
    <w:rsid w:val="00254069"/>
    <w:rsid w:val="00257509"/>
    <w:rsid w:val="00270748"/>
    <w:rsid w:val="002708B0"/>
    <w:rsid w:val="002734E5"/>
    <w:rsid w:val="002746DB"/>
    <w:rsid w:val="00280CAF"/>
    <w:rsid w:val="00281B34"/>
    <w:rsid w:val="00282F09"/>
    <w:rsid w:val="00291810"/>
    <w:rsid w:val="00294D62"/>
    <w:rsid w:val="002961BA"/>
    <w:rsid w:val="00297532"/>
    <w:rsid w:val="00297FFD"/>
    <w:rsid w:val="002A1210"/>
    <w:rsid w:val="002B2074"/>
    <w:rsid w:val="002D14D8"/>
    <w:rsid w:val="002D3AE9"/>
    <w:rsid w:val="002D4799"/>
    <w:rsid w:val="002E3FA4"/>
    <w:rsid w:val="002E53A5"/>
    <w:rsid w:val="002E68AD"/>
    <w:rsid w:val="002F4084"/>
    <w:rsid w:val="003039DC"/>
    <w:rsid w:val="003113FF"/>
    <w:rsid w:val="0032277F"/>
    <w:rsid w:val="003333D1"/>
    <w:rsid w:val="00350523"/>
    <w:rsid w:val="0035189D"/>
    <w:rsid w:val="00355811"/>
    <w:rsid w:val="0036766A"/>
    <w:rsid w:val="003740BC"/>
    <w:rsid w:val="003801A3"/>
    <w:rsid w:val="00383D90"/>
    <w:rsid w:val="003863B0"/>
    <w:rsid w:val="003A1A27"/>
    <w:rsid w:val="003A50CC"/>
    <w:rsid w:val="003B3CB4"/>
    <w:rsid w:val="003B42B3"/>
    <w:rsid w:val="003B6384"/>
    <w:rsid w:val="003C4EBB"/>
    <w:rsid w:val="003D1531"/>
    <w:rsid w:val="003E4EC6"/>
    <w:rsid w:val="003E527E"/>
    <w:rsid w:val="003E553E"/>
    <w:rsid w:val="003E7078"/>
    <w:rsid w:val="003F3DF5"/>
    <w:rsid w:val="003F56B4"/>
    <w:rsid w:val="00411D11"/>
    <w:rsid w:val="00415E23"/>
    <w:rsid w:val="0041670D"/>
    <w:rsid w:val="00424061"/>
    <w:rsid w:val="00442A3C"/>
    <w:rsid w:val="00443969"/>
    <w:rsid w:val="00447D74"/>
    <w:rsid w:val="00450A74"/>
    <w:rsid w:val="004544C2"/>
    <w:rsid w:val="004546BF"/>
    <w:rsid w:val="00465350"/>
    <w:rsid w:val="00477E52"/>
    <w:rsid w:val="004846BF"/>
    <w:rsid w:val="004C499C"/>
    <w:rsid w:val="004C6979"/>
    <w:rsid w:val="004D13A2"/>
    <w:rsid w:val="004D3E7A"/>
    <w:rsid w:val="004F594B"/>
    <w:rsid w:val="004F61E1"/>
    <w:rsid w:val="00544138"/>
    <w:rsid w:val="00584583"/>
    <w:rsid w:val="00590EEB"/>
    <w:rsid w:val="005A4099"/>
    <w:rsid w:val="005C38B2"/>
    <w:rsid w:val="005C5029"/>
    <w:rsid w:val="005C55C2"/>
    <w:rsid w:val="005C745C"/>
    <w:rsid w:val="005D4DF5"/>
    <w:rsid w:val="00611D6B"/>
    <w:rsid w:val="006173AF"/>
    <w:rsid w:val="006326EC"/>
    <w:rsid w:val="00645DB2"/>
    <w:rsid w:val="0065553C"/>
    <w:rsid w:val="00663A42"/>
    <w:rsid w:val="006641C7"/>
    <w:rsid w:val="00670BE2"/>
    <w:rsid w:val="006A26C6"/>
    <w:rsid w:val="006A7D5D"/>
    <w:rsid w:val="006C22E9"/>
    <w:rsid w:val="006D3843"/>
    <w:rsid w:val="006D5D57"/>
    <w:rsid w:val="006D7173"/>
    <w:rsid w:val="006E49F3"/>
    <w:rsid w:val="006E7902"/>
    <w:rsid w:val="006F4D6D"/>
    <w:rsid w:val="00705086"/>
    <w:rsid w:val="007330F0"/>
    <w:rsid w:val="00751E66"/>
    <w:rsid w:val="00754497"/>
    <w:rsid w:val="00787C39"/>
    <w:rsid w:val="00795DF3"/>
    <w:rsid w:val="007A373C"/>
    <w:rsid w:val="007B225C"/>
    <w:rsid w:val="007C75B1"/>
    <w:rsid w:val="007D3DFC"/>
    <w:rsid w:val="007E2F07"/>
    <w:rsid w:val="007F3134"/>
    <w:rsid w:val="007F60A4"/>
    <w:rsid w:val="0080776D"/>
    <w:rsid w:val="00810145"/>
    <w:rsid w:val="008108FA"/>
    <w:rsid w:val="00810FF1"/>
    <w:rsid w:val="00822336"/>
    <w:rsid w:val="00823DFA"/>
    <w:rsid w:val="00837F93"/>
    <w:rsid w:val="00843752"/>
    <w:rsid w:val="0084479F"/>
    <w:rsid w:val="0085384E"/>
    <w:rsid w:val="0085725E"/>
    <w:rsid w:val="00866814"/>
    <w:rsid w:val="00885B09"/>
    <w:rsid w:val="00892400"/>
    <w:rsid w:val="008A209D"/>
    <w:rsid w:val="008A22BB"/>
    <w:rsid w:val="008B0E29"/>
    <w:rsid w:val="008B0EFA"/>
    <w:rsid w:val="008B30AB"/>
    <w:rsid w:val="008E5F55"/>
    <w:rsid w:val="00905DEF"/>
    <w:rsid w:val="00913B43"/>
    <w:rsid w:val="00930203"/>
    <w:rsid w:val="009311D2"/>
    <w:rsid w:val="009311E6"/>
    <w:rsid w:val="00931275"/>
    <w:rsid w:val="00936AC7"/>
    <w:rsid w:val="00953B64"/>
    <w:rsid w:val="00970A88"/>
    <w:rsid w:val="00971E92"/>
    <w:rsid w:val="00981454"/>
    <w:rsid w:val="009A1674"/>
    <w:rsid w:val="009B27F8"/>
    <w:rsid w:val="009C684F"/>
    <w:rsid w:val="009D074C"/>
    <w:rsid w:val="009D42A3"/>
    <w:rsid w:val="009E7DA7"/>
    <w:rsid w:val="009F1F1D"/>
    <w:rsid w:val="009F2B4F"/>
    <w:rsid w:val="009F3C63"/>
    <w:rsid w:val="009F66B5"/>
    <w:rsid w:val="00A01898"/>
    <w:rsid w:val="00A16221"/>
    <w:rsid w:val="00A20A7D"/>
    <w:rsid w:val="00A2594B"/>
    <w:rsid w:val="00A35D42"/>
    <w:rsid w:val="00A46CCF"/>
    <w:rsid w:val="00A53451"/>
    <w:rsid w:val="00A70426"/>
    <w:rsid w:val="00A8225A"/>
    <w:rsid w:val="00A91A3B"/>
    <w:rsid w:val="00A91E9A"/>
    <w:rsid w:val="00A93ED9"/>
    <w:rsid w:val="00A96221"/>
    <w:rsid w:val="00AB10C9"/>
    <w:rsid w:val="00AC6A99"/>
    <w:rsid w:val="00B055EF"/>
    <w:rsid w:val="00B06B5B"/>
    <w:rsid w:val="00B17139"/>
    <w:rsid w:val="00B23769"/>
    <w:rsid w:val="00B41789"/>
    <w:rsid w:val="00B81808"/>
    <w:rsid w:val="00B86DFA"/>
    <w:rsid w:val="00B936D0"/>
    <w:rsid w:val="00BA341E"/>
    <w:rsid w:val="00BD15D0"/>
    <w:rsid w:val="00BD3D5B"/>
    <w:rsid w:val="00BE3600"/>
    <w:rsid w:val="00BE70B0"/>
    <w:rsid w:val="00BF4696"/>
    <w:rsid w:val="00C01F6F"/>
    <w:rsid w:val="00C041EA"/>
    <w:rsid w:val="00C149AB"/>
    <w:rsid w:val="00C16929"/>
    <w:rsid w:val="00C24EB9"/>
    <w:rsid w:val="00C268BF"/>
    <w:rsid w:val="00C36020"/>
    <w:rsid w:val="00C40694"/>
    <w:rsid w:val="00C4182B"/>
    <w:rsid w:val="00C56BED"/>
    <w:rsid w:val="00C65A15"/>
    <w:rsid w:val="00C70542"/>
    <w:rsid w:val="00C75CBF"/>
    <w:rsid w:val="00CB2A8C"/>
    <w:rsid w:val="00CC2894"/>
    <w:rsid w:val="00CD77C3"/>
    <w:rsid w:val="00CE112C"/>
    <w:rsid w:val="00CF55D4"/>
    <w:rsid w:val="00D30C4F"/>
    <w:rsid w:val="00D5299C"/>
    <w:rsid w:val="00D52D9B"/>
    <w:rsid w:val="00D608DA"/>
    <w:rsid w:val="00D730BF"/>
    <w:rsid w:val="00DA20EF"/>
    <w:rsid w:val="00DA2482"/>
    <w:rsid w:val="00DB1110"/>
    <w:rsid w:val="00DB6205"/>
    <w:rsid w:val="00DC3788"/>
    <w:rsid w:val="00DC76C7"/>
    <w:rsid w:val="00DD09F5"/>
    <w:rsid w:val="00DD4201"/>
    <w:rsid w:val="00DD5E9F"/>
    <w:rsid w:val="00DE5711"/>
    <w:rsid w:val="00E00EA0"/>
    <w:rsid w:val="00E011CC"/>
    <w:rsid w:val="00E138F1"/>
    <w:rsid w:val="00E2309D"/>
    <w:rsid w:val="00E26758"/>
    <w:rsid w:val="00E4357B"/>
    <w:rsid w:val="00E63DE5"/>
    <w:rsid w:val="00E65A37"/>
    <w:rsid w:val="00E65EF7"/>
    <w:rsid w:val="00E77B48"/>
    <w:rsid w:val="00E857FB"/>
    <w:rsid w:val="00E91799"/>
    <w:rsid w:val="00EA21FE"/>
    <w:rsid w:val="00EA34E3"/>
    <w:rsid w:val="00EB7538"/>
    <w:rsid w:val="00EE6468"/>
    <w:rsid w:val="00EF7269"/>
    <w:rsid w:val="00F1299B"/>
    <w:rsid w:val="00F207A4"/>
    <w:rsid w:val="00F355AC"/>
    <w:rsid w:val="00F659FD"/>
    <w:rsid w:val="00F70093"/>
    <w:rsid w:val="00F71A5A"/>
    <w:rsid w:val="00F769E0"/>
    <w:rsid w:val="00FA75FE"/>
    <w:rsid w:val="00FB1032"/>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6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basedOn w:val="DefaultParagraphFont"/>
    <w:rsid w:val="00A2594B"/>
    <w:rPr>
      <w:sz w:val="16"/>
      <w:szCs w:val="16"/>
    </w:rPr>
  </w:style>
  <w:style w:type="paragraph" w:styleId="CommentText">
    <w:name w:val="annotation text"/>
    <w:basedOn w:val="Normal"/>
    <w:link w:val="CommentTextChar"/>
    <w:rsid w:val="00A2594B"/>
    <w:rPr>
      <w:sz w:val="20"/>
      <w:szCs w:val="20"/>
    </w:rPr>
  </w:style>
  <w:style w:type="character" w:customStyle="1" w:styleId="CommentTextChar">
    <w:name w:val="Comment Text Char"/>
    <w:basedOn w:val="DefaultParagraphFont"/>
    <w:link w:val="CommentText"/>
    <w:rsid w:val="00A2594B"/>
  </w:style>
  <w:style w:type="paragraph" w:styleId="CommentSubject">
    <w:name w:val="annotation subject"/>
    <w:basedOn w:val="CommentText"/>
    <w:next w:val="CommentText"/>
    <w:link w:val="CommentSubjectChar"/>
    <w:rsid w:val="00A2594B"/>
    <w:rPr>
      <w:b/>
      <w:bCs/>
    </w:rPr>
  </w:style>
  <w:style w:type="character" w:customStyle="1" w:styleId="CommentSubjectChar">
    <w:name w:val="Comment Subject Char"/>
    <w:basedOn w:val="CommentTextChar"/>
    <w:link w:val="CommentSubject"/>
    <w:rsid w:val="00A2594B"/>
    <w:rPr>
      <w:b/>
      <w:bCs/>
    </w:rPr>
  </w:style>
  <w:style w:type="paragraph" w:styleId="Revision">
    <w:name w:val="Revision"/>
    <w:hidden/>
    <w:uiPriority w:val="99"/>
    <w:semiHidden/>
    <w:rsid w:val="006E790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basedOn w:val="DefaultParagraphFont"/>
    <w:rsid w:val="00A2594B"/>
    <w:rPr>
      <w:sz w:val="16"/>
      <w:szCs w:val="16"/>
    </w:rPr>
  </w:style>
  <w:style w:type="paragraph" w:styleId="CommentText">
    <w:name w:val="annotation text"/>
    <w:basedOn w:val="Normal"/>
    <w:link w:val="CommentTextChar"/>
    <w:rsid w:val="00A2594B"/>
    <w:rPr>
      <w:sz w:val="20"/>
      <w:szCs w:val="20"/>
    </w:rPr>
  </w:style>
  <w:style w:type="character" w:customStyle="1" w:styleId="CommentTextChar">
    <w:name w:val="Comment Text Char"/>
    <w:basedOn w:val="DefaultParagraphFont"/>
    <w:link w:val="CommentText"/>
    <w:rsid w:val="00A2594B"/>
  </w:style>
  <w:style w:type="paragraph" w:styleId="CommentSubject">
    <w:name w:val="annotation subject"/>
    <w:basedOn w:val="CommentText"/>
    <w:next w:val="CommentText"/>
    <w:link w:val="CommentSubjectChar"/>
    <w:rsid w:val="00A2594B"/>
    <w:rPr>
      <w:b/>
      <w:bCs/>
    </w:rPr>
  </w:style>
  <w:style w:type="character" w:customStyle="1" w:styleId="CommentSubjectChar">
    <w:name w:val="Comment Subject Char"/>
    <w:basedOn w:val="CommentTextChar"/>
    <w:link w:val="CommentSubject"/>
    <w:rsid w:val="00A2594B"/>
    <w:rPr>
      <w:b/>
      <w:bCs/>
    </w:rPr>
  </w:style>
  <w:style w:type="paragraph" w:styleId="Revision">
    <w:name w:val="Revision"/>
    <w:hidden/>
    <w:uiPriority w:val="99"/>
    <w:semiHidden/>
    <w:rsid w:val="006E79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A194A-405A-417D-A957-9E02D38D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SYSTEM</cp:lastModifiedBy>
  <cp:revision>2</cp:revision>
  <cp:lastPrinted>2010-12-08T19:17:00Z</cp:lastPrinted>
  <dcterms:created xsi:type="dcterms:W3CDTF">2019-08-16T11:43:00Z</dcterms:created>
  <dcterms:modified xsi:type="dcterms:W3CDTF">2019-08-16T11:43:00Z</dcterms:modified>
</cp:coreProperties>
</file>