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0E06E" w14:textId="5A11F0E2" w:rsidR="005679BF" w:rsidRPr="00631D19" w:rsidRDefault="005679BF" w:rsidP="00631D19">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1DDF09AF" w14:textId="1AFA19A4" w:rsidR="00073D7C" w:rsidRPr="003E48C1" w:rsidRDefault="003E48C1" w:rsidP="00AC5911">
      <w:pPr>
        <w:pStyle w:val="NormalWeb"/>
        <w:spacing w:line="288" w:lineRule="atLeast"/>
        <w:jc w:val="center"/>
        <w:rPr>
          <w:rFonts w:asciiTheme="majorHAnsi" w:hAnsiTheme="majorHAnsi"/>
        </w:rPr>
      </w:pPr>
      <w:r>
        <w:rPr>
          <w:rFonts w:asciiTheme="majorHAnsi" w:hAnsiTheme="majorHAnsi"/>
        </w:rPr>
        <w:t xml:space="preserve">United States </w:t>
      </w:r>
      <w:r w:rsidR="005679BF" w:rsidRPr="003E48C1">
        <w:rPr>
          <w:rFonts w:asciiTheme="majorHAnsi" w:hAnsiTheme="majorHAnsi"/>
        </w:rPr>
        <w:t xml:space="preserve">Naval Academy Sponsor </w:t>
      </w:r>
      <w:r w:rsidR="00057842" w:rsidRPr="003E48C1">
        <w:rPr>
          <w:rFonts w:asciiTheme="majorHAnsi" w:hAnsiTheme="majorHAnsi"/>
        </w:rPr>
        <w:t>P</w:t>
      </w:r>
      <w:r w:rsidR="005679BF" w:rsidRPr="003E48C1">
        <w:rPr>
          <w:rFonts w:asciiTheme="majorHAnsi" w:hAnsiTheme="majorHAnsi"/>
        </w:rPr>
        <w:t xml:space="preserve">rogram </w:t>
      </w:r>
      <w:r>
        <w:rPr>
          <w:rFonts w:asciiTheme="majorHAnsi" w:hAnsiTheme="majorHAnsi"/>
        </w:rPr>
        <w:t>– 0703-0054</w:t>
      </w:r>
    </w:p>
    <w:p w14:paraId="18541E29" w14:textId="77777777" w:rsidR="005C7428" w:rsidRPr="001A4C35" w:rsidRDefault="0027743E" w:rsidP="006E563D">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1.</w:t>
      </w:r>
      <w:r w:rsidR="00211832" w:rsidRPr="001A4C35">
        <w:rPr>
          <w:rFonts w:asciiTheme="majorHAnsi" w:hAnsiTheme="majorHAnsi" w:cs="Times New Roman"/>
          <w:sz w:val="24"/>
          <w:szCs w:val="24"/>
        </w:rPr>
        <w:t xml:space="preserve"> </w:t>
      </w:r>
      <w:r w:rsidR="00510F0C" w:rsidRPr="001A4C35">
        <w:rPr>
          <w:rFonts w:asciiTheme="majorHAnsi" w:hAnsiTheme="majorHAnsi" w:cs="Times New Roman"/>
          <w:sz w:val="24"/>
          <w:szCs w:val="24"/>
        </w:rPr>
        <w:tab/>
      </w:r>
      <w:r w:rsidR="005C7428" w:rsidRPr="001A4C35">
        <w:rPr>
          <w:rFonts w:asciiTheme="majorHAnsi" w:hAnsiTheme="majorHAnsi" w:cs="Times New Roman"/>
          <w:sz w:val="24"/>
          <w:szCs w:val="24"/>
          <w:u w:val="single"/>
        </w:rPr>
        <w:t>Need for the Information Collection</w:t>
      </w:r>
    </w:p>
    <w:p w14:paraId="2E7BD8C0" w14:textId="1B3CBB59" w:rsidR="00502F72" w:rsidRDefault="00073D7C">
      <w:pPr>
        <w:pStyle w:val="NormalWeb"/>
        <w:spacing w:line="288" w:lineRule="atLeast"/>
        <w:ind w:firstLine="720"/>
        <w:rPr>
          <w:rStyle w:val="Hyperlink"/>
          <w:rFonts w:asciiTheme="majorHAnsi" w:hAnsiTheme="majorHAnsi"/>
          <w:color w:val="auto"/>
          <w:u w:val="none"/>
        </w:rPr>
      </w:pPr>
      <w:r w:rsidRPr="001A4C35">
        <w:rPr>
          <w:rFonts w:asciiTheme="majorHAnsi" w:hAnsiTheme="majorHAnsi"/>
        </w:rPr>
        <w:t xml:space="preserve">This information requirement </w:t>
      </w:r>
      <w:r w:rsidR="00BE63C9">
        <w:rPr>
          <w:rFonts w:asciiTheme="majorHAnsi" w:hAnsiTheme="majorHAnsi"/>
        </w:rPr>
        <w:t>collection</w:t>
      </w:r>
      <w:r w:rsidR="00BE63C9" w:rsidRPr="001A4C35">
        <w:rPr>
          <w:rFonts w:asciiTheme="majorHAnsi" w:hAnsiTheme="majorHAnsi"/>
        </w:rPr>
        <w:t xml:space="preserve"> </w:t>
      </w:r>
      <w:r w:rsidRPr="001A4C35">
        <w:rPr>
          <w:rFonts w:asciiTheme="majorHAnsi" w:hAnsiTheme="majorHAnsi"/>
        </w:rPr>
        <w:t xml:space="preserve">is needed by officials to determine the eligibility and overall compatibility between sponsor applicants and Fourth Class Midshipmen at the United States Naval </w:t>
      </w:r>
      <w:r w:rsidR="00BB12CA">
        <w:rPr>
          <w:rFonts w:asciiTheme="majorHAnsi" w:hAnsiTheme="majorHAnsi"/>
        </w:rPr>
        <w:t>Academy.  In their first year, m</w:t>
      </w:r>
      <w:r w:rsidRPr="001A4C35">
        <w:rPr>
          <w:rFonts w:asciiTheme="majorHAnsi" w:hAnsiTheme="majorHAnsi"/>
        </w:rPr>
        <w:t xml:space="preserve">idshipmen are assigned a sponsor so they can have a support system.  The information that is collected from the sponsor is to determine the best match for everyone involved. </w:t>
      </w:r>
      <w:r w:rsidR="00BB12CA">
        <w:rPr>
          <w:rFonts w:asciiTheme="majorHAnsi" w:hAnsiTheme="majorHAnsi"/>
        </w:rPr>
        <w:t xml:space="preserve"> </w:t>
      </w:r>
      <w:r w:rsidRPr="001A4C35">
        <w:rPr>
          <w:rFonts w:asciiTheme="majorHAnsi" w:hAnsiTheme="majorHAnsi"/>
        </w:rPr>
        <w:t>An analysis of the information collected is made by the Sponsor Program Director during the process in order to best</w:t>
      </w:r>
      <w:r w:rsidR="005F1DE9">
        <w:rPr>
          <w:rFonts w:asciiTheme="majorHAnsi" w:hAnsiTheme="majorHAnsi"/>
        </w:rPr>
        <w:t xml:space="preserve"> match sponsor with midshipma</w:t>
      </w:r>
      <w:r w:rsidRPr="001A4C35">
        <w:rPr>
          <w:rFonts w:asciiTheme="majorHAnsi" w:hAnsiTheme="majorHAnsi"/>
        </w:rPr>
        <w:t xml:space="preserve">n.  The collection of the information is authorized by </w:t>
      </w:r>
      <w:r w:rsidRPr="00BD5088">
        <w:rPr>
          <w:rFonts w:asciiTheme="majorHAnsi" w:hAnsiTheme="majorHAnsi"/>
          <w:color w:val="000000" w:themeColor="text1"/>
        </w:rPr>
        <w:t xml:space="preserve">Title 5 U.S.C. </w:t>
      </w:r>
      <w:r w:rsidR="005F1DE9" w:rsidRPr="00BD5088">
        <w:rPr>
          <w:rFonts w:asciiTheme="majorHAnsi" w:hAnsiTheme="majorHAnsi"/>
          <w:color w:val="000000" w:themeColor="text1"/>
        </w:rPr>
        <w:t xml:space="preserve">§301 </w:t>
      </w:r>
      <w:r w:rsidR="005F1DE9">
        <w:rPr>
          <w:rFonts w:asciiTheme="majorHAnsi" w:hAnsiTheme="majorHAnsi"/>
        </w:rPr>
        <w:t xml:space="preserve">Departmental regulations; </w:t>
      </w:r>
      <w:hyperlink r:id="rId8" w:history="1">
        <w:r w:rsidRPr="00BD5088">
          <w:rPr>
            <w:rStyle w:val="Hyperlink"/>
            <w:rFonts w:asciiTheme="majorHAnsi" w:hAnsiTheme="majorHAnsi"/>
            <w:color w:val="auto"/>
            <w:u w:val="none"/>
          </w:rPr>
          <w:t>10 U.S.C. 5013, Secretary of the Navy</w:t>
        </w:r>
      </w:hyperlink>
      <w:r w:rsidRPr="00BE63C9">
        <w:rPr>
          <w:rFonts w:asciiTheme="majorHAnsi" w:hAnsiTheme="majorHAnsi"/>
        </w:rPr>
        <w:t>;</w:t>
      </w:r>
      <w:r w:rsidR="008A13EA" w:rsidRPr="008A13EA">
        <w:rPr>
          <w:spacing w:val="7"/>
        </w:rPr>
        <w:t xml:space="preserve"> </w:t>
      </w:r>
      <w:r w:rsidR="008A13EA" w:rsidRPr="00D30ACC">
        <w:rPr>
          <w:spacing w:val="7"/>
        </w:rPr>
        <w:t>DoDI 1322.22, Service Academies</w:t>
      </w:r>
      <w:r w:rsidR="008A13EA">
        <w:rPr>
          <w:spacing w:val="7"/>
        </w:rPr>
        <w:t>,</w:t>
      </w:r>
      <w:r w:rsidRPr="00BE63C9">
        <w:rPr>
          <w:rFonts w:asciiTheme="majorHAnsi" w:hAnsiTheme="majorHAnsi"/>
        </w:rPr>
        <w:t xml:space="preserve"> </w:t>
      </w:r>
      <w:r w:rsidR="005679BF">
        <w:rPr>
          <w:rFonts w:asciiTheme="majorHAnsi" w:hAnsiTheme="majorHAnsi"/>
        </w:rPr>
        <w:t xml:space="preserve">and </w:t>
      </w:r>
      <w:r w:rsidR="00502F72">
        <w:rPr>
          <w:rFonts w:asciiTheme="majorHAnsi" w:hAnsiTheme="majorHAnsi"/>
        </w:rPr>
        <w:t>Commandant of Midshipmen Instruction 1531.5S</w:t>
      </w:r>
      <w:r w:rsidR="005679BF">
        <w:rPr>
          <w:rFonts w:asciiTheme="majorHAnsi" w:hAnsiTheme="majorHAnsi"/>
        </w:rPr>
        <w:t>.</w:t>
      </w:r>
    </w:p>
    <w:p w14:paraId="6E15BB4C" w14:textId="0C52A385" w:rsidR="00510F0C" w:rsidRDefault="00976DA1">
      <w:pPr>
        <w:pStyle w:val="NormalWeb"/>
        <w:spacing w:line="288" w:lineRule="atLeast"/>
        <w:ind w:firstLine="720"/>
        <w:rPr>
          <w:rFonts w:asciiTheme="majorHAnsi" w:hAnsiTheme="majorHAnsi"/>
        </w:rPr>
      </w:pPr>
      <w:hyperlink r:id="rId9" w:history="1">
        <w:r w:rsidR="00502F72" w:rsidRPr="00502F72">
          <w:rPr>
            <w:rStyle w:val="Hyperlink"/>
            <w:rFonts w:asciiTheme="majorHAnsi" w:hAnsiTheme="majorHAnsi"/>
          </w:rPr>
          <w:t>Title 5 U.S.C. §301</w:t>
        </w:r>
      </w:hyperlink>
      <w:r w:rsidR="00502F72">
        <w:rPr>
          <w:rFonts w:asciiTheme="majorHAnsi" w:hAnsiTheme="majorHAnsi"/>
          <w:color w:val="000000" w:themeColor="text1"/>
        </w:rPr>
        <w:t>,</w:t>
      </w:r>
      <w:r w:rsidR="00502F72" w:rsidRPr="00363CFD">
        <w:rPr>
          <w:rFonts w:asciiTheme="majorHAnsi" w:hAnsiTheme="majorHAnsi"/>
          <w:color w:val="000000" w:themeColor="text1"/>
        </w:rPr>
        <w:t xml:space="preserve"> </w:t>
      </w:r>
      <w:r w:rsidR="00502F72">
        <w:rPr>
          <w:rFonts w:asciiTheme="majorHAnsi" w:hAnsiTheme="majorHAnsi"/>
        </w:rPr>
        <w:t>Departmental regulations,</w:t>
      </w:r>
      <w:r w:rsidR="00502F72" w:rsidRPr="00502F72">
        <w:rPr>
          <w:rFonts w:ascii="Verdana" w:eastAsiaTheme="minorHAnsi" w:hAnsi="Verdana" w:cstheme="minorBidi"/>
          <w:color w:val="333333"/>
          <w:sz w:val="22"/>
          <w:szCs w:val="22"/>
          <w:shd w:val="clear" w:color="auto" w:fill="FFFFFF"/>
        </w:rPr>
        <w:t xml:space="preserve"> </w:t>
      </w:r>
      <w:r w:rsidR="00502F72" w:rsidRPr="00502F72">
        <w:rPr>
          <w:rFonts w:asciiTheme="majorHAnsi" w:hAnsiTheme="majorHAnsi"/>
        </w:rPr>
        <w:t>The head of an Executive department or military department may prescribe regulations for the government of his department, the conduct of its </w:t>
      </w:r>
      <w:hyperlink r:id="rId10" w:history="1">
        <w:r w:rsidR="00502F72" w:rsidRPr="00631D19">
          <w:rPr>
            <w:rStyle w:val="Hyperlink"/>
            <w:rFonts w:asciiTheme="majorHAnsi" w:hAnsiTheme="majorHAnsi"/>
            <w:color w:val="auto"/>
            <w:u w:val="none"/>
          </w:rPr>
          <w:t>employees</w:t>
        </w:r>
      </w:hyperlink>
      <w:r w:rsidR="00502F72" w:rsidRPr="00502F72">
        <w:rPr>
          <w:rFonts w:asciiTheme="majorHAnsi" w:hAnsiTheme="majorHAnsi"/>
        </w:rPr>
        <w:t>, the </w:t>
      </w:r>
      <w:hyperlink r:id="rId11" w:history="1">
        <w:r w:rsidR="00502F72" w:rsidRPr="00631D19">
          <w:rPr>
            <w:rStyle w:val="Hyperlink"/>
            <w:rFonts w:asciiTheme="majorHAnsi" w:hAnsiTheme="majorHAnsi"/>
            <w:color w:val="auto"/>
            <w:u w:val="none"/>
          </w:rPr>
          <w:t>distribution</w:t>
        </w:r>
      </w:hyperlink>
      <w:r w:rsidR="00502F72" w:rsidRPr="00502F72">
        <w:rPr>
          <w:rFonts w:asciiTheme="majorHAnsi" w:hAnsiTheme="majorHAnsi"/>
        </w:rPr>
        <w:t> and performance of its business, and the custody, use, and preservation of its records, papers, and property. This section does not authorize withholding information from the public or limiting the availability of records to the public.</w:t>
      </w:r>
    </w:p>
    <w:p w14:paraId="61CB6F57" w14:textId="6194B0DB" w:rsidR="0090284A" w:rsidRDefault="00976DA1" w:rsidP="00631D19">
      <w:pPr>
        <w:ind w:firstLine="720"/>
        <w:rPr>
          <w:rFonts w:ascii="Cambria" w:eastAsia="Cambria" w:hAnsi="Cambria" w:cs="Cambria"/>
        </w:rPr>
      </w:pPr>
      <w:hyperlink r:id="rId12">
        <w:r w:rsidR="0090284A">
          <w:rPr>
            <w:rFonts w:ascii="Cambria" w:eastAsia="Cambria" w:hAnsi="Cambria" w:cs="Cambria"/>
            <w:color w:val="0000FF"/>
            <w:sz w:val="24"/>
            <w:szCs w:val="24"/>
            <w:u w:val="single"/>
          </w:rPr>
          <w:t>10 U.S.C. 5013</w:t>
        </w:r>
      </w:hyperlink>
      <w:r w:rsidR="0090284A">
        <w:rPr>
          <w:rFonts w:ascii="Cambria" w:eastAsia="Cambria" w:hAnsi="Cambria" w:cs="Cambria"/>
          <w:sz w:val="24"/>
          <w:szCs w:val="24"/>
        </w:rPr>
        <w:t>, Secretary of the Navy, prescribes the Secretary of the Navy has responsibility to recruit and train personnel for the Navy to which he has the authority to delegate authority.</w:t>
      </w:r>
    </w:p>
    <w:p w14:paraId="20519F4C" w14:textId="3FB55B3F" w:rsidR="008A13EA" w:rsidRDefault="00976DA1" w:rsidP="00631D19">
      <w:pPr>
        <w:ind w:firstLine="720"/>
        <w:rPr>
          <w:rFonts w:ascii="Cambria" w:eastAsia="Cambria" w:hAnsi="Cambria" w:cs="Cambria"/>
        </w:rPr>
      </w:pPr>
      <w:hyperlink r:id="rId13" w:history="1">
        <w:r w:rsidR="008A13EA" w:rsidRPr="008A13EA">
          <w:rPr>
            <w:rStyle w:val="Hyperlink"/>
            <w:rFonts w:ascii="Cambria" w:eastAsia="Cambria" w:hAnsi="Cambria" w:cs="Cambria"/>
            <w:sz w:val="24"/>
            <w:szCs w:val="24"/>
          </w:rPr>
          <w:t>DoDI 1322.22</w:t>
        </w:r>
      </w:hyperlink>
      <w:r w:rsidR="008A13EA">
        <w:rPr>
          <w:rFonts w:ascii="Cambria" w:eastAsia="Cambria" w:hAnsi="Cambria" w:cs="Cambria"/>
          <w:sz w:val="24"/>
          <w:szCs w:val="24"/>
        </w:rPr>
        <w:t>, Service Academies, Instruction issues policies for governance and operations of the service academies and there programs.</w:t>
      </w:r>
    </w:p>
    <w:p w14:paraId="39DB313E" w14:textId="5957DE69" w:rsidR="0090284A" w:rsidRDefault="00976DA1" w:rsidP="00631D19">
      <w:pPr>
        <w:ind w:firstLine="720"/>
        <w:rPr>
          <w:rFonts w:ascii="Cambria" w:eastAsia="Cambria" w:hAnsi="Cambria" w:cs="Cambria"/>
        </w:rPr>
      </w:pPr>
      <w:hyperlink r:id="rId14" w:history="1">
        <w:r w:rsidR="00502F72" w:rsidRPr="00502F72">
          <w:rPr>
            <w:rStyle w:val="Hyperlink"/>
            <w:rFonts w:ascii="Cambria" w:eastAsia="Cambria" w:hAnsi="Cambria" w:cs="Cambria"/>
          </w:rPr>
          <w:t>COMDTMIDNINST 1531.5series</w:t>
        </w:r>
      </w:hyperlink>
      <w:r w:rsidR="00502F72">
        <w:rPr>
          <w:rFonts w:ascii="Cambria" w:eastAsia="Cambria" w:hAnsi="Cambria" w:cs="Cambria"/>
        </w:rPr>
        <w:t>, Instruction issues procedures for the United States Naval Academy Sponsor Program.</w:t>
      </w:r>
    </w:p>
    <w:p w14:paraId="1AFC4BB9" w14:textId="77777777" w:rsidR="00502F72" w:rsidRPr="00631D19" w:rsidRDefault="00502F72" w:rsidP="00631D19">
      <w:pPr>
        <w:ind w:firstLine="720"/>
        <w:rPr>
          <w:rFonts w:ascii="Cambria" w:eastAsia="Cambria" w:hAnsi="Cambria" w:cs="Cambria"/>
        </w:rPr>
      </w:pPr>
    </w:p>
    <w:p w14:paraId="52BF397C" w14:textId="77777777" w:rsidR="005C7428" w:rsidRPr="001A4C35" w:rsidRDefault="00510F0C" w:rsidP="006E563D">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2.</w:t>
      </w:r>
      <w:r w:rsidRPr="001A4C35">
        <w:rPr>
          <w:rFonts w:asciiTheme="majorHAnsi" w:hAnsiTheme="majorHAnsi" w:cs="Times New Roman"/>
          <w:sz w:val="24"/>
          <w:szCs w:val="24"/>
        </w:rPr>
        <w:tab/>
      </w:r>
      <w:r w:rsidR="005C7428" w:rsidRPr="001A4C35">
        <w:rPr>
          <w:rFonts w:asciiTheme="majorHAnsi" w:hAnsiTheme="majorHAnsi" w:cs="Times New Roman"/>
          <w:sz w:val="24"/>
          <w:szCs w:val="24"/>
          <w:u w:val="single"/>
        </w:rPr>
        <w:t>Use of the Information</w:t>
      </w:r>
    </w:p>
    <w:p w14:paraId="0D0D3306" w14:textId="22995FAB" w:rsidR="00E843A3" w:rsidRPr="001A4C35" w:rsidRDefault="00E843A3" w:rsidP="00A11CA6">
      <w:pPr>
        <w:pStyle w:val="NormalWeb"/>
        <w:spacing w:line="288" w:lineRule="atLeast"/>
        <w:ind w:firstLine="720"/>
        <w:rPr>
          <w:rFonts w:asciiTheme="majorHAnsi" w:hAnsiTheme="majorHAnsi"/>
        </w:rPr>
      </w:pPr>
      <w:r w:rsidRPr="001A4C35">
        <w:rPr>
          <w:rFonts w:asciiTheme="majorHAnsi" w:hAnsiTheme="majorHAnsi"/>
        </w:rPr>
        <w:t>This information is used to assist the Naval Academy in managing the USNA Sponsor Program and to assign midshipmen to sponsors, to maintain a record of the names and addresses of families assigned as sponsors or who are interested in the Sponsor Program, and to contact sponsors either by phone or written correspondence.  The sponsors can be anyone that resides in Annapolis, M</w:t>
      </w:r>
      <w:r w:rsidR="00BE63C9">
        <w:rPr>
          <w:rFonts w:asciiTheme="majorHAnsi" w:hAnsiTheme="majorHAnsi"/>
        </w:rPr>
        <w:t>aryland</w:t>
      </w:r>
      <w:r w:rsidRPr="001A4C35">
        <w:rPr>
          <w:rFonts w:asciiTheme="majorHAnsi" w:hAnsiTheme="majorHAnsi"/>
        </w:rPr>
        <w:t>, o</w:t>
      </w:r>
      <w:r w:rsidR="005F1DE9">
        <w:rPr>
          <w:rFonts w:asciiTheme="majorHAnsi" w:hAnsiTheme="majorHAnsi"/>
        </w:rPr>
        <w:t>r the surrounding area.</w:t>
      </w:r>
      <w:r w:rsidR="00BB12CA">
        <w:rPr>
          <w:rFonts w:asciiTheme="majorHAnsi" w:hAnsiTheme="majorHAnsi"/>
        </w:rPr>
        <w:t xml:space="preserve"> </w:t>
      </w:r>
      <w:r w:rsidRPr="001A4C35">
        <w:rPr>
          <w:rFonts w:asciiTheme="majorHAnsi" w:hAnsiTheme="majorHAnsi"/>
        </w:rPr>
        <w:t xml:space="preserve"> There are no announcements </w:t>
      </w:r>
      <w:r w:rsidR="00BE63C9">
        <w:rPr>
          <w:rFonts w:asciiTheme="majorHAnsi" w:hAnsiTheme="majorHAnsi"/>
        </w:rPr>
        <w:t xml:space="preserve">or advertisements </w:t>
      </w:r>
      <w:r w:rsidRPr="001A4C35">
        <w:rPr>
          <w:rFonts w:asciiTheme="majorHAnsi" w:hAnsiTheme="majorHAnsi"/>
        </w:rPr>
        <w:t xml:space="preserve">that inform interested sponsors about this program. </w:t>
      </w:r>
      <w:r w:rsidR="00BE63C9">
        <w:rPr>
          <w:rFonts w:asciiTheme="majorHAnsi" w:hAnsiTheme="majorHAnsi"/>
        </w:rPr>
        <w:t>Individuals interested in becoming sponsors</w:t>
      </w:r>
      <w:r w:rsidRPr="001A4C35">
        <w:rPr>
          <w:rFonts w:asciiTheme="majorHAnsi" w:hAnsiTheme="majorHAnsi"/>
        </w:rPr>
        <w:t xml:space="preserve"> </w:t>
      </w:r>
      <w:r w:rsidR="00BB12CA">
        <w:rPr>
          <w:rFonts w:asciiTheme="majorHAnsi" w:hAnsiTheme="majorHAnsi"/>
        </w:rPr>
        <w:t>go to the Naval Academy website</w:t>
      </w:r>
      <w:r w:rsidR="00BE63C9">
        <w:rPr>
          <w:rFonts w:asciiTheme="majorHAnsi" w:hAnsiTheme="majorHAnsi"/>
        </w:rPr>
        <w:t xml:space="preserve"> </w:t>
      </w:r>
      <w:r w:rsidR="00BE63C9" w:rsidRPr="00BE63C9">
        <w:rPr>
          <w:rFonts w:asciiTheme="majorHAnsi" w:hAnsiTheme="majorHAnsi"/>
        </w:rPr>
        <w:t>(</w:t>
      </w:r>
      <w:r w:rsidR="00BE63C9" w:rsidRPr="00631D19">
        <w:rPr>
          <w:rFonts w:asciiTheme="majorHAnsi" w:eastAsiaTheme="minorHAnsi" w:hAnsiTheme="majorHAnsi" w:cstheme="minorBidi"/>
          <w:u w:val="single"/>
        </w:rPr>
        <w:t>https://www.usna.edu/Sponsor/</w:t>
      </w:r>
      <w:r w:rsidR="00BE63C9" w:rsidRPr="00631D19">
        <w:rPr>
          <w:rFonts w:asciiTheme="majorHAnsi" w:eastAsiaTheme="minorHAnsi" w:hAnsiTheme="majorHAnsi" w:cstheme="minorBidi"/>
        </w:rPr>
        <w:t>)</w:t>
      </w:r>
      <w:r w:rsidR="00BE63C9" w:rsidRPr="00631D19">
        <w:rPr>
          <w:rFonts w:asciiTheme="majorHAnsi" w:hAnsiTheme="majorHAnsi"/>
          <w:sz w:val="28"/>
        </w:rPr>
        <w:t xml:space="preserve"> </w:t>
      </w:r>
      <w:r w:rsidR="00BE63C9">
        <w:rPr>
          <w:rFonts w:asciiTheme="majorHAnsi" w:hAnsiTheme="majorHAnsi"/>
        </w:rPr>
        <w:t>where</w:t>
      </w:r>
      <w:r w:rsidRPr="001A4C35">
        <w:rPr>
          <w:rFonts w:asciiTheme="majorHAnsi" w:hAnsiTheme="majorHAnsi"/>
        </w:rPr>
        <w:t xml:space="preserve"> they can find information on becoming a </w:t>
      </w:r>
      <w:r w:rsidRPr="001A4C35">
        <w:rPr>
          <w:rFonts w:asciiTheme="majorHAnsi" w:hAnsiTheme="majorHAnsi"/>
        </w:rPr>
        <w:lastRenderedPageBreak/>
        <w:t xml:space="preserve">sponsor.  </w:t>
      </w:r>
      <w:r w:rsidR="00BE63C9">
        <w:rPr>
          <w:rFonts w:asciiTheme="majorHAnsi" w:hAnsiTheme="majorHAnsi"/>
        </w:rPr>
        <w:t>Sponsors are assigned to their respective</w:t>
      </w:r>
      <w:r w:rsidR="005F1DE9">
        <w:rPr>
          <w:rFonts w:asciiTheme="majorHAnsi" w:hAnsiTheme="majorHAnsi"/>
        </w:rPr>
        <w:t xml:space="preserve"> midshipma</w:t>
      </w:r>
      <w:r w:rsidRPr="001A4C35">
        <w:rPr>
          <w:rFonts w:asciiTheme="majorHAnsi" w:hAnsiTheme="majorHAnsi"/>
        </w:rPr>
        <w:t>n until the</w:t>
      </w:r>
      <w:r w:rsidR="00BE63C9">
        <w:rPr>
          <w:rFonts w:asciiTheme="majorHAnsi" w:hAnsiTheme="majorHAnsi"/>
        </w:rPr>
        <w:t xml:space="preserve"> midshipman’s</w:t>
      </w:r>
      <w:r w:rsidRPr="001A4C35">
        <w:rPr>
          <w:rFonts w:asciiTheme="majorHAnsi" w:hAnsiTheme="majorHAnsi"/>
        </w:rPr>
        <w:t xml:space="preserve"> graduat</w:t>
      </w:r>
      <w:r w:rsidR="00BE63C9">
        <w:rPr>
          <w:rFonts w:asciiTheme="majorHAnsi" w:hAnsiTheme="majorHAnsi"/>
        </w:rPr>
        <w:t>ion from the Naval Academy</w:t>
      </w:r>
      <w:r w:rsidR="00BB12CA">
        <w:rPr>
          <w:rFonts w:asciiTheme="majorHAnsi" w:hAnsiTheme="majorHAnsi"/>
        </w:rPr>
        <w:t>.  The sponsor</w:t>
      </w:r>
      <w:r w:rsidR="005F1DE9">
        <w:rPr>
          <w:rFonts w:asciiTheme="majorHAnsi" w:hAnsiTheme="majorHAnsi"/>
        </w:rPr>
        <w:t>s are</w:t>
      </w:r>
      <w:r w:rsidR="00BB12CA">
        <w:rPr>
          <w:rFonts w:asciiTheme="majorHAnsi" w:hAnsiTheme="majorHAnsi"/>
        </w:rPr>
        <w:t xml:space="preserve"> an outlet, </w:t>
      </w:r>
      <w:r w:rsidRPr="001A4C35">
        <w:rPr>
          <w:rFonts w:asciiTheme="majorHAnsi" w:hAnsiTheme="majorHAnsi"/>
        </w:rPr>
        <w:t>support system</w:t>
      </w:r>
      <w:r w:rsidR="00BB12CA">
        <w:rPr>
          <w:rFonts w:asciiTheme="majorHAnsi" w:hAnsiTheme="majorHAnsi"/>
        </w:rPr>
        <w:t>,</w:t>
      </w:r>
      <w:r w:rsidRPr="001A4C35">
        <w:rPr>
          <w:rFonts w:asciiTheme="majorHAnsi" w:hAnsiTheme="majorHAnsi"/>
        </w:rPr>
        <w:t xml:space="preserve"> and second family for the midshipmen.  </w:t>
      </w:r>
      <w:r w:rsidR="000B0BEA">
        <w:rPr>
          <w:rFonts w:asciiTheme="majorHAnsi" w:hAnsiTheme="majorHAnsi"/>
        </w:rPr>
        <w:t>Midshipmen</w:t>
      </w:r>
      <w:r w:rsidRPr="001A4C35">
        <w:rPr>
          <w:rFonts w:asciiTheme="majorHAnsi" w:hAnsiTheme="majorHAnsi"/>
        </w:rPr>
        <w:t xml:space="preserve"> liberty dep</w:t>
      </w:r>
      <w:r w:rsidR="00BB12CA">
        <w:rPr>
          <w:rFonts w:asciiTheme="majorHAnsi" w:hAnsiTheme="majorHAnsi"/>
        </w:rPr>
        <w:t>ends on what class the midshipma</w:t>
      </w:r>
      <w:r w:rsidRPr="001A4C35">
        <w:rPr>
          <w:rFonts w:asciiTheme="majorHAnsi" w:hAnsiTheme="majorHAnsi"/>
        </w:rPr>
        <w:t xml:space="preserve">n is in and generally increases every year. </w:t>
      </w:r>
    </w:p>
    <w:p w14:paraId="0190DF06" w14:textId="058D0051" w:rsidR="00B40B1F" w:rsidRDefault="00E843A3" w:rsidP="00631D19">
      <w:pPr>
        <w:pStyle w:val="NormalWeb"/>
        <w:spacing w:line="288" w:lineRule="atLeast"/>
        <w:ind w:firstLine="720"/>
      </w:pPr>
      <w:r w:rsidRPr="001A4C35">
        <w:rPr>
          <w:rFonts w:asciiTheme="majorHAnsi" w:hAnsiTheme="majorHAnsi"/>
        </w:rPr>
        <w:t>The application</w:t>
      </w:r>
      <w:r w:rsidR="00D03CB0">
        <w:rPr>
          <w:rFonts w:asciiTheme="majorHAnsi" w:hAnsiTheme="majorHAnsi"/>
        </w:rPr>
        <w:t>, USNA 1531/12,</w:t>
      </w:r>
      <w:r w:rsidRPr="001A4C35">
        <w:rPr>
          <w:rFonts w:asciiTheme="majorHAnsi" w:hAnsiTheme="majorHAnsi"/>
        </w:rPr>
        <w:t xml:space="preserve"> asks questions such as personal information, household and general midshipman prefer</w:t>
      </w:r>
      <w:r w:rsidR="00BB12CA">
        <w:rPr>
          <w:rFonts w:asciiTheme="majorHAnsi" w:hAnsiTheme="majorHAnsi"/>
        </w:rPr>
        <w:t>ences, hobbies</w:t>
      </w:r>
      <w:r w:rsidR="00334117">
        <w:rPr>
          <w:rFonts w:asciiTheme="majorHAnsi" w:hAnsiTheme="majorHAnsi"/>
        </w:rPr>
        <w:t>, and</w:t>
      </w:r>
      <w:r w:rsidR="00BB12CA">
        <w:rPr>
          <w:rFonts w:asciiTheme="majorHAnsi" w:hAnsiTheme="majorHAnsi"/>
        </w:rPr>
        <w:t xml:space="preserve"> activities. </w:t>
      </w:r>
      <w:r w:rsidRPr="001A4C35">
        <w:rPr>
          <w:rFonts w:asciiTheme="majorHAnsi" w:hAnsiTheme="majorHAnsi"/>
        </w:rPr>
        <w:t xml:space="preserve"> The information collected helps the Naval </w:t>
      </w:r>
      <w:r w:rsidR="00BB12CA">
        <w:rPr>
          <w:rFonts w:asciiTheme="majorHAnsi" w:hAnsiTheme="majorHAnsi"/>
        </w:rPr>
        <w:t>Academy appropriately assign a midshipma</w:t>
      </w:r>
      <w:r w:rsidRPr="001A4C35">
        <w:rPr>
          <w:rFonts w:asciiTheme="majorHAnsi" w:hAnsiTheme="majorHAnsi"/>
        </w:rPr>
        <w:t xml:space="preserve">n to a sponsor.  This type of information is needed to ensure that a </w:t>
      </w:r>
      <w:r w:rsidR="00BB12CA">
        <w:rPr>
          <w:rFonts w:asciiTheme="majorHAnsi" w:hAnsiTheme="majorHAnsi"/>
        </w:rPr>
        <w:t xml:space="preserve">good match is made between the midshipman and the sponsor. </w:t>
      </w:r>
      <w:r w:rsidRPr="001A4C35">
        <w:rPr>
          <w:rFonts w:asciiTheme="majorHAnsi" w:hAnsiTheme="majorHAnsi"/>
        </w:rPr>
        <w:t xml:space="preserve"> Applications are reviewed by the sponsor program office</w:t>
      </w:r>
      <w:r w:rsidR="00D93EC2">
        <w:rPr>
          <w:rFonts w:asciiTheme="majorHAnsi" w:hAnsiTheme="majorHAnsi"/>
        </w:rPr>
        <w:t>.</w:t>
      </w:r>
      <w:r w:rsidR="005679BF">
        <w:rPr>
          <w:rFonts w:asciiTheme="majorHAnsi" w:hAnsiTheme="majorHAnsi"/>
        </w:rPr>
        <w:t xml:space="preserve"> </w:t>
      </w:r>
      <w:r w:rsidR="005679BF" w:rsidRPr="005679BF">
        <w:rPr>
          <w:rFonts w:asciiTheme="majorHAnsi" w:hAnsiTheme="majorHAnsi"/>
        </w:rPr>
        <w:t>Sponsors receive a system generated email informing them USNA received their application, and from then on, the Sponsor Director corresponds with the</w:t>
      </w:r>
      <w:r w:rsidR="005679BF">
        <w:rPr>
          <w:rFonts w:asciiTheme="majorHAnsi" w:hAnsiTheme="majorHAnsi"/>
        </w:rPr>
        <w:t xml:space="preserve"> sponsors via letter or email. </w:t>
      </w:r>
    </w:p>
    <w:p w14:paraId="0248E090" w14:textId="77777777" w:rsidR="00B40B1F" w:rsidRDefault="00B40B1F" w:rsidP="006E563D">
      <w:pPr>
        <w:spacing w:after="0" w:line="240" w:lineRule="auto"/>
        <w:rPr>
          <w:rFonts w:asciiTheme="majorHAnsi" w:hAnsiTheme="majorHAnsi"/>
        </w:rPr>
      </w:pPr>
    </w:p>
    <w:p w14:paraId="484BD4C4" w14:textId="77777777" w:rsidR="005C7428" w:rsidRPr="001A4C35" w:rsidRDefault="005C7428" w:rsidP="006E563D">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 xml:space="preserve">3.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Use of Information Technology</w:t>
      </w:r>
    </w:p>
    <w:p w14:paraId="202E33AE" w14:textId="36F06D7F" w:rsidR="008635C4" w:rsidRPr="001A4C35" w:rsidRDefault="00F23F5A" w:rsidP="00A11CA6">
      <w:pPr>
        <w:pStyle w:val="NormalWeb"/>
        <w:spacing w:line="288" w:lineRule="atLeast"/>
        <w:ind w:firstLine="720"/>
        <w:rPr>
          <w:rFonts w:asciiTheme="majorHAnsi" w:hAnsiTheme="majorHAnsi"/>
        </w:rPr>
      </w:pPr>
      <w:r w:rsidRPr="001A4C35">
        <w:rPr>
          <w:rFonts w:asciiTheme="majorHAnsi" w:hAnsiTheme="majorHAnsi"/>
        </w:rPr>
        <w:t>In</w:t>
      </w:r>
      <w:r w:rsidR="000B0BEA">
        <w:rPr>
          <w:rFonts w:asciiTheme="majorHAnsi" w:hAnsiTheme="majorHAnsi"/>
        </w:rPr>
        <w:t xml:space="preserve"> order to minimize the burden to</w:t>
      </w:r>
      <w:r w:rsidRPr="001A4C35">
        <w:rPr>
          <w:rFonts w:asciiTheme="majorHAnsi" w:hAnsiTheme="majorHAnsi"/>
        </w:rPr>
        <w:t xml:space="preserve"> the respondent, the Naval Academy has designed the forms in a manner that enables the sponsor candidate to complete the application on-line by</w:t>
      </w:r>
      <w:r w:rsidR="003607C8">
        <w:rPr>
          <w:rFonts w:asciiTheme="majorHAnsi" w:hAnsiTheme="majorHAnsi"/>
        </w:rPr>
        <w:t xml:space="preserve"> going to the </w:t>
      </w:r>
      <w:r w:rsidR="0090284A">
        <w:rPr>
          <w:rFonts w:asciiTheme="majorHAnsi" w:hAnsiTheme="majorHAnsi"/>
        </w:rPr>
        <w:t>USNA</w:t>
      </w:r>
      <w:r w:rsidR="003607C8">
        <w:rPr>
          <w:rFonts w:asciiTheme="majorHAnsi" w:hAnsiTheme="majorHAnsi"/>
        </w:rPr>
        <w:t xml:space="preserve"> Sponsor web</w:t>
      </w:r>
      <w:r w:rsidRPr="001A4C35">
        <w:rPr>
          <w:rFonts w:asciiTheme="majorHAnsi" w:hAnsiTheme="majorHAnsi"/>
        </w:rPr>
        <w:t xml:space="preserve">site.  Once the respondent completes the information, it is submitted on a secure server/database and password protected in </w:t>
      </w:r>
      <w:r w:rsidR="000B0BEA">
        <w:rPr>
          <w:rFonts w:asciiTheme="majorHAnsi" w:hAnsiTheme="majorHAnsi"/>
        </w:rPr>
        <w:t>the MIDS s</w:t>
      </w:r>
      <w:r w:rsidRPr="001A4C35">
        <w:rPr>
          <w:rFonts w:asciiTheme="majorHAnsi" w:hAnsiTheme="majorHAnsi"/>
        </w:rPr>
        <w:t xml:space="preserve">ystem.  The data can only be accessed by the Sponsor Program Director. </w:t>
      </w:r>
      <w:r w:rsidR="005E384C" w:rsidRPr="001A4C35">
        <w:rPr>
          <w:rFonts w:asciiTheme="majorHAnsi" w:hAnsiTheme="majorHAnsi"/>
        </w:rPr>
        <w:t xml:space="preserve"> </w:t>
      </w:r>
      <w:r w:rsidRPr="001A4C35">
        <w:rPr>
          <w:rFonts w:asciiTheme="majorHAnsi" w:hAnsiTheme="majorHAnsi"/>
        </w:rPr>
        <w:t>Data is never printed.  100% of submissions are electronic.</w:t>
      </w:r>
    </w:p>
    <w:p w14:paraId="278150D6" w14:textId="77777777" w:rsidR="008635C4" w:rsidRPr="001A4C35" w:rsidRDefault="008635C4" w:rsidP="006E563D">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 xml:space="preserve">4.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Non-duplication</w:t>
      </w:r>
    </w:p>
    <w:p w14:paraId="2706E52E" w14:textId="77777777" w:rsidR="002457F5" w:rsidRPr="001A4C35" w:rsidRDefault="002457F5" w:rsidP="002457F5">
      <w:pPr>
        <w:spacing w:after="0" w:line="240" w:lineRule="auto"/>
        <w:rPr>
          <w:rFonts w:asciiTheme="majorHAnsi" w:hAnsiTheme="majorHAnsi" w:cs="Times New Roman"/>
          <w:sz w:val="24"/>
          <w:szCs w:val="24"/>
        </w:rPr>
      </w:pPr>
    </w:p>
    <w:p w14:paraId="4E92DB78" w14:textId="77777777" w:rsidR="008635C4" w:rsidRPr="001A4C35" w:rsidRDefault="008635C4" w:rsidP="002457F5">
      <w:pPr>
        <w:spacing w:after="0" w:line="240" w:lineRule="auto"/>
        <w:ind w:firstLine="720"/>
        <w:rPr>
          <w:rFonts w:asciiTheme="majorHAnsi" w:hAnsiTheme="majorHAnsi" w:cs="Times New Roman"/>
          <w:i/>
          <w:sz w:val="24"/>
          <w:szCs w:val="24"/>
        </w:rPr>
      </w:pPr>
      <w:r w:rsidRPr="001A4C35">
        <w:rPr>
          <w:rFonts w:asciiTheme="majorHAnsi" w:hAnsiTheme="majorHAnsi" w:cs="Times New Roman"/>
          <w:sz w:val="24"/>
          <w:szCs w:val="24"/>
        </w:rPr>
        <w:t xml:space="preserve">The information obtained through this collection is unique and </w:t>
      </w:r>
      <w:r w:rsidR="00CA15B1" w:rsidRPr="001A4C35">
        <w:rPr>
          <w:rFonts w:asciiTheme="majorHAnsi" w:hAnsiTheme="majorHAnsi" w:cs="Times New Roman"/>
          <w:sz w:val="24"/>
          <w:szCs w:val="24"/>
        </w:rPr>
        <w:t xml:space="preserve">is </w:t>
      </w:r>
      <w:r w:rsidRPr="001A4C35">
        <w:rPr>
          <w:rFonts w:asciiTheme="majorHAnsi" w:hAnsiTheme="majorHAnsi" w:cs="Times New Roman"/>
          <w:sz w:val="24"/>
          <w:szCs w:val="24"/>
        </w:rPr>
        <w:t xml:space="preserve">not already available for use or adaptation from another cleared source. </w:t>
      </w:r>
    </w:p>
    <w:p w14:paraId="72FA688D" w14:textId="77777777" w:rsidR="00CA15B1" w:rsidRPr="001A4C35" w:rsidRDefault="00CA15B1" w:rsidP="006E563D">
      <w:pPr>
        <w:spacing w:after="0" w:line="240" w:lineRule="auto"/>
        <w:rPr>
          <w:rFonts w:asciiTheme="majorHAnsi" w:hAnsiTheme="majorHAnsi" w:cs="Times New Roman"/>
          <w:i/>
          <w:sz w:val="24"/>
          <w:szCs w:val="24"/>
        </w:rPr>
      </w:pPr>
    </w:p>
    <w:p w14:paraId="0B89E0E3" w14:textId="77777777" w:rsidR="00CA15B1" w:rsidRPr="001A4C35" w:rsidRDefault="00CA15B1" w:rsidP="006E563D">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 xml:space="preserve">5.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Burden on Small Businesses</w:t>
      </w:r>
      <w:r w:rsidRPr="001A4C35">
        <w:rPr>
          <w:rFonts w:asciiTheme="majorHAnsi" w:hAnsiTheme="majorHAnsi" w:cs="Times New Roman"/>
          <w:sz w:val="24"/>
          <w:szCs w:val="24"/>
        </w:rPr>
        <w:t xml:space="preserve"> </w:t>
      </w:r>
    </w:p>
    <w:p w14:paraId="43851B16" w14:textId="77777777" w:rsidR="002457F5" w:rsidRPr="001A4C35" w:rsidRDefault="002457F5" w:rsidP="006E563D">
      <w:pPr>
        <w:spacing w:after="0" w:line="240" w:lineRule="auto"/>
        <w:rPr>
          <w:rFonts w:asciiTheme="majorHAnsi" w:hAnsiTheme="majorHAnsi" w:cs="Times New Roman"/>
          <w:sz w:val="24"/>
          <w:szCs w:val="24"/>
        </w:rPr>
      </w:pPr>
    </w:p>
    <w:p w14:paraId="646D04CA" w14:textId="77777777" w:rsidR="002567F9" w:rsidRPr="001A4C35" w:rsidRDefault="002457F5" w:rsidP="002457F5">
      <w:pPr>
        <w:spacing w:after="0" w:line="240" w:lineRule="auto"/>
        <w:ind w:firstLine="720"/>
        <w:rPr>
          <w:rFonts w:asciiTheme="majorHAnsi" w:eastAsia="Times New Roman" w:hAnsiTheme="majorHAnsi" w:cs="Times New Roman"/>
          <w:sz w:val="24"/>
          <w:szCs w:val="24"/>
        </w:rPr>
      </w:pPr>
      <w:r w:rsidRPr="001A4C35">
        <w:rPr>
          <w:rFonts w:asciiTheme="majorHAnsi" w:eastAsia="Times New Roman" w:hAnsiTheme="majorHAnsi" w:cs="Times New Roman"/>
          <w:sz w:val="24"/>
          <w:szCs w:val="24"/>
        </w:rPr>
        <w:t>This collection, of information does not impact small businesses or other small entities.</w:t>
      </w:r>
    </w:p>
    <w:p w14:paraId="455DA581" w14:textId="77777777" w:rsidR="002457F5" w:rsidRPr="001A4C35" w:rsidRDefault="002457F5" w:rsidP="002457F5">
      <w:pPr>
        <w:spacing w:after="0" w:line="240" w:lineRule="auto"/>
        <w:ind w:firstLine="720"/>
        <w:rPr>
          <w:rFonts w:asciiTheme="majorHAnsi" w:hAnsiTheme="majorHAnsi" w:cs="Times New Roman"/>
          <w:i/>
          <w:sz w:val="24"/>
          <w:szCs w:val="24"/>
        </w:rPr>
      </w:pPr>
    </w:p>
    <w:p w14:paraId="34A323D3" w14:textId="77777777" w:rsidR="002567F9" w:rsidRPr="001A4C35" w:rsidRDefault="002567F9" w:rsidP="006E563D">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6.</w:t>
      </w:r>
      <w:r w:rsidRPr="001A4C35">
        <w:rPr>
          <w:rFonts w:asciiTheme="majorHAnsi" w:hAnsiTheme="majorHAnsi" w:cs="Times New Roman"/>
          <w:sz w:val="24"/>
          <w:szCs w:val="24"/>
        </w:rPr>
        <w:tab/>
        <w:t xml:space="preserve"> </w:t>
      </w:r>
      <w:r w:rsidRPr="001A4C35">
        <w:rPr>
          <w:rFonts w:asciiTheme="majorHAnsi" w:hAnsiTheme="majorHAnsi" w:cs="Times New Roman"/>
          <w:sz w:val="24"/>
          <w:szCs w:val="24"/>
          <w:u w:val="single"/>
        </w:rPr>
        <w:t>Less Frequent Collection</w:t>
      </w:r>
    </w:p>
    <w:p w14:paraId="71A226F2" w14:textId="59802717" w:rsidR="00F86C35" w:rsidRPr="001A4C35" w:rsidRDefault="00A11CA6" w:rsidP="00C152BE">
      <w:pPr>
        <w:spacing w:before="100" w:beforeAutospacing="1" w:after="100" w:afterAutospacing="1" w:line="288" w:lineRule="atLeast"/>
        <w:ind w:firstLine="720"/>
        <w:rPr>
          <w:rFonts w:asciiTheme="majorHAnsi" w:eastAsia="Times New Roman" w:hAnsiTheme="majorHAnsi" w:cs="Times New Roman"/>
          <w:sz w:val="24"/>
          <w:szCs w:val="24"/>
        </w:rPr>
      </w:pPr>
      <w:r w:rsidRPr="001A4C35">
        <w:rPr>
          <w:rFonts w:asciiTheme="majorHAnsi" w:eastAsia="Times New Roman" w:hAnsiTheme="majorHAnsi" w:cs="Times New Roman"/>
          <w:sz w:val="24"/>
          <w:szCs w:val="24"/>
        </w:rPr>
        <w:t>The information is collected once a year because the data requires annual updates.</w:t>
      </w:r>
    </w:p>
    <w:p w14:paraId="74BD152F" w14:textId="77777777" w:rsidR="00F86C35" w:rsidRPr="001A4C35" w:rsidRDefault="00F86C35" w:rsidP="006E563D">
      <w:pPr>
        <w:spacing w:after="0" w:line="240" w:lineRule="auto"/>
        <w:rPr>
          <w:rFonts w:asciiTheme="majorHAnsi" w:hAnsiTheme="majorHAnsi" w:cs="Times New Roman"/>
          <w:sz w:val="24"/>
          <w:szCs w:val="24"/>
          <w:u w:val="single"/>
        </w:rPr>
      </w:pPr>
      <w:r w:rsidRPr="001A4C35">
        <w:rPr>
          <w:rFonts w:asciiTheme="majorHAnsi" w:hAnsiTheme="majorHAnsi" w:cs="Times New Roman"/>
          <w:i/>
          <w:sz w:val="24"/>
          <w:szCs w:val="24"/>
        </w:rPr>
        <w:t xml:space="preserve">7. </w:t>
      </w:r>
      <w:r w:rsidRPr="001A4C35">
        <w:rPr>
          <w:rFonts w:asciiTheme="majorHAnsi" w:hAnsiTheme="majorHAnsi" w:cs="Times New Roman"/>
          <w:i/>
          <w:sz w:val="24"/>
          <w:szCs w:val="24"/>
        </w:rPr>
        <w:tab/>
      </w:r>
      <w:r w:rsidRPr="001A4C35">
        <w:rPr>
          <w:rFonts w:asciiTheme="majorHAnsi" w:hAnsiTheme="majorHAnsi" w:cs="Times New Roman"/>
          <w:sz w:val="24"/>
          <w:szCs w:val="24"/>
          <w:u w:val="single"/>
        </w:rPr>
        <w:t>Paperwork Reduction Act Guidelines</w:t>
      </w:r>
    </w:p>
    <w:p w14:paraId="53C4CA25" w14:textId="451BD5B0" w:rsidR="00334117" w:rsidRDefault="00200261" w:rsidP="00200261">
      <w:pPr>
        <w:pStyle w:val="NormalWeb"/>
        <w:spacing w:line="288" w:lineRule="atLeast"/>
        <w:rPr>
          <w:rFonts w:asciiTheme="majorHAnsi" w:eastAsiaTheme="minorHAnsi" w:hAnsiTheme="majorHAnsi"/>
        </w:rPr>
      </w:pPr>
      <w:r w:rsidRPr="001A4C35">
        <w:rPr>
          <w:rFonts w:asciiTheme="majorHAnsi" w:eastAsiaTheme="minorHAnsi" w:hAnsiTheme="majorHAnsi"/>
        </w:rPr>
        <w:t>This collection of information does not require collection to be conducted in a manner inconsistent with the guidelines delineated in 5 CFR 1320.5(d)(2).</w:t>
      </w:r>
    </w:p>
    <w:p w14:paraId="3F8BCAE1" w14:textId="77777777" w:rsidR="00200261" w:rsidRPr="001A4C35" w:rsidRDefault="00200261" w:rsidP="00200261">
      <w:pPr>
        <w:pStyle w:val="NormalWeb"/>
        <w:spacing w:line="288" w:lineRule="atLeast"/>
        <w:rPr>
          <w:rFonts w:asciiTheme="majorHAnsi" w:eastAsiaTheme="minorHAnsi" w:hAnsiTheme="majorHAnsi"/>
          <w:u w:val="single"/>
        </w:rPr>
      </w:pPr>
      <w:r w:rsidRPr="001A4C35">
        <w:rPr>
          <w:rFonts w:asciiTheme="majorHAnsi" w:eastAsiaTheme="minorHAnsi" w:hAnsiTheme="majorHAnsi"/>
        </w:rPr>
        <w:t xml:space="preserve">8. </w:t>
      </w:r>
      <w:r w:rsidRPr="001A4C35">
        <w:rPr>
          <w:rFonts w:asciiTheme="majorHAnsi" w:eastAsiaTheme="minorHAnsi" w:hAnsiTheme="majorHAnsi"/>
        </w:rPr>
        <w:tab/>
      </w:r>
      <w:r w:rsidRPr="001A4C35">
        <w:rPr>
          <w:rFonts w:asciiTheme="majorHAnsi" w:eastAsiaTheme="minorHAnsi" w:hAnsiTheme="majorHAnsi"/>
          <w:u w:val="single"/>
        </w:rPr>
        <w:t>Consultation and Public Comments</w:t>
      </w:r>
    </w:p>
    <w:p w14:paraId="70F2E09E" w14:textId="77777777" w:rsidR="00200261" w:rsidRPr="00BE63C9" w:rsidRDefault="00200261" w:rsidP="00200261">
      <w:pPr>
        <w:pStyle w:val="NormalWeb"/>
        <w:spacing w:line="288" w:lineRule="atLeast"/>
        <w:rPr>
          <w:rFonts w:asciiTheme="majorHAnsi" w:eastAsiaTheme="minorHAnsi" w:hAnsiTheme="majorHAnsi"/>
        </w:rPr>
      </w:pPr>
      <w:r w:rsidRPr="00BE63C9">
        <w:rPr>
          <w:rFonts w:asciiTheme="majorHAnsi" w:eastAsiaTheme="minorHAnsi" w:hAnsiTheme="majorHAnsi"/>
        </w:rPr>
        <w:lastRenderedPageBreak/>
        <w:t>Part A: PUBLIC NOTICE</w:t>
      </w:r>
    </w:p>
    <w:p w14:paraId="30A00728" w14:textId="4313FEE0" w:rsidR="00334117" w:rsidRPr="00631D19" w:rsidRDefault="00334117" w:rsidP="00334117">
      <w:pPr>
        <w:pStyle w:val="NormalWeb"/>
        <w:spacing w:line="288" w:lineRule="atLeast"/>
        <w:ind w:firstLine="720"/>
        <w:rPr>
          <w:rFonts w:asciiTheme="majorHAnsi" w:eastAsiaTheme="minorHAnsi" w:hAnsiTheme="majorHAnsi" w:cstheme="minorHAnsi"/>
        </w:rPr>
      </w:pPr>
      <w:r w:rsidRPr="00631D19">
        <w:rPr>
          <w:rFonts w:asciiTheme="majorHAnsi" w:eastAsiaTheme="minorHAnsi" w:hAnsiTheme="majorHAnsi" w:cstheme="minorHAnsi"/>
        </w:rPr>
        <w:t xml:space="preserve">A 60-Day Federal Register Notice for the collection published on </w:t>
      </w:r>
      <w:r w:rsidR="00BE63C9">
        <w:rPr>
          <w:rFonts w:asciiTheme="majorHAnsi" w:eastAsiaTheme="minorHAnsi" w:hAnsiTheme="majorHAnsi" w:cstheme="minorHAnsi"/>
        </w:rPr>
        <w:t>Tuesday, June 25, 2019.</w:t>
      </w:r>
      <w:r w:rsidRPr="00631D19">
        <w:rPr>
          <w:rFonts w:asciiTheme="majorHAnsi" w:eastAsiaTheme="minorHAnsi" w:hAnsiTheme="majorHAnsi" w:cstheme="minorHAnsi"/>
        </w:rPr>
        <w:t xml:space="preserve"> The 60-Day FRN citation is</w:t>
      </w:r>
      <w:r w:rsidR="00BE63C9">
        <w:rPr>
          <w:rFonts w:asciiTheme="majorHAnsi" w:eastAsiaTheme="minorHAnsi" w:hAnsiTheme="majorHAnsi" w:cstheme="minorHAnsi"/>
        </w:rPr>
        <w:t xml:space="preserve"> 84</w:t>
      </w:r>
      <w:r w:rsidRPr="00631D19">
        <w:rPr>
          <w:rFonts w:asciiTheme="majorHAnsi" w:eastAsiaTheme="minorHAnsi" w:hAnsiTheme="majorHAnsi" w:cstheme="minorHAnsi"/>
        </w:rPr>
        <w:t xml:space="preserve"> FRN</w:t>
      </w:r>
      <w:r w:rsidR="00BE63C9">
        <w:rPr>
          <w:rFonts w:asciiTheme="majorHAnsi" w:eastAsiaTheme="minorHAnsi" w:hAnsiTheme="majorHAnsi" w:cstheme="minorHAnsi"/>
        </w:rPr>
        <w:t xml:space="preserve"> 29853</w:t>
      </w:r>
      <w:r w:rsidRPr="00631D19">
        <w:rPr>
          <w:rFonts w:asciiTheme="majorHAnsi" w:eastAsiaTheme="minorHAnsi" w:hAnsiTheme="majorHAnsi" w:cstheme="minorHAnsi"/>
        </w:rPr>
        <w:t xml:space="preserve">. </w:t>
      </w:r>
    </w:p>
    <w:p w14:paraId="063F69D1" w14:textId="77777777" w:rsidR="00AD420A" w:rsidRDefault="002B6C57" w:rsidP="002B6C57">
      <w:pPr>
        <w:pStyle w:val="NormalWeb"/>
        <w:spacing w:line="288" w:lineRule="atLeast"/>
        <w:ind w:firstLine="720"/>
        <w:rPr>
          <w:rFonts w:asciiTheme="majorHAnsi" w:eastAsiaTheme="minorHAnsi" w:hAnsiTheme="majorHAnsi"/>
        </w:rPr>
      </w:pPr>
      <w:r w:rsidRPr="00631D19">
        <w:rPr>
          <w:rFonts w:asciiTheme="majorHAnsi" w:eastAsiaTheme="minorHAnsi" w:hAnsiTheme="majorHAnsi"/>
        </w:rPr>
        <w:t>No comments were received during the 60-Day Comment Period.</w:t>
      </w:r>
      <w:r w:rsidRPr="001A4C35">
        <w:rPr>
          <w:rFonts w:asciiTheme="majorHAnsi" w:eastAsiaTheme="minorHAnsi" w:hAnsiTheme="majorHAnsi"/>
        </w:rPr>
        <w:t xml:space="preserve"> </w:t>
      </w:r>
    </w:p>
    <w:p w14:paraId="49CB3A10" w14:textId="06E961D1" w:rsidR="00BE63C9" w:rsidRPr="00BD5088" w:rsidRDefault="00BE63C9">
      <w:pPr>
        <w:pStyle w:val="NormalWeb"/>
        <w:spacing w:line="288" w:lineRule="atLeast"/>
        <w:ind w:firstLine="720"/>
        <w:rPr>
          <w:rFonts w:asciiTheme="majorHAnsi" w:eastAsiaTheme="minorHAnsi" w:hAnsiTheme="majorHAnsi" w:cstheme="minorHAnsi"/>
        </w:rPr>
      </w:pPr>
      <w:r>
        <w:rPr>
          <w:rFonts w:asciiTheme="majorHAnsi" w:eastAsiaTheme="minorHAnsi" w:hAnsiTheme="majorHAnsi" w:cstheme="minorHAnsi"/>
        </w:rPr>
        <w:t>A 3</w:t>
      </w:r>
      <w:r w:rsidRPr="00B465D5">
        <w:rPr>
          <w:rFonts w:asciiTheme="majorHAnsi" w:eastAsiaTheme="minorHAnsi" w:hAnsiTheme="majorHAnsi" w:cstheme="minorHAnsi"/>
        </w:rPr>
        <w:t>0-Day Federal Register Notice for the collection published on</w:t>
      </w:r>
      <w:r w:rsidR="00631D19">
        <w:rPr>
          <w:rFonts w:asciiTheme="majorHAnsi" w:eastAsiaTheme="minorHAnsi" w:hAnsiTheme="majorHAnsi" w:cstheme="minorHAnsi"/>
        </w:rPr>
        <w:t xml:space="preserve"> Thursday, August 29, 2019.</w:t>
      </w:r>
      <w:r w:rsidRPr="00B465D5">
        <w:rPr>
          <w:rFonts w:asciiTheme="majorHAnsi" w:eastAsiaTheme="minorHAnsi" w:hAnsiTheme="majorHAnsi" w:cstheme="minorHAnsi"/>
        </w:rPr>
        <w:t xml:space="preserve"> </w:t>
      </w:r>
      <w:r w:rsidR="00631D19">
        <w:rPr>
          <w:rFonts w:asciiTheme="majorHAnsi" w:eastAsiaTheme="minorHAnsi" w:hAnsiTheme="majorHAnsi" w:cstheme="minorHAnsi"/>
        </w:rPr>
        <w:t>The 3</w:t>
      </w:r>
      <w:r w:rsidRPr="00B465D5">
        <w:rPr>
          <w:rFonts w:asciiTheme="majorHAnsi" w:eastAsiaTheme="minorHAnsi" w:hAnsiTheme="majorHAnsi" w:cstheme="minorHAnsi"/>
        </w:rPr>
        <w:t>0-Day FRN citation is</w:t>
      </w:r>
      <w:r w:rsidR="00631D19">
        <w:rPr>
          <w:rFonts w:asciiTheme="majorHAnsi" w:eastAsiaTheme="minorHAnsi" w:hAnsiTheme="majorHAnsi" w:cstheme="minorHAnsi"/>
        </w:rPr>
        <w:t xml:space="preserve"> 84</w:t>
      </w:r>
      <w:r w:rsidRPr="00B465D5">
        <w:rPr>
          <w:rFonts w:asciiTheme="majorHAnsi" w:eastAsiaTheme="minorHAnsi" w:hAnsiTheme="majorHAnsi" w:cstheme="minorHAnsi"/>
        </w:rPr>
        <w:t xml:space="preserve"> FRN</w:t>
      </w:r>
      <w:r w:rsidR="00631D19">
        <w:rPr>
          <w:rFonts w:asciiTheme="majorHAnsi" w:eastAsiaTheme="minorHAnsi" w:hAnsiTheme="majorHAnsi" w:cstheme="minorHAnsi"/>
        </w:rPr>
        <w:t xml:space="preserve"> 45481</w:t>
      </w:r>
      <w:r w:rsidRPr="00B465D5">
        <w:rPr>
          <w:rFonts w:asciiTheme="majorHAnsi" w:eastAsiaTheme="minorHAnsi" w:hAnsiTheme="majorHAnsi" w:cstheme="minorHAnsi"/>
        </w:rPr>
        <w:t xml:space="preserve">. </w:t>
      </w:r>
    </w:p>
    <w:p w14:paraId="147F4810" w14:textId="77777777" w:rsidR="00200261" w:rsidRPr="001A4C35" w:rsidRDefault="00200261" w:rsidP="00200261">
      <w:pPr>
        <w:pStyle w:val="NormalWeb"/>
        <w:spacing w:line="288" w:lineRule="atLeast"/>
        <w:rPr>
          <w:rFonts w:asciiTheme="majorHAnsi" w:eastAsiaTheme="minorHAnsi" w:hAnsiTheme="majorHAnsi"/>
        </w:rPr>
      </w:pPr>
      <w:r w:rsidRPr="001A4C35">
        <w:rPr>
          <w:rFonts w:asciiTheme="majorHAnsi" w:eastAsiaTheme="minorHAnsi" w:hAnsiTheme="majorHAnsi"/>
        </w:rPr>
        <w:t>Part B: CONSULTATION</w:t>
      </w:r>
    </w:p>
    <w:p w14:paraId="71FC55E4" w14:textId="77777777" w:rsidR="00571698" w:rsidRPr="001A4C35" w:rsidRDefault="00571698" w:rsidP="001A4E61">
      <w:pPr>
        <w:pStyle w:val="NormalWeb"/>
        <w:spacing w:line="288" w:lineRule="atLeast"/>
        <w:ind w:firstLine="720"/>
        <w:rPr>
          <w:rFonts w:asciiTheme="majorHAnsi" w:eastAsiaTheme="minorHAnsi" w:hAnsiTheme="majorHAnsi"/>
        </w:rPr>
      </w:pPr>
      <w:r w:rsidRPr="001A4C35">
        <w:rPr>
          <w:rFonts w:asciiTheme="majorHAnsi" w:eastAsiaTheme="minorHAnsi" w:hAnsiTheme="majorHAnsi"/>
        </w:rPr>
        <w:t xml:space="preserve">No additional consultation apart from soliciting public comments through the 60-Day Federal Register Noticed was conducted for this submission. </w:t>
      </w:r>
    </w:p>
    <w:p w14:paraId="787801FD" w14:textId="77777777" w:rsidR="00571698" w:rsidRPr="001A4C35" w:rsidRDefault="006A13FA" w:rsidP="006E563D">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 xml:space="preserve">9.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Gifts or Payment</w:t>
      </w:r>
    </w:p>
    <w:p w14:paraId="2EF131FC" w14:textId="77777777" w:rsidR="00944A9A" w:rsidRPr="001A4C35" w:rsidRDefault="00944A9A" w:rsidP="006A13FA">
      <w:pPr>
        <w:spacing w:after="0" w:line="240" w:lineRule="auto"/>
        <w:rPr>
          <w:rFonts w:asciiTheme="majorHAnsi" w:hAnsiTheme="majorHAnsi" w:cs="Times New Roman"/>
          <w:sz w:val="24"/>
          <w:szCs w:val="24"/>
        </w:rPr>
      </w:pPr>
    </w:p>
    <w:p w14:paraId="761759C0" w14:textId="77777777" w:rsidR="006A13FA" w:rsidRPr="001A4C35" w:rsidRDefault="006A13FA" w:rsidP="00944A9A">
      <w:pPr>
        <w:spacing w:after="0" w:line="240" w:lineRule="auto"/>
        <w:ind w:firstLine="720"/>
        <w:rPr>
          <w:rFonts w:asciiTheme="majorHAnsi" w:hAnsiTheme="majorHAnsi" w:cs="Times New Roman"/>
          <w:sz w:val="24"/>
          <w:szCs w:val="24"/>
        </w:rPr>
      </w:pPr>
      <w:r w:rsidRPr="001A4C35">
        <w:rPr>
          <w:rFonts w:asciiTheme="majorHAnsi" w:hAnsiTheme="majorHAnsi" w:cs="Times New Roman"/>
          <w:sz w:val="24"/>
          <w:szCs w:val="24"/>
        </w:rPr>
        <w:t>No payments or gifts are being offered to respondents as an incentive to participate in the collection.</w:t>
      </w:r>
    </w:p>
    <w:p w14:paraId="78DB0658" w14:textId="77777777" w:rsidR="006A13FA" w:rsidRPr="001A4C35" w:rsidRDefault="006A13FA" w:rsidP="006A13FA">
      <w:pPr>
        <w:spacing w:after="0" w:line="240" w:lineRule="auto"/>
        <w:rPr>
          <w:rFonts w:asciiTheme="majorHAnsi" w:hAnsiTheme="majorHAnsi" w:cs="Times New Roman"/>
          <w:sz w:val="24"/>
          <w:szCs w:val="24"/>
        </w:rPr>
      </w:pPr>
    </w:p>
    <w:p w14:paraId="058F57E2" w14:textId="77777777" w:rsidR="00F97482" w:rsidRPr="001A4C35" w:rsidRDefault="00F97482" w:rsidP="006A13FA">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 xml:space="preserve">10.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Confidentiality</w:t>
      </w:r>
    </w:p>
    <w:p w14:paraId="672B1A98" w14:textId="77777777" w:rsidR="00CA76C5" w:rsidRPr="001A4C35" w:rsidRDefault="00CA76C5" w:rsidP="00CA76C5">
      <w:pPr>
        <w:spacing w:after="0" w:line="240" w:lineRule="auto"/>
        <w:rPr>
          <w:rFonts w:asciiTheme="majorHAnsi" w:hAnsiTheme="majorHAnsi" w:cs="Times New Roman"/>
          <w:i/>
          <w:sz w:val="24"/>
          <w:szCs w:val="24"/>
        </w:rPr>
      </w:pPr>
    </w:p>
    <w:p w14:paraId="7BA81A79" w14:textId="38FE7545" w:rsidR="00E95FFB" w:rsidRPr="001A4C35" w:rsidRDefault="00CA76C5" w:rsidP="00CA76C5">
      <w:pPr>
        <w:spacing w:after="0" w:line="240" w:lineRule="auto"/>
        <w:ind w:firstLine="720"/>
        <w:rPr>
          <w:rFonts w:asciiTheme="majorHAnsi" w:hAnsiTheme="majorHAnsi" w:cs="Times New Roman"/>
          <w:sz w:val="24"/>
          <w:szCs w:val="24"/>
        </w:rPr>
      </w:pPr>
      <w:r w:rsidRPr="001A4C35">
        <w:rPr>
          <w:rFonts w:asciiTheme="majorHAnsi" w:eastAsia="Cambria" w:hAnsiTheme="majorHAnsi" w:cs="Times New Roman"/>
          <w:sz w:val="24"/>
          <w:szCs w:val="24"/>
        </w:rPr>
        <w:t xml:space="preserve">This collection requires a Privacy Act Statement.  The Privacy Act Statement is </w:t>
      </w:r>
      <w:r w:rsidR="00517DB1" w:rsidRPr="001A4C35">
        <w:rPr>
          <w:rFonts w:asciiTheme="majorHAnsi" w:eastAsia="Cambria" w:hAnsiTheme="majorHAnsi" w:cs="Times New Roman"/>
          <w:sz w:val="24"/>
          <w:szCs w:val="24"/>
        </w:rPr>
        <w:t>displayed at the beginning of the collection tool, USNA 1531/1</w:t>
      </w:r>
      <w:r w:rsidRPr="001A4C35">
        <w:rPr>
          <w:rFonts w:asciiTheme="majorHAnsi" w:eastAsia="Cambria" w:hAnsiTheme="majorHAnsi" w:cs="Times New Roman"/>
          <w:sz w:val="24"/>
          <w:szCs w:val="24"/>
        </w:rPr>
        <w:t>2</w:t>
      </w:r>
      <w:r w:rsidR="00146426">
        <w:rPr>
          <w:rFonts w:asciiTheme="majorHAnsi" w:eastAsia="Cambria" w:hAnsiTheme="majorHAnsi" w:cs="Times New Roman"/>
          <w:sz w:val="24"/>
          <w:szCs w:val="24"/>
        </w:rPr>
        <w:t>, Sponsor Program Application</w:t>
      </w:r>
      <w:r w:rsidR="00A53944">
        <w:rPr>
          <w:rFonts w:asciiTheme="majorHAnsi" w:eastAsia="Cambria" w:hAnsiTheme="majorHAnsi" w:cs="Times New Roman"/>
          <w:sz w:val="24"/>
          <w:szCs w:val="24"/>
        </w:rPr>
        <w:t>.</w:t>
      </w:r>
      <w:r w:rsidR="00E95FFB" w:rsidRPr="001A4C35">
        <w:rPr>
          <w:rFonts w:asciiTheme="majorHAnsi" w:hAnsiTheme="majorHAnsi" w:cs="Times New Roman"/>
          <w:sz w:val="24"/>
          <w:szCs w:val="24"/>
        </w:rPr>
        <w:t xml:space="preserve"> </w:t>
      </w:r>
    </w:p>
    <w:p w14:paraId="7B0C8B51" w14:textId="77777777" w:rsidR="00E95FFB" w:rsidRPr="001A4C35" w:rsidRDefault="00E95FFB" w:rsidP="00E95FFB">
      <w:pPr>
        <w:spacing w:after="0" w:line="240" w:lineRule="auto"/>
        <w:rPr>
          <w:rFonts w:asciiTheme="majorHAnsi" w:hAnsiTheme="majorHAnsi" w:cs="Times New Roman"/>
          <w:sz w:val="24"/>
          <w:szCs w:val="24"/>
        </w:rPr>
      </w:pPr>
    </w:p>
    <w:p w14:paraId="2B4989E7" w14:textId="7125B8C7" w:rsidR="00B40B1F" w:rsidRDefault="00CA76C5">
      <w:pPr>
        <w:spacing w:after="0" w:line="240" w:lineRule="auto"/>
        <w:ind w:firstLine="720"/>
        <w:rPr>
          <w:rFonts w:asciiTheme="majorHAnsi" w:hAnsiTheme="majorHAnsi" w:cs="Times New Roman"/>
          <w:sz w:val="24"/>
          <w:szCs w:val="24"/>
        </w:rPr>
      </w:pPr>
      <w:r w:rsidRPr="001A4C35">
        <w:rPr>
          <w:rFonts w:asciiTheme="majorHAnsi" w:hAnsiTheme="majorHAnsi" w:cs="Times New Roman"/>
          <w:sz w:val="24"/>
          <w:szCs w:val="24"/>
        </w:rPr>
        <w:t xml:space="preserve">This collection is covered under SORN </w:t>
      </w:r>
      <w:r w:rsidR="00517DB1" w:rsidRPr="001A4C35">
        <w:rPr>
          <w:rFonts w:asciiTheme="majorHAnsi" w:hAnsiTheme="majorHAnsi" w:cs="Times New Roman"/>
          <w:sz w:val="24"/>
          <w:szCs w:val="24"/>
        </w:rPr>
        <w:t>N01531-1</w:t>
      </w:r>
      <w:r w:rsidRPr="001A4C35">
        <w:rPr>
          <w:rFonts w:asciiTheme="majorHAnsi" w:hAnsiTheme="majorHAnsi" w:cs="Times New Roman"/>
          <w:sz w:val="24"/>
          <w:szCs w:val="24"/>
        </w:rPr>
        <w:t xml:space="preserve">, </w:t>
      </w:r>
      <w:r w:rsidR="00474116">
        <w:rPr>
          <w:rFonts w:asciiTheme="majorHAnsi" w:hAnsiTheme="majorHAnsi" w:cs="Times New Roman"/>
          <w:sz w:val="24"/>
          <w:szCs w:val="24"/>
        </w:rPr>
        <w:t>USNA Applicants, Candidates, and Midshipmen Records</w:t>
      </w:r>
      <w:r w:rsidRPr="001A4C35">
        <w:rPr>
          <w:rFonts w:asciiTheme="majorHAnsi" w:hAnsiTheme="majorHAnsi" w:cs="Times New Roman"/>
          <w:sz w:val="24"/>
          <w:szCs w:val="24"/>
        </w:rPr>
        <w:t xml:space="preserve">.  </w:t>
      </w:r>
      <w:r w:rsidR="00517DB1" w:rsidRPr="001A4C35">
        <w:rPr>
          <w:rFonts w:asciiTheme="majorHAnsi" w:hAnsiTheme="majorHAnsi" w:cs="Times New Roman"/>
          <w:sz w:val="24"/>
          <w:szCs w:val="24"/>
        </w:rPr>
        <w:t xml:space="preserve">The SORN can be found on the Defense Privacy, Civil Liberties, and Transparency Division’s website at:  </w:t>
      </w:r>
      <w:r w:rsidR="00B40B1F" w:rsidRPr="00631D19">
        <w:t>https://dpcld.defense.gov/Privacy/SORNsIndex/DOD-wide-SORN-Article-View/Article/570324/n01531-1/</w:t>
      </w:r>
      <w:r w:rsidR="00517DB1" w:rsidRPr="001A4C35">
        <w:rPr>
          <w:rFonts w:asciiTheme="majorHAnsi" w:hAnsiTheme="majorHAnsi" w:cs="Times New Roman"/>
          <w:sz w:val="24"/>
          <w:szCs w:val="24"/>
        </w:rPr>
        <w:t>.</w:t>
      </w:r>
    </w:p>
    <w:p w14:paraId="04137A3D" w14:textId="36027244" w:rsidR="00B40B1F" w:rsidRPr="001A4C35" w:rsidRDefault="00B40B1F" w:rsidP="00631D19">
      <w:pPr>
        <w:pStyle w:val="NormalWeb"/>
        <w:spacing w:line="288" w:lineRule="atLeast"/>
        <w:ind w:firstLine="720"/>
      </w:pPr>
      <w:r w:rsidRPr="001A4C35">
        <w:rPr>
          <w:rFonts w:asciiTheme="majorHAnsi" w:hAnsiTheme="majorHAnsi"/>
          <w:color w:val="000000"/>
        </w:rPr>
        <w:t>A Pr</w:t>
      </w:r>
      <w:r>
        <w:rPr>
          <w:rFonts w:asciiTheme="majorHAnsi" w:hAnsiTheme="majorHAnsi"/>
          <w:color w:val="000000"/>
        </w:rPr>
        <w:t xml:space="preserve">ivacy Impact Assessment is </w:t>
      </w:r>
      <w:r w:rsidR="00631D19">
        <w:rPr>
          <w:rFonts w:asciiTheme="majorHAnsi" w:hAnsiTheme="majorHAnsi"/>
          <w:color w:val="000000"/>
        </w:rPr>
        <w:t>required</w:t>
      </w:r>
      <w:r w:rsidRPr="001A4C35">
        <w:rPr>
          <w:rFonts w:asciiTheme="majorHAnsi" w:hAnsiTheme="majorHAnsi"/>
          <w:color w:val="000000"/>
        </w:rPr>
        <w:t xml:space="preserve">.  A copy of the approved PIA is included in this package.  </w:t>
      </w:r>
    </w:p>
    <w:p w14:paraId="237809A6" w14:textId="310444DC" w:rsidR="00224AEF" w:rsidRPr="001A4C35" w:rsidRDefault="00953165" w:rsidP="00631D19">
      <w:pPr>
        <w:pStyle w:val="NormalWeb"/>
        <w:spacing w:line="288" w:lineRule="atLeast"/>
        <w:rPr>
          <w:rFonts w:asciiTheme="majorHAnsi" w:hAnsiTheme="majorHAnsi"/>
        </w:rPr>
      </w:pPr>
      <w:r w:rsidRPr="001A4C35">
        <w:rPr>
          <w:rFonts w:asciiTheme="majorHAnsi" w:hAnsiTheme="majorHAnsi"/>
        </w:rPr>
        <w:t xml:space="preserve">The information that is collected is handled, stored, and disposed of in accordance with existing Department of Defense procedures for safeguarding information held for official use only.  It is not reported or published.  </w:t>
      </w:r>
      <w:r w:rsidR="004F163F">
        <w:rPr>
          <w:rFonts w:asciiTheme="majorHAnsi" w:hAnsiTheme="majorHAnsi"/>
        </w:rPr>
        <w:t>It</w:t>
      </w:r>
      <w:r w:rsidR="002329E3">
        <w:rPr>
          <w:rFonts w:asciiTheme="majorHAnsi" w:hAnsiTheme="majorHAnsi"/>
        </w:rPr>
        <w:t xml:space="preserve"> is kept in accordance with schedule</w:t>
      </w:r>
      <w:r w:rsidR="000F7B3B">
        <w:rPr>
          <w:rFonts w:asciiTheme="majorHAnsi" w:hAnsiTheme="majorHAnsi"/>
        </w:rPr>
        <w:t xml:space="preserve"> SSIC 1000-7, SSIC 1000-37, and SSIC 1000-49. For all sponsors approved to participate in the program, their records are permanent and maintained in accordance with SSIC 1000-7, such that records will be cut off at the CY that a sponsor is no longer active/retires and </w:t>
      </w:r>
      <w:r w:rsidR="00AF2A36">
        <w:rPr>
          <w:rFonts w:asciiTheme="majorHAnsi" w:hAnsiTheme="majorHAnsi"/>
        </w:rPr>
        <w:t xml:space="preserve">transferred to the </w:t>
      </w:r>
      <w:r w:rsidR="00585AC9">
        <w:rPr>
          <w:rFonts w:asciiTheme="majorHAnsi" w:hAnsiTheme="majorHAnsi"/>
        </w:rPr>
        <w:t>United States Naval Academy</w:t>
      </w:r>
      <w:r w:rsidR="00AF2A36">
        <w:rPr>
          <w:rFonts w:asciiTheme="majorHAnsi" w:hAnsiTheme="majorHAnsi"/>
        </w:rPr>
        <w:t xml:space="preserve"> Archives</w:t>
      </w:r>
      <w:r w:rsidR="000F7B3B">
        <w:rPr>
          <w:rFonts w:asciiTheme="majorHAnsi" w:hAnsiTheme="majorHAnsi"/>
        </w:rPr>
        <w:t xml:space="preserve"> 25 years after that. All applicants who do not get accepted into the sponsor program are considered transitory and intermediary records and maintained in accordance with SSIC 1000-37</w:t>
      </w:r>
      <w:r w:rsidR="002329E3">
        <w:rPr>
          <w:rFonts w:asciiTheme="majorHAnsi" w:hAnsiTheme="majorHAnsi"/>
        </w:rPr>
        <w:t xml:space="preserve"> </w:t>
      </w:r>
      <w:r w:rsidR="000F7B3B">
        <w:rPr>
          <w:rFonts w:asciiTheme="majorHAnsi" w:hAnsiTheme="majorHAnsi"/>
        </w:rPr>
        <w:t>and SSIC 1000-49, such that when the records are no longer needed for business use, they will be cut off at the CY and destroyed 1 year after that.</w:t>
      </w:r>
      <w:r w:rsidR="004F163F">
        <w:rPr>
          <w:rFonts w:asciiTheme="majorHAnsi" w:hAnsiTheme="majorHAnsi"/>
        </w:rPr>
        <w:t xml:space="preserve"> </w:t>
      </w:r>
      <w:r w:rsidRPr="001A4C35">
        <w:rPr>
          <w:rFonts w:asciiTheme="majorHAnsi" w:hAnsiTheme="majorHAnsi"/>
        </w:rPr>
        <w:t xml:space="preserve">In addition, compliance is made with the Privacy Act of 1974 and OMB Circular A-108. </w:t>
      </w:r>
      <w:r w:rsidR="004F163F">
        <w:rPr>
          <w:rFonts w:asciiTheme="majorHAnsi" w:hAnsiTheme="majorHAnsi"/>
        </w:rPr>
        <w:t xml:space="preserve"> </w:t>
      </w:r>
      <w:r w:rsidRPr="001A4C35">
        <w:rPr>
          <w:rFonts w:asciiTheme="majorHAnsi" w:hAnsiTheme="majorHAnsi"/>
        </w:rPr>
        <w:t>The data is</w:t>
      </w:r>
      <w:r w:rsidR="00474116">
        <w:rPr>
          <w:rFonts w:asciiTheme="majorHAnsi" w:hAnsiTheme="majorHAnsi"/>
        </w:rPr>
        <w:t xml:space="preserve"> stored </w:t>
      </w:r>
      <w:r w:rsidRPr="001A4C35">
        <w:rPr>
          <w:rFonts w:asciiTheme="majorHAnsi" w:hAnsiTheme="majorHAnsi"/>
        </w:rPr>
        <w:t xml:space="preserve">on a secure server/database and password protected in </w:t>
      </w:r>
      <w:r w:rsidR="00A53944">
        <w:rPr>
          <w:rFonts w:asciiTheme="majorHAnsi" w:hAnsiTheme="majorHAnsi"/>
        </w:rPr>
        <w:t xml:space="preserve">the </w:t>
      </w:r>
      <w:r w:rsidR="000B0BEA">
        <w:rPr>
          <w:rFonts w:asciiTheme="majorHAnsi" w:hAnsiTheme="majorHAnsi"/>
        </w:rPr>
        <w:t>MIDS s</w:t>
      </w:r>
      <w:r w:rsidRPr="001A4C35">
        <w:rPr>
          <w:rFonts w:asciiTheme="majorHAnsi" w:hAnsiTheme="majorHAnsi"/>
        </w:rPr>
        <w:t xml:space="preserve">ystem.  The data can only be accessed by the sponsor program director.  </w:t>
      </w:r>
    </w:p>
    <w:p w14:paraId="4F16DEED" w14:textId="77777777" w:rsidR="00427792" w:rsidRPr="001A4C35" w:rsidRDefault="00337EF1"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 xml:space="preserve">11.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Sensitive Questions</w:t>
      </w:r>
    </w:p>
    <w:p w14:paraId="3B72F7B9" w14:textId="77777777" w:rsidR="00D21AA6" w:rsidRPr="001A4C35" w:rsidRDefault="00517DB1" w:rsidP="00E660F3">
      <w:pPr>
        <w:spacing w:before="100" w:beforeAutospacing="1" w:after="100" w:afterAutospacing="1" w:line="288" w:lineRule="atLeast"/>
        <w:ind w:firstLine="720"/>
        <w:rPr>
          <w:rFonts w:asciiTheme="majorHAnsi" w:eastAsia="Times New Roman" w:hAnsiTheme="majorHAnsi" w:cs="Times New Roman"/>
          <w:sz w:val="24"/>
          <w:szCs w:val="24"/>
        </w:rPr>
      </w:pPr>
      <w:r w:rsidRPr="001A4C35">
        <w:rPr>
          <w:rFonts w:asciiTheme="majorHAnsi" w:eastAsia="Times New Roman" w:hAnsiTheme="majorHAnsi" w:cs="Times New Roman"/>
          <w:sz w:val="24"/>
          <w:szCs w:val="24"/>
        </w:rPr>
        <w:t>No questions considered sensitive are being asked in the collection.</w:t>
      </w:r>
    </w:p>
    <w:p w14:paraId="449654F1" w14:textId="77777777" w:rsidR="00D21AA6" w:rsidRPr="001A4C35" w:rsidRDefault="00D21AA6"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 xml:space="preserve">12. </w:t>
      </w:r>
      <w:r w:rsidR="00A76F7E" w:rsidRPr="001A4C35">
        <w:rPr>
          <w:rFonts w:asciiTheme="majorHAnsi" w:hAnsiTheme="majorHAnsi" w:cs="Times New Roman"/>
          <w:sz w:val="24"/>
          <w:szCs w:val="24"/>
        </w:rPr>
        <w:tab/>
      </w:r>
      <w:r w:rsidR="00A76F7E" w:rsidRPr="001A4C35">
        <w:rPr>
          <w:rFonts w:asciiTheme="majorHAnsi" w:hAnsiTheme="majorHAnsi" w:cs="Times New Roman"/>
          <w:sz w:val="24"/>
          <w:szCs w:val="24"/>
          <w:u w:val="single"/>
        </w:rPr>
        <w:t>Respondent Burden and its Labor Costs</w:t>
      </w:r>
    </w:p>
    <w:p w14:paraId="56456822" w14:textId="77777777" w:rsidR="00520B36" w:rsidRPr="001A4C35" w:rsidRDefault="00520B36" w:rsidP="00337EF1">
      <w:pPr>
        <w:spacing w:after="0" w:line="240" w:lineRule="auto"/>
        <w:rPr>
          <w:rFonts w:asciiTheme="majorHAnsi" w:hAnsiTheme="majorHAnsi" w:cs="Times New Roman"/>
          <w:sz w:val="24"/>
          <w:szCs w:val="24"/>
          <w:u w:val="single"/>
        </w:rPr>
      </w:pPr>
    </w:p>
    <w:p w14:paraId="3FB8BE3D" w14:textId="77777777" w:rsidR="00A76F7E" w:rsidRPr="001A4C35" w:rsidRDefault="00A77157" w:rsidP="00337EF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a. Estimation</w:t>
      </w:r>
      <w:r w:rsidR="00A76F7E" w:rsidRPr="001A4C35">
        <w:rPr>
          <w:rFonts w:asciiTheme="majorHAnsi" w:hAnsiTheme="majorHAnsi" w:cs="Times New Roman"/>
          <w:sz w:val="24"/>
          <w:szCs w:val="24"/>
          <w:u w:val="single"/>
        </w:rPr>
        <w:t xml:space="preserve"> of Respondent Burden</w:t>
      </w:r>
    </w:p>
    <w:p w14:paraId="2D66F47E" w14:textId="77777777" w:rsidR="00A76F7E" w:rsidRPr="001A4C35" w:rsidRDefault="00A76F7E" w:rsidP="00337EF1">
      <w:pPr>
        <w:spacing w:after="0" w:line="240" w:lineRule="auto"/>
        <w:rPr>
          <w:rFonts w:asciiTheme="majorHAnsi" w:hAnsiTheme="majorHAnsi" w:cs="Times New Roman"/>
          <w:sz w:val="24"/>
          <w:szCs w:val="24"/>
        </w:rPr>
      </w:pPr>
    </w:p>
    <w:p w14:paraId="61BE4071" w14:textId="77777777" w:rsidR="00A76F7E" w:rsidRPr="001A4C35" w:rsidRDefault="00334117" w:rsidP="00337EF1">
      <w:pPr>
        <w:spacing w:after="0" w:line="240" w:lineRule="auto"/>
        <w:rPr>
          <w:rFonts w:asciiTheme="majorHAnsi" w:hAnsiTheme="majorHAnsi" w:cs="Times New Roman"/>
          <w:sz w:val="24"/>
          <w:szCs w:val="24"/>
        </w:rPr>
      </w:pPr>
      <w:r>
        <w:rPr>
          <w:rFonts w:asciiTheme="majorHAnsi" w:hAnsiTheme="majorHAnsi" w:cs="Times New Roman"/>
          <w:sz w:val="24"/>
          <w:szCs w:val="24"/>
        </w:rPr>
        <w:tab/>
        <w:t xml:space="preserve">1. </w:t>
      </w:r>
      <w:r w:rsidR="00517DB1" w:rsidRPr="001A4C35">
        <w:rPr>
          <w:rFonts w:asciiTheme="majorHAnsi" w:hAnsiTheme="majorHAnsi" w:cs="Times New Roman"/>
          <w:b/>
          <w:sz w:val="24"/>
          <w:szCs w:val="24"/>
        </w:rPr>
        <w:t>Sponsor Application</w:t>
      </w:r>
    </w:p>
    <w:p w14:paraId="5ABB1181" w14:textId="77777777" w:rsidR="00A76F7E" w:rsidRPr="001A4C35" w:rsidRDefault="00A76F7E"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a. </w:t>
      </w:r>
      <w:r w:rsidR="00520B36" w:rsidRPr="001A4C35">
        <w:rPr>
          <w:rFonts w:asciiTheme="majorHAnsi" w:hAnsiTheme="majorHAnsi" w:cs="Times New Roman"/>
          <w:sz w:val="24"/>
          <w:szCs w:val="24"/>
        </w:rPr>
        <w:t xml:space="preserve">Number of Respondents: </w:t>
      </w:r>
      <w:r w:rsidR="00783B8F" w:rsidRPr="001A4C35">
        <w:rPr>
          <w:rFonts w:asciiTheme="majorHAnsi" w:hAnsiTheme="majorHAnsi" w:cs="Times New Roman"/>
          <w:sz w:val="24"/>
          <w:szCs w:val="24"/>
        </w:rPr>
        <w:t>800</w:t>
      </w:r>
    </w:p>
    <w:p w14:paraId="559B75A0" w14:textId="77777777" w:rsidR="00A76F7E" w:rsidRPr="001A4C35" w:rsidRDefault="00A76F7E"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b. Number of Responses Per</w:t>
      </w:r>
      <w:r w:rsidR="00520B36" w:rsidRPr="001A4C35">
        <w:rPr>
          <w:rFonts w:asciiTheme="majorHAnsi" w:hAnsiTheme="majorHAnsi" w:cs="Times New Roman"/>
          <w:sz w:val="24"/>
          <w:szCs w:val="24"/>
        </w:rPr>
        <w:t xml:space="preserve"> Respondent: </w:t>
      </w:r>
      <w:r w:rsidR="00D07FD5" w:rsidRPr="001A4C35">
        <w:rPr>
          <w:rFonts w:asciiTheme="majorHAnsi" w:hAnsiTheme="majorHAnsi" w:cs="Times New Roman"/>
          <w:sz w:val="24"/>
          <w:szCs w:val="24"/>
        </w:rPr>
        <w:t>1</w:t>
      </w:r>
    </w:p>
    <w:p w14:paraId="47FC6D51" w14:textId="77777777" w:rsidR="00A76F7E" w:rsidRPr="001A4C35" w:rsidRDefault="00A76F7E"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c. Num</w:t>
      </w:r>
      <w:r w:rsidR="00520B36" w:rsidRPr="001A4C35">
        <w:rPr>
          <w:rFonts w:asciiTheme="majorHAnsi" w:hAnsiTheme="majorHAnsi" w:cs="Times New Roman"/>
          <w:sz w:val="24"/>
          <w:szCs w:val="24"/>
        </w:rPr>
        <w:t xml:space="preserve">ber of Total Annual Responses: </w:t>
      </w:r>
      <w:r w:rsidR="00783B8F" w:rsidRPr="001A4C35">
        <w:rPr>
          <w:rFonts w:asciiTheme="majorHAnsi" w:hAnsiTheme="majorHAnsi" w:cs="Times New Roman"/>
          <w:sz w:val="24"/>
          <w:szCs w:val="24"/>
        </w:rPr>
        <w:t>800</w:t>
      </w:r>
    </w:p>
    <w:p w14:paraId="39FA8F5F" w14:textId="77777777" w:rsidR="00A76F7E" w:rsidRPr="001A4C35" w:rsidRDefault="00D07FD5"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d. Response Time</w:t>
      </w:r>
      <w:r w:rsidR="00520B36" w:rsidRPr="001A4C35">
        <w:rPr>
          <w:rFonts w:asciiTheme="majorHAnsi" w:hAnsiTheme="majorHAnsi" w:cs="Times New Roman"/>
          <w:sz w:val="24"/>
          <w:szCs w:val="24"/>
        </w:rPr>
        <w:t xml:space="preserve">: </w:t>
      </w:r>
      <w:r w:rsidR="00783B8F" w:rsidRPr="001A4C35">
        <w:rPr>
          <w:rFonts w:asciiTheme="majorHAnsi" w:hAnsiTheme="majorHAnsi" w:cs="Times New Roman"/>
          <w:sz w:val="24"/>
          <w:szCs w:val="24"/>
        </w:rPr>
        <w:t>1 hour</w:t>
      </w:r>
    </w:p>
    <w:p w14:paraId="5C5B0C46" w14:textId="77777777" w:rsidR="00A76F7E" w:rsidRPr="001A4C35" w:rsidRDefault="00D07FD5"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e. Respondent Burden Hours</w:t>
      </w:r>
      <w:r w:rsidR="00520B36" w:rsidRPr="001A4C35">
        <w:rPr>
          <w:rFonts w:asciiTheme="majorHAnsi" w:hAnsiTheme="majorHAnsi" w:cs="Times New Roman"/>
          <w:sz w:val="24"/>
          <w:szCs w:val="24"/>
        </w:rPr>
        <w:t xml:space="preserve">: </w:t>
      </w:r>
      <w:r w:rsidR="00783B8F" w:rsidRPr="001A4C35">
        <w:rPr>
          <w:rFonts w:asciiTheme="majorHAnsi" w:hAnsiTheme="majorHAnsi" w:cs="Times New Roman"/>
          <w:sz w:val="24"/>
          <w:szCs w:val="24"/>
        </w:rPr>
        <w:t>800</w:t>
      </w:r>
      <w:r w:rsidR="00A77157" w:rsidRPr="001A4C35">
        <w:rPr>
          <w:rFonts w:asciiTheme="majorHAnsi" w:hAnsiTheme="majorHAnsi" w:cs="Times New Roman"/>
          <w:sz w:val="24"/>
          <w:szCs w:val="24"/>
        </w:rPr>
        <w:t xml:space="preserve"> hours </w:t>
      </w:r>
    </w:p>
    <w:p w14:paraId="2BF2AE53" w14:textId="77777777" w:rsidR="00A77157" w:rsidRPr="001A4C35" w:rsidRDefault="00A77157" w:rsidP="00337EF1">
      <w:pPr>
        <w:spacing w:after="0" w:line="240" w:lineRule="auto"/>
        <w:rPr>
          <w:rFonts w:asciiTheme="majorHAnsi" w:hAnsiTheme="majorHAnsi" w:cs="Times New Roman"/>
          <w:sz w:val="24"/>
          <w:szCs w:val="24"/>
        </w:rPr>
      </w:pPr>
    </w:p>
    <w:p w14:paraId="18167847" w14:textId="0BD288C3" w:rsidR="00A77157" w:rsidRPr="001A4C35" w:rsidRDefault="00A77157"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2. </w:t>
      </w:r>
      <w:r w:rsidR="00105F45" w:rsidRPr="001A4C35">
        <w:rPr>
          <w:rFonts w:asciiTheme="majorHAnsi" w:hAnsiTheme="majorHAnsi" w:cs="Times New Roman"/>
          <w:b/>
          <w:sz w:val="24"/>
          <w:szCs w:val="24"/>
        </w:rPr>
        <w:t xml:space="preserve">Total Submission Burden </w:t>
      </w:r>
    </w:p>
    <w:p w14:paraId="3110F244" w14:textId="77777777" w:rsidR="00A77157" w:rsidRPr="001A4C35" w:rsidRDefault="00A77157"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a. Total Number of Respondents: </w:t>
      </w:r>
      <w:r w:rsidR="00783B8F" w:rsidRPr="001A4C35">
        <w:rPr>
          <w:rFonts w:asciiTheme="majorHAnsi" w:hAnsiTheme="majorHAnsi" w:cs="Times New Roman"/>
          <w:sz w:val="24"/>
          <w:szCs w:val="24"/>
        </w:rPr>
        <w:t>800</w:t>
      </w:r>
    </w:p>
    <w:p w14:paraId="722AF690" w14:textId="77777777" w:rsidR="00254DCF" w:rsidRPr="001A4C35" w:rsidRDefault="00254DCF"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b. T</w:t>
      </w:r>
      <w:r w:rsidR="00D07FD5" w:rsidRPr="001A4C35">
        <w:rPr>
          <w:rFonts w:asciiTheme="majorHAnsi" w:hAnsiTheme="majorHAnsi" w:cs="Times New Roman"/>
          <w:sz w:val="24"/>
          <w:szCs w:val="24"/>
        </w:rPr>
        <w:t>otal Number of Annual Responses</w:t>
      </w:r>
      <w:r w:rsidR="00520B36" w:rsidRPr="001A4C35">
        <w:rPr>
          <w:rFonts w:asciiTheme="majorHAnsi" w:hAnsiTheme="majorHAnsi" w:cs="Times New Roman"/>
          <w:sz w:val="24"/>
          <w:szCs w:val="24"/>
        </w:rPr>
        <w:t xml:space="preserve">: </w:t>
      </w:r>
      <w:r w:rsidR="00783B8F" w:rsidRPr="001A4C35">
        <w:rPr>
          <w:rFonts w:asciiTheme="majorHAnsi" w:hAnsiTheme="majorHAnsi" w:cs="Times New Roman"/>
          <w:sz w:val="24"/>
          <w:szCs w:val="24"/>
        </w:rPr>
        <w:t>800</w:t>
      </w:r>
    </w:p>
    <w:p w14:paraId="7541E6AC" w14:textId="77777777" w:rsidR="00A77157" w:rsidRPr="001A4C35" w:rsidRDefault="00254DCF"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c</w:t>
      </w:r>
      <w:r w:rsidR="00D07FD5" w:rsidRPr="001A4C35">
        <w:rPr>
          <w:rFonts w:asciiTheme="majorHAnsi" w:hAnsiTheme="majorHAnsi" w:cs="Times New Roman"/>
          <w:sz w:val="24"/>
          <w:szCs w:val="24"/>
        </w:rPr>
        <w:t>. Total Respondent Burden Hours</w:t>
      </w:r>
      <w:r w:rsidR="00520B36" w:rsidRPr="001A4C35">
        <w:rPr>
          <w:rFonts w:asciiTheme="majorHAnsi" w:hAnsiTheme="majorHAnsi" w:cs="Times New Roman"/>
          <w:sz w:val="24"/>
          <w:szCs w:val="24"/>
        </w:rPr>
        <w:t xml:space="preserve">: </w:t>
      </w:r>
      <w:r w:rsidR="00783B8F" w:rsidRPr="001A4C35">
        <w:rPr>
          <w:rFonts w:asciiTheme="majorHAnsi" w:hAnsiTheme="majorHAnsi" w:cs="Times New Roman"/>
          <w:sz w:val="24"/>
          <w:szCs w:val="24"/>
        </w:rPr>
        <w:t>800 hours</w:t>
      </w:r>
      <w:r w:rsidRPr="001A4C35">
        <w:rPr>
          <w:rFonts w:asciiTheme="majorHAnsi" w:hAnsiTheme="majorHAnsi" w:cs="Times New Roman"/>
          <w:sz w:val="24"/>
          <w:szCs w:val="24"/>
        </w:rPr>
        <w:t xml:space="preserve"> </w:t>
      </w:r>
    </w:p>
    <w:p w14:paraId="7C3B5821" w14:textId="77777777" w:rsidR="00105F45" w:rsidRPr="001A4C35" w:rsidRDefault="00105F45" w:rsidP="00337EF1">
      <w:pPr>
        <w:spacing w:after="0" w:line="240" w:lineRule="auto"/>
        <w:rPr>
          <w:rFonts w:asciiTheme="majorHAnsi" w:hAnsiTheme="majorHAnsi" w:cs="Times New Roman"/>
          <w:sz w:val="24"/>
          <w:szCs w:val="24"/>
        </w:rPr>
      </w:pPr>
    </w:p>
    <w:p w14:paraId="0BB0EFBD" w14:textId="77777777" w:rsidR="00520B36" w:rsidRPr="001A4C35" w:rsidRDefault="00254DCF" w:rsidP="00337EF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b. Labor Cost of Respondent Burden</w:t>
      </w:r>
    </w:p>
    <w:p w14:paraId="1DE9E1FB" w14:textId="77777777" w:rsidR="00254DCF" w:rsidRPr="001A4C35" w:rsidRDefault="00254DCF"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r>
    </w:p>
    <w:p w14:paraId="308F1621" w14:textId="77777777" w:rsidR="00254DCF" w:rsidRPr="001A4C35" w:rsidRDefault="006F2DF8" w:rsidP="00337EF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1. </w:t>
      </w:r>
      <w:r w:rsidR="00517DB1" w:rsidRPr="001A4C35">
        <w:rPr>
          <w:rFonts w:asciiTheme="majorHAnsi" w:hAnsiTheme="majorHAnsi" w:cs="Times New Roman"/>
          <w:b/>
          <w:sz w:val="24"/>
          <w:szCs w:val="24"/>
        </w:rPr>
        <w:t>Sponsor Application</w:t>
      </w:r>
    </w:p>
    <w:p w14:paraId="7C50AF73" w14:textId="77777777" w:rsidR="006F2DF8" w:rsidRPr="001A4C35" w:rsidRDefault="006F2DF8" w:rsidP="006F2DF8">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a. Num</w:t>
      </w:r>
      <w:r w:rsidR="00520B36" w:rsidRPr="001A4C35">
        <w:rPr>
          <w:rFonts w:asciiTheme="majorHAnsi" w:hAnsiTheme="majorHAnsi" w:cs="Times New Roman"/>
          <w:sz w:val="24"/>
          <w:szCs w:val="24"/>
        </w:rPr>
        <w:t xml:space="preserve">ber of Total Annual Responses: </w:t>
      </w:r>
      <w:r w:rsidR="00995423" w:rsidRPr="001A4C35">
        <w:rPr>
          <w:rFonts w:asciiTheme="majorHAnsi" w:hAnsiTheme="majorHAnsi" w:cs="Times New Roman"/>
          <w:sz w:val="24"/>
          <w:szCs w:val="24"/>
        </w:rPr>
        <w:t>800</w:t>
      </w:r>
    </w:p>
    <w:p w14:paraId="3E67C936" w14:textId="77777777" w:rsidR="006F2DF8" w:rsidRPr="001A4C35" w:rsidRDefault="00D07FD5" w:rsidP="006F2DF8">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b. Response Time</w:t>
      </w:r>
      <w:r w:rsidR="00520B36" w:rsidRPr="001A4C35">
        <w:rPr>
          <w:rFonts w:asciiTheme="majorHAnsi" w:hAnsiTheme="majorHAnsi" w:cs="Times New Roman"/>
          <w:sz w:val="24"/>
          <w:szCs w:val="24"/>
        </w:rPr>
        <w:t xml:space="preserve">: </w:t>
      </w:r>
      <w:r w:rsidR="00995423" w:rsidRPr="001A4C35">
        <w:rPr>
          <w:rFonts w:asciiTheme="majorHAnsi" w:hAnsiTheme="majorHAnsi" w:cs="Times New Roman"/>
          <w:sz w:val="24"/>
          <w:szCs w:val="24"/>
        </w:rPr>
        <w:t>1 hour</w:t>
      </w:r>
    </w:p>
    <w:p w14:paraId="2E9EEEF7" w14:textId="77777777" w:rsidR="006F2DF8" w:rsidRPr="001A4C35" w:rsidRDefault="006F2DF8" w:rsidP="006F2DF8">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c. Respondent Hourly Wage: </w:t>
      </w:r>
      <w:r w:rsidR="00D07FD5" w:rsidRPr="001A4C35">
        <w:rPr>
          <w:rFonts w:asciiTheme="majorHAnsi" w:hAnsiTheme="majorHAnsi" w:cs="Times New Roman"/>
          <w:sz w:val="24"/>
          <w:szCs w:val="24"/>
        </w:rPr>
        <w:t>$</w:t>
      </w:r>
      <w:r w:rsidR="0005086F" w:rsidRPr="001A4C35">
        <w:rPr>
          <w:rFonts w:asciiTheme="majorHAnsi" w:hAnsiTheme="majorHAnsi" w:cs="Times New Roman"/>
          <w:sz w:val="24"/>
          <w:szCs w:val="24"/>
        </w:rPr>
        <w:t>15.50</w:t>
      </w:r>
    </w:p>
    <w:p w14:paraId="636212AB" w14:textId="77777777" w:rsidR="006F2DF8" w:rsidRPr="001A4C35" w:rsidRDefault="00B470C1" w:rsidP="006F2DF8">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d. Labor Burden per Response</w:t>
      </w:r>
      <w:r w:rsidR="006F2DF8" w:rsidRPr="001A4C35">
        <w:rPr>
          <w:rFonts w:asciiTheme="majorHAnsi" w:hAnsiTheme="majorHAnsi" w:cs="Times New Roman"/>
          <w:sz w:val="24"/>
          <w:szCs w:val="24"/>
        </w:rPr>
        <w:t xml:space="preserve">: </w:t>
      </w:r>
      <w:r w:rsidR="00D07FD5" w:rsidRPr="001A4C35">
        <w:rPr>
          <w:rFonts w:asciiTheme="majorHAnsi" w:hAnsiTheme="majorHAnsi" w:cs="Times New Roman"/>
          <w:sz w:val="24"/>
          <w:szCs w:val="24"/>
        </w:rPr>
        <w:t>$</w:t>
      </w:r>
      <w:r w:rsidR="0005086F" w:rsidRPr="001A4C35">
        <w:rPr>
          <w:rFonts w:asciiTheme="majorHAnsi" w:hAnsiTheme="majorHAnsi" w:cs="Times New Roman"/>
          <w:sz w:val="24"/>
          <w:szCs w:val="24"/>
        </w:rPr>
        <w:t>15.50</w:t>
      </w:r>
    </w:p>
    <w:p w14:paraId="44731F9C" w14:textId="77777777" w:rsidR="006F2DF8" w:rsidRPr="001A4C35" w:rsidRDefault="00B470C1" w:rsidP="006F2DF8">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e. Total Labor Burden</w:t>
      </w:r>
      <w:r w:rsidR="00520B36" w:rsidRPr="001A4C35">
        <w:rPr>
          <w:rFonts w:asciiTheme="majorHAnsi" w:hAnsiTheme="majorHAnsi" w:cs="Times New Roman"/>
          <w:sz w:val="24"/>
          <w:szCs w:val="24"/>
        </w:rPr>
        <w:t xml:space="preserve">: </w:t>
      </w:r>
      <w:r w:rsidR="00D07FD5" w:rsidRPr="001A4C35">
        <w:rPr>
          <w:rFonts w:asciiTheme="majorHAnsi" w:hAnsiTheme="majorHAnsi" w:cs="Times New Roman"/>
          <w:sz w:val="24"/>
          <w:szCs w:val="24"/>
        </w:rPr>
        <w:t>$</w:t>
      </w:r>
      <w:r w:rsidR="0005086F" w:rsidRPr="001A4C35">
        <w:rPr>
          <w:rFonts w:asciiTheme="majorHAnsi" w:hAnsiTheme="majorHAnsi" w:cs="Times New Roman"/>
          <w:sz w:val="24"/>
          <w:szCs w:val="24"/>
        </w:rPr>
        <w:t>12,400</w:t>
      </w:r>
      <w:r w:rsidR="00995423" w:rsidRPr="001A4C35">
        <w:rPr>
          <w:rFonts w:asciiTheme="majorHAnsi" w:hAnsiTheme="majorHAnsi" w:cs="Times New Roman"/>
          <w:sz w:val="24"/>
          <w:szCs w:val="24"/>
        </w:rPr>
        <w:t>.00</w:t>
      </w:r>
    </w:p>
    <w:p w14:paraId="0F907652" w14:textId="77777777" w:rsidR="00520B36" w:rsidRPr="001A4C35" w:rsidRDefault="00520B36" w:rsidP="006F2DF8">
      <w:pPr>
        <w:spacing w:after="0" w:line="240" w:lineRule="auto"/>
        <w:rPr>
          <w:rFonts w:asciiTheme="majorHAnsi" w:hAnsiTheme="majorHAnsi" w:cs="Times New Roman"/>
          <w:sz w:val="24"/>
          <w:szCs w:val="24"/>
        </w:rPr>
      </w:pPr>
    </w:p>
    <w:p w14:paraId="3417E8AE" w14:textId="77777777" w:rsidR="00520B36" w:rsidRPr="001A4C35" w:rsidRDefault="00520B36" w:rsidP="006F2DF8">
      <w:pPr>
        <w:spacing w:after="0" w:line="240" w:lineRule="auto"/>
        <w:rPr>
          <w:rFonts w:asciiTheme="majorHAnsi" w:hAnsiTheme="majorHAnsi" w:cs="Times New Roman"/>
          <w:b/>
          <w:sz w:val="24"/>
          <w:szCs w:val="24"/>
        </w:rPr>
      </w:pPr>
      <w:r w:rsidRPr="001A4C35">
        <w:rPr>
          <w:rFonts w:asciiTheme="majorHAnsi" w:hAnsiTheme="majorHAnsi" w:cs="Times New Roman"/>
          <w:b/>
          <w:sz w:val="24"/>
          <w:szCs w:val="24"/>
        </w:rPr>
        <w:tab/>
      </w:r>
      <w:r w:rsidRPr="001A4C35">
        <w:rPr>
          <w:rFonts w:asciiTheme="majorHAnsi" w:hAnsiTheme="majorHAnsi" w:cs="Times New Roman"/>
          <w:sz w:val="24"/>
          <w:szCs w:val="24"/>
        </w:rPr>
        <w:t xml:space="preserve">2. </w:t>
      </w:r>
      <w:r w:rsidRPr="001A4C35">
        <w:rPr>
          <w:rFonts w:asciiTheme="majorHAnsi" w:hAnsiTheme="majorHAnsi" w:cs="Times New Roman"/>
          <w:b/>
          <w:sz w:val="24"/>
          <w:szCs w:val="24"/>
        </w:rPr>
        <w:t>Overall Labor Burden</w:t>
      </w:r>
    </w:p>
    <w:p w14:paraId="14461A3B" w14:textId="77777777" w:rsidR="00520B36" w:rsidRPr="001A4C35" w:rsidRDefault="00520B36" w:rsidP="006F2DF8">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a. Total Number of Annual Responses: </w:t>
      </w:r>
      <w:r w:rsidR="00B470C1" w:rsidRPr="001A4C35">
        <w:rPr>
          <w:rFonts w:asciiTheme="majorHAnsi" w:hAnsiTheme="majorHAnsi" w:cs="Times New Roman"/>
          <w:sz w:val="24"/>
          <w:szCs w:val="24"/>
        </w:rPr>
        <w:t>800</w:t>
      </w:r>
    </w:p>
    <w:p w14:paraId="6068F3B1" w14:textId="77777777" w:rsidR="00520B36" w:rsidRPr="001A4C35" w:rsidRDefault="00520B36" w:rsidP="006F2DF8">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b. </w:t>
      </w:r>
      <w:r w:rsidR="00B470C1" w:rsidRPr="001A4C35">
        <w:rPr>
          <w:rFonts w:asciiTheme="majorHAnsi" w:hAnsiTheme="majorHAnsi" w:cs="Times New Roman"/>
          <w:sz w:val="24"/>
          <w:szCs w:val="24"/>
        </w:rPr>
        <w:t>Total Labor Burden</w:t>
      </w:r>
      <w:r w:rsidR="0019309D" w:rsidRPr="001A4C35">
        <w:rPr>
          <w:rFonts w:asciiTheme="majorHAnsi" w:hAnsiTheme="majorHAnsi" w:cs="Times New Roman"/>
          <w:sz w:val="24"/>
          <w:szCs w:val="24"/>
        </w:rPr>
        <w:t xml:space="preserve">: </w:t>
      </w:r>
      <w:r w:rsidR="00DB6BFD" w:rsidRPr="001A4C35">
        <w:rPr>
          <w:rFonts w:asciiTheme="majorHAnsi" w:hAnsiTheme="majorHAnsi" w:cs="Times New Roman"/>
          <w:sz w:val="24"/>
          <w:szCs w:val="24"/>
        </w:rPr>
        <w:t>$</w:t>
      </w:r>
      <w:r w:rsidR="0005086F" w:rsidRPr="001A4C35">
        <w:rPr>
          <w:rFonts w:asciiTheme="majorHAnsi" w:hAnsiTheme="majorHAnsi" w:cs="Times New Roman"/>
          <w:sz w:val="24"/>
          <w:szCs w:val="24"/>
        </w:rPr>
        <w:t>12,400</w:t>
      </w:r>
      <w:r w:rsidR="00B470C1" w:rsidRPr="001A4C35">
        <w:rPr>
          <w:rFonts w:asciiTheme="majorHAnsi" w:hAnsiTheme="majorHAnsi" w:cs="Times New Roman"/>
          <w:sz w:val="24"/>
          <w:szCs w:val="24"/>
        </w:rPr>
        <w:t>.00</w:t>
      </w:r>
      <w:r w:rsidR="0019309D" w:rsidRPr="001A4C35">
        <w:rPr>
          <w:rFonts w:asciiTheme="majorHAnsi" w:hAnsiTheme="majorHAnsi" w:cs="Times New Roman"/>
          <w:sz w:val="24"/>
          <w:szCs w:val="24"/>
        </w:rPr>
        <w:t xml:space="preserve"> </w:t>
      </w:r>
    </w:p>
    <w:p w14:paraId="3559B839" w14:textId="77777777" w:rsidR="00B40B1F" w:rsidRDefault="00B40B1F">
      <w:pPr>
        <w:spacing w:after="0" w:line="240" w:lineRule="auto"/>
        <w:ind w:firstLine="720"/>
        <w:rPr>
          <w:rFonts w:asciiTheme="majorHAnsi" w:hAnsiTheme="majorHAnsi" w:cs="Times New Roman"/>
          <w:sz w:val="24"/>
          <w:szCs w:val="24"/>
        </w:rPr>
      </w:pPr>
    </w:p>
    <w:p w14:paraId="4DFD4443" w14:textId="270172DE" w:rsidR="00B40B1F" w:rsidRPr="001A4C35" w:rsidRDefault="00B40B1F">
      <w:pPr>
        <w:spacing w:after="0" w:line="240" w:lineRule="auto"/>
        <w:ind w:firstLine="720"/>
        <w:rPr>
          <w:rFonts w:asciiTheme="majorHAnsi" w:hAnsiTheme="majorHAnsi" w:cs="Times New Roman"/>
          <w:sz w:val="24"/>
          <w:szCs w:val="24"/>
        </w:rPr>
      </w:pPr>
      <w:r>
        <w:rPr>
          <w:rFonts w:asciiTheme="majorHAnsi" w:hAnsiTheme="majorHAnsi" w:cs="Times New Roman"/>
          <w:sz w:val="24"/>
          <w:szCs w:val="24"/>
        </w:rPr>
        <w:t>Used</w:t>
      </w:r>
      <w:r w:rsidRPr="001A4C35">
        <w:rPr>
          <w:rFonts w:asciiTheme="majorHAnsi" w:hAnsiTheme="majorHAnsi" w:cs="Times New Roman"/>
          <w:sz w:val="24"/>
          <w:szCs w:val="24"/>
        </w:rPr>
        <w:t xml:space="preserve"> General Manager at Payscale.com </w:t>
      </w:r>
      <w:r>
        <w:rPr>
          <w:rFonts w:asciiTheme="majorHAnsi" w:hAnsiTheme="majorHAnsi" w:cs="Times New Roman"/>
          <w:sz w:val="24"/>
          <w:szCs w:val="24"/>
        </w:rPr>
        <w:t xml:space="preserve">to estimate respondent wage: </w:t>
      </w:r>
      <w:hyperlink r:id="rId15" w:history="1">
        <w:r w:rsidRPr="001A4C35">
          <w:rPr>
            <w:rStyle w:val="Hyperlink"/>
            <w:rFonts w:asciiTheme="majorHAnsi" w:hAnsiTheme="majorHAnsi" w:cs="Times New Roman"/>
            <w:sz w:val="24"/>
            <w:szCs w:val="24"/>
          </w:rPr>
          <w:t>https://www.payscale.com/research/US/Job=General_Manager/Salary</w:t>
        </w:r>
      </w:hyperlink>
      <w:r w:rsidRPr="001A4C35">
        <w:rPr>
          <w:rFonts w:asciiTheme="majorHAnsi" w:hAnsiTheme="majorHAnsi" w:cs="Times New Roman"/>
          <w:sz w:val="24"/>
          <w:szCs w:val="24"/>
        </w:rPr>
        <w:t>)</w:t>
      </w:r>
      <w:r>
        <w:rPr>
          <w:rFonts w:asciiTheme="majorHAnsi" w:hAnsiTheme="majorHAnsi" w:cs="Times New Roman"/>
          <w:sz w:val="24"/>
          <w:szCs w:val="24"/>
        </w:rPr>
        <w:t>.</w:t>
      </w:r>
    </w:p>
    <w:p w14:paraId="0830AB37" w14:textId="77777777" w:rsidR="0019309D" w:rsidRPr="001A4C35" w:rsidRDefault="0019309D" w:rsidP="00337EF1">
      <w:pPr>
        <w:spacing w:after="0" w:line="240" w:lineRule="auto"/>
        <w:rPr>
          <w:rFonts w:asciiTheme="majorHAnsi" w:hAnsiTheme="majorHAnsi" w:cs="Times New Roman"/>
          <w:sz w:val="24"/>
          <w:szCs w:val="24"/>
        </w:rPr>
      </w:pPr>
    </w:p>
    <w:p w14:paraId="4E250D89" w14:textId="77777777" w:rsidR="00B40B1F" w:rsidRDefault="00B40B1F" w:rsidP="00337EF1">
      <w:pPr>
        <w:spacing w:after="0" w:line="240" w:lineRule="auto"/>
        <w:rPr>
          <w:rFonts w:asciiTheme="majorHAnsi" w:hAnsiTheme="majorHAnsi" w:cs="Times New Roman"/>
          <w:sz w:val="24"/>
          <w:szCs w:val="24"/>
        </w:rPr>
      </w:pPr>
    </w:p>
    <w:p w14:paraId="7E850F37" w14:textId="77777777" w:rsidR="0019309D" w:rsidRPr="001A4C35" w:rsidRDefault="0019309D" w:rsidP="00337EF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13.</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Respondent Costs Other Than Burden Hour Costs</w:t>
      </w:r>
    </w:p>
    <w:p w14:paraId="51A5B800" w14:textId="77777777" w:rsidR="003811F2" w:rsidRPr="001A4C35" w:rsidRDefault="003811F2" w:rsidP="00337EF1">
      <w:pPr>
        <w:spacing w:after="0" w:line="240" w:lineRule="auto"/>
        <w:rPr>
          <w:rFonts w:asciiTheme="majorHAnsi" w:hAnsiTheme="majorHAnsi" w:cs="Times New Roman"/>
          <w:sz w:val="24"/>
          <w:szCs w:val="24"/>
        </w:rPr>
      </w:pPr>
    </w:p>
    <w:p w14:paraId="5D90BE20" w14:textId="77777777" w:rsidR="0019309D" w:rsidRPr="001A4C35" w:rsidRDefault="0019309D" w:rsidP="00BD09E7">
      <w:pPr>
        <w:spacing w:after="0" w:line="240" w:lineRule="auto"/>
        <w:ind w:firstLine="720"/>
        <w:rPr>
          <w:rFonts w:asciiTheme="majorHAnsi" w:hAnsiTheme="majorHAnsi" w:cs="Times New Roman"/>
          <w:sz w:val="24"/>
          <w:szCs w:val="24"/>
        </w:rPr>
      </w:pPr>
      <w:r w:rsidRPr="001A4C35">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14:paraId="2740BFC1" w14:textId="77777777" w:rsidR="00224AEF" w:rsidRDefault="00224AEF" w:rsidP="002C7791">
      <w:pPr>
        <w:spacing w:after="0" w:line="240" w:lineRule="auto"/>
        <w:rPr>
          <w:rFonts w:asciiTheme="majorHAnsi" w:hAnsiTheme="majorHAnsi" w:cs="Times New Roman"/>
          <w:sz w:val="24"/>
          <w:szCs w:val="24"/>
        </w:rPr>
      </w:pPr>
    </w:p>
    <w:p w14:paraId="7A090E0D" w14:textId="77777777" w:rsidR="00224AEF" w:rsidRDefault="00224AEF" w:rsidP="002C7791">
      <w:pPr>
        <w:spacing w:after="0" w:line="240" w:lineRule="auto"/>
        <w:rPr>
          <w:rFonts w:asciiTheme="majorHAnsi" w:hAnsiTheme="majorHAnsi" w:cs="Times New Roman"/>
          <w:sz w:val="24"/>
          <w:szCs w:val="24"/>
        </w:rPr>
      </w:pPr>
    </w:p>
    <w:p w14:paraId="486CF8BE"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 xml:space="preserve">14.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Cost to the Federal Government</w:t>
      </w:r>
    </w:p>
    <w:p w14:paraId="178F59C8" w14:textId="77777777" w:rsidR="002C7791" w:rsidRPr="001A4C35" w:rsidRDefault="002C7791" w:rsidP="002C7791">
      <w:pPr>
        <w:spacing w:after="0" w:line="240" w:lineRule="auto"/>
        <w:rPr>
          <w:rFonts w:asciiTheme="majorHAnsi" w:hAnsiTheme="majorHAnsi" w:cs="Times New Roman"/>
          <w:sz w:val="24"/>
          <w:szCs w:val="24"/>
        </w:rPr>
      </w:pPr>
    </w:p>
    <w:p w14:paraId="71740F71" w14:textId="77777777" w:rsidR="002C7791" w:rsidRPr="001A4C35" w:rsidRDefault="002C7791" w:rsidP="002C779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a. Labor Cost to the Federal Government</w:t>
      </w:r>
      <w:r w:rsidRPr="001A4C35">
        <w:rPr>
          <w:rFonts w:asciiTheme="majorHAnsi" w:hAnsiTheme="majorHAnsi" w:cs="Times New Roman"/>
          <w:sz w:val="24"/>
          <w:szCs w:val="24"/>
          <w:u w:val="single"/>
        </w:rPr>
        <w:br/>
      </w:r>
    </w:p>
    <w:p w14:paraId="0C814E53" w14:textId="610F3695" w:rsidR="002C7791" w:rsidRPr="001A4C35" w:rsidRDefault="002C7791" w:rsidP="002C7791">
      <w:pPr>
        <w:spacing w:after="0" w:line="240" w:lineRule="auto"/>
        <w:ind w:firstLine="720"/>
        <w:rPr>
          <w:rFonts w:asciiTheme="majorHAnsi" w:hAnsiTheme="majorHAnsi" w:cs="Times New Roman"/>
          <w:sz w:val="24"/>
          <w:szCs w:val="24"/>
        </w:rPr>
      </w:pPr>
      <w:r w:rsidRPr="001A4C35">
        <w:rPr>
          <w:rFonts w:asciiTheme="majorHAnsi" w:hAnsiTheme="majorHAnsi" w:cs="Times New Roman"/>
          <w:sz w:val="24"/>
          <w:szCs w:val="24"/>
        </w:rPr>
        <w:t xml:space="preserve">1. </w:t>
      </w:r>
      <w:r w:rsidR="0005086F" w:rsidRPr="001A4C35">
        <w:rPr>
          <w:rFonts w:asciiTheme="majorHAnsi" w:hAnsiTheme="majorHAnsi" w:cs="Times New Roman"/>
          <w:b/>
          <w:sz w:val="24"/>
          <w:szCs w:val="24"/>
        </w:rPr>
        <w:t>Sponsor Application</w:t>
      </w:r>
    </w:p>
    <w:p w14:paraId="57A68BC2" w14:textId="77777777" w:rsidR="002C7791" w:rsidRPr="001A4C35" w:rsidRDefault="002C7791" w:rsidP="002C7791">
      <w:pPr>
        <w:spacing w:after="0" w:line="240" w:lineRule="auto"/>
        <w:ind w:firstLine="720"/>
        <w:rPr>
          <w:rFonts w:asciiTheme="majorHAnsi" w:hAnsiTheme="majorHAnsi" w:cs="Times New Roman"/>
          <w:sz w:val="24"/>
          <w:szCs w:val="24"/>
        </w:rPr>
      </w:pPr>
      <w:r w:rsidRPr="001A4C35">
        <w:rPr>
          <w:rFonts w:asciiTheme="majorHAnsi" w:hAnsiTheme="majorHAnsi" w:cs="Times New Roman"/>
          <w:sz w:val="24"/>
          <w:szCs w:val="24"/>
        </w:rPr>
        <w:t xml:space="preserve">a. Number of Total Annual Responses: </w:t>
      </w:r>
      <w:r w:rsidR="008C7F01" w:rsidRPr="001A4C35">
        <w:rPr>
          <w:rFonts w:asciiTheme="majorHAnsi" w:hAnsiTheme="majorHAnsi" w:cs="Times New Roman"/>
          <w:sz w:val="24"/>
          <w:szCs w:val="24"/>
        </w:rPr>
        <w:t>800</w:t>
      </w:r>
    </w:p>
    <w:p w14:paraId="2B4C87DD" w14:textId="77777777" w:rsidR="002C7791" w:rsidRPr="001A4C35" w:rsidRDefault="002C7791" w:rsidP="002C7791">
      <w:pPr>
        <w:spacing w:after="0" w:line="240" w:lineRule="auto"/>
        <w:ind w:left="720"/>
        <w:rPr>
          <w:rFonts w:asciiTheme="majorHAnsi" w:hAnsiTheme="majorHAnsi" w:cs="Times New Roman"/>
          <w:sz w:val="24"/>
          <w:szCs w:val="24"/>
        </w:rPr>
      </w:pPr>
      <w:r w:rsidRPr="001A4C35">
        <w:rPr>
          <w:rFonts w:asciiTheme="majorHAnsi" w:hAnsiTheme="majorHAnsi" w:cs="Times New Roman"/>
          <w:sz w:val="24"/>
          <w:szCs w:val="24"/>
        </w:rPr>
        <w:t xml:space="preserve">b. Processing Time per Response: </w:t>
      </w:r>
      <w:r w:rsidR="008C7F01" w:rsidRPr="001A4C35">
        <w:rPr>
          <w:rFonts w:asciiTheme="majorHAnsi" w:hAnsiTheme="majorHAnsi" w:cs="Times New Roman"/>
          <w:sz w:val="24"/>
          <w:szCs w:val="24"/>
        </w:rPr>
        <w:t>1 hour</w:t>
      </w:r>
      <w:r w:rsidRPr="001A4C35">
        <w:rPr>
          <w:rFonts w:asciiTheme="majorHAnsi" w:hAnsiTheme="majorHAnsi" w:cs="Times New Roman"/>
          <w:sz w:val="24"/>
          <w:szCs w:val="24"/>
        </w:rPr>
        <w:t xml:space="preserve"> </w:t>
      </w:r>
    </w:p>
    <w:p w14:paraId="320502D3" w14:textId="519E7BC2" w:rsidR="002C7791" w:rsidRPr="001A4C35" w:rsidRDefault="002C7791" w:rsidP="008C7F01">
      <w:pPr>
        <w:spacing w:after="0" w:line="240" w:lineRule="auto"/>
        <w:ind w:left="720"/>
        <w:rPr>
          <w:rFonts w:asciiTheme="majorHAnsi" w:hAnsiTheme="majorHAnsi" w:cs="Times New Roman"/>
          <w:sz w:val="24"/>
          <w:szCs w:val="24"/>
        </w:rPr>
      </w:pPr>
      <w:r w:rsidRPr="001A4C35">
        <w:rPr>
          <w:rFonts w:asciiTheme="majorHAnsi" w:hAnsiTheme="majorHAnsi" w:cs="Times New Roman"/>
          <w:sz w:val="24"/>
          <w:szCs w:val="24"/>
        </w:rPr>
        <w:t>c. Hourly Wage of Worker</w:t>
      </w:r>
      <w:r w:rsidR="0005086F" w:rsidRPr="001A4C35">
        <w:rPr>
          <w:rFonts w:asciiTheme="majorHAnsi" w:hAnsiTheme="majorHAnsi" w:cs="Times New Roman"/>
          <w:sz w:val="24"/>
          <w:szCs w:val="24"/>
        </w:rPr>
        <w:t>(s) Processing Responses: $27.70</w:t>
      </w:r>
      <w:r w:rsidR="008C7F01" w:rsidRPr="001A4C35">
        <w:rPr>
          <w:rFonts w:asciiTheme="majorHAnsi" w:hAnsiTheme="majorHAnsi" w:cs="Times New Roman"/>
          <w:sz w:val="24"/>
          <w:szCs w:val="24"/>
        </w:rPr>
        <w:t xml:space="preserve"> </w:t>
      </w:r>
    </w:p>
    <w:p w14:paraId="054A34D1"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d</w:t>
      </w:r>
      <w:r w:rsidR="00665553" w:rsidRPr="001A4C35">
        <w:rPr>
          <w:rFonts w:asciiTheme="majorHAnsi" w:hAnsiTheme="majorHAnsi" w:cs="Times New Roman"/>
          <w:sz w:val="24"/>
          <w:szCs w:val="24"/>
        </w:rPr>
        <w:t>. Cost to Process Each Response</w:t>
      </w:r>
      <w:r w:rsidRPr="001A4C35">
        <w:rPr>
          <w:rFonts w:asciiTheme="majorHAnsi" w:hAnsiTheme="majorHAnsi" w:cs="Times New Roman"/>
          <w:sz w:val="24"/>
          <w:szCs w:val="24"/>
        </w:rPr>
        <w:t>: $</w:t>
      </w:r>
      <w:r w:rsidR="0005086F" w:rsidRPr="001A4C35">
        <w:rPr>
          <w:rFonts w:asciiTheme="majorHAnsi" w:hAnsiTheme="majorHAnsi" w:cs="Times New Roman"/>
          <w:sz w:val="24"/>
          <w:szCs w:val="24"/>
        </w:rPr>
        <w:t>27.70</w:t>
      </w:r>
      <w:r w:rsidRPr="001A4C35">
        <w:rPr>
          <w:rFonts w:asciiTheme="majorHAnsi" w:hAnsiTheme="majorHAnsi" w:cs="Times New Roman"/>
          <w:sz w:val="24"/>
          <w:szCs w:val="24"/>
        </w:rPr>
        <w:tab/>
      </w:r>
    </w:p>
    <w:p w14:paraId="0AD8F971" w14:textId="77777777" w:rsidR="002C7791" w:rsidRPr="001A4C35" w:rsidRDefault="002C7791" w:rsidP="002C7791">
      <w:pPr>
        <w:spacing w:after="0" w:line="240" w:lineRule="auto"/>
        <w:ind w:firstLine="720"/>
        <w:rPr>
          <w:rFonts w:asciiTheme="majorHAnsi" w:hAnsiTheme="majorHAnsi" w:cs="Times New Roman"/>
          <w:sz w:val="24"/>
          <w:szCs w:val="24"/>
        </w:rPr>
      </w:pPr>
      <w:r w:rsidRPr="001A4C35">
        <w:rPr>
          <w:rFonts w:asciiTheme="majorHAnsi" w:hAnsiTheme="majorHAnsi" w:cs="Times New Roman"/>
          <w:sz w:val="24"/>
          <w:szCs w:val="24"/>
        </w:rPr>
        <w:t xml:space="preserve">e. </w:t>
      </w:r>
      <w:r w:rsidR="00665553" w:rsidRPr="001A4C35">
        <w:rPr>
          <w:rFonts w:asciiTheme="majorHAnsi" w:hAnsiTheme="majorHAnsi" w:cs="Times New Roman"/>
          <w:sz w:val="24"/>
          <w:szCs w:val="24"/>
        </w:rPr>
        <w:t>Total Co</w:t>
      </w:r>
      <w:r w:rsidR="0005086F" w:rsidRPr="001A4C35">
        <w:rPr>
          <w:rFonts w:asciiTheme="majorHAnsi" w:hAnsiTheme="majorHAnsi" w:cs="Times New Roman"/>
          <w:sz w:val="24"/>
          <w:szCs w:val="24"/>
        </w:rPr>
        <w:t>st to Process Responses: $22,160</w:t>
      </w:r>
      <w:r w:rsidR="00665553" w:rsidRPr="001A4C35">
        <w:rPr>
          <w:rFonts w:asciiTheme="majorHAnsi" w:hAnsiTheme="majorHAnsi" w:cs="Times New Roman"/>
          <w:sz w:val="24"/>
          <w:szCs w:val="24"/>
        </w:rPr>
        <w:t>.00</w:t>
      </w:r>
    </w:p>
    <w:p w14:paraId="40E60A6A" w14:textId="77777777" w:rsidR="002C7791" w:rsidRDefault="002C7791" w:rsidP="002C7791">
      <w:pPr>
        <w:spacing w:after="0" w:line="240" w:lineRule="auto"/>
        <w:ind w:firstLine="720"/>
        <w:rPr>
          <w:rFonts w:asciiTheme="majorHAnsi" w:hAnsiTheme="majorHAnsi" w:cs="Times New Roman"/>
          <w:sz w:val="24"/>
          <w:szCs w:val="24"/>
        </w:rPr>
      </w:pPr>
    </w:p>
    <w:p w14:paraId="542A5E59" w14:textId="77777777" w:rsidR="00B40B1F" w:rsidRPr="001A4C35" w:rsidRDefault="00B40B1F" w:rsidP="00B40B1F">
      <w:pPr>
        <w:spacing w:after="0" w:line="240" w:lineRule="auto"/>
        <w:ind w:left="720"/>
        <w:rPr>
          <w:rFonts w:asciiTheme="majorHAnsi" w:hAnsiTheme="majorHAnsi" w:cs="Times New Roman"/>
          <w:sz w:val="24"/>
          <w:szCs w:val="24"/>
        </w:rPr>
      </w:pPr>
      <w:r w:rsidRPr="001A4C35">
        <w:rPr>
          <w:rFonts w:asciiTheme="majorHAnsi" w:hAnsiTheme="majorHAnsi" w:cs="Times New Roman"/>
          <w:sz w:val="24"/>
          <w:szCs w:val="24"/>
        </w:rPr>
        <w:t>(</w:t>
      </w:r>
      <w:r>
        <w:rPr>
          <w:rFonts w:asciiTheme="majorHAnsi" w:hAnsiTheme="majorHAnsi" w:cs="Times New Roman"/>
          <w:sz w:val="24"/>
          <w:szCs w:val="24"/>
        </w:rPr>
        <w:t xml:space="preserve">Top of </w:t>
      </w:r>
      <w:r w:rsidRPr="001A4C35">
        <w:rPr>
          <w:rFonts w:asciiTheme="majorHAnsi" w:hAnsiTheme="majorHAnsi" w:cs="Times New Roman"/>
          <w:sz w:val="24"/>
          <w:szCs w:val="24"/>
        </w:rPr>
        <w:t xml:space="preserve">GS-9 pay, </w:t>
      </w:r>
      <w:hyperlink r:id="rId16" w:history="1">
        <w:r w:rsidRPr="001A4C35">
          <w:rPr>
            <w:rStyle w:val="Hyperlink"/>
            <w:rFonts w:asciiTheme="majorHAnsi" w:hAnsiTheme="majorHAnsi" w:cs="Times New Roman"/>
            <w:sz w:val="24"/>
            <w:szCs w:val="24"/>
          </w:rPr>
          <w:t>https://www.federalpay.org/gs/2019/GS-9</w:t>
        </w:r>
      </w:hyperlink>
      <w:r w:rsidRPr="001A4C35">
        <w:rPr>
          <w:rFonts w:asciiTheme="majorHAnsi" w:hAnsiTheme="majorHAnsi" w:cs="Times New Roman"/>
          <w:sz w:val="24"/>
          <w:szCs w:val="24"/>
        </w:rPr>
        <w:t xml:space="preserve"> )</w:t>
      </w:r>
    </w:p>
    <w:p w14:paraId="78724E00" w14:textId="77777777" w:rsidR="00B40B1F" w:rsidRPr="001A4C35" w:rsidRDefault="00B40B1F" w:rsidP="002C7791">
      <w:pPr>
        <w:spacing w:after="0" w:line="240" w:lineRule="auto"/>
        <w:ind w:firstLine="720"/>
        <w:rPr>
          <w:rFonts w:asciiTheme="majorHAnsi" w:hAnsiTheme="majorHAnsi" w:cs="Times New Roman"/>
          <w:sz w:val="24"/>
          <w:szCs w:val="24"/>
        </w:rPr>
      </w:pPr>
    </w:p>
    <w:p w14:paraId="542755C0"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 xml:space="preserve">2. </w:t>
      </w:r>
      <w:r w:rsidRPr="001A4C35">
        <w:rPr>
          <w:rFonts w:asciiTheme="majorHAnsi" w:hAnsiTheme="majorHAnsi" w:cs="Times New Roman"/>
          <w:b/>
          <w:sz w:val="24"/>
          <w:szCs w:val="24"/>
        </w:rPr>
        <w:t>Overall Labor Burden to Federal Government</w:t>
      </w:r>
      <w:r w:rsidRPr="001A4C35">
        <w:rPr>
          <w:rFonts w:asciiTheme="majorHAnsi" w:hAnsiTheme="majorHAnsi" w:cs="Times New Roman"/>
          <w:sz w:val="24"/>
          <w:szCs w:val="24"/>
        </w:rPr>
        <w:t xml:space="preserve"> </w:t>
      </w:r>
    </w:p>
    <w:p w14:paraId="04119B6B"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a. T</w:t>
      </w:r>
      <w:r w:rsidR="00E82DD0" w:rsidRPr="001A4C35">
        <w:rPr>
          <w:rFonts w:asciiTheme="majorHAnsi" w:hAnsiTheme="majorHAnsi" w:cs="Times New Roman"/>
          <w:sz w:val="24"/>
          <w:szCs w:val="24"/>
        </w:rPr>
        <w:t>otal Number of Annual Responses</w:t>
      </w:r>
      <w:r w:rsidRPr="001A4C35">
        <w:rPr>
          <w:rFonts w:asciiTheme="majorHAnsi" w:hAnsiTheme="majorHAnsi" w:cs="Times New Roman"/>
          <w:sz w:val="24"/>
          <w:szCs w:val="24"/>
        </w:rPr>
        <w:t xml:space="preserve">: </w:t>
      </w:r>
      <w:r w:rsidR="00E82DD0" w:rsidRPr="001A4C35">
        <w:rPr>
          <w:rFonts w:asciiTheme="majorHAnsi" w:hAnsiTheme="majorHAnsi" w:cs="Times New Roman"/>
          <w:sz w:val="24"/>
          <w:szCs w:val="24"/>
        </w:rPr>
        <w:t>800</w:t>
      </w:r>
    </w:p>
    <w:p w14:paraId="3284043B" w14:textId="77777777" w:rsidR="002C7791" w:rsidRPr="001A4C35" w:rsidRDefault="00E82DD0"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ab/>
        <w:t>b. Total Labor Burden</w:t>
      </w:r>
      <w:r w:rsidR="002C7791" w:rsidRPr="001A4C35">
        <w:rPr>
          <w:rFonts w:asciiTheme="majorHAnsi" w:hAnsiTheme="majorHAnsi" w:cs="Times New Roman"/>
          <w:i/>
          <w:sz w:val="24"/>
          <w:szCs w:val="24"/>
        </w:rPr>
        <w:t xml:space="preserve">: </w:t>
      </w:r>
      <w:r w:rsidRPr="001A4C35">
        <w:rPr>
          <w:rFonts w:asciiTheme="majorHAnsi" w:hAnsiTheme="majorHAnsi" w:cs="Times New Roman"/>
          <w:sz w:val="24"/>
          <w:szCs w:val="24"/>
        </w:rPr>
        <w:t>$2</w:t>
      </w:r>
      <w:r w:rsidR="0005086F" w:rsidRPr="001A4C35">
        <w:rPr>
          <w:rFonts w:asciiTheme="majorHAnsi" w:hAnsiTheme="majorHAnsi" w:cs="Times New Roman"/>
          <w:sz w:val="24"/>
          <w:szCs w:val="24"/>
        </w:rPr>
        <w:t>2,160</w:t>
      </w:r>
      <w:r w:rsidRPr="001A4C35">
        <w:rPr>
          <w:rFonts w:asciiTheme="majorHAnsi" w:hAnsiTheme="majorHAnsi" w:cs="Times New Roman"/>
          <w:sz w:val="24"/>
          <w:szCs w:val="24"/>
        </w:rPr>
        <w:t>.00</w:t>
      </w:r>
      <w:r w:rsidR="002C7791" w:rsidRPr="001A4C35">
        <w:rPr>
          <w:rFonts w:asciiTheme="majorHAnsi" w:hAnsiTheme="majorHAnsi" w:cs="Times New Roman"/>
          <w:sz w:val="24"/>
          <w:szCs w:val="24"/>
        </w:rPr>
        <w:t xml:space="preserve"> </w:t>
      </w:r>
    </w:p>
    <w:p w14:paraId="0DA3134B" w14:textId="77777777" w:rsidR="002C7791" w:rsidRPr="001A4C35" w:rsidRDefault="002C7791" w:rsidP="002C7791">
      <w:pPr>
        <w:spacing w:after="0" w:line="240" w:lineRule="auto"/>
        <w:rPr>
          <w:rFonts w:asciiTheme="majorHAnsi" w:hAnsiTheme="majorHAnsi" w:cs="Times New Roman"/>
          <w:sz w:val="24"/>
          <w:szCs w:val="24"/>
          <w:u w:val="single"/>
        </w:rPr>
      </w:pPr>
    </w:p>
    <w:p w14:paraId="4427DF24" w14:textId="77777777" w:rsidR="002C7791" w:rsidRPr="001A4C35" w:rsidRDefault="002C7791" w:rsidP="002C779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b. Operational and Maintenance Costs</w:t>
      </w:r>
    </w:p>
    <w:p w14:paraId="48A83913" w14:textId="77777777" w:rsidR="00B12509" w:rsidRPr="001A4C35" w:rsidRDefault="00B12509" w:rsidP="002C7791">
      <w:pPr>
        <w:spacing w:after="0" w:line="240" w:lineRule="auto"/>
        <w:rPr>
          <w:rFonts w:asciiTheme="majorHAnsi" w:hAnsiTheme="majorHAnsi" w:cs="Times New Roman"/>
          <w:sz w:val="24"/>
          <w:szCs w:val="24"/>
          <w:u w:val="single"/>
        </w:rPr>
      </w:pPr>
    </w:p>
    <w:p w14:paraId="78A2754D" w14:textId="77777777" w:rsidR="002C7791" w:rsidRPr="001A4C35" w:rsidRDefault="002C7791" w:rsidP="002C7791">
      <w:pPr>
        <w:pStyle w:val="ListParagraph"/>
        <w:numPr>
          <w:ilvl w:val="0"/>
          <w:numId w:val="11"/>
        </w:num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Equipment:</w:t>
      </w:r>
      <w:r w:rsidRPr="001A4C35">
        <w:rPr>
          <w:rFonts w:asciiTheme="majorHAnsi" w:hAnsiTheme="majorHAnsi" w:cs="Times New Roman"/>
          <w:sz w:val="24"/>
          <w:szCs w:val="24"/>
        </w:rPr>
        <w:t xml:space="preserve"> $0</w:t>
      </w:r>
    </w:p>
    <w:p w14:paraId="0B7AFE4A" w14:textId="77777777" w:rsidR="002C7791" w:rsidRPr="001A4C35" w:rsidRDefault="002C7791" w:rsidP="002C7791">
      <w:pPr>
        <w:pStyle w:val="ListParagraph"/>
        <w:numPr>
          <w:ilvl w:val="0"/>
          <w:numId w:val="11"/>
        </w:num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 xml:space="preserve">Printing: </w:t>
      </w:r>
      <w:r w:rsidRPr="001A4C35">
        <w:rPr>
          <w:rFonts w:asciiTheme="majorHAnsi" w:hAnsiTheme="majorHAnsi" w:cs="Times New Roman"/>
          <w:sz w:val="24"/>
          <w:szCs w:val="24"/>
        </w:rPr>
        <w:t>$0</w:t>
      </w:r>
    </w:p>
    <w:p w14:paraId="087A2558" w14:textId="77777777" w:rsidR="002C7791" w:rsidRPr="001A4C35" w:rsidRDefault="002C7791" w:rsidP="002C7791">
      <w:pPr>
        <w:pStyle w:val="ListParagraph"/>
        <w:numPr>
          <w:ilvl w:val="0"/>
          <w:numId w:val="11"/>
        </w:num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 xml:space="preserve">Postage: </w:t>
      </w:r>
      <w:r w:rsidRPr="001A4C35">
        <w:rPr>
          <w:rFonts w:asciiTheme="majorHAnsi" w:hAnsiTheme="majorHAnsi" w:cs="Times New Roman"/>
          <w:sz w:val="24"/>
          <w:szCs w:val="24"/>
        </w:rPr>
        <w:t>$</w:t>
      </w:r>
    </w:p>
    <w:p w14:paraId="50F746E2" w14:textId="77777777" w:rsidR="002C7791" w:rsidRPr="001A4C35" w:rsidRDefault="002C7791" w:rsidP="002C7791">
      <w:pPr>
        <w:pStyle w:val="ListParagraph"/>
        <w:numPr>
          <w:ilvl w:val="0"/>
          <w:numId w:val="11"/>
        </w:num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 xml:space="preserve">Software Purchases: </w:t>
      </w:r>
      <w:r w:rsidRPr="001A4C35">
        <w:rPr>
          <w:rFonts w:asciiTheme="majorHAnsi" w:hAnsiTheme="majorHAnsi" w:cs="Times New Roman"/>
          <w:sz w:val="24"/>
          <w:szCs w:val="24"/>
        </w:rPr>
        <w:t>$0</w:t>
      </w:r>
    </w:p>
    <w:p w14:paraId="3967227F" w14:textId="77777777" w:rsidR="002C7791" w:rsidRPr="001A4C35" w:rsidRDefault="002C7791" w:rsidP="002C7791">
      <w:pPr>
        <w:pStyle w:val="ListParagraph"/>
        <w:numPr>
          <w:ilvl w:val="0"/>
          <w:numId w:val="11"/>
        </w:num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 xml:space="preserve">Licensing Costs: </w:t>
      </w:r>
      <w:r w:rsidRPr="001A4C35">
        <w:rPr>
          <w:rFonts w:asciiTheme="majorHAnsi" w:hAnsiTheme="majorHAnsi" w:cs="Times New Roman"/>
          <w:sz w:val="24"/>
          <w:szCs w:val="24"/>
        </w:rPr>
        <w:t>$0</w:t>
      </w:r>
    </w:p>
    <w:p w14:paraId="44A3262C" w14:textId="77777777" w:rsidR="002C7791" w:rsidRPr="001A4C35" w:rsidRDefault="002C7791" w:rsidP="002C7791">
      <w:pPr>
        <w:pStyle w:val="ListParagraph"/>
        <w:numPr>
          <w:ilvl w:val="0"/>
          <w:numId w:val="11"/>
        </w:num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u w:val="single"/>
        </w:rPr>
        <w:t xml:space="preserve">Other: </w:t>
      </w:r>
      <w:r w:rsidR="00D04499" w:rsidRPr="001A4C35">
        <w:rPr>
          <w:rFonts w:asciiTheme="majorHAnsi" w:hAnsiTheme="majorHAnsi" w:cs="Times New Roman"/>
          <w:sz w:val="24"/>
          <w:szCs w:val="24"/>
        </w:rPr>
        <w:t>$13,600 (background check)</w:t>
      </w:r>
    </w:p>
    <w:p w14:paraId="41FC3D20" w14:textId="77777777" w:rsidR="002C7791" w:rsidRPr="001A4C35" w:rsidRDefault="002C7791" w:rsidP="002C7791">
      <w:pPr>
        <w:spacing w:after="0" w:line="240" w:lineRule="auto"/>
        <w:ind w:left="360"/>
        <w:rPr>
          <w:rFonts w:asciiTheme="majorHAnsi" w:hAnsiTheme="majorHAnsi" w:cs="Times New Roman"/>
          <w:sz w:val="24"/>
          <w:szCs w:val="24"/>
        </w:rPr>
      </w:pPr>
      <w:r w:rsidRPr="001A4C35">
        <w:rPr>
          <w:rFonts w:asciiTheme="majorHAnsi" w:hAnsiTheme="majorHAnsi" w:cs="Times New Roman"/>
          <w:sz w:val="24"/>
          <w:szCs w:val="24"/>
        </w:rPr>
        <w:t xml:space="preserve">g. </w:t>
      </w:r>
      <w:r w:rsidRPr="001A4C35">
        <w:rPr>
          <w:rFonts w:asciiTheme="majorHAnsi" w:hAnsiTheme="majorHAnsi" w:cs="Times New Roman"/>
          <w:sz w:val="24"/>
          <w:szCs w:val="24"/>
        </w:rPr>
        <w:tab/>
      </w:r>
      <w:r w:rsidR="00D04499" w:rsidRPr="001A4C35">
        <w:rPr>
          <w:rFonts w:asciiTheme="majorHAnsi" w:hAnsiTheme="majorHAnsi" w:cs="Times New Roman"/>
          <w:sz w:val="24"/>
          <w:szCs w:val="24"/>
          <w:u w:val="single"/>
        </w:rPr>
        <w:t>Total</w:t>
      </w:r>
      <w:r w:rsidRPr="001A4C35">
        <w:rPr>
          <w:rFonts w:asciiTheme="majorHAnsi" w:hAnsiTheme="majorHAnsi" w:cs="Times New Roman"/>
          <w:sz w:val="24"/>
          <w:szCs w:val="24"/>
          <w:u w:val="single"/>
        </w:rPr>
        <w:t xml:space="preserve">: </w:t>
      </w:r>
      <w:r w:rsidR="00D04499" w:rsidRPr="001A4C35">
        <w:rPr>
          <w:rFonts w:asciiTheme="majorHAnsi" w:hAnsiTheme="majorHAnsi" w:cs="Times New Roman"/>
          <w:sz w:val="24"/>
          <w:szCs w:val="24"/>
        </w:rPr>
        <w:t>$13,600</w:t>
      </w:r>
    </w:p>
    <w:p w14:paraId="04C1D7FC" w14:textId="77777777" w:rsidR="002C7791" w:rsidRPr="001A4C35" w:rsidRDefault="002C7791" w:rsidP="002C7791">
      <w:pPr>
        <w:spacing w:after="0" w:line="240" w:lineRule="auto"/>
        <w:rPr>
          <w:rFonts w:asciiTheme="majorHAnsi" w:hAnsiTheme="majorHAnsi" w:cs="Times New Roman"/>
          <w:sz w:val="24"/>
          <w:szCs w:val="24"/>
        </w:rPr>
      </w:pPr>
    </w:p>
    <w:p w14:paraId="1B878C7B"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1. Total Opera</w:t>
      </w:r>
      <w:r w:rsidR="00D634AF" w:rsidRPr="001A4C35">
        <w:rPr>
          <w:rFonts w:asciiTheme="majorHAnsi" w:hAnsiTheme="majorHAnsi" w:cs="Times New Roman"/>
          <w:sz w:val="24"/>
          <w:szCs w:val="24"/>
        </w:rPr>
        <w:t>tional and Maintenance Costs: $13,600</w:t>
      </w:r>
    </w:p>
    <w:p w14:paraId="3A250B6C"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2. Total Labor Cost t</w:t>
      </w:r>
      <w:r w:rsidR="00D634AF" w:rsidRPr="001A4C35">
        <w:rPr>
          <w:rFonts w:asciiTheme="majorHAnsi" w:hAnsiTheme="majorHAnsi" w:cs="Times New Roman"/>
          <w:sz w:val="24"/>
          <w:szCs w:val="24"/>
        </w:rPr>
        <w:t>o the Federal Government: $2</w:t>
      </w:r>
      <w:r w:rsidR="001A4C35">
        <w:rPr>
          <w:rFonts w:asciiTheme="majorHAnsi" w:hAnsiTheme="majorHAnsi" w:cs="Times New Roman"/>
          <w:sz w:val="24"/>
          <w:szCs w:val="24"/>
        </w:rPr>
        <w:t>2,160</w:t>
      </w:r>
      <w:r w:rsidR="00D634AF" w:rsidRPr="001A4C35">
        <w:rPr>
          <w:rFonts w:asciiTheme="majorHAnsi" w:hAnsiTheme="majorHAnsi" w:cs="Times New Roman"/>
          <w:sz w:val="24"/>
          <w:szCs w:val="24"/>
        </w:rPr>
        <w:t>.00</w:t>
      </w:r>
    </w:p>
    <w:p w14:paraId="3A3405AD"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3. Total</w:t>
      </w:r>
      <w:r w:rsidR="00D634AF" w:rsidRPr="001A4C35">
        <w:rPr>
          <w:rFonts w:asciiTheme="majorHAnsi" w:hAnsiTheme="majorHAnsi" w:cs="Times New Roman"/>
          <w:sz w:val="24"/>
          <w:szCs w:val="24"/>
        </w:rPr>
        <w:t xml:space="preserve"> Cost to</w:t>
      </w:r>
      <w:r w:rsidR="001A4C35">
        <w:rPr>
          <w:rFonts w:asciiTheme="majorHAnsi" w:hAnsiTheme="majorHAnsi" w:cs="Times New Roman"/>
          <w:sz w:val="24"/>
          <w:szCs w:val="24"/>
        </w:rPr>
        <w:t xml:space="preserve"> the Federal Government: $35,760</w:t>
      </w:r>
      <w:r w:rsidR="00D634AF" w:rsidRPr="001A4C35">
        <w:rPr>
          <w:rFonts w:asciiTheme="majorHAnsi" w:hAnsiTheme="majorHAnsi" w:cs="Times New Roman"/>
          <w:sz w:val="24"/>
          <w:szCs w:val="24"/>
        </w:rPr>
        <w:t>.00</w:t>
      </w:r>
    </w:p>
    <w:p w14:paraId="78CA96B6" w14:textId="77777777" w:rsidR="002C7791" w:rsidRPr="001A4C35" w:rsidRDefault="002C7791" w:rsidP="002C7791">
      <w:pPr>
        <w:spacing w:after="0" w:line="240" w:lineRule="auto"/>
        <w:rPr>
          <w:rFonts w:asciiTheme="majorHAnsi" w:hAnsiTheme="majorHAnsi" w:cs="Times New Roman"/>
          <w:sz w:val="24"/>
          <w:szCs w:val="24"/>
        </w:rPr>
      </w:pPr>
    </w:p>
    <w:p w14:paraId="0F04AE4B" w14:textId="77777777" w:rsidR="00071265" w:rsidRPr="001A4C35" w:rsidRDefault="002C7791" w:rsidP="002C779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 xml:space="preserve">15.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Reasons for Change in Burden</w:t>
      </w:r>
    </w:p>
    <w:p w14:paraId="419F358F" w14:textId="49F056AD" w:rsidR="00071265" w:rsidRPr="001A4C35" w:rsidRDefault="00071265" w:rsidP="001A4C35">
      <w:pPr>
        <w:contextualSpacing/>
        <w:rPr>
          <w:rFonts w:asciiTheme="majorHAnsi" w:eastAsia="Calibri" w:hAnsiTheme="majorHAnsi" w:cs="Times New Roman"/>
          <w:sz w:val="24"/>
          <w:szCs w:val="24"/>
        </w:rPr>
      </w:pPr>
      <w:r w:rsidRPr="001A4C35">
        <w:rPr>
          <w:rFonts w:asciiTheme="majorHAnsi" w:eastAsia="Calibri" w:hAnsiTheme="majorHAnsi" w:cs="Times New Roman"/>
          <w:sz w:val="24"/>
          <w:szCs w:val="24"/>
        </w:rPr>
        <w:t xml:space="preserve">There is no change in requested </w:t>
      </w:r>
      <w:r w:rsidR="001A4C35">
        <w:rPr>
          <w:rFonts w:asciiTheme="majorHAnsi" w:eastAsia="Calibri" w:hAnsiTheme="majorHAnsi" w:cs="Times New Roman"/>
          <w:sz w:val="24"/>
          <w:szCs w:val="24"/>
        </w:rPr>
        <w:t xml:space="preserve">time </w:t>
      </w:r>
      <w:r w:rsidRPr="001A4C35">
        <w:rPr>
          <w:rFonts w:asciiTheme="majorHAnsi" w:eastAsia="Calibri" w:hAnsiTheme="majorHAnsi" w:cs="Times New Roman"/>
          <w:sz w:val="24"/>
          <w:szCs w:val="24"/>
        </w:rPr>
        <w:t>burden from the last time this collection received OMB approval.</w:t>
      </w:r>
      <w:r w:rsidR="001A4C35">
        <w:rPr>
          <w:rFonts w:asciiTheme="majorHAnsi" w:eastAsia="Calibri" w:hAnsiTheme="majorHAnsi" w:cs="Times New Roman"/>
          <w:sz w:val="24"/>
          <w:szCs w:val="24"/>
        </w:rPr>
        <w:t xml:space="preserve">  The slight change in monetary burden </w:t>
      </w:r>
      <w:r w:rsidR="00835A84">
        <w:rPr>
          <w:rFonts w:asciiTheme="majorHAnsi" w:eastAsia="Calibri" w:hAnsiTheme="majorHAnsi" w:cs="Times New Roman"/>
          <w:sz w:val="24"/>
          <w:szCs w:val="24"/>
        </w:rPr>
        <w:t>is from the re-estimate of</w:t>
      </w:r>
      <w:r w:rsidR="001A4C35">
        <w:rPr>
          <w:rFonts w:asciiTheme="majorHAnsi" w:eastAsia="Calibri" w:hAnsiTheme="majorHAnsi" w:cs="Times New Roman"/>
          <w:sz w:val="24"/>
          <w:szCs w:val="24"/>
        </w:rPr>
        <w:t xml:space="preserve"> the annual salary </w:t>
      </w:r>
      <w:r w:rsidR="00835A84">
        <w:rPr>
          <w:rFonts w:asciiTheme="majorHAnsi" w:eastAsia="Calibri" w:hAnsiTheme="majorHAnsi" w:cs="Times New Roman"/>
          <w:sz w:val="24"/>
          <w:szCs w:val="24"/>
        </w:rPr>
        <w:t>using</w:t>
      </w:r>
      <w:r w:rsidR="001A4C35">
        <w:rPr>
          <w:rFonts w:asciiTheme="majorHAnsi" w:eastAsia="Calibri" w:hAnsiTheme="majorHAnsi" w:cs="Times New Roman"/>
          <w:sz w:val="24"/>
          <w:szCs w:val="24"/>
        </w:rPr>
        <w:t xml:space="preserve"> 2019 pay scales.</w:t>
      </w:r>
    </w:p>
    <w:p w14:paraId="13D67F46" w14:textId="77777777" w:rsidR="002C7791" w:rsidRPr="001A4C35" w:rsidRDefault="002C7791" w:rsidP="002C7791">
      <w:pPr>
        <w:spacing w:after="0" w:line="240" w:lineRule="auto"/>
        <w:rPr>
          <w:rFonts w:asciiTheme="majorHAnsi" w:hAnsiTheme="majorHAnsi" w:cs="Times New Roman"/>
          <w:sz w:val="24"/>
          <w:szCs w:val="24"/>
        </w:rPr>
      </w:pPr>
    </w:p>
    <w:p w14:paraId="26DD6F7B" w14:textId="77777777" w:rsidR="00D20E70"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 xml:space="preserve">16.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Publication of Results</w:t>
      </w:r>
      <w:r w:rsidRPr="001A4C35">
        <w:rPr>
          <w:rFonts w:asciiTheme="majorHAnsi" w:hAnsiTheme="majorHAnsi" w:cs="Times New Roman"/>
          <w:sz w:val="24"/>
          <w:szCs w:val="24"/>
        </w:rPr>
        <w:t xml:space="preserve"> </w:t>
      </w:r>
    </w:p>
    <w:p w14:paraId="180A8D5D" w14:textId="77777777" w:rsidR="002C7791" w:rsidRPr="001A4C35" w:rsidRDefault="002C7791" w:rsidP="002C7791">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 xml:space="preserve">The results of this information collection will not be published. </w:t>
      </w:r>
    </w:p>
    <w:p w14:paraId="67DDEDCB" w14:textId="77777777" w:rsidR="002C7791" w:rsidRPr="001A4C35" w:rsidRDefault="002C7791" w:rsidP="002C7791">
      <w:pPr>
        <w:spacing w:after="0" w:line="240" w:lineRule="auto"/>
        <w:rPr>
          <w:rFonts w:asciiTheme="majorHAnsi" w:hAnsiTheme="majorHAnsi" w:cs="Times New Roman"/>
          <w:sz w:val="24"/>
          <w:szCs w:val="24"/>
        </w:rPr>
      </w:pPr>
    </w:p>
    <w:p w14:paraId="47F869C0" w14:textId="77777777" w:rsidR="00D20E70" w:rsidRPr="001A4C35" w:rsidRDefault="002C7791" w:rsidP="002C779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 xml:space="preserve">17.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Non-Display of OMB Expiration Date</w:t>
      </w:r>
    </w:p>
    <w:p w14:paraId="1FFDBEE6" w14:textId="77777777" w:rsidR="002C7791" w:rsidRPr="001A4C35" w:rsidRDefault="002C7791" w:rsidP="001A4C35">
      <w:pPr>
        <w:spacing w:after="0" w:line="240" w:lineRule="auto"/>
        <w:rPr>
          <w:rFonts w:asciiTheme="majorHAnsi" w:hAnsiTheme="majorHAnsi" w:cs="Times New Roman"/>
          <w:sz w:val="24"/>
          <w:szCs w:val="24"/>
        </w:rPr>
      </w:pPr>
      <w:r w:rsidRPr="001A4C35">
        <w:rPr>
          <w:rFonts w:asciiTheme="majorHAnsi" w:hAnsiTheme="majorHAnsi" w:cs="Times New Roman"/>
          <w:sz w:val="24"/>
          <w:szCs w:val="24"/>
        </w:rPr>
        <w:t xml:space="preserve">We are not seeking approval to omit the display of the expiration date of the OMB approval on the collection instrument. </w:t>
      </w:r>
    </w:p>
    <w:p w14:paraId="6491305B" w14:textId="77777777" w:rsidR="002C7791" w:rsidRPr="001A4C35" w:rsidRDefault="002C7791" w:rsidP="002C7791">
      <w:pPr>
        <w:spacing w:after="0" w:line="240" w:lineRule="auto"/>
        <w:rPr>
          <w:rFonts w:asciiTheme="majorHAnsi" w:hAnsiTheme="majorHAnsi" w:cs="Times New Roman"/>
          <w:sz w:val="24"/>
          <w:szCs w:val="24"/>
        </w:rPr>
      </w:pPr>
    </w:p>
    <w:p w14:paraId="30F8F2BE" w14:textId="77777777" w:rsidR="002C7791" w:rsidRPr="001A4C35" w:rsidRDefault="002C7791" w:rsidP="002C7791">
      <w:pPr>
        <w:spacing w:after="0" w:line="240" w:lineRule="auto"/>
        <w:rPr>
          <w:rFonts w:asciiTheme="majorHAnsi" w:hAnsiTheme="majorHAnsi" w:cs="Times New Roman"/>
          <w:sz w:val="24"/>
          <w:szCs w:val="24"/>
          <w:u w:val="single"/>
        </w:rPr>
      </w:pPr>
      <w:r w:rsidRPr="001A4C35">
        <w:rPr>
          <w:rFonts w:asciiTheme="majorHAnsi" w:hAnsiTheme="majorHAnsi" w:cs="Times New Roman"/>
          <w:sz w:val="24"/>
          <w:szCs w:val="24"/>
        </w:rPr>
        <w:t xml:space="preserve">18. </w:t>
      </w:r>
      <w:r w:rsidRPr="001A4C35">
        <w:rPr>
          <w:rFonts w:asciiTheme="majorHAnsi" w:hAnsiTheme="majorHAnsi" w:cs="Times New Roman"/>
          <w:sz w:val="24"/>
          <w:szCs w:val="24"/>
        </w:rPr>
        <w:tab/>
      </w:r>
      <w:r w:rsidRPr="001A4C35">
        <w:rPr>
          <w:rFonts w:asciiTheme="majorHAnsi" w:hAnsiTheme="majorHAnsi" w:cs="Times New Roman"/>
          <w:sz w:val="24"/>
          <w:szCs w:val="24"/>
          <w:u w:val="single"/>
        </w:rPr>
        <w:t>Exceptions to “Certification for Paperwork Reduction Submissions”</w:t>
      </w:r>
    </w:p>
    <w:p w14:paraId="59853B23" w14:textId="77777777" w:rsidR="002C7791" w:rsidRPr="001A4C35" w:rsidRDefault="002C7791" w:rsidP="001A4C35">
      <w:pPr>
        <w:spacing w:after="0" w:line="240" w:lineRule="auto"/>
        <w:rPr>
          <w:rFonts w:asciiTheme="majorHAnsi" w:hAnsiTheme="majorHAnsi" w:cs="Times New Roman"/>
          <w:i/>
          <w:sz w:val="24"/>
          <w:szCs w:val="24"/>
        </w:rPr>
      </w:pPr>
      <w:r w:rsidRPr="001A4C35">
        <w:rPr>
          <w:rFonts w:asciiTheme="majorHAnsi" w:hAnsiTheme="majorHAnsi" w:cs="Times New Roman"/>
          <w:sz w:val="24"/>
          <w:szCs w:val="24"/>
        </w:rPr>
        <w:t xml:space="preserve">We are not requesting any exemptions to the provisions stated in 5 CFR 1320.9. </w:t>
      </w:r>
    </w:p>
    <w:p w14:paraId="673A9EEE" w14:textId="77777777" w:rsidR="00A50A0F" w:rsidRPr="001A4C35" w:rsidRDefault="00A50A0F" w:rsidP="002C7791">
      <w:pPr>
        <w:spacing w:after="0" w:line="240" w:lineRule="auto"/>
        <w:rPr>
          <w:rFonts w:asciiTheme="majorHAnsi" w:hAnsiTheme="majorHAnsi"/>
          <w:i/>
          <w:sz w:val="24"/>
        </w:rPr>
      </w:pPr>
    </w:p>
    <w:sectPr w:rsidR="00A50A0F" w:rsidRPr="001A4C3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DF591" w14:textId="77777777" w:rsidR="00857BAE" w:rsidRDefault="00857BAE" w:rsidP="00FB569C">
      <w:pPr>
        <w:spacing w:after="0" w:line="240" w:lineRule="auto"/>
      </w:pPr>
      <w:r>
        <w:separator/>
      </w:r>
    </w:p>
  </w:endnote>
  <w:endnote w:type="continuationSeparator" w:id="0">
    <w:p w14:paraId="465F5C70" w14:textId="77777777" w:rsidR="00857BAE" w:rsidRDefault="00857BA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4615"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36570" w14:textId="77777777" w:rsidR="00857BAE" w:rsidRDefault="00857BAE" w:rsidP="00FB569C">
      <w:pPr>
        <w:spacing w:after="0" w:line="240" w:lineRule="auto"/>
      </w:pPr>
      <w:r>
        <w:separator/>
      </w:r>
    </w:p>
  </w:footnote>
  <w:footnote w:type="continuationSeparator" w:id="0">
    <w:p w14:paraId="4D259C53" w14:textId="77777777" w:rsidR="00857BAE" w:rsidRDefault="00857BAE"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80B2E"/>
    <w:multiLevelType w:val="hybridMultilevel"/>
    <w:tmpl w:val="85B023DC"/>
    <w:lvl w:ilvl="0" w:tplc="AD3440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086F"/>
    <w:rsid w:val="00057842"/>
    <w:rsid w:val="00071265"/>
    <w:rsid w:val="00073D7C"/>
    <w:rsid w:val="00073FF6"/>
    <w:rsid w:val="000B0BEA"/>
    <w:rsid w:val="000B0E70"/>
    <w:rsid w:val="000F7B3B"/>
    <w:rsid w:val="00105F45"/>
    <w:rsid w:val="00146426"/>
    <w:rsid w:val="00170B05"/>
    <w:rsid w:val="0019309D"/>
    <w:rsid w:val="00195F18"/>
    <w:rsid w:val="001A4C35"/>
    <w:rsid w:val="001A4E61"/>
    <w:rsid w:val="001F526C"/>
    <w:rsid w:val="00200261"/>
    <w:rsid w:val="00211832"/>
    <w:rsid w:val="00222D1B"/>
    <w:rsid w:val="00224AEF"/>
    <w:rsid w:val="002329E3"/>
    <w:rsid w:val="0024335E"/>
    <w:rsid w:val="002457F5"/>
    <w:rsid w:val="00254DCF"/>
    <w:rsid w:val="002567F9"/>
    <w:rsid w:val="0027743E"/>
    <w:rsid w:val="00294E92"/>
    <w:rsid w:val="002B6C57"/>
    <w:rsid w:val="002C177E"/>
    <w:rsid w:val="002C7791"/>
    <w:rsid w:val="002D4DB2"/>
    <w:rsid w:val="003132E7"/>
    <w:rsid w:val="003152B6"/>
    <w:rsid w:val="00331D7E"/>
    <w:rsid w:val="00334117"/>
    <w:rsid w:val="00337EF1"/>
    <w:rsid w:val="003607C8"/>
    <w:rsid w:val="003811F2"/>
    <w:rsid w:val="00394A8A"/>
    <w:rsid w:val="003C0540"/>
    <w:rsid w:val="003C6B13"/>
    <w:rsid w:val="003E48C1"/>
    <w:rsid w:val="00403A1C"/>
    <w:rsid w:val="00420AE9"/>
    <w:rsid w:val="00427792"/>
    <w:rsid w:val="00436AED"/>
    <w:rsid w:val="00455698"/>
    <w:rsid w:val="00474116"/>
    <w:rsid w:val="00475286"/>
    <w:rsid w:val="00480AFF"/>
    <w:rsid w:val="00486235"/>
    <w:rsid w:val="00487452"/>
    <w:rsid w:val="00490797"/>
    <w:rsid w:val="004C74D6"/>
    <w:rsid w:val="004F163F"/>
    <w:rsid w:val="004F4F5D"/>
    <w:rsid w:val="00502F72"/>
    <w:rsid w:val="00510F0C"/>
    <w:rsid w:val="00517DB1"/>
    <w:rsid w:val="00520B36"/>
    <w:rsid w:val="00552F01"/>
    <w:rsid w:val="005679BF"/>
    <w:rsid w:val="00571698"/>
    <w:rsid w:val="00576EDB"/>
    <w:rsid w:val="00585AC9"/>
    <w:rsid w:val="00596BBA"/>
    <w:rsid w:val="005C3A95"/>
    <w:rsid w:val="005C7428"/>
    <w:rsid w:val="005D5C81"/>
    <w:rsid w:val="005E384C"/>
    <w:rsid w:val="005F1DE9"/>
    <w:rsid w:val="00631D19"/>
    <w:rsid w:val="00642741"/>
    <w:rsid w:val="00665553"/>
    <w:rsid w:val="00695648"/>
    <w:rsid w:val="006A13FA"/>
    <w:rsid w:val="006E563D"/>
    <w:rsid w:val="006F2DF8"/>
    <w:rsid w:val="007210E9"/>
    <w:rsid w:val="00722FDB"/>
    <w:rsid w:val="00757DCE"/>
    <w:rsid w:val="0077261C"/>
    <w:rsid w:val="00783B8F"/>
    <w:rsid w:val="00826696"/>
    <w:rsid w:val="00835A84"/>
    <w:rsid w:val="00857BAE"/>
    <w:rsid w:val="008635C4"/>
    <w:rsid w:val="008A13EA"/>
    <w:rsid w:val="008C7F01"/>
    <w:rsid w:val="008D1294"/>
    <w:rsid w:val="008E3029"/>
    <w:rsid w:val="0090284A"/>
    <w:rsid w:val="00920A0F"/>
    <w:rsid w:val="00942F2E"/>
    <w:rsid w:val="00944A9A"/>
    <w:rsid w:val="00947CC0"/>
    <w:rsid w:val="00953165"/>
    <w:rsid w:val="00955247"/>
    <w:rsid w:val="00976DA1"/>
    <w:rsid w:val="0098628F"/>
    <w:rsid w:val="00995423"/>
    <w:rsid w:val="00996894"/>
    <w:rsid w:val="009A6246"/>
    <w:rsid w:val="009D3DC3"/>
    <w:rsid w:val="009F2544"/>
    <w:rsid w:val="00A11CA6"/>
    <w:rsid w:val="00A50A0F"/>
    <w:rsid w:val="00A53944"/>
    <w:rsid w:val="00A76F7E"/>
    <w:rsid w:val="00A77157"/>
    <w:rsid w:val="00AC5911"/>
    <w:rsid w:val="00AD420A"/>
    <w:rsid w:val="00AF2A36"/>
    <w:rsid w:val="00B12509"/>
    <w:rsid w:val="00B40B1F"/>
    <w:rsid w:val="00B470C1"/>
    <w:rsid w:val="00B52F4E"/>
    <w:rsid w:val="00B677C6"/>
    <w:rsid w:val="00B75C4E"/>
    <w:rsid w:val="00B933B0"/>
    <w:rsid w:val="00BB12CA"/>
    <w:rsid w:val="00BD09E7"/>
    <w:rsid w:val="00BD5088"/>
    <w:rsid w:val="00BE63C9"/>
    <w:rsid w:val="00C11484"/>
    <w:rsid w:val="00C152BE"/>
    <w:rsid w:val="00C62D17"/>
    <w:rsid w:val="00C808F4"/>
    <w:rsid w:val="00CA15B1"/>
    <w:rsid w:val="00CA76C5"/>
    <w:rsid w:val="00CB083A"/>
    <w:rsid w:val="00CC24D5"/>
    <w:rsid w:val="00D03CB0"/>
    <w:rsid w:val="00D04499"/>
    <w:rsid w:val="00D07FD5"/>
    <w:rsid w:val="00D20E70"/>
    <w:rsid w:val="00D21AA6"/>
    <w:rsid w:val="00D462F7"/>
    <w:rsid w:val="00D634AF"/>
    <w:rsid w:val="00D93EC2"/>
    <w:rsid w:val="00DA2B37"/>
    <w:rsid w:val="00DB6BFD"/>
    <w:rsid w:val="00E5409A"/>
    <w:rsid w:val="00E660F3"/>
    <w:rsid w:val="00E82DD0"/>
    <w:rsid w:val="00E843A3"/>
    <w:rsid w:val="00E95FFB"/>
    <w:rsid w:val="00EA6C04"/>
    <w:rsid w:val="00EA7B2B"/>
    <w:rsid w:val="00EF5F9C"/>
    <w:rsid w:val="00F05AFF"/>
    <w:rsid w:val="00F23F5A"/>
    <w:rsid w:val="00F25499"/>
    <w:rsid w:val="00F34CB7"/>
    <w:rsid w:val="00F35AB5"/>
    <w:rsid w:val="00F829A3"/>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D07FD5"/>
    <w:rPr>
      <w:color w:val="800080" w:themeColor="followedHyperlink"/>
      <w:u w:val="single"/>
    </w:rPr>
  </w:style>
  <w:style w:type="character" w:styleId="CommentReference">
    <w:name w:val="annotation reference"/>
    <w:basedOn w:val="DefaultParagraphFont"/>
    <w:uiPriority w:val="99"/>
    <w:semiHidden/>
    <w:unhideWhenUsed/>
    <w:rsid w:val="00BE63C9"/>
    <w:rPr>
      <w:sz w:val="16"/>
      <w:szCs w:val="16"/>
    </w:rPr>
  </w:style>
  <w:style w:type="paragraph" w:styleId="CommentText">
    <w:name w:val="annotation text"/>
    <w:basedOn w:val="Normal"/>
    <w:link w:val="CommentTextChar"/>
    <w:uiPriority w:val="99"/>
    <w:semiHidden/>
    <w:unhideWhenUsed/>
    <w:rsid w:val="00BE63C9"/>
    <w:pPr>
      <w:spacing w:line="240" w:lineRule="auto"/>
    </w:pPr>
    <w:rPr>
      <w:sz w:val="20"/>
      <w:szCs w:val="20"/>
    </w:rPr>
  </w:style>
  <w:style w:type="character" w:customStyle="1" w:styleId="CommentTextChar">
    <w:name w:val="Comment Text Char"/>
    <w:basedOn w:val="DefaultParagraphFont"/>
    <w:link w:val="CommentText"/>
    <w:uiPriority w:val="99"/>
    <w:semiHidden/>
    <w:rsid w:val="00BE63C9"/>
    <w:rPr>
      <w:sz w:val="20"/>
      <w:szCs w:val="20"/>
    </w:rPr>
  </w:style>
  <w:style w:type="paragraph" w:styleId="CommentSubject">
    <w:name w:val="annotation subject"/>
    <w:basedOn w:val="CommentText"/>
    <w:next w:val="CommentText"/>
    <w:link w:val="CommentSubjectChar"/>
    <w:uiPriority w:val="99"/>
    <w:semiHidden/>
    <w:unhideWhenUsed/>
    <w:rsid w:val="00BE63C9"/>
    <w:rPr>
      <w:b/>
      <w:bCs/>
    </w:rPr>
  </w:style>
  <w:style w:type="character" w:customStyle="1" w:styleId="CommentSubjectChar">
    <w:name w:val="Comment Subject Char"/>
    <w:basedOn w:val="CommentTextChar"/>
    <w:link w:val="CommentSubject"/>
    <w:uiPriority w:val="99"/>
    <w:semiHidden/>
    <w:rsid w:val="00BE63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D07FD5"/>
    <w:rPr>
      <w:color w:val="800080" w:themeColor="followedHyperlink"/>
      <w:u w:val="single"/>
    </w:rPr>
  </w:style>
  <w:style w:type="character" w:styleId="CommentReference">
    <w:name w:val="annotation reference"/>
    <w:basedOn w:val="DefaultParagraphFont"/>
    <w:uiPriority w:val="99"/>
    <w:semiHidden/>
    <w:unhideWhenUsed/>
    <w:rsid w:val="00BE63C9"/>
    <w:rPr>
      <w:sz w:val="16"/>
      <w:szCs w:val="16"/>
    </w:rPr>
  </w:style>
  <w:style w:type="paragraph" w:styleId="CommentText">
    <w:name w:val="annotation text"/>
    <w:basedOn w:val="Normal"/>
    <w:link w:val="CommentTextChar"/>
    <w:uiPriority w:val="99"/>
    <w:semiHidden/>
    <w:unhideWhenUsed/>
    <w:rsid w:val="00BE63C9"/>
    <w:pPr>
      <w:spacing w:line="240" w:lineRule="auto"/>
    </w:pPr>
    <w:rPr>
      <w:sz w:val="20"/>
      <w:szCs w:val="20"/>
    </w:rPr>
  </w:style>
  <w:style w:type="character" w:customStyle="1" w:styleId="CommentTextChar">
    <w:name w:val="Comment Text Char"/>
    <w:basedOn w:val="DefaultParagraphFont"/>
    <w:link w:val="CommentText"/>
    <w:uiPriority w:val="99"/>
    <w:semiHidden/>
    <w:rsid w:val="00BE63C9"/>
    <w:rPr>
      <w:sz w:val="20"/>
      <w:szCs w:val="20"/>
    </w:rPr>
  </w:style>
  <w:style w:type="paragraph" w:styleId="CommentSubject">
    <w:name w:val="annotation subject"/>
    <w:basedOn w:val="CommentText"/>
    <w:next w:val="CommentText"/>
    <w:link w:val="CommentSubjectChar"/>
    <w:uiPriority w:val="99"/>
    <w:semiHidden/>
    <w:unhideWhenUsed/>
    <w:rsid w:val="00BE63C9"/>
    <w:rPr>
      <w:b/>
      <w:bCs/>
    </w:rPr>
  </w:style>
  <w:style w:type="character" w:customStyle="1" w:styleId="CommentSubjectChar">
    <w:name w:val="Comment Subject Char"/>
    <w:basedOn w:val="CommentTextChar"/>
    <w:link w:val="CommentSubject"/>
    <w:uiPriority w:val="99"/>
    <w:semiHidden/>
    <w:rsid w:val="00BE63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search/pagedetails.action?collectionCode=USCODE&amp;browsePath=Title+10%2FSubtitle+C%2FPart+I%2FChapter+503%2FSec.+5013&amp;granuleId=USCODE-2007-title10-subtitleC-partI-chap503-sec5013&amp;packageId=USCODE-2007-title10&amp;collapse=true&amp;fromBrowse=true" TargetMode="External"/><Relationship Id="rId13" Type="http://schemas.openxmlformats.org/officeDocument/2006/relationships/hyperlink" Target="https://www.esd.whs.mil/Portals/54/Documents/DD/issuances/dodi/132222p.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po.gov/fdsys/granule/USCODE-2010-title10/USCODE-2010-title10-subtitleC-partI-chap503-sec50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ederalpay.org/gs/2019/GS-9%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aw.cornell.edu/uscode/text/5/301" TargetMode="External"/><Relationship Id="rId5" Type="http://schemas.openxmlformats.org/officeDocument/2006/relationships/webSettings" Target="webSettings.xml"/><Relationship Id="rId15" Type="http://schemas.openxmlformats.org/officeDocument/2006/relationships/hyperlink" Target="https://www.payscale.com/research/US/Job=General_Manager/Salary" TargetMode="External"/><Relationship Id="rId10" Type="http://schemas.openxmlformats.org/officeDocument/2006/relationships/hyperlink" Target="https://www.law.cornell.edu/uscode/text/5/3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info.gov/content/pkg/USCODE-2011-title5/pdf/USCODE-2011-title5-partI-chap3-sec301.pdf" TargetMode="External"/><Relationship Id="rId14" Type="http://schemas.openxmlformats.org/officeDocument/2006/relationships/hyperlink" Target="https://www.usna.edu/Commandant/Directives/Instructions/1000-1999/COMDTMIDNINST-1531.5S_PLEBE-SPONSOR-PRO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2019-08-29T14:15:00Z</dcterms:created>
  <dcterms:modified xsi:type="dcterms:W3CDTF">2019-08-29T14:15:00Z</dcterms:modified>
</cp:coreProperties>
</file>