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9F26203" w:rsidR="00025339" w:rsidRDefault="003E192C" w:rsidP="001C4E3A">
      <w:pPr>
        <w:pStyle w:val="Title"/>
        <w:rPr>
          <w:rFonts w:ascii="Courier New" w:eastAsia="Courier New" w:hAnsi="Courier New" w:cs="Courier New"/>
        </w:rPr>
      </w:pPr>
      <w:bookmarkStart w:id="0" w:name="_GoBack"/>
      <w:bookmarkEnd w:id="0"/>
      <w:r>
        <w:rPr>
          <w:rFonts w:ascii="Courier New" w:eastAsia="Courier New" w:hAnsi="Courier New" w:cs="Courier New"/>
        </w:rPr>
        <w:t>SUPPORTING STATEMENT</w:t>
      </w:r>
    </w:p>
    <w:p w14:paraId="00000002" w14:textId="77777777" w:rsidR="00025339" w:rsidRDefault="003E192C" w:rsidP="001C4E3A">
      <w:pPr>
        <w:spacing w:before="0"/>
        <w:jc w:val="center"/>
        <w:rPr>
          <w:rFonts w:ascii="Courier New" w:eastAsia="Courier New" w:hAnsi="Courier New" w:cs="Courier New"/>
        </w:rPr>
      </w:pPr>
      <w:r>
        <w:rPr>
          <w:rFonts w:ascii="Courier New" w:eastAsia="Courier New" w:hAnsi="Courier New" w:cs="Courier New"/>
          <w:b/>
        </w:rPr>
        <w:t>INFORMATION COLLECTION 9000-0060</w:t>
      </w:r>
    </w:p>
    <w:p w14:paraId="00000003" w14:textId="2D7CADEE" w:rsidR="00025339" w:rsidRDefault="003E192C" w:rsidP="001C4E3A">
      <w:pPr>
        <w:spacing w:before="0"/>
        <w:jc w:val="center"/>
        <w:rPr>
          <w:rFonts w:ascii="Courier New" w:eastAsia="Courier New" w:hAnsi="Courier New" w:cs="Courier New"/>
        </w:rPr>
      </w:pPr>
      <w:r>
        <w:rPr>
          <w:rFonts w:ascii="Courier New" w:eastAsia="Courier New" w:hAnsi="Courier New" w:cs="Courier New"/>
          <w:b/>
        </w:rPr>
        <w:t>ACCIDENT PREVENTION PLANS</w:t>
      </w:r>
    </w:p>
    <w:p w14:paraId="00000004" w14:textId="77777777" w:rsidR="00025339" w:rsidRDefault="00025339">
      <w:pPr>
        <w:spacing w:before="0"/>
        <w:jc w:val="center"/>
        <w:rPr>
          <w:rFonts w:ascii="Courier New" w:eastAsia="Courier New" w:hAnsi="Courier New" w:cs="Courier New"/>
        </w:rPr>
      </w:pPr>
    </w:p>
    <w:p w14:paraId="00000005" w14:textId="77777777" w:rsidR="00025339" w:rsidRDefault="003E192C">
      <w:pPr>
        <w:spacing w:before="0"/>
        <w:rPr>
          <w:rFonts w:ascii="Courier New" w:eastAsia="Courier New" w:hAnsi="Courier New" w:cs="Courier New"/>
        </w:rPr>
      </w:pPr>
      <w:r>
        <w:rPr>
          <w:rFonts w:ascii="Courier New" w:eastAsia="Courier New" w:hAnsi="Courier New" w:cs="Courier New"/>
          <w:b/>
        </w:rPr>
        <w:t>FAR Section Affected: 52.236-13</w:t>
      </w:r>
    </w:p>
    <w:p w14:paraId="00000006" w14:textId="77777777" w:rsidR="00025339" w:rsidRDefault="00025339">
      <w:pPr>
        <w:spacing w:before="0"/>
        <w:rPr>
          <w:rFonts w:ascii="Courier New" w:eastAsia="Courier New" w:hAnsi="Courier New" w:cs="Courier New"/>
        </w:rPr>
      </w:pPr>
    </w:p>
    <w:p w14:paraId="00000007" w14:textId="77777777" w:rsidR="00025339" w:rsidRDefault="003E192C">
      <w:pPr>
        <w:spacing w:before="0"/>
        <w:rPr>
          <w:rFonts w:ascii="Courier New" w:eastAsia="Courier New" w:hAnsi="Courier New" w:cs="Courier New"/>
        </w:rPr>
      </w:pPr>
      <w:r>
        <w:rPr>
          <w:rFonts w:ascii="Courier New" w:eastAsia="Courier New" w:hAnsi="Courier New" w:cs="Courier New"/>
          <w:b/>
        </w:rPr>
        <w:t>A.  Justification.</w:t>
      </w:r>
    </w:p>
    <w:p w14:paraId="00000008" w14:textId="77777777" w:rsidR="00025339" w:rsidRDefault="00025339">
      <w:pPr>
        <w:spacing w:before="0"/>
        <w:rPr>
          <w:rFonts w:ascii="Courier New" w:eastAsia="Courier New" w:hAnsi="Courier New" w:cs="Courier New"/>
        </w:rPr>
      </w:pPr>
    </w:p>
    <w:p w14:paraId="00000009" w14:textId="5274D50F" w:rsidR="00025339" w:rsidRDefault="003E192C">
      <w:pPr>
        <w:numPr>
          <w:ilvl w:val="0"/>
          <w:numId w:val="1"/>
        </w:numPr>
        <w:spacing w:before="0"/>
        <w:ind w:left="-90" w:firstLine="0"/>
        <w:rPr>
          <w:rFonts w:ascii="Courier New" w:eastAsia="Courier New" w:hAnsi="Courier New" w:cs="Courier New"/>
        </w:rPr>
      </w:pPr>
      <w:r>
        <w:rPr>
          <w:rFonts w:ascii="Courier New" w:eastAsia="Courier New" w:hAnsi="Courier New" w:cs="Courier New"/>
          <w:b/>
        </w:rPr>
        <w:t>Administrative requirements</w:t>
      </w:r>
      <w:r>
        <w:rPr>
          <w:rFonts w:ascii="Courier New" w:eastAsia="Courier New" w:hAnsi="Courier New" w:cs="Courier New"/>
        </w:rPr>
        <w:t>.  The Federal Acquisition Regulation (FAR) clause at 52.236-13, Accident Prevention, requires Federal construction contractors to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w:t>
      </w:r>
      <w:r w:rsidR="00C177B5">
        <w:rPr>
          <w:rFonts w:ascii="Courier New" w:eastAsia="Courier New" w:hAnsi="Courier New" w:cs="Courier New"/>
        </w:rPr>
        <w:t xml:space="preserve">e </w:t>
      </w:r>
      <w:r>
        <w:rPr>
          <w:rFonts w:ascii="Courier New" w:eastAsia="Courier New" w:hAnsi="Courier New" w:cs="Courier New"/>
        </w:rPr>
        <w:t>contract.</w:t>
      </w:r>
    </w:p>
    <w:p w14:paraId="0000000A" w14:textId="77777777" w:rsidR="00025339" w:rsidRDefault="00025339">
      <w:pPr>
        <w:spacing w:before="0"/>
        <w:rPr>
          <w:rFonts w:ascii="Courier New" w:eastAsia="Courier New" w:hAnsi="Courier New" w:cs="Courier New"/>
        </w:rPr>
      </w:pPr>
    </w:p>
    <w:p w14:paraId="0000000B" w14:textId="77777777" w:rsidR="00025339" w:rsidRDefault="003E192C">
      <w:pPr>
        <w:spacing w:before="0"/>
        <w:rPr>
          <w:rFonts w:ascii="Courier New" w:eastAsia="Courier New" w:hAnsi="Courier New" w:cs="Courier New"/>
        </w:rPr>
      </w:pPr>
      <w:r>
        <w:rPr>
          <w:rFonts w:ascii="Courier New" w:eastAsia="Courier New" w:hAnsi="Courier New" w:cs="Courier New"/>
        </w:rPr>
        <w:t>For these purposes on contracts for construction or dismantling, demolition, or removal of improvements, the contractor is required to provide appropriate safety barricades, signs, and signal lights; comply with the standards issued by the Secretary of Labor at 29 CFR Part 1926 and 29 CFR Part 1910; and ensure that any additional measures the contracting officer determines to be reasonably necessary for the purposes are taken.</w:t>
      </w:r>
    </w:p>
    <w:p w14:paraId="33427935" w14:textId="77777777" w:rsidR="00C177B5" w:rsidRDefault="00C177B5" w:rsidP="00C177B5">
      <w:pPr>
        <w:pBdr>
          <w:top w:val="nil"/>
          <w:left w:val="nil"/>
          <w:bottom w:val="nil"/>
          <w:right w:val="nil"/>
          <w:between w:val="nil"/>
        </w:pBdr>
        <w:spacing w:before="0"/>
        <w:rPr>
          <w:rFonts w:ascii="Courier New" w:eastAsia="Courier New" w:hAnsi="Courier New" w:cs="Courier New"/>
          <w:color w:val="000000"/>
        </w:rPr>
      </w:pPr>
    </w:p>
    <w:p w14:paraId="01583793" w14:textId="3C338A34" w:rsidR="00A440D6" w:rsidRPr="00F2434E" w:rsidRDefault="00C177B5" w:rsidP="00F2434E">
      <w:pPr>
        <w:pBdr>
          <w:top w:val="nil"/>
          <w:left w:val="nil"/>
          <w:bottom w:val="nil"/>
          <w:right w:val="nil"/>
          <w:between w:val="nil"/>
        </w:pBdr>
        <w:spacing w:before="0"/>
        <w:rPr>
          <w:rFonts w:ascii="Courier New" w:eastAsia="Courier New" w:hAnsi="Courier New" w:cs="Courier New"/>
          <w:color w:val="000000"/>
        </w:rPr>
      </w:pPr>
      <w:r w:rsidRPr="00C177B5">
        <w:rPr>
          <w:rFonts w:ascii="Courier New" w:eastAsia="Courier New" w:hAnsi="Courier New" w:cs="Courier New"/>
          <w:color w:val="000000"/>
        </w:rPr>
        <w:t xml:space="preserve">Whenever the contracting officer becomes aware of any noncompliance with these requirements or any condition which poses a serious or imminent danger to health or safety, the contracting officer shall provide a notice to the contractor and request immediate corrective action.  Per FAR 36.513, the contracting officer should inform </w:t>
      </w:r>
      <w:r>
        <w:rPr>
          <w:rFonts w:ascii="Courier New" w:eastAsia="Courier New" w:hAnsi="Courier New" w:cs="Courier New"/>
          <w:color w:val="000000"/>
        </w:rPr>
        <w:t xml:space="preserve">the </w:t>
      </w:r>
      <w:r w:rsidRPr="00C177B5">
        <w:rPr>
          <w:rFonts w:ascii="Courier New" w:eastAsia="Courier New" w:hAnsi="Courier New" w:cs="Courier New"/>
          <w:color w:val="000000"/>
        </w:rPr>
        <w:t xml:space="preserve">Occupational Safety and Health </w:t>
      </w:r>
      <w:r w:rsidR="00F2434E">
        <w:rPr>
          <w:rFonts w:ascii="Courier New" w:eastAsia="Courier New" w:hAnsi="Courier New" w:cs="Courier New"/>
          <w:color w:val="000000"/>
        </w:rPr>
        <w:t xml:space="preserve">(OSH) </w:t>
      </w:r>
      <w:r w:rsidRPr="00C177B5">
        <w:rPr>
          <w:rFonts w:ascii="Courier New" w:eastAsia="Courier New" w:hAnsi="Courier New" w:cs="Courier New"/>
          <w:color w:val="000000"/>
        </w:rPr>
        <w:t>Administration</w:t>
      </w:r>
      <w:r w:rsidR="00F2434E">
        <w:rPr>
          <w:rFonts w:ascii="Courier New" w:eastAsia="Courier New" w:hAnsi="Courier New" w:cs="Courier New"/>
          <w:color w:val="000000"/>
        </w:rPr>
        <w:t xml:space="preserve"> (OSHA)</w:t>
      </w:r>
      <w:r w:rsidRPr="00C177B5">
        <w:rPr>
          <w:rFonts w:ascii="Courier New" w:eastAsia="Courier New" w:hAnsi="Courier New" w:cs="Courier New"/>
          <w:color w:val="000000"/>
        </w:rPr>
        <w:t xml:space="preserve">, or other cognizant Federal, State, or local officials, of instances where the contractor has been notified </w:t>
      </w:r>
      <w:r w:rsidRPr="00F2434E">
        <w:rPr>
          <w:rFonts w:ascii="Courier New" w:eastAsia="Courier New" w:hAnsi="Courier New" w:cs="Courier New"/>
          <w:color w:val="000000"/>
        </w:rPr>
        <w:t>to take immediate action to correct serious or imminent dangers.</w:t>
      </w:r>
      <w:r w:rsidR="00A440D6" w:rsidRPr="00F2434E">
        <w:rPr>
          <w:sz w:val="20"/>
          <w:szCs w:val="20"/>
        </w:rPr>
        <w:t xml:space="preserve"> </w:t>
      </w:r>
      <w:r w:rsidR="00A440D6" w:rsidRPr="00F2434E">
        <w:rPr>
          <w:rFonts w:ascii="Courier New" w:eastAsia="Courier New" w:hAnsi="Courier New" w:cs="Courier New"/>
          <w:color w:val="000000"/>
        </w:rPr>
        <w:t>With regard to recordkeeping, the OSH Act specifies that “[e]ach employer shall make, keep and preserve, and make available to the Secretary . . . such records . . . as the Secretary . . . may prescribe by regulation as necessary or appropriate for the enforcement of this Act . . . .” (29 U.S.C. 657(c)(1))</w:t>
      </w:r>
      <w:r w:rsidR="00F2434E" w:rsidRPr="00F2434E">
        <w:rPr>
          <w:rFonts w:ascii="Courier New" w:eastAsia="Courier New" w:hAnsi="Courier New" w:cs="Courier New"/>
          <w:color w:val="000000"/>
        </w:rPr>
        <w:t xml:space="preserve">. Accordingly, OSHA has received </w:t>
      </w:r>
      <w:r w:rsidR="00516D4A">
        <w:rPr>
          <w:rFonts w:ascii="Courier New" w:eastAsia="Courier New" w:hAnsi="Courier New" w:cs="Courier New"/>
          <w:color w:val="000000"/>
        </w:rPr>
        <w:t>the Office of Management and Budget (OMB) clearance</w:t>
      </w:r>
      <w:r w:rsidR="00F2434E" w:rsidRPr="00F2434E">
        <w:rPr>
          <w:rFonts w:ascii="Courier New" w:eastAsia="Courier New" w:hAnsi="Courier New" w:cs="Courier New"/>
          <w:color w:val="000000"/>
        </w:rPr>
        <w:t xml:space="preserve"> for a number of related OMB Control Nos.</w:t>
      </w:r>
    </w:p>
    <w:p w14:paraId="47A19ABA" w14:textId="77777777" w:rsidR="00516D4A" w:rsidRDefault="00516D4A" w:rsidP="00C177B5">
      <w:pPr>
        <w:pBdr>
          <w:top w:val="nil"/>
          <w:left w:val="nil"/>
          <w:bottom w:val="nil"/>
          <w:right w:val="nil"/>
          <w:between w:val="nil"/>
        </w:pBdr>
        <w:spacing w:before="0"/>
        <w:rPr>
          <w:rFonts w:ascii="Courier New" w:eastAsia="Courier New" w:hAnsi="Courier New" w:cs="Courier New"/>
          <w:color w:val="000000"/>
        </w:rPr>
      </w:pPr>
    </w:p>
    <w:p w14:paraId="11791F87" w14:textId="4BAC1BA7" w:rsidR="00C177B5" w:rsidRPr="00C177B5" w:rsidRDefault="00C177B5" w:rsidP="00C177B5">
      <w:pPr>
        <w:pBdr>
          <w:top w:val="nil"/>
          <w:left w:val="nil"/>
          <w:bottom w:val="nil"/>
          <w:right w:val="nil"/>
          <w:between w:val="nil"/>
        </w:pBdr>
        <w:spacing w:before="0"/>
        <w:rPr>
          <w:rFonts w:ascii="Courier New" w:eastAsia="Courier New" w:hAnsi="Courier New" w:cs="Courier New"/>
          <w:color w:val="000000"/>
        </w:rPr>
      </w:pPr>
      <w:r w:rsidRPr="00F2434E">
        <w:rPr>
          <w:rFonts w:ascii="Courier New" w:eastAsia="Courier New" w:hAnsi="Courier New" w:cs="Courier New"/>
          <w:color w:val="000000"/>
        </w:rPr>
        <w:t>When performance is on a Government facility</w:t>
      </w:r>
      <w:r w:rsidRPr="00C177B5">
        <w:rPr>
          <w:rFonts w:ascii="Courier New" w:eastAsia="Courier New" w:hAnsi="Courier New" w:cs="Courier New"/>
          <w:color w:val="000000"/>
        </w:rPr>
        <w:t xml:space="preserve"> or will involve</w:t>
      </w:r>
      <w:r w:rsidR="00F2434E">
        <w:rPr>
          <w:rFonts w:ascii="Courier New" w:eastAsia="Courier New" w:hAnsi="Courier New" w:cs="Courier New"/>
          <w:color w:val="000000"/>
        </w:rPr>
        <w:t xml:space="preserve"> </w:t>
      </w:r>
      <w:r w:rsidRPr="00C177B5">
        <w:rPr>
          <w:rFonts w:ascii="Courier New" w:eastAsia="Courier New" w:hAnsi="Courier New" w:cs="Courier New"/>
          <w:color w:val="000000"/>
        </w:rPr>
        <w:t xml:space="preserve">work of a long duration or hazardous nature, before commencing the work, the contractor must submit a written proposed plan for </w:t>
      </w:r>
      <w:r w:rsidRPr="00C177B5">
        <w:rPr>
          <w:rFonts w:ascii="Courier New" w:eastAsia="Courier New" w:hAnsi="Courier New" w:cs="Courier New"/>
          <w:color w:val="000000"/>
        </w:rPr>
        <w:lastRenderedPageBreak/>
        <w:t>implementing this clause, as required by alternate I of the clause.  The plan shall include an analysis of the significant hazards to life, limb, and property inherent in contract work performance and a plan for controlling those hazards.</w:t>
      </w:r>
    </w:p>
    <w:p w14:paraId="6EE6A01D" w14:textId="77777777" w:rsidR="00C177B5" w:rsidRDefault="00C177B5" w:rsidP="00C177B5">
      <w:pPr>
        <w:pBdr>
          <w:top w:val="nil"/>
          <w:left w:val="nil"/>
          <w:bottom w:val="nil"/>
          <w:right w:val="nil"/>
          <w:between w:val="nil"/>
        </w:pBdr>
        <w:spacing w:before="0"/>
        <w:rPr>
          <w:rFonts w:ascii="Courier New" w:eastAsia="Courier New" w:hAnsi="Courier New" w:cs="Courier New"/>
          <w:color w:val="000000"/>
        </w:rPr>
      </w:pPr>
    </w:p>
    <w:p w14:paraId="0000000D" w14:textId="2A8C5B73" w:rsidR="00025339" w:rsidRDefault="003E192C">
      <w:pPr>
        <w:spacing w:before="0"/>
        <w:rPr>
          <w:rFonts w:ascii="Courier New" w:eastAsia="Courier New" w:hAnsi="Courier New" w:cs="Courier New"/>
        </w:rPr>
      </w:pPr>
      <w:r>
        <w:rPr>
          <w:rFonts w:ascii="Courier New" w:eastAsia="Courier New" w:hAnsi="Courier New" w:cs="Courier New"/>
        </w:rPr>
        <w:t xml:space="preserve">2.  </w:t>
      </w:r>
      <w:r>
        <w:rPr>
          <w:rFonts w:ascii="Courier New" w:eastAsia="Courier New" w:hAnsi="Courier New" w:cs="Courier New"/>
          <w:b/>
        </w:rPr>
        <w:t>Use of Information.</w:t>
      </w:r>
      <w:r>
        <w:rPr>
          <w:rFonts w:ascii="Courier New" w:eastAsia="Courier New" w:hAnsi="Courier New" w:cs="Courier New"/>
        </w:rPr>
        <w:t xml:space="preserve">  The contracting officer, along with the agency safety representatives, analyzes the Accident Prevention Plan to determine if the proposed plan will meet the safety requirement and applicable statutes in compliance with standards of the Secretary of Labor. The Accident Prevention Plan is placed in the contract file for reference.</w:t>
      </w:r>
    </w:p>
    <w:p w14:paraId="0000000E" w14:textId="77777777" w:rsidR="00025339" w:rsidRDefault="003E192C">
      <w:pPr>
        <w:tabs>
          <w:tab w:val="left" w:pos="90"/>
        </w:tabs>
        <w:rPr>
          <w:rFonts w:ascii="Courier New" w:eastAsia="Courier New" w:hAnsi="Courier New" w:cs="Courier New"/>
        </w:rPr>
      </w:pPr>
      <w:r>
        <w:rPr>
          <w:rFonts w:ascii="Courier New" w:eastAsia="Courier New" w:hAnsi="Courier New" w:cs="Courier New"/>
        </w:rPr>
        <w:t xml:space="preserve">3.  </w:t>
      </w:r>
      <w:r>
        <w:rPr>
          <w:rFonts w:ascii="Courier New" w:eastAsia="Courier New" w:hAnsi="Courier New" w:cs="Courier New"/>
          <w:b/>
        </w:rPr>
        <w:t>Consideration of information technology</w:t>
      </w:r>
      <w:r>
        <w:rPr>
          <w:rFonts w:ascii="Courier New" w:eastAsia="Courier New" w:hAnsi="Courier New" w:cs="Courier New"/>
        </w:rPr>
        <w:t>.  We use improved information technology to the maximum extent practicable.  Where both the Government agency and contractors are capable of electronic interchange, the contractors may submit this information collection requirement electronically.</w:t>
      </w:r>
    </w:p>
    <w:p w14:paraId="0000000F" w14:textId="77777777" w:rsidR="00025339" w:rsidRDefault="00025339">
      <w:pPr>
        <w:spacing w:before="0"/>
        <w:rPr>
          <w:rFonts w:ascii="Courier New" w:eastAsia="Courier New" w:hAnsi="Courier New" w:cs="Courier New"/>
        </w:rPr>
      </w:pPr>
    </w:p>
    <w:p w14:paraId="00000010" w14:textId="77777777" w:rsidR="00025339" w:rsidRDefault="003E192C">
      <w:pPr>
        <w:spacing w:before="0"/>
        <w:rPr>
          <w:rFonts w:ascii="Courier New" w:eastAsia="Courier New" w:hAnsi="Courier New" w:cs="Courier New"/>
        </w:rPr>
      </w:pPr>
      <w:r>
        <w:rPr>
          <w:rFonts w:ascii="Courier New" w:eastAsia="Courier New" w:hAnsi="Courier New" w:cs="Courier New"/>
        </w:rPr>
        <w:t xml:space="preserve">4.  </w:t>
      </w:r>
      <w:r>
        <w:rPr>
          <w:rFonts w:ascii="Courier New" w:eastAsia="Courier New" w:hAnsi="Courier New" w:cs="Courier New"/>
          <w:b/>
        </w:rPr>
        <w:t>Efforts to identify duplication</w:t>
      </w:r>
      <w:r>
        <w:rPr>
          <w:rFonts w:ascii="Courier New" w:eastAsia="Courier New" w:hAnsi="Courier New" w:cs="Courier New"/>
        </w:rPr>
        <w:t>.  This requirement is being issued under the FAR, which has been developed to standardize Federal procurement practices and eliminate unnecessary duplication.</w:t>
      </w:r>
    </w:p>
    <w:p w14:paraId="00000011" w14:textId="77777777" w:rsidR="00025339" w:rsidRDefault="00025339">
      <w:pPr>
        <w:tabs>
          <w:tab w:val="left" w:pos="7920"/>
          <w:tab w:val="right" w:pos="9180"/>
        </w:tabs>
        <w:spacing w:before="0"/>
        <w:rPr>
          <w:rFonts w:ascii="Courier New" w:eastAsia="Courier New" w:hAnsi="Courier New" w:cs="Courier New"/>
        </w:rPr>
      </w:pPr>
    </w:p>
    <w:p w14:paraId="00000012" w14:textId="77777777" w:rsidR="00025339" w:rsidRDefault="003E192C">
      <w:pPr>
        <w:spacing w:before="0"/>
        <w:rPr>
          <w:rFonts w:ascii="Courier New" w:eastAsia="Courier New" w:hAnsi="Courier New" w:cs="Courier New"/>
        </w:rPr>
      </w:pPr>
      <w:r>
        <w:rPr>
          <w:rFonts w:ascii="Courier New" w:eastAsia="Courier New" w:hAnsi="Courier New" w:cs="Courier New"/>
        </w:rPr>
        <w:t xml:space="preserve">5.  </w:t>
      </w:r>
      <w:r>
        <w:rPr>
          <w:rFonts w:ascii="Courier New" w:eastAsia="Courier New" w:hAnsi="Courier New" w:cs="Courier New"/>
          <w:b/>
        </w:rPr>
        <w:t>If the collection of information impacts small businesses or other entities, describe methods used to minimize burden</w:t>
      </w:r>
      <w:r>
        <w:rPr>
          <w:rFonts w:ascii="Courier New" w:eastAsia="Courier New" w:hAnsi="Courier New" w:cs="Courier New"/>
        </w:rPr>
        <w:t>.   The burden applied to small businesses is the minimum consistent with applicable laws, Executive orders, regulations, and prudent business practices.</w:t>
      </w:r>
    </w:p>
    <w:p w14:paraId="00000013" w14:textId="77777777" w:rsidR="00025339" w:rsidRDefault="00025339">
      <w:pPr>
        <w:spacing w:before="0"/>
        <w:rPr>
          <w:rFonts w:ascii="Courier New" w:eastAsia="Courier New" w:hAnsi="Courier New" w:cs="Courier New"/>
        </w:rPr>
      </w:pPr>
    </w:p>
    <w:p w14:paraId="00000014" w14:textId="77777777" w:rsidR="00025339" w:rsidRDefault="003E192C">
      <w:pPr>
        <w:spacing w:before="0"/>
        <w:rPr>
          <w:rFonts w:ascii="Courier New" w:eastAsia="Courier New" w:hAnsi="Courier New" w:cs="Courier New"/>
        </w:rPr>
      </w:pPr>
      <w:r>
        <w:rPr>
          <w:rFonts w:ascii="Courier New" w:eastAsia="Courier New" w:hAnsi="Courier New" w:cs="Courier New"/>
        </w:rPr>
        <w:t xml:space="preserve">6.  </w:t>
      </w:r>
      <w:r>
        <w:rPr>
          <w:rFonts w:ascii="Courier New" w:eastAsia="Courier New" w:hAnsi="Courier New" w:cs="Courier New"/>
          <w:b/>
        </w:rPr>
        <w:t>Describe consequence to Federal program or policy activities if the collection is not conducted or is conducted less frequently</w:t>
      </w:r>
      <w:r>
        <w:rPr>
          <w:rFonts w:ascii="Courier New" w:eastAsia="Courier New" w:hAnsi="Courier New" w:cs="Courier New"/>
        </w:rPr>
        <w:t>.   Collection of information on a basis other than solicitation-by-solicitation is not practical.</w:t>
      </w:r>
    </w:p>
    <w:p w14:paraId="00000015" w14:textId="77777777" w:rsidR="00025339" w:rsidRDefault="00025339">
      <w:pPr>
        <w:spacing w:before="0"/>
        <w:rPr>
          <w:rFonts w:ascii="Courier New" w:eastAsia="Courier New" w:hAnsi="Courier New" w:cs="Courier New"/>
        </w:rPr>
      </w:pPr>
    </w:p>
    <w:p w14:paraId="00000016" w14:textId="77777777" w:rsidR="00025339" w:rsidRDefault="003E192C">
      <w:pPr>
        <w:spacing w:before="0"/>
        <w:rPr>
          <w:rFonts w:ascii="Courier New" w:eastAsia="Courier New" w:hAnsi="Courier New" w:cs="Courier New"/>
        </w:rPr>
      </w:pPr>
      <w:r>
        <w:rPr>
          <w:rFonts w:ascii="Courier New" w:eastAsia="Courier New" w:hAnsi="Courier New" w:cs="Courier New"/>
        </w:rPr>
        <w:t xml:space="preserve">7.  </w:t>
      </w:r>
      <w:r>
        <w:rPr>
          <w:rFonts w:ascii="Courier New" w:eastAsia="Courier New" w:hAnsi="Courier New" w:cs="Courier New"/>
          <w:b/>
        </w:rPr>
        <w:t>Special circumstances for collection</w:t>
      </w:r>
      <w:r>
        <w:rPr>
          <w:rFonts w:ascii="Courier New" w:eastAsia="Courier New" w:hAnsi="Courier New" w:cs="Courier New"/>
        </w:rPr>
        <w:t>.  Collection is consistent with guidelines in 5 CFR 1320.6.</w:t>
      </w:r>
    </w:p>
    <w:p w14:paraId="00000017" w14:textId="77777777" w:rsidR="00025339" w:rsidRDefault="00025339">
      <w:pPr>
        <w:spacing w:before="0"/>
        <w:rPr>
          <w:rFonts w:ascii="Courier New" w:eastAsia="Courier New" w:hAnsi="Courier New" w:cs="Courier New"/>
        </w:rPr>
      </w:pPr>
    </w:p>
    <w:p w14:paraId="257D14E4" w14:textId="77777777" w:rsidR="00024D41" w:rsidRDefault="003E192C" w:rsidP="00024D41">
      <w:pPr>
        <w:pStyle w:val="NormalWeb"/>
        <w:spacing w:before="0" w:beforeAutospacing="0" w:after="0" w:afterAutospacing="0"/>
      </w:pPr>
      <w:r>
        <w:rPr>
          <w:rFonts w:ascii="Courier New" w:eastAsia="Courier New" w:hAnsi="Courier New" w:cs="Courier New"/>
        </w:rPr>
        <w:t xml:space="preserve">8.  </w:t>
      </w:r>
      <w:r w:rsidR="00024D41">
        <w:rPr>
          <w:rFonts w:ascii="Courier New" w:hAnsi="Courier New" w:cs="Courier New"/>
          <w:b/>
          <w:bCs/>
          <w:color w:val="000000"/>
        </w:rPr>
        <w:t>Efforts to consult with persons outside the agency</w:t>
      </w:r>
      <w:r w:rsidR="00024D41">
        <w:rPr>
          <w:rFonts w:ascii="Courier New" w:hAnsi="Courier New" w:cs="Courier New"/>
          <w:color w:val="000000"/>
        </w:rPr>
        <w:t>.  </w:t>
      </w:r>
    </w:p>
    <w:p w14:paraId="4A97405A" w14:textId="3A04CCEF" w:rsidR="00024D41" w:rsidRDefault="00024D41" w:rsidP="00024D41">
      <w:pPr>
        <w:pStyle w:val="NormalWeb"/>
        <w:numPr>
          <w:ilvl w:val="0"/>
          <w:numId w:val="2"/>
        </w:numPr>
        <w:spacing w:before="0" w:beforeAutospacing="0" w:after="0" w:afterAutospacing="0"/>
        <w:textAlignment w:val="baseline"/>
        <w:rPr>
          <w:rFonts w:ascii="Courier New" w:hAnsi="Courier New" w:cs="Courier New"/>
          <w:color w:val="000000"/>
        </w:rPr>
      </w:pPr>
      <w:r w:rsidRPr="00024D41">
        <w:rPr>
          <w:rFonts w:ascii="Courier New" w:hAnsi="Courier New" w:cs="Courier New"/>
          <w:color w:val="000000"/>
        </w:rPr>
        <w:t>A 60</w:t>
      </w:r>
      <w:r>
        <w:rPr>
          <w:rFonts w:ascii="Courier New" w:hAnsi="Courier New" w:cs="Courier New"/>
          <w:color w:val="000000"/>
        </w:rPr>
        <w:t>-</w:t>
      </w:r>
      <w:r w:rsidRPr="00024D41">
        <w:rPr>
          <w:rFonts w:ascii="Courier New" w:hAnsi="Courier New" w:cs="Courier New"/>
          <w:color w:val="000000"/>
        </w:rPr>
        <w:t xml:space="preserve">day notice was published in the </w:t>
      </w:r>
      <w:r w:rsidRPr="00024D41">
        <w:rPr>
          <w:rFonts w:ascii="Courier New" w:hAnsi="Courier New" w:cs="Courier New"/>
          <w:i/>
          <w:iCs/>
          <w:color w:val="000000"/>
        </w:rPr>
        <w:t>Federal Register</w:t>
      </w:r>
      <w:r w:rsidRPr="00024D41">
        <w:rPr>
          <w:rFonts w:ascii="Courier New" w:hAnsi="Courier New" w:cs="Courier New"/>
          <w:color w:val="000000"/>
        </w:rPr>
        <w:t xml:space="preserve"> at 84 FR 18039, on April 29, 2019.</w:t>
      </w:r>
      <w:r>
        <w:rPr>
          <w:rFonts w:ascii="Courier New" w:hAnsi="Courier New" w:cs="Courier New"/>
          <w:color w:val="000000"/>
        </w:rPr>
        <w:t xml:space="preserve"> No comments were received.</w:t>
      </w:r>
    </w:p>
    <w:p w14:paraId="12E52995" w14:textId="77777777" w:rsidR="00024D41" w:rsidRDefault="00024D41" w:rsidP="00024D41">
      <w:pPr>
        <w:pStyle w:val="NormalWeb"/>
        <w:spacing w:before="0" w:beforeAutospacing="0" w:after="0" w:afterAutospacing="0"/>
        <w:textAlignment w:val="baseline"/>
        <w:rPr>
          <w:rFonts w:ascii="Courier New" w:hAnsi="Courier New" w:cs="Courier New"/>
          <w:color w:val="000000"/>
        </w:rPr>
      </w:pPr>
    </w:p>
    <w:p w14:paraId="554FF045" w14:textId="3DD88D76" w:rsidR="00024D41" w:rsidRPr="0019735D" w:rsidRDefault="00024D41" w:rsidP="00024D41">
      <w:pPr>
        <w:pStyle w:val="NormalWeb"/>
        <w:numPr>
          <w:ilvl w:val="0"/>
          <w:numId w:val="3"/>
        </w:numPr>
        <w:spacing w:before="0" w:beforeAutospacing="0" w:after="0" w:afterAutospacing="0"/>
        <w:textAlignment w:val="baseline"/>
        <w:rPr>
          <w:rFonts w:ascii="Courier New" w:hAnsi="Courier New" w:cs="Courier New"/>
        </w:rPr>
      </w:pPr>
      <w:r>
        <w:rPr>
          <w:rFonts w:ascii="Courier New" w:hAnsi="Courier New" w:cs="Courier New"/>
          <w:color w:val="000000"/>
        </w:rPr>
        <w:t xml:space="preserve">A 30-day notice was published in the </w:t>
      </w:r>
      <w:r>
        <w:rPr>
          <w:rFonts w:ascii="Courier New" w:hAnsi="Courier New" w:cs="Courier New"/>
          <w:i/>
          <w:iCs/>
          <w:color w:val="000000"/>
        </w:rPr>
        <w:t>Federal Register</w:t>
      </w:r>
      <w:r>
        <w:rPr>
          <w:rFonts w:ascii="Courier New" w:hAnsi="Courier New" w:cs="Courier New"/>
          <w:color w:val="000000"/>
        </w:rPr>
        <w:t xml:space="preserve"> at </w:t>
      </w:r>
      <w:r w:rsidR="0019735D" w:rsidRPr="0019735D">
        <w:rPr>
          <w:rFonts w:ascii="Courier New" w:hAnsi="Courier New" w:cs="Courier New"/>
        </w:rPr>
        <w:t>84</w:t>
      </w:r>
      <w:r w:rsidRPr="0019735D">
        <w:rPr>
          <w:rFonts w:ascii="Courier New" w:hAnsi="Courier New" w:cs="Courier New"/>
        </w:rPr>
        <w:t xml:space="preserve"> FR </w:t>
      </w:r>
      <w:r w:rsidR="0019735D" w:rsidRPr="0019735D">
        <w:rPr>
          <w:rFonts w:ascii="Courier New" w:hAnsi="Courier New" w:cs="Courier New"/>
        </w:rPr>
        <w:t xml:space="preserve">34894 on July 19, 2019. </w:t>
      </w:r>
    </w:p>
    <w:p w14:paraId="554FF6A4" w14:textId="77777777" w:rsidR="00024D41" w:rsidRPr="0019735D" w:rsidRDefault="00024D41" w:rsidP="00024D41">
      <w:pPr>
        <w:pStyle w:val="NormalWeb"/>
        <w:spacing w:before="0" w:beforeAutospacing="0" w:after="0" w:afterAutospacing="0"/>
        <w:textAlignment w:val="baseline"/>
        <w:rPr>
          <w:rFonts w:ascii="Courier New" w:hAnsi="Courier New" w:cs="Courier New"/>
        </w:rPr>
      </w:pPr>
    </w:p>
    <w:p w14:paraId="0000001A" w14:textId="77777777" w:rsidR="00025339" w:rsidRDefault="003E192C">
      <w:pPr>
        <w:spacing w:before="0"/>
        <w:rPr>
          <w:rFonts w:ascii="Courier New" w:eastAsia="Courier New" w:hAnsi="Courier New" w:cs="Courier New"/>
        </w:rPr>
      </w:pPr>
      <w:r>
        <w:rPr>
          <w:rFonts w:ascii="Courier New" w:eastAsia="Courier New" w:hAnsi="Courier New" w:cs="Courier New"/>
        </w:rPr>
        <w:lastRenderedPageBreak/>
        <w:t xml:space="preserve">9.  </w:t>
      </w:r>
      <w:r>
        <w:rPr>
          <w:rFonts w:ascii="Courier New" w:eastAsia="Courier New" w:hAnsi="Courier New" w:cs="Courier New"/>
          <w:b/>
        </w:rPr>
        <w:t>Explanation of any decision to provide any payment or gift to respondents, other than remuneration of contractors or grantees</w:t>
      </w:r>
      <w:r>
        <w:rPr>
          <w:rFonts w:ascii="Courier New" w:eastAsia="Courier New" w:hAnsi="Courier New" w:cs="Courier New"/>
        </w:rPr>
        <w:t>.  Not applicable.</w:t>
      </w:r>
    </w:p>
    <w:p w14:paraId="0000001B" w14:textId="77777777" w:rsidR="00025339" w:rsidRDefault="00025339">
      <w:pPr>
        <w:spacing w:before="0"/>
        <w:rPr>
          <w:rFonts w:ascii="Courier New" w:eastAsia="Courier New" w:hAnsi="Courier New" w:cs="Courier New"/>
        </w:rPr>
      </w:pPr>
    </w:p>
    <w:p w14:paraId="0000001C" w14:textId="77777777" w:rsidR="00025339" w:rsidRDefault="003E192C">
      <w:pPr>
        <w:spacing w:before="0"/>
        <w:rPr>
          <w:rFonts w:ascii="Courier New" w:eastAsia="Courier New" w:hAnsi="Courier New" w:cs="Courier New"/>
        </w:rPr>
      </w:pPr>
      <w:r>
        <w:rPr>
          <w:rFonts w:ascii="Courier New" w:eastAsia="Courier New" w:hAnsi="Courier New" w:cs="Courier New"/>
        </w:rPr>
        <w:t xml:space="preserve">10.  </w:t>
      </w:r>
      <w:r>
        <w:rPr>
          <w:rFonts w:ascii="Courier New" w:eastAsia="Courier New" w:hAnsi="Courier New" w:cs="Courier New"/>
          <w:b/>
        </w:rPr>
        <w:t>Describe assurance of confidentiality provided to respondents.</w:t>
      </w:r>
      <w:r>
        <w:rPr>
          <w:rFonts w:ascii="Courier New" w:eastAsia="Courier New" w:hAnsi="Courier New" w:cs="Courier New"/>
        </w:rPr>
        <w:t xml:space="preserve"> This information is disclosed only to the extent consistent with prudent business practices and current regulations.</w:t>
      </w:r>
    </w:p>
    <w:p w14:paraId="0000001D" w14:textId="77777777" w:rsidR="00025339" w:rsidRDefault="00025339">
      <w:pPr>
        <w:spacing w:before="0"/>
        <w:rPr>
          <w:rFonts w:ascii="Courier New" w:eastAsia="Courier New" w:hAnsi="Courier New" w:cs="Courier New"/>
        </w:rPr>
      </w:pPr>
    </w:p>
    <w:p w14:paraId="0000001E" w14:textId="77777777" w:rsidR="00025339" w:rsidRDefault="003E192C">
      <w:pPr>
        <w:spacing w:before="0"/>
        <w:rPr>
          <w:rFonts w:ascii="Courier New" w:eastAsia="Courier New" w:hAnsi="Courier New" w:cs="Courier New"/>
        </w:rPr>
      </w:pPr>
      <w:r>
        <w:rPr>
          <w:rFonts w:ascii="Courier New" w:eastAsia="Courier New" w:hAnsi="Courier New" w:cs="Courier New"/>
        </w:rPr>
        <w:t xml:space="preserve">11.  </w:t>
      </w:r>
      <w:r>
        <w:rPr>
          <w:rFonts w:ascii="Courier New" w:eastAsia="Courier New" w:hAnsi="Courier New" w:cs="Courier New"/>
          <w:b/>
        </w:rPr>
        <w:t>Additional justification for questions of a sensitive nature</w:t>
      </w:r>
      <w:r>
        <w:rPr>
          <w:rFonts w:ascii="Courier New" w:eastAsia="Courier New" w:hAnsi="Courier New" w:cs="Courier New"/>
        </w:rPr>
        <w:t>.  No sensitive questions are involved.</w:t>
      </w:r>
    </w:p>
    <w:p w14:paraId="0000001F" w14:textId="77777777" w:rsidR="00025339" w:rsidRDefault="00025339">
      <w:pPr>
        <w:tabs>
          <w:tab w:val="left" w:pos="7740"/>
          <w:tab w:val="right" w:pos="9270"/>
        </w:tabs>
        <w:spacing w:before="0"/>
        <w:rPr>
          <w:rFonts w:ascii="Courier New" w:eastAsia="Courier New" w:hAnsi="Courier New" w:cs="Courier New"/>
        </w:rPr>
      </w:pPr>
    </w:p>
    <w:p w14:paraId="00000020" w14:textId="207747C5" w:rsidR="00025339" w:rsidRDefault="003E192C">
      <w:pPr>
        <w:spacing w:before="0"/>
        <w:rPr>
          <w:rFonts w:ascii="Courier New" w:eastAsia="Courier New" w:hAnsi="Courier New" w:cs="Courier New"/>
        </w:rPr>
      </w:pPr>
      <w:r>
        <w:rPr>
          <w:rFonts w:ascii="Courier New" w:eastAsia="Courier New" w:hAnsi="Courier New" w:cs="Courier New"/>
        </w:rPr>
        <w:t xml:space="preserve">12 &amp; 13.  (a) </w:t>
      </w:r>
      <w:r>
        <w:rPr>
          <w:rFonts w:ascii="Courier New" w:eastAsia="Courier New" w:hAnsi="Courier New" w:cs="Courier New"/>
          <w:b/>
        </w:rPr>
        <w:t>Estimated total annual public hour and cost burden.</w:t>
      </w:r>
      <w:r>
        <w:rPr>
          <w:rFonts w:ascii="Courier New" w:eastAsia="Courier New" w:hAnsi="Courier New" w:cs="Courier New"/>
        </w:rPr>
        <w:t xml:space="preserve">    Federal Procurement Data System (FPDS) data shows that </w:t>
      </w:r>
      <w:r w:rsidR="00DC3297">
        <w:rPr>
          <w:rFonts w:ascii="Courier New" w:eastAsia="Courier New" w:hAnsi="Courier New" w:cs="Courier New"/>
        </w:rPr>
        <w:t>4,282</w:t>
      </w:r>
      <w:r>
        <w:rPr>
          <w:rFonts w:ascii="Courier New" w:eastAsia="Courier New" w:hAnsi="Courier New" w:cs="Courier New"/>
        </w:rPr>
        <w:t xml:space="preserve"> new fixed-price construction contracts valued over the simplified acquisition threshold ($250,000*) were awarded to </w:t>
      </w:r>
      <w:r w:rsidR="00DC3297">
        <w:rPr>
          <w:rFonts w:ascii="Courier New" w:eastAsia="Courier New" w:hAnsi="Courier New" w:cs="Courier New"/>
        </w:rPr>
        <w:t xml:space="preserve">2,413 </w:t>
      </w:r>
      <w:r>
        <w:rPr>
          <w:rFonts w:ascii="Courier New" w:eastAsia="Courier New" w:hAnsi="Courier New" w:cs="Courier New"/>
        </w:rPr>
        <w:t>unique vendors for Fiscal Year 2018.</w:t>
      </w:r>
      <w:r w:rsidR="004875AC">
        <w:rPr>
          <w:rFonts w:ascii="Courier New" w:eastAsia="Courier New" w:hAnsi="Courier New" w:cs="Courier New"/>
        </w:rPr>
        <w:t xml:space="preserve"> </w:t>
      </w:r>
      <w:r w:rsidR="00DC3297" w:rsidRPr="00DC3297">
        <w:rPr>
          <w:rFonts w:ascii="Courier New" w:eastAsia="Courier New" w:hAnsi="Courier New" w:cs="Courier New"/>
        </w:rPr>
        <w:t xml:space="preserve">Of the 4,282 contract awards, approximately 70% (or 2,975) are under $5 million and likely represent less complicated and low-risk construction requirements, some of which may be performed on a Government facility, but that may not require a plan (4,282-2,975= 1,307).  It is estimated that approximately 50% of these awards greater than $5 million could meet the clause requirements and be required to submit a plan (1,307 * .5 = 653 responses, or plans, required) from potentially 724 vendors (2,413 unique vendors * 30% (vendors with contracts greater than $5M) = 724).  It is estimated that approximately half of these 724 vendors, or 362, may be required to submit an accident prevention plan for the approximately 653 contracts.  Based on consultation with subject matter experts that procure such services, the time required to read and prepare information, and submit an accident prevention plan is </w:t>
      </w:r>
      <w:r w:rsidR="007B7D6F">
        <w:rPr>
          <w:rFonts w:ascii="Courier New" w:eastAsia="Courier New" w:hAnsi="Courier New" w:cs="Courier New"/>
        </w:rPr>
        <w:t xml:space="preserve">historically </w:t>
      </w:r>
      <w:r w:rsidR="00DC3297" w:rsidRPr="00DC3297">
        <w:rPr>
          <w:rFonts w:ascii="Courier New" w:eastAsia="Courier New" w:hAnsi="Courier New" w:cs="Courier New"/>
        </w:rPr>
        <w:t>estimated at 22 hours.</w:t>
      </w:r>
      <w:r>
        <w:rPr>
          <w:rFonts w:ascii="Courier New" w:eastAsia="Courier New" w:hAnsi="Courier New" w:cs="Courier New"/>
        </w:rPr>
        <w:t xml:space="preserve"> </w:t>
      </w:r>
    </w:p>
    <w:p w14:paraId="00000021" w14:textId="77777777" w:rsidR="00025339" w:rsidRDefault="00025339">
      <w:pPr>
        <w:tabs>
          <w:tab w:val="left" w:pos="7740"/>
          <w:tab w:val="right" w:pos="9270"/>
        </w:tabs>
        <w:spacing w:before="0"/>
        <w:rPr>
          <w:rFonts w:ascii="Courier New" w:eastAsia="Courier New" w:hAnsi="Courier New" w:cs="Courier New"/>
        </w:rPr>
      </w:pPr>
    </w:p>
    <w:p w14:paraId="00000022" w14:textId="77777777"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b/>
        </w:rPr>
        <w:t>*The National Defense Authorization Act for Fiscal Year 2018 (NDAA FY18) (Public Law 115-91) (Section 805) increased the simplified acquisition threshold to $250,000. FAR Case 2018-004 was opened to implement the appropriate statutory changes in the FAR that are compelled by section 805 of the NDAA FY18. However, 23 agencies have issued deviations and governmentwide systems have already been updated to use the new threshold ahead of the FAR.</w:t>
      </w:r>
    </w:p>
    <w:p w14:paraId="00000023" w14:textId="77777777" w:rsidR="00025339" w:rsidRDefault="00025339">
      <w:pPr>
        <w:tabs>
          <w:tab w:val="left" w:pos="7740"/>
          <w:tab w:val="right" w:pos="9270"/>
        </w:tabs>
        <w:spacing w:before="0"/>
        <w:rPr>
          <w:rFonts w:ascii="Courier New" w:eastAsia="Courier New" w:hAnsi="Courier New" w:cs="Courier New"/>
        </w:rPr>
      </w:pPr>
    </w:p>
    <w:p w14:paraId="00000024" w14:textId="44CF55B1"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rPr>
        <w:t xml:space="preserve">Estimated respondents/yr............................. </w:t>
      </w:r>
      <w:r w:rsidR="004875AC">
        <w:rPr>
          <w:rFonts w:ascii="Courier New" w:eastAsia="Courier New" w:hAnsi="Courier New" w:cs="Courier New"/>
        </w:rPr>
        <w:t xml:space="preserve"> 362</w:t>
      </w:r>
    </w:p>
    <w:p w14:paraId="00000025" w14:textId="77777777" w:rsidR="00025339" w:rsidRDefault="003E192C">
      <w:pPr>
        <w:tabs>
          <w:tab w:val="left" w:pos="7740"/>
          <w:tab w:val="left" w:pos="7920"/>
          <w:tab w:val="right" w:pos="9270"/>
        </w:tabs>
        <w:spacing w:before="0"/>
        <w:rPr>
          <w:rFonts w:ascii="Courier New" w:eastAsia="Courier New" w:hAnsi="Courier New" w:cs="Courier New"/>
          <w:u w:val="single"/>
        </w:rPr>
      </w:pPr>
      <w:r>
        <w:rPr>
          <w:rFonts w:ascii="Courier New" w:eastAsia="Courier New" w:hAnsi="Courier New" w:cs="Courier New"/>
        </w:rPr>
        <w:t>Responses per respondent/year</w:t>
      </w:r>
      <w:r>
        <w:rPr>
          <w:rFonts w:ascii="Courier New" w:eastAsia="Courier New" w:hAnsi="Courier New" w:cs="Courier New"/>
        </w:rPr>
        <w:tab/>
        <w:t xml:space="preserve"> </w:t>
      </w:r>
      <w:r>
        <w:rPr>
          <w:rFonts w:ascii="Courier New" w:eastAsia="Courier New" w:hAnsi="Courier New" w:cs="Courier New"/>
          <w:u w:val="single"/>
        </w:rPr>
        <w:t>x 1</w:t>
      </w:r>
    </w:p>
    <w:p w14:paraId="00000026" w14:textId="2DF4167E"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rPr>
        <w:t xml:space="preserve">Total responses/year................................. </w:t>
      </w:r>
      <w:r w:rsidR="004875AC">
        <w:rPr>
          <w:rFonts w:ascii="Courier New" w:eastAsia="Courier New" w:hAnsi="Courier New" w:cs="Courier New"/>
        </w:rPr>
        <w:t xml:space="preserve"> 362</w:t>
      </w:r>
    </w:p>
    <w:p w14:paraId="00000027" w14:textId="77777777" w:rsidR="00025339" w:rsidRDefault="003E192C">
      <w:pPr>
        <w:tabs>
          <w:tab w:val="left" w:pos="7740"/>
          <w:tab w:val="left" w:pos="7920"/>
          <w:tab w:val="right" w:pos="9270"/>
        </w:tabs>
        <w:spacing w:before="0"/>
        <w:rPr>
          <w:rFonts w:ascii="Courier New" w:eastAsia="Courier New" w:hAnsi="Courier New" w:cs="Courier New"/>
        </w:rPr>
      </w:pPr>
      <w:r>
        <w:rPr>
          <w:rFonts w:ascii="Courier New" w:eastAsia="Courier New" w:hAnsi="Courier New" w:cs="Courier New"/>
        </w:rPr>
        <w:t>Estimated hrs/response...............................</w:t>
      </w:r>
      <w:r>
        <w:rPr>
          <w:rFonts w:ascii="Courier New" w:eastAsia="Courier New" w:hAnsi="Courier New" w:cs="Courier New"/>
          <w:u w:val="single"/>
        </w:rPr>
        <w:t>x  22</w:t>
      </w:r>
    </w:p>
    <w:p w14:paraId="00000028" w14:textId="2F865D2F"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rPr>
        <w:t xml:space="preserve">Estimated total burden hrs.......................... </w:t>
      </w:r>
      <w:r w:rsidR="004875AC">
        <w:rPr>
          <w:rFonts w:ascii="Courier New" w:eastAsia="Courier New" w:hAnsi="Courier New" w:cs="Courier New"/>
        </w:rPr>
        <w:t>7,964</w:t>
      </w:r>
    </w:p>
    <w:p w14:paraId="00000029" w14:textId="77777777" w:rsidR="00025339" w:rsidRDefault="003E192C">
      <w:pPr>
        <w:tabs>
          <w:tab w:val="left" w:pos="7740"/>
          <w:tab w:val="right" w:pos="9270"/>
        </w:tabs>
        <w:spacing w:before="0"/>
        <w:rPr>
          <w:rFonts w:ascii="Courier New" w:eastAsia="Courier New" w:hAnsi="Courier New" w:cs="Courier New"/>
          <w:u w:val="single"/>
        </w:rPr>
      </w:pPr>
      <w:r>
        <w:rPr>
          <w:rFonts w:ascii="Courier New" w:eastAsia="Courier New" w:hAnsi="Courier New" w:cs="Courier New"/>
        </w:rPr>
        <w:t>Hourly rate</w:t>
      </w:r>
      <w:r w:rsidRPr="00F02B90">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u w:val="single"/>
        </w:rPr>
        <w:t>x $46</w:t>
      </w:r>
    </w:p>
    <w:p w14:paraId="0000002A" w14:textId="362D6EE3"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rPr>
        <w:t>Estimated cost to public ........................$</w:t>
      </w:r>
      <w:r w:rsidR="004875AC">
        <w:rPr>
          <w:rFonts w:ascii="Courier New" w:eastAsia="Courier New" w:hAnsi="Courier New" w:cs="Courier New"/>
        </w:rPr>
        <w:t xml:space="preserve"> 366</w:t>
      </w:r>
      <w:r>
        <w:rPr>
          <w:rFonts w:ascii="Courier New" w:eastAsia="Courier New" w:hAnsi="Courier New" w:cs="Courier New"/>
        </w:rPr>
        <w:t>,</w:t>
      </w:r>
      <w:r w:rsidR="004875AC">
        <w:rPr>
          <w:rFonts w:ascii="Courier New" w:eastAsia="Courier New" w:hAnsi="Courier New" w:cs="Courier New"/>
        </w:rPr>
        <w:t>344</w:t>
      </w:r>
    </w:p>
    <w:p w14:paraId="00000032" w14:textId="77777777" w:rsidR="00025339" w:rsidRDefault="00025339">
      <w:pPr>
        <w:tabs>
          <w:tab w:val="left" w:pos="7740"/>
          <w:tab w:val="right" w:pos="9270"/>
        </w:tabs>
        <w:spacing w:before="0"/>
        <w:rPr>
          <w:rFonts w:ascii="Courier New" w:eastAsia="Courier New" w:hAnsi="Courier New" w:cs="Courier New"/>
          <w:b/>
        </w:rPr>
      </w:pPr>
    </w:p>
    <w:p w14:paraId="00000033" w14:textId="0CDB8EC5"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b/>
        </w:rPr>
        <w:t>**The hourly wage is based on OMB Circular A-76 guidance for quantifying the cost of efforts, includes: (1) the complexity level; and (2) a 36.25% fringe and overhead burden rate, the one mandated by OMB memorandum M-08-13 for use in public-private competition, as updated by OMB for the current year.  Reference Salary Table 201</w:t>
      </w:r>
      <w:r w:rsidR="008F6E78">
        <w:rPr>
          <w:rFonts w:ascii="Courier New" w:eastAsia="Courier New" w:hAnsi="Courier New" w:cs="Courier New"/>
          <w:b/>
        </w:rPr>
        <w:t>9</w:t>
      </w:r>
      <w:r>
        <w:rPr>
          <w:rFonts w:ascii="Courier New" w:eastAsia="Courier New" w:hAnsi="Courier New" w:cs="Courier New"/>
          <w:b/>
        </w:rPr>
        <w:t>-RUS, Effective January 201</w:t>
      </w:r>
      <w:r w:rsidR="008F6E78">
        <w:rPr>
          <w:rFonts w:ascii="Courier New" w:eastAsia="Courier New" w:hAnsi="Courier New" w:cs="Courier New"/>
          <w:b/>
        </w:rPr>
        <w:t>9</w:t>
      </w:r>
      <w:r>
        <w:rPr>
          <w:rFonts w:ascii="Courier New" w:eastAsia="Courier New" w:hAnsi="Courier New" w:cs="Courier New"/>
          <w:b/>
        </w:rPr>
        <w:t xml:space="preserve">, found at </w:t>
      </w:r>
      <w:hyperlink r:id="rId8">
        <w:r>
          <w:rPr>
            <w:rFonts w:ascii="Courier New" w:eastAsia="Courier New" w:hAnsi="Courier New" w:cs="Courier New"/>
            <w:b/>
            <w:color w:val="0000FF"/>
            <w:u w:val="single"/>
          </w:rPr>
          <w:t>www.opm.gov</w:t>
        </w:r>
      </w:hyperlink>
      <w:r>
        <w:rPr>
          <w:rFonts w:ascii="Courier New" w:eastAsia="Courier New" w:hAnsi="Courier New" w:cs="Courier New"/>
          <w:b/>
        </w:rPr>
        <w:t>.</w:t>
      </w:r>
    </w:p>
    <w:p w14:paraId="00000034" w14:textId="2ED24B85"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b/>
        </w:rPr>
        <w:t>The average hourly wage based on the complexity level deemed to be at the OPM GS-11/step 5 level ($33.80/hour) plus 36.25%, rounded to the</w:t>
      </w:r>
      <w:r w:rsidR="0036472C">
        <w:rPr>
          <w:rFonts w:ascii="Courier New" w:eastAsia="Courier New" w:hAnsi="Courier New" w:cs="Courier New"/>
          <w:b/>
        </w:rPr>
        <w:t xml:space="preserve"> nearest dollar, or $46 an hour. The estimated cost per response is $1,012.</w:t>
      </w:r>
    </w:p>
    <w:p w14:paraId="00000035" w14:textId="77777777" w:rsidR="00025339" w:rsidRDefault="00025339">
      <w:pPr>
        <w:tabs>
          <w:tab w:val="left" w:pos="7740"/>
          <w:tab w:val="right" w:pos="9270"/>
        </w:tabs>
        <w:spacing w:before="0"/>
        <w:rPr>
          <w:rFonts w:ascii="Courier New" w:eastAsia="Courier New" w:hAnsi="Courier New" w:cs="Courier New"/>
        </w:rPr>
      </w:pPr>
    </w:p>
    <w:p w14:paraId="00000036" w14:textId="77777777" w:rsidR="00025339" w:rsidRDefault="003E192C">
      <w:pPr>
        <w:spacing w:before="0"/>
        <w:rPr>
          <w:rFonts w:ascii="Courier New" w:eastAsia="Courier New" w:hAnsi="Courier New" w:cs="Courier New"/>
        </w:rPr>
      </w:pPr>
      <w:r>
        <w:rPr>
          <w:rFonts w:ascii="Courier New" w:eastAsia="Courier New" w:hAnsi="Courier New" w:cs="Courier New"/>
        </w:rPr>
        <w:t xml:space="preserve">14.  </w:t>
      </w:r>
      <w:r>
        <w:rPr>
          <w:rFonts w:ascii="Courier New" w:eastAsia="Courier New" w:hAnsi="Courier New" w:cs="Courier New"/>
          <w:b/>
        </w:rPr>
        <w:t>Estimated cost to the Government</w:t>
      </w:r>
      <w:r>
        <w:rPr>
          <w:rFonts w:ascii="Courier New" w:eastAsia="Courier New" w:hAnsi="Courier New" w:cs="Courier New"/>
        </w:rPr>
        <w:t>.  Time required for Government review of an accident prevention plan is estimated at 1 hour.</w:t>
      </w:r>
    </w:p>
    <w:p w14:paraId="00000037" w14:textId="77777777" w:rsidR="00025339" w:rsidRDefault="00025339">
      <w:pPr>
        <w:spacing w:before="0"/>
        <w:rPr>
          <w:rFonts w:ascii="Courier New" w:eastAsia="Courier New" w:hAnsi="Courier New" w:cs="Courier New"/>
        </w:rPr>
      </w:pPr>
    </w:p>
    <w:p w14:paraId="00000038" w14:textId="00973D25"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rPr>
        <w:t xml:space="preserve">Estimated responses/yr..............................  </w:t>
      </w:r>
      <w:r w:rsidR="00F02B90">
        <w:rPr>
          <w:rFonts w:ascii="Courier New" w:eastAsia="Courier New" w:hAnsi="Courier New" w:cs="Courier New"/>
        </w:rPr>
        <w:t xml:space="preserve"> </w:t>
      </w:r>
      <w:r w:rsidR="009D1194">
        <w:rPr>
          <w:rFonts w:ascii="Courier New" w:eastAsia="Courier New" w:hAnsi="Courier New" w:cs="Courier New"/>
        </w:rPr>
        <w:t>653</w:t>
      </w:r>
    </w:p>
    <w:p w14:paraId="00000039" w14:textId="77777777" w:rsidR="00025339" w:rsidRDefault="003E192C">
      <w:pPr>
        <w:tabs>
          <w:tab w:val="left" w:pos="7740"/>
          <w:tab w:val="left" w:pos="7920"/>
          <w:tab w:val="right" w:pos="9270"/>
        </w:tabs>
        <w:spacing w:before="0"/>
        <w:rPr>
          <w:rFonts w:ascii="Courier New" w:eastAsia="Courier New" w:hAnsi="Courier New" w:cs="Courier New"/>
        </w:rPr>
      </w:pPr>
      <w:r>
        <w:rPr>
          <w:rFonts w:ascii="Courier New" w:eastAsia="Courier New" w:hAnsi="Courier New" w:cs="Courier New"/>
        </w:rPr>
        <w:t>Reviewing time (hr)/response</w:t>
      </w:r>
      <w:r>
        <w:rPr>
          <w:rFonts w:ascii="Courier New" w:eastAsia="Courier New" w:hAnsi="Courier New" w:cs="Courier New"/>
        </w:rPr>
        <w:tab/>
      </w:r>
      <w:r>
        <w:rPr>
          <w:rFonts w:ascii="Courier New" w:eastAsia="Courier New" w:hAnsi="Courier New" w:cs="Courier New"/>
          <w:u w:val="single"/>
        </w:rPr>
        <w:t>x  1</w:t>
      </w:r>
    </w:p>
    <w:p w14:paraId="0000003A" w14:textId="5561F531"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rPr>
        <w:t xml:space="preserve">Review time/yr....................................    </w:t>
      </w:r>
      <w:r w:rsidR="00F02B90">
        <w:rPr>
          <w:rFonts w:ascii="Courier New" w:eastAsia="Courier New" w:hAnsi="Courier New" w:cs="Courier New"/>
        </w:rPr>
        <w:t xml:space="preserve"> </w:t>
      </w:r>
      <w:r w:rsidR="009D1194">
        <w:rPr>
          <w:rFonts w:ascii="Courier New" w:eastAsia="Courier New" w:hAnsi="Courier New" w:cs="Courier New"/>
        </w:rPr>
        <w:t>653</w:t>
      </w:r>
    </w:p>
    <w:p w14:paraId="0000003B" w14:textId="2183AB3B"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rPr>
        <w:t>Hourly rate</w:t>
      </w:r>
      <w:r w:rsidRPr="00F02B90">
        <w:rPr>
          <w:rFonts w:ascii="Courier New" w:eastAsia="Courier New" w:hAnsi="Courier New" w:cs="Courier New"/>
          <w:b/>
        </w:rPr>
        <w:t>**</w:t>
      </w:r>
      <w:r>
        <w:rPr>
          <w:rFonts w:ascii="Courier New" w:eastAsia="Courier New" w:hAnsi="Courier New" w:cs="Courier New"/>
        </w:rPr>
        <w:t>.........</w:t>
      </w:r>
      <w:r w:rsidR="00F02B90">
        <w:rPr>
          <w:rFonts w:ascii="Courier New" w:eastAsia="Courier New" w:hAnsi="Courier New" w:cs="Courier New"/>
        </w:rPr>
        <w:t>..............................  x$</w:t>
      </w:r>
      <w:r>
        <w:rPr>
          <w:rFonts w:ascii="Courier New" w:eastAsia="Courier New" w:hAnsi="Courier New" w:cs="Courier New"/>
          <w:u w:val="single"/>
        </w:rPr>
        <w:t>46</w:t>
      </w:r>
    </w:p>
    <w:p w14:paraId="0000003C" w14:textId="4E626099" w:rsidR="00025339" w:rsidRDefault="003E192C">
      <w:pPr>
        <w:spacing w:before="0"/>
        <w:rPr>
          <w:rFonts w:ascii="Courier New" w:eastAsia="Courier New" w:hAnsi="Courier New" w:cs="Courier New"/>
        </w:rPr>
      </w:pPr>
      <w:r>
        <w:rPr>
          <w:rFonts w:ascii="Courier New" w:eastAsia="Courier New" w:hAnsi="Courier New" w:cs="Courier New"/>
        </w:rPr>
        <w:t>Estimated cost to the Government............       $</w:t>
      </w:r>
      <w:r w:rsidR="009D1194">
        <w:rPr>
          <w:rFonts w:ascii="Courier New" w:eastAsia="Courier New" w:hAnsi="Courier New" w:cs="Courier New"/>
        </w:rPr>
        <w:t>30,038</w:t>
      </w:r>
    </w:p>
    <w:p w14:paraId="0000003D" w14:textId="77777777" w:rsidR="00025339" w:rsidRDefault="00025339">
      <w:pPr>
        <w:spacing w:before="0"/>
        <w:jc w:val="center"/>
        <w:rPr>
          <w:rFonts w:ascii="Courier New" w:eastAsia="Courier New" w:hAnsi="Courier New" w:cs="Courier New"/>
        </w:rPr>
      </w:pPr>
    </w:p>
    <w:p w14:paraId="00000048" w14:textId="39AF0804"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b/>
        </w:rPr>
        <w:t>15.  Explain reasons for program changes or adjustments reported in Item 13 or 14.</w:t>
      </w:r>
      <w:r>
        <w:rPr>
          <w:rFonts w:ascii="Courier New" w:eastAsia="Courier New" w:hAnsi="Courier New" w:cs="Courier New"/>
        </w:rPr>
        <w:t xml:space="preserve">  The increase of responses from 215 to </w:t>
      </w:r>
      <w:r w:rsidR="00E224E9">
        <w:rPr>
          <w:rFonts w:ascii="Courier New" w:eastAsia="Courier New" w:hAnsi="Courier New" w:cs="Courier New"/>
        </w:rPr>
        <w:t>362</w:t>
      </w:r>
      <w:r>
        <w:rPr>
          <w:rFonts w:ascii="Courier New" w:eastAsia="Courier New" w:hAnsi="Courier New" w:cs="Courier New"/>
        </w:rPr>
        <w:t xml:space="preserve"> and the associated increase in estimated burden hours from 4,730 to </w:t>
      </w:r>
      <w:r w:rsidR="00E224E9">
        <w:rPr>
          <w:rFonts w:ascii="Courier New" w:eastAsia="Courier New" w:hAnsi="Courier New" w:cs="Courier New"/>
        </w:rPr>
        <w:t>7,964</w:t>
      </w:r>
      <w:r>
        <w:rPr>
          <w:rFonts w:ascii="Courier New" w:eastAsia="Courier New" w:hAnsi="Courier New" w:cs="Courier New"/>
        </w:rPr>
        <w:t xml:space="preserve"> hours is an adjustment due to the assumptions made for the estimate. The previously used FPDS data was limited to a number of Product and Service Code (PSC) construction codes. However, the rationale to use such a limited number of PSC construction codes was not clear. </w:t>
      </w:r>
      <w:r w:rsidR="00E224E9">
        <w:rPr>
          <w:rFonts w:ascii="Courier New" w:eastAsia="Courier New" w:hAnsi="Courier New" w:cs="Courier New"/>
        </w:rPr>
        <w:t>W</w:t>
      </w:r>
      <w:r>
        <w:rPr>
          <w:rFonts w:ascii="Courier New" w:eastAsia="Courier New" w:hAnsi="Courier New" w:cs="Courier New"/>
        </w:rPr>
        <w:t xml:space="preserve">e have adjusted the estimate </w:t>
      </w:r>
      <w:r w:rsidR="00BA7AD2">
        <w:rPr>
          <w:rFonts w:ascii="Courier New" w:eastAsia="Courier New" w:hAnsi="Courier New" w:cs="Courier New"/>
        </w:rPr>
        <w:t xml:space="preserve">based on a baseline of </w:t>
      </w:r>
      <w:r>
        <w:rPr>
          <w:rFonts w:ascii="Courier New" w:eastAsia="Courier New" w:hAnsi="Courier New" w:cs="Courier New"/>
        </w:rPr>
        <w:t xml:space="preserve">new fixed-price construction contracts valued over </w:t>
      </w:r>
      <w:r w:rsidR="00E224E9" w:rsidRPr="00621D47">
        <w:rPr>
          <w:rFonts w:ascii="Courier New" w:eastAsia="Courier New" w:hAnsi="Courier New" w:cs="Courier New"/>
        </w:rPr>
        <w:t>$5 million</w:t>
      </w:r>
      <w:r w:rsidRPr="00621D47">
        <w:rPr>
          <w:rFonts w:ascii="Courier New" w:eastAsia="Courier New" w:hAnsi="Courier New" w:cs="Courier New"/>
        </w:rPr>
        <w:t>.</w:t>
      </w:r>
      <w:r w:rsidR="00615F4D" w:rsidRPr="00621D47">
        <w:rPr>
          <w:rFonts w:ascii="Courier New" w:eastAsia="Courier New" w:hAnsi="Courier New" w:cs="Courier New"/>
        </w:rPr>
        <w:t xml:space="preserve"> We also recognized that there are no recordkeeping requirements imposed by the FAR</w:t>
      </w:r>
      <w:r w:rsidR="00516D4A">
        <w:rPr>
          <w:rFonts w:ascii="Courier New" w:eastAsia="Courier New" w:hAnsi="Courier New" w:cs="Courier New"/>
        </w:rPr>
        <w:t xml:space="preserve">, they are under the </w:t>
      </w:r>
      <w:r w:rsidR="00516D4A" w:rsidRPr="00516D4A">
        <w:rPr>
          <w:rFonts w:ascii="Courier New" w:eastAsia="Courier New" w:hAnsi="Courier New" w:cs="Courier New"/>
        </w:rPr>
        <w:t xml:space="preserve">OSHA </w:t>
      </w:r>
      <w:r w:rsidR="00516D4A">
        <w:rPr>
          <w:rFonts w:ascii="Courier New" w:eastAsia="Courier New" w:hAnsi="Courier New" w:cs="Courier New"/>
        </w:rPr>
        <w:t>r</w:t>
      </w:r>
      <w:r w:rsidR="00516D4A" w:rsidRPr="00516D4A">
        <w:rPr>
          <w:rFonts w:ascii="Courier New" w:eastAsia="Courier New" w:hAnsi="Courier New" w:cs="Courier New"/>
        </w:rPr>
        <w:t>elated OMB Control Nos.</w:t>
      </w:r>
      <w:r>
        <w:rPr>
          <w:rFonts w:ascii="Courier New" w:eastAsia="Courier New" w:hAnsi="Courier New" w:cs="Courier New"/>
        </w:rPr>
        <w:br/>
      </w:r>
      <w:r>
        <w:rPr>
          <w:rFonts w:ascii="Courier New" w:eastAsia="Courier New" w:hAnsi="Courier New" w:cs="Courier New"/>
          <w:b/>
        </w:rPr>
        <w:br/>
        <w:t xml:space="preserve">16.  Outline plans for published results of information collections.  </w:t>
      </w:r>
      <w:r>
        <w:rPr>
          <w:rFonts w:ascii="Courier New" w:eastAsia="Courier New" w:hAnsi="Courier New" w:cs="Courier New"/>
        </w:rPr>
        <w:t>Results will not be tabulated or published.</w:t>
      </w:r>
    </w:p>
    <w:p w14:paraId="00000049" w14:textId="77777777" w:rsidR="00025339" w:rsidRDefault="00025339">
      <w:pPr>
        <w:tabs>
          <w:tab w:val="left" w:pos="7740"/>
          <w:tab w:val="right" w:pos="9270"/>
        </w:tabs>
        <w:spacing w:before="0"/>
        <w:rPr>
          <w:rFonts w:ascii="Courier New" w:eastAsia="Courier New" w:hAnsi="Courier New" w:cs="Courier New"/>
          <w:b/>
        </w:rPr>
      </w:pPr>
    </w:p>
    <w:p w14:paraId="0000004A" w14:textId="77777777"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b/>
        </w:rPr>
        <w:t xml:space="preserve">17.  Approval not to display expiration date.  </w:t>
      </w:r>
      <w:r>
        <w:rPr>
          <w:rFonts w:ascii="Courier New" w:eastAsia="Courier New" w:hAnsi="Courier New" w:cs="Courier New"/>
        </w:rPr>
        <w:t>Not applicable.</w:t>
      </w:r>
    </w:p>
    <w:p w14:paraId="0000004B" w14:textId="77777777" w:rsidR="00025339" w:rsidRDefault="00025339">
      <w:pPr>
        <w:tabs>
          <w:tab w:val="left" w:pos="7740"/>
          <w:tab w:val="right" w:pos="9270"/>
        </w:tabs>
        <w:spacing w:before="0"/>
        <w:rPr>
          <w:rFonts w:ascii="Courier New" w:eastAsia="Courier New" w:hAnsi="Courier New" w:cs="Courier New"/>
          <w:b/>
        </w:rPr>
      </w:pPr>
    </w:p>
    <w:p w14:paraId="0000004C" w14:textId="77777777" w:rsidR="00025339" w:rsidRDefault="003E192C">
      <w:pPr>
        <w:tabs>
          <w:tab w:val="left" w:pos="7740"/>
          <w:tab w:val="right" w:pos="9270"/>
        </w:tabs>
        <w:spacing w:before="0"/>
        <w:rPr>
          <w:rFonts w:ascii="Courier New" w:eastAsia="Courier New" w:hAnsi="Courier New" w:cs="Courier New"/>
        </w:rPr>
      </w:pPr>
      <w:r>
        <w:rPr>
          <w:rFonts w:ascii="Courier New" w:eastAsia="Courier New" w:hAnsi="Courier New" w:cs="Courier New"/>
          <w:b/>
        </w:rPr>
        <w:t xml:space="preserve">18.  Explanation of exception to certification statement.  </w:t>
      </w:r>
      <w:r>
        <w:rPr>
          <w:rFonts w:ascii="Courier New" w:eastAsia="Courier New" w:hAnsi="Courier New" w:cs="Courier New"/>
        </w:rPr>
        <w:t>Not applicable.</w:t>
      </w:r>
    </w:p>
    <w:p w14:paraId="0000004D" w14:textId="77777777" w:rsidR="00025339" w:rsidRDefault="00025339">
      <w:pPr>
        <w:tabs>
          <w:tab w:val="left" w:pos="7740"/>
          <w:tab w:val="right" w:pos="9270"/>
        </w:tabs>
        <w:spacing w:before="0"/>
        <w:rPr>
          <w:rFonts w:ascii="Courier New" w:eastAsia="Courier New" w:hAnsi="Courier New" w:cs="Courier New"/>
          <w:b/>
        </w:rPr>
      </w:pPr>
    </w:p>
    <w:p w14:paraId="00000053" w14:textId="23293C7C" w:rsidR="00025339" w:rsidRPr="00615F4D" w:rsidRDefault="003E192C" w:rsidP="00615F4D">
      <w:pPr>
        <w:tabs>
          <w:tab w:val="left" w:pos="7740"/>
          <w:tab w:val="right" w:pos="9270"/>
        </w:tabs>
        <w:spacing w:before="0"/>
        <w:rPr>
          <w:rFonts w:ascii="Courier New" w:eastAsia="Courier New" w:hAnsi="Courier New" w:cs="Courier New"/>
          <w:b/>
        </w:rPr>
      </w:pPr>
      <w:r>
        <w:rPr>
          <w:rFonts w:ascii="Courier New" w:eastAsia="Courier New" w:hAnsi="Courier New" w:cs="Courier New"/>
          <w:b/>
        </w:rPr>
        <w:t xml:space="preserve">B.  Collections of Information Employing Statistical </w:t>
      </w:r>
      <w:r>
        <w:rPr>
          <w:rFonts w:ascii="Courier New" w:eastAsia="Courier New" w:hAnsi="Courier New" w:cs="Courier New"/>
          <w:b/>
        </w:rPr>
        <w:tab/>
        <w:t xml:space="preserve">Methods.  </w:t>
      </w:r>
      <w:r>
        <w:rPr>
          <w:rFonts w:ascii="Courier New" w:eastAsia="Courier New" w:hAnsi="Courier New" w:cs="Courier New"/>
        </w:rPr>
        <w:t>Statistical methods are not used in this information collection.</w:t>
      </w:r>
    </w:p>
    <w:sectPr w:rsidR="00025339" w:rsidRPr="00615F4D">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ACF73" w14:textId="77777777" w:rsidR="00171A6A" w:rsidRDefault="003E192C">
      <w:pPr>
        <w:spacing w:before="0"/>
      </w:pPr>
      <w:r>
        <w:separator/>
      </w:r>
    </w:p>
  </w:endnote>
  <w:endnote w:type="continuationSeparator" w:id="0">
    <w:p w14:paraId="49C7192D" w14:textId="77777777" w:rsidR="00171A6A" w:rsidRDefault="003E19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4" w14:textId="77777777" w:rsidR="00025339" w:rsidRDefault="003E192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72275">
      <w:rPr>
        <w:noProof/>
        <w:color w:val="000000"/>
      </w:rPr>
      <w:t>2</w:t>
    </w:r>
    <w:r>
      <w:rPr>
        <w:color w:val="000000"/>
      </w:rPr>
      <w:fldChar w:fldCharType="end"/>
    </w:r>
  </w:p>
  <w:p w14:paraId="00000055" w14:textId="77777777" w:rsidR="00025339" w:rsidRDefault="0002533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16E7E" w14:textId="77777777" w:rsidR="00171A6A" w:rsidRDefault="003E192C">
      <w:pPr>
        <w:spacing w:before="0"/>
      </w:pPr>
      <w:r>
        <w:separator/>
      </w:r>
    </w:p>
  </w:footnote>
  <w:footnote w:type="continuationSeparator" w:id="0">
    <w:p w14:paraId="276913B0" w14:textId="77777777" w:rsidR="00171A6A" w:rsidRDefault="003E192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35CBB"/>
    <w:multiLevelType w:val="multilevel"/>
    <w:tmpl w:val="81C62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1C3CBF"/>
    <w:multiLevelType w:val="multilevel"/>
    <w:tmpl w:val="4FB65F4A"/>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lvlOverride w:ilvl="0">
      <w:lvl w:ilvl="0">
        <w:numFmt w:val="upperLetter"/>
        <w:lvlText w:val="%1."/>
        <w:lvlJc w:val="left"/>
      </w:lvl>
    </w:lvlOverride>
  </w:num>
  <w:num w:numId="3">
    <w:abstractNumId w:val="0"/>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25339"/>
    <w:rsid w:val="00024D41"/>
    <w:rsid w:val="00025339"/>
    <w:rsid w:val="00171A6A"/>
    <w:rsid w:val="00172275"/>
    <w:rsid w:val="0019735D"/>
    <w:rsid w:val="001C4E3A"/>
    <w:rsid w:val="002A20F3"/>
    <w:rsid w:val="00315FDA"/>
    <w:rsid w:val="0036472C"/>
    <w:rsid w:val="003A63AC"/>
    <w:rsid w:val="003E192C"/>
    <w:rsid w:val="004875AC"/>
    <w:rsid w:val="004B07F4"/>
    <w:rsid w:val="00516D4A"/>
    <w:rsid w:val="00615F4D"/>
    <w:rsid w:val="00621D47"/>
    <w:rsid w:val="007B7D6F"/>
    <w:rsid w:val="008548A5"/>
    <w:rsid w:val="008F6E78"/>
    <w:rsid w:val="009D1194"/>
    <w:rsid w:val="00A440D6"/>
    <w:rsid w:val="00BA7AD2"/>
    <w:rsid w:val="00C177B5"/>
    <w:rsid w:val="00DC3297"/>
    <w:rsid w:val="00E224E9"/>
    <w:rsid w:val="00F02B90"/>
    <w:rsid w:val="00F2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C3297"/>
    <w:rPr>
      <w:sz w:val="16"/>
      <w:szCs w:val="16"/>
    </w:rPr>
  </w:style>
  <w:style w:type="paragraph" w:styleId="CommentText">
    <w:name w:val="annotation text"/>
    <w:basedOn w:val="Normal"/>
    <w:link w:val="CommentTextChar"/>
    <w:uiPriority w:val="99"/>
    <w:semiHidden/>
    <w:unhideWhenUsed/>
    <w:rsid w:val="00DC3297"/>
    <w:rPr>
      <w:sz w:val="20"/>
      <w:szCs w:val="20"/>
    </w:rPr>
  </w:style>
  <w:style w:type="character" w:customStyle="1" w:styleId="CommentTextChar">
    <w:name w:val="Comment Text Char"/>
    <w:basedOn w:val="DefaultParagraphFont"/>
    <w:link w:val="CommentText"/>
    <w:uiPriority w:val="99"/>
    <w:semiHidden/>
    <w:rsid w:val="00DC3297"/>
    <w:rPr>
      <w:sz w:val="20"/>
      <w:szCs w:val="20"/>
    </w:rPr>
  </w:style>
  <w:style w:type="paragraph" w:styleId="BalloonText">
    <w:name w:val="Balloon Text"/>
    <w:basedOn w:val="Normal"/>
    <w:link w:val="BalloonTextChar"/>
    <w:uiPriority w:val="99"/>
    <w:semiHidden/>
    <w:unhideWhenUsed/>
    <w:rsid w:val="00DC32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297"/>
    <w:rPr>
      <w:rFonts w:ascii="Tahoma" w:hAnsi="Tahoma" w:cs="Tahoma"/>
      <w:sz w:val="16"/>
      <w:szCs w:val="16"/>
    </w:rPr>
  </w:style>
  <w:style w:type="paragraph" w:styleId="NormalWeb">
    <w:name w:val="Normal (Web)"/>
    <w:basedOn w:val="Normal"/>
    <w:uiPriority w:val="99"/>
    <w:semiHidden/>
    <w:unhideWhenUsed/>
    <w:rsid w:val="00024D41"/>
    <w:pPr>
      <w:tabs>
        <w:tab w:val="clear" w:pos="560"/>
        <w:tab w:val="clear" w:pos="1120"/>
        <w:tab w:val="clear" w:pos="1680"/>
        <w:tab w:val="clear" w:pos="2240"/>
      </w:tabs>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C3297"/>
    <w:rPr>
      <w:sz w:val="16"/>
      <w:szCs w:val="16"/>
    </w:rPr>
  </w:style>
  <w:style w:type="paragraph" w:styleId="CommentText">
    <w:name w:val="annotation text"/>
    <w:basedOn w:val="Normal"/>
    <w:link w:val="CommentTextChar"/>
    <w:uiPriority w:val="99"/>
    <w:semiHidden/>
    <w:unhideWhenUsed/>
    <w:rsid w:val="00DC3297"/>
    <w:rPr>
      <w:sz w:val="20"/>
      <w:szCs w:val="20"/>
    </w:rPr>
  </w:style>
  <w:style w:type="character" w:customStyle="1" w:styleId="CommentTextChar">
    <w:name w:val="Comment Text Char"/>
    <w:basedOn w:val="DefaultParagraphFont"/>
    <w:link w:val="CommentText"/>
    <w:uiPriority w:val="99"/>
    <w:semiHidden/>
    <w:rsid w:val="00DC3297"/>
    <w:rPr>
      <w:sz w:val="20"/>
      <w:szCs w:val="20"/>
    </w:rPr>
  </w:style>
  <w:style w:type="paragraph" w:styleId="BalloonText">
    <w:name w:val="Balloon Text"/>
    <w:basedOn w:val="Normal"/>
    <w:link w:val="BalloonTextChar"/>
    <w:uiPriority w:val="99"/>
    <w:semiHidden/>
    <w:unhideWhenUsed/>
    <w:rsid w:val="00DC32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297"/>
    <w:rPr>
      <w:rFonts w:ascii="Tahoma" w:hAnsi="Tahoma" w:cs="Tahoma"/>
      <w:sz w:val="16"/>
      <w:szCs w:val="16"/>
    </w:rPr>
  </w:style>
  <w:style w:type="paragraph" w:styleId="NormalWeb">
    <w:name w:val="Normal (Web)"/>
    <w:basedOn w:val="Normal"/>
    <w:uiPriority w:val="99"/>
    <w:semiHidden/>
    <w:unhideWhenUsed/>
    <w:rsid w:val="00024D41"/>
    <w:pPr>
      <w:tabs>
        <w:tab w:val="clear" w:pos="560"/>
        <w:tab w:val="clear" w:pos="1120"/>
        <w:tab w:val="clear" w:pos="1680"/>
        <w:tab w:val="clear" w:pos="2240"/>
      </w:tabs>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00546">
      <w:bodyDiv w:val="1"/>
      <w:marLeft w:val="0"/>
      <w:marRight w:val="0"/>
      <w:marTop w:val="0"/>
      <w:marBottom w:val="0"/>
      <w:divBdr>
        <w:top w:val="none" w:sz="0" w:space="0" w:color="auto"/>
        <w:left w:val="none" w:sz="0" w:space="0" w:color="auto"/>
        <w:bottom w:val="none" w:sz="0" w:space="0" w:color="auto"/>
        <w:right w:val="none" w:sz="0" w:space="0" w:color="auto"/>
      </w:divBdr>
    </w:div>
    <w:div w:id="181556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2019-07-22T12:47:00Z</dcterms:created>
  <dcterms:modified xsi:type="dcterms:W3CDTF">2019-07-22T12:47:00Z</dcterms:modified>
</cp:coreProperties>
</file>