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BDD" w:rsidRDefault="00147BDD">
      <w:pPr>
        <w:pStyle w:val="Footer"/>
        <w:widowControl/>
        <w:tabs>
          <w:tab w:val="clear" w:pos="4320"/>
          <w:tab w:val="clear" w:pos="8640"/>
          <w:tab w:val="center" w:pos="5040"/>
        </w:tabs>
        <w:jc w:val="center"/>
      </w:pPr>
      <w:bookmarkStart w:id="0" w:name="_GoBack"/>
      <w:bookmarkEnd w:id="0"/>
      <w:r>
        <w:rPr>
          <w:rFonts w:ascii="Times New Roman" w:hAnsi="Times New Roman"/>
        </w:rPr>
        <w:t>SUPPORTING STATEMENT</w:t>
      </w:r>
    </w:p>
    <w:p w:rsidR="00147BDD" w:rsidRDefault="00147BDD">
      <w:pPr>
        <w:widowControl/>
        <w:tabs>
          <w:tab w:val="center" w:pos="5040"/>
        </w:tabs>
        <w:jc w:val="center"/>
        <w:rPr>
          <w:rFonts w:ascii="Times New Roman" w:hAnsi="Times New Roman"/>
        </w:rPr>
      </w:pPr>
      <w:r>
        <w:rPr>
          <w:rFonts w:ascii="Times New Roman" w:hAnsi="Times New Roman"/>
        </w:rPr>
        <w:t xml:space="preserve">INTERAGENCY CHARTER AND FEDERAL DEPOSIT INSURANCE APPLICATION  </w:t>
      </w:r>
    </w:p>
    <w:p w:rsidR="00147BDD" w:rsidRDefault="00147BDD">
      <w:pPr>
        <w:widowControl/>
        <w:tabs>
          <w:tab w:val="center" w:pos="5040"/>
        </w:tabs>
        <w:jc w:val="center"/>
        <w:rPr>
          <w:rFonts w:ascii="Times New Roman" w:hAnsi="Times New Roman"/>
        </w:rPr>
      </w:pPr>
      <w:r>
        <w:rPr>
          <w:rFonts w:ascii="Times New Roman" w:hAnsi="Times New Roman"/>
        </w:rPr>
        <w:t>(OMB No. 3064</w:t>
      </w:r>
      <w:r>
        <w:rPr>
          <w:rFonts w:ascii="Times New Roman" w:hAnsi="Times New Roman"/>
        </w:rPr>
        <w:noBreakHyphen/>
        <w:t>0001)</w:t>
      </w:r>
    </w:p>
    <w:p w:rsidR="00147BDD" w:rsidRDefault="00147BDD">
      <w:pPr>
        <w:pStyle w:val="Footer"/>
        <w:widowControl/>
        <w:tabs>
          <w:tab w:val="clear" w:pos="4320"/>
          <w:tab w:val="clear" w:pos="8640"/>
          <w:tab w:val="left" w:pos="720"/>
          <w:tab w:val="left" w:pos="1680"/>
        </w:tabs>
        <w:rPr>
          <w:rFonts w:ascii="Times New Roman" w:hAnsi="Times New Roman"/>
        </w:rPr>
      </w:pP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 w:val="left" w:pos="1680"/>
        </w:tabs>
        <w:rPr>
          <w:rFonts w:ascii="Times New Roman" w:hAnsi="Times New Roman"/>
        </w:rPr>
      </w:pPr>
      <w:r>
        <w:rPr>
          <w:rFonts w:ascii="Times New Roman" w:hAnsi="Times New Roman"/>
          <w:u w:val="single"/>
        </w:rPr>
        <w:t>INTRODUCTION</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 w:val="left" w:pos="1680"/>
        </w:tabs>
        <w:rPr>
          <w:rFonts w:ascii="Times New Roman" w:hAnsi="Times New Roman"/>
        </w:rPr>
      </w:pPr>
      <w:r>
        <w:rPr>
          <w:rFonts w:ascii="Times New Roman" w:hAnsi="Times New Roman"/>
        </w:rPr>
        <w:t xml:space="preserve">The FDIC is requesting renewal of the above-captioned collection of information.  The information in this collection is used by the FDIC </w:t>
      </w:r>
      <w:r w:rsidR="00907C45">
        <w:rPr>
          <w:rFonts w:ascii="Times New Roman" w:hAnsi="Times New Roman"/>
        </w:rPr>
        <w:t>to determine</w:t>
      </w:r>
      <w:r>
        <w:rPr>
          <w:rFonts w:ascii="Times New Roman" w:hAnsi="Times New Roman"/>
        </w:rPr>
        <w:t xml:space="preserve"> whether to provide deposit insurance to financial institutions that request it.  It is also used by the Office of Comptroller of the Currency (OCC) under </w:t>
      </w:r>
      <w:r w:rsidR="00385F1D">
        <w:rPr>
          <w:rFonts w:ascii="Times New Roman" w:hAnsi="Times New Roman"/>
        </w:rPr>
        <w:t xml:space="preserve">a </w:t>
      </w:r>
      <w:r>
        <w:rPr>
          <w:rFonts w:ascii="Times New Roman" w:hAnsi="Times New Roman"/>
        </w:rPr>
        <w:t>separately-approved control number</w:t>
      </w:r>
      <w:permStart w:id="234295717" w:edGrp="everyone"/>
      <w:permEnd w:id="234295717"/>
      <w:r>
        <w:rPr>
          <w:rFonts w:ascii="Times New Roman" w:hAnsi="Times New Roman"/>
        </w:rPr>
        <w:t xml:space="preserve">, for charter applications.  The current approval for this FDIC collection will expire on </w:t>
      </w:r>
      <w:r w:rsidR="00907C45">
        <w:rPr>
          <w:rFonts w:ascii="Times New Roman" w:hAnsi="Times New Roman"/>
        </w:rPr>
        <w:t>August</w:t>
      </w:r>
      <w:r w:rsidR="00FC5A99">
        <w:rPr>
          <w:rFonts w:ascii="Times New Roman" w:hAnsi="Times New Roman"/>
        </w:rPr>
        <w:t xml:space="preserve"> 31, 201</w:t>
      </w:r>
      <w:r w:rsidR="00907C45">
        <w:rPr>
          <w:rFonts w:ascii="Times New Roman" w:hAnsi="Times New Roman"/>
        </w:rPr>
        <w:t>9</w:t>
      </w:r>
      <w:r>
        <w:rPr>
          <w:rFonts w:ascii="Times New Roman" w:hAnsi="Times New Roman"/>
        </w:rPr>
        <w:t>.</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 w:val="left" w:pos="1680"/>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 w:val="left" w:pos="1440"/>
        </w:tabs>
        <w:ind w:firstLine="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Circumstances and Need</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 w:val="left" w:pos="1680"/>
        </w:tabs>
        <w:ind w:left="1440"/>
        <w:rPr>
          <w:rFonts w:ascii="Times New Roman" w:hAnsi="Times New Roman"/>
        </w:rPr>
      </w:pPr>
      <w:r>
        <w:rPr>
          <w:rFonts w:ascii="Times New Roman" w:hAnsi="Times New Roman"/>
        </w:rPr>
        <w:t>Section 5 of the FDI Act (12 U.S.C. 1815) provides that any depository institution engaged in the business of receiving deposits other than trust funds, upon application and examination by the FDIC and approval by its Board of Directors, may beco</w:t>
      </w:r>
      <w:smartTag w:uri="urn:schemas-microsoft-com:office:smarttags" w:element="PersonName">
        <w:r>
          <w:rPr>
            <w:rFonts w:ascii="Times New Roman" w:hAnsi="Times New Roman"/>
          </w:rPr>
          <w:t>me</w:t>
        </w:r>
      </w:smartTag>
      <w:r>
        <w:rPr>
          <w:rFonts w:ascii="Times New Roman" w:hAnsi="Times New Roman"/>
        </w:rPr>
        <w:t xml:space="preserve"> an insured depository institution.  Before approving the application, the Act requires the FDIC Board of Directors to consider certain factors which are listed in Section 6 of the Act (12 U.S.C. 1816).  These factors include:  the financial history and condition of the depository institution, the adequacy of its capital structure, its future earnings prospects, the general character and fitness of its manage</w:t>
      </w:r>
      <w:smartTag w:uri="urn:schemas-microsoft-com:office:smarttags" w:element="PersonName">
        <w:r>
          <w:rPr>
            <w:rFonts w:ascii="Times New Roman" w:hAnsi="Times New Roman"/>
          </w:rPr>
          <w:t>me</w:t>
        </w:r>
      </w:smartTag>
      <w:r>
        <w:rPr>
          <w:rFonts w:ascii="Times New Roman" w:hAnsi="Times New Roman"/>
        </w:rPr>
        <w:t xml:space="preserve">nt, the risk it presents to the FDIC Insurance Fund, the convenience and needs of the community to be served, and the consistency of its corporate powers.  </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 w:val="left" w:pos="1440"/>
        </w:tabs>
        <w:ind w:firstLine="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Use of Information Collected</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 w:val="left" w:pos="1680"/>
        </w:tabs>
        <w:ind w:left="1440"/>
        <w:rPr>
          <w:rFonts w:ascii="Times New Roman" w:hAnsi="Times New Roman"/>
        </w:rPr>
      </w:pPr>
      <w:r>
        <w:rPr>
          <w:rFonts w:ascii="Times New Roman" w:hAnsi="Times New Roman"/>
        </w:rPr>
        <w:t>The information is used by the FDIC as a basis for analyzing the proposal and evaluating the seven statutory factors in order to determine whether the applicant will qualify for Federal deposit insurance.</w:t>
      </w:r>
    </w:p>
    <w:p w:rsidR="00147BDD" w:rsidRDefault="00147BDD">
      <w:pPr>
        <w:widowControl/>
        <w:tabs>
          <w:tab w:val="left" w:pos="720"/>
          <w:tab w:val="left" w:pos="1680"/>
        </w:tabs>
        <w:ind w:left="1440"/>
        <w:rPr>
          <w:rFonts w:ascii="Times New Roman" w:hAnsi="Times New Roman"/>
        </w:rPr>
      </w:pPr>
    </w:p>
    <w:p w:rsidR="00147BDD" w:rsidRDefault="00147BDD">
      <w:pPr>
        <w:widowControl/>
        <w:tabs>
          <w:tab w:val="left" w:pos="720"/>
          <w:tab w:val="left" w:pos="1440"/>
        </w:tabs>
        <w:rPr>
          <w:rFonts w:ascii="Times New Roman" w:hAnsi="Times New Roman"/>
        </w:rPr>
      </w:pPr>
      <w:r>
        <w:rPr>
          <w:rFonts w:ascii="Times New Roman" w:hAnsi="Times New Roman"/>
        </w:rPr>
        <w:tab/>
        <w:t>3.</w:t>
      </w:r>
      <w:r>
        <w:rPr>
          <w:rFonts w:ascii="Times New Roman" w:hAnsi="Times New Roman"/>
        </w:rPr>
        <w:tab/>
      </w:r>
      <w:r>
        <w:rPr>
          <w:rFonts w:ascii="Times New Roman" w:hAnsi="Times New Roman"/>
          <w:u w:val="single"/>
        </w:rPr>
        <w:t>Use of Technology to Reduc</w:t>
      </w:r>
      <w:r w:rsidR="00907C45">
        <w:rPr>
          <w:rFonts w:ascii="Times New Roman" w:hAnsi="Times New Roman"/>
          <w:u w:val="single"/>
        </w:rPr>
        <w:t>e</w:t>
      </w:r>
      <w:r>
        <w:rPr>
          <w:rFonts w:ascii="Times New Roman" w:hAnsi="Times New Roman"/>
          <w:u w:val="single"/>
        </w:rPr>
        <w:t xml:space="preserve"> Burden</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 w:val="left" w:pos="1680"/>
        </w:tabs>
        <w:ind w:left="1440"/>
        <w:rPr>
          <w:rFonts w:ascii="Times New Roman" w:hAnsi="Times New Roman"/>
        </w:rPr>
      </w:pPr>
      <w:r>
        <w:rPr>
          <w:rFonts w:ascii="Times New Roman" w:hAnsi="Times New Roman"/>
        </w:rPr>
        <w:t>Respondents are free to use whatever methods are the least burdensome to them for preparing the application for deposit insurance.</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 w:val="left" w:pos="1440"/>
        </w:tabs>
        <w:ind w:firstLine="720"/>
        <w:rPr>
          <w:rFonts w:ascii="Times New Roman" w:hAnsi="Times New Roman"/>
          <w:u w:val="single"/>
        </w:rPr>
      </w:pPr>
      <w:r>
        <w:rPr>
          <w:rFonts w:ascii="Times New Roman" w:hAnsi="Times New Roman"/>
        </w:rPr>
        <w:br w:type="page"/>
      </w:r>
      <w:r>
        <w:rPr>
          <w:rFonts w:ascii="Times New Roman" w:hAnsi="Times New Roman"/>
        </w:rPr>
        <w:lastRenderedPageBreak/>
        <w:t>4.</w:t>
      </w:r>
      <w:r>
        <w:rPr>
          <w:rFonts w:ascii="Times New Roman" w:hAnsi="Times New Roman"/>
        </w:rPr>
        <w:tab/>
      </w:r>
      <w:r>
        <w:rPr>
          <w:rFonts w:ascii="Times New Roman" w:hAnsi="Times New Roman"/>
          <w:u w:val="single"/>
        </w:rPr>
        <w:t>Efforts to Identify Duplication</w:t>
      </w:r>
    </w:p>
    <w:p w:rsidR="002E7A68" w:rsidRDefault="002E7A68">
      <w:pPr>
        <w:widowControl/>
        <w:tabs>
          <w:tab w:val="left" w:pos="720"/>
          <w:tab w:val="left" w:pos="1440"/>
        </w:tabs>
        <w:ind w:firstLine="720"/>
        <w:rPr>
          <w:rFonts w:ascii="Times New Roman" w:hAnsi="Times New Roman"/>
        </w:rPr>
      </w:pPr>
    </w:p>
    <w:p w:rsidR="00147BDD" w:rsidRDefault="00147BDD">
      <w:pPr>
        <w:widowControl/>
        <w:tabs>
          <w:tab w:val="left" w:pos="720"/>
          <w:tab w:val="left" w:pos="1440"/>
        </w:tabs>
        <w:ind w:left="1440"/>
        <w:rPr>
          <w:rFonts w:ascii="Times New Roman" w:hAnsi="Times New Roman"/>
        </w:rPr>
      </w:pPr>
      <w:r>
        <w:rPr>
          <w:rFonts w:ascii="Times New Roman" w:hAnsi="Times New Roman"/>
        </w:rPr>
        <w:t>No</w:t>
      </w:r>
      <w:r w:rsidR="002E7A68">
        <w:rPr>
          <w:rFonts w:ascii="Times New Roman" w:hAnsi="Times New Roman"/>
        </w:rPr>
        <w:t>ne of the</w:t>
      </w:r>
      <w:r>
        <w:rPr>
          <w:rFonts w:ascii="Times New Roman" w:hAnsi="Times New Roman"/>
        </w:rPr>
        <w:t xml:space="preserve"> information </w:t>
      </w:r>
      <w:r w:rsidR="002E7A68">
        <w:rPr>
          <w:rFonts w:ascii="Times New Roman" w:hAnsi="Times New Roman"/>
        </w:rPr>
        <w:t xml:space="preserve">collected </w:t>
      </w:r>
      <w:r>
        <w:rPr>
          <w:rFonts w:ascii="Times New Roman" w:hAnsi="Times New Roman"/>
        </w:rPr>
        <w:t>on the form is available elsewhere.</w:t>
      </w:r>
    </w:p>
    <w:p w:rsidR="00147BDD" w:rsidRDefault="00147BDD">
      <w:pPr>
        <w:widowControl/>
        <w:tabs>
          <w:tab w:val="left" w:pos="720"/>
          <w:tab w:val="left" w:pos="1680"/>
        </w:tabs>
        <w:rPr>
          <w:rFonts w:ascii="Times New Roman" w:hAnsi="Times New Roman"/>
        </w:rPr>
      </w:pPr>
      <w:r>
        <w:rPr>
          <w:rFonts w:ascii="Times New Roman" w:hAnsi="Times New Roman"/>
        </w:rPr>
        <w:tab/>
        <w:t xml:space="preserve"> </w:t>
      </w:r>
    </w:p>
    <w:p w:rsidR="00147BDD" w:rsidRDefault="00147BDD">
      <w:pPr>
        <w:widowControl/>
        <w:tabs>
          <w:tab w:val="left" w:pos="720"/>
        </w:tabs>
        <w:ind w:firstLine="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 xml:space="preserve">Minimizing the Burden on Small </w:t>
      </w:r>
      <w:r w:rsidR="007A45B5">
        <w:rPr>
          <w:rFonts w:ascii="Times New Roman" w:hAnsi="Times New Roman"/>
          <w:u w:val="single"/>
        </w:rPr>
        <w:t>Entities</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 w:val="left" w:pos="1680"/>
        </w:tabs>
        <w:ind w:left="1440"/>
        <w:rPr>
          <w:rFonts w:ascii="Times New Roman" w:hAnsi="Times New Roman"/>
        </w:rPr>
      </w:pPr>
      <w:r>
        <w:rPr>
          <w:rFonts w:ascii="Times New Roman" w:hAnsi="Times New Roman"/>
        </w:rPr>
        <w:t xml:space="preserve">All proposed depository institutions must follow the same application procedures. The application is designed to collect only the minimum amount of information necessary for the FDIC to assess the merits of each </w:t>
      </w:r>
      <w:r w:rsidR="00907C45">
        <w:rPr>
          <w:rFonts w:ascii="Times New Roman" w:hAnsi="Times New Roman"/>
        </w:rPr>
        <w:t>application</w:t>
      </w:r>
      <w:r>
        <w:rPr>
          <w:rFonts w:ascii="Times New Roman" w:hAnsi="Times New Roman"/>
        </w:rPr>
        <w:t xml:space="preserve">.  The form is periodically reviewed to ensure </w:t>
      </w:r>
      <w:r w:rsidR="00B912B2">
        <w:rPr>
          <w:rFonts w:ascii="Times New Roman" w:hAnsi="Times New Roman"/>
        </w:rPr>
        <w:t xml:space="preserve">that it is current and there is </w:t>
      </w:r>
      <w:r>
        <w:rPr>
          <w:rFonts w:ascii="Times New Roman" w:hAnsi="Times New Roman"/>
        </w:rPr>
        <w:t>a need for the information collected.</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 w:val="left" w:pos="1440"/>
        </w:tabs>
        <w:ind w:firstLine="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Consequences of Less Frequent Collection</w:t>
      </w:r>
    </w:p>
    <w:p w:rsidR="00147BDD" w:rsidRDefault="00147BDD">
      <w:pPr>
        <w:widowControl/>
        <w:tabs>
          <w:tab w:val="left" w:pos="720"/>
          <w:tab w:val="left" w:pos="1680"/>
        </w:tabs>
        <w:rPr>
          <w:rFonts w:ascii="Times New Roman" w:hAnsi="Times New Roman"/>
        </w:rPr>
      </w:pPr>
    </w:p>
    <w:p w:rsidR="00147BDD" w:rsidRDefault="00147BDD">
      <w:pPr>
        <w:pStyle w:val="BodyTextIndent"/>
      </w:pPr>
      <w:r>
        <w:t>The information is collected only if a proposed bank or savings association applies for Federal deposit insurance.</w:t>
      </w:r>
    </w:p>
    <w:p w:rsidR="00147BDD" w:rsidRDefault="00147BDD">
      <w:pPr>
        <w:widowControl/>
        <w:tabs>
          <w:tab w:val="left" w:pos="720"/>
          <w:tab w:val="left" w:pos="1680"/>
        </w:tabs>
        <w:rPr>
          <w:rFonts w:ascii="Times New Roman" w:hAnsi="Times New Roman"/>
        </w:rPr>
      </w:pPr>
    </w:p>
    <w:p w:rsidR="00147BDD" w:rsidRDefault="00147BDD" w:rsidP="00DF5CEC">
      <w:pPr>
        <w:widowControl/>
        <w:tabs>
          <w:tab w:val="left" w:pos="720"/>
          <w:tab w:val="left" w:pos="1440"/>
        </w:tabs>
        <w:ind w:left="1440" w:hanging="810"/>
        <w:rPr>
          <w:rFonts w:ascii="Times New Roman" w:hAnsi="Times New Roman"/>
        </w:rPr>
      </w:pPr>
      <w:r>
        <w:rPr>
          <w:rFonts w:ascii="Times New Roman" w:hAnsi="Times New Roman"/>
        </w:rPr>
        <w:t>7.</w:t>
      </w:r>
      <w:r>
        <w:rPr>
          <w:rFonts w:ascii="Times New Roman" w:hAnsi="Times New Roman"/>
        </w:rPr>
        <w:tab/>
      </w:r>
      <w:r w:rsidR="00DF5CEC" w:rsidRPr="00DF5CEC">
        <w:rPr>
          <w:rFonts w:ascii="Times New Roman" w:hAnsi="Times New Roman"/>
          <w:u w:val="single"/>
        </w:rPr>
        <w:t>Special circumstances necessitating collection inconsistent with 5 CFR 1320.5(d)(2)</w:t>
      </w:r>
    </w:p>
    <w:p w:rsidR="00147BDD" w:rsidRDefault="00147BDD">
      <w:pPr>
        <w:widowControl/>
        <w:tabs>
          <w:tab w:val="left" w:pos="720"/>
          <w:tab w:val="left" w:pos="1680"/>
        </w:tabs>
        <w:rPr>
          <w:rFonts w:ascii="Times New Roman" w:hAnsi="Times New Roman"/>
        </w:rPr>
      </w:pPr>
    </w:p>
    <w:p w:rsidR="00147BDD" w:rsidRDefault="00DF5CEC" w:rsidP="00DF5CEC">
      <w:pPr>
        <w:widowControl/>
        <w:ind w:left="1440"/>
        <w:rPr>
          <w:rFonts w:ascii="Times New Roman" w:hAnsi="Times New Roman"/>
        </w:rPr>
      </w:pPr>
      <w:r w:rsidRPr="00DF5CEC">
        <w:rPr>
          <w:rFonts w:ascii="Times New Roman" w:hAnsi="Times New Roman"/>
        </w:rPr>
        <w:t>None. This information collection is conducted in accordance with the guidelines in 5 CFR 1320.5(d)(2).</w:t>
      </w:r>
    </w:p>
    <w:p w:rsidR="00147BDD" w:rsidRDefault="00147BDD">
      <w:pPr>
        <w:widowControl/>
        <w:tabs>
          <w:tab w:val="left" w:pos="720"/>
          <w:tab w:val="left" w:pos="1680"/>
        </w:tabs>
        <w:rPr>
          <w:rFonts w:ascii="Times New Roman" w:hAnsi="Times New Roman"/>
        </w:rPr>
      </w:pPr>
    </w:p>
    <w:p w:rsidR="00147BDD" w:rsidRDefault="00147BDD">
      <w:pPr>
        <w:widowControl/>
        <w:tabs>
          <w:tab w:val="left" w:pos="-450"/>
          <w:tab w:val="left" w:pos="720"/>
        </w:tabs>
        <w:ind w:firstLine="720"/>
        <w:rPr>
          <w:rFonts w:ascii="Times New Roman" w:hAnsi="Times New Roman"/>
        </w:rPr>
      </w:pPr>
      <w:r>
        <w:rPr>
          <w:rFonts w:ascii="Times New Roman" w:hAnsi="Times New Roman"/>
        </w:rPr>
        <w:t>8.</w:t>
      </w:r>
      <w:r>
        <w:rPr>
          <w:rFonts w:ascii="Times New Roman" w:hAnsi="Times New Roman"/>
        </w:rPr>
        <w:tab/>
      </w:r>
      <w:r w:rsidR="00DF5CEC">
        <w:rPr>
          <w:rFonts w:ascii="Times New Roman" w:hAnsi="Times New Roman"/>
          <w:u w:val="single"/>
        </w:rPr>
        <w:t>Efforts to Consult with Persons Outside the Agency</w:t>
      </w:r>
    </w:p>
    <w:p w:rsidR="00147BDD" w:rsidRDefault="00147BDD">
      <w:pPr>
        <w:widowControl/>
        <w:tabs>
          <w:tab w:val="left" w:pos="720"/>
          <w:tab w:val="left" w:pos="1680"/>
        </w:tabs>
        <w:rPr>
          <w:rFonts w:ascii="Times New Roman" w:hAnsi="Times New Roman"/>
        </w:rPr>
      </w:pPr>
    </w:p>
    <w:p w:rsidR="00147BDD" w:rsidRDefault="007E4157">
      <w:pPr>
        <w:ind w:left="1440"/>
        <w:rPr>
          <w:rFonts w:ascii="Times New Roman" w:hAnsi="Times New Roman"/>
        </w:rPr>
      </w:pPr>
      <w:r w:rsidRPr="007E4157">
        <w:rPr>
          <w:rFonts w:ascii="Times New Roman" w:hAnsi="Times New Roman"/>
        </w:rPr>
        <w:t xml:space="preserve"> </w:t>
      </w:r>
      <w:r w:rsidR="00395028">
        <w:rPr>
          <w:rFonts w:ascii="Times New Roman" w:hAnsi="Times New Roman"/>
        </w:rPr>
        <w:t xml:space="preserve">The form is periodically reviewed with the OCC to ensure that it is current and there is a need for the information collected.  </w:t>
      </w:r>
      <w:r w:rsidR="00907C45">
        <w:rPr>
          <w:rFonts w:ascii="Times New Roman" w:hAnsi="Times New Roman"/>
        </w:rPr>
        <w:t xml:space="preserve">A </w:t>
      </w:r>
      <w:r w:rsidRPr="00ED5C59">
        <w:rPr>
          <w:rFonts w:ascii="Times New Roman" w:hAnsi="Times New Roman"/>
        </w:rPr>
        <w:t xml:space="preserve">Federal Register notice seeking comment on renewal of the collection for a 60-day period was published on </w:t>
      </w:r>
      <w:r w:rsidR="00907C45">
        <w:rPr>
          <w:rFonts w:ascii="Times New Roman" w:hAnsi="Times New Roman"/>
        </w:rPr>
        <w:t>June 27</w:t>
      </w:r>
      <w:r w:rsidRPr="00ED5C59">
        <w:rPr>
          <w:rFonts w:ascii="Times New Roman" w:hAnsi="Times New Roman"/>
        </w:rPr>
        <w:t>, 201</w:t>
      </w:r>
      <w:r w:rsidR="00907C45">
        <w:rPr>
          <w:rFonts w:ascii="Times New Roman" w:hAnsi="Times New Roman"/>
        </w:rPr>
        <w:t>9</w:t>
      </w:r>
      <w:r w:rsidRPr="00ED5C59">
        <w:rPr>
          <w:rFonts w:ascii="Times New Roman" w:hAnsi="Times New Roman"/>
        </w:rPr>
        <w:t xml:space="preserve"> (</w:t>
      </w:r>
      <w:r w:rsidR="00907C45">
        <w:rPr>
          <w:rFonts w:ascii="Times New Roman" w:hAnsi="Times New Roman"/>
        </w:rPr>
        <w:t>84</w:t>
      </w:r>
      <w:r w:rsidRPr="007E4157">
        <w:rPr>
          <w:rFonts w:ascii="Times New Roman" w:hAnsi="Times New Roman"/>
        </w:rPr>
        <w:t xml:space="preserve"> FR </w:t>
      </w:r>
      <w:r w:rsidR="00907C45">
        <w:rPr>
          <w:rFonts w:ascii="Times New Roman" w:hAnsi="Times New Roman"/>
        </w:rPr>
        <w:t>30714</w:t>
      </w:r>
      <w:r w:rsidRPr="00ED5C59">
        <w:rPr>
          <w:rFonts w:ascii="Times New Roman" w:hAnsi="Times New Roman"/>
        </w:rPr>
        <w:t>).  No comments were received</w:t>
      </w:r>
      <w:r w:rsidR="00907C45">
        <w:rPr>
          <w:rFonts w:ascii="Times New Roman" w:hAnsi="Times New Roman"/>
        </w:rPr>
        <w:t>.</w:t>
      </w:r>
    </w:p>
    <w:p w:rsidR="00147BDD" w:rsidRDefault="00147BDD">
      <w:pPr>
        <w:ind w:left="1440"/>
        <w:rPr>
          <w:rFonts w:ascii="Times New Roman" w:hAnsi="Times New Roman"/>
        </w:rPr>
      </w:pPr>
    </w:p>
    <w:p w:rsidR="00147BDD" w:rsidRDefault="00147BDD">
      <w:pPr>
        <w:widowControl/>
        <w:tabs>
          <w:tab w:val="left" w:pos="720"/>
        </w:tabs>
        <w:ind w:left="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 or Gift to Respondents</w:t>
      </w:r>
    </w:p>
    <w:p w:rsidR="00147BDD" w:rsidRDefault="00147BDD">
      <w:pPr>
        <w:widowControl/>
        <w:tabs>
          <w:tab w:val="left" w:pos="720"/>
          <w:tab w:val="left" w:pos="1680"/>
        </w:tabs>
        <w:rPr>
          <w:rFonts w:ascii="Times New Roman" w:hAnsi="Times New Roman"/>
        </w:rPr>
      </w:pPr>
    </w:p>
    <w:p w:rsidR="00147BDD" w:rsidRDefault="00147BDD">
      <w:pPr>
        <w:widowControl/>
        <w:tabs>
          <w:tab w:val="left" w:pos="-180"/>
          <w:tab w:val="left" w:pos="720"/>
        </w:tabs>
        <w:ind w:left="720"/>
        <w:rPr>
          <w:rFonts w:ascii="Times New Roman" w:hAnsi="Times New Roman"/>
        </w:rPr>
      </w:pPr>
      <w:r>
        <w:rPr>
          <w:rFonts w:ascii="Times New Roman" w:hAnsi="Times New Roman"/>
        </w:rPr>
        <w:tab/>
        <w:t>There are no pay</w:t>
      </w:r>
      <w:smartTag w:uri="urn:schemas-microsoft-com:office:smarttags" w:element="PersonName">
        <w:r>
          <w:rPr>
            <w:rFonts w:ascii="Times New Roman" w:hAnsi="Times New Roman"/>
          </w:rPr>
          <w:t>me</w:t>
        </w:r>
      </w:smartTag>
      <w:r>
        <w:rPr>
          <w:rFonts w:ascii="Times New Roman" w:hAnsi="Times New Roman"/>
        </w:rPr>
        <w:t>nts or gifts to respondents.</w:t>
      </w:r>
    </w:p>
    <w:p w:rsidR="00147BDD" w:rsidRDefault="00147BDD">
      <w:pPr>
        <w:widowControl/>
        <w:tabs>
          <w:tab w:val="left" w:pos="720"/>
          <w:tab w:val="left" w:pos="1680"/>
        </w:tabs>
        <w:ind w:left="720"/>
        <w:rPr>
          <w:rFonts w:ascii="Times New Roman" w:hAnsi="Times New Roman"/>
        </w:rPr>
      </w:pPr>
    </w:p>
    <w:p w:rsidR="00147BDD" w:rsidRDefault="00147BDD">
      <w:pPr>
        <w:widowControl/>
        <w:tabs>
          <w:tab w:val="left" w:pos="-270"/>
          <w:tab w:val="left" w:pos="720"/>
        </w:tabs>
        <w:ind w:left="720"/>
        <w:rPr>
          <w:rFonts w:ascii="Times New Roman" w:hAnsi="Times New Roman"/>
        </w:rPr>
      </w:pPr>
      <w:r>
        <w:rPr>
          <w:rFonts w:ascii="Times New Roman" w:hAnsi="Times New Roman"/>
        </w:rPr>
        <w:t>10.</w:t>
      </w:r>
      <w:r>
        <w:rPr>
          <w:rFonts w:ascii="Times New Roman" w:hAnsi="Times New Roman"/>
        </w:rPr>
        <w:tab/>
      </w:r>
      <w:r w:rsidR="00DF5CEC" w:rsidRPr="00DF5CEC">
        <w:rPr>
          <w:rFonts w:ascii="Times New Roman" w:hAnsi="Times New Roman"/>
          <w:u w:val="single"/>
        </w:rPr>
        <w:t xml:space="preserve">Any Assurance of </w:t>
      </w:r>
      <w:r>
        <w:rPr>
          <w:rFonts w:ascii="Times New Roman" w:hAnsi="Times New Roman"/>
          <w:u w:val="single"/>
        </w:rPr>
        <w:t>Confidentiality</w:t>
      </w:r>
    </w:p>
    <w:p w:rsidR="00147BDD" w:rsidRDefault="00147BDD">
      <w:pPr>
        <w:widowControl/>
        <w:tabs>
          <w:tab w:val="left" w:pos="720"/>
          <w:tab w:val="left" w:pos="1680"/>
        </w:tabs>
        <w:rPr>
          <w:rFonts w:ascii="Times New Roman" w:hAnsi="Times New Roman"/>
        </w:rPr>
      </w:pPr>
    </w:p>
    <w:p w:rsidR="00147BDD" w:rsidRDefault="00147BDD">
      <w:pPr>
        <w:pStyle w:val="BodyTextIndent"/>
        <w:tabs>
          <w:tab w:val="clear" w:pos="1440"/>
        </w:tabs>
      </w:pPr>
      <w:r>
        <w:t>All information in the application is available for public review unless it qualifies for exemption under the provisions of the Freedom of Information Act (5 U.S.C. 552).  The form advises applicants about the policy of making the information publicly available and that the applicant is responsible for identifying information it deems confidential.  The FDIC makes the final decision, pursuant to the FOIA, on what information will be released to the public.</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s>
        <w:ind w:left="720"/>
        <w:rPr>
          <w:rFonts w:ascii="Times New Roman" w:hAnsi="Times New Roman"/>
        </w:rPr>
      </w:pPr>
      <w:r>
        <w:rPr>
          <w:rFonts w:ascii="Times New Roman" w:hAnsi="Times New Roman"/>
        </w:rPr>
        <w:t>11.</w:t>
      </w:r>
      <w:r>
        <w:rPr>
          <w:rFonts w:ascii="Times New Roman" w:hAnsi="Times New Roman"/>
        </w:rPr>
        <w:tab/>
      </w:r>
      <w:r w:rsidR="00DF5CEC">
        <w:rPr>
          <w:rFonts w:ascii="Times New Roman" w:hAnsi="Times New Roman"/>
          <w:u w:val="single"/>
        </w:rPr>
        <w:t>Justification for Questions</w:t>
      </w:r>
      <w:r>
        <w:rPr>
          <w:rFonts w:ascii="Times New Roman" w:hAnsi="Times New Roman"/>
          <w:u w:val="single"/>
        </w:rPr>
        <w:t xml:space="preserve"> of a Sensitive Nature</w:t>
      </w:r>
    </w:p>
    <w:p w:rsidR="00147BDD" w:rsidRDefault="00147BDD">
      <w:pPr>
        <w:widowControl/>
        <w:tabs>
          <w:tab w:val="left" w:pos="720"/>
          <w:tab w:val="left" w:pos="1680"/>
        </w:tabs>
        <w:rPr>
          <w:rFonts w:ascii="Times New Roman" w:hAnsi="Times New Roman"/>
        </w:rPr>
      </w:pPr>
    </w:p>
    <w:p w:rsidR="00147BDD" w:rsidRDefault="00147BDD">
      <w:pPr>
        <w:widowControl/>
        <w:tabs>
          <w:tab w:val="left" w:pos="-270"/>
          <w:tab w:val="left" w:pos="720"/>
        </w:tabs>
        <w:ind w:left="720"/>
        <w:rPr>
          <w:rFonts w:ascii="Times New Roman" w:hAnsi="Times New Roman"/>
        </w:rPr>
      </w:pPr>
      <w:r>
        <w:rPr>
          <w:rFonts w:ascii="Times New Roman" w:hAnsi="Times New Roman"/>
        </w:rPr>
        <w:tab/>
        <w:t>No information of a sensitive nature is required.</w:t>
      </w:r>
    </w:p>
    <w:p w:rsidR="00243AD9" w:rsidRDefault="00243AD9">
      <w:pPr>
        <w:widowControl/>
        <w:tabs>
          <w:tab w:val="left" w:pos="-270"/>
          <w:tab w:val="left" w:pos="720"/>
        </w:tabs>
        <w:ind w:left="720"/>
        <w:rPr>
          <w:rFonts w:ascii="Times New Roman" w:hAnsi="Times New Roman"/>
          <w:u w:val="single"/>
        </w:rPr>
      </w:pPr>
      <w:r>
        <w:rPr>
          <w:rFonts w:ascii="Times New Roman" w:hAnsi="Times New Roman"/>
        </w:rPr>
        <w:t>12.</w:t>
      </w:r>
      <w:r>
        <w:rPr>
          <w:rFonts w:ascii="Times New Roman" w:hAnsi="Times New Roman"/>
        </w:rPr>
        <w:tab/>
      </w:r>
      <w:r>
        <w:rPr>
          <w:rFonts w:ascii="Times New Roman" w:hAnsi="Times New Roman"/>
          <w:u w:val="single"/>
        </w:rPr>
        <w:t>Estimate of Hour Burden Including Annualized Hourly Costs</w:t>
      </w:r>
    </w:p>
    <w:p w:rsidR="00243AD9" w:rsidRDefault="00243AD9">
      <w:pPr>
        <w:widowControl/>
        <w:tabs>
          <w:tab w:val="left" w:pos="-270"/>
          <w:tab w:val="left" w:pos="720"/>
        </w:tabs>
        <w:ind w:left="720"/>
        <w:rPr>
          <w:rFonts w:ascii="Times New Roman" w:hAnsi="Times New Roman"/>
          <w:u w:val="single"/>
        </w:rPr>
      </w:pPr>
    </w:p>
    <w:p w:rsidR="00243AD9" w:rsidRDefault="00243AD9">
      <w:pPr>
        <w:widowControl/>
        <w:tabs>
          <w:tab w:val="left" w:pos="-270"/>
          <w:tab w:val="left" w:pos="720"/>
        </w:tabs>
        <w:ind w:left="720"/>
        <w:rPr>
          <w:rFonts w:ascii="Times New Roman" w:hAnsi="Times New Roman"/>
          <w:u w:val="single"/>
        </w:rPr>
      </w:pPr>
      <w:r>
        <w:rPr>
          <w:rFonts w:ascii="Times New Roman" w:hAnsi="Times New Roman"/>
          <w:i/>
        </w:rPr>
        <w:t>Estimated Annual Burden Hours</w:t>
      </w:r>
    </w:p>
    <w:tbl>
      <w:tblPr>
        <w:tblpPr w:leftFromText="180" w:rightFromText="180" w:vertAnchor="text" w:horzAnchor="margin" w:tblpXSpec="center" w:tblpY="100"/>
        <w:tblW w:w="10840"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ook w:val="04A0" w:firstRow="1" w:lastRow="0" w:firstColumn="1" w:lastColumn="0" w:noHBand="0" w:noVBand="1"/>
      </w:tblPr>
      <w:tblGrid>
        <w:gridCol w:w="2983"/>
        <w:gridCol w:w="1348"/>
        <w:gridCol w:w="1170"/>
        <w:gridCol w:w="1170"/>
        <w:gridCol w:w="990"/>
        <w:gridCol w:w="938"/>
        <w:gridCol w:w="1225"/>
        <w:gridCol w:w="1016"/>
      </w:tblGrid>
      <w:tr w:rsidR="00243AD9" w:rsidRPr="00907C45" w:rsidTr="0072137D">
        <w:trPr>
          <w:trHeight w:val="915"/>
        </w:trPr>
        <w:tc>
          <w:tcPr>
            <w:tcW w:w="2983" w:type="dxa"/>
            <w:tcBorders>
              <w:top w:val="single" w:sz="4" w:space="0" w:color="auto"/>
              <w:bottom w:val="single" w:sz="4" w:space="0" w:color="auto"/>
              <w:right w:val="single" w:sz="6" w:space="0" w:color="auto"/>
            </w:tcBorders>
            <w:shd w:val="clear" w:color="000000" w:fill="D9D9D9"/>
            <w:noWrap/>
            <w:vAlign w:val="center"/>
            <w:hideMark/>
          </w:tcPr>
          <w:p w:rsidR="00243AD9" w:rsidRPr="00907C45" w:rsidRDefault="00243AD9" w:rsidP="0072137D">
            <w:pPr>
              <w:widowControl/>
              <w:jc w:val="center"/>
              <w:rPr>
                <w:rFonts w:ascii="Times New Roman" w:hAnsi="Times New Roman"/>
                <w:b/>
                <w:bCs/>
                <w:snapToGrid/>
                <w:color w:val="000000"/>
                <w:sz w:val="18"/>
                <w:szCs w:val="16"/>
              </w:rPr>
            </w:pPr>
            <w:r w:rsidRPr="00907C45">
              <w:rPr>
                <w:rFonts w:ascii="Times New Roman" w:hAnsi="Times New Roman"/>
                <w:b/>
                <w:bCs/>
                <w:snapToGrid/>
                <w:color w:val="000000"/>
                <w:sz w:val="18"/>
                <w:szCs w:val="16"/>
              </w:rPr>
              <w:t>Information Collection (IC) Description</w:t>
            </w:r>
          </w:p>
        </w:tc>
        <w:tc>
          <w:tcPr>
            <w:tcW w:w="1348"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Type of Burden</w:t>
            </w:r>
          </w:p>
        </w:tc>
        <w:tc>
          <w:tcPr>
            <w:tcW w:w="117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Obligation to Respond</w:t>
            </w:r>
          </w:p>
        </w:tc>
        <w:tc>
          <w:tcPr>
            <w:tcW w:w="117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Number of Respondents</w:t>
            </w:r>
          </w:p>
        </w:tc>
        <w:tc>
          <w:tcPr>
            <w:tcW w:w="990"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Number of Responses</w:t>
            </w:r>
          </w:p>
        </w:tc>
        <w:tc>
          <w:tcPr>
            <w:tcW w:w="938"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Estimated Time per Response</w:t>
            </w:r>
          </w:p>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(Hours)</w:t>
            </w:r>
          </w:p>
        </w:tc>
        <w:tc>
          <w:tcPr>
            <w:tcW w:w="1225" w:type="dxa"/>
            <w:tcBorders>
              <w:top w:val="single" w:sz="4" w:space="0" w:color="auto"/>
              <w:left w:val="single" w:sz="6" w:space="0" w:color="auto"/>
              <w:bottom w:val="single" w:sz="4" w:space="0" w:color="auto"/>
              <w:right w:val="single" w:sz="6" w:space="0" w:color="auto"/>
            </w:tcBorders>
            <w:shd w:val="clear" w:color="000000" w:fill="D9D9D9"/>
            <w:vAlign w:val="center"/>
            <w:hideMark/>
          </w:tcPr>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Frequency of Response</w:t>
            </w:r>
          </w:p>
        </w:tc>
        <w:tc>
          <w:tcPr>
            <w:tcW w:w="1016" w:type="dxa"/>
            <w:tcBorders>
              <w:top w:val="single" w:sz="4" w:space="0" w:color="auto"/>
              <w:left w:val="single" w:sz="6" w:space="0" w:color="auto"/>
              <w:bottom w:val="single" w:sz="4" w:space="0" w:color="auto"/>
            </w:tcBorders>
            <w:shd w:val="clear" w:color="000000" w:fill="D9D9D9"/>
            <w:vAlign w:val="center"/>
            <w:hideMark/>
          </w:tcPr>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Total Estimated Annual Burden</w:t>
            </w:r>
          </w:p>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(Hours)</w:t>
            </w:r>
          </w:p>
        </w:tc>
      </w:tr>
      <w:tr w:rsidR="00243AD9" w:rsidRPr="00907C45" w:rsidTr="0072137D">
        <w:trPr>
          <w:trHeight w:val="576"/>
        </w:trPr>
        <w:tc>
          <w:tcPr>
            <w:tcW w:w="2983" w:type="dxa"/>
            <w:tcBorders>
              <w:left w:val="single" w:sz="8" w:space="0" w:color="auto"/>
              <w:bottom w:val="nil"/>
              <w:right w:val="single" w:sz="6" w:space="0" w:color="auto"/>
            </w:tcBorders>
            <w:shd w:val="clear" w:color="auto" w:fill="auto"/>
            <w:vAlign w:val="center"/>
          </w:tcPr>
          <w:p w:rsidR="00243AD9" w:rsidRPr="00907C45" w:rsidRDefault="00243AD9" w:rsidP="0072137D">
            <w:pPr>
              <w:widowControl/>
              <w:rPr>
                <w:rFonts w:ascii="Times New Roman" w:hAnsi="Times New Roman"/>
                <w:bCs/>
                <w:snapToGrid/>
                <w:color w:val="000000"/>
                <w:sz w:val="20"/>
              </w:rPr>
            </w:pPr>
            <w:r w:rsidRPr="00907C45">
              <w:rPr>
                <w:rFonts w:ascii="Times New Roman" w:hAnsi="Times New Roman"/>
                <w:i/>
                <w:iCs/>
                <w:snapToGrid/>
                <w:color w:val="000000"/>
                <w:sz w:val="20"/>
              </w:rPr>
              <w:t xml:space="preserve">Interagency </w:t>
            </w:r>
            <w:r w:rsidRPr="00907C45">
              <w:rPr>
                <w:rFonts w:ascii="Times New Roman" w:hAnsi="Times New Roman"/>
                <w:bCs/>
                <w:snapToGrid/>
                <w:color w:val="000000"/>
                <w:sz w:val="20"/>
              </w:rPr>
              <w:t>Charter and Federal Deposit Insurance Application</w:t>
            </w:r>
          </w:p>
        </w:tc>
        <w:tc>
          <w:tcPr>
            <w:tcW w:w="1348" w:type="dxa"/>
            <w:tcBorders>
              <w:left w:val="single" w:sz="6" w:space="0" w:color="auto"/>
              <w:bottom w:val="single" w:sz="8" w:space="0" w:color="auto"/>
              <w:right w:val="single" w:sz="6" w:space="0" w:color="auto"/>
            </w:tcBorders>
            <w:shd w:val="clear" w:color="auto" w:fill="auto"/>
            <w:vAlign w:val="center"/>
            <w:hideMark/>
          </w:tcPr>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Reporting</w:t>
            </w:r>
          </w:p>
        </w:tc>
        <w:tc>
          <w:tcPr>
            <w:tcW w:w="1170" w:type="dxa"/>
            <w:tcBorders>
              <w:left w:val="single" w:sz="6" w:space="0" w:color="auto"/>
              <w:bottom w:val="single" w:sz="8" w:space="0" w:color="auto"/>
              <w:right w:val="single" w:sz="6" w:space="0" w:color="auto"/>
            </w:tcBorders>
            <w:shd w:val="clear" w:color="auto" w:fill="auto"/>
            <w:vAlign w:val="center"/>
            <w:hideMark/>
          </w:tcPr>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Mandatory</w:t>
            </w:r>
          </w:p>
        </w:tc>
        <w:tc>
          <w:tcPr>
            <w:tcW w:w="1170" w:type="dxa"/>
            <w:tcBorders>
              <w:left w:val="single" w:sz="6" w:space="0" w:color="auto"/>
              <w:bottom w:val="single" w:sz="8" w:space="0" w:color="auto"/>
              <w:right w:val="single" w:sz="6" w:space="0" w:color="auto"/>
            </w:tcBorders>
            <w:shd w:val="clear" w:color="auto" w:fill="auto"/>
            <w:vAlign w:val="center"/>
            <w:hideMark/>
          </w:tcPr>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3</w:t>
            </w:r>
            <w:r>
              <w:rPr>
                <w:rFonts w:ascii="Times New Roman" w:hAnsi="Times New Roman"/>
                <w:snapToGrid/>
                <w:color w:val="000000"/>
                <w:sz w:val="18"/>
                <w:szCs w:val="16"/>
              </w:rPr>
              <w:t>0</w:t>
            </w:r>
          </w:p>
        </w:tc>
        <w:tc>
          <w:tcPr>
            <w:tcW w:w="990" w:type="dxa"/>
            <w:tcBorders>
              <w:left w:val="single" w:sz="6" w:space="0" w:color="auto"/>
              <w:bottom w:val="single" w:sz="8" w:space="0" w:color="auto"/>
              <w:right w:val="single" w:sz="6" w:space="0" w:color="auto"/>
            </w:tcBorders>
            <w:shd w:val="clear" w:color="auto" w:fill="auto"/>
            <w:vAlign w:val="center"/>
            <w:hideMark/>
          </w:tcPr>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1</w:t>
            </w:r>
          </w:p>
        </w:tc>
        <w:tc>
          <w:tcPr>
            <w:tcW w:w="938" w:type="dxa"/>
            <w:tcBorders>
              <w:left w:val="single" w:sz="6" w:space="0" w:color="auto"/>
              <w:bottom w:val="single" w:sz="8" w:space="0" w:color="auto"/>
              <w:right w:val="single" w:sz="6" w:space="0" w:color="auto"/>
            </w:tcBorders>
            <w:shd w:val="clear" w:color="auto" w:fill="auto"/>
            <w:vAlign w:val="center"/>
            <w:hideMark/>
          </w:tcPr>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125</w:t>
            </w:r>
          </w:p>
        </w:tc>
        <w:tc>
          <w:tcPr>
            <w:tcW w:w="1225" w:type="dxa"/>
            <w:tcBorders>
              <w:left w:val="single" w:sz="6" w:space="0" w:color="auto"/>
              <w:bottom w:val="single" w:sz="8" w:space="0" w:color="auto"/>
              <w:right w:val="single" w:sz="6" w:space="0" w:color="auto"/>
            </w:tcBorders>
            <w:shd w:val="clear" w:color="auto" w:fill="auto"/>
            <w:vAlign w:val="center"/>
            <w:hideMark/>
          </w:tcPr>
          <w:p w:rsidR="00243AD9" w:rsidRPr="00907C45" w:rsidRDefault="00243AD9" w:rsidP="0072137D">
            <w:pPr>
              <w:widowControl/>
              <w:jc w:val="center"/>
              <w:rPr>
                <w:rFonts w:ascii="Times New Roman" w:hAnsi="Times New Roman"/>
                <w:snapToGrid/>
                <w:color w:val="000000"/>
                <w:sz w:val="18"/>
                <w:szCs w:val="16"/>
              </w:rPr>
            </w:pPr>
            <w:r w:rsidRPr="00907C45">
              <w:rPr>
                <w:rFonts w:ascii="Times New Roman" w:hAnsi="Times New Roman"/>
                <w:snapToGrid/>
                <w:color w:val="000000"/>
                <w:sz w:val="18"/>
                <w:szCs w:val="16"/>
              </w:rPr>
              <w:t>On Occasion</w:t>
            </w:r>
          </w:p>
        </w:tc>
        <w:tc>
          <w:tcPr>
            <w:tcW w:w="1016" w:type="dxa"/>
            <w:tcBorders>
              <w:left w:val="single" w:sz="6" w:space="0" w:color="auto"/>
              <w:bottom w:val="single" w:sz="8" w:space="0" w:color="auto"/>
              <w:right w:val="single" w:sz="8" w:space="0" w:color="auto"/>
            </w:tcBorders>
            <w:shd w:val="clear" w:color="auto" w:fill="auto"/>
            <w:vAlign w:val="center"/>
          </w:tcPr>
          <w:p w:rsidR="00243AD9" w:rsidRPr="00907C45" w:rsidRDefault="00243AD9" w:rsidP="0072137D">
            <w:pPr>
              <w:widowControl/>
              <w:jc w:val="right"/>
              <w:rPr>
                <w:rFonts w:ascii="Times New Roman" w:hAnsi="Times New Roman"/>
                <w:snapToGrid/>
                <w:color w:val="000000"/>
                <w:sz w:val="18"/>
                <w:szCs w:val="16"/>
              </w:rPr>
            </w:pPr>
            <w:r>
              <w:rPr>
                <w:rFonts w:ascii="Times New Roman" w:hAnsi="Times New Roman"/>
                <w:snapToGrid/>
                <w:color w:val="000000"/>
                <w:sz w:val="18"/>
                <w:szCs w:val="16"/>
              </w:rPr>
              <w:t>3</w:t>
            </w:r>
            <w:r w:rsidRPr="00907C45">
              <w:rPr>
                <w:rFonts w:ascii="Times New Roman" w:hAnsi="Times New Roman"/>
                <w:snapToGrid/>
                <w:color w:val="000000"/>
                <w:sz w:val="18"/>
                <w:szCs w:val="16"/>
              </w:rPr>
              <w:t>,</w:t>
            </w:r>
            <w:r>
              <w:rPr>
                <w:rFonts w:ascii="Times New Roman" w:hAnsi="Times New Roman"/>
                <w:snapToGrid/>
                <w:color w:val="000000"/>
                <w:sz w:val="18"/>
                <w:szCs w:val="16"/>
              </w:rPr>
              <w:t>7</w:t>
            </w:r>
            <w:r w:rsidRPr="00907C45">
              <w:rPr>
                <w:rFonts w:ascii="Times New Roman" w:hAnsi="Times New Roman"/>
                <w:snapToGrid/>
                <w:color w:val="000000"/>
                <w:sz w:val="18"/>
                <w:szCs w:val="16"/>
              </w:rPr>
              <w:t>50</w:t>
            </w:r>
          </w:p>
        </w:tc>
      </w:tr>
      <w:tr w:rsidR="00243AD9" w:rsidRPr="00907C45" w:rsidTr="0072137D">
        <w:trPr>
          <w:trHeight w:val="443"/>
        </w:trPr>
        <w:tc>
          <w:tcPr>
            <w:tcW w:w="9824" w:type="dxa"/>
            <w:gridSpan w:val="7"/>
            <w:shd w:val="clear" w:color="auto" w:fill="D9D9D9"/>
            <w:vAlign w:val="center"/>
            <w:hideMark/>
          </w:tcPr>
          <w:p w:rsidR="00243AD9" w:rsidRPr="00907C45" w:rsidRDefault="00243AD9" w:rsidP="0072137D">
            <w:pPr>
              <w:widowControl/>
              <w:jc w:val="right"/>
              <w:rPr>
                <w:rFonts w:ascii="Times New Roman" w:hAnsi="Times New Roman"/>
                <w:b/>
                <w:bCs/>
                <w:snapToGrid/>
                <w:color w:val="000000"/>
                <w:sz w:val="18"/>
                <w:szCs w:val="16"/>
              </w:rPr>
            </w:pPr>
            <w:r w:rsidRPr="00907C45">
              <w:rPr>
                <w:rFonts w:ascii="Times New Roman" w:hAnsi="Times New Roman"/>
                <w:b/>
                <w:bCs/>
                <w:snapToGrid/>
                <w:color w:val="000000"/>
                <w:sz w:val="20"/>
                <w:szCs w:val="16"/>
              </w:rPr>
              <w:t xml:space="preserve">Total Estimated Annual Burden Hours </w:t>
            </w:r>
          </w:p>
        </w:tc>
        <w:tc>
          <w:tcPr>
            <w:tcW w:w="1016" w:type="dxa"/>
            <w:shd w:val="clear" w:color="auto" w:fill="D9D9D9"/>
            <w:noWrap/>
            <w:vAlign w:val="center"/>
            <w:hideMark/>
          </w:tcPr>
          <w:p w:rsidR="00243AD9" w:rsidRPr="00907C45" w:rsidRDefault="00243AD9" w:rsidP="0072137D">
            <w:pPr>
              <w:widowControl/>
              <w:jc w:val="right"/>
              <w:rPr>
                <w:rFonts w:ascii="Times New Roman" w:hAnsi="Times New Roman"/>
                <w:b/>
                <w:snapToGrid/>
                <w:color w:val="000000"/>
                <w:sz w:val="18"/>
                <w:szCs w:val="16"/>
              </w:rPr>
            </w:pPr>
            <w:r>
              <w:rPr>
                <w:rFonts w:ascii="Times New Roman" w:hAnsi="Times New Roman"/>
                <w:b/>
                <w:snapToGrid/>
                <w:color w:val="000000"/>
                <w:sz w:val="18"/>
                <w:szCs w:val="16"/>
              </w:rPr>
              <w:t>3</w:t>
            </w:r>
            <w:r w:rsidRPr="00907C45">
              <w:rPr>
                <w:rFonts w:ascii="Times New Roman" w:hAnsi="Times New Roman"/>
                <w:b/>
                <w:snapToGrid/>
                <w:color w:val="000000"/>
                <w:sz w:val="18"/>
                <w:szCs w:val="16"/>
              </w:rPr>
              <w:t>,</w:t>
            </w:r>
            <w:r>
              <w:rPr>
                <w:rFonts w:ascii="Times New Roman" w:hAnsi="Times New Roman"/>
                <w:b/>
                <w:snapToGrid/>
                <w:color w:val="000000"/>
                <w:sz w:val="18"/>
                <w:szCs w:val="16"/>
              </w:rPr>
              <w:t>7</w:t>
            </w:r>
            <w:r w:rsidRPr="00907C45">
              <w:rPr>
                <w:rFonts w:ascii="Times New Roman" w:hAnsi="Times New Roman"/>
                <w:b/>
                <w:snapToGrid/>
                <w:color w:val="000000"/>
                <w:sz w:val="18"/>
                <w:szCs w:val="16"/>
              </w:rPr>
              <w:t>50</w:t>
            </w:r>
          </w:p>
        </w:tc>
      </w:tr>
    </w:tbl>
    <w:p w:rsidR="00243AD9" w:rsidRDefault="00243AD9">
      <w:pPr>
        <w:widowControl/>
        <w:tabs>
          <w:tab w:val="left" w:pos="-270"/>
          <w:tab w:val="left" w:pos="720"/>
        </w:tabs>
        <w:ind w:left="720"/>
        <w:rPr>
          <w:rFonts w:ascii="Times New Roman" w:hAnsi="Times New Roman"/>
          <w:u w:val="single"/>
        </w:rPr>
      </w:pPr>
    </w:p>
    <w:p w:rsidR="00243AD9" w:rsidRDefault="00243AD9">
      <w:pPr>
        <w:widowControl/>
        <w:tabs>
          <w:tab w:val="left" w:pos="-270"/>
          <w:tab w:val="left" w:pos="720"/>
        </w:tabs>
        <w:ind w:left="720"/>
        <w:rPr>
          <w:rFonts w:ascii="Times New Roman" w:hAnsi="Times New Roman"/>
        </w:rPr>
      </w:pPr>
      <w:r>
        <w:rPr>
          <w:rFonts w:ascii="Times New Roman" w:hAnsi="Times New Roman"/>
        </w:rPr>
        <w:t xml:space="preserve">To arrive at the estimated number of respondents published in the 60-day Federal Register notice (84 FR 30714, June 27, 2019), the FDIC </w:t>
      </w:r>
      <w:r w:rsidRPr="00236DB6">
        <w:rPr>
          <w:rFonts w:ascii="Times New Roman" w:hAnsi="Times New Roman"/>
        </w:rPr>
        <w:t>counted the number of deposit insurance applications received between January 1, 2017 and March 31, 2019. Nine</w:t>
      </w:r>
      <w:r>
        <w:rPr>
          <w:rFonts w:ascii="Times New Roman" w:hAnsi="Times New Roman"/>
        </w:rPr>
        <w:t xml:space="preserve"> (9)</w:t>
      </w:r>
      <w:r w:rsidRPr="00236DB6">
        <w:rPr>
          <w:rFonts w:ascii="Times New Roman" w:hAnsi="Times New Roman"/>
        </w:rPr>
        <w:t xml:space="preserve"> applications were received in 201</w:t>
      </w:r>
      <w:r>
        <w:rPr>
          <w:rFonts w:ascii="Times New Roman" w:hAnsi="Times New Roman"/>
        </w:rPr>
        <w:t>7;</w:t>
      </w:r>
      <w:r w:rsidRPr="00236DB6">
        <w:rPr>
          <w:rFonts w:ascii="Times New Roman" w:hAnsi="Times New Roman"/>
        </w:rPr>
        <w:t xml:space="preserve"> 27 </w:t>
      </w:r>
      <w:r>
        <w:rPr>
          <w:rFonts w:ascii="Times New Roman" w:hAnsi="Times New Roman"/>
        </w:rPr>
        <w:t>were received in 2018;</w:t>
      </w:r>
      <w:r w:rsidRPr="00236DB6">
        <w:rPr>
          <w:rFonts w:ascii="Times New Roman" w:hAnsi="Times New Roman"/>
        </w:rPr>
        <w:t xml:space="preserve"> and six</w:t>
      </w:r>
      <w:r>
        <w:rPr>
          <w:rFonts w:ascii="Times New Roman" w:hAnsi="Times New Roman"/>
        </w:rPr>
        <w:t xml:space="preserve"> (6)</w:t>
      </w:r>
      <w:r w:rsidRPr="00236DB6">
        <w:rPr>
          <w:rFonts w:ascii="Times New Roman" w:hAnsi="Times New Roman"/>
        </w:rPr>
        <w:t xml:space="preserve"> were received </w:t>
      </w:r>
      <w:r>
        <w:rPr>
          <w:rFonts w:ascii="Times New Roman" w:hAnsi="Times New Roman"/>
        </w:rPr>
        <w:t xml:space="preserve">during the first quarter of </w:t>
      </w:r>
      <w:r w:rsidRPr="00236DB6">
        <w:rPr>
          <w:rFonts w:ascii="Times New Roman" w:hAnsi="Times New Roman"/>
        </w:rPr>
        <w:t>2019</w:t>
      </w:r>
      <w:r>
        <w:rPr>
          <w:rFonts w:ascii="Times New Roman" w:hAnsi="Times New Roman"/>
        </w:rPr>
        <w:t>.</w:t>
      </w:r>
      <w:r w:rsidRPr="00236DB6">
        <w:rPr>
          <w:rFonts w:ascii="Times New Roman" w:hAnsi="Times New Roman"/>
        </w:rPr>
        <w:t xml:space="preserve"> </w:t>
      </w:r>
      <w:r>
        <w:rPr>
          <w:rFonts w:ascii="Times New Roman" w:hAnsi="Times New Roman"/>
        </w:rPr>
        <w:t xml:space="preserve">FDIC is aware that </w:t>
      </w:r>
      <w:r w:rsidRPr="00236DB6">
        <w:rPr>
          <w:rFonts w:ascii="Times New Roman" w:hAnsi="Times New Roman"/>
        </w:rPr>
        <w:t xml:space="preserve">there has been increasing interest in forming </w:t>
      </w:r>
      <w:r>
        <w:rPr>
          <w:rFonts w:ascii="Times New Roman" w:hAnsi="Times New Roman"/>
        </w:rPr>
        <w:t>new banks and e</w:t>
      </w:r>
      <w:r w:rsidRPr="00236DB6">
        <w:rPr>
          <w:rFonts w:ascii="Times New Roman" w:hAnsi="Times New Roman"/>
        </w:rPr>
        <w:t xml:space="preserve">ach new bank would need to submit an application for Federal deposit insurance. In addition, the FDIC has begun to take steps to ease the </w:t>
      </w:r>
      <w:r>
        <w:rPr>
          <w:rFonts w:ascii="Times New Roman" w:hAnsi="Times New Roman"/>
        </w:rPr>
        <w:t xml:space="preserve">deposit insurance </w:t>
      </w:r>
      <w:r w:rsidRPr="00236DB6">
        <w:rPr>
          <w:rFonts w:ascii="Times New Roman" w:hAnsi="Times New Roman"/>
        </w:rPr>
        <w:t>application process.</w:t>
      </w:r>
      <w:r>
        <w:rPr>
          <w:rFonts w:ascii="Times New Roman" w:hAnsi="Times New Roman"/>
        </w:rPr>
        <w:t xml:space="preserve">  Based on the foregoing, FDIC estimated that the annual number of respondents for this information collection should be adjusted to 34.</w:t>
      </w:r>
    </w:p>
    <w:p w:rsidR="00243AD9" w:rsidRDefault="00243AD9">
      <w:pPr>
        <w:widowControl/>
        <w:tabs>
          <w:tab w:val="left" w:pos="-270"/>
          <w:tab w:val="left" w:pos="720"/>
        </w:tabs>
        <w:ind w:left="720"/>
        <w:rPr>
          <w:rFonts w:ascii="Times New Roman" w:hAnsi="Times New Roman"/>
        </w:rPr>
      </w:pPr>
    </w:p>
    <w:p w:rsidR="00243AD9" w:rsidRDefault="00243AD9">
      <w:pPr>
        <w:widowControl/>
        <w:tabs>
          <w:tab w:val="left" w:pos="-270"/>
          <w:tab w:val="left" w:pos="720"/>
        </w:tabs>
        <w:ind w:left="720"/>
        <w:rPr>
          <w:rFonts w:ascii="Times New Roman" w:hAnsi="Times New Roman"/>
        </w:rPr>
      </w:pPr>
      <w:r>
        <w:rPr>
          <w:rFonts w:ascii="Times New Roman" w:hAnsi="Times New Roman"/>
        </w:rPr>
        <w:t>Since the 60-day Federal Register notice was published, FDIC</w:t>
      </w:r>
      <w:r w:rsidRPr="00236DB6">
        <w:rPr>
          <w:rFonts w:ascii="Times New Roman" w:hAnsi="Times New Roman"/>
        </w:rPr>
        <w:t xml:space="preserve"> </w:t>
      </w:r>
      <w:r>
        <w:rPr>
          <w:rFonts w:ascii="Times New Roman" w:hAnsi="Times New Roman"/>
        </w:rPr>
        <w:t xml:space="preserve">refined the estimated number of expected deposit insurance applications by </w:t>
      </w:r>
      <w:r w:rsidRPr="00236DB6">
        <w:rPr>
          <w:rFonts w:ascii="Times New Roman" w:hAnsi="Times New Roman"/>
        </w:rPr>
        <w:t>annualiz</w:t>
      </w:r>
      <w:r>
        <w:rPr>
          <w:rFonts w:ascii="Times New Roman" w:hAnsi="Times New Roman"/>
        </w:rPr>
        <w:t>ing</w:t>
      </w:r>
      <w:r w:rsidRPr="00236DB6">
        <w:rPr>
          <w:rFonts w:ascii="Times New Roman" w:hAnsi="Times New Roman"/>
        </w:rPr>
        <w:t xml:space="preserve"> the rate of applications received </w:t>
      </w:r>
      <w:r>
        <w:rPr>
          <w:rFonts w:ascii="Times New Roman" w:hAnsi="Times New Roman"/>
        </w:rPr>
        <w:t xml:space="preserve">during the first quarter of </w:t>
      </w:r>
      <w:r w:rsidRPr="00236DB6">
        <w:rPr>
          <w:rFonts w:ascii="Times New Roman" w:hAnsi="Times New Roman"/>
        </w:rPr>
        <w:t xml:space="preserve">2019 to derive an annual estimate of 24. </w:t>
      </w:r>
      <w:r>
        <w:rPr>
          <w:rFonts w:ascii="Times New Roman" w:hAnsi="Times New Roman"/>
        </w:rPr>
        <w:t xml:space="preserve">Using the above historical application data, </w:t>
      </w:r>
      <w:r w:rsidRPr="00236DB6">
        <w:rPr>
          <w:rFonts w:ascii="Times New Roman" w:hAnsi="Times New Roman"/>
        </w:rPr>
        <w:t xml:space="preserve">FDIC staff produced an intermediate estimate of 20 as the annual average number of </w:t>
      </w:r>
      <w:r>
        <w:rPr>
          <w:rFonts w:ascii="Times New Roman" w:hAnsi="Times New Roman"/>
        </w:rPr>
        <w:t xml:space="preserve">applications expected.  </w:t>
      </w:r>
      <w:r w:rsidRPr="00275838">
        <w:rPr>
          <w:rFonts w:ascii="Times New Roman" w:hAnsi="Times New Roman"/>
        </w:rPr>
        <w:t>Starting with the intermediate estimate of 20 respondents per year, and weighting the expert judgment of FDIC staff at 50 percent to incorporate the qualitative factors discussed above</w:t>
      </w:r>
      <w:r>
        <w:rPr>
          <w:rFonts w:ascii="Times New Roman" w:hAnsi="Times New Roman"/>
        </w:rPr>
        <w:t xml:space="preserve"> </w:t>
      </w:r>
      <w:r w:rsidRPr="00275838">
        <w:rPr>
          <w:rFonts w:ascii="Times New Roman" w:hAnsi="Times New Roman"/>
        </w:rPr>
        <w:t xml:space="preserve">(20 + 0.50*20), </w:t>
      </w:r>
      <w:r>
        <w:rPr>
          <w:rFonts w:ascii="Times New Roman" w:hAnsi="Times New Roman"/>
        </w:rPr>
        <w:t xml:space="preserve">FDIC is revising its estimated number of respondents for this information collection to </w:t>
      </w:r>
      <w:r w:rsidRPr="00275838">
        <w:rPr>
          <w:rFonts w:ascii="Times New Roman" w:hAnsi="Times New Roman"/>
        </w:rPr>
        <w:t>30 respondents per year</w:t>
      </w:r>
      <w:r>
        <w:rPr>
          <w:rFonts w:ascii="Times New Roman" w:hAnsi="Times New Roman"/>
        </w:rPr>
        <w:t>.</w:t>
      </w:r>
    </w:p>
    <w:p w:rsidR="00243AD9" w:rsidRDefault="00243AD9">
      <w:pPr>
        <w:widowControl/>
        <w:tabs>
          <w:tab w:val="left" w:pos="-270"/>
          <w:tab w:val="left" w:pos="720"/>
        </w:tabs>
        <w:ind w:left="720"/>
        <w:rPr>
          <w:rFonts w:ascii="Times New Roman" w:hAnsi="Times New Roman"/>
        </w:rPr>
      </w:pPr>
      <w:r>
        <w:rPr>
          <w:rFonts w:ascii="Times New Roman" w:hAnsi="Times New Roman"/>
        </w:rPr>
        <w:br w:type="page"/>
      </w:r>
    </w:p>
    <w:p w:rsidR="00243AD9" w:rsidRDefault="00243AD9">
      <w:pPr>
        <w:widowControl/>
        <w:tabs>
          <w:tab w:val="left" w:pos="-270"/>
          <w:tab w:val="left" w:pos="720"/>
        </w:tabs>
        <w:ind w:left="720"/>
        <w:rPr>
          <w:rFonts w:ascii="Times New Roman" w:hAnsi="Times New Roman"/>
          <w:i/>
        </w:rPr>
      </w:pPr>
      <w:r w:rsidRPr="00813511">
        <w:rPr>
          <w:rFonts w:ascii="Times New Roman" w:hAnsi="Times New Roman"/>
          <w:i/>
        </w:rPr>
        <w:t>Annualized Hourly Costs</w:t>
      </w:r>
    </w:p>
    <w:p w:rsidR="00243AD9" w:rsidRDefault="00243AD9">
      <w:pPr>
        <w:widowControl/>
        <w:tabs>
          <w:tab w:val="left" w:pos="-270"/>
          <w:tab w:val="left" w:pos="720"/>
        </w:tabs>
        <w:ind w:left="720"/>
        <w:rPr>
          <w:rFonts w:ascii="Times New Roman" w:hAnsi="Times New Roman"/>
        </w:rPr>
      </w:pPr>
    </w:p>
    <w:p w:rsidR="00DE361A" w:rsidRPr="00243AD9" w:rsidRDefault="00DE361A" w:rsidP="00DE361A">
      <w:pPr>
        <w:widowControl/>
        <w:tabs>
          <w:tab w:val="left" w:pos="-270"/>
          <w:tab w:val="left" w:pos="720"/>
        </w:tabs>
        <w:ind w:left="720"/>
        <w:rPr>
          <w:rFonts w:ascii="Times New Roman" w:hAnsi="Times New Roman"/>
        </w:rPr>
      </w:pPr>
      <w:r w:rsidRPr="00243AD9">
        <w:rPr>
          <w:rFonts w:ascii="Times New Roman" w:hAnsi="Times New Roman"/>
          <w:snapToGrid/>
        </w:rPr>
        <w:t xml:space="preserve">The total estimated annual hourly burden imposed by this information collection is computed as the product of the annual average number of respondents and the estimated hours required to complete an application (30 * 125 = 3,750). </w:t>
      </w:r>
      <w:r w:rsidRPr="00DE361A">
        <w:rPr>
          <w:rFonts w:ascii="Times New Roman" w:hAnsi="Times New Roman"/>
          <w:b/>
          <w:snapToGrid/>
        </w:rPr>
        <w:t>The total estimated annual labor cost is $462,750</w:t>
      </w:r>
      <w:r>
        <w:rPr>
          <w:rFonts w:ascii="Times New Roman" w:hAnsi="Times New Roman"/>
          <w:snapToGrid/>
        </w:rPr>
        <w:t xml:space="preserve"> and is </w:t>
      </w:r>
      <w:r w:rsidRPr="00243AD9">
        <w:rPr>
          <w:rFonts w:ascii="Times New Roman" w:hAnsi="Times New Roman"/>
          <w:snapToGrid/>
        </w:rPr>
        <w:t xml:space="preserve">calculated </w:t>
      </w:r>
      <w:r>
        <w:rPr>
          <w:rFonts w:ascii="Times New Roman" w:hAnsi="Times New Roman"/>
          <w:snapToGrid/>
        </w:rPr>
        <w:t>by multiplying</w:t>
      </w:r>
      <w:r w:rsidRPr="00243AD9">
        <w:rPr>
          <w:rFonts w:ascii="Times New Roman" w:hAnsi="Times New Roman"/>
          <w:snapToGrid/>
        </w:rPr>
        <w:t xml:space="preserve"> the estimated annual hourly burden</w:t>
      </w:r>
      <w:r>
        <w:rPr>
          <w:rFonts w:ascii="Times New Roman" w:hAnsi="Times New Roman"/>
          <w:snapToGrid/>
        </w:rPr>
        <w:t xml:space="preserve"> (3, 750 hours) by</w:t>
      </w:r>
      <w:r w:rsidRPr="00243AD9">
        <w:rPr>
          <w:rFonts w:ascii="Times New Roman" w:hAnsi="Times New Roman"/>
          <w:snapToGrid/>
        </w:rPr>
        <w:t xml:space="preserve"> the estimated weighted average hourly labor cost ($123.40).</w:t>
      </w:r>
      <w:r w:rsidRPr="00DE361A">
        <w:rPr>
          <w:rStyle w:val="FootnoteReference"/>
          <w:rFonts w:ascii="Times New Roman" w:hAnsi="Times New Roman"/>
          <w:snapToGrid/>
          <w:vertAlign w:val="superscript"/>
        </w:rPr>
        <w:footnoteReference w:id="1"/>
      </w:r>
    </w:p>
    <w:p w:rsidR="00DE361A" w:rsidRPr="00DE361A" w:rsidRDefault="00DE361A">
      <w:pPr>
        <w:widowControl/>
        <w:tabs>
          <w:tab w:val="left" w:pos="-270"/>
          <w:tab w:val="left" w:pos="720"/>
        </w:tabs>
        <w:ind w:left="720"/>
        <w:rPr>
          <w:rFonts w:ascii="Times New Roman" w:hAnsi="Times New Roman"/>
        </w:rPr>
      </w:pPr>
    </w:p>
    <w:p w:rsidR="00243AD9" w:rsidRPr="00243AD9" w:rsidRDefault="005735D7">
      <w:pPr>
        <w:widowControl/>
        <w:tabs>
          <w:tab w:val="left" w:pos="-270"/>
          <w:tab w:val="left" w:pos="720"/>
        </w:tabs>
        <w:ind w:left="720"/>
        <w:rPr>
          <w:rFonts w:ascii="Times New Roman" w:hAnsi="Times New Roman"/>
        </w:rPr>
      </w:pPr>
      <w:r w:rsidRPr="00243AD9">
        <w:rPr>
          <w:noProof/>
          <w:snapToGrid/>
        </w:rPr>
        <w:drawing>
          <wp:inline distT="0" distB="0" distL="0" distR="0" wp14:anchorId="446FCC00" wp14:editId="0FF204D4">
            <wp:extent cx="5945505" cy="337312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5505" cy="3373120"/>
                    </a:xfrm>
                    <a:prstGeom prst="rect">
                      <a:avLst/>
                    </a:prstGeom>
                    <a:noFill/>
                    <a:ln>
                      <a:noFill/>
                    </a:ln>
                  </pic:spPr>
                </pic:pic>
              </a:graphicData>
            </a:graphic>
          </wp:inline>
        </w:drawing>
      </w:r>
    </w:p>
    <w:p w:rsidR="00243AD9" w:rsidRDefault="00243AD9">
      <w:pPr>
        <w:widowControl/>
        <w:tabs>
          <w:tab w:val="left" w:pos="-270"/>
          <w:tab w:val="left" w:pos="720"/>
        </w:tabs>
        <w:ind w:left="720"/>
        <w:rPr>
          <w:rFonts w:ascii="Times New Roman" w:hAnsi="Times New Roman"/>
          <w:i/>
        </w:rPr>
      </w:pPr>
    </w:p>
    <w:p w:rsidR="00147BDD" w:rsidRDefault="00147BDD">
      <w:pPr>
        <w:widowControl/>
        <w:tabs>
          <w:tab w:val="left" w:pos="720"/>
          <w:tab w:val="left" w:pos="1680"/>
        </w:tabs>
        <w:rPr>
          <w:rFonts w:ascii="Times New Roman" w:hAnsi="Times New Roman"/>
        </w:rPr>
      </w:pPr>
    </w:p>
    <w:p w:rsidR="00147BDD" w:rsidRDefault="00147BDD">
      <w:pPr>
        <w:widowControl/>
        <w:tabs>
          <w:tab w:val="left" w:pos="-900"/>
          <w:tab w:val="left" w:pos="720"/>
        </w:tabs>
        <w:ind w:firstLine="720"/>
        <w:rPr>
          <w:rFonts w:ascii="Times New Roman" w:hAnsi="Times New Roman"/>
        </w:rPr>
      </w:pPr>
      <w:r>
        <w:rPr>
          <w:rFonts w:ascii="Times New Roman" w:hAnsi="Times New Roman"/>
        </w:rPr>
        <w:t>13.</w:t>
      </w:r>
      <w:r>
        <w:rPr>
          <w:rFonts w:ascii="Times New Roman" w:hAnsi="Times New Roman"/>
        </w:rPr>
        <w:tab/>
      </w:r>
      <w:r w:rsidR="00DF5CEC">
        <w:rPr>
          <w:rFonts w:ascii="Times New Roman" w:hAnsi="Times New Roman"/>
          <w:u w:val="single"/>
        </w:rPr>
        <w:t>Estimate of Annualized</w:t>
      </w:r>
      <w:r w:rsidR="007A45B5">
        <w:rPr>
          <w:rFonts w:ascii="Times New Roman" w:hAnsi="Times New Roman"/>
          <w:u w:val="single"/>
        </w:rPr>
        <w:t xml:space="preserve"> Costs</w:t>
      </w:r>
      <w:r w:rsidR="00DF5CEC">
        <w:rPr>
          <w:rFonts w:ascii="Times New Roman" w:hAnsi="Times New Roman"/>
          <w:u w:val="single"/>
        </w:rPr>
        <w:t xml:space="preserve"> to Respondents</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s>
        <w:ind w:firstLine="720"/>
        <w:rPr>
          <w:rFonts w:ascii="Times New Roman" w:hAnsi="Times New Roman"/>
        </w:rPr>
      </w:pPr>
      <w:r>
        <w:rPr>
          <w:rFonts w:ascii="Times New Roman" w:hAnsi="Times New Roman"/>
        </w:rPr>
        <w:tab/>
      </w:r>
      <w:r w:rsidR="00DE361A">
        <w:rPr>
          <w:rFonts w:ascii="Times New Roman" w:hAnsi="Times New Roman"/>
        </w:rPr>
        <w:t>None</w:t>
      </w:r>
      <w:r>
        <w:rPr>
          <w:rFonts w:ascii="Times New Roman" w:hAnsi="Times New Roman"/>
        </w:rPr>
        <w:t xml:space="preserve">. </w:t>
      </w:r>
    </w:p>
    <w:p w:rsidR="00147BDD" w:rsidRDefault="00147BDD">
      <w:pPr>
        <w:widowControl/>
        <w:tabs>
          <w:tab w:val="left" w:pos="720"/>
          <w:tab w:val="left" w:pos="1680"/>
        </w:tabs>
        <w:ind w:firstLine="720"/>
        <w:rPr>
          <w:rFonts w:ascii="Times New Roman" w:hAnsi="Times New Roman"/>
        </w:rPr>
      </w:pPr>
    </w:p>
    <w:p w:rsidR="00147BDD" w:rsidRDefault="00147BDD">
      <w:pPr>
        <w:widowControl/>
        <w:tabs>
          <w:tab w:val="left" w:pos="-810"/>
          <w:tab w:val="left" w:pos="720"/>
        </w:tabs>
        <w:ind w:left="720"/>
        <w:rPr>
          <w:rFonts w:ascii="Times New Roman" w:hAnsi="Times New Roman"/>
        </w:rPr>
      </w:pPr>
      <w:r>
        <w:rPr>
          <w:rFonts w:ascii="Times New Roman" w:hAnsi="Times New Roman"/>
        </w:rPr>
        <w:t>14.</w:t>
      </w:r>
      <w:r>
        <w:rPr>
          <w:rFonts w:ascii="Times New Roman" w:hAnsi="Times New Roman"/>
        </w:rPr>
        <w:tab/>
      </w:r>
      <w:r w:rsidR="00DF5CEC">
        <w:rPr>
          <w:rFonts w:ascii="Times New Roman" w:hAnsi="Times New Roman"/>
          <w:u w:val="single"/>
        </w:rPr>
        <w:t>Estimate of Annualized Costs to the</w:t>
      </w:r>
      <w:r>
        <w:rPr>
          <w:rFonts w:ascii="Times New Roman" w:hAnsi="Times New Roman"/>
          <w:u w:val="single"/>
        </w:rPr>
        <w:t xml:space="preserve"> Government</w:t>
      </w:r>
      <w:r>
        <w:rPr>
          <w:rFonts w:ascii="Times New Roman" w:hAnsi="Times New Roman"/>
        </w:rPr>
        <w:t xml:space="preserve"> </w:t>
      </w:r>
    </w:p>
    <w:p w:rsidR="00147BDD" w:rsidRDefault="00147BDD">
      <w:pPr>
        <w:widowControl/>
        <w:tabs>
          <w:tab w:val="left" w:pos="720"/>
          <w:tab w:val="left" w:pos="1680"/>
        </w:tabs>
        <w:rPr>
          <w:rFonts w:ascii="Times New Roman" w:hAnsi="Times New Roman"/>
        </w:rPr>
      </w:pPr>
    </w:p>
    <w:p w:rsidR="00147BDD" w:rsidRDefault="00147BDD" w:rsidP="0066107C">
      <w:pPr>
        <w:widowControl/>
        <w:tabs>
          <w:tab w:val="left" w:pos="-810"/>
          <w:tab w:val="left" w:pos="720"/>
        </w:tabs>
        <w:ind w:firstLine="720"/>
        <w:rPr>
          <w:rFonts w:ascii="Times New Roman" w:hAnsi="Times New Roman"/>
        </w:rPr>
      </w:pPr>
      <w:r>
        <w:rPr>
          <w:rFonts w:ascii="Times New Roman" w:hAnsi="Times New Roman"/>
        </w:rPr>
        <w:tab/>
      </w:r>
      <w:r w:rsidR="007E4157">
        <w:rPr>
          <w:rFonts w:ascii="Times New Roman" w:hAnsi="Times New Roman"/>
        </w:rPr>
        <w:t xml:space="preserve"> None.</w:t>
      </w:r>
    </w:p>
    <w:p w:rsidR="00147BDD" w:rsidRDefault="00147BDD">
      <w:pPr>
        <w:widowControl/>
        <w:tabs>
          <w:tab w:val="left" w:pos="720"/>
          <w:tab w:val="left" w:pos="1680"/>
        </w:tabs>
        <w:ind w:firstLine="720"/>
        <w:rPr>
          <w:rFonts w:ascii="Times New Roman" w:hAnsi="Times New Roman"/>
        </w:rPr>
      </w:pPr>
    </w:p>
    <w:p w:rsidR="00147BDD" w:rsidRDefault="00147BDD">
      <w:pPr>
        <w:widowControl/>
        <w:tabs>
          <w:tab w:val="left" w:pos="-720"/>
          <w:tab w:val="left" w:pos="720"/>
        </w:tabs>
        <w:ind w:firstLine="720"/>
        <w:rPr>
          <w:rFonts w:ascii="Times New Roman" w:hAnsi="Times New Roman"/>
        </w:rPr>
      </w:pPr>
      <w:r>
        <w:rPr>
          <w:rFonts w:ascii="Times New Roman" w:hAnsi="Times New Roman"/>
        </w:rPr>
        <w:t>15.</w:t>
      </w:r>
      <w:r>
        <w:rPr>
          <w:rFonts w:ascii="Times New Roman" w:hAnsi="Times New Roman"/>
        </w:rPr>
        <w:tab/>
      </w:r>
      <w:r w:rsidR="00DF5CEC">
        <w:rPr>
          <w:rFonts w:ascii="Times New Roman" w:hAnsi="Times New Roman"/>
          <w:u w:val="single"/>
        </w:rPr>
        <w:t>Analysis of C</w:t>
      </w:r>
      <w:r>
        <w:rPr>
          <w:rFonts w:ascii="Times New Roman" w:hAnsi="Times New Roman"/>
          <w:u w:val="single"/>
        </w:rPr>
        <w:t>hange in Burden</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 w:val="left" w:pos="1680"/>
        </w:tabs>
        <w:ind w:left="1440"/>
      </w:pPr>
      <w:r w:rsidRPr="00FF7203">
        <w:rPr>
          <w:rFonts w:ascii="Times New Roman" w:hAnsi="Times New Roman"/>
          <w:szCs w:val="24"/>
        </w:rPr>
        <w:t xml:space="preserve">The </w:t>
      </w:r>
      <w:r w:rsidR="007D6A10">
        <w:rPr>
          <w:rFonts w:ascii="Times New Roman" w:hAnsi="Times New Roman"/>
          <w:szCs w:val="24"/>
        </w:rPr>
        <w:t xml:space="preserve">is no </w:t>
      </w:r>
      <w:r w:rsidRPr="00FF7203">
        <w:rPr>
          <w:rFonts w:ascii="Times New Roman" w:hAnsi="Times New Roman"/>
          <w:szCs w:val="24"/>
        </w:rPr>
        <w:t xml:space="preserve">change in </w:t>
      </w:r>
      <w:r w:rsidR="007D6A10">
        <w:rPr>
          <w:rFonts w:ascii="Times New Roman" w:hAnsi="Times New Roman"/>
          <w:szCs w:val="24"/>
        </w:rPr>
        <w:t xml:space="preserve">substance or method of information collection.  The </w:t>
      </w:r>
      <w:r w:rsidRPr="00FF7203">
        <w:rPr>
          <w:rFonts w:ascii="Times New Roman" w:hAnsi="Times New Roman"/>
          <w:szCs w:val="24"/>
        </w:rPr>
        <w:t xml:space="preserve">estimated </w:t>
      </w:r>
      <w:r w:rsidR="007D6A10">
        <w:rPr>
          <w:rFonts w:ascii="Times New Roman" w:hAnsi="Times New Roman"/>
          <w:szCs w:val="24"/>
        </w:rPr>
        <w:t xml:space="preserve">time to respond remains the same, the change in burden from 5,250 hours to </w:t>
      </w:r>
      <w:r w:rsidR="008F300A">
        <w:rPr>
          <w:rFonts w:ascii="Times New Roman" w:hAnsi="Times New Roman"/>
          <w:szCs w:val="24"/>
        </w:rPr>
        <w:t>3</w:t>
      </w:r>
      <w:r w:rsidR="007D6A10">
        <w:rPr>
          <w:rFonts w:ascii="Times New Roman" w:hAnsi="Times New Roman"/>
          <w:szCs w:val="24"/>
        </w:rPr>
        <w:t>,</w:t>
      </w:r>
      <w:r w:rsidR="008F300A">
        <w:rPr>
          <w:rFonts w:ascii="Times New Roman" w:hAnsi="Times New Roman"/>
          <w:szCs w:val="24"/>
        </w:rPr>
        <w:t>7</w:t>
      </w:r>
      <w:r w:rsidR="007D6A10">
        <w:rPr>
          <w:rFonts w:ascii="Times New Roman" w:hAnsi="Times New Roman"/>
          <w:szCs w:val="24"/>
        </w:rPr>
        <w:t>50 hours</w:t>
      </w:r>
      <w:r w:rsidR="00541016" w:rsidRPr="00FF7203">
        <w:rPr>
          <w:rFonts w:ascii="Times New Roman" w:hAnsi="Times New Roman"/>
          <w:szCs w:val="24"/>
        </w:rPr>
        <w:t xml:space="preserve"> </w:t>
      </w:r>
      <w:r w:rsidR="007D6A10">
        <w:rPr>
          <w:rFonts w:ascii="Times New Roman" w:hAnsi="Times New Roman"/>
          <w:szCs w:val="24"/>
        </w:rPr>
        <w:t xml:space="preserve">is due to a change in the estimated number of respondents </w:t>
      </w:r>
      <w:r w:rsidR="008F300A">
        <w:rPr>
          <w:rFonts w:ascii="Times New Roman" w:hAnsi="Times New Roman"/>
          <w:szCs w:val="24"/>
        </w:rPr>
        <w:t>as explained in Section 12 above</w:t>
      </w:r>
      <w:r w:rsidRPr="00FF7203">
        <w:rPr>
          <w:rFonts w:ascii="Times New Roman" w:hAnsi="Times New Roman"/>
          <w:szCs w:val="24"/>
        </w:rPr>
        <w:t>.</w:t>
      </w:r>
    </w:p>
    <w:p w:rsidR="00147BDD" w:rsidRDefault="00147BDD">
      <w:pPr>
        <w:widowControl/>
        <w:tabs>
          <w:tab w:val="left" w:pos="720"/>
          <w:tab w:val="left" w:pos="1680"/>
        </w:tabs>
        <w:rPr>
          <w:rFonts w:ascii="Times New Roman" w:hAnsi="Times New Roman"/>
        </w:rPr>
      </w:pPr>
    </w:p>
    <w:p w:rsidR="00147BDD" w:rsidRDefault="00147BDD" w:rsidP="00DF5CEC">
      <w:pPr>
        <w:widowControl/>
        <w:tabs>
          <w:tab w:val="left" w:pos="720"/>
          <w:tab w:val="left" w:pos="1440"/>
        </w:tabs>
        <w:ind w:left="1440" w:hanging="810"/>
        <w:rPr>
          <w:rFonts w:ascii="Times New Roman" w:hAnsi="Times New Roman"/>
        </w:rPr>
      </w:pPr>
      <w:r>
        <w:rPr>
          <w:rFonts w:ascii="Times New Roman" w:hAnsi="Times New Roman"/>
        </w:rPr>
        <w:t>16.</w:t>
      </w:r>
      <w:r>
        <w:rPr>
          <w:rFonts w:ascii="Times New Roman" w:hAnsi="Times New Roman"/>
        </w:rPr>
        <w:tab/>
      </w:r>
      <w:r w:rsidR="00DF5CEC">
        <w:rPr>
          <w:rFonts w:ascii="Times New Roman" w:hAnsi="Times New Roman"/>
          <w:u w:val="single"/>
        </w:rPr>
        <w:t>Information Regarding Collections Whose Results are Planned to be Published for Statistical Use</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s>
        <w:ind w:firstLine="720"/>
        <w:rPr>
          <w:rFonts w:ascii="Times New Roman" w:hAnsi="Times New Roman"/>
        </w:rPr>
      </w:pPr>
      <w:r>
        <w:rPr>
          <w:rFonts w:ascii="Times New Roman" w:hAnsi="Times New Roman"/>
        </w:rPr>
        <w:tab/>
        <w:t>The information collected is not published.</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s>
        <w:ind w:firstLine="720"/>
        <w:rPr>
          <w:rFonts w:ascii="Times New Roman" w:hAnsi="Times New Roman"/>
        </w:rPr>
      </w:pPr>
      <w:r>
        <w:rPr>
          <w:rFonts w:ascii="Times New Roman" w:hAnsi="Times New Roman"/>
        </w:rPr>
        <w:t>17.</w:t>
      </w:r>
      <w:r>
        <w:rPr>
          <w:rFonts w:ascii="Times New Roman" w:hAnsi="Times New Roman"/>
        </w:rPr>
        <w:tab/>
      </w:r>
      <w:r w:rsidR="00C61A40" w:rsidRPr="00DF5CEC">
        <w:rPr>
          <w:rFonts w:ascii="Times New Roman" w:hAnsi="Times New Roman"/>
          <w:u w:val="single"/>
        </w:rPr>
        <w:t>Exceptions to</w:t>
      </w:r>
      <w:r>
        <w:rPr>
          <w:rFonts w:ascii="Times New Roman" w:hAnsi="Times New Roman"/>
          <w:u w:val="single"/>
        </w:rPr>
        <w:t xml:space="preserve"> </w:t>
      </w:r>
      <w:r w:rsidR="00DF5CEC">
        <w:rPr>
          <w:rFonts w:ascii="Times New Roman" w:hAnsi="Times New Roman"/>
          <w:u w:val="single"/>
        </w:rPr>
        <w:t xml:space="preserve">Display of </w:t>
      </w:r>
      <w:r>
        <w:rPr>
          <w:rFonts w:ascii="Times New Roman" w:hAnsi="Times New Roman"/>
          <w:u w:val="single"/>
        </w:rPr>
        <w:t>Expiration Date</w:t>
      </w:r>
      <w:r>
        <w:rPr>
          <w:rFonts w:ascii="Times New Roman" w:hAnsi="Times New Roman"/>
        </w:rPr>
        <w:t xml:space="preserve"> </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s>
        <w:ind w:left="720"/>
        <w:rPr>
          <w:rFonts w:ascii="Times New Roman" w:hAnsi="Times New Roman"/>
        </w:rPr>
      </w:pPr>
      <w:r>
        <w:rPr>
          <w:rFonts w:ascii="Times New Roman" w:hAnsi="Times New Roman"/>
        </w:rPr>
        <w:tab/>
      </w:r>
      <w:r w:rsidR="00C61A40">
        <w:rPr>
          <w:rFonts w:ascii="Times New Roman" w:hAnsi="Times New Roman"/>
        </w:rPr>
        <w:t>None.</w:t>
      </w:r>
      <w:r>
        <w:rPr>
          <w:rFonts w:ascii="Times New Roman" w:hAnsi="Times New Roman"/>
        </w:rPr>
        <w:t xml:space="preserve"> </w:t>
      </w:r>
    </w:p>
    <w:p w:rsidR="00147BDD" w:rsidRDefault="00147BDD">
      <w:pPr>
        <w:widowControl/>
        <w:tabs>
          <w:tab w:val="left" w:pos="720"/>
          <w:tab w:val="left" w:pos="1680"/>
        </w:tabs>
        <w:rPr>
          <w:rFonts w:ascii="Times New Roman" w:hAnsi="Times New Roman"/>
        </w:rPr>
      </w:pPr>
    </w:p>
    <w:p w:rsidR="00147BDD" w:rsidRDefault="00147BDD">
      <w:pPr>
        <w:widowControl/>
        <w:tabs>
          <w:tab w:val="left" w:pos="-1170"/>
          <w:tab w:val="left" w:pos="720"/>
        </w:tabs>
        <w:ind w:firstLine="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w:t>
      </w:r>
      <w:r w:rsidR="00213DE5">
        <w:rPr>
          <w:rFonts w:ascii="Times New Roman" w:hAnsi="Times New Roman"/>
          <w:u w:val="single"/>
        </w:rPr>
        <w:t xml:space="preserve"> Statement</w:t>
      </w:r>
    </w:p>
    <w:p w:rsidR="00147BDD" w:rsidRDefault="00147BDD">
      <w:pPr>
        <w:widowControl/>
        <w:tabs>
          <w:tab w:val="left" w:pos="720"/>
          <w:tab w:val="left" w:pos="1680"/>
        </w:tabs>
        <w:rPr>
          <w:rFonts w:ascii="Times New Roman" w:hAnsi="Times New Roman"/>
        </w:rPr>
      </w:pPr>
    </w:p>
    <w:p w:rsidR="00147BDD" w:rsidRDefault="00147BDD">
      <w:pPr>
        <w:widowControl/>
        <w:tabs>
          <w:tab w:val="left" w:pos="720"/>
        </w:tabs>
        <w:ind w:left="720"/>
        <w:rPr>
          <w:rFonts w:ascii="Times New Roman" w:hAnsi="Times New Roman"/>
        </w:rPr>
      </w:pPr>
      <w:r>
        <w:rPr>
          <w:rFonts w:ascii="Times New Roman" w:hAnsi="Times New Roman"/>
        </w:rPr>
        <w:tab/>
      </w:r>
      <w:r w:rsidR="00C61A40">
        <w:rPr>
          <w:rFonts w:ascii="Times New Roman" w:hAnsi="Times New Roman"/>
        </w:rPr>
        <w:t>None.</w:t>
      </w:r>
      <w:r>
        <w:rPr>
          <w:rFonts w:ascii="Times New Roman" w:hAnsi="Times New Roman"/>
        </w:rPr>
        <w:t xml:space="preserve"> </w:t>
      </w:r>
    </w:p>
    <w:p w:rsidR="00C61A40" w:rsidRDefault="00C61A40" w:rsidP="00C61A40">
      <w:pPr>
        <w:spacing w:after="120"/>
        <w:rPr>
          <w:rFonts w:ascii="Times New Roman" w:hAnsi="Times New Roman"/>
        </w:rPr>
      </w:pPr>
    </w:p>
    <w:p w:rsidR="00C61A40" w:rsidRPr="00ED5C59" w:rsidRDefault="00C61A40" w:rsidP="00C61A40">
      <w:pPr>
        <w:spacing w:after="120"/>
        <w:rPr>
          <w:rFonts w:ascii="Times New Roman" w:hAnsi="Times New Roman"/>
        </w:rPr>
      </w:pPr>
      <w:r w:rsidRPr="00ED5C59">
        <w:rPr>
          <w:rFonts w:ascii="Times New Roman" w:hAnsi="Times New Roman"/>
        </w:rPr>
        <w:t>B.</w:t>
      </w:r>
      <w:r w:rsidRPr="00ED5C59">
        <w:rPr>
          <w:rFonts w:ascii="Times New Roman" w:hAnsi="Times New Roman"/>
        </w:rPr>
        <w:tab/>
      </w:r>
      <w:r w:rsidRPr="00ED5C59">
        <w:rPr>
          <w:rFonts w:ascii="Times New Roman" w:hAnsi="Times New Roman"/>
          <w:u w:val="single"/>
        </w:rPr>
        <w:t>STATISTICAL METHODS</w:t>
      </w:r>
    </w:p>
    <w:p w:rsidR="00C61A40" w:rsidRPr="00ED5C59" w:rsidRDefault="00C61A40" w:rsidP="00C61A40">
      <w:pPr>
        <w:spacing w:after="240"/>
        <w:ind w:left="720"/>
        <w:rPr>
          <w:rFonts w:ascii="Times New Roman" w:hAnsi="Times New Roman"/>
        </w:rPr>
      </w:pPr>
      <w:r w:rsidRPr="00ED5C59">
        <w:rPr>
          <w:rFonts w:ascii="Times New Roman" w:hAnsi="Times New Roman"/>
        </w:rPr>
        <w:t>Not applicable.</w:t>
      </w:r>
    </w:p>
    <w:p w:rsidR="00147BDD" w:rsidRDefault="00147BDD">
      <w:pPr>
        <w:widowControl/>
        <w:tabs>
          <w:tab w:val="left" w:pos="720"/>
          <w:tab w:val="left" w:pos="1680"/>
        </w:tabs>
        <w:rPr>
          <w:rFonts w:ascii="Times New Roman" w:hAnsi="Times New Roman"/>
          <w:u w:val="single"/>
        </w:rPr>
      </w:pPr>
    </w:p>
    <w:sectPr w:rsidR="00147BDD">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37D" w:rsidRDefault="0072137D">
      <w:r>
        <w:separator/>
      </w:r>
    </w:p>
  </w:endnote>
  <w:endnote w:type="continuationSeparator" w:id="0">
    <w:p w:rsidR="0072137D" w:rsidRDefault="0072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BDD" w:rsidRDefault="00147B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7BDD" w:rsidRDefault="00147B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BDD" w:rsidRDefault="00147BDD">
    <w:pPr>
      <w:pStyle w:val="Footer"/>
      <w:tabs>
        <w:tab w:val="clear" w:pos="4320"/>
        <w:tab w:val="clear" w:pos="8640"/>
      </w:tabs>
      <w:spacing w:line="240" w:lineRule="exact"/>
      <w:rPr>
        <w:rFonts w:ascii="Univers (W1)" w:hAnsi="Univers (W1)"/>
      </w:rPr>
    </w:pPr>
  </w:p>
  <w:p w:rsidR="00147BDD" w:rsidRDefault="00147BDD">
    <w:pPr>
      <w:framePr w:wrap="around" w:vAnchor="text" w:hAnchor="margin" w:xAlign="center"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4D157F">
      <w:rPr>
        <w:rFonts w:ascii="Times New Roman" w:hAnsi="Times New Roman"/>
        <w:noProof/>
      </w:rPr>
      <w:t>1</w:t>
    </w:r>
    <w:r>
      <w:rPr>
        <w:rFonts w:ascii="Times New Roman" w:hAnsi="Times New Roman"/>
      </w:rPr>
      <w:fldChar w:fldCharType="end"/>
    </w:r>
  </w:p>
  <w:p w:rsidR="00147BDD" w:rsidRDefault="00147BDD">
    <w:pPr>
      <w:rPr>
        <w:rFonts w:ascii="Univers (W1)" w:hAnsi="Univers (W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F8" w:rsidRDefault="00031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37D" w:rsidRDefault="0072137D">
      <w:r>
        <w:separator/>
      </w:r>
    </w:p>
  </w:footnote>
  <w:footnote w:type="continuationSeparator" w:id="0">
    <w:p w:rsidR="0072137D" w:rsidRDefault="0072137D">
      <w:r>
        <w:continuationSeparator/>
      </w:r>
    </w:p>
  </w:footnote>
  <w:footnote w:id="1">
    <w:p w:rsidR="00DE361A" w:rsidRDefault="00DE361A" w:rsidP="00DE361A">
      <w:pPr>
        <w:pStyle w:val="FootnoteText"/>
      </w:pPr>
      <w:r w:rsidRPr="00795FE0">
        <w:rPr>
          <w:rStyle w:val="FootnoteReference"/>
          <w:rFonts w:ascii="Times New Roman" w:hAnsi="Times New Roman"/>
          <w:vertAlign w:val="superscript"/>
        </w:rPr>
        <w:footnoteRef/>
      </w:r>
      <w:r>
        <w:t xml:space="preserve"> </w:t>
      </w:r>
      <w:r w:rsidRPr="00795FE0">
        <w:rPr>
          <w:rFonts w:ascii="Times New Roman" w:hAnsi="Times New Roman"/>
        </w:rPr>
        <w:t xml:space="preserve">Column 2 of Table 1, “Total Estimated Hourly Compensation,” </w:t>
      </w:r>
      <w:r>
        <w:rPr>
          <w:rFonts w:ascii="Times New Roman" w:hAnsi="Times New Roman"/>
        </w:rPr>
        <w:t>indicates</w:t>
      </w:r>
      <w:r w:rsidRPr="00795FE0">
        <w:rPr>
          <w:rFonts w:ascii="Times New Roman" w:hAnsi="Times New Roman"/>
        </w:rPr>
        <w:t xml:space="preserve"> the inflation-adjusted, 75</w:t>
      </w:r>
      <w:r w:rsidRPr="00795FE0">
        <w:rPr>
          <w:rFonts w:ascii="Times New Roman" w:hAnsi="Times New Roman"/>
          <w:vertAlign w:val="superscript"/>
        </w:rPr>
        <w:t>th</w:t>
      </w:r>
      <w:r w:rsidRPr="00795FE0">
        <w:rPr>
          <w:rFonts w:ascii="Times New Roman" w:hAnsi="Times New Roman"/>
        </w:rPr>
        <w:t>-percentile hourly wage, grossed-up to include non-monetary benefits, for the occupations listed in Column 1. The source of the 75</w:t>
      </w:r>
      <w:r w:rsidRPr="00795FE0">
        <w:rPr>
          <w:rFonts w:ascii="Times New Roman" w:hAnsi="Times New Roman"/>
          <w:vertAlign w:val="superscript"/>
        </w:rPr>
        <w:t>th</w:t>
      </w:r>
      <w:r w:rsidRPr="00795FE0">
        <w:rPr>
          <w:rFonts w:ascii="Times New Roman" w:hAnsi="Times New Roman"/>
        </w:rPr>
        <w:t>-percentile hourly wage rates is the May 2017 Bureau of Labor Statistics (BLS) National Industry-Specific Occupational Employment and Wage Estimates for the Depository Credit Intermediation Sector. The wage rates are adjusted for inflation of 3.59 percent between May 2017 and December 2018, according to the BLS Consumer Price Index for Urban Consumers. According to the December 2018 BLS Employer Cost of Employee Compensation data, compensation rates for non-monetary benefits are 33.7 percent of total compensation for private industry workers in the finance and insurance industry.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F8" w:rsidRDefault="000310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F8" w:rsidRDefault="000310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0F8" w:rsidRDefault="000310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BF8"/>
    <w:rsid w:val="000244B1"/>
    <w:rsid w:val="000310F8"/>
    <w:rsid w:val="00086BF8"/>
    <w:rsid w:val="000B782B"/>
    <w:rsid w:val="00147BDD"/>
    <w:rsid w:val="00213DE5"/>
    <w:rsid w:val="00236DB6"/>
    <w:rsid w:val="00243AD9"/>
    <w:rsid w:val="00275838"/>
    <w:rsid w:val="002E7A68"/>
    <w:rsid w:val="00385F1D"/>
    <w:rsid w:val="00395028"/>
    <w:rsid w:val="004D157F"/>
    <w:rsid w:val="00541016"/>
    <w:rsid w:val="005735D7"/>
    <w:rsid w:val="00590B1C"/>
    <w:rsid w:val="00621239"/>
    <w:rsid w:val="0066107C"/>
    <w:rsid w:val="006C63B6"/>
    <w:rsid w:val="0072137D"/>
    <w:rsid w:val="00795FE0"/>
    <w:rsid w:val="007A45B5"/>
    <w:rsid w:val="007D6A10"/>
    <w:rsid w:val="007E4157"/>
    <w:rsid w:val="00806DA4"/>
    <w:rsid w:val="00813511"/>
    <w:rsid w:val="00865A2A"/>
    <w:rsid w:val="008B6F5D"/>
    <w:rsid w:val="008F300A"/>
    <w:rsid w:val="00907C45"/>
    <w:rsid w:val="00A527CE"/>
    <w:rsid w:val="00A54011"/>
    <w:rsid w:val="00A62CA9"/>
    <w:rsid w:val="00AF2653"/>
    <w:rsid w:val="00B912B2"/>
    <w:rsid w:val="00C61A40"/>
    <w:rsid w:val="00D442E0"/>
    <w:rsid w:val="00DD2C5A"/>
    <w:rsid w:val="00DE361A"/>
    <w:rsid w:val="00DF5CEC"/>
    <w:rsid w:val="00FC5A99"/>
    <w:rsid w:val="00FF7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AD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tabs>
        <w:tab w:val="left" w:pos="720"/>
        <w:tab w:val="left" w:pos="1440"/>
      </w:tabs>
      <w:ind w:left="1440"/>
    </w:pPr>
    <w:rPr>
      <w:rFonts w:ascii="Times New Roman" w:hAnsi="Times New Roman"/>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95FE0"/>
    <w:rPr>
      <w:sz w:val="20"/>
    </w:rPr>
  </w:style>
  <w:style w:type="character" w:customStyle="1" w:styleId="FootnoteTextChar">
    <w:name w:val="Footnote Text Char"/>
    <w:link w:val="FootnoteText"/>
    <w:rsid w:val="00795FE0"/>
    <w:rPr>
      <w:rFonts w:ascii="Courier" w:hAnsi="Courie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AD9"/>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tabs>
        <w:tab w:val="left" w:pos="720"/>
        <w:tab w:val="left" w:pos="1440"/>
      </w:tabs>
      <w:ind w:left="1440"/>
    </w:pPr>
    <w:rPr>
      <w:rFonts w:ascii="Times New Roman" w:hAnsi="Times New Roman"/>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rsid w:val="00795FE0"/>
    <w:rPr>
      <w:sz w:val="20"/>
    </w:rPr>
  </w:style>
  <w:style w:type="character" w:customStyle="1" w:styleId="FootnoteTextChar">
    <w:name w:val="Footnote Text Char"/>
    <w:link w:val="FootnoteText"/>
    <w:rsid w:val="00795FE0"/>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8A226-ECC2-4113-A3ED-5EB4BD2B4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Words>
  <Characters>5848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2019-08-20T18:32:00Z</dcterms:created>
  <dcterms:modified xsi:type="dcterms:W3CDTF">2019-08-20T18:32:00Z</dcterms:modified>
</cp:coreProperties>
</file>