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2B" w:rsidRPr="00A830A0" w:rsidRDefault="00AA13C4" w:rsidP="00B42A2B">
      <w:pPr>
        <w:jc w:val="right"/>
        <w:rPr>
          <w:b/>
          <w:szCs w:val="22"/>
        </w:rPr>
      </w:pPr>
      <w:bookmarkStart w:id="0" w:name="TOChere"/>
      <w:bookmarkStart w:id="1" w:name="_GoBack"/>
      <w:bookmarkEnd w:id="1"/>
      <w:r w:rsidRPr="00A830A0">
        <w:rPr>
          <w:b/>
          <w:szCs w:val="22"/>
        </w:rPr>
        <w:t>FCC</w:t>
      </w:r>
      <w:r>
        <w:rPr>
          <w:b/>
          <w:szCs w:val="22"/>
        </w:rPr>
        <w:t xml:space="preserve"> 19-75</w:t>
      </w:r>
    </w:p>
    <w:p w:rsidR="00B42A2B" w:rsidRPr="00A830A0" w:rsidRDefault="00AA13C4" w:rsidP="00B42A2B">
      <w:pPr>
        <w:spacing w:before="60"/>
        <w:jc w:val="right"/>
        <w:rPr>
          <w:b/>
          <w:szCs w:val="22"/>
        </w:rPr>
      </w:pPr>
      <w:r w:rsidRPr="00A830A0">
        <w:rPr>
          <w:b/>
          <w:szCs w:val="22"/>
        </w:rPr>
        <w:t xml:space="preserve">Released: </w:t>
      </w:r>
      <w:r>
        <w:rPr>
          <w:b/>
          <w:szCs w:val="22"/>
        </w:rPr>
        <w:t>August 2, 2019</w:t>
      </w:r>
    </w:p>
    <w:p w:rsidR="00B42A2B" w:rsidRDefault="00B42A2B" w:rsidP="00B42A2B">
      <w:pPr>
        <w:jc w:val="right"/>
        <w:rPr>
          <w:sz w:val="24"/>
        </w:rPr>
      </w:pPr>
    </w:p>
    <w:p w:rsidR="00B42A2B" w:rsidRPr="00A830A0" w:rsidRDefault="00AA13C4" w:rsidP="00B42A2B">
      <w:pPr>
        <w:spacing w:after="240"/>
        <w:jc w:val="center"/>
        <w:rPr>
          <w:rFonts w:ascii="Times New Roman Bold" w:hAnsi="Times New Roman Bold"/>
          <w:b/>
          <w:caps/>
          <w:szCs w:val="22"/>
        </w:rPr>
      </w:pPr>
      <w:r w:rsidRPr="00A830A0">
        <w:rPr>
          <w:rFonts w:ascii="Times New Roman Bold" w:hAnsi="Times New Roman Bold"/>
          <w:b/>
          <w:caps/>
          <w:szCs w:val="22"/>
        </w:rPr>
        <w:t>auction of toll free numbers in the 833 code</w:t>
      </w:r>
    </w:p>
    <w:p w:rsidR="00B42A2B" w:rsidRPr="00A830A0" w:rsidRDefault="00AA13C4" w:rsidP="00B42A2B">
      <w:pPr>
        <w:spacing w:after="240"/>
        <w:jc w:val="center"/>
        <w:rPr>
          <w:b/>
          <w:szCs w:val="22"/>
        </w:rPr>
      </w:pPr>
      <w:r w:rsidRPr="00A830A0">
        <w:rPr>
          <w:b/>
          <w:szCs w:val="22"/>
        </w:rPr>
        <w:t xml:space="preserve">NOTICE AND FILING REQUIREMENTS, UPFRONT PAYMENTS, AND OTHER PROCEDURES FOR THE </w:t>
      </w:r>
      <w:r>
        <w:rPr>
          <w:b/>
          <w:szCs w:val="22"/>
        </w:rPr>
        <w:t>833 AUCTION</w:t>
      </w:r>
    </w:p>
    <w:p w:rsidR="00B42A2B" w:rsidRPr="00A830A0" w:rsidRDefault="00AA13C4" w:rsidP="00B42A2B">
      <w:pPr>
        <w:spacing w:after="240"/>
        <w:jc w:val="center"/>
        <w:rPr>
          <w:b/>
          <w:szCs w:val="22"/>
        </w:rPr>
      </w:pPr>
      <w:r w:rsidRPr="00A830A0">
        <w:rPr>
          <w:b/>
          <w:szCs w:val="22"/>
        </w:rPr>
        <w:t>BIDDING SCHEDULED TO OCCUR ON DECEMBER 1</w:t>
      </w:r>
      <w:r>
        <w:rPr>
          <w:b/>
          <w:szCs w:val="22"/>
        </w:rPr>
        <w:t>7</w:t>
      </w:r>
      <w:r w:rsidRPr="00A830A0">
        <w:rPr>
          <w:b/>
          <w:szCs w:val="22"/>
        </w:rPr>
        <w:t>, 2019</w:t>
      </w:r>
    </w:p>
    <w:p w:rsidR="00B42A2B" w:rsidRPr="00A830A0" w:rsidRDefault="00AA13C4" w:rsidP="00B42A2B">
      <w:pPr>
        <w:jc w:val="center"/>
        <w:rPr>
          <w:b/>
          <w:szCs w:val="22"/>
        </w:rPr>
      </w:pPr>
      <w:r w:rsidRPr="00A830A0">
        <w:rPr>
          <w:b/>
          <w:szCs w:val="22"/>
        </w:rPr>
        <w:t>AU Docket No. 19-101</w:t>
      </w:r>
    </w:p>
    <w:p w:rsidR="00B42A2B" w:rsidRPr="00A830A0" w:rsidRDefault="00AA13C4" w:rsidP="00B42A2B">
      <w:pPr>
        <w:jc w:val="center"/>
        <w:rPr>
          <w:b/>
          <w:szCs w:val="22"/>
        </w:rPr>
      </w:pPr>
      <w:r w:rsidRPr="00A830A0">
        <w:rPr>
          <w:b/>
          <w:szCs w:val="22"/>
        </w:rPr>
        <w:t>WC Docket No. 17-192</w:t>
      </w:r>
    </w:p>
    <w:p w:rsidR="00B42A2B" w:rsidRDefault="00AA13C4" w:rsidP="00B42A2B">
      <w:pPr>
        <w:jc w:val="center"/>
        <w:rPr>
          <w:b/>
          <w:szCs w:val="22"/>
        </w:rPr>
      </w:pPr>
      <w:r w:rsidRPr="00A830A0">
        <w:rPr>
          <w:b/>
          <w:szCs w:val="22"/>
        </w:rPr>
        <w:t>CC Docket No. 95-155</w:t>
      </w:r>
    </w:p>
    <w:p w:rsidR="00B42A2B" w:rsidRDefault="00B42A2B" w:rsidP="00B42A2B">
      <w:pPr>
        <w:jc w:val="center"/>
        <w:rPr>
          <w:b/>
          <w:szCs w:val="22"/>
        </w:rPr>
      </w:pPr>
    </w:p>
    <w:p w:rsidR="00B42A2B" w:rsidRDefault="00AA13C4" w:rsidP="00B42A2B">
      <w:pPr>
        <w:pStyle w:val="TOCTitle"/>
      </w:pPr>
      <w:r>
        <w:t>Table of Contents</w:t>
      </w:r>
    </w:p>
    <w:p w:rsidR="00B42A2B" w:rsidRDefault="00AA13C4" w:rsidP="00B42A2B">
      <w:pPr>
        <w:pStyle w:val="Paratitle"/>
      </w:pPr>
      <w:r>
        <w:t>Heading</w:t>
      </w:r>
      <w:r>
        <w:tab/>
        <w:t>Paragraph #</w:t>
      </w:r>
      <w:bookmarkStart w:id="2" w:name="start_here"/>
      <w:bookmarkEnd w:id="2"/>
    </w:p>
    <w:p w:rsidR="00B42A2B" w:rsidRPr="006034B8" w:rsidRDefault="00AA13C4" w:rsidP="00B42A2B">
      <w:pPr>
        <w:pStyle w:val="TOC1"/>
        <w:rPr>
          <w:rFonts w:ascii="Calibri" w:hAnsi="Calibri"/>
          <w:caps w:val="0"/>
          <w:snapToGrid/>
          <w:kern w:val="0"/>
          <w:szCs w:val="22"/>
        </w:rPr>
      </w:pPr>
      <w:r>
        <w:t>I.</w:t>
      </w:r>
      <w:r w:rsidRPr="006034B8">
        <w:rPr>
          <w:rFonts w:ascii="Calibri" w:hAnsi="Calibri"/>
          <w:caps w:val="0"/>
          <w:snapToGrid/>
          <w:kern w:val="0"/>
          <w:szCs w:val="22"/>
        </w:rPr>
        <w:tab/>
      </w:r>
      <w:r>
        <w:t>general information</w:t>
      </w:r>
      <w:r>
        <w:tab/>
        <w:t>1</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Introduction</w:t>
      </w:r>
      <w:r>
        <w:tab/>
        <w:t>1</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Background and Relevant Authority</w:t>
      </w:r>
      <w:r>
        <w:tab/>
        <w:t>2</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Toll Free Numbers Offered in 833 Auction</w:t>
      </w:r>
      <w:r>
        <w:tab/>
        <w:t>8</w:t>
      </w:r>
    </w:p>
    <w:p w:rsidR="00B42A2B" w:rsidRPr="006034B8" w:rsidRDefault="00AA13C4" w:rsidP="00B42A2B">
      <w:pPr>
        <w:pStyle w:val="TOC2"/>
        <w:tabs>
          <w:tab w:val="left" w:pos="360"/>
        </w:tabs>
        <w:rPr>
          <w:rFonts w:ascii="Calibri" w:hAnsi="Calibri"/>
          <w:snapToGrid/>
          <w:kern w:val="0"/>
          <w:szCs w:val="22"/>
        </w:rPr>
      </w:pPr>
      <w:r>
        <w:t>D.</w:t>
      </w:r>
      <w:r w:rsidRPr="006034B8">
        <w:rPr>
          <w:rFonts w:ascii="Calibri" w:hAnsi="Calibri"/>
          <w:snapToGrid/>
          <w:kern w:val="0"/>
          <w:szCs w:val="22"/>
        </w:rPr>
        <w:tab/>
      </w:r>
      <w:r>
        <w:t>Auction Specifics</w:t>
      </w:r>
      <w:r>
        <w:tab/>
        <w:t>10</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Auctioneer</w:t>
      </w:r>
      <w:r>
        <w:tab/>
        <w:t>10</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Auction Dates and Deadlines</w:t>
      </w:r>
      <w:r>
        <w:tab/>
        <w:t>11</w:t>
      </w:r>
    </w:p>
    <w:p w:rsidR="00B42A2B" w:rsidRPr="006034B8" w:rsidRDefault="00AA13C4" w:rsidP="00B42A2B">
      <w:pPr>
        <w:pStyle w:val="TOC3"/>
        <w:tabs>
          <w:tab w:val="left" w:pos="360"/>
        </w:tabs>
        <w:rPr>
          <w:rFonts w:ascii="Calibri" w:hAnsi="Calibri"/>
          <w:snapToGrid/>
          <w:kern w:val="0"/>
          <w:szCs w:val="22"/>
        </w:rPr>
      </w:pPr>
      <w:r>
        <w:t>3.</w:t>
      </w:r>
      <w:r w:rsidRPr="006034B8">
        <w:rPr>
          <w:rFonts w:ascii="Calibri" w:hAnsi="Calibri"/>
          <w:snapToGrid/>
          <w:kern w:val="0"/>
          <w:szCs w:val="22"/>
        </w:rPr>
        <w:tab/>
      </w:r>
      <w:r>
        <w:t>Requirements for Participation</w:t>
      </w:r>
      <w:r>
        <w:tab/>
        <w:t>12</w:t>
      </w:r>
    </w:p>
    <w:p w:rsidR="00B42A2B" w:rsidRPr="006034B8" w:rsidRDefault="00AA13C4" w:rsidP="00B42A2B">
      <w:pPr>
        <w:pStyle w:val="TOC1"/>
        <w:rPr>
          <w:rFonts w:ascii="Calibri" w:hAnsi="Calibri"/>
          <w:caps w:val="0"/>
          <w:snapToGrid/>
          <w:kern w:val="0"/>
          <w:szCs w:val="22"/>
        </w:rPr>
      </w:pPr>
      <w:r>
        <w:t>II.</w:t>
      </w:r>
      <w:r w:rsidRPr="006034B8">
        <w:rPr>
          <w:rFonts w:ascii="Calibri" w:hAnsi="Calibri"/>
          <w:caps w:val="0"/>
          <w:snapToGrid/>
          <w:kern w:val="0"/>
          <w:szCs w:val="22"/>
        </w:rPr>
        <w:tab/>
      </w:r>
      <w:r>
        <w:t>ImplemEntation of 833 Auction Principles</w:t>
      </w:r>
      <w:r>
        <w:tab/>
        <w:t>13</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Participation Through Single Applicant and Application</w:t>
      </w:r>
      <w:r>
        <w:tab/>
        <w:t>14</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Prohibition on Certain Communications and Compliance with Antitrust Laws</w:t>
      </w:r>
      <w:r>
        <w:tab/>
        <w:t>22</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Entities Subject to the Prohibition on Certain Communications</w:t>
      </w:r>
      <w:r>
        <w:tab/>
        <w:t>23</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Prohibition Applies Until Final Payment with Late Fee Deadline</w:t>
      </w:r>
      <w:r>
        <w:tab/>
        <w:t>24</w:t>
      </w:r>
    </w:p>
    <w:p w:rsidR="00B42A2B" w:rsidRPr="006034B8" w:rsidRDefault="00AA13C4" w:rsidP="00B42A2B">
      <w:pPr>
        <w:pStyle w:val="TOC3"/>
        <w:tabs>
          <w:tab w:val="left" w:pos="360"/>
        </w:tabs>
        <w:rPr>
          <w:rFonts w:ascii="Calibri" w:hAnsi="Calibri"/>
          <w:snapToGrid/>
          <w:kern w:val="0"/>
          <w:szCs w:val="22"/>
        </w:rPr>
      </w:pPr>
      <w:r>
        <w:t>3.</w:t>
      </w:r>
      <w:r w:rsidRPr="006034B8">
        <w:rPr>
          <w:rFonts w:ascii="Calibri" w:hAnsi="Calibri"/>
          <w:snapToGrid/>
          <w:kern w:val="0"/>
          <w:szCs w:val="22"/>
        </w:rPr>
        <w:tab/>
      </w:r>
      <w:r>
        <w:t>Scope of the Prohibition on Certain Communications</w:t>
      </w:r>
      <w:r>
        <w:tab/>
        <w:t>26</w:t>
      </w:r>
    </w:p>
    <w:p w:rsidR="00B42A2B" w:rsidRPr="006034B8" w:rsidRDefault="00AA13C4" w:rsidP="00B42A2B">
      <w:pPr>
        <w:pStyle w:val="TOC3"/>
        <w:tabs>
          <w:tab w:val="left" w:pos="360"/>
        </w:tabs>
        <w:rPr>
          <w:rFonts w:ascii="Calibri" w:hAnsi="Calibri"/>
          <w:snapToGrid/>
          <w:kern w:val="0"/>
          <w:szCs w:val="22"/>
        </w:rPr>
      </w:pPr>
      <w:r w:rsidRPr="006334F7">
        <w:rPr>
          <w:snapToGrid/>
        </w:rPr>
        <w:t>4.</w:t>
      </w:r>
      <w:r w:rsidRPr="006034B8">
        <w:rPr>
          <w:rFonts w:ascii="Calibri" w:hAnsi="Calibri"/>
          <w:snapToGrid/>
          <w:kern w:val="0"/>
          <w:szCs w:val="22"/>
        </w:rPr>
        <w:tab/>
      </w:r>
      <w:r w:rsidRPr="006334F7">
        <w:rPr>
          <w:snapToGrid/>
        </w:rPr>
        <w:t>Communicating with Third Parties</w:t>
      </w:r>
      <w:r>
        <w:tab/>
        <w:t>33</w:t>
      </w:r>
    </w:p>
    <w:p w:rsidR="00B42A2B" w:rsidRPr="006034B8" w:rsidRDefault="00AA13C4" w:rsidP="00B42A2B">
      <w:pPr>
        <w:pStyle w:val="TOC3"/>
        <w:tabs>
          <w:tab w:val="left" w:pos="360"/>
        </w:tabs>
        <w:rPr>
          <w:rFonts w:ascii="Calibri" w:hAnsi="Calibri"/>
          <w:snapToGrid/>
          <w:kern w:val="0"/>
          <w:szCs w:val="22"/>
        </w:rPr>
      </w:pPr>
      <w:r w:rsidRPr="006334F7">
        <w:rPr>
          <w:snapToGrid/>
        </w:rPr>
        <w:t>5.</w:t>
      </w:r>
      <w:r w:rsidRPr="006034B8">
        <w:rPr>
          <w:rFonts w:ascii="Calibri" w:hAnsi="Calibri"/>
          <w:snapToGrid/>
          <w:kern w:val="0"/>
          <w:szCs w:val="22"/>
        </w:rPr>
        <w:tab/>
      </w:r>
      <w:r w:rsidRPr="006334F7">
        <w:rPr>
          <w:snapToGrid/>
        </w:rPr>
        <w:t>Certifications Related to the Prohibition on Certain Communications</w:t>
      </w:r>
      <w:r>
        <w:tab/>
        <w:t>38</w:t>
      </w:r>
    </w:p>
    <w:p w:rsidR="00B42A2B" w:rsidRPr="006034B8" w:rsidRDefault="00AA13C4" w:rsidP="00B42A2B">
      <w:pPr>
        <w:pStyle w:val="TOC3"/>
        <w:tabs>
          <w:tab w:val="left" w:pos="360"/>
        </w:tabs>
        <w:rPr>
          <w:rFonts w:ascii="Calibri" w:hAnsi="Calibri"/>
          <w:snapToGrid/>
          <w:kern w:val="0"/>
          <w:szCs w:val="22"/>
        </w:rPr>
      </w:pPr>
      <w:r>
        <w:t>6.</w:t>
      </w:r>
      <w:r w:rsidRPr="006034B8">
        <w:rPr>
          <w:rFonts w:ascii="Calibri" w:hAnsi="Calibri"/>
          <w:snapToGrid/>
          <w:kern w:val="0"/>
          <w:szCs w:val="22"/>
        </w:rPr>
        <w:tab/>
      </w:r>
      <w:r>
        <w:t>Duty to Report Prohibited Communications</w:t>
      </w:r>
      <w:r>
        <w:tab/>
        <w:t>39</w:t>
      </w:r>
    </w:p>
    <w:p w:rsidR="00B42A2B" w:rsidRPr="006034B8" w:rsidRDefault="00AA13C4" w:rsidP="00B42A2B">
      <w:pPr>
        <w:pStyle w:val="TOC3"/>
        <w:tabs>
          <w:tab w:val="left" w:pos="360"/>
        </w:tabs>
        <w:rPr>
          <w:rFonts w:ascii="Calibri" w:hAnsi="Calibri"/>
          <w:snapToGrid/>
          <w:kern w:val="0"/>
          <w:szCs w:val="22"/>
        </w:rPr>
      </w:pPr>
      <w:r>
        <w:t>7.</w:t>
      </w:r>
      <w:r w:rsidRPr="006034B8">
        <w:rPr>
          <w:rFonts w:ascii="Calibri" w:hAnsi="Calibri"/>
          <w:snapToGrid/>
          <w:kern w:val="0"/>
          <w:szCs w:val="22"/>
        </w:rPr>
        <w:tab/>
      </w:r>
      <w:r>
        <w:t>Procedures for Reporting Prohibited Communications</w:t>
      </w:r>
      <w:r>
        <w:tab/>
        <w:t>40</w:t>
      </w:r>
    </w:p>
    <w:p w:rsidR="00B42A2B" w:rsidRPr="006034B8" w:rsidRDefault="00AA13C4" w:rsidP="00B42A2B">
      <w:pPr>
        <w:pStyle w:val="TOC3"/>
        <w:tabs>
          <w:tab w:val="left" w:pos="360"/>
        </w:tabs>
        <w:rPr>
          <w:rFonts w:ascii="Calibri" w:hAnsi="Calibri"/>
          <w:snapToGrid/>
          <w:kern w:val="0"/>
          <w:szCs w:val="22"/>
        </w:rPr>
      </w:pPr>
      <w:r>
        <w:t>8.</w:t>
      </w:r>
      <w:r w:rsidRPr="006034B8">
        <w:rPr>
          <w:rFonts w:ascii="Calibri" w:hAnsi="Calibri"/>
          <w:snapToGrid/>
          <w:kern w:val="0"/>
          <w:szCs w:val="22"/>
        </w:rPr>
        <w:tab/>
      </w:r>
      <w:r>
        <w:t>Additional FCC Auction Information Concerning the Prohibition on Certain Communications</w:t>
      </w:r>
      <w:r>
        <w:tab/>
        <w:t>42</w:t>
      </w:r>
    </w:p>
    <w:p w:rsidR="00B42A2B" w:rsidRPr="006034B8" w:rsidRDefault="00AA13C4" w:rsidP="00B42A2B">
      <w:pPr>
        <w:pStyle w:val="TOC3"/>
        <w:tabs>
          <w:tab w:val="left" w:pos="360"/>
        </w:tabs>
        <w:rPr>
          <w:rFonts w:ascii="Calibri" w:hAnsi="Calibri"/>
          <w:snapToGrid/>
          <w:kern w:val="0"/>
          <w:szCs w:val="22"/>
        </w:rPr>
      </w:pPr>
      <w:r>
        <w:t>9.</w:t>
      </w:r>
      <w:r w:rsidRPr="006034B8">
        <w:rPr>
          <w:rFonts w:ascii="Calibri" w:hAnsi="Calibri"/>
          <w:snapToGrid/>
          <w:kern w:val="0"/>
          <w:szCs w:val="22"/>
        </w:rPr>
        <w:tab/>
      </w:r>
      <w:r>
        <w:t>Antitrust Laws</w:t>
      </w:r>
      <w:r>
        <w:tab/>
        <w:t>43</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Restrictions on Agreements</w:t>
      </w:r>
      <w:r>
        <w:tab/>
        <w:t>45</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Agreements Among Applicants</w:t>
      </w:r>
      <w:r>
        <w:tab/>
        <w:t>46</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Agreements Among RespOrgs</w:t>
      </w:r>
      <w:r>
        <w:tab/>
        <w:t>49</w:t>
      </w:r>
    </w:p>
    <w:p w:rsidR="00B42A2B" w:rsidRPr="006034B8" w:rsidRDefault="00AA13C4" w:rsidP="00B42A2B">
      <w:pPr>
        <w:pStyle w:val="TOC3"/>
        <w:tabs>
          <w:tab w:val="left" w:pos="360"/>
        </w:tabs>
        <w:rPr>
          <w:rFonts w:ascii="Calibri" w:hAnsi="Calibri"/>
          <w:snapToGrid/>
          <w:kern w:val="0"/>
          <w:szCs w:val="22"/>
        </w:rPr>
      </w:pPr>
      <w:r>
        <w:t>3.</w:t>
      </w:r>
      <w:r w:rsidRPr="006034B8">
        <w:rPr>
          <w:rFonts w:ascii="Calibri" w:hAnsi="Calibri"/>
          <w:snapToGrid/>
          <w:kern w:val="0"/>
          <w:szCs w:val="22"/>
        </w:rPr>
        <w:tab/>
      </w:r>
      <w:r>
        <w:t>Agreements between RespOrgs and Potential Subscribers</w:t>
      </w:r>
      <w:r>
        <w:tab/>
        <w:t>52</w:t>
      </w:r>
    </w:p>
    <w:p w:rsidR="00B42A2B" w:rsidRPr="006034B8" w:rsidRDefault="00AA13C4" w:rsidP="00B42A2B">
      <w:pPr>
        <w:pStyle w:val="TOC2"/>
        <w:tabs>
          <w:tab w:val="left" w:pos="360"/>
        </w:tabs>
        <w:rPr>
          <w:rFonts w:ascii="Calibri" w:hAnsi="Calibri"/>
          <w:snapToGrid/>
          <w:kern w:val="0"/>
          <w:szCs w:val="22"/>
        </w:rPr>
      </w:pPr>
      <w:r>
        <w:t>D.</w:t>
      </w:r>
      <w:r w:rsidRPr="006034B8">
        <w:rPr>
          <w:rFonts w:ascii="Calibri" w:hAnsi="Calibri"/>
          <w:snapToGrid/>
          <w:kern w:val="0"/>
          <w:szCs w:val="22"/>
        </w:rPr>
        <w:tab/>
      </w:r>
      <w:r>
        <w:t>Limited Information Procedures During the Auction Process</w:t>
      </w:r>
      <w:r>
        <w:tab/>
        <w:t>54</w:t>
      </w:r>
    </w:p>
    <w:p w:rsidR="00B42A2B" w:rsidRPr="006034B8" w:rsidRDefault="00AA13C4" w:rsidP="00B42A2B">
      <w:pPr>
        <w:pStyle w:val="TOC2"/>
        <w:tabs>
          <w:tab w:val="left" w:pos="360"/>
        </w:tabs>
        <w:rPr>
          <w:rFonts w:ascii="Calibri" w:hAnsi="Calibri"/>
          <w:snapToGrid/>
          <w:kern w:val="0"/>
          <w:szCs w:val="22"/>
        </w:rPr>
      </w:pPr>
      <w:r>
        <w:t>E.</w:t>
      </w:r>
      <w:r w:rsidRPr="006034B8">
        <w:rPr>
          <w:rFonts w:ascii="Calibri" w:hAnsi="Calibri"/>
          <w:snapToGrid/>
          <w:kern w:val="0"/>
          <w:szCs w:val="22"/>
        </w:rPr>
        <w:tab/>
      </w:r>
      <w:r>
        <w:t>Responsibility for Winning Bid Payment</w:t>
      </w:r>
      <w:r>
        <w:tab/>
        <w:t>57</w:t>
      </w:r>
    </w:p>
    <w:p w:rsidR="00B42A2B" w:rsidRPr="006034B8" w:rsidRDefault="00AA13C4" w:rsidP="00B42A2B">
      <w:pPr>
        <w:pStyle w:val="TOC1"/>
        <w:rPr>
          <w:rFonts w:ascii="Calibri" w:hAnsi="Calibri"/>
          <w:caps w:val="0"/>
          <w:snapToGrid/>
          <w:kern w:val="0"/>
          <w:szCs w:val="22"/>
        </w:rPr>
      </w:pPr>
      <w:r>
        <w:lastRenderedPageBreak/>
        <w:t>III.</w:t>
      </w:r>
      <w:r w:rsidRPr="006034B8">
        <w:rPr>
          <w:rFonts w:ascii="Calibri" w:hAnsi="Calibri"/>
          <w:caps w:val="0"/>
          <w:snapToGrid/>
          <w:kern w:val="0"/>
          <w:szCs w:val="22"/>
        </w:rPr>
        <w:tab/>
      </w:r>
      <w:r>
        <w:t>Applying to Participate in the 833 Auction</w:t>
      </w:r>
      <w:r>
        <w:tab/>
        <w:t>58</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General Information Regarding the Auction Application</w:t>
      </w:r>
      <w:r>
        <w:tab/>
        <w:t>58</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833 Auction Number Selection</w:t>
      </w:r>
      <w:r>
        <w:tab/>
        <w:t>66</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Ownership Disclosure Requirements</w:t>
      </w:r>
      <w:r>
        <w:tab/>
        <w:t>70</w:t>
      </w:r>
    </w:p>
    <w:p w:rsidR="00B42A2B" w:rsidRPr="006034B8" w:rsidRDefault="00AA13C4" w:rsidP="00B42A2B">
      <w:pPr>
        <w:pStyle w:val="TOC2"/>
        <w:tabs>
          <w:tab w:val="left" w:pos="360"/>
        </w:tabs>
        <w:rPr>
          <w:rFonts w:ascii="Calibri" w:hAnsi="Calibri"/>
          <w:snapToGrid/>
          <w:kern w:val="0"/>
          <w:szCs w:val="22"/>
        </w:rPr>
      </w:pPr>
      <w:r>
        <w:t>D.</w:t>
      </w:r>
      <w:r w:rsidRPr="006034B8">
        <w:rPr>
          <w:rFonts w:ascii="Calibri" w:hAnsi="Calibri"/>
          <w:snapToGrid/>
          <w:kern w:val="0"/>
          <w:szCs w:val="22"/>
        </w:rPr>
        <w:tab/>
      </w:r>
      <w:r>
        <w:t>Disclosure of Agreements and Bidding Arrangements</w:t>
      </w:r>
      <w:r>
        <w:tab/>
        <w:t>73</w:t>
      </w:r>
    </w:p>
    <w:p w:rsidR="00B42A2B" w:rsidRPr="006034B8" w:rsidRDefault="00AA13C4" w:rsidP="00B42A2B">
      <w:pPr>
        <w:pStyle w:val="TOC2"/>
        <w:tabs>
          <w:tab w:val="left" w:pos="360"/>
        </w:tabs>
        <w:rPr>
          <w:rFonts w:ascii="Calibri" w:hAnsi="Calibri"/>
          <w:snapToGrid/>
          <w:kern w:val="0"/>
          <w:szCs w:val="22"/>
        </w:rPr>
      </w:pPr>
      <w:r>
        <w:t>E.</w:t>
      </w:r>
      <w:r w:rsidRPr="006034B8">
        <w:rPr>
          <w:rFonts w:ascii="Calibri" w:hAnsi="Calibri"/>
          <w:snapToGrid/>
          <w:kern w:val="0"/>
          <w:szCs w:val="22"/>
        </w:rPr>
        <w:tab/>
      </w:r>
      <w:r>
        <w:t>Authorized Bidders</w:t>
      </w:r>
      <w:r>
        <w:tab/>
        <w:t>77</w:t>
      </w:r>
    </w:p>
    <w:p w:rsidR="00B42A2B" w:rsidRPr="006034B8" w:rsidRDefault="00AA13C4" w:rsidP="00B42A2B">
      <w:pPr>
        <w:pStyle w:val="TOC2"/>
        <w:tabs>
          <w:tab w:val="left" w:pos="360"/>
        </w:tabs>
        <w:rPr>
          <w:rFonts w:ascii="Calibri" w:hAnsi="Calibri"/>
          <w:snapToGrid/>
          <w:kern w:val="0"/>
          <w:szCs w:val="22"/>
        </w:rPr>
      </w:pPr>
      <w:r>
        <w:t>F.</w:t>
      </w:r>
      <w:r w:rsidRPr="006034B8">
        <w:rPr>
          <w:rFonts w:ascii="Calibri" w:hAnsi="Calibri"/>
          <w:snapToGrid/>
          <w:kern w:val="0"/>
          <w:szCs w:val="22"/>
        </w:rPr>
        <w:tab/>
      </w:r>
      <w:r>
        <w:t>Provisions Regarding Current Defaulters</w:t>
      </w:r>
      <w:r>
        <w:tab/>
        <w:t>78</w:t>
      </w:r>
    </w:p>
    <w:p w:rsidR="00B42A2B" w:rsidRPr="006034B8" w:rsidRDefault="00AA13C4" w:rsidP="00B42A2B">
      <w:pPr>
        <w:pStyle w:val="TOC2"/>
        <w:tabs>
          <w:tab w:val="left" w:pos="360"/>
        </w:tabs>
        <w:rPr>
          <w:rFonts w:ascii="Calibri" w:hAnsi="Calibri"/>
          <w:snapToGrid/>
          <w:kern w:val="0"/>
          <w:szCs w:val="22"/>
        </w:rPr>
      </w:pPr>
      <w:r>
        <w:t>G.</w:t>
      </w:r>
      <w:r w:rsidRPr="006034B8">
        <w:rPr>
          <w:rFonts w:ascii="Calibri" w:hAnsi="Calibri"/>
          <w:snapToGrid/>
          <w:kern w:val="0"/>
          <w:szCs w:val="22"/>
        </w:rPr>
        <w:tab/>
      </w:r>
      <w:r>
        <w:t>Additional Disclosures and Certifications</w:t>
      </w:r>
      <w:r>
        <w:tab/>
        <w:t>82</w:t>
      </w:r>
    </w:p>
    <w:p w:rsidR="00B42A2B" w:rsidRPr="006034B8" w:rsidRDefault="00AA13C4" w:rsidP="00B42A2B">
      <w:pPr>
        <w:pStyle w:val="TOC2"/>
        <w:tabs>
          <w:tab w:val="left" w:pos="360"/>
        </w:tabs>
        <w:rPr>
          <w:rFonts w:ascii="Calibri" w:hAnsi="Calibri"/>
          <w:snapToGrid/>
          <w:kern w:val="0"/>
          <w:szCs w:val="22"/>
        </w:rPr>
      </w:pPr>
      <w:r>
        <w:t>H.</w:t>
      </w:r>
      <w:r w:rsidRPr="006034B8">
        <w:rPr>
          <w:rFonts w:ascii="Calibri" w:hAnsi="Calibri"/>
          <w:snapToGrid/>
          <w:kern w:val="0"/>
          <w:szCs w:val="22"/>
        </w:rPr>
        <w:tab/>
      </w:r>
      <w:r>
        <w:t>Modifications to Auction Application</w:t>
      </w:r>
      <w:r>
        <w:tab/>
        <w:t>83</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Only Minor Modifications Allowed</w:t>
      </w:r>
      <w:r>
        <w:tab/>
        <w:t>83</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Duty to Maintain Accuracy and Completeness of Auction Application</w:t>
      </w:r>
      <w:r>
        <w:tab/>
        <w:t>84</w:t>
      </w:r>
    </w:p>
    <w:p w:rsidR="00B42A2B" w:rsidRPr="006034B8" w:rsidRDefault="00AA13C4" w:rsidP="00B42A2B">
      <w:pPr>
        <w:pStyle w:val="TOC1"/>
        <w:rPr>
          <w:rFonts w:ascii="Calibri" w:hAnsi="Calibri"/>
          <w:caps w:val="0"/>
          <w:snapToGrid/>
          <w:kern w:val="0"/>
          <w:szCs w:val="22"/>
        </w:rPr>
      </w:pPr>
      <w:r>
        <w:t>IV.</w:t>
      </w:r>
      <w:r w:rsidRPr="006034B8">
        <w:rPr>
          <w:rFonts w:ascii="Calibri" w:hAnsi="Calibri"/>
          <w:caps w:val="0"/>
          <w:snapToGrid/>
          <w:kern w:val="0"/>
          <w:szCs w:val="22"/>
        </w:rPr>
        <w:tab/>
      </w:r>
      <w:r>
        <w:t>Preparing for Bidding in the 833 Auction</w:t>
      </w:r>
      <w:r>
        <w:tab/>
        <w:t>88</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Due Diligence</w:t>
      </w:r>
      <w:r>
        <w:tab/>
        <w:t>88</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Bidder Education</w:t>
      </w:r>
      <w:r>
        <w:tab/>
        <w:t>93</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Registration for Auction ID</w:t>
      </w:r>
      <w:r>
        <w:tab/>
        <w:t>94</w:t>
      </w:r>
    </w:p>
    <w:p w:rsidR="00B42A2B" w:rsidRPr="006034B8" w:rsidRDefault="00AA13C4" w:rsidP="00B42A2B">
      <w:pPr>
        <w:pStyle w:val="TOC2"/>
        <w:tabs>
          <w:tab w:val="left" w:pos="360"/>
        </w:tabs>
        <w:rPr>
          <w:rFonts w:ascii="Calibri" w:hAnsi="Calibri"/>
          <w:snapToGrid/>
          <w:kern w:val="0"/>
          <w:szCs w:val="22"/>
        </w:rPr>
      </w:pPr>
      <w:r>
        <w:t>D.</w:t>
      </w:r>
      <w:r w:rsidRPr="006034B8">
        <w:rPr>
          <w:rFonts w:ascii="Calibri" w:hAnsi="Calibri"/>
          <w:snapToGrid/>
          <w:kern w:val="0"/>
          <w:szCs w:val="22"/>
        </w:rPr>
        <w:tab/>
      </w:r>
      <w:r>
        <w:t>Auction Application</w:t>
      </w:r>
      <w:r>
        <w:tab/>
        <w:t>95</w:t>
      </w:r>
    </w:p>
    <w:p w:rsidR="00B42A2B" w:rsidRPr="006034B8" w:rsidRDefault="00AA13C4" w:rsidP="00B42A2B">
      <w:pPr>
        <w:pStyle w:val="TOC2"/>
        <w:tabs>
          <w:tab w:val="left" w:pos="360"/>
        </w:tabs>
        <w:rPr>
          <w:rFonts w:ascii="Calibri" w:hAnsi="Calibri"/>
          <w:snapToGrid/>
          <w:kern w:val="0"/>
          <w:szCs w:val="22"/>
        </w:rPr>
      </w:pPr>
      <w:r>
        <w:t>E.</w:t>
      </w:r>
      <w:r w:rsidRPr="006034B8">
        <w:rPr>
          <w:rFonts w:ascii="Calibri" w:hAnsi="Calibri"/>
          <w:snapToGrid/>
          <w:kern w:val="0"/>
          <w:szCs w:val="22"/>
        </w:rPr>
        <w:tab/>
      </w:r>
      <w:r>
        <w:t>Application Processing and Minor Modifications</w:t>
      </w:r>
      <w:r>
        <w:tab/>
        <w:t>97</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Public Notice of Applicant’s Initial Application Status and Opportunity for Minor Modifications</w:t>
      </w:r>
      <w:r>
        <w:tab/>
        <w:t>97</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Public Notice of Applicant’s Final Application Status After Upfront Payment Deadline</w:t>
      </w:r>
      <w:r>
        <w:tab/>
        <w:t>100</w:t>
      </w:r>
    </w:p>
    <w:p w:rsidR="00B42A2B" w:rsidRPr="006034B8" w:rsidRDefault="00AA13C4" w:rsidP="00B42A2B">
      <w:pPr>
        <w:pStyle w:val="TOC2"/>
        <w:tabs>
          <w:tab w:val="left" w:pos="360"/>
        </w:tabs>
        <w:rPr>
          <w:rFonts w:ascii="Calibri" w:hAnsi="Calibri"/>
          <w:snapToGrid/>
          <w:kern w:val="0"/>
          <w:szCs w:val="22"/>
        </w:rPr>
      </w:pPr>
      <w:r>
        <w:t>F.</w:t>
      </w:r>
      <w:r w:rsidRPr="006034B8">
        <w:rPr>
          <w:rFonts w:ascii="Calibri" w:hAnsi="Calibri"/>
          <w:snapToGrid/>
          <w:kern w:val="0"/>
          <w:szCs w:val="22"/>
        </w:rPr>
        <w:tab/>
      </w:r>
      <w:r>
        <w:t>Upfront Payments</w:t>
      </w:r>
      <w:r>
        <w:tab/>
        <w:t>101</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Amount of Upfront Payment and Bidding Eligibility</w:t>
      </w:r>
      <w:r>
        <w:tab/>
        <w:t>101</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Submitting an Upfront Payment</w:t>
      </w:r>
      <w:r>
        <w:tab/>
        <w:t>104</w:t>
      </w:r>
    </w:p>
    <w:p w:rsidR="00B42A2B" w:rsidRPr="006034B8" w:rsidRDefault="00AA13C4" w:rsidP="00B42A2B">
      <w:pPr>
        <w:pStyle w:val="TOC2"/>
        <w:tabs>
          <w:tab w:val="left" w:pos="360"/>
        </w:tabs>
        <w:rPr>
          <w:rFonts w:ascii="Calibri" w:hAnsi="Calibri"/>
          <w:snapToGrid/>
          <w:kern w:val="0"/>
          <w:szCs w:val="22"/>
        </w:rPr>
      </w:pPr>
      <w:r>
        <w:t>G.</w:t>
      </w:r>
      <w:r w:rsidRPr="006034B8">
        <w:rPr>
          <w:rFonts w:ascii="Calibri" w:hAnsi="Calibri"/>
          <w:snapToGrid/>
          <w:kern w:val="0"/>
          <w:szCs w:val="22"/>
        </w:rPr>
        <w:tab/>
      </w:r>
      <w:r>
        <w:t>Bidding via Somos Auction System</w:t>
      </w:r>
      <w:r>
        <w:tab/>
        <w:t>109</w:t>
      </w:r>
    </w:p>
    <w:p w:rsidR="00B42A2B" w:rsidRPr="006034B8" w:rsidRDefault="00AA13C4" w:rsidP="00B42A2B">
      <w:pPr>
        <w:pStyle w:val="TOC2"/>
        <w:tabs>
          <w:tab w:val="left" w:pos="360"/>
        </w:tabs>
        <w:rPr>
          <w:rFonts w:ascii="Calibri" w:hAnsi="Calibri"/>
          <w:snapToGrid/>
          <w:kern w:val="0"/>
          <w:szCs w:val="22"/>
        </w:rPr>
      </w:pPr>
      <w:r>
        <w:t>H.</w:t>
      </w:r>
      <w:r w:rsidRPr="006034B8">
        <w:rPr>
          <w:rFonts w:ascii="Calibri" w:hAnsi="Calibri"/>
          <w:snapToGrid/>
          <w:kern w:val="0"/>
          <w:szCs w:val="22"/>
        </w:rPr>
        <w:tab/>
      </w:r>
      <w:r>
        <w:t>Fraud Alert</w:t>
      </w:r>
      <w:r>
        <w:tab/>
        <w:t>112</w:t>
      </w:r>
    </w:p>
    <w:p w:rsidR="00B42A2B" w:rsidRPr="006034B8" w:rsidRDefault="00AA13C4" w:rsidP="00B42A2B">
      <w:pPr>
        <w:pStyle w:val="TOC1"/>
        <w:rPr>
          <w:rFonts w:ascii="Calibri" w:hAnsi="Calibri"/>
          <w:caps w:val="0"/>
          <w:snapToGrid/>
          <w:kern w:val="0"/>
          <w:szCs w:val="22"/>
        </w:rPr>
      </w:pPr>
      <w:r>
        <w:t>V.</w:t>
      </w:r>
      <w:r w:rsidRPr="006034B8">
        <w:rPr>
          <w:rFonts w:ascii="Calibri" w:hAnsi="Calibri"/>
          <w:caps w:val="0"/>
          <w:snapToGrid/>
          <w:kern w:val="0"/>
          <w:szCs w:val="22"/>
        </w:rPr>
        <w:tab/>
      </w:r>
      <w:r>
        <w:t>Bidding in the 833 Auction</w:t>
      </w:r>
      <w:r>
        <w:tab/>
        <w:t>115</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Auction Design</w:t>
      </w:r>
      <w:r>
        <w:tab/>
        <w:t>115</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Auction Structure</w:t>
      </w:r>
      <w:r>
        <w:tab/>
        <w:t>118</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Bidding Format and Period</w:t>
      </w:r>
      <w:r>
        <w:tab/>
        <w:t>118</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Information Relating to Auction Delay, Suspension, or Cancellation</w:t>
      </w:r>
      <w:r>
        <w:tab/>
        <w:t>120</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Bidding Procedures</w:t>
      </w:r>
      <w:r>
        <w:tab/>
        <w:t>121</w:t>
      </w:r>
    </w:p>
    <w:p w:rsidR="00B42A2B" w:rsidRPr="006034B8" w:rsidRDefault="00AA13C4" w:rsidP="00B42A2B">
      <w:pPr>
        <w:pStyle w:val="TOC3"/>
        <w:tabs>
          <w:tab w:val="left" w:pos="360"/>
        </w:tabs>
        <w:rPr>
          <w:rFonts w:ascii="Calibri" w:hAnsi="Calibri"/>
          <w:snapToGrid/>
          <w:kern w:val="0"/>
          <w:szCs w:val="22"/>
        </w:rPr>
      </w:pPr>
      <w:r>
        <w:t>1.</w:t>
      </w:r>
      <w:r w:rsidRPr="006034B8">
        <w:rPr>
          <w:rFonts w:ascii="Calibri" w:hAnsi="Calibri"/>
          <w:snapToGrid/>
          <w:kern w:val="0"/>
          <w:szCs w:val="22"/>
        </w:rPr>
        <w:tab/>
      </w:r>
      <w:r>
        <w:t>Bidding Eligibility</w:t>
      </w:r>
      <w:r>
        <w:tab/>
        <w:t>121</w:t>
      </w:r>
    </w:p>
    <w:p w:rsidR="00B42A2B" w:rsidRPr="006034B8" w:rsidRDefault="00AA13C4" w:rsidP="00B42A2B">
      <w:pPr>
        <w:pStyle w:val="TOC3"/>
        <w:tabs>
          <w:tab w:val="left" w:pos="360"/>
        </w:tabs>
        <w:rPr>
          <w:rFonts w:ascii="Calibri" w:hAnsi="Calibri"/>
          <w:snapToGrid/>
          <w:kern w:val="0"/>
          <w:szCs w:val="22"/>
        </w:rPr>
      </w:pPr>
      <w:r>
        <w:t>2.</w:t>
      </w:r>
      <w:r w:rsidRPr="006034B8">
        <w:rPr>
          <w:rFonts w:ascii="Calibri" w:hAnsi="Calibri"/>
          <w:snapToGrid/>
          <w:kern w:val="0"/>
          <w:szCs w:val="22"/>
        </w:rPr>
        <w:tab/>
      </w:r>
      <w:r>
        <w:t>Bid Amounts</w:t>
      </w:r>
      <w:r>
        <w:tab/>
        <w:t>123</w:t>
      </w:r>
    </w:p>
    <w:p w:rsidR="00B42A2B" w:rsidRPr="006034B8" w:rsidRDefault="00AA13C4" w:rsidP="00B42A2B">
      <w:pPr>
        <w:pStyle w:val="TOC3"/>
        <w:tabs>
          <w:tab w:val="left" w:pos="360"/>
        </w:tabs>
        <w:rPr>
          <w:rFonts w:ascii="Calibri" w:hAnsi="Calibri"/>
          <w:snapToGrid/>
          <w:kern w:val="0"/>
          <w:szCs w:val="22"/>
        </w:rPr>
      </w:pPr>
      <w:r>
        <w:t>3.</w:t>
      </w:r>
      <w:r w:rsidRPr="006034B8">
        <w:rPr>
          <w:rFonts w:ascii="Calibri" w:hAnsi="Calibri"/>
          <w:snapToGrid/>
          <w:kern w:val="0"/>
          <w:szCs w:val="22"/>
        </w:rPr>
        <w:tab/>
      </w:r>
      <w:r>
        <w:t>Bid Removal</w:t>
      </w:r>
      <w:r>
        <w:tab/>
        <w:t>124</w:t>
      </w:r>
    </w:p>
    <w:p w:rsidR="00B42A2B" w:rsidRPr="006034B8" w:rsidRDefault="00AA13C4" w:rsidP="00B42A2B">
      <w:pPr>
        <w:pStyle w:val="TOC1"/>
        <w:rPr>
          <w:rFonts w:ascii="Calibri" w:hAnsi="Calibri"/>
          <w:caps w:val="0"/>
          <w:snapToGrid/>
          <w:kern w:val="0"/>
          <w:szCs w:val="22"/>
        </w:rPr>
      </w:pPr>
      <w:r>
        <w:t>VI.</w:t>
      </w:r>
      <w:r w:rsidRPr="006034B8">
        <w:rPr>
          <w:rFonts w:ascii="Calibri" w:hAnsi="Calibri"/>
          <w:caps w:val="0"/>
          <w:snapToGrid/>
          <w:kern w:val="0"/>
          <w:szCs w:val="22"/>
        </w:rPr>
        <w:tab/>
      </w:r>
      <w:r>
        <w:t>Post-Auction Procedures</w:t>
      </w:r>
      <w:r>
        <w:tab/>
        <w:t>125</w:t>
      </w:r>
    </w:p>
    <w:p w:rsidR="00B42A2B" w:rsidRPr="006034B8" w:rsidRDefault="00AA13C4" w:rsidP="00B42A2B">
      <w:pPr>
        <w:pStyle w:val="TOC2"/>
        <w:tabs>
          <w:tab w:val="left" w:pos="360"/>
        </w:tabs>
        <w:rPr>
          <w:rFonts w:ascii="Calibri" w:hAnsi="Calibri"/>
          <w:snapToGrid/>
          <w:kern w:val="0"/>
          <w:szCs w:val="22"/>
        </w:rPr>
      </w:pPr>
      <w:r>
        <w:t>A.</w:t>
      </w:r>
      <w:r w:rsidRPr="006034B8">
        <w:rPr>
          <w:rFonts w:ascii="Calibri" w:hAnsi="Calibri"/>
          <w:snapToGrid/>
          <w:kern w:val="0"/>
          <w:szCs w:val="22"/>
        </w:rPr>
        <w:tab/>
      </w:r>
      <w:r>
        <w:t>Public Notice Announcing Winning Bidders</w:t>
      </w:r>
      <w:r>
        <w:tab/>
        <w:t>125</w:t>
      </w:r>
    </w:p>
    <w:p w:rsidR="00B42A2B" w:rsidRPr="006034B8" w:rsidRDefault="00AA13C4" w:rsidP="00B42A2B">
      <w:pPr>
        <w:pStyle w:val="TOC2"/>
        <w:tabs>
          <w:tab w:val="left" w:pos="360"/>
        </w:tabs>
        <w:rPr>
          <w:rFonts w:ascii="Calibri" w:hAnsi="Calibri"/>
          <w:snapToGrid/>
          <w:kern w:val="0"/>
          <w:szCs w:val="22"/>
        </w:rPr>
      </w:pPr>
      <w:r>
        <w:t>B.</w:t>
      </w:r>
      <w:r w:rsidRPr="006034B8">
        <w:rPr>
          <w:rFonts w:ascii="Calibri" w:hAnsi="Calibri"/>
          <w:snapToGrid/>
          <w:kern w:val="0"/>
          <w:szCs w:val="22"/>
        </w:rPr>
        <w:tab/>
      </w:r>
      <w:r>
        <w:t>Final Payments</w:t>
      </w:r>
      <w:r>
        <w:tab/>
        <w:t>128</w:t>
      </w:r>
    </w:p>
    <w:p w:rsidR="00B42A2B" w:rsidRPr="006034B8" w:rsidRDefault="00AA13C4" w:rsidP="00B42A2B">
      <w:pPr>
        <w:pStyle w:val="TOC2"/>
        <w:tabs>
          <w:tab w:val="left" w:pos="360"/>
        </w:tabs>
        <w:rPr>
          <w:rFonts w:ascii="Calibri" w:hAnsi="Calibri"/>
          <w:snapToGrid/>
          <w:kern w:val="0"/>
          <w:szCs w:val="22"/>
        </w:rPr>
      </w:pPr>
      <w:r>
        <w:t>C.</w:t>
      </w:r>
      <w:r w:rsidRPr="006034B8">
        <w:rPr>
          <w:rFonts w:ascii="Calibri" w:hAnsi="Calibri"/>
          <w:snapToGrid/>
          <w:kern w:val="0"/>
          <w:szCs w:val="22"/>
        </w:rPr>
        <w:tab/>
      </w:r>
      <w:r>
        <w:t>Refunds</w:t>
      </w:r>
      <w:r>
        <w:tab/>
        <w:t>130</w:t>
      </w:r>
    </w:p>
    <w:p w:rsidR="00B42A2B" w:rsidRPr="006034B8" w:rsidRDefault="00AA13C4" w:rsidP="00B42A2B">
      <w:pPr>
        <w:pStyle w:val="TOC2"/>
        <w:tabs>
          <w:tab w:val="left" w:pos="360"/>
        </w:tabs>
        <w:rPr>
          <w:rFonts w:ascii="Calibri" w:hAnsi="Calibri"/>
          <w:snapToGrid/>
          <w:kern w:val="0"/>
          <w:szCs w:val="22"/>
        </w:rPr>
      </w:pPr>
      <w:r>
        <w:t>D.</w:t>
      </w:r>
      <w:r w:rsidRPr="006034B8">
        <w:rPr>
          <w:rFonts w:ascii="Calibri" w:hAnsi="Calibri"/>
          <w:snapToGrid/>
          <w:kern w:val="0"/>
          <w:szCs w:val="22"/>
        </w:rPr>
        <w:tab/>
      </w:r>
      <w:r>
        <w:t>Auction Default Payments</w:t>
      </w:r>
      <w:r>
        <w:tab/>
        <w:t>131</w:t>
      </w:r>
    </w:p>
    <w:p w:rsidR="00B42A2B" w:rsidRPr="006034B8" w:rsidRDefault="00AA13C4" w:rsidP="00B42A2B">
      <w:pPr>
        <w:pStyle w:val="TOC2"/>
        <w:tabs>
          <w:tab w:val="left" w:pos="360"/>
        </w:tabs>
        <w:rPr>
          <w:rFonts w:ascii="Calibri" w:hAnsi="Calibri"/>
          <w:snapToGrid/>
          <w:kern w:val="0"/>
          <w:szCs w:val="22"/>
        </w:rPr>
      </w:pPr>
      <w:r>
        <w:t>E.</w:t>
      </w:r>
      <w:r w:rsidRPr="006034B8">
        <w:rPr>
          <w:rFonts w:ascii="Calibri" w:hAnsi="Calibri"/>
          <w:snapToGrid/>
          <w:kern w:val="0"/>
          <w:szCs w:val="22"/>
        </w:rPr>
        <w:tab/>
      </w:r>
      <w:r>
        <w:t>Reserving Toll Free Numbers / Declaring a RespOrg</w:t>
      </w:r>
      <w:r>
        <w:tab/>
        <w:t>132</w:t>
      </w:r>
    </w:p>
    <w:p w:rsidR="00B42A2B" w:rsidRPr="006034B8" w:rsidRDefault="00AA13C4" w:rsidP="00B42A2B">
      <w:pPr>
        <w:pStyle w:val="TOC2"/>
        <w:tabs>
          <w:tab w:val="left" w:pos="360"/>
        </w:tabs>
        <w:rPr>
          <w:rFonts w:ascii="Calibri" w:hAnsi="Calibri"/>
          <w:snapToGrid/>
          <w:kern w:val="0"/>
          <w:szCs w:val="22"/>
        </w:rPr>
      </w:pPr>
      <w:r>
        <w:t>F.</w:t>
      </w:r>
      <w:r w:rsidRPr="006034B8">
        <w:rPr>
          <w:rFonts w:ascii="Calibri" w:hAnsi="Calibri"/>
          <w:snapToGrid/>
          <w:kern w:val="0"/>
          <w:szCs w:val="22"/>
        </w:rPr>
        <w:tab/>
      </w:r>
      <w:r>
        <w:t>Secondary Market Considerations</w:t>
      </w:r>
      <w:r>
        <w:tab/>
        <w:t>133</w:t>
      </w:r>
    </w:p>
    <w:p w:rsidR="00B42A2B" w:rsidRPr="006034B8" w:rsidRDefault="00AA13C4" w:rsidP="00B42A2B">
      <w:pPr>
        <w:pStyle w:val="TOC1"/>
        <w:rPr>
          <w:rFonts w:ascii="Calibri" w:hAnsi="Calibri"/>
          <w:caps w:val="0"/>
          <w:snapToGrid/>
          <w:kern w:val="0"/>
          <w:szCs w:val="22"/>
        </w:rPr>
      </w:pPr>
      <w:r>
        <w:t>VII.</w:t>
      </w:r>
      <w:r w:rsidRPr="006034B8">
        <w:rPr>
          <w:rFonts w:ascii="Calibri" w:hAnsi="Calibri"/>
          <w:caps w:val="0"/>
          <w:snapToGrid/>
          <w:kern w:val="0"/>
          <w:szCs w:val="22"/>
        </w:rPr>
        <w:t xml:space="preserve"> </w:t>
      </w:r>
      <w:r>
        <w:t>Procedural Matters</w:t>
      </w:r>
      <w:r>
        <w:tab/>
        <w:t>139</w:t>
      </w:r>
    </w:p>
    <w:p w:rsidR="00B42A2B" w:rsidRDefault="00B42A2B" w:rsidP="00B42A2B"/>
    <w:p w:rsidR="00B42A2B" w:rsidRDefault="00AA13C4" w:rsidP="00B42A2B">
      <w:pPr>
        <w:pStyle w:val="Heading1"/>
      </w:pPr>
      <w:r>
        <w:t>General Information</w:t>
      </w:r>
    </w:p>
    <w:p w:rsidR="00B42A2B" w:rsidRDefault="00AA13C4" w:rsidP="00B42A2B">
      <w:pPr>
        <w:pStyle w:val="Heading2"/>
      </w:pPr>
      <w:bookmarkStart w:id="3" w:name="_Toc11074538"/>
      <w:bookmarkStart w:id="4" w:name="_Toc11163019"/>
      <w:bookmarkStart w:id="5" w:name="_Toc11251297"/>
      <w:bookmarkStart w:id="6" w:name="_Toc11335470"/>
      <w:bookmarkStart w:id="7" w:name="_Toc11682234"/>
      <w:bookmarkStart w:id="8" w:name="_Toc11737926"/>
      <w:bookmarkStart w:id="9" w:name="_Toc11846630"/>
      <w:bookmarkStart w:id="10" w:name="_Toc11944537"/>
      <w:bookmarkStart w:id="11" w:name="_Toc12288440"/>
      <w:bookmarkStart w:id="12" w:name="_Toc12440585"/>
      <w:bookmarkStart w:id="13" w:name="_Toc12548202"/>
      <w:bookmarkStart w:id="14" w:name="_Toc12610381"/>
      <w:bookmarkStart w:id="15" w:name="_Toc12634215"/>
      <w:bookmarkStart w:id="16" w:name="_Toc12975629"/>
      <w:bookmarkStart w:id="17" w:name="_Toc13469532"/>
      <w:r>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B42A2B" w:rsidRDefault="00AA13C4" w:rsidP="00B42A2B">
      <w:pPr>
        <w:pStyle w:val="ParaNum"/>
        <w:widowControl/>
      </w:pPr>
      <w:r>
        <w:t xml:space="preserve">By this Public Notice, the Commission establishes procedures for the upcoming auction of certain toll free numbers in the 833 code (833 Auction).  The 833 Auction, which will serve as an experiment in using competitive bidding as a way to assign toll free numbers, will make available 17,638 numbers in the 833 code.  Bidding in the 833 Auction will occur on December 17, 2019.  This Public Notice provides details regarding the procedures, terms, and conditions, as well as dates and deadlines, </w:t>
      </w:r>
      <w:r>
        <w:lastRenderedPageBreak/>
        <w:t>governing participation in the 833 Auction, and an overview of post-auction payments and requirements, including disclosure requirements for post-auction secondary market transactions.</w:t>
      </w:r>
    </w:p>
    <w:p w:rsidR="00B42A2B" w:rsidRDefault="00AA13C4" w:rsidP="00B42A2B">
      <w:pPr>
        <w:pStyle w:val="Heading2"/>
        <w:widowControl/>
      </w:pPr>
      <w:bookmarkStart w:id="18" w:name="_Toc11074539"/>
      <w:bookmarkStart w:id="19" w:name="_Toc11163020"/>
      <w:bookmarkStart w:id="20" w:name="_Toc11251298"/>
      <w:bookmarkStart w:id="21" w:name="_Toc11335471"/>
      <w:bookmarkStart w:id="22" w:name="_Toc11682235"/>
      <w:bookmarkStart w:id="23" w:name="_Toc11737927"/>
      <w:bookmarkStart w:id="24" w:name="_Toc11846631"/>
      <w:bookmarkStart w:id="25" w:name="_Toc11944538"/>
      <w:bookmarkStart w:id="26" w:name="_Toc12288441"/>
      <w:bookmarkStart w:id="27" w:name="_Toc12440586"/>
      <w:bookmarkStart w:id="28" w:name="_Toc12548203"/>
      <w:bookmarkStart w:id="29" w:name="_Toc12610382"/>
      <w:bookmarkStart w:id="30" w:name="_Toc12634216"/>
      <w:bookmarkStart w:id="31" w:name="_Toc12975630"/>
      <w:bookmarkStart w:id="32" w:name="_Toc13469533"/>
      <w:r>
        <w:t>Background and Relevant Authority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42A2B" w:rsidRDefault="00AA13C4" w:rsidP="00B42A2B">
      <w:pPr>
        <w:pStyle w:val="ParaNum"/>
        <w:widowControl/>
      </w:pPr>
      <w:r>
        <w:t xml:space="preserve">The Commission modified its toll free assignment rule last year in the </w:t>
      </w:r>
      <w:r>
        <w:rPr>
          <w:i/>
        </w:rPr>
        <w:t>Toll Free Assignment Modernization Order</w:t>
      </w:r>
      <w:r>
        <w:t xml:space="preserve"> to provide greater flexibility and permit alternative approaches to assigning numbers.</w:t>
      </w:r>
      <w:r>
        <w:rPr>
          <w:rStyle w:val="FootnoteReference"/>
        </w:rPr>
        <w:footnoteReference w:id="2"/>
      </w:r>
      <w:r>
        <w:t xml:space="preserve">  Specifically, the Commission added competitive bidding as a method to assign toll free numbers and, a</w:t>
      </w:r>
      <w:r w:rsidRPr="00B72EF0">
        <w:t>s</w:t>
      </w:r>
      <w:r>
        <w:t xml:space="preserve"> an experiment in using this approach, established the 833 Auction to assign numbers that were requested by two or more Responsible Organizations (“RespOrgs”) during the 833 pre-code opening process.</w:t>
      </w:r>
      <w:r>
        <w:rPr>
          <w:rStyle w:val="FootnoteReference"/>
        </w:rPr>
        <w:footnoteReference w:id="3"/>
      </w:r>
      <w:r>
        <w:t xml:space="preserve">  </w:t>
      </w:r>
    </w:p>
    <w:p w:rsidR="00B42A2B" w:rsidRDefault="00AA13C4" w:rsidP="00B42A2B">
      <w:pPr>
        <w:pStyle w:val="ParaNum"/>
        <w:widowControl/>
      </w:pPr>
      <w:r>
        <w:t xml:space="preserve">The Commission set out the general framework for the 833 Auction in the </w:t>
      </w:r>
      <w:r>
        <w:rPr>
          <w:i/>
        </w:rPr>
        <w:t>Toll Free Assignment Modernization Order</w:t>
      </w:r>
      <w:r>
        <w:t xml:space="preserve"> and designated Somos, Inc., the Toll Free Numbering Administrator, as the auctioneer.</w:t>
      </w:r>
      <w:r>
        <w:rPr>
          <w:rStyle w:val="FootnoteReference"/>
        </w:rPr>
        <w:footnoteReference w:id="4"/>
      </w:r>
      <w:r>
        <w:t xml:space="preserve">  The Commission opened participation in the 833 Auction to not only RespOrgs but also potential subscribers who may wish to participate directly.</w:t>
      </w:r>
      <w:r>
        <w:rPr>
          <w:rStyle w:val="FootnoteReference"/>
        </w:rPr>
        <w:footnoteReference w:id="5"/>
      </w:r>
      <w:r>
        <w:t xml:space="preserve">  The </w:t>
      </w:r>
      <w:r w:rsidRPr="00E511B0">
        <w:t>Commission</w:t>
      </w:r>
      <w:r>
        <w:t xml:space="preserve"> also called for a pre-bidding process during which it would seek comment on detailed auction procedures, as is typical in Commission auctions.</w:t>
      </w:r>
      <w:r>
        <w:rPr>
          <w:rStyle w:val="FootnoteReference"/>
        </w:rPr>
        <w:footnoteReference w:id="6"/>
      </w:r>
      <w:r>
        <w:t xml:space="preserve">  </w:t>
      </w:r>
    </w:p>
    <w:p w:rsidR="00B42A2B" w:rsidRDefault="00AA13C4" w:rsidP="00B42A2B">
      <w:pPr>
        <w:pStyle w:val="ParaNum"/>
        <w:widowControl/>
      </w:pPr>
      <w:r>
        <w:t>In May 2019, the Commission initiated the pre-bidding process by releasing a public notice seeking comment on auction procedures to be used in the 833 Auction.</w:t>
      </w:r>
      <w:r>
        <w:rPr>
          <w:rStyle w:val="FootnoteReference"/>
        </w:rPr>
        <w:footnoteReference w:id="7"/>
      </w:r>
      <w:r>
        <w:t xml:space="preserve">  S</w:t>
      </w:r>
      <w:r w:rsidRPr="00133FB6">
        <w:t>even</w:t>
      </w:r>
      <w:r w:rsidRPr="00D7517E">
        <w:t xml:space="preserve"> </w:t>
      </w:r>
      <w:r>
        <w:t xml:space="preserve">parties submitted filings in response to the </w:t>
      </w:r>
      <w:r>
        <w:rPr>
          <w:i/>
        </w:rPr>
        <w:t>833 Auction</w:t>
      </w:r>
      <w:r w:rsidRPr="0087178C">
        <w:rPr>
          <w:i/>
        </w:rPr>
        <w:t xml:space="preserve"> Comment Public Notice</w:t>
      </w:r>
      <w:r>
        <w:t>.</w:t>
      </w:r>
      <w:r>
        <w:rPr>
          <w:rStyle w:val="FootnoteReference"/>
        </w:rPr>
        <w:footnoteReference w:id="8"/>
      </w:r>
    </w:p>
    <w:p w:rsidR="00B42A2B" w:rsidRDefault="00AA13C4" w:rsidP="00B42A2B">
      <w:pPr>
        <w:pStyle w:val="ParaNum"/>
        <w:widowControl/>
      </w:pPr>
      <w:r>
        <w:t xml:space="preserve">Section 251(e)(1) of the Communications </w:t>
      </w:r>
      <w:r w:rsidRPr="00B16A7D">
        <w:t>Act</w:t>
      </w:r>
      <w:r>
        <w:t xml:space="preserve"> of 1934, as amended (the Act),</w:t>
      </w:r>
      <w:r>
        <w:rPr>
          <w:rStyle w:val="FootnoteReference"/>
        </w:rPr>
        <w:footnoteReference w:id="9"/>
      </w:r>
      <w:r>
        <w:t xml:space="preserve"> empowers the Commission to ensure that toll free numbers are allocated in an equitable and orderly manner that serves the public interest.</w:t>
      </w:r>
      <w:r>
        <w:rPr>
          <w:rStyle w:val="FootnoteReference"/>
        </w:rPr>
        <w:footnoteReference w:id="10"/>
      </w:r>
      <w:r>
        <w:t xml:space="preserve">  Pursuant to this statutory mandate, the Commission has the authority to set policy with respect to all facets of numbering administration in the United States,</w:t>
      </w:r>
      <w:r>
        <w:rPr>
          <w:rStyle w:val="FootnoteReference"/>
        </w:rPr>
        <w:footnoteReference w:id="11"/>
      </w:r>
      <w:r>
        <w:t xml:space="preserve"> and must do so in an efficient, fair, and orderly manner.</w:t>
      </w:r>
      <w:r>
        <w:rPr>
          <w:rStyle w:val="FootnoteReference"/>
        </w:rPr>
        <w:footnoteReference w:id="12"/>
      </w:r>
      <w:r>
        <w:t xml:space="preserve">  As in the </w:t>
      </w:r>
      <w:r w:rsidRPr="00C4199D">
        <w:rPr>
          <w:i/>
          <w:szCs w:val="22"/>
        </w:rPr>
        <w:t>Toll Free Assignment Modernization Order</w:t>
      </w:r>
      <w:r>
        <w:t>, the actions we take in this Public Notice are designed to meet the statutory requirement that numbers be made “available on an equitable basis,”</w:t>
      </w:r>
      <w:r>
        <w:rPr>
          <w:rStyle w:val="FootnoteReference"/>
        </w:rPr>
        <w:footnoteReference w:id="13"/>
      </w:r>
      <w:r>
        <w:t xml:space="preserve"> by establishing auction and secondary market procedures that are efficient, orderly, and fair.</w:t>
      </w:r>
      <w:r>
        <w:rPr>
          <w:rStyle w:val="FootnoteReference"/>
        </w:rPr>
        <w:footnoteReference w:id="14"/>
      </w:r>
    </w:p>
    <w:p w:rsidR="00B42A2B" w:rsidRPr="006C17CB" w:rsidRDefault="00AA13C4" w:rsidP="00B42A2B">
      <w:pPr>
        <w:pStyle w:val="ParaNum"/>
        <w:widowControl/>
      </w:pPr>
      <w:r w:rsidRPr="00C4199D">
        <w:rPr>
          <w:szCs w:val="22"/>
        </w:rPr>
        <w:t xml:space="preserve">In addition to the </w:t>
      </w:r>
      <w:r w:rsidRPr="00C4199D">
        <w:rPr>
          <w:i/>
          <w:szCs w:val="22"/>
        </w:rPr>
        <w:t>Toll Free Assignment Modernization Order</w:t>
      </w:r>
      <w:r w:rsidRPr="00C4199D">
        <w:rPr>
          <w:szCs w:val="22"/>
        </w:rPr>
        <w:t xml:space="preserve">, other Commission decisions and rules provide </w:t>
      </w:r>
      <w:r>
        <w:rPr>
          <w:szCs w:val="22"/>
        </w:rPr>
        <w:t>additional information useful to any party interested in participating in the 833 Auction</w:t>
      </w:r>
      <w:r w:rsidRPr="00C4199D">
        <w:rPr>
          <w:szCs w:val="22"/>
        </w:rPr>
        <w:t xml:space="preserve">.  </w:t>
      </w:r>
      <w:r>
        <w:rPr>
          <w:szCs w:val="22"/>
        </w:rPr>
        <w:t xml:space="preserve">For example, many of the application and bidding requirements set forth in the Public Notice are based on the Commission’s </w:t>
      </w:r>
      <w:r w:rsidRPr="00C4199D">
        <w:rPr>
          <w:szCs w:val="22"/>
        </w:rPr>
        <w:t>general competitive bidding rules</w:t>
      </w:r>
      <w:r>
        <w:rPr>
          <w:szCs w:val="22"/>
        </w:rPr>
        <w:t>.</w:t>
      </w:r>
      <w:r>
        <w:rPr>
          <w:rStyle w:val="FootnoteReference"/>
          <w:szCs w:val="22"/>
        </w:rPr>
        <w:footnoteReference w:id="15"/>
      </w:r>
      <w:r>
        <w:rPr>
          <w:szCs w:val="22"/>
        </w:rPr>
        <w:t xml:space="preserve">  Thus</w:t>
      </w:r>
      <w:r w:rsidRPr="00C4199D">
        <w:rPr>
          <w:szCs w:val="22"/>
        </w:rPr>
        <w:t xml:space="preserve">, prospective applicants </w:t>
      </w:r>
      <w:r>
        <w:rPr>
          <w:szCs w:val="22"/>
        </w:rPr>
        <w:t>should</w:t>
      </w:r>
      <w:r w:rsidRPr="00C4199D">
        <w:rPr>
          <w:szCs w:val="22"/>
        </w:rPr>
        <w:t xml:space="preserve"> familiarize themselves with </w:t>
      </w:r>
      <w:r>
        <w:rPr>
          <w:szCs w:val="22"/>
        </w:rPr>
        <w:t>those</w:t>
      </w:r>
      <w:r w:rsidRPr="00C4199D">
        <w:rPr>
          <w:szCs w:val="22"/>
        </w:rPr>
        <w:t xml:space="preserve"> rules, including recent amendments and clarifications, as well as Commission decisions in proceedings regarding competitive bidding procedures and application requirements.</w:t>
      </w:r>
      <w:r>
        <w:rPr>
          <w:rStyle w:val="FootnoteReference"/>
          <w:szCs w:val="22"/>
        </w:rPr>
        <w:footnoteReference w:id="16"/>
      </w:r>
    </w:p>
    <w:p w:rsidR="00B42A2B" w:rsidRDefault="00AA13C4" w:rsidP="00B42A2B">
      <w:pPr>
        <w:pStyle w:val="ParaNum"/>
        <w:widowControl/>
      </w:pPr>
      <w:r>
        <w:rPr>
          <w:szCs w:val="22"/>
        </w:rPr>
        <w:t>Moreover, as part of their due diligence responsibilities, a</w:t>
      </w:r>
      <w:r w:rsidRPr="00C4199D">
        <w:rPr>
          <w:szCs w:val="22"/>
        </w:rPr>
        <w:t>pplicants must be thoroughly familiar with the procedures, terms, and conditions contained in this Public Notice and any future public notices that may be released in this proceeding.</w:t>
      </w:r>
      <w:r>
        <w:rPr>
          <w:szCs w:val="22"/>
        </w:rPr>
        <w:t xml:space="preserve">  </w:t>
      </w:r>
      <w:r>
        <w:t xml:space="preserve">The terms contained in the Commission’s rules, relevant orders, and public notices are not negotiable.  The Commission may amend or supplement the information contained in its public notices at any time and will issue public notices to convey new or supplemental information to applicants.  It is the responsibility of all applicants to remain current with all Commission rules and with all public notices pertaining to the 833 Auction.  Copies of most auctions-related Commission documents, including public notices, can be retrieved at </w:t>
      </w:r>
      <w:hyperlink r:id="rId8" w:history="1">
        <w:r w:rsidRPr="00C03169">
          <w:rPr>
            <w:rStyle w:val="Hyperlink"/>
          </w:rPr>
          <w:t>www.fcc.gov/auctions</w:t>
        </w:r>
      </w:hyperlink>
      <w:r>
        <w:t xml:space="preserve">, and copies of documents related to the 833 Auction can be retrieved at </w:t>
      </w:r>
      <w:hyperlink r:id="rId9" w:history="1">
        <w:r w:rsidRPr="00EB0E64">
          <w:rPr>
            <w:rStyle w:val="Hyperlink"/>
          </w:rPr>
          <w:t>https://www.fcc.gov/wireline-competition/competition-policy-division/numbering-resources/833-auction</w:t>
        </w:r>
      </w:hyperlink>
      <w:r>
        <w:t xml:space="preserve">.  Additionally, documents are available through Somos at </w:t>
      </w:r>
      <w:hyperlink r:id="rId10" w:history="1">
        <w:r w:rsidRPr="000D59F8">
          <w:rPr>
            <w:rStyle w:val="Hyperlink"/>
          </w:rPr>
          <w:t>http://auction.somos.com/</w:t>
        </w:r>
      </w:hyperlink>
      <w:r>
        <w:t xml:space="preserve"> and at the Commission’s headquarters, located at 445 12</w:t>
      </w:r>
      <w:r w:rsidRPr="006C17CB">
        <w:rPr>
          <w:vertAlign w:val="superscript"/>
        </w:rPr>
        <w:t>th</w:t>
      </w:r>
      <w:r>
        <w:t xml:space="preserve"> Street, SW, Washington, DC 20554, during normal business hours.</w:t>
      </w:r>
    </w:p>
    <w:p w:rsidR="00B42A2B" w:rsidRDefault="00AA13C4" w:rsidP="00B42A2B">
      <w:pPr>
        <w:pStyle w:val="Heading2"/>
        <w:widowControl/>
      </w:pPr>
      <w:bookmarkStart w:id="33" w:name="_Toc11074540"/>
      <w:bookmarkStart w:id="34" w:name="_Toc11163021"/>
      <w:bookmarkStart w:id="35" w:name="_Toc11251299"/>
      <w:bookmarkStart w:id="36" w:name="_Toc11335472"/>
      <w:bookmarkStart w:id="37" w:name="_Toc11682236"/>
      <w:bookmarkStart w:id="38" w:name="_Toc11737928"/>
      <w:bookmarkStart w:id="39" w:name="_Toc11846632"/>
      <w:bookmarkStart w:id="40" w:name="_Toc11944539"/>
      <w:bookmarkStart w:id="41" w:name="_Toc12288442"/>
      <w:bookmarkStart w:id="42" w:name="_Toc12440587"/>
      <w:bookmarkStart w:id="43" w:name="_Toc12548204"/>
      <w:bookmarkStart w:id="44" w:name="_Toc12610383"/>
      <w:bookmarkStart w:id="45" w:name="_Toc12634217"/>
      <w:bookmarkStart w:id="46" w:name="_Toc12975631"/>
      <w:bookmarkStart w:id="47" w:name="_Toc13469534"/>
      <w:r>
        <w:t>Toll Free Numbers Offered in 833 Auction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42A2B" w:rsidRDefault="00AA13C4" w:rsidP="00B42A2B">
      <w:pPr>
        <w:pStyle w:val="ParaNum"/>
        <w:widowControl/>
      </w:pPr>
      <w:r>
        <w:t>In the 833 pre-code opening process, the Commission’s Wireline Competition Bureau authorized RespOrgs to identify up to 2,000 desired numbers in the 833 code and submit a request for those numbers to Somos.</w:t>
      </w:r>
      <w:r>
        <w:rPr>
          <w:rStyle w:val="FootnoteReference"/>
        </w:rPr>
        <w:footnoteReference w:id="17"/>
      </w:r>
      <w:r>
        <w:t xml:space="preserve">  Somos identified 17,638 toll free numbers as requested by two or more RespOrgs and placed those numbers in unavailable status.</w:t>
      </w:r>
      <w:r>
        <w:rPr>
          <w:rStyle w:val="FootnoteReference"/>
        </w:rPr>
        <w:footnoteReference w:id="18"/>
      </w:r>
      <w:r>
        <w:t xml:space="preserve">  In the </w:t>
      </w:r>
      <w:r>
        <w:rPr>
          <w:i/>
        </w:rPr>
        <w:t>Toll Free Assignment Modernization Order</w:t>
      </w:r>
      <w:r>
        <w:t>, the Commission announced that the rights to use these 17,638 toll free numbers in the 833 code would be offered in the 833 Auction.</w:t>
      </w:r>
      <w:r>
        <w:rPr>
          <w:rStyle w:val="FootnoteReference"/>
        </w:rPr>
        <w:footnoteReference w:id="19"/>
      </w:r>
    </w:p>
    <w:p w:rsidR="00B42A2B" w:rsidRDefault="00AA13C4" w:rsidP="00B42A2B">
      <w:pPr>
        <w:pStyle w:val="ParaNum"/>
        <w:widowControl/>
      </w:pPr>
      <w:r>
        <w:t xml:space="preserve">The Commission, in the </w:t>
      </w:r>
      <w:r>
        <w:rPr>
          <w:i/>
        </w:rPr>
        <w:t>Toll Free Assignment Modernization Order</w:t>
      </w:r>
      <w:r>
        <w:t>, provided one exception to making these numbers available in the 833 Auction by allowing government entities and non-profit health and safety organizations to file petitions to set aside numbers from the auction for use for public health and safety purposes.</w:t>
      </w:r>
      <w:r>
        <w:rPr>
          <w:rStyle w:val="FootnoteReference"/>
        </w:rPr>
        <w:footnoteReference w:id="20"/>
      </w:r>
      <w:r>
        <w:t xml:space="preserve">  On April 16, 2019, the Wireline Competition Bureau released a Public Notice seeking petitions to set aside toll free numbers pursuant to this exception.</w:t>
      </w:r>
      <w:r>
        <w:rPr>
          <w:rStyle w:val="FootnoteReference"/>
        </w:rPr>
        <w:footnoteReference w:id="21"/>
      </w:r>
      <w:r>
        <w:t xml:space="preserve">  No petitions were submitted.  Consequently, all 17,638 numbers previously identified as having multiple requests will be offered in the 833 Auction.</w:t>
      </w:r>
      <w:r>
        <w:rPr>
          <w:rStyle w:val="FootnoteReference"/>
        </w:rPr>
        <w:footnoteReference w:id="22"/>
      </w:r>
      <w:r>
        <w:t xml:space="preserve">  A complete list of these 17,638 numbers is available in electronic format only at </w:t>
      </w:r>
      <w:hyperlink r:id="rId11" w:history="1">
        <w:r w:rsidRPr="000D59F8">
          <w:rPr>
            <w:rStyle w:val="Hyperlink"/>
          </w:rPr>
          <w:t>http://auction.somos.com/</w:t>
        </w:r>
      </w:hyperlink>
      <w:r>
        <w:t>.</w:t>
      </w:r>
    </w:p>
    <w:p w:rsidR="00B42A2B" w:rsidRDefault="00AA13C4" w:rsidP="00B42A2B">
      <w:pPr>
        <w:pStyle w:val="Heading2"/>
        <w:widowControl/>
      </w:pPr>
      <w:bookmarkStart w:id="48" w:name="_Toc11074541"/>
      <w:bookmarkStart w:id="49" w:name="_Toc11163022"/>
      <w:bookmarkStart w:id="50" w:name="_Toc11251300"/>
      <w:bookmarkStart w:id="51" w:name="_Toc11335473"/>
      <w:bookmarkStart w:id="52" w:name="_Toc11682237"/>
      <w:bookmarkStart w:id="53" w:name="_Toc11737929"/>
      <w:bookmarkStart w:id="54" w:name="_Toc11846633"/>
      <w:bookmarkStart w:id="55" w:name="_Toc11944540"/>
      <w:bookmarkStart w:id="56" w:name="_Toc12288443"/>
      <w:bookmarkStart w:id="57" w:name="_Toc12440588"/>
      <w:bookmarkStart w:id="58" w:name="_Toc12548205"/>
      <w:bookmarkStart w:id="59" w:name="_Toc12610384"/>
      <w:bookmarkStart w:id="60" w:name="_Toc12634218"/>
      <w:bookmarkStart w:id="61" w:name="_Toc12975632"/>
      <w:bookmarkStart w:id="62" w:name="_Toc13469535"/>
      <w:r>
        <w:t>Auction Specifics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B42A2B" w:rsidRDefault="00AA13C4" w:rsidP="00B42A2B">
      <w:pPr>
        <w:pStyle w:val="Heading3"/>
        <w:widowControl/>
      </w:pPr>
      <w:bookmarkStart w:id="63" w:name="_Toc11074542"/>
      <w:bookmarkStart w:id="64" w:name="_Toc11163023"/>
      <w:bookmarkStart w:id="65" w:name="_Toc11251301"/>
      <w:bookmarkStart w:id="66" w:name="_Toc11335474"/>
      <w:bookmarkStart w:id="67" w:name="_Toc11682238"/>
      <w:bookmarkStart w:id="68" w:name="_Toc11737930"/>
      <w:bookmarkStart w:id="69" w:name="_Toc11846634"/>
      <w:bookmarkStart w:id="70" w:name="_Toc11944541"/>
      <w:bookmarkStart w:id="71" w:name="_Toc12288444"/>
      <w:bookmarkStart w:id="72" w:name="_Toc12440589"/>
      <w:bookmarkStart w:id="73" w:name="_Toc12548206"/>
      <w:bookmarkStart w:id="74" w:name="_Toc12610385"/>
      <w:bookmarkStart w:id="75" w:name="_Toc12634219"/>
      <w:bookmarkStart w:id="76" w:name="_Toc12975633"/>
      <w:bookmarkStart w:id="77" w:name="_Toc13469536"/>
      <w:r>
        <w:t>Auctioneer</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B42A2B" w:rsidRPr="001405C6" w:rsidRDefault="00AA13C4" w:rsidP="00B42A2B">
      <w:pPr>
        <w:pStyle w:val="ParaNum"/>
        <w:widowControl/>
      </w:pPr>
      <w:r>
        <w:t xml:space="preserve">In the </w:t>
      </w:r>
      <w:r w:rsidRPr="00F118C9">
        <w:rPr>
          <w:i/>
        </w:rPr>
        <w:t>Toll Free Assignment Modernization Order</w:t>
      </w:r>
      <w:r>
        <w:t>, the Commission designated Somos as the auctioneer for the 833 Auction.</w:t>
      </w:r>
      <w:r>
        <w:rPr>
          <w:rStyle w:val="FootnoteReference"/>
        </w:rPr>
        <w:footnoteReference w:id="23"/>
      </w:r>
      <w:r>
        <w:t xml:space="preserve">  As such, Somos will be required to implement the procedures established in this Public Notice to conduct the auction, including:  accepting applications to participate in the bidding (“auction applications”);</w:t>
      </w:r>
      <w:r>
        <w:rPr>
          <w:rStyle w:val="FootnoteReference"/>
        </w:rPr>
        <w:footnoteReference w:id="24"/>
      </w:r>
      <w:r>
        <w:t xml:space="preserve"> reviewing the applications for sufficiency; accepting upfront payments; announcing which applicants are qualified to bid (“qualified bidders”); accepting and processing the bids; announcing the winning bidders; and accepting final payments.  To accomplish these tasks, Somos must provide an online system(s) for the 833 Auction that will accept auction applications and bids (collectively “Somos Auction System”) and Somos must provide procedures to accept both upfront and final payments.</w:t>
      </w:r>
    </w:p>
    <w:p w:rsidR="00B42A2B" w:rsidRDefault="00AA13C4" w:rsidP="00B42A2B">
      <w:pPr>
        <w:pStyle w:val="Heading3"/>
        <w:widowControl/>
      </w:pPr>
      <w:bookmarkStart w:id="78" w:name="_Toc11074543"/>
      <w:bookmarkStart w:id="79" w:name="_Toc11163024"/>
      <w:bookmarkStart w:id="80" w:name="_Toc11251302"/>
      <w:bookmarkStart w:id="81" w:name="_Toc11335475"/>
      <w:bookmarkStart w:id="82" w:name="_Toc11682239"/>
      <w:bookmarkStart w:id="83" w:name="_Toc11737931"/>
      <w:bookmarkStart w:id="84" w:name="_Toc11846635"/>
      <w:bookmarkStart w:id="85" w:name="_Toc11944542"/>
      <w:bookmarkStart w:id="86" w:name="_Toc12288445"/>
      <w:bookmarkStart w:id="87" w:name="_Toc12440590"/>
      <w:bookmarkStart w:id="88" w:name="_Toc12548207"/>
      <w:bookmarkStart w:id="89" w:name="_Toc12610386"/>
      <w:bookmarkStart w:id="90" w:name="_Toc12634220"/>
      <w:bookmarkStart w:id="91" w:name="_Toc12975634"/>
      <w:bookmarkStart w:id="92" w:name="_Toc13469537"/>
      <w:r>
        <w:t>Auction Dates and Deadlines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42A2B" w:rsidRDefault="00AA13C4" w:rsidP="00B42A2B">
      <w:pPr>
        <w:pStyle w:val="ParaNum"/>
        <w:widowControl/>
      </w:pPr>
      <w:r>
        <w:t>The following dates and deadlines apply to the 833 Auction:</w:t>
      </w:r>
    </w:p>
    <w:p w:rsidR="00B42A2B" w:rsidRPr="00176F90" w:rsidRDefault="00AA13C4" w:rsidP="00B42A2B">
      <w:pPr>
        <w:keepNext/>
        <w:widowControl/>
        <w:tabs>
          <w:tab w:val="left" w:leader="dot" w:pos="5040"/>
        </w:tabs>
        <w:rPr>
          <w:szCs w:val="22"/>
        </w:rPr>
      </w:pPr>
      <w:r w:rsidRPr="00176F90">
        <w:rPr>
          <w:szCs w:val="22"/>
        </w:rPr>
        <w:t>Auction Registration, Application, and Bidding</w:t>
      </w:r>
    </w:p>
    <w:p w:rsidR="00B42A2B" w:rsidRPr="00176F90" w:rsidRDefault="00AA13C4" w:rsidP="00B42A2B">
      <w:pPr>
        <w:widowControl/>
        <w:tabs>
          <w:tab w:val="left" w:leader="dot" w:pos="5040"/>
        </w:tabs>
        <w:ind w:right="-547"/>
        <w:rPr>
          <w:szCs w:val="22"/>
        </w:rPr>
      </w:pPr>
      <w:r w:rsidRPr="00176F90">
        <w:rPr>
          <w:szCs w:val="22"/>
        </w:rPr>
        <w:t>Tutorials Available (via Internet)</w:t>
      </w:r>
      <w:r w:rsidRPr="00176F90">
        <w:rPr>
          <w:szCs w:val="22"/>
        </w:rPr>
        <w:tab/>
        <w:t>No later than September 11, 2019</w:t>
      </w:r>
    </w:p>
    <w:p w:rsidR="00B42A2B" w:rsidRPr="005712E5" w:rsidRDefault="00B42A2B" w:rsidP="00B42A2B">
      <w:pPr>
        <w:widowControl/>
        <w:tabs>
          <w:tab w:val="left" w:leader="dot" w:pos="5040"/>
        </w:tabs>
        <w:ind w:right="-547"/>
        <w:rPr>
          <w:szCs w:val="22"/>
        </w:rPr>
      </w:pPr>
    </w:p>
    <w:p w:rsidR="00B42A2B" w:rsidRPr="005712E5" w:rsidRDefault="00AA13C4" w:rsidP="00B42A2B">
      <w:pPr>
        <w:keepNext/>
        <w:widowControl/>
        <w:tabs>
          <w:tab w:val="left" w:leader="dot" w:pos="5040"/>
        </w:tabs>
        <w:rPr>
          <w:szCs w:val="22"/>
        </w:rPr>
      </w:pPr>
      <w:r>
        <w:rPr>
          <w:szCs w:val="22"/>
        </w:rPr>
        <w:t>Auction</w:t>
      </w:r>
      <w:r w:rsidRPr="005712E5">
        <w:rPr>
          <w:szCs w:val="22"/>
        </w:rPr>
        <w:t xml:space="preserve"> Application (FCC Form </w:t>
      </w:r>
      <w:r>
        <w:rPr>
          <w:szCs w:val="22"/>
        </w:rPr>
        <w:t>833)</w:t>
      </w:r>
      <w:r w:rsidRPr="005712E5">
        <w:rPr>
          <w:szCs w:val="22"/>
        </w:rPr>
        <w:t xml:space="preserve"> </w:t>
      </w:r>
    </w:p>
    <w:p w:rsidR="00B42A2B" w:rsidRPr="005712E5" w:rsidRDefault="00AA13C4" w:rsidP="00B42A2B">
      <w:pPr>
        <w:widowControl/>
        <w:tabs>
          <w:tab w:val="left" w:leader="dot" w:pos="5040"/>
        </w:tabs>
        <w:spacing w:after="120"/>
        <w:ind w:right="-547"/>
        <w:rPr>
          <w:szCs w:val="22"/>
        </w:rPr>
      </w:pPr>
      <w:r w:rsidRPr="005712E5">
        <w:rPr>
          <w:szCs w:val="22"/>
        </w:rPr>
        <w:t>Filing Window Opens</w:t>
      </w:r>
      <w:r w:rsidRPr="005712E5">
        <w:rPr>
          <w:szCs w:val="22"/>
        </w:rPr>
        <w:tab/>
      </w:r>
      <w:r>
        <w:rPr>
          <w:szCs w:val="22"/>
        </w:rPr>
        <w:t>October</w:t>
      </w:r>
      <w:r w:rsidRPr="005712E5">
        <w:rPr>
          <w:szCs w:val="22"/>
        </w:rPr>
        <w:t xml:space="preserve"> </w:t>
      </w:r>
      <w:r>
        <w:rPr>
          <w:szCs w:val="22"/>
        </w:rPr>
        <w:t>7</w:t>
      </w:r>
      <w:r w:rsidRPr="005712E5">
        <w:rPr>
          <w:szCs w:val="22"/>
        </w:rPr>
        <w:t>, 20</w:t>
      </w:r>
      <w:r>
        <w:rPr>
          <w:szCs w:val="22"/>
        </w:rPr>
        <w:t>19</w:t>
      </w:r>
      <w:r w:rsidRPr="005712E5">
        <w:rPr>
          <w:szCs w:val="22"/>
        </w:rPr>
        <w:t>; 12:00 noon Eastern Time (ET)</w:t>
      </w:r>
    </w:p>
    <w:p w:rsidR="00B42A2B" w:rsidRPr="005712E5" w:rsidRDefault="00AA13C4" w:rsidP="00B42A2B">
      <w:pPr>
        <w:keepNext/>
        <w:widowControl/>
        <w:tabs>
          <w:tab w:val="left" w:leader="dot" w:pos="5040"/>
        </w:tabs>
        <w:rPr>
          <w:szCs w:val="22"/>
        </w:rPr>
      </w:pPr>
      <w:r>
        <w:rPr>
          <w:szCs w:val="22"/>
        </w:rPr>
        <w:t>Auction</w:t>
      </w:r>
      <w:r w:rsidRPr="005712E5">
        <w:rPr>
          <w:szCs w:val="22"/>
        </w:rPr>
        <w:t xml:space="preserve"> Application (FCC Form </w:t>
      </w:r>
      <w:r>
        <w:rPr>
          <w:szCs w:val="22"/>
        </w:rPr>
        <w:t>833</w:t>
      </w:r>
      <w:r w:rsidRPr="005712E5">
        <w:rPr>
          <w:szCs w:val="22"/>
        </w:rPr>
        <w:t xml:space="preserve">) </w:t>
      </w:r>
    </w:p>
    <w:p w:rsidR="00B42A2B" w:rsidRPr="005712E5" w:rsidRDefault="00AA13C4" w:rsidP="00B42A2B">
      <w:pPr>
        <w:widowControl/>
        <w:tabs>
          <w:tab w:val="left" w:leader="dot" w:pos="5040"/>
        </w:tabs>
        <w:spacing w:after="120"/>
        <w:ind w:right="-547"/>
        <w:rPr>
          <w:szCs w:val="22"/>
        </w:rPr>
      </w:pPr>
      <w:r w:rsidRPr="005712E5">
        <w:rPr>
          <w:szCs w:val="22"/>
        </w:rPr>
        <w:t>Filing Window Deadline</w:t>
      </w:r>
      <w:r w:rsidRPr="005712E5">
        <w:rPr>
          <w:szCs w:val="22"/>
        </w:rPr>
        <w:tab/>
      </w:r>
      <w:r>
        <w:rPr>
          <w:szCs w:val="22"/>
        </w:rPr>
        <w:t>October</w:t>
      </w:r>
      <w:r w:rsidRPr="005712E5">
        <w:rPr>
          <w:szCs w:val="22"/>
        </w:rPr>
        <w:t xml:space="preserve"> 18, 201</w:t>
      </w:r>
      <w:r>
        <w:rPr>
          <w:szCs w:val="22"/>
        </w:rPr>
        <w:t>9</w:t>
      </w:r>
      <w:r w:rsidRPr="005712E5">
        <w:rPr>
          <w:szCs w:val="22"/>
        </w:rPr>
        <w:t>; 6:00 p.m. ET</w:t>
      </w:r>
    </w:p>
    <w:p w:rsidR="00B42A2B" w:rsidRPr="009470B1" w:rsidRDefault="00AA13C4" w:rsidP="00B42A2B">
      <w:pPr>
        <w:widowControl/>
        <w:tabs>
          <w:tab w:val="left" w:leader="dot" w:pos="5040"/>
        </w:tabs>
        <w:spacing w:after="120"/>
        <w:ind w:right="-547"/>
        <w:rPr>
          <w:szCs w:val="22"/>
        </w:rPr>
      </w:pPr>
      <w:r w:rsidRPr="009470B1">
        <w:rPr>
          <w:szCs w:val="22"/>
        </w:rPr>
        <w:t>Upfront Payments</w:t>
      </w:r>
      <w:r w:rsidRPr="009470B1">
        <w:rPr>
          <w:szCs w:val="22"/>
        </w:rPr>
        <w:tab/>
        <w:t>November 27, 2019; 6:00 p.m. ET</w:t>
      </w:r>
    </w:p>
    <w:p w:rsidR="00B42A2B" w:rsidRPr="00176F90" w:rsidRDefault="00AA13C4" w:rsidP="00B42A2B">
      <w:pPr>
        <w:widowControl/>
        <w:tabs>
          <w:tab w:val="left" w:leader="dot" w:pos="5040"/>
        </w:tabs>
        <w:spacing w:after="120"/>
        <w:ind w:right="-547"/>
        <w:rPr>
          <w:szCs w:val="22"/>
        </w:rPr>
      </w:pPr>
      <w:r>
        <w:rPr>
          <w:szCs w:val="22"/>
        </w:rPr>
        <w:t>Mock Auction</w:t>
      </w:r>
      <w:r w:rsidRPr="00176F90">
        <w:rPr>
          <w:szCs w:val="22"/>
        </w:rPr>
        <w:tab/>
        <w:t>December 1</w:t>
      </w:r>
      <w:r>
        <w:rPr>
          <w:szCs w:val="22"/>
        </w:rPr>
        <w:t>3</w:t>
      </w:r>
      <w:r w:rsidRPr="00176F90">
        <w:rPr>
          <w:szCs w:val="22"/>
        </w:rPr>
        <w:t>, 2019</w:t>
      </w:r>
    </w:p>
    <w:p w:rsidR="00B42A2B" w:rsidRDefault="00AA13C4" w:rsidP="00B42A2B">
      <w:pPr>
        <w:widowControl/>
        <w:tabs>
          <w:tab w:val="left" w:leader="dot" w:pos="5040"/>
        </w:tabs>
        <w:spacing w:after="240"/>
        <w:rPr>
          <w:szCs w:val="22"/>
        </w:rPr>
      </w:pPr>
      <w:r w:rsidRPr="005712E5">
        <w:rPr>
          <w:szCs w:val="22"/>
        </w:rPr>
        <w:t xml:space="preserve">Bidding in </w:t>
      </w:r>
      <w:r>
        <w:rPr>
          <w:szCs w:val="22"/>
        </w:rPr>
        <w:t>the 833 Auction</w:t>
      </w:r>
      <w:r w:rsidRPr="005712E5">
        <w:rPr>
          <w:szCs w:val="22"/>
        </w:rPr>
        <w:tab/>
      </w:r>
      <w:r>
        <w:rPr>
          <w:szCs w:val="22"/>
        </w:rPr>
        <w:t>December 17, 2019</w:t>
      </w:r>
    </w:p>
    <w:p w:rsidR="00B42A2B" w:rsidRDefault="00AA13C4" w:rsidP="00B42A2B">
      <w:pPr>
        <w:pStyle w:val="Heading3"/>
        <w:widowControl/>
      </w:pPr>
      <w:bookmarkStart w:id="93" w:name="_Toc11074544"/>
      <w:bookmarkStart w:id="94" w:name="_Toc11163025"/>
      <w:bookmarkStart w:id="95" w:name="_Toc11251303"/>
      <w:bookmarkStart w:id="96" w:name="_Toc11335476"/>
      <w:bookmarkStart w:id="97" w:name="_Toc11682240"/>
      <w:bookmarkStart w:id="98" w:name="_Toc11737932"/>
      <w:bookmarkStart w:id="99" w:name="_Toc11846636"/>
      <w:bookmarkStart w:id="100" w:name="_Toc11944543"/>
      <w:bookmarkStart w:id="101" w:name="_Toc12288446"/>
      <w:bookmarkStart w:id="102" w:name="_Toc12440591"/>
      <w:bookmarkStart w:id="103" w:name="_Toc12548208"/>
      <w:bookmarkStart w:id="104" w:name="_Toc12610387"/>
      <w:bookmarkStart w:id="105" w:name="_Toc12634221"/>
      <w:bookmarkStart w:id="106" w:name="_Toc12975635"/>
      <w:bookmarkStart w:id="107" w:name="_Toc13469538"/>
      <w:r>
        <w:t>Requirements for Participation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B42A2B" w:rsidRPr="00F86001" w:rsidRDefault="00AA13C4" w:rsidP="00B42A2B">
      <w:pPr>
        <w:pStyle w:val="ParaNum"/>
        <w:widowControl/>
      </w:pPr>
      <w:r>
        <w:t>Those wishing to participate in the 833 Auction must:</w:t>
      </w:r>
    </w:p>
    <w:p w:rsidR="00B42A2B" w:rsidRDefault="00AA13C4" w:rsidP="00B42A2B">
      <w:pPr>
        <w:pStyle w:val="ParaNum"/>
        <w:widowControl/>
        <w:numPr>
          <w:ilvl w:val="0"/>
          <w:numId w:val="7"/>
        </w:numPr>
      </w:pPr>
      <w:r>
        <w:t>Register for an Auction ID online through the Somos Auction System;</w:t>
      </w:r>
      <w:r>
        <w:rPr>
          <w:rStyle w:val="FootnoteReference"/>
        </w:rPr>
        <w:footnoteReference w:id="25"/>
      </w:r>
    </w:p>
    <w:p w:rsidR="00B42A2B" w:rsidRDefault="00AA13C4" w:rsidP="00B42A2B">
      <w:pPr>
        <w:pStyle w:val="ParaNum"/>
        <w:widowControl/>
        <w:numPr>
          <w:ilvl w:val="0"/>
          <w:numId w:val="7"/>
        </w:numPr>
      </w:pPr>
      <w:r>
        <w:t>Submit an auction application (FCC Form 833) electronically through the Somos Auction System prior to 6:00 p.m. ET on October 18, 2019, following filing procedures set forth in this Public Notice and any FCC Form 833 instructions provided by Somos;</w:t>
      </w:r>
    </w:p>
    <w:p w:rsidR="00B42A2B" w:rsidRPr="009470B1" w:rsidRDefault="00AA13C4" w:rsidP="00B42A2B">
      <w:pPr>
        <w:pStyle w:val="ParaNum"/>
        <w:keepNext/>
        <w:widowControl/>
        <w:numPr>
          <w:ilvl w:val="0"/>
          <w:numId w:val="7"/>
        </w:numPr>
      </w:pPr>
      <w:r w:rsidRPr="009470B1">
        <w:t xml:space="preserve">Submit a sufficient upfront payment to Somos by 6:00 p.m. ET on November 27, 2019, following the procedures set forth in this Public Notice; and </w:t>
      </w:r>
    </w:p>
    <w:p w:rsidR="00B42A2B" w:rsidRDefault="00AA13C4" w:rsidP="00B42A2B">
      <w:pPr>
        <w:pStyle w:val="ParaNum"/>
        <w:widowControl/>
        <w:numPr>
          <w:ilvl w:val="0"/>
          <w:numId w:val="7"/>
        </w:numPr>
      </w:pPr>
      <w:r>
        <w:t>Comply with all provisions outlined in this Public Notice and applicable Commission rules and orders.</w:t>
      </w:r>
    </w:p>
    <w:p w:rsidR="00B42A2B" w:rsidRDefault="00AA13C4" w:rsidP="00B42A2B">
      <w:pPr>
        <w:pStyle w:val="Heading1"/>
        <w:widowControl/>
      </w:pPr>
      <w:bookmarkStart w:id="108" w:name="_Toc11074545"/>
      <w:bookmarkStart w:id="109" w:name="_Toc11163026"/>
      <w:bookmarkStart w:id="110" w:name="_Toc11251304"/>
      <w:bookmarkStart w:id="111" w:name="_Toc11335477"/>
      <w:bookmarkStart w:id="112" w:name="_Toc11682241"/>
      <w:bookmarkStart w:id="113" w:name="_Toc11737933"/>
      <w:bookmarkStart w:id="114" w:name="_Toc11846637"/>
      <w:bookmarkStart w:id="115" w:name="_Toc11944544"/>
      <w:bookmarkStart w:id="116" w:name="_Toc12288447"/>
      <w:bookmarkStart w:id="117" w:name="_Toc12440592"/>
      <w:bookmarkStart w:id="118" w:name="_Toc12548209"/>
      <w:bookmarkStart w:id="119" w:name="_Toc12610388"/>
      <w:bookmarkStart w:id="120" w:name="_Toc12634222"/>
      <w:bookmarkStart w:id="121" w:name="_Toc12975636"/>
      <w:bookmarkStart w:id="122" w:name="_Toc13469539"/>
      <w:r>
        <w:t>Implementation of 833 Auction Principles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B42A2B" w:rsidRPr="00DF3C56" w:rsidRDefault="00AA13C4" w:rsidP="00B42A2B">
      <w:pPr>
        <w:pStyle w:val="ParaNum"/>
        <w:widowControl/>
      </w:pPr>
      <w:r>
        <w:t xml:space="preserve">In the </w:t>
      </w:r>
      <w:r>
        <w:rPr>
          <w:i/>
        </w:rPr>
        <w:t>Toll Free Assignment Modernization Order</w:t>
      </w:r>
      <w:r>
        <w:t xml:space="preserve">, the Commission established certain principles to promote the transparency and efficiency of the 833 Auction, and reduce the potential for conflicts of interest and anticompetitive strategic behavior by </w:t>
      </w:r>
      <w:r w:rsidRPr="008E3F2C">
        <w:t>participants.</w:t>
      </w:r>
      <w:r>
        <w:rPr>
          <w:rStyle w:val="FootnoteReference"/>
        </w:rPr>
        <w:footnoteReference w:id="26"/>
      </w:r>
      <w:r>
        <w:t xml:space="preserve">  We sought comment in the </w:t>
      </w:r>
      <w:r>
        <w:rPr>
          <w:i/>
        </w:rPr>
        <w:t>833 Auction</w:t>
      </w:r>
      <w:r w:rsidRPr="00DF3C56">
        <w:rPr>
          <w:i/>
        </w:rPr>
        <w:t xml:space="preserve"> Comment Public Notice</w:t>
      </w:r>
      <w:r>
        <w:t xml:space="preserve"> on specific procedures to implement these principles, and below, we describe how these principles will be implemented for the 833 Auction.</w:t>
      </w:r>
    </w:p>
    <w:p w:rsidR="00B42A2B" w:rsidRDefault="00AA13C4" w:rsidP="00B42A2B">
      <w:pPr>
        <w:pStyle w:val="Heading2"/>
        <w:widowControl/>
      </w:pPr>
      <w:bookmarkStart w:id="123" w:name="_Toc11074546"/>
      <w:bookmarkStart w:id="124" w:name="_Toc11163027"/>
      <w:bookmarkStart w:id="125" w:name="_Toc11251305"/>
      <w:bookmarkStart w:id="126" w:name="_Toc11335478"/>
      <w:bookmarkStart w:id="127" w:name="_Toc11682242"/>
      <w:bookmarkStart w:id="128" w:name="_Toc11737934"/>
      <w:bookmarkStart w:id="129" w:name="_Toc11846638"/>
      <w:bookmarkStart w:id="130" w:name="_Toc11944545"/>
      <w:bookmarkStart w:id="131" w:name="_Toc12288448"/>
      <w:bookmarkStart w:id="132" w:name="_Toc12440593"/>
      <w:bookmarkStart w:id="133" w:name="_Toc12548210"/>
      <w:bookmarkStart w:id="134" w:name="_Toc12610389"/>
      <w:bookmarkStart w:id="135" w:name="_Toc12634223"/>
      <w:bookmarkStart w:id="136" w:name="_Toc12975637"/>
      <w:bookmarkStart w:id="137" w:name="_Toc13469540"/>
      <w:r>
        <w:t>Participation Through Single Applicant and Application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B42A2B" w:rsidRDefault="00AA13C4" w:rsidP="00B42A2B">
      <w:pPr>
        <w:pStyle w:val="ParaNum"/>
        <w:widowControl/>
      </w:pPr>
      <w:r>
        <w:t xml:space="preserve">We adopt our proposal in the </w:t>
      </w:r>
      <w:r>
        <w:rPr>
          <w:i/>
        </w:rPr>
        <w:t>833 Auction</w:t>
      </w:r>
      <w:r w:rsidRPr="00D53C55">
        <w:rPr>
          <w:i/>
        </w:rPr>
        <w:t xml:space="preserve"> Comment Public Notice</w:t>
      </w:r>
      <w:r>
        <w:t xml:space="preserve"> to allow a potential subscriber to participate in the 833 Auction either (1) through a RespOrg that will bid on all the numbers in which the subscriber is interested in acquiring, or (2) by submitting its own application and bidding for all the numbers in which it is interested.</w:t>
      </w:r>
      <w:r>
        <w:rPr>
          <w:rStyle w:val="FootnoteReference"/>
        </w:rPr>
        <w:footnoteReference w:id="27"/>
      </w:r>
      <w:r>
        <w:t xml:space="preserve">  Thus, a potential subscriber cannot selectively choose to be represented by a RespOrg to bid on its behalf for some numbers and submit an application on its own to bid for other numbers.</w:t>
      </w:r>
    </w:p>
    <w:p w:rsidR="00B42A2B" w:rsidRDefault="00AA13C4" w:rsidP="00B42A2B">
      <w:pPr>
        <w:pStyle w:val="ParaNum"/>
        <w:widowControl/>
      </w:pPr>
      <w:r>
        <w:t xml:space="preserve">In the </w:t>
      </w:r>
      <w:r w:rsidRPr="00A41CD3">
        <w:rPr>
          <w:i/>
        </w:rPr>
        <w:t>Toll Free Assignment Modernization Order</w:t>
      </w:r>
      <w:r>
        <w:t>, the Commission required that potential subscribers participate in the 833 Auction through only a single auction applicant.</w:t>
      </w:r>
      <w:r>
        <w:rPr>
          <w:rStyle w:val="FootnoteReference"/>
        </w:rPr>
        <w:footnoteReference w:id="28"/>
      </w:r>
      <w:r>
        <w:t xml:space="preserve">  In the </w:t>
      </w:r>
      <w:r>
        <w:rPr>
          <w:i/>
        </w:rPr>
        <w:t>833 Auction</w:t>
      </w:r>
      <w:r w:rsidRPr="00A41CD3">
        <w:rPr>
          <w:i/>
        </w:rPr>
        <w:t xml:space="preserve"> Comment Public Notice</w:t>
      </w:r>
      <w:r>
        <w:t>, we proposed to implement this principle by requiring that a potential subscriber may participate either through a RespOrg that will bid on all the numbers that the subscriber is interested in acquiring, or by submitting its own application and bidding for all of the numbers in which it is interested.</w:t>
      </w:r>
      <w:r>
        <w:rPr>
          <w:rStyle w:val="FootnoteReference"/>
        </w:rPr>
        <w:footnoteReference w:id="29"/>
      </w:r>
      <w:r>
        <w:t xml:space="preserve">  We received one comment on this issue.  CenturyLink agrees with our proposal, asserting that this “bright line on participation” will help parties clarify their roles and promote the integrity of the auction process.</w:t>
      </w:r>
      <w:r>
        <w:rPr>
          <w:rStyle w:val="FootnoteReference"/>
        </w:rPr>
        <w:footnoteReference w:id="30"/>
      </w:r>
      <w:r>
        <w:t xml:space="preserve">  We agree with CenturyLink’s assessment and also believe the proposed application procedure is consistent with the requirement that a potential subscriber may participate through only a single auction applicant, which is necessary to implement our prohibition on certain communications,</w:t>
      </w:r>
      <w:r>
        <w:rPr>
          <w:rStyle w:val="FootnoteReference"/>
        </w:rPr>
        <w:footnoteReference w:id="31"/>
      </w:r>
      <w:r>
        <w:t xml:space="preserve"> and with our decision to prohibit certain agreements among auction applicants.</w:t>
      </w:r>
      <w:r>
        <w:rPr>
          <w:rStyle w:val="FootnoteReference"/>
        </w:rPr>
        <w:footnoteReference w:id="32"/>
      </w:r>
      <w:r>
        <w:t xml:space="preserve">  Thus, we adopt the application procedure as proposed.  If a potential subscriber is represented on applications submitted by multiple RespOrgs, or files its own application and is also represented on a RespOrg application, only one of the applications on which it is represented may become qualified to bid (i.e., any additional subscriber application(s) will be dismissed and/or any additional RespOrg applications will not be found qualified to bid for the potential subscriber’s selected toll free number(s)).</w:t>
      </w:r>
    </w:p>
    <w:p w:rsidR="00B42A2B" w:rsidRDefault="00AA13C4" w:rsidP="00B42A2B">
      <w:pPr>
        <w:pStyle w:val="ParaNum"/>
        <w:widowControl/>
      </w:pPr>
      <w:bookmarkStart w:id="138" w:name="_Hlk12624651"/>
      <w:r>
        <w:t xml:space="preserve">In the </w:t>
      </w:r>
      <w:r>
        <w:rPr>
          <w:i/>
        </w:rPr>
        <w:t>833 Auction</w:t>
      </w:r>
      <w:r w:rsidRPr="000F29BD">
        <w:rPr>
          <w:i/>
        </w:rPr>
        <w:t xml:space="preserve"> Comment Public Notice</w:t>
      </w:r>
      <w:r>
        <w:t>, we proposed two certifications in the auction application related to the single applicant/application mandate.  First, we proposed that the auction application require that each applicant certify that (i) if it is bidding on its own behalf, it is also not participating in the auction through another entity, and/or (ii) if it is bidding on behalf of potential subscriber(s), it is not aware that the potential subscriber(s) are participating through another applicant.</w:t>
      </w:r>
      <w:r>
        <w:rPr>
          <w:rStyle w:val="FootnoteReference"/>
        </w:rPr>
        <w:footnoteReference w:id="33"/>
      </w:r>
      <w:r>
        <w:t xml:space="preserve">  Second, we proposed requiring each applicant to certify that it, or any commonly-controlled entity, is not submitting multiple applications in the 833 Auction.</w:t>
      </w:r>
      <w:r>
        <w:rPr>
          <w:rStyle w:val="FootnoteReference"/>
        </w:rPr>
        <w:footnoteReference w:id="34"/>
      </w:r>
      <w:r>
        <w:t xml:space="preserve">  We received no comments on the proposed certifications, and conclude that the certifications should aid in enforcing the single applicant/application mandate.  Thus, we require that every applicant must certify in its auction application that: (1) it is not participating in the auction through another entity; (2) it is not aware that any entity on whose behalf it is bidding is participating through another applicant; and (3) it, or any commonly-controlled entity, is not submitting multiple applications in the 833 Auction.</w:t>
      </w:r>
      <w:r>
        <w:rPr>
          <w:rStyle w:val="FootnoteReference"/>
        </w:rPr>
        <w:footnoteReference w:id="35"/>
      </w:r>
    </w:p>
    <w:bookmarkEnd w:id="138"/>
    <w:p w:rsidR="00B42A2B" w:rsidRDefault="00AA13C4" w:rsidP="00B42A2B">
      <w:pPr>
        <w:pStyle w:val="ParaNum"/>
      </w:pPr>
      <w:r>
        <w:t xml:space="preserve">To identify commonly controlled entities in the 833 Auction, the </w:t>
      </w:r>
      <w:r>
        <w:rPr>
          <w:i/>
        </w:rPr>
        <w:t>833 Auction</w:t>
      </w:r>
      <w:r w:rsidRPr="00E117C2">
        <w:rPr>
          <w:i/>
        </w:rPr>
        <w:t xml:space="preserve"> Comment Public Notice</w:t>
      </w:r>
      <w:r>
        <w:t xml:space="preserve"> proposed to define a “controlling interest” as an individual or entity with positive or negative </w:t>
      </w:r>
      <w:r w:rsidRPr="00EC7287">
        <w:rPr>
          <w:i/>
        </w:rPr>
        <w:t>de jure</w:t>
      </w:r>
      <w:r>
        <w:t xml:space="preserve"> or </w:t>
      </w:r>
      <w:r w:rsidRPr="00EC7287">
        <w:rPr>
          <w:i/>
        </w:rPr>
        <w:t>de facto</w:t>
      </w:r>
      <w:r>
        <w:t xml:space="preserve"> control of the applicant.</w:t>
      </w:r>
      <w:r>
        <w:rPr>
          <w:rStyle w:val="FootnoteReference"/>
        </w:rPr>
        <w:footnoteReference w:id="36"/>
      </w:r>
      <w:r>
        <w:t xml:space="preserve">  The public notice also sought comment on a presumption of control by spouses and immediate family members.</w:t>
      </w:r>
      <w:r>
        <w:rPr>
          <w:rStyle w:val="FootnoteReference"/>
        </w:rPr>
        <w:footnoteReference w:id="37"/>
      </w:r>
      <w:r>
        <w:t xml:space="preserve">  We proposed to place the burden on applicants to sufficiently demonstrate that spouses or family members should not be treated as having an identity of interest such that it creates common control, and that where the presumption has not been adequately rebutted, such spouses and family members will be subject to the prohibition on submission of multiple auction applications by commonly controlled entities.</w:t>
      </w:r>
      <w:r>
        <w:rPr>
          <w:rStyle w:val="FootnoteReference"/>
        </w:rPr>
        <w:footnoteReference w:id="38"/>
      </w:r>
      <w:r>
        <w:t xml:space="preserve">  </w:t>
      </w:r>
    </w:p>
    <w:p w:rsidR="00B42A2B" w:rsidRDefault="00AA13C4" w:rsidP="00B42A2B">
      <w:pPr>
        <w:pStyle w:val="ParaNum"/>
        <w:widowControl/>
      </w:pPr>
      <w:r>
        <w:t>One commenter, 1-800 Contacts, opposes our proposal for defining the controlling interests of auction applicants,</w:t>
      </w:r>
      <w:r>
        <w:rPr>
          <w:rStyle w:val="FootnoteReference"/>
        </w:rPr>
        <w:footnoteReference w:id="39"/>
      </w:r>
      <w:r>
        <w:t xml:space="preserve"> arguing that many toll free number subscribers are commonly owned “through large investment funds or corporate conglomerates,” but “have no day-to-day involvement with each other” and therefore, should be allowed to bid separately without having to develop a coordinated bidding strategy.</w:t>
      </w:r>
      <w:r>
        <w:rPr>
          <w:rStyle w:val="FootnoteReference"/>
        </w:rPr>
        <w:footnoteReference w:id="40"/>
      </w:r>
      <w:r>
        <w:t xml:space="preserve">  1-800 Contacts advocates a more lenient approach to controlling interests that would allow commonly owned (but not commonly controlled) entities to participate separately in the auction, specifically suggesting limiting control to “</w:t>
      </w:r>
      <w:r w:rsidRPr="00BA3341">
        <w:rPr>
          <w:i/>
        </w:rPr>
        <w:t>de jure</w:t>
      </w:r>
      <w:r>
        <w:t xml:space="preserve"> control combined with actual day-to-day involvement in the operational activities of the company.”</w:t>
      </w:r>
      <w:r>
        <w:rPr>
          <w:rStyle w:val="FootnoteReference"/>
        </w:rPr>
        <w:footnoteReference w:id="41"/>
      </w:r>
      <w:r>
        <w:t xml:space="preserve">  </w:t>
      </w:r>
    </w:p>
    <w:p w:rsidR="00B42A2B" w:rsidRDefault="00AA13C4" w:rsidP="00B42A2B">
      <w:pPr>
        <w:pStyle w:val="ParaNum"/>
        <w:widowControl/>
      </w:pPr>
      <w:r>
        <w:t xml:space="preserve">In the </w:t>
      </w:r>
      <w:r w:rsidRPr="002E61AD">
        <w:rPr>
          <w:i/>
        </w:rPr>
        <w:t>Toll Free Assignment Modernization Order</w:t>
      </w:r>
      <w:r>
        <w:t xml:space="preserve"> the Commission stated that, while it would seek comment and decide how to define parties with common controlling interests in the pre-auction process, it anticipated using the Commission’s definitions adopted for similar purposes in our spectrum auctions (e.g., section 1.2105(a)(4)(i)).</w:t>
      </w:r>
      <w:r>
        <w:rPr>
          <w:rStyle w:val="FootnoteReference"/>
        </w:rPr>
        <w:footnoteReference w:id="42"/>
      </w:r>
      <w:r>
        <w:t xml:space="preserve">  We are unconvinced by the arguments of 1</w:t>
      </w:r>
      <w:r>
        <w:noBreakHyphen/>
        <w:t xml:space="preserve">800 Contacts, and we adopt the controlling interest standard as proposed in the </w:t>
      </w:r>
      <w:r>
        <w:rPr>
          <w:i/>
        </w:rPr>
        <w:t>833 Auction</w:t>
      </w:r>
      <w:r w:rsidRPr="00842AD2">
        <w:rPr>
          <w:i/>
        </w:rPr>
        <w:t xml:space="preserve"> Comment Public Notice</w:t>
      </w:r>
      <w:r>
        <w:t xml:space="preserve">—i.e., an individual or entity with positive or negative </w:t>
      </w:r>
      <w:r w:rsidRPr="00842AD2">
        <w:rPr>
          <w:i/>
        </w:rPr>
        <w:t>de jure</w:t>
      </w:r>
      <w:r>
        <w:t xml:space="preserve"> or </w:t>
      </w:r>
      <w:r w:rsidRPr="00842AD2">
        <w:rPr>
          <w:i/>
        </w:rPr>
        <w:t>de facto</w:t>
      </w:r>
      <w:r>
        <w:t xml:space="preserve"> control.  Because entities that have control (either legal control or actual control) can behave in a coordinated fashion, entities with common controlling interests should not be able to participate through separate entities in the auction.  Moreover, such an approach is simpler and is consistent with the Commission’s approach for its spectrum auctions.  As 1</w:t>
      </w:r>
      <w:r>
        <w:noBreakHyphen/>
        <w:t xml:space="preserve">800 Contacts itself notes, requiring a determination of actual day-to-day involvement (in addition to </w:t>
      </w:r>
      <w:r w:rsidRPr="007828B5">
        <w:rPr>
          <w:i/>
        </w:rPr>
        <w:t>de jure</w:t>
      </w:r>
      <w:r>
        <w:t xml:space="preserve"> control) would be subjective and may be difficult for other auction participants and Somos to definitively make.  Further, unlike 1-800 Contacts, we believe that the experimental nature of this auction supports consistency with the same standard that we use in Commission auctions.  If we use the same standard applied in Commission auctions, participants in the 833 Auction can rely on any prior experience in Commission auctions and on Commission precedent for guidance.  Thus, we conclude that the controlling interest standard as proposed in the </w:t>
      </w:r>
      <w:r>
        <w:rPr>
          <w:i/>
        </w:rPr>
        <w:t>833 Auction</w:t>
      </w:r>
      <w:r w:rsidRPr="00842AD2">
        <w:rPr>
          <w:i/>
        </w:rPr>
        <w:t xml:space="preserve"> Comment Public Notice</w:t>
      </w:r>
      <w:r>
        <w:t xml:space="preserve"> is preferable and therefore adopt the proposal.</w:t>
      </w:r>
    </w:p>
    <w:p w:rsidR="00B42A2B" w:rsidRDefault="00AA13C4" w:rsidP="00B42A2B">
      <w:pPr>
        <w:pStyle w:val="ParaNum"/>
        <w:widowControl/>
      </w:pPr>
      <w:r>
        <w:t xml:space="preserve">We received no comments on the presumption of control by spouses and immediate family members proposed in the </w:t>
      </w:r>
      <w:r>
        <w:rPr>
          <w:i/>
        </w:rPr>
        <w:t>833 Auction</w:t>
      </w:r>
      <w:r w:rsidRPr="00C450FE">
        <w:rPr>
          <w:i/>
        </w:rPr>
        <w:t xml:space="preserve"> Comment Public Notice</w:t>
      </w:r>
      <w:r>
        <w:t>.  Therefore, we adopt the presumptions (and definitions) set forth therein, and note that if an applicant wishes to rebut a presumption of control by a spouse or family member, it should do so in a narrative explanation to its auction application.</w:t>
      </w:r>
    </w:p>
    <w:p w:rsidR="00B42A2B" w:rsidRDefault="00AA13C4" w:rsidP="00B42A2B">
      <w:pPr>
        <w:pStyle w:val="ParaNum"/>
        <w:widowControl/>
      </w:pPr>
      <w:r>
        <w:t xml:space="preserve">Additionally, we reiterate that any 833 Auction applicants that have overlapping </w:t>
      </w:r>
      <w:r w:rsidRPr="009760A3">
        <w:rPr>
          <w:i/>
        </w:rPr>
        <w:t>non</w:t>
      </w:r>
      <w:r>
        <w:rPr>
          <w:i/>
        </w:rPr>
        <w:noBreakHyphen/>
      </w:r>
      <w:r w:rsidRPr="009760A3">
        <w:rPr>
          <w:i/>
        </w:rPr>
        <w:t>controlling</w:t>
      </w:r>
      <w:r>
        <w:t xml:space="preserve"> interests must take steps to prevent communicating bid information with each other.</w:t>
      </w:r>
      <w:r>
        <w:rPr>
          <w:rStyle w:val="FootnoteReference"/>
        </w:rPr>
        <w:footnoteReference w:id="43"/>
      </w:r>
      <w:r>
        <w:t xml:space="preserve">  Specifically, applicants with overlapping non-controlling interests must certify they have established internal controls to preclude any person acting on behalf of an applicant from possessing information about the bids or bidding strategies of more than one applicant or communicating such information to another person acting on behalf of and possessing such information regarding another applicant.</w:t>
      </w:r>
      <w:r>
        <w:rPr>
          <w:rStyle w:val="FootnoteReference"/>
        </w:rPr>
        <w:footnoteReference w:id="44"/>
      </w:r>
      <w:r>
        <w:t xml:space="preserve">  We will include such a certification in the auction application.</w:t>
      </w:r>
    </w:p>
    <w:p w:rsidR="00B42A2B" w:rsidRDefault="00AA13C4" w:rsidP="00B42A2B">
      <w:pPr>
        <w:pStyle w:val="Heading2"/>
        <w:widowControl/>
      </w:pPr>
      <w:bookmarkStart w:id="140" w:name="_Toc11074547"/>
      <w:bookmarkStart w:id="141" w:name="_Toc11163028"/>
      <w:bookmarkStart w:id="142" w:name="_Toc11251306"/>
      <w:bookmarkStart w:id="143" w:name="_Toc11335479"/>
      <w:bookmarkStart w:id="144" w:name="_Toc11682243"/>
      <w:bookmarkStart w:id="145" w:name="_Toc11737935"/>
      <w:bookmarkStart w:id="146" w:name="_Toc11846639"/>
      <w:bookmarkStart w:id="147" w:name="_Toc11944546"/>
      <w:bookmarkStart w:id="148" w:name="_Toc12288449"/>
      <w:bookmarkStart w:id="149" w:name="_Toc12440594"/>
      <w:bookmarkStart w:id="150" w:name="_Toc12548211"/>
      <w:bookmarkStart w:id="151" w:name="_Toc12610390"/>
      <w:bookmarkStart w:id="152" w:name="_Toc12634224"/>
      <w:bookmarkStart w:id="153" w:name="_Toc12975638"/>
      <w:bookmarkStart w:id="154" w:name="_Toc13469541"/>
      <w:r>
        <w:t>Prohibition on Certain Communications and Compliance with Antitrust Laws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B42A2B" w:rsidRDefault="00AA13C4" w:rsidP="00B42A2B">
      <w:pPr>
        <w:pStyle w:val="ParaNum"/>
        <w:widowControl/>
      </w:pPr>
      <w:r>
        <w:t xml:space="preserve">Each applicant in the 833 Auction is prohibited from cooperating or collaborating with any other applicant with respect to its own, or one another’s, or any other competing applicant’s bids or bidding strategies.  Each applicant will be prohibited from communicating, with any other applicant in any manner, the substance of its own, or one another’s, or any other competing applicant’s bids or bidding strategies (including with respect to the post-auction market for toll free numbers).  We proposed this prohibition in the </w:t>
      </w:r>
      <w:r w:rsidRPr="00A710BB">
        <w:rPr>
          <w:i/>
        </w:rPr>
        <w:t>833 Auction Comment Public Notice</w:t>
      </w:r>
      <w:r>
        <w:t xml:space="preserve"> to reinforce existing antitrust laws, facilitate detection of collusive conduct, and deter anticompetitive behavior.</w:t>
      </w:r>
      <w:r>
        <w:rPr>
          <w:rStyle w:val="FootnoteReference"/>
        </w:rPr>
        <w:footnoteReference w:id="45"/>
      </w:r>
      <w:r>
        <w:t xml:space="preserve">  We received no comments on this proposal and therefore, for the reasons we stated in proposing it, we adopt the prohibition on certain communications for the 833 Auction.</w:t>
      </w:r>
    </w:p>
    <w:p w:rsidR="00B42A2B" w:rsidRDefault="00AA13C4" w:rsidP="00B42A2B">
      <w:pPr>
        <w:pStyle w:val="Heading3"/>
        <w:widowControl/>
      </w:pPr>
      <w:bookmarkStart w:id="155" w:name="_Toc11074548"/>
      <w:bookmarkStart w:id="156" w:name="_Toc11163029"/>
      <w:bookmarkStart w:id="157" w:name="_Toc11251307"/>
      <w:bookmarkStart w:id="158" w:name="_Toc11335480"/>
      <w:bookmarkStart w:id="159" w:name="_Toc11682244"/>
      <w:bookmarkStart w:id="160" w:name="_Toc11737936"/>
      <w:bookmarkStart w:id="161" w:name="_Toc11846640"/>
      <w:bookmarkStart w:id="162" w:name="_Toc11944547"/>
      <w:bookmarkStart w:id="163" w:name="_Toc12288450"/>
      <w:bookmarkStart w:id="164" w:name="_Toc12440595"/>
      <w:bookmarkStart w:id="165" w:name="_Toc12548212"/>
      <w:bookmarkStart w:id="166" w:name="_Toc12610391"/>
      <w:bookmarkStart w:id="167" w:name="_Toc12634225"/>
      <w:bookmarkStart w:id="168" w:name="_Toc12975639"/>
      <w:bookmarkStart w:id="169" w:name="_Toc13469542"/>
      <w:r>
        <w:t>Entities Subject to the Prohibition on Certain Communications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B42A2B" w:rsidRDefault="00AA13C4" w:rsidP="00B42A2B">
      <w:pPr>
        <w:pStyle w:val="ParaNum"/>
        <w:widowControl/>
      </w:pPr>
      <w:r>
        <w:t>For purposes of the prohibition on certain communications, an “applicant” in the 833 Auction includes:  (i) all controlling interests in the entity submitting the auction application; (ii) all holders of partnership and other ownership interests and any stock interest amounting to 10% or more of the entity, or outstanding stock, or outstanding voting stock of the entity submitting the auction application; (iii) all officers and directors of that entity; and (iv) any entity listed as a potential subscriber on whose behalf the entity submitting the auction application will be bidding.</w:t>
      </w:r>
      <w:r>
        <w:rPr>
          <w:rStyle w:val="FootnoteReference"/>
        </w:rPr>
        <w:footnoteReference w:id="46"/>
      </w:r>
      <w:r>
        <w:t xml:space="preserve">  We proposed in the </w:t>
      </w:r>
      <w:r>
        <w:rPr>
          <w:i/>
        </w:rPr>
        <w:t>833 Auction</w:t>
      </w:r>
      <w:r w:rsidRPr="00EA0BF4">
        <w:rPr>
          <w:i/>
        </w:rPr>
        <w:t xml:space="preserve"> Comment Public Notice</w:t>
      </w:r>
      <w:r>
        <w:t xml:space="preserve"> to define “applicant” broadly for the purposes of the prohibition on certain communications, consistent with our spectrum license and universal service support auctions.</w:t>
      </w:r>
      <w:r>
        <w:rPr>
          <w:rStyle w:val="FootnoteReference"/>
        </w:rPr>
        <w:footnoteReference w:id="47"/>
      </w:r>
      <w:r>
        <w:t xml:space="preserve">  One commenter, 1-800 Contacts, supports our proposal, stating that applying the prohibition broadly  “will help ensure the integrity of the auction process.”</w:t>
      </w:r>
      <w:r>
        <w:rPr>
          <w:rStyle w:val="FootnoteReference"/>
        </w:rPr>
        <w:footnoteReference w:id="48"/>
      </w:r>
      <w:r>
        <w:t xml:space="preserve">  We agree with this assessment and therefore adopt the definition of applicant for purposes of the prohibition as proposed.</w:t>
      </w:r>
    </w:p>
    <w:p w:rsidR="00B42A2B" w:rsidRDefault="00AA13C4" w:rsidP="00B42A2B">
      <w:pPr>
        <w:pStyle w:val="Heading3"/>
        <w:widowControl/>
      </w:pPr>
      <w:bookmarkStart w:id="170" w:name="_Toc11074549"/>
      <w:bookmarkStart w:id="171" w:name="_Toc11163030"/>
      <w:bookmarkStart w:id="172" w:name="_Toc11251308"/>
      <w:bookmarkStart w:id="173" w:name="_Toc11335481"/>
      <w:bookmarkStart w:id="174" w:name="_Toc11682245"/>
      <w:bookmarkStart w:id="175" w:name="_Toc11737937"/>
      <w:bookmarkStart w:id="176" w:name="_Toc11846641"/>
      <w:bookmarkStart w:id="177" w:name="_Toc11944548"/>
      <w:bookmarkStart w:id="178" w:name="_Toc12288451"/>
      <w:bookmarkStart w:id="179" w:name="_Toc12440596"/>
      <w:bookmarkStart w:id="180" w:name="_Toc12548213"/>
      <w:bookmarkStart w:id="181" w:name="_Toc12610392"/>
      <w:bookmarkStart w:id="182" w:name="_Toc12634226"/>
      <w:bookmarkStart w:id="183" w:name="_Toc12975640"/>
      <w:bookmarkStart w:id="184" w:name="_Toc13469543"/>
      <w:r>
        <w:t>Prohibition Applies Until Final Payment with Late Fee Deadline</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B42A2B" w:rsidRDefault="00AA13C4" w:rsidP="00B42A2B">
      <w:pPr>
        <w:pStyle w:val="ParaNum"/>
        <w:widowControl/>
      </w:pPr>
      <w:r>
        <w:t>The prohibition on certain communications for the 833 Auction will begin at the deadline for submitting auction applications (i.e., 6:00 p.m. on October 18, 2019) and will end at the deadline for winning bidders to submit their final payments with a late fee (i.e., 15 business days after the winning bidders are announced).</w:t>
      </w:r>
      <w:r>
        <w:rPr>
          <w:rStyle w:val="FootnoteReference"/>
        </w:rPr>
        <w:footnoteReference w:id="49"/>
      </w:r>
    </w:p>
    <w:p w:rsidR="00B42A2B" w:rsidRDefault="00AA13C4" w:rsidP="00B42A2B">
      <w:pPr>
        <w:pStyle w:val="ParaNum"/>
        <w:widowControl/>
      </w:pPr>
      <w:bookmarkStart w:id="185" w:name="_Hlk11919214"/>
      <w:r>
        <w:t xml:space="preserve">In the </w:t>
      </w:r>
      <w:r w:rsidRPr="00C61D39">
        <w:rPr>
          <w:i/>
        </w:rPr>
        <w:t>833 Auction Comment Public Notice</w:t>
      </w:r>
      <w:r>
        <w:t>, we stated that the prohibition on certain communications will begin at the auction application deadline and will end “at the post-auction deadline for winning bidders to submit their final payments (which will be announced by Somos after bidding concludes).”</w:t>
      </w:r>
      <w:r>
        <w:rPr>
          <w:rStyle w:val="FootnoteReference"/>
        </w:rPr>
        <w:footnoteReference w:id="50"/>
      </w:r>
      <w:r>
        <w:t xml:space="preserve">  While we received no comments on this proposal, we clarify that, for “final payment deadline,” we will use the deadline for winning bidders to submit their final payments with a late fee.  In our spectrum auctions, the prohibition on certain communications runs until the down payment deadline,</w:t>
      </w:r>
      <w:r>
        <w:rPr>
          <w:rStyle w:val="FootnoteReference"/>
        </w:rPr>
        <w:footnoteReference w:id="51"/>
      </w:r>
      <w:r>
        <w:t xml:space="preserve"> and in our auctions for universal service support, the prohibition runs until the post-auction deadline for winning bidders to submit applications for support.</w:t>
      </w:r>
      <w:r>
        <w:rPr>
          <w:rStyle w:val="FootnoteReference"/>
        </w:rPr>
        <w:footnoteReference w:id="52"/>
      </w:r>
      <w:r>
        <w:t xml:space="preserve">  For the 833 Auction, because winning bidders have neither a down payment nor a post-auction application requirement, the most analogous point is the final payment.  However, the final payment in this auction can be made up to an additional five business days after the final payment deadline so long as it is submitted with a late fee.</w:t>
      </w:r>
      <w:r>
        <w:rPr>
          <w:rStyle w:val="FootnoteReference"/>
        </w:rPr>
        <w:footnoteReference w:id="53"/>
      </w:r>
      <w:r>
        <w:t xml:space="preserve">  Since the rationale to extend the prohibited communications period until after bidding applies equally during the period in which an applicant can submit the final payment with a late fee,</w:t>
      </w:r>
      <w:r>
        <w:rPr>
          <w:rStyle w:val="FootnoteReference"/>
        </w:rPr>
        <w:footnoteReference w:id="54"/>
      </w:r>
      <w:r>
        <w:t xml:space="preserve"> we clarify that the prohibition will run until that last deadline (i.e., 15 business days after Somos announces the winning bidders).</w:t>
      </w:r>
    </w:p>
    <w:p w:rsidR="00B42A2B" w:rsidRDefault="00AA13C4" w:rsidP="00B42A2B">
      <w:pPr>
        <w:pStyle w:val="Heading3"/>
        <w:widowControl/>
      </w:pPr>
      <w:bookmarkStart w:id="187" w:name="_Toc11074550"/>
      <w:bookmarkStart w:id="188" w:name="_Toc11163031"/>
      <w:bookmarkStart w:id="189" w:name="_Toc11251309"/>
      <w:bookmarkStart w:id="190" w:name="_Toc11335482"/>
      <w:bookmarkStart w:id="191" w:name="_Toc11682246"/>
      <w:bookmarkStart w:id="192" w:name="_Toc11737938"/>
      <w:bookmarkStart w:id="193" w:name="_Toc11846642"/>
      <w:bookmarkStart w:id="194" w:name="_Toc11944549"/>
      <w:bookmarkStart w:id="195" w:name="_Toc12288452"/>
      <w:bookmarkStart w:id="196" w:name="_Toc12440597"/>
      <w:bookmarkStart w:id="197" w:name="_Toc12548214"/>
      <w:bookmarkStart w:id="198" w:name="_Toc12610393"/>
      <w:bookmarkStart w:id="199" w:name="_Toc12634227"/>
      <w:bookmarkStart w:id="200" w:name="_Toc12975641"/>
      <w:bookmarkStart w:id="201" w:name="_Toc13469544"/>
      <w:bookmarkEnd w:id="185"/>
      <w:r>
        <w:t>Scope of the Prohibition on Certain Communications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B42A2B" w:rsidRPr="001948A7" w:rsidRDefault="00AA13C4" w:rsidP="00B42A2B">
      <w:pPr>
        <w:pStyle w:val="ParaNum"/>
        <w:widowControl/>
      </w:pPr>
      <w:r>
        <w:t xml:space="preserve">As we proposed in the </w:t>
      </w:r>
      <w:r w:rsidRPr="00060D7A">
        <w:rPr>
          <w:i/>
        </w:rPr>
        <w:t>833 Auction Comment Public Notice</w:t>
      </w:r>
      <w:r>
        <w:t>, an applicant will be prohibited from communicating, with any other applicant in any manner, the substance of its own, or one another’s, or any other competing applicant’s bids or bidding strategies (including with respect to the post-auction market for toll free numbers).</w:t>
      </w:r>
      <w:r>
        <w:rPr>
          <w:rStyle w:val="FootnoteReference"/>
        </w:rPr>
        <w:footnoteReference w:id="55"/>
      </w:r>
      <w:r>
        <w:t xml:space="preserve">  </w:t>
      </w:r>
      <w:r w:rsidRPr="001948A7">
        <w:rPr>
          <w:szCs w:val="22"/>
        </w:rPr>
        <w:t>In addition to express statements of bids and bidding strategies, the prohibition against communicating “in any manner” includes public disclosures as well as private communications and indirect or implicit communications.</w:t>
      </w:r>
      <w:r>
        <w:rPr>
          <w:rStyle w:val="FootnoteReference"/>
          <w:szCs w:val="22"/>
        </w:rPr>
        <w:footnoteReference w:id="56"/>
      </w:r>
      <w:r w:rsidRPr="001948A7">
        <w:rPr>
          <w:szCs w:val="22"/>
        </w:rPr>
        <w:t xml:space="preserve">  Consequently, an applicant must take care to determine whether its auction-related communications may reach another applicant.</w:t>
      </w:r>
      <w:r>
        <w:rPr>
          <w:rStyle w:val="FootnoteReference"/>
          <w:szCs w:val="22"/>
        </w:rPr>
        <w:footnoteReference w:id="57"/>
      </w:r>
    </w:p>
    <w:p w:rsidR="00B42A2B" w:rsidRDefault="00AA13C4" w:rsidP="00B42A2B">
      <w:pPr>
        <w:pStyle w:val="ParaNum"/>
        <w:widowControl/>
      </w:pPr>
      <w:r>
        <w:rPr>
          <w:szCs w:val="22"/>
        </w:rPr>
        <w:t>Applicants</w:t>
      </w:r>
      <w:r w:rsidRPr="005712E5">
        <w:rPr>
          <w:szCs w:val="22"/>
        </w:rPr>
        <w:t xml:space="preserve"> should take special care in circumstances where their officers, directors, and employees may receive information directly or indirectly relating to any applicant’s bids or bidding strategies.  Such information may be deemed to have been received by the applicant under certain circumstances.  For example, Commission staff have found that where an individual serves as an officer and director for two or more applicants, the bids and bidding strategies of one applicant are presumed conveyed to the other applicant through the shared officer, which creates an apparent violation of the rule.</w:t>
      </w:r>
      <w:r>
        <w:rPr>
          <w:rStyle w:val="FootnoteReference"/>
          <w:szCs w:val="22"/>
        </w:rPr>
        <w:footnoteReference w:id="58"/>
      </w:r>
    </w:p>
    <w:p w:rsidR="00B42A2B" w:rsidRDefault="00AA13C4" w:rsidP="00B42A2B">
      <w:pPr>
        <w:pStyle w:val="ParaNum"/>
        <w:widowControl/>
      </w:pPr>
      <w:r>
        <w:t xml:space="preserve">As we noted in the </w:t>
      </w:r>
      <w:r w:rsidRPr="00060D7A">
        <w:rPr>
          <w:i/>
        </w:rPr>
        <w:t>833 Auction Comment Public Notice</w:t>
      </w:r>
      <w:r>
        <w:t>, the prohibition will not apply to all communications between or among applicants; it will apply only to any communications conveying, in whole or part, directly or indirectly, the applicant’s or a competing applicant’s bids or bidding strategy (including with respect to the post-auction market for toll free numbers).</w:t>
      </w:r>
      <w:r>
        <w:rPr>
          <w:rStyle w:val="FootnoteReference"/>
        </w:rPr>
        <w:footnoteReference w:id="59"/>
      </w:r>
      <w:r>
        <w:t xml:space="preserve">  Thus, communications, including business discussions and negotiations, unrelated to the toll free numbers being offered in the 833 Auction and that do not convey information about the numbers being auctioned or bidding strategies are not prohibited.  Moreover, not all auction-related information is necessarily covered by the prohibition.  For example, communicating merely whether a party has or has not applied to participate in the 833 Auction should not violate the prohibition.  In contrast, communicating </w:t>
      </w:r>
      <w:r w:rsidRPr="00FD0C8C">
        <w:rPr>
          <w:i/>
        </w:rPr>
        <w:t>how</w:t>
      </w:r>
      <w:r>
        <w:t xml:space="preserve"> a party will participate, including specific numbers or bid amounts, and/or whether or not a party will place bids, would convey bid or bidding strategies and therefore is prohibited.</w:t>
      </w:r>
    </w:p>
    <w:p w:rsidR="00B42A2B" w:rsidRPr="005712E5" w:rsidRDefault="00AA13C4" w:rsidP="00B42A2B">
      <w:pPr>
        <w:pStyle w:val="ParaNum"/>
        <w:widowControl/>
        <w:rPr>
          <w:snapToGrid/>
          <w:szCs w:val="22"/>
        </w:rPr>
      </w:pPr>
      <w:r>
        <w:rPr>
          <w:szCs w:val="22"/>
        </w:rPr>
        <w:t>Although</w:t>
      </w:r>
      <w:r w:rsidRPr="005712E5">
        <w:rPr>
          <w:szCs w:val="22"/>
        </w:rPr>
        <w:t xml:space="preserve"> </w:t>
      </w:r>
      <w:r>
        <w:rPr>
          <w:szCs w:val="22"/>
        </w:rPr>
        <w:t>the restriction</w:t>
      </w:r>
      <w:r w:rsidRPr="005712E5">
        <w:rPr>
          <w:szCs w:val="22"/>
        </w:rPr>
        <w:t xml:space="preserve"> does not prohibit business discussions and negotiations among auction applicants that are not auction related, each applicant must remain vigilant not to communicate, directly or indirectly, information that affects, or could affect, bids or bidding strategies.  Certain discussions might touch upon subject matters that could convey price </w:t>
      </w:r>
      <w:r w:rsidRPr="003704A2">
        <w:rPr>
          <w:szCs w:val="22"/>
        </w:rPr>
        <w:t xml:space="preserve">or geographic </w:t>
      </w:r>
      <w:r w:rsidRPr="005712E5">
        <w:rPr>
          <w:szCs w:val="22"/>
        </w:rPr>
        <w:t>information related to bidding strategies.  Such subject areas include, but are not limited to, management, sales, local marketing agreements, and other transactional agreements</w:t>
      </w:r>
      <w:r>
        <w:rPr>
          <w:szCs w:val="22"/>
        </w:rPr>
        <w:t>.</w:t>
      </w:r>
      <w:r w:rsidRPr="005712E5">
        <w:rPr>
          <w:rStyle w:val="CommentReference"/>
          <w:szCs w:val="22"/>
        </w:rPr>
        <w:t xml:space="preserve"> </w:t>
      </w:r>
    </w:p>
    <w:p w:rsidR="00B42A2B" w:rsidRPr="005712E5" w:rsidRDefault="00AA13C4" w:rsidP="00B42A2B">
      <w:pPr>
        <w:pStyle w:val="ParaNum"/>
        <w:rPr>
          <w:snapToGrid/>
          <w:szCs w:val="22"/>
        </w:rPr>
      </w:pPr>
      <w:r w:rsidRPr="005712E5">
        <w:rPr>
          <w:szCs w:val="22"/>
        </w:rPr>
        <w:t xml:space="preserve">We </w:t>
      </w:r>
      <w:r>
        <w:rPr>
          <w:szCs w:val="22"/>
        </w:rPr>
        <w:t xml:space="preserve">also </w:t>
      </w:r>
      <w:r w:rsidRPr="005712E5">
        <w:rPr>
          <w:szCs w:val="22"/>
        </w:rPr>
        <w:t>caution applicants that bids or bidding strategies may be communicated outside of situations that involve one party subject to the prohibition communicating privately and directly with another such party.  For example, the Commission has warned that prohibited “communications concerning bids and bidding strategies may include communications regarding capital calls or requests for additional funds in support of bids or bidding strategies to the extent such communications convey information concerning the bids and bidding strategies directly or indirectly.”</w:t>
      </w:r>
      <w:r>
        <w:rPr>
          <w:rStyle w:val="FootnoteReference"/>
          <w:szCs w:val="22"/>
        </w:rPr>
        <w:footnoteReference w:id="60"/>
      </w:r>
      <w:r w:rsidRPr="005712E5">
        <w:rPr>
          <w:szCs w:val="22"/>
        </w:rPr>
        <w:t xml:space="preserve">  Moreover, the Commission </w:t>
      </w:r>
      <w:r>
        <w:rPr>
          <w:szCs w:val="22"/>
        </w:rPr>
        <w:t xml:space="preserve">previously </w:t>
      </w:r>
      <w:r w:rsidRPr="005712E5">
        <w:rPr>
          <w:szCs w:val="22"/>
        </w:rPr>
        <w:t>found a violation of the rule against prohibited communications when an applicant used the Commission’s bidding system to disclose “its bidding strategy in a manner that explicitly invited other auction participants to cooperate and collaborate . . . in specific markets”</w:t>
      </w:r>
      <w:r>
        <w:rPr>
          <w:rStyle w:val="FootnoteReference"/>
          <w:szCs w:val="22"/>
        </w:rPr>
        <w:footnoteReference w:id="61"/>
      </w:r>
      <w:r w:rsidRPr="005712E5">
        <w:rPr>
          <w:szCs w:val="22"/>
        </w:rPr>
        <w:t xml:space="preserve"> and has placed auction participants on notice that the use of its bidding system “to disclose market information to competitors will not be tolerated and will subject bidders to sanctions.”</w:t>
      </w:r>
      <w:r>
        <w:rPr>
          <w:rStyle w:val="FootnoteReference"/>
          <w:szCs w:val="22"/>
        </w:rPr>
        <w:footnoteReference w:id="62"/>
      </w:r>
    </w:p>
    <w:p w:rsidR="00B42A2B" w:rsidRPr="00703E3C" w:rsidRDefault="00AA13C4" w:rsidP="00B42A2B">
      <w:pPr>
        <w:pStyle w:val="ParaNum"/>
        <w:widowControl/>
        <w:rPr>
          <w:snapToGrid/>
          <w:szCs w:val="22"/>
        </w:rPr>
      </w:pPr>
      <w:r w:rsidRPr="005712E5">
        <w:rPr>
          <w:snapToGrid/>
          <w:szCs w:val="22"/>
        </w:rPr>
        <w:t>Likewise, when completing a</w:t>
      </w:r>
      <w:r>
        <w:rPr>
          <w:snapToGrid/>
          <w:szCs w:val="22"/>
        </w:rPr>
        <w:t xml:space="preserve">n auction </w:t>
      </w:r>
      <w:r w:rsidRPr="005712E5">
        <w:rPr>
          <w:snapToGrid/>
          <w:szCs w:val="22"/>
        </w:rPr>
        <w:t xml:space="preserve">application, each applicant should avoid any statements or disclosures that may violate </w:t>
      </w:r>
      <w:r>
        <w:rPr>
          <w:snapToGrid/>
          <w:szCs w:val="22"/>
        </w:rPr>
        <w:t>the prohibition on certain communications</w:t>
      </w:r>
      <w:r w:rsidRPr="005712E5">
        <w:rPr>
          <w:snapToGrid/>
          <w:szCs w:val="22"/>
        </w:rPr>
        <w:t>, particularly in light of the limited information procedures in effect for</w:t>
      </w:r>
      <w:r>
        <w:rPr>
          <w:snapToGrid/>
          <w:szCs w:val="22"/>
        </w:rPr>
        <w:t xml:space="preserve"> the 833 Auction</w:t>
      </w:r>
      <w:r w:rsidRPr="005712E5">
        <w:rPr>
          <w:snapToGrid/>
          <w:szCs w:val="22"/>
        </w:rPr>
        <w:t xml:space="preserve">.  Specifically, an applicant should avoid including any information in its </w:t>
      </w:r>
      <w:r>
        <w:rPr>
          <w:snapToGrid/>
          <w:szCs w:val="22"/>
        </w:rPr>
        <w:t>auction</w:t>
      </w:r>
      <w:r w:rsidRPr="005712E5">
        <w:rPr>
          <w:snapToGrid/>
          <w:szCs w:val="22"/>
        </w:rPr>
        <w:t xml:space="preserve"> application that might convey information regarding its </w:t>
      </w:r>
      <w:r>
        <w:rPr>
          <w:snapToGrid/>
          <w:szCs w:val="22"/>
        </w:rPr>
        <w:t>toll free number</w:t>
      </w:r>
      <w:r w:rsidRPr="005712E5">
        <w:rPr>
          <w:snapToGrid/>
          <w:szCs w:val="22"/>
        </w:rPr>
        <w:t xml:space="preserve"> selection</w:t>
      </w:r>
      <w:r>
        <w:rPr>
          <w:snapToGrid/>
          <w:szCs w:val="22"/>
        </w:rPr>
        <w:t>s</w:t>
      </w:r>
      <w:r w:rsidRPr="005712E5">
        <w:rPr>
          <w:snapToGrid/>
          <w:szCs w:val="22"/>
        </w:rPr>
        <w:t xml:space="preserve">, as applicable, such as referring to certain </w:t>
      </w:r>
      <w:r>
        <w:rPr>
          <w:snapToGrid/>
          <w:szCs w:val="22"/>
        </w:rPr>
        <w:t>toll free numbers</w:t>
      </w:r>
      <w:r w:rsidRPr="005712E5">
        <w:rPr>
          <w:snapToGrid/>
          <w:szCs w:val="22"/>
        </w:rPr>
        <w:t xml:space="preserve"> in describing agreements, including any information in application attachments that will be publicly available that may otherwise disclose the applicant’s </w:t>
      </w:r>
      <w:r>
        <w:rPr>
          <w:snapToGrid/>
          <w:szCs w:val="22"/>
        </w:rPr>
        <w:t>toll free number</w:t>
      </w:r>
      <w:r w:rsidRPr="005712E5">
        <w:rPr>
          <w:snapToGrid/>
          <w:szCs w:val="22"/>
        </w:rPr>
        <w:t xml:space="preserve"> selections, or using applicant names that refer to </w:t>
      </w:r>
      <w:r>
        <w:rPr>
          <w:snapToGrid/>
          <w:szCs w:val="22"/>
        </w:rPr>
        <w:t>numbers</w:t>
      </w:r>
      <w:r w:rsidRPr="005712E5">
        <w:rPr>
          <w:snapToGrid/>
          <w:szCs w:val="22"/>
        </w:rPr>
        <w:t xml:space="preserve"> being offered.</w:t>
      </w:r>
    </w:p>
    <w:p w:rsidR="00B42A2B" w:rsidRDefault="00AA13C4" w:rsidP="00B42A2B">
      <w:pPr>
        <w:pStyle w:val="ParaNum"/>
        <w:widowControl/>
        <w:rPr>
          <w:snapToGrid/>
          <w:szCs w:val="22"/>
        </w:rPr>
      </w:pPr>
      <w:r w:rsidRPr="005712E5">
        <w:rPr>
          <w:szCs w:val="22"/>
        </w:rPr>
        <w:t xml:space="preserve">Applicants also should be mindful that communicating non-public application or bidding information publicly or privately to another applicant may violate </w:t>
      </w:r>
      <w:r>
        <w:rPr>
          <w:szCs w:val="22"/>
        </w:rPr>
        <w:t>the prohibition on certain communications</w:t>
      </w:r>
      <w:r w:rsidRPr="005712E5">
        <w:rPr>
          <w:szCs w:val="22"/>
        </w:rPr>
        <w:t xml:space="preserve"> even though that information subsequently may be made public during later periods of the application or bidding processes.</w:t>
      </w:r>
      <w:r w:rsidRPr="005712E5">
        <w:rPr>
          <w:snapToGrid/>
          <w:szCs w:val="22"/>
        </w:rPr>
        <w:t xml:space="preserve"> </w:t>
      </w:r>
    </w:p>
    <w:p w:rsidR="00B42A2B" w:rsidRDefault="00AA13C4" w:rsidP="00B42A2B">
      <w:pPr>
        <w:pStyle w:val="Heading3"/>
        <w:widowControl/>
        <w:rPr>
          <w:snapToGrid/>
        </w:rPr>
      </w:pPr>
      <w:bookmarkStart w:id="202" w:name="_Toc11074551"/>
      <w:bookmarkStart w:id="203" w:name="_Toc11163032"/>
      <w:bookmarkStart w:id="204" w:name="_Toc11251310"/>
      <w:bookmarkStart w:id="205" w:name="_Toc11335483"/>
      <w:bookmarkStart w:id="206" w:name="_Toc11682247"/>
      <w:bookmarkStart w:id="207" w:name="_Toc11737939"/>
      <w:bookmarkStart w:id="208" w:name="_Toc11846643"/>
      <w:bookmarkStart w:id="209" w:name="_Toc11944550"/>
      <w:bookmarkStart w:id="210" w:name="_Toc12288453"/>
      <w:bookmarkStart w:id="211" w:name="_Toc12440598"/>
      <w:bookmarkStart w:id="212" w:name="_Toc12548215"/>
      <w:bookmarkStart w:id="213" w:name="_Toc12610394"/>
      <w:bookmarkStart w:id="214" w:name="_Toc12634228"/>
      <w:bookmarkStart w:id="215" w:name="_Toc12975642"/>
      <w:bookmarkStart w:id="216" w:name="_Toc13469545"/>
      <w:r>
        <w:rPr>
          <w:snapToGrid/>
        </w:rPr>
        <w:t>Communicating with Third Parties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B42A2B" w:rsidRPr="005712E5" w:rsidRDefault="00AA13C4" w:rsidP="00B42A2B">
      <w:pPr>
        <w:pStyle w:val="ParaNum"/>
        <w:widowControl/>
        <w:rPr>
          <w:snapToGrid/>
          <w:szCs w:val="22"/>
        </w:rPr>
      </w:pPr>
      <w:r>
        <w:rPr>
          <w:szCs w:val="22"/>
        </w:rPr>
        <w:t>The 833 Auction’s prohibition on certain communications</w:t>
      </w:r>
      <w:r w:rsidRPr="005712E5">
        <w:rPr>
          <w:szCs w:val="22"/>
        </w:rPr>
        <w:t xml:space="preserve"> does not prohibit an applicant from communicating bids or bidding strategies to a third-party, such as a consultant or consulting firm, counsel, or lender. </w:t>
      </w:r>
      <w:bookmarkStart w:id="217" w:name="_Hlk518633962"/>
      <w:r w:rsidRPr="005712E5">
        <w:rPr>
          <w:szCs w:val="22"/>
        </w:rPr>
        <w:t xml:space="preserve"> T</w:t>
      </w:r>
      <w:bookmarkEnd w:id="217"/>
      <w:r w:rsidRPr="005712E5">
        <w:rPr>
          <w:szCs w:val="22"/>
        </w:rPr>
        <w:t xml:space="preserve">he applicant should take appropriate steps, however, to ensure that any third party it employs for advice pertaining to its bids or bidding strategies does not become a conduit for prohibited communications to other specified parties, as that would violate the </w:t>
      </w:r>
      <w:r>
        <w:rPr>
          <w:szCs w:val="22"/>
        </w:rPr>
        <w:t>prohibition</w:t>
      </w:r>
      <w:r w:rsidRPr="005712E5">
        <w:rPr>
          <w:szCs w:val="22"/>
        </w:rPr>
        <w:t>.</w:t>
      </w:r>
      <w:r>
        <w:rPr>
          <w:rStyle w:val="FootnoteReference"/>
          <w:szCs w:val="22"/>
        </w:rPr>
        <w:footnoteReference w:id="63"/>
      </w:r>
      <w:r w:rsidRPr="005712E5">
        <w:rPr>
          <w:szCs w:val="22"/>
        </w:rPr>
        <w:t xml:space="preserve"> </w:t>
      </w:r>
      <w:r w:rsidRPr="005712E5">
        <w:rPr>
          <w:rFonts w:ascii="TimesNewRoman" w:hAnsi="TimesNewRoman" w:cs="TimesNewRoman"/>
          <w:snapToGrid/>
          <w:kern w:val="0"/>
          <w:szCs w:val="22"/>
        </w:rPr>
        <w:t xml:space="preserve"> </w:t>
      </w:r>
      <w:r w:rsidRPr="005712E5">
        <w:rPr>
          <w:snapToGrid/>
          <w:szCs w:val="22"/>
        </w:rPr>
        <w:t>For example, an applicant might require a third party, such as a lender, to sign a non-disclosure agreement before the applicant communicates any information regarding bids or bidding strategy to the third party.</w:t>
      </w:r>
      <w:r>
        <w:rPr>
          <w:rStyle w:val="FootnoteReference"/>
          <w:rFonts w:cs="TimesNewRoman"/>
          <w:kern w:val="0"/>
          <w:szCs w:val="22"/>
        </w:rPr>
        <w:footnoteReference w:id="64"/>
      </w:r>
      <w:r w:rsidRPr="005712E5">
        <w:rPr>
          <w:snapToGrid/>
          <w:szCs w:val="22"/>
        </w:rPr>
        <w:t xml:space="preserve">  Within </w:t>
      </w:r>
      <w:r w:rsidRPr="005712E5">
        <w:rPr>
          <w:szCs w:val="22"/>
        </w:rPr>
        <w:t>third-party firms, separate individual employees, such as attorneys or auction consultants, may advise individual applicants on bids or bidding strategies, as long as such firms implement firewalls and other compliance procedures that prevent such individuals from communicating the bids or bidding strategies of one applicant to other individuals representing separate applicants.</w:t>
      </w:r>
      <w:r>
        <w:rPr>
          <w:rStyle w:val="FootnoteReference"/>
          <w:szCs w:val="22"/>
        </w:rPr>
        <w:footnoteReference w:id="65"/>
      </w:r>
      <w:r w:rsidRPr="005712E5">
        <w:rPr>
          <w:szCs w:val="22"/>
        </w:rPr>
        <w:t xml:space="preserve">  Although firewalls and/or other procedures should be used, their existence is not an absolute defense to liability if a violation has occurred.</w:t>
      </w:r>
      <w:r>
        <w:rPr>
          <w:rStyle w:val="FootnoteReference"/>
          <w:szCs w:val="22"/>
        </w:rPr>
        <w:footnoteReference w:id="66"/>
      </w:r>
    </w:p>
    <w:p w:rsidR="00B42A2B" w:rsidRPr="005712E5" w:rsidRDefault="00AA13C4" w:rsidP="00B42A2B">
      <w:pPr>
        <w:pStyle w:val="ParaNum"/>
        <w:widowControl/>
        <w:rPr>
          <w:snapToGrid/>
          <w:szCs w:val="22"/>
        </w:rPr>
      </w:pPr>
      <w:r w:rsidRPr="005712E5">
        <w:rPr>
          <w:szCs w:val="22"/>
        </w:rPr>
        <w:t>As Commission staff have explained in the context of the Broadcast Incentive Auction, in the case of an individual, the objective precautionary measure of a firewall is not available.</w:t>
      </w:r>
      <w:r>
        <w:rPr>
          <w:rStyle w:val="FootnoteReference"/>
          <w:szCs w:val="22"/>
        </w:rPr>
        <w:footnoteReference w:id="67"/>
      </w:r>
      <w:r w:rsidRPr="005712E5">
        <w:rPr>
          <w:szCs w:val="22"/>
        </w:rPr>
        <w:t xml:space="preserve">  As a result, an individual that is privy to bids or bidding information of more than one applicant presents a greater risk of becoming a conduit for a prohibited communication.</w:t>
      </w:r>
      <w:r>
        <w:rPr>
          <w:rStyle w:val="FootnoteReference"/>
          <w:szCs w:val="22"/>
        </w:rPr>
        <w:footnoteReference w:id="68"/>
      </w:r>
      <w:r w:rsidRPr="005712E5">
        <w:rPr>
          <w:szCs w:val="22"/>
        </w:rPr>
        <w:t xml:space="preserve">  We will take the same approach to interpreting the prohibited communications rule in </w:t>
      </w:r>
      <w:r>
        <w:rPr>
          <w:szCs w:val="22"/>
        </w:rPr>
        <w:t>the 833 Auction</w:t>
      </w:r>
      <w:r w:rsidRPr="005712E5">
        <w:rPr>
          <w:szCs w:val="22"/>
        </w:rPr>
        <w:t>.  We emphasize that whether a prohibited communication has taken place in a given case will depend on all the facts pertaining to the case, including who possessed what information, what information was conveyed to whom, and the course of bidding in the auction.</w:t>
      </w:r>
      <w:r>
        <w:rPr>
          <w:rStyle w:val="FootnoteReference"/>
          <w:szCs w:val="22"/>
        </w:rPr>
        <w:footnoteReference w:id="69"/>
      </w:r>
    </w:p>
    <w:p w:rsidR="00B42A2B" w:rsidRPr="005712E5" w:rsidRDefault="00AA13C4" w:rsidP="00B42A2B">
      <w:pPr>
        <w:pStyle w:val="ParaNum"/>
        <w:widowControl/>
        <w:rPr>
          <w:szCs w:val="22"/>
        </w:rPr>
      </w:pPr>
      <w:bookmarkStart w:id="218" w:name="_Hlk502733495"/>
      <w:r>
        <w:rPr>
          <w:szCs w:val="22"/>
        </w:rPr>
        <w:t>For</w:t>
      </w:r>
      <w:r w:rsidRPr="005712E5">
        <w:rPr>
          <w:szCs w:val="22"/>
        </w:rPr>
        <w:t xml:space="preserve"> purposes of </w:t>
      </w:r>
      <w:r>
        <w:rPr>
          <w:szCs w:val="22"/>
        </w:rPr>
        <w:t>the 833 Auction</w:t>
      </w:r>
      <w:r w:rsidRPr="005712E5">
        <w:rPr>
          <w:szCs w:val="22"/>
        </w:rPr>
        <w:t xml:space="preserve">, </w:t>
      </w:r>
      <w:r>
        <w:rPr>
          <w:szCs w:val="22"/>
        </w:rPr>
        <w:t>we</w:t>
      </w:r>
      <w:r w:rsidRPr="005712E5">
        <w:rPr>
          <w:szCs w:val="22"/>
        </w:rPr>
        <w:t xml:space="preserve"> prohibit separate applicants from designating the same individual on their </w:t>
      </w:r>
      <w:r>
        <w:rPr>
          <w:szCs w:val="22"/>
        </w:rPr>
        <w:t>auction</w:t>
      </w:r>
      <w:r w:rsidRPr="005712E5">
        <w:rPr>
          <w:szCs w:val="22"/>
        </w:rPr>
        <w:t xml:space="preserve"> applications to serve as an authorized bidder.</w:t>
      </w:r>
      <w:r>
        <w:rPr>
          <w:rStyle w:val="FootnoteReference"/>
          <w:szCs w:val="22"/>
        </w:rPr>
        <w:footnoteReference w:id="70"/>
      </w:r>
      <w:r w:rsidRPr="005712E5">
        <w:rPr>
          <w:szCs w:val="22"/>
        </w:rPr>
        <w:t xml:space="preserve">  This prevents a single individual with knowledge of the bidding strategies of more than one applicant from conveying (even unintentionally) advice to </w:t>
      </w:r>
      <w:r>
        <w:rPr>
          <w:szCs w:val="22"/>
        </w:rPr>
        <w:t xml:space="preserve">any </w:t>
      </w:r>
      <w:r w:rsidRPr="005712E5">
        <w:rPr>
          <w:szCs w:val="22"/>
        </w:rPr>
        <w:t>of those applicants that is influenced by his or her knowledge about another applicant’s bids or bidding strategies in violation of our prohibiti</w:t>
      </w:r>
      <w:r>
        <w:rPr>
          <w:szCs w:val="22"/>
        </w:rPr>
        <w:t>on on</w:t>
      </w:r>
      <w:r w:rsidRPr="005712E5">
        <w:rPr>
          <w:szCs w:val="22"/>
        </w:rPr>
        <w:t xml:space="preserve"> certain communications among auction applicants.</w:t>
      </w:r>
      <w:r>
        <w:rPr>
          <w:rStyle w:val="FootnoteReference"/>
          <w:szCs w:val="22"/>
        </w:rPr>
        <w:footnoteReference w:id="71"/>
      </w:r>
      <w:r w:rsidRPr="005712E5">
        <w:rPr>
          <w:szCs w:val="22"/>
        </w:rPr>
        <w:t xml:space="preserve">  </w:t>
      </w:r>
      <w:bookmarkEnd w:id="218"/>
      <w:r w:rsidRPr="005712E5">
        <w:rPr>
          <w:szCs w:val="22"/>
        </w:rPr>
        <w:t xml:space="preserve">A violation of the </w:t>
      </w:r>
      <w:r>
        <w:rPr>
          <w:szCs w:val="22"/>
        </w:rPr>
        <w:t>prohibition</w:t>
      </w:r>
      <w:r w:rsidRPr="005712E5">
        <w:rPr>
          <w:szCs w:val="22"/>
        </w:rPr>
        <w:t xml:space="preserve"> could also occur if the authorized bidders are different individuals employed by the same organization (e.g., a law firm, engineering firm, or consulting firm).</w:t>
      </w:r>
      <w:r>
        <w:rPr>
          <w:rStyle w:val="FootnoteReference"/>
          <w:szCs w:val="22"/>
        </w:rPr>
        <w:footnoteReference w:id="72"/>
      </w:r>
      <w:r w:rsidRPr="005712E5">
        <w:rPr>
          <w:szCs w:val="22"/>
        </w:rPr>
        <w:t xml:space="preserve">  In the latter case, at a minimum, applicants should certify on their applications that precautionary steps have been taken to prevent communication</w:t>
      </w:r>
      <w:r>
        <w:rPr>
          <w:szCs w:val="22"/>
        </w:rPr>
        <w:t>s</w:t>
      </w:r>
      <w:r w:rsidRPr="005712E5">
        <w:rPr>
          <w:szCs w:val="22"/>
        </w:rPr>
        <w:t xml:space="preserve"> between authorized bidders and that the applicant and its bidders will comply with </w:t>
      </w:r>
      <w:r>
        <w:rPr>
          <w:szCs w:val="22"/>
        </w:rPr>
        <w:t>the prohibition on certain communications</w:t>
      </w:r>
      <w:r w:rsidRPr="005712E5">
        <w:rPr>
          <w:szCs w:val="22"/>
        </w:rPr>
        <w:t>.</w:t>
      </w:r>
      <w:r>
        <w:rPr>
          <w:rStyle w:val="FootnoteReference"/>
          <w:szCs w:val="22"/>
        </w:rPr>
        <w:footnoteReference w:id="73"/>
      </w:r>
    </w:p>
    <w:p w:rsidR="00B42A2B" w:rsidRPr="005712E5" w:rsidRDefault="00AA13C4" w:rsidP="00B42A2B">
      <w:pPr>
        <w:pStyle w:val="ParaNum"/>
        <w:widowControl/>
        <w:rPr>
          <w:snapToGrid/>
          <w:szCs w:val="22"/>
        </w:rPr>
      </w:pPr>
      <w:r w:rsidRPr="005712E5">
        <w:rPr>
          <w:szCs w:val="22"/>
        </w:rPr>
        <w:t xml:space="preserve">We remind potential applicants that they may discuss the </w:t>
      </w:r>
      <w:r>
        <w:rPr>
          <w:szCs w:val="22"/>
        </w:rPr>
        <w:t>auction</w:t>
      </w:r>
      <w:r w:rsidRPr="005712E5">
        <w:rPr>
          <w:szCs w:val="22"/>
        </w:rPr>
        <w:t xml:space="preserve"> application or bids for specific </w:t>
      </w:r>
      <w:r>
        <w:rPr>
          <w:szCs w:val="22"/>
        </w:rPr>
        <w:t>toll free numbers</w:t>
      </w:r>
      <w:r w:rsidRPr="005712E5">
        <w:rPr>
          <w:szCs w:val="22"/>
        </w:rPr>
        <w:t xml:space="preserve"> with the counsel, consultant, or expert of their choice </w:t>
      </w:r>
      <w:r w:rsidRPr="005712E5">
        <w:rPr>
          <w:i/>
          <w:szCs w:val="22"/>
        </w:rPr>
        <w:t>before</w:t>
      </w:r>
      <w:r w:rsidRPr="005712E5">
        <w:rPr>
          <w:szCs w:val="22"/>
        </w:rPr>
        <w:t xml:space="preserve"> the </w:t>
      </w:r>
      <w:r>
        <w:rPr>
          <w:szCs w:val="22"/>
        </w:rPr>
        <w:t>auction</w:t>
      </w:r>
      <w:r w:rsidRPr="005712E5">
        <w:rPr>
          <w:szCs w:val="22"/>
        </w:rPr>
        <w:t xml:space="preserve"> application deadline.  Furthermore, the same third-party individual could continue to give advice regarding the application after th</w:t>
      </w:r>
      <w:r>
        <w:rPr>
          <w:szCs w:val="22"/>
        </w:rPr>
        <w:t>e</w:t>
      </w:r>
      <w:r w:rsidRPr="005712E5">
        <w:rPr>
          <w:szCs w:val="22"/>
        </w:rPr>
        <w:t xml:space="preserve"> deadline, provided that no information pertaining to bids or bidding strategies, including </w:t>
      </w:r>
      <w:r>
        <w:rPr>
          <w:szCs w:val="22"/>
        </w:rPr>
        <w:t>toll free numbers</w:t>
      </w:r>
      <w:r w:rsidRPr="005712E5">
        <w:rPr>
          <w:szCs w:val="22"/>
        </w:rPr>
        <w:t xml:space="preserve"> selected on the </w:t>
      </w:r>
      <w:r>
        <w:rPr>
          <w:szCs w:val="22"/>
        </w:rPr>
        <w:t>auction</w:t>
      </w:r>
      <w:r w:rsidRPr="005712E5">
        <w:rPr>
          <w:szCs w:val="22"/>
        </w:rPr>
        <w:t xml:space="preserve"> application, is conveyed to that individual.  To the extent potential applicants can develop bidding instructions prior to the </w:t>
      </w:r>
      <w:r>
        <w:rPr>
          <w:szCs w:val="22"/>
        </w:rPr>
        <w:t>application</w:t>
      </w:r>
      <w:r w:rsidRPr="005712E5">
        <w:rPr>
          <w:szCs w:val="22"/>
        </w:rPr>
        <w:t xml:space="preserve"> deadline that a third</w:t>
      </w:r>
      <w:r>
        <w:rPr>
          <w:szCs w:val="22"/>
        </w:rPr>
        <w:t>-</w:t>
      </w:r>
      <w:r w:rsidRPr="005712E5">
        <w:rPr>
          <w:szCs w:val="22"/>
        </w:rPr>
        <w:t>party could implement without changes during bidding, the third</w:t>
      </w:r>
      <w:r>
        <w:rPr>
          <w:szCs w:val="22"/>
        </w:rPr>
        <w:t>-</w:t>
      </w:r>
      <w:r w:rsidRPr="005712E5">
        <w:rPr>
          <w:szCs w:val="22"/>
        </w:rPr>
        <w:t>party could follow such instructions for multiple applicants provided that those applicants do not communicate with the third</w:t>
      </w:r>
      <w:r>
        <w:rPr>
          <w:szCs w:val="22"/>
        </w:rPr>
        <w:noBreakHyphen/>
      </w:r>
      <w:r w:rsidRPr="005712E5">
        <w:rPr>
          <w:szCs w:val="22"/>
        </w:rPr>
        <w:t>party during the prohibition period.</w:t>
      </w:r>
      <w:r>
        <w:rPr>
          <w:rStyle w:val="FootnoteReference"/>
          <w:szCs w:val="22"/>
        </w:rPr>
        <w:footnoteReference w:id="74"/>
      </w:r>
    </w:p>
    <w:p w:rsidR="00B42A2B" w:rsidRDefault="00AA13C4" w:rsidP="00B42A2B">
      <w:pPr>
        <w:pStyle w:val="ParaNum"/>
        <w:widowControl/>
        <w:rPr>
          <w:snapToGrid/>
          <w:szCs w:val="22"/>
        </w:rPr>
      </w:pPr>
      <w:r w:rsidRPr="005712E5">
        <w:rPr>
          <w:szCs w:val="22"/>
        </w:rPr>
        <w:t xml:space="preserve">Applicants also should use caution in their dealings with other parties, such as members of the press, financial analysts, or others who might become conduits for the communication of prohibited bidding information.  For example, even though communicating that it has applied to participate in </w:t>
      </w:r>
      <w:r>
        <w:rPr>
          <w:szCs w:val="22"/>
        </w:rPr>
        <w:t xml:space="preserve">the </w:t>
      </w:r>
      <w:r w:rsidRPr="005712E5">
        <w:rPr>
          <w:szCs w:val="22"/>
        </w:rPr>
        <w:t xml:space="preserve">auction will not violate the </w:t>
      </w:r>
      <w:r>
        <w:rPr>
          <w:szCs w:val="22"/>
        </w:rPr>
        <w:t>prohibition</w:t>
      </w:r>
      <w:r w:rsidRPr="005712E5">
        <w:rPr>
          <w:szCs w:val="22"/>
        </w:rPr>
        <w:t xml:space="preserve">, an applicant’s statement to the press </w:t>
      </w:r>
      <w:r>
        <w:rPr>
          <w:szCs w:val="22"/>
        </w:rPr>
        <w:t xml:space="preserve">of its intent not </w:t>
      </w:r>
      <w:r w:rsidRPr="005712E5">
        <w:rPr>
          <w:szCs w:val="22"/>
        </w:rPr>
        <w:t xml:space="preserve">to </w:t>
      </w:r>
      <w:r>
        <w:rPr>
          <w:szCs w:val="22"/>
        </w:rPr>
        <w:t xml:space="preserve">place bids </w:t>
      </w:r>
      <w:r w:rsidRPr="005712E5">
        <w:rPr>
          <w:szCs w:val="22"/>
        </w:rPr>
        <w:t xml:space="preserve">in </w:t>
      </w:r>
      <w:r>
        <w:rPr>
          <w:szCs w:val="22"/>
        </w:rPr>
        <w:t>the</w:t>
      </w:r>
      <w:r w:rsidRPr="005712E5">
        <w:rPr>
          <w:szCs w:val="22"/>
        </w:rPr>
        <w:t xml:space="preserve"> auction could give rise to a finding of a </w:t>
      </w:r>
      <w:r>
        <w:rPr>
          <w:szCs w:val="22"/>
        </w:rPr>
        <w:t>prohibited communications</w:t>
      </w:r>
      <w:r w:rsidRPr="005712E5">
        <w:rPr>
          <w:szCs w:val="22"/>
        </w:rPr>
        <w:t xml:space="preserve"> violation.</w:t>
      </w:r>
      <w:r>
        <w:rPr>
          <w:rStyle w:val="FootnoteReference"/>
          <w:szCs w:val="22"/>
        </w:rPr>
        <w:footnoteReference w:id="75"/>
      </w:r>
    </w:p>
    <w:p w:rsidR="00B42A2B" w:rsidRDefault="00AA13C4" w:rsidP="00B42A2B">
      <w:pPr>
        <w:pStyle w:val="Heading3"/>
        <w:rPr>
          <w:snapToGrid/>
        </w:rPr>
      </w:pPr>
      <w:bookmarkStart w:id="219" w:name="_Toc11074552"/>
      <w:bookmarkStart w:id="220" w:name="_Toc11163033"/>
      <w:bookmarkStart w:id="221" w:name="_Toc11251311"/>
      <w:bookmarkStart w:id="222" w:name="_Toc11335484"/>
      <w:bookmarkStart w:id="223" w:name="_Toc11682248"/>
      <w:bookmarkStart w:id="224" w:name="_Toc11737940"/>
      <w:bookmarkStart w:id="225" w:name="_Toc11846644"/>
      <w:bookmarkStart w:id="226" w:name="_Toc11944551"/>
      <w:bookmarkStart w:id="227" w:name="_Toc12288454"/>
      <w:bookmarkStart w:id="228" w:name="_Toc12440599"/>
      <w:bookmarkStart w:id="229" w:name="_Toc12548216"/>
      <w:bookmarkStart w:id="230" w:name="_Toc12610395"/>
      <w:bookmarkStart w:id="231" w:name="_Toc12634229"/>
      <w:bookmarkStart w:id="232" w:name="_Toc12975643"/>
      <w:bookmarkStart w:id="233" w:name="_Toc13469546"/>
      <w:r>
        <w:rPr>
          <w:snapToGrid/>
        </w:rPr>
        <w:t>Certifications Related to the Prohibition on Certain Communications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B42A2B" w:rsidRPr="00187745" w:rsidRDefault="00AA13C4" w:rsidP="00B42A2B">
      <w:pPr>
        <w:pStyle w:val="ParaNum"/>
        <w:widowControl/>
        <w:rPr>
          <w:szCs w:val="22"/>
        </w:rPr>
      </w:pPr>
      <w:r w:rsidRPr="00187745">
        <w:rPr>
          <w:szCs w:val="22"/>
        </w:rPr>
        <w:t xml:space="preserve">When submitting its auction application, each applicant for the </w:t>
      </w:r>
      <w:r>
        <w:rPr>
          <w:szCs w:val="22"/>
        </w:rPr>
        <w:t>833 Auction</w:t>
      </w:r>
      <w:r w:rsidRPr="00187745">
        <w:rPr>
          <w:szCs w:val="22"/>
        </w:rPr>
        <w:t xml:space="preserve"> must certify its compliance with the prohibition on certain communications.</w:t>
      </w:r>
      <w:r>
        <w:rPr>
          <w:rStyle w:val="FootnoteReference"/>
          <w:szCs w:val="22"/>
        </w:rPr>
        <w:footnoteReference w:id="76"/>
      </w:r>
      <w:r w:rsidRPr="00187745">
        <w:rPr>
          <w:szCs w:val="22"/>
        </w:rPr>
        <w:t xml:space="preserve">  One commenter supports this certification.</w:t>
      </w:r>
      <w:r>
        <w:rPr>
          <w:rStyle w:val="FootnoteReference"/>
          <w:szCs w:val="22"/>
        </w:rPr>
        <w:footnoteReference w:id="77"/>
      </w:r>
      <w:r>
        <w:rPr>
          <w:szCs w:val="22"/>
        </w:rPr>
        <w:t xml:space="preserve">  </w:t>
      </w:r>
      <w:r w:rsidRPr="00187745">
        <w:rPr>
          <w:szCs w:val="22"/>
        </w:rPr>
        <w:t>As in our spectrum</w:t>
      </w:r>
      <w:r>
        <w:rPr>
          <w:szCs w:val="22"/>
        </w:rPr>
        <w:t xml:space="preserve"> and universal service</w:t>
      </w:r>
      <w:r w:rsidRPr="00187745">
        <w:rPr>
          <w:szCs w:val="22"/>
        </w:rPr>
        <w:t xml:space="preserve"> </w:t>
      </w:r>
      <w:r>
        <w:rPr>
          <w:szCs w:val="22"/>
        </w:rPr>
        <w:t xml:space="preserve">support </w:t>
      </w:r>
      <w:r w:rsidRPr="00187745">
        <w:rPr>
          <w:szCs w:val="22"/>
        </w:rPr>
        <w:t>auction</w:t>
      </w:r>
      <w:r>
        <w:rPr>
          <w:szCs w:val="22"/>
        </w:rPr>
        <w:t>s</w:t>
      </w:r>
      <w:r w:rsidRPr="00187745">
        <w:rPr>
          <w:szCs w:val="22"/>
        </w:rPr>
        <w:t>, we caution applicants that the mere filing of a certifying statement as part of an application will not outweigh specific evidence that a prohibited communication has occurred, nor will it preclude the initiation of an investigation when warranted.</w:t>
      </w:r>
      <w:r>
        <w:rPr>
          <w:rStyle w:val="FootnoteReference"/>
          <w:szCs w:val="22"/>
        </w:rPr>
        <w:footnoteReference w:id="78"/>
      </w:r>
      <w:r w:rsidRPr="00187745">
        <w:rPr>
          <w:szCs w:val="22"/>
        </w:rPr>
        <w:t xml:space="preserve">  Any applicant found to have violated the prohibition</w:t>
      </w:r>
      <w:r>
        <w:rPr>
          <w:szCs w:val="22"/>
        </w:rPr>
        <w:t xml:space="preserve"> on certain communications</w:t>
      </w:r>
      <w:r w:rsidRPr="00187745">
        <w:rPr>
          <w:szCs w:val="22"/>
        </w:rPr>
        <w:t xml:space="preserve"> may be subject to sanctions</w:t>
      </w:r>
      <w:r>
        <w:rPr>
          <w:szCs w:val="22"/>
        </w:rPr>
        <w:t xml:space="preserve">, including among other things, </w:t>
      </w:r>
      <w:r w:rsidRPr="005712E5">
        <w:rPr>
          <w:szCs w:val="22"/>
        </w:rPr>
        <w:t xml:space="preserve">forfeiture and </w:t>
      </w:r>
      <w:r>
        <w:rPr>
          <w:szCs w:val="22"/>
        </w:rPr>
        <w:t>a prohibition</w:t>
      </w:r>
      <w:r w:rsidRPr="005712E5">
        <w:rPr>
          <w:szCs w:val="22"/>
        </w:rPr>
        <w:t xml:space="preserve"> from participating further in </w:t>
      </w:r>
      <w:r>
        <w:rPr>
          <w:szCs w:val="22"/>
        </w:rPr>
        <w:t xml:space="preserve">the 833 Auction </w:t>
      </w:r>
      <w:r w:rsidRPr="005712E5">
        <w:rPr>
          <w:szCs w:val="22"/>
        </w:rPr>
        <w:t xml:space="preserve">and in </w:t>
      </w:r>
      <w:r>
        <w:rPr>
          <w:szCs w:val="22"/>
        </w:rPr>
        <w:t xml:space="preserve">any </w:t>
      </w:r>
      <w:r w:rsidRPr="005712E5">
        <w:rPr>
          <w:szCs w:val="22"/>
        </w:rPr>
        <w:t xml:space="preserve">future </w:t>
      </w:r>
      <w:r>
        <w:rPr>
          <w:szCs w:val="22"/>
        </w:rPr>
        <w:t xml:space="preserve">Commission </w:t>
      </w:r>
      <w:r w:rsidRPr="005712E5">
        <w:rPr>
          <w:szCs w:val="22"/>
        </w:rPr>
        <w:t>auctions</w:t>
      </w:r>
      <w:r w:rsidRPr="00187745">
        <w:rPr>
          <w:szCs w:val="22"/>
        </w:rPr>
        <w:t>.</w:t>
      </w:r>
      <w:r>
        <w:rPr>
          <w:rStyle w:val="FootnoteReference"/>
          <w:szCs w:val="22"/>
        </w:rPr>
        <w:footnoteReference w:id="79"/>
      </w:r>
    </w:p>
    <w:p w:rsidR="00B42A2B" w:rsidRDefault="00AA13C4" w:rsidP="00B42A2B">
      <w:pPr>
        <w:pStyle w:val="Heading3"/>
      </w:pPr>
      <w:bookmarkStart w:id="234" w:name="_Toc11074553"/>
      <w:bookmarkStart w:id="235" w:name="_Toc11163034"/>
      <w:bookmarkStart w:id="236" w:name="_Toc11251312"/>
      <w:bookmarkStart w:id="237" w:name="_Toc11335485"/>
      <w:bookmarkStart w:id="238" w:name="_Toc11682249"/>
      <w:bookmarkStart w:id="239" w:name="_Toc11737941"/>
      <w:bookmarkStart w:id="240" w:name="_Toc11846645"/>
      <w:bookmarkStart w:id="241" w:name="_Toc11944552"/>
      <w:bookmarkStart w:id="242" w:name="_Toc12288455"/>
      <w:bookmarkStart w:id="243" w:name="_Toc12440600"/>
      <w:bookmarkStart w:id="244" w:name="_Toc12548217"/>
      <w:bookmarkStart w:id="245" w:name="_Toc12610396"/>
      <w:bookmarkStart w:id="246" w:name="_Toc12634230"/>
      <w:bookmarkStart w:id="247" w:name="_Toc12975644"/>
      <w:bookmarkStart w:id="248" w:name="_Toc13469547"/>
      <w:r>
        <w:t>Duty to Report Prohibited Communications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B42A2B" w:rsidRDefault="00AA13C4" w:rsidP="00B42A2B">
      <w:pPr>
        <w:pStyle w:val="ParaNum"/>
      </w:pPr>
      <w:r>
        <w:rPr>
          <w:szCs w:val="22"/>
        </w:rPr>
        <w:t>A</w:t>
      </w:r>
      <w:r w:rsidRPr="00FB2FB4">
        <w:rPr>
          <w:szCs w:val="22"/>
        </w:rPr>
        <w:t xml:space="preserve">ny applicant that makes or receives a communication that appears to violate </w:t>
      </w:r>
      <w:r>
        <w:rPr>
          <w:szCs w:val="22"/>
        </w:rPr>
        <w:t>the prohibition on certain communications</w:t>
      </w:r>
      <w:r w:rsidRPr="00FB2FB4">
        <w:rPr>
          <w:szCs w:val="22"/>
        </w:rPr>
        <w:t xml:space="preserve"> must report such communication in writing to the Commission </w:t>
      </w:r>
      <w:r w:rsidRPr="005034F9">
        <w:rPr>
          <w:szCs w:val="22"/>
        </w:rPr>
        <w:t xml:space="preserve">and Somos </w:t>
      </w:r>
      <w:r>
        <w:rPr>
          <w:szCs w:val="22"/>
        </w:rPr>
        <w:t xml:space="preserve">staff </w:t>
      </w:r>
      <w:r w:rsidRPr="00FB2FB4">
        <w:rPr>
          <w:szCs w:val="22"/>
        </w:rPr>
        <w:t xml:space="preserve">immediately, and in no case later than five business days after the communication occurs.  </w:t>
      </w:r>
      <w:r>
        <w:t xml:space="preserve">We proposed this requirement in the </w:t>
      </w:r>
      <w:r>
        <w:rPr>
          <w:i/>
        </w:rPr>
        <w:t>833 Auction</w:t>
      </w:r>
      <w:r w:rsidRPr="00EA0BF4">
        <w:rPr>
          <w:i/>
        </w:rPr>
        <w:t xml:space="preserve"> Comment Public Notice</w:t>
      </w:r>
      <w:r>
        <w:t xml:space="preserve"> and receiv</w:t>
      </w:r>
      <w:r>
        <w:rPr>
          <w:szCs w:val="22"/>
        </w:rPr>
        <w:t>ed no comments on our proposal.</w:t>
      </w:r>
      <w:r>
        <w:rPr>
          <w:rStyle w:val="FootnoteReference"/>
          <w:szCs w:val="22"/>
        </w:rPr>
        <w:footnoteReference w:id="80"/>
      </w:r>
      <w:r>
        <w:rPr>
          <w:szCs w:val="22"/>
        </w:rPr>
        <w:t xml:space="preserve">  </w:t>
      </w:r>
      <w:r w:rsidRPr="00FB2FB4">
        <w:rPr>
          <w:szCs w:val="22"/>
        </w:rPr>
        <w:t>Each applicant’s obligation to report any such communication continues beyond the five-day period after the communication is made, even if the report is not made within the five-day period.</w:t>
      </w:r>
      <w:r>
        <w:rPr>
          <w:rStyle w:val="FootnoteReference"/>
          <w:szCs w:val="22"/>
        </w:rPr>
        <w:footnoteReference w:id="81"/>
      </w:r>
    </w:p>
    <w:p w:rsidR="00B42A2B" w:rsidRDefault="00AA13C4" w:rsidP="00B42A2B">
      <w:pPr>
        <w:pStyle w:val="Heading3"/>
      </w:pPr>
      <w:bookmarkStart w:id="249" w:name="_Toc11074554"/>
      <w:bookmarkStart w:id="250" w:name="_Toc11163035"/>
      <w:bookmarkStart w:id="251" w:name="_Toc11251313"/>
      <w:bookmarkStart w:id="252" w:name="_Toc11335486"/>
      <w:bookmarkStart w:id="253" w:name="_Toc11682250"/>
      <w:bookmarkStart w:id="254" w:name="_Toc11737942"/>
      <w:bookmarkStart w:id="255" w:name="_Toc11846646"/>
      <w:bookmarkStart w:id="256" w:name="_Toc11944553"/>
      <w:bookmarkStart w:id="257" w:name="_Toc12288456"/>
      <w:bookmarkStart w:id="258" w:name="_Toc12440601"/>
      <w:bookmarkStart w:id="259" w:name="_Toc12548218"/>
      <w:bookmarkStart w:id="260" w:name="_Toc12610397"/>
      <w:bookmarkStart w:id="261" w:name="_Toc12634231"/>
      <w:bookmarkStart w:id="262" w:name="_Toc12975645"/>
      <w:bookmarkStart w:id="263" w:name="_Toc13469548"/>
      <w:r>
        <w:t>Procedures for Reporting Prohibited Communications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B42A2B" w:rsidRDefault="00AA13C4" w:rsidP="00B42A2B">
      <w:pPr>
        <w:pStyle w:val="ParaNum"/>
        <w:widowControl/>
      </w:pPr>
      <w:r w:rsidRPr="00892CCF">
        <w:rPr>
          <w:szCs w:val="22"/>
        </w:rPr>
        <w:t>A party reporting any information or communication that appears to violate the prohibition on certain communications must take care to ensure that any report does not itself violate the prohibition.</w:t>
      </w:r>
      <w:r>
        <w:rPr>
          <w:rStyle w:val="FootnoteReference"/>
          <w:szCs w:val="22"/>
        </w:rPr>
        <w:footnoteReference w:id="82"/>
      </w:r>
      <w:r w:rsidRPr="00892CCF">
        <w:rPr>
          <w:szCs w:val="22"/>
        </w:rPr>
        <w:t xml:space="preserve">   To minimize the risk of inadvertent dissemination of information in such reports, parties reporting a po</w:t>
      </w:r>
      <w:r>
        <w:rPr>
          <w:szCs w:val="22"/>
        </w:rPr>
        <w:t>tential</w:t>
      </w:r>
      <w:r w:rsidRPr="00892CCF">
        <w:rPr>
          <w:szCs w:val="22"/>
        </w:rPr>
        <w:t xml:space="preserve"> prohibited communication must submit a report directly </w:t>
      </w:r>
      <w:r>
        <w:rPr>
          <w:szCs w:val="22"/>
        </w:rPr>
        <w:t>to</w:t>
      </w:r>
      <w:r w:rsidRPr="00892CCF">
        <w:rPr>
          <w:szCs w:val="22"/>
        </w:rPr>
        <w:t xml:space="preserve"> the following individuals: </w:t>
      </w:r>
      <w:r>
        <w:rPr>
          <w:szCs w:val="22"/>
        </w:rPr>
        <w:t xml:space="preserve"> </w:t>
      </w:r>
      <w:r w:rsidRPr="00892CCF">
        <w:rPr>
          <w:szCs w:val="22"/>
        </w:rPr>
        <w:t>(1) Margaret W. Wiener, Chief</w:t>
      </w:r>
      <w:r>
        <w:rPr>
          <w:szCs w:val="22"/>
        </w:rPr>
        <w:t>,</w:t>
      </w:r>
      <w:r w:rsidRPr="00892CCF">
        <w:rPr>
          <w:szCs w:val="22"/>
        </w:rPr>
        <w:t xml:space="preserve"> Auctions Division, Office of Economics and Analytics, by email to </w:t>
      </w:r>
      <w:hyperlink r:id="rId12" w:history="1">
        <w:r w:rsidRPr="00892CCF">
          <w:rPr>
            <w:rStyle w:val="Hyperlink"/>
            <w:szCs w:val="22"/>
          </w:rPr>
          <w:t>833auction@fcc.gov</w:t>
        </w:r>
      </w:hyperlink>
      <w:r w:rsidRPr="00892CCF">
        <w:rPr>
          <w:szCs w:val="22"/>
        </w:rPr>
        <w:t xml:space="preserve">; and (2) </w:t>
      </w:r>
      <w:r w:rsidRPr="00520749">
        <w:t xml:space="preserve">Joel Bernstein, Vice President, Regulatory and Public Policy, Somos, by email to </w:t>
      </w:r>
      <w:hyperlink r:id="rId13" w:history="1">
        <w:r w:rsidRPr="00816525">
          <w:rPr>
            <w:rStyle w:val="Hyperlink"/>
          </w:rPr>
          <w:t>auctionhelp@somos.com</w:t>
        </w:r>
      </w:hyperlink>
      <w:r>
        <w:t xml:space="preserve">. </w:t>
      </w:r>
    </w:p>
    <w:p w:rsidR="00B42A2B" w:rsidRPr="005712E5" w:rsidRDefault="00AA13C4" w:rsidP="00B42A2B">
      <w:pPr>
        <w:pStyle w:val="ParaNum"/>
        <w:widowControl/>
        <w:rPr>
          <w:szCs w:val="22"/>
        </w:rPr>
      </w:pPr>
      <w:r w:rsidRPr="005712E5">
        <w:rPr>
          <w:szCs w:val="22"/>
        </w:rPr>
        <w:t xml:space="preserve">Given the potential competitive sensitivity of public disclosure of information in such a report, a party seeking to report such a prohibited communication should consider submitting its report with a request that the report or portions of the submission be withheld from public inspection by following the procedures specified in </w:t>
      </w:r>
      <w:r>
        <w:rPr>
          <w:szCs w:val="22"/>
        </w:rPr>
        <w:t>s</w:t>
      </w:r>
      <w:r w:rsidRPr="005712E5">
        <w:rPr>
          <w:szCs w:val="22"/>
        </w:rPr>
        <w:t>ection 0.459 of the Commission’s rules.</w:t>
      </w:r>
      <w:r>
        <w:rPr>
          <w:rStyle w:val="FootnoteReference"/>
          <w:szCs w:val="22"/>
        </w:rPr>
        <w:footnoteReference w:id="83"/>
      </w:r>
      <w:r w:rsidRPr="005712E5">
        <w:rPr>
          <w:szCs w:val="22"/>
        </w:rPr>
        <w:t xml:space="preserve">  We encourage such parties to use the contact information provided in this Public Notice to consult with</w:t>
      </w:r>
      <w:r>
        <w:rPr>
          <w:szCs w:val="22"/>
        </w:rPr>
        <w:t xml:space="preserve"> Somos and </w:t>
      </w:r>
      <w:r w:rsidRPr="005712E5">
        <w:rPr>
          <w:szCs w:val="22"/>
        </w:rPr>
        <w:t>Commission staff about the procedures for submitting such reports.</w:t>
      </w:r>
    </w:p>
    <w:p w:rsidR="00B42A2B" w:rsidRDefault="00AA13C4" w:rsidP="00B42A2B">
      <w:pPr>
        <w:pStyle w:val="Heading3"/>
        <w:keepNext w:val="0"/>
        <w:widowControl/>
      </w:pPr>
      <w:bookmarkStart w:id="264" w:name="_Toc11074555"/>
      <w:bookmarkStart w:id="265" w:name="_Toc11163036"/>
      <w:bookmarkStart w:id="266" w:name="_Toc11251314"/>
      <w:bookmarkStart w:id="267" w:name="_Toc11335487"/>
      <w:bookmarkStart w:id="268" w:name="_Toc11682251"/>
      <w:bookmarkStart w:id="269" w:name="_Toc11737943"/>
      <w:bookmarkStart w:id="270" w:name="_Toc11846647"/>
      <w:bookmarkStart w:id="271" w:name="_Toc11944554"/>
      <w:bookmarkStart w:id="272" w:name="_Toc12288457"/>
      <w:bookmarkStart w:id="273" w:name="_Toc12440602"/>
      <w:bookmarkStart w:id="274" w:name="_Toc12548219"/>
      <w:bookmarkStart w:id="275" w:name="_Toc12610398"/>
      <w:bookmarkStart w:id="276" w:name="_Toc12634232"/>
      <w:bookmarkStart w:id="277" w:name="_Toc12975646"/>
      <w:bookmarkStart w:id="278" w:name="_Toc13469549"/>
      <w:r>
        <w:t>Additional FCC Auction Information Concerning the Prohibition on Certain Communications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B42A2B" w:rsidRDefault="00AA13C4" w:rsidP="00B42A2B">
      <w:pPr>
        <w:pStyle w:val="ParaNum"/>
        <w:widowControl/>
      </w:pPr>
      <w:r>
        <w:t xml:space="preserve">We adopt our proposal in the </w:t>
      </w:r>
      <w:r>
        <w:rPr>
          <w:i/>
        </w:rPr>
        <w:t>833 Auction</w:t>
      </w:r>
      <w:r w:rsidRPr="00EA0BF4">
        <w:rPr>
          <w:i/>
        </w:rPr>
        <w:t xml:space="preserve"> Comment Public Notice</w:t>
      </w:r>
      <w:r>
        <w:t xml:space="preserve"> to rely on past precedent and guidance regarding our rules on prohibited communications in connection with our spectrum auctions.</w:t>
      </w:r>
      <w:r>
        <w:rPr>
          <w:rStyle w:val="FootnoteReference"/>
        </w:rPr>
        <w:footnoteReference w:id="84"/>
      </w:r>
      <w:r>
        <w:t xml:space="preserve">  We received no comments on this proposal.  </w:t>
      </w:r>
      <w:r w:rsidRPr="00BF4030">
        <w:rPr>
          <w:szCs w:val="22"/>
        </w:rPr>
        <w:t xml:space="preserve">A summary listing of documents addressing the application of </w:t>
      </w:r>
      <w:r>
        <w:rPr>
          <w:szCs w:val="22"/>
        </w:rPr>
        <w:t>s</w:t>
      </w:r>
      <w:r w:rsidRPr="00BF4030">
        <w:rPr>
          <w:szCs w:val="22"/>
        </w:rPr>
        <w:t>ection 1.2105(c)</w:t>
      </w:r>
      <w:r>
        <w:rPr>
          <w:szCs w:val="22"/>
        </w:rPr>
        <w:t>, the rule on prohibited communications for our spectrum auctions,</w:t>
      </w:r>
      <w:r w:rsidRPr="00BF4030">
        <w:rPr>
          <w:szCs w:val="22"/>
        </w:rPr>
        <w:t xml:space="preserve"> is available on the Commission’s auction web page at</w:t>
      </w:r>
      <w:hyperlink w:history="1"/>
      <w:r w:rsidRPr="00BF4030">
        <w:rPr>
          <w:szCs w:val="22"/>
        </w:rPr>
        <w:t xml:space="preserve"> </w:t>
      </w:r>
      <w:hyperlink r:id="rId14" w:history="1">
        <w:r w:rsidRPr="00BF4030">
          <w:rPr>
            <w:rStyle w:val="Hyperlink"/>
            <w:szCs w:val="22"/>
          </w:rPr>
          <w:t>https://www.fcc.gov/summary-listing-documents-addressing-application-rule-prohibiting-certain-communications/</w:t>
        </w:r>
      </w:hyperlink>
      <w:r>
        <w:t>.</w:t>
      </w:r>
    </w:p>
    <w:p w:rsidR="00B42A2B" w:rsidRDefault="00AA13C4" w:rsidP="00B42A2B">
      <w:pPr>
        <w:pStyle w:val="Heading3"/>
        <w:widowControl/>
      </w:pPr>
      <w:bookmarkStart w:id="279" w:name="_Toc11074556"/>
      <w:bookmarkStart w:id="280" w:name="_Toc11163037"/>
      <w:bookmarkStart w:id="281" w:name="_Toc11251315"/>
      <w:bookmarkStart w:id="282" w:name="_Toc11335488"/>
      <w:bookmarkStart w:id="283" w:name="_Toc11682252"/>
      <w:bookmarkStart w:id="284" w:name="_Toc11737944"/>
      <w:bookmarkStart w:id="285" w:name="_Toc11846648"/>
      <w:bookmarkStart w:id="286" w:name="_Toc11944555"/>
      <w:bookmarkStart w:id="287" w:name="_Toc12288458"/>
      <w:bookmarkStart w:id="288" w:name="_Toc12440603"/>
      <w:bookmarkStart w:id="289" w:name="_Toc12548220"/>
      <w:bookmarkStart w:id="290" w:name="_Toc12610399"/>
      <w:bookmarkStart w:id="291" w:name="_Toc12634233"/>
      <w:bookmarkStart w:id="292" w:name="_Toc12975647"/>
      <w:bookmarkStart w:id="293" w:name="_Toc13469550"/>
      <w:r>
        <w:t>Antitrust Laws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B42A2B" w:rsidRPr="005712E5" w:rsidRDefault="00AA13C4" w:rsidP="00B42A2B">
      <w:pPr>
        <w:pStyle w:val="ParaNum"/>
        <w:widowControl/>
        <w:rPr>
          <w:szCs w:val="22"/>
        </w:rPr>
      </w:pPr>
      <w:r>
        <w:rPr>
          <w:szCs w:val="22"/>
        </w:rPr>
        <w:t>R</w:t>
      </w:r>
      <w:r w:rsidRPr="005712E5">
        <w:rPr>
          <w:szCs w:val="22"/>
        </w:rPr>
        <w:t>egardless of compliance with the Commission’s rules, applicants remain subject to the antitrust laws, which are designed to prevent anticompetitive behavior in the marketplace.</w:t>
      </w:r>
      <w:r>
        <w:rPr>
          <w:rStyle w:val="FootnoteReference"/>
          <w:szCs w:val="22"/>
        </w:rPr>
        <w:footnoteReference w:id="85"/>
      </w:r>
      <w:r w:rsidRPr="005712E5">
        <w:rPr>
          <w:szCs w:val="22"/>
        </w:rPr>
        <w:t xml:space="preserve">  Compliance with the </w:t>
      </w:r>
      <w:r>
        <w:rPr>
          <w:szCs w:val="22"/>
        </w:rPr>
        <w:t>duty to report prohibited communications</w:t>
      </w:r>
      <w:r w:rsidRPr="005712E5">
        <w:rPr>
          <w:szCs w:val="22"/>
        </w:rPr>
        <w:t xml:space="preserve"> will not insulate a party from enforcement of the antitrust laws.</w:t>
      </w:r>
      <w:r>
        <w:rPr>
          <w:rStyle w:val="FootnoteReference"/>
          <w:szCs w:val="22"/>
        </w:rPr>
        <w:footnoteReference w:id="86"/>
      </w:r>
      <w:r w:rsidRPr="005712E5">
        <w:rPr>
          <w:szCs w:val="22"/>
        </w:rPr>
        <w:t xml:space="preserve">  For instance, a violation of the antitrust laws could arise out of actions taking place well before any party submits a</w:t>
      </w:r>
      <w:r>
        <w:rPr>
          <w:szCs w:val="22"/>
        </w:rPr>
        <w:t xml:space="preserve">n auction </w:t>
      </w:r>
      <w:r w:rsidRPr="005712E5">
        <w:rPr>
          <w:szCs w:val="22"/>
        </w:rPr>
        <w:t>application.</w:t>
      </w:r>
      <w:r>
        <w:rPr>
          <w:rStyle w:val="FootnoteReference"/>
          <w:szCs w:val="22"/>
        </w:rPr>
        <w:footnoteReference w:id="87"/>
      </w:r>
      <w:r w:rsidRPr="005712E5">
        <w:rPr>
          <w:szCs w:val="22"/>
        </w:rPr>
        <w:t xml:space="preserve">  The Commission has cited a number of examples of potentially anticompetitive actions that would be prohibited under antitrust laws:  for example, actual or potential competitors may not agree to divide territories in order to minimize competition, regardless of whether they split a market in which they both do business, or whether they merely reserve one market for one and another market for the other.</w:t>
      </w:r>
      <w:r>
        <w:rPr>
          <w:rStyle w:val="FootnoteReference"/>
          <w:szCs w:val="22"/>
        </w:rPr>
        <w:footnoteReference w:id="88"/>
      </w:r>
    </w:p>
    <w:p w:rsidR="00B42A2B" w:rsidRPr="005712E5" w:rsidRDefault="00AA13C4" w:rsidP="00B42A2B">
      <w:pPr>
        <w:pStyle w:val="ParaNum"/>
        <w:widowControl/>
        <w:rPr>
          <w:szCs w:val="22"/>
        </w:rPr>
      </w:pPr>
      <w:r w:rsidRPr="005712E5">
        <w:rPr>
          <w:szCs w:val="22"/>
        </w:rPr>
        <w:t>To the extent the Commission becomes aware of specific allegations that suggest that violations of the federal antitrust laws may have occurred, the Commission may refer such allegations to the United States Department of Justice for investigation.</w:t>
      </w:r>
      <w:r>
        <w:rPr>
          <w:rStyle w:val="FootnoteReference"/>
          <w:szCs w:val="22"/>
        </w:rPr>
        <w:footnoteReference w:id="89"/>
      </w:r>
      <w:r w:rsidRPr="005712E5">
        <w:rPr>
          <w:szCs w:val="22"/>
        </w:rPr>
        <w:t xml:space="preserve">  If an applicant is found to have violated the antitrust laws or the Commission’s rules in connection with its participation in the competitive bidding process, it may be subject to a forfeiture and may be prohibited from participating further in </w:t>
      </w:r>
      <w:r>
        <w:rPr>
          <w:szCs w:val="22"/>
        </w:rPr>
        <w:t xml:space="preserve">the 833 Auction </w:t>
      </w:r>
      <w:r w:rsidRPr="005712E5">
        <w:rPr>
          <w:szCs w:val="22"/>
        </w:rPr>
        <w:t>and in future auctions, among other sanctions.</w:t>
      </w:r>
      <w:r>
        <w:rPr>
          <w:rStyle w:val="FootnoteReference"/>
          <w:szCs w:val="22"/>
        </w:rPr>
        <w:footnoteReference w:id="90"/>
      </w:r>
    </w:p>
    <w:p w:rsidR="00B42A2B" w:rsidRDefault="00AA13C4" w:rsidP="00B42A2B">
      <w:pPr>
        <w:pStyle w:val="Heading2"/>
      </w:pPr>
      <w:bookmarkStart w:id="295" w:name="_Toc11074557"/>
      <w:bookmarkStart w:id="296" w:name="_Toc11163038"/>
      <w:bookmarkStart w:id="297" w:name="_Toc11251316"/>
      <w:bookmarkStart w:id="298" w:name="_Toc11335489"/>
      <w:bookmarkStart w:id="299" w:name="_Toc11682253"/>
      <w:bookmarkStart w:id="300" w:name="_Toc11737945"/>
      <w:bookmarkStart w:id="301" w:name="_Toc11846649"/>
      <w:bookmarkStart w:id="302" w:name="_Toc11944556"/>
      <w:bookmarkStart w:id="303" w:name="_Toc12288459"/>
      <w:bookmarkStart w:id="304" w:name="_Toc12440604"/>
      <w:bookmarkStart w:id="305" w:name="_Toc12548221"/>
      <w:bookmarkStart w:id="306" w:name="_Toc12610400"/>
      <w:bookmarkStart w:id="307" w:name="_Toc12634234"/>
      <w:bookmarkStart w:id="308" w:name="_Toc12975648"/>
      <w:bookmarkStart w:id="309" w:name="_Toc13469551"/>
      <w:r>
        <w:t>Restrictions on Agreements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B42A2B" w:rsidRDefault="00AA13C4" w:rsidP="00B42A2B">
      <w:pPr>
        <w:pStyle w:val="ParaNum"/>
        <w:widowControl/>
      </w:pPr>
      <w:r>
        <w:t xml:space="preserve">To ensure the competitiveness of the 833 Auction, the Commission proposed certain restrictions on agreements related to the toll free numbers being auctioned.  Below we address the proposals raised in the </w:t>
      </w:r>
      <w:r>
        <w:rPr>
          <w:i/>
        </w:rPr>
        <w:t>833 Auction</w:t>
      </w:r>
      <w:r w:rsidRPr="002F6F27">
        <w:rPr>
          <w:i/>
        </w:rPr>
        <w:t xml:space="preserve"> Comment Public Notice</w:t>
      </w:r>
      <w:r>
        <w:t xml:space="preserve"> to restrict agreements among auction applicants and agreements among RespOrgs and to disclose agreements between RespOrgs and potential subscribers.</w:t>
      </w:r>
    </w:p>
    <w:p w:rsidR="00B42A2B" w:rsidRDefault="00AA13C4" w:rsidP="00B42A2B">
      <w:pPr>
        <w:pStyle w:val="Heading3"/>
      </w:pPr>
      <w:bookmarkStart w:id="310" w:name="_Toc11074558"/>
      <w:bookmarkStart w:id="311" w:name="_Toc11163039"/>
      <w:bookmarkStart w:id="312" w:name="_Toc11251317"/>
      <w:bookmarkStart w:id="313" w:name="_Toc11335490"/>
      <w:bookmarkStart w:id="314" w:name="_Toc11682254"/>
      <w:bookmarkStart w:id="315" w:name="_Toc11737946"/>
      <w:bookmarkStart w:id="316" w:name="_Toc11846650"/>
      <w:bookmarkStart w:id="317" w:name="_Toc11944557"/>
      <w:bookmarkStart w:id="318" w:name="_Toc12288460"/>
      <w:bookmarkStart w:id="319" w:name="_Toc12440605"/>
      <w:bookmarkStart w:id="320" w:name="_Toc12548222"/>
      <w:bookmarkStart w:id="321" w:name="_Toc12610401"/>
      <w:bookmarkStart w:id="322" w:name="_Toc12634235"/>
      <w:bookmarkStart w:id="323" w:name="_Toc12975649"/>
      <w:bookmarkStart w:id="324" w:name="_Toc13469552"/>
      <w:r>
        <w:t>Agreements Among Applicants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B42A2B" w:rsidRDefault="00AA13C4" w:rsidP="00B42A2B">
      <w:pPr>
        <w:pStyle w:val="ParaNum"/>
        <w:widowControl/>
      </w:pPr>
      <w:r>
        <w:t xml:space="preserve">We adopt our proposal in the </w:t>
      </w:r>
      <w:r w:rsidRPr="00FA7F2C">
        <w:rPr>
          <w:i/>
        </w:rPr>
        <w:t>Auction 833 Comment Public Notice</w:t>
      </w:r>
      <w:r>
        <w:t xml:space="preserve"> to prohibit certain agreements among applicants in the 833 Auction (regardless of whether the applicants are RespOrgs or potential subscribers).</w:t>
      </w:r>
      <w:r>
        <w:rPr>
          <w:rStyle w:val="FootnoteReference"/>
        </w:rPr>
        <w:footnoteReference w:id="91"/>
      </w:r>
      <w:r>
        <w:t xml:space="preserve">  We received no comments on this proposal.  The prohibition applies to any agreements, arrangements, or understandings of any kind to which the applicant (including any party that controls or is controlled by the applicant) is a party relating to the toll free numbers being auctioned that address or communicate directly or indirectly bids (including specific prices), bidding strategies (including the specific numbers on which to bid or not to bid), or the post-auction market for toll free numbers.</w:t>
      </w:r>
      <w:r>
        <w:rPr>
          <w:rStyle w:val="FootnoteReference"/>
        </w:rPr>
        <w:footnoteReference w:id="92"/>
      </w:r>
      <w:r>
        <w:t xml:space="preserve">  </w:t>
      </w:r>
    </w:p>
    <w:p w:rsidR="00B42A2B" w:rsidRDefault="00AA13C4" w:rsidP="00B42A2B">
      <w:pPr>
        <w:pStyle w:val="ParaNum"/>
        <w:widowControl/>
      </w:pPr>
      <w:r>
        <w:t xml:space="preserve">We also adopt our proposal to </w:t>
      </w:r>
      <w:r w:rsidRPr="000C769D">
        <w:t xml:space="preserve">define “applicant” for these purposes broadly </w:t>
      </w:r>
      <w:r>
        <w:t xml:space="preserve">to </w:t>
      </w:r>
      <w:r w:rsidRPr="00FA7F2C">
        <w:t>include:</w:t>
      </w:r>
      <w:r>
        <w:t xml:space="preserve"> </w:t>
      </w:r>
      <w:r w:rsidRPr="00FA7F2C">
        <w:t xml:space="preserve"> all controlling interests in the entity submitting the auction application; all holders of partnership and other ownership interests and any stock interest amounting to 10% or more of the entity, or outstanding stock, or outstanding voting stock of the entity submitting the auction application; all officers and directors of that entity; and any entity listed as a potential subscriber on whose behalf the entity submitting the auction application will be bidding</w:t>
      </w:r>
      <w:r>
        <w:t>.</w:t>
      </w:r>
      <w:r>
        <w:rPr>
          <w:rStyle w:val="FootnoteReference"/>
        </w:rPr>
        <w:footnoteReference w:id="93"/>
      </w:r>
      <w:r>
        <w:t xml:space="preserve">  </w:t>
      </w:r>
    </w:p>
    <w:p w:rsidR="00B42A2B" w:rsidRDefault="00AA13C4" w:rsidP="00B42A2B">
      <w:pPr>
        <w:pStyle w:val="ParaNum"/>
        <w:widowControl/>
      </w:pPr>
      <w:r>
        <w:t>This prohibition will not apply to agreements unrelated to the toll free numbers being offered in the 833 Auction.</w:t>
      </w:r>
      <w:r>
        <w:rPr>
          <w:rStyle w:val="FootnoteReference"/>
        </w:rPr>
        <w:footnoteReference w:id="94"/>
      </w:r>
      <w:r>
        <w:t xml:space="preserve">  Business discussions and negotiations that are </w:t>
      </w:r>
      <w:r w:rsidRPr="00F44CEC">
        <w:rPr>
          <w:i/>
        </w:rPr>
        <w:t>unrelated</w:t>
      </w:r>
      <w:r>
        <w:t xml:space="preserve"> to bidding in the 833 Auction and that do not convey information about the numbers being auctioned or bidding strategies are not prohibited, and thus, agreements reached by such communications unrelated to the toll free numbers being auctioned will not be prohibited.</w:t>
      </w:r>
    </w:p>
    <w:p w:rsidR="00B42A2B" w:rsidRDefault="00AA13C4" w:rsidP="00B42A2B">
      <w:pPr>
        <w:pStyle w:val="Heading3"/>
      </w:pPr>
      <w:bookmarkStart w:id="325" w:name="_Toc11074559"/>
      <w:bookmarkStart w:id="326" w:name="_Toc11163040"/>
      <w:bookmarkStart w:id="327" w:name="_Toc11251318"/>
      <w:bookmarkStart w:id="328" w:name="_Toc11335491"/>
      <w:bookmarkStart w:id="329" w:name="_Toc11682255"/>
      <w:bookmarkStart w:id="330" w:name="_Toc11737947"/>
      <w:bookmarkStart w:id="331" w:name="_Toc11846651"/>
      <w:bookmarkStart w:id="332" w:name="_Toc11944558"/>
      <w:bookmarkStart w:id="333" w:name="_Toc12288461"/>
      <w:bookmarkStart w:id="334" w:name="_Toc12440606"/>
      <w:bookmarkStart w:id="335" w:name="_Toc12548223"/>
      <w:bookmarkStart w:id="336" w:name="_Toc12610402"/>
      <w:bookmarkStart w:id="337" w:name="_Toc12634236"/>
      <w:bookmarkStart w:id="338" w:name="_Toc12975650"/>
      <w:bookmarkStart w:id="339" w:name="_Toc13469553"/>
      <w:r>
        <w:t>Agreements Among RespOrgs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B42A2B" w:rsidRDefault="00AA13C4" w:rsidP="00B42A2B">
      <w:pPr>
        <w:pStyle w:val="ParaNum"/>
        <w:widowControl/>
      </w:pPr>
      <w:r>
        <w:t xml:space="preserve">We prohibit auction-related agreements among RespOrgs even where only one of the RespOrgs is an applicant in the 833 Auction.  We received no comments on the restriction proposed in the </w:t>
      </w:r>
      <w:r>
        <w:rPr>
          <w:i/>
        </w:rPr>
        <w:t>833 Auction</w:t>
      </w:r>
      <w:r w:rsidRPr="00D266AD">
        <w:rPr>
          <w:i/>
        </w:rPr>
        <w:t xml:space="preserve"> Comment Public Notice</w:t>
      </w:r>
      <w:r>
        <w:t>.</w:t>
      </w:r>
      <w:r>
        <w:rPr>
          <w:rStyle w:val="FootnoteReference"/>
        </w:rPr>
        <w:footnoteReference w:id="95"/>
      </w:r>
      <w:r>
        <w:t xml:space="preserve">  Given RespOrgs’ position in the toll free number market, we adopt our proposal to prohibit any applicant RespOrg from having an agreement</w:t>
      </w:r>
      <w:r w:rsidRPr="005524E1">
        <w:t xml:space="preserve"> </w:t>
      </w:r>
      <w:r>
        <w:t xml:space="preserve">related to the toll free numbers being offered in the 833 Auction with a </w:t>
      </w:r>
      <w:r w:rsidRPr="00F8252B">
        <w:rPr>
          <w:i/>
        </w:rPr>
        <w:t>non-applicant</w:t>
      </w:r>
      <w:r>
        <w:t xml:space="preserve"> RespOrg.</w:t>
      </w:r>
      <w:r>
        <w:rPr>
          <w:rStyle w:val="FootnoteReference"/>
        </w:rPr>
        <w:footnoteReference w:id="96"/>
      </w:r>
      <w:r>
        <w:t xml:space="preserve">  Thus, any RespOrg interested in acquiring the rights to any of the toll free numbers being auctioned must participate in the auction directly.</w:t>
      </w:r>
    </w:p>
    <w:p w:rsidR="00B42A2B" w:rsidRDefault="00AA13C4" w:rsidP="00B42A2B">
      <w:pPr>
        <w:pStyle w:val="ParaNum"/>
        <w:widowControl/>
      </w:pPr>
      <w:r w:rsidRPr="00991281">
        <w:t>Similar to our prohibition on agreements among applicants, th</w:t>
      </w:r>
      <w:r>
        <w:t xml:space="preserve">e </w:t>
      </w:r>
      <w:r w:rsidRPr="00991281">
        <w:t xml:space="preserve">prohibition </w:t>
      </w:r>
      <w:r>
        <w:t>among</w:t>
      </w:r>
      <w:r w:rsidRPr="00991281">
        <w:t xml:space="preserve"> RespOrgs </w:t>
      </w:r>
      <w:r>
        <w:t>will</w:t>
      </w:r>
      <w:r w:rsidRPr="00991281">
        <w:t xml:space="preserve"> not apply to agreements unrelated to the toll free numbers being offered in the </w:t>
      </w:r>
      <w:r>
        <w:t>833 Auction</w:t>
      </w:r>
      <w:r w:rsidRPr="00991281">
        <w:t>.</w:t>
      </w:r>
      <w:r>
        <w:rPr>
          <w:rStyle w:val="FootnoteReference"/>
        </w:rPr>
        <w:footnoteReference w:id="97"/>
      </w:r>
      <w:r w:rsidRPr="00991281">
        <w:t xml:space="preserve">  </w:t>
      </w:r>
      <w:r>
        <w:t>Because</w:t>
      </w:r>
      <w:r w:rsidRPr="00991281">
        <w:t xml:space="preserve"> business discussions and negotiations that are </w:t>
      </w:r>
      <w:r w:rsidRPr="00991281">
        <w:rPr>
          <w:i/>
        </w:rPr>
        <w:t>unrelated</w:t>
      </w:r>
      <w:r w:rsidRPr="00991281">
        <w:t xml:space="preserve"> to bidding in the </w:t>
      </w:r>
      <w:r>
        <w:t>833 Auction</w:t>
      </w:r>
      <w:r w:rsidRPr="00991281">
        <w:t xml:space="preserve"> and that do not convey information about the numbers being auctioned or bidding strategies </w:t>
      </w:r>
      <w:r>
        <w:t>are</w:t>
      </w:r>
      <w:r w:rsidRPr="00991281">
        <w:t xml:space="preserve"> not prohibited</w:t>
      </w:r>
      <w:r>
        <w:t>, agreements reached by such communications unrelated to the toll free numbers being auctioned will not be prohibited</w:t>
      </w:r>
      <w:r w:rsidRPr="00991281">
        <w:t>.</w:t>
      </w:r>
      <w:r>
        <w:t xml:space="preserve">  </w:t>
      </w:r>
    </w:p>
    <w:p w:rsidR="00B42A2B" w:rsidRDefault="00AA13C4" w:rsidP="00B42A2B">
      <w:pPr>
        <w:pStyle w:val="ParaNum"/>
        <w:widowControl/>
      </w:pPr>
      <w:r>
        <w:t>In addition, the prohibition on agreements among RespOrgs would not apply to RespOrgs that are commonly controlled.</w:t>
      </w:r>
      <w:r>
        <w:rPr>
          <w:rStyle w:val="FootnoteReference"/>
        </w:rPr>
        <w:footnoteReference w:id="98"/>
      </w:r>
      <w:r>
        <w:t xml:space="preserve">  When RespOrgs share a common officer or director or control, the Commission presumes that bids and bid strategies will be communicated.</w:t>
      </w:r>
      <w:r>
        <w:rPr>
          <w:rStyle w:val="FootnoteReference"/>
        </w:rPr>
        <w:footnoteReference w:id="99"/>
      </w:r>
      <w:r>
        <w:t xml:space="preserve">  Moreover, we reiterate, since commonly controlled RespOrgs cannot submit multiple applications,</w:t>
      </w:r>
      <w:r>
        <w:rPr>
          <w:rStyle w:val="FootnoteReference"/>
        </w:rPr>
        <w:footnoteReference w:id="100"/>
      </w:r>
      <w:r>
        <w:t xml:space="preserve"> if they wish to apply for the 833 Auction, they will need to choose one of the entities to be the applicant and disclose the existence of the other commonly controlled RespOrgs in the application.</w:t>
      </w:r>
      <w:r>
        <w:rPr>
          <w:rStyle w:val="FootnoteReference"/>
        </w:rPr>
        <w:footnoteReference w:id="101"/>
      </w:r>
    </w:p>
    <w:p w:rsidR="00B42A2B" w:rsidRDefault="00AA13C4" w:rsidP="00B42A2B">
      <w:pPr>
        <w:pStyle w:val="Heading3"/>
      </w:pPr>
      <w:bookmarkStart w:id="340" w:name="_Toc11074560"/>
      <w:bookmarkStart w:id="341" w:name="_Toc11163041"/>
      <w:bookmarkStart w:id="342" w:name="_Toc11251319"/>
      <w:bookmarkStart w:id="343" w:name="_Toc11335492"/>
      <w:bookmarkStart w:id="344" w:name="_Toc11682256"/>
      <w:bookmarkStart w:id="345" w:name="_Toc11737948"/>
      <w:bookmarkStart w:id="346" w:name="_Toc11846652"/>
      <w:bookmarkStart w:id="347" w:name="_Toc11944559"/>
      <w:bookmarkStart w:id="348" w:name="_Toc12288462"/>
      <w:bookmarkStart w:id="349" w:name="_Toc12440607"/>
      <w:bookmarkStart w:id="350" w:name="_Toc12548224"/>
      <w:bookmarkStart w:id="351" w:name="_Toc12610403"/>
      <w:bookmarkStart w:id="352" w:name="_Toc12634237"/>
      <w:bookmarkStart w:id="353" w:name="_Toc12975651"/>
      <w:bookmarkStart w:id="354" w:name="_Toc13469554"/>
      <w:r>
        <w:t>Agreements between RespOrgs and Potential Subscribers</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B42A2B" w:rsidRPr="00261497" w:rsidRDefault="00AA13C4" w:rsidP="00B42A2B">
      <w:pPr>
        <w:pStyle w:val="ParaNum"/>
        <w:widowControl/>
      </w:pPr>
      <w:r>
        <w:t>A</w:t>
      </w:r>
      <w:r w:rsidRPr="00261497">
        <w:t xml:space="preserve">ny applicant RespOrg that bids for a potential subscriber </w:t>
      </w:r>
      <w:r>
        <w:t>must</w:t>
      </w:r>
      <w:r w:rsidRPr="00261497">
        <w:t xml:space="preserve"> acquire a letter of authorization from the potential subscriber</w:t>
      </w:r>
      <w:r>
        <w:t xml:space="preserve">.  In the </w:t>
      </w:r>
      <w:r w:rsidRPr="00720B03">
        <w:rPr>
          <w:i/>
        </w:rPr>
        <w:t>833 Auction Comment Public Notice</w:t>
      </w:r>
      <w:r>
        <w:t xml:space="preserve">, we recognized </w:t>
      </w:r>
      <w:r w:rsidRPr="00261497">
        <w:t xml:space="preserve">the unique position </w:t>
      </w:r>
      <w:r>
        <w:t xml:space="preserve">of </w:t>
      </w:r>
      <w:r w:rsidRPr="00261497">
        <w:t>RespOrgs</w:t>
      </w:r>
      <w:r>
        <w:t>, in that they</w:t>
      </w:r>
      <w:r w:rsidRPr="00261497">
        <w:t xml:space="preserve"> </w:t>
      </w:r>
      <w:r>
        <w:t xml:space="preserve">can </w:t>
      </w:r>
      <w:r w:rsidRPr="00261497">
        <w:t>participat</w:t>
      </w:r>
      <w:r>
        <w:t>e in the auction</w:t>
      </w:r>
      <w:r w:rsidRPr="00261497">
        <w:t xml:space="preserve"> </w:t>
      </w:r>
      <w:r>
        <w:t xml:space="preserve">both </w:t>
      </w:r>
      <w:r w:rsidRPr="00261497">
        <w:t xml:space="preserve">on their own behalf </w:t>
      </w:r>
      <w:r>
        <w:t>and</w:t>
      </w:r>
      <w:r w:rsidRPr="00261497">
        <w:t xml:space="preserve"> on behalf of other entities</w:t>
      </w:r>
      <w:r>
        <w:t>.</w:t>
      </w:r>
      <w:r>
        <w:rPr>
          <w:rStyle w:val="FootnoteReference"/>
        </w:rPr>
        <w:footnoteReference w:id="102"/>
      </w:r>
      <w:r>
        <w:t xml:space="preserve">  Thus, we believe that the relationship between an applicant RespOrg and a potential subscriber for which it is applying to bid should be formally authorized and transparent so that it can be easily verified.  To that end, we proposed </w:t>
      </w:r>
      <w:r w:rsidRPr="00261497">
        <w:t>to require any applicant RespOrg that bids for a potential subscriber to acquire a letter of authorization from the potential subscriber.</w:t>
      </w:r>
      <w:r>
        <w:rPr>
          <w:rStyle w:val="FootnoteReference"/>
        </w:rPr>
        <w:footnoteReference w:id="103"/>
      </w:r>
      <w:r w:rsidRPr="00261497">
        <w:t xml:space="preserve">  </w:t>
      </w:r>
      <w:r>
        <w:t>We received no comments on our proposal and therefore, based on the need to verify the relationship, we will require a</w:t>
      </w:r>
      <w:r w:rsidRPr="00261497">
        <w:t xml:space="preserve"> letter of authorization</w:t>
      </w:r>
      <w:r>
        <w:t xml:space="preserve"> that clearly </w:t>
      </w:r>
      <w:r w:rsidRPr="00261497">
        <w:t>identif</w:t>
      </w:r>
      <w:r>
        <w:t>ies</w:t>
      </w:r>
      <w:r w:rsidRPr="00261497">
        <w:t xml:space="preserve"> the parties (both the potential subscriber and RespOrg) and toll free number(s) in which the RespOrg will bid for the potential subscriber</w:t>
      </w:r>
      <w:r>
        <w:t xml:space="preserve">.  That letter </w:t>
      </w:r>
      <w:r w:rsidRPr="00261497">
        <w:t>must be dated and signed by the potential subscriber.</w:t>
      </w:r>
      <w:r>
        <w:rPr>
          <w:rStyle w:val="FootnoteReference"/>
        </w:rPr>
        <w:footnoteReference w:id="104"/>
      </w:r>
    </w:p>
    <w:p w:rsidR="00B42A2B" w:rsidRDefault="00AA13C4" w:rsidP="00B42A2B">
      <w:pPr>
        <w:pStyle w:val="ParaNum"/>
      </w:pPr>
      <w:r>
        <w:t xml:space="preserve">The </w:t>
      </w:r>
      <w:r>
        <w:rPr>
          <w:i/>
        </w:rPr>
        <w:t>833 Auction</w:t>
      </w:r>
      <w:r w:rsidRPr="00713D55">
        <w:rPr>
          <w:i/>
        </w:rPr>
        <w:t xml:space="preserve"> Comment Public Notice</w:t>
      </w:r>
      <w:r>
        <w:t xml:space="preserve"> also sought comment on whether to require any applicant RespOrg bidding on behalf of a potential subscriber to provide the letter of authorization as part of its auction application (e.g., by uploading it as an attachment) or to allow the applicant RespOrg to certify that it is in possession of the letter and be able to </w:t>
      </w:r>
      <w:r w:rsidRPr="00CF7121">
        <w:t>produce it to the Commission if requested</w:t>
      </w:r>
      <w:r>
        <w:t>.</w:t>
      </w:r>
      <w:r>
        <w:rPr>
          <w:rStyle w:val="FootnoteReference"/>
        </w:rPr>
        <w:footnoteReference w:id="105"/>
      </w:r>
      <w:r>
        <w:t xml:space="preserve">  We received no comments on either option.  Since we do not expect the upload process to be burdensome and we expect it will help Somos verify the relationship, we will require any applicant RespOrg that is bidding on behalf of a potential subscriber to upload the letter of authorization as part of its auction application.</w:t>
      </w:r>
      <w:r>
        <w:rPr>
          <w:rStyle w:val="FootnoteReference"/>
        </w:rPr>
        <w:footnoteReference w:id="106"/>
      </w:r>
      <w:r>
        <w:t xml:space="preserve">  We direct Somos to withhold the public disclosure of these attachments until after the bidding, since the letters of authorization will contain specific information on toll free numbers being sought by the potential subscriber.</w:t>
      </w:r>
    </w:p>
    <w:p w:rsidR="00B42A2B" w:rsidRDefault="00AA13C4" w:rsidP="00B42A2B">
      <w:pPr>
        <w:pStyle w:val="Heading2"/>
      </w:pPr>
      <w:bookmarkStart w:id="355" w:name="_Toc11074561"/>
      <w:bookmarkStart w:id="356" w:name="_Toc11163042"/>
      <w:bookmarkStart w:id="357" w:name="_Toc11251320"/>
      <w:bookmarkStart w:id="358" w:name="_Toc11335493"/>
      <w:bookmarkStart w:id="359" w:name="_Toc11682257"/>
      <w:bookmarkStart w:id="360" w:name="_Toc11737949"/>
      <w:bookmarkStart w:id="361" w:name="_Toc11846653"/>
      <w:bookmarkStart w:id="362" w:name="_Toc11944560"/>
      <w:bookmarkStart w:id="363" w:name="_Toc12288463"/>
      <w:bookmarkStart w:id="364" w:name="_Toc12440608"/>
      <w:bookmarkStart w:id="365" w:name="_Toc12548225"/>
      <w:bookmarkStart w:id="366" w:name="_Toc12610404"/>
      <w:bookmarkStart w:id="367" w:name="_Toc12634238"/>
      <w:bookmarkStart w:id="368" w:name="_Toc12975652"/>
      <w:bookmarkStart w:id="369" w:name="_Toc13469555"/>
      <w:r>
        <w:t>Limited Information Procedures During the Auction Process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B42A2B" w:rsidRDefault="00AA13C4" w:rsidP="00B42A2B">
      <w:pPr>
        <w:pStyle w:val="ParaNum"/>
        <w:widowControl/>
      </w:pPr>
      <w:r>
        <w:t>Consistent with our procedures in many recent Commission auctions,</w:t>
      </w:r>
      <w:r>
        <w:rPr>
          <w:rStyle w:val="FootnoteReference"/>
        </w:rPr>
        <w:footnoteReference w:id="107"/>
      </w:r>
      <w:r>
        <w:t xml:space="preserve"> we adopt our proposal that Somos conduct the 833 Auction using procedures for limited information disclosure (sometimes also referred to as anonymous bidding).</w:t>
      </w:r>
      <w:r>
        <w:rPr>
          <w:rStyle w:val="FootnoteReference"/>
        </w:rPr>
        <w:footnoteReference w:id="108"/>
      </w:r>
      <w:r>
        <w:t xml:space="preserve">  We received no comments on our proposal to use limited information procedures.  Thus, we direct Somos to withhold, until after the close of bidding and announcement of auction results, the public release of bidders’ particular 833 number selections and any information that may reveal the identities of bidders placing bids and taking other bidding-related actions.  More specifically, the following information will not be made public until after bidding has closed:  (1) the numbers that an applicant selects for bidding in its auction application, (2) the amount of any upfront payment made by or on behalf of an applicant for the 833 Auction, (3) any applicant’s bidding eligibility, and (4) any other bidding-related information that might reveal the identity of the bidder placing a bid or the amount of the bid.</w:t>
      </w:r>
      <w:r>
        <w:rPr>
          <w:rStyle w:val="FootnoteReference"/>
        </w:rPr>
        <w:footnoteReference w:id="109"/>
      </w:r>
      <w:r>
        <w:t xml:space="preserve">  </w:t>
      </w:r>
    </w:p>
    <w:p w:rsidR="00B42A2B" w:rsidRDefault="00AA13C4" w:rsidP="00B42A2B">
      <w:pPr>
        <w:pStyle w:val="ParaNum"/>
        <w:widowControl/>
      </w:pPr>
      <w:r>
        <w:t>Because the 833 Auction will be conducted using a single round of bidding, we do not anticipate that there will be the same need for release of bidding-related actions during the auction that there would be in a multiple-round auction.</w:t>
      </w:r>
      <w:r>
        <w:rPr>
          <w:rStyle w:val="FootnoteReference"/>
        </w:rPr>
        <w:footnoteReference w:id="110"/>
      </w:r>
      <w:r>
        <w:t xml:space="preserve">  If such circumstances were to arise prior to the release of non-public information and auction results, however, we direct Somos to avoid releasing any information that may indicate the identity of any bidders taking such actions.</w:t>
      </w:r>
      <w:r>
        <w:rPr>
          <w:rStyle w:val="FootnoteReference"/>
        </w:rPr>
        <w:footnoteReference w:id="111"/>
      </w:r>
      <w:r>
        <w:t xml:space="preserve">  </w:t>
      </w:r>
    </w:p>
    <w:p w:rsidR="00B42A2B" w:rsidRDefault="00AA13C4" w:rsidP="00B42A2B">
      <w:pPr>
        <w:pStyle w:val="ParaNum"/>
        <w:widowControl/>
      </w:pPr>
      <w:r>
        <w:t xml:space="preserve">Moreover, after receiving no comments on our proposal in the </w:t>
      </w:r>
      <w:r w:rsidRPr="00C93CCF">
        <w:rPr>
          <w:i/>
        </w:rPr>
        <w:t>833 Auction Comment Public Notice</w:t>
      </w:r>
      <w:r>
        <w:t xml:space="preserve"> to make public bidders’ number selections, upfront payment amounts, bids, and any other bidding-related actions and information</w:t>
      </w:r>
      <w:r w:rsidRPr="00C93CCF">
        <w:t xml:space="preserve"> </w:t>
      </w:r>
      <w:r>
        <w:t>after the close of bidding, we adopt the proposal.  We believe making this information available to the public, after bidding is complete, will increase auction transparency and allow the public generally to evaluate our experiment in using competitive bidding as a toll free number assignment method.</w:t>
      </w:r>
      <w:r>
        <w:rPr>
          <w:rStyle w:val="FootnoteReference"/>
        </w:rPr>
        <w:footnoteReference w:id="112"/>
      </w:r>
    </w:p>
    <w:p w:rsidR="00B42A2B" w:rsidRDefault="00AA13C4" w:rsidP="00B42A2B">
      <w:pPr>
        <w:pStyle w:val="Heading2"/>
      </w:pPr>
      <w:bookmarkStart w:id="370" w:name="_Toc11074562"/>
      <w:bookmarkStart w:id="371" w:name="_Toc11163043"/>
      <w:bookmarkStart w:id="372" w:name="_Toc11251321"/>
      <w:bookmarkStart w:id="373" w:name="_Toc11335494"/>
      <w:bookmarkStart w:id="374" w:name="_Toc11682258"/>
      <w:bookmarkStart w:id="375" w:name="_Toc11737950"/>
      <w:bookmarkStart w:id="376" w:name="_Toc11846654"/>
      <w:bookmarkStart w:id="377" w:name="_Toc11944561"/>
      <w:bookmarkStart w:id="378" w:name="_Toc12288464"/>
      <w:bookmarkStart w:id="379" w:name="_Toc12440609"/>
      <w:bookmarkStart w:id="380" w:name="_Toc12548226"/>
      <w:bookmarkStart w:id="381" w:name="_Toc12610405"/>
      <w:bookmarkStart w:id="382" w:name="_Toc12634239"/>
      <w:bookmarkStart w:id="383" w:name="_Toc12975653"/>
      <w:bookmarkStart w:id="384" w:name="_Toc13469556"/>
      <w:r>
        <w:t>Responsibility for Winning Bid Payment</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B42A2B" w:rsidRPr="007A0B9C" w:rsidRDefault="00AA13C4" w:rsidP="00B42A2B">
      <w:pPr>
        <w:pStyle w:val="ParaNum"/>
        <w:widowControl/>
      </w:pPr>
      <w:r>
        <w:t>W</w:t>
      </w:r>
      <w:r w:rsidRPr="009B4071">
        <w:t xml:space="preserve">e </w:t>
      </w:r>
      <w:r>
        <w:t>reiterate</w:t>
      </w:r>
      <w:r w:rsidRPr="009B4071">
        <w:t xml:space="preserve"> that any </w:t>
      </w:r>
      <w:r>
        <w:t>833 Auction applicant, including a RespOrg participating on behalf of one or more potential subscribers</w:t>
      </w:r>
      <w:r w:rsidRPr="009B4071">
        <w:t xml:space="preserve">, </w:t>
      </w:r>
      <w:r>
        <w:t>assumes a</w:t>
      </w:r>
      <w:r w:rsidRPr="009B4071">
        <w:t xml:space="preserve"> binding </w:t>
      </w:r>
      <w:r>
        <w:t>obligation</w:t>
      </w:r>
      <w:r w:rsidRPr="009B4071">
        <w:t xml:space="preserve"> to pay </w:t>
      </w:r>
      <w:r>
        <w:t>its full</w:t>
      </w:r>
      <w:r w:rsidRPr="009B4071">
        <w:t xml:space="preserve"> winning bid</w:t>
      </w:r>
      <w:r>
        <w:t xml:space="preserve"> amount</w:t>
      </w:r>
      <w:r w:rsidRPr="009B4071">
        <w:t>,</w:t>
      </w:r>
      <w:r>
        <w:rPr>
          <w:rStyle w:val="FootnoteReference"/>
        </w:rPr>
        <w:footnoteReference w:id="113"/>
      </w:r>
      <w:r w:rsidRPr="009B4071">
        <w:t xml:space="preserve"> and is responsible for </w:t>
      </w:r>
      <w:r>
        <w:t xml:space="preserve">complying with </w:t>
      </w:r>
      <w:r w:rsidRPr="009B4071">
        <w:t>all post-</w:t>
      </w:r>
      <w:r>
        <w:t>auction</w:t>
      </w:r>
      <w:r w:rsidRPr="009B4071">
        <w:t xml:space="preserve"> requirements, </w:t>
      </w:r>
      <w:r>
        <w:t>regardless of whether a potential subscriber on whose behalf the RespOrg bid fulfills its financial or contractual obligation to the RespOrg.</w:t>
      </w:r>
      <w:r>
        <w:rPr>
          <w:rStyle w:val="FootnoteReference"/>
        </w:rPr>
        <w:footnoteReference w:id="114"/>
      </w:r>
      <w:r>
        <w:t xml:space="preserve">  W</w:t>
      </w:r>
      <w:r w:rsidRPr="009B4071">
        <w:t xml:space="preserve">hile an applicant RespOrg may seek </w:t>
      </w:r>
      <w:r>
        <w:t>reimbursement</w:t>
      </w:r>
      <w:r w:rsidRPr="009B4071">
        <w:t xml:space="preserve"> from the potential subscriber </w:t>
      </w:r>
      <w:r>
        <w:t>for which</w:t>
      </w:r>
      <w:r w:rsidRPr="009B4071">
        <w:t xml:space="preserve"> it bid, the RespOrg</w:t>
      </w:r>
      <w:r>
        <w:t>—</w:t>
      </w:r>
      <w:r w:rsidRPr="009B4071">
        <w:t>as the bidder in the auction</w:t>
      </w:r>
      <w:r>
        <w:t>—is ultimately</w:t>
      </w:r>
      <w:r w:rsidRPr="009B4071">
        <w:t xml:space="preserve"> responsible for full payment of any winning bid</w:t>
      </w:r>
      <w:r>
        <w:t>.</w:t>
      </w:r>
      <w:r>
        <w:rPr>
          <w:rStyle w:val="FootnoteReference"/>
        </w:rPr>
        <w:footnoteReference w:id="115"/>
      </w:r>
    </w:p>
    <w:p w:rsidR="00B42A2B" w:rsidRDefault="00AA13C4" w:rsidP="00B42A2B">
      <w:pPr>
        <w:pStyle w:val="Heading1"/>
      </w:pPr>
      <w:bookmarkStart w:id="385" w:name="_Toc11074563"/>
      <w:bookmarkStart w:id="386" w:name="_Toc11163044"/>
      <w:bookmarkStart w:id="387" w:name="_Toc11251322"/>
      <w:bookmarkStart w:id="388" w:name="_Toc11335495"/>
      <w:bookmarkStart w:id="389" w:name="_Toc11682259"/>
      <w:bookmarkStart w:id="390" w:name="_Toc11737951"/>
      <w:bookmarkStart w:id="391" w:name="_Toc11846655"/>
      <w:bookmarkStart w:id="392" w:name="_Toc11944562"/>
      <w:bookmarkStart w:id="393" w:name="_Toc12288465"/>
      <w:bookmarkStart w:id="394" w:name="_Toc12440610"/>
      <w:bookmarkStart w:id="395" w:name="_Toc12548227"/>
      <w:bookmarkStart w:id="396" w:name="_Toc12610406"/>
      <w:bookmarkStart w:id="397" w:name="_Toc12634240"/>
      <w:bookmarkStart w:id="398" w:name="_Toc12975654"/>
      <w:bookmarkStart w:id="399" w:name="_Toc13469557"/>
      <w:r>
        <w:t>Applying to Participate in the 833 A</w:t>
      </w:r>
      <w:bookmarkEnd w:id="385"/>
      <w:bookmarkEnd w:id="386"/>
      <w:bookmarkEnd w:id="387"/>
      <w:bookmarkEnd w:id="388"/>
      <w:bookmarkEnd w:id="389"/>
      <w:bookmarkEnd w:id="390"/>
      <w:bookmarkEnd w:id="391"/>
      <w:bookmarkEnd w:id="392"/>
      <w:bookmarkEnd w:id="393"/>
      <w:r>
        <w:t>uction</w:t>
      </w:r>
      <w:bookmarkEnd w:id="394"/>
      <w:bookmarkEnd w:id="395"/>
      <w:bookmarkEnd w:id="396"/>
      <w:bookmarkEnd w:id="397"/>
      <w:bookmarkEnd w:id="398"/>
      <w:bookmarkEnd w:id="399"/>
    </w:p>
    <w:p w:rsidR="00B42A2B" w:rsidRDefault="00AA13C4" w:rsidP="00B42A2B">
      <w:pPr>
        <w:pStyle w:val="Heading2"/>
      </w:pPr>
      <w:bookmarkStart w:id="400" w:name="_Toc11074564"/>
      <w:bookmarkStart w:id="401" w:name="_Toc11163045"/>
      <w:bookmarkStart w:id="402" w:name="_Toc11251323"/>
      <w:bookmarkStart w:id="403" w:name="_Toc11335496"/>
      <w:bookmarkStart w:id="404" w:name="_Toc11682260"/>
      <w:bookmarkStart w:id="405" w:name="_Toc11737952"/>
      <w:bookmarkStart w:id="406" w:name="_Toc11846656"/>
      <w:bookmarkStart w:id="407" w:name="_Toc11944563"/>
      <w:bookmarkStart w:id="408" w:name="_Toc12288466"/>
      <w:bookmarkStart w:id="409" w:name="_Toc12440611"/>
      <w:bookmarkStart w:id="410" w:name="_Toc12548228"/>
      <w:bookmarkStart w:id="411" w:name="_Toc12610407"/>
      <w:bookmarkStart w:id="412" w:name="_Toc12634241"/>
      <w:bookmarkStart w:id="413" w:name="_Toc12975655"/>
      <w:bookmarkStart w:id="414" w:name="_Toc13469558"/>
      <w:r>
        <w:t>General Information Regarding the Auction Application</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B42A2B" w:rsidRPr="005712E5" w:rsidRDefault="00AA13C4" w:rsidP="00B42A2B">
      <w:pPr>
        <w:pStyle w:val="ParaNum"/>
        <w:widowControl/>
        <w:rPr>
          <w:szCs w:val="22"/>
        </w:rPr>
      </w:pPr>
      <w:r>
        <w:t>Any party interested in obtaining an 833 number available through the auction must submit an application (FCC Form 833) to become qualified to bid in the 833 Auction.</w:t>
      </w:r>
      <w:r>
        <w:rPr>
          <w:rStyle w:val="FootnoteReference"/>
        </w:rPr>
        <w:footnoteReference w:id="116"/>
      </w:r>
      <w:r>
        <w:t xml:space="preserve">  </w:t>
      </w:r>
      <w:r w:rsidRPr="005712E5">
        <w:rPr>
          <w:szCs w:val="22"/>
        </w:rPr>
        <w:t xml:space="preserve">An application to participate in </w:t>
      </w:r>
      <w:r>
        <w:rPr>
          <w:szCs w:val="22"/>
        </w:rPr>
        <w:t>the 833 Auction</w:t>
      </w:r>
      <w:r w:rsidRPr="005712E5">
        <w:rPr>
          <w:szCs w:val="22"/>
        </w:rPr>
        <w:t>, referred to</w:t>
      </w:r>
      <w:r>
        <w:rPr>
          <w:szCs w:val="22"/>
        </w:rPr>
        <w:t xml:space="preserve"> in this Public Notice</w:t>
      </w:r>
      <w:r w:rsidRPr="005712E5">
        <w:rPr>
          <w:szCs w:val="22"/>
        </w:rPr>
        <w:t xml:space="preserve"> as a</w:t>
      </w:r>
      <w:r>
        <w:rPr>
          <w:szCs w:val="22"/>
        </w:rPr>
        <w:t>n “auction</w:t>
      </w:r>
      <w:r w:rsidRPr="005712E5">
        <w:rPr>
          <w:szCs w:val="22"/>
        </w:rPr>
        <w:t xml:space="preserve"> application,</w:t>
      </w:r>
      <w:r>
        <w:rPr>
          <w:szCs w:val="22"/>
        </w:rPr>
        <w:t>”</w:t>
      </w:r>
      <w:r w:rsidRPr="005712E5">
        <w:rPr>
          <w:szCs w:val="22"/>
        </w:rPr>
        <w:t xml:space="preserve"> provides information that </w:t>
      </w:r>
      <w:r>
        <w:rPr>
          <w:szCs w:val="22"/>
        </w:rPr>
        <w:t>Somos, as the auctioneer, will</w:t>
      </w:r>
      <w:r w:rsidRPr="005712E5">
        <w:rPr>
          <w:szCs w:val="22"/>
        </w:rPr>
        <w:t xml:space="preserve"> use to determine whether the applicant </w:t>
      </w:r>
      <w:r>
        <w:rPr>
          <w:szCs w:val="22"/>
        </w:rPr>
        <w:t>is qualified</w:t>
      </w:r>
      <w:r w:rsidRPr="003704A2">
        <w:rPr>
          <w:color w:val="FF0000"/>
          <w:szCs w:val="22"/>
        </w:rPr>
        <w:t xml:space="preserve"> </w:t>
      </w:r>
      <w:r w:rsidRPr="005712E5">
        <w:rPr>
          <w:szCs w:val="22"/>
        </w:rPr>
        <w:t xml:space="preserve">to participate in </w:t>
      </w:r>
      <w:r>
        <w:rPr>
          <w:szCs w:val="22"/>
        </w:rPr>
        <w:t>the auction</w:t>
      </w:r>
      <w:r w:rsidRPr="005712E5">
        <w:rPr>
          <w:szCs w:val="22"/>
        </w:rPr>
        <w:t>.</w:t>
      </w:r>
      <w:r>
        <w:rPr>
          <w:rStyle w:val="FootnoteReference"/>
          <w:szCs w:val="22"/>
        </w:rPr>
        <w:footnoteReference w:id="117"/>
      </w:r>
      <w:r w:rsidRPr="005712E5">
        <w:rPr>
          <w:szCs w:val="22"/>
        </w:rPr>
        <w:t xml:space="preserve"> </w:t>
      </w:r>
      <w:r w:rsidRPr="000349F5">
        <w:rPr>
          <w:color w:val="FF0000"/>
          <w:szCs w:val="22"/>
        </w:rPr>
        <w:t xml:space="preserve"> </w:t>
      </w:r>
      <w:r w:rsidRPr="005712E5">
        <w:rPr>
          <w:szCs w:val="22"/>
        </w:rPr>
        <w:t xml:space="preserve">Eligibility to participate in </w:t>
      </w:r>
      <w:r>
        <w:rPr>
          <w:szCs w:val="22"/>
        </w:rPr>
        <w:t>the 833 Auction</w:t>
      </w:r>
      <w:r w:rsidRPr="005712E5">
        <w:rPr>
          <w:szCs w:val="22"/>
        </w:rPr>
        <w:t xml:space="preserve"> is based on an applicant’s </w:t>
      </w:r>
      <w:r>
        <w:rPr>
          <w:szCs w:val="22"/>
        </w:rPr>
        <w:t>auction</w:t>
      </w:r>
      <w:r w:rsidRPr="005712E5">
        <w:rPr>
          <w:szCs w:val="22"/>
        </w:rPr>
        <w:t xml:space="preserve"> application</w:t>
      </w:r>
      <w:r>
        <w:rPr>
          <w:szCs w:val="22"/>
        </w:rPr>
        <w:t>, including its</w:t>
      </w:r>
      <w:r w:rsidRPr="005712E5">
        <w:rPr>
          <w:szCs w:val="22"/>
        </w:rPr>
        <w:t xml:space="preserve"> certifications</w:t>
      </w:r>
      <w:r w:rsidRPr="00CB61E6">
        <w:rPr>
          <w:szCs w:val="22"/>
        </w:rPr>
        <w:t xml:space="preserve"> </w:t>
      </w:r>
      <w:r>
        <w:rPr>
          <w:szCs w:val="22"/>
        </w:rPr>
        <w:t xml:space="preserve">made </w:t>
      </w:r>
      <w:r w:rsidRPr="005712E5">
        <w:rPr>
          <w:szCs w:val="22"/>
        </w:rPr>
        <w:t>under penalty of perjury</w:t>
      </w:r>
      <w:r>
        <w:rPr>
          <w:szCs w:val="22"/>
        </w:rPr>
        <w:t>,</w:t>
      </w:r>
      <w:r>
        <w:rPr>
          <w:rStyle w:val="FootnoteReference"/>
          <w:szCs w:val="22"/>
        </w:rPr>
        <w:footnoteReference w:id="118"/>
      </w:r>
      <w:r w:rsidRPr="005712E5">
        <w:rPr>
          <w:szCs w:val="22"/>
        </w:rPr>
        <w:t xml:space="preserve"> and on the applicant’s submission of a sufficient upfront payment for the auction.</w:t>
      </w:r>
      <w:r>
        <w:rPr>
          <w:rStyle w:val="FootnoteReference"/>
          <w:szCs w:val="22"/>
        </w:rPr>
        <w:footnoteReference w:id="119"/>
      </w:r>
      <w:r w:rsidRPr="005712E5">
        <w:rPr>
          <w:szCs w:val="22"/>
        </w:rPr>
        <w:t xml:space="preserve">  </w:t>
      </w:r>
    </w:p>
    <w:p w:rsidR="00B42A2B" w:rsidRPr="005712E5" w:rsidRDefault="00AA13C4" w:rsidP="00B42A2B">
      <w:pPr>
        <w:pStyle w:val="ParaNum"/>
        <w:rPr>
          <w:szCs w:val="22"/>
        </w:rPr>
      </w:pPr>
      <w:r w:rsidRPr="005712E5">
        <w:rPr>
          <w:szCs w:val="22"/>
        </w:rPr>
        <w:t xml:space="preserve">A party seeking to participate in </w:t>
      </w:r>
      <w:r>
        <w:rPr>
          <w:szCs w:val="22"/>
        </w:rPr>
        <w:t>the 833 Auction</w:t>
      </w:r>
      <w:r w:rsidRPr="005712E5">
        <w:rPr>
          <w:szCs w:val="22"/>
        </w:rPr>
        <w:t xml:space="preserve"> must file a</w:t>
      </w:r>
      <w:r>
        <w:rPr>
          <w:szCs w:val="22"/>
        </w:rPr>
        <w:t>n</w:t>
      </w:r>
      <w:r w:rsidRPr="005712E5">
        <w:rPr>
          <w:szCs w:val="22"/>
        </w:rPr>
        <w:t xml:space="preserve"> FCC Form </w:t>
      </w:r>
      <w:r>
        <w:rPr>
          <w:szCs w:val="22"/>
        </w:rPr>
        <w:t>833</w:t>
      </w:r>
      <w:r w:rsidRPr="005712E5">
        <w:rPr>
          <w:szCs w:val="22"/>
        </w:rPr>
        <w:t xml:space="preserve"> electronically via </w:t>
      </w:r>
      <w:r>
        <w:rPr>
          <w:szCs w:val="22"/>
        </w:rPr>
        <w:t>the Somos Auction S</w:t>
      </w:r>
      <w:r w:rsidRPr="005712E5">
        <w:rPr>
          <w:szCs w:val="22"/>
        </w:rPr>
        <w:t xml:space="preserve">ystem prior to 6:00 p.m. ET on </w:t>
      </w:r>
      <w:r>
        <w:rPr>
          <w:szCs w:val="22"/>
        </w:rPr>
        <w:t>October 1</w:t>
      </w:r>
      <w:r w:rsidRPr="005712E5">
        <w:rPr>
          <w:szCs w:val="22"/>
        </w:rPr>
        <w:t>8, 201</w:t>
      </w:r>
      <w:r>
        <w:rPr>
          <w:szCs w:val="22"/>
        </w:rPr>
        <w:t>9</w:t>
      </w:r>
      <w:r w:rsidRPr="005712E5">
        <w:rPr>
          <w:szCs w:val="22"/>
        </w:rPr>
        <w:t>, following the procedures prescribed in th</w:t>
      </w:r>
      <w:r>
        <w:rPr>
          <w:szCs w:val="22"/>
        </w:rPr>
        <w:t xml:space="preserve">is Public Notice and any </w:t>
      </w:r>
      <w:r w:rsidRPr="005712E5">
        <w:rPr>
          <w:szCs w:val="22"/>
        </w:rPr>
        <w:t xml:space="preserve">FCC Form </w:t>
      </w:r>
      <w:r>
        <w:rPr>
          <w:szCs w:val="22"/>
        </w:rPr>
        <w:t>833 i</w:t>
      </w:r>
      <w:r w:rsidRPr="005712E5">
        <w:rPr>
          <w:szCs w:val="22"/>
        </w:rPr>
        <w:t>nstructions</w:t>
      </w:r>
      <w:r>
        <w:rPr>
          <w:szCs w:val="22"/>
        </w:rPr>
        <w:t xml:space="preserve"> provided by Somos</w:t>
      </w:r>
      <w:r w:rsidRPr="005712E5">
        <w:rPr>
          <w:szCs w:val="22"/>
        </w:rPr>
        <w:t xml:space="preserve">.  Below we describe more fully the information disclosures and certifications required in the </w:t>
      </w:r>
      <w:r>
        <w:rPr>
          <w:szCs w:val="22"/>
        </w:rPr>
        <w:t>auction</w:t>
      </w:r>
      <w:r w:rsidRPr="005712E5">
        <w:rPr>
          <w:szCs w:val="22"/>
        </w:rPr>
        <w:t xml:space="preserve"> application.  An applicant that files an </w:t>
      </w:r>
      <w:r>
        <w:rPr>
          <w:szCs w:val="22"/>
        </w:rPr>
        <w:t>application to participate in the 833 Auction</w:t>
      </w:r>
      <w:r w:rsidRPr="005712E5">
        <w:rPr>
          <w:szCs w:val="22"/>
        </w:rPr>
        <w:t xml:space="preserve"> will be subject to the prohibiti</w:t>
      </w:r>
      <w:r>
        <w:rPr>
          <w:szCs w:val="22"/>
        </w:rPr>
        <w:t>on on</w:t>
      </w:r>
      <w:r w:rsidRPr="005712E5">
        <w:rPr>
          <w:szCs w:val="22"/>
        </w:rPr>
        <w:t xml:space="preserve"> certain communications</w:t>
      </w:r>
      <w:r>
        <w:rPr>
          <w:szCs w:val="22"/>
        </w:rPr>
        <w:t>,</w:t>
      </w:r>
      <w:r w:rsidRPr="005712E5">
        <w:rPr>
          <w:szCs w:val="22"/>
        </w:rPr>
        <w:t xml:space="preserve"> beginning at the deadline for filing </w:t>
      </w:r>
      <w:r>
        <w:rPr>
          <w:szCs w:val="22"/>
        </w:rPr>
        <w:t>auction</w:t>
      </w:r>
      <w:r w:rsidRPr="005712E5">
        <w:rPr>
          <w:szCs w:val="22"/>
        </w:rPr>
        <w:t xml:space="preserve"> applications—6:00</w:t>
      </w:r>
      <w:r>
        <w:rPr>
          <w:szCs w:val="22"/>
        </w:rPr>
        <w:t> </w:t>
      </w:r>
      <w:r w:rsidRPr="005712E5">
        <w:rPr>
          <w:szCs w:val="22"/>
        </w:rPr>
        <w:t xml:space="preserve">p.m. ET on </w:t>
      </w:r>
      <w:r>
        <w:rPr>
          <w:szCs w:val="22"/>
        </w:rPr>
        <w:t>October</w:t>
      </w:r>
      <w:r w:rsidRPr="005712E5">
        <w:rPr>
          <w:szCs w:val="22"/>
        </w:rPr>
        <w:t xml:space="preserve"> 18, 201</w:t>
      </w:r>
      <w:r>
        <w:rPr>
          <w:szCs w:val="22"/>
        </w:rPr>
        <w:t>9</w:t>
      </w:r>
      <w:r w:rsidRPr="005712E5">
        <w:rPr>
          <w:szCs w:val="22"/>
        </w:rPr>
        <w:t>.</w:t>
      </w:r>
      <w:r>
        <w:rPr>
          <w:rStyle w:val="FootnoteReference"/>
          <w:szCs w:val="22"/>
        </w:rPr>
        <w:footnoteReference w:id="120"/>
      </w:r>
      <w:r>
        <w:rPr>
          <w:szCs w:val="22"/>
        </w:rPr>
        <w:t xml:space="preserve">  </w:t>
      </w:r>
      <w:r w:rsidRPr="002F2B88">
        <w:rPr>
          <w:b/>
          <w:szCs w:val="22"/>
        </w:rPr>
        <w:t xml:space="preserve">Each applicant remains subject to the prohibition until the end of the prohibition period, regardless of whether </w:t>
      </w:r>
      <w:r>
        <w:rPr>
          <w:b/>
          <w:szCs w:val="22"/>
        </w:rPr>
        <w:t xml:space="preserve">or not </w:t>
      </w:r>
      <w:r w:rsidRPr="002F2B88">
        <w:rPr>
          <w:b/>
          <w:szCs w:val="22"/>
        </w:rPr>
        <w:t xml:space="preserve">it </w:t>
      </w:r>
      <w:r>
        <w:rPr>
          <w:b/>
          <w:szCs w:val="22"/>
        </w:rPr>
        <w:t>becomes qualified to</w:t>
      </w:r>
      <w:r w:rsidRPr="002F2B88">
        <w:rPr>
          <w:b/>
          <w:szCs w:val="22"/>
        </w:rPr>
        <w:t xml:space="preserve"> bid</w:t>
      </w:r>
      <w:r>
        <w:rPr>
          <w:b/>
          <w:szCs w:val="22"/>
        </w:rPr>
        <w:t xml:space="preserve"> or actually submits any bids</w:t>
      </w:r>
      <w:r w:rsidRPr="002F2B88">
        <w:rPr>
          <w:b/>
          <w:szCs w:val="22"/>
        </w:rPr>
        <w:t>.</w:t>
      </w:r>
    </w:p>
    <w:p w:rsidR="00B42A2B" w:rsidRPr="005712E5" w:rsidRDefault="00AA13C4" w:rsidP="00B42A2B">
      <w:pPr>
        <w:pStyle w:val="ParaNum"/>
        <w:widowControl/>
        <w:rPr>
          <w:szCs w:val="22"/>
        </w:rPr>
      </w:pPr>
      <w:r w:rsidRPr="005712E5">
        <w:rPr>
          <w:szCs w:val="22"/>
        </w:rPr>
        <w:t xml:space="preserve">An applicant bears full responsibility for submitting an accurate, complete, and timely </w:t>
      </w:r>
      <w:r>
        <w:rPr>
          <w:szCs w:val="22"/>
        </w:rPr>
        <w:t>auction</w:t>
      </w:r>
      <w:r w:rsidRPr="005712E5">
        <w:rPr>
          <w:szCs w:val="22"/>
        </w:rPr>
        <w:t xml:space="preserve"> application.  Each applicant must make a series of certifications under penalty of perjury on its FCC Form </w:t>
      </w:r>
      <w:r>
        <w:rPr>
          <w:szCs w:val="22"/>
        </w:rPr>
        <w:t>833</w:t>
      </w:r>
      <w:r w:rsidRPr="005712E5">
        <w:rPr>
          <w:szCs w:val="22"/>
        </w:rPr>
        <w:t xml:space="preserve"> related to the information provided in its application and its participation in the auction</w:t>
      </w:r>
      <w:r w:rsidRPr="00AC29D3">
        <w:rPr>
          <w:szCs w:val="22"/>
        </w:rPr>
        <w:t xml:space="preserve">. </w:t>
      </w:r>
      <w:r w:rsidRPr="000349F5">
        <w:rPr>
          <w:color w:val="FF0000"/>
          <w:szCs w:val="22"/>
        </w:rPr>
        <w:t xml:space="preserve"> </w:t>
      </w:r>
      <w:r w:rsidRPr="005712E5">
        <w:rPr>
          <w:szCs w:val="22"/>
        </w:rPr>
        <w:t>If an applicant fails to make the required certifications in its FCC Form</w:t>
      </w:r>
      <w:r>
        <w:rPr>
          <w:szCs w:val="22"/>
        </w:rPr>
        <w:t xml:space="preserve"> 833</w:t>
      </w:r>
      <w:r w:rsidRPr="005712E5">
        <w:rPr>
          <w:szCs w:val="22"/>
        </w:rPr>
        <w:t xml:space="preserve"> by the filing deadline, its application will be deemed unacceptable for filing and cannot be corrected after the filing deadline.</w:t>
      </w:r>
      <w:r>
        <w:rPr>
          <w:rStyle w:val="FootnoteReference"/>
          <w:szCs w:val="22"/>
        </w:rPr>
        <w:footnoteReference w:id="121"/>
      </w:r>
    </w:p>
    <w:p w:rsidR="00B42A2B" w:rsidRPr="00AC29D3" w:rsidRDefault="00AA13C4" w:rsidP="00B42A2B">
      <w:pPr>
        <w:pStyle w:val="ParaNum"/>
        <w:widowControl/>
        <w:rPr>
          <w:szCs w:val="22"/>
        </w:rPr>
      </w:pPr>
      <w:r w:rsidRPr="00AC29D3">
        <w:rPr>
          <w:szCs w:val="22"/>
        </w:rPr>
        <w:t xml:space="preserve">An applicant should note that submitting an FCC Form </w:t>
      </w:r>
      <w:r>
        <w:rPr>
          <w:szCs w:val="22"/>
        </w:rPr>
        <w:t>833</w:t>
      </w:r>
      <w:r w:rsidRPr="00AC29D3">
        <w:rPr>
          <w:szCs w:val="22"/>
        </w:rPr>
        <w:t xml:space="preserve"> (and any amendments thereto) constitutes a representation by the certifying official that he or she is an authorized representative of the applicant with authority to bind the applicant, that he or she has read the form’s instructions and certifications, and that the contents of the application, its certifications, and any attachments are true and correct.</w:t>
      </w:r>
      <w:r>
        <w:rPr>
          <w:rStyle w:val="FootnoteReference"/>
          <w:szCs w:val="22"/>
        </w:rPr>
        <w:footnoteReference w:id="122"/>
      </w:r>
      <w:r w:rsidRPr="00AC29D3">
        <w:rPr>
          <w:szCs w:val="22"/>
        </w:rPr>
        <w:t xml:space="preserve">  Submitting a false certification </w:t>
      </w:r>
      <w:r>
        <w:rPr>
          <w:szCs w:val="22"/>
        </w:rPr>
        <w:t xml:space="preserve">in an application </w:t>
      </w:r>
      <w:r w:rsidRPr="00AC29D3">
        <w:rPr>
          <w:szCs w:val="22"/>
        </w:rPr>
        <w:t xml:space="preserve">may result in penalties, including monetary forfeitures, license forfeitures, ineligibility to participate in future auctions, and/or criminal prosecution.  </w:t>
      </w:r>
    </w:p>
    <w:p w:rsidR="00B42A2B" w:rsidRPr="005712E5" w:rsidRDefault="00AA13C4" w:rsidP="00B42A2B">
      <w:pPr>
        <w:pStyle w:val="ParaNum"/>
        <w:widowControl/>
        <w:rPr>
          <w:szCs w:val="22"/>
        </w:rPr>
      </w:pPr>
      <w:r w:rsidRPr="005712E5">
        <w:rPr>
          <w:szCs w:val="22"/>
        </w:rPr>
        <w:t xml:space="preserve">Applicants are cautioned that because the required information submitted in </w:t>
      </w:r>
      <w:r>
        <w:rPr>
          <w:szCs w:val="22"/>
        </w:rPr>
        <w:t xml:space="preserve">an </w:t>
      </w:r>
      <w:r w:rsidRPr="005712E5">
        <w:rPr>
          <w:szCs w:val="22"/>
        </w:rPr>
        <w:t>FCC</w:t>
      </w:r>
      <w:r>
        <w:rPr>
          <w:szCs w:val="22"/>
        </w:rPr>
        <w:t> </w:t>
      </w:r>
      <w:r w:rsidRPr="005712E5">
        <w:rPr>
          <w:szCs w:val="22"/>
        </w:rPr>
        <w:t>Form</w:t>
      </w:r>
      <w:r>
        <w:rPr>
          <w:szCs w:val="22"/>
        </w:rPr>
        <w:t> 833</w:t>
      </w:r>
      <w:r w:rsidRPr="005712E5">
        <w:rPr>
          <w:szCs w:val="22"/>
        </w:rPr>
        <w:t xml:space="preserve"> bears on each applicant’s qualifications, requests for confidential treatment will not be routinely granted.  The Commission has held generally that it may publicly release confidential business information where the party has put that information at issue in a Commission proceeding or where the Commission has identified a compelling public interest in disclosing the information.</w:t>
      </w:r>
      <w:r>
        <w:rPr>
          <w:rStyle w:val="FootnoteReference"/>
          <w:szCs w:val="22"/>
        </w:rPr>
        <w:footnoteReference w:id="123"/>
      </w:r>
      <w:r w:rsidRPr="005712E5">
        <w:rPr>
          <w:szCs w:val="22"/>
        </w:rPr>
        <w:t xml:space="preserve">  </w:t>
      </w:r>
    </w:p>
    <w:p w:rsidR="00B42A2B" w:rsidRPr="00AC11CA" w:rsidRDefault="00AA13C4" w:rsidP="00B42A2B">
      <w:pPr>
        <w:pStyle w:val="ParaNum"/>
        <w:rPr>
          <w:szCs w:val="22"/>
        </w:rPr>
      </w:pPr>
      <w:r w:rsidRPr="00AC11CA">
        <w:rPr>
          <w:szCs w:val="22"/>
        </w:rPr>
        <w:t>As noted above, a party may not submit more than one auction application for the 833 Auction.</w:t>
      </w:r>
      <w:r>
        <w:rPr>
          <w:rStyle w:val="FootnoteReference"/>
          <w:szCs w:val="22"/>
        </w:rPr>
        <w:footnoteReference w:id="124"/>
      </w:r>
      <w:r w:rsidRPr="00AC11CA">
        <w:rPr>
          <w:szCs w:val="22"/>
        </w:rPr>
        <w:t xml:space="preserve">  Similarly, a party can participate in the 833 Auction only through a single bidding entity</w:t>
      </w:r>
      <w:r>
        <w:rPr>
          <w:szCs w:val="22"/>
        </w:rPr>
        <w:t>;</w:t>
      </w:r>
      <w:r w:rsidRPr="00AC11CA">
        <w:rPr>
          <w:szCs w:val="22"/>
        </w:rPr>
        <w:t xml:space="preserve"> either it can participate indirectly through a RespOrg or directly by submitting its own application.</w:t>
      </w:r>
      <w:r>
        <w:rPr>
          <w:rStyle w:val="FootnoteReference"/>
          <w:szCs w:val="22"/>
        </w:rPr>
        <w:footnoteReference w:id="125"/>
      </w:r>
      <w:r w:rsidRPr="00AC11CA">
        <w:rPr>
          <w:szCs w:val="22"/>
        </w:rPr>
        <w:t xml:space="preserve">  As we do in Commission spectrum auctions, if a party submits multiple auction applications, only one application may be the basis for that party to become qualified to bid in the auction.</w:t>
      </w:r>
      <w:r>
        <w:rPr>
          <w:rStyle w:val="FootnoteReference"/>
          <w:szCs w:val="22"/>
        </w:rPr>
        <w:footnoteReference w:id="126"/>
      </w:r>
      <w:r>
        <w:rPr>
          <w:szCs w:val="22"/>
        </w:rPr>
        <w:t xml:space="preserve">  </w:t>
      </w:r>
    </w:p>
    <w:p w:rsidR="00B42A2B" w:rsidRPr="00E86537" w:rsidRDefault="00AA13C4" w:rsidP="00B42A2B">
      <w:pPr>
        <w:pStyle w:val="ParaNum"/>
        <w:widowControl/>
        <w:rPr>
          <w:szCs w:val="22"/>
        </w:rPr>
      </w:pPr>
      <w:r w:rsidRPr="00E86537">
        <w:rPr>
          <w:szCs w:val="22"/>
        </w:rPr>
        <w:t>After the initial auction application filing deadline, Somos staff will review all timely submitted applications for the 833 Auction to determine whether each application complies with the application requirements and whether it has provided all required information concerning the applicant’s qualifications for bidding.  After this review is completed, Somos</w:t>
      </w:r>
      <w:r>
        <w:rPr>
          <w:szCs w:val="22"/>
        </w:rPr>
        <w:t>, in its capacity as auctioneer,</w:t>
      </w:r>
      <w:r w:rsidRPr="00E86537">
        <w:rPr>
          <w:szCs w:val="22"/>
        </w:rPr>
        <w:t xml:space="preserve"> will release a public notice identifying the applications </w:t>
      </w:r>
      <w:r>
        <w:rPr>
          <w:szCs w:val="22"/>
        </w:rPr>
        <w:t>as</w:t>
      </w:r>
      <w:r w:rsidRPr="00E86537">
        <w:rPr>
          <w:szCs w:val="22"/>
        </w:rPr>
        <w:t xml:space="preserve"> complete </w:t>
      </w:r>
      <w:r>
        <w:rPr>
          <w:szCs w:val="22"/>
        </w:rPr>
        <w:t xml:space="preserve">or </w:t>
      </w:r>
      <w:r w:rsidRPr="00E86537">
        <w:rPr>
          <w:szCs w:val="22"/>
        </w:rPr>
        <w:t>incomplete</w:t>
      </w:r>
      <w:r>
        <w:rPr>
          <w:szCs w:val="22"/>
        </w:rPr>
        <w:t xml:space="preserve">, and </w:t>
      </w:r>
      <w:r w:rsidRPr="00E86537">
        <w:rPr>
          <w:szCs w:val="22"/>
        </w:rPr>
        <w:t xml:space="preserve">will establish an application resubmission filing window, during which an applicant may make permissible minor modifications to its application to address identified deficiencies.  The public notice will include the deadline for resubmitting modified applications.  To become a qualified bidder, an applicant must have a complete application (i.e., have timely corrected any identified deficiencies) and make a timely and sufficient upfront payment.  After review of resubmitted applications is complete, Somos will issue a public notice identifying the applicants that are qualified to bid.  Somos should release this notice at least </w:t>
      </w:r>
      <w:r>
        <w:rPr>
          <w:szCs w:val="22"/>
        </w:rPr>
        <w:t>five</w:t>
      </w:r>
      <w:r w:rsidRPr="00E86537">
        <w:rPr>
          <w:szCs w:val="22"/>
        </w:rPr>
        <w:t xml:space="preserve"> business days before the bidding (i.e., by December 10, 2019).</w:t>
      </w:r>
    </w:p>
    <w:p w:rsidR="00B42A2B" w:rsidRPr="006C3BC0" w:rsidRDefault="00AA13C4" w:rsidP="00B42A2B">
      <w:pPr>
        <w:pStyle w:val="ParaNum"/>
      </w:pPr>
      <w:r w:rsidRPr="005712E5">
        <w:rPr>
          <w:szCs w:val="22"/>
        </w:rPr>
        <w:t xml:space="preserve">Below we </w:t>
      </w:r>
      <w:r>
        <w:rPr>
          <w:szCs w:val="22"/>
        </w:rPr>
        <w:t xml:space="preserve">provide </w:t>
      </w:r>
      <w:r w:rsidRPr="005712E5">
        <w:rPr>
          <w:szCs w:val="22"/>
        </w:rPr>
        <w:t xml:space="preserve">additional details regarding certain information required to be submitted in the FCC Form </w:t>
      </w:r>
      <w:r>
        <w:rPr>
          <w:szCs w:val="22"/>
        </w:rPr>
        <w:t>833</w:t>
      </w:r>
      <w:r w:rsidRPr="005712E5">
        <w:rPr>
          <w:szCs w:val="22"/>
        </w:rPr>
        <w:t xml:space="preserve">.  </w:t>
      </w:r>
      <w:r>
        <w:rPr>
          <w:szCs w:val="22"/>
        </w:rPr>
        <w:t>In addition to this Public Notice, a</w:t>
      </w:r>
      <w:r w:rsidRPr="005712E5">
        <w:rPr>
          <w:szCs w:val="22"/>
        </w:rPr>
        <w:t>n applicant should consult the Commission’s rules</w:t>
      </w:r>
      <w:r>
        <w:rPr>
          <w:szCs w:val="22"/>
        </w:rPr>
        <w:t xml:space="preserve">, the </w:t>
      </w:r>
      <w:r w:rsidRPr="00FA267A">
        <w:rPr>
          <w:i/>
          <w:szCs w:val="22"/>
        </w:rPr>
        <w:t>Toll Free Assignment Modernization Order</w:t>
      </w:r>
      <w:r>
        <w:rPr>
          <w:szCs w:val="22"/>
        </w:rPr>
        <w:t xml:space="preserve">, and any additional releases specific to the 833 Auction (including instructions on submitting a FCC Form 833 provided by Somos) </w:t>
      </w:r>
      <w:r w:rsidRPr="005712E5">
        <w:rPr>
          <w:szCs w:val="22"/>
        </w:rPr>
        <w:t xml:space="preserve">to ensure that, in addition to the materials described below, all required information is included in its </w:t>
      </w:r>
      <w:r>
        <w:rPr>
          <w:szCs w:val="22"/>
        </w:rPr>
        <w:t>auction</w:t>
      </w:r>
      <w:r w:rsidRPr="005712E5">
        <w:rPr>
          <w:szCs w:val="22"/>
        </w:rPr>
        <w:t xml:space="preserve"> application.  To the extent the information in this Public Notice does not address a potential applicant’s specific operating structure, or if the applicant needs additional information or guidance concerning the following disclosure requirements, the applicant should review the educational materials for </w:t>
      </w:r>
      <w:r>
        <w:rPr>
          <w:szCs w:val="22"/>
        </w:rPr>
        <w:t xml:space="preserve">the 833 Auction </w:t>
      </w:r>
      <w:r w:rsidRPr="005712E5">
        <w:rPr>
          <w:szCs w:val="22"/>
        </w:rPr>
        <w:t>and/or use the contact information provided in this Public Notice to consult with</w:t>
      </w:r>
      <w:r>
        <w:rPr>
          <w:szCs w:val="22"/>
        </w:rPr>
        <w:t xml:space="preserve"> Somos and </w:t>
      </w:r>
      <w:r w:rsidRPr="005712E5">
        <w:rPr>
          <w:szCs w:val="22"/>
        </w:rPr>
        <w:t xml:space="preserve">Commission staff to better understand the information it must submit in its </w:t>
      </w:r>
      <w:r>
        <w:rPr>
          <w:szCs w:val="22"/>
        </w:rPr>
        <w:t>auction</w:t>
      </w:r>
      <w:r w:rsidRPr="005712E5">
        <w:rPr>
          <w:szCs w:val="22"/>
        </w:rPr>
        <w:t xml:space="preserve"> application</w:t>
      </w:r>
      <w:r>
        <w:rPr>
          <w:szCs w:val="22"/>
        </w:rPr>
        <w:t>.</w:t>
      </w:r>
    </w:p>
    <w:p w:rsidR="00B42A2B" w:rsidRDefault="00AA13C4" w:rsidP="00B42A2B">
      <w:pPr>
        <w:pStyle w:val="Heading2"/>
      </w:pPr>
      <w:bookmarkStart w:id="415" w:name="_Toc11074565"/>
      <w:bookmarkStart w:id="416" w:name="_Toc11163046"/>
      <w:bookmarkStart w:id="417" w:name="_Toc11251324"/>
      <w:bookmarkStart w:id="418" w:name="_Toc11335497"/>
      <w:bookmarkStart w:id="419" w:name="_Toc11682261"/>
      <w:bookmarkStart w:id="420" w:name="_Toc11737953"/>
      <w:bookmarkStart w:id="421" w:name="_Toc11846657"/>
      <w:bookmarkStart w:id="422" w:name="_Toc11944564"/>
      <w:bookmarkStart w:id="423" w:name="_Toc12288467"/>
      <w:bookmarkStart w:id="424" w:name="_Toc12440612"/>
      <w:bookmarkStart w:id="425" w:name="_Toc12548229"/>
      <w:bookmarkStart w:id="426" w:name="_Toc12610408"/>
      <w:bookmarkStart w:id="427" w:name="_Toc12634242"/>
      <w:bookmarkStart w:id="428" w:name="_Toc12975656"/>
      <w:bookmarkStart w:id="429" w:name="_Toc13469559"/>
      <w:r>
        <w:t>833 Auction Number Selection</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B42A2B" w:rsidRDefault="00AA13C4" w:rsidP="00B42A2B">
      <w:pPr>
        <w:pStyle w:val="ParaNum"/>
        <w:widowControl/>
      </w:pPr>
      <w:r>
        <w:t>Each 833 Auction applicant must identify in its auction application any toll free number (from the list of available 833 numbers) on which it may wish to place a bid during the auction.</w:t>
      </w:r>
      <w:r>
        <w:rPr>
          <w:rStyle w:val="FootnoteReference"/>
        </w:rPr>
        <w:footnoteReference w:id="127"/>
      </w:r>
      <w:r>
        <w:t xml:space="preserve">  Moreover, for each number it selects, the applicant must identify the party (either itself or another party) for which it is bidding.</w:t>
      </w:r>
      <w:r>
        <w:rPr>
          <w:rStyle w:val="FootnoteReference"/>
        </w:rPr>
        <w:footnoteReference w:id="128"/>
      </w:r>
    </w:p>
    <w:p w:rsidR="00B42A2B" w:rsidRDefault="00AA13C4" w:rsidP="00B42A2B">
      <w:pPr>
        <w:pStyle w:val="ParaNum"/>
        <w:widowControl/>
      </w:pPr>
      <w:r>
        <w:t>We proposed requiring applicants to select the toll free numbers for which they are interested in bidding and, for each number, identify the party for which it is bidding to allow Somos to verify that a potential subscriber is seeking to bid based on only one application and make it clear to applicants that they can represent only one entity per number, including itself.</w:t>
      </w:r>
      <w:r>
        <w:rPr>
          <w:rStyle w:val="FootnoteReference"/>
        </w:rPr>
        <w:footnoteReference w:id="129"/>
      </w:r>
      <w:r>
        <w:t xml:space="preserve">  We received no comments on this proposal.  Therefore, based for the reasons set forth in the </w:t>
      </w:r>
      <w:r w:rsidRPr="004E792F">
        <w:rPr>
          <w:i/>
        </w:rPr>
        <w:t>833 Auction Comment Public Notice</w:t>
      </w:r>
      <w:r>
        <w:t>, we adopt this application requirement.</w:t>
      </w:r>
    </w:p>
    <w:p w:rsidR="00B42A2B" w:rsidRDefault="00AA13C4" w:rsidP="00B42A2B">
      <w:pPr>
        <w:pStyle w:val="ParaNum"/>
        <w:widowControl/>
      </w:pPr>
      <w:r>
        <w:t>We also adopt our proposal to consider any change made to the numbers selected on an application or the party for which an applicant is bidding to be a major modification of the application, which will result in a dismissal of the application.</w:t>
      </w:r>
      <w:r>
        <w:rPr>
          <w:rStyle w:val="FootnoteReference"/>
        </w:rPr>
        <w:footnoteReference w:id="130"/>
      </w:r>
      <w:r>
        <w:t xml:space="preserve">  Finalizing the list of potential toll free numbers and parties for which applicants may be bidding provides certainty in the application review and auction qualification process.</w:t>
      </w:r>
      <w:r>
        <w:rPr>
          <w:rStyle w:val="FootnoteReference"/>
        </w:rPr>
        <w:footnoteReference w:id="131"/>
      </w:r>
      <w:r>
        <w:t xml:space="preserve">  Therefore, we require applicants to select the toll free numbers and identify the party for which it is bidding on its application by the application deadline.  If qualified to bid in the auction, the entity will not be obligated to place a bid on each of the numbers selected in its application, but an entity will not be able to bid on any numbers that it does not select in its application.</w:t>
      </w:r>
      <w:r>
        <w:rPr>
          <w:rStyle w:val="FootnoteReference"/>
        </w:rPr>
        <w:footnoteReference w:id="132"/>
      </w:r>
      <w:r>
        <w:t xml:space="preserve">  </w:t>
      </w:r>
    </w:p>
    <w:p w:rsidR="00B42A2B" w:rsidRPr="00E7266E" w:rsidRDefault="00AA13C4" w:rsidP="00B42A2B">
      <w:pPr>
        <w:pStyle w:val="ParaNum"/>
        <w:widowControl/>
      </w:pPr>
      <w:r>
        <w:t>Moreover, we direct Somos to withhold from public disclosure the 833 toll free numbers selected by an applicant on its auction application until after the bidding is complete.</w:t>
      </w:r>
      <w:r>
        <w:rPr>
          <w:rStyle w:val="FootnoteReference"/>
        </w:rPr>
        <w:footnoteReference w:id="133"/>
      </w:r>
      <w:r>
        <w:t xml:space="preserve">  We received no comments on our proposal in the </w:t>
      </w:r>
      <w:r w:rsidRPr="004E792F">
        <w:rPr>
          <w:i/>
        </w:rPr>
        <w:t>833 Auction Comment Public Notice</w:t>
      </w:r>
      <w:r>
        <w:t xml:space="preserve"> to make public the name of party (or parties) for which an applicant is bidding once Somos announces which applications are complete or incomplete.</w:t>
      </w:r>
      <w:r>
        <w:rPr>
          <w:rStyle w:val="FootnoteReference"/>
        </w:rPr>
        <w:footnoteReference w:id="134"/>
      </w:r>
      <w:r>
        <w:t xml:space="preserve">  We adopt the proposal because, consistent with the practice in Commission spectrum auctions, we find that competition will be enhanced by withholding certain information, such as toll free number selections, from other applicants, while still providing bidders with information that will allow them to accurately assess the legitimacy of their auction opponents.</w:t>
      </w:r>
      <w:r>
        <w:rPr>
          <w:rStyle w:val="FootnoteReference"/>
        </w:rPr>
        <w:footnoteReference w:id="135"/>
      </w:r>
    </w:p>
    <w:p w:rsidR="00B42A2B" w:rsidRDefault="00AA13C4" w:rsidP="00B42A2B">
      <w:pPr>
        <w:pStyle w:val="Heading2"/>
      </w:pPr>
      <w:bookmarkStart w:id="430" w:name="_Toc11074566"/>
      <w:bookmarkStart w:id="431" w:name="_Toc11163047"/>
      <w:bookmarkStart w:id="432" w:name="_Toc11251325"/>
      <w:bookmarkStart w:id="433" w:name="_Toc11335498"/>
      <w:bookmarkStart w:id="434" w:name="_Toc11682262"/>
      <w:bookmarkStart w:id="435" w:name="_Toc11737954"/>
      <w:bookmarkStart w:id="436" w:name="_Toc11846658"/>
      <w:bookmarkStart w:id="437" w:name="_Toc11944565"/>
      <w:bookmarkStart w:id="438" w:name="_Toc12288468"/>
      <w:bookmarkStart w:id="439" w:name="_Toc12440613"/>
      <w:bookmarkStart w:id="440" w:name="_Toc12548230"/>
      <w:bookmarkStart w:id="441" w:name="_Toc12610409"/>
      <w:bookmarkStart w:id="442" w:name="_Toc12634243"/>
      <w:bookmarkStart w:id="443" w:name="_Toc12975657"/>
      <w:bookmarkStart w:id="444" w:name="_Toc13469560"/>
      <w:r>
        <w:t>Ownership Disclosure Requirements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B42A2B" w:rsidRPr="00ED5604" w:rsidRDefault="00AA13C4" w:rsidP="00B42A2B">
      <w:pPr>
        <w:pStyle w:val="ParaNum"/>
        <w:widowControl/>
      </w:pPr>
      <w:r>
        <w:t>Any party interested in participating in the 833 Auction must provide, in its auction application, the same level of ownership disclosure required in Commission spectrum auctions under section 1.2112(a) of the Commission’s rules.</w:t>
      </w:r>
      <w:r>
        <w:rPr>
          <w:rStyle w:val="FootnoteReference"/>
        </w:rPr>
        <w:footnoteReference w:id="136"/>
      </w:r>
      <w:r>
        <w:t xml:space="preserve">  Thus, each applicant must disclose:  (1) the real party or parties in interest of the applicant or of the application; (2) any direct interest holder of 10% or greater; (3) any indirect interest holder of 10% or greater;</w:t>
      </w:r>
      <w:r>
        <w:rPr>
          <w:rStyle w:val="FootnoteReference"/>
        </w:rPr>
        <w:footnoteReference w:id="137"/>
      </w:r>
      <w:r>
        <w:t xml:space="preserve"> and (4) any FCC-regulated entity or applicant for an FCC license in which the applicant</w:t>
      </w:r>
      <w:r w:rsidRPr="00AE4EFE">
        <w:t xml:space="preserve">, any real party in interest, or </w:t>
      </w:r>
      <w:r>
        <w:t>any direct interest holder of 10% or greater, owns 10% or more stock, whether voting or non-voting.</w:t>
      </w:r>
      <w:r>
        <w:rPr>
          <w:rStyle w:val="FootnoteReference"/>
        </w:rPr>
        <w:footnoteReference w:id="138"/>
      </w:r>
    </w:p>
    <w:p w:rsidR="00B42A2B" w:rsidRPr="00D80FB3" w:rsidRDefault="00AA13C4" w:rsidP="00B42A2B">
      <w:pPr>
        <w:pStyle w:val="ParaNum"/>
        <w:widowControl/>
      </w:pPr>
      <w:r>
        <w:t xml:space="preserve">In the </w:t>
      </w:r>
      <w:r w:rsidRPr="00B05196">
        <w:rPr>
          <w:i/>
        </w:rPr>
        <w:t>833 Auction Comment Public Notice</w:t>
      </w:r>
      <w:r>
        <w:t>, we proposed using here the ownership disclosure rule that we use in our spectrum auctions.</w:t>
      </w:r>
      <w:r>
        <w:rPr>
          <w:rStyle w:val="FootnoteReference"/>
        </w:rPr>
        <w:footnoteReference w:id="139"/>
      </w:r>
      <w:r>
        <w:t xml:space="preserve">  </w:t>
      </w:r>
      <w:r w:rsidRPr="00D80FB3">
        <w:t xml:space="preserve">One commenter argued that the disclosure requirements of section 1.2112(a) are </w:t>
      </w:r>
      <w:r>
        <w:t>unnecessary</w:t>
      </w:r>
      <w:r w:rsidRPr="00D80FB3">
        <w:t xml:space="preserve"> for the </w:t>
      </w:r>
      <w:r>
        <w:t>833 Auction</w:t>
      </w:r>
      <w:r w:rsidRPr="00D80FB3">
        <w:t>.</w:t>
      </w:r>
      <w:r>
        <w:rPr>
          <w:rStyle w:val="FootnoteReference"/>
        </w:rPr>
        <w:footnoteReference w:id="140"/>
      </w:r>
      <w:r w:rsidRPr="00D80FB3">
        <w:t xml:space="preserve">  Specifically, 1-800 Contacts argues that the 10% disclosure </w:t>
      </w:r>
      <w:r>
        <w:t>threshold</w:t>
      </w:r>
      <w:r w:rsidRPr="00D80FB3">
        <w:t xml:space="preserve"> for direct and indirect interest holders may be relevant to commercial wireless service auctions </w:t>
      </w:r>
      <w:r>
        <w:t>(</w:t>
      </w:r>
      <w:r w:rsidRPr="00D80FB3">
        <w:t>because of spectrum aggregation limits</w:t>
      </w:r>
      <w:r>
        <w:t>)</w:t>
      </w:r>
      <w:r w:rsidRPr="00D80FB3">
        <w:t xml:space="preserve"> or broadcast auctions </w:t>
      </w:r>
      <w:r>
        <w:t>(</w:t>
      </w:r>
      <w:r w:rsidRPr="00D80FB3">
        <w:t>because of multiple ownership, cross ownership and foreign ownership</w:t>
      </w:r>
      <w:r>
        <w:t>)</w:t>
      </w:r>
      <w:r w:rsidRPr="00D80FB3">
        <w:t xml:space="preserve">, but </w:t>
      </w:r>
      <w:r>
        <w:t>not</w:t>
      </w:r>
      <w:r w:rsidRPr="00D80FB3">
        <w:t xml:space="preserve"> toll free number</w:t>
      </w:r>
      <w:r>
        <w:t xml:space="preserve"> auction</w:t>
      </w:r>
      <w:r w:rsidRPr="00D80FB3">
        <w:t>s</w:t>
      </w:r>
      <w:r>
        <w:t xml:space="preserve"> because toll free numbers</w:t>
      </w:r>
      <w:r w:rsidRPr="00D80FB3">
        <w:t xml:space="preserve"> have no such limits</w:t>
      </w:r>
      <w:r>
        <w:t>.</w:t>
      </w:r>
      <w:r>
        <w:rPr>
          <w:rStyle w:val="FootnoteReference"/>
        </w:rPr>
        <w:footnoteReference w:id="141"/>
      </w:r>
      <w:r>
        <w:t xml:space="preserve">  1-800 Contacts therefore argues that</w:t>
      </w:r>
      <w:r w:rsidRPr="00D80FB3">
        <w:t xml:space="preserve"> the proposed disclosure requirement is “exceedingly burdensome, particularly on prospective auction participants that may be held through comple</w:t>
      </w:r>
      <w:r>
        <w:t>x</w:t>
      </w:r>
      <w:r w:rsidRPr="00D80FB3">
        <w:t xml:space="preserve"> private investment funds.”</w:t>
      </w:r>
      <w:r>
        <w:rPr>
          <w:rStyle w:val="FootnoteReference"/>
        </w:rPr>
        <w:footnoteReference w:id="142"/>
      </w:r>
      <w:r w:rsidRPr="00D80FB3">
        <w:t xml:space="preserve">  </w:t>
      </w:r>
      <w:r>
        <w:t>I</w:t>
      </w:r>
      <w:r w:rsidRPr="00D80FB3">
        <w:t>n lieu of such disclosure, 1</w:t>
      </w:r>
      <w:r>
        <w:noBreakHyphen/>
      </w:r>
      <w:r w:rsidRPr="00D80FB3">
        <w:t>800</w:t>
      </w:r>
      <w:r>
        <w:t> </w:t>
      </w:r>
      <w:r w:rsidRPr="00D80FB3">
        <w:t xml:space="preserve">Contacts proposes that auction applicants certify that they and their attributable interest holders are in compliance with the Commission’s auction rules, including the prohibition on </w:t>
      </w:r>
      <w:r>
        <w:t xml:space="preserve">certain </w:t>
      </w:r>
      <w:r w:rsidRPr="00D80FB3">
        <w:t>communications.</w:t>
      </w:r>
      <w:r>
        <w:rPr>
          <w:rStyle w:val="FootnoteReference"/>
        </w:rPr>
        <w:footnoteReference w:id="143"/>
      </w:r>
    </w:p>
    <w:p w:rsidR="00B42A2B" w:rsidRPr="00CF6421" w:rsidRDefault="00AA13C4" w:rsidP="00B42A2B">
      <w:pPr>
        <w:pStyle w:val="ParaNum"/>
        <w:widowControl/>
      </w:pPr>
      <w:r>
        <w:t>While</w:t>
      </w:r>
      <w:r w:rsidRPr="00D80FB3">
        <w:t xml:space="preserve"> </w:t>
      </w:r>
      <w:r>
        <w:t xml:space="preserve">1-800 Contacts is correct that </w:t>
      </w:r>
      <w:r w:rsidRPr="00D80FB3">
        <w:t xml:space="preserve">the ownership disclosure requirements of </w:t>
      </w:r>
      <w:r>
        <w:t>section </w:t>
      </w:r>
      <w:r w:rsidRPr="00D80FB3">
        <w:t xml:space="preserve">1.2112 </w:t>
      </w:r>
      <w:r>
        <w:t>aid in the Commission’s enforcement of certain restrictions</w:t>
      </w:r>
      <w:r w:rsidRPr="00D80FB3">
        <w:t>,</w:t>
      </w:r>
      <w:r>
        <w:t xml:space="preserve"> such as ownership limits,</w:t>
      </w:r>
      <w:r>
        <w:rPr>
          <w:rStyle w:val="FootnoteReference"/>
        </w:rPr>
        <w:footnoteReference w:id="144"/>
      </w:r>
      <w:r w:rsidRPr="00D80FB3">
        <w:t xml:space="preserve"> 1</w:t>
      </w:r>
      <w:r>
        <w:noBreakHyphen/>
      </w:r>
      <w:r w:rsidRPr="00D80FB3">
        <w:t>800</w:t>
      </w:r>
      <w:r>
        <w:t> </w:t>
      </w:r>
      <w:r w:rsidRPr="00D80FB3">
        <w:t xml:space="preserve">Contacts </w:t>
      </w:r>
      <w:r>
        <w:t>fails to account for</w:t>
      </w:r>
      <w:r w:rsidRPr="00D80FB3">
        <w:t xml:space="preserve"> the fact that the 1</w:t>
      </w:r>
      <w:r>
        <w:t xml:space="preserve">0% </w:t>
      </w:r>
      <w:r w:rsidRPr="00D80FB3">
        <w:t xml:space="preserve">reporting requirements provide other benefits to the other auction participants.  </w:t>
      </w:r>
      <w:r>
        <w:t xml:space="preserve">Responding to </w:t>
      </w:r>
      <w:r w:rsidRPr="00D80FB3">
        <w:t>similar arguments</w:t>
      </w:r>
      <w:r>
        <w:t xml:space="preserve"> against ownership disclosure made in the Part 1 competitive bidding proceeding,</w:t>
      </w:r>
      <w:r w:rsidRPr="00D80FB3">
        <w:t xml:space="preserve"> </w:t>
      </w:r>
      <w:r>
        <w:t>the</w:t>
      </w:r>
      <w:r w:rsidRPr="00D80FB3">
        <w:t xml:space="preserve"> Commission</w:t>
      </w:r>
      <w:r>
        <w:t xml:space="preserve"> stated</w:t>
      </w:r>
      <w:r w:rsidRPr="00D80FB3">
        <w:t xml:space="preserve"> that</w:t>
      </w:r>
      <w:r>
        <w:t xml:space="preserve"> the</w:t>
      </w:r>
      <w:r w:rsidRPr="00D80FB3">
        <w:t xml:space="preserve"> 10</w:t>
      </w:r>
      <w:r>
        <w:t xml:space="preserve">% </w:t>
      </w:r>
      <w:r w:rsidRPr="00D80FB3">
        <w:t>reporting requirement “helps competing bidders accurately assess the legitimacy of their auction opponents and .</w:t>
      </w:r>
      <w:r>
        <w:t> . .</w:t>
      </w:r>
      <w:r w:rsidRPr="00D80FB3">
        <w:t xml:space="preserve"> aids bidders by providing them with information about their auction competitors and alerting them to entities subject to our anti-collusion rules.”</w:t>
      </w:r>
      <w:r>
        <w:rPr>
          <w:rStyle w:val="FootnoteReference"/>
        </w:rPr>
        <w:footnoteReference w:id="145"/>
      </w:r>
      <w:r w:rsidRPr="00D80FB3">
        <w:t xml:space="preserve">  Such reasoning applies here as well.  As 1-800 Contacts itself supports the broad application of the prohibition on certain communications,</w:t>
      </w:r>
      <w:r>
        <w:rPr>
          <w:rStyle w:val="FootnoteReference"/>
        </w:rPr>
        <w:footnoteReference w:id="146"/>
      </w:r>
      <w:r w:rsidRPr="00D80FB3">
        <w:t xml:space="preserve"> other auction participants rely on the ownership disclosure in auction applications to know </w:t>
      </w:r>
      <w:r>
        <w:t xml:space="preserve">with </w:t>
      </w:r>
      <w:r w:rsidRPr="00D80FB3">
        <w:t xml:space="preserve">which parties they are prohibited from communicating. </w:t>
      </w:r>
      <w:r>
        <w:t xml:space="preserve"> Moreover, w</w:t>
      </w:r>
      <w:r w:rsidRPr="00D80FB3">
        <w:t xml:space="preserve">e disagree that such disclosure is </w:t>
      </w:r>
      <w:r>
        <w:t xml:space="preserve">overly </w:t>
      </w:r>
      <w:r w:rsidRPr="00D80FB3">
        <w:t>burdensome</w:t>
      </w:r>
      <w:r>
        <w:t>.  A</w:t>
      </w:r>
      <w:r w:rsidRPr="00D80FB3">
        <w:t xml:space="preserve">uction applicants have provided such information in </w:t>
      </w:r>
      <w:r>
        <w:t>a variety of Commission</w:t>
      </w:r>
      <w:r w:rsidRPr="00D80FB3">
        <w:t xml:space="preserve"> auctions for</w:t>
      </w:r>
      <w:r>
        <w:t xml:space="preserve"> over 20</w:t>
      </w:r>
      <w:r w:rsidRPr="00D80FB3">
        <w:t xml:space="preserve"> years</w:t>
      </w:r>
      <w:r>
        <w:t xml:space="preserve">, </w:t>
      </w:r>
      <w:r w:rsidRPr="00D80FB3">
        <w:t xml:space="preserve">and such information provides transparency </w:t>
      </w:r>
      <w:r>
        <w:t xml:space="preserve">regarding the identity of auction participants—not only </w:t>
      </w:r>
      <w:r w:rsidRPr="00D80FB3">
        <w:t xml:space="preserve">to the Commission, </w:t>
      </w:r>
      <w:r>
        <w:t>but also</w:t>
      </w:r>
      <w:r w:rsidRPr="00D80FB3">
        <w:t xml:space="preserve"> </w:t>
      </w:r>
      <w:r>
        <w:t xml:space="preserve">to </w:t>
      </w:r>
      <w:r w:rsidRPr="00D80FB3">
        <w:t>other auction participants</w:t>
      </w:r>
      <w:r>
        <w:t xml:space="preserve"> and the public generally</w:t>
      </w:r>
      <w:r w:rsidRPr="00D80FB3">
        <w:t>.</w:t>
      </w:r>
      <w:r>
        <w:t xml:space="preserve">  Thus, we adopt our proposal in the </w:t>
      </w:r>
      <w:r w:rsidRPr="001C0F67">
        <w:rPr>
          <w:i/>
        </w:rPr>
        <w:t>833 Auction Comment Public Notice</w:t>
      </w:r>
      <w:r>
        <w:t xml:space="preserve"> to require the same level of ownership disclosure required in section 1.2112(a) of the Commission’s rules.</w:t>
      </w:r>
    </w:p>
    <w:p w:rsidR="00B42A2B" w:rsidRDefault="00AA13C4" w:rsidP="00B42A2B">
      <w:pPr>
        <w:pStyle w:val="Heading2"/>
      </w:pPr>
      <w:bookmarkStart w:id="445" w:name="_Toc11074567"/>
      <w:bookmarkStart w:id="446" w:name="_Toc11163048"/>
      <w:bookmarkStart w:id="447" w:name="_Toc11251326"/>
      <w:bookmarkStart w:id="448" w:name="_Toc11335499"/>
      <w:bookmarkStart w:id="449" w:name="_Toc11682263"/>
      <w:bookmarkStart w:id="450" w:name="_Toc11737955"/>
      <w:bookmarkStart w:id="451" w:name="_Toc11846659"/>
      <w:bookmarkStart w:id="452" w:name="_Toc11944566"/>
      <w:bookmarkStart w:id="453" w:name="_Toc12288469"/>
      <w:bookmarkStart w:id="454" w:name="_Toc12440614"/>
      <w:bookmarkStart w:id="455" w:name="_Toc12548231"/>
      <w:bookmarkStart w:id="456" w:name="_Toc12610410"/>
      <w:bookmarkStart w:id="457" w:name="_Toc12634244"/>
      <w:bookmarkStart w:id="458" w:name="_Toc12975658"/>
      <w:bookmarkStart w:id="459" w:name="_Toc13469561"/>
      <w:r>
        <w:t>Disclosure of Agreements and Bidding Arrangements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B42A2B" w:rsidRDefault="00AA13C4" w:rsidP="00B42A2B">
      <w:pPr>
        <w:pStyle w:val="ParaNum"/>
        <w:widowControl/>
        <w:rPr>
          <w:szCs w:val="22"/>
        </w:rPr>
      </w:pPr>
      <w:r>
        <w:t>To the extent that an applicant may be a party to an auction-related agreement,</w:t>
      </w:r>
      <w:r>
        <w:rPr>
          <w:rStyle w:val="FootnoteReference"/>
        </w:rPr>
        <w:footnoteReference w:id="147"/>
      </w:r>
      <w:r>
        <w:t xml:space="preserve"> it must disclose the agreement on its auction application.  Specifically, we proposed in the </w:t>
      </w:r>
      <w:r>
        <w:rPr>
          <w:i/>
        </w:rPr>
        <w:t>833 Auction</w:t>
      </w:r>
      <w:r w:rsidRPr="006B4D29">
        <w:rPr>
          <w:i/>
        </w:rPr>
        <w:t xml:space="preserve"> Comment Public Notice</w:t>
      </w:r>
      <w:r>
        <w:t xml:space="preserve"> to require a</w:t>
      </w:r>
      <w:r w:rsidRPr="005712E5">
        <w:rPr>
          <w:szCs w:val="22"/>
        </w:rPr>
        <w:t xml:space="preserve">n applicant </w:t>
      </w:r>
      <w:r>
        <w:rPr>
          <w:szCs w:val="22"/>
        </w:rPr>
        <w:t>to</w:t>
      </w:r>
      <w:r w:rsidRPr="005712E5">
        <w:rPr>
          <w:szCs w:val="22"/>
        </w:rPr>
        <w:t xml:space="preserve"> provide in its </w:t>
      </w:r>
      <w:r>
        <w:rPr>
          <w:szCs w:val="22"/>
        </w:rPr>
        <w:t>auction application</w:t>
      </w:r>
      <w:r w:rsidRPr="005712E5">
        <w:rPr>
          <w:szCs w:val="22"/>
        </w:rPr>
        <w:t xml:space="preserve"> a brief description of, and identify each party to, any partnerships, joint ventures, consortia or agreements, arrangements, or understandings of any kind relating to the </w:t>
      </w:r>
      <w:r>
        <w:rPr>
          <w:szCs w:val="22"/>
        </w:rPr>
        <w:t>toll free numbers</w:t>
      </w:r>
      <w:r w:rsidRPr="005712E5">
        <w:rPr>
          <w:szCs w:val="22"/>
        </w:rPr>
        <w:t xml:space="preserve"> being auctioned, including any agreements that address or communicate directly or indirectly bids (including specific prices), bidding strategies (including the specific licenses on which to bid or not to bid), or the post-auction market structure, to which the applicant, or any party that controls or is controlled by the applicant, is a party.</w:t>
      </w:r>
      <w:r>
        <w:rPr>
          <w:rStyle w:val="FootnoteReference"/>
          <w:szCs w:val="22"/>
        </w:rPr>
        <w:footnoteReference w:id="148"/>
      </w:r>
      <w:r w:rsidRPr="005712E5">
        <w:rPr>
          <w:szCs w:val="22"/>
        </w:rPr>
        <w:t xml:space="preserve">  </w:t>
      </w:r>
      <w:r>
        <w:rPr>
          <w:szCs w:val="22"/>
        </w:rPr>
        <w:t>We received no comments on this proposal.  Because disclosure of these arrangements provides transparency about the auction applicants and any parties with whom they have entered into agreements regarding the toll free numbers being offered in the auction, we adopt this disclosure requirement.  Additionally, if an applicant in the 833 Auction is a potential subscriber but is also bidding on behalf of another potential subscriber, it would need to disclose the existence of such an agreement</w:t>
      </w:r>
      <w:r>
        <w:t xml:space="preserve">.  </w:t>
      </w:r>
      <w:r w:rsidRPr="00EA5967">
        <w:t xml:space="preserve">In such circumstances, the applicant would need to briefly describe the agreement, but </w:t>
      </w:r>
      <w:r w:rsidRPr="00EA5967">
        <w:rPr>
          <w:i/>
        </w:rPr>
        <w:t>must not</w:t>
      </w:r>
      <w:r w:rsidRPr="00EA5967">
        <w:t xml:space="preserve"> disclose the toll free number</w:t>
      </w:r>
      <w:r>
        <w:t>(</w:t>
      </w:r>
      <w:r w:rsidRPr="00EA5967">
        <w:t>s</w:t>
      </w:r>
      <w:r>
        <w:t>)</w:t>
      </w:r>
      <w:r w:rsidRPr="00EA5967">
        <w:t xml:space="preserve"> for which it is bidding on behalf of </w:t>
      </w:r>
      <w:r>
        <w:t>the other</w:t>
      </w:r>
      <w:r w:rsidRPr="00EA5967">
        <w:t xml:space="preserve"> potential subscriber</w:t>
      </w:r>
      <w:r>
        <w:t>(s)</w:t>
      </w:r>
      <w:r w:rsidRPr="00EA5967">
        <w:t>.</w:t>
      </w:r>
    </w:p>
    <w:p w:rsidR="00B42A2B" w:rsidRPr="005712E5" w:rsidRDefault="00AA13C4" w:rsidP="00B42A2B">
      <w:pPr>
        <w:pStyle w:val="ParaNum"/>
        <w:widowControl/>
        <w:rPr>
          <w:szCs w:val="22"/>
        </w:rPr>
      </w:pPr>
      <w:r w:rsidRPr="005712E5">
        <w:rPr>
          <w:szCs w:val="22"/>
        </w:rPr>
        <w:t xml:space="preserve">In connection with the agreement disclosure requirement, the applicant must certify under penalty of perjury in its </w:t>
      </w:r>
      <w:r>
        <w:rPr>
          <w:szCs w:val="22"/>
        </w:rPr>
        <w:t>auction application</w:t>
      </w:r>
      <w:r w:rsidRPr="005712E5">
        <w:rPr>
          <w:szCs w:val="22"/>
        </w:rPr>
        <w:t xml:space="preserve"> that it has described, and identified each party to, any such agreements, arrangements, or understandings into which it has entered.</w:t>
      </w:r>
      <w:r>
        <w:rPr>
          <w:rStyle w:val="FootnoteReference"/>
          <w:szCs w:val="22"/>
        </w:rPr>
        <w:footnoteReference w:id="149"/>
      </w:r>
      <w:r w:rsidRPr="005712E5">
        <w:rPr>
          <w:szCs w:val="22"/>
        </w:rPr>
        <w:t xml:space="preserve">  An applicant that enters into any agreement relating to the </w:t>
      </w:r>
      <w:r>
        <w:rPr>
          <w:szCs w:val="22"/>
        </w:rPr>
        <w:t>toll free numbers</w:t>
      </w:r>
      <w:r w:rsidRPr="005712E5">
        <w:rPr>
          <w:szCs w:val="22"/>
        </w:rPr>
        <w:t xml:space="preserve"> being auctioned </w:t>
      </w:r>
      <w:r>
        <w:rPr>
          <w:i/>
          <w:szCs w:val="22"/>
        </w:rPr>
        <w:t>after the auction application deadline</w:t>
      </w:r>
      <w:r w:rsidRPr="005712E5">
        <w:rPr>
          <w:szCs w:val="22"/>
        </w:rPr>
        <w:t xml:space="preserve"> is subject to the same disclosure obligations it would be for agreements existing at the </w:t>
      </w:r>
      <w:r>
        <w:rPr>
          <w:szCs w:val="22"/>
        </w:rPr>
        <w:t>application</w:t>
      </w:r>
      <w:r w:rsidRPr="005712E5">
        <w:rPr>
          <w:szCs w:val="22"/>
        </w:rPr>
        <w:t xml:space="preserve"> deadline, and it must maintain the accuracy and completeness of the information in its pending auction application.</w:t>
      </w:r>
      <w:r>
        <w:rPr>
          <w:rStyle w:val="FootnoteReference"/>
          <w:szCs w:val="22"/>
        </w:rPr>
        <w:footnoteReference w:id="150"/>
      </w:r>
    </w:p>
    <w:p w:rsidR="00B42A2B" w:rsidRDefault="00AA13C4" w:rsidP="00B42A2B">
      <w:pPr>
        <w:pStyle w:val="ParaNum"/>
        <w:widowControl/>
        <w:rPr>
          <w:szCs w:val="22"/>
        </w:rPr>
      </w:pPr>
      <w:r w:rsidRPr="005712E5">
        <w:rPr>
          <w:szCs w:val="22"/>
        </w:rPr>
        <w:t>For purposes of making the required agreement disclosures on t</w:t>
      </w:r>
      <w:r>
        <w:rPr>
          <w:szCs w:val="22"/>
        </w:rPr>
        <w:t>he auction application</w:t>
      </w:r>
      <w:r w:rsidRPr="005712E5">
        <w:rPr>
          <w:szCs w:val="22"/>
        </w:rPr>
        <w:t xml:space="preserve">, if parties agree in principle on all material terms prior to the application filing deadline, </w:t>
      </w:r>
      <w:r>
        <w:rPr>
          <w:szCs w:val="22"/>
        </w:rPr>
        <w:t>the applicant must pr</w:t>
      </w:r>
      <w:r w:rsidRPr="005712E5">
        <w:rPr>
          <w:szCs w:val="22"/>
        </w:rPr>
        <w:t xml:space="preserve">ovide a brief description of, and identify the other party or parties to, the agreement, even if the agreement has not been reduced to writing.  However, if the parties have not agreed in principle by the </w:t>
      </w:r>
      <w:r>
        <w:rPr>
          <w:szCs w:val="22"/>
        </w:rPr>
        <w:t>application</w:t>
      </w:r>
      <w:r w:rsidRPr="005712E5">
        <w:rPr>
          <w:szCs w:val="22"/>
        </w:rPr>
        <w:t xml:space="preserve"> filing deadline, the</w:t>
      </w:r>
      <w:r>
        <w:rPr>
          <w:szCs w:val="22"/>
        </w:rPr>
        <w:t xml:space="preserve"> applicant</w:t>
      </w:r>
      <w:r w:rsidRPr="005712E5">
        <w:rPr>
          <w:szCs w:val="22"/>
        </w:rPr>
        <w:t xml:space="preserve"> should not describe, or include the names of parties to, the discussions on </w:t>
      </w:r>
      <w:r>
        <w:rPr>
          <w:szCs w:val="22"/>
        </w:rPr>
        <w:t>its</w:t>
      </w:r>
      <w:r w:rsidRPr="005712E5">
        <w:rPr>
          <w:szCs w:val="22"/>
        </w:rPr>
        <w:t xml:space="preserve"> application.</w:t>
      </w:r>
      <w:r>
        <w:rPr>
          <w:rStyle w:val="FootnoteReference"/>
          <w:szCs w:val="22"/>
        </w:rPr>
        <w:footnoteReference w:id="151"/>
      </w:r>
    </w:p>
    <w:p w:rsidR="00B42A2B" w:rsidRPr="005712E5" w:rsidRDefault="00AA13C4" w:rsidP="00B42A2B">
      <w:pPr>
        <w:pStyle w:val="ParaNum"/>
        <w:widowControl/>
        <w:rPr>
          <w:szCs w:val="22"/>
        </w:rPr>
      </w:pPr>
      <w:r>
        <w:rPr>
          <w:szCs w:val="22"/>
        </w:rPr>
        <w:t xml:space="preserve">Finally, we sought comment in the </w:t>
      </w:r>
      <w:r w:rsidRPr="000A7958">
        <w:rPr>
          <w:i/>
          <w:szCs w:val="22"/>
        </w:rPr>
        <w:t>833 Auction Comment Public Notice</w:t>
      </w:r>
      <w:r>
        <w:rPr>
          <w:szCs w:val="22"/>
        </w:rPr>
        <w:t xml:space="preserve"> on the level of disclosure for auction-related agreements, noting that in our spectrum auctions, an applicant </w:t>
      </w:r>
      <w:r>
        <w:t>must disclose certain limited information about the agreements in their pre-auction short-form applications (e.g., the parties to the agreement and a brief summary of the agreements), while winning bidders often may be required to provide more detailed information about the agreements in their post-auction long-form applications.</w:t>
      </w:r>
      <w:r>
        <w:rPr>
          <w:rStyle w:val="FootnoteReference"/>
        </w:rPr>
        <w:footnoteReference w:id="152"/>
      </w:r>
      <w:r>
        <w:t xml:space="preserve">  We received no comments on this issue.  We conclude that, for the 833 Auction, it is sufficient to require applicants to identify the parties and provide a brief description of the agreement because it will provide enough detail to understand the arrangement without being overly burdensome on auction applicants.  </w:t>
      </w:r>
      <w:r w:rsidRPr="004E792F">
        <w:rPr>
          <w:b/>
        </w:rPr>
        <w:t>When identifying the parties to any agreement, and providing a brief description of such, applicants should take care to avoid providing any details that would indicate specific toll free numbers.</w:t>
      </w:r>
    </w:p>
    <w:p w:rsidR="00B42A2B" w:rsidRDefault="00AA13C4" w:rsidP="00B42A2B">
      <w:pPr>
        <w:pStyle w:val="Heading2"/>
      </w:pPr>
      <w:bookmarkStart w:id="460" w:name="_Toc11074568"/>
      <w:bookmarkStart w:id="461" w:name="_Toc11163049"/>
      <w:bookmarkStart w:id="462" w:name="_Toc11251327"/>
      <w:bookmarkStart w:id="463" w:name="_Toc11335500"/>
      <w:bookmarkStart w:id="464" w:name="_Toc11682264"/>
      <w:bookmarkStart w:id="465" w:name="_Toc11737956"/>
      <w:bookmarkStart w:id="466" w:name="_Toc11846660"/>
      <w:bookmarkStart w:id="467" w:name="_Toc11944567"/>
      <w:bookmarkStart w:id="468" w:name="_Toc12288470"/>
      <w:bookmarkStart w:id="469" w:name="_Toc12440615"/>
      <w:bookmarkStart w:id="470" w:name="_Toc12548232"/>
      <w:bookmarkStart w:id="471" w:name="_Toc12610411"/>
      <w:bookmarkStart w:id="472" w:name="_Toc12634245"/>
      <w:bookmarkStart w:id="473" w:name="_Toc12975659"/>
      <w:bookmarkStart w:id="474" w:name="_Toc13469562"/>
      <w:r>
        <w:t>Authorized Bidders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B42A2B" w:rsidRPr="00FA267A" w:rsidRDefault="00AA13C4" w:rsidP="00B42A2B">
      <w:pPr>
        <w:pStyle w:val="ParaNum"/>
        <w:widowControl/>
      </w:pPr>
      <w:r w:rsidRPr="00FA267A">
        <w:rPr>
          <w:szCs w:val="22"/>
        </w:rPr>
        <w:t xml:space="preserve">An applicant must designate at least one individual as an authorized bidder, and no more than three, in its auction application.  </w:t>
      </w:r>
      <w:r>
        <w:rPr>
          <w:szCs w:val="22"/>
        </w:rPr>
        <w:t>In our spectrum auctions, t</w:t>
      </w:r>
      <w:r w:rsidRPr="00FA267A">
        <w:rPr>
          <w:szCs w:val="22"/>
        </w:rPr>
        <w:t>he Commission’s rules prohibit an individual from serving as an authorized bidder for more than one auction applicant.</w:t>
      </w:r>
      <w:r>
        <w:rPr>
          <w:rStyle w:val="FootnoteReference"/>
          <w:szCs w:val="22"/>
        </w:rPr>
        <w:footnoteReference w:id="153"/>
      </w:r>
      <w:r w:rsidRPr="00FA267A">
        <w:rPr>
          <w:szCs w:val="22"/>
        </w:rPr>
        <w:t xml:space="preserve">  </w:t>
      </w:r>
      <w:r>
        <w:rPr>
          <w:szCs w:val="22"/>
        </w:rPr>
        <w:t>This restriction</w:t>
      </w:r>
      <w:r w:rsidRPr="00FA267A">
        <w:rPr>
          <w:szCs w:val="22"/>
        </w:rPr>
        <w:t xml:space="preserve"> ensure</w:t>
      </w:r>
      <w:r>
        <w:rPr>
          <w:szCs w:val="22"/>
        </w:rPr>
        <w:t>s</w:t>
      </w:r>
      <w:r w:rsidRPr="00FA267A">
        <w:rPr>
          <w:szCs w:val="22"/>
        </w:rPr>
        <w:t xml:space="preserve"> that a single individual with knowledge of the bidding strategies of more than one applicant cannot become even an unwitting conduit of bidding information between those applicants in violation of our prohibition on certain communications among auction applicants.</w:t>
      </w:r>
      <w:r>
        <w:rPr>
          <w:rStyle w:val="FootnoteReference"/>
          <w:szCs w:val="22"/>
        </w:rPr>
        <w:footnoteReference w:id="154"/>
      </w:r>
      <w:r w:rsidRPr="00FA267A">
        <w:rPr>
          <w:szCs w:val="22"/>
        </w:rPr>
        <w:t xml:space="preserve">  </w:t>
      </w:r>
      <w:r>
        <w:rPr>
          <w:szCs w:val="22"/>
        </w:rPr>
        <w:t>We find that a similar restriction would be serve the integrity of the 833 Auction, and a</w:t>
      </w:r>
      <w:r w:rsidRPr="00FA267A">
        <w:rPr>
          <w:szCs w:val="22"/>
        </w:rPr>
        <w:t xml:space="preserve">ccordingly, </w:t>
      </w:r>
      <w:r>
        <w:rPr>
          <w:szCs w:val="22"/>
        </w:rPr>
        <w:t xml:space="preserve">we </w:t>
      </w:r>
      <w:r w:rsidRPr="00FA267A">
        <w:rPr>
          <w:szCs w:val="22"/>
        </w:rPr>
        <w:t>prohibit an individual from serving as an authorized bidder for more than one auction applicant</w:t>
      </w:r>
      <w:r>
        <w:rPr>
          <w:szCs w:val="22"/>
        </w:rPr>
        <w:t xml:space="preserve"> in the 833 Auction</w:t>
      </w:r>
      <w:r w:rsidRPr="00FA267A">
        <w:rPr>
          <w:szCs w:val="22"/>
        </w:rPr>
        <w:t>.</w:t>
      </w:r>
    </w:p>
    <w:p w:rsidR="00B42A2B" w:rsidRDefault="00AA13C4" w:rsidP="00B42A2B">
      <w:pPr>
        <w:pStyle w:val="Heading2"/>
      </w:pPr>
      <w:bookmarkStart w:id="475" w:name="_Toc11074569"/>
      <w:bookmarkStart w:id="476" w:name="_Toc11163050"/>
      <w:bookmarkStart w:id="477" w:name="_Toc11251328"/>
      <w:bookmarkStart w:id="478" w:name="_Toc11335501"/>
      <w:bookmarkStart w:id="479" w:name="_Toc11682265"/>
      <w:bookmarkStart w:id="480" w:name="_Toc11737957"/>
      <w:bookmarkStart w:id="481" w:name="_Toc11846661"/>
      <w:bookmarkStart w:id="482" w:name="_Toc11944568"/>
      <w:bookmarkStart w:id="483" w:name="_Toc12288471"/>
      <w:bookmarkStart w:id="484" w:name="_Toc12440616"/>
      <w:bookmarkStart w:id="485" w:name="_Toc12548233"/>
      <w:bookmarkStart w:id="486" w:name="_Toc12610412"/>
      <w:bookmarkStart w:id="487" w:name="_Toc12634246"/>
      <w:bookmarkStart w:id="488" w:name="_Toc12975660"/>
      <w:bookmarkStart w:id="489" w:name="_Toc13469563"/>
      <w:r>
        <w:t>Provisions Regarding Current Defaulters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B42A2B" w:rsidRDefault="00AA13C4" w:rsidP="00B42A2B">
      <w:pPr>
        <w:pStyle w:val="ParaNum"/>
        <w:widowControl/>
      </w:pPr>
      <w:r>
        <w:t xml:space="preserve">We adopt our proposal in the </w:t>
      </w:r>
      <w:r w:rsidRPr="005F2157">
        <w:rPr>
          <w:i/>
        </w:rPr>
        <w:t>Auction 833 Comment Public Notice</w:t>
      </w:r>
      <w:r>
        <w:t xml:space="preserve"> to adhere to our practice in Commission spectrum auctions regarding current defaults and delinquencies and to require each applicant in the 833 Auction to certify that it is not currently in default or delinquent on a non-tax debt to the Federal government.</w:t>
      </w:r>
      <w:r>
        <w:rPr>
          <w:rStyle w:val="FootnoteReference"/>
        </w:rPr>
        <w:footnoteReference w:id="155"/>
      </w:r>
      <w:r>
        <w:t xml:space="preserve">  We received no comments on our proposal and take this step to preserve the integrity of the auction process and to ensure that bidders are capable of meeting their financial commitments.</w:t>
      </w:r>
      <w:r>
        <w:rPr>
          <w:rStyle w:val="FootnoteReference"/>
        </w:rPr>
        <w:footnoteReference w:id="156"/>
      </w:r>
      <w:r>
        <w:t xml:space="preserve">  As is our practice in spectrum auctions, an applicant will be considered a “current defaulter” or “current delinquent” when it, any of its affiliates, any of its controlling interests, or any of the affiliates of its controlling interests, is in default on any payment for any Commission construction permit or license (including a down payment) or is delinquent on any non-tax debt owed to any Federal agency.</w:t>
      </w:r>
      <w:r>
        <w:rPr>
          <w:rStyle w:val="FootnoteReference"/>
        </w:rPr>
        <w:footnoteReference w:id="157"/>
      </w:r>
    </w:p>
    <w:p w:rsidR="00B42A2B" w:rsidRDefault="00AA13C4" w:rsidP="00B42A2B">
      <w:pPr>
        <w:pStyle w:val="ParaNum"/>
      </w:pPr>
      <w:r>
        <w:t>Also consistent with our spectrum auctions, the applicant’s status as a current defaulter will be determined as of the auction application deadline.</w:t>
      </w:r>
      <w:r>
        <w:rPr>
          <w:rStyle w:val="FootnoteReference"/>
        </w:rPr>
        <w:footnoteReference w:id="158"/>
      </w:r>
      <w:r>
        <w:t xml:space="preserve">  </w:t>
      </w:r>
      <w:r w:rsidRPr="00751DD6">
        <w:t xml:space="preserve">After the deadline, an applicant can dispute the status of the debt, but </w:t>
      </w:r>
      <w:r>
        <w:t xml:space="preserve">as noted in the </w:t>
      </w:r>
      <w:r w:rsidRPr="00FA19DA">
        <w:rPr>
          <w:i/>
        </w:rPr>
        <w:t>833 Auction Comment Pubic Notice</w:t>
      </w:r>
      <w:r>
        <w:t xml:space="preserve"> and </w:t>
      </w:r>
      <w:r w:rsidRPr="00751DD6">
        <w:t>consistent with our practice in spectrum auctions, applicants will not be able to cure the default or delinquency after the auction application deadline to participate in the auction</w:t>
      </w:r>
      <w:r>
        <w:t>.</w:t>
      </w:r>
      <w:r>
        <w:rPr>
          <w:rStyle w:val="FootnoteReference"/>
        </w:rPr>
        <w:footnoteReference w:id="159"/>
      </w:r>
      <w:r>
        <w:t xml:space="preserve">  We reiterate that prospective applicants should pay any delinquent debts prior to the auction application deadline.</w:t>
      </w:r>
    </w:p>
    <w:p w:rsidR="00B42A2B" w:rsidRPr="00AF1A90" w:rsidRDefault="00AA13C4" w:rsidP="00B42A2B">
      <w:pPr>
        <w:pStyle w:val="ParaNum"/>
        <w:widowControl/>
      </w:pPr>
      <w:r w:rsidRPr="005712E5">
        <w:rPr>
          <w:szCs w:val="22"/>
        </w:rPr>
        <w:t xml:space="preserve">In addition to this Public Notice, applicants are encouraged to review previous guidance on default and delinquency disclosure requirements in the context of the auction </w:t>
      </w:r>
      <w:r>
        <w:rPr>
          <w:szCs w:val="22"/>
        </w:rPr>
        <w:t>a</w:t>
      </w:r>
      <w:r w:rsidRPr="005712E5">
        <w:rPr>
          <w:szCs w:val="22"/>
        </w:rPr>
        <w:t>pplication process.</w:t>
      </w:r>
      <w:r>
        <w:rPr>
          <w:rStyle w:val="FootnoteReference"/>
          <w:szCs w:val="22"/>
        </w:rPr>
        <w:footnoteReference w:id="160"/>
      </w:r>
      <w:r w:rsidRPr="005712E5">
        <w:rPr>
          <w:szCs w:val="22"/>
        </w:rPr>
        <w:t xml:space="preserve">  Parties are also encouraged to consult with the </w:t>
      </w:r>
      <w:r>
        <w:rPr>
          <w:szCs w:val="22"/>
        </w:rPr>
        <w:t>Somos</w:t>
      </w:r>
      <w:r w:rsidRPr="005712E5">
        <w:rPr>
          <w:szCs w:val="22"/>
        </w:rPr>
        <w:t xml:space="preserve"> staff if they have any questions about default and delinquency disclosure requirements.</w:t>
      </w:r>
    </w:p>
    <w:p w:rsidR="00B42A2B" w:rsidRPr="005712E5" w:rsidRDefault="00AA13C4" w:rsidP="00B42A2B">
      <w:pPr>
        <w:pStyle w:val="ParaNum"/>
        <w:rPr>
          <w:szCs w:val="22"/>
        </w:rPr>
      </w:pPr>
      <w:r>
        <w:rPr>
          <w:szCs w:val="22"/>
        </w:rPr>
        <w:t xml:space="preserve">Applicants are encouraged to check the Commission’s Red Light Display System for </w:t>
      </w:r>
      <w:r w:rsidRPr="005712E5">
        <w:rPr>
          <w:szCs w:val="22"/>
        </w:rPr>
        <w:t>information regarding debts currently owed to the Commission</w:t>
      </w:r>
      <w:r>
        <w:rPr>
          <w:szCs w:val="22"/>
        </w:rPr>
        <w:t>.</w:t>
      </w:r>
      <w:r>
        <w:rPr>
          <w:rStyle w:val="FootnoteReference"/>
          <w:szCs w:val="22"/>
        </w:rPr>
        <w:footnoteReference w:id="161"/>
      </w:r>
      <w:r>
        <w:rPr>
          <w:szCs w:val="22"/>
        </w:rPr>
        <w:t xml:space="preserve"> </w:t>
      </w:r>
      <w:r w:rsidRPr="005712E5">
        <w:rPr>
          <w:szCs w:val="22"/>
        </w:rPr>
        <w:t xml:space="preserve"> The Commission reminds each applicant, however, that its Red Light Display System may not be determinative of an auction applicant’s ability to comply with the default and delinquency disclosure requirements</w:t>
      </w:r>
      <w:r>
        <w:rPr>
          <w:szCs w:val="22"/>
        </w:rPr>
        <w:t xml:space="preserve"> adopted above (e.g., an applicant may be </w:t>
      </w:r>
      <w:r>
        <w:t>delinquent on a non-tax debt to another Federal agency</w:t>
      </w:r>
      <w:r>
        <w:rPr>
          <w:szCs w:val="22"/>
        </w:rPr>
        <w:t xml:space="preserve">). </w:t>
      </w:r>
      <w:r w:rsidRPr="005712E5">
        <w:rPr>
          <w:szCs w:val="22"/>
        </w:rPr>
        <w:t xml:space="preserve"> Thus, an auction applicant’s lack of current “red light” status is not necessarily determinative of its eligibility to participate in </w:t>
      </w:r>
      <w:r>
        <w:rPr>
          <w:szCs w:val="22"/>
        </w:rPr>
        <w:t>the</w:t>
      </w:r>
      <w:r w:rsidRPr="005712E5">
        <w:rPr>
          <w:szCs w:val="22"/>
        </w:rPr>
        <w:t xml:space="preserve"> auction. </w:t>
      </w:r>
      <w:r>
        <w:rPr>
          <w:szCs w:val="22"/>
        </w:rPr>
        <w:t xml:space="preserve"> </w:t>
      </w:r>
      <w:r w:rsidRPr="005712E5">
        <w:rPr>
          <w:szCs w:val="22"/>
        </w:rPr>
        <w:t>The Commission strongly encourages each applicant to carefully review all records and other available Federal agency databases and information sources to determine whether the applicant, or any of its affiliates, or any of its controlling interests, or any of the affiliates of its controlling interests, owes or was ever delinquent in the payment of non-tax debt owed to any Federal agency.</w:t>
      </w:r>
    </w:p>
    <w:p w:rsidR="00B42A2B" w:rsidRDefault="00AA13C4" w:rsidP="00B42A2B">
      <w:pPr>
        <w:pStyle w:val="Heading2"/>
      </w:pPr>
      <w:bookmarkStart w:id="490" w:name="_Toc11074570"/>
      <w:bookmarkStart w:id="491" w:name="_Toc11163051"/>
      <w:bookmarkStart w:id="492" w:name="_Toc11251329"/>
      <w:bookmarkStart w:id="493" w:name="_Toc11335502"/>
      <w:bookmarkStart w:id="494" w:name="_Toc11682266"/>
      <w:bookmarkStart w:id="495" w:name="_Toc11737958"/>
      <w:bookmarkStart w:id="496" w:name="_Toc11846662"/>
      <w:bookmarkStart w:id="497" w:name="_Toc11944569"/>
      <w:bookmarkStart w:id="498" w:name="_Toc12288472"/>
      <w:bookmarkStart w:id="499" w:name="_Toc12440617"/>
      <w:bookmarkStart w:id="500" w:name="_Toc12548234"/>
      <w:bookmarkStart w:id="501" w:name="_Toc12610413"/>
      <w:bookmarkStart w:id="502" w:name="_Toc12634247"/>
      <w:bookmarkStart w:id="503" w:name="_Toc12975661"/>
      <w:bookmarkStart w:id="504" w:name="_Toc13469564"/>
      <w:r>
        <w:t>Additional Disclosures and Certifications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B42A2B" w:rsidRPr="00683193" w:rsidRDefault="00AA13C4" w:rsidP="00B42A2B">
      <w:pPr>
        <w:pStyle w:val="ParaNum"/>
        <w:widowControl/>
      </w:pPr>
      <w:r>
        <w:t xml:space="preserve">In the </w:t>
      </w:r>
      <w:r w:rsidRPr="00FC00F2">
        <w:rPr>
          <w:i/>
        </w:rPr>
        <w:t>833 Auction Comment Public Notice</w:t>
      </w:r>
      <w:r>
        <w:t>, we sought comment on whether there are other certifications that we should consider requiring auction applicants to make in order to become qualified to bid in the 833 Auction or any legal restrictions that may be relevant.</w:t>
      </w:r>
      <w:r>
        <w:rPr>
          <w:rStyle w:val="FootnoteReference"/>
        </w:rPr>
        <w:footnoteReference w:id="162"/>
      </w:r>
      <w:r>
        <w:t xml:space="preserve">  We received no comments and therefore conclude no further certifications are necessary.</w:t>
      </w:r>
      <w:r>
        <w:rPr>
          <w:rStyle w:val="FootnoteReference"/>
        </w:rPr>
        <w:footnoteReference w:id="163"/>
      </w:r>
      <w:r>
        <w:t xml:space="preserve">  </w:t>
      </w:r>
    </w:p>
    <w:p w:rsidR="00B42A2B" w:rsidRDefault="00AA13C4" w:rsidP="00B42A2B">
      <w:pPr>
        <w:pStyle w:val="Heading2"/>
      </w:pPr>
      <w:bookmarkStart w:id="505" w:name="_Toc11074571"/>
      <w:bookmarkStart w:id="506" w:name="_Toc11163052"/>
      <w:bookmarkStart w:id="507" w:name="_Toc11251330"/>
      <w:bookmarkStart w:id="508" w:name="_Toc11335503"/>
      <w:bookmarkStart w:id="509" w:name="_Toc11682267"/>
      <w:bookmarkStart w:id="510" w:name="_Toc11737959"/>
      <w:bookmarkStart w:id="511" w:name="_Toc11846663"/>
      <w:bookmarkStart w:id="512" w:name="_Toc11944570"/>
      <w:bookmarkStart w:id="513" w:name="_Toc12288473"/>
      <w:bookmarkStart w:id="514" w:name="_Toc12440618"/>
      <w:bookmarkStart w:id="515" w:name="_Toc12548235"/>
      <w:bookmarkStart w:id="516" w:name="_Toc12610414"/>
      <w:bookmarkStart w:id="517" w:name="_Toc12634248"/>
      <w:bookmarkStart w:id="518" w:name="_Toc12975662"/>
      <w:bookmarkStart w:id="519" w:name="_Toc13469565"/>
      <w:r>
        <w:t>Modifications to Auction Application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B42A2B" w:rsidRDefault="00AA13C4" w:rsidP="00B42A2B">
      <w:pPr>
        <w:pStyle w:val="Heading3"/>
      </w:pPr>
      <w:bookmarkStart w:id="520" w:name="_Toc11074572"/>
      <w:bookmarkStart w:id="521" w:name="_Toc11163053"/>
      <w:bookmarkStart w:id="522" w:name="_Toc11251331"/>
      <w:bookmarkStart w:id="523" w:name="_Toc11335504"/>
      <w:bookmarkStart w:id="524" w:name="_Toc11682268"/>
      <w:bookmarkStart w:id="525" w:name="_Toc11737960"/>
      <w:bookmarkStart w:id="526" w:name="_Toc11846664"/>
      <w:bookmarkStart w:id="527" w:name="_Toc11944571"/>
      <w:bookmarkStart w:id="528" w:name="_Toc12288474"/>
      <w:bookmarkStart w:id="529" w:name="_Toc12440619"/>
      <w:bookmarkStart w:id="530" w:name="_Toc12548236"/>
      <w:bookmarkStart w:id="531" w:name="_Toc12610415"/>
      <w:bookmarkStart w:id="532" w:name="_Toc12634249"/>
      <w:bookmarkStart w:id="533" w:name="_Toc12975663"/>
      <w:bookmarkStart w:id="534" w:name="_Toc13469566"/>
      <w:r>
        <w:t>Only Minor Modifications Allowed</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B42A2B" w:rsidRPr="005712E5" w:rsidRDefault="00AA13C4" w:rsidP="00B42A2B">
      <w:pPr>
        <w:pStyle w:val="ParaNum"/>
        <w:widowControl/>
        <w:rPr>
          <w:szCs w:val="22"/>
        </w:rPr>
      </w:pPr>
      <w:r w:rsidRPr="005712E5">
        <w:rPr>
          <w:szCs w:val="22"/>
        </w:rPr>
        <w:t xml:space="preserve">After the initial </w:t>
      </w:r>
      <w:r>
        <w:rPr>
          <w:szCs w:val="22"/>
        </w:rPr>
        <w:t>application</w:t>
      </w:r>
      <w:r w:rsidRPr="005712E5">
        <w:rPr>
          <w:szCs w:val="22"/>
        </w:rPr>
        <w:t xml:space="preserve"> filing deadline, an applicant will be permitted to make only minor changes to its application consistent with the </w:t>
      </w:r>
      <w:r w:rsidRPr="00B529C0">
        <w:rPr>
          <w:i/>
          <w:szCs w:val="22"/>
        </w:rPr>
        <w:t>Toll Free Assignment Modernization Order</w:t>
      </w:r>
      <w:r w:rsidRPr="005712E5">
        <w:rPr>
          <w:szCs w:val="22"/>
        </w:rPr>
        <w:t>.</w:t>
      </w:r>
      <w:r>
        <w:rPr>
          <w:rStyle w:val="FootnoteReference"/>
          <w:szCs w:val="22"/>
        </w:rPr>
        <w:footnoteReference w:id="164"/>
      </w:r>
      <w:r w:rsidRPr="005712E5">
        <w:rPr>
          <w:szCs w:val="22"/>
        </w:rPr>
        <w:t xml:space="preserve">  Examples of minor changes include the deletion or addition of authorized bidders (to a maximum of three)</w:t>
      </w:r>
      <w:r>
        <w:rPr>
          <w:szCs w:val="22"/>
        </w:rPr>
        <w:t>,</w:t>
      </w:r>
      <w:r w:rsidRPr="005712E5">
        <w:rPr>
          <w:szCs w:val="22"/>
        </w:rPr>
        <w:t xml:space="preserve"> </w:t>
      </w:r>
      <w:r>
        <w:rPr>
          <w:szCs w:val="22"/>
        </w:rPr>
        <w:t xml:space="preserve">and </w:t>
      </w:r>
      <w:r w:rsidRPr="005712E5">
        <w:rPr>
          <w:szCs w:val="22"/>
        </w:rPr>
        <w:t xml:space="preserve">the revision of addresses and telephone numbers of the applicant, its responsible party, and its contact person.  Major modification to an </w:t>
      </w:r>
      <w:r>
        <w:rPr>
          <w:szCs w:val="22"/>
        </w:rPr>
        <w:t>auction application</w:t>
      </w:r>
      <w:r w:rsidRPr="005712E5">
        <w:rPr>
          <w:szCs w:val="22"/>
        </w:rPr>
        <w:t xml:space="preserve"> (e.g., change </w:t>
      </w:r>
      <w:r>
        <w:rPr>
          <w:szCs w:val="22"/>
        </w:rPr>
        <w:t>in toll free number</w:t>
      </w:r>
      <w:r w:rsidRPr="005712E5">
        <w:rPr>
          <w:szCs w:val="22"/>
        </w:rPr>
        <w:t xml:space="preserve"> selection</w:t>
      </w:r>
      <w:r>
        <w:rPr>
          <w:szCs w:val="22"/>
        </w:rPr>
        <w:t>s</w:t>
      </w:r>
      <w:r w:rsidRPr="005712E5">
        <w:rPr>
          <w:szCs w:val="22"/>
        </w:rPr>
        <w:t>,</w:t>
      </w:r>
      <w:r>
        <w:rPr>
          <w:szCs w:val="22"/>
        </w:rPr>
        <w:t xml:space="preserve"> change in the party on whose behalf the applicant will be bidding,</w:t>
      </w:r>
      <w:r w:rsidRPr="005712E5">
        <w:rPr>
          <w:szCs w:val="22"/>
        </w:rPr>
        <w:t xml:space="preserve"> certain changes in ownership that would constitute an assignment or transfer of control of the applicant, change in applicant’s legal classification that results in a change in control</w:t>
      </w:r>
      <w:r>
        <w:rPr>
          <w:szCs w:val="22"/>
        </w:rPr>
        <w:t xml:space="preserve">, or </w:t>
      </w:r>
      <w:r w:rsidRPr="005712E5">
        <w:rPr>
          <w:szCs w:val="22"/>
        </w:rPr>
        <w:t>change in the required certifications</w:t>
      </w:r>
      <w:r>
        <w:rPr>
          <w:szCs w:val="22"/>
        </w:rPr>
        <w:t>)</w:t>
      </w:r>
      <w:r w:rsidRPr="005712E5">
        <w:rPr>
          <w:szCs w:val="22"/>
        </w:rPr>
        <w:t xml:space="preserve"> will not be permitted after the initial </w:t>
      </w:r>
      <w:r>
        <w:rPr>
          <w:szCs w:val="22"/>
        </w:rPr>
        <w:t>auction application fi</w:t>
      </w:r>
      <w:r w:rsidRPr="005712E5">
        <w:rPr>
          <w:szCs w:val="22"/>
        </w:rPr>
        <w:t>ling deadline.</w:t>
      </w:r>
      <w:r>
        <w:rPr>
          <w:szCs w:val="22"/>
          <w:vertAlign w:val="superscript"/>
        </w:rPr>
        <w:footnoteReference w:id="165"/>
      </w:r>
      <w:r w:rsidRPr="005712E5">
        <w:rPr>
          <w:szCs w:val="22"/>
        </w:rPr>
        <w:t xml:space="preserve">  If an amendment reporting changes is a “major amendment,” the major amendment will not be accepted and may result in the dismissal of the application.</w:t>
      </w:r>
      <w:r>
        <w:rPr>
          <w:rStyle w:val="FootnoteReference"/>
          <w:szCs w:val="22"/>
        </w:rPr>
        <w:footnoteReference w:id="166"/>
      </w:r>
    </w:p>
    <w:p w:rsidR="00B42A2B" w:rsidRDefault="00AA13C4" w:rsidP="00B42A2B">
      <w:pPr>
        <w:pStyle w:val="Heading3"/>
      </w:pPr>
      <w:bookmarkStart w:id="535" w:name="_Toc11074573"/>
      <w:bookmarkStart w:id="536" w:name="_Toc11163054"/>
      <w:bookmarkStart w:id="537" w:name="_Toc11251332"/>
      <w:bookmarkStart w:id="538" w:name="_Toc11335505"/>
      <w:bookmarkStart w:id="539" w:name="_Toc11682269"/>
      <w:bookmarkStart w:id="540" w:name="_Toc11737961"/>
      <w:bookmarkStart w:id="541" w:name="_Toc11846665"/>
      <w:bookmarkStart w:id="542" w:name="_Toc11944572"/>
      <w:bookmarkStart w:id="543" w:name="_Toc12288475"/>
      <w:bookmarkStart w:id="544" w:name="_Toc12440620"/>
      <w:bookmarkStart w:id="545" w:name="_Toc12548237"/>
      <w:bookmarkStart w:id="546" w:name="_Toc12610416"/>
      <w:bookmarkStart w:id="547" w:name="_Toc12634250"/>
      <w:bookmarkStart w:id="548" w:name="_Toc12975664"/>
      <w:bookmarkStart w:id="549" w:name="_Toc13469567"/>
      <w:r>
        <w:t>Duty to Maintain Accuracy and Completeness of Auction Application</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42A2B" w:rsidRDefault="00AA13C4" w:rsidP="00B42A2B">
      <w:pPr>
        <w:pStyle w:val="ParaNum"/>
        <w:widowControl/>
        <w:rPr>
          <w:szCs w:val="22"/>
        </w:rPr>
      </w:pPr>
      <w:r>
        <w:rPr>
          <w:szCs w:val="22"/>
        </w:rPr>
        <w:t xml:space="preserve">We adopt a procedure, consistent with our spectrum auctions, requiring each applicant in the 833 Auction </w:t>
      </w:r>
      <w:r w:rsidRPr="005712E5">
        <w:rPr>
          <w:szCs w:val="22"/>
        </w:rPr>
        <w:t xml:space="preserve">to maintain the accuracy and completeness of information furnished </w:t>
      </w:r>
      <w:r>
        <w:rPr>
          <w:szCs w:val="22"/>
        </w:rPr>
        <w:t xml:space="preserve">in its pending auction </w:t>
      </w:r>
      <w:r w:rsidRPr="005712E5">
        <w:rPr>
          <w:szCs w:val="22"/>
        </w:rPr>
        <w:t>application.</w:t>
      </w:r>
      <w:r>
        <w:rPr>
          <w:rStyle w:val="FootnoteReference"/>
          <w:szCs w:val="22"/>
        </w:rPr>
        <w:footnoteReference w:id="167"/>
      </w:r>
      <w:r w:rsidRPr="005712E5">
        <w:rPr>
          <w:szCs w:val="22"/>
        </w:rPr>
        <w:t xml:space="preserve">  </w:t>
      </w:r>
      <w:r>
        <w:rPr>
          <w:szCs w:val="22"/>
        </w:rPr>
        <w:t>Also, c</w:t>
      </w:r>
      <w:r w:rsidRPr="005712E5">
        <w:rPr>
          <w:szCs w:val="22"/>
        </w:rPr>
        <w:t xml:space="preserve">onsistent with the requirements for our spectrum auctions, an applicant for </w:t>
      </w:r>
      <w:r>
        <w:rPr>
          <w:szCs w:val="22"/>
        </w:rPr>
        <w:t>the 833 Auction</w:t>
      </w:r>
      <w:r w:rsidRPr="005712E5">
        <w:rPr>
          <w:szCs w:val="22"/>
        </w:rPr>
        <w:t xml:space="preserve"> must furnish additional or corrected information to </w:t>
      </w:r>
      <w:r>
        <w:rPr>
          <w:szCs w:val="22"/>
        </w:rPr>
        <w:t>Somos</w:t>
      </w:r>
      <w:r w:rsidRPr="005712E5">
        <w:rPr>
          <w:szCs w:val="22"/>
        </w:rPr>
        <w:t xml:space="preserve"> within five business days after a significant occurrence, or amend its</w:t>
      </w:r>
      <w:r>
        <w:rPr>
          <w:szCs w:val="22"/>
        </w:rPr>
        <w:t xml:space="preserve"> auction application</w:t>
      </w:r>
      <w:r w:rsidRPr="005712E5">
        <w:rPr>
          <w:szCs w:val="22"/>
        </w:rPr>
        <w:t xml:space="preserve"> no more than five business days after the applicant becomes aware of the need for the amendment.</w:t>
      </w:r>
      <w:r>
        <w:rPr>
          <w:rStyle w:val="FootnoteReference"/>
          <w:szCs w:val="22"/>
        </w:rPr>
        <w:footnoteReference w:id="168"/>
      </w:r>
      <w:r w:rsidRPr="005712E5">
        <w:rPr>
          <w:szCs w:val="22"/>
        </w:rPr>
        <w:t xml:space="preserve">  An applicant is obligated to amend its pending application(s) even if a reported change may result in the dismissal of the application because it is subsequently determined to be a major modification.</w:t>
      </w:r>
      <w:r>
        <w:rPr>
          <w:szCs w:val="22"/>
        </w:rPr>
        <w:t xml:space="preserve">  </w:t>
      </w:r>
    </w:p>
    <w:p w:rsidR="00B42A2B" w:rsidRDefault="00AA13C4" w:rsidP="00B42A2B">
      <w:pPr>
        <w:pStyle w:val="ParaNum"/>
        <w:widowControl/>
        <w:rPr>
          <w:szCs w:val="22"/>
        </w:rPr>
      </w:pPr>
      <w:r w:rsidRPr="005712E5">
        <w:rPr>
          <w:szCs w:val="22"/>
        </w:rPr>
        <w:t xml:space="preserve">An applicant’s ability to modify its </w:t>
      </w:r>
      <w:r>
        <w:rPr>
          <w:szCs w:val="22"/>
        </w:rPr>
        <w:t>auction application in the Somos Auction System</w:t>
      </w:r>
      <w:r w:rsidRPr="005712E5">
        <w:rPr>
          <w:szCs w:val="22"/>
        </w:rPr>
        <w:t xml:space="preserve"> </w:t>
      </w:r>
      <w:r>
        <w:rPr>
          <w:szCs w:val="22"/>
        </w:rPr>
        <w:t>may</w:t>
      </w:r>
      <w:r w:rsidRPr="005712E5">
        <w:rPr>
          <w:szCs w:val="22"/>
        </w:rPr>
        <w:t xml:space="preserve"> be limited </w:t>
      </w:r>
      <w:r>
        <w:rPr>
          <w:szCs w:val="22"/>
        </w:rPr>
        <w:t xml:space="preserve">at certain times—e.g., </w:t>
      </w:r>
      <w:r w:rsidRPr="005712E5">
        <w:rPr>
          <w:szCs w:val="22"/>
        </w:rPr>
        <w:t xml:space="preserve">between the closing of the initial filing window and the opening of the application resubmission filing window and between the closing of the resubmission filing window and </w:t>
      </w:r>
      <w:r>
        <w:rPr>
          <w:szCs w:val="22"/>
        </w:rPr>
        <w:t>t</w:t>
      </w:r>
      <w:r w:rsidRPr="003305FE">
        <w:rPr>
          <w:szCs w:val="22"/>
        </w:rPr>
        <w:t>he release of the public notice announcing the qualified bidders</w:t>
      </w:r>
      <w:r w:rsidRPr="005712E5">
        <w:rPr>
          <w:szCs w:val="22"/>
        </w:rPr>
        <w:t>.</w:t>
      </w:r>
      <w:r>
        <w:rPr>
          <w:rStyle w:val="FootnoteReference"/>
          <w:szCs w:val="22"/>
        </w:rPr>
        <w:footnoteReference w:id="169"/>
      </w:r>
      <w:r w:rsidRPr="005712E5">
        <w:rPr>
          <w:szCs w:val="22"/>
        </w:rPr>
        <w:t xml:space="preserve">  During these periods, an applicant </w:t>
      </w:r>
      <w:r>
        <w:rPr>
          <w:szCs w:val="22"/>
        </w:rPr>
        <w:t>may</w:t>
      </w:r>
      <w:r w:rsidRPr="005712E5">
        <w:rPr>
          <w:szCs w:val="22"/>
        </w:rPr>
        <w:t xml:space="preserve"> be able to view its submitted application, but will </w:t>
      </w:r>
      <w:r>
        <w:rPr>
          <w:szCs w:val="22"/>
        </w:rPr>
        <w:t xml:space="preserve">be unable to make changes.  If an applicant </w:t>
      </w:r>
      <w:r w:rsidRPr="005712E5">
        <w:rPr>
          <w:szCs w:val="22"/>
        </w:rPr>
        <w:t xml:space="preserve">needs to make other permissible minor changes </w:t>
      </w:r>
      <w:r>
        <w:rPr>
          <w:szCs w:val="22"/>
        </w:rPr>
        <w:t xml:space="preserve">to its auction application at any time other than during the resubmission filing window, it </w:t>
      </w:r>
      <w:r w:rsidRPr="00E53F20">
        <w:rPr>
          <w:szCs w:val="22"/>
        </w:rPr>
        <w:t>must submit a letter briefly summarizing the changes to its auction application via email to</w:t>
      </w:r>
      <w:r>
        <w:rPr>
          <w:szCs w:val="22"/>
        </w:rPr>
        <w:t xml:space="preserve"> </w:t>
      </w:r>
      <w:hyperlink r:id="rId15" w:history="1">
        <w:r w:rsidRPr="00002DD1">
          <w:rPr>
            <w:rStyle w:val="Hyperlink"/>
          </w:rPr>
          <w:t>auctionhelp@somos.com</w:t>
        </w:r>
      </w:hyperlink>
      <w:r>
        <w:rPr>
          <w:szCs w:val="22"/>
        </w:rPr>
        <w:t>.  T</w:t>
      </w:r>
      <w:r w:rsidRPr="009D56AC">
        <w:rPr>
          <w:szCs w:val="22"/>
        </w:rPr>
        <w:t xml:space="preserve">he email summarizing the changes must include a subject line referring to </w:t>
      </w:r>
      <w:r>
        <w:rPr>
          <w:szCs w:val="22"/>
        </w:rPr>
        <w:t>the 833 Auction a</w:t>
      </w:r>
      <w:r w:rsidRPr="009D56AC">
        <w:rPr>
          <w:szCs w:val="22"/>
        </w:rPr>
        <w:t>nd the name of the applicant, for example, “Re:</w:t>
      </w:r>
      <w:r>
        <w:rPr>
          <w:szCs w:val="22"/>
        </w:rPr>
        <w:t> </w:t>
      </w:r>
      <w:r w:rsidRPr="009D56AC">
        <w:rPr>
          <w:szCs w:val="22"/>
        </w:rPr>
        <w:t xml:space="preserve">Changes to </w:t>
      </w:r>
      <w:r>
        <w:rPr>
          <w:szCs w:val="22"/>
        </w:rPr>
        <w:t>833 Auction</w:t>
      </w:r>
      <w:r w:rsidRPr="009D56AC">
        <w:rPr>
          <w:szCs w:val="22"/>
        </w:rPr>
        <w:t xml:space="preserve"> Application of XYZ Corp.”  Any attachments to the email must be formatted as Adobe® Acrobat® (PDF) or Microsoft® Word documents.  An applicant that submits its changes in this manner must subsequently </w:t>
      </w:r>
      <w:bookmarkStart w:id="550" w:name="_Hlk497983721"/>
      <w:r w:rsidRPr="009D56AC">
        <w:rPr>
          <w:szCs w:val="22"/>
        </w:rPr>
        <w:t xml:space="preserve">modify, certify, and submit </w:t>
      </w:r>
      <w:bookmarkEnd w:id="550"/>
      <w:r w:rsidRPr="009D56AC">
        <w:rPr>
          <w:szCs w:val="22"/>
        </w:rPr>
        <w:t xml:space="preserve">its </w:t>
      </w:r>
      <w:r>
        <w:rPr>
          <w:szCs w:val="22"/>
        </w:rPr>
        <w:t>auction</w:t>
      </w:r>
      <w:r w:rsidRPr="009D56AC">
        <w:rPr>
          <w:szCs w:val="22"/>
        </w:rPr>
        <w:t xml:space="preserve"> application(s) electronically in </w:t>
      </w:r>
      <w:r>
        <w:rPr>
          <w:szCs w:val="22"/>
        </w:rPr>
        <w:t>the Somos Auction System</w:t>
      </w:r>
      <w:r w:rsidRPr="009D56AC">
        <w:rPr>
          <w:szCs w:val="22"/>
        </w:rPr>
        <w:t xml:space="preserve"> once </w:t>
      </w:r>
      <w:r>
        <w:rPr>
          <w:szCs w:val="22"/>
        </w:rPr>
        <w:t xml:space="preserve">it is </w:t>
      </w:r>
      <w:r w:rsidRPr="009D56AC">
        <w:rPr>
          <w:szCs w:val="22"/>
        </w:rPr>
        <w:t>available to applicants</w:t>
      </w:r>
      <w:r>
        <w:rPr>
          <w:szCs w:val="22"/>
        </w:rPr>
        <w:t>.</w:t>
      </w:r>
    </w:p>
    <w:p w:rsidR="00B42A2B" w:rsidRDefault="00AA13C4" w:rsidP="00B42A2B">
      <w:pPr>
        <w:pStyle w:val="ParaNum"/>
        <w:widowControl/>
        <w:rPr>
          <w:szCs w:val="22"/>
        </w:rPr>
      </w:pPr>
      <w:r w:rsidRPr="005712E5">
        <w:rPr>
          <w:szCs w:val="22"/>
        </w:rPr>
        <w:t xml:space="preserve">As with filing the </w:t>
      </w:r>
      <w:r>
        <w:rPr>
          <w:szCs w:val="22"/>
        </w:rPr>
        <w:t>auction application</w:t>
      </w:r>
      <w:r w:rsidRPr="005712E5">
        <w:rPr>
          <w:szCs w:val="22"/>
        </w:rPr>
        <w:t>, any amendment(s) to the application and related statements of fact must be certified by an authorized representative of the applicant with authority to bind the applicant.  Applicants should note that submission of any such amendment or related statement of fact constitutes a representation by the person certifying that he or she is an authorized representative with such authority and that the contents of the amendment or statement of fact are true and correct</w:t>
      </w:r>
      <w:r>
        <w:rPr>
          <w:szCs w:val="22"/>
        </w:rPr>
        <w:t>.</w:t>
      </w:r>
    </w:p>
    <w:p w:rsidR="00B42A2B" w:rsidRPr="009D56AC" w:rsidRDefault="00AA13C4" w:rsidP="00B42A2B">
      <w:pPr>
        <w:pStyle w:val="ParaNum"/>
        <w:widowControl/>
        <w:rPr>
          <w:szCs w:val="22"/>
        </w:rPr>
      </w:pPr>
      <w:r w:rsidRPr="005712E5">
        <w:rPr>
          <w:szCs w:val="22"/>
        </w:rPr>
        <w:t xml:space="preserve">Questions about amendments </w:t>
      </w:r>
      <w:r>
        <w:rPr>
          <w:szCs w:val="22"/>
        </w:rPr>
        <w:t xml:space="preserve">to the auction application </w:t>
      </w:r>
      <w:r w:rsidRPr="005712E5">
        <w:rPr>
          <w:szCs w:val="22"/>
        </w:rPr>
        <w:t xml:space="preserve">should be directed to </w:t>
      </w:r>
      <w:r>
        <w:rPr>
          <w:szCs w:val="22"/>
        </w:rPr>
        <w:t>Somos</w:t>
      </w:r>
      <w:r w:rsidRPr="005712E5">
        <w:rPr>
          <w:szCs w:val="22"/>
        </w:rPr>
        <w:t xml:space="preserve"> at</w:t>
      </w:r>
      <w:r>
        <w:rPr>
          <w:szCs w:val="22"/>
        </w:rPr>
        <w:t xml:space="preserve"> </w:t>
      </w:r>
      <w:hyperlink r:id="rId16" w:history="1">
        <w:r w:rsidRPr="00816525">
          <w:rPr>
            <w:rStyle w:val="Hyperlink"/>
          </w:rPr>
          <w:t>auctionhelp@somos.com</w:t>
        </w:r>
      </w:hyperlink>
      <w:r>
        <w:rPr>
          <w:color w:val="FF0000"/>
        </w:rPr>
        <w:t xml:space="preserve"> </w:t>
      </w:r>
      <w:r w:rsidRPr="00C96931">
        <w:t xml:space="preserve">or </w:t>
      </w:r>
      <w:r>
        <w:t>(</w:t>
      </w:r>
      <w:r w:rsidRPr="00C96931">
        <w:t>844</w:t>
      </w:r>
      <w:r>
        <w:t xml:space="preserve">) </w:t>
      </w:r>
      <w:r w:rsidRPr="00C96931">
        <w:t>439-7666.</w:t>
      </w:r>
    </w:p>
    <w:p w:rsidR="00B42A2B" w:rsidRDefault="00AA13C4" w:rsidP="00B42A2B">
      <w:pPr>
        <w:pStyle w:val="Heading1"/>
      </w:pPr>
      <w:bookmarkStart w:id="551" w:name="_Toc11074574"/>
      <w:bookmarkStart w:id="552" w:name="_Toc11163055"/>
      <w:bookmarkStart w:id="553" w:name="_Toc11251333"/>
      <w:bookmarkStart w:id="554" w:name="_Toc11335506"/>
      <w:bookmarkStart w:id="555" w:name="_Toc11682270"/>
      <w:bookmarkStart w:id="556" w:name="_Toc11737962"/>
      <w:bookmarkStart w:id="557" w:name="_Toc11846666"/>
      <w:bookmarkStart w:id="558" w:name="_Toc11944573"/>
      <w:bookmarkStart w:id="559" w:name="_Toc12288476"/>
      <w:bookmarkStart w:id="560" w:name="_Toc12440621"/>
      <w:bookmarkStart w:id="561" w:name="_Toc12548238"/>
      <w:bookmarkStart w:id="562" w:name="_Toc12610417"/>
      <w:bookmarkStart w:id="563" w:name="_Toc12634251"/>
      <w:bookmarkStart w:id="564" w:name="_Toc12975665"/>
      <w:bookmarkStart w:id="565" w:name="_Toc13469568"/>
      <w:r>
        <w:t>Preparing for Bidding in the 833 Auction</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B42A2B" w:rsidRDefault="00AA13C4" w:rsidP="00B42A2B">
      <w:pPr>
        <w:pStyle w:val="Heading2"/>
      </w:pPr>
      <w:bookmarkStart w:id="566" w:name="_Toc11682271"/>
      <w:bookmarkStart w:id="567" w:name="_Toc11737963"/>
      <w:bookmarkStart w:id="568" w:name="_Toc11846667"/>
      <w:bookmarkStart w:id="569" w:name="_Toc11944574"/>
      <w:bookmarkStart w:id="570" w:name="_Toc12288477"/>
      <w:bookmarkStart w:id="571" w:name="_Toc12440622"/>
      <w:bookmarkStart w:id="572" w:name="_Toc12548239"/>
      <w:bookmarkStart w:id="573" w:name="_Toc12610418"/>
      <w:bookmarkStart w:id="574" w:name="_Toc12634252"/>
      <w:bookmarkStart w:id="575" w:name="_Toc12975666"/>
      <w:bookmarkStart w:id="576" w:name="_Toc13469569"/>
      <w:bookmarkStart w:id="577" w:name="_Toc11074575"/>
      <w:bookmarkStart w:id="578" w:name="_Toc11163056"/>
      <w:bookmarkStart w:id="579" w:name="_Toc11251334"/>
      <w:bookmarkStart w:id="580" w:name="_Toc11335507"/>
      <w:r>
        <w:t>Due Diligence</w:t>
      </w:r>
      <w:bookmarkEnd w:id="566"/>
      <w:bookmarkEnd w:id="567"/>
      <w:bookmarkEnd w:id="568"/>
      <w:bookmarkEnd w:id="569"/>
      <w:bookmarkEnd w:id="570"/>
      <w:bookmarkEnd w:id="571"/>
      <w:bookmarkEnd w:id="572"/>
      <w:bookmarkEnd w:id="573"/>
      <w:bookmarkEnd w:id="574"/>
      <w:bookmarkEnd w:id="575"/>
      <w:bookmarkEnd w:id="576"/>
    </w:p>
    <w:p w:rsidR="00B42A2B" w:rsidRPr="00F66B55" w:rsidRDefault="00AA13C4" w:rsidP="00B42A2B">
      <w:pPr>
        <w:pStyle w:val="ParaNum"/>
        <w:widowControl/>
      </w:pPr>
      <w:r>
        <w:t xml:space="preserve">Each applicant has the sole responsibility for investigating and evaluating all technical and marketplace factors that may have a bearing on the value of the toll free numbers that it is seeking in the 833 Auction.  </w:t>
      </w:r>
      <w:r w:rsidRPr="00F66B55">
        <w:t xml:space="preserve">The Commission makes no representations or warranties about the use of the toll free numbers. </w:t>
      </w:r>
      <w:r w:rsidRPr="00F66B55">
        <w:rPr>
          <w:color w:val="FF0000"/>
        </w:rPr>
        <w:t xml:space="preserve"> </w:t>
      </w:r>
      <w:r w:rsidRPr="00F66B55">
        <w:t xml:space="preserve">Each applicant should be aware that the 833 Auction represents an opportunity to receive the right to use certain toll free numbers and that the Commission’s statutory authority to add, modify, and eliminate rules governing numbering applies equally to all toll free numbers, whether acquired through the competitive bidding process or otherwise. </w:t>
      </w:r>
      <w:r>
        <w:t xml:space="preserve"> In addition, t</w:t>
      </w:r>
      <w:r w:rsidRPr="00F66B55">
        <w:t xml:space="preserve">he 833 Auction does not constitute an endorsement by the Commission of any particular service, technology, or product, nor does a right to use the toll free numbers constitute a guarantee of business success. </w:t>
      </w:r>
    </w:p>
    <w:p w:rsidR="00B42A2B" w:rsidRPr="00780EF0" w:rsidRDefault="00AA13C4" w:rsidP="00B42A2B">
      <w:pPr>
        <w:pStyle w:val="ParaNum"/>
        <w:widowControl/>
      </w:pPr>
      <w:r>
        <w:t xml:space="preserve">An applicant should perform its due diligence research and analysis before proceeding, as it would with any new business venture.  In particular, the Commission strongly encourages each potential applicant to review all underlying Commission orders, including the </w:t>
      </w:r>
      <w:r w:rsidRPr="00105172">
        <w:rPr>
          <w:i/>
        </w:rPr>
        <w:t>Toll Free Assignment Modernization Order</w:t>
      </w:r>
      <w:r>
        <w:t>.</w:t>
      </w:r>
      <w:r>
        <w:rPr>
          <w:rStyle w:val="FootnoteReference"/>
        </w:rPr>
        <w:footnoteReference w:id="170"/>
      </w:r>
      <w:r>
        <w:t xml:space="preserve">  Each potential applicant should perform due diligence to assure itself that, should it become a winning bidder for the right to use one or more 833 numbers offered in the auction, it will be able to comply with all </w:t>
      </w:r>
      <w:r w:rsidRPr="00F66B55">
        <w:t>financial,</w:t>
      </w:r>
      <w:r>
        <w:t xml:space="preserve"> technical, and legal requirements. </w:t>
      </w:r>
    </w:p>
    <w:p w:rsidR="00B42A2B" w:rsidRDefault="00AA13C4" w:rsidP="00B42A2B">
      <w:pPr>
        <w:pStyle w:val="ParaNum"/>
        <w:widowControl/>
      </w:pPr>
      <w:r>
        <w:t>We also strongly encourage each applicant for the 833 Auction to continue to conduct its own research throughout the auction in order to determine the existence of pending or future administrative or judicial proceedings that might affect its participation in the auction.</w:t>
      </w:r>
      <w:r>
        <w:rPr>
          <w:rStyle w:val="FootnoteReference"/>
        </w:rPr>
        <w:footnoteReference w:id="171"/>
      </w:r>
      <w:r>
        <w:t xml:space="preserve">  Each applicant is responsible for assessing the likelihood of the various possible outcomes and for considering the potential impact on toll free numbers available in the 833 Auction.  The due diligence considerations mentioned in this Public Notice do not constitute an exhaustive list of steps that should be undertaken prior to participating in the 833 Auction.  The burden is on the potential applicant to determine how much research to undertake, depending upon the specific facts and circumstances related to its interests. </w:t>
      </w:r>
    </w:p>
    <w:p w:rsidR="00B42A2B" w:rsidRPr="008F6928" w:rsidRDefault="00AA13C4" w:rsidP="00B42A2B">
      <w:pPr>
        <w:pStyle w:val="ParaNum"/>
        <w:widowControl/>
      </w:pPr>
      <w:r w:rsidRPr="00EE0186">
        <w:t xml:space="preserve">The Commission makes no representations or guarantees regarding the accuracy or completeness of information in its databases or any third-party databases, including, for example, court docketing systems. </w:t>
      </w:r>
      <w:r>
        <w:t xml:space="preserve"> </w:t>
      </w:r>
      <w:r w:rsidRPr="00EE0186">
        <w:t>To the extent the databases may not include all information deemed necessary or desirable by an applicant, it must obtain or verify such information from independent sources or assume the risk of any incompleteness or inaccuracy in said database</w:t>
      </w:r>
      <w:r>
        <w:t>.</w:t>
      </w:r>
    </w:p>
    <w:p w:rsidR="00B42A2B" w:rsidRPr="00F66B55" w:rsidRDefault="00AA13C4" w:rsidP="00B42A2B">
      <w:pPr>
        <w:pStyle w:val="ParaNum"/>
        <w:widowControl/>
      </w:pPr>
      <w:r w:rsidRPr="00AA1993">
        <w:rPr>
          <w:b/>
        </w:rPr>
        <w:t>Applicants are solely responsible for identifying associated risks and for investigating and evaluating the degree to which such matters may affect their ability to bid on, otherwise acquire, or make use of toll free numbers available in the 833 Auction.</w:t>
      </w:r>
      <w:r w:rsidRPr="00F66B55">
        <w:t xml:space="preserve">  Each potential applicant is responsible for undertaking research to ensure that any </w:t>
      </w:r>
      <w:r>
        <w:t>rights to use toll free numbers</w:t>
      </w:r>
      <w:r w:rsidRPr="00F66B55">
        <w:t xml:space="preserve"> won in this auction will be suitable for its business plans and needs.  Each potential applicant must undertake its own assessment of the relevance and importance of information gathered as part of its due diligence efforts.</w:t>
      </w:r>
    </w:p>
    <w:p w:rsidR="00B42A2B" w:rsidRDefault="00AA13C4" w:rsidP="00B42A2B">
      <w:pPr>
        <w:pStyle w:val="Heading2"/>
      </w:pPr>
      <w:bookmarkStart w:id="581" w:name="_Toc11682272"/>
      <w:bookmarkStart w:id="582" w:name="_Toc11737964"/>
      <w:bookmarkStart w:id="583" w:name="_Toc11846668"/>
      <w:bookmarkStart w:id="584" w:name="_Toc11944575"/>
      <w:bookmarkStart w:id="585" w:name="_Toc12288478"/>
      <w:bookmarkStart w:id="586" w:name="_Toc12440623"/>
      <w:bookmarkStart w:id="587" w:name="_Toc12548240"/>
      <w:bookmarkStart w:id="588" w:name="_Toc12610419"/>
      <w:bookmarkStart w:id="589" w:name="_Toc12634253"/>
      <w:bookmarkStart w:id="590" w:name="_Toc12975667"/>
      <w:bookmarkStart w:id="591" w:name="_Toc13469570"/>
      <w:bookmarkEnd w:id="577"/>
      <w:bookmarkEnd w:id="578"/>
      <w:bookmarkEnd w:id="579"/>
      <w:bookmarkEnd w:id="580"/>
      <w:r>
        <w:t>Bidder Education</w:t>
      </w:r>
      <w:bookmarkEnd w:id="581"/>
      <w:bookmarkEnd w:id="582"/>
      <w:bookmarkEnd w:id="583"/>
      <w:bookmarkEnd w:id="584"/>
      <w:bookmarkEnd w:id="585"/>
      <w:bookmarkEnd w:id="586"/>
      <w:bookmarkEnd w:id="587"/>
      <w:bookmarkEnd w:id="588"/>
      <w:bookmarkEnd w:id="589"/>
      <w:bookmarkEnd w:id="590"/>
      <w:bookmarkEnd w:id="591"/>
    </w:p>
    <w:p w:rsidR="00B42A2B" w:rsidRPr="00935652" w:rsidRDefault="00AA13C4" w:rsidP="00B42A2B">
      <w:pPr>
        <w:pStyle w:val="ParaNum"/>
        <w:widowControl/>
      </w:pPr>
      <w:r w:rsidRPr="00935652">
        <w:rPr>
          <w:szCs w:val="22"/>
        </w:rPr>
        <w:t xml:space="preserve">We direct Somos to provide detailed educational information to would-be participants before the opening of the auction application filing window on October 7, 2019.  Specifically, Somos </w:t>
      </w:r>
      <w:r>
        <w:rPr>
          <w:szCs w:val="22"/>
        </w:rPr>
        <w:t>must</w:t>
      </w:r>
      <w:r w:rsidRPr="00935652">
        <w:rPr>
          <w:szCs w:val="22"/>
        </w:rPr>
        <w:t xml:space="preserve"> provide </w:t>
      </w:r>
      <w:r>
        <w:rPr>
          <w:szCs w:val="22"/>
        </w:rPr>
        <w:t>educational</w:t>
      </w:r>
      <w:r w:rsidRPr="00935652">
        <w:rPr>
          <w:szCs w:val="22"/>
        </w:rPr>
        <w:t xml:space="preserve"> materials on the pre-auction processes in advance of the opening of the application window, beginning with the release of step-by-step instructions for completing the auction application.  In addition, </w:t>
      </w:r>
      <w:r>
        <w:rPr>
          <w:szCs w:val="22"/>
        </w:rPr>
        <w:t xml:space="preserve">we direct </w:t>
      </w:r>
      <w:r w:rsidRPr="00935652">
        <w:rPr>
          <w:szCs w:val="22"/>
        </w:rPr>
        <w:t xml:space="preserve">Somos </w:t>
      </w:r>
      <w:r>
        <w:rPr>
          <w:szCs w:val="22"/>
        </w:rPr>
        <w:t>to</w:t>
      </w:r>
      <w:r w:rsidRPr="00935652">
        <w:rPr>
          <w:szCs w:val="22"/>
        </w:rPr>
        <w:t xml:space="preserve"> provide an online tutorial covering information on application procedures (including pre-auction preparation, completing auction applications, and the application review process) and bidding procedures.  </w:t>
      </w:r>
      <w:r>
        <w:rPr>
          <w:szCs w:val="22"/>
        </w:rPr>
        <w:t>W</w:t>
      </w:r>
      <w:r w:rsidRPr="00935652">
        <w:rPr>
          <w:szCs w:val="22"/>
        </w:rPr>
        <w:t xml:space="preserve">e </w:t>
      </w:r>
      <w:r>
        <w:rPr>
          <w:szCs w:val="22"/>
        </w:rPr>
        <w:t xml:space="preserve">further </w:t>
      </w:r>
      <w:r w:rsidRPr="00935652">
        <w:rPr>
          <w:szCs w:val="22"/>
        </w:rPr>
        <w:t>direct Somos to provide educational materials on the bidding process and an opportunity to practice the bid upload process in advance of the bidding.</w:t>
      </w:r>
    </w:p>
    <w:p w:rsidR="00B42A2B" w:rsidRDefault="00AA13C4" w:rsidP="00B42A2B">
      <w:pPr>
        <w:pStyle w:val="Heading2"/>
      </w:pPr>
      <w:bookmarkStart w:id="592" w:name="_Toc11074576"/>
      <w:bookmarkStart w:id="593" w:name="_Toc11163057"/>
      <w:bookmarkStart w:id="594" w:name="_Toc11251335"/>
      <w:bookmarkStart w:id="595" w:name="_Toc11335508"/>
      <w:bookmarkStart w:id="596" w:name="_Toc11682273"/>
      <w:bookmarkStart w:id="597" w:name="_Toc11737965"/>
      <w:bookmarkStart w:id="598" w:name="_Toc11846669"/>
      <w:bookmarkStart w:id="599" w:name="_Toc11944576"/>
      <w:bookmarkStart w:id="600" w:name="_Toc12288479"/>
      <w:bookmarkStart w:id="601" w:name="_Toc12440624"/>
      <w:bookmarkStart w:id="602" w:name="_Toc12548241"/>
      <w:bookmarkStart w:id="603" w:name="_Toc12610420"/>
      <w:bookmarkStart w:id="604" w:name="_Toc12634254"/>
      <w:bookmarkStart w:id="605" w:name="_Toc12975668"/>
      <w:bookmarkStart w:id="606" w:name="_Toc13469571"/>
      <w:r>
        <w:t>Registration for Auction ID</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B42A2B" w:rsidRPr="00CB7A33" w:rsidRDefault="00AA13C4" w:rsidP="00B42A2B">
      <w:pPr>
        <w:pStyle w:val="ParaNum"/>
        <w:widowControl/>
      </w:pPr>
      <w:r>
        <w:t xml:space="preserve">As a first step in the 833 Auction application process, an interested party must acquire an “Auction ID” from Somos, which will verify the potential applicant’s identity.  Any entity that cannot be verified through the Somos verification process, or is otherwise unable to participate in the auction directly, will have the option to participate in the auction through a RespOrg (i.e., the RespOrg will bid on its behalf and will be responsible for making final payment on any winning bids).  We proposed this registration process in the </w:t>
      </w:r>
      <w:r w:rsidRPr="00872F44">
        <w:rPr>
          <w:i/>
        </w:rPr>
        <w:t>833 Auction Comment Public Notice</w:t>
      </w:r>
      <w:r>
        <w:t xml:space="preserve"> and received no comments on it.</w:t>
      </w:r>
      <w:r>
        <w:rPr>
          <w:rStyle w:val="FootnoteReference"/>
        </w:rPr>
        <w:footnoteReference w:id="172"/>
      </w:r>
      <w:r>
        <w:t xml:space="preserve">  This registration procedure is consistent with the need to obtain an FCC Registration Number (FRN) to apply for Commission auctions.</w:t>
      </w:r>
      <w:r>
        <w:rPr>
          <w:rStyle w:val="FootnoteReference"/>
        </w:rPr>
        <w:footnoteReference w:id="173"/>
      </w:r>
      <w:r>
        <w:t xml:space="preserve">  Therefore, we adopt the proposal and urge interested parties to allow sufficient time prior to the application deadline to register so that, should any party encounter difficulties in the registration process, it would have time to make arrangements to alternatively participate in the auction through a RespOrg.</w:t>
      </w:r>
    </w:p>
    <w:p w:rsidR="00B42A2B" w:rsidRDefault="00AA13C4" w:rsidP="00B42A2B">
      <w:pPr>
        <w:pStyle w:val="Heading2"/>
      </w:pPr>
      <w:bookmarkStart w:id="607" w:name="_Toc11074577"/>
      <w:bookmarkStart w:id="608" w:name="_Toc11163058"/>
      <w:bookmarkStart w:id="609" w:name="_Toc11251336"/>
      <w:bookmarkStart w:id="610" w:name="_Toc11335509"/>
      <w:bookmarkStart w:id="611" w:name="_Toc11682274"/>
      <w:bookmarkStart w:id="612" w:name="_Toc11737966"/>
      <w:bookmarkStart w:id="613" w:name="_Toc11846670"/>
      <w:bookmarkStart w:id="614" w:name="_Toc11944577"/>
      <w:bookmarkStart w:id="615" w:name="_Toc12288480"/>
      <w:bookmarkStart w:id="616" w:name="_Toc12440625"/>
      <w:bookmarkStart w:id="617" w:name="_Toc12548242"/>
      <w:bookmarkStart w:id="618" w:name="_Toc12610421"/>
      <w:bookmarkStart w:id="619" w:name="_Toc12634255"/>
      <w:bookmarkStart w:id="620" w:name="_Toc12975669"/>
      <w:bookmarkStart w:id="621" w:name="_Toc13469572"/>
      <w:r>
        <w:t>Auction Application</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B42A2B" w:rsidRPr="00FE26E8" w:rsidRDefault="00AA13C4" w:rsidP="00B42A2B">
      <w:pPr>
        <w:pStyle w:val="ParaNum"/>
        <w:widowControl/>
      </w:pPr>
      <w:r>
        <w:rPr>
          <w:szCs w:val="22"/>
        </w:rPr>
        <w:t>Once</w:t>
      </w:r>
      <w:r w:rsidRPr="005712E5">
        <w:rPr>
          <w:szCs w:val="22"/>
        </w:rPr>
        <w:t xml:space="preserve"> </w:t>
      </w:r>
      <w:r>
        <w:rPr>
          <w:szCs w:val="22"/>
        </w:rPr>
        <w:t>Somos verifies an interested party’s identity and issues an “Auction ID” to it, the entity must then submit an auction</w:t>
      </w:r>
      <w:r w:rsidRPr="005712E5">
        <w:rPr>
          <w:szCs w:val="22"/>
        </w:rPr>
        <w:t xml:space="preserve"> application (FCC Form </w:t>
      </w:r>
      <w:r>
        <w:rPr>
          <w:szCs w:val="22"/>
        </w:rPr>
        <w:t>833)</w:t>
      </w:r>
      <w:r w:rsidRPr="005712E5">
        <w:rPr>
          <w:szCs w:val="22"/>
        </w:rPr>
        <w:t xml:space="preserve"> electronically via </w:t>
      </w:r>
      <w:r>
        <w:rPr>
          <w:szCs w:val="22"/>
        </w:rPr>
        <w:t xml:space="preserve">the Somos Auction System.  Applicants must </w:t>
      </w:r>
      <w:r w:rsidRPr="005712E5">
        <w:rPr>
          <w:szCs w:val="22"/>
        </w:rPr>
        <w:t xml:space="preserve">follow the FCC Form </w:t>
      </w:r>
      <w:r>
        <w:rPr>
          <w:szCs w:val="22"/>
        </w:rPr>
        <w:t>833 i</w:t>
      </w:r>
      <w:r w:rsidRPr="005712E5">
        <w:rPr>
          <w:szCs w:val="22"/>
        </w:rPr>
        <w:t>nstructions</w:t>
      </w:r>
      <w:r>
        <w:rPr>
          <w:szCs w:val="22"/>
        </w:rPr>
        <w:t xml:space="preserve"> that Somos will release before the application window opens.</w:t>
      </w:r>
      <w:r>
        <w:rPr>
          <w:rStyle w:val="FootnoteReference"/>
          <w:szCs w:val="22"/>
        </w:rPr>
        <w:footnoteReference w:id="174"/>
      </w:r>
    </w:p>
    <w:p w:rsidR="00B42A2B" w:rsidRPr="00E61A82" w:rsidRDefault="00AA13C4" w:rsidP="00B42A2B">
      <w:pPr>
        <w:pStyle w:val="ParaNum"/>
      </w:pPr>
      <w:r w:rsidRPr="00E61A82">
        <w:rPr>
          <w:szCs w:val="22"/>
        </w:rPr>
        <w:t xml:space="preserve">The auction application will become available with the opening of the initial filing window </w:t>
      </w:r>
      <w:r w:rsidRPr="00872F44">
        <w:rPr>
          <w:szCs w:val="22"/>
        </w:rPr>
        <w:t xml:space="preserve">at 12:00 noon ET </w:t>
      </w:r>
      <w:r w:rsidRPr="00E61A82">
        <w:rPr>
          <w:szCs w:val="22"/>
        </w:rPr>
        <w:t xml:space="preserve">on October 7, 2019 and must be submitted </w:t>
      </w:r>
      <w:r w:rsidRPr="00E61A82">
        <w:rPr>
          <w:b/>
          <w:szCs w:val="22"/>
        </w:rPr>
        <w:t>prior to</w:t>
      </w:r>
      <w:r w:rsidRPr="00E61A82">
        <w:rPr>
          <w:szCs w:val="22"/>
        </w:rPr>
        <w:t xml:space="preserve"> 6:00 p.m. ET on October 18, 2019.  </w:t>
      </w:r>
      <w:r w:rsidRPr="00E61A82">
        <w:rPr>
          <w:b/>
          <w:szCs w:val="22"/>
        </w:rPr>
        <w:t>Late applications will not be accepted.</w:t>
      </w:r>
      <w:r w:rsidRPr="00E61A82">
        <w:rPr>
          <w:szCs w:val="22"/>
        </w:rPr>
        <w:t xml:space="preserve">  Applicants are strongly encouraged to file early and are responsible for allowing adequate time for filing their applications.  </w:t>
      </w:r>
    </w:p>
    <w:p w:rsidR="00B42A2B" w:rsidRDefault="00AA13C4" w:rsidP="00B42A2B">
      <w:pPr>
        <w:pStyle w:val="Heading2"/>
        <w:widowControl/>
      </w:pPr>
      <w:bookmarkStart w:id="622" w:name="_Toc11074578"/>
      <w:bookmarkStart w:id="623" w:name="_Toc11163059"/>
      <w:bookmarkStart w:id="624" w:name="_Toc11251337"/>
      <w:bookmarkStart w:id="625" w:name="_Toc11335510"/>
      <w:bookmarkStart w:id="626" w:name="_Toc11682275"/>
      <w:bookmarkStart w:id="627" w:name="_Toc11737967"/>
      <w:bookmarkStart w:id="628" w:name="_Toc11846671"/>
      <w:bookmarkStart w:id="629" w:name="_Toc11944578"/>
      <w:bookmarkStart w:id="630" w:name="_Toc12288481"/>
      <w:bookmarkStart w:id="631" w:name="_Toc12440626"/>
      <w:bookmarkStart w:id="632" w:name="_Toc12548243"/>
      <w:bookmarkStart w:id="633" w:name="_Toc12610422"/>
      <w:bookmarkStart w:id="634" w:name="_Toc12634256"/>
      <w:bookmarkStart w:id="635" w:name="_Toc12975670"/>
      <w:bookmarkStart w:id="636" w:name="_Toc13469573"/>
      <w:r>
        <w:t>Application Processing and Minor Modifications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B42A2B" w:rsidRDefault="00AA13C4" w:rsidP="00B42A2B">
      <w:pPr>
        <w:pStyle w:val="Heading3"/>
        <w:widowControl/>
      </w:pPr>
      <w:bookmarkStart w:id="637" w:name="_Toc11074579"/>
      <w:bookmarkStart w:id="638" w:name="_Toc11163060"/>
      <w:bookmarkStart w:id="639" w:name="_Toc11251338"/>
      <w:bookmarkStart w:id="640" w:name="_Toc11335511"/>
      <w:bookmarkStart w:id="641" w:name="_Toc11682276"/>
      <w:bookmarkStart w:id="642" w:name="_Toc11737968"/>
      <w:bookmarkStart w:id="643" w:name="_Toc11846672"/>
      <w:bookmarkStart w:id="644" w:name="_Toc11944579"/>
      <w:bookmarkStart w:id="645" w:name="_Toc12288482"/>
      <w:bookmarkStart w:id="646" w:name="_Toc12440627"/>
      <w:bookmarkStart w:id="647" w:name="_Toc12548244"/>
      <w:bookmarkStart w:id="648" w:name="_Toc12610423"/>
      <w:bookmarkStart w:id="649" w:name="_Toc12634257"/>
      <w:bookmarkStart w:id="650" w:name="_Toc12975671"/>
      <w:bookmarkStart w:id="651" w:name="_Toc13469574"/>
      <w:r>
        <w:t>Public Notice of Applicant’s Initial Application Status and Opportunity for Minor Modifications</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B42A2B" w:rsidRPr="002E444D" w:rsidRDefault="00AA13C4" w:rsidP="00B42A2B">
      <w:pPr>
        <w:pStyle w:val="ParaNum"/>
        <w:widowControl/>
      </w:pPr>
      <w:r w:rsidRPr="005712E5">
        <w:rPr>
          <w:szCs w:val="22"/>
        </w:rPr>
        <w:t xml:space="preserve">After the deadline for filing auction applications, </w:t>
      </w:r>
      <w:r>
        <w:rPr>
          <w:szCs w:val="22"/>
        </w:rPr>
        <w:t>Somos</w:t>
      </w:r>
      <w:r w:rsidRPr="005712E5">
        <w:rPr>
          <w:szCs w:val="22"/>
        </w:rPr>
        <w:t xml:space="preserve"> will process all timely submitted applications to determine whether each applicant has complied with the application requirements and provided all information concerning its qualifications for bidding.  </w:t>
      </w:r>
      <w:r>
        <w:rPr>
          <w:szCs w:val="22"/>
        </w:rPr>
        <w:t>After review of all the auction applications</w:t>
      </w:r>
      <w:r w:rsidRPr="005712E5">
        <w:rPr>
          <w:szCs w:val="22"/>
        </w:rPr>
        <w:t xml:space="preserve">, </w:t>
      </w:r>
      <w:r>
        <w:rPr>
          <w:szCs w:val="22"/>
        </w:rPr>
        <w:t>Somos</w:t>
      </w:r>
      <w:r w:rsidRPr="005712E5">
        <w:rPr>
          <w:szCs w:val="22"/>
        </w:rPr>
        <w:t xml:space="preserve"> will issue a public notice with applicants’ initial application status </w:t>
      </w:r>
      <w:r>
        <w:rPr>
          <w:szCs w:val="22"/>
        </w:rPr>
        <w:t>as either</w:t>
      </w:r>
      <w:r w:rsidRPr="005712E5">
        <w:rPr>
          <w:szCs w:val="22"/>
        </w:rPr>
        <w:t xml:space="preserve"> complete </w:t>
      </w:r>
      <w:r>
        <w:rPr>
          <w:szCs w:val="22"/>
        </w:rPr>
        <w:t>or incomplete</w:t>
      </w:r>
      <w:r w:rsidRPr="005712E5">
        <w:rPr>
          <w:szCs w:val="22"/>
        </w:rPr>
        <w:t xml:space="preserve">.  The public notice will include the deadline for resubmitting corrected applications and a paper copy will be sent to the contact address listed in the </w:t>
      </w:r>
      <w:r>
        <w:rPr>
          <w:szCs w:val="22"/>
        </w:rPr>
        <w:t>auction application</w:t>
      </w:r>
      <w:r w:rsidRPr="005712E5">
        <w:rPr>
          <w:szCs w:val="22"/>
        </w:rPr>
        <w:t xml:space="preserve"> for each applicant by overnight delivery.  In addition, each applicant with an incomplete application will be sent information on the nature of the deficiencies in its application, along with the name and phone number of a </w:t>
      </w:r>
      <w:r>
        <w:rPr>
          <w:szCs w:val="22"/>
        </w:rPr>
        <w:t>Somos</w:t>
      </w:r>
      <w:r w:rsidRPr="005712E5">
        <w:rPr>
          <w:szCs w:val="22"/>
        </w:rPr>
        <w:t xml:space="preserve"> staff member who can answer questions specific to the application</w:t>
      </w:r>
      <w:r>
        <w:rPr>
          <w:szCs w:val="22"/>
        </w:rPr>
        <w:t>.</w:t>
      </w:r>
    </w:p>
    <w:p w:rsidR="00B42A2B" w:rsidRPr="002E444D" w:rsidRDefault="00AA13C4" w:rsidP="00B42A2B">
      <w:pPr>
        <w:pStyle w:val="ParaNum"/>
        <w:widowControl/>
      </w:pPr>
      <w:r w:rsidRPr="005712E5">
        <w:rPr>
          <w:szCs w:val="22"/>
        </w:rPr>
        <w:t xml:space="preserve">After the initial application filing deadline on </w:t>
      </w:r>
      <w:r>
        <w:rPr>
          <w:szCs w:val="22"/>
        </w:rPr>
        <w:t>October</w:t>
      </w:r>
      <w:r w:rsidRPr="005712E5">
        <w:rPr>
          <w:szCs w:val="22"/>
        </w:rPr>
        <w:t xml:space="preserve"> 18, 201</w:t>
      </w:r>
      <w:r>
        <w:rPr>
          <w:szCs w:val="22"/>
        </w:rPr>
        <w:t>9</w:t>
      </w:r>
      <w:r w:rsidRPr="005712E5">
        <w:rPr>
          <w:szCs w:val="22"/>
        </w:rPr>
        <w:t>, applicants can make only minor modifications to their applications.</w:t>
      </w:r>
      <w:r>
        <w:rPr>
          <w:rStyle w:val="FootnoteReference"/>
          <w:szCs w:val="22"/>
        </w:rPr>
        <w:footnoteReference w:id="175"/>
      </w:r>
      <w:r w:rsidRPr="005712E5">
        <w:rPr>
          <w:szCs w:val="22"/>
        </w:rPr>
        <w:t xml:space="preserve">  Major modifications </w:t>
      </w:r>
      <w:r>
        <w:rPr>
          <w:szCs w:val="22"/>
        </w:rPr>
        <w:t>(</w:t>
      </w:r>
      <w:r w:rsidRPr="005712E5">
        <w:rPr>
          <w:szCs w:val="22"/>
        </w:rPr>
        <w:t xml:space="preserve">e.g., change </w:t>
      </w:r>
      <w:r>
        <w:rPr>
          <w:szCs w:val="22"/>
        </w:rPr>
        <w:t>toll free number</w:t>
      </w:r>
      <w:r w:rsidRPr="005712E5">
        <w:rPr>
          <w:szCs w:val="22"/>
        </w:rPr>
        <w:t xml:space="preserve"> selection</w:t>
      </w:r>
      <w:r>
        <w:rPr>
          <w:szCs w:val="22"/>
        </w:rPr>
        <w:t>s</w:t>
      </w:r>
      <w:r w:rsidRPr="005712E5">
        <w:rPr>
          <w:szCs w:val="22"/>
        </w:rPr>
        <w:t>,</w:t>
      </w:r>
      <w:r>
        <w:rPr>
          <w:szCs w:val="22"/>
        </w:rPr>
        <w:t xml:space="preserve"> change in the party on whose behalf the applicant will be bidding,</w:t>
      </w:r>
      <w:r w:rsidRPr="005712E5">
        <w:rPr>
          <w:szCs w:val="22"/>
        </w:rPr>
        <w:t xml:space="preserve"> certain changes in ownership that would constitute an assignment or transfer of control of the applicant, change in applicant’s legal classification that results in a change in control</w:t>
      </w:r>
      <w:r>
        <w:rPr>
          <w:szCs w:val="22"/>
        </w:rPr>
        <w:t xml:space="preserve">, or </w:t>
      </w:r>
      <w:r w:rsidRPr="005712E5">
        <w:rPr>
          <w:szCs w:val="22"/>
        </w:rPr>
        <w:t>change in the required certifications</w:t>
      </w:r>
      <w:r>
        <w:rPr>
          <w:szCs w:val="22"/>
        </w:rPr>
        <w:t>)</w:t>
      </w:r>
      <w:r w:rsidRPr="005712E5">
        <w:rPr>
          <w:szCs w:val="22"/>
        </w:rPr>
        <w:t xml:space="preserve"> will not be permitted.  After the deadline for resubmitting corrected applications, an applicant will have no further opportunity to cure any deficiencies in its application or provide any additional information that may affect </w:t>
      </w:r>
      <w:r>
        <w:rPr>
          <w:szCs w:val="22"/>
        </w:rPr>
        <w:t xml:space="preserve">the </w:t>
      </w:r>
      <w:r w:rsidRPr="005712E5">
        <w:rPr>
          <w:szCs w:val="22"/>
        </w:rPr>
        <w:t xml:space="preserve">ultimate determination of whether and to what extent the applicant is qualified to participate in </w:t>
      </w:r>
      <w:r>
        <w:rPr>
          <w:szCs w:val="22"/>
        </w:rPr>
        <w:t>the 833 Auction.</w:t>
      </w:r>
    </w:p>
    <w:p w:rsidR="00B42A2B" w:rsidRDefault="00AA13C4" w:rsidP="00B42A2B">
      <w:pPr>
        <w:pStyle w:val="ParaNum"/>
        <w:widowControl/>
      </w:pPr>
      <w:r w:rsidRPr="0097342E">
        <w:rPr>
          <w:szCs w:val="22"/>
        </w:rPr>
        <w:t xml:space="preserve">Somos staff will communicate only with an applicant’s contact person or certifying official, as designated on the auction application, unless the applicant’s certifying official or contact person notifies </w:t>
      </w:r>
      <w:r>
        <w:rPr>
          <w:szCs w:val="22"/>
        </w:rPr>
        <w:t>Somos</w:t>
      </w:r>
      <w:r w:rsidRPr="0097342E">
        <w:rPr>
          <w:szCs w:val="22"/>
        </w:rPr>
        <w:t xml:space="preserve"> staff in writing that another representative is authorized to speak on the applicant’s behalf.  Authorizations may be sent by email to</w:t>
      </w:r>
      <w:r>
        <w:rPr>
          <w:szCs w:val="22"/>
        </w:rPr>
        <w:t xml:space="preserve"> </w:t>
      </w:r>
      <w:hyperlink r:id="rId17" w:history="1">
        <w:r w:rsidRPr="00816525">
          <w:rPr>
            <w:rStyle w:val="Hyperlink"/>
          </w:rPr>
          <w:t>auctionhelp@somos.com</w:t>
        </w:r>
      </w:hyperlink>
      <w:r>
        <w:t>.</w:t>
      </w:r>
    </w:p>
    <w:p w:rsidR="00B42A2B" w:rsidRDefault="00AA13C4" w:rsidP="00B42A2B">
      <w:pPr>
        <w:pStyle w:val="Heading3"/>
      </w:pPr>
      <w:bookmarkStart w:id="652" w:name="_Toc11074580"/>
      <w:bookmarkStart w:id="653" w:name="_Toc11163061"/>
      <w:bookmarkStart w:id="654" w:name="_Toc11251339"/>
      <w:bookmarkStart w:id="655" w:name="_Toc11335512"/>
      <w:bookmarkStart w:id="656" w:name="_Toc11682277"/>
      <w:bookmarkStart w:id="657" w:name="_Toc11737969"/>
      <w:bookmarkStart w:id="658" w:name="_Toc11846673"/>
      <w:bookmarkStart w:id="659" w:name="_Toc11944580"/>
      <w:bookmarkStart w:id="660" w:name="_Toc12288483"/>
      <w:bookmarkStart w:id="661" w:name="_Toc12440628"/>
      <w:bookmarkStart w:id="662" w:name="_Toc12548245"/>
      <w:bookmarkStart w:id="663" w:name="_Toc12610424"/>
      <w:bookmarkStart w:id="664" w:name="_Toc12634258"/>
      <w:bookmarkStart w:id="665" w:name="_Toc12975672"/>
      <w:bookmarkStart w:id="666" w:name="_Toc13469575"/>
      <w:r>
        <w:t>Public Notice of Applicant’s Final Application Status After Upfront Payment Deadline</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B42A2B" w:rsidRPr="00E61A82" w:rsidRDefault="00AA13C4" w:rsidP="00B42A2B">
      <w:pPr>
        <w:pStyle w:val="ParaNum"/>
      </w:pPr>
      <w:r w:rsidRPr="005712E5">
        <w:rPr>
          <w:szCs w:val="22"/>
        </w:rPr>
        <w:t xml:space="preserve">After </w:t>
      </w:r>
      <w:r>
        <w:rPr>
          <w:szCs w:val="22"/>
        </w:rPr>
        <w:t>Somos</w:t>
      </w:r>
      <w:r w:rsidRPr="005712E5">
        <w:rPr>
          <w:szCs w:val="22"/>
        </w:rPr>
        <w:t xml:space="preserve"> staff review resubmitted applications, </w:t>
      </w:r>
      <w:r>
        <w:rPr>
          <w:szCs w:val="22"/>
        </w:rPr>
        <w:t>Somos</w:t>
      </w:r>
      <w:r w:rsidRPr="005712E5">
        <w:rPr>
          <w:szCs w:val="22"/>
        </w:rPr>
        <w:t xml:space="preserve"> will release a public notice identifying applicants that have become qualified bidders for that auction.  Qualified bidders are those applicants with submitted </w:t>
      </w:r>
      <w:r>
        <w:rPr>
          <w:szCs w:val="22"/>
        </w:rPr>
        <w:t>auctions</w:t>
      </w:r>
      <w:r w:rsidRPr="005712E5">
        <w:rPr>
          <w:szCs w:val="22"/>
        </w:rPr>
        <w:t xml:space="preserve"> applications that are deemed timely filed and complete</w:t>
      </w:r>
      <w:r>
        <w:rPr>
          <w:szCs w:val="22"/>
        </w:rPr>
        <w:t xml:space="preserve"> and who provided a sufficient upfront payment.</w:t>
      </w:r>
    </w:p>
    <w:p w:rsidR="00B42A2B" w:rsidRDefault="00AA13C4" w:rsidP="00B42A2B">
      <w:pPr>
        <w:pStyle w:val="Heading2"/>
      </w:pPr>
      <w:bookmarkStart w:id="667" w:name="_Toc11074581"/>
      <w:bookmarkStart w:id="668" w:name="_Toc11163062"/>
      <w:bookmarkStart w:id="669" w:name="_Toc11251340"/>
      <w:bookmarkStart w:id="670" w:name="_Toc11335513"/>
      <w:bookmarkStart w:id="671" w:name="_Toc11682278"/>
      <w:bookmarkStart w:id="672" w:name="_Toc11737970"/>
      <w:bookmarkStart w:id="673" w:name="_Toc11846674"/>
      <w:bookmarkStart w:id="674" w:name="_Toc11944581"/>
      <w:bookmarkStart w:id="675" w:name="_Toc12288484"/>
      <w:bookmarkStart w:id="676" w:name="_Toc12440629"/>
      <w:bookmarkStart w:id="677" w:name="_Toc12548246"/>
      <w:bookmarkStart w:id="678" w:name="_Toc12610425"/>
      <w:bookmarkStart w:id="679" w:name="_Toc12634259"/>
      <w:bookmarkStart w:id="680" w:name="_Toc12975673"/>
      <w:bookmarkStart w:id="681" w:name="_Toc13469576"/>
      <w:r>
        <w:t>Upfront Payments</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B42A2B" w:rsidRDefault="00AA13C4" w:rsidP="00B42A2B">
      <w:pPr>
        <w:pStyle w:val="Heading3"/>
      </w:pPr>
      <w:bookmarkStart w:id="682" w:name="_Toc11074582"/>
      <w:bookmarkStart w:id="683" w:name="_Toc11163063"/>
      <w:bookmarkStart w:id="684" w:name="_Toc11251341"/>
      <w:bookmarkStart w:id="685" w:name="_Toc11335514"/>
      <w:bookmarkStart w:id="686" w:name="_Toc11682279"/>
      <w:bookmarkStart w:id="687" w:name="_Toc11737971"/>
      <w:bookmarkStart w:id="688" w:name="_Toc11846675"/>
      <w:bookmarkStart w:id="689" w:name="_Toc11944582"/>
      <w:bookmarkStart w:id="690" w:name="_Toc12288485"/>
      <w:bookmarkStart w:id="691" w:name="_Toc12440630"/>
      <w:bookmarkStart w:id="692" w:name="_Toc12548247"/>
      <w:bookmarkStart w:id="693" w:name="_Toc12610426"/>
      <w:bookmarkStart w:id="694" w:name="_Toc12634260"/>
      <w:bookmarkStart w:id="695" w:name="_Toc12975674"/>
      <w:bookmarkStart w:id="696" w:name="_Toc13469577"/>
      <w:r>
        <w:t>Amount of Upfront Payment and Bidding Eligibility</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B42A2B" w:rsidRPr="00DD79E8" w:rsidRDefault="00AA13C4" w:rsidP="00B42A2B">
      <w:pPr>
        <w:pStyle w:val="ParaNum"/>
        <w:widowControl/>
      </w:pPr>
      <w:r>
        <w:rPr>
          <w:szCs w:val="22"/>
        </w:rPr>
        <w:t xml:space="preserve">Each potential bidder must provide an upfront payment in a specified amount for the maximum number of toll free numbers on which it may wish to submit a bid in the 833 Auction.  </w:t>
      </w:r>
      <w:r w:rsidRPr="005712E5">
        <w:rPr>
          <w:szCs w:val="22"/>
        </w:rPr>
        <w:t xml:space="preserve">An upfront payment is a refundable deposit made by each </w:t>
      </w:r>
      <w:r>
        <w:rPr>
          <w:szCs w:val="22"/>
        </w:rPr>
        <w:t xml:space="preserve">auction </w:t>
      </w:r>
      <w:r w:rsidRPr="005712E5">
        <w:rPr>
          <w:szCs w:val="22"/>
        </w:rPr>
        <w:t xml:space="preserve">applicant to establish its eligibility to bid </w:t>
      </w:r>
      <w:r>
        <w:rPr>
          <w:szCs w:val="22"/>
        </w:rPr>
        <w:t xml:space="preserve">in the auction.  Upfront payments </w:t>
      </w:r>
      <w:r w:rsidRPr="005712E5">
        <w:rPr>
          <w:szCs w:val="22"/>
        </w:rPr>
        <w:t>protect against frivolous or insincere bidding and provide a source of funds from which to collect payments owed at the close of bidding.</w:t>
      </w:r>
      <w:r>
        <w:rPr>
          <w:rStyle w:val="FootnoteReference"/>
          <w:szCs w:val="22"/>
        </w:rPr>
        <w:footnoteReference w:id="176"/>
      </w:r>
    </w:p>
    <w:p w:rsidR="00B42A2B" w:rsidRPr="00515AB8" w:rsidRDefault="00AA13C4" w:rsidP="00B42A2B">
      <w:pPr>
        <w:pStyle w:val="ParaNum"/>
        <w:widowControl/>
      </w:pPr>
      <w:r w:rsidRPr="00515AB8">
        <w:t xml:space="preserve">In the </w:t>
      </w:r>
      <w:r>
        <w:rPr>
          <w:i/>
        </w:rPr>
        <w:t>833 Auction</w:t>
      </w:r>
      <w:r w:rsidRPr="00515AB8">
        <w:rPr>
          <w:i/>
        </w:rPr>
        <w:t xml:space="preserve"> Comment Public Notice</w:t>
      </w:r>
      <w:r w:rsidRPr="00515AB8">
        <w:t>, we proposed that potential bidders provide an upfront payment of $100 per number because we wanted to encourage only serious, qualified bidders, whil</w:t>
      </w:r>
      <w:r>
        <w:t>e</w:t>
      </w:r>
      <w:r w:rsidRPr="00515AB8">
        <w:t xml:space="preserve"> at the same time</w:t>
      </w:r>
      <w:r>
        <w:t>,</w:t>
      </w:r>
      <w:r w:rsidRPr="00515AB8">
        <w:t xml:space="preserve"> not discourage participation in the auction.</w:t>
      </w:r>
      <w:r>
        <w:rPr>
          <w:rStyle w:val="FootnoteReference"/>
        </w:rPr>
        <w:footnoteReference w:id="177"/>
      </w:r>
      <w:r w:rsidRPr="00515AB8">
        <w:t xml:space="preserve">  We received no comments on the upfront payment</w:t>
      </w:r>
      <w:r>
        <w:t xml:space="preserve"> proposal.  We conclude that </w:t>
      </w:r>
      <w:r w:rsidRPr="00515AB8">
        <w:t>the propos</w:t>
      </w:r>
      <w:r>
        <w:t>ed upfront payment requirement</w:t>
      </w:r>
      <w:r w:rsidRPr="00515AB8">
        <w:t xml:space="preserve"> and the</w:t>
      </w:r>
      <w:r>
        <w:t xml:space="preserve"> proposed</w:t>
      </w:r>
      <w:r w:rsidRPr="00515AB8">
        <w:t xml:space="preserve"> amount</w:t>
      </w:r>
      <w:r>
        <w:t xml:space="preserve"> per toll free number will achieve the Commission’s stated goals, and therefore, adopt our proposal</w:t>
      </w:r>
      <w:r w:rsidRPr="00515AB8">
        <w:t xml:space="preserve">.  </w:t>
      </w:r>
      <w:r>
        <w:t>Moreover, s</w:t>
      </w:r>
      <w:r w:rsidRPr="00515AB8">
        <w:t xml:space="preserve">ince the </w:t>
      </w:r>
      <w:r>
        <w:t>833 Auction</w:t>
      </w:r>
      <w:r w:rsidRPr="00515AB8">
        <w:t xml:space="preserve"> will serve as an experiment</w:t>
      </w:r>
      <w:r>
        <w:t xml:space="preserve"> in using competitive bidding for assigning toll free numbers</w:t>
      </w:r>
      <w:r w:rsidRPr="00515AB8">
        <w:t xml:space="preserve">, the values of the auctioned numbers can help inform our decisions </w:t>
      </w:r>
      <w:r>
        <w:t>regarding upfront payment amounts in</w:t>
      </w:r>
      <w:r w:rsidRPr="00515AB8">
        <w:t xml:space="preserve"> any future toll free number auctions.</w:t>
      </w:r>
    </w:p>
    <w:p w:rsidR="00B42A2B" w:rsidRPr="00562924" w:rsidRDefault="00AA13C4" w:rsidP="00B42A2B">
      <w:pPr>
        <w:pStyle w:val="ParaNum"/>
        <w:widowControl/>
      </w:pPr>
      <w:r w:rsidRPr="009702B1">
        <w:rPr>
          <w:szCs w:val="22"/>
        </w:rPr>
        <w:t xml:space="preserve">We reiterate that, if a </w:t>
      </w:r>
      <w:r>
        <w:rPr>
          <w:szCs w:val="22"/>
        </w:rPr>
        <w:t xml:space="preserve">bidder’s </w:t>
      </w:r>
      <w:r w:rsidRPr="009702B1">
        <w:rPr>
          <w:szCs w:val="22"/>
        </w:rPr>
        <w:t>winning bid</w:t>
      </w:r>
      <w:r>
        <w:rPr>
          <w:szCs w:val="22"/>
        </w:rPr>
        <w:t>s total l</w:t>
      </w:r>
      <w:r w:rsidRPr="009702B1">
        <w:rPr>
          <w:szCs w:val="22"/>
        </w:rPr>
        <w:t xml:space="preserve">ess than </w:t>
      </w:r>
      <w:r>
        <w:rPr>
          <w:szCs w:val="22"/>
        </w:rPr>
        <w:t>it</w:t>
      </w:r>
      <w:r w:rsidRPr="009702B1">
        <w:rPr>
          <w:szCs w:val="22"/>
        </w:rPr>
        <w:t>s upfront payment, any remaining amount will be refunded to the bidder, minus any default pay</w:t>
      </w:r>
      <w:r>
        <w:rPr>
          <w:szCs w:val="22"/>
        </w:rPr>
        <w:t>ment</w:t>
      </w:r>
      <w:r w:rsidRPr="009702B1">
        <w:rPr>
          <w:szCs w:val="22"/>
        </w:rPr>
        <w:t xml:space="preserve">s that the bidder may owe.  Similarly, if a bidder does not have any winning bids, it will be reimbursed the entirety of its upfront payment.  Moreover, we note that, to become a qualified bidder in the </w:t>
      </w:r>
      <w:r>
        <w:rPr>
          <w:szCs w:val="22"/>
        </w:rPr>
        <w:t>833 Auction</w:t>
      </w:r>
      <w:r w:rsidRPr="009702B1">
        <w:rPr>
          <w:szCs w:val="22"/>
        </w:rPr>
        <w:t xml:space="preserve">, in addition to having a complete auction application, an interested party must submit a sufficient upfront payment. </w:t>
      </w:r>
      <w:r>
        <w:rPr>
          <w:b/>
          <w:szCs w:val="22"/>
        </w:rPr>
        <w:t xml:space="preserve"> Thus, a</w:t>
      </w:r>
      <w:r w:rsidRPr="005712E5">
        <w:rPr>
          <w:b/>
          <w:szCs w:val="22"/>
        </w:rPr>
        <w:t>t a minimum, an applicant</w:t>
      </w:r>
      <w:r>
        <w:rPr>
          <w:b/>
          <w:szCs w:val="22"/>
        </w:rPr>
        <w:t xml:space="preserve"> must submit $100 (i.e., </w:t>
      </w:r>
      <w:r w:rsidRPr="005712E5">
        <w:rPr>
          <w:b/>
          <w:szCs w:val="22"/>
        </w:rPr>
        <w:t xml:space="preserve">enough to establish eligibility to bid on at least one </w:t>
      </w:r>
      <w:r>
        <w:rPr>
          <w:b/>
          <w:szCs w:val="22"/>
        </w:rPr>
        <w:t xml:space="preserve">toll free number).  </w:t>
      </w:r>
      <w:r w:rsidRPr="005712E5">
        <w:rPr>
          <w:szCs w:val="22"/>
        </w:rPr>
        <w:t xml:space="preserve">Failure to deliver a sufficient upfront payment as instructed herein by the applicable upfront payment deadline will result in dismissal of the </w:t>
      </w:r>
      <w:r>
        <w:rPr>
          <w:szCs w:val="22"/>
        </w:rPr>
        <w:t>auction</w:t>
      </w:r>
      <w:r w:rsidRPr="005712E5">
        <w:rPr>
          <w:szCs w:val="22"/>
        </w:rPr>
        <w:t xml:space="preserve"> application and disqualification from participation in the auction</w:t>
      </w:r>
      <w:r>
        <w:rPr>
          <w:szCs w:val="22"/>
        </w:rPr>
        <w:t>.</w:t>
      </w:r>
    </w:p>
    <w:p w:rsidR="00B42A2B" w:rsidRPr="0097342E" w:rsidRDefault="00AA13C4" w:rsidP="00B42A2B">
      <w:pPr>
        <w:pStyle w:val="Heading3"/>
      </w:pPr>
      <w:bookmarkStart w:id="697" w:name="_Toc11074583"/>
      <w:bookmarkStart w:id="698" w:name="_Toc11163064"/>
      <w:bookmarkStart w:id="699" w:name="_Toc11251342"/>
      <w:bookmarkStart w:id="700" w:name="_Toc11335515"/>
      <w:bookmarkStart w:id="701" w:name="_Toc11682280"/>
      <w:bookmarkStart w:id="702" w:name="_Toc11737972"/>
      <w:bookmarkStart w:id="703" w:name="_Toc11846676"/>
      <w:bookmarkStart w:id="704" w:name="_Toc11944583"/>
      <w:bookmarkStart w:id="705" w:name="_Toc12288486"/>
      <w:bookmarkStart w:id="706" w:name="_Toc12440631"/>
      <w:bookmarkStart w:id="707" w:name="_Toc12548248"/>
      <w:bookmarkStart w:id="708" w:name="_Toc12610427"/>
      <w:bookmarkStart w:id="709" w:name="_Toc12634261"/>
      <w:bookmarkStart w:id="710" w:name="_Toc12975675"/>
      <w:bookmarkStart w:id="711" w:name="_Toc13469578"/>
      <w:r>
        <w:t>Submitting an Upfront Payment</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B42A2B" w:rsidRDefault="00AA13C4" w:rsidP="00B42A2B">
      <w:pPr>
        <w:pStyle w:val="ParaNum"/>
        <w:widowControl/>
        <w:rPr>
          <w:szCs w:val="22"/>
        </w:rPr>
      </w:pPr>
      <w:r w:rsidRPr="00786242">
        <w:rPr>
          <w:szCs w:val="22"/>
        </w:rPr>
        <w:t xml:space="preserve">In order to be eligible to bid in the </w:t>
      </w:r>
      <w:r>
        <w:rPr>
          <w:szCs w:val="22"/>
        </w:rPr>
        <w:t>833 Auction</w:t>
      </w:r>
      <w:r w:rsidRPr="00786242">
        <w:rPr>
          <w:szCs w:val="22"/>
        </w:rPr>
        <w:t xml:space="preserve">, an applicant must submit a sufficient upfront payment to Somos </w:t>
      </w:r>
      <w:r w:rsidRPr="00562924">
        <w:rPr>
          <w:b/>
          <w:szCs w:val="22"/>
        </w:rPr>
        <w:t>before 6:00 p.m. ET on November 27, 2019</w:t>
      </w:r>
      <w:r w:rsidRPr="00786242">
        <w:rPr>
          <w:szCs w:val="22"/>
        </w:rPr>
        <w:t xml:space="preserve">.  Each applicant is responsible for ensuring timely submission of its upfront payment.  </w:t>
      </w:r>
    </w:p>
    <w:p w:rsidR="00B42A2B" w:rsidRPr="00F9336A" w:rsidRDefault="00AA13C4" w:rsidP="00B42A2B">
      <w:pPr>
        <w:pStyle w:val="ParaNum"/>
        <w:widowControl/>
      </w:pPr>
      <w:r w:rsidRPr="00515AB8">
        <w:rPr>
          <w:szCs w:val="22"/>
        </w:rPr>
        <w:t>All payments must be made in U.S. dollars.</w:t>
      </w:r>
    </w:p>
    <w:p w:rsidR="00B42A2B" w:rsidRPr="0097342E" w:rsidRDefault="00AA13C4" w:rsidP="00B42A2B">
      <w:pPr>
        <w:pStyle w:val="ParaNum"/>
        <w:widowControl/>
      </w:pPr>
      <w:r w:rsidRPr="00515AB8">
        <w:rPr>
          <w:szCs w:val="22"/>
        </w:rPr>
        <w:t xml:space="preserve">In the </w:t>
      </w:r>
      <w:r>
        <w:rPr>
          <w:i/>
          <w:szCs w:val="22"/>
        </w:rPr>
        <w:t>833 Auction</w:t>
      </w:r>
      <w:r w:rsidRPr="00515AB8">
        <w:rPr>
          <w:i/>
          <w:szCs w:val="22"/>
        </w:rPr>
        <w:t xml:space="preserve"> Comment Public Notice</w:t>
      </w:r>
      <w:r w:rsidRPr="00515AB8">
        <w:rPr>
          <w:szCs w:val="22"/>
        </w:rPr>
        <w:t xml:space="preserve">, we proposed to require upfront </w:t>
      </w:r>
      <w:r>
        <w:t>payments of more than $300 be made via wire transfer.</w:t>
      </w:r>
      <w:r>
        <w:rPr>
          <w:rStyle w:val="FootnoteReference"/>
        </w:rPr>
        <w:footnoteReference w:id="178"/>
      </w:r>
      <w:r>
        <w:t xml:space="preserve">  Specifically, we proposed that any upfront payment in excess of $300 must be made through a wire transfer to Somos (or its payment designee), and any amounts under this threshold (i.e., $300 or less) can be made using an alternative payment collection process, such as Automated Clearing House (ACH).</w:t>
      </w:r>
      <w:r>
        <w:rPr>
          <w:rStyle w:val="FootnoteReference"/>
        </w:rPr>
        <w:footnoteReference w:id="179"/>
      </w:r>
      <w:r>
        <w:t xml:space="preserve">  We received no comments on this proposal or the threshold amount.  We find that the proposed approach will ensure prompt and assured transfer of funds for those who plan to bid on more than three toll free numbers, while the alternative payment process should make it easier for individuals or small entities that are interested in only a few toll free numbers, and therefore adopt our proposals.</w:t>
      </w:r>
      <w:r>
        <w:rPr>
          <w:rStyle w:val="FootnoteReference"/>
        </w:rPr>
        <w:footnoteReference w:id="180"/>
      </w:r>
      <w:r>
        <w:t xml:space="preserve">  Thus, we will require payment by wire transfer for any amount in excess of $300 and allow payment by ACH for $300 or less.  Regardless of its payment method, e</w:t>
      </w:r>
      <w:r w:rsidRPr="009803F4">
        <w:rPr>
          <w:szCs w:val="22"/>
        </w:rPr>
        <w:t xml:space="preserve">ach applicant is responsible for obtaining confirmation from its financial institution that its </w:t>
      </w:r>
      <w:r>
        <w:rPr>
          <w:szCs w:val="22"/>
        </w:rPr>
        <w:t>payment</w:t>
      </w:r>
      <w:r w:rsidRPr="009803F4">
        <w:rPr>
          <w:szCs w:val="22"/>
        </w:rPr>
        <w:t xml:space="preserve"> to Somos was successful</w:t>
      </w:r>
      <w:r>
        <w:rPr>
          <w:szCs w:val="22"/>
        </w:rPr>
        <w:t>.</w:t>
      </w:r>
    </w:p>
    <w:p w:rsidR="00B42A2B" w:rsidRDefault="00AA13C4" w:rsidP="00B42A2B">
      <w:pPr>
        <w:pStyle w:val="ParaNum"/>
        <w:widowControl/>
        <w:rPr>
          <w:szCs w:val="22"/>
        </w:rPr>
      </w:pPr>
      <w:r w:rsidRPr="009B388E">
        <w:rPr>
          <w:i/>
          <w:szCs w:val="22"/>
        </w:rPr>
        <w:t xml:space="preserve">Wire Transfer </w:t>
      </w:r>
      <w:r>
        <w:rPr>
          <w:i/>
          <w:szCs w:val="22"/>
        </w:rPr>
        <w:t xml:space="preserve">Payment </w:t>
      </w:r>
      <w:r w:rsidRPr="009B388E">
        <w:rPr>
          <w:i/>
          <w:szCs w:val="22"/>
        </w:rPr>
        <w:t>Information</w:t>
      </w:r>
      <w:r>
        <w:rPr>
          <w:szCs w:val="22"/>
        </w:rPr>
        <w:t>.  If an applicant is providing its upfront payment by wire transfer, it</w:t>
      </w:r>
      <w:r w:rsidRPr="00786242">
        <w:rPr>
          <w:szCs w:val="22"/>
        </w:rPr>
        <w:t xml:space="preserve"> should coordinate with its financial institution well ahead of the due date and allow sufficient time for the transfer to be initiated and completed prior to the deadline.  The Commission has repeatedly cautioned auction participants about the importance of planning ahead to prepare for unforeseen last-minute difficulties in making payments by wire transfer.</w:t>
      </w:r>
      <w:r>
        <w:rPr>
          <w:rStyle w:val="FootnoteReference"/>
          <w:szCs w:val="22"/>
        </w:rPr>
        <w:footnoteReference w:id="181"/>
      </w:r>
      <w:r w:rsidRPr="00786242">
        <w:rPr>
          <w:szCs w:val="22"/>
        </w:rPr>
        <w:t xml:space="preserve">  </w:t>
      </w:r>
      <w:r>
        <w:rPr>
          <w:szCs w:val="22"/>
        </w:rPr>
        <w:t>The following information will be needed for wire transfers:</w:t>
      </w:r>
    </w:p>
    <w:p w:rsidR="00B42A2B" w:rsidRDefault="00AA13C4" w:rsidP="00B42A2B">
      <w:pPr>
        <w:ind w:left="720"/>
        <w:rPr>
          <w:rFonts w:ascii="Helvetica" w:hAnsi="Helvetica"/>
          <w:snapToGrid/>
          <w:color w:val="000000"/>
          <w:kern w:val="0"/>
          <w:sz w:val="27"/>
          <w:szCs w:val="27"/>
        </w:rPr>
      </w:pPr>
      <w:r>
        <w:rPr>
          <w:color w:val="000000"/>
        </w:rPr>
        <w:t>ABA </w:t>
      </w:r>
      <w:r>
        <w:rPr>
          <w:caps/>
          <w:color w:val="000000"/>
        </w:rPr>
        <w:t>ROUTING NUMBER</w:t>
      </w:r>
      <w:r>
        <w:rPr>
          <w:color w:val="000000"/>
        </w:rPr>
        <w:t>:     021000021</w:t>
      </w:r>
    </w:p>
    <w:p w:rsidR="00B42A2B" w:rsidRDefault="00AA13C4" w:rsidP="00B42A2B">
      <w:pPr>
        <w:ind w:left="720"/>
        <w:rPr>
          <w:rFonts w:ascii="Helvetica" w:hAnsi="Helvetica"/>
          <w:color w:val="000000"/>
          <w:sz w:val="27"/>
          <w:szCs w:val="27"/>
        </w:rPr>
      </w:pPr>
      <w:r>
        <w:rPr>
          <w:caps/>
          <w:color w:val="000000"/>
        </w:rPr>
        <w:t>RECEIVING BANK</w:t>
      </w:r>
      <w:r>
        <w:rPr>
          <w:color w:val="000000"/>
        </w:rPr>
        <w:t>:                 JP Morgan Chase Bank</w:t>
      </w:r>
    </w:p>
    <w:p w:rsidR="00B42A2B" w:rsidRDefault="00AA13C4" w:rsidP="00B42A2B">
      <w:pPr>
        <w:ind w:left="2880" w:firstLine="720"/>
        <w:rPr>
          <w:rFonts w:ascii="Helvetica" w:hAnsi="Helvetica"/>
          <w:color w:val="000000"/>
          <w:sz w:val="27"/>
          <w:szCs w:val="27"/>
        </w:rPr>
      </w:pPr>
      <w:r>
        <w:rPr>
          <w:color w:val="000000"/>
        </w:rPr>
        <w:t>270 Park Avenue,</w:t>
      </w:r>
    </w:p>
    <w:p w:rsidR="00B42A2B" w:rsidRDefault="00AA13C4" w:rsidP="00B42A2B">
      <w:pPr>
        <w:ind w:left="2880" w:firstLine="720"/>
        <w:rPr>
          <w:rFonts w:ascii="Helvetica" w:hAnsi="Helvetica"/>
          <w:color w:val="000000"/>
          <w:sz w:val="27"/>
          <w:szCs w:val="27"/>
        </w:rPr>
      </w:pPr>
      <w:r>
        <w:rPr>
          <w:color w:val="000000"/>
        </w:rPr>
        <w:t>New York, NY 10017</w:t>
      </w:r>
    </w:p>
    <w:p w:rsidR="00B42A2B" w:rsidRDefault="00AA13C4" w:rsidP="00B42A2B">
      <w:pPr>
        <w:ind w:left="720"/>
        <w:rPr>
          <w:rFonts w:ascii="Helvetica" w:hAnsi="Helvetica"/>
          <w:color w:val="000000"/>
          <w:sz w:val="27"/>
          <w:szCs w:val="27"/>
        </w:rPr>
      </w:pPr>
      <w:r>
        <w:rPr>
          <w:caps/>
          <w:color w:val="000000"/>
        </w:rPr>
        <w:t>BENEFICIARY</w:t>
      </w:r>
      <w:r>
        <w:rPr>
          <w:color w:val="000000"/>
        </w:rPr>
        <w:t>:                        </w:t>
      </w:r>
      <w:r>
        <w:rPr>
          <w:color w:val="000000"/>
        </w:rPr>
        <w:tab/>
        <w:t>Somos, Inc.</w:t>
      </w:r>
    </w:p>
    <w:p w:rsidR="00B42A2B" w:rsidRDefault="00AA13C4" w:rsidP="00B42A2B">
      <w:pPr>
        <w:ind w:left="2880" w:firstLine="720"/>
        <w:rPr>
          <w:color w:val="000000"/>
        </w:rPr>
      </w:pPr>
      <w:r>
        <w:rPr>
          <w:color w:val="000000"/>
        </w:rPr>
        <w:t>Two Tower Center Boulevard</w:t>
      </w:r>
    </w:p>
    <w:p w:rsidR="00B42A2B" w:rsidRDefault="00AA13C4" w:rsidP="00B42A2B">
      <w:pPr>
        <w:ind w:left="2880" w:firstLine="720"/>
        <w:rPr>
          <w:color w:val="000000"/>
        </w:rPr>
      </w:pPr>
      <w:r>
        <w:rPr>
          <w:color w:val="000000"/>
        </w:rPr>
        <w:t>20th Floor</w:t>
      </w:r>
    </w:p>
    <w:p w:rsidR="00B42A2B" w:rsidRDefault="00AA13C4" w:rsidP="00B42A2B">
      <w:pPr>
        <w:ind w:left="2880" w:firstLine="720"/>
        <w:rPr>
          <w:rFonts w:ascii="Helvetica" w:hAnsi="Helvetica"/>
          <w:color w:val="000000"/>
          <w:sz w:val="27"/>
          <w:szCs w:val="27"/>
        </w:rPr>
      </w:pPr>
      <w:r>
        <w:rPr>
          <w:color w:val="000000"/>
        </w:rPr>
        <w:t>East Brunswick, NJ 08816</w:t>
      </w:r>
    </w:p>
    <w:p w:rsidR="00B42A2B" w:rsidRDefault="00AA13C4" w:rsidP="00B42A2B">
      <w:pPr>
        <w:ind w:firstLine="720"/>
        <w:rPr>
          <w:rFonts w:ascii="Helvetica" w:hAnsi="Helvetica"/>
          <w:color w:val="000000"/>
          <w:sz w:val="27"/>
          <w:szCs w:val="27"/>
        </w:rPr>
      </w:pPr>
      <w:r>
        <w:rPr>
          <w:caps/>
          <w:color w:val="000000"/>
        </w:rPr>
        <w:t>ACCOUNT NUMBER</w:t>
      </w:r>
      <w:r>
        <w:rPr>
          <w:color w:val="000000"/>
        </w:rPr>
        <w:t>:             </w:t>
      </w:r>
      <w:r>
        <w:rPr>
          <w:color w:val="000000"/>
        </w:rPr>
        <w:tab/>
        <w:t>511665892</w:t>
      </w:r>
    </w:p>
    <w:p w:rsidR="00B42A2B" w:rsidRDefault="00AA13C4" w:rsidP="00B42A2B">
      <w:pPr>
        <w:ind w:left="720"/>
        <w:rPr>
          <w:color w:val="000000"/>
          <w:sz w:val="24"/>
          <w:szCs w:val="24"/>
        </w:rPr>
      </w:pPr>
      <w:r>
        <w:rPr>
          <w:color w:val="000000"/>
        </w:rPr>
        <w:t>ORIGINATING BANK INFORMATION (OBI field): (skip one space between each information item)</w:t>
      </w:r>
    </w:p>
    <w:p w:rsidR="00B42A2B" w:rsidRDefault="00AA13C4" w:rsidP="00B42A2B">
      <w:pPr>
        <w:ind w:left="2880" w:firstLine="720"/>
        <w:rPr>
          <w:color w:val="000000"/>
          <w:sz w:val="24"/>
          <w:szCs w:val="24"/>
        </w:rPr>
      </w:pPr>
      <w:r>
        <w:rPr>
          <w:color w:val="000000"/>
        </w:rPr>
        <w:t>“833 AUCTIONPAY”</w:t>
      </w:r>
    </w:p>
    <w:p w:rsidR="00B42A2B" w:rsidRDefault="00AA13C4" w:rsidP="00B42A2B">
      <w:pPr>
        <w:ind w:left="720"/>
        <w:rPr>
          <w:color w:val="000000"/>
        </w:rPr>
      </w:pPr>
      <w:r>
        <w:rPr>
          <w:color w:val="000000"/>
        </w:rPr>
        <w:t>APPLICANT AUCTION ID NUMBER: (same as FCC Form 833)</w:t>
      </w:r>
    </w:p>
    <w:p w:rsidR="00B42A2B" w:rsidRDefault="00AA13C4" w:rsidP="00B42A2B">
      <w:pPr>
        <w:ind w:left="720"/>
        <w:rPr>
          <w:color w:val="000000"/>
          <w:sz w:val="24"/>
          <w:szCs w:val="24"/>
        </w:rPr>
      </w:pPr>
      <w:r>
        <w:rPr>
          <w:color w:val="000000"/>
        </w:rPr>
        <w:t>PAYER NAME: (use exact same entity or individual name as used in FCC Form 833)</w:t>
      </w:r>
    </w:p>
    <w:p w:rsidR="00B42A2B" w:rsidRDefault="00B42A2B" w:rsidP="00B42A2B">
      <w:pPr>
        <w:ind w:left="720"/>
        <w:rPr>
          <w:color w:val="000000"/>
          <w:sz w:val="24"/>
          <w:szCs w:val="24"/>
        </w:rPr>
      </w:pPr>
    </w:p>
    <w:p w:rsidR="00B42A2B" w:rsidRDefault="00AA13C4" w:rsidP="00B42A2B">
      <w:pPr>
        <w:pStyle w:val="ParaNum"/>
        <w:widowControl/>
        <w:rPr>
          <w:szCs w:val="22"/>
        </w:rPr>
      </w:pPr>
      <w:r w:rsidRPr="009B388E">
        <w:rPr>
          <w:i/>
          <w:szCs w:val="22"/>
        </w:rPr>
        <w:t>ACH</w:t>
      </w:r>
      <w:r>
        <w:rPr>
          <w:i/>
          <w:szCs w:val="22"/>
        </w:rPr>
        <w:t xml:space="preserve"> Payment</w:t>
      </w:r>
      <w:r w:rsidRPr="009B388E">
        <w:rPr>
          <w:i/>
          <w:szCs w:val="22"/>
        </w:rPr>
        <w:t xml:space="preserve"> Information</w:t>
      </w:r>
      <w:r w:rsidRPr="009B388E">
        <w:rPr>
          <w:szCs w:val="22"/>
        </w:rPr>
        <w:t>.  If an applicant is providing its upfront payment by ACH, the following information will be needed:</w:t>
      </w:r>
    </w:p>
    <w:p w:rsidR="00B42A2B" w:rsidRDefault="00AA13C4" w:rsidP="00B42A2B">
      <w:pPr>
        <w:ind w:left="720"/>
        <w:rPr>
          <w:rFonts w:ascii="Helvetica" w:hAnsi="Helvetica"/>
          <w:snapToGrid/>
          <w:color w:val="000000"/>
          <w:kern w:val="0"/>
          <w:sz w:val="27"/>
          <w:szCs w:val="27"/>
        </w:rPr>
      </w:pPr>
      <w:r>
        <w:rPr>
          <w:color w:val="000000"/>
        </w:rPr>
        <w:t>ABA </w:t>
      </w:r>
      <w:r>
        <w:rPr>
          <w:caps/>
          <w:color w:val="000000"/>
        </w:rPr>
        <w:t>ROUTING NUMBER</w:t>
      </w:r>
      <w:r>
        <w:rPr>
          <w:color w:val="000000"/>
        </w:rPr>
        <w:t>:     021000021</w:t>
      </w:r>
    </w:p>
    <w:p w:rsidR="00B42A2B" w:rsidRDefault="00AA13C4" w:rsidP="00B42A2B">
      <w:pPr>
        <w:ind w:left="720"/>
        <w:rPr>
          <w:rFonts w:ascii="Helvetica" w:hAnsi="Helvetica"/>
          <w:color w:val="000000"/>
          <w:sz w:val="27"/>
          <w:szCs w:val="27"/>
        </w:rPr>
      </w:pPr>
      <w:r>
        <w:rPr>
          <w:caps/>
          <w:color w:val="000000"/>
        </w:rPr>
        <w:t>RECEIVING BANK</w:t>
      </w:r>
      <w:r>
        <w:rPr>
          <w:color w:val="000000"/>
        </w:rPr>
        <w:t>:                 JP Morgan Chase Bank</w:t>
      </w:r>
    </w:p>
    <w:p w:rsidR="00B42A2B" w:rsidRDefault="00AA13C4" w:rsidP="00B42A2B">
      <w:pPr>
        <w:ind w:left="2880" w:firstLine="720"/>
        <w:rPr>
          <w:rFonts w:ascii="Helvetica" w:hAnsi="Helvetica"/>
          <w:color w:val="000000"/>
          <w:sz w:val="27"/>
          <w:szCs w:val="27"/>
        </w:rPr>
      </w:pPr>
      <w:r>
        <w:rPr>
          <w:color w:val="000000"/>
        </w:rPr>
        <w:t>270 Park Avenue,</w:t>
      </w:r>
    </w:p>
    <w:p w:rsidR="00B42A2B" w:rsidRDefault="00AA13C4" w:rsidP="00B42A2B">
      <w:pPr>
        <w:ind w:left="2880" w:firstLine="720"/>
        <w:rPr>
          <w:rFonts w:ascii="Helvetica" w:hAnsi="Helvetica"/>
          <w:color w:val="000000"/>
          <w:sz w:val="27"/>
          <w:szCs w:val="27"/>
        </w:rPr>
      </w:pPr>
      <w:r>
        <w:rPr>
          <w:color w:val="000000"/>
        </w:rPr>
        <w:t>New York, NY 10017</w:t>
      </w:r>
    </w:p>
    <w:p w:rsidR="00B42A2B" w:rsidRDefault="00AA13C4" w:rsidP="00B42A2B">
      <w:pPr>
        <w:ind w:left="720"/>
        <w:rPr>
          <w:rFonts w:ascii="Helvetica" w:hAnsi="Helvetica"/>
          <w:color w:val="000000"/>
          <w:sz w:val="27"/>
          <w:szCs w:val="27"/>
        </w:rPr>
      </w:pPr>
      <w:r>
        <w:rPr>
          <w:caps/>
          <w:color w:val="000000"/>
        </w:rPr>
        <w:t>BENEFICIARY</w:t>
      </w:r>
      <w:r>
        <w:rPr>
          <w:color w:val="000000"/>
        </w:rPr>
        <w:t>:                        </w:t>
      </w:r>
      <w:r>
        <w:rPr>
          <w:color w:val="000000"/>
        </w:rPr>
        <w:tab/>
        <w:t>Somos, Inc.</w:t>
      </w:r>
    </w:p>
    <w:p w:rsidR="00B42A2B" w:rsidRDefault="00AA13C4" w:rsidP="00B42A2B">
      <w:pPr>
        <w:ind w:left="2880" w:firstLine="720"/>
        <w:rPr>
          <w:color w:val="000000"/>
        </w:rPr>
      </w:pPr>
      <w:r>
        <w:rPr>
          <w:color w:val="000000"/>
        </w:rPr>
        <w:t>Two Tower Center Boulevard</w:t>
      </w:r>
    </w:p>
    <w:p w:rsidR="00B42A2B" w:rsidRDefault="00AA13C4" w:rsidP="00B42A2B">
      <w:pPr>
        <w:ind w:left="2880" w:firstLine="720"/>
        <w:rPr>
          <w:color w:val="000000"/>
        </w:rPr>
      </w:pPr>
      <w:r>
        <w:rPr>
          <w:color w:val="000000"/>
        </w:rPr>
        <w:t>20th Floor</w:t>
      </w:r>
    </w:p>
    <w:p w:rsidR="00B42A2B" w:rsidRDefault="00AA13C4" w:rsidP="00B42A2B">
      <w:pPr>
        <w:ind w:left="2880" w:firstLine="720"/>
        <w:rPr>
          <w:rFonts w:ascii="Helvetica" w:hAnsi="Helvetica"/>
          <w:color w:val="000000"/>
          <w:sz w:val="27"/>
          <w:szCs w:val="27"/>
        </w:rPr>
      </w:pPr>
      <w:r>
        <w:rPr>
          <w:color w:val="000000"/>
        </w:rPr>
        <w:t>East Brunswick, NJ 08816</w:t>
      </w:r>
    </w:p>
    <w:p w:rsidR="00B42A2B" w:rsidRDefault="00AA13C4" w:rsidP="00B42A2B">
      <w:pPr>
        <w:ind w:firstLine="720"/>
        <w:rPr>
          <w:color w:val="000000"/>
        </w:rPr>
      </w:pPr>
      <w:r>
        <w:rPr>
          <w:caps/>
          <w:color w:val="000000"/>
        </w:rPr>
        <w:t>ACCOUNT NUMBER</w:t>
      </w:r>
      <w:r>
        <w:rPr>
          <w:color w:val="000000"/>
        </w:rPr>
        <w:t>:             </w:t>
      </w:r>
      <w:r>
        <w:rPr>
          <w:color w:val="000000"/>
        </w:rPr>
        <w:tab/>
        <w:t>511665892</w:t>
      </w:r>
      <w:bookmarkStart w:id="712" w:name="_Toc11074584"/>
      <w:bookmarkStart w:id="713" w:name="_Toc11163065"/>
      <w:bookmarkStart w:id="714" w:name="_Toc11251343"/>
      <w:bookmarkStart w:id="715" w:name="_Toc11335516"/>
      <w:bookmarkStart w:id="716" w:name="_Toc11682281"/>
      <w:bookmarkStart w:id="717" w:name="_Toc11737973"/>
      <w:bookmarkStart w:id="718" w:name="_Toc11846677"/>
      <w:bookmarkStart w:id="719" w:name="_Toc11944584"/>
      <w:bookmarkStart w:id="720" w:name="_Toc12288487"/>
      <w:bookmarkStart w:id="721" w:name="_Toc12440632"/>
      <w:bookmarkStart w:id="722" w:name="_Toc12548249"/>
      <w:bookmarkStart w:id="723" w:name="_Toc12610428"/>
      <w:bookmarkStart w:id="724" w:name="_Toc12634262"/>
      <w:bookmarkStart w:id="725" w:name="_Toc12975676"/>
      <w:bookmarkStart w:id="726" w:name="_Toc13469579"/>
    </w:p>
    <w:p w:rsidR="00B42A2B" w:rsidRPr="00B42A2B" w:rsidRDefault="00B42A2B" w:rsidP="00B42A2B">
      <w:pPr>
        <w:ind w:firstLine="720"/>
        <w:rPr>
          <w:rFonts w:ascii="Helvetica" w:hAnsi="Helvetica"/>
          <w:color w:val="000000"/>
          <w:sz w:val="27"/>
          <w:szCs w:val="27"/>
        </w:rPr>
      </w:pPr>
    </w:p>
    <w:p w:rsidR="00B42A2B" w:rsidRDefault="00AA13C4" w:rsidP="00B42A2B">
      <w:pPr>
        <w:pStyle w:val="Heading2"/>
      </w:pPr>
      <w:r>
        <w:t>Bidding via Somos Auction System</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B42A2B" w:rsidRPr="006146FD" w:rsidRDefault="00AA13C4" w:rsidP="00B42A2B">
      <w:pPr>
        <w:pStyle w:val="ParaNum"/>
        <w:widowControl/>
        <w:rPr>
          <w:szCs w:val="22"/>
        </w:rPr>
      </w:pPr>
      <w:r w:rsidRPr="005712E5">
        <w:rPr>
          <w:szCs w:val="22"/>
        </w:rPr>
        <w:t xml:space="preserve">Bidders will be able to participate in </w:t>
      </w:r>
      <w:r>
        <w:rPr>
          <w:szCs w:val="22"/>
        </w:rPr>
        <w:t xml:space="preserve">the 833 Auction </w:t>
      </w:r>
      <w:r w:rsidRPr="005712E5">
        <w:rPr>
          <w:szCs w:val="22"/>
        </w:rPr>
        <w:t xml:space="preserve">over the Internet using </w:t>
      </w:r>
      <w:r>
        <w:rPr>
          <w:szCs w:val="22"/>
        </w:rPr>
        <w:t>the Somos Auction S</w:t>
      </w:r>
      <w:r w:rsidRPr="005712E5">
        <w:rPr>
          <w:szCs w:val="22"/>
        </w:rPr>
        <w:t xml:space="preserve">ystem.  Only qualified bidders are permitted to bid. </w:t>
      </w:r>
    </w:p>
    <w:p w:rsidR="00B42A2B" w:rsidRPr="009803F4" w:rsidRDefault="00AA13C4" w:rsidP="00B42A2B">
      <w:pPr>
        <w:pStyle w:val="ParaNum"/>
        <w:rPr>
          <w:szCs w:val="22"/>
        </w:rPr>
      </w:pPr>
      <w:r w:rsidRPr="009803F4">
        <w:rPr>
          <w:szCs w:val="22"/>
        </w:rPr>
        <w:t xml:space="preserve">The Commission and Somos make no warranties whatsoever, and shall not be deemed to have made any warranties, with respect to the Somos Auction System, including any implied warranties of merchantability or fitness for a particular purpose.  In no event shall the Commission, Somos, or any of their officers, employees, or agents, be liable for any damages whatsoever (including, but not limited to, loss of business profits, business interruption, loss of use, revenue, or business information, or any other direct, indirect, or consequential damages) arising out of or relating to the existence, furnishing, functioning, or use of the Somos Auction System.  Moreover, no obligation or liability will arise out of the technical, programming, or other advice or service provided </w:t>
      </w:r>
      <w:r>
        <w:rPr>
          <w:szCs w:val="22"/>
        </w:rPr>
        <w:t xml:space="preserve">by Somos or the Commission </w:t>
      </w:r>
      <w:r w:rsidRPr="009803F4">
        <w:rPr>
          <w:szCs w:val="22"/>
        </w:rPr>
        <w:t>in connection with the Somos Auction System.</w:t>
      </w:r>
    </w:p>
    <w:p w:rsidR="00B42A2B" w:rsidRPr="0025162E" w:rsidRDefault="00AA13C4" w:rsidP="00B42A2B">
      <w:pPr>
        <w:pStyle w:val="ParaNum"/>
      </w:pPr>
      <w:r w:rsidRPr="005712E5">
        <w:rPr>
          <w:szCs w:val="22"/>
        </w:rPr>
        <w:t xml:space="preserve">To the extent an issue arises with the </w:t>
      </w:r>
      <w:r>
        <w:rPr>
          <w:szCs w:val="22"/>
        </w:rPr>
        <w:t xml:space="preserve">Somos </w:t>
      </w:r>
      <w:r w:rsidRPr="005712E5">
        <w:rPr>
          <w:szCs w:val="22"/>
        </w:rPr>
        <w:t>Auction System itself,</w:t>
      </w:r>
      <w:r>
        <w:rPr>
          <w:szCs w:val="22"/>
        </w:rPr>
        <w:t xml:space="preserve"> we direct Somos</w:t>
      </w:r>
      <w:r w:rsidRPr="005712E5">
        <w:rPr>
          <w:szCs w:val="22"/>
        </w:rPr>
        <w:t xml:space="preserve"> </w:t>
      </w:r>
      <w:r>
        <w:rPr>
          <w:szCs w:val="22"/>
        </w:rPr>
        <w:t>to</w:t>
      </w:r>
      <w:r w:rsidRPr="005712E5">
        <w:rPr>
          <w:szCs w:val="22"/>
        </w:rPr>
        <w:t xml:space="preserve"> take all appropriate measures to resolve such issues quickly and equitably.  Should an issue arise that is outside the</w:t>
      </w:r>
      <w:r>
        <w:rPr>
          <w:szCs w:val="22"/>
        </w:rPr>
        <w:t xml:space="preserve"> Somos</w:t>
      </w:r>
      <w:r w:rsidRPr="005712E5">
        <w:rPr>
          <w:szCs w:val="22"/>
        </w:rPr>
        <w:t xml:space="preserve"> Auction System or attributable to a bidder, including, but not limited to, a bidder’s hardware, software, or Internet access problem that prevents the bidder from submitting a bid prior to the end of </w:t>
      </w:r>
      <w:r>
        <w:rPr>
          <w:szCs w:val="22"/>
        </w:rPr>
        <w:t>the bidding</w:t>
      </w:r>
      <w:r w:rsidRPr="005712E5">
        <w:rPr>
          <w:szCs w:val="22"/>
        </w:rPr>
        <w:t xml:space="preserve"> round, </w:t>
      </w:r>
      <w:r>
        <w:rPr>
          <w:szCs w:val="22"/>
        </w:rPr>
        <w:t xml:space="preserve">Somos (and </w:t>
      </w:r>
      <w:r w:rsidRPr="005712E5">
        <w:rPr>
          <w:szCs w:val="22"/>
        </w:rPr>
        <w:t>the Commission</w:t>
      </w:r>
      <w:r>
        <w:rPr>
          <w:szCs w:val="22"/>
        </w:rPr>
        <w:t>)</w:t>
      </w:r>
      <w:r w:rsidRPr="005712E5">
        <w:rPr>
          <w:szCs w:val="22"/>
        </w:rPr>
        <w:t xml:space="preserve"> shall have no obligation to resolve or remediate such an issue on behalf of the bidder.  Similarly, if an issue arises due to bidder error using the </w:t>
      </w:r>
      <w:r>
        <w:rPr>
          <w:szCs w:val="22"/>
        </w:rPr>
        <w:t xml:space="preserve">Somos </w:t>
      </w:r>
      <w:r w:rsidRPr="005712E5">
        <w:rPr>
          <w:szCs w:val="22"/>
        </w:rPr>
        <w:t xml:space="preserve">Auction System, </w:t>
      </w:r>
      <w:r>
        <w:rPr>
          <w:szCs w:val="22"/>
        </w:rPr>
        <w:t xml:space="preserve">Somos (and </w:t>
      </w:r>
      <w:r w:rsidRPr="005712E5">
        <w:rPr>
          <w:szCs w:val="22"/>
        </w:rPr>
        <w:t>the Commission</w:t>
      </w:r>
      <w:r>
        <w:rPr>
          <w:szCs w:val="22"/>
        </w:rPr>
        <w:t>)</w:t>
      </w:r>
      <w:r w:rsidRPr="005712E5">
        <w:rPr>
          <w:szCs w:val="22"/>
        </w:rPr>
        <w:t xml:space="preserve"> shall have no obligation to resolve or remediate such an issue on behalf of the bidder.  </w:t>
      </w:r>
      <w:r w:rsidRPr="007E1C13">
        <w:rPr>
          <w:szCs w:val="22"/>
        </w:rPr>
        <w:t>Accordingly, after the close of the bidding round, the results of bid processing will not be altered absent evidence of any failure in the Somos Auction System.</w:t>
      </w:r>
    </w:p>
    <w:p w:rsidR="00B42A2B" w:rsidRDefault="00AA13C4" w:rsidP="00B42A2B">
      <w:pPr>
        <w:pStyle w:val="Heading2"/>
      </w:pPr>
      <w:bookmarkStart w:id="727" w:name="_Toc11074585"/>
      <w:bookmarkStart w:id="728" w:name="_Toc11163066"/>
      <w:bookmarkStart w:id="729" w:name="_Toc11251344"/>
      <w:bookmarkStart w:id="730" w:name="_Toc11335517"/>
      <w:bookmarkStart w:id="731" w:name="_Toc11682282"/>
      <w:bookmarkStart w:id="732" w:name="_Toc11737974"/>
      <w:bookmarkStart w:id="733" w:name="_Toc11846678"/>
      <w:bookmarkStart w:id="734" w:name="_Toc11944585"/>
      <w:bookmarkStart w:id="735" w:name="_Toc12288488"/>
      <w:bookmarkStart w:id="736" w:name="_Toc12440633"/>
      <w:bookmarkStart w:id="737" w:name="_Toc12548250"/>
      <w:bookmarkStart w:id="738" w:name="_Toc12610429"/>
      <w:bookmarkStart w:id="739" w:name="_Toc12634263"/>
      <w:bookmarkStart w:id="740" w:name="_Toc12975677"/>
      <w:bookmarkStart w:id="741" w:name="_Toc13469580"/>
      <w:r>
        <w:t>Fraud Alert</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B42A2B" w:rsidRPr="005712E5" w:rsidRDefault="00AA13C4" w:rsidP="00B42A2B">
      <w:pPr>
        <w:pStyle w:val="ParaNum"/>
        <w:keepNext/>
        <w:widowControl/>
        <w:rPr>
          <w:szCs w:val="22"/>
        </w:rPr>
      </w:pPr>
      <w:r w:rsidRPr="005712E5">
        <w:rPr>
          <w:szCs w:val="22"/>
        </w:rPr>
        <w:t xml:space="preserve">As is the case with many business investment opportunities, some unscrupulous entrepreneurs may attempt to use </w:t>
      </w:r>
      <w:r>
        <w:rPr>
          <w:szCs w:val="22"/>
        </w:rPr>
        <w:t>the 833 Auction</w:t>
      </w:r>
      <w:r w:rsidRPr="005712E5">
        <w:rPr>
          <w:szCs w:val="22"/>
        </w:rPr>
        <w:t xml:space="preserve"> to deceive and defraud unsuspecting investors.  Common warning signals of fraud include the following:</w:t>
      </w:r>
    </w:p>
    <w:p w:rsidR="00B42A2B" w:rsidRPr="005712E5" w:rsidRDefault="00AA13C4" w:rsidP="00B42A2B">
      <w:pPr>
        <w:pStyle w:val="BulletCharChar"/>
        <w:widowControl/>
        <w:numPr>
          <w:ilvl w:val="0"/>
          <w:numId w:val="1"/>
        </w:numPr>
        <w:tabs>
          <w:tab w:val="clear" w:pos="360"/>
          <w:tab w:val="num" w:pos="720"/>
        </w:tabs>
        <w:spacing w:after="120" w:line="240" w:lineRule="auto"/>
        <w:ind w:left="720"/>
        <w:rPr>
          <w:szCs w:val="22"/>
        </w:rPr>
      </w:pPr>
      <w:r w:rsidRPr="005712E5">
        <w:rPr>
          <w:szCs w:val="22"/>
        </w:rPr>
        <w:t>The first contact is a “cold call” from a telemarketer or is made in response to an inquiry prompted by a radio or television infomercial.</w:t>
      </w:r>
    </w:p>
    <w:p w:rsidR="00B42A2B" w:rsidRPr="005712E5" w:rsidRDefault="00AA13C4" w:rsidP="00B42A2B">
      <w:pPr>
        <w:pStyle w:val="BulletCharChar"/>
        <w:widowControl/>
        <w:numPr>
          <w:ilvl w:val="0"/>
          <w:numId w:val="1"/>
        </w:numPr>
        <w:tabs>
          <w:tab w:val="clear" w:pos="360"/>
          <w:tab w:val="num" w:pos="720"/>
        </w:tabs>
        <w:spacing w:after="120" w:line="240" w:lineRule="auto"/>
        <w:ind w:left="720"/>
        <w:rPr>
          <w:szCs w:val="22"/>
        </w:rPr>
      </w:pPr>
      <w:r w:rsidRPr="005712E5">
        <w:rPr>
          <w:szCs w:val="22"/>
        </w:rPr>
        <w:t>The offering materials used to invest in the venture appear to be targeted at IRA funds, for example, by including all documents and papers needed for the transfer of funds maintained in IRA accounts.</w:t>
      </w:r>
    </w:p>
    <w:p w:rsidR="00B42A2B" w:rsidRPr="005712E5" w:rsidRDefault="00AA13C4" w:rsidP="00B42A2B">
      <w:pPr>
        <w:pStyle w:val="BulletCharChar"/>
        <w:widowControl/>
        <w:numPr>
          <w:ilvl w:val="0"/>
          <w:numId w:val="1"/>
        </w:numPr>
        <w:tabs>
          <w:tab w:val="clear" w:pos="360"/>
          <w:tab w:val="num" w:pos="720"/>
        </w:tabs>
        <w:spacing w:after="120" w:line="240" w:lineRule="auto"/>
        <w:ind w:left="720"/>
        <w:rPr>
          <w:szCs w:val="22"/>
        </w:rPr>
      </w:pPr>
      <w:r w:rsidRPr="005712E5">
        <w:rPr>
          <w:szCs w:val="22"/>
        </w:rPr>
        <w:t>The amount of investment is less than $25,000.</w:t>
      </w:r>
    </w:p>
    <w:p w:rsidR="00B42A2B" w:rsidRPr="005712E5" w:rsidRDefault="00AA13C4" w:rsidP="00B42A2B">
      <w:pPr>
        <w:pStyle w:val="BulletCharChar"/>
        <w:widowControl/>
        <w:numPr>
          <w:ilvl w:val="0"/>
          <w:numId w:val="1"/>
        </w:numPr>
        <w:tabs>
          <w:tab w:val="clear" w:pos="360"/>
          <w:tab w:val="num" w:pos="720"/>
        </w:tabs>
        <w:spacing w:after="120" w:line="240" w:lineRule="auto"/>
        <w:ind w:left="720"/>
        <w:rPr>
          <w:szCs w:val="22"/>
        </w:rPr>
      </w:pPr>
      <w:r w:rsidRPr="005712E5">
        <w:rPr>
          <w:szCs w:val="22"/>
        </w:rPr>
        <w:t>The sales representative makes verbal representations that (a) the Internal Revenue Service, Federal Trade Commission (FTC), Securities and Exchange Commission (SEC), FCC, or other government agency has approved the investment; (b) the investment is not subject to state or federal securities laws; or (c) the investment will yield unrealistically high short-term profits.  In addition, the offering materials often include copies of actual FCC releases, or quotes from FCC personnel, giving the appearance of FCC knowledge or approval of the solicitation.</w:t>
      </w:r>
    </w:p>
    <w:p w:rsidR="00B42A2B" w:rsidRPr="005712E5" w:rsidRDefault="00AA13C4" w:rsidP="00B42A2B">
      <w:pPr>
        <w:pStyle w:val="ParaNum"/>
        <w:widowControl/>
        <w:rPr>
          <w:szCs w:val="22"/>
        </w:rPr>
      </w:pPr>
      <w:r w:rsidRPr="005712E5">
        <w:rPr>
          <w:szCs w:val="22"/>
        </w:rPr>
        <w:t xml:space="preserve">Information about deceptive telemarketing investment schemes is available from the FCC as well as the FTC and SEC.  Additional sources of information for potential bidders and investors may be obtained from the following sources: </w:t>
      </w:r>
    </w:p>
    <w:p w:rsidR="00B42A2B" w:rsidRPr="005712E5" w:rsidRDefault="00AA13C4" w:rsidP="00B42A2B">
      <w:pPr>
        <w:pStyle w:val="BulletCharChar"/>
        <w:widowControl/>
        <w:numPr>
          <w:ilvl w:val="0"/>
          <w:numId w:val="1"/>
        </w:numPr>
        <w:tabs>
          <w:tab w:val="clear" w:pos="360"/>
          <w:tab w:val="clear" w:pos="2160"/>
        </w:tabs>
        <w:spacing w:after="120" w:line="240" w:lineRule="auto"/>
        <w:ind w:left="1080"/>
        <w:rPr>
          <w:szCs w:val="22"/>
        </w:rPr>
      </w:pPr>
      <w:r w:rsidRPr="005712E5">
        <w:rPr>
          <w:szCs w:val="22"/>
        </w:rPr>
        <w:t xml:space="preserve">the FCC’s Consumer Call Center at (888) 225-5322 or by visiting  </w:t>
      </w:r>
      <w:hyperlink r:id="rId18" w:history="1">
        <w:r w:rsidRPr="005712E5">
          <w:rPr>
            <w:rStyle w:val="Hyperlink"/>
            <w:szCs w:val="22"/>
          </w:rPr>
          <w:t>https://www.fcc.gov/general/frauds-scams-and-alerts-guides</w:t>
        </w:r>
      </w:hyperlink>
      <w:r w:rsidRPr="005712E5">
        <w:rPr>
          <w:szCs w:val="22"/>
        </w:rPr>
        <w:t xml:space="preserve">  </w:t>
      </w:r>
    </w:p>
    <w:p w:rsidR="00B42A2B" w:rsidRPr="005712E5" w:rsidRDefault="00AA13C4" w:rsidP="00B42A2B">
      <w:pPr>
        <w:pStyle w:val="BulletCharChar"/>
        <w:widowControl/>
        <w:numPr>
          <w:ilvl w:val="0"/>
          <w:numId w:val="1"/>
        </w:numPr>
        <w:tabs>
          <w:tab w:val="clear" w:pos="360"/>
          <w:tab w:val="clear" w:pos="2160"/>
        </w:tabs>
        <w:spacing w:after="120" w:line="240" w:lineRule="auto"/>
        <w:ind w:left="1080"/>
        <w:rPr>
          <w:szCs w:val="22"/>
        </w:rPr>
      </w:pPr>
      <w:r w:rsidRPr="005712E5">
        <w:rPr>
          <w:szCs w:val="22"/>
        </w:rPr>
        <w:t xml:space="preserve">the FTC at (877) FTC-HELP ((877) 382-4357) or by visiting </w:t>
      </w:r>
      <w:hyperlink r:id="rId19" w:history="1">
        <w:r w:rsidRPr="005712E5">
          <w:rPr>
            <w:rStyle w:val="Hyperlink"/>
            <w:szCs w:val="22"/>
          </w:rPr>
          <w:t>http://ftc.gov/bcp/edu/pubs/consumer/invest/inv03.shtm</w:t>
        </w:r>
      </w:hyperlink>
      <w:r w:rsidRPr="005712E5">
        <w:rPr>
          <w:szCs w:val="22"/>
        </w:rPr>
        <w:t xml:space="preserve">  </w:t>
      </w:r>
    </w:p>
    <w:p w:rsidR="00B42A2B" w:rsidRPr="005712E5" w:rsidRDefault="00AA13C4" w:rsidP="00B42A2B">
      <w:pPr>
        <w:pStyle w:val="BulletCharChar"/>
        <w:widowControl/>
        <w:numPr>
          <w:ilvl w:val="0"/>
          <w:numId w:val="1"/>
        </w:numPr>
        <w:tabs>
          <w:tab w:val="clear" w:pos="360"/>
          <w:tab w:val="clear" w:pos="2160"/>
        </w:tabs>
        <w:spacing w:after="120" w:line="240" w:lineRule="auto"/>
        <w:ind w:left="1080"/>
        <w:rPr>
          <w:szCs w:val="22"/>
        </w:rPr>
      </w:pPr>
      <w:r w:rsidRPr="005712E5">
        <w:rPr>
          <w:szCs w:val="22"/>
        </w:rPr>
        <w:t xml:space="preserve">the SEC at (202) 942-7040 or by visiting </w:t>
      </w:r>
      <w:hyperlink r:id="rId20" w:history="1">
        <w:r w:rsidRPr="005712E5">
          <w:rPr>
            <w:rStyle w:val="Hyperlink"/>
            <w:szCs w:val="22"/>
          </w:rPr>
          <w:t>https://www.sec.gov/investor</w:t>
        </w:r>
      </w:hyperlink>
    </w:p>
    <w:p w:rsidR="00B42A2B" w:rsidRPr="0025162E" w:rsidRDefault="00AA13C4" w:rsidP="00B42A2B">
      <w:pPr>
        <w:pStyle w:val="ParaNum"/>
      </w:pPr>
      <w:r w:rsidRPr="005712E5">
        <w:rPr>
          <w:szCs w:val="22"/>
        </w:rPr>
        <w:t>Complaints about specific deceptive telemarketing investment schemes should be directed to the FTC, the SEC, or the National Fraud Information Center at (202) 835-0618</w:t>
      </w:r>
      <w:r>
        <w:rPr>
          <w:szCs w:val="22"/>
        </w:rPr>
        <w:t>.</w:t>
      </w:r>
    </w:p>
    <w:p w:rsidR="00B42A2B" w:rsidRDefault="00AA13C4" w:rsidP="00B42A2B">
      <w:pPr>
        <w:pStyle w:val="Heading1"/>
      </w:pPr>
      <w:bookmarkStart w:id="742" w:name="_Toc11074586"/>
      <w:bookmarkStart w:id="743" w:name="_Toc11163067"/>
      <w:bookmarkStart w:id="744" w:name="_Toc11251345"/>
      <w:bookmarkStart w:id="745" w:name="_Toc11335518"/>
      <w:bookmarkStart w:id="746" w:name="_Toc11682283"/>
      <w:bookmarkStart w:id="747" w:name="_Toc11737975"/>
      <w:bookmarkStart w:id="748" w:name="_Toc11846679"/>
      <w:bookmarkStart w:id="749" w:name="_Toc11944586"/>
      <w:bookmarkStart w:id="750" w:name="_Toc12288489"/>
      <w:bookmarkStart w:id="751" w:name="_Toc12440634"/>
      <w:bookmarkStart w:id="752" w:name="_Toc12548251"/>
      <w:bookmarkStart w:id="753" w:name="_Toc12610430"/>
      <w:bookmarkStart w:id="754" w:name="_Toc12634264"/>
      <w:bookmarkStart w:id="755" w:name="_Toc12975678"/>
      <w:bookmarkStart w:id="756" w:name="_Toc13469581"/>
      <w:r>
        <w:t>Bidding in the 833 Auction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B42A2B" w:rsidRDefault="00AA13C4" w:rsidP="00B42A2B">
      <w:pPr>
        <w:pStyle w:val="Heading2"/>
      </w:pPr>
      <w:bookmarkStart w:id="757" w:name="_Toc11074587"/>
      <w:bookmarkStart w:id="758" w:name="_Toc11163068"/>
      <w:bookmarkStart w:id="759" w:name="_Toc11251346"/>
      <w:bookmarkStart w:id="760" w:name="_Toc11335519"/>
      <w:bookmarkStart w:id="761" w:name="_Toc11682284"/>
      <w:bookmarkStart w:id="762" w:name="_Toc11737976"/>
      <w:bookmarkStart w:id="763" w:name="_Toc11846680"/>
      <w:bookmarkStart w:id="764" w:name="_Toc11944587"/>
      <w:bookmarkStart w:id="765" w:name="_Toc12288490"/>
      <w:bookmarkStart w:id="766" w:name="_Toc12440635"/>
      <w:bookmarkStart w:id="767" w:name="_Toc12548252"/>
      <w:bookmarkStart w:id="768" w:name="_Toc12610431"/>
      <w:bookmarkStart w:id="769" w:name="_Toc12634265"/>
      <w:bookmarkStart w:id="770" w:name="_Toc12975679"/>
      <w:bookmarkStart w:id="771" w:name="_Toc13469582"/>
      <w:r>
        <w:t>Auction Design</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B42A2B" w:rsidRDefault="00AA13C4" w:rsidP="00B42A2B">
      <w:pPr>
        <w:pStyle w:val="ParaNum"/>
        <w:widowControl/>
      </w:pPr>
      <w:r>
        <w:t xml:space="preserve">The Commission decided in the </w:t>
      </w:r>
      <w:r>
        <w:rPr>
          <w:i/>
        </w:rPr>
        <w:t>Toll Free Assignment Modernization Order</w:t>
      </w:r>
      <w:r>
        <w:t xml:space="preserve"> that the 833 Auction will be conducted as a single round, sealed-bid auction.</w:t>
      </w:r>
      <w:r>
        <w:rPr>
          <w:rStyle w:val="FootnoteReference"/>
        </w:rPr>
        <w:footnoteReference w:id="182"/>
      </w:r>
      <w:r>
        <w:t xml:space="preserve">  All numbers will be available simultaneously for bidding during the round, with the winning bid for each number determined solely by bids for that number, independent of the bids for any other number.  Moreover, the Commission also chose to use a Vickrey auction, in which the amount paid by the winning bidder is determined by the second-highest bid.</w:t>
      </w:r>
      <w:r>
        <w:rPr>
          <w:rStyle w:val="FootnoteReference"/>
        </w:rPr>
        <w:footnoteReference w:id="183"/>
      </w:r>
      <w:r>
        <w:t xml:space="preserve">  Therefore, in the 833 Auction, the winning bidder for each 833 number will be the bidder that submits the highest bid and it will pay the second-highest bid amount for that number.</w:t>
      </w:r>
    </w:p>
    <w:p w:rsidR="00B42A2B" w:rsidRDefault="00AA13C4" w:rsidP="00B42A2B">
      <w:pPr>
        <w:pStyle w:val="ParaNum"/>
        <w:widowControl/>
      </w:pPr>
      <w:r>
        <w:t>In the event that a toll free number receives only one bid, the right to use the toll free number will be awarded to the bidder submitting the sole bid and the bidder will not be required to pay anything to acquire the rights to the toll free number because there was no second-highest bid.</w:t>
      </w:r>
      <w:r>
        <w:rPr>
          <w:rStyle w:val="FootnoteReference"/>
        </w:rPr>
        <w:footnoteReference w:id="184"/>
      </w:r>
      <w:r>
        <w:t xml:space="preserve">  We proposed this procedure in the </w:t>
      </w:r>
      <w:r>
        <w:rPr>
          <w:i/>
        </w:rPr>
        <w:t>833 Auction</w:t>
      </w:r>
      <w:r w:rsidRPr="0025162E">
        <w:rPr>
          <w:i/>
        </w:rPr>
        <w:t xml:space="preserve"> Comment Public Notice</w:t>
      </w:r>
      <w:r>
        <w:t xml:space="preserve"> and received no comments on it.</w:t>
      </w:r>
      <w:r>
        <w:rPr>
          <w:rStyle w:val="FootnoteReference"/>
        </w:rPr>
        <w:footnoteReference w:id="185"/>
      </w:r>
      <w:r>
        <w:t xml:space="preserve">  Because it is consistent with using a Vickrey auction, we therefore adopt the proposed procedure for any number in the 833 Auction that receives only one bid.</w:t>
      </w:r>
    </w:p>
    <w:p w:rsidR="00B42A2B" w:rsidRPr="0025162E" w:rsidRDefault="00AA13C4" w:rsidP="00B42A2B">
      <w:pPr>
        <w:pStyle w:val="ParaNum"/>
        <w:widowControl/>
      </w:pPr>
      <w:r>
        <w:t>To provide for the possibility of tied bids, we direct Somos to assign a pseudo-random number to each bid for each toll free number submitted to the 833 Auction.</w:t>
      </w:r>
      <w:r>
        <w:rPr>
          <w:rStyle w:val="FootnoteReference"/>
        </w:rPr>
        <w:footnoteReference w:id="186"/>
      </w:r>
      <w:r>
        <w:t xml:space="preserve">  In the event that a toll free number receives two or more tied bids for the highest amount, the winning bidder will be the one with the highest pseudo-random number among the bidders that submitted the tied highest bids.  We proposed in the </w:t>
      </w:r>
      <w:r>
        <w:rPr>
          <w:i/>
        </w:rPr>
        <w:t>833 Auction</w:t>
      </w:r>
      <w:r w:rsidRPr="0025162E">
        <w:rPr>
          <w:i/>
        </w:rPr>
        <w:t xml:space="preserve"> Comment Public Notice</w:t>
      </w:r>
      <w:r>
        <w:t xml:space="preserve"> using the pseudo-random number to break tied bids and received no comments on it.</w:t>
      </w:r>
      <w:r>
        <w:rPr>
          <w:rStyle w:val="FootnoteReference"/>
        </w:rPr>
        <w:footnoteReference w:id="187"/>
      </w:r>
      <w:r>
        <w:t xml:space="preserve">  We also received no comments on our proposal that, in the case of tied bids, the second highest bid amount to be paid by the winning bidder would be the same amount as the winning’s placed bid (i.e., the tied bid amount).</w:t>
      </w:r>
      <w:r>
        <w:rPr>
          <w:rStyle w:val="FootnoteReference"/>
        </w:rPr>
        <w:footnoteReference w:id="188"/>
      </w:r>
      <w:r>
        <w:t xml:space="preserve">  Again, we find these adopted procedures consistent with the Vickrey auction design and therefore adopt them as proposed.</w:t>
      </w:r>
    </w:p>
    <w:p w:rsidR="00B42A2B" w:rsidRDefault="00AA13C4" w:rsidP="00B42A2B">
      <w:pPr>
        <w:pStyle w:val="Heading2"/>
      </w:pPr>
      <w:bookmarkStart w:id="773" w:name="_Toc11074588"/>
      <w:bookmarkStart w:id="774" w:name="_Toc11163069"/>
      <w:bookmarkStart w:id="775" w:name="_Toc11251347"/>
      <w:bookmarkStart w:id="776" w:name="_Toc11335520"/>
      <w:bookmarkStart w:id="777" w:name="_Toc11682285"/>
      <w:bookmarkStart w:id="778" w:name="_Toc11737977"/>
      <w:bookmarkStart w:id="779" w:name="_Toc11846681"/>
      <w:bookmarkStart w:id="780" w:name="_Toc11944588"/>
      <w:bookmarkStart w:id="781" w:name="_Toc12288491"/>
      <w:bookmarkStart w:id="782" w:name="_Toc12440636"/>
      <w:bookmarkStart w:id="783" w:name="_Toc12548253"/>
      <w:bookmarkStart w:id="784" w:name="_Toc12610432"/>
      <w:bookmarkStart w:id="785" w:name="_Toc12634266"/>
      <w:bookmarkStart w:id="786" w:name="_Toc12975680"/>
      <w:bookmarkStart w:id="787" w:name="_Toc13469583"/>
      <w:r>
        <w:t>Auction Structure</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B42A2B" w:rsidRDefault="00AA13C4" w:rsidP="00B42A2B">
      <w:pPr>
        <w:pStyle w:val="Heading3"/>
      </w:pPr>
      <w:bookmarkStart w:id="788" w:name="_Toc11074589"/>
      <w:bookmarkStart w:id="789" w:name="_Toc11163070"/>
      <w:bookmarkStart w:id="790" w:name="_Toc11251348"/>
      <w:bookmarkStart w:id="791" w:name="_Toc11335521"/>
      <w:bookmarkStart w:id="792" w:name="_Toc11682286"/>
      <w:bookmarkStart w:id="793" w:name="_Toc11737978"/>
      <w:bookmarkStart w:id="794" w:name="_Toc11846682"/>
      <w:bookmarkStart w:id="795" w:name="_Toc11944589"/>
      <w:bookmarkStart w:id="796" w:name="_Toc12288492"/>
      <w:bookmarkStart w:id="797" w:name="_Toc12440637"/>
      <w:bookmarkStart w:id="798" w:name="_Toc12548254"/>
      <w:bookmarkStart w:id="799" w:name="_Toc12610433"/>
      <w:bookmarkStart w:id="800" w:name="_Toc12634267"/>
      <w:bookmarkStart w:id="801" w:name="_Toc12975681"/>
      <w:bookmarkStart w:id="802" w:name="_Toc13469584"/>
      <w:r>
        <w:t>Bidding Format and Period</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rsidR="00B42A2B" w:rsidRDefault="00AA13C4" w:rsidP="00B42A2B">
      <w:pPr>
        <w:pStyle w:val="ParaNum"/>
      </w:pPr>
      <w:r>
        <w:t xml:space="preserve">The format for the 833 Auction will consist of one bidding round.  As noted in the </w:t>
      </w:r>
      <w:r w:rsidRPr="007E1C13">
        <w:rPr>
          <w:i/>
        </w:rPr>
        <w:t>833</w:t>
      </w:r>
      <w:r>
        <w:rPr>
          <w:i/>
        </w:rPr>
        <w:t> </w:t>
      </w:r>
      <w:r w:rsidRPr="007E1C13">
        <w:rPr>
          <w:i/>
        </w:rPr>
        <w:t>Auction Comment Public Notice</w:t>
      </w:r>
      <w:r>
        <w:t>, the single round will occur on one day and we anticipate that the round will be open for several hours.</w:t>
      </w:r>
      <w:r>
        <w:rPr>
          <w:rStyle w:val="FootnoteReference"/>
        </w:rPr>
        <w:footnoteReference w:id="189"/>
      </w:r>
      <w:r>
        <w:t xml:space="preserve">  We received no comments on the bidding format or bidding period.  We direct Somos, in consultation with the Commission, to announce the actual start and finish time of the bidding round at least one week before the start of the auction (i.e., by December 10, 2019).</w:t>
      </w:r>
      <w:r>
        <w:rPr>
          <w:rStyle w:val="FootnoteReference"/>
        </w:rPr>
        <w:footnoteReference w:id="190"/>
      </w:r>
      <w:r>
        <w:t xml:space="preserve">  This approach should provide certainty to the bidders, while providing Somos with flexibility to adjust the bidding depending on the number of qualified bidders.  </w:t>
      </w:r>
    </w:p>
    <w:p w:rsidR="00B42A2B" w:rsidRPr="00966A36" w:rsidRDefault="00AA13C4" w:rsidP="00B42A2B">
      <w:pPr>
        <w:pStyle w:val="ParaNum"/>
      </w:pPr>
      <w:r w:rsidRPr="00966A36">
        <w:t xml:space="preserve">In the </w:t>
      </w:r>
      <w:r>
        <w:rPr>
          <w:i/>
        </w:rPr>
        <w:t>833 Auction</w:t>
      </w:r>
      <w:r w:rsidRPr="00966A36">
        <w:rPr>
          <w:i/>
        </w:rPr>
        <w:t xml:space="preserve"> Comment Public Notice</w:t>
      </w:r>
      <w:r w:rsidRPr="00966A36">
        <w:t>, we recognized that</w:t>
      </w:r>
      <w:r>
        <w:t>,</w:t>
      </w:r>
      <w:r w:rsidRPr="00966A36">
        <w:t xml:space="preserve"> because this auction could involve large numbers of bids and</w:t>
      </w:r>
      <w:r>
        <w:t xml:space="preserve"> the round will be open for several hours</w:t>
      </w:r>
      <w:r w:rsidRPr="00966A36">
        <w:t xml:space="preserve">, we do not expect that telephone bidding will </w:t>
      </w:r>
      <w:r>
        <w:t>available</w:t>
      </w:r>
      <w:r w:rsidRPr="00966A36">
        <w:t xml:space="preserve"> in the </w:t>
      </w:r>
      <w:r>
        <w:t>833 Auction</w:t>
      </w:r>
      <w:r w:rsidRPr="00966A36">
        <w:t>.</w:t>
      </w:r>
      <w:r>
        <w:rPr>
          <w:rStyle w:val="FootnoteReference"/>
        </w:rPr>
        <w:footnoteReference w:id="191"/>
      </w:r>
      <w:r w:rsidRPr="00966A36">
        <w:t xml:space="preserve">  </w:t>
      </w:r>
      <w:r>
        <w:t>We received no comments on this procedure.  In the absence of objection and for ease of auction efficiency</w:t>
      </w:r>
      <w:r w:rsidRPr="00966A36">
        <w:t xml:space="preserve">, we </w:t>
      </w:r>
      <w:r>
        <w:t>direct</w:t>
      </w:r>
      <w:r w:rsidRPr="00966A36">
        <w:t xml:space="preserve"> Somos to conduct </w:t>
      </w:r>
      <w:r>
        <w:t>bidding via the Internet</w:t>
      </w:r>
      <w:r w:rsidRPr="00966A36">
        <w:t xml:space="preserve">.  </w:t>
      </w:r>
      <w:r>
        <w:t>While Somos should have telephonic support available to help bidders, the bids must be submitted online.  Therefore, we strongly encourage bidders to formulate back-up contingencies to make sure they can submit their bids online during the bidding round.</w:t>
      </w:r>
    </w:p>
    <w:p w:rsidR="00B42A2B" w:rsidRDefault="00AA13C4" w:rsidP="00B42A2B">
      <w:pPr>
        <w:pStyle w:val="Heading3"/>
      </w:pPr>
      <w:bookmarkStart w:id="803" w:name="_Toc11074590"/>
      <w:bookmarkStart w:id="804" w:name="_Toc11163071"/>
      <w:bookmarkStart w:id="805" w:name="_Toc11251349"/>
      <w:bookmarkStart w:id="806" w:name="_Toc11335522"/>
      <w:bookmarkStart w:id="807" w:name="_Toc11682287"/>
      <w:bookmarkStart w:id="808" w:name="_Toc11737979"/>
      <w:bookmarkStart w:id="809" w:name="_Toc11846683"/>
      <w:bookmarkStart w:id="810" w:name="_Toc11944590"/>
      <w:bookmarkStart w:id="811" w:name="_Toc12288493"/>
      <w:bookmarkStart w:id="812" w:name="_Toc12440638"/>
      <w:bookmarkStart w:id="813" w:name="_Toc12548255"/>
      <w:bookmarkStart w:id="814" w:name="_Toc12610434"/>
      <w:bookmarkStart w:id="815" w:name="_Toc12634268"/>
      <w:bookmarkStart w:id="816" w:name="_Toc12975682"/>
      <w:bookmarkStart w:id="817" w:name="_Toc13469585"/>
      <w:r>
        <w:t>Information Relating to Auction Delay, Suspension, or Cancellation</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B42A2B" w:rsidRPr="00B06DD6" w:rsidRDefault="00AA13C4" w:rsidP="00B42A2B">
      <w:pPr>
        <w:pStyle w:val="ParaNum"/>
        <w:widowControl/>
      </w:pPr>
      <w:r>
        <w:t xml:space="preserve">We adopt our proposal in the </w:t>
      </w:r>
      <w:r>
        <w:rPr>
          <w:i/>
        </w:rPr>
        <w:t>833 Auction</w:t>
      </w:r>
      <w:r w:rsidRPr="00D16071">
        <w:rPr>
          <w:i/>
        </w:rPr>
        <w:t xml:space="preserve"> </w:t>
      </w:r>
      <w:r>
        <w:rPr>
          <w:i/>
        </w:rPr>
        <w:t xml:space="preserve">Comment </w:t>
      </w:r>
      <w:r w:rsidRPr="00D16071">
        <w:rPr>
          <w:i/>
        </w:rPr>
        <w:t>Public Notice</w:t>
      </w:r>
      <w:r>
        <w:t xml:space="preserve"> that, by public notice or by announcement during the auction, the Commission, or Somos in consultation with the Commission, may delay or suspend the auction in the event of a natural disaster, technical failures, administrative or weather necessity, evidence of an auction security breach or unlawful bidding activity, or for any other reason that affects the fair and efficient conduct of competitive bidding.</w:t>
      </w:r>
      <w:r>
        <w:rPr>
          <w:rStyle w:val="FootnoteReference"/>
        </w:rPr>
        <w:footnoteReference w:id="192"/>
      </w:r>
      <w:r>
        <w:t xml:space="preserve">  In such cases, we direct Somos to consult with Commission staff about resuming, rescheduling, or canceling the auction in its entirety.  If the bidding is delayed or suspended, the Commission may direct Somos to resume the auction starting from the beginning of the scheduled bidding round or for a shorter period, or cancel the auction in its entirety.  The Commission will exercise this authority solely at its discretion.</w:t>
      </w:r>
    </w:p>
    <w:p w:rsidR="00B42A2B" w:rsidRDefault="00AA13C4" w:rsidP="00B42A2B">
      <w:pPr>
        <w:pStyle w:val="Heading2"/>
      </w:pPr>
      <w:bookmarkStart w:id="818" w:name="_Toc11074591"/>
      <w:bookmarkStart w:id="819" w:name="_Toc11163072"/>
      <w:bookmarkStart w:id="820" w:name="_Toc11251350"/>
      <w:bookmarkStart w:id="821" w:name="_Toc11335523"/>
      <w:bookmarkStart w:id="822" w:name="_Toc11682288"/>
      <w:bookmarkStart w:id="823" w:name="_Toc11737980"/>
      <w:bookmarkStart w:id="824" w:name="_Toc11846684"/>
      <w:bookmarkStart w:id="825" w:name="_Toc11944591"/>
      <w:bookmarkStart w:id="826" w:name="_Toc12288494"/>
      <w:bookmarkStart w:id="827" w:name="_Toc12440639"/>
      <w:bookmarkStart w:id="828" w:name="_Toc12548256"/>
      <w:bookmarkStart w:id="829" w:name="_Toc12610435"/>
      <w:bookmarkStart w:id="830" w:name="_Toc12634269"/>
      <w:bookmarkStart w:id="831" w:name="_Toc12975683"/>
      <w:bookmarkStart w:id="832" w:name="_Toc13469586"/>
      <w:r>
        <w:t>Bidding Procedures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B42A2B" w:rsidRDefault="00AA13C4" w:rsidP="00B42A2B">
      <w:pPr>
        <w:pStyle w:val="Heading3"/>
      </w:pPr>
      <w:bookmarkStart w:id="833" w:name="_Toc11074592"/>
      <w:bookmarkStart w:id="834" w:name="_Toc11163073"/>
      <w:bookmarkStart w:id="835" w:name="_Toc11251351"/>
      <w:bookmarkStart w:id="836" w:name="_Toc11335524"/>
      <w:bookmarkStart w:id="837" w:name="_Toc11682289"/>
      <w:bookmarkStart w:id="838" w:name="_Toc11737981"/>
      <w:bookmarkStart w:id="839" w:name="_Toc11846685"/>
      <w:bookmarkStart w:id="840" w:name="_Toc11944592"/>
      <w:bookmarkStart w:id="841" w:name="_Toc12288495"/>
      <w:bookmarkStart w:id="842" w:name="_Toc12440640"/>
      <w:bookmarkStart w:id="843" w:name="_Toc12548257"/>
      <w:bookmarkStart w:id="844" w:name="_Toc12610436"/>
      <w:bookmarkStart w:id="845" w:name="_Toc12634270"/>
      <w:bookmarkStart w:id="846" w:name="_Toc12975684"/>
      <w:bookmarkStart w:id="847" w:name="_Toc13469587"/>
      <w:r>
        <w:t>Bidding Eligibility</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B42A2B" w:rsidRDefault="00AA13C4" w:rsidP="00B42A2B">
      <w:pPr>
        <w:pStyle w:val="ParaNum"/>
        <w:widowControl/>
      </w:pPr>
      <w:r>
        <w:rPr>
          <w:szCs w:val="22"/>
        </w:rPr>
        <w:t>T</w:t>
      </w:r>
      <w:r w:rsidRPr="00786242">
        <w:rPr>
          <w:szCs w:val="22"/>
        </w:rPr>
        <w:t xml:space="preserve">o be eligible to bid in the </w:t>
      </w:r>
      <w:r>
        <w:rPr>
          <w:szCs w:val="22"/>
        </w:rPr>
        <w:t>833 Auction</w:t>
      </w:r>
      <w:r w:rsidRPr="00786242">
        <w:rPr>
          <w:szCs w:val="22"/>
        </w:rPr>
        <w:t xml:space="preserve">, an applicant must submit a sufficient </w:t>
      </w:r>
      <w:r>
        <w:rPr>
          <w:szCs w:val="22"/>
        </w:rPr>
        <w:t xml:space="preserve">and timely </w:t>
      </w:r>
      <w:r w:rsidRPr="00786242">
        <w:rPr>
          <w:szCs w:val="22"/>
        </w:rPr>
        <w:t>upfront payment</w:t>
      </w:r>
      <w:r>
        <w:rPr>
          <w:szCs w:val="22"/>
        </w:rPr>
        <w:t>.</w:t>
      </w:r>
      <w:r>
        <w:rPr>
          <w:rStyle w:val="FootnoteReference"/>
          <w:szCs w:val="22"/>
        </w:rPr>
        <w:footnoteReference w:id="193"/>
      </w:r>
      <w:r>
        <w:rPr>
          <w:szCs w:val="22"/>
        </w:rPr>
        <w:t xml:space="preserve">  The amount of the applicant’s upfront payment will determine its bidding eligibility—i.e., a qualified bidder may submit only the number of bids reflected in its upfront payment.</w:t>
      </w:r>
      <w:r>
        <w:rPr>
          <w:rStyle w:val="FootnoteReference"/>
          <w:szCs w:val="22"/>
        </w:rPr>
        <w:footnoteReference w:id="194"/>
      </w:r>
      <w:r>
        <w:rPr>
          <w:szCs w:val="22"/>
        </w:rPr>
        <w:t xml:space="preserve">  To help illustrate this point, we reiterate the example provided in the </w:t>
      </w:r>
      <w:r w:rsidRPr="00710B0C">
        <w:rPr>
          <w:i/>
          <w:szCs w:val="22"/>
        </w:rPr>
        <w:t>833 Auction Comment Public Notice</w:t>
      </w:r>
      <w:r>
        <w:rPr>
          <w:szCs w:val="22"/>
        </w:rPr>
        <w:t>—if</w:t>
      </w:r>
      <w:r>
        <w:t xml:space="preserve"> an applicant were to select 50 numbers on its application but submits an upfront payment of only $1,000, it would be able to place bids on only 10 numbers (based on an upfront payment of $100 per number).</w:t>
      </w:r>
      <w:r>
        <w:rPr>
          <w:rStyle w:val="FootnoteReference"/>
        </w:rPr>
        <w:footnoteReference w:id="195"/>
      </w:r>
    </w:p>
    <w:p w:rsidR="00B42A2B" w:rsidRPr="009702B1" w:rsidRDefault="00AA13C4" w:rsidP="00332ED7">
      <w:pPr>
        <w:pStyle w:val="ParaNum"/>
        <w:widowControl/>
      </w:pPr>
      <w:r>
        <w:t>If a qualified bidder attempts to place more bids than its bidding eligibility allows, its entire bid submission will be rejected and the bidder will be given a warning and an opportunity to fix its bids and re-submit.  Neither Somos nor the Commission, however, are responsible for bids submitted in which the bidder has exceeded its bidding eligibility.  Thus, we strongly encourage bidders submit their bids well before the end of the single round to account for any issues that may arise.</w:t>
      </w:r>
    </w:p>
    <w:p w:rsidR="00B42A2B" w:rsidRDefault="00AA13C4" w:rsidP="00B42A2B">
      <w:pPr>
        <w:pStyle w:val="Heading3"/>
      </w:pPr>
      <w:bookmarkStart w:id="848" w:name="_Toc11074593"/>
      <w:bookmarkStart w:id="849" w:name="_Toc11163074"/>
      <w:bookmarkStart w:id="850" w:name="_Toc11251352"/>
      <w:bookmarkStart w:id="851" w:name="_Toc11335525"/>
      <w:bookmarkStart w:id="852" w:name="_Toc11682290"/>
      <w:bookmarkStart w:id="853" w:name="_Toc11737982"/>
      <w:bookmarkStart w:id="854" w:name="_Toc11846686"/>
      <w:bookmarkStart w:id="855" w:name="_Toc11944593"/>
      <w:bookmarkStart w:id="856" w:name="_Toc12288496"/>
      <w:bookmarkStart w:id="857" w:name="_Toc12440641"/>
      <w:bookmarkStart w:id="858" w:name="_Toc12548258"/>
      <w:bookmarkStart w:id="859" w:name="_Toc12610437"/>
      <w:bookmarkStart w:id="860" w:name="_Toc12634271"/>
      <w:bookmarkStart w:id="861" w:name="_Toc12975685"/>
      <w:bookmarkStart w:id="862" w:name="_Toc13469588"/>
      <w:r>
        <w:t>Bid Amounts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rsidR="00B42A2B" w:rsidRPr="00AE6D2D" w:rsidRDefault="00AA13C4" w:rsidP="00B42A2B">
      <w:pPr>
        <w:pStyle w:val="ParaNum"/>
      </w:pPr>
      <w:r>
        <w:t xml:space="preserve">We adopt our proposal in the </w:t>
      </w:r>
      <w:r w:rsidRPr="00710B0C">
        <w:rPr>
          <w:i/>
        </w:rPr>
        <w:t>833 Auction Comment Public Notice</w:t>
      </w:r>
      <w:r>
        <w:t xml:space="preserve"> to allow bids only in whole dollar amounts.  We direct Somos to provide more detailed instructions on how qualified bidders should submit bids and an opportunity to practice the bid upload process.  We encourage bidders to become familiar with the process well in advance of the bidding round.  </w:t>
      </w:r>
    </w:p>
    <w:p w:rsidR="00B42A2B" w:rsidRDefault="00AA13C4" w:rsidP="00B42A2B">
      <w:pPr>
        <w:pStyle w:val="Heading3"/>
      </w:pPr>
      <w:bookmarkStart w:id="863" w:name="_Toc11074594"/>
      <w:bookmarkStart w:id="864" w:name="_Toc11163075"/>
      <w:bookmarkStart w:id="865" w:name="_Toc11251353"/>
      <w:bookmarkStart w:id="866" w:name="_Toc11335526"/>
      <w:bookmarkStart w:id="867" w:name="_Toc11682291"/>
      <w:bookmarkStart w:id="868" w:name="_Toc11737983"/>
      <w:bookmarkStart w:id="869" w:name="_Toc11846687"/>
      <w:bookmarkStart w:id="870" w:name="_Toc11944594"/>
      <w:bookmarkStart w:id="871" w:name="_Toc12288497"/>
      <w:bookmarkStart w:id="872" w:name="_Toc12440642"/>
      <w:bookmarkStart w:id="873" w:name="_Toc12548259"/>
      <w:bookmarkStart w:id="874" w:name="_Toc12610438"/>
      <w:bookmarkStart w:id="875" w:name="_Toc12634272"/>
      <w:bookmarkStart w:id="876" w:name="_Toc12975686"/>
      <w:bookmarkStart w:id="877" w:name="_Toc13469589"/>
      <w:r>
        <w:t>Bid Removal</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rsidR="00B42A2B" w:rsidRPr="0025162E" w:rsidRDefault="00AA13C4" w:rsidP="00B42A2B">
      <w:pPr>
        <w:pStyle w:val="ParaNum"/>
        <w:widowControl/>
      </w:pPr>
      <w:r>
        <w:t xml:space="preserve">A bidder will have the ability to remove any bid(s) that it has placed before the end of the round.  We direct Somos to provide specific instructions on how a bidder may do this.  If a bidder removes any bid that it has placed before the end of the round, it will not be considered.  Once the single round of bidding closes, a bidder may no longer remove, or otherwise withdraw, any of its bids.  </w:t>
      </w:r>
    </w:p>
    <w:p w:rsidR="00B42A2B" w:rsidRDefault="00AA13C4" w:rsidP="00B42A2B">
      <w:pPr>
        <w:pStyle w:val="Heading1"/>
      </w:pPr>
      <w:bookmarkStart w:id="878" w:name="_Toc11074595"/>
      <w:bookmarkStart w:id="879" w:name="_Toc11163076"/>
      <w:bookmarkStart w:id="880" w:name="_Toc11251354"/>
      <w:bookmarkStart w:id="881" w:name="_Toc11335527"/>
      <w:bookmarkStart w:id="882" w:name="_Toc11682292"/>
      <w:bookmarkStart w:id="883" w:name="_Toc11737984"/>
      <w:bookmarkStart w:id="884" w:name="_Toc11846688"/>
      <w:bookmarkStart w:id="885" w:name="_Toc11944595"/>
      <w:bookmarkStart w:id="886" w:name="_Toc12288498"/>
      <w:bookmarkStart w:id="887" w:name="_Toc12440643"/>
      <w:bookmarkStart w:id="888" w:name="_Toc12548260"/>
      <w:bookmarkStart w:id="889" w:name="_Toc12610439"/>
      <w:bookmarkStart w:id="890" w:name="_Toc12634273"/>
      <w:bookmarkStart w:id="891" w:name="_Toc12975687"/>
      <w:bookmarkStart w:id="892" w:name="_Toc13469590"/>
      <w:r>
        <w:t>Post-Auction Procedures</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rsidR="00B42A2B" w:rsidRDefault="00AA13C4" w:rsidP="00B42A2B">
      <w:pPr>
        <w:pStyle w:val="Heading2"/>
      </w:pPr>
      <w:bookmarkStart w:id="893" w:name="_Toc11074596"/>
      <w:bookmarkStart w:id="894" w:name="_Toc11163077"/>
      <w:bookmarkStart w:id="895" w:name="_Toc11251355"/>
      <w:bookmarkStart w:id="896" w:name="_Toc11335528"/>
      <w:bookmarkStart w:id="897" w:name="_Toc11682293"/>
      <w:bookmarkStart w:id="898" w:name="_Toc11737985"/>
      <w:bookmarkStart w:id="899" w:name="_Toc11846689"/>
      <w:bookmarkStart w:id="900" w:name="_Toc11944596"/>
      <w:bookmarkStart w:id="901" w:name="_Toc12288499"/>
      <w:bookmarkStart w:id="902" w:name="_Toc12440644"/>
      <w:bookmarkStart w:id="903" w:name="_Toc12548261"/>
      <w:bookmarkStart w:id="904" w:name="_Toc12610440"/>
      <w:bookmarkStart w:id="905" w:name="_Toc12634274"/>
      <w:bookmarkStart w:id="906" w:name="_Toc12975688"/>
      <w:bookmarkStart w:id="907" w:name="_Toc13469591"/>
      <w:r>
        <w:t>Public Notice Announcing Winning Bidders</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rsidR="00B42A2B" w:rsidRDefault="00AA13C4" w:rsidP="00B42A2B">
      <w:pPr>
        <w:pStyle w:val="ParaNum"/>
      </w:pPr>
      <w:r>
        <w:t xml:space="preserve">In the </w:t>
      </w:r>
      <w:r w:rsidRPr="00263470">
        <w:rPr>
          <w:i/>
        </w:rPr>
        <w:t>Toll Free Assignment Modernization Order</w:t>
      </w:r>
      <w:r>
        <w:t>, the Commission stated that, once the bidding concluded, it would release a public notice identifying the winning bidders and establishing the deadline for making final payment for winning bids.</w:t>
      </w:r>
      <w:r>
        <w:rPr>
          <w:rStyle w:val="FootnoteReference"/>
        </w:rPr>
        <w:footnoteReference w:id="196"/>
      </w:r>
      <w:r>
        <w:t xml:space="preserve">  The Commission also stated that the public notice would also explain how unsold inventory will be assigned after the 833 Auction.</w:t>
      </w:r>
      <w:r>
        <w:rPr>
          <w:rStyle w:val="FootnoteReference"/>
        </w:rPr>
        <w:footnoteReference w:id="197"/>
      </w:r>
      <w:r>
        <w:t xml:space="preserve">  </w:t>
      </w:r>
    </w:p>
    <w:p w:rsidR="00B42A2B" w:rsidRDefault="00AA13C4" w:rsidP="00B42A2B">
      <w:pPr>
        <w:pStyle w:val="ParaNum"/>
      </w:pPr>
      <w:r w:rsidRPr="00E514C3">
        <w:t xml:space="preserve">In the </w:t>
      </w:r>
      <w:r w:rsidRPr="00E02F23">
        <w:rPr>
          <w:i/>
        </w:rPr>
        <w:t>833 Auction Comment Public Notice</w:t>
      </w:r>
      <w:r w:rsidRPr="00E514C3">
        <w:t xml:space="preserve">, we </w:t>
      </w:r>
      <w:r>
        <w:t>included, among the various duties</w:t>
      </w:r>
      <w:r w:rsidRPr="00E514C3">
        <w:t xml:space="preserve"> that Somos, as the auctioneer, will </w:t>
      </w:r>
      <w:r>
        <w:t>perform, the task of announcing the winning bidders</w:t>
      </w:r>
      <w:r w:rsidRPr="00E514C3">
        <w:t>.</w:t>
      </w:r>
      <w:r>
        <w:rPr>
          <w:rStyle w:val="FootnoteReference"/>
        </w:rPr>
        <w:footnoteReference w:id="198"/>
      </w:r>
      <w:r w:rsidRPr="00E514C3">
        <w:t xml:space="preserve">  Because Somos</w:t>
      </w:r>
      <w:r>
        <w:t xml:space="preserve"> will be the entity that </w:t>
      </w:r>
      <w:r w:rsidRPr="00E514C3">
        <w:t>will accept and process</w:t>
      </w:r>
      <w:r>
        <w:t xml:space="preserve"> the</w:t>
      </w:r>
      <w:r w:rsidRPr="00E514C3">
        <w:t xml:space="preserve"> bids</w:t>
      </w:r>
      <w:r>
        <w:t xml:space="preserve"> for the 833 Auction</w:t>
      </w:r>
      <w:r w:rsidRPr="00E514C3">
        <w:t xml:space="preserve">, we </w:t>
      </w:r>
      <w:r>
        <w:t>reiterate that</w:t>
      </w:r>
      <w:r w:rsidRPr="00E514C3">
        <w:t xml:space="preserve"> Somos </w:t>
      </w:r>
      <w:r>
        <w:t>will</w:t>
      </w:r>
      <w:r w:rsidRPr="00E514C3">
        <w:t xml:space="preserve"> announce the winning bids.</w:t>
      </w:r>
    </w:p>
    <w:p w:rsidR="00B42A2B" w:rsidRPr="00E514C3" w:rsidRDefault="00AA13C4" w:rsidP="00B42A2B">
      <w:pPr>
        <w:pStyle w:val="ParaNum"/>
        <w:widowControl/>
      </w:pPr>
      <w:r w:rsidRPr="00E514C3">
        <w:t xml:space="preserve">As for </w:t>
      </w:r>
      <w:r>
        <w:t xml:space="preserve">any </w:t>
      </w:r>
      <w:r w:rsidRPr="00E514C3">
        <w:t xml:space="preserve">toll free number </w:t>
      </w:r>
      <w:r>
        <w:t xml:space="preserve">offered in the 833 Auction </w:t>
      </w:r>
      <w:r w:rsidRPr="00E514C3">
        <w:t xml:space="preserve">that </w:t>
      </w:r>
      <w:r>
        <w:t xml:space="preserve">(i) was not selected on any auction application, (ii) did not </w:t>
      </w:r>
      <w:r w:rsidRPr="00E514C3">
        <w:t>receive</w:t>
      </w:r>
      <w:r>
        <w:t xml:space="preserve"> a</w:t>
      </w:r>
      <w:r w:rsidRPr="00E514C3">
        <w:t xml:space="preserve"> bid, or </w:t>
      </w:r>
      <w:r>
        <w:t xml:space="preserve">(iii) </w:t>
      </w:r>
      <w:r w:rsidRPr="00E514C3">
        <w:t>receive</w:t>
      </w:r>
      <w:r>
        <w:t>d</w:t>
      </w:r>
      <w:r w:rsidRPr="00E514C3">
        <w:t xml:space="preserve"> </w:t>
      </w:r>
      <w:r>
        <w:t xml:space="preserve">one or more </w:t>
      </w:r>
      <w:r w:rsidRPr="00E514C3">
        <w:t>bid</w:t>
      </w:r>
      <w:r>
        <w:t>s</w:t>
      </w:r>
      <w:r w:rsidRPr="00E514C3">
        <w:t xml:space="preserve"> but the winning bidder defaulted, the Commission will issue a decision </w:t>
      </w:r>
      <w:r>
        <w:t xml:space="preserve">on how it will assign such numbers </w:t>
      </w:r>
      <w:r w:rsidRPr="00E514C3">
        <w:t xml:space="preserve">once we review the </w:t>
      </w:r>
      <w:r>
        <w:t xml:space="preserve">complete </w:t>
      </w:r>
      <w:r w:rsidRPr="00E514C3">
        <w:t>results</w:t>
      </w:r>
      <w:r>
        <w:t xml:space="preserve"> of the 833 Auction</w:t>
      </w:r>
      <w:r w:rsidRPr="00E514C3">
        <w:t xml:space="preserve">.  Two </w:t>
      </w:r>
      <w:r>
        <w:t xml:space="preserve">commenters </w:t>
      </w:r>
      <w:r w:rsidRPr="00E514C3">
        <w:t>advocate, in the case of defaulted bids, that the Commission offer the toll free number to the second highest bidder.</w:t>
      </w:r>
      <w:r>
        <w:rPr>
          <w:rStyle w:val="FootnoteReference"/>
        </w:rPr>
        <w:footnoteReference w:id="199"/>
      </w:r>
      <w:r w:rsidRPr="00E514C3">
        <w:t xml:space="preserve">  We defer until after the auction any decision on how to handle </w:t>
      </w:r>
      <w:r>
        <w:t xml:space="preserve">any </w:t>
      </w:r>
      <w:r w:rsidRPr="00E514C3">
        <w:t xml:space="preserve">numbers </w:t>
      </w:r>
      <w:r>
        <w:t>offered in the 833 Auction with no bid or where the</w:t>
      </w:r>
      <w:r w:rsidRPr="00E514C3">
        <w:t xml:space="preserve"> winning bidder defaulted.</w:t>
      </w:r>
      <w:r>
        <w:t xml:space="preserve">  Once we have all the information available on the 833 Auction experiment, we can better assess how to handle these numbers.</w:t>
      </w:r>
      <w:r>
        <w:rPr>
          <w:rStyle w:val="FootnoteReference"/>
        </w:rPr>
        <w:footnoteReference w:id="200"/>
      </w:r>
    </w:p>
    <w:p w:rsidR="00B42A2B" w:rsidRDefault="00AA13C4" w:rsidP="00B42A2B">
      <w:pPr>
        <w:pStyle w:val="Heading2"/>
      </w:pPr>
      <w:bookmarkStart w:id="908" w:name="_Toc11074597"/>
      <w:bookmarkStart w:id="909" w:name="_Toc11163078"/>
      <w:bookmarkStart w:id="910" w:name="_Toc11251356"/>
      <w:bookmarkStart w:id="911" w:name="_Toc11335529"/>
      <w:bookmarkStart w:id="912" w:name="_Toc11682294"/>
      <w:bookmarkStart w:id="913" w:name="_Toc11737986"/>
      <w:bookmarkStart w:id="914" w:name="_Toc11846690"/>
      <w:bookmarkStart w:id="915" w:name="_Toc11944597"/>
      <w:bookmarkStart w:id="916" w:name="_Toc12288500"/>
      <w:bookmarkStart w:id="917" w:name="_Toc12440645"/>
      <w:bookmarkStart w:id="918" w:name="_Toc12548262"/>
      <w:bookmarkStart w:id="919" w:name="_Toc12610441"/>
      <w:bookmarkStart w:id="920" w:name="_Toc12634275"/>
      <w:bookmarkStart w:id="921" w:name="_Toc12975689"/>
      <w:bookmarkStart w:id="922" w:name="_Toc13469592"/>
      <w:r>
        <w:t>Final Payments</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rsidR="00B42A2B" w:rsidRDefault="00AA13C4" w:rsidP="00B42A2B">
      <w:pPr>
        <w:pStyle w:val="ParaNum"/>
        <w:widowControl/>
      </w:pPr>
      <w:r>
        <w:t>Each winning bidder must submit the full payment for its winning bid(s) within 10 business days following release of the public notice announcing the winning bidders.</w:t>
      </w:r>
      <w:r>
        <w:rPr>
          <w:rStyle w:val="FootnoteReference"/>
        </w:rPr>
        <w:footnoteReference w:id="201"/>
      </w:r>
      <w:r>
        <w:t xml:space="preserve">  Similar to the final payment procedures in our spectrum auctions,</w:t>
      </w:r>
      <w:r>
        <w:rPr>
          <w:rStyle w:val="FootnoteReference"/>
        </w:rPr>
        <w:footnoteReference w:id="202"/>
      </w:r>
      <w:r>
        <w:t xml:space="preserve"> we will allow a winning bidder to make its final payment within five additional business days after the applicable deadline, provided it also pays a late fee of 5% of the winning bid.</w:t>
      </w:r>
      <w:r>
        <w:rPr>
          <w:rStyle w:val="FootnoteReference"/>
        </w:rPr>
        <w:footnoteReference w:id="203"/>
      </w:r>
      <w:r>
        <w:t xml:space="preserve">  We adopt our proposal in the </w:t>
      </w:r>
      <w:r w:rsidRPr="00E514C3">
        <w:rPr>
          <w:i/>
        </w:rPr>
        <w:t>833 Auction Comment Public Notice</w:t>
      </w:r>
      <w:r>
        <w:t xml:space="preserve"> that a winning bidder will declared in default and subject to the applicable default payment if it misses the final payment deadline and also fails to remit the required payment (plus the applicable late fee) by the end of the late payment period.</w:t>
      </w:r>
      <w:r>
        <w:rPr>
          <w:rStyle w:val="FootnoteReference"/>
        </w:rPr>
        <w:footnoteReference w:id="204"/>
      </w:r>
    </w:p>
    <w:p w:rsidR="00B42A2B" w:rsidRDefault="00AA13C4" w:rsidP="00B42A2B">
      <w:pPr>
        <w:pStyle w:val="ParaNum"/>
        <w:widowControl/>
      </w:pPr>
      <w:r>
        <w:rPr>
          <w:szCs w:val="22"/>
        </w:rPr>
        <w:t xml:space="preserve">Like upfront payments, final </w:t>
      </w:r>
      <w:r w:rsidRPr="00515AB8">
        <w:rPr>
          <w:szCs w:val="22"/>
        </w:rPr>
        <w:t>payments must be made in U.S. dollars</w:t>
      </w:r>
      <w:r>
        <w:rPr>
          <w:szCs w:val="22"/>
        </w:rPr>
        <w:t xml:space="preserve"> and will be submitted to Somos</w:t>
      </w:r>
      <w:r w:rsidRPr="00515AB8">
        <w:rPr>
          <w:szCs w:val="22"/>
        </w:rPr>
        <w:t xml:space="preserve">. </w:t>
      </w:r>
      <w:r>
        <w:rPr>
          <w:szCs w:val="22"/>
        </w:rPr>
        <w:t xml:space="preserve"> </w:t>
      </w:r>
      <w:r>
        <w:t xml:space="preserve">Moreover, we adopt our proposal in the </w:t>
      </w:r>
      <w:r>
        <w:rPr>
          <w:i/>
        </w:rPr>
        <w:t>833 Auction</w:t>
      </w:r>
      <w:r w:rsidRPr="001D0F7B">
        <w:rPr>
          <w:i/>
        </w:rPr>
        <w:t xml:space="preserve"> Comment Public Notice</w:t>
      </w:r>
      <w:r>
        <w:t xml:space="preserve"> to require final payments in excess of $300 to be made through a wire transfer to Somos (or its payment designee) and any amounts under this threshold (i.e., $300 or less) can be made using ACH.</w:t>
      </w:r>
      <w:r>
        <w:rPr>
          <w:rStyle w:val="FootnoteReference"/>
        </w:rPr>
        <w:footnoteReference w:id="205"/>
      </w:r>
      <w:r>
        <w:t xml:space="preserve">  As with allowing ACH for upfront payments below a certain threshold, this alternative payment process should make it easier for individuals or small entities that are the winning bidders for only a few toll free numbers, while ensuring prompt and assured payment of funds for those who had winning bids that exceed the $300 threshold.</w:t>
      </w:r>
    </w:p>
    <w:p w:rsidR="00B42A2B" w:rsidRDefault="00AA13C4" w:rsidP="00B42A2B">
      <w:pPr>
        <w:pStyle w:val="Heading2"/>
      </w:pPr>
      <w:bookmarkStart w:id="923" w:name="_Toc11074598"/>
      <w:bookmarkStart w:id="924" w:name="_Toc11163079"/>
      <w:bookmarkStart w:id="925" w:name="_Toc11251357"/>
      <w:bookmarkStart w:id="926" w:name="_Toc11335530"/>
      <w:bookmarkStart w:id="927" w:name="_Toc11682295"/>
      <w:bookmarkStart w:id="928" w:name="_Toc11737987"/>
      <w:bookmarkStart w:id="929" w:name="_Toc11846691"/>
      <w:bookmarkStart w:id="930" w:name="_Toc11944598"/>
      <w:bookmarkStart w:id="931" w:name="_Toc12288501"/>
      <w:bookmarkStart w:id="932" w:name="_Toc12440646"/>
      <w:bookmarkStart w:id="933" w:name="_Toc12548263"/>
      <w:bookmarkStart w:id="934" w:name="_Toc12610442"/>
      <w:bookmarkStart w:id="935" w:name="_Toc12634276"/>
      <w:bookmarkStart w:id="936" w:name="_Toc12975690"/>
      <w:bookmarkStart w:id="937" w:name="_Toc13469593"/>
      <w:r>
        <w:t>Refunds</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B42A2B" w:rsidRPr="002B1C01" w:rsidRDefault="00AA13C4" w:rsidP="00B42A2B">
      <w:pPr>
        <w:pStyle w:val="ParaNum"/>
        <w:widowControl/>
        <w:tabs>
          <w:tab w:val="left" w:pos="1440"/>
        </w:tabs>
      </w:pPr>
      <w:r w:rsidRPr="002B1C01">
        <w:rPr>
          <w:szCs w:val="22"/>
        </w:rPr>
        <w:t xml:space="preserve">We direct Somos to return any refunds of upfront payments (minus any final payments and any default payments) within </w:t>
      </w:r>
      <w:r w:rsidRPr="00D140D6">
        <w:rPr>
          <w:szCs w:val="22"/>
        </w:rPr>
        <w:t xml:space="preserve">10 business days </w:t>
      </w:r>
      <w:r w:rsidRPr="002B1C01">
        <w:rPr>
          <w:szCs w:val="22"/>
        </w:rPr>
        <w:t>after the late final payment deadline (i.e., within 25 business days of the public notice announcing winning bidders</w:t>
      </w:r>
      <w:r>
        <w:rPr>
          <w:szCs w:val="22"/>
        </w:rPr>
        <w:t>)</w:t>
      </w:r>
      <w:r w:rsidRPr="002B1C01">
        <w:rPr>
          <w:szCs w:val="22"/>
        </w:rPr>
        <w:t>.</w:t>
      </w:r>
      <w:r>
        <w:rPr>
          <w:rStyle w:val="FootnoteReference"/>
          <w:szCs w:val="22"/>
        </w:rPr>
        <w:footnoteReference w:id="206"/>
      </w:r>
      <w:r w:rsidRPr="002B1C01">
        <w:rPr>
          <w:szCs w:val="22"/>
        </w:rPr>
        <w:t xml:space="preserve">  All refunds of upfront payment balances will be returned to the payer of record unless the payer submits written authorization to Somos instructing otherwise.</w:t>
      </w:r>
    </w:p>
    <w:p w:rsidR="00B42A2B" w:rsidRDefault="00AA13C4" w:rsidP="00B42A2B">
      <w:pPr>
        <w:pStyle w:val="Heading2"/>
      </w:pPr>
      <w:bookmarkStart w:id="938" w:name="_Toc11074599"/>
      <w:bookmarkStart w:id="939" w:name="_Toc11163080"/>
      <w:bookmarkStart w:id="940" w:name="_Toc11251358"/>
      <w:bookmarkStart w:id="941" w:name="_Toc11335531"/>
      <w:bookmarkStart w:id="942" w:name="_Toc11682296"/>
      <w:bookmarkStart w:id="943" w:name="_Toc11737988"/>
      <w:bookmarkStart w:id="944" w:name="_Toc11846692"/>
      <w:bookmarkStart w:id="945" w:name="_Toc11944599"/>
      <w:bookmarkStart w:id="946" w:name="_Toc12288502"/>
      <w:bookmarkStart w:id="947" w:name="_Toc12440647"/>
      <w:bookmarkStart w:id="948" w:name="_Toc12548264"/>
      <w:bookmarkStart w:id="949" w:name="_Toc12610443"/>
      <w:bookmarkStart w:id="950" w:name="_Toc12634277"/>
      <w:bookmarkStart w:id="951" w:name="_Toc12975691"/>
      <w:bookmarkStart w:id="952" w:name="_Toc13469594"/>
      <w:r>
        <w:t>Auction Default Payments</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B42A2B" w:rsidRPr="00262D4F" w:rsidRDefault="00AA13C4" w:rsidP="00B42A2B">
      <w:pPr>
        <w:pStyle w:val="ParaNum"/>
        <w:widowControl/>
        <w:rPr>
          <w:szCs w:val="22"/>
        </w:rPr>
      </w:pPr>
      <w:r>
        <w:t xml:space="preserve">If a winning bidder fails to make full payment on its bid or otherwise defaults for any reason, it will be subject to a default payment of 35% </w:t>
      </w:r>
      <w:r w:rsidRPr="00262D4F">
        <w:t>of the defaulted bid.</w:t>
      </w:r>
      <w:r>
        <w:t xml:space="preserve">  In the </w:t>
      </w:r>
      <w:r w:rsidRPr="000D0CF7">
        <w:rPr>
          <w:i/>
        </w:rPr>
        <w:t>Toll Free Assignment Modernization Order</w:t>
      </w:r>
      <w:r>
        <w:t>, the Commission stated that it expected that the procedures for handling defaults be modeled on those used in the Commission’s spectrum auctions, but would defer the decision until the pre-auction process.</w:t>
      </w:r>
      <w:r>
        <w:rPr>
          <w:rStyle w:val="FootnoteReference"/>
        </w:rPr>
        <w:footnoteReference w:id="207"/>
      </w:r>
      <w:r>
        <w:t xml:space="preserve">  In the </w:t>
      </w:r>
      <w:r w:rsidRPr="0007256D">
        <w:rPr>
          <w:i/>
        </w:rPr>
        <w:t>833 Auction Comment Public Notice</w:t>
      </w:r>
      <w:r>
        <w:t>, we proposed basing the default payment for the 833 Auction only on a percentage of the defaulted amount, since the Commission has not yet decided if there will be a subsequent auction of toll free numbers.</w:t>
      </w:r>
      <w:r>
        <w:rPr>
          <w:rStyle w:val="FootnoteReference"/>
        </w:rPr>
        <w:footnoteReference w:id="208"/>
      </w:r>
      <w:r w:rsidRPr="00262D4F">
        <w:t xml:space="preserve">  </w:t>
      </w:r>
      <w:r>
        <w:t xml:space="preserve">Specifically, we proposed a default payment of 35% of the defaulted bid, noting that </w:t>
      </w:r>
      <w:r w:rsidRPr="00262D4F">
        <w:t>the default percentage is higher than in most of our spectrum auctions</w:t>
      </w:r>
      <w:r>
        <w:t xml:space="preserve"> to compensate for the absence of a deficiency portion of the default payment</w:t>
      </w:r>
      <w:r w:rsidRPr="00262D4F">
        <w:t>.</w:t>
      </w:r>
      <w:r>
        <w:rPr>
          <w:rStyle w:val="FootnoteReference"/>
        </w:rPr>
        <w:footnoteReference w:id="209"/>
      </w:r>
      <w:r>
        <w:t xml:space="preserve">   We received no comments on the proposed default procedures or percentage.  Because we believe</w:t>
      </w:r>
      <w:r w:rsidRPr="00262D4F">
        <w:t xml:space="preserve"> </w:t>
      </w:r>
      <w:r>
        <w:t>what we proposed</w:t>
      </w:r>
      <w:r w:rsidRPr="00262D4F">
        <w:t xml:space="preserve"> should sufficiently discourage insincere bidding and default</w:t>
      </w:r>
      <w:r>
        <w:t>, we adopt both the proposed default procedure and default percentage</w:t>
      </w:r>
      <w:r w:rsidRPr="00262D4F">
        <w:t xml:space="preserve">.  </w:t>
      </w:r>
      <w:r w:rsidRPr="00262D4F">
        <w:rPr>
          <w:szCs w:val="22"/>
        </w:rPr>
        <w:t>Moreover, we add that, if a default involves gross misconduct, misrepresentation, or bad faith by an applicant, the Commission may declare the applicant and its principals ineligible to bid in future auctions and may take any other action that it deems necessary, including forfeiture of their upfront payment and institution of proceedings to revoke any existing FCC authorizations held by the applicant.</w:t>
      </w:r>
      <w:r>
        <w:rPr>
          <w:rStyle w:val="FootnoteReference"/>
          <w:szCs w:val="22"/>
        </w:rPr>
        <w:footnoteReference w:id="210"/>
      </w:r>
    </w:p>
    <w:p w:rsidR="00B42A2B" w:rsidRDefault="00AA13C4" w:rsidP="00B42A2B">
      <w:pPr>
        <w:pStyle w:val="Heading2"/>
      </w:pPr>
      <w:bookmarkStart w:id="953" w:name="_Toc11074600"/>
      <w:bookmarkStart w:id="954" w:name="_Toc11163081"/>
      <w:bookmarkStart w:id="955" w:name="_Toc11251359"/>
      <w:bookmarkStart w:id="956" w:name="_Toc11335532"/>
      <w:bookmarkStart w:id="957" w:name="_Toc11682297"/>
      <w:bookmarkStart w:id="958" w:name="_Toc11737989"/>
      <w:bookmarkStart w:id="959" w:name="_Toc11846693"/>
      <w:bookmarkStart w:id="960" w:name="_Toc11944600"/>
      <w:bookmarkStart w:id="961" w:name="_Toc12288503"/>
      <w:bookmarkStart w:id="962" w:name="_Toc12440648"/>
      <w:bookmarkStart w:id="963" w:name="_Toc12548265"/>
      <w:bookmarkStart w:id="964" w:name="_Toc12610444"/>
      <w:bookmarkStart w:id="965" w:name="_Toc12634278"/>
      <w:bookmarkStart w:id="966" w:name="_Toc12975692"/>
      <w:bookmarkStart w:id="967" w:name="_Toc13469595"/>
      <w:r>
        <w:t>Reserving Toll Free Numbers / Declaring a RespOrg</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rsidR="00B42A2B" w:rsidRDefault="00AA13C4" w:rsidP="00B42A2B">
      <w:pPr>
        <w:pStyle w:val="ParaNum"/>
        <w:widowControl/>
      </w:pPr>
      <w:r>
        <w:t>Any potential subscriber that directly participates in the 833 Auction and is a winning bidder must work with a RespOrg after the auction to reserve a number in the Toll Free Database in accordance with section 52.101 of the Commission’s rules.</w:t>
      </w:r>
      <w:r>
        <w:rPr>
          <w:rStyle w:val="FootnoteReference"/>
        </w:rPr>
        <w:footnoteReference w:id="211"/>
      </w:r>
      <w:r>
        <w:t xml:space="preserve">  We adopt our proposal in the </w:t>
      </w:r>
      <w:r>
        <w:rPr>
          <w:i/>
        </w:rPr>
        <w:t>833 Auction</w:t>
      </w:r>
      <w:r w:rsidRPr="008209B0">
        <w:rPr>
          <w:i/>
        </w:rPr>
        <w:t xml:space="preserve"> Comment Public Notice</w:t>
      </w:r>
      <w:r>
        <w:t xml:space="preserve"> to require such declaration within 15 business days after the public notice announcing the winning bidders.</w:t>
      </w:r>
      <w:r>
        <w:rPr>
          <w:rStyle w:val="FootnoteReference"/>
        </w:rPr>
        <w:footnoteReference w:id="212"/>
      </w:r>
      <w:r>
        <w:t xml:space="preserve">  If a winning bidder experiences problems working with RespOrgs such that it would be unable through no fault of its own to meet this deadline, it could report the problems to Somos, which will hold the number while these issues are resolved, and request waiver of the 15 business day deadline, consistent with the Commission’s existing waiver standard.</w:t>
      </w:r>
      <w:r>
        <w:rPr>
          <w:rStyle w:val="FootnoteReference"/>
        </w:rPr>
        <w:footnoteReference w:id="213"/>
      </w:r>
    </w:p>
    <w:p w:rsidR="00B42A2B" w:rsidRDefault="00AA13C4" w:rsidP="00B42A2B">
      <w:pPr>
        <w:pStyle w:val="Heading2"/>
      </w:pPr>
      <w:bookmarkStart w:id="968" w:name="_Toc11074601"/>
      <w:bookmarkStart w:id="969" w:name="_Toc11163082"/>
      <w:bookmarkStart w:id="970" w:name="_Toc11251360"/>
      <w:bookmarkStart w:id="971" w:name="_Toc11335533"/>
      <w:bookmarkStart w:id="972" w:name="_Toc11682298"/>
      <w:bookmarkStart w:id="973" w:name="_Toc11737990"/>
      <w:bookmarkStart w:id="974" w:name="_Toc11846694"/>
      <w:bookmarkStart w:id="975" w:name="_Toc11944601"/>
      <w:bookmarkStart w:id="976" w:name="_Toc12288504"/>
      <w:bookmarkStart w:id="977" w:name="_Toc12440649"/>
      <w:bookmarkStart w:id="978" w:name="_Toc12548266"/>
      <w:bookmarkStart w:id="979" w:name="_Toc12610445"/>
      <w:bookmarkStart w:id="980" w:name="_Toc12634279"/>
      <w:bookmarkStart w:id="981" w:name="_Toc12975693"/>
      <w:bookmarkStart w:id="982" w:name="_Toc13469596"/>
      <w:r>
        <w:t>Secondary Market Considerations</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rsidR="00B42A2B" w:rsidRDefault="00AA13C4" w:rsidP="00B42A2B">
      <w:pPr>
        <w:pStyle w:val="ParaNum"/>
        <w:widowControl/>
      </w:pPr>
      <w:r>
        <w:t xml:space="preserve">The secondary market, allowing the sale of numbers assigned during the 833 Auction, is a key component of the auction and our overall toll free assignment modernization efforts.  As the Commission explained in the </w:t>
      </w:r>
      <w:r w:rsidRPr="0048471F">
        <w:rPr>
          <w:i/>
        </w:rPr>
        <w:t xml:space="preserve">Toll Free </w:t>
      </w:r>
      <w:r>
        <w:rPr>
          <w:i/>
        </w:rPr>
        <w:t xml:space="preserve">Assignment </w:t>
      </w:r>
      <w:r w:rsidRPr="0048471F">
        <w:rPr>
          <w:i/>
        </w:rPr>
        <w:t>Modernization Order</w:t>
      </w:r>
      <w:r>
        <w:t>, a secondary market “promotes the efficient operation of an auction” and, consistent with our goal of promoting a market-based approach to toll free number assignment, helps ensure that numbers are assigned to those parties who can most efficiently use them.</w:t>
      </w:r>
      <w:r>
        <w:rPr>
          <w:rStyle w:val="FootnoteReference"/>
        </w:rPr>
        <w:footnoteReference w:id="214"/>
      </w:r>
      <w:r>
        <w:t xml:space="preserve">  We thus adopt procedures to allow for a secondary market for those 833 toll free numbers assigned via competitive bidding.  </w:t>
      </w:r>
    </w:p>
    <w:p w:rsidR="00B42A2B" w:rsidRDefault="00AA13C4" w:rsidP="00B42A2B">
      <w:pPr>
        <w:pStyle w:val="ParaNum"/>
        <w:widowControl/>
      </w:pPr>
      <w:r>
        <w:t xml:space="preserve">To evaluate the operation of this new secondary market, and consistent with the requirement established in the </w:t>
      </w:r>
      <w:r w:rsidRPr="0048471F">
        <w:rPr>
          <w:i/>
        </w:rPr>
        <w:t xml:space="preserve">Toll Free </w:t>
      </w:r>
      <w:r>
        <w:rPr>
          <w:i/>
        </w:rPr>
        <w:t xml:space="preserve">Assignment </w:t>
      </w:r>
      <w:r w:rsidRPr="0048471F">
        <w:rPr>
          <w:i/>
        </w:rPr>
        <w:t>Modernization Order</w:t>
      </w:r>
      <w:r>
        <w:t>, we direct Somos to collect and maintain information on the parties involved in the secondary market transactions and make that information available to the Commission.</w:t>
      </w:r>
      <w:r>
        <w:rPr>
          <w:rStyle w:val="FootnoteReference"/>
        </w:rPr>
        <w:footnoteReference w:id="215"/>
      </w:r>
      <w:r>
        <w:t xml:space="preserve">  </w:t>
      </w:r>
      <w:bookmarkStart w:id="983" w:name="_Hlk15282817"/>
      <w:r>
        <w:t>Based on our proposal</w:t>
      </w:r>
      <w:bookmarkEnd w:id="983"/>
      <w:r>
        <w:t xml:space="preserve"> in the </w:t>
      </w:r>
      <w:r w:rsidRPr="00C73C6C">
        <w:rPr>
          <w:i/>
        </w:rPr>
        <w:t>833 Auction Comment Public Notice</w:t>
      </w:r>
      <w:r>
        <w:t>,</w:t>
      </w:r>
      <w:r>
        <w:rPr>
          <w:rStyle w:val="FootnoteReference"/>
        </w:rPr>
        <w:footnoteReference w:id="216"/>
      </w:r>
      <w:r>
        <w:t xml:space="preserve"> and the comments filed in the record before us, we determine that RespOrgs must submit the information specified below about the parties involved in post-auction secondary market transactions involving their subscribers to Somos within 60 days of</w:t>
      </w:r>
      <w:r w:rsidRPr="00E06E31">
        <w:t xml:space="preserve"> </w:t>
      </w:r>
      <w:r>
        <w:t>the RespOrg’s actual knowledge of the transaction.  This requirement will be included in Somos’s tariff.</w:t>
      </w:r>
      <w:r>
        <w:rPr>
          <w:rStyle w:val="FootnoteReference"/>
        </w:rPr>
        <w:footnoteReference w:id="217"/>
      </w:r>
    </w:p>
    <w:p w:rsidR="00B42A2B" w:rsidRDefault="00AA13C4" w:rsidP="00B42A2B">
      <w:pPr>
        <w:pStyle w:val="ParaNum"/>
        <w:widowControl/>
      </w:pPr>
      <w:r>
        <w:t>As an initial matter, we permit parties to acquire and transfer the rights to use all numbers that were assigned via the 833 Auction.</w:t>
      </w:r>
      <w:r>
        <w:rPr>
          <w:rStyle w:val="FootnoteReference"/>
        </w:rPr>
        <w:footnoteReference w:id="218"/>
      </w:r>
      <w:r>
        <w:t xml:space="preserve">  Two commenters argue that only 833 numbers that receive multiple bids at auction should be able to be bought and sold in the secondary market.</w:t>
      </w:r>
      <w:r>
        <w:rPr>
          <w:rStyle w:val="FootnoteReference"/>
        </w:rPr>
        <w:footnoteReference w:id="219"/>
      </w:r>
      <w:r>
        <w:t xml:space="preserve">  Only one commenter explains the rationale for this argument:  CenturyLink claims that we should limit the secondary market in this way because, by allowing every auctioned number to be transferred on the secondary market, we would “afford[] a special status and related reporting requirements to numbers based on competitive interest that was fleeting and not demonstrated at the auction.”</w:t>
      </w:r>
      <w:r>
        <w:rPr>
          <w:rStyle w:val="FootnoteReference"/>
        </w:rPr>
        <w:footnoteReference w:id="220"/>
      </w:r>
      <w:r>
        <w:t xml:space="preserve">  But CenturyLink misunderstands why the Commission chose to liberalize its secondary market rules for numbers assigned at auction in the first place.  As we have explained, the Commission created an exception to the secondary market rules for numbers assigned via competitive bidding to “promote[] the efficient operation of an auction” because it “allows subscribers to purchase or sell numbers in response to the outcome of the auction, and limits pre-auction costs associated with estimating which—and how many—numbers a bidder may win.”</w:t>
      </w:r>
      <w:r>
        <w:rPr>
          <w:rStyle w:val="FootnoteReference"/>
        </w:rPr>
        <w:footnoteReference w:id="221"/>
      </w:r>
      <w:r>
        <w:t xml:space="preserve">  The proposed limitation would create uncertainty for prospective bidders about whether they will be able to transfer in the secondary market a given number on which they wish to bid and therefore it would frustrate this purpose.  We find no reason to limit the ability of parties to buy and sell numbers in the secondary market beyond what was set forth in the </w:t>
      </w:r>
      <w:r w:rsidRPr="0048471F">
        <w:rPr>
          <w:i/>
        </w:rPr>
        <w:t xml:space="preserve">Toll Free </w:t>
      </w:r>
      <w:r>
        <w:rPr>
          <w:i/>
        </w:rPr>
        <w:t xml:space="preserve">Assignment </w:t>
      </w:r>
      <w:r w:rsidRPr="0048471F">
        <w:rPr>
          <w:i/>
        </w:rPr>
        <w:t>Modernization Order</w:t>
      </w:r>
      <w:r>
        <w:t>.</w:t>
      </w:r>
    </w:p>
    <w:p w:rsidR="00B42A2B" w:rsidRDefault="00AA13C4" w:rsidP="00B42A2B">
      <w:pPr>
        <w:pStyle w:val="ParaNum"/>
        <w:widowControl/>
      </w:pPr>
      <w:r>
        <w:t xml:space="preserve">Consistent with our proposal in the </w:t>
      </w:r>
      <w:r w:rsidRPr="00C73C6C">
        <w:rPr>
          <w:i/>
        </w:rPr>
        <w:t>833 Auction Comment Public Notice</w:t>
      </w:r>
      <w:r>
        <w:t>, we direct Somos to collect information regarding secondary market transactions.</w:t>
      </w:r>
      <w:r>
        <w:rPr>
          <w:rStyle w:val="FootnoteReference"/>
        </w:rPr>
        <w:footnoteReference w:id="222"/>
      </w:r>
      <w:r>
        <w:t xml:space="preserve">  Specifically, we direct Somos to collect contact information of both parties to a transaction including (i) name, (ii) address, (iii) email address, and (iv) phone number.</w:t>
      </w:r>
      <w:r>
        <w:rPr>
          <w:rStyle w:val="FootnoteReference"/>
        </w:rPr>
        <w:footnoteReference w:id="223"/>
      </w:r>
      <w:r>
        <w:t xml:space="preserve">  This information will allow the Commission to fully evaluate the operation of the secondary market </w:t>
      </w:r>
      <w:bookmarkStart w:id="984" w:name="_Hlk15301552"/>
      <w:r>
        <w:t xml:space="preserve">and will promote certainty and combat fraud in the marketplace by keeping track of change of title, both of which are </w:t>
      </w:r>
      <w:bookmarkEnd w:id="984"/>
      <w:r>
        <w:t>important components to this toll free number auction experiment.  We do not, however, require Somos to collect information on the sale date and price.  After reviewing the record, we are persuaded by commenters who argue that subscribers may be hesitant to share sensitive business information such as the sale price,</w:t>
      </w:r>
      <w:r>
        <w:rPr>
          <w:rStyle w:val="FootnoteReference"/>
        </w:rPr>
        <w:footnoteReference w:id="224"/>
      </w:r>
      <w:r>
        <w:t xml:space="preserve"> and it is not our intent with this reporting requirement to impede the robust operation of the secondary market.</w:t>
      </w:r>
    </w:p>
    <w:p w:rsidR="00B42A2B" w:rsidRDefault="00AA13C4" w:rsidP="00B42A2B">
      <w:pPr>
        <w:pStyle w:val="ParaNum"/>
        <w:widowControl/>
      </w:pPr>
      <w:r>
        <w:t xml:space="preserve">The </w:t>
      </w:r>
      <w:r w:rsidRPr="00723379">
        <w:rPr>
          <w:i/>
        </w:rPr>
        <w:t>Toll Free Assignment Modernization Order</w:t>
      </w:r>
      <w:r>
        <w:t xml:space="preserve"> established a requirement that RespOrgs report the required secondary market transaction information to Somos.</w:t>
      </w:r>
      <w:r>
        <w:rPr>
          <w:rStyle w:val="FootnoteReference"/>
        </w:rPr>
        <w:footnoteReference w:id="225"/>
      </w:r>
      <w:r>
        <w:t xml:space="preserve">  To implement this requirement and incentivize RespOrgs to provide this information promptly, the </w:t>
      </w:r>
      <w:r w:rsidRPr="00927C7F">
        <w:rPr>
          <w:i/>
        </w:rPr>
        <w:t>833 Auction Comment Public Notice</w:t>
      </w:r>
      <w:r>
        <w:t xml:space="preserve"> proposed that RespOrgs must submit this information to Somos within 60 days of a transaction, against the penalty of denying access to the Toll Free Database until the information is reported, which would be included in the Somos tariff.</w:t>
      </w:r>
      <w:r>
        <w:rPr>
          <w:rStyle w:val="FootnoteReference"/>
        </w:rPr>
        <w:footnoteReference w:id="226"/>
      </w:r>
      <w:r>
        <w:t xml:space="preserve">  We adopt this proposal, with the modification based on the record before us that a RespOrg has 60 days from the time it has </w:t>
      </w:r>
      <w:r w:rsidRPr="00D348CE">
        <w:t>actual knowledge</w:t>
      </w:r>
      <w:r w:rsidRPr="00197923">
        <w:t xml:space="preserve"> of</w:t>
      </w:r>
      <w:r>
        <w:t xml:space="preserve"> the transaction within which to report the required information.</w:t>
      </w:r>
      <w:r>
        <w:rPr>
          <w:rStyle w:val="FootnoteReference"/>
        </w:rPr>
        <w:footnoteReference w:id="227"/>
      </w:r>
      <w:r>
        <w:t>  We further adopt the proposal to allow a RespOrg to withhold service from a subscriber until it receives the necessary information.</w:t>
      </w:r>
      <w:r>
        <w:rPr>
          <w:rStyle w:val="FootnoteReference"/>
        </w:rPr>
        <w:footnoteReference w:id="228"/>
      </w:r>
      <w:r>
        <w:t xml:space="preserve">  Finally, we clarify that, in the case of a transfer of a number that is also accompanied by a change of RespOrg, this obligation only applies to the RespOrg providing service to the purchasing subscriber.</w:t>
      </w:r>
    </w:p>
    <w:p w:rsidR="00B42A2B" w:rsidRDefault="00AA13C4" w:rsidP="00B42A2B">
      <w:pPr>
        <w:pStyle w:val="ParaNum"/>
        <w:widowControl/>
      </w:pPr>
      <w:bookmarkStart w:id="985" w:name="_Hlk15282925"/>
      <w:r>
        <w:t>We are convinced by RespOrg commenters that they may not have reason to know of a secondary market transaction by one of their subscribers in all instances.</w:t>
      </w:r>
      <w:r>
        <w:rPr>
          <w:rStyle w:val="FootnoteReference"/>
        </w:rPr>
        <w:footnoteReference w:id="229"/>
      </w:r>
      <w:r>
        <w:t xml:space="preserve">  To address this concern, we provide RespOrgs 60 days from the date of actual knowledge of a transaction to report the information noted above about the secondary market transaction, rather than 60 days from the date of the transaction itself.</w:t>
      </w:r>
      <w:r>
        <w:rPr>
          <w:rStyle w:val="FootnoteReference"/>
        </w:rPr>
        <w:footnoteReference w:id="230"/>
      </w:r>
      <w:r>
        <w:t xml:space="preserve">  This change in when the reporting obligation is triggered will avoid a situation in which a RespOrg is denied access to the Toll Free Database for a transaction of which it is unaware.</w:t>
      </w:r>
      <w:r>
        <w:rPr>
          <w:rStyle w:val="FootnoteReference"/>
        </w:rPr>
        <w:footnoteReference w:id="231"/>
      </w:r>
      <w:r>
        <w:t xml:space="preserve">  We nonetheless expect RespOrgs to exercise due diligence in monitoring secondary market transactions involving their subscribers</w:t>
      </w:r>
      <w:bookmarkEnd w:id="985"/>
      <w:r>
        <w:t>.</w:t>
      </w:r>
    </w:p>
    <w:p w:rsidR="00B42A2B" w:rsidRDefault="00AA13C4" w:rsidP="00B42A2B">
      <w:pPr>
        <w:pStyle w:val="ParaNum"/>
        <w:widowControl/>
      </w:pPr>
      <w:r>
        <w:t>RespOrg commenters argue that this requirement places too large of a burden on RespOrgs because the penalty for non-reporting is too harsh.</w:t>
      </w:r>
      <w:r>
        <w:rPr>
          <w:rStyle w:val="FootnoteReference"/>
        </w:rPr>
        <w:footnoteReference w:id="232"/>
      </w:r>
      <w:r>
        <w:t xml:space="preserve">  We disagree.  We believe that the actual knowledge standard we adopt herein reasonably moderates the penalty; the penalty is not triggered until a RespOrg has actual knowledge of a secondary market transaction for 60 days yet nonetheless fails to meet its obligation to report the transaction.  In such a situation, we find the penalty appropriate, given the Commission’s interest in tracking and analyzing the secondary market in toll free numbers during this experiment.  We also conclude that the actual knowledge standard negates the need for Somos to provide RespOrgs a 30-day cure period prior to imposing the penalty; the cure period was a response to the concern that RespOrgs may not know that a secondary market transaction occurred,</w:t>
      </w:r>
      <w:r>
        <w:rPr>
          <w:rStyle w:val="FootnoteReference"/>
        </w:rPr>
        <w:footnoteReference w:id="233"/>
      </w:r>
      <w:r>
        <w:t xml:space="preserve"> which is obviated by the adoption of an actual knowledge standard.  Further, the penalty for non-reporting is removed when a RespOrg provides Somos with the necessary transaction information.  We decline to go further and place an affirmative obligation on subscribers to report secondary market transaction information to Somos, as some commenters suggest,</w:t>
      </w:r>
      <w:r>
        <w:rPr>
          <w:rStyle w:val="FootnoteReference"/>
        </w:rPr>
        <w:footnoteReference w:id="234"/>
      </w:r>
      <w:r>
        <w:t xml:space="preserve"> because such an obligation was not contemplated in the </w:t>
      </w:r>
      <w:r>
        <w:rPr>
          <w:i/>
        </w:rPr>
        <w:t>Toll Free Assignment Modernization Order</w:t>
      </w:r>
      <w:r>
        <w:t>.  And because we do not find this obligation to be overly burdensome for RespOrgs, we decline to adopt alternative approaches suggested in the record.</w:t>
      </w:r>
      <w:r>
        <w:rPr>
          <w:rStyle w:val="FootnoteReference"/>
        </w:rPr>
        <w:footnoteReference w:id="235"/>
      </w:r>
    </w:p>
    <w:p w:rsidR="00B42A2B" w:rsidRDefault="00AA13C4" w:rsidP="00B42A2B">
      <w:pPr>
        <w:pStyle w:val="Heading1"/>
      </w:pPr>
      <w:bookmarkStart w:id="986" w:name="_Toc11074602"/>
      <w:bookmarkStart w:id="987" w:name="_Toc11163083"/>
      <w:bookmarkStart w:id="988" w:name="_Toc11251361"/>
      <w:bookmarkStart w:id="989" w:name="_Toc11335534"/>
      <w:bookmarkStart w:id="990" w:name="_Toc11682299"/>
      <w:bookmarkStart w:id="991" w:name="_Toc11737991"/>
      <w:bookmarkStart w:id="992" w:name="_Toc11846695"/>
      <w:bookmarkStart w:id="993" w:name="_Toc11944602"/>
      <w:bookmarkStart w:id="994" w:name="_Toc12288505"/>
      <w:bookmarkStart w:id="995" w:name="_Toc12440650"/>
      <w:bookmarkStart w:id="996" w:name="_Toc12548267"/>
      <w:bookmarkStart w:id="997" w:name="_Toc12610446"/>
      <w:bookmarkStart w:id="998" w:name="_Toc12634280"/>
      <w:bookmarkStart w:id="999" w:name="_Toc12975694"/>
      <w:bookmarkStart w:id="1000" w:name="_Toc13469597"/>
      <w:r>
        <w:t>Procedural Matters</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rsidR="00B42A2B" w:rsidRPr="005F7D0B" w:rsidRDefault="00AA13C4" w:rsidP="00B42A2B">
      <w:pPr>
        <w:pStyle w:val="ParaNum"/>
        <w:widowControl/>
      </w:pPr>
      <w:bookmarkStart w:id="1001" w:name="_Toc11251363"/>
      <w:bookmarkStart w:id="1002" w:name="_Toc11335536"/>
      <w:bookmarkStart w:id="1003" w:name="_Toc11682301"/>
      <w:bookmarkStart w:id="1004" w:name="_Toc11737993"/>
      <w:bookmarkStart w:id="1005" w:name="_Toc11846697"/>
      <w:bookmarkStart w:id="1006" w:name="_Toc11944604"/>
      <w:bookmarkStart w:id="1007" w:name="_Toc11074603"/>
      <w:bookmarkStart w:id="1008" w:name="_Toc11163084"/>
      <w:r w:rsidRPr="00E7227C">
        <w:rPr>
          <w:i/>
        </w:rPr>
        <w:t>Paperwork Reduction Act</w:t>
      </w:r>
      <w:r>
        <w:t xml:space="preserve">.  </w:t>
      </w:r>
      <w:r w:rsidRPr="001776E7">
        <w:t xml:space="preserve">This document implements the information collections adopted in the </w:t>
      </w:r>
      <w:r w:rsidRPr="001776E7">
        <w:rPr>
          <w:i/>
        </w:rPr>
        <w:t xml:space="preserve">Toll Free Assignment Modernization Order </w:t>
      </w:r>
      <w:r w:rsidRPr="001776E7">
        <w:t>and contains additional information collection(s) subject to the Paperwork Reduction Act of 1995 (PRA), Public Law 104-13.  The Commission is currently seeking PRA approval for information collections related to the auction application process</w:t>
      </w:r>
      <w:r>
        <w:t xml:space="preserve"> and the secondary market</w:t>
      </w:r>
      <w:r w:rsidRPr="001776E7">
        <w:t>.</w:t>
      </w:r>
      <w:r w:rsidRPr="00DD2260">
        <w:t xml:space="preserve">  In the present document, and its related information collection, we require the following information from potential bidders:  (1) </w:t>
      </w:r>
      <w:r>
        <w:t>a</w:t>
      </w:r>
      <w:r w:rsidRPr="00DD2260">
        <w:t xml:space="preserve">pplicant </w:t>
      </w:r>
      <w:r>
        <w:t>contact and other d</w:t>
      </w:r>
      <w:r w:rsidRPr="00DD2260">
        <w:t xml:space="preserve">etails;  (2) </w:t>
      </w:r>
      <w:r>
        <w:t>d</w:t>
      </w:r>
      <w:r w:rsidRPr="00DD2260">
        <w:t xml:space="preserve">irect </w:t>
      </w:r>
      <w:r>
        <w:t>o</w:t>
      </w:r>
      <w:r w:rsidRPr="00DD2260">
        <w:t xml:space="preserve">wnership </w:t>
      </w:r>
      <w:r>
        <w:t>i</w:t>
      </w:r>
      <w:r w:rsidRPr="00DD2260">
        <w:t>nterests</w:t>
      </w:r>
      <w:r>
        <w:t>; (3) indirect o</w:t>
      </w:r>
      <w:r w:rsidRPr="00DD2260">
        <w:t xml:space="preserve">wnership </w:t>
      </w:r>
      <w:r>
        <w:t>i</w:t>
      </w:r>
      <w:r w:rsidRPr="00DD2260">
        <w:t xml:space="preserve">nterests; (4) </w:t>
      </w:r>
      <w:r>
        <w:t>r</w:t>
      </w:r>
      <w:r w:rsidRPr="00DD2260">
        <w:t xml:space="preserve">eal </w:t>
      </w:r>
      <w:r>
        <w:t>p</w:t>
      </w:r>
      <w:r w:rsidRPr="00DD2260">
        <w:t xml:space="preserve">arties in </w:t>
      </w:r>
      <w:r>
        <w:t>i</w:t>
      </w:r>
      <w:r w:rsidRPr="00DD2260">
        <w:t>nterests</w:t>
      </w:r>
      <w:r>
        <w:t>;</w:t>
      </w:r>
      <w:r w:rsidRPr="00DD2260">
        <w:t xml:space="preserve"> (5) </w:t>
      </w:r>
      <w:r>
        <w:t>FCC-regulated entities or applicants for a FCC license in which the applicant, any real party in interest, or any direct interest holder of 10% or greater owns 10% or more stock;</w:t>
      </w:r>
      <w:r w:rsidRPr="00DD2260">
        <w:t xml:space="preserve"> (7) </w:t>
      </w:r>
      <w:r>
        <w:t xml:space="preserve">whether the applicant is bidding on behalf of other entities; </w:t>
      </w:r>
      <w:r w:rsidRPr="00DD2260">
        <w:t>(8)</w:t>
      </w:r>
      <w:r>
        <w:t> disclosure of any allowable bidding arrangements</w:t>
      </w:r>
      <w:r w:rsidRPr="00DD2260">
        <w:t xml:space="preserve">; (9) </w:t>
      </w:r>
      <w:r>
        <w:t xml:space="preserve">the </w:t>
      </w:r>
      <w:r w:rsidRPr="00DD2260">
        <w:t xml:space="preserve">toll free numbers </w:t>
      </w:r>
      <w:r>
        <w:t xml:space="preserve">on which the applicant wishes to bid; </w:t>
      </w:r>
      <w:r w:rsidRPr="00DD2260">
        <w:t>and (10) any other exhibits or documentation the applicant deems necessary to apply to bid in the auction.</w:t>
      </w:r>
      <w:r>
        <w:t xml:space="preserve">  </w:t>
      </w:r>
      <w:r>
        <w:rPr>
          <w:szCs w:val="22"/>
        </w:rPr>
        <w:t xml:space="preserve">Without this collected information, neither the Commission nor Somos (on the Commission’s behalf) can hold the 833 Auction, nor can potential bidders participate in it.  </w:t>
      </w:r>
    </w:p>
    <w:p w:rsidR="00B42A2B" w:rsidRPr="00DD2260" w:rsidRDefault="00AA13C4" w:rsidP="00B42A2B">
      <w:pPr>
        <w:pStyle w:val="ParaNum"/>
        <w:widowControl/>
      </w:pPr>
      <w:r w:rsidRPr="00DD2260">
        <w:t>In addition, with respect to post auction secondary market transactions, Somos will collect contact information on the Commission’s behalf from parties to secondary market transactions.</w:t>
      </w:r>
      <w:r>
        <w:rPr>
          <w:rStyle w:val="FootnoteReference"/>
        </w:rPr>
        <w:footnoteReference w:id="236"/>
      </w:r>
      <w:r w:rsidRPr="00DD2260">
        <w:t xml:space="preserve">  This information will allow the Commission to fully evaluate the operation of the secondary market, which is an important component to this toll free number auction experiment.</w:t>
      </w:r>
    </w:p>
    <w:bookmarkEnd w:id="1001"/>
    <w:bookmarkEnd w:id="1002"/>
    <w:bookmarkEnd w:id="1003"/>
    <w:bookmarkEnd w:id="1004"/>
    <w:bookmarkEnd w:id="1005"/>
    <w:bookmarkEnd w:id="1006"/>
    <w:p w:rsidR="00B42A2B" w:rsidRPr="009D3B30" w:rsidRDefault="00AA13C4" w:rsidP="00B42A2B">
      <w:pPr>
        <w:pStyle w:val="ParaNum"/>
        <w:widowControl/>
      </w:pPr>
      <w:r w:rsidRPr="00E7227C">
        <w:rPr>
          <w:i/>
        </w:rPr>
        <w:t>Congressional Review Act</w:t>
      </w:r>
      <w:r>
        <w:t xml:space="preserve">.  </w:t>
      </w:r>
      <w:r w:rsidRPr="009D3B30">
        <w:t xml:space="preserve">The Commission will send a copy of this </w:t>
      </w:r>
      <w:r w:rsidRPr="000E2F39">
        <w:t>Public Notice,</w:t>
      </w:r>
      <w:r w:rsidRPr="009D3B30">
        <w:t xml:space="preserve"> including the Supplemental Final Regulatory Flexibility Analysis, in a report to Congress and the Government Accountability Office pursuant to the Congressional Review Act.</w:t>
      </w:r>
      <w:r>
        <w:rPr>
          <w:vertAlign w:val="superscript"/>
        </w:rPr>
        <w:footnoteReference w:id="237"/>
      </w:r>
    </w:p>
    <w:bookmarkEnd w:id="1007"/>
    <w:bookmarkEnd w:id="1008"/>
    <w:p w:rsidR="00B42A2B" w:rsidRDefault="00AA13C4" w:rsidP="00B42A2B">
      <w:pPr>
        <w:pStyle w:val="ParaNum"/>
        <w:widowControl/>
        <w:tabs>
          <w:tab w:val="clear" w:pos="1440"/>
          <w:tab w:val="num" w:pos="1080"/>
        </w:tabs>
      </w:pPr>
      <w:r w:rsidRPr="00E7227C">
        <w:rPr>
          <w:i/>
        </w:rPr>
        <w:t>Supplemental Final Regulatory Flexibility Analysis</w:t>
      </w:r>
      <w:r>
        <w:t xml:space="preserve">.  </w:t>
      </w:r>
      <w:r w:rsidRPr="008B1D75">
        <w:t>As required by the Regulatory Flexibility Act of 1980 (RFA),</w:t>
      </w:r>
      <w:r>
        <w:rPr>
          <w:rStyle w:val="FootnoteReference"/>
        </w:rPr>
        <w:footnoteReference w:id="238"/>
      </w:r>
      <w:r w:rsidRPr="008B1D75">
        <w:t xml:space="preserve"> </w:t>
      </w:r>
      <w:r>
        <w:t xml:space="preserve">an </w:t>
      </w:r>
      <w:r w:rsidRPr="008B1D75">
        <w:t>Initial</w:t>
      </w:r>
      <w:r>
        <w:t xml:space="preserve"> </w:t>
      </w:r>
      <w:r w:rsidRPr="008B1D75">
        <w:t>Regulatory Flexibility Analys</w:t>
      </w:r>
      <w:r>
        <w:t>is</w:t>
      </w:r>
      <w:r w:rsidRPr="008B1D75">
        <w:t xml:space="preserve"> w</w:t>
      </w:r>
      <w:r>
        <w:t>as</w:t>
      </w:r>
      <w:r w:rsidRPr="008B1D75">
        <w:t xml:space="preserve"> incorporated in </w:t>
      </w:r>
      <w:r>
        <w:t xml:space="preserve">the Notice of Proposed Rulemaking in the </w:t>
      </w:r>
      <w:bookmarkStart w:id="1009" w:name="_Hlk11655360"/>
      <w:r w:rsidRPr="008B1D75">
        <w:rPr>
          <w:i/>
        </w:rPr>
        <w:t>Toll Free Assignment Modernization Order</w:t>
      </w:r>
      <w:bookmarkEnd w:id="1009"/>
      <w:r>
        <w:t xml:space="preserve"> pursuant to which the 833 Auction will be conducted</w:t>
      </w:r>
      <w:r w:rsidRPr="008B1D75">
        <w:t>.</w:t>
      </w:r>
      <w:r>
        <w:rPr>
          <w:rStyle w:val="FootnoteReference"/>
        </w:rPr>
        <w:footnoteReference w:id="239"/>
      </w:r>
      <w:r>
        <w:t xml:space="preserve">  A Supplemental Initial Regulatory Flexibility Analysis (Supplemental IRFA) was incorporated in the </w:t>
      </w:r>
      <w:r w:rsidRPr="00F00438">
        <w:rPr>
          <w:i/>
        </w:rPr>
        <w:t>833 Auction Comment Public Notice</w:t>
      </w:r>
      <w:r>
        <w:t>.</w:t>
      </w:r>
      <w:r>
        <w:rPr>
          <w:rStyle w:val="FootnoteReference"/>
        </w:rPr>
        <w:footnoteReference w:id="240"/>
      </w:r>
      <w:r>
        <w:t xml:space="preserve">  The Commission sought written public comments on the Supplemental IRFA.  No comments were filed addressing the Supplemental IRFA.  A Final Regulatory Flexibility Analysis (FRFA) was also incorporated in the </w:t>
      </w:r>
      <w:r w:rsidRPr="008B1D75">
        <w:rPr>
          <w:i/>
        </w:rPr>
        <w:t>Toll Free Assignment Modernization Order</w:t>
      </w:r>
      <w:r>
        <w:rPr>
          <w:i/>
        </w:rPr>
        <w:t>.</w:t>
      </w:r>
      <w:r>
        <w:rPr>
          <w:rStyle w:val="FootnoteReference"/>
        </w:rPr>
        <w:footnoteReference w:id="241"/>
      </w:r>
      <w:r>
        <w:rPr>
          <w:i/>
        </w:rPr>
        <w:t xml:space="preserve">  </w:t>
      </w:r>
      <w:r>
        <w:t>This present Supplemental Final Regulatory Flexibility Analysis (Supplemental FRFA) supplements the FRFA to reflect the actions taken in this Public Notice and conforms to the RFA.</w:t>
      </w:r>
      <w:r>
        <w:rPr>
          <w:rStyle w:val="FootnoteReference"/>
        </w:rPr>
        <w:footnoteReference w:id="242"/>
      </w:r>
    </w:p>
    <w:p w:rsidR="00B42A2B" w:rsidRDefault="00AA13C4" w:rsidP="00B42A2B">
      <w:pPr>
        <w:pStyle w:val="ParaNum"/>
        <w:widowControl/>
        <w:tabs>
          <w:tab w:val="clear" w:pos="1440"/>
          <w:tab w:val="num" w:pos="1080"/>
        </w:tabs>
      </w:pPr>
      <w:r w:rsidRPr="008F0F46">
        <w:rPr>
          <w:u w:val="single"/>
        </w:rPr>
        <w:t xml:space="preserve">Need for, and Objectives of, the </w:t>
      </w:r>
      <w:r>
        <w:rPr>
          <w:u w:val="single"/>
        </w:rPr>
        <w:t>Public Notice</w:t>
      </w:r>
      <w:r>
        <w:t>.  This Public Notice (</w:t>
      </w:r>
      <w:r w:rsidRPr="00BA74E0">
        <w:rPr>
          <w:i/>
        </w:rPr>
        <w:t>833 Auction Procedures Public Notice</w:t>
      </w:r>
      <w:r>
        <w:t>) implements the auction procedures to be used by the Commission and Somos for competitive bidding in the 833 Auction for certain toll free numbers in the 833 code</w:t>
      </w:r>
      <w:r w:rsidRPr="00F00438">
        <w:t>.</w:t>
      </w:r>
      <w:r>
        <w:t xml:space="preserve">  The procedures adopted for the 833 Auction seek to balance three goals:  (1) promoting competition in the auction; (2) avoiding undue burdens on the applicants; and (3) assigning the 833 toll free numbers as expeditiously as possible.  Moreover, the </w:t>
      </w:r>
      <w:r w:rsidRPr="00BA74E0">
        <w:rPr>
          <w:i/>
        </w:rPr>
        <w:t>833 Auction Procedures Public Notice</w:t>
      </w:r>
      <w:r>
        <w:t xml:space="preserve"> provides an overview of the procedures, auction dates and deadlines, requirements for participants, terms and conditions governing the 833 Auction and the post-auction requirements and payment processes.</w:t>
      </w:r>
    </w:p>
    <w:p w:rsidR="00B42A2B" w:rsidRDefault="00AA13C4" w:rsidP="00B42A2B">
      <w:pPr>
        <w:pStyle w:val="ParaNum"/>
        <w:widowControl/>
        <w:tabs>
          <w:tab w:val="clear" w:pos="1440"/>
          <w:tab w:val="num" w:pos="1080"/>
        </w:tabs>
      </w:pPr>
      <w:r>
        <w:t>To promote a</w:t>
      </w:r>
      <w:r w:rsidRPr="00F00438">
        <w:t>n efficient and fair administration of the competitive bidding process</w:t>
      </w:r>
      <w:r>
        <w:t xml:space="preserve"> that</w:t>
      </w:r>
      <w:r w:rsidRPr="00F00438">
        <w:t xml:space="preserve"> will benefit all 833 Auction participants, including small entities</w:t>
      </w:r>
      <w:r>
        <w:t xml:space="preserve">, the Commission adopts the following procedures: </w:t>
      </w:r>
    </w:p>
    <w:p w:rsidR="00B42A2B" w:rsidRDefault="00AA13C4" w:rsidP="00B42A2B">
      <w:pPr>
        <w:pStyle w:val="ParaNum"/>
        <w:widowControl/>
        <w:numPr>
          <w:ilvl w:val="0"/>
          <w:numId w:val="8"/>
        </w:numPr>
      </w:pPr>
      <w:r>
        <w:t>allow potential subscribers to participate in the 833 Auction either through a RespOrg that will bid on all the numbers in which the subscriber is interested in acquiring, or by submitting its own application and bidding for all the numbers in which it is interested;</w:t>
      </w:r>
    </w:p>
    <w:p w:rsidR="00B42A2B" w:rsidRDefault="00AA13C4" w:rsidP="00B42A2B">
      <w:pPr>
        <w:pStyle w:val="ParaNum"/>
        <w:widowControl/>
        <w:numPr>
          <w:ilvl w:val="0"/>
          <w:numId w:val="8"/>
        </w:numPr>
      </w:pPr>
      <w:r w:rsidRPr="007D6CB5">
        <w:t>require each applicant in the 833 Auction to certify that (1) if it is bidding on its own behalf, it is also not participating in the auction through another entity and/or, if it is bidding on behalf of potential subscribers that it is not aware that the potential subscriber(s) are participating through another applicant; and (2) it, or any commonly-controlled entity, is not submitting multiple applications in the 833</w:t>
      </w:r>
      <w:r>
        <w:t xml:space="preserve"> </w:t>
      </w:r>
      <w:r w:rsidRPr="007D6CB5">
        <w:t>Auction, utilizing the Commission’s definitions for control adopted for similar purposes in its spectrum auctions;</w:t>
      </w:r>
    </w:p>
    <w:p w:rsidR="00B42A2B" w:rsidRDefault="00AA13C4" w:rsidP="00B42A2B">
      <w:pPr>
        <w:pStyle w:val="ParaNum"/>
        <w:widowControl/>
        <w:numPr>
          <w:ilvl w:val="0"/>
          <w:numId w:val="8"/>
        </w:numPr>
      </w:pPr>
      <w:r w:rsidRPr="007D6CB5">
        <w:t>prohibit each applicant in the 833 Auction from cooperating or collaborating with any other applicant with respect to its own, or one another’s, or any other competing applicant’s bids or bidding strategies, and will be prohibited from communicating with any other applicant in any manner the substance of its own, or one another’s, or any other competing applicant’s bids or bidding strategies (including the post-auction market for toll free numbers);</w:t>
      </w:r>
    </w:p>
    <w:p w:rsidR="00B42A2B" w:rsidRDefault="00AA13C4" w:rsidP="00B42A2B">
      <w:pPr>
        <w:pStyle w:val="ParaNum"/>
        <w:widowControl/>
        <w:numPr>
          <w:ilvl w:val="0"/>
          <w:numId w:val="8"/>
        </w:numPr>
      </w:pPr>
      <w:r w:rsidRPr="007D6CB5">
        <w:t>prohibit certain agreements between applicants (whether the applicants are RespOrgs or potential subscribers) in the 833 Auction, and certain auction-related agreements among RespOrgs even where only one of the RespOrgs is an applicant in the 833 Auction;</w:t>
      </w:r>
    </w:p>
    <w:p w:rsidR="00B42A2B" w:rsidRDefault="00AA13C4" w:rsidP="00B42A2B">
      <w:pPr>
        <w:pStyle w:val="ParaNum"/>
        <w:widowControl/>
        <w:numPr>
          <w:ilvl w:val="0"/>
          <w:numId w:val="8"/>
        </w:numPr>
      </w:pPr>
      <w:r w:rsidRPr="007D6CB5">
        <w:t>require any applicant RespOrg that bids for a potential subscriber to acquire a letter of authorization from the potential subscriber;</w:t>
      </w:r>
    </w:p>
    <w:p w:rsidR="00B42A2B" w:rsidRDefault="00AA13C4" w:rsidP="00B42A2B">
      <w:pPr>
        <w:pStyle w:val="ParaNum"/>
        <w:widowControl/>
        <w:numPr>
          <w:ilvl w:val="0"/>
          <w:numId w:val="8"/>
        </w:numPr>
      </w:pPr>
      <w:r w:rsidRPr="007D6CB5">
        <w:t>require applicants to first acquire an “Auction ID” from Somos, which will verify the potential applicant’s identity, and if any entity cannot be verified through the Somos verification process, it must then participate through a RespOrg;</w:t>
      </w:r>
    </w:p>
    <w:p w:rsidR="00B42A2B" w:rsidRDefault="00AA13C4" w:rsidP="00B42A2B">
      <w:pPr>
        <w:pStyle w:val="ParaNum"/>
        <w:widowControl/>
        <w:numPr>
          <w:ilvl w:val="0"/>
          <w:numId w:val="8"/>
        </w:numPr>
      </w:pPr>
      <w:r w:rsidRPr="007D6CB5">
        <w:t>require each applicant, on its auction application, (1) identify each number on which it wishes to be able to bid and, for each number, the party (either itself or another entity) for which it is bidding, (2) provide the same level of ownership disclosure required in Commission auctions, (3) disclose any auction-related agreement, and (4) certify that it is not currently in default or delinquent on a non-tax debt to the Federal government;</w:t>
      </w:r>
    </w:p>
    <w:p w:rsidR="00B42A2B" w:rsidRDefault="00AA13C4" w:rsidP="00B42A2B">
      <w:pPr>
        <w:pStyle w:val="ParaNum"/>
        <w:widowControl/>
        <w:numPr>
          <w:ilvl w:val="0"/>
          <w:numId w:val="8"/>
        </w:numPr>
      </w:pPr>
      <w:r w:rsidRPr="007D6CB5">
        <w:t>for determining the winning bidder on tied bids for a toll free number</w:t>
      </w:r>
      <w:r>
        <w:t>,</w:t>
      </w:r>
      <w:r w:rsidRPr="007D6CB5">
        <w:t xml:space="preserve"> use a pseudorandom number assigned to each bid</w:t>
      </w:r>
      <w:r>
        <w:t>,</w:t>
      </w:r>
      <w:r w:rsidRPr="007D6CB5">
        <w:t xml:space="preserve"> and for only </w:t>
      </w:r>
      <w:r>
        <w:t xml:space="preserve">one </w:t>
      </w:r>
      <w:r w:rsidRPr="007D6CB5">
        <w:t>bid received for a toll free number, assign the sole bidder the number and require no payment;</w:t>
      </w:r>
    </w:p>
    <w:p w:rsidR="00B42A2B" w:rsidRDefault="00AA13C4" w:rsidP="00B42A2B">
      <w:pPr>
        <w:pStyle w:val="ParaNum"/>
        <w:widowControl/>
        <w:numPr>
          <w:ilvl w:val="0"/>
          <w:numId w:val="8"/>
        </w:numPr>
      </w:pPr>
      <w:r w:rsidRPr="007D6CB5">
        <w:t>conduct the 833 Auction using procedures for limited information disclosure;</w:t>
      </w:r>
    </w:p>
    <w:p w:rsidR="00B42A2B" w:rsidRDefault="00AA13C4" w:rsidP="00B42A2B">
      <w:pPr>
        <w:pStyle w:val="ParaNum"/>
        <w:widowControl/>
        <w:numPr>
          <w:ilvl w:val="0"/>
          <w:numId w:val="8"/>
        </w:numPr>
      </w:pPr>
      <w:r w:rsidRPr="007D6CB5">
        <w:t>require potential bidders provide an upfront payment of $100 per number, and treat all funds that a RespOrg submits as an upfront payment in the auction (regardless of whether the funds came from the RespOrg or a potential subscriber for which the RespOrg is bidding) as the upfront payment of the RespOrg that will be used to offset the final payment obligation for any winning bids of the RespOrg;</w:t>
      </w:r>
    </w:p>
    <w:p w:rsidR="00B42A2B" w:rsidRDefault="00AA13C4" w:rsidP="00B42A2B">
      <w:pPr>
        <w:pStyle w:val="ParaNum"/>
        <w:widowControl/>
        <w:numPr>
          <w:ilvl w:val="0"/>
          <w:numId w:val="8"/>
        </w:numPr>
      </w:pPr>
      <w:r>
        <w:t xml:space="preserve">establish a </w:t>
      </w:r>
      <w:r w:rsidRPr="007D6CB5">
        <w:t>default payment of 35% of the defaulted bid;</w:t>
      </w:r>
    </w:p>
    <w:p w:rsidR="00B42A2B" w:rsidRDefault="00AA13C4" w:rsidP="00B42A2B">
      <w:pPr>
        <w:pStyle w:val="ParaNum"/>
        <w:widowControl/>
        <w:numPr>
          <w:ilvl w:val="0"/>
          <w:numId w:val="8"/>
        </w:numPr>
      </w:pPr>
      <w:r>
        <w:t xml:space="preserve">require </w:t>
      </w:r>
      <w:r w:rsidRPr="007D6CB5">
        <w:t>full payment within 10 business days following release of the public notice of the winning bids, or full payment plus a 5% late fee, within five additional business days;</w:t>
      </w:r>
    </w:p>
    <w:p w:rsidR="00B42A2B" w:rsidRDefault="00AA13C4" w:rsidP="00B42A2B">
      <w:pPr>
        <w:pStyle w:val="ParaNum"/>
        <w:widowControl/>
        <w:numPr>
          <w:ilvl w:val="0"/>
          <w:numId w:val="8"/>
        </w:numPr>
      </w:pPr>
      <w:r w:rsidRPr="007D6CB5">
        <w:t>require any potential subscriber that directly participates in the 833 Auction and is a winning bidder to declare its intent to work with a specific RespOrg within 15 business days following release of the public notice of winning bids; and</w:t>
      </w:r>
    </w:p>
    <w:p w:rsidR="00B42A2B" w:rsidRDefault="00AA13C4" w:rsidP="00B42A2B">
      <w:pPr>
        <w:pStyle w:val="ParaNum"/>
        <w:widowControl/>
        <w:numPr>
          <w:ilvl w:val="0"/>
          <w:numId w:val="8"/>
        </w:numPr>
      </w:pPr>
      <w:r w:rsidRPr="007D6CB5">
        <w:t>require Somos to collect additional information on secondary markets and require RespOrgs submit all required data about post-auction secondary market transactions within 60 days of</w:t>
      </w:r>
      <w:r>
        <w:t xml:space="preserve"> the RespOrg’s knowledge of</w:t>
      </w:r>
      <w:r w:rsidRPr="007D6CB5">
        <w:t xml:space="preserve"> a transaction.</w:t>
      </w:r>
    </w:p>
    <w:p w:rsidR="00B42A2B" w:rsidRDefault="00AA13C4" w:rsidP="00B42A2B">
      <w:pPr>
        <w:pStyle w:val="ParaNum"/>
        <w:widowControl/>
        <w:tabs>
          <w:tab w:val="clear" w:pos="1440"/>
          <w:tab w:val="num" w:pos="1080"/>
        </w:tabs>
      </w:pPr>
      <w:r w:rsidRPr="008F0F46">
        <w:rPr>
          <w:u w:val="single"/>
        </w:rPr>
        <w:t>Summary of Significant Issues Raised by Public Comments in Response to Supplemental IRFA</w:t>
      </w:r>
      <w:r>
        <w:t xml:space="preserve">.  There were no comments filed that addressed the procedures and policies proposed in the Supplemental IRFA. </w:t>
      </w:r>
    </w:p>
    <w:p w:rsidR="00B42A2B" w:rsidRDefault="00AA13C4" w:rsidP="00B42A2B">
      <w:pPr>
        <w:pStyle w:val="ParaNum"/>
        <w:widowControl/>
        <w:tabs>
          <w:tab w:val="clear" w:pos="1440"/>
          <w:tab w:val="num" w:pos="1080"/>
        </w:tabs>
      </w:pPr>
      <w:r w:rsidRPr="008F0F46">
        <w:rPr>
          <w:u w:val="single"/>
        </w:rPr>
        <w:t>Response to Comments by the Chief Counsel for Advocacy of the Small Business Administration</w:t>
      </w:r>
      <w:r w:rsidRPr="00063826">
        <w:t>.</w:t>
      </w:r>
      <w:r>
        <w:t xml:space="preserve">  Pursuant to the Small Business Jobs Act of 2010, which amended the RFA, the Commission is required to respond to any comment filed by the Chief Counsel for Advocacy of the Small Business Administration (SBA) and to provide a detailed statement of any change made to the proposed procedures as a result of those comments.</w:t>
      </w:r>
      <w:r>
        <w:rPr>
          <w:rStyle w:val="FootnoteReference"/>
        </w:rPr>
        <w:footnoteReference w:id="243"/>
      </w:r>
      <w:r>
        <w:t xml:space="preserve">  The Chief Counsel did not file any comments in response to the proposed procedures in the </w:t>
      </w:r>
      <w:r w:rsidRPr="008F0F46">
        <w:rPr>
          <w:i/>
        </w:rPr>
        <w:t>833 Auction Comment Public Notice</w:t>
      </w:r>
      <w:r>
        <w:t xml:space="preserve">. </w:t>
      </w:r>
    </w:p>
    <w:p w:rsidR="00B42A2B" w:rsidRPr="009A4F61" w:rsidRDefault="00AA13C4" w:rsidP="00B42A2B">
      <w:pPr>
        <w:pStyle w:val="ParaNum"/>
        <w:widowControl/>
        <w:tabs>
          <w:tab w:val="clear" w:pos="1440"/>
          <w:tab w:val="num" w:pos="1080"/>
        </w:tabs>
      </w:pPr>
      <w:r w:rsidRPr="008F0F46">
        <w:rPr>
          <w:u w:val="single"/>
        </w:rPr>
        <w:t xml:space="preserve">Description and Estimate of the Number of Small Entities to Which the </w:t>
      </w:r>
      <w:r>
        <w:rPr>
          <w:u w:val="single"/>
        </w:rPr>
        <w:t>Procedures</w:t>
      </w:r>
      <w:r w:rsidRPr="008F0F46">
        <w:rPr>
          <w:u w:val="single"/>
        </w:rPr>
        <w:t xml:space="preserve"> Will Apply</w:t>
      </w:r>
      <w:r w:rsidRPr="002B1F78">
        <w:rPr>
          <w:i/>
        </w:rPr>
        <w:t>.</w:t>
      </w:r>
      <w:r>
        <w:t xml:space="preserve">  Th</w:t>
      </w:r>
      <w:r w:rsidRPr="002B1F78">
        <w:t xml:space="preserve">e RFA directs agencies to provide a description of, and, where feasible, an estimate of the number of small entities that may be affected by the </w:t>
      </w:r>
      <w:r>
        <w:t>procedures</w:t>
      </w:r>
      <w:r w:rsidRPr="002B1F78">
        <w:t xml:space="preserve"> adopted</w:t>
      </w:r>
      <w:r>
        <w:t xml:space="preserve"> herein</w:t>
      </w:r>
      <w:r w:rsidRPr="002B1F78">
        <w:t>.</w:t>
      </w:r>
      <w:r>
        <w:rPr>
          <w:rStyle w:val="FootnoteReference"/>
          <w:szCs w:val="22"/>
        </w:rPr>
        <w:footnoteReference w:id="244"/>
      </w:r>
      <w:r>
        <w:t xml:space="preserve"> </w:t>
      </w:r>
      <w:r w:rsidRPr="002B1F78">
        <w:t xml:space="preserve"> </w:t>
      </w:r>
      <w:r w:rsidRPr="002B1F78">
        <w:rPr>
          <w:szCs w:val="22"/>
        </w:rPr>
        <w:t>The RFA generally defines the term “small entity” as having the same meaning as the terms “small business,” “small organization,” and “small governmental jurisdiction.”</w:t>
      </w:r>
      <w:r>
        <w:rPr>
          <w:rStyle w:val="FootnoteReference"/>
          <w:szCs w:val="22"/>
        </w:rPr>
        <w:footnoteReference w:id="245"/>
      </w:r>
      <w:r>
        <w:rPr>
          <w:szCs w:val="22"/>
        </w:rPr>
        <w:t xml:space="preserve"> </w:t>
      </w:r>
      <w:r w:rsidRPr="002B1F78">
        <w:rPr>
          <w:szCs w:val="22"/>
        </w:rPr>
        <w:t xml:space="preserve"> In addition, the term “small business” has the same meaning as the term “small business concern” under the Small Business Act.</w:t>
      </w:r>
      <w:r>
        <w:rPr>
          <w:rStyle w:val="FootnoteReference"/>
          <w:szCs w:val="22"/>
        </w:rPr>
        <w:footnoteReference w:id="246"/>
      </w:r>
      <w:r>
        <w:rPr>
          <w:szCs w:val="22"/>
        </w:rPr>
        <w:t xml:space="preserve">  </w:t>
      </w:r>
      <w:r w:rsidRPr="002B1F78">
        <w:rPr>
          <w:szCs w:val="22"/>
        </w:rPr>
        <w:t>A “small</w:t>
      </w:r>
      <w:r>
        <w:rPr>
          <w:szCs w:val="22"/>
        </w:rPr>
        <w:t xml:space="preserve"> </w:t>
      </w:r>
      <w:r w:rsidRPr="002B1F78">
        <w:rPr>
          <w:szCs w:val="22"/>
        </w:rPr>
        <w:t xml:space="preserve">business concern” is one which: </w:t>
      </w:r>
      <w:r>
        <w:rPr>
          <w:szCs w:val="22"/>
        </w:rPr>
        <w:t xml:space="preserve"> </w:t>
      </w:r>
      <w:r w:rsidRPr="002B1F78">
        <w:rPr>
          <w:szCs w:val="22"/>
        </w:rPr>
        <w:t>(1) is independently owned and operated; (2) is not dominant in its field of operation; and (3) satisfies any additional criteria established by the SBA</w:t>
      </w:r>
      <w:r>
        <w:rPr>
          <w:szCs w:val="22"/>
        </w:rPr>
        <w:t>.”</w:t>
      </w:r>
      <w:r>
        <w:rPr>
          <w:rStyle w:val="FootnoteReference"/>
          <w:szCs w:val="22"/>
        </w:rPr>
        <w:footnoteReference w:id="247"/>
      </w:r>
    </w:p>
    <w:p w:rsidR="00B42A2B" w:rsidRDefault="00AA13C4" w:rsidP="00B42A2B">
      <w:pPr>
        <w:pStyle w:val="ParaNum"/>
        <w:widowControl/>
        <w:tabs>
          <w:tab w:val="clear" w:pos="1440"/>
          <w:tab w:val="num" w:pos="1080"/>
        </w:tabs>
      </w:pPr>
      <w:r>
        <w:t xml:space="preserve">As noted above, FRFA was incorporated in the </w:t>
      </w:r>
      <w:r w:rsidRPr="00865A70">
        <w:rPr>
          <w:i/>
        </w:rPr>
        <w:t>Toll Free Assignment Modernization Order</w:t>
      </w:r>
      <w:r>
        <w:t xml:space="preserve">.  In that analysis, we described in detail the small entities that might be significantly affected. In this Public Notice, we hereby incorporate by reference the descriptions and estimates of the number of small entities from the previous FRFA in the </w:t>
      </w:r>
      <w:r w:rsidRPr="0055778B">
        <w:rPr>
          <w:i/>
        </w:rPr>
        <w:t>Toll Free Assignment Modernization Order</w:t>
      </w:r>
      <w:r>
        <w:t xml:space="preserve"> in WC Docket No. 17-192.</w:t>
      </w:r>
      <w:r>
        <w:rPr>
          <w:rStyle w:val="FootnoteReference"/>
        </w:rPr>
        <w:footnoteReference w:id="248"/>
      </w:r>
    </w:p>
    <w:p w:rsidR="00B42A2B" w:rsidRDefault="00AA13C4" w:rsidP="00B42A2B">
      <w:pPr>
        <w:pStyle w:val="ParaNum"/>
        <w:widowControl/>
        <w:tabs>
          <w:tab w:val="clear" w:pos="1440"/>
          <w:tab w:val="num" w:pos="1080"/>
        </w:tabs>
      </w:pPr>
      <w:r w:rsidRPr="00F61346">
        <w:rPr>
          <w:u w:val="single"/>
        </w:rPr>
        <w:t>Description of Projected Reporting, Recordkeeping, and Other Compliance Requirements for Small Entities</w:t>
      </w:r>
      <w:r>
        <w:t xml:space="preserve">.  </w:t>
      </w:r>
      <w:r w:rsidRPr="007C6E92">
        <w:t xml:space="preserve">The Commission designed the auction application process itself to minimize reporting and compliance requirements for applicants, including small business applicants. </w:t>
      </w:r>
      <w:r>
        <w:t xml:space="preserve"> </w:t>
      </w:r>
      <w:r w:rsidRPr="007C6E92">
        <w:t>Parties desiring to participate in the 833 Auction must file an application in which they certify under penalty of perjury as to their qualifications.</w:t>
      </w:r>
      <w:r>
        <w:rPr>
          <w:rStyle w:val="FootnoteReference"/>
        </w:rPr>
        <w:footnoteReference w:id="249"/>
      </w:r>
      <w:r>
        <w:t xml:space="preserve">  </w:t>
      </w:r>
      <w:r w:rsidRPr="007C6E92">
        <w:t>Eligibility to participate in bidding is based on an applicant’s auction application and certifications, as well as its upfront payment.</w:t>
      </w:r>
      <w:r>
        <w:rPr>
          <w:rStyle w:val="FootnoteReference"/>
        </w:rPr>
        <w:footnoteReference w:id="250"/>
      </w:r>
      <w:r>
        <w:t xml:space="preserve">  </w:t>
      </w:r>
      <w:r w:rsidRPr="007C6E92">
        <w:t xml:space="preserve">The Commission decided in the </w:t>
      </w:r>
      <w:r w:rsidRPr="007C6E92">
        <w:rPr>
          <w:i/>
        </w:rPr>
        <w:t>Toll Free Assignment Modernization Order</w:t>
      </w:r>
      <w:r w:rsidRPr="007C6E92">
        <w:t xml:space="preserve"> that it will not require applicants to submit a long-form application after the conclusion of the 833 Auction, given the lack of need to verify winning bidders’ qualifications in this context and to limit the administrative burden on bidders, including small business entities.</w:t>
      </w:r>
      <w:r>
        <w:rPr>
          <w:rStyle w:val="FootnoteReference"/>
        </w:rPr>
        <w:footnoteReference w:id="251"/>
      </w:r>
      <w:r>
        <w:t xml:space="preserve"> </w:t>
      </w:r>
    </w:p>
    <w:p w:rsidR="00B42A2B" w:rsidRDefault="00AA13C4" w:rsidP="00B42A2B">
      <w:pPr>
        <w:pStyle w:val="ParaNum"/>
        <w:widowControl/>
        <w:tabs>
          <w:tab w:val="clear" w:pos="1440"/>
          <w:tab w:val="num" w:pos="1080"/>
        </w:tabs>
      </w:pPr>
      <w:r w:rsidRPr="004E765D">
        <w:t xml:space="preserve">The </w:t>
      </w:r>
      <w:r w:rsidRPr="004E765D">
        <w:rPr>
          <w:i/>
        </w:rPr>
        <w:t>833 Auction Procedures Public Notice</w:t>
      </w:r>
      <w:r w:rsidRPr="004E765D">
        <w:t xml:space="preserve"> provides instructions for each 833 Auction applicant to maintain the accuracy of its respective </w:t>
      </w:r>
      <w:r>
        <w:t>auction</w:t>
      </w:r>
      <w:r w:rsidRPr="004E765D">
        <w:t xml:space="preserve"> application electronically using the Somos Auction System and/or by direct communication with Somos.  More specifically, as mentioned above, small entities and other 833 Auction applica</w:t>
      </w:r>
      <w:r>
        <w:t>nts</w:t>
      </w:r>
      <w:r w:rsidRPr="004E765D">
        <w:t xml:space="preserve"> will be qualified to bid in the auction only if they comply with the following: </w:t>
      </w:r>
      <w:r>
        <w:t xml:space="preserve"> </w:t>
      </w:r>
      <w:r w:rsidRPr="004E765D">
        <w:t>(1) submission of an auction application (FCC Form 833) that is timely and is found to be substantially complete</w:t>
      </w:r>
      <w:r>
        <w:t>;</w:t>
      </w:r>
      <w:r w:rsidRPr="004E765D">
        <w:t xml:space="preserve"> and (2) timely submission of a sufficient upfront paymen</w:t>
      </w:r>
      <w:r>
        <w:t>t</w:t>
      </w:r>
      <w:r w:rsidRPr="004E765D">
        <w:t>.</w:t>
      </w:r>
      <w:r>
        <w:t xml:space="preserve"> </w:t>
      </w:r>
      <w:r w:rsidRPr="004E765D">
        <w:t xml:space="preserve"> An applicant whose application is found to contain deficiencies will have a limited opportunity during a resubmission window to bring its application into compliance with </w:t>
      </w:r>
      <w:r>
        <w:t>procedures set forth in the</w:t>
      </w:r>
      <w:r w:rsidRPr="004E765D">
        <w:t xml:space="preserve"> </w:t>
      </w:r>
      <w:r w:rsidRPr="004E765D">
        <w:rPr>
          <w:i/>
        </w:rPr>
        <w:t>833 Auction Procedures Public Notice</w:t>
      </w:r>
      <w:r w:rsidRPr="004E765D">
        <w:t>.</w:t>
      </w:r>
      <w:r>
        <w:rPr>
          <w:rStyle w:val="FootnoteReference"/>
        </w:rPr>
        <w:footnoteReference w:id="252"/>
      </w:r>
      <w:r w:rsidRPr="004E765D">
        <w:t xml:space="preserve"> </w:t>
      </w:r>
    </w:p>
    <w:p w:rsidR="00B42A2B" w:rsidRDefault="00AA13C4" w:rsidP="00B42A2B">
      <w:pPr>
        <w:pStyle w:val="ParaNum"/>
        <w:widowControl/>
        <w:tabs>
          <w:tab w:val="clear" w:pos="1440"/>
          <w:tab w:val="num" w:pos="1080"/>
        </w:tabs>
      </w:pPr>
      <w:r>
        <w:t xml:space="preserve">In the second phase of the process, there are additional compliance requirements for winning bidders.  As with other winning bidders, any small entity that is a winning bidder will be required to submit the full payment for its winning bid(s) </w:t>
      </w:r>
      <w:r w:rsidRPr="00AE6E7B">
        <w:t xml:space="preserve">within 10 business days following release of the public notice announcing the winning bidders, </w:t>
      </w:r>
      <w:r>
        <w:t>or within 15 business days following release of the public notice announcing the winning bidders provided it also pays a late fee of 5% of the winning bid.</w:t>
      </w:r>
    </w:p>
    <w:p w:rsidR="00B42A2B" w:rsidRDefault="00AA13C4" w:rsidP="00B42A2B">
      <w:pPr>
        <w:pStyle w:val="ParaNum"/>
        <w:widowControl/>
        <w:tabs>
          <w:tab w:val="clear" w:pos="1440"/>
          <w:tab w:val="num" w:pos="1080"/>
        </w:tabs>
      </w:pPr>
      <w:r w:rsidRPr="00A931A6">
        <w:rPr>
          <w:u w:val="single"/>
        </w:rPr>
        <w:t>Steps Taken to Minimize the Significant Economic Impact on Small Entities, and Significant Alternatives Considered</w:t>
      </w:r>
      <w:r>
        <w:t>.  T</w:t>
      </w:r>
      <w:r w:rsidRPr="005B6A88">
        <w:t>he RFA requires an agency to describe any significant, specifically small business, alternatives that it has considered in reaching its proposed approach, which may include the following four alternatives (among others):</w:t>
      </w:r>
      <w:r>
        <w:t xml:space="preserve"> </w:t>
      </w:r>
      <w:r w:rsidRPr="005B6A88">
        <w:t xml:space="preserve">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253"/>
      </w:r>
    </w:p>
    <w:p w:rsidR="00B42A2B" w:rsidRPr="00A931A6" w:rsidRDefault="00AA13C4" w:rsidP="00B42A2B">
      <w:pPr>
        <w:pStyle w:val="ParaNum"/>
        <w:widowControl/>
        <w:tabs>
          <w:tab w:val="clear" w:pos="1440"/>
          <w:tab w:val="num" w:pos="1080"/>
        </w:tabs>
      </w:pPr>
      <w:r w:rsidRPr="00A931A6">
        <w:t xml:space="preserve">The Commission believes that the steps described below to facilitate participation in 833 Auction will result in both operational and administrative cost savings for small entities and other auction participants. </w:t>
      </w:r>
      <w:r>
        <w:t xml:space="preserve"> </w:t>
      </w:r>
      <w:r w:rsidRPr="00A931A6">
        <w:t>For example, assigning toll free numbers through competitive bidding will benefit smaller entities rather than the prior first-come first-served basis which favored larger, more sophisticated entities that had invested in obtaining enhanced connectivity to the Toll Free Database.</w:t>
      </w:r>
      <w:r>
        <w:t xml:space="preserve"> </w:t>
      </w:r>
      <w:r w:rsidRPr="00A931A6">
        <w:t xml:space="preserve"> Moreover, the Commission also elected to allow potential subscribers, many of which are smaller entities, the choice between participating directly in the auction or indirectly through a RespOrg.</w:t>
      </w:r>
      <w:r w:rsidRPr="00A931A6">
        <w:rPr>
          <w:color w:val="FF0000"/>
        </w:rPr>
        <w:t xml:space="preserve"> </w:t>
      </w:r>
      <w:r>
        <w:rPr>
          <w:color w:val="FF0000"/>
        </w:rPr>
        <w:t xml:space="preserve"> </w:t>
      </w:r>
      <w:r w:rsidRPr="00A931A6">
        <w:t xml:space="preserve">In addition, the Commission created </w:t>
      </w:r>
      <w:r>
        <w:t xml:space="preserve">an </w:t>
      </w:r>
      <w:r w:rsidRPr="00A931A6">
        <w:t>al</w:t>
      </w:r>
      <w:r>
        <w:t>ternative</w:t>
      </w:r>
      <w:r w:rsidRPr="00A931A6">
        <w:t xml:space="preserve"> payment mechanism</w:t>
      </w:r>
      <w:r>
        <w:t xml:space="preserve"> that will be available for </w:t>
      </w:r>
      <w:r w:rsidRPr="00A931A6">
        <w:t>both upfront and final payments,</w:t>
      </w:r>
      <w:r>
        <w:t xml:space="preserve"> in which applicants can submit</w:t>
      </w:r>
      <w:r w:rsidRPr="00A931A6">
        <w:t xml:space="preserve"> payments </w:t>
      </w:r>
      <w:r>
        <w:t>via</w:t>
      </w:r>
      <w:r w:rsidRPr="00A931A6">
        <w:t xml:space="preserve"> ACH instead of wire transfer if the</w:t>
      </w:r>
      <w:r>
        <w:t xml:space="preserve"> payments</w:t>
      </w:r>
      <w:r w:rsidRPr="00A931A6">
        <w:t xml:space="preserve"> are below a </w:t>
      </w:r>
      <w:r>
        <w:t xml:space="preserve">$300 </w:t>
      </w:r>
      <w:r w:rsidRPr="00A931A6">
        <w:t xml:space="preserve">threshold.  We believe such measures will benefit small entities, who may be interested in only acquiring </w:t>
      </w:r>
      <w:r>
        <w:t>one or perhaps a few</w:t>
      </w:r>
      <w:r w:rsidRPr="00A931A6">
        <w:t xml:space="preserve"> toll free numbers.</w:t>
      </w:r>
    </w:p>
    <w:p w:rsidR="00B42A2B" w:rsidRPr="00A931A6" w:rsidRDefault="00AA13C4" w:rsidP="00B42A2B">
      <w:pPr>
        <w:pStyle w:val="ParaNum"/>
        <w:widowControl/>
        <w:tabs>
          <w:tab w:val="clear" w:pos="1440"/>
          <w:tab w:val="num" w:pos="1080"/>
        </w:tabs>
      </w:pPr>
      <w:r>
        <w:t xml:space="preserve">The procedures adopted in the </w:t>
      </w:r>
      <w:r w:rsidRPr="004E765D">
        <w:rPr>
          <w:i/>
        </w:rPr>
        <w:t>833 Auction Procedures Public Notice</w:t>
      </w:r>
      <w:r>
        <w:rPr>
          <w:i/>
        </w:rPr>
        <w:t xml:space="preserve"> </w:t>
      </w:r>
      <w:r w:rsidRPr="00837455">
        <w:t>to</w:t>
      </w:r>
      <w:r w:rsidRPr="00A931A6">
        <w:t xml:space="preserve"> facilitate participation in the 833 Auction will result in both operational and administrative cost savings for small entities and other auction participants. </w:t>
      </w:r>
      <w:r>
        <w:t xml:space="preserve"> </w:t>
      </w:r>
      <w:r w:rsidRPr="00A931A6">
        <w:t xml:space="preserve">In light of the numerous resources that will be available from the Commission and Somos at no cost, the processes and procedures </w:t>
      </w:r>
      <w:r>
        <w:t>adopted</w:t>
      </w:r>
      <w:r w:rsidRPr="00A931A6">
        <w:t xml:space="preserve"> in th</w:t>
      </w:r>
      <w:r>
        <w:t xml:space="preserve">e </w:t>
      </w:r>
      <w:r w:rsidRPr="004E765D">
        <w:rPr>
          <w:i/>
        </w:rPr>
        <w:t>833 Auction Procedures Public Notice</w:t>
      </w:r>
      <w:r w:rsidRPr="00A931A6">
        <w:t xml:space="preserve"> should result in minimal economic impact on small entities.</w:t>
      </w:r>
      <w:r>
        <w:t xml:space="preserve"> </w:t>
      </w:r>
      <w:r w:rsidRPr="00A931A6">
        <w:t xml:space="preserve"> For example, prior to the auction, small entities and other auction participants may seek clarification of or guidance on complying with </w:t>
      </w:r>
      <w:r>
        <w:t xml:space="preserve">application </w:t>
      </w:r>
      <w:r w:rsidRPr="00A931A6">
        <w:t>procedures, reporting requirements, and the bidding system.</w:t>
      </w:r>
      <w:r>
        <w:t xml:space="preserve"> </w:t>
      </w:r>
      <w:r w:rsidRPr="00A931A6">
        <w:t xml:space="preserve"> Small entities as well as other auction participants will be able to avail themselves of </w:t>
      </w:r>
      <w:r>
        <w:t xml:space="preserve">(1)a </w:t>
      </w:r>
      <w:r w:rsidRPr="00A931A6">
        <w:t>web-based, interactive online tutorial to familiarize themselves with auction procedures, filing requirements, bidding procedures, and other matters related to the 833 Auction and</w:t>
      </w:r>
      <w:r>
        <w:t xml:space="preserve"> (2)</w:t>
      </w:r>
      <w:r w:rsidRPr="00A931A6">
        <w:t xml:space="preserve"> </w:t>
      </w:r>
      <w:r>
        <w:t xml:space="preserve">a telephone </w:t>
      </w:r>
      <w:r w:rsidRPr="00A931A6">
        <w:t>hotline to assist with issues such as access to or navigation within the auction application system.</w:t>
      </w:r>
      <w:r>
        <w:t xml:space="preserve"> </w:t>
      </w:r>
      <w:r w:rsidRPr="00A931A6">
        <w:t xml:space="preserve"> The Commission </w:t>
      </w:r>
      <w:r>
        <w:t xml:space="preserve">and Somos </w:t>
      </w:r>
      <w:r w:rsidRPr="00A931A6">
        <w:t xml:space="preserve">also make copies of Commission decisions available to the public without charge, providing a low-cost mechanism for small businesses to conduct research prior to and throughout the auction. </w:t>
      </w:r>
      <w:r>
        <w:t xml:space="preserve"> </w:t>
      </w:r>
      <w:r w:rsidRPr="00A931A6">
        <w:t>In addition, Somos will post public notices on its website</w:t>
      </w:r>
      <w:r>
        <w:t xml:space="preserve">, making </w:t>
      </w:r>
      <w:r w:rsidRPr="00A931A6">
        <w:t>this information easily accessible and without charge to benefit all 833</w:t>
      </w:r>
      <w:r>
        <w:t> </w:t>
      </w:r>
      <w:r w:rsidRPr="00A931A6">
        <w:t xml:space="preserve">Auction applicants, including small businesses. </w:t>
      </w:r>
      <w:r>
        <w:t xml:space="preserve"> </w:t>
      </w:r>
      <w:r w:rsidRPr="00A931A6">
        <w:t>These steps are made available to facilitate participation in the 833 Auction by all eligible bidders and may result in significant cost savings for small business entities who utilize these alternatives.</w:t>
      </w:r>
      <w:r>
        <w:t xml:space="preserve"> </w:t>
      </w:r>
      <w:r w:rsidRPr="00A931A6">
        <w:t xml:space="preserve"> Moreover, the adoption of bidding procedures in advance of the auctions is designed to ensure that the 833 Auction will be administered predictably and fairly for all participants, including small businesses.</w:t>
      </w:r>
    </w:p>
    <w:p w:rsidR="00B42A2B" w:rsidRPr="009A4F61" w:rsidRDefault="00AA13C4" w:rsidP="00B42A2B">
      <w:pPr>
        <w:pStyle w:val="ParaNum"/>
        <w:widowControl/>
      </w:pPr>
      <w:bookmarkStart w:id="1010" w:name="_Toc11074604"/>
      <w:r>
        <w:rPr>
          <w:szCs w:val="22"/>
        </w:rPr>
        <w:t>The</w:t>
      </w:r>
      <w:r w:rsidRPr="005712E5">
        <w:rPr>
          <w:szCs w:val="22"/>
        </w:rPr>
        <w:t xml:space="preserve"> Commission will send a copy of th</w:t>
      </w:r>
      <w:r>
        <w:rPr>
          <w:szCs w:val="22"/>
        </w:rPr>
        <w:t>is Public Notice</w:t>
      </w:r>
      <w:r w:rsidRPr="005712E5">
        <w:rPr>
          <w:szCs w:val="22"/>
        </w:rPr>
        <w:t>,</w:t>
      </w:r>
      <w:r w:rsidRPr="005712E5">
        <w:rPr>
          <w:i/>
          <w:szCs w:val="22"/>
        </w:rPr>
        <w:t xml:space="preserve"> </w:t>
      </w:r>
      <w:r w:rsidRPr="005712E5">
        <w:rPr>
          <w:szCs w:val="22"/>
        </w:rPr>
        <w:t>including th</w:t>
      </w:r>
      <w:r>
        <w:rPr>
          <w:szCs w:val="22"/>
        </w:rPr>
        <w:t>e</w:t>
      </w:r>
      <w:r w:rsidRPr="005712E5">
        <w:rPr>
          <w:szCs w:val="22"/>
        </w:rPr>
        <w:t xml:space="preserve"> Supplemental FRFA, to the Chief Counsel for Advocacy of the SBA.  A copy of the</w:t>
      </w:r>
      <w:r>
        <w:rPr>
          <w:szCs w:val="22"/>
        </w:rPr>
        <w:t xml:space="preserve"> Public Notice</w:t>
      </w:r>
      <w:r w:rsidRPr="005712E5">
        <w:rPr>
          <w:szCs w:val="22"/>
        </w:rPr>
        <w:t xml:space="preserve"> (or summar</w:t>
      </w:r>
      <w:r>
        <w:rPr>
          <w:szCs w:val="22"/>
        </w:rPr>
        <w:t>y</w:t>
      </w:r>
      <w:r w:rsidRPr="005712E5">
        <w:rPr>
          <w:szCs w:val="22"/>
        </w:rPr>
        <w:t xml:space="preserve"> thereof) will also be published in the Federal Register.</w:t>
      </w:r>
      <w:r>
        <w:rPr>
          <w:rStyle w:val="FootnoteReference"/>
          <w:szCs w:val="22"/>
        </w:rPr>
        <w:footnoteReference w:id="254"/>
      </w:r>
    </w:p>
    <w:bookmarkEnd w:id="1010"/>
    <w:p w:rsidR="00B42A2B" w:rsidRDefault="00AA13C4" w:rsidP="00B42A2B">
      <w:pPr>
        <w:pStyle w:val="ParaNum"/>
        <w:widowControl/>
      </w:pPr>
      <w:r w:rsidRPr="00E7227C">
        <w:rPr>
          <w:i/>
        </w:rPr>
        <w:t>Contact Information</w:t>
      </w:r>
      <w:r>
        <w:t>.  For further information concerning this proceeding, use the contact information provided below.</w:t>
      </w:r>
    </w:p>
    <w:p w:rsidR="00B42A2B" w:rsidRPr="001776E7" w:rsidRDefault="00AA13C4" w:rsidP="00B42A2B">
      <w:pPr>
        <w:pStyle w:val="ParaNum"/>
        <w:numPr>
          <w:ilvl w:val="0"/>
          <w:numId w:val="0"/>
        </w:numPr>
        <w:rPr>
          <w:b/>
        </w:rPr>
      </w:pPr>
      <w:r w:rsidRPr="001776E7">
        <w:rPr>
          <w:b/>
        </w:rPr>
        <w:t>Somos, Inc.</w:t>
      </w:r>
    </w:p>
    <w:p w:rsidR="00B42A2B" w:rsidRDefault="00AA13C4" w:rsidP="00B42A2B">
      <w:pPr>
        <w:pStyle w:val="ParaNum"/>
        <w:numPr>
          <w:ilvl w:val="0"/>
          <w:numId w:val="0"/>
        </w:numPr>
        <w:spacing w:after="0"/>
      </w:pPr>
      <w:r>
        <w:t>833 Auction application/bidding questions</w:t>
      </w:r>
      <w:r>
        <w:tab/>
        <w:t>(844) 439-6777</w:t>
      </w:r>
    </w:p>
    <w:p w:rsidR="00B42A2B" w:rsidRDefault="00AA13C4" w:rsidP="00B42A2B">
      <w:pPr>
        <w:pStyle w:val="ParaNum"/>
        <w:numPr>
          <w:ilvl w:val="0"/>
          <w:numId w:val="0"/>
        </w:numPr>
        <w:spacing w:after="0"/>
      </w:pPr>
      <w:r>
        <w:tab/>
      </w:r>
      <w:r>
        <w:tab/>
      </w:r>
      <w:r>
        <w:tab/>
      </w:r>
      <w:r>
        <w:tab/>
      </w:r>
      <w:r>
        <w:tab/>
      </w:r>
      <w:r>
        <w:tab/>
      </w:r>
      <w:hyperlink r:id="rId21" w:history="1">
        <w:r w:rsidRPr="00002DD1">
          <w:rPr>
            <w:rStyle w:val="Hyperlink"/>
          </w:rPr>
          <w:t>auctionhelp@somos.com</w:t>
        </w:r>
      </w:hyperlink>
    </w:p>
    <w:p w:rsidR="00B42A2B" w:rsidRDefault="0076171A" w:rsidP="00B42A2B">
      <w:pPr>
        <w:pStyle w:val="ParaNum"/>
        <w:numPr>
          <w:ilvl w:val="0"/>
          <w:numId w:val="0"/>
        </w:numPr>
        <w:spacing w:after="0"/>
      </w:pPr>
      <w:hyperlink r:id="rId22" w:history="1"/>
    </w:p>
    <w:p w:rsidR="00B42A2B" w:rsidRDefault="00B42A2B" w:rsidP="00B42A2B">
      <w:pPr>
        <w:pStyle w:val="ParaNum"/>
        <w:numPr>
          <w:ilvl w:val="0"/>
          <w:numId w:val="0"/>
        </w:numPr>
        <w:spacing w:after="0"/>
      </w:pPr>
    </w:p>
    <w:p w:rsidR="00B42A2B" w:rsidRPr="00092AC7" w:rsidRDefault="00AA13C4" w:rsidP="00B42A2B">
      <w:pPr>
        <w:pStyle w:val="ParaNum"/>
        <w:numPr>
          <w:ilvl w:val="0"/>
          <w:numId w:val="0"/>
        </w:numPr>
        <w:rPr>
          <w:b/>
        </w:rPr>
      </w:pPr>
      <w:r w:rsidRPr="00092AC7">
        <w:rPr>
          <w:b/>
        </w:rPr>
        <w:t>Auctions Division, Office of Economics and Analytics</w:t>
      </w:r>
    </w:p>
    <w:p w:rsidR="00B42A2B" w:rsidRDefault="00AA13C4" w:rsidP="00B42A2B">
      <w:pPr>
        <w:pStyle w:val="ParaNum"/>
        <w:numPr>
          <w:ilvl w:val="0"/>
          <w:numId w:val="0"/>
        </w:numPr>
        <w:spacing w:after="0"/>
      </w:pPr>
      <w:r>
        <w:t>Auction legal questions</w:t>
      </w:r>
      <w:r>
        <w:tab/>
      </w:r>
      <w:r>
        <w:tab/>
      </w:r>
      <w:r>
        <w:tab/>
      </w:r>
      <w:r>
        <w:tab/>
        <w:t>Scott Mackoul at (202) 418-0660</w:t>
      </w:r>
    </w:p>
    <w:p w:rsidR="00B42A2B" w:rsidRDefault="00AA13C4" w:rsidP="00B42A2B">
      <w:pPr>
        <w:pStyle w:val="ParaNum"/>
        <w:numPr>
          <w:ilvl w:val="0"/>
          <w:numId w:val="0"/>
        </w:numPr>
        <w:spacing w:after="0"/>
      </w:pPr>
      <w:r>
        <w:tab/>
      </w:r>
      <w:r>
        <w:tab/>
      </w:r>
      <w:r>
        <w:tab/>
      </w:r>
      <w:r>
        <w:tab/>
      </w:r>
      <w:r>
        <w:tab/>
      </w:r>
      <w:r>
        <w:tab/>
      </w:r>
      <w:hyperlink r:id="rId23" w:history="1">
        <w:r w:rsidRPr="00C917D9">
          <w:rPr>
            <w:rStyle w:val="Hyperlink"/>
          </w:rPr>
          <w:t>scott.mackoul@fcc.gov</w:t>
        </w:r>
      </w:hyperlink>
    </w:p>
    <w:p w:rsidR="00B42A2B" w:rsidRDefault="00B42A2B" w:rsidP="00B42A2B">
      <w:pPr>
        <w:pStyle w:val="ParaNum"/>
        <w:numPr>
          <w:ilvl w:val="0"/>
          <w:numId w:val="0"/>
        </w:numPr>
        <w:spacing w:after="0"/>
      </w:pPr>
    </w:p>
    <w:p w:rsidR="00B42A2B" w:rsidRDefault="00B42A2B" w:rsidP="00B42A2B">
      <w:pPr>
        <w:pStyle w:val="ParaNum"/>
        <w:numPr>
          <w:ilvl w:val="0"/>
          <w:numId w:val="0"/>
        </w:numPr>
        <w:spacing w:after="0"/>
      </w:pPr>
    </w:p>
    <w:p w:rsidR="00B42A2B" w:rsidRPr="00092AC7" w:rsidRDefault="00AA13C4" w:rsidP="00B42A2B">
      <w:pPr>
        <w:pStyle w:val="ParaNum"/>
        <w:numPr>
          <w:ilvl w:val="0"/>
          <w:numId w:val="0"/>
        </w:numPr>
        <w:spacing w:after="0"/>
        <w:rPr>
          <w:b/>
        </w:rPr>
      </w:pPr>
      <w:r w:rsidRPr="00092AC7">
        <w:rPr>
          <w:b/>
        </w:rPr>
        <w:t>Competition Policy Division, Wireline Competition Bureau</w:t>
      </w:r>
    </w:p>
    <w:p w:rsidR="00B42A2B" w:rsidRDefault="00AA13C4" w:rsidP="00B42A2B">
      <w:pPr>
        <w:pStyle w:val="ParaNum"/>
        <w:numPr>
          <w:ilvl w:val="0"/>
          <w:numId w:val="0"/>
        </w:numPr>
        <w:spacing w:after="0"/>
        <w:rPr>
          <w:szCs w:val="22"/>
        </w:rPr>
      </w:pPr>
      <w:r>
        <w:rPr>
          <w:szCs w:val="22"/>
        </w:rPr>
        <w:t>Toll Free Number questions:</w:t>
      </w:r>
      <w:r>
        <w:rPr>
          <w:szCs w:val="22"/>
        </w:rPr>
        <w:tab/>
      </w:r>
      <w:r>
        <w:rPr>
          <w:szCs w:val="22"/>
        </w:rPr>
        <w:tab/>
      </w:r>
      <w:r>
        <w:rPr>
          <w:szCs w:val="22"/>
        </w:rPr>
        <w:tab/>
        <w:t>Matthew Collins at (202) 418-7141</w:t>
      </w:r>
    </w:p>
    <w:p w:rsidR="00B42A2B" w:rsidRDefault="0076171A" w:rsidP="00B42A2B">
      <w:pPr>
        <w:pStyle w:val="ParaNum"/>
        <w:numPr>
          <w:ilvl w:val="0"/>
          <w:numId w:val="0"/>
        </w:numPr>
        <w:spacing w:after="0"/>
        <w:ind w:left="3600" w:firstLine="720"/>
        <w:rPr>
          <w:rStyle w:val="Hyperlink"/>
          <w:szCs w:val="22"/>
        </w:rPr>
      </w:pPr>
      <w:hyperlink r:id="rId24" w:history="1">
        <w:r w:rsidR="00AA13C4" w:rsidRPr="00C917D9">
          <w:rPr>
            <w:rStyle w:val="Hyperlink"/>
            <w:szCs w:val="22"/>
          </w:rPr>
          <w:t>matthew.collins@fcc.gov</w:t>
        </w:r>
      </w:hyperlink>
    </w:p>
    <w:p w:rsidR="00B42A2B" w:rsidRDefault="00B42A2B" w:rsidP="00B42A2B">
      <w:pPr>
        <w:pStyle w:val="ParaNum"/>
        <w:numPr>
          <w:ilvl w:val="0"/>
          <w:numId w:val="0"/>
        </w:numPr>
        <w:spacing w:after="0"/>
        <w:rPr>
          <w:szCs w:val="22"/>
        </w:rPr>
      </w:pPr>
    </w:p>
    <w:p w:rsidR="00B42A2B" w:rsidRDefault="00B42A2B" w:rsidP="00B42A2B">
      <w:pPr>
        <w:pStyle w:val="ParaNum"/>
        <w:numPr>
          <w:ilvl w:val="0"/>
          <w:numId w:val="0"/>
        </w:numPr>
        <w:spacing w:after="0"/>
        <w:rPr>
          <w:szCs w:val="22"/>
        </w:rPr>
      </w:pPr>
    </w:p>
    <w:p w:rsidR="00B42A2B" w:rsidRPr="001B6006" w:rsidRDefault="00AA13C4" w:rsidP="00B42A2B">
      <w:pPr>
        <w:pStyle w:val="ParaNum"/>
        <w:keepNext/>
        <w:keepLines/>
        <w:widowControl/>
        <w:numPr>
          <w:ilvl w:val="0"/>
          <w:numId w:val="0"/>
        </w:numPr>
        <w:spacing w:after="0"/>
        <w:rPr>
          <w:b/>
          <w:szCs w:val="22"/>
        </w:rPr>
      </w:pPr>
      <w:r w:rsidRPr="001B6006">
        <w:rPr>
          <w:b/>
          <w:szCs w:val="22"/>
        </w:rPr>
        <w:t>Office of Communications Business Opportunities</w:t>
      </w:r>
    </w:p>
    <w:p w:rsidR="00B42A2B" w:rsidRDefault="00AA13C4" w:rsidP="00B42A2B">
      <w:pPr>
        <w:pStyle w:val="ParaNum"/>
        <w:keepNext/>
        <w:keepLines/>
        <w:numPr>
          <w:ilvl w:val="0"/>
          <w:numId w:val="0"/>
        </w:numPr>
        <w:spacing w:after="0"/>
        <w:rPr>
          <w:szCs w:val="22"/>
        </w:rPr>
      </w:pPr>
      <w:r>
        <w:rPr>
          <w:szCs w:val="22"/>
        </w:rPr>
        <w:t>Small business inquiry questions:</w:t>
      </w:r>
      <w:r>
        <w:rPr>
          <w:szCs w:val="22"/>
        </w:rPr>
        <w:tab/>
      </w:r>
      <w:r>
        <w:rPr>
          <w:szCs w:val="22"/>
        </w:rPr>
        <w:tab/>
        <w:t>John Finnie at (202) 418-0716</w:t>
      </w:r>
    </w:p>
    <w:p w:rsidR="00B42A2B" w:rsidRDefault="00AA13C4" w:rsidP="00B42A2B">
      <w:pPr>
        <w:pStyle w:val="ParaNum"/>
        <w:keepNext/>
        <w:keepLines/>
        <w:numPr>
          <w:ilvl w:val="0"/>
          <w:numId w:val="0"/>
        </w:numPr>
        <w:spacing w:after="0"/>
        <w:rPr>
          <w:szCs w:val="22"/>
        </w:rPr>
      </w:pPr>
      <w:r>
        <w:rPr>
          <w:szCs w:val="22"/>
        </w:rPr>
        <w:tab/>
      </w:r>
      <w:r>
        <w:rPr>
          <w:szCs w:val="22"/>
        </w:rPr>
        <w:tab/>
      </w:r>
      <w:r>
        <w:rPr>
          <w:szCs w:val="22"/>
        </w:rPr>
        <w:tab/>
      </w:r>
      <w:r>
        <w:rPr>
          <w:szCs w:val="22"/>
        </w:rPr>
        <w:tab/>
      </w:r>
      <w:r>
        <w:rPr>
          <w:szCs w:val="22"/>
        </w:rPr>
        <w:tab/>
      </w:r>
      <w:r>
        <w:rPr>
          <w:szCs w:val="22"/>
        </w:rPr>
        <w:tab/>
      </w:r>
      <w:hyperlink r:id="rId25" w:history="1">
        <w:r w:rsidRPr="00C51A8B">
          <w:rPr>
            <w:rStyle w:val="Hyperlink"/>
            <w:szCs w:val="22"/>
          </w:rPr>
          <w:t>john.finnie@fcc.gov</w:t>
        </w:r>
      </w:hyperlink>
    </w:p>
    <w:p w:rsidR="00B42A2B" w:rsidRDefault="00B42A2B" w:rsidP="00B42A2B">
      <w:pPr>
        <w:pStyle w:val="ParaNum"/>
        <w:numPr>
          <w:ilvl w:val="0"/>
          <w:numId w:val="0"/>
        </w:numPr>
        <w:spacing w:after="0"/>
        <w:rPr>
          <w:szCs w:val="22"/>
        </w:rPr>
      </w:pPr>
    </w:p>
    <w:p w:rsidR="00B42A2B" w:rsidRDefault="00B42A2B" w:rsidP="00B42A2B">
      <w:pPr>
        <w:keepNext/>
        <w:widowControl/>
        <w:suppressAutoHyphens/>
        <w:jc w:val="center"/>
        <w:rPr>
          <w:b/>
        </w:rPr>
      </w:pPr>
    </w:p>
    <w:p w:rsidR="00B42A2B" w:rsidRDefault="00B42A2B" w:rsidP="00B42A2B">
      <w:pPr>
        <w:keepNext/>
        <w:widowControl/>
        <w:suppressAutoHyphens/>
        <w:jc w:val="center"/>
        <w:rPr>
          <w:b/>
        </w:rPr>
      </w:pPr>
    </w:p>
    <w:p w:rsidR="00B42A2B" w:rsidRPr="005A61E6" w:rsidRDefault="00AA13C4" w:rsidP="00B42A2B">
      <w:pPr>
        <w:rPr>
          <w:szCs w:val="22"/>
        </w:rPr>
      </w:pPr>
      <w:r>
        <w:rPr>
          <w:szCs w:val="22"/>
        </w:rPr>
        <w:t>Action by the Commission on August 1, 2019:</w:t>
      </w:r>
      <w:r w:rsidR="00CB75C2">
        <w:t xml:space="preserve"> Chairman Pai and Commissioner O’Rielly issuing separate statements</w:t>
      </w:r>
    </w:p>
    <w:p w:rsidR="00B42A2B" w:rsidRDefault="00B42A2B" w:rsidP="00B42A2B">
      <w:pPr>
        <w:keepNext/>
        <w:widowControl/>
        <w:suppressAutoHyphens/>
        <w:jc w:val="center"/>
        <w:rPr>
          <w:b/>
        </w:rPr>
      </w:pPr>
    </w:p>
    <w:p w:rsidR="00B42A2B" w:rsidRDefault="00B42A2B" w:rsidP="00B42A2B">
      <w:pPr>
        <w:keepNext/>
        <w:widowControl/>
        <w:suppressAutoHyphens/>
        <w:jc w:val="center"/>
        <w:rPr>
          <w:b/>
        </w:rPr>
      </w:pPr>
    </w:p>
    <w:p w:rsidR="00B42A2B" w:rsidRPr="00130258" w:rsidRDefault="00AA13C4" w:rsidP="00B42A2B">
      <w:pPr>
        <w:keepNext/>
        <w:widowControl/>
        <w:suppressAutoHyphens/>
        <w:jc w:val="center"/>
        <w:rPr>
          <w:b/>
        </w:rPr>
      </w:pPr>
      <w:r>
        <w:rPr>
          <w:b/>
        </w:rPr>
        <w:t xml:space="preserve">– </w:t>
      </w:r>
      <w:r w:rsidRPr="0064234E">
        <w:rPr>
          <w:b/>
        </w:rPr>
        <w:t xml:space="preserve">FCC </w:t>
      </w:r>
      <w:r>
        <w:rPr>
          <w:b/>
        </w:rPr>
        <w:t>–</w:t>
      </w:r>
    </w:p>
    <w:p w:rsidR="00F96F63" w:rsidRPr="00930ECF" w:rsidRDefault="00F96F63" w:rsidP="00F96F63">
      <w:pPr>
        <w:rPr>
          <w:sz w:val="24"/>
        </w:rPr>
      </w:pPr>
    </w:p>
    <w:bookmarkEnd w:id="0"/>
    <w:p w:rsidR="00F96F63" w:rsidRDefault="00F96F63" w:rsidP="00F96F63">
      <w:pPr>
        <w:rPr>
          <w:sz w:val="24"/>
        </w:rPr>
      </w:pPr>
    </w:p>
    <w:p w:rsidR="001F631F" w:rsidRPr="005577AD" w:rsidRDefault="00AA13C4" w:rsidP="001F631F">
      <w:pPr>
        <w:jc w:val="center"/>
        <w:rPr>
          <w:b/>
          <w:bCs/>
          <w:caps/>
          <w:szCs w:val="22"/>
        </w:rPr>
      </w:pPr>
      <w:r>
        <w:rPr>
          <w:sz w:val="24"/>
        </w:rPr>
        <w:br w:type="page"/>
      </w:r>
      <w:r w:rsidRPr="005577AD">
        <w:rPr>
          <w:b/>
          <w:bCs/>
          <w:caps/>
          <w:szCs w:val="22"/>
        </w:rPr>
        <w:t>Statement of</w:t>
      </w:r>
    </w:p>
    <w:p w:rsidR="001F631F" w:rsidRPr="00287A24" w:rsidRDefault="00AA13C4" w:rsidP="001F631F">
      <w:pPr>
        <w:spacing w:after="240"/>
        <w:jc w:val="center"/>
        <w:rPr>
          <w:b/>
        </w:rPr>
      </w:pPr>
      <w:r w:rsidRPr="00552B72">
        <w:rPr>
          <w:b/>
        </w:rPr>
        <w:t>CHAIRMAN AJIT PAI</w:t>
      </w:r>
    </w:p>
    <w:p w:rsidR="001F631F" w:rsidRPr="005577AD" w:rsidRDefault="00AA13C4" w:rsidP="001F631F">
      <w:pPr>
        <w:ind w:left="1440" w:hanging="720"/>
        <w:rPr>
          <w:i/>
          <w:iCs/>
          <w:szCs w:val="22"/>
        </w:rPr>
      </w:pPr>
      <w:r w:rsidRPr="005577AD">
        <w:rPr>
          <w:iCs/>
          <w:szCs w:val="22"/>
        </w:rPr>
        <w:t>Re:</w:t>
      </w:r>
      <w:r w:rsidRPr="005577AD">
        <w:rPr>
          <w:szCs w:val="22"/>
        </w:rPr>
        <w:t xml:space="preserve"> </w:t>
      </w:r>
      <w:r w:rsidRPr="005577AD">
        <w:rPr>
          <w:szCs w:val="22"/>
        </w:rPr>
        <w:tab/>
      </w:r>
      <w:r>
        <w:rPr>
          <w:i/>
        </w:rPr>
        <w:t xml:space="preserve">Auction of Toll Free Numbers in the 833 </w:t>
      </w:r>
      <w:r w:rsidRPr="006D4638">
        <w:rPr>
          <w:i/>
        </w:rPr>
        <w:t>Code</w:t>
      </w:r>
      <w:r>
        <w:t xml:space="preserve">, </w:t>
      </w:r>
      <w:r w:rsidRPr="006D4638">
        <w:t>AU</w:t>
      </w:r>
      <w:r>
        <w:t xml:space="preserve"> Docket No. 19-101; </w:t>
      </w:r>
      <w:r w:rsidRPr="006D4638">
        <w:rPr>
          <w:i/>
        </w:rPr>
        <w:t>Toll Free Assignment Modernization</w:t>
      </w:r>
      <w:r>
        <w:t xml:space="preserve">, WC Docket No. 17-192; </w:t>
      </w:r>
      <w:r w:rsidRPr="006D4638">
        <w:rPr>
          <w:i/>
        </w:rPr>
        <w:t>Toll Free Service Access Codes</w:t>
      </w:r>
      <w:r>
        <w:t>, CC Docket No. 95-155</w:t>
      </w:r>
      <w:r w:rsidRPr="005577AD">
        <w:rPr>
          <w:iCs/>
          <w:szCs w:val="22"/>
        </w:rPr>
        <w:t>.</w:t>
      </w:r>
    </w:p>
    <w:p w:rsidR="001F631F" w:rsidRPr="005577AD" w:rsidRDefault="001F631F" w:rsidP="001F631F">
      <w:pPr>
        <w:ind w:firstLine="720"/>
        <w:rPr>
          <w:szCs w:val="22"/>
        </w:rPr>
      </w:pPr>
    </w:p>
    <w:p w:rsidR="001F631F" w:rsidRPr="00287A24" w:rsidRDefault="00AA13C4" w:rsidP="001F631F">
      <w:pPr>
        <w:spacing w:after="120"/>
        <w:ind w:firstLine="720"/>
        <w:rPr>
          <w:szCs w:val="22"/>
        </w:rPr>
      </w:pPr>
      <w:r w:rsidRPr="00287A24">
        <w:rPr>
          <w:szCs w:val="22"/>
        </w:rPr>
        <w:t>In 1959, University of Chicago economist Ronald Coase popularized the idea that radio spectrum licenses could be allocated using auctions.  He rejected the conventional wisdom that market forces could not be, or perhaps should not be, used to distribute such a scarce resource.  He wrote, “Despite all the efforts of art dealers, the number of Rembrandts existing at a given time is limited; yet such paintings are commonly disposed of by auction.”</w:t>
      </w:r>
      <w:r>
        <w:rPr>
          <w:szCs w:val="22"/>
          <w:vertAlign w:val="superscript"/>
        </w:rPr>
        <w:footnoteReference w:id="255"/>
      </w:r>
      <w:r w:rsidRPr="00287A24">
        <w:rPr>
          <w:szCs w:val="22"/>
        </w:rPr>
        <w:t xml:space="preserve">  And spectrum should be no different, given that “the works of dead painters are not unique in being in fixed supply.”</w:t>
      </w:r>
      <w:r>
        <w:rPr>
          <w:szCs w:val="22"/>
          <w:vertAlign w:val="superscript"/>
        </w:rPr>
        <w:footnoteReference w:id="256"/>
      </w:r>
      <w:r w:rsidRPr="00287A24">
        <w:rPr>
          <w:szCs w:val="22"/>
        </w:rPr>
        <w:t xml:space="preserve">  </w:t>
      </w:r>
    </w:p>
    <w:p w:rsidR="001F631F" w:rsidRPr="00287A24" w:rsidRDefault="00AA13C4" w:rsidP="001F631F">
      <w:pPr>
        <w:spacing w:after="120"/>
        <w:ind w:firstLine="720"/>
        <w:rPr>
          <w:szCs w:val="22"/>
        </w:rPr>
      </w:pPr>
      <w:r w:rsidRPr="00287A24">
        <w:rPr>
          <w:szCs w:val="22"/>
        </w:rPr>
        <w:t>Six decades later, the FCC has held many spectrum auctions.  Indeed, last week marked the 25</w:t>
      </w:r>
      <w:r w:rsidRPr="00287A24">
        <w:rPr>
          <w:szCs w:val="22"/>
          <w:vertAlign w:val="superscript"/>
        </w:rPr>
        <w:t>th</w:t>
      </w:r>
      <w:r w:rsidRPr="00287A24">
        <w:rPr>
          <w:szCs w:val="22"/>
        </w:rPr>
        <w:t xml:space="preserve"> anniversary of the start of the FCC’s first spectrum auction.  And today, we’re applying this now-accepted approach to another resource in limited supply—toll free numbers.  On December 17, we’ll hold an auction of over 17,000 numbers in the 833 toll free code.  The 833 Auction will serve as an experiment in using competitive bidding to assign toll free numbers equitably and efficiently.  With this vote, we move one step closer to this first-of-its-kind auction by adopting detailed application, bidding, and post-auction procedures.  These procedures will promote the transparency and efficiency of the 833 Auction and reduce the potential for conflicts of interest and anticompetitive strategic behavior by participants.</w:t>
      </w:r>
    </w:p>
    <w:p w:rsidR="001F631F" w:rsidRPr="005577AD" w:rsidRDefault="00AA13C4" w:rsidP="001F631F">
      <w:pPr>
        <w:spacing w:after="120"/>
        <w:ind w:firstLine="720"/>
        <w:rPr>
          <w:szCs w:val="22"/>
        </w:rPr>
      </w:pPr>
      <w:r w:rsidRPr="00287A24">
        <w:rPr>
          <w:szCs w:val="22"/>
        </w:rPr>
        <w:t>For their meticulous work in designing this experiment, I’d like to thank Rita Cookmeyer, Scott Mackoul, Eliot Maenner, Catherine Matraves, Giulia McHenry, Gary Michaels, Tajma Rahimic, and Margaret Wiener from the Office of Economics and Analytics; Pamela Arluk, Matthew Collins, Alex Espinoza, Justin Faulb, CJ Ferraro, Heather Hendrickson, Kris Monteith, and Jordan Reth from the Wireline Competition Bureau; Terry Cavanaugh, Rick Mallen, Linda Oliver, Bill Richardson, John Williams, and Chin Yoo from the Office of General Counsel; and Maura McGowan from the Office of Communications Business Opportunities.  I look forward to reviewing the results of this experiment and applying the lessons we learn to the future assignment of toll free numbers</w:t>
      </w:r>
      <w:r>
        <w:rPr>
          <w:szCs w:val="22"/>
        </w:rPr>
        <w:t>.</w:t>
      </w:r>
    </w:p>
    <w:p w:rsidR="001F631F" w:rsidRPr="005577AD" w:rsidRDefault="001F631F" w:rsidP="001F631F">
      <w:pPr>
        <w:widowControl/>
        <w:ind w:firstLine="720"/>
        <w:rPr>
          <w:szCs w:val="22"/>
        </w:rPr>
      </w:pPr>
    </w:p>
    <w:p w:rsidR="001F631F" w:rsidRPr="00DE72D3" w:rsidRDefault="001F631F" w:rsidP="001F631F"/>
    <w:p w:rsidR="001F631F" w:rsidRPr="00934012" w:rsidRDefault="001F631F" w:rsidP="001F631F"/>
    <w:p w:rsidR="001F631F" w:rsidRPr="005577AD" w:rsidRDefault="00AA13C4" w:rsidP="001F631F">
      <w:pPr>
        <w:jc w:val="center"/>
        <w:rPr>
          <w:b/>
          <w:bCs/>
          <w:caps/>
          <w:szCs w:val="22"/>
        </w:rPr>
      </w:pPr>
      <w:r>
        <w:rPr>
          <w:sz w:val="24"/>
        </w:rPr>
        <w:br w:type="page"/>
      </w:r>
      <w:r w:rsidRPr="005577AD">
        <w:rPr>
          <w:b/>
          <w:bCs/>
          <w:caps/>
          <w:szCs w:val="22"/>
        </w:rPr>
        <w:t>Statement of</w:t>
      </w:r>
    </w:p>
    <w:p w:rsidR="001F631F" w:rsidRPr="005577AD" w:rsidRDefault="00AA13C4" w:rsidP="001F631F">
      <w:pPr>
        <w:jc w:val="center"/>
        <w:rPr>
          <w:b/>
          <w:bCs/>
          <w:caps/>
          <w:szCs w:val="22"/>
        </w:rPr>
      </w:pPr>
      <w:r w:rsidRPr="001A3189">
        <w:rPr>
          <w:b/>
        </w:rPr>
        <w:t>COMMISSIONER MICHAEL O’RIELLY</w:t>
      </w:r>
    </w:p>
    <w:p w:rsidR="001F631F" w:rsidRPr="005577AD" w:rsidRDefault="001F631F" w:rsidP="001F631F">
      <w:pPr>
        <w:jc w:val="center"/>
        <w:rPr>
          <w:b/>
          <w:bCs/>
          <w:caps/>
          <w:szCs w:val="22"/>
        </w:rPr>
      </w:pPr>
    </w:p>
    <w:p w:rsidR="001F631F" w:rsidRPr="005577AD" w:rsidRDefault="00AA13C4" w:rsidP="001F631F">
      <w:pPr>
        <w:ind w:left="1440" w:hanging="720"/>
        <w:rPr>
          <w:i/>
          <w:iCs/>
          <w:szCs w:val="22"/>
        </w:rPr>
      </w:pPr>
      <w:r w:rsidRPr="005577AD">
        <w:rPr>
          <w:iCs/>
          <w:szCs w:val="22"/>
        </w:rPr>
        <w:t>Re:</w:t>
      </w:r>
      <w:r w:rsidRPr="005577AD">
        <w:rPr>
          <w:szCs w:val="22"/>
        </w:rPr>
        <w:t xml:space="preserve"> </w:t>
      </w:r>
      <w:r w:rsidRPr="005577AD">
        <w:rPr>
          <w:szCs w:val="22"/>
        </w:rPr>
        <w:tab/>
      </w:r>
      <w:r>
        <w:rPr>
          <w:i/>
        </w:rPr>
        <w:t xml:space="preserve">Auction of Toll Free Numbers in the 833 </w:t>
      </w:r>
      <w:r w:rsidRPr="006D4638">
        <w:rPr>
          <w:i/>
        </w:rPr>
        <w:t>Code</w:t>
      </w:r>
      <w:r>
        <w:t xml:space="preserve">, </w:t>
      </w:r>
      <w:r w:rsidRPr="006D4638">
        <w:t>AU</w:t>
      </w:r>
      <w:r>
        <w:t xml:space="preserve"> Docket No. 19-101; </w:t>
      </w:r>
      <w:r w:rsidRPr="006D4638">
        <w:rPr>
          <w:i/>
        </w:rPr>
        <w:t>Toll Free Assignment Modernization</w:t>
      </w:r>
      <w:r>
        <w:t xml:space="preserve">, WC Docket No. 17-192; </w:t>
      </w:r>
      <w:r w:rsidRPr="006D4638">
        <w:rPr>
          <w:i/>
        </w:rPr>
        <w:t>Toll Free Service Access Codes</w:t>
      </w:r>
      <w:r>
        <w:t>, CC Docket No. 95-155</w:t>
      </w:r>
      <w:r w:rsidRPr="005577AD">
        <w:rPr>
          <w:iCs/>
          <w:szCs w:val="22"/>
        </w:rPr>
        <w:t>.</w:t>
      </w:r>
    </w:p>
    <w:p w:rsidR="001F631F" w:rsidRPr="005577AD" w:rsidRDefault="001F631F" w:rsidP="001F631F">
      <w:pPr>
        <w:ind w:firstLine="720"/>
        <w:rPr>
          <w:szCs w:val="22"/>
        </w:rPr>
      </w:pPr>
    </w:p>
    <w:p w:rsidR="001F631F" w:rsidRPr="00DB168E" w:rsidRDefault="00AA13C4" w:rsidP="001F631F">
      <w:pPr>
        <w:spacing w:after="120"/>
        <w:ind w:firstLine="720"/>
        <w:rPr>
          <w:szCs w:val="22"/>
        </w:rPr>
      </w:pPr>
      <w:r w:rsidRPr="00DB168E">
        <w:rPr>
          <w:szCs w:val="22"/>
        </w:rPr>
        <w:t>Following a great deal of hard work, this item should be the Commission’s final step in effectuating our 833 Toll Free Code auction experiment, and if all goes according to plan, we should see a very quick auction in mid-December for up to almost 18,000 833 numbers.  Holding this auction should provide us with concrete insight into how much interest actually exists for that set of toll free numbers.  Consider me very interested in seeing if the auction breathes new life into this 1990’s-era idea.</w:t>
      </w:r>
      <w:r>
        <w:rPr>
          <w:szCs w:val="22"/>
          <w:vertAlign w:val="superscript"/>
        </w:rPr>
        <w:footnoteReference w:id="257"/>
      </w:r>
      <w:r w:rsidRPr="00DB168E">
        <w:rPr>
          <w:szCs w:val="22"/>
        </w:rPr>
        <w:t xml:space="preserve">    </w:t>
      </w:r>
    </w:p>
    <w:p w:rsidR="001F631F" w:rsidRPr="00DB168E" w:rsidRDefault="00AA13C4" w:rsidP="001F631F">
      <w:pPr>
        <w:spacing w:after="120"/>
        <w:ind w:firstLine="720"/>
        <w:rPr>
          <w:szCs w:val="22"/>
        </w:rPr>
      </w:pPr>
      <w:r w:rsidRPr="00DB168E">
        <w:rPr>
          <w:szCs w:val="22"/>
        </w:rPr>
        <w:t xml:space="preserve">While I did not necessarily agree with some of the decisions made in the past on how to structure the auction, those concerns are water under the bridge, and I will not reiterate them here.  For the most part, this Public Notice is straightforward, as expected, and sets strong precedent in certain respects.  For instance, outsourcing the auctioneer role to a private entity rather than requiring in-house management is certainly a practice that could be pursued in other contexts. </w:t>
      </w:r>
    </w:p>
    <w:p w:rsidR="001F631F" w:rsidRPr="00DB168E" w:rsidRDefault="00AA13C4" w:rsidP="001F631F">
      <w:pPr>
        <w:spacing w:after="120"/>
        <w:ind w:firstLine="720"/>
        <w:rPr>
          <w:szCs w:val="22"/>
        </w:rPr>
      </w:pPr>
      <w:r w:rsidRPr="00DB168E">
        <w:rPr>
          <w:szCs w:val="22"/>
        </w:rPr>
        <w:t xml:space="preserve">However, this item does raise two new issues that generate some concern.  First, the Public Notice, as I read it, relieves Somos of obligation or liability for </w:t>
      </w:r>
      <w:r w:rsidRPr="00DB168E">
        <w:rPr>
          <w:i/>
          <w:szCs w:val="22"/>
        </w:rPr>
        <w:t>any</w:t>
      </w:r>
      <w:r w:rsidRPr="00DB168E">
        <w:rPr>
          <w:szCs w:val="22"/>
        </w:rPr>
        <w:t xml:space="preserve"> activity, be it “technical, programming, other advice or service” related to the auction.  While I am doubtful that such a small-scale auction will have hiccups, I nonetheless find it problematic to declare Somos completely immune from any recourse whatsoever, should it be responsible for major botches in running the auction.  I also question the item’s strategy for resolving a tie between the two highest bids.  While very unlikely to occur, the item’s method of selecting the bid with the highest assigned pseudo-random number essentially amounts to a coin flip.  The Commission ought to consider these issues, as well as the ones I previously raised, should it apply the current framework to future auctions, whether for toll free numbers or otherwise.</w:t>
      </w:r>
    </w:p>
    <w:p w:rsidR="001F631F" w:rsidRPr="005577AD" w:rsidRDefault="00AA13C4" w:rsidP="001F631F">
      <w:pPr>
        <w:spacing w:after="120"/>
        <w:ind w:firstLine="720"/>
        <w:rPr>
          <w:szCs w:val="22"/>
        </w:rPr>
      </w:pPr>
      <w:r w:rsidRPr="00DB168E">
        <w:rPr>
          <w:szCs w:val="22"/>
        </w:rPr>
        <w:t>In the meantime, let’s get on with the auction</w:t>
      </w:r>
      <w:r>
        <w:rPr>
          <w:szCs w:val="22"/>
        </w:rPr>
        <w:t>.</w:t>
      </w:r>
    </w:p>
    <w:p w:rsidR="001F631F" w:rsidRPr="005577AD" w:rsidRDefault="001F631F" w:rsidP="001F631F">
      <w:pPr>
        <w:widowControl/>
        <w:ind w:firstLine="720"/>
        <w:rPr>
          <w:szCs w:val="22"/>
        </w:rPr>
      </w:pPr>
    </w:p>
    <w:p w:rsidR="001F631F" w:rsidRPr="00DE72D3" w:rsidRDefault="001F631F" w:rsidP="001F631F"/>
    <w:p w:rsidR="001F631F" w:rsidRPr="00934012" w:rsidRDefault="001F631F" w:rsidP="001F631F"/>
    <w:p w:rsidR="00930ECF" w:rsidRPr="00930ECF" w:rsidRDefault="00930ECF" w:rsidP="00F96F63">
      <w:pPr>
        <w:rPr>
          <w:sz w:val="24"/>
        </w:rPr>
      </w:pPr>
    </w:p>
    <w:sectPr w:rsidR="00930ECF" w:rsidRPr="00930ECF" w:rsidSect="000E5884">
      <w:headerReference w:type="default" r:id="rId26"/>
      <w:footerReference w:type="even" r:id="rId27"/>
      <w:footerReference w:type="default" r:id="rId28"/>
      <w:headerReference w:type="first" r:id="rId29"/>
      <w:footerReference w:type="first" r:id="rId3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E0" w:rsidRDefault="00AA13C4">
      <w:r>
        <w:separator/>
      </w:r>
    </w:p>
  </w:endnote>
  <w:endnote w:type="continuationSeparator" w:id="0">
    <w:p w:rsidR="00AD16E0" w:rsidRDefault="00AA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Yu Goth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C2" w:rsidRDefault="00AA13C4" w:rsidP="0055614C">
    <w:pPr>
      <w:pStyle w:val="Footer"/>
      <w:framePr w:wrap="around" w:vAnchor="text" w:hAnchor="margin" w:xAlign="center" w:y="1"/>
    </w:pPr>
    <w:r>
      <w:fldChar w:fldCharType="begin"/>
    </w:r>
    <w:r>
      <w:instrText xml:space="preserve">PAGE  </w:instrText>
    </w:r>
    <w:r>
      <w:fldChar w:fldCharType="end"/>
    </w:r>
  </w:p>
  <w:p w:rsidR="00CB75C2" w:rsidRDefault="00CB7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C2" w:rsidRDefault="00AA13C4" w:rsidP="00910F12">
    <w:pPr>
      <w:pStyle w:val="Footer"/>
      <w:jc w:val="center"/>
    </w:pPr>
    <w:r>
      <w:fldChar w:fldCharType="begin"/>
    </w:r>
    <w:r>
      <w:instrText xml:space="preserve"> PAGE   \* MERGEFORMAT </w:instrText>
    </w:r>
    <w:r>
      <w:fldChar w:fldCharType="separate"/>
    </w:r>
    <w:r w:rsidR="0076171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C2" w:rsidRDefault="00CB75C2">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FC" w:rsidRDefault="00AA13C4">
      <w:r>
        <w:separator/>
      </w:r>
    </w:p>
  </w:footnote>
  <w:footnote w:type="continuationSeparator" w:id="0">
    <w:p w:rsidR="00D76CFC" w:rsidRDefault="00AA13C4">
      <w:pPr>
        <w:rPr>
          <w:sz w:val="20"/>
        </w:rPr>
      </w:pPr>
      <w:r>
        <w:rPr>
          <w:sz w:val="20"/>
        </w:rPr>
        <w:t xml:space="preserve">(Continued from previous page)  </w:t>
      </w:r>
      <w:r>
        <w:rPr>
          <w:sz w:val="20"/>
        </w:rPr>
        <w:separator/>
      </w:r>
    </w:p>
  </w:footnote>
  <w:footnote w:type="continuationNotice" w:id="1">
    <w:p w:rsidR="00D76CFC" w:rsidRDefault="00AA13C4" w:rsidP="00910F12">
      <w:pPr>
        <w:jc w:val="right"/>
        <w:rPr>
          <w:sz w:val="20"/>
        </w:rPr>
      </w:pPr>
      <w:r>
        <w:rPr>
          <w:sz w:val="20"/>
        </w:rPr>
        <w:t>(continued….)</w:t>
      </w:r>
    </w:p>
  </w:footnote>
  <w:footnote w:id="2">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Toll Free Service Access Codes</w:t>
      </w:r>
      <w:r w:rsidRPr="00751DD6">
        <w:t>, Report and Order, 33 FCC Rcd 9274, 9275-76, paras. 3-7 (2018) (</w:t>
      </w:r>
      <w:r w:rsidRPr="00751DD6">
        <w:rPr>
          <w:i/>
        </w:rPr>
        <w:t>Toll Free Assignment Modernization Order</w:t>
      </w:r>
      <w:r w:rsidRPr="00751DD6">
        <w:t>).</w:t>
      </w:r>
    </w:p>
  </w:footnote>
  <w:footnote w:id="3">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xml:space="preserve">, 33 FCC Rcd at 9276-78, paras. 8-9, 11; </w:t>
      </w:r>
      <w:r w:rsidRPr="00751DD6">
        <w:rPr>
          <w:i/>
        </w:rPr>
        <w:t>Toll Free Service Access Codes</w:t>
      </w:r>
      <w:r w:rsidRPr="00751DD6">
        <w:t>, Order 32 FCC Rcd 3153 (WCB 2017)</w:t>
      </w:r>
      <w:r>
        <w:t xml:space="preserve"> (</w:t>
      </w:r>
      <w:r w:rsidRPr="000C20B7">
        <w:rPr>
          <w:i/>
        </w:rPr>
        <w:t>833 Code Opening Order</w:t>
      </w:r>
      <w:r w:rsidRPr="000C20B7">
        <w:t>)</w:t>
      </w:r>
      <w:r w:rsidRPr="00751DD6">
        <w:t xml:space="preserve">.  A Responsible Organization, or “RespOrg” is “an entity chosen by a toll free subscriber to manage and administer the appropriate records in the toll free Service Management System for the toll free subscriber.”  47 CFR § 52.101(b).  </w:t>
      </w:r>
    </w:p>
  </w:footnote>
  <w:footnote w:id="4">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xml:space="preserve">, 33 FCC Rcd at 9294-95, paras. 58-64.    </w:t>
      </w:r>
    </w:p>
  </w:footnote>
  <w:footnote w:id="5">
    <w:p w:rsidR="00CB75C2" w:rsidRPr="00751DD6" w:rsidRDefault="00AA13C4" w:rsidP="00B42A2B">
      <w:pPr>
        <w:pStyle w:val="FootnoteText"/>
      </w:pPr>
      <w:r w:rsidRPr="00751DD6">
        <w:rPr>
          <w:rStyle w:val="FootnoteReference"/>
          <w:sz w:val="20"/>
        </w:rPr>
        <w:footnoteRef/>
      </w:r>
      <w:r w:rsidRPr="00751DD6">
        <w:t xml:space="preserve"> </w:t>
      </w:r>
      <w:r>
        <w:rPr>
          <w:i/>
        </w:rPr>
        <w:t>Id</w:t>
      </w:r>
      <w:r>
        <w:t>.</w:t>
      </w:r>
      <w:r w:rsidRPr="00751DD6">
        <w:t xml:space="preserve"> at 9288-89, paras. 38-39.</w:t>
      </w:r>
    </w:p>
  </w:footnote>
  <w:footnote w:id="6">
    <w:p w:rsidR="00CB75C2" w:rsidRPr="00751DD6" w:rsidRDefault="00AA13C4" w:rsidP="00B42A2B">
      <w:pPr>
        <w:pStyle w:val="FootnoteText"/>
      </w:pPr>
      <w:r w:rsidRPr="00751DD6">
        <w:rPr>
          <w:rStyle w:val="FootnoteReference"/>
          <w:sz w:val="20"/>
        </w:rPr>
        <w:footnoteRef/>
      </w:r>
      <w:r w:rsidRPr="00751DD6">
        <w:t xml:space="preserve"> </w:t>
      </w:r>
      <w:r>
        <w:rPr>
          <w:i/>
        </w:rPr>
        <w:t>Id</w:t>
      </w:r>
      <w:r>
        <w:t>.</w:t>
      </w:r>
      <w:r w:rsidRPr="00751DD6">
        <w:t xml:space="preserve"> at 9285, paras. 28-29.</w:t>
      </w:r>
    </w:p>
  </w:footnote>
  <w:footnote w:id="7">
    <w:p w:rsidR="00CB75C2" w:rsidRDefault="00AA13C4" w:rsidP="00B42A2B">
      <w:pPr>
        <w:pStyle w:val="FootnoteText"/>
      </w:pPr>
      <w:r>
        <w:rPr>
          <w:rStyle w:val="FootnoteReference"/>
        </w:rPr>
        <w:footnoteRef/>
      </w:r>
      <w:r>
        <w:t xml:space="preserve"> </w:t>
      </w:r>
      <w:r w:rsidRPr="00527D1B">
        <w:rPr>
          <w:i/>
        </w:rPr>
        <w:t>Auction of Toll Free Numbers in the 833 Code; Comment Sought on Competitive Bidding Procedures</w:t>
      </w:r>
      <w:r>
        <w:t>, Public Notice, FCC 19-41 (May 10, 2019) (</w:t>
      </w:r>
      <w:r w:rsidRPr="00527D1B">
        <w:rPr>
          <w:i/>
        </w:rPr>
        <w:t>833 Auction Comment Public Notice</w:t>
      </w:r>
      <w:r>
        <w:t xml:space="preserve">).  A summary of the </w:t>
      </w:r>
      <w:r w:rsidRPr="00527D1B">
        <w:rPr>
          <w:i/>
        </w:rPr>
        <w:t>833 Auction Comment Public Notice</w:t>
      </w:r>
      <w:r>
        <w:t xml:space="preserve"> was published in the Federal Register at 84 Fed. Reg. 24424 (May 28, 2019).</w:t>
      </w:r>
    </w:p>
  </w:footnote>
  <w:footnote w:id="8">
    <w:p w:rsidR="00CB75C2" w:rsidRDefault="00AA13C4" w:rsidP="00B42A2B">
      <w:pPr>
        <w:pStyle w:val="FootnoteText"/>
      </w:pPr>
      <w:r>
        <w:rPr>
          <w:rStyle w:val="FootnoteReference"/>
        </w:rPr>
        <w:footnoteRef/>
      </w:r>
      <w:r>
        <w:t xml:space="preserve"> Comments were submitted in AU Docket No. 19-101 by the following parties: 1-800 Contacts, Inc. (1-800 Contacts); the Alliance for Telecommunications Industry Solutions Systems SMS/800 Number Administration Committee (ATIS SNAC); AT&amp;T Services Inc. (AT&amp;T); CenturyLink; and Verizon.  One additional comment was submitted in WC Docket No. 17-192 and CC Docket No. 95-155 by Bill Quimby, President of TollFreeNumbers.com.  In addition, TollFreeNumbers.com and another party advocated extending the deadlines for submitting comments and reply comments, though neither submitted their requests in AU Docket No. 19-101.  </w:t>
      </w:r>
      <w:r w:rsidRPr="00394F13">
        <w:rPr>
          <w:i/>
        </w:rPr>
        <w:t>See</w:t>
      </w:r>
      <w:r>
        <w:t xml:space="preserve"> Letter of Bill Quimby, President, TollFreeNumbers.com, to Chairman Pai, FCC, WC Docket No. 17-192 et al. (filed May 30, 2019); Letter of Get800 RespOrg Services to Chairman Pai, FCC, WC Docket No. 17-192 et al. (filed June 3, 2019).  </w:t>
      </w:r>
      <w:r w:rsidRPr="00881436">
        <w:t xml:space="preserve">On July </w:t>
      </w:r>
      <w:r>
        <w:t>9</w:t>
      </w:r>
      <w:r w:rsidRPr="00881436">
        <w:t>, 2019, the Wireline Competition Bureau</w:t>
      </w:r>
      <w:r>
        <w:t xml:space="preserve">, in conjunction with the </w:t>
      </w:r>
      <w:r w:rsidRPr="00881436">
        <w:t>Office of Economics and Analytics</w:t>
      </w:r>
      <w:r>
        <w:t>,</w:t>
      </w:r>
      <w:r w:rsidRPr="00881436">
        <w:t xml:space="preserve"> denied the requests.</w:t>
      </w:r>
      <w:r>
        <w:t xml:space="preserve">  </w:t>
      </w:r>
      <w:r w:rsidRPr="00CD05C2">
        <w:rPr>
          <w:i/>
        </w:rPr>
        <w:t>See</w:t>
      </w:r>
      <w:r>
        <w:t xml:space="preserve"> </w:t>
      </w:r>
      <w:r w:rsidRPr="00CD05C2">
        <w:rPr>
          <w:i/>
        </w:rPr>
        <w:t>TollFreeNumbers.com and Get800 Requests for Extension of Time to File Comments and Reply Comments</w:t>
      </w:r>
      <w:r>
        <w:t>, Order, DA 19-633 (WCB/OEA Jul. 9, 2019).</w:t>
      </w:r>
    </w:p>
  </w:footnote>
  <w:footnote w:id="9">
    <w:p w:rsidR="00CB75C2" w:rsidRDefault="00AA13C4" w:rsidP="00B42A2B">
      <w:pPr>
        <w:pStyle w:val="FootnoteText"/>
      </w:pPr>
      <w:r>
        <w:rPr>
          <w:rStyle w:val="FootnoteReference"/>
        </w:rPr>
        <w:footnoteRef/>
      </w:r>
      <w:r>
        <w:t xml:space="preserve"> 47 U.S.C. § 251(e)(1) (ordering the Commission to make “numbers available on an equitable basis,” and providing the Commission with “exclusive jurisdiction over those portions of the North American Numbering Plan that pertain to the United States”).</w:t>
      </w:r>
    </w:p>
  </w:footnote>
  <w:footnote w:id="10">
    <w:p w:rsidR="00CB75C2" w:rsidRDefault="00AA13C4" w:rsidP="00B42A2B">
      <w:pPr>
        <w:pStyle w:val="FootnoteText"/>
      </w:pPr>
      <w:r>
        <w:rPr>
          <w:rStyle w:val="FootnoteReference"/>
        </w:rPr>
        <w:footnoteRef/>
      </w:r>
      <w:r>
        <w:t xml:space="preserve"> </w:t>
      </w:r>
      <w:r>
        <w:rPr>
          <w:i/>
        </w:rPr>
        <w:t>Toll Free Service Access Codes</w:t>
      </w:r>
      <w:r>
        <w:t>, Report and Order and Further Notice of Proposed Rulemaking, 12 FCC Rcd 11162, 11179, para. 22 (1997) (</w:t>
      </w:r>
      <w:r w:rsidRPr="0009757B">
        <w:rPr>
          <w:i/>
        </w:rPr>
        <w:t>1997 Toll Free Order</w:t>
      </w:r>
      <w:r>
        <w:t>).</w:t>
      </w:r>
    </w:p>
  </w:footnote>
  <w:footnote w:id="11">
    <w:p w:rsidR="00CB75C2" w:rsidRPr="007F4A56" w:rsidRDefault="00AA13C4" w:rsidP="00B42A2B">
      <w:pPr>
        <w:pStyle w:val="FootnoteText"/>
      </w:pPr>
      <w:r>
        <w:rPr>
          <w:rStyle w:val="FootnoteReference"/>
        </w:rPr>
        <w:footnoteRef/>
      </w:r>
      <w:r>
        <w:t xml:space="preserve"> </w:t>
      </w:r>
      <w:r w:rsidRPr="00205DD4">
        <w:rPr>
          <w:i/>
        </w:rPr>
        <w:t>Implementation of the Local Competition Provisions of the Telecommunications Act of 1996, Interconnection Between Local Exchange Carriers and Commercial Mobile Radio Service Providers, Area Code Relief Plan for Dallas and Houston, Ordered by the Public Utility Commission of Texas, Administration of the North American Numbering Plan, Proposed 708 Relief Plan and 630 Numbering Plan Area Code by Ameritech-Illinois</w:t>
      </w:r>
      <w:r w:rsidRPr="00205DD4">
        <w:t>, Second Report and Order and Memorandum Opinion and Order, 11 FCC Rcd 19392, 19512, para. 271 (1996</w:t>
      </w:r>
      <w:r>
        <w:t xml:space="preserve">); </w:t>
      </w:r>
      <w:r>
        <w:rPr>
          <w:i/>
        </w:rPr>
        <w:t>see also</w:t>
      </w:r>
      <w:r>
        <w:t xml:space="preserve"> 47 U.S.C. § 251(e)(1).</w:t>
      </w:r>
    </w:p>
  </w:footnote>
  <w:footnote w:id="12">
    <w:p w:rsidR="00CB75C2" w:rsidRDefault="00AA13C4" w:rsidP="00B42A2B">
      <w:pPr>
        <w:pStyle w:val="FootnoteText"/>
      </w:pPr>
      <w:r>
        <w:rPr>
          <w:rStyle w:val="FootnoteReference"/>
        </w:rPr>
        <w:footnoteRef/>
      </w:r>
      <w:r>
        <w:t xml:space="preserve"> </w:t>
      </w:r>
      <w:r w:rsidRPr="0009757B">
        <w:rPr>
          <w:i/>
        </w:rPr>
        <w:t>1997 Toll Free Order</w:t>
      </w:r>
      <w:r>
        <w:t>, 12 FCC Rcd at 11176, para. 18 (citing “§ 1 and Title II of the . . . Act” and section 251(e)(1)).</w:t>
      </w:r>
    </w:p>
  </w:footnote>
  <w:footnote w:id="13">
    <w:p w:rsidR="00CB75C2" w:rsidRDefault="00AA13C4" w:rsidP="00B42A2B">
      <w:pPr>
        <w:pStyle w:val="FootnoteText"/>
      </w:pPr>
      <w:r>
        <w:rPr>
          <w:rStyle w:val="FootnoteReference"/>
        </w:rPr>
        <w:footnoteRef/>
      </w:r>
      <w:r>
        <w:t xml:space="preserve"> 47 U.S.C. § 251(e)(1).</w:t>
      </w:r>
    </w:p>
  </w:footnote>
  <w:footnote w:id="14">
    <w:p w:rsidR="00CB75C2" w:rsidRDefault="00AA13C4" w:rsidP="00B42A2B">
      <w:pPr>
        <w:pStyle w:val="FootnoteText"/>
      </w:pPr>
      <w:r>
        <w:rPr>
          <w:rStyle w:val="FootnoteReference"/>
        </w:rPr>
        <w:footnoteRef/>
      </w:r>
      <w:r>
        <w:t xml:space="preserve"> </w:t>
      </w:r>
      <w:r>
        <w:rPr>
          <w:i/>
        </w:rPr>
        <w:t>See</w:t>
      </w:r>
      <w:r w:rsidRPr="006C17CB">
        <w:rPr>
          <w:i/>
        </w:rPr>
        <w:t xml:space="preserve"> </w:t>
      </w:r>
      <w:r w:rsidRPr="00751DD6">
        <w:rPr>
          <w:i/>
        </w:rPr>
        <w:t>Toll Free Assignment Modernization Order</w:t>
      </w:r>
      <w:r w:rsidRPr="00751DD6">
        <w:t>, 33 FCC Rcd at 927</w:t>
      </w:r>
      <w:r>
        <w:t>9</w:t>
      </w:r>
      <w:r w:rsidRPr="00751DD6">
        <w:t>-8</w:t>
      </w:r>
      <w:r>
        <w:t>4</w:t>
      </w:r>
      <w:r w:rsidRPr="00751DD6">
        <w:t xml:space="preserve">, paras. </w:t>
      </w:r>
      <w:r>
        <w:t>14-24, 9304, para. 83.</w:t>
      </w:r>
    </w:p>
  </w:footnote>
  <w:footnote w:id="15">
    <w:p w:rsidR="00CB75C2" w:rsidRDefault="00AA13C4" w:rsidP="00B42A2B">
      <w:pPr>
        <w:pStyle w:val="FootnoteText"/>
      </w:pPr>
      <w:r>
        <w:rPr>
          <w:rStyle w:val="FootnoteReference"/>
        </w:rPr>
        <w:footnoteRef/>
      </w:r>
      <w:r>
        <w:t xml:space="preserve"> </w:t>
      </w:r>
      <w:r w:rsidRPr="00D764A7">
        <w:t>47 CFR Part 1, Subpart Q.</w:t>
      </w:r>
    </w:p>
  </w:footnote>
  <w:footnote w:id="16">
    <w:p w:rsidR="00CB75C2" w:rsidRPr="00D764A7" w:rsidRDefault="00AA13C4" w:rsidP="00B42A2B">
      <w:pPr>
        <w:pStyle w:val="FootnoteText"/>
      </w:pPr>
      <w:r w:rsidRPr="00D764A7">
        <w:rPr>
          <w:rStyle w:val="FootnoteReference"/>
        </w:rPr>
        <w:footnoteRef/>
      </w:r>
      <w:r w:rsidRPr="00D764A7">
        <w:t xml:space="preserve"> </w:t>
      </w:r>
      <w:r w:rsidRPr="00D764A7">
        <w:rPr>
          <w:i/>
        </w:rPr>
        <w:t>See</w:t>
      </w:r>
      <w:r w:rsidRPr="001A3D64">
        <w:t>,</w:t>
      </w:r>
      <w:r w:rsidRPr="00D764A7">
        <w:t xml:space="preserve"> </w:t>
      </w:r>
      <w:r w:rsidRPr="00D764A7">
        <w:rPr>
          <w:i/>
        </w:rPr>
        <w:t>e.g</w:t>
      </w:r>
      <w:r w:rsidRPr="00D764A7">
        <w:t>.</w:t>
      </w:r>
      <w:r w:rsidRPr="00143CFB">
        <w:rPr>
          <w:i/>
        </w:rPr>
        <w:t>,</w:t>
      </w:r>
      <w:r w:rsidRPr="00D764A7">
        <w:t xml:space="preserve"> </w:t>
      </w:r>
      <w:r w:rsidRPr="00D764A7">
        <w:rPr>
          <w:i/>
          <w:spacing w:val="-2"/>
        </w:rPr>
        <w:t>Updating Part 1 Competitive Bidding Rules</w:t>
      </w:r>
      <w:r>
        <w:rPr>
          <w:i/>
          <w:spacing w:val="-2"/>
        </w:rPr>
        <w:t xml:space="preserve"> et al.</w:t>
      </w:r>
      <w:r w:rsidRPr="00D764A7">
        <w:rPr>
          <w:spacing w:val="-2"/>
        </w:rPr>
        <w:t xml:space="preserve">, Report and Order, Order on Reconsideration </w:t>
      </w:r>
      <w:r w:rsidRPr="00D764A7">
        <w:t>of the First Report and Order, Third Order on Reconsideration of the Second Report and Order, Third Report and Order,</w:t>
      </w:r>
      <w:r w:rsidRPr="00D764A7">
        <w:rPr>
          <w:i/>
        </w:rPr>
        <w:t xml:space="preserve"> </w:t>
      </w:r>
      <w:r w:rsidRPr="00D764A7">
        <w:t>30 FCC Rcd 7493 (2015) (</w:t>
      </w:r>
      <w:r w:rsidRPr="00D764A7">
        <w:rPr>
          <w:i/>
        </w:rPr>
        <w:t>2015</w:t>
      </w:r>
      <w:r>
        <w:rPr>
          <w:i/>
        </w:rPr>
        <w:t xml:space="preserve"> Part 1 Report and</w:t>
      </w:r>
      <w:r w:rsidRPr="00D764A7">
        <w:rPr>
          <w:i/>
        </w:rPr>
        <w:t xml:space="preserve"> Order</w:t>
      </w:r>
      <w:r w:rsidRPr="00D764A7">
        <w:t xml:space="preserve">) (modified by Erratum, 30 FCC Rcd 8518 (2015)); </w:t>
      </w:r>
      <w:r w:rsidRPr="00D764A7">
        <w:rPr>
          <w:i/>
        </w:rPr>
        <w:t>Amendment of Part 1 of the Commission</w:t>
      </w:r>
      <w:r>
        <w:rPr>
          <w:i/>
        </w:rPr>
        <w:t>’</w:t>
      </w:r>
      <w:r w:rsidRPr="00D764A7">
        <w:rPr>
          <w:i/>
        </w:rPr>
        <w:t>s Rules – Competitive Bidding Procedures</w:t>
      </w:r>
      <w:r w:rsidRPr="00D764A7">
        <w:t xml:space="preserve">, Order, Memorandum Opinion and Order and Notice of Proposed Rule Making, 12 FCC Rcd 5686 (1997); </w:t>
      </w:r>
      <w:r>
        <w:t>Third Report and Second Further Notice of Proposed Rule Making, 13 FCC Rcd 374 (1997) (</w:t>
      </w:r>
      <w:r w:rsidRPr="00A67AD9">
        <w:rPr>
          <w:i/>
        </w:rPr>
        <w:t>Part 1 Third Report and Order</w:t>
      </w:r>
      <w:r>
        <w:t xml:space="preserve">); </w:t>
      </w:r>
      <w:r w:rsidRPr="00D764A7">
        <w:t>Order on Reconsideration of the Third Report and Order, Fifth Report and Order, and Fourth Further Notice of Proposed Rule Making, 15 FCC Rcd 15293 (2000) (</w:t>
      </w:r>
      <w:r w:rsidRPr="002615F1">
        <w:rPr>
          <w:i/>
        </w:rPr>
        <w:t>2000</w:t>
      </w:r>
      <w:r>
        <w:t xml:space="preserve"> </w:t>
      </w:r>
      <w:r w:rsidRPr="00D764A7">
        <w:rPr>
          <w:i/>
        </w:rPr>
        <w:t>Part 1 Order</w:t>
      </w:r>
      <w:r w:rsidRPr="00D764A7">
        <w:t>) (modified by Erratum, 15 FCC Rcd 21520 (2000)); Seventh Report and Order, 16 FCC Rcd 17546 (2001) (</w:t>
      </w:r>
      <w:r w:rsidRPr="00D764A7">
        <w:rPr>
          <w:i/>
        </w:rPr>
        <w:t>Part 1 Seventh Report and Order</w:t>
      </w:r>
      <w:r w:rsidRPr="00D764A7">
        <w:t>); Eighth Report and Order, 17 FCC Rcd 2962 (2002); Second Order on</w:t>
      </w:r>
      <w:r w:rsidRPr="00D764A7">
        <w:rPr>
          <w:i/>
        </w:rPr>
        <w:t xml:space="preserve"> </w:t>
      </w:r>
      <w:r w:rsidRPr="00D764A7">
        <w:t>Reconsideration of the Third Report and Order and Order on Reconsideration of the Fifth Report and Order, 18 FCC Rcd 10180 (2003); Second Order on Reconsideration of the Fifth Report and Order, 20 FCC Rcd 1942 (2005).</w:t>
      </w:r>
    </w:p>
  </w:footnote>
  <w:footnote w:id="17">
    <w:p w:rsidR="00CB75C2" w:rsidRDefault="00AA13C4" w:rsidP="00B42A2B">
      <w:pPr>
        <w:pStyle w:val="FootnoteText"/>
      </w:pPr>
      <w:r>
        <w:rPr>
          <w:rStyle w:val="FootnoteReference"/>
        </w:rPr>
        <w:footnoteRef/>
      </w:r>
      <w:r>
        <w:t xml:space="preserve"> </w:t>
      </w:r>
      <w:r w:rsidRPr="000C20B7">
        <w:rPr>
          <w:i/>
        </w:rPr>
        <w:t>833 Code Opening Order</w:t>
      </w:r>
      <w:r>
        <w:t>, 32 FCC Rcd at 3155, para. 7.</w:t>
      </w:r>
    </w:p>
  </w:footnote>
  <w:footnote w:id="18">
    <w:p w:rsidR="00CB75C2" w:rsidRDefault="00AA13C4" w:rsidP="00B42A2B">
      <w:pPr>
        <w:pStyle w:val="FootnoteText"/>
      </w:pPr>
      <w:r>
        <w:rPr>
          <w:rStyle w:val="FootnoteReference"/>
        </w:rPr>
        <w:footnoteRef/>
      </w:r>
      <w:r>
        <w:t xml:space="preserve"> </w:t>
      </w:r>
      <w:r>
        <w:rPr>
          <w:i/>
        </w:rPr>
        <w:t>See</w:t>
      </w:r>
      <w:r w:rsidRPr="0037576D">
        <w:t xml:space="preserve"> </w:t>
      </w:r>
      <w:r w:rsidRPr="00A10CD4">
        <w:t xml:space="preserve">Somos, Inc., Report of the Toll Free Neutral Administrator (TFNA) to the North American Numbering Council at 6 (2017), </w:t>
      </w:r>
      <w:hyperlink r:id="rId1" w:history="1">
        <w:r w:rsidRPr="00A10CD4">
          <w:rPr>
            <w:rStyle w:val="Hyperlink"/>
          </w:rPr>
          <w:t>http://www.nanc-chair.org/docs/mtg_docs/Jun17_TFNA_Report.pdf</w:t>
        </w:r>
      </w:hyperlink>
      <w:r>
        <w:t xml:space="preserve"> (last visited  July 8, 2019).</w:t>
      </w:r>
    </w:p>
  </w:footnote>
  <w:footnote w:id="19">
    <w:p w:rsidR="00CB75C2" w:rsidRDefault="00AA13C4" w:rsidP="00B42A2B">
      <w:pPr>
        <w:pStyle w:val="FootnoteText"/>
      </w:pPr>
      <w:r>
        <w:rPr>
          <w:rStyle w:val="FootnoteReference"/>
        </w:rPr>
        <w:footnoteRef/>
      </w:r>
      <w:r>
        <w:t xml:space="preserve"> </w:t>
      </w:r>
      <w:r w:rsidRPr="00751DD6">
        <w:rPr>
          <w:i/>
        </w:rPr>
        <w:t>Toll Free Assignment Modernization Order</w:t>
      </w:r>
      <w:r w:rsidRPr="00751DD6">
        <w:t>, 33 FCC Rcd at</w:t>
      </w:r>
      <w:r>
        <w:t xml:space="preserve"> 9284, para. 25.</w:t>
      </w:r>
    </w:p>
  </w:footnote>
  <w:footnote w:id="20">
    <w:p w:rsidR="00CB75C2" w:rsidRPr="00751DD6" w:rsidRDefault="00AA13C4" w:rsidP="00B42A2B">
      <w:pPr>
        <w:pStyle w:val="FootnoteText"/>
      </w:pPr>
      <w:r w:rsidRPr="00751DD6">
        <w:rPr>
          <w:rStyle w:val="FootnoteReference"/>
          <w:sz w:val="20"/>
        </w:rPr>
        <w:footnoteRef/>
      </w:r>
      <w:r w:rsidRPr="00751DD6">
        <w:t xml:space="preserve"> </w:t>
      </w:r>
      <w:r>
        <w:rPr>
          <w:i/>
        </w:rPr>
        <w:t>Id</w:t>
      </w:r>
      <w:r>
        <w:t>.</w:t>
      </w:r>
      <w:r w:rsidRPr="00751DD6">
        <w:t xml:space="preserve"> at 9299-300, paras. 74-76.</w:t>
      </w:r>
    </w:p>
  </w:footnote>
  <w:footnote w:id="21">
    <w:p w:rsidR="00CB75C2" w:rsidRPr="00751DD6" w:rsidRDefault="00AA13C4" w:rsidP="00B42A2B">
      <w:pPr>
        <w:pStyle w:val="FootnoteText"/>
      </w:pPr>
      <w:r w:rsidRPr="00751DD6">
        <w:rPr>
          <w:rStyle w:val="FootnoteReference"/>
          <w:sz w:val="20"/>
        </w:rPr>
        <w:footnoteRef/>
      </w:r>
      <w:r w:rsidRPr="00751DD6">
        <w:t xml:space="preserve"> </w:t>
      </w:r>
      <w:r w:rsidRPr="00751DD6">
        <w:rPr>
          <w:i/>
        </w:rPr>
        <w:t>Wireline Competition Bureau Seeks Petitions to Set Aside Toll Free Numbers in the 833 Code for Use by Government Entities and Non-Profit Public Health and Safety Organizations</w:t>
      </w:r>
      <w:r w:rsidRPr="00751DD6">
        <w:t>, Public Notice, DA 19-291 (WCB Apr</w:t>
      </w:r>
      <w:r>
        <w:t>.</w:t>
      </w:r>
      <w:r w:rsidRPr="00751DD6">
        <w:t> 16, 2019).</w:t>
      </w:r>
    </w:p>
  </w:footnote>
  <w:footnote w:id="22">
    <w:p w:rsidR="00CB75C2" w:rsidRDefault="00AA13C4" w:rsidP="00B42A2B">
      <w:pPr>
        <w:pStyle w:val="FootnoteText"/>
      </w:pPr>
      <w:r>
        <w:rPr>
          <w:rStyle w:val="FootnoteReference"/>
        </w:rPr>
        <w:footnoteRef/>
      </w:r>
      <w:r>
        <w:t xml:space="preserve"> As noted below, 833 Auction applicants must select the toll free numbers (from the available list) for which they may bid on their auction applications.  </w:t>
      </w:r>
      <w:r w:rsidRPr="00751DD6">
        <w:t xml:space="preserve">If a particular available toll free number is not selected on </w:t>
      </w:r>
      <w:r w:rsidRPr="00BB4086">
        <w:rPr>
          <w:i/>
        </w:rPr>
        <w:t>any</w:t>
      </w:r>
      <w:r w:rsidRPr="00751DD6">
        <w:t xml:space="preserve"> auction application, it will not be available in the auction.</w:t>
      </w:r>
    </w:p>
  </w:footnote>
  <w:footnote w:id="23">
    <w:p w:rsidR="00CB75C2" w:rsidRPr="00751DD6" w:rsidRDefault="00AA13C4" w:rsidP="00B42A2B">
      <w:pPr>
        <w:pStyle w:val="FootnoteText"/>
      </w:pPr>
      <w:r w:rsidRPr="00751DD6">
        <w:rPr>
          <w:rStyle w:val="FootnoteReference"/>
          <w:sz w:val="20"/>
        </w:rPr>
        <w:footnoteRef/>
      </w:r>
      <w:r>
        <w:t xml:space="preserve"> </w:t>
      </w:r>
      <w:r w:rsidRPr="00751DD6">
        <w:rPr>
          <w:i/>
        </w:rPr>
        <w:t>Toll Free Assignment Modernization Order</w:t>
      </w:r>
      <w:r w:rsidRPr="00751DD6">
        <w:t>, 33 FCC Rcd at 9294-95, paras. 58-64.</w:t>
      </w:r>
      <w:r>
        <w:t xml:space="preserve">  One commenter questions the designation of Somos as the 833 Auction auctioneer.  </w:t>
      </w:r>
      <w:r w:rsidRPr="00315000">
        <w:rPr>
          <w:i/>
        </w:rPr>
        <w:t>See</w:t>
      </w:r>
      <w:r>
        <w:t xml:space="preserve"> Letter of Bill Quimby, President, TollFreeNumbers.com, to Chairman Pai, FCC (filed May 20, 2019, in WC Docket No. 17-192, and May 22, 2019, in CC Docket No. 95-155)</w:t>
      </w:r>
      <w:r w:rsidRPr="00D91582">
        <w:t xml:space="preserve"> </w:t>
      </w:r>
      <w:r>
        <w:t xml:space="preserve">; Letter of Bill Quimby, President, TollFreeNumbers.com, to Chairman Pai, FCC (filed July 8, 2019 in WC Docket No. 17-192 and CC Docket No. 95-155).  As noted above, the Commission designated Somos as the auctioneer in the </w:t>
      </w:r>
      <w:r w:rsidRPr="00440542">
        <w:rPr>
          <w:i/>
        </w:rPr>
        <w:t>Toll Free Assignment Modernization Order</w:t>
      </w:r>
      <w:r>
        <w:t>, which is no longer subject to administrative or judicial review, and the decision in that proceeding is not within the scope of the instant proceeding.</w:t>
      </w:r>
    </w:p>
  </w:footnote>
  <w:footnote w:id="24">
    <w:p w:rsidR="00CB75C2" w:rsidRDefault="00AA13C4" w:rsidP="00B42A2B">
      <w:pPr>
        <w:pStyle w:val="FootnoteText"/>
      </w:pPr>
      <w:r>
        <w:rPr>
          <w:rStyle w:val="FootnoteReference"/>
        </w:rPr>
        <w:footnoteRef/>
      </w:r>
      <w:r>
        <w:t xml:space="preserve"> FCC Form 833 (“Application to Participate in a Toll Free Number Assignment Auction”) will serve as the auction application for the 833 Auction.</w:t>
      </w:r>
    </w:p>
  </w:footnote>
  <w:footnote w:id="25">
    <w:p w:rsidR="00CB75C2" w:rsidRDefault="00AA13C4" w:rsidP="00B42A2B">
      <w:pPr>
        <w:pStyle w:val="FootnoteText"/>
      </w:pPr>
      <w:r>
        <w:rPr>
          <w:rStyle w:val="FootnoteReference"/>
        </w:rPr>
        <w:footnoteRef/>
      </w:r>
      <w:r>
        <w:t xml:space="preserve"> The Somos Auction System can be accessed at </w:t>
      </w:r>
      <w:hyperlink r:id="rId2" w:history="1">
        <w:r w:rsidRPr="000D59F8">
          <w:rPr>
            <w:rStyle w:val="Hyperlink"/>
          </w:rPr>
          <w:t>http://auction.somos.com/</w:t>
        </w:r>
      </w:hyperlink>
      <w:r>
        <w:t xml:space="preserve">. </w:t>
      </w:r>
    </w:p>
  </w:footnote>
  <w:footnote w:id="26">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9290-94, paras. 43-57.</w:t>
      </w:r>
    </w:p>
  </w:footnote>
  <w:footnote w:id="27">
    <w:p w:rsidR="00CB75C2" w:rsidRDefault="00AA13C4" w:rsidP="00B42A2B">
      <w:pPr>
        <w:pStyle w:val="FootnoteText"/>
      </w:pPr>
      <w:r>
        <w:rPr>
          <w:rStyle w:val="FootnoteReference"/>
        </w:rPr>
        <w:footnoteRef/>
      </w:r>
      <w:r>
        <w:t xml:space="preserve"> </w:t>
      </w:r>
      <w:r w:rsidRPr="00187745">
        <w:rPr>
          <w:i/>
        </w:rPr>
        <w:t>Auction 833 Comment Public Notice</w:t>
      </w:r>
      <w:r>
        <w:t xml:space="preserve"> at para 13.</w:t>
      </w:r>
    </w:p>
  </w:footnote>
  <w:footnote w:id="28">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9290, para. 45.</w:t>
      </w:r>
      <w:r>
        <w:t xml:space="preserve">  The Commission noted that a </w:t>
      </w:r>
      <w:r w:rsidRPr="00751DD6">
        <w:t xml:space="preserve">RespOrg can bid on behalf of multiple subscribers, as long as the subscribers it represents, as well as itself, are not bidding on the rights to use the same number(s).  </w:t>
      </w:r>
      <w:r w:rsidRPr="00751DD6">
        <w:rPr>
          <w:i/>
        </w:rPr>
        <w:t>Id</w:t>
      </w:r>
      <w:r w:rsidRPr="00751DD6">
        <w:t>. at 9291, n.114.</w:t>
      </w:r>
    </w:p>
  </w:footnote>
  <w:footnote w:id="29">
    <w:p w:rsidR="00CB75C2" w:rsidRDefault="00AA13C4" w:rsidP="00B42A2B">
      <w:pPr>
        <w:pStyle w:val="FootnoteText"/>
      </w:pPr>
      <w:r>
        <w:rPr>
          <w:rStyle w:val="FootnoteReference"/>
        </w:rPr>
        <w:footnoteRef/>
      </w:r>
      <w:r>
        <w:t xml:space="preserve"> </w:t>
      </w:r>
      <w:r w:rsidRPr="004155E2">
        <w:rPr>
          <w:i/>
        </w:rPr>
        <w:t>833 Auction Comment Public Notice</w:t>
      </w:r>
      <w:r>
        <w:t xml:space="preserve"> at para. 13.</w:t>
      </w:r>
    </w:p>
  </w:footnote>
  <w:footnote w:id="30">
    <w:p w:rsidR="00CB75C2" w:rsidRDefault="00AA13C4" w:rsidP="00B42A2B">
      <w:pPr>
        <w:pStyle w:val="FootnoteText"/>
      </w:pPr>
      <w:r>
        <w:rPr>
          <w:rStyle w:val="FootnoteReference"/>
        </w:rPr>
        <w:footnoteRef/>
      </w:r>
      <w:r>
        <w:t xml:space="preserve"> CenturyLink Comments at 2.</w:t>
      </w:r>
    </w:p>
  </w:footnote>
  <w:footnote w:id="31">
    <w:p w:rsidR="00CB75C2" w:rsidRDefault="00AA13C4" w:rsidP="00B42A2B">
      <w:pPr>
        <w:pStyle w:val="FootnoteText"/>
      </w:pPr>
      <w:r>
        <w:rPr>
          <w:rStyle w:val="FootnoteReference"/>
        </w:rPr>
        <w:footnoteRef/>
      </w:r>
      <w:r>
        <w:t xml:space="preserve"> </w:t>
      </w:r>
      <w:r w:rsidRPr="00751DD6">
        <w:rPr>
          <w:i/>
        </w:rPr>
        <w:t>See</w:t>
      </w:r>
      <w:r w:rsidRPr="00751DD6">
        <w:t xml:space="preserve"> </w:t>
      </w:r>
      <w:r w:rsidRPr="003229DC">
        <w:rPr>
          <w:i/>
        </w:rPr>
        <w:t>infra</w:t>
      </w:r>
      <w:r>
        <w:t xml:space="preserve"> </w:t>
      </w:r>
      <w:r w:rsidRPr="00751DD6">
        <w:t xml:space="preserve">Section </w:t>
      </w:r>
      <w:r>
        <w:t>II.B.</w:t>
      </w:r>
    </w:p>
  </w:footnote>
  <w:footnote w:id="32">
    <w:p w:rsidR="00CB75C2" w:rsidRPr="00751DD6" w:rsidRDefault="00AA13C4" w:rsidP="00B42A2B">
      <w:pPr>
        <w:pStyle w:val="FootnoteText"/>
      </w:pPr>
      <w:r w:rsidRPr="00751DD6">
        <w:rPr>
          <w:rStyle w:val="FootnoteReference"/>
          <w:sz w:val="20"/>
        </w:rPr>
        <w:footnoteRef/>
      </w:r>
      <w:r w:rsidRPr="00751DD6">
        <w:t xml:space="preserve"> </w:t>
      </w:r>
      <w:r w:rsidRPr="00751DD6">
        <w:rPr>
          <w:i/>
        </w:rPr>
        <w:t>See</w:t>
      </w:r>
      <w:r w:rsidRPr="00751DD6">
        <w:t xml:space="preserve"> </w:t>
      </w:r>
      <w:r w:rsidRPr="003229DC">
        <w:rPr>
          <w:i/>
        </w:rPr>
        <w:t>infra</w:t>
      </w:r>
      <w:r>
        <w:t xml:space="preserve"> </w:t>
      </w:r>
      <w:r w:rsidRPr="00751DD6">
        <w:t xml:space="preserve">Section </w:t>
      </w:r>
      <w:r>
        <w:t>II.C.1</w:t>
      </w:r>
      <w:r w:rsidRPr="00751DD6">
        <w:t>.</w:t>
      </w:r>
    </w:p>
  </w:footnote>
  <w:footnote w:id="33">
    <w:p w:rsidR="00CB75C2" w:rsidRDefault="00AA13C4" w:rsidP="00B42A2B">
      <w:pPr>
        <w:pStyle w:val="FootnoteText"/>
      </w:pPr>
      <w:r>
        <w:rPr>
          <w:rStyle w:val="FootnoteReference"/>
        </w:rPr>
        <w:footnoteRef/>
      </w:r>
      <w:r>
        <w:t xml:space="preserve"> </w:t>
      </w:r>
      <w:r w:rsidRPr="004155E2">
        <w:rPr>
          <w:i/>
        </w:rPr>
        <w:t>833 Auction Comment Public Notice</w:t>
      </w:r>
      <w:r>
        <w:t xml:space="preserve"> at para. 13.</w:t>
      </w:r>
    </w:p>
  </w:footnote>
  <w:footnote w:id="34">
    <w:p w:rsidR="00CB75C2" w:rsidRPr="00751DD6" w:rsidRDefault="00AA13C4" w:rsidP="00B42A2B">
      <w:pPr>
        <w:pStyle w:val="FootnoteText"/>
      </w:pPr>
      <w:r w:rsidRPr="00751DD6">
        <w:rPr>
          <w:rStyle w:val="FootnoteReference"/>
          <w:sz w:val="20"/>
        </w:rPr>
        <w:footnoteRef/>
      </w:r>
      <w:r>
        <w:t xml:space="preserve"> </w:t>
      </w:r>
      <w:r w:rsidRPr="00E117C2">
        <w:rPr>
          <w:i/>
        </w:rPr>
        <w:t>833 Auction Comment Public Notice</w:t>
      </w:r>
      <w:r>
        <w:t xml:space="preserve"> at para. 14 (citing</w:t>
      </w:r>
      <w:r w:rsidRPr="00751DD6">
        <w:t xml:space="preserve"> </w:t>
      </w:r>
      <w:r w:rsidRPr="00751DD6">
        <w:rPr>
          <w:i/>
        </w:rPr>
        <w:t>Toll Free Assignment Modernization Order</w:t>
      </w:r>
      <w:r w:rsidRPr="00751DD6">
        <w:t>, 33 FCC Rcd at 9290, para. 46</w:t>
      </w:r>
      <w:r>
        <w:t xml:space="preserve"> (prohibiting a single party, or multiple parties with a controlling interest in common, from becoming qualified to bid in the 833 Auction based on multiple applications))</w:t>
      </w:r>
      <w:r w:rsidRPr="00751DD6">
        <w:t>.</w:t>
      </w:r>
    </w:p>
  </w:footnote>
  <w:footnote w:id="35">
    <w:p w:rsidR="00CB75C2" w:rsidRDefault="00AA13C4" w:rsidP="00B42A2B">
      <w:pPr>
        <w:pStyle w:val="FootnoteText"/>
      </w:pPr>
      <w:r>
        <w:rPr>
          <w:rStyle w:val="FootnoteReference"/>
        </w:rPr>
        <w:footnoteRef/>
      </w:r>
      <w:r>
        <w:t xml:space="preserve"> </w:t>
      </w:r>
      <w:bookmarkStart w:id="139" w:name="_Hlk15301355"/>
      <w:r>
        <w:t>By “commonly-controlled entity,” we mean an entity that controls or is controlled by another party</w:t>
      </w:r>
      <w:bookmarkEnd w:id="139"/>
      <w:r>
        <w:t xml:space="preserve">.  We note that this language clarifies that which we proposed in the </w:t>
      </w:r>
      <w:r w:rsidRPr="00E117C2">
        <w:rPr>
          <w:i/>
        </w:rPr>
        <w:t>833 Auction Comment Public Notice</w:t>
      </w:r>
      <w:r>
        <w:rPr>
          <w:i/>
        </w:rPr>
        <w:t xml:space="preserve"> </w:t>
      </w:r>
      <w:r w:rsidRPr="00E27609">
        <w:t>in order</w:t>
      </w:r>
      <w:r>
        <w:t xml:space="preserve"> to emphasize that the requirement to bid only through a single applicant applies to every applicant, regardless of whether it is bidding on its own behalf, or on behalf of another entity.</w:t>
      </w:r>
    </w:p>
  </w:footnote>
  <w:footnote w:id="36">
    <w:p w:rsidR="00CB75C2" w:rsidRPr="00751DD6" w:rsidRDefault="00AA13C4" w:rsidP="00B42A2B">
      <w:pPr>
        <w:pStyle w:val="FootnoteText"/>
      </w:pPr>
      <w:r w:rsidRPr="00751DD6">
        <w:rPr>
          <w:rStyle w:val="FootnoteReference"/>
          <w:sz w:val="20"/>
        </w:rPr>
        <w:footnoteRef/>
      </w:r>
      <w:r w:rsidRPr="00751DD6">
        <w:t xml:space="preserve"> </w:t>
      </w:r>
      <w:r w:rsidRPr="00E117C2">
        <w:rPr>
          <w:i/>
        </w:rPr>
        <w:t>833 Auction Comment Public Notice</w:t>
      </w:r>
      <w:r>
        <w:t xml:space="preserve"> at para. 15.  As noted in the </w:t>
      </w:r>
      <w:r w:rsidRPr="00445B1F">
        <w:rPr>
          <w:i/>
        </w:rPr>
        <w:t>833 Auction Comment Public Notice</w:t>
      </w:r>
      <w:r>
        <w:t xml:space="preserve">, our Part 1 rules state that </w:t>
      </w:r>
      <w:r>
        <w:rPr>
          <w:i/>
        </w:rPr>
        <w:t>d</w:t>
      </w:r>
      <w:r w:rsidRPr="00751DD6">
        <w:rPr>
          <w:i/>
        </w:rPr>
        <w:t>e jure</w:t>
      </w:r>
      <w:r w:rsidRPr="00751DD6">
        <w:t xml:space="preserve"> control includes holding 50</w:t>
      </w:r>
      <w:r>
        <w:t>%</w:t>
      </w:r>
      <w:r w:rsidRPr="00751DD6">
        <w:t xml:space="preserve"> or more of the voting stock of a corporation or holding a general partnership interest in a partnership.  Ownership interests that are held indirectly by any party through one or more intervening corporations may be determined by successive multiplication of the ownership percentages for each link in the vertical ownership chain and application of the relevant attribution benchmark to the resulting product, except that if the ownership percentage for an interest in any link in the chain meets or exceeds 50</w:t>
      </w:r>
      <w:r>
        <w:t>%</w:t>
      </w:r>
      <w:r w:rsidRPr="00751DD6">
        <w:t xml:space="preserve"> or represents actual control, it may be treated as if it were a 100</w:t>
      </w:r>
      <w:r>
        <w:t>%</w:t>
      </w:r>
      <w:r w:rsidRPr="00751DD6">
        <w:t xml:space="preserve"> interest.  </w:t>
      </w:r>
      <w:r w:rsidRPr="00751DD6">
        <w:rPr>
          <w:i/>
        </w:rPr>
        <w:t>De facto</w:t>
      </w:r>
      <w:r w:rsidRPr="00751DD6">
        <w:t xml:space="preserve"> control is determined on a case-by-case basis.  Examples of </w:t>
      </w:r>
      <w:r w:rsidRPr="00751DD6">
        <w:rPr>
          <w:i/>
        </w:rPr>
        <w:t>de facto</w:t>
      </w:r>
      <w:r w:rsidRPr="00751DD6">
        <w:t xml:space="preserve"> control include constituting or appointing 50</w:t>
      </w:r>
      <w:r>
        <w:t>%</w:t>
      </w:r>
      <w:r w:rsidRPr="00751DD6">
        <w:t xml:space="preserve"> or more of the board of directors or management committee; having authority to appoint, promote, demote, and fire senior executives that control the day-to-day activities of the entity; or playing an integral role in management decisions.  </w:t>
      </w:r>
      <w:r w:rsidRPr="00445B1F">
        <w:rPr>
          <w:i/>
        </w:rPr>
        <w:t>833 Auction Comment Public Notice</w:t>
      </w:r>
      <w:r>
        <w:t xml:space="preserve"> at n.20, citing</w:t>
      </w:r>
      <w:r w:rsidRPr="00751DD6">
        <w:t xml:space="preserve"> 47 CFR § 1.2105(a)(4)(i).</w:t>
      </w:r>
    </w:p>
  </w:footnote>
  <w:footnote w:id="37">
    <w:p w:rsidR="00CB75C2" w:rsidRPr="00751DD6" w:rsidRDefault="00AA13C4" w:rsidP="00B42A2B">
      <w:pPr>
        <w:pStyle w:val="FootnoteText"/>
      </w:pPr>
      <w:r w:rsidRPr="00751DD6">
        <w:rPr>
          <w:rStyle w:val="FootnoteReference"/>
          <w:sz w:val="20"/>
        </w:rPr>
        <w:footnoteRef/>
      </w:r>
      <w:r w:rsidRPr="00751DD6">
        <w:t xml:space="preserve"> </w:t>
      </w:r>
      <w:r w:rsidRPr="00751DD6">
        <w:rPr>
          <w:i/>
        </w:rPr>
        <w:t>Cf</w:t>
      </w:r>
      <w:r w:rsidRPr="00751DD6">
        <w:t xml:space="preserve">. 47 CFR § 1.2110(c)(5)(iii) (identity of interest between and among persons in defining affiliates of an applicant).  In this context “immediate family member” would mean father, mother, husband, wife, son, daughter, brother, sister, father- or mother-in-law, son- or daughter-in-law, brother- or sister-in-law, step-father or -mother, step-brother or -sister, step-son or -daughter, half brother or sister.  </w:t>
      </w:r>
      <w:r w:rsidRPr="00751DD6">
        <w:rPr>
          <w:i/>
        </w:rPr>
        <w:t>Id</w:t>
      </w:r>
      <w:r w:rsidRPr="00751DD6">
        <w:t>.</w:t>
      </w:r>
    </w:p>
  </w:footnote>
  <w:footnote w:id="38">
    <w:p w:rsidR="00CB75C2" w:rsidRDefault="00AA13C4" w:rsidP="00B42A2B">
      <w:pPr>
        <w:pStyle w:val="FootnoteText"/>
      </w:pPr>
      <w:r>
        <w:rPr>
          <w:rStyle w:val="FootnoteReference"/>
        </w:rPr>
        <w:footnoteRef/>
      </w:r>
      <w:r>
        <w:t xml:space="preserve"> </w:t>
      </w:r>
      <w:r w:rsidRPr="00E117C2">
        <w:rPr>
          <w:i/>
        </w:rPr>
        <w:t>833 Auction Comment Public Notice</w:t>
      </w:r>
      <w:r>
        <w:t xml:space="preserve"> at para. 15.  </w:t>
      </w:r>
    </w:p>
  </w:footnote>
  <w:footnote w:id="39">
    <w:p w:rsidR="00CB75C2" w:rsidRDefault="00AA13C4" w:rsidP="00B42A2B">
      <w:pPr>
        <w:pStyle w:val="FootnoteText"/>
      </w:pPr>
      <w:r>
        <w:rPr>
          <w:rStyle w:val="FootnoteReference"/>
        </w:rPr>
        <w:footnoteRef/>
      </w:r>
      <w:r>
        <w:t xml:space="preserve"> 1-800 Contacts Comments at 2-5.</w:t>
      </w:r>
    </w:p>
  </w:footnote>
  <w:footnote w:id="40">
    <w:p w:rsidR="00CB75C2" w:rsidRDefault="00AA13C4" w:rsidP="00B42A2B">
      <w:pPr>
        <w:pStyle w:val="FootnoteText"/>
      </w:pPr>
      <w:r>
        <w:rPr>
          <w:rStyle w:val="FootnoteReference"/>
        </w:rPr>
        <w:footnoteRef/>
      </w:r>
      <w:r>
        <w:t xml:space="preserve"> </w:t>
      </w:r>
      <w:r>
        <w:rPr>
          <w:i/>
        </w:rPr>
        <w:t>Id</w:t>
      </w:r>
      <w:r>
        <w:t>.</w:t>
      </w:r>
      <w:r w:rsidRPr="00751DD6">
        <w:t xml:space="preserve"> </w:t>
      </w:r>
      <w:r>
        <w:t>at 3.</w:t>
      </w:r>
    </w:p>
  </w:footnote>
  <w:footnote w:id="41">
    <w:p w:rsidR="00CB75C2" w:rsidRDefault="00AA13C4" w:rsidP="00B42A2B">
      <w:pPr>
        <w:pStyle w:val="FootnoteText"/>
      </w:pPr>
      <w:r>
        <w:rPr>
          <w:rStyle w:val="FootnoteReference"/>
        </w:rPr>
        <w:footnoteRef/>
      </w:r>
      <w:r>
        <w:t xml:space="preserve"> </w:t>
      </w:r>
      <w:r>
        <w:rPr>
          <w:i/>
        </w:rPr>
        <w:t>Id</w:t>
      </w:r>
      <w:r>
        <w:t>.</w:t>
      </w:r>
      <w:r w:rsidRPr="00751DD6">
        <w:t xml:space="preserve"> </w:t>
      </w:r>
      <w:r>
        <w:t>at 5.</w:t>
      </w:r>
    </w:p>
  </w:footnote>
  <w:footnote w:id="42">
    <w:p w:rsidR="00CB75C2" w:rsidRDefault="00AA13C4" w:rsidP="00B42A2B">
      <w:pPr>
        <w:pStyle w:val="FootnoteText"/>
      </w:pPr>
      <w:r>
        <w:rPr>
          <w:rStyle w:val="FootnoteReference"/>
        </w:rPr>
        <w:footnoteRef/>
      </w:r>
      <w:r>
        <w:t xml:space="preserve"> </w:t>
      </w:r>
      <w:r w:rsidRPr="00751DD6">
        <w:rPr>
          <w:i/>
        </w:rPr>
        <w:t>Toll Free Assignment Modernization Order</w:t>
      </w:r>
      <w:r w:rsidRPr="00751DD6">
        <w:t>, 33 FCC Rcd at 929</w:t>
      </w:r>
      <w:r>
        <w:t>0</w:t>
      </w:r>
      <w:r w:rsidRPr="00751DD6">
        <w:t>, n.1</w:t>
      </w:r>
      <w:r>
        <w:t>10.</w:t>
      </w:r>
    </w:p>
  </w:footnote>
  <w:footnote w:id="43">
    <w:p w:rsidR="00CB75C2" w:rsidRPr="00751DD6" w:rsidRDefault="00AA13C4" w:rsidP="00B42A2B">
      <w:pPr>
        <w:pStyle w:val="FootnoteText"/>
      </w:pPr>
      <w:r w:rsidRPr="00751DD6">
        <w:rPr>
          <w:rStyle w:val="FootnoteReference"/>
          <w:sz w:val="20"/>
        </w:rPr>
        <w:footnoteRef/>
      </w:r>
      <w:r w:rsidRPr="00751DD6">
        <w:t xml:space="preserve"> </w:t>
      </w:r>
      <w:r w:rsidRPr="00C450FE">
        <w:rPr>
          <w:i/>
        </w:rPr>
        <w:t>833 Auction Comment Public Notice</w:t>
      </w:r>
      <w:r>
        <w:t xml:space="preserve"> at para. 16; </w:t>
      </w:r>
      <w:r w:rsidRPr="00751DD6">
        <w:rPr>
          <w:i/>
        </w:rPr>
        <w:t>Toll Free Assignment Modernization Order</w:t>
      </w:r>
      <w:r w:rsidRPr="00751DD6">
        <w:t>, 33 FCC Rcd at 9291, n.114.</w:t>
      </w:r>
    </w:p>
  </w:footnote>
  <w:footnote w:id="44">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9291, n.114.</w:t>
      </w:r>
    </w:p>
  </w:footnote>
  <w:footnote w:id="45">
    <w:p w:rsidR="00CB75C2" w:rsidRDefault="00AA13C4" w:rsidP="00B42A2B">
      <w:pPr>
        <w:pStyle w:val="FootnoteText"/>
      </w:pPr>
      <w:r>
        <w:rPr>
          <w:rStyle w:val="FootnoteReference"/>
        </w:rPr>
        <w:footnoteRef/>
      </w:r>
      <w:r>
        <w:t xml:space="preserve"> </w:t>
      </w:r>
      <w:r w:rsidRPr="00A41644">
        <w:rPr>
          <w:i/>
        </w:rPr>
        <w:t>833 Auction Comment Public Notice</w:t>
      </w:r>
      <w:r>
        <w:t xml:space="preserve"> at paras. 17-18.</w:t>
      </w:r>
    </w:p>
  </w:footnote>
  <w:footnote w:id="46">
    <w:p w:rsidR="00CB75C2" w:rsidRPr="00C61D39" w:rsidRDefault="00AA13C4" w:rsidP="00B42A2B">
      <w:pPr>
        <w:pStyle w:val="FootnoteText"/>
      </w:pPr>
      <w:r w:rsidRPr="00751DD6">
        <w:rPr>
          <w:rStyle w:val="FootnoteReference"/>
          <w:sz w:val="20"/>
        </w:rPr>
        <w:footnoteRef/>
      </w:r>
      <w:r w:rsidRPr="00751DD6">
        <w:t xml:space="preserve"> </w:t>
      </w:r>
      <w:r>
        <w:rPr>
          <w:i/>
        </w:rPr>
        <w:t>Cf</w:t>
      </w:r>
      <w:r>
        <w:t>.</w:t>
      </w:r>
      <w:r w:rsidRPr="00751DD6">
        <w:t xml:space="preserve"> 47 CFR §§ 1.2105(c)(5)(i), 1.21002(a).</w:t>
      </w:r>
      <w:r>
        <w:t xml:space="preserve">  </w:t>
      </w:r>
      <w:r w:rsidRPr="00C61D39">
        <w:t xml:space="preserve">As in our spectrum auctions, in the case of a consortium, each member of the consortium shall be considered to have a controlling interest in the consortium.  </w:t>
      </w:r>
      <w:r w:rsidRPr="00C61D39">
        <w:rPr>
          <w:i/>
        </w:rPr>
        <w:t>Cf</w:t>
      </w:r>
      <w:r w:rsidRPr="00C61D39">
        <w:t>. 47 CFR §</w:t>
      </w:r>
      <w:r>
        <w:t> </w:t>
      </w:r>
      <w:r w:rsidRPr="00C61D39">
        <w:t>1.2105(c)(5)(i).</w:t>
      </w:r>
    </w:p>
  </w:footnote>
  <w:footnote w:id="47">
    <w:p w:rsidR="00CB75C2" w:rsidRDefault="00AA13C4" w:rsidP="00B42A2B">
      <w:pPr>
        <w:pStyle w:val="FootnoteText"/>
      </w:pPr>
      <w:r>
        <w:rPr>
          <w:rStyle w:val="FootnoteReference"/>
        </w:rPr>
        <w:footnoteRef/>
      </w:r>
      <w:r>
        <w:t xml:space="preserve"> </w:t>
      </w:r>
      <w:r w:rsidRPr="00257636">
        <w:rPr>
          <w:i/>
        </w:rPr>
        <w:t>833 Auction Comment Public Notice</w:t>
      </w:r>
      <w:r>
        <w:t xml:space="preserve"> at para. 19.</w:t>
      </w:r>
    </w:p>
  </w:footnote>
  <w:footnote w:id="48">
    <w:p w:rsidR="00CB75C2" w:rsidRDefault="00AA13C4" w:rsidP="00B42A2B">
      <w:pPr>
        <w:pStyle w:val="FootnoteText"/>
      </w:pPr>
      <w:r>
        <w:rPr>
          <w:rStyle w:val="FootnoteReference"/>
        </w:rPr>
        <w:footnoteRef/>
      </w:r>
      <w:r>
        <w:t xml:space="preserve"> 1-800 Contacts Comments at 7.</w:t>
      </w:r>
    </w:p>
  </w:footnote>
  <w:footnote w:id="49">
    <w:p w:rsidR="00CB75C2" w:rsidRDefault="00AA13C4" w:rsidP="00B42A2B">
      <w:pPr>
        <w:pStyle w:val="FootnoteText"/>
      </w:pPr>
      <w:r>
        <w:rPr>
          <w:rStyle w:val="FootnoteReference"/>
        </w:rPr>
        <w:footnoteRef/>
      </w:r>
      <w:r>
        <w:t xml:space="preserve"> Typically, the public notice announcing the winning bidders will be released within a few days of the close of the bidding.</w:t>
      </w:r>
    </w:p>
  </w:footnote>
  <w:footnote w:id="50">
    <w:p w:rsidR="00CB75C2" w:rsidRDefault="00AA13C4" w:rsidP="00B42A2B">
      <w:pPr>
        <w:pStyle w:val="FootnoteText"/>
      </w:pPr>
      <w:r>
        <w:rPr>
          <w:rStyle w:val="FootnoteReference"/>
        </w:rPr>
        <w:footnoteRef/>
      </w:r>
      <w:r>
        <w:t xml:space="preserve"> </w:t>
      </w:r>
      <w:r w:rsidRPr="001948A7">
        <w:rPr>
          <w:i/>
        </w:rPr>
        <w:t>See 833 Auction Comment Public Notice</w:t>
      </w:r>
      <w:r>
        <w:t xml:space="preserve"> at para. 18.  </w:t>
      </w:r>
    </w:p>
  </w:footnote>
  <w:footnote w:id="51">
    <w:p w:rsidR="00CB75C2" w:rsidRDefault="00AA13C4" w:rsidP="00B42A2B">
      <w:pPr>
        <w:pStyle w:val="FootnoteText"/>
      </w:pPr>
      <w:r>
        <w:rPr>
          <w:rStyle w:val="FootnoteReference"/>
        </w:rPr>
        <w:footnoteRef/>
      </w:r>
      <w:r>
        <w:t xml:space="preserve"> </w:t>
      </w:r>
      <w:r w:rsidRPr="007A0D78">
        <w:rPr>
          <w:i/>
        </w:rPr>
        <w:t>See</w:t>
      </w:r>
      <w:r>
        <w:t xml:space="preserve"> 47 CFR </w:t>
      </w:r>
      <w:r w:rsidRPr="00751DD6">
        <w:t>§ 1.2105(c)(</w:t>
      </w:r>
      <w:r>
        <w:t>1).</w:t>
      </w:r>
    </w:p>
  </w:footnote>
  <w:footnote w:id="52">
    <w:p w:rsidR="00CB75C2" w:rsidRDefault="00AA13C4" w:rsidP="00B42A2B">
      <w:pPr>
        <w:pStyle w:val="FootnoteText"/>
      </w:pPr>
      <w:r>
        <w:rPr>
          <w:rStyle w:val="FootnoteReference"/>
        </w:rPr>
        <w:footnoteRef/>
      </w:r>
      <w:r>
        <w:t xml:space="preserve"> </w:t>
      </w:r>
      <w:r w:rsidRPr="007A0D78">
        <w:rPr>
          <w:i/>
        </w:rPr>
        <w:t>See</w:t>
      </w:r>
      <w:r>
        <w:t xml:space="preserve"> </w:t>
      </w:r>
      <w:r>
        <w:rPr>
          <w:i/>
        </w:rPr>
        <w:t>id</w:t>
      </w:r>
      <w:r>
        <w:t>.</w:t>
      </w:r>
      <w:r w:rsidRPr="00751DD6">
        <w:t xml:space="preserve"> § 1.210</w:t>
      </w:r>
      <w:r>
        <w:t>02(b).</w:t>
      </w:r>
    </w:p>
  </w:footnote>
  <w:footnote w:id="53">
    <w:p w:rsidR="00CB75C2" w:rsidRDefault="00AA13C4" w:rsidP="00B42A2B">
      <w:pPr>
        <w:pStyle w:val="FootnoteText"/>
      </w:pPr>
      <w:r>
        <w:rPr>
          <w:rStyle w:val="FootnoteReference"/>
        </w:rPr>
        <w:footnoteRef/>
      </w:r>
      <w:r>
        <w:t xml:space="preserve"> </w:t>
      </w:r>
      <w:r w:rsidRPr="003229DC">
        <w:rPr>
          <w:i/>
        </w:rPr>
        <w:t>See infra</w:t>
      </w:r>
      <w:r>
        <w:t xml:space="preserve"> Section VI.B.</w:t>
      </w:r>
    </w:p>
  </w:footnote>
  <w:footnote w:id="54">
    <w:p w:rsidR="00CB75C2" w:rsidRPr="000F070A" w:rsidRDefault="00AA13C4" w:rsidP="00B42A2B">
      <w:pPr>
        <w:pStyle w:val="FootnoteText"/>
      </w:pPr>
      <w:bookmarkStart w:id="186" w:name="_Hlk12282369"/>
      <w:r w:rsidRPr="000F070A">
        <w:rPr>
          <w:rStyle w:val="FootnoteReference"/>
        </w:rPr>
        <w:footnoteRef/>
      </w:r>
      <w:r w:rsidRPr="000F070A">
        <w:t xml:space="preserve"> </w:t>
      </w:r>
      <w:r>
        <w:t>O</w:t>
      </w:r>
      <w:r w:rsidRPr="000F070A">
        <w:t xml:space="preserve">ur competitive bidding rules for spectrum auctions prohibit certain communications until the deadline for down payments, </w:t>
      </w:r>
      <w:r w:rsidRPr="000F070A">
        <w:rPr>
          <w:i/>
        </w:rPr>
        <w:t>see</w:t>
      </w:r>
      <w:r w:rsidRPr="000F070A">
        <w:t xml:space="preserve"> 47 CFR § 1.2105(c)(1), because it is until that point that winning bidders could engage in communications that lead to anti-competitive behavior such as strategic defaults.  </w:t>
      </w:r>
      <w:r w:rsidRPr="000F070A">
        <w:rPr>
          <w:i/>
        </w:rPr>
        <w:t>See</w:t>
      </w:r>
      <w:r>
        <w:t>,</w:t>
      </w:r>
      <w:r w:rsidRPr="000F070A">
        <w:t xml:space="preserve"> </w:t>
      </w:r>
      <w:r w:rsidRPr="000F070A">
        <w:rPr>
          <w:i/>
        </w:rPr>
        <w:t>e</w:t>
      </w:r>
      <w:r w:rsidRPr="000F070A">
        <w:t>.</w:t>
      </w:r>
      <w:r w:rsidRPr="000F070A">
        <w:rPr>
          <w:i/>
        </w:rPr>
        <w:t>g</w:t>
      </w:r>
      <w:r w:rsidRPr="000F070A">
        <w:t xml:space="preserve">., </w:t>
      </w:r>
      <w:r w:rsidRPr="000F070A">
        <w:rPr>
          <w:i/>
        </w:rPr>
        <w:t>Commercial Realty St. Pete, Inc</w:t>
      </w:r>
      <w:r w:rsidRPr="000F070A">
        <w:t xml:space="preserve">., Memorandum Opinion and Order, 11 FCC Rcd 15374 (1996).  In the 833 Auction, </w:t>
      </w:r>
      <w:r>
        <w:t>however,</w:t>
      </w:r>
      <w:r w:rsidRPr="000F070A">
        <w:t xml:space="preserve"> anti-competitive communications leading to strategic defaults could occur until the late payment deadline for final payments.  </w:t>
      </w:r>
      <w:r>
        <w:t>Thus, we conclude</w:t>
      </w:r>
      <w:r w:rsidRPr="000F070A">
        <w:rPr>
          <w:snapToGrid w:val="0"/>
        </w:rPr>
        <w:t xml:space="preserve"> that preventing prohibited communications until the</w:t>
      </w:r>
      <w:r>
        <w:rPr>
          <w:snapToGrid w:val="0"/>
        </w:rPr>
        <w:t xml:space="preserve"> late payment</w:t>
      </w:r>
      <w:r w:rsidRPr="000F070A">
        <w:rPr>
          <w:snapToGrid w:val="0"/>
        </w:rPr>
        <w:t xml:space="preserve"> deadline </w:t>
      </w:r>
      <w:r>
        <w:rPr>
          <w:snapToGrid w:val="0"/>
        </w:rPr>
        <w:t>will</w:t>
      </w:r>
      <w:r w:rsidRPr="000F070A">
        <w:rPr>
          <w:snapToGrid w:val="0"/>
        </w:rPr>
        <w:t xml:space="preserve"> deter anti-competitive behavior by applicants</w:t>
      </w:r>
      <w:r>
        <w:rPr>
          <w:snapToGrid w:val="0"/>
        </w:rPr>
        <w:t xml:space="preserve"> in the 833 Auction</w:t>
      </w:r>
      <w:r w:rsidRPr="000F070A">
        <w:rPr>
          <w:snapToGrid w:val="0"/>
        </w:rPr>
        <w:t xml:space="preserve">.  </w:t>
      </w:r>
      <w:r w:rsidRPr="000F070A">
        <w:rPr>
          <w:i/>
          <w:iCs/>
        </w:rPr>
        <w:t>See Implementation of Section 309(j) of the Communications Act – Competitive Bidding</w:t>
      </w:r>
      <w:r w:rsidRPr="000F070A">
        <w:t>,</w:t>
      </w:r>
      <w:r w:rsidRPr="000F070A">
        <w:rPr>
          <w:i/>
          <w:iCs/>
        </w:rPr>
        <w:t xml:space="preserve"> </w:t>
      </w:r>
      <w:r w:rsidRPr="000F070A">
        <w:t>Second Report and Order, 9 FCC Rcd 2348, 2387-88,</w:t>
      </w:r>
      <w:r w:rsidRPr="000F070A">
        <w:rPr>
          <w:i/>
          <w:iCs/>
        </w:rPr>
        <w:t xml:space="preserve"> </w:t>
      </w:r>
      <w:r w:rsidRPr="000F070A">
        <w:t>para. 225 (1994) (</w:t>
      </w:r>
      <w:r w:rsidRPr="000F070A">
        <w:rPr>
          <w:i/>
          <w:iCs/>
        </w:rPr>
        <w:t>Competitive Bidding</w:t>
      </w:r>
      <w:r w:rsidRPr="000F070A">
        <w:t xml:space="preserve"> </w:t>
      </w:r>
      <w:r w:rsidRPr="000F070A">
        <w:rPr>
          <w:i/>
          <w:iCs/>
        </w:rPr>
        <w:t>Second Report and Order</w:t>
      </w:r>
      <w:r w:rsidRPr="000F070A">
        <w:t>)</w:t>
      </w:r>
      <w:r>
        <w:t>.</w:t>
      </w:r>
    </w:p>
    <w:bookmarkEnd w:id="186"/>
  </w:footnote>
  <w:footnote w:id="55">
    <w:p w:rsidR="00CB75C2" w:rsidRDefault="00AA13C4" w:rsidP="00B42A2B">
      <w:pPr>
        <w:pStyle w:val="FootnoteText"/>
      </w:pPr>
      <w:r>
        <w:rPr>
          <w:rStyle w:val="FootnoteReference"/>
        </w:rPr>
        <w:footnoteRef/>
      </w:r>
      <w:r>
        <w:t xml:space="preserve"> </w:t>
      </w:r>
      <w:r w:rsidRPr="001948A7">
        <w:rPr>
          <w:i/>
        </w:rPr>
        <w:t>833 Auction Comment Public Notice</w:t>
      </w:r>
      <w:r>
        <w:t xml:space="preserve"> at para. 18.</w:t>
      </w:r>
    </w:p>
  </w:footnote>
  <w:footnote w:id="56">
    <w:p w:rsidR="00CB75C2" w:rsidRPr="00D764A7" w:rsidRDefault="00AA13C4" w:rsidP="00B42A2B">
      <w:pPr>
        <w:pStyle w:val="FootnoteText"/>
      </w:pPr>
      <w:r w:rsidRPr="00D764A7">
        <w:rPr>
          <w:rStyle w:val="FootnoteReference"/>
        </w:rPr>
        <w:footnoteRef/>
      </w:r>
      <w:r w:rsidRPr="00D764A7">
        <w:t xml:space="preserve"> </w:t>
      </w:r>
      <w:r w:rsidRPr="00D764A7">
        <w:rPr>
          <w:i/>
        </w:rPr>
        <w:t>See generally</w:t>
      </w:r>
      <w:r w:rsidRPr="00D764A7">
        <w:t xml:space="preserve"> </w:t>
      </w:r>
      <w:r w:rsidRPr="00D764A7">
        <w:rPr>
          <w:i/>
        </w:rPr>
        <w:t>2015 Part 1 Report and Order</w:t>
      </w:r>
      <w:r w:rsidRPr="00D764A7">
        <w:t>,</w:t>
      </w:r>
      <w:r w:rsidRPr="00D764A7">
        <w:rPr>
          <w:i/>
        </w:rPr>
        <w:t xml:space="preserve"> </w:t>
      </w:r>
      <w:r w:rsidRPr="00D764A7">
        <w:t xml:space="preserve">30 FCC Rcd at 7577, para. 199; </w:t>
      </w:r>
      <w:r w:rsidRPr="00D764A7">
        <w:rPr>
          <w:i/>
        </w:rPr>
        <w:t>Cascade Access, LLC</w:t>
      </w:r>
      <w:r w:rsidRPr="00925FC2">
        <w:t>,</w:t>
      </w:r>
      <w:r w:rsidRPr="00D764A7">
        <w:t xml:space="preserve"> Forfeiture Order, 28 FCC Rcd 141, 144, para. 7 (EB 2013) (rejecting argument that the communication was not prohibited because it did not reveal the “substance” of Cascade’s bids or bidding strategies).</w:t>
      </w:r>
    </w:p>
  </w:footnote>
  <w:footnote w:id="57">
    <w:p w:rsidR="00CB75C2" w:rsidRPr="00D764A7" w:rsidRDefault="00AA13C4" w:rsidP="00B42A2B">
      <w:pPr>
        <w:pStyle w:val="FootnoteText"/>
      </w:pPr>
      <w:r w:rsidRPr="00D764A7">
        <w:rPr>
          <w:rStyle w:val="FootnoteReference"/>
        </w:rPr>
        <w:footnoteRef/>
      </w:r>
      <w:r w:rsidRPr="00D764A7">
        <w:t xml:space="preserve"> We remind applicants that they must determine whether </w:t>
      </w:r>
      <w:r>
        <w:t xml:space="preserve">their communications with other </w:t>
      </w:r>
      <w:r w:rsidRPr="00D764A7">
        <w:t xml:space="preserve">parties are </w:t>
      </w:r>
      <w:r>
        <w:t xml:space="preserve">permissible </w:t>
      </w:r>
      <w:r w:rsidRPr="00D764A7">
        <w:t xml:space="preserve">once the prohibition begins at the deadline for submitting </w:t>
      </w:r>
      <w:r>
        <w:t xml:space="preserve">auction </w:t>
      </w:r>
      <w:r w:rsidRPr="00D764A7">
        <w:t>applications, even before the public notice identifying applicants is released.</w:t>
      </w:r>
    </w:p>
  </w:footnote>
  <w:footnote w:id="58">
    <w:p w:rsidR="00CB75C2" w:rsidRPr="00D764A7" w:rsidRDefault="00AA13C4" w:rsidP="00B42A2B">
      <w:pPr>
        <w:pStyle w:val="FootnoteText"/>
      </w:pPr>
      <w:r w:rsidRPr="00D764A7">
        <w:rPr>
          <w:rStyle w:val="FootnoteReference"/>
        </w:rPr>
        <w:footnoteRef/>
      </w:r>
      <w:r w:rsidRPr="00D764A7">
        <w:rPr>
          <w:i/>
        </w:rPr>
        <w:t xml:space="preserve"> See</w:t>
      </w:r>
      <w:r w:rsidRPr="00D764A7">
        <w:t>,</w:t>
      </w:r>
      <w:r w:rsidRPr="00D764A7">
        <w:rPr>
          <w:i/>
        </w:rPr>
        <w:t xml:space="preserve"> e.g</w:t>
      </w:r>
      <w:r w:rsidRPr="00D764A7">
        <w:t>.,</w:t>
      </w:r>
      <w:r w:rsidRPr="00D764A7">
        <w:rPr>
          <w:i/>
        </w:rPr>
        <w:t xml:space="preserve"> </w:t>
      </w:r>
      <w:r w:rsidRPr="00D764A7">
        <w:t>Letter from Barbara A. Kreisman, Chief, Video Division, FCC Media Bureau, and Margaret W. Wiener, Chief, Auctions and Spectrum Access Division, FCC Wireless Telecommunications Bureau, to Colby M. May, TCCSA, Inc., d/b/a Trinity Broadcasting Network, 20 FCC Rcd 14648</w:t>
      </w:r>
      <w:r>
        <w:t>, 14648-49</w:t>
      </w:r>
      <w:r w:rsidRPr="00D764A7">
        <w:t xml:space="preserve"> (</w:t>
      </w:r>
      <w:r>
        <w:t xml:space="preserve">WTB/MB </w:t>
      </w:r>
      <w:r w:rsidRPr="00D764A7">
        <w:t>2005)</w:t>
      </w:r>
      <w:r>
        <w:t xml:space="preserve"> (</w:t>
      </w:r>
      <w:r w:rsidRPr="003D6D5C">
        <w:rPr>
          <w:i/>
        </w:rPr>
        <w:t>Trinity Broadcasting Order</w:t>
      </w:r>
      <w:r>
        <w:t>)</w:t>
      </w:r>
      <w:r w:rsidRPr="00D764A7">
        <w:t xml:space="preserve"> (finding apparent violation of</w:t>
      </w:r>
      <w:r>
        <w:t xml:space="preserve"> the</w:t>
      </w:r>
      <w:r w:rsidRPr="00D764A7">
        <w:t xml:space="preserve"> communication</w:t>
      </w:r>
      <w:r>
        <w:t>s</w:t>
      </w:r>
      <w:r w:rsidRPr="00D764A7">
        <w:t xml:space="preserve"> prohibition of </w:t>
      </w:r>
      <w:r>
        <w:t>s</w:t>
      </w:r>
      <w:r w:rsidRPr="00D764A7">
        <w:t>ection 1.2105(c) where applicants with mutually exclusive applications reported sharing same individual as an officer and director and reported having no bidding agreement</w:t>
      </w:r>
      <w:r>
        <w:t>, which under the rule then in effect would have made an exception to the prohibition applicable</w:t>
      </w:r>
      <w:r w:rsidRPr="00D764A7">
        <w:t>).</w:t>
      </w:r>
    </w:p>
  </w:footnote>
  <w:footnote w:id="59">
    <w:p w:rsidR="00CB75C2" w:rsidRDefault="00AA13C4" w:rsidP="00B42A2B">
      <w:pPr>
        <w:pStyle w:val="FootnoteText"/>
      </w:pPr>
      <w:r>
        <w:rPr>
          <w:rStyle w:val="FootnoteReference"/>
        </w:rPr>
        <w:footnoteRef/>
      </w:r>
      <w:r>
        <w:t xml:space="preserve"> </w:t>
      </w:r>
      <w:r w:rsidRPr="001948A7">
        <w:rPr>
          <w:i/>
        </w:rPr>
        <w:t>833 Auction Comment Public Notice</w:t>
      </w:r>
      <w:r>
        <w:t xml:space="preserve"> at para. 18.</w:t>
      </w:r>
    </w:p>
  </w:footnote>
  <w:footnote w:id="60">
    <w:p w:rsidR="00CB75C2" w:rsidRPr="00D764A7" w:rsidRDefault="00AA13C4" w:rsidP="00B42A2B">
      <w:pPr>
        <w:pStyle w:val="FootnoteText"/>
      </w:pPr>
      <w:r w:rsidRPr="00D764A7">
        <w:rPr>
          <w:rStyle w:val="FootnoteReference"/>
        </w:rPr>
        <w:footnoteRef/>
      </w:r>
      <w:r w:rsidRPr="00D764A7">
        <w:t xml:space="preserve"> </w:t>
      </w:r>
      <w:r w:rsidRPr="00D764A7">
        <w:rPr>
          <w:i/>
        </w:rPr>
        <w:t>Implementation of Section 309(j) of the Communications Act – Competitive Bidding</w:t>
      </w:r>
      <w:r w:rsidRPr="00D764A7">
        <w:t>, Memorandum Opinion and Order, 9 FCC Rcd 7684, 7689, para. 12 (1994) (</w:t>
      </w:r>
      <w:r w:rsidRPr="00D764A7">
        <w:rPr>
          <w:i/>
        </w:rPr>
        <w:t>Competitive Bidding Memorandum Opinion and Order</w:t>
      </w:r>
      <w:r w:rsidRPr="00D764A7">
        <w:t>).</w:t>
      </w:r>
    </w:p>
  </w:footnote>
  <w:footnote w:id="61">
    <w:p w:rsidR="00CB75C2" w:rsidRPr="00D764A7" w:rsidRDefault="00AA13C4" w:rsidP="00B42A2B">
      <w:pPr>
        <w:pStyle w:val="FootnoteText"/>
      </w:pPr>
      <w:r w:rsidRPr="00D764A7">
        <w:rPr>
          <w:rStyle w:val="FootnoteReference"/>
        </w:rPr>
        <w:footnoteRef/>
      </w:r>
      <w:r w:rsidRPr="00D764A7">
        <w:t xml:space="preserve"> </w:t>
      </w:r>
      <w:r w:rsidRPr="00D764A7">
        <w:rPr>
          <w:i/>
        </w:rPr>
        <w:t>Mercury PCS II, LLC</w:t>
      </w:r>
      <w:r w:rsidRPr="00D764A7">
        <w:t xml:space="preserve">, Notice of Apparent Liability for Forfeiture, 12 FCC Rcd 17970, 17976, para. 17 (1997).  </w:t>
      </w:r>
    </w:p>
  </w:footnote>
  <w:footnote w:id="62">
    <w:p w:rsidR="00CB75C2" w:rsidRPr="00D764A7" w:rsidRDefault="00AA13C4" w:rsidP="00B42A2B">
      <w:pPr>
        <w:pStyle w:val="FootnoteText"/>
      </w:pPr>
      <w:r w:rsidRPr="00D764A7">
        <w:rPr>
          <w:rStyle w:val="FootnoteReference"/>
        </w:rPr>
        <w:footnoteRef/>
      </w:r>
      <w:r w:rsidRPr="00D764A7">
        <w:t xml:space="preserve"> </w:t>
      </w:r>
      <w:r w:rsidRPr="00D764A7">
        <w:rPr>
          <w:i/>
        </w:rPr>
        <w:t>Mercury PCS II, LLC</w:t>
      </w:r>
      <w:r w:rsidRPr="00D764A7">
        <w:t xml:space="preserve">, Memorandum Opinion and Order, 13 FCC Rcd 23755, 23760, para. 11 (1998).  </w:t>
      </w:r>
    </w:p>
  </w:footnote>
  <w:footnote w:id="63">
    <w:p w:rsidR="00CB75C2" w:rsidRPr="003229DC" w:rsidRDefault="00AA13C4" w:rsidP="00B42A2B">
      <w:pPr>
        <w:pStyle w:val="FootnoteText"/>
      </w:pPr>
      <w:r w:rsidRPr="003229DC">
        <w:rPr>
          <w:rStyle w:val="FootnoteReference"/>
          <w:sz w:val="20"/>
        </w:rPr>
        <w:footnoteRef/>
      </w:r>
      <w:r w:rsidRPr="003229DC">
        <w:t xml:space="preserve"> </w:t>
      </w:r>
      <w:r w:rsidRPr="003229DC">
        <w:rPr>
          <w:i/>
        </w:rPr>
        <w:t xml:space="preserve">See, e.g., Guidance Regarding the Prohibition of Certain Communications </w:t>
      </w:r>
      <w:r>
        <w:rPr>
          <w:i/>
        </w:rPr>
        <w:t>During the Incentive Auction, Auction </w:t>
      </w:r>
      <w:r w:rsidRPr="003229DC">
        <w:rPr>
          <w:i/>
        </w:rPr>
        <w:t>1000</w:t>
      </w:r>
      <w:r>
        <w:t xml:space="preserve">, </w:t>
      </w:r>
      <w:r w:rsidRPr="003229DC">
        <w:t xml:space="preserve">Public Notice, 30 FCC Rcd </w:t>
      </w:r>
      <w:r>
        <w:t>10794,</w:t>
      </w:r>
      <w:r w:rsidRPr="003229DC">
        <w:t xml:space="preserve"> 10798, para. 13</w:t>
      </w:r>
      <w:r>
        <w:t xml:space="preserve"> (WTB 2015)</w:t>
      </w:r>
      <w:r w:rsidRPr="003229DC">
        <w:t xml:space="preserve"> (</w:t>
      </w:r>
      <w:r w:rsidRPr="003229DC">
        <w:rPr>
          <w:i/>
        </w:rPr>
        <w:t>Prohibited Communications Guidance Public Notice</w:t>
      </w:r>
      <w:r>
        <w:t>)</w:t>
      </w:r>
      <w:r w:rsidRPr="003229DC">
        <w:t xml:space="preserve"> (describing the use of non-disclosure agreements and, for third parties that may be advising multiple applicants, firewalls).</w:t>
      </w:r>
    </w:p>
  </w:footnote>
  <w:footnote w:id="64">
    <w:p w:rsidR="00CB75C2" w:rsidRPr="00D764A7" w:rsidRDefault="00AA13C4" w:rsidP="00B42A2B">
      <w:pPr>
        <w:pStyle w:val="FootnoteText"/>
      </w:pPr>
      <w:r w:rsidRPr="00D764A7">
        <w:rPr>
          <w:rStyle w:val="FootnoteReference"/>
        </w:rPr>
        <w:footnoteRef/>
      </w:r>
      <w:r w:rsidRPr="00D764A7">
        <w:t xml:space="preserve"> </w:t>
      </w:r>
      <w:r w:rsidRPr="00D764A7">
        <w:rPr>
          <w:i/>
        </w:rPr>
        <w:t>Id.</w:t>
      </w:r>
      <w:r w:rsidRPr="00D764A7">
        <w:t xml:space="preserve"> </w:t>
      </w:r>
    </w:p>
  </w:footnote>
  <w:footnote w:id="65">
    <w:p w:rsidR="00CB75C2" w:rsidRPr="00D764A7" w:rsidRDefault="00AA13C4" w:rsidP="00B42A2B">
      <w:pPr>
        <w:pStyle w:val="FootnoteText"/>
      </w:pPr>
      <w:r w:rsidRPr="00D764A7">
        <w:rPr>
          <w:rStyle w:val="FootnoteReference"/>
        </w:rPr>
        <w:footnoteRef/>
      </w:r>
      <w:r w:rsidRPr="00D764A7">
        <w:t xml:space="preserve"> </w:t>
      </w:r>
      <w:r>
        <w:rPr>
          <w:i/>
        </w:rPr>
        <w:t>I</w:t>
      </w:r>
      <w:r w:rsidRPr="00D764A7">
        <w:rPr>
          <w:i/>
        </w:rPr>
        <w:t>d</w:t>
      </w:r>
      <w:r w:rsidRPr="00966908">
        <w:t>.;</w:t>
      </w:r>
      <w:r w:rsidRPr="00D764A7">
        <w:t xml:space="preserve"> </w:t>
      </w:r>
      <w:r w:rsidRPr="007C010B">
        <w:rPr>
          <w:i/>
        </w:rPr>
        <w:t>see also</w:t>
      </w:r>
      <w:r>
        <w:t xml:space="preserve"> </w:t>
      </w:r>
      <w:r w:rsidRPr="00D764A7">
        <w:rPr>
          <w:i/>
        </w:rPr>
        <w:t>Application of Nevada Wireless</w:t>
      </w:r>
      <w:r>
        <w:rPr>
          <w:i/>
        </w:rPr>
        <w:t xml:space="preserve"> for a License to Provide 800 MHz Specialized Mobile Radio Service in the Farmington, NM-CO Economic Area (EA 155) Frequency Band A</w:t>
      </w:r>
      <w:r w:rsidRPr="00D764A7">
        <w:t>, Memorandum Opinion and Order,</w:t>
      </w:r>
      <w:r w:rsidRPr="00D764A7">
        <w:rPr>
          <w:i/>
        </w:rPr>
        <w:t xml:space="preserve"> </w:t>
      </w:r>
      <w:r w:rsidRPr="00D764A7">
        <w:t>13 FCC Rcd 11973, 11978, para</w:t>
      </w:r>
      <w:r>
        <w:t>s</w:t>
      </w:r>
      <w:r w:rsidRPr="00D764A7">
        <w:t xml:space="preserve">. </w:t>
      </w:r>
      <w:r>
        <w:t>11-</w:t>
      </w:r>
      <w:r w:rsidRPr="00D764A7">
        <w:t>12 (1998) (</w:t>
      </w:r>
      <w:r w:rsidRPr="00D764A7">
        <w:rPr>
          <w:i/>
        </w:rPr>
        <w:t>Nevada Wireless Order</w:t>
      </w:r>
      <w:r w:rsidRPr="00D764A7">
        <w:t xml:space="preserve">) (strongly encouraging applicants to implement </w:t>
      </w:r>
      <w:r>
        <w:t>precautionary</w:t>
      </w:r>
      <w:r w:rsidRPr="00D764A7">
        <w:t xml:space="preserve"> procedures necessary </w:t>
      </w:r>
      <w:r>
        <w:t xml:space="preserve">to prevent communications between authorized bidders, </w:t>
      </w:r>
      <w:r w:rsidRPr="00D764A7">
        <w:t xml:space="preserve">and to </w:t>
      </w:r>
      <w:r>
        <w:t>certify</w:t>
      </w:r>
      <w:r w:rsidRPr="00D764A7">
        <w:t xml:space="preserve"> in their auction applications regarding the </w:t>
      </w:r>
      <w:r>
        <w:t xml:space="preserve">implementation of such </w:t>
      </w:r>
      <w:r w:rsidRPr="00D764A7">
        <w:t xml:space="preserve">procedures).  </w:t>
      </w:r>
    </w:p>
  </w:footnote>
  <w:footnote w:id="66">
    <w:p w:rsidR="00CB75C2" w:rsidRPr="00D764A7" w:rsidRDefault="00AA13C4" w:rsidP="00B42A2B">
      <w:pPr>
        <w:pStyle w:val="FootnoteText"/>
      </w:pPr>
      <w:r w:rsidRPr="00D764A7">
        <w:rPr>
          <w:rStyle w:val="FootnoteReference"/>
        </w:rPr>
        <w:footnoteRef/>
      </w:r>
      <w:r w:rsidRPr="00D764A7">
        <w:t xml:space="preserve"> </w:t>
      </w:r>
      <w:r w:rsidRPr="00D764A7">
        <w:rPr>
          <w:i/>
        </w:rPr>
        <w:t xml:space="preserve">See Prohibited Communications </w:t>
      </w:r>
      <w:r>
        <w:rPr>
          <w:i/>
        </w:rPr>
        <w:t xml:space="preserve">Guidance </w:t>
      </w:r>
      <w:r w:rsidRPr="00D764A7">
        <w:rPr>
          <w:i/>
        </w:rPr>
        <w:t>Public Notice</w:t>
      </w:r>
      <w:r w:rsidRPr="00D764A7">
        <w:t>, 30 FCC Rcd at 10799,</w:t>
      </w:r>
      <w:r w:rsidRPr="00D764A7">
        <w:rPr>
          <w:i/>
        </w:rPr>
        <w:t xml:space="preserve"> </w:t>
      </w:r>
      <w:r w:rsidRPr="00D764A7">
        <w:t xml:space="preserve">para. 14; </w:t>
      </w:r>
      <w:r w:rsidRPr="00D764A7">
        <w:rPr>
          <w:i/>
        </w:rPr>
        <w:t>Nevada Wireless Order</w:t>
      </w:r>
      <w:r w:rsidRPr="00D764A7">
        <w:t>, 13 FCC Rcd at 11978, para. 13.</w:t>
      </w:r>
    </w:p>
  </w:footnote>
  <w:footnote w:id="67">
    <w:p w:rsidR="00CB75C2" w:rsidRPr="00D764A7" w:rsidRDefault="00AA13C4" w:rsidP="00B42A2B">
      <w:pPr>
        <w:pStyle w:val="FootnoteText"/>
      </w:pPr>
      <w:r w:rsidRPr="00D764A7">
        <w:rPr>
          <w:rStyle w:val="FootnoteReference"/>
        </w:rPr>
        <w:footnoteRef/>
      </w:r>
      <w:r w:rsidRPr="00D764A7">
        <w:t xml:space="preserve"> </w:t>
      </w:r>
      <w:r w:rsidRPr="00D764A7">
        <w:rPr>
          <w:i/>
        </w:rPr>
        <w:t xml:space="preserve">Prohibited Communications </w:t>
      </w:r>
      <w:r>
        <w:rPr>
          <w:i/>
        </w:rPr>
        <w:t xml:space="preserve">Guidance </w:t>
      </w:r>
      <w:r w:rsidRPr="00D764A7">
        <w:rPr>
          <w:i/>
        </w:rPr>
        <w:t>Public Notice</w:t>
      </w:r>
      <w:r w:rsidRPr="00D764A7">
        <w:t>, 30 FCC Rcd at 10800, para. 15.</w:t>
      </w:r>
    </w:p>
  </w:footnote>
  <w:footnote w:id="68">
    <w:p w:rsidR="00CB75C2" w:rsidRPr="00D764A7" w:rsidRDefault="00AA13C4" w:rsidP="00B42A2B">
      <w:pPr>
        <w:pStyle w:val="FootnoteText"/>
      </w:pPr>
      <w:r w:rsidRPr="00D764A7">
        <w:rPr>
          <w:rStyle w:val="FootnoteReference"/>
        </w:rPr>
        <w:footnoteRef/>
      </w:r>
      <w:r w:rsidRPr="00D764A7">
        <w:t xml:space="preserve"> </w:t>
      </w:r>
      <w:r w:rsidRPr="00D764A7">
        <w:rPr>
          <w:i/>
        </w:rPr>
        <w:t>Id.</w:t>
      </w:r>
    </w:p>
  </w:footnote>
  <w:footnote w:id="69">
    <w:p w:rsidR="00CB75C2" w:rsidRPr="00D764A7" w:rsidRDefault="00AA13C4" w:rsidP="00B42A2B">
      <w:pPr>
        <w:pStyle w:val="FootnoteText"/>
      </w:pPr>
      <w:r w:rsidRPr="00D764A7">
        <w:rPr>
          <w:rStyle w:val="FootnoteReference"/>
        </w:rPr>
        <w:footnoteRef/>
      </w:r>
      <w:r w:rsidRPr="00D764A7">
        <w:t xml:space="preserve"> </w:t>
      </w:r>
      <w:r w:rsidRPr="007C010B">
        <w:rPr>
          <w:i/>
        </w:rPr>
        <w:t>See</w:t>
      </w:r>
      <w:r>
        <w:t xml:space="preserve"> </w:t>
      </w:r>
      <w:r>
        <w:rPr>
          <w:i/>
        </w:rPr>
        <w:t>i</w:t>
      </w:r>
      <w:r w:rsidRPr="00D764A7">
        <w:rPr>
          <w:i/>
        </w:rPr>
        <w:t>d.</w:t>
      </w:r>
    </w:p>
  </w:footnote>
  <w:footnote w:id="70">
    <w:p w:rsidR="00CB75C2" w:rsidRPr="00D764A7" w:rsidRDefault="00AA13C4" w:rsidP="00B42A2B">
      <w:pPr>
        <w:pStyle w:val="FootnoteText"/>
        <w:contextualSpacing/>
      </w:pPr>
      <w:r w:rsidRPr="00D764A7">
        <w:rPr>
          <w:rStyle w:val="FootnoteReference"/>
        </w:rPr>
        <w:footnoteRef/>
      </w:r>
      <w:r w:rsidRPr="00D764A7">
        <w:t xml:space="preserve"> Each applicant must specify at least one and up to three individuals (or authorized bidders) to place bids on behalf of the applicant</w:t>
      </w:r>
      <w:r>
        <w:t>.</w:t>
      </w:r>
      <w:r w:rsidRPr="00D764A7">
        <w:t xml:space="preserve">  </w:t>
      </w:r>
    </w:p>
  </w:footnote>
  <w:footnote w:id="71">
    <w:p w:rsidR="00CB75C2" w:rsidRPr="007018B2" w:rsidRDefault="00AA13C4" w:rsidP="00B42A2B">
      <w:pPr>
        <w:pStyle w:val="FootnoteText"/>
        <w:spacing w:before="240"/>
        <w:rPr>
          <w:i/>
        </w:rPr>
      </w:pPr>
      <w:r>
        <w:rPr>
          <w:rStyle w:val="FootnoteReference"/>
        </w:rPr>
        <w:footnoteRef/>
      </w:r>
      <w:r>
        <w:t xml:space="preserve"> </w:t>
      </w:r>
      <w:r>
        <w:rPr>
          <w:i/>
        </w:rPr>
        <w:t>See</w:t>
      </w:r>
      <w:r>
        <w:t xml:space="preserve"> </w:t>
      </w:r>
      <w:r w:rsidRPr="00D764A7">
        <w:rPr>
          <w:i/>
        </w:rPr>
        <w:t xml:space="preserve">2015 Part 1 </w:t>
      </w:r>
      <w:r>
        <w:rPr>
          <w:i/>
        </w:rPr>
        <w:t>Report and Order</w:t>
      </w:r>
      <w:r>
        <w:t>, 30 FCC Rcd at 7577</w:t>
      </w:r>
      <w:r w:rsidRPr="00D764A7">
        <w:t>, para. 20</w:t>
      </w:r>
      <w:r>
        <w:t xml:space="preserve">0; </w:t>
      </w:r>
      <w:r w:rsidRPr="00D764A7">
        <w:t xml:space="preserve">47 CFR § </w:t>
      </w:r>
      <w:r>
        <w:rPr>
          <w:rStyle w:val="footnote"/>
        </w:rPr>
        <w:t>1.2105(c</w:t>
      </w:r>
      <w:r w:rsidRPr="00D764A7">
        <w:rPr>
          <w:rStyle w:val="footnote"/>
        </w:rPr>
        <w:t>)</w:t>
      </w:r>
      <w:r>
        <w:rPr>
          <w:rStyle w:val="footnote"/>
        </w:rPr>
        <w:t>;</w:t>
      </w:r>
      <w:r>
        <w:t xml:space="preserve"> </w:t>
      </w:r>
      <w:r>
        <w:rPr>
          <w:i/>
        </w:rPr>
        <w:t xml:space="preserve">see also </w:t>
      </w:r>
      <w:r w:rsidRPr="00D764A7">
        <w:rPr>
          <w:i/>
        </w:rPr>
        <w:t xml:space="preserve">Prohibited Communications </w:t>
      </w:r>
      <w:r>
        <w:rPr>
          <w:i/>
        </w:rPr>
        <w:t xml:space="preserve">Guidance </w:t>
      </w:r>
      <w:r w:rsidRPr="00D764A7">
        <w:rPr>
          <w:i/>
        </w:rPr>
        <w:t>Public Notice</w:t>
      </w:r>
      <w:r>
        <w:t>, 30 FCC Rcd at 10800, para. 15</w:t>
      </w:r>
      <w:r w:rsidRPr="00D764A7">
        <w:t>.</w:t>
      </w:r>
      <w:r>
        <w:rPr>
          <w:i/>
        </w:rPr>
        <w:t xml:space="preserve"> </w:t>
      </w:r>
    </w:p>
  </w:footnote>
  <w:footnote w:id="72">
    <w:p w:rsidR="00CB75C2" w:rsidRPr="00D764A7" w:rsidRDefault="00AA13C4" w:rsidP="00B42A2B">
      <w:pPr>
        <w:pStyle w:val="FootnoteText"/>
      </w:pPr>
      <w:r w:rsidRPr="00D764A7">
        <w:rPr>
          <w:rStyle w:val="FootnoteReference"/>
        </w:rPr>
        <w:footnoteRef/>
      </w:r>
      <w:r w:rsidRPr="00D764A7">
        <w:t xml:space="preserve"> </w:t>
      </w:r>
      <w:r w:rsidRPr="00D764A7">
        <w:rPr>
          <w:i/>
        </w:rPr>
        <w:t>See Nevada Wireless Order</w:t>
      </w:r>
      <w:r w:rsidRPr="00D764A7">
        <w:t>,</w:t>
      </w:r>
      <w:r w:rsidRPr="00D764A7">
        <w:rPr>
          <w:i/>
        </w:rPr>
        <w:t xml:space="preserve"> </w:t>
      </w:r>
      <w:r w:rsidRPr="00D764A7">
        <w:t>13 FCC Rcd at 11977-78, paras. 11-12.</w:t>
      </w:r>
    </w:p>
  </w:footnote>
  <w:footnote w:id="73">
    <w:p w:rsidR="00CB75C2" w:rsidRPr="00D764A7" w:rsidRDefault="00AA13C4" w:rsidP="00B42A2B">
      <w:pPr>
        <w:pStyle w:val="FootnoteText"/>
      </w:pPr>
      <w:r w:rsidRPr="00D764A7">
        <w:rPr>
          <w:rStyle w:val="FootnoteReference"/>
        </w:rPr>
        <w:footnoteRef/>
      </w:r>
      <w:r w:rsidRPr="00D764A7">
        <w:t xml:space="preserve"> </w:t>
      </w:r>
      <w:r w:rsidRPr="007C010B">
        <w:rPr>
          <w:i/>
        </w:rPr>
        <w:t xml:space="preserve">See </w:t>
      </w:r>
      <w:r w:rsidRPr="00DA6633">
        <w:rPr>
          <w:i/>
        </w:rPr>
        <w:t>id</w:t>
      </w:r>
      <w:r w:rsidRPr="00DA6633">
        <w:t>.  We</w:t>
      </w:r>
      <w:r>
        <w:t xml:space="preserve"> caution that filing a certifying statement that precautionary steps have been taken will not outweigh specific evidence of an actual violation.  </w:t>
      </w:r>
      <w:r w:rsidRPr="002B6443">
        <w:rPr>
          <w:i/>
        </w:rPr>
        <w:t>I</w:t>
      </w:r>
      <w:r w:rsidRPr="00D27B0D">
        <w:rPr>
          <w:i/>
        </w:rPr>
        <w:t>d.</w:t>
      </w:r>
      <w:r>
        <w:t xml:space="preserve"> at 11978, para. 13. </w:t>
      </w:r>
    </w:p>
  </w:footnote>
  <w:footnote w:id="74">
    <w:p w:rsidR="00CB75C2" w:rsidRPr="00D764A7" w:rsidRDefault="00AA13C4" w:rsidP="00B42A2B">
      <w:pPr>
        <w:pStyle w:val="FootnoteText"/>
      </w:pPr>
      <w:r w:rsidRPr="00D764A7">
        <w:rPr>
          <w:rStyle w:val="FootnoteReference"/>
        </w:rPr>
        <w:footnoteRef/>
      </w:r>
      <w:r w:rsidRPr="00D764A7">
        <w:t xml:space="preserve"> </w:t>
      </w:r>
      <w:r w:rsidRPr="00D764A7">
        <w:rPr>
          <w:i/>
        </w:rPr>
        <w:t xml:space="preserve">Prohibited Communications </w:t>
      </w:r>
      <w:r>
        <w:rPr>
          <w:i/>
        </w:rPr>
        <w:t xml:space="preserve">Guidance </w:t>
      </w:r>
      <w:r w:rsidRPr="00D764A7">
        <w:rPr>
          <w:i/>
        </w:rPr>
        <w:t>Public Notice</w:t>
      </w:r>
      <w:r w:rsidRPr="00D764A7">
        <w:t>, 30 FCC Rcd at 10802, para. 20.</w:t>
      </w:r>
    </w:p>
  </w:footnote>
  <w:footnote w:id="75">
    <w:p w:rsidR="00CB75C2" w:rsidRPr="00D764A7" w:rsidRDefault="00AA13C4" w:rsidP="00B42A2B">
      <w:pPr>
        <w:pStyle w:val="FootnoteText"/>
      </w:pPr>
      <w:r w:rsidRPr="00D764A7">
        <w:rPr>
          <w:rStyle w:val="FootnoteReference"/>
        </w:rPr>
        <w:footnoteRef/>
      </w:r>
      <w:r w:rsidRPr="00D764A7">
        <w:t xml:space="preserve"> </w:t>
      </w:r>
      <w:r w:rsidRPr="00D63329">
        <w:rPr>
          <w:i/>
        </w:rPr>
        <w:t>See</w:t>
      </w:r>
      <w:r>
        <w:t xml:space="preserve"> </w:t>
      </w:r>
      <w:r w:rsidRPr="00D764A7">
        <w:rPr>
          <w:i/>
        </w:rPr>
        <w:t>Wireless Telecommunications Bureau Responds to Questions About the Local Multipoint Distribution Service Auction</w:t>
      </w:r>
      <w:r w:rsidRPr="00D764A7">
        <w:t xml:space="preserve">, Public Notice, 13 FCC Rcd 341, 347-48 (WTB 1998) (“Public statements can give rise to collusion concerns.  This has occurred in the antitrust context, where certain public statements can support other evidence which tends to indicate the existence of a conspiracy.”).  </w:t>
      </w:r>
    </w:p>
  </w:footnote>
  <w:footnote w:id="76">
    <w:p w:rsidR="00CB75C2" w:rsidRPr="00D764A7" w:rsidRDefault="00AA13C4" w:rsidP="00B42A2B">
      <w:pPr>
        <w:pStyle w:val="FootnoteText"/>
        <w:rPr>
          <w:i/>
        </w:rPr>
      </w:pPr>
      <w:r w:rsidRPr="00D764A7">
        <w:rPr>
          <w:rStyle w:val="FootnoteReference"/>
        </w:rPr>
        <w:footnoteRef/>
      </w:r>
      <w:r w:rsidRPr="00D764A7">
        <w:t xml:space="preserve"> </w:t>
      </w:r>
      <w:r w:rsidRPr="00D63329">
        <w:rPr>
          <w:i/>
        </w:rPr>
        <w:t>Cf</w:t>
      </w:r>
      <w:r>
        <w:t xml:space="preserve">. </w:t>
      </w:r>
      <w:r w:rsidRPr="00D764A7">
        <w:t>47 CFR § 1.2105(a)(2)(ix)</w:t>
      </w:r>
      <w:r>
        <w:t xml:space="preserve">. </w:t>
      </w:r>
      <w:r w:rsidRPr="00D764A7">
        <w:t xml:space="preserve">  </w:t>
      </w:r>
    </w:p>
  </w:footnote>
  <w:footnote w:id="77">
    <w:p w:rsidR="00CB75C2" w:rsidRDefault="00AA13C4" w:rsidP="00B42A2B">
      <w:pPr>
        <w:pStyle w:val="FootnoteText"/>
      </w:pPr>
      <w:r>
        <w:rPr>
          <w:rStyle w:val="FootnoteReference"/>
        </w:rPr>
        <w:footnoteRef/>
      </w:r>
      <w:r>
        <w:t xml:space="preserve"> 1-800 Contacts Comments at 7.</w:t>
      </w:r>
    </w:p>
  </w:footnote>
  <w:footnote w:id="78">
    <w:p w:rsidR="00CB75C2" w:rsidRPr="00D764A7" w:rsidRDefault="00AA13C4" w:rsidP="00B42A2B">
      <w:pPr>
        <w:pStyle w:val="FootnoteText"/>
      </w:pPr>
      <w:r w:rsidRPr="00D764A7">
        <w:rPr>
          <w:rStyle w:val="FootnoteReference"/>
        </w:rPr>
        <w:footnoteRef/>
      </w:r>
      <w:r w:rsidRPr="00D764A7">
        <w:t xml:space="preserve"> </w:t>
      </w:r>
      <w:r w:rsidRPr="00D764A7">
        <w:rPr>
          <w:i/>
        </w:rPr>
        <w:t>Nevada Wireless</w:t>
      </w:r>
      <w:r>
        <w:rPr>
          <w:i/>
        </w:rPr>
        <w:t xml:space="preserve"> Order</w:t>
      </w:r>
      <w:r w:rsidRPr="00D764A7">
        <w:t xml:space="preserve">, 13 FCC Rcd </w:t>
      </w:r>
      <w:r>
        <w:t>at</w:t>
      </w:r>
      <w:r w:rsidRPr="00D764A7">
        <w:t xml:space="preserve"> 11978</w:t>
      </w:r>
      <w:r>
        <w:t>,</w:t>
      </w:r>
      <w:r w:rsidRPr="00D764A7">
        <w:t xml:space="preserve"> para. 13</w:t>
      </w:r>
      <w:r>
        <w:t>;</w:t>
      </w:r>
      <w:r w:rsidRPr="00D764A7">
        <w:t xml:space="preserve"> </w:t>
      </w:r>
      <w:r>
        <w:rPr>
          <w:i/>
        </w:rPr>
        <w:t>s</w:t>
      </w:r>
      <w:r w:rsidRPr="00D764A7">
        <w:rPr>
          <w:i/>
        </w:rPr>
        <w:t>ee also</w:t>
      </w:r>
      <w:r w:rsidRPr="00D764A7">
        <w:t xml:space="preserve"> </w:t>
      </w:r>
      <w:r w:rsidRPr="00D764A7">
        <w:rPr>
          <w:i/>
        </w:rPr>
        <w:t>Competitive Bidding Memorandum Opinion and Order</w:t>
      </w:r>
      <w:r w:rsidRPr="00D764A7">
        <w:t xml:space="preserve">, 9 FCC Rcd </w:t>
      </w:r>
      <w:r>
        <w:t>at</w:t>
      </w:r>
      <w:r w:rsidRPr="00D764A7">
        <w:t xml:space="preserve"> 7689</w:t>
      </w:r>
      <w:r>
        <w:t>,</w:t>
      </w:r>
      <w:r w:rsidRPr="00D764A7">
        <w:t xml:space="preserve"> para. 12.</w:t>
      </w:r>
    </w:p>
  </w:footnote>
  <w:footnote w:id="79">
    <w:p w:rsidR="00CB75C2" w:rsidRPr="00D764A7" w:rsidRDefault="00AA13C4" w:rsidP="00B42A2B">
      <w:pPr>
        <w:pStyle w:val="FootnoteText"/>
      </w:pPr>
      <w:r w:rsidRPr="00D764A7">
        <w:rPr>
          <w:rStyle w:val="FootnoteReference"/>
        </w:rPr>
        <w:footnoteRef/>
      </w:r>
      <w:r w:rsidRPr="00D764A7">
        <w:t xml:space="preserve"> </w:t>
      </w:r>
      <w:r>
        <w:rPr>
          <w:i/>
        </w:rPr>
        <w:t>Cf</w:t>
      </w:r>
      <w:r>
        <w:t>.</w:t>
      </w:r>
      <w:r w:rsidRPr="00D764A7">
        <w:t xml:space="preserve"> 47 CFR §§ 1.2105(c), 1.2109(d).</w:t>
      </w:r>
    </w:p>
  </w:footnote>
  <w:footnote w:id="80">
    <w:p w:rsidR="00CB75C2" w:rsidRPr="00D764A7" w:rsidRDefault="00AA13C4" w:rsidP="00B42A2B">
      <w:pPr>
        <w:pStyle w:val="FootnoteText"/>
      </w:pPr>
      <w:r w:rsidRPr="00D764A7">
        <w:rPr>
          <w:rStyle w:val="FootnoteReference"/>
        </w:rPr>
        <w:footnoteRef/>
      </w:r>
      <w:r w:rsidRPr="00D764A7">
        <w:t xml:space="preserve"> </w:t>
      </w:r>
      <w:r w:rsidRPr="000949DA">
        <w:rPr>
          <w:i/>
        </w:rPr>
        <w:t>833 Auction Comment Public Notice</w:t>
      </w:r>
      <w:r>
        <w:t xml:space="preserve"> at para. 20.  </w:t>
      </w:r>
      <w:r>
        <w:rPr>
          <w:i/>
        </w:rPr>
        <w:t>Cf.</w:t>
      </w:r>
      <w:r>
        <w:t xml:space="preserve"> 47 CFR</w:t>
      </w:r>
      <w:r w:rsidRPr="00D764A7">
        <w:t xml:space="preserve"> § 1.2105(c)(4); </w:t>
      </w:r>
      <w:r w:rsidRPr="00D764A7">
        <w:rPr>
          <w:i/>
        </w:rPr>
        <w:t>Part 1 Seventh Report and Order</w:t>
      </w:r>
      <w:r w:rsidRPr="00D764A7">
        <w:t>, 16 FCC Rcd at 17553-55 paras. 13-17</w:t>
      </w:r>
      <w:r>
        <w:t xml:space="preserve"> (imposing certain reporting requirements on applicants to report what they perceive to be prohibited communications)</w:t>
      </w:r>
      <w:r w:rsidRPr="00D764A7">
        <w:t>.</w:t>
      </w:r>
    </w:p>
  </w:footnote>
  <w:footnote w:id="81">
    <w:p w:rsidR="00CB75C2" w:rsidRPr="00D764A7" w:rsidRDefault="00AA13C4" w:rsidP="00B42A2B">
      <w:pPr>
        <w:pStyle w:val="FootnoteText"/>
      </w:pPr>
      <w:r w:rsidRPr="00D764A7">
        <w:rPr>
          <w:rStyle w:val="FootnoteReference"/>
        </w:rPr>
        <w:footnoteRef/>
      </w:r>
      <w:r w:rsidRPr="00D764A7">
        <w:t xml:space="preserve"> </w:t>
      </w:r>
      <w:r w:rsidRPr="000949DA">
        <w:rPr>
          <w:i/>
        </w:rPr>
        <w:t>Cf</w:t>
      </w:r>
      <w:r>
        <w:t xml:space="preserve">. </w:t>
      </w:r>
      <w:r w:rsidRPr="00D764A7">
        <w:t>47 CFR § 1.65</w:t>
      </w:r>
      <w:r>
        <w:t xml:space="preserve">; </w:t>
      </w:r>
      <w:r w:rsidRPr="00C16DEB">
        <w:rPr>
          <w:i/>
        </w:rPr>
        <w:t>Service Rules for the 698-746, 747-762 and 777-792 MHz Bands</w:t>
      </w:r>
      <w:r>
        <w:t>, Second Report and Order</w:t>
      </w:r>
      <w:r w:rsidRPr="00D764A7">
        <w:t xml:space="preserve">, 22 FCC Rcd </w:t>
      </w:r>
      <w:r>
        <w:t>15289,</w:t>
      </w:r>
      <w:r w:rsidRPr="00D764A7">
        <w:t xml:space="preserve"> 15395</w:t>
      </w:r>
      <w:r>
        <w:t>,</w:t>
      </w:r>
      <w:r w:rsidRPr="00D764A7">
        <w:t xml:space="preserve"> paras. 285-86</w:t>
      </w:r>
      <w:r>
        <w:t xml:space="preserve"> (2007)</w:t>
      </w:r>
      <w:r w:rsidRPr="00D764A7">
        <w:t xml:space="preserve">; </w:t>
      </w:r>
      <w:r>
        <w:rPr>
          <w:i/>
        </w:rPr>
        <w:t>Procedural Amendments to Commission Part 1 Competitive Bidding Rules</w:t>
      </w:r>
      <w:r>
        <w:t xml:space="preserve">, Order 25 FCC Rcd 521, </w:t>
      </w:r>
      <w:r w:rsidRPr="00D764A7">
        <w:t>523, para. 8</w:t>
      </w:r>
      <w:r>
        <w:t xml:space="preserve"> (2010) (</w:t>
      </w:r>
      <w:r w:rsidRPr="00D764A7">
        <w:rPr>
          <w:i/>
        </w:rPr>
        <w:t>Part 1 Procedural Amendments Order</w:t>
      </w:r>
      <w:r>
        <w:t>)</w:t>
      </w:r>
      <w:r w:rsidRPr="00D764A7">
        <w:t xml:space="preserve">; </w:t>
      </w:r>
      <w:r w:rsidRPr="00D764A7">
        <w:rPr>
          <w:i/>
        </w:rPr>
        <w:t>Part 1 Seventh Report and Order</w:t>
      </w:r>
      <w:r w:rsidRPr="00D764A7">
        <w:t>, 16 FCC Rcd at 17550-51</w:t>
      </w:r>
      <w:r>
        <w:t>,</w:t>
      </w:r>
      <w:r w:rsidRPr="00D764A7">
        <w:t xml:space="preserve"> para. 9.</w:t>
      </w:r>
    </w:p>
  </w:footnote>
  <w:footnote w:id="82">
    <w:p w:rsidR="00CB75C2" w:rsidRDefault="00AA13C4" w:rsidP="00B42A2B">
      <w:pPr>
        <w:pStyle w:val="FootnoteText"/>
      </w:pPr>
      <w:r>
        <w:rPr>
          <w:rStyle w:val="FootnoteReference"/>
        </w:rPr>
        <w:footnoteRef/>
      </w:r>
      <w:r>
        <w:t xml:space="preserve"> </w:t>
      </w:r>
      <w:r w:rsidRPr="005712E5">
        <w:rPr>
          <w:szCs w:val="22"/>
        </w:rPr>
        <w:t>For example, a party’s report of a prohibited communication could violate the rule by communicating prohibited information to other parties specified under the rule through the use of Commission filing procedures that allow such materials to be made available for public inspection.</w:t>
      </w:r>
    </w:p>
  </w:footnote>
  <w:footnote w:id="83">
    <w:p w:rsidR="00CB75C2" w:rsidRPr="00D764A7" w:rsidRDefault="00AA13C4" w:rsidP="00B42A2B">
      <w:pPr>
        <w:pStyle w:val="FootnoteText"/>
      </w:pPr>
      <w:r w:rsidRPr="00D764A7">
        <w:rPr>
          <w:rStyle w:val="FootnoteReference"/>
        </w:rPr>
        <w:footnoteRef/>
      </w:r>
      <w:r w:rsidRPr="00D764A7">
        <w:t xml:space="preserve"> </w:t>
      </w:r>
      <w:r w:rsidRPr="00D764A7">
        <w:rPr>
          <w:i/>
        </w:rPr>
        <w:t xml:space="preserve">See </w:t>
      </w:r>
      <w:r w:rsidRPr="00D764A7">
        <w:t xml:space="preserve">47 CFR § 0.459.  Filers requesting confidential treatment of documents must be sure that the cover page of the filing prominently displays that the documents seek confidential treatment.  For example, a filing might include a cover page stamped with “Request for Confidential Treatment Attached” or “Not for Public Inspection.”  Any such request must cover all the material to which the request applies.  </w:t>
      </w:r>
      <w:r>
        <w:rPr>
          <w:i/>
        </w:rPr>
        <w:t>I</w:t>
      </w:r>
      <w:r w:rsidRPr="00D764A7">
        <w:rPr>
          <w:i/>
        </w:rPr>
        <w:t>d.</w:t>
      </w:r>
      <w:r w:rsidRPr="00D764A7">
        <w:t xml:space="preserve"> § 0.459(a)</w:t>
      </w:r>
      <w:r>
        <w:t>(1</w:t>
      </w:r>
      <w:r w:rsidRPr="00D764A7">
        <w:t xml:space="preserve">).  </w:t>
      </w:r>
    </w:p>
  </w:footnote>
  <w:footnote w:id="84">
    <w:p w:rsidR="00CB75C2" w:rsidRDefault="00AA13C4" w:rsidP="00B42A2B">
      <w:pPr>
        <w:pStyle w:val="FootnoteText"/>
      </w:pPr>
      <w:r>
        <w:rPr>
          <w:rStyle w:val="FootnoteReference"/>
        </w:rPr>
        <w:footnoteRef/>
      </w:r>
      <w:r>
        <w:t xml:space="preserve"> </w:t>
      </w:r>
      <w:r w:rsidRPr="006A6FFC">
        <w:rPr>
          <w:i/>
        </w:rPr>
        <w:t>833 Auction Comment Public Notice</w:t>
      </w:r>
      <w:r>
        <w:t xml:space="preserve"> at para. 20.</w:t>
      </w:r>
    </w:p>
  </w:footnote>
  <w:footnote w:id="85">
    <w:p w:rsidR="00CB75C2" w:rsidRPr="00D764A7" w:rsidRDefault="00AA13C4" w:rsidP="00B42A2B">
      <w:pPr>
        <w:pStyle w:val="FootnoteText"/>
      </w:pPr>
      <w:r w:rsidRPr="00D764A7">
        <w:rPr>
          <w:rStyle w:val="FootnoteReference"/>
        </w:rPr>
        <w:footnoteRef/>
      </w:r>
      <w:r w:rsidRPr="00D764A7">
        <w:t xml:space="preserve"> </w:t>
      </w:r>
      <w:r w:rsidRPr="00D764A7">
        <w:rPr>
          <w:i/>
        </w:rPr>
        <w:t>See Amendment of Part 1 of the Commission’s Rules – Competitive Bidding Procedures</w:t>
      </w:r>
      <w:r w:rsidRPr="00D764A7">
        <w:t xml:space="preserve">, Third Further Notice of Proposed Rulemaking, 14 FCC Rcd 21558, 21560-61, para. 4 &amp; n.17 (1999) (quoting </w:t>
      </w:r>
      <w:r w:rsidRPr="00D764A7">
        <w:rPr>
          <w:i/>
        </w:rPr>
        <w:t>Competitive Bidding Memorandum Opinion and Order</w:t>
      </w:r>
      <w:r w:rsidRPr="00D764A7">
        <w:t xml:space="preserve">, 9 FCC Rcd at 7689, para. 12) (“[W]e wish to emphasize that all applicants and their owners continue to be subject to existing antitrust laws.  Applicants should note that conduct that is permissible under the Commission’s Rules may be prohibited by the antitrust laws.”); </w:t>
      </w:r>
      <w:r w:rsidRPr="00D764A7">
        <w:rPr>
          <w:i/>
        </w:rPr>
        <w:t>Implementation of Section 309(j) of the Communications Act – Competitive Bidding</w:t>
      </w:r>
      <w:r w:rsidRPr="00D764A7">
        <w:t>, Fourth Memorandum Opinion and Order, 9 FCC Rcd 6858, 6869</w:t>
      </w:r>
      <w:r>
        <w:t>, para. 59</w:t>
      </w:r>
      <w:r w:rsidRPr="00D764A7">
        <w:t xml:space="preserve"> </w:t>
      </w:r>
      <w:r>
        <w:t xml:space="preserve">&amp; </w:t>
      </w:r>
      <w:r w:rsidRPr="00D764A7">
        <w:t>n.134 (1994) (“[A]pplicants will also be subject to existing antitrust laws.”) (</w:t>
      </w:r>
      <w:r w:rsidRPr="00D764A7">
        <w:rPr>
          <w:i/>
        </w:rPr>
        <w:t>Fourth Memorandum Opinion and Order</w:t>
      </w:r>
      <w:r w:rsidRPr="00D764A7">
        <w:t>).</w:t>
      </w:r>
      <w:r w:rsidRPr="00D764A7">
        <w:rPr>
          <w:i/>
        </w:rPr>
        <w:t xml:space="preserve">  </w:t>
      </w:r>
    </w:p>
  </w:footnote>
  <w:footnote w:id="86">
    <w:p w:rsidR="00CB75C2" w:rsidRPr="00D764A7" w:rsidRDefault="00AA13C4" w:rsidP="00B42A2B">
      <w:pPr>
        <w:pStyle w:val="FootnoteText"/>
      </w:pPr>
      <w:r w:rsidRPr="00D764A7">
        <w:rPr>
          <w:rStyle w:val="FootnoteReference"/>
        </w:rPr>
        <w:footnoteRef/>
      </w:r>
      <w:r w:rsidRPr="00D764A7">
        <w:t xml:space="preserve"> </w:t>
      </w:r>
      <w:r w:rsidRPr="00D764A7">
        <w:rPr>
          <w:i/>
        </w:rPr>
        <w:t>See Competitive Bidding Memorandum Opinion and Order</w:t>
      </w:r>
      <w:r w:rsidRPr="00D764A7">
        <w:t>, 9 FCC Rcd at 7689, para. 12</w:t>
      </w:r>
      <w:r>
        <w:t>;</w:t>
      </w:r>
      <w:r w:rsidRPr="00D764A7">
        <w:t xml:space="preserve"> </w:t>
      </w:r>
      <w:r w:rsidRPr="00AA3E71">
        <w:rPr>
          <w:i/>
        </w:rPr>
        <w:t>s</w:t>
      </w:r>
      <w:r w:rsidRPr="00D764A7">
        <w:rPr>
          <w:i/>
        </w:rPr>
        <w:t>ee also</w:t>
      </w:r>
      <w:r w:rsidRPr="00D764A7">
        <w:t xml:space="preserve"> Press Release, Dep’t of Justice, Justice Department Sues Three Firms Over FCC Auction Practices (Nov. 10, 1998)</w:t>
      </w:r>
      <w:r>
        <w:t xml:space="preserve">, </w:t>
      </w:r>
      <w:hyperlink r:id="rId3" w:history="1">
        <w:r w:rsidRPr="00281DA8">
          <w:rPr>
            <w:rStyle w:val="Hyperlink"/>
          </w:rPr>
          <w:t>https://www.justice.gov/archive/atr/public/press_releases/1998/2068.htm</w:t>
        </w:r>
      </w:hyperlink>
      <w:r w:rsidRPr="00D764A7">
        <w:t xml:space="preserve">. </w:t>
      </w:r>
    </w:p>
  </w:footnote>
  <w:footnote w:id="87">
    <w:p w:rsidR="00CB75C2" w:rsidRPr="00D764A7" w:rsidRDefault="00AA13C4" w:rsidP="00B42A2B">
      <w:pPr>
        <w:pStyle w:val="FootnoteText"/>
      </w:pPr>
      <w:r w:rsidRPr="00D764A7">
        <w:rPr>
          <w:rStyle w:val="FootnoteReference"/>
        </w:rPr>
        <w:footnoteRef/>
      </w:r>
      <w:r w:rsidRPr="00D764A7">
        <w:t xml:space="preserve"> </w:t>
      </w:r>
      <w:r w:rsidRPr="00D764A7">
        <w:rPr>
          <w:i/>
        </w:rPr>
        <w:t>See, e.g</w:t>
      </w:r>
      <w:r w:rsidRPr="00D764A7">
        <w:t>.</w:t>
      </w:r>
      <w:r w:rsidRPr="00925FC2">
        <w:rPr>
          <w:i/>
        </w:rPr>
        <w:t xml:space="preserve">, </w:t>
      </w:r>
      <w:r w:rsidRPr="00D764A7">
        <w:rPr>
          <w:i/>
        </w:rPr>
        <w:t>Fourth Memorandum Opinion and Order</w:t>
      </w:r>
      <w:r w:rsidRPr="00D764A7">
        <w:t>, 9 FCC Rcd at 6869</w:t>
      </w:r>
      <w:r>
        <w:t>, para. 59</w:t>
      </w:r>
      <w:r w:rsidRPr="00D764A7">
        <w:t xml:space="preserve"> n.134.    </w:t>
      </w:r>
    </w:p>
  </w:footnote>
  <w:footnote w:id="88">
    <w:p w:rsidR="00CB75C2" w:rsidRPr="00D764A7" w:rsidRDefault="00AA13C4" w:rsidP="00B42A2B">
      <w:pPr>
        <w:pStyle w:val="FootnoteText"/>
      </w:pPr>
      <w:r w:rsidRPr="00D764A7">
        <w:rPr>
          <w:rStyle w:val="FootnoteReference"/>
        </w:rPr>
        <w:footnoteRef/>
      </w:r>
      <w:r w:rsidRPr="00D764A7">
        <w:t xml:space="preserve"> </w:t>
      </w:r>
      <w:r w:rsidRPr="00D764A7">
        <w:rPr>
          <w:i/>
        </w:rPr>
        <w:t>Id.</w:t>
      </w:r>
      <w:r w:rsidRPr="00D764A7">
        <w:t xml:space="preserve">  </w:t>
      </w:r>
    </w:p>
  </w:footnote>
  <w:footnote w:id="89">
    <w:p w:rsidR="00CB75C2" w:rsidRPr="00D764A7" w:rsidRDefault="00AA13C4" w:rsidP="00B42A2B">
      <w:pPr>
        <w:pStyle w:val="FootnoteText"/>
      </w:pPr>
      <w:r w:rsidRPr="00D764A7">
        <w:rPr>
          <w:rStyle w:val="FootnoteReference"/>
        </w:rPr>
        <w:footnoteRef/>
      </w:r>
      <w:r w:rsidRPr="00D764A7">
        <w:t xml:space="preserve"> </w:t>
      </w:r>
      <w:bookmarkStart w:id="294" w:name="_Hlk11938290"/>
      <w:r w:rsidRPr="00D764A7">
        <w:rPr>
          <w:i/>
        </w:rPr>
        <w:t>See Competitive Bidding</w:t>
      </w:r>
      <w:r w:rsidRPr="00D764A7">
        <w:t xml:space="preserve"> </w:t>
      </w:r>
      <w:r w:rsidRPr="007C010B">
        <w:rPr>
          <w:i/>
        </w:rPr>
        <w:t>Second Report and Order</w:t>
      </w:r>
      <w:r w:rsidRPr="00D764A7">
        <w:t xml:space="preserve">, 9 FCC Rcd </w:t>
      </w:r>
      <w:r>
        <w:t>at</w:t>
      </w:r>
      <w:r w:rsidRPr="00D764A7">
        <w:t xml:space="preserve"> 2388,</w:t>
      </w:r>
      <w:r w:rsidRPr="00D764A7">
        <w:rPr>
          <w:i/>
        </w:rPr>
        <w:t xml:space="preserve"> </w:t>
      </w:r>
      <w:r w:rsidRPr="00D764A7">
        <w:t>para. 226</w:t>
      </w:r>
      <w:bookmarkEnd w:id="294"/>
      <w:r w:rsidRPr="00D764A7">
        <w:t xml:space="preserve">.  </w:t>
      </w:r>
    </w:p>
  </w:footnote>
  <w:footnote w:id="90">
    <w:p w:rsidR="00CB75C2" w:rsidRPr="00D764A7" w:rsidRDefault="00AA13C4" w:rsidP="00B42A2B">
      <w:pPr>
        <w:pStyle w:val="FootnoteText"/>
      </w:pPr>
      <w:r w:rsidRPr="00D764A7">
        <w:rPr>
          <w:rStyle w:val="FootnoteReference"/>
        </w:rPr>
        <w:footnoteRef/>
      </w:r>
      <w:r w:rsidRPr="00D764A7">
        <w:t xml:space="preserve"> </w:t>
      </w:r>
      <w:r>
        <w:rPr>
          <w:i/>
        </w:rPr>
        <w:t>See</w:t>
      </w:r>
      <w:r w:rsidRPr="00D764A7">
        <w:rPr>
          <w:i/>
        </w:rPr>
        <w:t xml:space="preserve"> id</w:t>
      </w:r>
      <w:r>
        <w:rPr>
          <w:i/>
        </w:rPr>
        <w:t>.</w:t>
      </w:r>
      <w:r>
        <w:t xml:space="preserve">; </w:t>
      </w:r>
      <w:r w:rsidRPr="00626F11">
        <w:rPr>
          <w:i/>
        </w:rPr>
        <w:t>cf</w:t>
      </w:r>
      <w:r>
        <w:t xml:space="preserve">. </w:t>
      </w:r>
      <w:r w:rsidRPr="00D764A7">
        <w:t>47 CFR § 1.2109(d).</w:t>
      </w:r>
    </w:p>
  </w:footnote>
  <w:footnote w:id="91">
    <w:p w:rsidR="00CB75C2" w:rsidRDefault="00AA13C4" w:rsidP="00B42A2B">
      <w:pPr>
        <w:pStyle w:val="FootnoteText"/>
      </w:pPr>
      <w:r>
        <w:rPr>
          <w:rStyle w:val="FootnoteReference"/>
        </w:rPr>
        <w:footnoteRef/>
      </w:r>
      <w:r>
        <w:t xml:space="preserve"> </w:t>
      </w:r>
      <w:r w:rsidRPr="002F6F27">
        <w:rPr>
          <w:i/>
        </w:rPr>
        <w:t>833 Auction Comment Public Notice</w:t>
      </w:r>
      <w:r>
        <w:t xml:space="preserve"> at para. 21.</w:t>
      </w:r>
    </w:p>
  </w:footnote>
  <w:footnote w:id="92">
    <w:p w:rsidR="00CB75C2" w:rsidRDefault="00AA13C4" w:rsidP="00B42A2B">
      <w:pPr>
        <w:pStyle w:val="FootnoteText"/>
      </w:pPr>
      <w:r>
        <w:rPr>
          <w:rStyle w:val="FootnoteReference"/>
        </w:rPr>
        <w:footnoteRef/>
      </w:r>
      <w:r>
        <w:t xml:space="preserve"> </w:t>
      </w:r>
      <w:r w:rsidRPr="00751DD6">
        <w:t xml:space="preserve">This prohibition is similar to </w:t>
      </w:r>
      <w:r>
        <w:t>one</w:t>
      </w:r>
      <w:r w:rsidRPr="00751DD6">
        <w:t xml:space="preserve"> applied by the Commission in spectrum auctions.  </w:t>
      </w:r>
      <w:r w:rsidRPr="00751DD6">
        <w:rPr>
          <w:i/>
        </w:rPr>
        <w:t>See</w:t>
      </w:r>
      <w:r w:rsidRPr="00751DD6">
        <w:t xml:space="preserve"> 47 CFR §§ 1.2105(a)(2)(ix), 1.2105(c)(1)</w:t>
      </w:r>
      <w:r>
        <w:t xml:space="preserve">; </w:t>
      </w:r>
      <w:r w:rsidRPr="000C769D">
        <w:rPr>
          <w:i/>
        </w:rPr>
        <w:t>2015 Part 1 Report and Order</w:t>
      </w:r>
      <w:r>
        <w:t xml:space="preserve">, 30 FCC Rcd at 7570, para. 180.  For the purposes of this Public Notice, we will refer to all such prohibited agreements among applicants or among RespOrgs collectively as “auction-related agreements.” </w:t>
      </w:r>
    </w:p>
  </w:footnote>
  <w:footnote w:id="93">
    <w:p w:rsidR="00CB75C2" w:rsidRDefault="00AA13C4" w:rsidP="00B42A2B">
      <w:pPr>
        <w:pStyle w:val="FootnoteText"/>
      </w:pPr>
      <w:r>
        <w:rPr>
          <w:rStyle w:val="FootnoteReference"/>
        </w:rPr>
        <w:footnoteRef/>
      </w:r>
      <w:r>
        <w:t xml:space="preserve"> </w:t>
      </w:r>
      <w:r w:rsidRPr="002F6F27">
        <w:rPr>
          <w:i/>
        </w:rPr>
        <w:t>833 Auction Comment Public Notice</w:t>
      </w:r>
      <w:r>
        <w:t xml:space="preserve"> at para. 21.  Although the definition of “applicant” for these purposes includes </w:t>
      </w:r>
      <w:r w:rsidRPr="00FA7F2C">
        <w:t>any entity listed as a potential subscriber on whose behalf the entity submitting the auction application will be bidding</w:t>
      </w:r>
      <w:r>
        <w:t>, the restriction does not prohibit the agreement necessary to provide authorization to the RespOrg applicant.</w:t>
      </w:r>
    </w:p>
  </w:footnote>
  <w:footnote w:id="94">
    <w:p w:rsidR="00CB75C2" w:rsidRDefault="00AA13C4" w:rsidP="00B42A2B">
      <w:pPr>
        <w:pStyle w:val="FootnoteText"/>
      </w:pPr>
      <w:r>
        <w:rPr>
          <w:rStyle w:val="FootnoteReference"/>
        </w:rPr>
        <w:footnoteRef/>
      </w:r>
      <w:r>
        <w:t xml:space="preserve"> </w:t>
      </w:r>
      <w:r>
        <w:rPr>
          <w:i/>
        </w:rPr>
        <w:t>Id</w:t>
      </w:r>
      <w:r>
        <w:t>.</w:t>
      </w:r>
      <w:r w:rsidRPr="00751DD6">
        <w:t xml:space="preserve"> </w:t>
      </w:r>
      <w:r>
        <w:t>at para. 22.</w:t>
      </w:r>
    </w:p>
  </w:footnote>
  <w:footnote w:id="95">
    <w:p w:rsidR="00CB75C2" w:rsidRDefault="00AA13C4" w:rsidP="00B42A2B">
      <w:pPr>
        <w:pStyle w:val="FootnoteText"/>
      </w:pPr>
      <w:r>
        <w:rPr>
          <w:rStyle w:val="FootnoteReference"/>
        </w:rPr>
        <w:footnoteRef/>
      </w:r>
      <w:r>
        <w:t xml:space="preserve"> </w:t>
      </w:r>
      <w:r>
        <w:rPr>
          <w:i/>
        </w:rPr>
        <w:t>Id</w:t>
      </w:r>
      <w:r>
        <w:t>.</w:t>
      </w:r>
      <w:r w:rsidRPr="00751DD6">
        <w:t xml:space="preserve"> </w:t>
      </w:r>
      <w:r>
        <w:t>at para. 23.</w:t>
      </w:r>
    </w:p>
  </w:footnote>
  <w:footnote w:id="96">
    <w:p w:rsidR="00CB75C2" w:rsidRDefault="00AA13C4" w:rsidP="00B42A2B">
      <w:pPr>
        <w:pStyle w:val="FootnoteText"/>
      </w:pPr>
      <w:r>
        <w:rPr>
          <w:rStyle w:val="FootnoteReference"/>
        </w:rPr>
        <w:footnoteRef/>
      </w:r>
      <w:r>
        <w:t xml:space="preserve"> As noted above, applicant RespOrgs would be prohibited from having agreements with any other applicants, including other applicant RespOrgs.</w:t>
      </w:r>
    </w:p>
  </w:footnote>
  <w:footnote w:id="97">
    <w:p w:rsidR="00CB75C2" w:rsidRDefault="00AA13C4" w:rsidP="00B42A2B">
      <w:pPr>
        <w:pStyle w:val="FootnoteText"/>
      </w:pPr>
      <w:r>
        <w:rPr>
          <w:rStyle w:val="FootnoteReference"/>
        </w:rPr>
        <w:footnoteRef/>
      </w:r>
      <w:r>
        <w:t xml:space="preserve"> </w:t>
      </w:r>
      <w:r>
        <w:rPr>
          <w:i/>
        </w:rPr>
        <w:t>Id</w:t>
      </w:r>
      <w:r>
        <w:t>.</w:t>
      </w:r>
      <w:r w:rsidRPr="00751DD6">
        <w:t xml:space="preserve"> </w:t>
      </w:r>
      <w:r>
        <w:t>at para. 23.</w:t>
      </w:r>
    </w:p>
  </w:footnote>
  <w:footnote w:id="98">
    <w:p w:rsidR="00CB75C2" w:rsidRPr="00751DD6" w:rsidRDefault="00AA13C4" w:rsidP="00B42A2B">
      <w:pPr>
        <w:pStyle w:val="FootnoteText"/>
      </w:pPr>
      <w:r w:rsidRPr="00751DD6">
        <w:rPr>
          <w:rStyle w:val="FootnoteReference"/>
          <w:sz w:val="20"/>
        </w:rPr>
        <w:footnoteRef/>
      </w:r>
      <w:r w:rsidRPr="00751DD6">
        <w:t xml:space="preserve"> Commonly-controlled entities are those in which the same individual or entity either directly or indirectly holds a controlling interest (as determined by positive or negative </w:t>
      </w:r>
      <w:r w:rsidRPr="00751DD6">
        <w:rPr>
          <w:i/>
        </w:rPr>
        <w:t>de</w:t>
      </w:r>
      <w:r>
        <w:rPr>
          <w:i/>
        </w:rPr>
        <w:t> </w:t>
      </w:r>
      <w:r w:rsidRPr="00751DD6">
        <w:rPr>
          <w:i/>
        </w:rPr>
        <w:t>jure</w:t>
      </w:r>
      <w:r w:rsidRPr="00751DD6">
        <w:t xml:space="preserve"> or </w:t>
      </w:r>
      <w:r w:rsidRPr="00751DD6">
        <w:rPr>
          <w:i/>
        </w:rPr>
        <w:t>de facto</w:t>
      </w:r>
      <w:r w:rsidRPr="00751DD6">
        <w:t xml:space="preserve"> control).  </w:t>
      </w:r>
      <w:r w:rsidRPr="00751DD6">
        <w:rPr>
          <w:i/>
        </w:rPr>
        <w:t>See</w:t>
      </w:r>
      <w:r w:rsidRPr="00751DD6">
        <w:t xml:space="preserve"> </w:t>
      </w:r>
      <w:r w:rsidRPr="003E3CD8">
        <w:rPr>
          <w:i/>
        </w:rPr>
        <w:t>supra</w:t>
      </w:r>
      <w:r>
        <w:t xml:space="preserve"> Section II.A.</w:t>
      </w:r>
      <w:r w:rsidRPr="00751DD6">
        <w:t xml:space="preserve">; </w:t>
      </w:r>
      <w:r w:rsidRPr="00751DD6">
        <w:rPr>
          <w:i/>
        </w:rPr>
        <w:t>see also</w:t>
      </w:r>
      <w:r w:rsidRPr="00751DD6">
        <w:t xml:space="preserve"> 47 CFR § 1.2105(a)(4)(i).</w:t>
      </w:r>
    </w:p>
  </w:footnote>
  <w:footnote w:id="99">
    <w:p w:rsidR="00CB75C2" w:rsidRPr="00751DD6" w:rsidRDefault="00AA13C4" w:rsidP="00B42A2B">
      <w:pPr>
        <w:pStyle w:val="FootnoteText"/>
      </w:pPr>
      <w:r w:rsidRPr="00751DD6">
        <w:rPr>
          <w:rStyle w:val="FootnoteReference"/>
          <w:sz w:val="20"/>
        </w:rPr>
        <w:footnoteRef/>
      </w:r>
      <w:r w:rsidRPr="00751DD6">
        <w:t xml:space="preserve"> </w:t>
      </w:r>
      <w:r w:rsidRPr="002F6F27">
        <w:rPr>
          <w:i/>
        </w:rPr>
        <w:t>833 Auction Comment Public Notice</w:t>
      </w:r>
      <w:r>
        <w:t xml:space="preserve"> at para. 24.  </w:t>
      </w:r>
      <w:r w:rsidRPr="00751DD6">
        <w:t xml:space="preserve">In our spectrum auctions, Commission staff have found that, where an individual serves as an officer and director for two or more applicants, the bids and bidding strategies of one applicant are presumed conveyed to the other applicant through the shared officer.  </w:t>
      </w:r>
      <w:r w:rsidRPr="00751DD6">
        <w:rPr>
          <w:i/>
        </w:rPr>
        <w:t>See</w:t>
      </w:r>
      <w:r w:rsidRPr="00751DD6">
        <w:t xml:space="preserve">, </w:t>
      </w:r>
      <w:r w:rsidRPr="00751DD6">
        <w:rPr>
          <w:i/>
        </w:rPr>
        <w:t>e</w:t>
      </w:r>
      <w:r w:rsidRPr="00751DD6">
        <w:t>.</w:t>
      </w:r>
      <w:r w:rsidRPr="00751DD6">
        <w:rPr>
          <w:i/>
        </w:rPr>
        <w:t>g</w:t>
      </w:r>
      <w:r w:rsidRPr="00751DD6">
        <w:t xml:space="preserve">., </w:t>
      </w:r>
      <w:r w:rsidRPr="003D6D5C">
        <w:rPr>
          <w:i/>
        </w:rPr>
        <w:t>Trinity Broadcasting Order</w:t>
      </w:r>
      <w:r w:rsidRPr="00751DD6">
        <w:t xml:space="preserve">, 20 FCC Rcd </w:t>
      </w:r>
      <w:r>
        <w:t>at</w:t>
      </w:r>
      <w:r w:rsidRPr="00751DD6">
        <w:t xml:space="preserve"> 14648-49 (2005).</w:t>
      </w:r>
    </w:p>
  </w:footnote>
  <w:footnote w:id="100">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9290, para. 46.</w:t>
      </w:r>
    </w:p>
  </w:footnote>
  <w:footnote w:id="101">
    <w:p w:rsidR="00CB75C2" w:rsidRDefault="00AA13C4" w:rsidP="00B42A2B">
      <w:pPr>
        <w:pStyle w:val="FootnoteText"/>
      </w:pPr>
      <w:r>
        <w:rPr>
          <w:rStyle w:val="FootnoteReference"/>
        </w:rPr>
        <w:footnoteRef/>
      </w:r>
      <w:r>
        <w:t xml:space="preserve"> </w:t>
      </w:r>
      <w:r w:rsidRPr="002F6F27">
        <w:rPr>
          <w:i/>
        </w:rPr>
        <w:t>833 Auction Comment Public Notice</w:t>
      </w:r>
      <w:r>
        <w:t xml:space="preserve"> at para. 24.</w:t>
      </w:r>
    </w:p>
  </w:footnote>
  <w:footnote w:id="102">
    <w:p w:rsidR="00CB75C2" w:rsidRDefault="00AA13C4" w:rsidP="00B42A2B">
      <w:pPr>
        <w:pStyle w:val="FootnoteText"/>
      </w:pPr>
      <w:r>
        <w:rPr>
          <w:rStyle w:val="FootnoteReference"/>
        </w:rPr>
        <w:footnoteRef/>
      </w:r>
      <w:r>
        <w:t xml:space="preserve"> </w:t>
      </w:r>
      <w:r>
        <w:rPr>
          <w:i/>
        </w:rPr>
        <w:t>Id</w:t>
      </w:r>
      <w:r>
        <w:t>.</w:t>
      </w:r>
      <w:r w:rsidRPr="00751DD6">
        <w:t xml:space="preserve"> </w:t>
      </w:r>
      <w:r>
        <w:t>at para. 25.</w:t>
      </w:r>
    </w:p>
  </w:footnote>
  <w:footnote w:id="103">
    <w:p w:rsidR="00CB75C2" w:rsidRDefault="00AA13C4" w:rsidP="00B42A2B">
      <w:pPr>
        <w:pStyle w:val="FootnoteText"/>
      </w:pPr>
      <w:r>
        <w:rPr>
          <w:rStyle w:val="FootnoteReference"/>
        </w:rPr>
        <w:footnoteRef/>
      </w:r>
      <w:r>
        <w:t xml:space="preserve"> </w:t>
      </w:r>
      <w:r>
        <w:rPr>
          <w:i/>
        </w:rPr>
        <w:t>Id</w:t>
      </w:r>
      <w:r>
        <w:t>.</w:t>
      </w:r>
      <w:r w:rsidRPr="00751DD6">
        <w:t xml:space="preserve"> </w:t>
      </w:r>
      <w:r>
        <w:t>at para. 25.</w:t>
      </w:r>
    </w:p>
  </w:footnote>
  <w:footnote w:id="104">
    <w:p w:rsidR="00CB75C2" w:rsidRDefault="00AA13C4" w:rsidP="00B42A2B">
      <w:pPr>
        <w:pStyle w:val="FootnoteText"/>
      </w:pPr>
      <w:r>
        <w:rPr>
          <w:rStyle w:val="FootnoteReference"/>
        </w:rPr>
        <w:footnoteRef/>
      </w:r>
      <w:r>
        <w:t xml:space="preserve"> An applicant RespOrg bidding on behalf of a potential subscriber is ultimately responsible for complying with all post-auction requirements.  </w:t>
      </w:r>
      <w:r w:rsidRPr="0012698B">
        <w:rPr>
          <w:i/>
        </w:rPr>
        <w:t>See</w:t>
      </w:r>
      <w:r>
        <w:t xml:space="preserve"> </w:t>
      </w:r>
      <w:r w:rsidRPr="00C93CCF">
        <w:rPr>
          <w:i/>
        </w:rPr>
        <w:t>infra</w:t>
      </w:r>
      <w:r>
        <w:t xml:space="preserve"> Section II.E.  Therefore, it is the responsibility of the applicant RespOrg to ensure the authorization by the potential subscriber is adequate (e.g., has been signed by a person with authority to bind the entity).</w:t>
      </w:r>
    </w:p>
  </w:footnote>
  <w:footnote w:id="105">
    <w:p w:rsidR="00CB75C2" w:rsidRDefault="00AA13C4" w:rsidP="00B42A2B">
      <w:pPr>
        <w:pStyle w:val="FootnoteText"/>
      </w:pPr>
      <w:r>
        <w:rPr>
          <w:rStyle w:val="FootnoteReference"/>
        </w:rPr>
        <w:footnoteRef/>
      </w:r>
      <w:r>
        <w:t xml:space="preserve"> </w:t>
      </w:r>
      <w:r w:rsidRPr="002F6F27">
        <w:rPr>
          <w:i/>
        </w:rPr>
        <w:t>833 Auction Comment Public Notice</w:t>
      </w:r>
      <w:r>
        <w:t xml:space="preserve"> at para. 25.</w:t>
      </w:r>
    </w:p>
  </w:footnote>
  <w:footnote w:id="106">
    <w:p w:rsidR="00CB75C2" w:rsidRDefault="00AA13C4" w:rsidP="00B42A2B">
      <w:pPr>
        <w:pStyle w:val="FootnoteText"/>
      </w:pPr>
      <w:r>
        <w:rPr>
          <w:rStyle w:val="FootnoteReference"/>
        </w:rPr>
        <w:footnoteRef/>
      </w:r>
      <w:r>
        <w:t xml:space="preserve"> In Commission auctions, applicants must often upload various exhibits to their auction applications, including in some cases, executed copies of agreements.  </w:t>
      </w:r>
      <w:r w:rsidRPr="004E792F">
        <w:rPr>
          <w:i/>
        </w:rPr>
        <w:t>See</w:t>
      </w:r>
      <w:r>
        <w:t xml:space="preserve">, </w:t>
      </w:r>
      <w:r w:rsidRPr="004E792F">
        <w:rPr>
          <w:i/>
        </w:rPr>
        <w:t>e</w:t>
      </w:r>
      <w:r>
        <w:t>.</w:t>
      </w:r>
      <w:r w:rsidRPr="004E792F">
        <w:rPr>
          <w:i/>
        </w:rPr>
        <w:t>g</w:t>
      </w:r>
      <w:r>
        <w:t xml:space="preserve">., </w:t>
      </w:r>
      <w:r w:rsidRPr="0006429A">
        <w:rPr>
          <w:i/>
        </w:rPr>
        <w:t>Application Procedures for Broadcast Incentive Auction Scheduled to Begin on March 29, 2016; Technical Formulas for Competitive Bidding</w:t>
      </w:r>
      <w:r w:rsidRPr="0006429A">
        <w:t xml:space="preserve">, Public Notice, </w:t>
      </w:r>
      <w:r>
        <w:t xml:space="preserve">30 FCC Rcd 11034, 11048-50, paras. 37, 39-40, 42 </w:t>
      </w:r>
      <w:r w:rsidRPr="0006429A">
        <w:t>(WTB 2015)</w:t>
      </w:r>
      <w:r>
        <w:t>.</w:t>
      </w:r>
    </w:p>
  </w:footnote>
  <w:footnote w:id="107">
    <w:p w:rsidR="00CB75C2" w:rsidRPr="00751DD6" w:rsidRDefault="00AA13C4" w:rsidP="00B42A2B">
      <w:pPr>
        <w:pStyle w:val="FootnoteText"/>
      </w:pPr>
      <w:r w:rsidRPr="00751DD6">
        <w:rPr>
          <w:rStyle w:val="FootnoteReference"/>
          <w:sz w:val="20"/>
        </w:rPr>
        <w:footnoteRef/>
      </w:r>
      <w:r w:rsidRPr="00751DD6">
        <w:t xml:space="preserve"> </w:t>
      </w:r>
      <w:r w:rsidRPr="00751DD6">
        <w:rPr>
          <w:i/>
        </w:rPr>
        <w:t>See</w:t>
      </w:r>
      <w:r w:rsidRPr="00751DD6">
        <w:t xml:space="preserve">, </w:t>
      </w:r>
      <w:r w:rsidRPr="00751DD6">
        <w:rPr>
          <w:i/>
        </w:rPr>
        <w:t>e</w:t>
      </w:r>
      <w:r w:rsidRPr="00751DD6">
        <w:t>.</w:t>
      </w:r>
      <w:r w:rsidRPr="00751DD6">
        <w:rPr>
          <w:i/>
        </w:rPr>
        <w:t>g</w:t>
      </w:r>
      <w:r w:rsidRPr="00751DD6">
        <w:t xml:space="preserve">., </w:t>
      </w:r>
      <w:r w:rsidRPr="00751DD6">
        <w:rPr>
          <w:i/>
        </w:rPr>
        <w:t>Broadcast Incentive Auction Scheduled to Begin on March 29, 2016; Procedures for Competitive Bidding in Auction 1000, Including Initial Clearing Target Determination, Qualifying to Bid, and Bidding in Auctions 1001 (Reverse) and 1002 (Forward)</w:t>
      </w:r>
      <w:r w:rsidRPr="00751DD6">
        <w:t xml:space="preserve">, Public Notice, 30 FCC Rcd 8975, 9046, para. 138 (2015); </w:t>
      </w:r>
      <w:r w:rsidRPr="00751DD6">
        <w:rPr>
          <w:i/>
        </w:rPr>
        <w:t>Auctions of Upper Microwave Flexible Use Licenses for Next-Generation Wireless Services; Notice and Filing Requirements, Minimum Opening Bids, Upfront Payments, and Other Procedures for Auctions 101 (28 GHz) and 102 (24 GHz); Bidding in Auction 101 Scheduled to Begin November 14, 2018</w:t>
      </w:r>
      <w:r w:rsidRPr="00751DD6">
        <w:t xml:space="preserve">, Public Notice, 33 FCC Rcd 7575, 7596-98, </w:t>
      </w:r>
      <w:r w:rsidRPr="00751DD6">
        <w:rPr>
          <w:lang w:val="de-DE"/>
        </w:rPr>
        <w:t xml:space="preserve">paras. 50-56 </w:t>
      </w:r>
      <w:r w:rsidRPr="00751DD6">
        <w:t>(2018)</w:t>
      </w:r>
      <w:r>
        <w:t xml:space="preserve"> (</w:t>
      </w:r>
      <w:r w:rsidRPr="001B3007">
        <w:rPr>
          <w:i/>
        </w:rPr>
        <w:t>Auctions 101-102 Procedures Public Notice</w:t>
      </w:r>
      <w:r>
        <w:t>)</w:t>
      </w:r>
      <w:r w:rsidRPr="00751DD6">
        <w:t xml:space="preserve">; </w:t>
      </w:r>
      <w:r w:rsidRPr="00751DD6">
        <w:rPr>
          <w:i/>
        </w:rPr>
        <w:t>see also</w:t>
      </w:r>
      <w:r w:rsidRPr="00751DD6">
        <w:t xml:space="preserve"> 47 CFR § 1.2104(h).</w:t>
      </w:r>
    </w:p>
  </w:footnote>
  <w:footnote w:id="108">
    <w:p w:rsidR="00CB75C2" w:rsidRDefault="00AA13C4" w:rsidP="00B42A2B">
      <w:pPr>
        <w:pStyle w:val="FootnoteText"/>
      </w:pPr>
      <w:r>
        <w:rPr>
          <w:rStyle w:val="FootnoteReference"/>
        </w:rPr>
        <w:footnoteRef/>
      </w:r>
      <w:r>
        <w:t xml:space="preserve"> </w:t>
      </w:r>
      <w:r w:rsidRPr="00504A1A">
        <w:rPr>
          <w:i/>
        </w:rPr>
        <w:t>833 Auction Comment Public Notice</w:t>
      </w:r>
      <w:r>
        <w:t xml:space="preserve"> at para. 41.</w:t>
      </w:r>
    </w:p>
  </w:footnote>
  <w:footnote w:id="109">
    <w:p w:rsidR="00CB75C2" w:rsidRPr="00751DD6" w:rsidRDefault="00AA13C4" w:rsidP="00B42A2B">
      <w:pPr>
        <w:pStyle w:val="FootnoteText"/>
      </w:pPr>
      <w:r w:rsidRPr="00751DD6">
        <w:rPr>
          <w:rStyle w:val="FootnoteReference"/>
          <w:sz w:val="20"/>
        </w:rPr>
        <w:footnoteRef/>
      </w:r>
      <w:r w:rsidRPr="00751DD6">
        <w:t xml:space="preserve"> As noted </w:t>
      </w:r>
      <w:r>
        <w:t>below</w:t>
      </w:r>
      <w:r w:rsidRPr="00751DD6">
        <w:t xml:space="preserve"> in Section </w:t>
      </w:r>
      <w:r>
        <w:t>III</w:t>
      </w:r>
      <w:r w:rsidRPr="00751DD6">
        <w:t>.B</w:t>
      </w:r>
      <w:r>
        <w:t xml:space="preserve">, </w:t>
      </w:r>
      <w:r w:rsidRPr="00751DD6">
        <w:t>once Somos has performed an initial review of the auction applications and announced which are complete or incomplete, we propose that Somos will make public the information contained in the application except the toll free numbers that an applicant selects for bidding.  This includes the names of any potential subscribers for which an applicant RespOrg is bidding.</w:t>
      </w:r>
    </w:p>
  </w:footnote>
  <w:footnote w:id="110">
    <w:p w:rsidR="00CB75C2" w:rsidRDefault="00AA13C4" w:rsidP="00B42A2B">
      <w:pPr>
        <w:pStyle w:val="FootnoteText"/>
      </w:pPr>
      <w:r>
        <w:rPr>
          <w:rStyle w:val="FootnoteReference"/>
        </w:rPr>
        <w:footnoteRef/>
      </w:r>
      <w:r>
        <w:t xml:space="preserve"> </w:t>
      </w:r>
      <w:r w:rsidRPr="00504A1A">
        <w:rPr>
          <w:i/>
        </w:rPr>
        <w:t>833 Auction Comment Public Notice</w:t>
      </w:r>
      <w:r>
        <w:t xml:space="preserve"> at para. 42.</w:t>
      </w:r>
    </w:p>
  </w:footnote>
  <w:footnote w:id="111">
    <w:p w:rsidR="00CB75C2" w:rsidRDefault="00AA13C4" w:rsidP="00B42A2B">
      <w:pPr>
        <w:pStyle w:val="FootnoteText"/>
      </w:pPr>
      <w:r>
        <w:rPr>
          <w:rStyle w:val="FootnoteReference"/>
        </w:rPr>
        <w:footnoteRef/>
      </w:r>
      <w:r>
        <w:t xml:space="preserve"> </w:t>
      </w:r>
      <w:r>
        <w:rPr>
          <w:i/>
        </w:rPr>
        <w:t>Id</w:t>
      </w:r>
      <w:r>
        <w:t>.</w:t>
      </w:r>
    </w:p>
  </w:footnote>
  <w:footnote w:id="112">
    <w:p w:rsidR="00CB75C2" w:rsidRDefault="00AA13C4" w:rsidP="00B42A2B">
      <w:pPr>
        <w:pStyle w:val="FootnoteText"/>
      </w:pPr>
      <w:r>
        <w:rPr>
          <w:rStyle w:val="FootnoteReference"/>
        </w:rPr>
        <w:footnoteRef/>
      </w:r>
      <w:r>
        <w:t xml:space="preserve"> </w:t>
      </w:r>
      <w:r>
        <w:rPr>
          <w:i/>
        </w:rPr>
        <w:t>Id</w:t>
      </w:r>
      <w:r>
        <w:t>.</w:t>
      </w:r>
    </w:p>
  </w:footnote>
  <w:footnote w:id="113">
    <w:p w:rsidR="00CB75C2" w:rsidRPr="00751DD6" w:rsidRDefault="00AA13C4" w:rsidP="00B42A2B">
      <w:pPr>
        <w:pStyle w:val="FootnoteText"/>
      </w:pPr>
      <w:r w:rsidRPr="00751DD6">
        <w:rPr>
          <w:rStyle w:val="FootnoteReference"/>
          <w:sz w:val="20"/>
        </w:rPr>
        <w:footnoteRef/>
      </w:r>
      <w:r w:rsidRPr="00751DD6">
        <w:t xml:space="preserve"> </w:t>
      </w:r>
      <w:r w:rsidRPr="00751DD6">
        <w:rPr>
          <w:i/>
        </w:rPr>
        <w:t>See</w:t>
      </w:r>
      <w:r w:rsidRPr="00751DD6">
        <w:t xml:space="preserve">, </w:t>
      </w:r>
      <w:r w:rsidRPr="00751DD6">
        <w:rPr>
          <w:i/>
        </w:rPr>
        <w:t>e</w:t>
      </w:r>
      <w:r w:rsidRPr="00751DD6">
        <w:t>.</w:t>
      </w:r>
      <w:r w:rsidRPr="00751DD6">
        <w:rPr>
          <w:i/>
        </w:rPr>
        <w:t>g</w:t>
      </w:r>
      <w:r w:rsidRPr="00751DD6">
        <w:t>., 47 CFR § 1.2104(g)(2) (“A bidder assumes a binding obligation to pay its full bid amount upon acceptance of the winning bid at the close of an auction.”).</w:t>
      </w:r>
    </w:p>
  </w:footnote>
  <w:footnote w:id="114">
    <w:p w:rsidR="00CB75C2" w:rsidRDefault="00AA13C4" w:rsidP="00B42A2B">
      <w:pPr>
        <w:pStyle w:val="FootnoteText"/>
      </w:pPr>
      <w:r>
        <w:rPr>
          <w:rStyle w:val="FootnoteReference"/>
        </w:rPr>
        <w:footnoteRef/>
      </w:r>
      <w:r>
        <w:t xml:space="preserve"> </w:t>
      </w:r>
      <w:r w:rsidRPr="0020277D">
        <w:rPr>
          <w:i/>
        </w:rPr>
        <w:t>833 Auction Comment Public Notice</w:t>
      </w:r>
      <w:r>
        <w:t xml:space="preserve"> at para. 26.</w:t>
      </w:r>
    </w:p>
  </w:footnote>
  <w:footnote w:id="115">
    <w:p w:rsidR="00CB75C2" w:rsidRDefault="00AA13C4" w:rsidP="00B42A2B">
      <w:pPr>
        <w:pStyle w:val="FootnoteText"/>
      </w:pPr>
      <w:r>
        <w:rPr>
          <w:rStyle w:val="FootnoteReference"/>
        </w:rPr>
        <w:footnoteRef/>
      </w:r>
      <w:r>
        <w:t xml:space="preserve"> </w:t>
      </w:r>
      <w:r>
        <w:rPr>
          <w:i/>
        </w:rPr>
        <w:t>Id</w:t>
      </w:r>
      <w:r>
        <w:t>.</w:t>
      </w:r>
    </w:p>
  </w:footnote>
  <w:footnote w:id="116">
    <w:p w:rsidR="00CB75C2" w:rsidRPr="00751DD6" w:rsidRDefault="00AA13C4" w:rsidP="00B42A2B">
      <w:pPr>
        <w:pStyle w:val="FootnoteText"/>
      </w:pPr>
      <w:r w:rsidRPr="00751DD6">
        <w:rPr>
          <w:rStyle w:val="FootnoteReference"/>
          <w:sz w:val="20"/>
        </w:rPr>
        <w:footnoteRef/>
      </w:r>
      <w:r w:rsidRPr="00751DD6">
        <w:t xml:space="preserve"> In the </w:t>
      </w:r>
      <w:r w:rsidRPr="00751DD6">
        <w:rPr>
          <w:i/>
        </w:rPr>
        <w:t>Toll Free Assignment Modernization Order</w:t>
      </w:r>
      <w:r w:rsidRPr="00751DD6">
        <w:t xml:space="preserve">, the Commission stated that it will not require winning bidders to submit a post-auction, long-form application given the lack of need to verify winning bidders’ qualifications in the toll free context and to limit the administrative burden on bidders, the auctioneer, and the Commission.  </w:t>
      </w:r>
      <w:r w:rsidRPr="00751DD6">
        <w:rPr>
          <w:i/>
        </w:rPr>
        <w:t>Toll Free Assignment Modernization Order</w:t>
      </w:r>
      <w:r w:rsidRPr="00751DD6">
        <w:t>, 33 FCC Rcd at 9290, para. 43.</w:t>
      </w:r>
    </w:p>
  </w:footnote>
  <w:footnote w:id="117">
    <w:p w:rsidR="00CB75C2" w:rsidRPr="00D764A7" w:rsidRDefault="00AA13C4" w:rsidP="00B42A2B">
      <w:pPr>
        <w:pStyle w:val="FootnoteText"/>
      </w:pPr>
      <w:r w:rsidRPr="00D764A7">
        <w:rPr>
          <w:rStyle w:val="FootnoteReference"/>
        </w:rPr>
        <w:footnoteRef/>
      </w:r>
      <w:r w:rsidRPr="00D764A7">
        <w:t xml:space="preserve"> </w:t>
      </w:r>
      <w:r>
        <w:rPr>
          <w:i/>
        </w:rPr>
        <w:t>Cf.</w:t>
      </w:r>
      <w:r w:rsidRPr="00D764A7">
        <w:rPr>
          <w:i/>
        </w:rPr>
        <w:t xml:space="preserve"> </w:t>
      </w:r>
      <w:r w:rsidRPr="00D764A7">
        <w:t>47 CFR § 1.2105;</w:t>
      </w:r>
      <w:r w:rsidRPr="00D764A7">
        <w:rPr>
          <w:i/>
        </w:rPr>
        <w:t xml:space="preserve"> </w:t>
      </w:r>
      <w:r w:rsidRPr="00E41C1B">
        <w:rPr>
          <w:i/>
        </w:rPr>
        <w:t>Competitive</w:t>
      </w:r>
      <w:r w:rsidRPr="00D764A7">
        <w:rPr>
          <w:i/>
        </w:rPr>
        <w:t xml:space="preserve"> Bidding</w:t>
      </w:r>
      <w:r w:rsidRPr="00D764A7">
        <w:t xml:space="preserve"> </w:t>
      </w:r>
      <w:r w:rsidRPr="00D764A7">
        <w:rPr>
          <w:i/>
        </w:rPr>
        <w:t>Second Report and Order</w:t>
      </w:r>
      <w:r>
        <w:t xml:space="preserve">, </w:t>
      </w:r>
      <w:r w:rsidRPr="00D764A7">
        <w:t xml:space="preserve">9 FCC Rcd </w:t>
      </w:r>
      <w:r>
        <w:t xml:space="preserve">at </w:t>
      </w:r>
      <w:r w:rsidRPr="00D764A7">
        <w:t>2376</w:t>
      </w:r>
      <w:r>
        <w:t>-77</w:t>
      </w:r>
      <w:r w:rsidRPr="00D764A7">
        <w:t>, para. 16</w:t>
      </w:r>
      <w:r>
        <w:t>6.</w:t>
      </w:r>
    </w:p>
  </w:footnote>
  <w:footnote w:id="118">
    <w:p w:rsidR="00CB75C2" w:rsidRPr="0012698B" w:rsidRDefault="00AA13C4" w:rsidP="00B42A2B">
      <w:pPr>
        <w:pStyle w:val="FootnoteText"/>
      </w:pPr>
      <w:r w:rsidRPr="0012698B">
        <w:rPr>
          <w:rStyle w:val="FootnoteReference"/>
        </w:rPr>
        <w:footnoteRef/>
      </w:r>
      <w:r w:rsidRPr="0012698B">
        <w:t xml:space="preserve"> </w:t>
      </w:r>
      <w:r w:rsidRPr="0012698B">
        <w:rPr>
          <w:i/>
        </w:rPr>
        <w:t>Cf</w:t>
      </w:r>
      <w:r w:rsidRPr="0012698B">
        <w:t xml:space="preserve">. </w:t>
      </w:r>
      <w:r w:rsidRPr="0012698B">
        <w:rPr>
          <w:i/>
        </w:rPr>
        <w:t>Competitive Bidding</w:t>
      </w:r>
      <w:r w:rsidRPr="0012698B">
        <w:t xml:space="preserve"> </w:t>
      </w:r>
      <w:r w:rsidRPr="0012698B">
        <w:rPr>
          <w:i/>
        </w:rPr>
        <w:t>Second Report and Order</w:t>
      </w:r>
      <w:r w:rsidRPr="0012698B">
        <w:t>, 9 FCC Rcd at 2376, para. 165.</w:t>
      </w:r>
    </w:p>
  </w:footnote>
  <w:footnote w:id="119">
    <w:p w:rsidR="00CB75C2" w:rsidRPr="00D764A7" w:rsidRDefault="00AA13C4" w:rsidP="00B42A2B">
      <w:pPr>
        <w:pStyle w:val="FootnoteText"/>
        <w:widowControl w:val="0"/>
      </w:pPr>
      <w:r w:rsidRPr="00D764A7">
        <w:rPr>
          <w:rStyle w:val="FootnoteReference"/>
        </w:rPr>
        <w:footnoteRef/>
      </w:r>
      <w:r w:rsidRPr="00D764A7">
        <w:rPr>
          <w:i/>
        </w:rPr>
        <w:t xml:space="preserve"> See </w:t>
      </w:r>
      <w:r>
        <w:rPr>
          <w:i/>
        </w:rPr>
        <w:t xml:space="preserve">infra </w:t>
      </w:r>
      <w:r w:rsidRPr="00D764A7">
        <w:t xml:space="preserve">Section </w:t>
      </w:r>
      <w:r>
        <w:t>IV.F.</w:t>
      </w:r>
      <w:r w:rsidRPr="00D764A7">
        <w:t xml:space="preserve"> </w:t>
      </w:r>
      <w:r w:rsidRPr="00D764A7">
        <w:rPr>
          <w:i/>
        </w:rPr>
        <w:t xml:space="preserve">  </w:t>
      </w:r>
    </w:p>
  </w:footnote>
  <w:footnote w:id="120">
    <w:p w:rsidR="00CB75C2" w:rsidRPr="00D764A7" w:rsidRDefault="00AA13C4" w:rsidP="00B42A2B">
      <w:pPr>
        <w:pStyle w:val="FootnoteText"/>
      </w:pPr>
      <w:r w:rsidRPr="00D764A7">
        <w:rPr>
          <w:rStyle w:val="FootnoteReference"/>
        </w:rPr>
        <w:footnoteRef/>
      </w:r>
      <w:r w:rsidRPr="00D764A7">
        <w:t xml:space="preserve"> </w:t>
      </w:r>
      <w:r>
        <w:t>T</w:t>
      </w:r>
      <w:r w:rsidRPr="00D764A7">
        <w:t xml:space="preserve">he prohibition will end for applicants </w:t>
      </w:r>
      <w:r>
        <w:t>o</w:t>
      </w:r>
      <w:r w:rsidRPr="00D764A7">
        <w:t xml:space="preserve">n the post-auction </w:t>
      </w:r>
      <w:r>
        <w:t>final</w:t>
      </w:r>
      <w:r w:rsidRPr="00D764A7">
        <w:t xml:space="preserve"> payment </w:t>
      </w:r>
      <w:r>
        <w:t xml:space="preserve">(with late fee) </w:t>
      </w:r>
      <w:r w:rsidRPr="00D764A7">
        <w:t xml:space="preserve">deadline.  </w:t>
      </w:r>
      <w:r w:rsidRPr="00D764A7">
        <w:rPr>
          <w:i/>
        </w:rPr>
        <w:t xml:space="preserve">See </w:t>
      </w:r>
      <w:r>
        <w:rPr>
          <w:i/>
        </w:rPr>
        <w:t xml:space="preserve">supra </w:t>
      </w:r>
      <w:r w:rsidRPr="00D764A7">
        <w:t xml:space="preserve">Section </w:t>
      </w:r>
      <w:r>
        <w:t>II.B.2.</w:t>
      </w:r>
    </w:p>
  </w:footnote>
  <w:footnote w:id="121">
    <w:p w:rsidR="00CB75C2" w:rsidRPr="00D764A7" w:rsidRDefault="00AA13C4" w:rsidP="00B42A2B">
      <w:pPr>
        <w:pStyle w:val="FootnoteText"/>
        <w:widowControl w:val="0"/>
      </w:pPr>
      <w:r w:rsidRPr="00D764A7">
        <w:rPr>
          <w:rStyle w:val="FootnoteReference"/>
        </w:rPr>
        <w:footnoteRef/>
      </w:r>
      <w:r w:rsidRPr="00D764A7">
        <w:t xml:space="preserve"> </w:t>
      </w:r>
      <w:r w:rsidRPr="00D764A7">
        <w:rPr>
          <w:i/>
        </w:rPr>
        <w:t xml:space="preserve">See </w:t>
      </w:r>
      <w:r w:rsidRPr="00CB378E">
        <w:rPr>
          <w:i/>
        </w:rPr>
        <w:t xml:space="preserve">id. </w:t>
      </w:r>
      <w:r w:rsidRPr="00D764A7">
        <w:t>§ 1.2105(b)(1).</w:t>
      </w:r>
    </w:p>
  </w:footnote>
  <w:footnote w:id="122">
    <w:p w:rsidR="00CB75C2" w:rsidRPr="00D764A7" w:rsidRDefault="00AA13C4" w:rsidP="00B42A2B">
      <w:pPr>
        <w:pStyle w:val="FootnoteText"/>
        <w:widowControl w:val="0"/>
      </w:pPr>
      <w:r w:rsidRPr="00D764A7">
        <w:rPr>
          <w:rStyle w:val="FootnoteReference"/>
        </w:rPr>
        <w:footnoteRef/>
      </w:r>
      <w:r w:rsidRPr="00D764A7">
        <w:t xml:space="preserve"> As more fully explained below in Section </w:t>
      </w:r>
      <w:r>
        <w:t>III.H.,</w:t>
      </w:r>
      <w:r w:rsidRPr="00D764A7">
        <w:t xml:space="preserve"> applicants are not permitted to make major modifications to their </w:t>
      </w:r>
      <w:r>
        <w:t>auction</w:t>
      </w:r>
      <w:r w:rsidRPr="00D764A7">
        <w:t xml:space="preserve"> applications after the filing deadline.  </w:t>
      </w:r>
      <w:r>
        <w:rPr>
          <w:i/>
        </w:rPr>
        <w:t>Cf.</w:t>
      </w:r>
      <w:r w:rsidRPr="00D764A7">
        <w:rPr>
          <w:i/>
        </w:rPr>
        <w:t xml:space="preserve"> </w:t>
      </w:r>
      <w:r w:rsidRPr="00D764A7">
        <w:t xml:space="preserve">47 CFR § 1.2105(b)(2).  A change in the </w:t>
      </w:r>
      <w:r>
        <w:t xml:space="preserve">required certifications </w:t>
      </w:r>
      <w:r w:rsidRPr="00D764A7">
        <w:t>is considered a major change and would therefore not be permitted.</w:t>
      </w:r>
    </w:p>
  </w:footnote>
  <w:footnote w:id="123">
    <w:p w:rsidR="00CB75C2" w:rsidRDefault="00AA13C4" w:rsidP="00B42A2B">
      <w:pPr>
        <w:pStyle w:val="FootnoteText"/>
      </w:pPr>
      <w:r>
        <w:rPr>
          <w:rStyle w:val="FootnoteReference"/>
        </w:rPr>
        <w:footnoteRef/>
      </w:r>
      <w:r>
        <w:t xml:space="preserve"> </w:t>
      </w:r>
      <w:r w:rsidRPr="00A97B40">
        <w:rPr>
          <w:i/>
        </w:rPr>
        <w:t xml:space="preserve">See </w:t>
      </w:r>
      <w:r w:rsidRPr="00A97B40">
        <w:rPr>
          <w:i/>
          <w:iCs/>
        </w:rPr>
        <w:t xml:space="preserve">Examination of Current Policy Concerning Treatment of Confidential Information Submitted to the Commission, </w:t>
      </w:r>
      <w:r w:rsidRPr="00A97B40">
        <w:t xml:space="preserve">Report and Order, 13 FCC Red 24816, </w:t>
      </w:r>
      <w:r w:rsidRPr="00D5018F">
        <w:t>24822-23, para. 8 (1998</w:t>
      </w:r>
      <w:r w:rsidRPr="00A97B40">
        <w:t>).</w:t>
      </w:r>
      <w:r>
        <w:t xml:space="preserve">  </w:t>
      </w:r>
    </w:p>
  </w:footnote>
  <w:footnote w:id="124">
    <w:p w:rsidR="00CB75C2" w:rsidRDefault="00AA13C4" w:rsidP="00B42A2B">
      <w:pPr>
        <w:pStyle w:val="FootnoteText"/>
      </w:pPr>
      <w:r>
        <w:rPr>
          <w:rStyle w:val="FootnoteReference"/>
        </w:rPr>
        <w:footnoteRef/>
      </w:r>
      <w:r>
        <w:t xml:space="preserve"> </w:t>
      </w:r>
      <w:r w:rsidRPr="00D63329">
        <w:rPr>
          <w:i/>
        </w:rPr>
        <w:t>See</w:t>
      </w:r>
      <w:r>
        <w:t xml:space="preserve"> </w:t>
      </w:r>
      <w:r w:rsidRPr="005E4A74">
        <w:rPr>
          <w:i/>
        </w:rPr>
        <w:t>supra</w:t>
      </w:r>
      <w:r>
        <w:t xml:space="preserve"> </w:t>
      </w:r>
      <w:r w:rsidRPr="00D764A7">
        <w:t xml:space="preserve">Section </w:t>
      </w:r>
      <w:r>
        <w:t xml:space="preserve">II.A.; </w:t>
      </w:r>
      <w:r w:rsidRPr="002F2B88">
        <w:rPr>
          <w:i/>
        </w:rPr>
        <w:t xml:space="preserve">see also </w:t>
      </w:r>
      <w:r>
        <w:rPr>
          <w:i/>
        </w:rPr>
        <w:t>833 Auction Comment Public Notice</w:t>
      </w:r>
      <w:r>
        <w:t xml:space="preserve"> at para.14;</w:t>
      </w:r>
      <w:r>
        <w:rPr>
          <w:i/>
        </w:rPr>
        <w:t xml:space="preserve"> </w:t>
      </w:r>
      <w:r w:rsidRPr="002F2B88">
        <w:rPr>
          <w:i/>
        </w:rPr>
        <w:t>Toll Free Assignment Modernization Order</w:t>
      </w:r>
      <w:r>
        <w:t>, 33 FCC Rcd at 9290, para. 46.</w:t>
      </w:r>
    </w:p>
  </w:footnote>
  <w:footnote w:id="125">
    <w:p w:rsidR="00CB75C2" w:rsidRPr="00D764A7" w:rsidRDefault="00AA13C4" w:rsidP="00B42A2B">
      <w:pPr>
        <w:pStyle w:val="FootnoteText"/>
        <w:widowControl w:val="0"/>
      </w:pPr>
      <w:r w:rsidRPr="00D764A7">
        <w:rPr>
          <w:rStyle w:val="FootnoteReference"/>
        </w:rPr>
        <w:footnoteRef/>
      </w:r>
      <w:r w:rsidRPr="00D764A7">
        <w:t xml:space="preserve"> </w:t>
      </w:r>
      <w:r w:rsidRPr="002F2B88">
        <w:rPr>
          <w:i/>
        </w:rPr>
        <w:t>Toll Free Assignment Modernization Order</w:t>
      </w:r>
      <w:r>
        <w:t xml:space="preserve">, 33 FCC Rcd at 9290, paras. 45-46.  </w:t>
      </w:r>
      <w:r>
        <w:rPr>
          <w:i/>
        </w:rPr>
        <w:t>Cf.</w:t>
      </w:r>
      <w:r w:rsidRPr="00D764A7">
        <w:rPr>
          <w:i/>
        </w:rPr>
        <w:t xml:space="preserve"> 2015 Part 1 </w:t>
      </w:r>
      <w:r>
        <w:rPr>
          <w:i/>
        </w:rPr>
        <w:t>Report and Order</w:t>
      </w:r>
      <w:r w:rsidRPr="00D764A7">
        <w:t>, 30 FCC Rcd at 7580-81, paras. 206</w:t>
      </w:r>
      <w:r>
        <w:t>-</w:t>
      </w:r>
      <w:r w:rsidRPr="00D764A7">
        <w:t>08.</w:t>
      </w:r>
    </w:p>
  </w:footnote>
  <w:footnote w:id="126">
    <w:p w:rsidR="00CB75C2" w:rsidRPr="00D764A7" w:rsidRDefault="00AA13C4" w:rsidP="00B42A2B">
      <w:pPr>
        <w:pStyle w:val="FootnoteText"/>
        <w:widowControl w:val="0"/>
      </w:pPr>
      <w:r w:rsidRPr="00D764A7">
        <w:rPr>
          <w:rStyle w:val="FootnoteReference"/>
        </w:rPr>
        <w:footnoteRef/>
      </w:r>
      <w:r w:rsidRPr="00D764A7">
        <w:t xml:space="preserve"> </w:t>
      </w:r>
      <w:r>
        <w:rPr>
          <w:i/>
        </w:rPr>
        <w:t>Cf.</w:t>
      </w:r>
      <w:r w:rsidRPr="00D764A7">
        <w:rPr>
          <w:i/>
        </w:rPr>
        <w:t xml:space="preserve"> </w:t>
      </w:r>
      <w:r w:rsidRPr="00D764A7">
        <w:t>47 CFR § 1.2105(a)(3)</w:t>
      </w:r>
      <w:r>
        <w:t>,</w:t>
      </w:r>
      <w:r w:rsidRPr="00D764A7">
        <w:t xml:space="preserve"> (b)(1)(ii).</w:t>
      </w:r>
    </w:p>
  </w:footnote>
  <w:footnote w:id="127">
    <w:p w:rsidR="00CB75C2" w:rsidRDefault="00AA13C4" w:rsidP="00B42A2B">
      <w:pPr>
        <w:pStyle w:val="FootnoteText"/>
      </w:pPr>
      <w:r>
        <w:rPr>
          <w:rStyle w:val="FootnoteReference"/>
        </w:rPr>
        <w:footnoteRef/>
      </w:r>
      <w:r>
        <w:t xml:space="preserve"> </w:t>
      </w:r>
      <w:r w:rsidRPr="00C301C7">
        <w:rPr>
          <w:i/>
        </w:rPr>
        <w:t>833 Auction Comment Public Notice</w:t>
      </w:r>
      <w:r>
        <w:t xml:space="preserve"> at para. 29.</w:t>
      </w:r>
      <w:r w:rsidRPr="00100603">
        <w:t xml:space="preserve"> </w:t>
      </w:r>
      <w:r>
        <w:t xml:space="preserve"> There is no limit to how many numbers for which an entity can place a bid.</w:t>
      </w:r>
      <w:r w:rsidRPr="00100603">
        <w:rPr>
          <w:i/>
        </w:rPr>
        <w:t xml:space="preserve"> </w:t>
      </w:r>
      <w:r w:rsidRPr="00751DD6">
        <w:rPr>
          <w:i/>
        </w:rPr>
        <w:t>See</w:t>
      </w:r>
      <w:r w:rsidRPr="00751DD6">
        <w:t xml:space="preserve"> </w:t>
      </w:r>
      <w:r w:rsidRPr="002F2B88">
        <w:rPr>
          <w:i/>
        </w:rPr>
        <w:t>Toll Free Assignment Modernization Order</w:t>
      </w:r>
      <w:r>
        <w:t xml:space="preserve">, 33 FCC Rcd at </w:t>
      </w:r>
      <w:r w:rsidRPr="00751DD6">
        <w:t>9293, para. 55.</w:t>
      </w:r>
    </w:p>
  </w:footnote>
  <w:footnote w:id="128">
    <w:p w:rsidR="00CB75C2" w:rsidRPr="00751DD6" w:rsidRDefault="00AA13C4" w:rsidP="00B42A2B">
      <w:pPr>
        <w:pStyle w:val="FootnoteText"/>
      </w:pPr>
      <w:r w:rsidRPr="00751DD6">
        <w:rPr>
          <w:rStyle w:val="FootnoteReference"/>
          <w:sz w:val="20"/>
        </w:rPr>
        <w:footnoteRef/>
      </w:r>
      <w:r w:rsidRPr="00751DD6">
        <w:t xml:space="preserve"> I</w:t>
      </w:r>
      <w:r>
        <w:t>f an</w:t>
      </w:r>
      <w:r w:rsidRPr="00751DD6">
        <w:t xml:space="preserve"> </w:t>
      </w:r>
      <w:r>
        <w:t>applicant</w:t>
      </w:r>
      <w:r w:rsidRPr="00751DD6">
        <w:t xml:space="preserve"> is bidding on its own behalf</w:t>
      </w:r>
      <w:r>
        <w:t xml:space="preserve"> for a particular number</w:t>
      </w:r>
      <w:r w:rsidRPr="00751DD6">
        <w:t xml:space="preserve">, the applicant would </w:t>
      </w:r>
      <w:r>
        <w:t>simply list</w:t>
      </w:r>
      <w:r w:rsidRPr="00751DD6">
        <w:t xml:space="preserve"> itself in </w:t>
      </w:r>
      <w:r>
        <w:t>any</w:t>
      </w:r>
      <w:r w:rsidRPr="00751DD6">
        <w:t xml:space="preserve"> field</w:t>
      </w:r>
      <w:r>
        <w:t xml:space="preserve"> on the FCC Form 833</w:t>
      </w:r>
      <w:r w:rsidRPr="00751DD6">
        <w:t xml:space="preserve"> asking for this information.</w:t>
      </w:r>
    </w:p>
  </w:footnote>
  <w:footnote w:id="129">
    <w:p w:rsidR="00CB75C2" w:rsidRDefault="00AA13C4" w:rsidP="00B42A2B">
      <w:pPr>
        <w:pStyle w:val="FootnoteText"/>
      </w:pPr>
      <w:r>
        <w:rPr>
          <w:rStyle w:val="FootnoteReference"/>
        </w:rPr>
        <w:footnoteRef/>
      </w:r>
      <w:r>
        <w:t xml:space="preserve"> </w:t>
      </w:r>
      <w:r w:rsidRPr="00C301C7">
        <w:rPr>
          <w:i/>
        </w:rPr>
        <w:t>833 Auction Comment Public Notice</w:t>
      </w:r>
      <w:r>
        <w:t xml:space="preserve"> at para. 30.</w:t>
      </w:r>
    </w:p>
  </w:footnote>
  <w:footnote w:id="130">
    <w:p w:rsidR="00CB75C2" w:rsidRDefault="00AA13C4" w:rsidP="00B42A2B">
      <w:pPr>
        <w:pStyle w:val="FootnoteText"/>
      </w:pPr>
      <w:r>
        <w:rPr>
          <w:rStyle w:val="FootnoteReference"/>
        </w:rPr>
        <w:footnoteRef/>
      </w:r>
      <w:r>
        <w:t xml:space="preserve"> </w:t>
      </w:r>
      <w:r>
        <w:rPr>
          <w:i/>
        </w:rPr>
        <w:t>Id</w:t>
      </w:r>
      <w:r>
        <w:t>.</w:t>
      </w:r>
      <w:r w:rsidRPr="00751DD6">
        <w:t xml:space="preserve"> </w:t>
      </w:r>
      <w:r>
        <w:t>at para. 29.</w:t>
      </w:r>
      <w:r w:rsidRPr="00100603">
        <w:t xml:space="preserve"> </w:t>
      </w:r>
      <w:r>
        <w:t xml:space="preserve"> </w:t>
      </w:r>
    </w:p>
  </w:footnote>
  <w:footnote w:id="131">
    <w:p w:rsidR="00CB75C2" w:rsidRDefault="00AA13C4" w:rsidP="00B42A2B">
      <w:pPr>
        <w:pStyle w:val="FootnoteText"/>
      </w:pPr>
      <w:r>
        <w:rPr>
          <w:rStyle w:val="FootnoteReference"/>
        </w:rPr>
        <w:footnoteRef/>
      </w:r>
      <w:r>
        <w:t xml:space="preserve"> Moreover, we believe such changes would be comparable to changes in license selection in our spectrum auctions, which we consider to be major modifications.  </w:t>
      </w:r>
      <w:r w:rsidRPr="004E792F">
        <w:rPr>
          <w:i/>
        </w:rPr>
        <w:t>See</w:t>
      </w:r>
      <w:r>
        <w:t xml:space="preserve"> 47 CFR § 1.2105(b)(2).</w:t>
      </w:r>
    </w:p>
  </w:footnote>
  <w:footnote w:id="132">
    <w:p w:rsidR="00CB75C2" w:rsidRPr="00751DD6" w:rsidRDefault="00AA13C4" w:rsidP="00B42A2B">
      <w:pPr>
        <w:pStyle w:val="FootnoteText"/>
      </w:pPr>
      <w:r w:rsidRPr="00751DD6">
        <w:rPr>
          <w:rStyle w:val="FootnoteReference"/>
          <w:sz w:val="20"/>
        </w:rPr>
        <w:footnoteRef/>
      </w:r>
      <w:r w:rsidRPr="00751DD6">
        <w:t xml:space="preserve"> If a particular available toll free number is not selected on any auction application, it will not be available in the auction.</w:t>
      </w:r>
    </w:p>
  </w:footnote>
  <w:footnote w:id="133">
    <w:p w:rsidR="00CB75C2" w:rsidRDefault="00AA13C4" w:rsidP="00B42A2B">
      <w:pPr>
        <w:pStyle w:val="FootnoteText"/>
      </w:pPr>
      <w:r>
        <w:rPr>
          <w:rStyle w:val="FootnoteReference"/>
        </w:rPr>
        <w:footnoteRef/>
      </w:r>
      <w:r>
        <w:t xml:space="preserve"> </w:t>
      </w:r>
      <w:r w:rsidRPr="008E1E2D">
        <w:rPr>
          <w:i/>
        </w:rPr>
        <w:t>See</w:t>
      </w:r>
      <w:r>
        <w:t xml:space="preserve"> </w:t>
      </w:r>
      <w:r w:rsidRPr="00C301C7">
        <w:rPr>
          <w:i/>
        </w:rPr>
        <w:t>833 Auction Comment Public Notice</w:t>
      </w:r>
      <w:r>
        <w:t xml:space="preserve"> at para. 31.</w:t>
      </w:r>
    </w:p>
  </w:footnote>
  <w:footnote w:id="134">
    <w:p w:rsidR="00CB75C2" w:rsidRDefault="00AA13C4" w:rsidP="00B42A2B">
      <w:pPr>
        <w:pStyle w:val="FootnoteText"/>
      </w:pPr>
      <w:r>
        <w:rPr>
          <w:rStyle w:val="FootnoteReference"/>
        </w:rPr>
        <w:footnoteRef/>
      </w:r>
      <w:r>
        <w:t xml:space="preserve"> </w:t>
      </w:r>
      <w:r>
        <w:rPr>
          <w:i/>
        </w:rPr>
        <w:t>Id</w:t>
      </w:r>
      <w:r>
        <w:t>.</w:t>
      </w:r>
    </w:p>
  </w:footnote>
  <w:footnote w:id="135">
    <w:p w:rsidR="00CB75C2" w:rsidRDefault="00AA13C4" w:rsidP="00B42A2B">
      <w:pPr>
        <w:pStyle w:val="FootnoteText"/>
      </w:pPr>
      <w:r>
        <w:rPr>
          <w:rStyle w:val="FootnoteReference"/>
        </w:rPr>
        <w:footnoteRef/>
      </w:r>
      <w:r>
        <w:t xml:space="preserve"> </w:t>
      </w:r>
      <w:r w:rsidRPr="005371BA">
        <w:rPr>
          <w:i/>
        </w:rPr>
        <w:t>Part 1 Third Report and Order</w:t>
      </w:r>
      <w:r>
        <w:t xml:space="preserve">, 13 FCC Rcd at 417-18, para. 73; </w:t>
      </w:r>
      <w:r w:rsidRPr="002615F1">
        <w:rPr>
          <w:i/>
        </w:rPr>
        <w:t>2000</w:t>
      </w:r>
      <w:r>
        <w:t xml:space="preserve"> </w:t>
      </w:r>
      <w:r w:rsidRPr="00D764A7">
        <w:rPr>
          <w:i/>
        </w:rPr>
        <w:t>Part 1 Order</w:t>
      </w:r>
      <w:r>
        <w:t>, 15 FCC Rcd at 15300, para. 12.</w:t>
      </w:r>
    </w:p>
  </w:footnote>
  <w:footnote w:id="136">
    <w:p w:rsidR="00CB75C2" w:rsidRPr="00751DD6" w:rsidRDefault="00AA13C4" w:rsidP="00B42A2B">
      <w:pPr>
        <w:pStyle w:val="FootnoteText"/>
      </w:pPr>
      <w:r w:rsidRPr="00751DD6">
        <w:rPr>
          <w:rStyle w:val="FootnoteReference"/>
          <w:sz w:val="20"/>
        </w:rPr>
        <w:footnoteRef/>
      </w:r>
      <w:r w:rsidRPr="00751DD6">
        <w:t xml:space="preserve"> 47 CFR § 1.2112(a).</w:t>
      </w:r>
    </w:p>
  </w:footnote>
  <w:footnote w:id="137">
    <w:p w:rsidR="00CB75C2" w:rsidRPr="006568A5" w:rsidRDefault="00AA13C4" w:rsidP="00B42A2B">
      <w:pPr>
        <w:pStyle w:val="FootnoteText"/>
      </w:pPr>
      <w:r w:rsidRPr="00751DD6">
        <w:rPr>
          <w:rStyle w:val="FootnoteReference"/>
          <w:sz w:val="20"/>
        </w:rPr>
        <w:footnoteRef/>
      </w:r>
      <w:r w:rsidRPr="00751DD6">
        <w:t xml:space="preserve"> </w:t>
      </w:r>
      <w:r>
        <w:t>A</w:t>
      </w:r>
      <w:r w:rsidRPr="00751DD6">
        <w:t>n applicant must list all parties holding indirect ownership interests in the applicant as determined by successive multiplication of the ownership percentages for each link in the vertical ownership chain that equals 10</w:t>
      </w:r>
      <w:r>
        <w:t xml:space="preserve">% </w:t>
      </w:r>
      <w:r w:rsidRPr="00751DD6">
        <w:t>or more of the applicant, except that if the ownership percentage for an interest in any link in the chain exceeds 50</w:t>
      </w:r>
      <w:r>
        <w:t xml:space="preserve">% </w:t>
      </w:r>
      <w:r w:rsidRPr="00751DD6">
        <w:t>or represents actual control, it shall be treated and reported as if it were a 100</w:t>
      </w:r>
      <w:r>
        <w:t xml:space="preserve">% </w:t>
      </w:r>
      <w:r w:rsidRPr="00751DD6">
        <w:t xml:space="preserve">interest.  </w:t>
      </w:r>
      <w:r w:rsidRPr="00717FA0">
        <w:rPr>
          <w:i/>
        </w:rPr>
        <w:t>Cf</w:t>
      </w:r>
      <w:r>
        <w:t xml:space="preserve">. </w:t>
      </w:r>
      <w:r w:rsidRPr="00751DD6">
        <w:t>47 CFR § 1.2112(a)(6)</w:t>
      </w:r>
      <w:r>
        <w:t xml:space="preserve">.  </w:t>
      </w:r>
      <w:r w:rsidRPr="00717FA0">
        <w:rPr>
          <w:i/>
        </w:rPr>
        <w:t>See</w:t>
      </w:r>
      <w:r>
        <w:t xml:space="preserve"> </w:t>
      </w:r>
      <w:r w:rsidRPr="00C301C7">
        <w:rPr>
          <w:i/>
        </w:rPr>
        <w:t>833 Auction Comment Public Notice</w:t>
      </w:r>
      <w:r>
        <w:t xml:space="preserve"> at n.48.</w:t>
      </w:r>
    </w:p>
  </w:footnote>
  <w:footnote w:id="138">
    <w:p w:rsidR="00CB75C2" w:rsidRPr="00705A57" w:rsidRDefault="00AA13C4" w:rsidP="00B42A2B">
      <w:pPr>
        <w:pStyle w:val="FootnoteText"/>
      </w:pPr>
      <w:r w:rsidRPr="00705A57">
        <w:rPr>
          <w:rStyle w:val="FootnoteReference"/>
        </w:rPr>
        <w:footnoteRef/>
      </w:r>
      <w:r w:rsidRPr="00705A57">
        <w:t xml:space="preserve"> </w:t>
      </w:r>
      <w:r w:rsidRPr="003D0148">
        <w:rPr>
          <w:snapToGrid w:val="0"/>
          <w:kern w:val="28"/>
        </w:rPr>
        <w:t xml:space="preserve">In the </w:t>
      </w:r>
      <w:r w:rsidRPr="003D0148">
        <w:rPr>
          <w:i/>
          <w:snapToGrid w:val="0"/>
          <w:kern w:val="28"/>
        </w:rPr>
        <w:t>Toll Free Assignment Modernization Order</w:t>
      </w:r>
      <w:r w:rsidRPr="003D0148">
        <w:rPr>
          <w:snapToGrid w:val="0"/>
          <w:kern w:val="28"/>
        </w:rPr>
        <w:t>, the Commission determined that “</w:t>
      </w:r>
      <w:r w:rsidRPr="003D0148">
        <w:t xml:space="preserve">any entity wishing to participate in the 833 Auction will have to fully disclose information regarding the real party- or parties-in-interest in the applicant </w:t>
      </w:r>
      <w:r w:rsidRPr="00335360">
        <w:t xml:space="preserve">… </w:t>
      </w:r>
      <w:r w:rsidRPr="003D0148">
        <w:t>and the ownership structure of the applicant, including both direct and indirect ownership interests of 10</w:t>
      </w:r>
      <w:r w:rsidRPr="00335360">
        <w:t xml:space="preserve"> </w:t>
      </w:r>
      <w:r w:rsidRPr="003D0148">
        <w:t>percent or more</w:t>
      </w:r>
      <w:r>
        <w:t>,</w:t>
      </w:r>
      <w:r w:rsidRPr="00335360">
        <w:t xml:space="preserve">” consistent with </w:t>
      </w:r>
      <w:r>
        <w:t>s</w:t>
      </w:r>
      <w:r w:rsidRPr="00335360">
        <w:t>ection 1.2112(a) of the rules</w:t>
      </w:r>
      <w:r w:rsidRPr="003D0148">
        <w:t>.</w:t>
      </w:r>
      <w:r w:rsidRPr="003D0148">
        <w:rPr>
          <w:snapToGrid w:val="0"/>
          <w:kern w:val="28"/>
        </w:rPr>
        <w:t xml:space="preserve">  </w:t>
      </w:r>
      <w:r w:rsidRPr="003D0148">
        <w:rPr>
          <w:i/>
          <w:snapToGrid w:val="0"/>
          <w:kern w:val="28"/>
        </w:rPr>
        <w:t>Toll Free Assignment Modernization Order</w:t>
      </w:r>
      <w:r w:rsidRPr="003D0148">
        <w:rPr>
          <w:snapToGrid w:val="0"/>
          <w:kern w:val="28"/>
        </w:rPr>
        <w:t>, 33 FCC Rcd at 929</w:t>
      </w:r>
      <w:r>
        <w:t>1</w:t>
      </w:r>
      <w:r w:rsidRPr="003D0148">
        <w:rPr>
          <w:snapToGrid w:val="0"/>
          <w:kern w:val="28"/>
        </w:rPr>
        <w:t>, para. 4</w:t>
      </w:r>
      <w:r>
        <w:t xml:space="preserve">8.  Further, </w:t>
      </w:r>
      <w:r w:rsidRPr="003D0148">
        <w:rPr>
          <w:snapToGrid w:val="0"/>
          <w:kern w:val="28"/>
        </w:rPr>
        <w:t xml:space="preserve">in the </w:t>
      </w:r>
      <w:r w:rsidRPr="003D0148">
        <w:rPr>
          <w:i/>
          <w:snapToGrid w:val="0"/>
          <w:kern w:val="28"/>
        </w:rPr>
        <w:t>Auction 833 Comment Public Notice</w:t>
      </w:r>
      <w:r>
        <w:rPr>
          <w:snapToGrid w:val="0"/>
          <w:kern w:val="28"/>
        </w:rPr>
        <w:t>,</w:t>
      </w:r>
      <w:r w:rsidRPr="003D0148">
        <w:rPr>
          <w:snapToGrid w:val="0"/>
          <w:kern w:val="28"/>
        </w:rPr>
        <w:t xml:space="preserve"> </w:t>
      </w:r>
      <w:r>
        <w:t xml:space="preserve">we proposed </w:t>
      </w:r>
      <w:r w:rsidRPr="00705A57">
        <w:t xml:space="preserve">to require applicants to provide the same level of ownership required in </w:t>
      </w:r>
      <w:r>
        <w:t xml:space="preserve">section </w:t>
      </w:r>
      <w:r w:rsidRPr="00705A57">
        <w:t>1.2112(a) of the Part 1 competitive bidding rules, which requires an applicant’s real party or parties in interest to</w:t>
      </w:r>
      <w:r>
        <w:t xml:space="preserve"> disclose</w:t>
      </w:r>
      <w:r w:rsidRPr="00705A57">
        <w:t xml:space="preserve"> any FCC-regulated entity or applicant for an FCC license (collectively, “FCC Regulated Business” or “FRB”) in which it owns 10% or more stock.  </w:t>
      </w:r>
      <w:r w:rsidRPr="00705A57">
        <w:rPr>
          <w:i/>
        </w:rPr>
        <w:t>See Auction 833 Comment Public Notice</w:t>
      </w:r>
      <w:r w:rsidRPr="00705A57">
        <w:t xml:space="preserve"> at para. 33; 47</w:t>
      </w:r>
      <w:r>
        <w:t> </w:t>
      </w:r>
      <w:r w:rsidRPr="00705A57">
        <w:t>CFR § 1.2112(a)(7) (requiring disclosure of any FRB in which any part</w:t>
      </w:r>
      <w:r>
        <w:t>y</w:t>
      </w:r>
      <w:r w:rsidRPr="00705A57">
        <w:t xml:space="preserve"> identified in </w:t>
      </w:r>
      <w:r>
        <w:t xml:space="preserve">section </w:t>
      </w:r>
      <w:r w:rsidRPr="00705A57">
        <w:t>1.2112(a)(1) through (a)(5) owns 1</w:t>
      </w:r>
      <w:r>
        <w:t xml:space="preserve">0% </w:t>
      </w:r>
      <w:r w:rsidRPr="00705A57">
        <w:t>or more stock).  Although</w:t>
      </w:r>
      <w:r>
        <w:t xml:space="preserve"> the</w:t>
      </w:r>
      <w:r w:rsidRPr="00705A57">
        <w:t xml:space="preserve"> </w:t>
      </w:r>
      <w:r w:rsidRPr="00705A57">
        <w:rPr>
          <w:i/>
        </w:rPr>
        <w:t>Auction 833 Comment Public Notice</w:t>
      </w:r>
      <w:r w:rsidRPr="00705A57">
        <w:t xml:space="preserve"> inadvertently did not include real parties in interest in the list of the entities that must disclose an FRB in which they </w:t>
      </w:r>
      <w:r>
        <w:t>hold a</w:t>
      </w:r>
      <w:r w:rsidRPr="00705A57">
        <w:t xml:space="preserve"> 10% or gre</w:t>
      </w:r>
      <w:r>
        <w:t>a</w:t>
      </w:r>
      <w:r w:rsidRPr="00705A57">
        <w:t xml:space="preserve">ter interest, </w:t>
      </w:r>
      <w:r>
        <w:t xml:space="preserve">potential applicants have been on notice that the section 1.2112(a) disclosure requirements will apply and, therefore, </w:t>
      </w:r>
      <w:r w:rsidRPr="00705A57">
        <w:t>we will require such disclosure by real parties in interest consistent with section 1.2112(a)(7).</w:t>
      </w:r>
    </w:p>
  </w:footnote>
  <w:footnote w:id="139">
    <w:p w:rsidR="00CB75C2" w:rsidRPr="00B05196" w:rsidRDefault="00AA13C4" w:rsidP="00B42A2B">
      <w:pPr>
        <w:pStyle w:val="FootnoteText"/>
      </w:pPr>
      <w:r>
        <w:rPr>
          <w:rStyle w:val="FootnoteReference"/>
        </w:rPr>
        <w:footnoteRef/>
      </w:r>
      <w:r>
        <w:t xml:space="preserve"> </w:t>
      </w:r>
      <w:r w:rsidRPr="00705A57">
        <w:rPr>
          <w:i/>
        </w:rPr>
        <w:t>Auction 833 Comment Public Notice</w:t>
      </w:r>
      <w:r>
        <w:t xml:space="preserve"> at paras. 32-33.</w:t>
      </w:r>
    </w:p>
  </w:footnote>
  <w:footnote w:id="140">
    <w:p w:rsidR="00CB75C2" w:rsidRDefault="00AA13C4" w:rsidP="00B42A2B">
      <w:pPr>
        <w:pStyle w:val="FootnoteText"/>
      </w:pPr>
      <w:r>
        <w:rPr>
          <w:rStyle w:val="FootnoteReference"/>
        </w:rPr>
        <w:footnoteRef/>
      </w:r>
      <w:r>
        <w:t xml:space="preserve"> 1-800 Contacts Comments at 6-8.</w:t>
      </w:r>
    </w:p>
  </w:footnote>
  <w:footnote w:id="141">
    <w:p w:rsidR="00CB75C2" w:rsidRDefault="00AA13C4" w:rsidP="00B42A2B">
      <w:pPr>
        <w:pStyle w:val="FootnoteText"/>
      </w:pPr>
      <w:r>
        <w:rPr>
          <w:rStyle w:val="FootnoteReference"/>
        </w:rPr>
        <w:footnoteRef/>
      </w:r>
      <w:r>
        <w:t xml:space="preserve"> </w:t>
      </w:r>
      <w:r>
        <w:rPr>
          <w:i/>
        </w:rPr>
        <w:t>Id</w:t>
      </w:r>
      <w:r>
        <w:t>.</w:t>
      </w:r>
      <w:r w:rsidRPr="00751DD6">
        <w:t xml:space="preserve"> </w:t>
      </w:r>
      <w:r>
        <w:t>at 7.</w:t>
      </w:r>
    </w:p>
  </w:footnote>
  <w:footnote w:id="142">
    <w:p w:rsidR="00CB75C2" w:rsidRDefault="00AA13C4" w:rsidP="00B42A2B">
      <w:pPr>
        <w:pStyle w:val="FootnoteText"/>
      </w:pPr>
      <w:r>
        <w:rPr>
          <w:rStyle w:val="FootnoteReference"/>
        </w:rPr>
        <w:footnoteRef/>
      </w:r>
      <w:r>
        <w:t xml:space="preserve"> </w:t>
      </w:r>
      <w:r>
        <w:rPr>
          <w:i/>
        </w:rPr>
        <w:t>Id</w:t>
      </w:r>
      <w:r>
        <w:t>.</w:t>
      </w:r>
    </w:p>
  </w:footnote>
  <w:footnote w:id="143">
    <w:p w:rsidR="00CB75C2" w:rsidRDefault="00AA13C4" w:rsidP="00B42A2B">
      <w:pPr>
        <w:pStyle w:val="FootnoteText"/>
      </w:pPr>
      <w:r>
        <w:rPr>
          <w:rStyle w:val="FootnoteReference"/>
        </w:rPr>
        <w:footnoteRef/>
      </w:r>
      <w:r>
        <w:t xml:space="preserve"> </w:t>
      </w:r>
      <w:r>
        <w:rPr>
          <w:i/>
        </w:rPr>
        <w:t>Id</w:t>
      </w:r>
      <w:r>
        <w:t>.</w:t>
      </w:r>
      <w:r w:rsidRPr="00751DD6">
        <w:t xml:space="preserve"> </w:t>
      </w:r>
      <w:r>
        <w:t>at 8.</w:t>
      </w:r>
    </w:p>
  </w:footnote>
  <w:footnote w:id="144">
    <w:p w:rsidR="00CB75C2" w:rsidRDefault="00AA13C4" w:rsidP="00B42A2B">
      <w:pPr>
        <w:pStyle w:val="FootnoteText"/>
      </w:pPr>
      <w:r>
        <w:rPr>
          <w:rStyle w:val="FootnoteReference"/>
        </w:rPr>
        <w:footnoteRef/>
      </w:r>
      <w:r>
        <w:t xml:space="preserve"> </w:t>
      </w:r>
      <w:r>
        <w:rPr>
          <w:i/>
        </w:rPr>
        <w:t>Id</w:t>
      </w:r>
      <w:r>
        <w:t>.</w:t>
      </w:r>
      <w:r w:rsidRPr="00751DD6">
        <w:t xml:space="preserve"> </w:t>
      </w:r>
      <w:r>
        <w:t xml:space="preserve">at 6.  </w:t>
      </w:r>
      <w:r w:rsidRPr="00444403">
        <w:rPr>
          <w:i/>
        </w:rPr>
        <w:t>See also</w:t>
      </w:r>
      <w:r>
        <w:t xml:space="preserve"> </w:t>
      </w:r>
      <w:r w:rsidRPr="005371BA">
        <w:rPr>
          <w:i/>
        </w:rPr>
        <w:t>Part 1 Third Report and Order</w:t>
      </w:r>
      <w:r>
        <w:t xml:space="preserve">, 13 FCC Rcd at 417-18, para. 73; </w:t>
      </w:r>
      <w:r w:rsidRPr="002615F1">
        <w:rPr>
          <w:i/>
        </w:rPr>
        <w:t>2000</w:t>
      </w:r>
      <w:r>
        <w:t xml:space="preserve"> </w:t>
      </w:r>
      <w:r w:rsidRPr="00D764A7">
        <w:rPr>
          <w:i/>
        </w:rPr>
        <w:t>Part 1 Order</w:t>
      </w:r>
      <w:r>
        <w:t>, 15 FCC Rcd at 15298-300, paras. 9, 12.</w:t>
      </w:r>
    </w:p>
  </w:footnote>
  <w:footnote w:id="145">
    <w:p w:rsidR="00CB75C2" w:rsidRDefault="00AA13C4" w:rsidP="00B42A2B">
      <w:pPr>
        <w:pStyle w:val="FootnoteText"/>
      </w:pPr>
      <w:r>
        <w:rPr>
          <w:rStyle w:val="FootnoteReference"/>
        </w:rPr>
        <w:footnoteRef/>
      </w:r>
      <w:r>
        <w:t xml:space="preserve"> </w:t>
      </w:r>
      <w:r w:rsidRPr="002615F1">
        <w:rPr>
          <w:i/>
        </w:rPr>
        <w:t>2000</w:t>
      </w:r>
      <w:r>
        <w:t xml:space="preserve"> </w:t>
      </w:r>
      <w:r w:rsidRPr="00D764A7">
        <w:rPr>
          <w:i/>
        </w:rPr>
        <w:t>Part 1 Order</w:t>
      </w:r>
      <w:r>
        <w:t xml:space="preserve">, 15 FCC Rcd at 15300, para. 12; </w:t>
      </w:r>
      <w:r>
        <w:rPr>
          <w:i/>
        </w:rPr>
        <w:t>s</w:t>
      </w:r>
      <w:r w:rsidRPr="005371BA">
        <w:rPr>
          <w:i/>
        </w:rPr>
        <w:t>ee also Part 1 Third Report and Order</w:t>
      </w:r>
      <w:r>
        <w:t>, 13 FCC Rcd at 417-18, para. 73.</w:t>
      </w:r>
    </w:p>
  </w:footnote>
  <w:footnote w:id="146">
    <w:p w:rsidR="00CB75C2" w:rsidRDefault="00AA13C4" w:rsidP="00B42A2B">
      <w:pPr>
        <w:pStyle w:val="FootnoteText"/>
      </w:pPr>
      <w:r>
        <w:rPr>
          <w:rStyle w:val="FootnoteReference"/>
        </w:rPr>
        <w:footnoteRef/>
      </w:r>
      <w:r>
        <w:t xml:space="preserve"> 1-800 Contacts Comments at 7.</w:t>
      </w:r>
    </w:p>
  </w:footnote>
  <w:footnote w:id="147">
    <w:p w:rsidR="00CB75C2" w:rsidRPr="00751DD6" w:rsidRDefault="00AA13C4" w:rsidP="00B42A2B">
      <w:pPr>
        <w:pStyle w:val="FootnoteText"/>
      </w:pPr>
      <w:r w:rsidRPr="00751DD6">
        <w:rPr>
          <w:rStyle w:val="FootnoteReference"/>
          <w:sz w:val="20"/>
        </w:rPr>
        <w:footnoteRef/>
      </w:r>
      <w:r w:rsidRPr="00751DD6">
        <w:t xml:space="preserve"> As noted in Section </w:t>
      </w:r>
      <w:r>
        <w:t>II.C.</w:t>
      </w:r>
      <w:r w:rsidRPr="00751DD6">
        <w:t xml:space="preserve"> above, we prohibit auction-related agreements among applicants and among RespOrgs, but permit such agreements between RespOrgs and potential subscribers or among </w:t>
      </w:r>
      <w:r>
        <w:t xml:space="preserve">an applicant </w:t>
      </w:r>
      <w:r w:rsidRPr="00751DD6">
        <w:t>potential subscriber</w:t>
      </w:r>
      <w:r>
        <w:t xml:space="preserve"> and non-applicant potential subscribers</w:t>
      </w:r>
      <w:r w:rsidRPr="00751DD6">
        <w:t>.  Thus, if an applicant does have such agreement, it would need to disclose it on its auction application.</w:t>
      </w:r>
    </w:p>
  </w:footnote>
  <w:footnote w:id="148">
    <w:p w:rsidR="00CB75C2" w:rsidRPr="00D764A7" w:rsidRDefault="00AA13C4" w:rsidP="00B42A2B">
      <w:pPr>
        <w:pStyle w:val="FootnoteText"/>
        <w:widowControl w:val="0"/>
      </w:pPr>
      <w:r w:rsidRPr="00D764A7">
        <w:rPr>
          <w:rStyle w:val="FootnoteReference"/>
        </w:rPr>
        <w:footnoteRef/>
      </w:r>
      <w:r w:rsidRPr="00D764A7">
        <w:t xml:space="preserve"> </w:t>
      </w:r>
      <w:r w:rsidRPr="006568A5">
        <w:rPr>
          <w:i/>
        </w:rPr>
        <w:t>833 Auction Comment Public Notice</w:t>
      </w:r>
      <w:r>
        <w:t xml:space="preserve"> at para. 34.  F</w:t>
      </w:r>
      <w:r w:rsidRPr="00D764A7">
        <w:t xml:space="preserve">or purposes of this </w:t>
      </w:r>
      <w:r>
        <w:t>disclosure</w:t>
      </w:r>
      <w:r w:rsidRPr="00D764A7">
        <w:t>, a</w:t>
      </w:r>
      <w:r w:rsidRPr="00D764A7">
        <w:rPr>
          <w:color w:val="000000"/>
        </w:rPr>
        <w:t xml:space="preserve"> controlling interest includes all individuals or entities with positive or negative </w:t>
      </w:r>
      <w:r w:rsidRPr="00D764A7">
        <w:rPr>
          <w:i/>
          <w:iCs/>
          <w:color w:val="000000"/>
        </w:rPr>
        <w:t>de jure</w:t>
      </w:r>
      <w:r w:rsidRPr="00D764A7">
        <w:rPr>
          <w:color w:val="000000"/>
        </w:rPr>
        <w:t xml:space="preserve"> or </w:t>
      </w:r>
      <w:r w:rsidRPr="00D764A7">
        <w:rPr>
          <w:i/>
          <w:iCs/>
          <w:color w:val="000000"/>
        </w:rPr>
        <w:t>de facto</w:t>
      </w:r>
      <w:r w:rsidRPr="00D764A7">
        <w:rPr>
          <w:color w:val="000000"/>
        </w:rPr>
        <w:t xml:space="preserve"> control of the </w:t>
      </w:r>
      <w:r>
        <w:rPr>
          <w:color w:val="000000"/>
        </w:rPr>
        <w:t>applicant</w:t>
      </w:r>
      <w:r w:rsidRPr="00D764A7">
        <w:rPr>
          <w:color w:val="000000"/>
        </w:rPr>
        <w:t xml:space="preserve">.  </w:t>
      </w:r>
      <w:r w:rsidRPr="006B4D29">
        <w:rPr>
          <w:i/>
          <w:color w:val="000000"/>
        </w:rPr>
        <w:t>Cf</w:t>
      </w:r>
      <w:r w:rsidRPr="00CB378E">
        <w:rPr>
          <w:i/>
          <w:color w:val="000000"/>
        </w:rPr>
        <w:t>.</w:t>
      </w:r>
      <w:r>
        <w:rPr>
          <w:color w:val="000000"/>
        </w:rPr>
        <w:t xml:space="preserve"> 47 CFR </w:t>
      </w:r>
      <w:r w:rsidRPr="00D764A7">
        <w:rPr>
          <w:color w:val="000000"/>
        </w:rPr>
        <w:t>§ 1.2105(a)(4)(i).</w:t>
      </w:r>
    </w:p>
  </w:footnote>
  <w:footnote w:id="149">
    <w:p w:rsidR="00CB75C2" w:rsidRPr="00356ED9" w:rsidRDefault="00AA13C4" w:rsidP="00B42A2B">
      <w:pPr>
        <w:pStyle w:val="FootnoteText"/>
        <w:widowControl w:val="0"/>
      </w:pPr>
      <w:r w:rsidRPr="00D764A7">
        <w:rPr>
          <w:rStyle w:val="FootnoteReference"/>
        </w:rPr>
        <w:footnoteRef/>
      </w:r>
      <w:r>
        <w:rPr>
          <w:i/>
        </w:rPr>
        <w:t xml:space="preserve"> Cf</w:t>
      </w:r>
      <w:r w:rsidRPr="00CB378E">
        <w:rPr>
          <w:i/>
        </w:rPr>
        <w:t>.</w:t>
      </w:r>
      <w:r>
        <w:rPr>
          <w:i/>
        </w:rPr>
        <w:t xml:space="preserve"> </w:t>
      </w:r>
      <w:r>
        <w:t>47 CFR</w:t>
      </w:r>
      <w:r w:rsidRPr="00D764A7">
        <w:t xml:space="preserve"> § 1.2105(a)(2)(viii).</w:t>
      </w:r>
      <w:r>
        <w:t xml:space="preserve">  As discussed in Section II.B.3. above, a</w:t>
      </w:r>
      <w:r w:rsidRPr="00C60499">
        <w:t xml:space="preserve">n applicant may continue negotiating, discussing, or communicating with respect to a new agreement after the </w:t>
      </w:r>
      <w:r>
        <w:t>application fil</w:t>
      </w:r>
      <w:r w:rsidRPr="00C60499">
        <w:t xml:space="preserve">ing deadline, provided that the communications involved do not relate both to the </w:t>
      </w:r>
      <w:r>
        <w:t>toll free numbers</w:t>
      </w:r>
      <w:r w:rsidRPr="00C60499">
        <w:t xml:space="preserve"> being auctioned and to bids or bidding strategies or </w:t>
      </w:r>
      <w:r>
        <w:t xml:space="preserve">to the </w:t>
      </w:r>
      <w:r w:rsidRPr="00C60499">
        <w:t xml:space="preserve">post-auction market </w:t>
      </w:r>
      <w:r>
        <w:t>for toll free numbers</w:t>
      </w:r>
      <w:r w:rsidRPr="00C60499">
        <w:t>.</w:t>
      </w:r>
    </w:p>
  </w:footnote>
  <w:footnote w:id="150">
    <w:p w:rsidR="00CB75C2" w:rsidRPr="00D764A7" w:rsidRDefault="00AA13C4" w:rsidP="00B42A2B">
      <w:pPr>
        <w:pStyle w:val="FootnoteText"/>
        <w:widowControl w:val="0"/>
      </w:pPr>
      <w:r w:rsidRPr="00D764A7">
        <w:rPr>
          <w:rStyle w:val="FootnoteReference"/>
        </w:rPr>
        <w:footnoteRef/>
      </w:r>
      <w:r w:rsidRPr="00D764A7">
        <w:t xml:space="preserve"> </w:t>
      </w:r>
      <w:r w:rsidRPr="00D764A7">
        <w:rPr>
          <w:i/>
        </w:rPr>
        <w:t xml:space="preserve">See Prohibited Communications </w:t>
      </w:r>
      <w:r>
        <w:rPr>
          <w:i/>
        </w:rPr>
        <w:t xml:space="preserve">Guidance </w:t>
      </w:r>
      <w:r w:rsidRPr="00D764A7">
        <w:rPr>
          <w:i/>
        </w:rPr>
        <w:t>Public Notice</w:t>
      </w:r>
      <w:r w:rsidRPr="00D764A7">
        <w:t xml:space="preserve">, 30 FCC Rcd </w:t>
      </w:r>
      <w:r>
        <w:t>at 10806-07, para. 34</w:t>
      </w:r>
      <w:r w:rsidRPr="00D764A7">
        <w:t xml:space="preserve">; </w:t>
      </w:r>
      <w:r w:rsidRPr="00D764A7">
        <w:rPr>
          <w:i/>
        </w:rPr>
        <w:t xml:space="preserve">see also </w:t>
      </w:r>
      <w:r w:rsidRPr="00D764A7">
        <w:t>47 CFR §§ 1.65, 1.2105(b)(4);</w:t>
      </w:r>
      <w:r w:rsidRPr="00D764A7">
        <w:rPr>
          <w:i/>
          <w:iCs/>
          <w:snapToGrid w:val="0"/>
        </w:rPr>
        <w:t xml:space="preserve"> </w:t>
      </w:r>
      <w:r w:rsidRPr="00D764A7">
        <w:rPr>
          <w:i/>
        </w:rPr>
        <w:t>Auction of Advanced Wireless Services (AWS-3) Licenses Scheduled for November 13, 2014; Notice and Filing Requirements, Reserve Prices, Minimum Opening Bids, Upfront Payments, and Other Procedures for Auction 97</w:t>
      </w:r>
      <w:r w:rsidRPr="00D764A7">
        <w:rPr>
          <w:iCs/>
          <w:snapToGrid w:val="0"/>
        </w:rPr>
        <w:t xml:space="preserve">, </w:t>
      </w:r>
      <w:r w:rsidRPr="00D764A7">
        <w:t xml:space="preserve">Public Notice, </w:t>
      </w:r>
      <w:r w:rsidRPr="00D764A7">
        <w:rPr>
          <w:iCs/>
          <w:snapToGrid w:val="0"/>
        </w:rPr>
        <w:t xml:space="preserve">29 FCC Rcd </w:t>
      </w:r>
      <w:r w:rsidRPr="00D764A7">
        <w:rPr>
          <w:snapToGrid w:val="0"/>
        </w:rPr>
        <w:t>8386, 8418, para. 109 (2014)</w:t>
      </w:r>
      <w:r>
        <w:rPr>
          <w:snapToGrid w:val="0"/>
        </w:rPr>
        <w:t xml:space="preserve"> (</w:t>
      </w:r>
      <w:r w:rsidRPr="007803A9">
        <w:rPr>
          <w:i/>
          <w:snapToGrid w:val="0"/>
        </w:rPr>
        <w:t>Auction 97 Procedures Public Notice</w:t>
      </w:r>
      <w:r>
        <w:rPr>
          <w:snapToGrid w:val="0"/>
        </w:rPr>
        <w:t>)</w:t>
      </w:r>
      <w:r w:rsidRPr="00D764A7">
        <w:rPr>
          <w:snapToGrid w:val="0"/>
        </w:rPr>
        <w:t xml:space="preserve"> (discussing </w:t>
      </w:r>
      <w:r w:rsidRPr="00D764A7">
        <w:rPr>
          <w:color w:val="000000"/>
        </w:rPr>
        <w:t>applicants’</w:t>
      </w:r>
      <w:r w:rsidRPr="00D764A7">
        <w:rPr>
          <w:snapToGrid w:val="0"/>
        </w:rPr>
        <w:t xml:space="preserve"> obligation to maintain accuracy and completeness of information in pending auction applications). </w:t>
      </w:r>
    </w:p>
  </w:footnote>
  <w:footnote w:id="151">
    <w:p w:rsidR="00CB75C2" w:rsidRPr="00D764A7" w:rsidRDefault="00AA13C4" w:rsidP="00B42A2B">
      <w:pPr>
        <w:pStyle w:val="FootnoteText"/>
        <w:widowControl w:val="0"/>
      </w:pPr>
      <w:r w:rsidRPr="00D764A7">
        <w:rPr>
          <w:rStyle w:val="FootnoteReference"/>
        </w:rPr>
        <w:footnoteRef/>
      </w:r>
      <w:r w:rsidRPr="00D764A7">
        <w:t xml:space="preserve"> </w:t>
      </w:r>
      <w:r w:rsidRPr="00D764A7">
        <w:rPr>
          <w:i/>
        </w:rPr>
        <w:t>See generally Wireless Telecommunications Bureau Clarifies Spectrum Auction Anti-Collusion Rules</w:t>
      </w:r>
      <w:r w:rsidRPr="00D764A7">
        <w:t xml:space="preserve">, Public Notice, 11 FCC Rcd 9645, 9646 (WTB 1995) </w:t>
      </w:r>
      <w:r>
        <w:t xml:space="preserve">(clarifying </w:t>
      </w:r>
      <w:r w:rsidRPr="00D764A7">
        <w:t xml:space="preserve">standard for determining when a disclosable agreement exists, discussed in connection with an earlier version of </w:t>
      </w:r>
      <w:r>
        <w:t>s</w:t>
      </w:r>
      <w:r w:rsidRPr="00D764A7">
        <w:t>ection 1.2105 of the Commission’s rules).</w:t>
      </w:r>
    </w:p>
  </w:footnote>
  <w:footnote w:id="152">
    <w:p w:rsidR="00CB75C2" w:rsidRDefault="00AA13C4" w:rsidP="00B42A2B">
      <w:pPr>
        <w:pStyle w:val="FootnoteText"/>
      </w:pPr>
      <w:r>
        <w:rPr>
          <w:rStyle w:val="FootnoteReference"/>
        </w:rPr>
        <w:footnoteRef/>
      </w:r>
      <w:r>
        <w:t xml:space="preserve"> </w:t>
      </w:r>
      <w:r w:rsidRPr="00066B25">
        <w:rPr>
          <w:i/>
        </w:rPr>
        <w:t>833 Auction Comment Public Notice</w:t>
      </w:r>
      <w:r>
        <w:t xml:space="preserve"> at para 35.</w:t>
      </w:r>
    </w:p>
  </w:footnote>
  <w:footnote w:id="153">
    <w:p w:rsidR="00CB75C2" w:rsidRPr="00D764A7" w:rsidRDefault="00AA13C4" w:rsidP="00B42A2B">
      <w:pPr>
        <w:pStyle w:val="FootnoteText"/>
        <w:widowControl w:val="0"/>
        <w:contextualSpacing/>
      </w:pPr>
      <w:r w:rsidRPr="00D764A7">
        <w:rPr>
          <w:rStyle w:val="FootnoteReference"/>
        </w:rPr>
        <w:footnoteRef/>
      </w:r>
      <w:r w:rsidRPr="00D764A7">
        <w:t xml:space="preserve"> </w:t>
      </w:r>
      <w:r w:rsidRPr="00D764A7">
        <w:rPr>
          <w:i/>
        </w:rPr>
        <w:t xml:space="preserve">See </w:t>
      </w:r>
      <w:r w:rsidRPr="00F9317F">
        <w:t>47 CFR</w:t>
      </w:r>
      <w:r w:rsidRPr="00925FC2">
        <w:rPr>
          <w:i/>
        </w:rPr>
        <w:t xml:space="preserve"> </w:t>
      </w:r>
      <w:r w:rsidRPr="00D764A7">
        <w:t xml:space="preserve">§ </w:t>
      </w:r>
      <w:r w:rsidRPr="00D764A7">
        <w:rPr>
          <w:rStyle w:val="footnote"/>
        </w:rPr>
        <w:t xml:space="preserve">1.2105(a)(2)(iii); </w:t>
      </w:r>
      <w:r w:rsidRPr="00D764A7">
        <w:rPr>
          <w:rStyle w:val="footnote"/>
          <w:i/>
        </w:rPr>
        <w:t>see also</w:t>
      </w:r>
      <w:r w:rsidRPr="00D764A7">
        <w:rPr>
          <w:rStyle w:val="footnote"/>
        </w:rPr>
        <w:t xml:space="preserve"> </w:t>
      </w:r>
      <w:r w:rsidRPr="00D764A7">
        <w:rPr>
          <w:rStyle w:val="footnote"/>
          <w:i/>
        </w:rPr>
        <w:t>2015</w:t>
      </w:r>
      <w:r w:rsidRPr="00D764A7">
        <w:rPr>
          <w:rStyle w:val="footnote"/>
        </w:rPr>
        <w:t xml:space="preserve"> </w:t>
      </w:r>
      <w:r w:rsidRPr="00D764A7">
        <w:rPr>
          <w:i/>
        </w:rPr>
        <w:t xml:space="preserve">Part 1 </w:t>
      </w:r>
      <w:r>
        <w:rPr>
          <w:i/>
        </w:rPr>
        <w:t>Report and Order</w:t>
      </w:r>
      <w:r w:rsidRPr="00D764A7">
        <w:t>, 30 FCC Rcd at 7577, para. 200</w:t>
      </w:r>
      <w:r w:rsidRPr="00D764A7">
        <w:rPr>
          <w:rStyle w:val="footnote"/>
        </w:rPr>
        <w:t>.</w:t>
      </w:r>
    </w:p>
  </w:footnote>
  <w:footnote w:id="154">
    <w:p w:rsidR="00CB75C2" w:rsidRPr="00F773E4" w:rsidRDefault="00AA13C4" w:rsidP="00B42A2B">
      <w:pPr>
        <w:pStyle w:val="FootnoteText"/>
        <w:spacing w:before="240"/>
      </w:pPr>
      <w:r>
        <w:rPr>
          <w:rStyle w:val="FootnoteReference"/>
        </w:rPr>
        <w:footnoteRef/>
      </w:r>
      <w:r>
        <w:t xml:space="preserve"> </w:t>
      </w:r>
      <w:r w:rsidRPr="00D764A7">
        <w:rPr>
          <w:i/>
        </w:rPr>
        <w:t xml:space="preserve">2015 Part 1 </w:t>
      </w:r>
      <w:r>
        <w:rPr>
          <w:i/>
        </w:rPr>
        <w:t>Report and Order</w:t>
      </w:r>
      <w:r>
        <w:t>, 30 FCC Rcd at 7577</w:t>
      </w:r>
      <w:r w:rsidRPr="00D764A7">
        <w:t>, para. 20</w:t>
      </w:r>
      <w:r>
        <w:t xml:space="preserve">0; </w:t>
      </w:r>
      <w:r w:rsidRPr="00D764A7">
        <w:t>47 CFR § 1.2</w:t>
      </w:r>
      <w:r>
        <w:t>105(c)</w:t>
      </w:r>
      <w:r w:rsidRPr="00D764A7">
        <w:t>.</w:t>
      </w:r>
    </w:p>
  </w:footnote>
  <w:footnote w:id="155">
    <w:p w:rsidR="00CB75C2" w:rsidRPr="00751DD6" w:rsidRDefault="00AA13C4" w:rsidP="00B42A2B">
      <w:pPr>
        <w:pStyle w:val="FootnoteText"/>
      </w:pPr>
      <w:r w:rsidRPr="00751DD6">
        <w:rPr>
          <w:rStyle w:val="FootnoteReference"/>
          <w:sz w:val="20"/>
        </w:rPr>
        <w:footnoteRef/>
      </w:r>
      <w:r w:rsidRPr="00751DD6">
        <w:t xml:space="preserve"> </w:t>
      </w:r>
      <w:r w:rsidRPr="00351640">
        <w:rPr>
          <w:i/>
        </w:rPr>
        <w:t>833 Auction</w:t>
      </w:r>
      <w:r>
        <w:t xml:space="preserve"> </w:t>
      </w:r>
      <w:r>
        <w:rPr>
          <w:i/>
        </w:rPr>
        <w:t>Comment Public Notice</w:t>
      </w:r>
      <w:r>
        <w:t xml:space="preserve"> at para. 36</w:t>
      </w:r>
      <w:r w:rsidRPr="00751DD6">
        <w:t>.</w:t>
      </w:r>
    </w:p>
  </w:footnote>
  <w:footnote w:id="156">
    <w:p w:rsidR="00CB75C2" w:rsidRPr="00751DD6" w:rsidRDefault="00AA13C4" w:rsidP="00B42A2B">
      <w:pPr>
        <w:pStyle w:val="FootnoteText"/>
      </w:pPr>
      <w:r w:rsidRPr="00751DD6">
        <w:rPr>
          <w:rStyle w:val="FootnoteReference"/>
          <w:sz w:val="20"/>
        </w:rPr>
        <w:footnoteRef/>
      </w:r>
      <w:r w:rsidRPr="00751DD6">
        <w:t xml:space="preserve"> </w:t>
      </w:r>
      <w:r w:rsidRPr="00751DD6">
        <w:rPr>
          <w:i/>
        </w:rPr>
        <w:t xml:space="preserve">Cf. </w:t>
      </w:r>
      <w:r>
        <w:rPr>
          <w:i/>
        </w:rPr>
        <w:t>2000 Part 1 Order</w:t>
      </w:r>
      <w:r w:rsidRPr="00751DD6">
        <w:t xml:space="preserve">, 15 FCC Rcd </w:t>
      </w:r>
      <w:r>
        <w:t>at</w:t>
      </w:r>
      <w:r w:rsidRPr="00751DD6">
        <w:t xml:space="preserve"> 15316, para. 40; 47 CFR § 1.1910(b)(2) (withholding action on applications based on debts owed to the Commission).  As a reminder, the Commission’s Red Light database does not reflect delinquencies on any non-tax debt owed to any other federal agency of the United States.</w:t>
      </w:r>
    </w:p>
  </w:footnote>
  <w:footnote w:id="157">
    <w:p w:rsidR="00CB75C2" w:rsidRDefault="00AA13C4" w:rsidP="00B42A2B">
      <w:pPr>
        <w:pStyle w:val="FootnoteText"/>
      </w:pPr>
      <w:r>
        <w:rPr>
          <w:rStyle w:val="FootnoteReference"/>
        </w:rPr>
        <w:footnoteRef/>
      </w:r>
      <w:r>
        <w:t xml:space="preserve"> </w:t>
      </w:r>
      <w:r w:rsidRPr="00856BE8">
        <w:rPr>
          <w:i/>
        </w:rPr>
        <w:t>See</w:t>
      </w:r>
      <w:r>
        <w:t xml:space="preserve">, </w:t>
      </w:r>
      <w:r w:rsidRPr="00856BE8">
        <w:rPr>
          <w:i/>
        </w:rPr>
        <w:t>e</w:t>
      </w:r>
      <w:r>
        <w:t>.</w:t>
      </w:r>
      <w:r w:rsidRPr="00856BE8">
        <w:rPr>
          <w:i/>
        </w:rPr>
        <w:t>g</w:t>
      </w:r>
      <w:r>
        <w:t xml:space="preserve">., </w:t>
      </w:r>
      <w:r w:rsidRPr="007803A9">
        <w:rPr>
          <w:i/>
          <w:snapToGrid w:val="0"/>
        </w:rPr>
        <w:t>Auction 97 Procedures Public Notice</w:t>
      </w:r>
      <w:r>
        <w:t xml:space="preserve">, 29 FCC Rcd at 8415-16, para. 95, 97 (citing </w:t>
      </w:r>
      <w:r w:rsidRPr="002615F1">
        <w:rPr>
          <w:i/>
        </w:rPr>
        <w:t>2000</w:t>
      </w:r>
      <w:r>
        <w:t xml:space="preserve"> </w:t>
      </w:r>
      <w:r w:rsidRPr="00D764A7">
        <w:rPr>
          <w:i/>
        </w:rPr>
        <w:t>Part 1 Order</w:t>
      </w:r>
      <w:r>
        <w:t xml:space="preserve">, 15 FCC Rcd at 15317, para. 42 &amp; n.142); </w:t>
      </w:r>
      <w:r w:rsidRPr="00A46A90">
        <w:rPr>
          <w:i/>
        </w:rPr>
        <w:t>Application Procedures for the Broadcast Incentive Auction Scheduled to Begin on March 29, 2016; Technical Formulas for Competitive Bidding</w:t>
      </w:r>
      <w:r w:rsidRPr="00A46A90">
        <w:t xml:space="preserve">, Public Notice, 30 FCC Rcd 11034, </w:t>
      </w:r>
      <w:r>
        <w:rPr>
          <w:color w:val="000000"/>
        </w:rPr>
        <w:t xml:space="preserve">11079-80, para. 137 &amp; n.266 (citing </w:t>
      </w:r>
      <w:r w:rsidRPr="002615F1">
        <w:rPr>
          <w:i/>
        </w:rPr>
        <w:t>2000</w:t>
      </w:r>
      <w:r>
        <w:t xml:space="preserve"> </w:t>
      </w:r>
      <w:r w:rsidRPr="00D764A7">
        <w:rPr>
          <w:i/>
        </w:rPr>
        <w:t>Part 1 Order</w:t>
      </w:r>
      <w:r>
        <w:t xml:space="preserve">, 15 FCC Rcd at 15317, para. 42 &amp; n.142); </w:t>
      </w:r>
      <w:r w:rsidRPr="001B3007">
        <w:rPr>
          <w:i/>
        </w:rPr>
        <w:t>Auctions 101-102 Procedures Public Notice</w:t>
      </w:r>
      <w:r>
        <w:t xml:space="preserve">, 33 FCC Rcd at 7614-15, paras. 106-07 &amp; n.256 (citing </w:t>
      </w:r>
      <w:r w:rsidRPr="002615F1">
        <w:rPr>
          <w:i/>
        </w:rPr>
        <w:t>2000</w:t>
      </w:r>
      <w:r>
        <w:t xml:space="preserve"> </w:t>
      </w:r>
      <w:r w:rsidRPr="00D764A7">
        <w:rPr>
          <w:i/>
        </w:rPr>
        <w:t>Part 1 Order</w:t>
      </w:r>
      <w:r>
        <w:t xml:space="preserve">, 15 FCC Rcd at 15317, para. 42 n.142). </w:t>
      </w:r>
      <w:r w:rsidRPr="006137E6">
        <w:rPr>
          <w:i/>
        </w:rPr>
        <w:t>See also Wireless Telecommunications Bureau Reminds Prospective Broadband PCS Spectrum Auction Applicants of Default and Delinquency Disclosure Requirements</w:t>
      </w:r>
      <w:r>
        <w:t>, Public Notice, 19 FCC Rcd 21920 (WTB 2004) (</w:t>
      </w:r>
      <w:r w:rsidRPr="00AA704B">
        <w:rPr>
          <w:i/>
        </w:rPr>
        <w:t>Auction Default Disclosure Public Notice</w:t>
      </w:r>
      <w:r>
        <w:t>).</w:t>
      </w:r>
    </w:p>
  </w:footnote>
  <w:footnote w:id="158">
    <w:p w:rsidR="00CB75C2" w:rsidRPr="00FA19DA" w:rsidRDefault="00AA13C4" w:rsidP="00B42A2B">
      <w:pPr>
        <w:pStyle w:val="FootnoteText"/>
      </w:pPr>
      <w:r>
        <w:rPr>
          <w:rStyle w:val="FootnoteReference"/>
        </w:rPr>
        <w:footnoteRef/>
      </w:r>
      <w:r>
        <w:t xml:space="preserve"> </w:t>
      </w:r>
      <w:r w:rsidRPr="00BB064A">
        <w:rPr>
          <w:i/>
        </w:rPr>
        <w:t>See 833 Auction Comment Public Notice</w:t>
      </w:r>
      <w:r>
        <w:t xml:space="preserve"> at para. 36.  See also </w:t>
      </w:r>
      <w:r w:rsidRPr="00AA704B">
        <w:rPr>
          <w:i/>
        </w:rPr>
        <w:t>Auction Default Disclosure Public Notice</w:t>
      </w:r>
      <w:r>
        <w:t>, 19 FCC Rcd at 21920.</w:t>
      </w:r>
    </w:p>
  </w:footnote>
  <w:footnote w:id="159">
    <w:p w:rsidR="00CB75C2" w:rsidRPr="00751DD6" w:rsidRDefault="00AA13C4" w:rsidP="00B42A2B">
      <w:pPr>
        <w:pStyle w:val="FootnoteText"/>
      </w:pPr>
      <w:r w:rsidRPr="00751DD6">
        <w:rPr>
          <w:rStyle w:val="FootnoteReference"/>
          <w:sz w:val="20"/>
        </w:rPr>
        <w:footnoteRef/>
      </w:r>
      <w:r w:rsidRPr="00751DD6">
        <w:t xml:space="preserve"> </w:t>
      </w:r>
      <w:r w:rsidRPr="00BB064A">
        <w:rPr>
          <w:i/>
        </w:rPr>
        <w:t>833 Auction Comment Public Notice</w:t>
      </w:r>
      <w:r>
        <w:t xml:space="preserve"> at n.52.  </w:t>
      </w:r>
      <w:r w:rsidRPr="00FA19DA">
        <w:rPr>
          <w:i/>
        </w:rPr>
        <w:t>Cf</w:t>
      </w:r>
      <w:r>
        <w:t xml:space="preserve">. 47 CFR </w:t>
      </w:r>
      <w:r w:rsidRPr="00D764A7">
        <w:t xml:space="preserve">§ </w:t>
      </w:r>
      <w:r w:rsidRPr="00D764A7">
        <w:rPr>
          <w:rStyle w:val="footnote"/>
        </w:rPr>
        <w:t>1.2105(a)(2)</w:t>
      </w:r>
      <w:r>
        <w:rPr>
          <w:rStyle w:val="footnote"/>
        </w:rPr>
        <w:t>, (b)(1).</w:t>
      </w:r>
    </w:p>
  </w:footnote>
  <w:footnote w:id="160">
    <w:p w:rsidR="00CB75C2" w:rsidRPr="00D764A7" w:rsidRDefault="00AA13C4" w:rsidP="00B42A2B">
      <w:pPr>
        <w:pStyle w:val="FootnoteText"/>
      </w:pPr>
      <w:r w:rsidRPr="00D764A7">
        <w:rPr>
          <w:rStyle w:val="FootnoteReference"/>
        </w:rPr>
        <w:footnoteRef/>
      </w:r>
      <w:r w:rsidRPr="00D764A7">
        <w:t xml:space="preserve"> </w:t>
      </w:r>
      <w:r w:rsidRPr="005B1A14">
        <w:rPr>
          <w:i/>
        </w:rPr>
        <w:t>See generally</w:t>
      </w:r>
      <w:r>
        <w:t xml:space="preserve"> </w:t>
      </w:r>
      <w:r w:rsidRPr="00D764A7">
        <w:rPr>
          <w:i/>
        </w:rPr>
        <w:t>Auction Default Disclosure Public</w:t>
      </w:r>
      <w:r w:rsidRPr="00D764A7">
        <w:t xml:space="preserve"> </w:t>
      </w:r>
      <w:r w:rsidRPr="00D764A7">
        <w:rPr>
          <w:i/>
        </w:rPr>
        <w:t>Notice</w:t>
      </w:r>
      <w:r w:rsidRPr="00D764A7">
        <w:t xml:space="preserve">. </w:t>
      </w:r>
    </w:p>
  </w:footnote>
  <w:footnote w:id="161">
    <w:p w:rsidR="00CB75C2" w:rsidRDefault="00AA13C4" w:rsidP="00B42A2B">
      <w:pPr>
        <w:pStyle w:val="FootnoteText"/>
      </w:pPr>
      <w:r>
        <w:rPr>
          <w:rStyle w:val="FootnoteReference"/>
        </w:rPr>
        <w:footnoteRef/>
      </w:r>
      <w:r>
        <w:t xml:space="preserve"> To access the Commission’s Red Light Display System, go to:  </w:t>
      </w:r>
      <w:hyperlink r:id="rId4" w:history="1">
        <w:r w:rsidRPr="00532217">
          <w:rPr>
            <w:rStyle w:val="Hyperlink"/>
          </w:rPr>
          <w:t>https://apps.fcc.gov/redlight/login.cfm</w:t>
        </w:r>
      </w:hyperlink>
      <w:r>
        <w:t>.</w:t>
      </w:r>
    </w:p>
  </w:footnote>
  <w:footnote w:id="162">
    <w:p w:rsidR="00CB75C2" w:rsidRDefault="00AA13C4" w:rsidP="00B42A2B">
      <w:pPr>
        <w:pStyle w:val="FootnoteText"/>
      </w:pPr>
      <w:r>
        <w:rPr>
          <w:rStyle w:val="FootnoteReference"/>
        </w:rPr>
        <w:footnoteRef/>
      </w:r>
      <w:r>
        <w:t xml:space="preserve"> </w:t>
      </w:r>
      <w:r w:rsidRPr="00FC00F2">
        <w:rPr>
          <w:i/>
        </w:rPr>
        <w:t>833 Auction Comment Public Notice</w:t>
      </w:r>
      <w:r>
        <w:t xml:space="preserve"> at para. 37.</w:t>
      </w:r>
    </w:p>
  </w:footnote>
  <w:footnote w:id="163">
    <w:p w:rsidR="00CB75C2" w:rsidRDefault="00AA13C4" w:rsidP="00B42A2B">
      <w:pPr>
        <w:pStyle w:val="FootnoteText"/>
      </w:pPr>
      <w:r>
        <w:rPr>
          <w:rStyle w:val="FootnoteReference"/>
        </w:rPr>
        <w:footnoteRef/>
      </w:r>
      <w:r>
        <w:t xml:space="preserve"> The </w:t>
      </w:r>
      <w:r>
        <w:rPr>
          <w:i/>
        </w:rPr>
        <w:t>Auction 833 Comment Public Notice</w:t>
      </w:r>
      <w:r>
        <w:t xml:space="preserve"> referenced, as a possible example, limiting participation based on a prior bar against participating based on </w:t>
      </w:r>
      <w:r w:rsidRPr="00751DD6">
        <w:t>47 U.S.C. § 1404</w:t>
      </w:r>
      <w:r>
        <w:t xml:space="preserve">.  </w:t>
      </w:r>
      <w:r w:rsidRPr="00D00B6B">
        <w:rPr>
          <w:i/>
        </w:rPr>
        <w:t>Id</w:t>
      </w:r>
      <w:r>
        <w:t xml:space="preserve">. at para. 37 &amp; n.53.  That statute, however, is applicable to only spectrum auctions authorized under the Middle Class Tax Relief and Job Creation Act of 2012.  </w:t>
      </w:r>
      <w:r w:rsidRPr="00D00B6B">
        <w:rPr>
          <w:i/>
        </w:rPr>
        <w:t>See</w:t>
      </w:r>
      <w:r>
        <w:t xml:space="preserve"> Middle Class Tax Relief and Job Creation Act of 2012, Pub. L. No. 112-96, 126 Stat. 156 (2012).</w:t>
      </w:r>
    </w:p>
  </w:footnote>
  <w:footnote w:id="164">
    <w:p w:rsidR="00CB75C2" w:rsidRPr="00D764A7" w:rsidRDefault="00AA13C4" w:rsidP="00B42A2B">
      <w:pPr>
        <w:pStyle w:val="FootnoteText"/>
      </w:pPr>
      <w:r w:rsidRPr="00D764A7">
        <w:rPr>
          <w:rStyle w:val="FootnoteReference"/>
        </w:rPr>
        <w:footnoteRef/>
      </w:r>
      <w:r w:rsidRPr="00D764A7">
        <w:t xml:space="preserve"> </w:t>
      </w:r>
      <w:r w:rsidRPr="00B529C0">
        <w:rPr>
          <w:i/>
          <w:szCs w:val="22"/>
        </w:rPr>
        <w:t xml:space="preserve">Toll Free Assignment Modernization </w:t>
      </w:r>
      <w:r w:rsidRPr="00B529C0">
        <w:rPr>
          <w:szCs w:val="22"/>
        </w:rPr>
        <w:t>Order</w:t>
      </w:r>
      <w:r>
        <w:t xml:space="preserve">, 33 FCC Rcd at 9291-92, para. 49.  </w:t>
      </w:r>
      <w:r w:rsidRPr="00375D4B">
        <w:rPr>
          <w:i/>
        </w:rPr>
        <w:t>Cf</w:t>
      </w:r>
      <w:r>
        <w:t>. 47 CFR</w:t>
      </w:r>
      <w:r w:rsidRPr="007C010B">
        <w:rPr>
          <w:i/>
        </w:rPr>
        <w:t xml:space="preserve"> </w:t>
      </w:r>
      <w:r w:rsidRPr="00D764A7">
        <w:t>§ 1.2105(b)(2).  Minor amendments include any changes that are not major, such as correcting typographical errors and supplying or correcting information as requested to support the certifications made in the application.</w:t>
      </w:r>
      <w:r>
        <w:t xml:space="preserve">  </w:t>
      </w:r>
      <w:r w:rsidRPr="003F7685">
        <w:rPr>
          <w:i/>
        </w:rPr>
        <w:t>Id.</w:t>
      </w:r>
      <w:r w:rsidRPr="00D764A7">
        <w:t> </w:t>
      </w:r>
    </w:p>
  </w:footnote>
  <w:footnote w:id="165">
    <w:p w:rsidR="00CB75C2" w:rsidRPr="00D764A7" w:rsidRDefault="00AA13C4" w:rsidP="00B42A2B">
      <w:pPr>
        <w:pStyle w:val="FootnoteText"/>
        <w:widowControl w:val="0"/>
      </w:pPr>
      <w:r w:rsidRPr="00D764A7">
        <w:rPr>
          <w:rStyle w:val="FootnoteReference"/>
        </w:rPr>
        <w:footnoteRef/>
      </w:r>
      <w:r w:rsidRPr="00D764A7">
        <w:t xml:space="preserve"> </w:t>
      </w:r>
      <w:r w:rsidRPr="00905A05">
        <w:rPr>
          <w:i/>
        </w:rPr>
        <w:t>Cf</w:t>
      </w:r>
      <w:r>
        <w:t>. 47 CFR</w:t>
      </w:r>
      <w:r w:rsidRPr="007C010B">
        <w:rPr>
          <w:i/>
        </w:rPr>
        <w:t xml:space="preserve"> </w:t>
      </w:r>
      <w:r w:rsidRPr="00D764A7">
        <w:t>§ 1.2105(b)(2)</w:t>
      </w:r>
      <w:r>
        <w:t xml:space="preserve">; </w:t>
      </w:r>
      <w:r w:rsidRPr="00905A05">
        <w:rPr>
          <w:i/>
        </w:rPr>
        <w:t>Two Way Radio of Carolina, Inc.</w:t>
      </w:r>
      <w:r w:rsidRPr="00905A05">
        <w:t>, Memorandum Opinion and Order, 14 FCC Rcd 12035</w:t>
      </w:r>
      <w:r>
        <w:t>, 12039, para. 8</w:t>
      </w:r>
      <w:r w:rsidRPr="00905A05">
        <w:t xml:space="preserve"> (1999) (holding that auction applicant was not allowed to change its designated entity status after application filing deadline)</w:t>
      </w:r>
      <w:r w:rsidRPr="00D764A7">
        <w:t>.</w:t>
      </w:r>
    </w:p>
  </w:footnote>
  <w:footnote w:id="166">
    <w:p w:rsidR="00CB75C2" w:rsidRPr="00D764A7" w:rsidRDefault="00AA13C4" w:rsidP="00B42A2B">
      <w:pPr>
        <w:pStyle w:val="FootnoteText"/>
        <w:widowControl w:val="0"/>
      </w:pPr>
      <w:r w:rsidRPr="00D764A7">
        <w:rPr>
          <w:rStyle w:val="FootnoteReference"/>
        </w:rPr>
        <w:footnoteRef/>
      </w:r>
      <w:r w:rsidRPr="00D764A7">
        <w:t xml:space="preserve"> </w:t>
      </w:r>
      <w:r>
        <w:rPr>
          <w:i/>
        </w:rPr>
        <w:t>Cf.</w:t>
      </w:r>
      <w:r w:rsidRPr="00D764A7">
        <w:rPr>
          <w:i/>
        </w:rPr>
        <w:t xml:space="preserve"> </w:t>
      </w:r>
      <w:r w:rsidRPr="00D764A7">
        <w:t xml:space="preserve">47 CFR § 1.2105(b)(2).  Any change in control of an applicant—resulting from a merger, for example—will be considered a major modification, and the application will consequently be dismissed.  </w:t>
      </w:r>
      <w:r>
        <w:t>We</w:t>
      </w:r>
      <w:r w:rsidRPr="00D764A7">
        <w:t xml:space="preserve"> reiterate that, even if an a</w:t>
      </w:r>
      <w:r>
        <w:t xml:space="preserve">uction application </w:t>
      </w:r>
      <w:r w:rsidRPr="00D764A7">
        <w:t>is dismissed, the applicant would remain subject to the communication</w:t>
      </w:r>
      <w:r>
        <w:t>s</w:t>
      </w:r>
      <w:r w:rsidRPr="00D764A7">
        <w:t xml:space="preserve"> prohibitions until the </w:t>
      </w:r>
      <w:r>
        <w:t>final payment (with late fee) deadline</w:t>
      </w:r>
      <w:r w:rsidRPr="00D764A7">
        <w:t xml:space="preserve">, which will be established after </w:t>
      </w:r>
      <w:r>
        <w:t>the bidding ends</w:t>
      </w:r>
      <w:r w:rsidRPr="00D764A7">
        <w:t>.</w:t>
      </w:r>
    </w:p>
  </w:footnote>
  <w:footnote w:id="167">
    <w:p w:rsidR="00CB75C2" w:rsidRPr="00D764A7" w:rsidRDefault="00AA13C4" w:rsidP="00B42A2B">
      <w:pPr>
        <w:pStyle w:val="FootnoteText"/>
        <w:widowControl w:val="0"/>
      </w:pPr>
      <w:r w:rsidRPr="00D764A7">
        <w:rPr>
          <w:rStyle w:val="FootnoteReference"/>
        </w:rPr>
        <w:footnoteRef/>
      </w:r>
      <w:r w:rsidRPr="00D764A7">
        <w:t xml:space="preserve"> </w:t>
      </w:r>
      <w:r>
        <w:rPr>
          <w:i/>
        </w:rPr>
        <w:t xml:space="preserve">Cf. </w:t>
      </w:r>
      <w:r w:rsidRPr="00F773E4">
        <w:rPr>
          <w:i/>
        </w:rPr>
        <w:t>id</w:t>
      </w:r>
      <w:r>
        <w:t>.</w:t>
      </w:r>
      <w:r w:rsidRPr="00D764A7">
        <w:t xml:space="preserve"> §§ 1.65</w:t>
      </w:r>
      <w:r>
        <w:t>;</w:t>
      </w:r>
      <w:r w:rsidRPr="00D764A7">
        <w:t xml:space="preserve"> 1.2105(b)(4).  For purposes </w:t>
      </w:r>
      <w:r>
        <w:t xml:space="preserve">maintaining the accuracy of the information in an auction application and associated </w:t>
      </w:r>
      <w:r w:rsidRPr="00D764A7">
        <w:t>attachments</w:t>
      </w:r>
      <w:r>
        <w:t>, the application remains</w:t>
      </w:r>
      <w:r w:rsidRPr="00D764A7">
        <w:t xml:space="preserve"> pending until the release of a public notice announcing </w:t>
      </w:r>
      <w:r>
        <w:t>the winning bidders</w:t>
      </w:r>
      <w:r w:rsidRPr="00D764A7">
        <w:t xml:space="preserve">.  </w:t>
      </w:r>
      <w:r>
        <w:t>We</w:t>
      </w:r>
      <w:r w:rsidRPr="00D764A7">
        <w:t xml:space="preserve"> remind </w:t>
      </w:r>
      <w:r>
        <w:t>833 Auction a</w:t>
      </w:r>
      <w:r w:rsidRPr="00D764A7">
        <w:t>pplicants that they remain subject to the prohibition o</w:t>
      </w:r>
      <w:r>
        <w:t>n</w:t>
      </w:r>
      <w:r w:rsidRPr="00D764A7">
        <w:t xml:space="preserve"> certain communications until the post-auction deadline for making </w:t>
      </w:r>
      <w:r>
        <w:t>final</w:t>
      </w:r>
      <w:r w:rsidRPr="00D764A7">
        <w:t xml:space="preserve"> payments</w:t>
      </w:r>
      <w:r>
        <w:t xml:space="preserve"> (with a late fee)</w:t>
      </w:r>
      <w:r w:rsidRPr="00D764A7">
        <w:t xml:space="preserve"> on winning bids.</w:t>
      </w:r>
    </w:p>
  </w:footnote>
  <w:footnote w:id="168">
    <w:p w:rsidR="00CB75C2" w:rsidRPr="00D764A7" w:rsidRDefault="00AA13C4" w:rsidP="00B42A2B">
      <w:pPr>
        <w:pStyle w:val="FootnoteText"/>
      </w:pPr>
      <w:r w:rsidRPr="00D764A7">
        <w:rPr>
          <w:rStyle w:val="FootnoteReference"/>
        </w:rPr>
        <w:footnoteRef/>
      </w:r>
      <w:r w:rsidRPr="00D764A7">
        <w:t xml:space="preserve"> </w:t>
      </w:r>
      <w:r>
        <w:rPr>
          <w:i/>
        </w:rPr>
        <w:t>Cf</w:t>
      </w:r>
      <w:r>
        <w:t>.</w:t>
      </w:r>
      <w:r w:rsidRPr="00D764A7">
        <w:t xml:space="preserve"> </w:t>
      </w:r>
      <w:r w:rsidRPr="00F773E4">
        <w:rPr>
          <w:i/>
        </w:rPr>
        <w:t>id</w:t>
      </w:r>
      <w:r>
        <w:t>.</w:t>
      </w:r>
      <w:r w:rsidRPr="00D764A7">
        <w:t xml:space="preserve"> §§ 1.65; 1.2105(b)(4).  We remind each applicant of its duty to continuously maintain the accuracy of information submitted in its auction application.  </w:t>
      </w:r>
      <w:r>
        <w:rPr>
          <w:i/>
        </w:rPr>
        <w:t>Cf.</w:t>
      </w:r>
      <w:r w:rsidRPr="00D764A7">
        <w:rPr>
          <w:i/>
        </w:rPr>
        <w:t>, e.g.</w:t>
      </w:r>
      <w:r w:rsidRPr="007C010B">
        <w:rPr>
          <w:i/>
        </w:rPr>
        <w:t>,</w:t>
      </w:r>
      <w:r w:rsidRPr="00D764A7">
        <w:rPr>
          <w:i/>
        </w:rPr>
        <w:t xml:space="preserve"> Vermont Telephone Company, Inc.</w:t>
      </w:r>
      <w:r w:rsidRPr="00D764A7">
        <w:t>, Notice of Apparent Liability for Forfeiture,</w:t>
      </w:r>
      <w:r w:rsidRPr="00D764A7">
        <w:rPr>
          <w:i/>
        </w:rPr>
        <w:t xml:space="preserve"> </w:t>
      </w:r>
      <w:r w:rsidRPr="00D764A7">
        <w:t>26 FCC Rcd 14130, 14134, para. 11 (EB 2011).</w:t>
      </w:r>
    </w:p>
  </w:footnote>
  <w:footnote w:id="169">
    <w:p w:rsidR="00CB75C2" w:rsidRDefault="00AA13C4" w:rsidP="00B42A2B">
      <w:pPr>
        <w:pStyle w:val="FootnoteText"/>
      </w:pPr>
      <w:r>
        <w:rPr>
          <w:rStyle w:val="FootnoteReference"/>
        </w:rPr>
        <w:footnoteRef/>
      </w:r>
      <w:r>
        <w:t xml:space="preserve"> </w:t>
      </w:r>
      <w:r>
        <w:rPr>
          <w:szCs w:val="22"/>
        </w:rPr>
        <w:t xml:space="preserve">During the resubmission period, </w:t>
      </w:r>
      <w:r w:rsidRPr="00E41602">
        <w:rPr>
          <w:szCs w:val="22"/>
        </w:rPr>
        <w:t xml:space="preserve">if an applicant needs to make permissible minor changes to its application, or must make changes in order to maintain the accuracy and completeness of its application, it </w:t>
      </w:r>
      <w:r>
        <w:rPr>
          <w:szCs w:val="22"/>
        </w:rPr>
        <w:t>will be able to m</w:t>
      </w:r>
      <w:r w:rsidRPr="00E41602">
        <w:rPr>
          <w:szCs w:val="22"/>
        </w:rPr>
        <w:t xml:space="preserve">ake the change(s) </w:t>
      </w:r>
      <w:r>
        <w:rPr>
          <w:szCs w:val="22"/>
        </w:rPr>
        <w:t xml:space="preserve">in the Somos application system but must </w:t>
      </w:r>
      <w:r w:rsidRPr="00E41602">
        <w:rPr>
          <w:szCs w:val="22"/>
        </w:rPr>
        <w:t>then re-certify and re-submit its application to confirm and effect the change(s</w:t>
      </w:r>
      <w:r>
        <w:rPr>
          <w:szCs w:val="22"/>
        </w:rPr>
        <w:t>).</w:t>
      </w:r>
    </w:p>
  </w:footnote>
  <w:footnote w:id="170">
    <w:p w:rsidR="00CB75C2" w:rsidRDefault="00AA13C4" w:rsidP="00B42A2B">
      <w:pPr>
        <w:pStyle w:val="FootnoteText"/>
      </w:pPr>
      <w:r>
        <w:rPr>
          <w:rStyle w:val="FootnoteReference"/>
        </w:rPr>
        <w:footnoteRef/>
      </w:r>
      <w:r>
        <w:t xml:space="preserve"> </w:t>
      </w:r>
      <w:r w:rsidRPr="00105172">
        <w:rPr>
          <w:i/>
        </w:rPr>
        <w:t>See generally Toll Free Assignment Modernization Order</w:t>
      </w:r>
      <w:r>
        <w:t xml:space="preserve">. </w:t>
      </w:r>
    </w:p>
  </w:footnote>
  <w:footnote w:id="171">
    <w:p w:rsidR="00CB75C2" w:rsidRDefault="00AA13C4" w:rsidP="00B42A2B">
      <w:pPr>
        <w:pStyle w:val="FootnoteText"/>
      </w:pPr>
      <w:r>
        <w:rPr>
          <w:rStyle w:val="FootnoteReference"/>
        </w:rPr>
        <w:footnoteRef/>
      </w:r>
      <w:r>
        <w:t xml:space="preserve"> Recently, a group of parties jointly submitted notifications of </w:t>
      </w:r>
      <w:r w:rsidRPr="00394F13">
        <w:rPr>
          <w:i/>
        </w:rPr>
        <w:t>ex parte</w:t>
      </w:r>
      <w:r>
        <w:t xml:space="preserve"> meetings on the topic of geographic routing of toll free numbers, in which they argued that a pending petition on the matter will affect the value of 833 numbers being auctioned.  </w:t>
      </w:r>
      <w:r w:rsidRPr="00394F13">
        <w:rPr>
          <w:i/>
        </w:rPr>
        <w:t>See</w:t>
      </w:r>
      <w:r>
        <w:t>,</w:t>
      </w:r>
      <w:r>
        <w:rPr>
          <w:i/>
        </w:rPr>
        <w:t xml:space="preserve"> e.g.</w:t>
      </w:r>
      <w:r w:rsidRPr="00D97269">
        <w:t>,</w:t>
      </w:r>
      <w:r>
        <w:t xml:space="preserve"> Letter from Bruno Tabbi, Ignition Toll Free, et al. to Marlene Dortch, Secretary, FCC, WC Docket No. 17-192 et al. (filed May 29, 2019); Letter from Bruno Tabbi, Ignition Toll Free, et al. to Marlene Dortch, Secretary, FCC, WC Docket No. 17-192 et al. (filed June 10, 2019); Letter from Bruno Tabbi, Ignition Toll Free, et al. to Marlene Dortch, Secretary, FCC, AU Docket No. 19-101 et al. (filed June 17, 2019);</w:t>
      </w:r>
      <w:r w:rsidRPr="00397806">
        <w:t xml:space="preserve"> </w:t>
      </w:r>
      <w:r>
        <w:t>;</w:t>
      </w:r>
      <w:r w:rsidRPr="00A43E90">
        <w:t xml:space="preserve"> </w:t>
      </w:r>
      <w:r>
        <w:t xml:space="preserve">Letter from Bruno Tabbi, Ignition Toll Free, to Marlene Dortch, Secretary, FCC, CC Docket No. 95-155 et al. (filed July 24, 2019); Letter from MessageComm, to Marlene Dortch, Secretary, FCC, CC Docket No. 95-155 et al (filed July 25, 2019).  Because the petition that is the subject of the </w:t>
      </w:r>
      <w:r w:rsidRPr="00397806">
        <w:rPr>
          <w:i/>
        </w:rPr>
        <w:t>ex parte</w:t>
      </w:r>
      <w:r>
        <w:t xml:space="preserve"> notifications is outside the scope of this proceeding, we will not address the petition, or the matters raised in the notifications, here.</w:t>
      </w:r>
    </w:p>
  </w:footnote>
  <w:footnote w:id="172">
    <w:p w:rsidR="00CB75C2" w:rsidRPr="00E10904" w:rsidRDefault="00AA13C4" w:rsidP="00B42A2B">
      <w:pPr>
        <w:pStyle w:val="FootnoteText"/>
      </w:pPr>
      <w:r>
        <w:rPr>
          <w:rStyle w:val="FootnoteReference"/>
        </w:rPr>
        <w:footnoteRef/>
      </w:r>
      <w:r>
        <w:t xml:space="preserve"> </w:t>
      </w:r>
      <w:r>
        <w:rPr>
          <w:i/>
        </w:rPr>
        <w:t>833 Auction</w:t>
      </w:r>
      <w:r w:rsidRPr="000C1861">
        <w:rPr>
          <w:i/>
        </w:rPr>
        <w:t xml:space="preserve"> Comment Public Notice</w:t>
      </w:r>
      <w:r>
        <w:t xml:space="preserve"> at para. 27.</w:t>
      </w:r>
    </w:p>
  </w:footnote>
  <w:footnote w:id="173">
    <w:p w:rsidR="00CB75C2" w:rsidRDefault="00AA13C4" w:rsidP="00B42A2B">
      <w:pPr>
        <w:pStyle w:val="FootnoteText"/>
      </w:pPr>
      <w:r>
        <w:rPr>
          <w:rStyle w:val="FootnoteReference"/>
        </w:rPr>
        <w:footnoteRef/>
      </w:r>
      <w:r>
        <w:t xml:space="preserve"> </w:t>
      </w:r>
      <w:r w:rsidRPr="004E792F">
        <w:rPr>
          <w:i/>
        </w:rPr>
        <w:t>See</w:t>
      </w:r>
      <w:r>
        <w:t xml:space="preserve"> </w:t>
      </w:r>
      <w:r w:rsidRPr="004E792F">
        <w:rPr>
          <w:i/>
        </w:rPr>
        <w:t>Amendment of Parts 1, 21, 61, 73, 74, and 76 of the Commission's Rules, Adoption of a Mandatory FCC Registration Number</w:t>
      </w:r>
      <w:r w:rsidRPr="00046044">
        <w:t>, Report and Order, 16 FCC Rcd 16138</w:t>
      </w:r>
      <w:r>
        <w:t>, 16145-46, para. 31</w:t>
      </w:r>
      <w:r w:rsidRPr="00046044">
        <w:t xml:space="preserve"> (2001)</w:t>
      </w:r>
      <w:r>
        <w:t xml:space="preserve"> (</w:t>
      </w:r>
      <w:r w:rsidRPr="008048B7">
        <w:t xml:space="preserve">adopted a rule requiring all persons and entities doing business with the </w:t>
      </w:r>
      <w:r>
        <w:t>Commission</w:t>
      </w:r>
      <w:r w:rsidRPr="008048B7">
        <w:t xml:space="preserve"> to acquire </w:t>
      </w:r>
      <w:r>
        <w:t xml:space="preserve">a </w:t>
      </w:r>
      <w:r w:rsidRPr="008048B7">
        <w:t>FRN and to provide it with all applications or feeable filings, as well as other transactions involving payment of money</w:t>
      </w:r>
      <w:r>
        <w:t>).</w:t>
      </w:r>
    </w:p>
  </w:footnote>
  <w:footnote w:id="174">
    <w:p w:rsidR="00CB75C2" w:rsidRDefault="00AA13C4" w:rsidP="00B42A2B">
      <w:pPr>
        <w:pStyle w:val="FootnoteText"/>
      </w:pPr>
      <w:r>
        <w:rPr>
          <w:rStyle w:val="FootnoteReference"/>
        </w:rPr>
        <w:footnoteRef/>
      </w:r>
      <w:r>
        <w:t xml:space="preserve"> </w:t>
      </w:r>
      <w:r w:rsidRPr="00E61A82">
        <w:rPr>
          <w:szCs w:val="22"/>
        </w:rPr>
        <w:t xml:space="preserve">No application fee </w:t>
      </w:r>
      <w:r>
        <w:rPr>
          <w:szCs w:val="22"/>
        </w:rPr>
        <w:t>will be</w:t>
      </w:r>
      <w:r w:rsidRPr="00E61A82">
        <w:rPr>
          <w:szCs w:val="22"/>
        </w:rPr>
        <w:t xml:space="preserve"> required.</w:t>
      </w:r>
      <w:r>
        <w:rPr>
          <w:szCs w:val="22"/>
        </w:rPr>
        <w:t xml:space="preserve">  We note, however, that to become a qualified bidder, the applicant must submit a sufficient upfront payment.  </w:t>
      </w:r>
      <w:r w:rsidRPr="00266E0D">
        <w:rPr>
          <w:i/>
          <w:szCs w:val="22"/>
        </w:rPr>
        <w:t>See</w:t>
      </w:r>
      <w:r>
        <w:rPr>
          <w:szCs w:val="22"/>
        </w:rPr>
        <w:t xml:space="preserve"> </w:t>
      </w:r>
      <w:r w:rsidRPr="001B3007">
        <w:rPr>
          <w:i/>
          <w:szCs w:val="22"/>
        </w:rPr>
        <w:t>infra</w:t>
      </w:r>
      <w:r>
        <w:rPr>
          <w:szCs w:val="22"/>
        </w:rPr>
        <w:t xml:space="preserve"> Section IV.F.</w:t>
      </w:r>
    </w:p>
  </w:footnote>
  <w:footnote w:id="175">
    <w:p w:rsidR="00CB75C2" w:rsidRPr="00D764A7" w:rsidRDefault="00AA13C4" w:rsidP="00B42A2B">
      <w:pPr>
        <w:pStyle w:val="FootnoteText"/>
        <w:widowControl w:val="0"/>
      </w:pPr>
      <w:r w:rsidRPr="00D764A7">
        <w:rPr>
          <w:rStyle w:val="FootnoteReference"/>
        </w:rPr>
        <w:footnoteRef/>
      </w:r>
      <w:r w:rsidRPr="00D764A7">
        <w:t xml:space="preserve"> </w:t>
      </w:r>
      <w:r w:rsidRPr="00D764A7">
        <w:rPr>
          <w:i/>
        </w:rPr>
        <w:t>See</w:t>
      </w:r>
      <w:r w:rsidRPr="00D764A7">
        <w:t xml:space="preserve"> </w:t>
      </w:r>
      <w:r w:rsidRPr="001B3007">
        <w:rPr>
          <w:i/>
        </w:rPr>
        <w:t>supra</w:t>
      </w:r>
      <w:r>
        <w:t xml:space="preserve"> </w:t>
      </w:r>
      <w:r w:rsidRPr="00D764A7">
        <w:t xml:space="preserve">Section </w:t>
      </w:r>
      <w:r>
        <w:t>III.H.1.</w:t>
      </w:r>
    </w:p>
  </w:footnote>
  <w:footnote w:id="176">
    <w:p w:rsidR="00CB75C2" w:rsidRPr="00D764A7" w:rsidRDefault="00AA13C4" w:rsidP="00B42A2B">
      <w:pPr>
        <w:pStyle w:val="FootnoteText"/>
      </w:pPr>
      <w:r w:rsidRPr="00D764A7">
        <w:rPr>
          <w:rStyle w:val="FootnoteReference"/>
        </w:rPr>
        <w:footnoteRef/>
      </w:r>
      <w:r w:rsidRPr="00D764A7">
        <w:t xml:space="preserve"> </w:t>
      </w:r>
      <w:r w:rsidRPr="00D764A7">
        <w:rPr>
          <w:i/>
        </w:rPr>
        <w:t>See Competitive Bidding Second Report and Order</w:t>
      </w:r>
      <w:r w:rsidRPr="00D764A7">
        <w:t>, 9 FCC Rcd at 2377-79, paras. 169-76.</w:t>
      </w:r>
    </w:p>
  </w:footnote>
  <w:footnote w:id="177">
    <w:p w:rsidR="00CB75C2" w:rsidRDefault="00AA13C4" w:rsidP="00B42A2B">
      <w:pPr>
        <w:pStyle w:val="FootnoteText"/>
      </w:pPr>
      <w:r>
        <w:rPr>
          <w:rStyle w:val="FootnoteReference"/>
        </w:rPr>
        <w:footnoteRef/>
      </w:r>
      <w:r>
        <w:t xml:space="preserve"> </w:t>
      </w:r>
      <w:r w:rsidRPr="00F9336A">
        <w:rPr>
          <w:i/>
        </w:rPr>
        <w:t>833 Auction Comment Public Notice</w:t>
      </w:r>
      <w:r>
        <w:t xml:space="preserve"> at paras. 45-46.</w:t>
      </w:r>
    </w:p>
  </w:footnote>
  <w:footnote w:id="178">
    <w:p w:rsidR="00CB75C2" w:rsidRDefault="00AA13C4" w:rsidP="00B42A2B">
      <w:pPr>
        <w:pStyle w:val="FootnoteText"/>
      </w:pPr>
      <w:r>
        <w:rPr>
          <w:rStyle w:val="FootnoteReference"/>
        </w:rPr>
        <w:footnoteRef/>
      </w:r>
      <w:r>
        <w:t xml:space="preserve"> </w:t>
      </w:r>
      <w:r>
        <w:rPr>
          <w:i/>
        </w:rPr>
        <w:t>Id</w:t>
      </w:r>
      <w:r>
        <w:t>.</w:t>
      </w:r>
      <w:r w:rsidRPr="00751DD6">
        <w:t xml:space="preserve"> </w:t>
      </w:r>
      <w:r>
        <w:t>at para. 50.</w:t>
      </w:r>
    </w:p>
  </w:footnote>
  <w:footnote w:id="179">
    <w:p w:rsidR="00CB75C2" w:rsidRDefault="00AA13C4" w:rsidP="00B42A2B">
      <w:pPr>
        <w:pStyle w:val="FootnoteText"/>
      </w:pPr>
      <w:r>
        <w:rPr>
          <w:rStyle w:val="FootnoteReference"/>
        </w:rPr>
        <w:footnoteRef/>
      </w:r>
      <w:r>
        <w:t xml:space="preserve"> Applicants can use a wire transfer to submit upfront payments of $300 or less, but also have the option to use ACH.  Moreover, as noted in the </w:t>
      </w:r>
      <w:r w:rsidRPr="00F3196B">
        <w:rPr>
          <w:i/>
        </w:rPr>
        <w:t>833 Auction Comment Public Notice</w:t>
      </w:r>
      <w:r>
        <w:t>, we proposed to</w:t>
      </w:r>
      <w:r w:rsidRPr="00751DD6">
        <w:t xml:space="preserve"> specifically exclude payments via check or credit card, as such payment processes have increased risks associated with them, which may not be conducive to a timely auction.</w:t>
      </w:r>
      <w:r>
        <w:t xml:space="preserve">  </w:t>
      </w:r>
      <w:r>
        <w:rPr>
          <w:i/>
        </w:rPr>
        <w:t>Id</w:t>
      </w:r>
      <w:r>
        <w:t>.</w:t>
      </w:r>
      <w:r w:rsidRPr="00751DD6">
        <w:t xml:space="preserve"> </w:t>
      </w:r>
      <w:r>
        <w:t>at n. 64.  For these reasons, we adopt the proposal and only allow applicants to use ACH as an alternative to wire transfers for their upfront payments.</w:t>
      </w:r>
    </w:p>
  </w:footnote>
  <w:footnote w:id="180">
    <w:p w:rsidR="00CB75C2" w:rsidRDefault="00AA13C4" w:rsidP="00B42A2B">
      <w:pPr>
        <w:pStyle w:val="FootnoteText"/>
      </w:pPr>
      <w:r>
        <w:rPr>
          <w:rStyle w:val="FootnoteReference"/>
        </w:rPr>
        <w:footnoteRef/>
      </w:r>
      <w:r>
        <w:t xml:space="preserve"> We adopt our proposal to exclude payments via check or credit card, as such payment processes have increased risks associated with them, which would not be conducive to a timely auction.  </w:t>
      </w:r>
      <w:r>
        <w:rPr>
          <w:i/>
        </w:rPr>
        <w:t>Id</w:t>
      </w:r>
      <w:r>
        <w:t>.</w:t>
      </w:r>
      <w:r w:rsidRPr="00751DD6">
        <w:t xml:space="preserve"> </w:t>
      </w:r>
      <w:r>
        <w:t>at n.70.</w:t>
      </w:r>
    </w:p>
  </w:footnote>
  <w:footnote w:id="181">
    <w:p w:rsidR="00CB75C2" w:rsidRPr="00D764A7" w:rsidRDefault="00AA13C4" w:rsidP="00B42A2B">
      <w:pPr>
        <w:pStyle w:val="FootnoteText"/>
      </w:pPr>
      <w:r w:rsidRPr="00D764A7">
        <w:rPr>
          <w:rStyle w:val="FootnoteReference"/>
        </w:rPr>
        <w:footnoteRef/>
      </w:r>
      <w:r w:rsidRPr="00D764A7">
        <w:t xml:space="preserve"> </w:t>
      </w:r>
      <w:r w:rsidRPr="00D764A7">
        <w:rPr>
          <w:i/>
        </w:rPr>
        <w:t>See, e.g.</w:t>
      </w:r>
      <w:r w:rsidRPr="006146FD">
        <w:t>,</w:t>
      </w:r>
      <w:r w:rsidRPr="00D764A7">
        <w:rPr>
          <w:i/>
        </w:rPr>
        <w:t xml:space="preserve"> </w:t>
      </w:r>
      <w:r w:rsidRPr="00D764A7">
        <w:t xml:space="preserve">Letter to David G. O’Neil, Esq. from Margaret W. Wiener, Chief, Auctions and Spectrum Access Division, </w:t>
      </w:r>
      <w:r>
        <w:t xml:space="preserve">FCC </w:t>
      </w:r>
      <w:r w:rsidRPr="00D764A7">
        <w:t>Wireless Telecommunications Bureau, 23 FCC Rcd 4765 (</w:t>
      </w:r>
      <w:r>
        <w:t>WTB</w:t>
      </w:r>
      <w:r w:rsidRPr="00D764A7">
        <w:t xml:space="preserve"> 2008); Letter to Patrick Shannon, Esq., Counsel for Lynch 3G Communications Corp., from Margaret W. Wiener, Chief, Auctions and Industry Analysis Division, </w:t>
      </w:r>
      <w:r>
        <w:t xml:space="preserve">FCC </w:t>
      </w:r>
      <w:r w:rsidRPr="00D764A7">
        <w:t xml:space="preserve">Wireless Telecommunications Bureau, 18 FCC Rcd 11552 (WTB 2003). </w:t>
      </w:r>
    </w:p>
  </w:footnote>
  <w:footnote w:id="182">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9285-86, paras. 30-32.</w:t>
      </w:r>
    </w:p>
  </w:footnote>
  <w:footnote w:id="183">
    <w:p w:rsidR="00CB75C2" w:rsidRPr="00751DD6" w:rsidRDefault="00AA13C4" w:rsidP="00B42A2B">
      <w:pPr>
        <w:pStyle w:val="FootnoteText"/>
      </w:pPr>
      <w:r w:rsidRPr="00751DD6">
        <w:rPr>
          <w:rStyle w:val="FootnoteReference"/>
          <w:sz w:val="20"/>
        </w:rPr>
        <w:footnoteRef/>
      </w:r>
      <w:r w:rsidRPr="00751DD6">
        <w:t xml:space="preserve"> </w:t>
      </w:r>
      <w:r w:rsidRPr="00751DD6">
        <w:rPr>
          <w:i/>
        </w:rPr>
        <w:t>Id</w:t>
      </w:r>
      <w:r w:rsidRPr="00751DD6">
        <w:t>.</w:t>
      </w:r>
    </w:p>
  </w:footnote>
  <w:footnote w:id="184">
    <w:p w:rsidR="00CB75C2" w:rsidRDefault="00AA13C4" w:rsidP="00B42A2B">
      <w:pPr>
        <w:pStyle w:val="FootnoteText"/>
      </w:pPr>
      <w:r>
        <w:rPr>
          <w:rStyle w:val="FootnoteReference"/>
        </w:rPr>
        <w:footnoteRef/>
      </w:r>
      <w:r>
        <w:t xml:space="preserve"> </w:t>
      </w:r>
      <w:r w:rsidRPr="00677EEC">
        <w:t>Th</w:t>
      </w:r>
      <w:r>
        <w:t xml:space="preserve">e fact that the winning bidder in this scenario will not be required to pay anything to acquire the rights to the toll free number </w:t>
      </w:r>
      <w:r w:rsidRPr="00677EEC">
        <w:t xml:space="preserve">does not relieve the obligation to pay </w:t>
      </w:r>
      <w:r>
        <w:t xml:space="preserve">any other fees, including </w:t>
      </w:r>
      <w:r w:rsidRPr="00677EEC">
        <w:t xml:space="preserve">regulatory fees to the </w:t>
      </w:r>
      <w:r>
        <w:t>Commission</w:t>
      </w:r>
      <w:r w:rsidRPr="00677EEC">
        <w:t xml:space="preserve">, </w:t>
      </w:r>
      <w:r w:rsidRPr="00677EEC">
        <w:rPr>
          <w:i/>
        </w:rPr>
        <w:t>see</w:t>
      </w:r>
      <w:r w:rsidRPr="00677EEC">
        <w:t xml:space="preserve"> Assessment and Collection of Regulatory Fees for Fiscal Year 2019, MD Docket No. 19-105, Notice of Proposed Rulemaking, FCC 19-37, at 17 (OMD May 8, 2019) (explaining regulatory fees for RespOrgs), or fees established by Somos under the terms of its tariff</w:t>
      </w:r>
      <w:r>
        <w:t>.</w:t>
      </w:r>
    </w:p>
  </w:footnote>
  <w:footnote w:id="185">
    <w:p w:rsidR="00CB75C2" w:rsidRDefault="00AA13C4" w:rsidP="00B42A2B">
      <w:pPr>
        <w:pStyle w:val="FootnoteText"/>
      </w:pPr>
      <w:r>
        <w:rPr>
          <w:rStyle w:val="FootnoteReference"/>
        </w:rPr>
        <w:footnoteRef/>
      </w:r>
      <w:r>
        <w:t xml:space="preserve"> </w:t>
      </w:r>
      <w:r w:rsidRPr="00E6046E">
        <w:rPr>
          <w:i/>
        </w:rPr>
        <w:t>833 Auction Comment Public Notice</w:t>
      </w:r>
      <w:r>
        <w:t xml:space="preserve"> at para. 39.</w:t>
      </w:r>
    </w:p>
  </w:footnote>
  <w:footnote w:id="186">
    <w:p w:rsidR="00CB75C2" w:rsidRDefault="00AA13C4" w:rsidP="00B42A2B">
      <w:pPr>
        <w:pStyle w:val="FootnoteText"/>
      </w:pPr>
      <w:r>
        <w:rPr>
          <w:rStyle w:val="FootnoteReference"/>
        </w:rPr>
        <w:footnoteRef/>
      </w:r>
      <w:r>
        <w:t xml:space="preserve"> </w:t>
      </w:r>
      <w:bookmarkStart w:id="772" w:name="_Hlk12430582"/>
      <w:r>
        <w:t>A pseudo-random number generator uses an algorithm to assign a number to each bid.</w:t>
      </w:r>
      <w:bookmarkEnd w:id="772"/>
    </w:p>
  </w:footnote>
  <w:footnote w:id="187">
    <w:p w:rsidR="00CB75C2" w:rsidRDefault="00AA13C4" w:rsidP="00B42A2B">
      <w:pPr>
        <w:pStyle w:val="FootnoteText"/>
      </w:pPr>
      <w:r>
        <w:rPr>
          <w:rStyle w:val="FootnoteReference"/>
        </w:rPr>
        <w:footnoteRef/>
      </w:r>
      <w:r>
        <w:t xml:space="preserve"> </w:t>
      </w:r>
      <w:r>
        <w:rPr>
          <w:i/>
        </w:rPr>
        <w:t>Id</w:t>
      </w:r>
      <w:r>
        <w:t>.</w:t>
      </w:r>
      <w:r w:rsidRPr="00751DD6">
        <w:t xml:space="preserve"> </w:t>
      </w:r>
      <w:r>
        <w:t>at para. 40.</w:t>
      </w:r>
    </w:p>
  </w:footnote>
  <w:footnote w:id="188">
    <w:p w:rsidR="00CB75C2" w:rsidRDefault="00AA13C4" w:rsidP="00B42A2B">
      <w:pPr>
        <w:pStyle w:val="FootnoteText"/>
      </w:pPr>
      <w:r>
        <w:rPr>
          <w:rStyle w:val="FootnoteReference"/>
        </w:rPr>
        <w:footnoteRef/>
      </w:r>
      <w:r>
        <w:t xml:space="preserve"> </w:t>
      </w:r>
      <w:r>
        <w:rPr>
          <w:i/>
        </w:rPr>
        <w:t>Id</w:t>
      </w:r>
      <w:r>
        <w:t>.</w:t>
      </w:r>
    </w:p>
  </w:footnote>
  <w:footnote w:id="189">
    <w:p w:rsidR="00CB75C2" w:rsidRDefault="00AA13C4" w:rsidP="00B42A2B">
      <w:pPr>
        <w:pStyle w:val="FootnoteText"/>
      </w:pPr>
      <w:r>
        <w:rPr>
          <w:rStyle w:val="FootnoteReference"/>
        </w:rPr>
        <w:footnoteRef/>
      </w:r>
      <w:r>
        <w:t xml:space="preserve"> </w:t>
      </w:r>
      <w:r>
        <w:rPr>
          <w:i/>
        </w:rPr>
        <w:t>Id</w:t>
      </w:r>
      <w:r>
        <w:t>.</w:t>
      </w:r>
      <w:r w:rsidRPr="00751DD6">
        <w:t xml:space="preserve"> </w:t>
      </w:r>
      <w:r>
        <w:t>at para. 43.</w:t>
      </w:r>
    </w:p>
  </w:footnote>
  <w:footnote w:id="190">
    <w:p w:rsidR="00CB75C2" w:rsidRDefault="00AA13C4" w:rsidP="00B42A2B">
      <w:pPr>
        <w:pStyle w:val="FootnoteText"/>
      </w:pPr>
      <w:r>
        <w:rPr>
          <w:rStyle w:val="FootnoteReference"/>
        </w:rPr>
        <w:footnoteRef/>
      </w:r>
      <w:r>
        <w:t xml:space="preserve"> </w:t>
      </w:r>
      <w:r>
        <w:rPr>
          <w:i/>
        </w:rPr>
        <w:t>Id</w:t>
      </w:r>
      <w:r>
        <w:t>.</w:t>
      </w:r>
    </w:p>
  </w:footnote>
  <w:footnote w:id="191">
    <w:p w:rsidR="00CB75C2" w:rsidRDefault="00AA13C4" w:rsidP="00B42A2B">
      <w:pPr>
        <w:pStyle w:val="FootnoteText"/>
      </w:pPr>
      <w:r>
        <w:rPr>
          <w:rStyle w:val="FootnoteReference"/>
        </w:rPr>
        <w:footnoteRef/>
      </w:r>
      <w:r>
        <w:t xml:space="preserve"> </w:t>
      </w:r>
      <w:r>
        <w:rPr>
          <w:i/>
        </w:rPr>
        <w:t>Id</w:t>
      </w:r>
      <w:r>
        <w:t>.</w:t>
      </w:r>
      <w:r w:rsidRPr="00751DD6">
        <w:t xml:space="preserve"> </w:t>
      </w:r>
      <w:r>
        <w:t>at para. 43 &amp; n.58.</w:t>
      </w:r>
    </w:p>
  </w:footnote>
  <w:footnote w:id="192">
    <w:p w:rsidR="00CB75C2" w:rsidRDefault="00AA13C4" w:rsidP="00B42A2B">
      <w:pPr>
        <w:pStyle w:val="FootnoteText"/>
      </w:pPr>
      <w:r>
        <w:rPr>
          <w:rStyle w:val="FootnoteReference"/>
        </w:rPr>
        <w:footnoteRef/>
      </w:r>
      <w:r>
        <w:t xml:space="preserve"> </w:t>
      </w:r>
      <w:r>
        <w:rPr>
          <w:i/>
        </w:rPr>
        <w:t>Id</w:t>
      </w:r>
      <w:r>
        <w:t>.</w:t>
      </w:r>
      <w:r w:rsidRPr="00751DD6">
        <w:t xml:space="preserve"> </w:t>
      </w:r>
      <w:r>
        <w:t>at para. 44.</w:t>
      </w:r>
    </w:p>
  </w:footnote>
  <w:footnote w:id="193">
    <w:p w:rsidR="00CB75C2" w:rsidRDefault="00AA13C4" w:rsidP="00B42A2B">
      <w:pPr>
        <w:pStyle w:val="FootnoteText"/>
      </w:pPr>
      <w:r>
        <w:rPr>
          <w:rStyle w:val="FootnoteReference"/>
        </w:rPr>
        <w:footnoteRef/>
      </w:r>
      <w:r>
        <w:t xml:space="preserve"> </w:t>
      </w:r>
      <w:r w:rsidRPr="00710B0C">
        <w:rPr>
          <w:i/>
        </w:rPr>
        <w:t>See</w:t>
      </w:r>
      <w:r>
        <w:t xml:space="preserve"> </w:t>
      </w:r>
      <w:r>
        <w:rPr>
          <w:i/>
          <w:szCs w:val="22"/>
        </w:rPr>
        <w:t>supr</w:t>
      </w:r>
      <w:r w:rsidRPr="001B3007">
        <w:rPr>
          <w:i/>
          <w:szCs w:val="22"/>
        </w:rPr>
        <w:t>a</w:t>
      </w:r>
      <w:r>
        <w:rPr>
          <w:szCs w:val="22"/>
        </w:rPr>
        <w:t xml:space="preserve"> Section IV.F.</w:t>
      </w:r>
    </w:p>
  </w:footnote>
  <w:footnote w:id="194">
    <w:p w:rsidR="00CB75C2" w:rsidRDefault="00AA13C4" w:rsidP="00B42A2B">
      <w:pPr>
        <w:pStyle w:val="FootnoteText"/>
      </w:pPr>
      <w:r>
        <w:rPr>
          <w:rStyle w:val="FootnoteReference"/>
        </w:rPr>
        <w:footnoteRef/>
      </w:r>
      <w:r>
        <w:t xml:space="preserve"> </w:t>
      </w:r>
      <w:r w:rsidRPr="00E6046E">
        <w:rPr>
          <w:i/>
        </w:rPr>
        <w:t>833 Auction Comment Public Notice</w:t>
      </w:r>
      <w:r>
        <w:t xml:space="preserve"> at para. 47.</w:t>
      </w:r>
    </w:p>
  </w:footnote>
  <w:footnote w:id="195">
    <w:p w:rsidR="00CB75C2" w:rsidRDefault="00AA13C4" w:rsidP="00B42A2B">
      <w:pPr>
        <w:pStyle w:val="FootnoteText"/>
      </w:pPr>
      <w:r>
        <w:rPr>
          <w:rStyle w:val="FootnoteReference"/>
        </w:rPr>
        <w:footnoteRef/>
      </w:r>
      <w:r>
        <w:t xml:space="preserve"> </w:t>
      </w:r>
      <w:r>
        <w:rPr>
          <w:i/>
        </w:rPr>
        <w:t>Id</w:t>
      </w:r>
      <w:r>
        <w:t>.</w:t>
      </w:r>
    </w:p>
  </w:footnote>
  <w:footnote w:id="196">
    <w:p w:rsidR="00CB75C2" w:rsidRPr="00263470" w:rsidRDefault="00AA13C4" w:rsidP="00B42A2B">
      <w:pPr>
        <w:pStyle w:val="FootnoteText"/>
      </w:pPr>
      <w:r>
        <w:rPr>
          <w:rStyle w:val="FootnoteReference"/>
        </w:rPr>
        <w:footnoteRef/>
      </w:r>
      <w:r>
        <w:t xml:space="preserve"> </w:t>
      </w:r>
      <w:r w:rsidRPr="00263470">
        <w:rPr>
          <w:i/>
        </w:rPr>
        <w:t>Toll Free Assignment Modernization Order</w:t>
      </w:r>
      <w:r>
        <w:t>, 33 FCC Rcd 9293-94, para. 57.</w:t>
      </w:r>
    </w:p>
  </w:footnote>
  <w:footnote w:id="197">
    <w:p w:rsidR="00CB75C2" w:rsidRDefault="00AA13C4" w:rsidP="00B42A2B">
      <w:pPr>
        <w:pStyle w:val="FootnoteText"/>
      </w:pPr>
      <w:r>
        <w:rPr>
          <w:rStyle w:val="FootnoteReference"/>
        </w:rPr>
        <w:footnoteRef/>
      </w:r>
      <w:r>
        <w:t xml:space="preserve"> </w:t>
      </w:r>
      <w:r w:rsidRPr="00AF462C">
        <w:rPr>
          <w:i/>
        </w:rPr>
        <w:t>Id</w:t>
      </w:r>
      <w:r>
        <w:t>. (specifically noting auctioned numbers that received no bids).</w:t>
      </w:r>
    </w:p>
  </w:footnote>
  <w:footnote w:id="198">
    <w:p w:rsidR="00CB75C2" w:rsidRDefault="00AA13C4" w:rsidP="00B42A2B">
      <w:pPr>
        <w:pStyle w:val="FootnoteText"/>
      </w:pPr>
      <w:r>
        <w:rPr>
          <w:rStyle w:val="FootnoteReference"/>
        </w:rPr>
        <w:footnoteRef/>
      </w:r>
      <w:r>
        <w:t xml:space="preserve"> </w:t>
      </w:r>
      <w:r w:rsidRPr="00B02314">
        <w:rPr>
          <w:i/>
        </w:rPr>
        <w:t>833 Auction Comment Public Notice</w:t>
      </w:r>
      <w:r>
        <w:t xml:space="preserve"> at paras. 4, 53.</w:t>
      </w:r>
    </w:p>
  </w:footnote>
  <w:footnote w:id="199">
    <w:p w:rsidR="00CB75C2" w:rsidRDefault="00AA13C4" w:rsidP="00B42A2B">
      <w:pPr>
        <w:pStyle w:val="FootnoteText"/>
      </w:pPr>
      <w:r>
        <w:rPr>
          <w:rStyle w:val="FootnoteReference"/>
        </w:rPr>
        <w:footnoteRef/>
      </w:r>
      <w:r>
        <w:t xml:space="preserve"> ATIS SNAC Comments at 3 (Commission should treat defaulted bids as if they had not been submitted and therefore award the toll free number for the third highest bid amount or zero, if there is no other bidder); CenturyLink Comments at n.6 (in the event there are two bidders for a number, and the winner defaults, supports allocating the toll free number to the other bidder for free).</w:t>
      </w:r>
    </w:p>
  </w:footnote>
  <w:footnote w:id="200">
    <w:p w:rsidR="00CB75C2" w:rsidRDefault="00AA13C4" w:rsidP="00B42A2B">
      <w:pPr>
        <w:pStyle w:val="FootnoteText"/>
      </w:pPr>
      <w:r>
        <w:rPr>
          <w:rStyle w:val="FootnoteReference"/>
        </w:rPr>
        <w:footnoteRef/>
      </w:r>
      <w:r>
        <w:t xml:space="preserve"> We note that our competitive bidding rules for spectrum auctions reserve the Commission’s discretion in the event of a winning bidder’s default to either re-auction the license(s) or offer it to the other highest bidders (in descending order) at their final bids.  </w:t>
      </w:r>
      <w:r w:rsidRPr="00AA40EC">
        <w:rPr>
          <w:i/>
        </w:rPr>
        <w:t>See</w:t>
      </w:r>
      <w:r>
        <w:t xml:space="preserve"> 47 CFR § 1.2109(c); </w:t>
      </w:r>
      <w:r w:rsidRPr="00AA40EC">
        <w:rPr>
          <w:i/>
        </w:rPr>
        <w:t>see</w:t>
      </w:r>
      <w:r>
        <w:rPr>
          <w:i/>
        </w:rPr>
        <w:t xml:space="preserve"> also</w:t>
      </w:r>
      <w:r>
        <w:t xml:space="preserve"> </w:t>
      </w:r>
      <w:r w:rsidRPr="000F070A">
        <w:rPr>
          <w:i/>
          <w:iCs/>
        </w:rPr>
        <w:t>Competitive Bidding</w:t>
      </w:r>
      <w:r w:rsidRPr="000F070A">
        <w:t xml:space="preserve"> </w:t>
      </w:r>
      <w:r w:rsidRPr="000F070A">
        <w:rPr>
          <w:i/>
          <w:iCs/>
        </w:rPr>
        <w:t>Second Report and Order</w:t>
      </w:r>
      <w:r>
        <w:t xml:space="preserve">, 9 FCC Rcd 2383-84, paras 204-05; </w:t>
      </w:r>
      <w:r w:rsidRPr="00A67AD9">
        <w:rPr>
          <w:i/>
        </w:rPr>
        <w:t>Part 1 Third Report and Ord</w:t>
      </w:r>
      <w:r>
        <w:rPr>
          <w:i/>
        </w:rPr>
        <w:t>er</w:t>
      </w:r>
      <w:r>
        <w:t>, 13 FCC Rcd at 462, para 153;</w:t>
      </w:r>
      <w:r>
        <w:rPr>
          <w:i/>
        </w:rPr>
        <w:t xml:space="preserve"> </w:t>
      </w:r>
      <w:r w:rsidRPr="000F3298">
        <w:rPr>
          <w:i/>
        </w:rPr>
        <w:t>Requests for Waiver of Section 1.2109(b) of the Commission’s Rules and Request for Discretionary Implementation of Section 1.2109(b) of the Commission's Rules</w:t>
      </w:r>
      <w:r>
        <w:t xml:space="preserve">, Memorandum Opinion and Order, 22 FCC Rcd 3969 (WTB 2007); </w:t>
      </w:r>
      <w:r w:rsidRPr="000F3298">
        <w:rPr>
          <w:i/>
        </w:rPr>
        <w:t>Harbor Wireless, LLC</w:t>
      </w:r>
      <w:r>
        <w:t>, et al.,</w:t>
      </w:r>
      <w:r w:rsidRPr="001A25E3">
        <w:t xml:space="preserve"> </w:t>
      </w:r>
      <w:r>
        <w:t xml:space="preserve">16 FCC Rcd 3615 (WTB 2001); </w:t>
      </w:r>
      <w:r w:rsidRPr="000F3298">
        <w:rPr>
          <w:i/>
        </w:rPr>
        <w:t>Banks Broadcasting, Inc</w:t>
      </w:r>
      <w:r w:rsidRPr="001A25E3">
        <w:t>.</w:t>
      </w:r>
      <w:r>
        <w:t>, et al., Order, 18 FCC Rcd 10431 (WTB 2003).</w:t>
      </w:r>
    </w:p>
  </w:footnote>
  <w:footnote w:id="201">
    <w:p w:rsidR="00CB75C2" w:rsidRPr="00751DD6" w:rsidRDefault="00AA13C4" w:rsidP="00B42A2B">
      <w:pPr>
        <w:pStyle w:val="FootnoteText"/>
      </w:pPr>
      <w:r w:rsidRPr="00751DD6">
        <w:rPr>
          <w:rStyle w:val="FootnoteReference"/>
          <w:sz w:val="20"/>
        </w:rPr>
        <w:footnoteRef/>
      </w:r>
      <w:r w:rsidRPr="00751DD6">
        <w:t xml:space="preserve"> The public notice announcing the winning bidders will provide, for each winning bidder, the full amount of its winning bids and the amount remaining due after the bidder’s upfront payment is applied.</w:t>
      </w:r>
    </w:p>
  </w:footnote>
  <w:footnote w:id="202">
    <w:p w:rsidR="00CB75C2" w:rsidRPr="00751DD6" w:rsidRDefault="00AA13C4" w:rsidP="00B42A2B">
      <w:pPr>
        <w:pStyle w:val="FootnoteText"/>
      </w:pPr>
      <w:r w:rsidRPr="00751DD6">
        <w:rPr>
          <w:rStyle w:val="FootnoteReference"/>
          <w:sz w:val="20"/>
        </w:rPr>
        <w:footnoteRef/>
      </w:r>
      <w:r w:rsidRPr="00751DD6">
        <w:t xml:space="preserve"> </w:t>
      </w:r>
      <w:r>
        <w:rPr>
          <w:i/>
        </w:rPr>
        <w:t>Cf</w:t>
      </w:r>
      <w:r>
        <w:t>.</w:t>
      </w:r>
      <w:r w:rsidRPr="00751DD6">
        <w:t xml:space="preserve"> 47 CFR § 1.2109(a) (allowing final payment within 10 business days after the payment deadline, provided a late fee equal to </w:t>
      </w:r>
      <w:r>
        <w:t>5%</w:t>
      </w:r>
      <w:r w:rsidRPr="00751DD6">
        <w:t xml:space="preserve"> of the amount due is also submitted).</w:t>
      </w:r>
    </w:p>
  </w:footnote>
  <w:footnote w:id="203">
    <w:p w:rsidR="00CB75C2" w:rsidRDefault="00AA13C4" w:rsidP="00B42A2B">
      <w:pPr>
        <w:pStyle w:val="FootnoteText"/>
      </w:pPr>
      <w:r>
        <w:rPr>
          <w:rStyle w:val="FootnoteReference"/>
        </w:rPr>
        <w:footnoteRef/>
      </w:r>
      <w:r>
        <w:t xml:space="preserve"> </w:t>
      </w:r>
      <w:r w:rsidRPr="00E6046E">
        <w:rPr>
          <w:i/>
        </w:rPr>
        <w:t>833 Auction Comment Public Notice</w:t>
      </w:r>
      <w:r>
        <w:t xml:space="preserve"> at para. 53.</w:t>
      </w:r>
    </w:p>
  </w:footnote>
  <w:footnote w:id="204">
    <w:p w:rsidR="00CB75C2" w:rsidRDefault="00AA13C4" w:rsidP="00B42A2B">
      <w:pPr>
        <w:pStyle w:val="FootnoteText"/>
      </w:pPr>
      <w:r>
        <w:rPr>
          <w:rStyle w:val="FootnoteReference"/>
        </w:rPr>
        <w:footnoteRef/>
      </w:r>
      <w:r>
        <w:t xml:space="preserve"> </w:t>
      </w:r>
      <w:r>
        <w:rPr>
          <w:i/>
        </w:rPr>
        <w:t>Id</w:t>
      </w:r>
      <w:r>
        <w:t>.</w:t>
      </w:r>
    </w:p>
  </w:footnote>
  <w:footnote w:id="205">
    <w:p w:rsidR="00CB75C2" w:rsidRDefault="00AA13C4" w:rsidP="00B42A2B">
      <w:pPr>
        <w:pStyle w:val="FootnoteText"/>
      </w:pPr>
      <w:r>
        <w:rPr>
          <w:rStyle w:val="FootnoteReference"/>
        </w:rPr>
        <w:footnoteRef/>
      </w:r>
      <w:r>
        <w:t xml:space="preserve"> </w:t>
      </w:r>
      <w:r>
        <w:rPr>
          <w:i/>
        </w:rPr>
        <w:t>Id</w:t>
      </w:r>
      <w:r>
        <w:t>.</w:t>
      </w:r>
      <w:r w:rsidRPr="00751DD6">
        <w:t xml:space="preserve"> </w:t>
      </w:r>
      <w:r>
        <w:t>at para. 54.</w:t>
      </w:r>
      <w:r w:rsidRPr="001C3670">
        <w:t xml:space="preserve"> </w:t>
      </w:r>
      <w:r>
        <w:t xml:space="preserve">Winning bidders can also use a wire transfer to submit final payments of $300 or less, but also have the option to use ACH.  Moreover, as noted in the </w:t>
      </w:r>
      <w:r w:rsidRPr="00F3196B">
        <w:rPr>
          <w:i/>
        </w:rPr>
        <w:t>833 Auction Comment Public Notice</w:t>
      </w:r>
      <w:r>
        <w:t>, we proposed to</w:t>
      </w:r>
      <w:r w:rsidRPr="00751DD6">
        <w:t xml:space="preserve"> specifically exclude payments via check or credit card, as such payment processes have increased risks associated with them, which may not be conducive to a timely</w:t>
      </w:r>
      <w:r>
        <w:t xml:space="preserve"> post-</w:t>
      </w:r>
      <w:r w:rsidRPr="00751DD6">
        <w:t>auction</w:t>
      </w:r>
      <w:r>
        <w:t xml:space="preserve"> process</w:t>
      </w:r>
      <w:r w:rsidRPr="00751DD6">
        <w:t>.</w:t>
      </w:r>
      <w:r>
        <w:t xml:space="preserve">  </w:t>
      </w:r>
      <w:r>
        <w:rPr>
          <w:i/>
        </w:rPr>
        <w:t>Id</w:t>
      </w:r>
      <w:r>
        <w:t>.</w:t>
      </w:r>
      <w:r w:rsidRPr="00751DD6">
        <w:t xml:space="preserve"> </w:t>
      </w:r>
      <w:r>
        <w:t>at n. 70.  For these reasons, we adopt the proposal and only allow winning bidders to use ACH as an alternative to wire transfers for their final payments.</w:t>
      </w:r>
    </w:p>
  </w:footnote>
  <w:footnote w:id="206">
    <w:p w:rsidR="00CB75C2" w:rsidRPr="00AF462C" w:rsidRDefault="00AA13C4" w:rsidP="00B42A2B">
      <w:pPr>
        <w:pStyle w:val="FootnoteText"/>
      </w:pPr>
      <w:r w:rsidRPr="00AF462C">
        <w:rPr>
          <w:rStyle w:val="FootnoteReference"/>
        </w:rPr>
        <w:footnoteRef/>
      </w:r>
      <w:r w:rsidRPr="00AF462C">
        <w:t xml:space="preserve"> Although we recognize that refunds may take up to two weeks to complete, we encourage Somos to refund upfront payments for any bidders that did not receive winning bids as soon as possible.</w:t>
      </w:r>
    </w:p>
  </w:footnote>
  <w:footnote w:id="207">
    <w:p w:rsidR="00CB75C2" w:rsidRPr="00BF1DF3" w:rsidRDefault="00AA13C4" w:rsidP="00B42A2B">
      <w:pPr>
        <w:pStyle w:val="FootnoteText"/>
      </w:pPr>
      <w:r>
        <w:rPr>
          <w:rStyle w:val="FootnoteReference"/>
        </w:rPr>
        <w:footnoteRef/>
      </w:r>
      <w:r>
        <w:t xml:space="preserve"> </w:t>
      </w:r>
      <w:r w:rsidRPr="000D0CF7">
        <w:rPr>
          <w:i/>
        </w:rPr>
        <w:t>Toll Free Assignment Modernization Order</w:t>
      </w:r>
      <w:r>
        <w:t>, 33 FCC Rcd at 9292, para. 52.</w:t>
      </w:r>
    </w:p>
  </w:footnote>
  <w:footnote w:id="208">
    <w:p w:rsidR="00CB75C2" w:rsidRDefault="00AA13C4" w:rsidP="00B42A2B">
      <w:pPr>
        <w:pStyle w:val="FootnoteText"/>
      </w:pPr>
      <w:r>
        <w:rPr>
          <w:rStyle w:val="FootnoteReference"/>
        </w:rPr>
        <w:footnoteRef/>
      </w:r>
      <w:r>
        <w:t xml:space="preserve"> </w:t>
      </w:r>
      <w:r w:rsidRPr="0020656A">
        <w:rPr>
          <w:i/>
        </w:rPr>
        <w:t>833 Auction Comment Public Notice</w:t>
      </w:r>
      <w:r>
        <w:t xml:space="preserve"> at para. 52.</w:t>
      </w:r>
    </w:p>
  </w:footnote>
  <w:footnote w:id="209">
    <w:p w:rsidR="00CB75C2" w:rsidRDefault="00AA13C4" w:rsidP="00B42A2B">
      <w:pPr>
        <w:pStyle w:val="FootnoteText"/>
      </w:pPr>
      <w:r>
        <w:rPr>
          <w:rStyle w:val="FootnoteReference"/>
        </w:rPr>
        <w:footnoteRef/>
      </w:r>
      <w:r>
        <w:t xml:space="preserve"> </w:t>
      </w:r>
      <w:r>
        <w:rPr>
          <w:i/>
        </w:rPr>
        <w:t>Id</w:t>
      </w:r>
      <w:r>
        <w:t xml:space="preserve">. </w:t>
      </w:r>
    </w:p>
  </w:footnote>
  <w:footnote w:id="210">
    <w:p w:rsidR="00CB75C2" w:rsidRPr="00D764A7" w:rsidRDefault="00AA13C4" w:rsidP="00B42A2B">
      <w:pPr>
        <w:pStyle w:val="FootnoteText"/>
      </w:pPr>
      <w:r w:rsidRPr="00D764A7">
        <w:rPr>
          <w:rStyle w:val="FootnoteReference"/>
        </w:rPr>
        <w:footnoteRef/>
      </w:r>
      <w:r w:rsidRPr="00D764A7">
        <w:t xml:space="preserve"> </w:t>
      </w:r>
      <w:r>
        <w:rPr>
          <w:i/>
        </w:rPr>
        <w:t>Cf</w:t>
      </w:r>
      <w:r w:rsidRPr="004E4F46">
        <w:rPr>
          <w:i/>
        </w:rPr>
        <w:t>.</w:t>
      </w:r>
      <w:r>
        <w:rPr>
          <w:i/>
        </w:rPr>
        <w:t xml:space="preserve"> </w:t>
      </w:r>
      <w:r>
        <w:t>47 CFR</w:t>
      </w:r>
      <w:r w:rsidRPr="00425C7C">
        <w:rPr>
          <w:i/>
        </w:rPr>
        <w:t xml:space="preserve"> </w:t>
      </w:r>
      <w:r w:rsidRPr="00D764A7">
        <w:t>§ 1.2109(d).</w:t>
      </w:r>
    </w:p>
  </w:footnote>
  <w:footnote w:id="211">
    <w:p w:rsidR="00CB75C2" w:rsidRPr="00751DD6" w:rsidRDefault="00AA13C4" w:rsidP="00B42A2B">
      <w:pPr>
        <w:pStyle w:val="FootnoteText"/>
      </w:pPr>
      <w:r w:rsidRPr="00751DD6">
        <w:rPr>
          <w:rStyle w:val="FootnoteReference"/>
          <w:sz w:val="20"/>
        </w:rPr>
        <w:footnoteRef/>
      </w:r>
      <w:r w:rsidRPr="00751DD6">
        <w:t xml:space="preserve"> </w:t>
      </w:r>
      <w:r w:rsidRPr="00751DD6">
        <w:rPr>
          <w:i/>
        </w:rPr>
        <w:t>Toll Free Assignment Modernization Order</w:t>
      </w:r>
      <w:r w:rsidRPr="00751DD6">
        <w:t>, 33 FCC Rcd at 9288-89, 9293-94, paras. 39, 57.</w:t>
      </w:r>
    </w:p>
  </w:footnote>
  <w:footnote w:id="212">
    <w:p w:rsidR="00CB75C2" w:rsidRDefault="00AA13C4" w:rsidP="00B42A2B">
      <w:pPr>
        <w:pStyle w:val="FootnoteText"/>
      </w:pPr>
      <w:r>
        <w:rPr>
          <w:rStyle w:val="FootnoteReference"/>
        </w:rPr>
        <w:footnoteRef/>
      </w:r>
      <w:r>
        <w:t xml:space="preserve"> </w:t>
      </w:r>
      <w:r w:rsidRPr="00C73C6C">
        <w:rPr>
          <w:i/>
        </w:rPr>
        <w:t>833 Auction Comment Public Notice</w:t>
      </w:r>
      <w:r>
        <w:t xml:space="preserve"> at para. 55.</w:t>
      </w:r>
    </w:p>
  </w:footnote>
  <w:footnote w:id="213">
    <w:p w:rsidR="00CB75C2" w:rsidRPr="00751DD6" w:rsidRDefault="00AA13C4" w:rsidP="00B42A2B">
      <w:pPr>
        <w:pStyle w:val="FootnoteText"/>
      </w:pPr>
      <w:r w:rsidRPr="00751DD6">
        <w:rPr>
          <w:rStyle w:val="FootnoteReference"/>
          <w:sz w:val="20"/>
        </w:rPr>
        <w:footnoteRef/>
      </w:r>
      <w:r w:rsidRPr="00751DD6">
        <w:t xml:space="preserve"> </w:t>
      </w:r>
      <w:r w:rsidRPr="00751DD6">
        <w:rPr>
          <w:i/>
        </w:rPr>
        <w:t>See, e.g.</w:t>
      </w:r>
      <w:r w:rsidRPr="00751DD6">
        <w:t xml:space="preserve">, </w:t>
      </w:r>
      <w:r w:rsidRPr="00751DD6">
        <w:rPr>
          <w:i/>
        </w:rPr>
        <w:t>NetworkIP, LLC v. FCC</w:t>
      </w:r>
      <w:r w:rsidRPr="00751DD6">
        <w:t>, 548 F.3d 116 (D.C. Cir. 2008).</w:t>
      </w:r>
    </w:p>
  </w:footnote>
  <w:footnote w:id="214">
    <w:p w:rsidR="00CB75C2" w:rsidRDefault="00AA13C4" w:rsidP="00B42A2B">
      <w:pPr>
        <w:pStyle w:val="FootnoteText"/>
      </w:pPr>
      <w:r>
        <w:rPr>
          <w:rStyle w:val="FootnoteReference"/>
        </w:rPr>
        <w:footnoteRef/>
      </w:r>
      <w:r>
        <w:t xml:space="preserve"> </w:t>
      </w:r>
      <w:r>
        <w:rPr>
          <w:i/>
        </w:rPr>
        <w:t>Toll Free Assignment Modernization Order</w:t>
      </w:r>
      <w:r w:rsidRPr="00C73C6C">
        <w:t>,</w:t>
      </w:r>
      <w:r>
        <w:rPr>
          <w:i/>
        </w:rPr>
        <w:t xml:space="preserve"> </w:t>
      </w:r>
      <w:r>
        <w:t xml:space="preserve">33 FCC Rcd </w:t>
      </w:r>
      <w:r w:rsidRPr="00751DD6">
        <w:t>at 930</w:t>
      </w:r>
      <w:r>
        <w:t>2</w:t>
      </w:r>
      <w:r w:rsidRPr="00751DD6">
        <w:t>-0</w:t>
      </w:r>
      <w:r>
        <w:t>3, para. 81.</w:t>
      </w:r>
    </w:p>
  </w:footnote>
  <w:footnote w:id="215">
    <w:p w:rsidR="00CB75C2" w:rsidRPr="00751DD6" w:rsidRDefault="00AA13C4" w:rsidP="00B42A2B">
      <w:pPr>
        <w:pStyle w:val="FootnoteText"/>
      </w:pPr>
      <w:r w:rsidRPr="00751DD6">
        <w:rPr>
          <w:rStyle w:val="FootnoteReference"/>
        </w:rPr>
        <w:footnoteRef/>
      </w:r>
      <w:r w:rsidRPr="00751DD6">
        <w:t xml:space="preserve"> </w:t>
      </w:r>
      <w:r>
        <w:rPr>
          <w:i/>
        </w:rPr>
        <w:t>Id</w:t>
      </w:r>
      <w:r>
        <w:t>.</w:t>
      </w:r>
      <w:r w:rsidRPr="00751DD6">
        <w:t xml:space="preserve"> at 9304-05, para. 85.</w:t>
      </w:r>
    </w:p>
  </w:footnote>
  <w:footnote w:id="216">
    <w:p w:rsidR="00CB75C2" w:rsidRDefault="00AA13C4" w:rsidP="00B42A2B">
      <w:pPr>
        <w:pStyle w:val="FootnoteText"/>
      </w:pPr>
      <w:r>
        <w:rPr>
          <w:rStyle w:val="FootnoteReference"/>
        </w:rPr>
        <w:footnoteRef/>
      </w:r>
      <w:r>
        <w:t xml:space="preserve"> </w:t>
      </w:r>
      <w:r w:rsidRPr="00C73C6C">
        <w:rPr>
          <w:i/>
        </w:rPr>
        <w:t>833 Auction Comment Public Notice</w:t>
      </w:r>
      <w:r>
        <w:t xml:space="preserve"> at para. 58.</w:t>
      </w:r>
    </w:p>
  </w:footnote>
  <w:footnote w:id="217">
    <w:p w:rsidR="00CB75C2" w:rsidRPr="00335761" w:rsidRDefault="00AA13C4" w:rsidP="00B42A2B">
      <w:pPr>
        <w:pStyle w:val="FootnoteText"/>
      </w:pPr>
      <w:r>
        <w:rPr>
          <w:rStyle w:val="FootnoteReference"/>
        </w:rPr>
        <w:footnoteRef/>
      </w:r>
      <w:r>
        <w:t xml:space="preserve"> </w:t>
      </w:r>
      <w:r>
        <w:rPr>
          <w:i/>
        </w:rPr>
        <w:t>See id.</w:t>
      </w:r>
    </w:p>
  </w:footnote>
  <w:footnote w:id="218">
    <w:p w:rsidR="00CB75C2" w:rsidRDefault="00AA13C4" w:rsidP="00B42A2B">
      <w:pPr>
        <w:pStyle w:val="FootnoteText"/>
      </w:pPr>
      <w:r>
        <w:rPr>
          <w:rStyle w:val="FootnoteReference"/>
        </w:rPr>
        <w:footnoteRef/>
      </w:r>
      <w:r>
        <w:t xml:space="preserve"> </w:t>
      </w:r>
      <w:r>
        <w:rPr>
          <w:i/>
        </w:rPr>
        <w:t>Toll Free Assignment Modernization Order</w:t>
      </w:r>
      <w:r w:rsidRPr="00C73C6C">
        <w:t>,</w:t>
      </w:r>
      <w:r>
        <w:rPr>
          <w:i/>
        </w:rPr>
        <w:t xml:space="preserve"> </w:t>
      </w:r>
      <w:r>
        <w:t xml:space="preserve">33 FCC Rcd </w:t>
      </w:r>
      <w:r w:rsidRPr="00751DD6">
        <w:t>at 930</w:t>
      </w:r>
      <w:r>
        <w:t>2</w:t>
      </w:r>
      <w:r w:rsidRPr="00751DD6">
        <w:t>-0</w:t>
      </w:r>
      <w:r>
        <w:t>3, para. 81.</w:t>
      </w:r>
    </w:p>
  </w:footnote>
  <w:footnote w:id="219">
    <w:p w:rsidR="00CB75C2" w:rsidRDefault="00AA13C4" w:rsidP="00B42A2B">
      <w:pPr>
        <w:pStyle w:val="FootnoteText"/>
      </w:pPr>
      <w:r>
        <w:rPr>
          <w:rStyle w:val="FootnoteReference"/>
        </w:rPr>
        <w:footnoteRef/>
      </w:r>
      <w:r>
        <w:t xml:space="preserve"> ATIS SNAC Comments at 2; CenturyLink Comments at 3.</w:t>
      </w:r>
    </w:p>
  </w:footnote>
  <w:footnote w:id="220">
    <w:p w:rsidR="00CB75C2" w:rsidRDefault="00AA13C4" w:rsidP="00B42A2B">
      <w:pPr>
        <w:pStyle w:val="FootnoteText"/>
      </w:pPr>
      <w:r>
        <w:rPr>
          <w:rStyle w:val="FootnoteReference"/>
        </w:rPr>
        <w:footnoteRef/>
      </w:r>
      <w:r>
        <w:t xml:space="preserve"> CenturyLink Comments at 3.</w:t>
      </w:r>
    </w:p>
  </w:footnote>
  <w:footnote w:id="221">
    <w:p w:rsidR="00CB75C2" w:rsidRDefault="00AA13C4" w:rsidP="00B42A2B">
      <w:pPr>
        <w:pStyle w:val="FootnoteText"/>
      </w:pPr>
      <w:r>
        <w:rPr>
          <w:rStyle w:val="FootnoteReference"/>
        </w:rPr>
        <w:footnoteRef/>
      </w:r>
      <w:r>
        <w:t xml:space="preserve"> </w:t>
      </w:r>
      <w:r>
        <w:rPr>
          <w:i/>
        </w:rPr>
        <w:t>Toll Free Assignment Modernization Order</w:t>
      </w:r>
      <w:r w:rsidRPr="00C73C6C">
        <w:t>,</w:t>
      </w:r>
      <w:r>
        <w:rPr>
          <w:i/>
        </w:rPr>
        <w:t xml:space="preserve"> </w:t>
      </w:r>
      <w:r>
        <w:t xml:space="preserve">33 FCC Rcd </w:t>
      </w:r>
      <w:r w:rsidRPr="00751DD6">
        <w:t>at 930</w:t>
      </w:r>
      <w:r>
        <w:t>2</w:t>
      </w:r>
      <w:r w:rsidRPr="00751DD6">
        <w:t>-0</w:t>
      </w:r>
      <w:r>
        <w:t>3, para. 81.</w:t>
      </w:r>
    </w:p>
  </w:footnote>
  <w:footnote w:id="222">
    <w:p w:rsidR="00CB75C2" w:rsidRDefault="00AA13C4" w:rsidP="00B42A2B">
      <w:pPr>
        <w:pStyle w:val="FootnoteText"/>
      </w:pPr>
      <w:r>
        <w:rPr>
          <w:rStyle w:val="FootnoteReference"/>
        </w:rPr>
        <w:footnoteRef/>
      </w:r>
      <w:r>
        <w:t xml:space="preserve"> </w:t>
      </w:r>
      <w:r w:rsidRPr="00C73C6C">
        <w:rPr>
          <w:i/>
          <w:szCs w:val="22"/>
        </w:rPr>
        <w:t>833 Auction Comment Public Notice</w:t>
      </w:r>
      <w:r w:rsidRPr="0099498A">
        <w:rPr>
          <w:szCs w:val="22"/>
        </w:rPr>
        <w:t xml:space="preserve"> </w:t>
      </w:r>
      <w:r>
        <w:rPr>
          <w:szCs w:val="22"/>
        </w:rPr>
        <w:t xml:space="preserve">at para. 57.  </w:t>
      </w:r>
      <w:r w:rsidRPr="0099498A">
        <w:rPr>
          <w:szCs w:val="22"/>
        </w:rPr>
        <w:t xml:space="preserve">One commenter contends that the </w:t>
      </w:r>
      <w:r w:rsidRPr="00C73C6C">
        <w:rPr>
          <w:i/>
          <w:szCs w:val="22"/>
        </w:rPr>
        <w:t>833 Auction Comment Public Notice</w:t>
      </w:r>
      <w:r>
        <w:rPr>
          <w:szCs w:val="22"/>
        </w:rPr>
        <w:t>, as it relates to the data collection and reporting obligation,</w:t>
      </w:r>
      <w:r w:rsidRPr="0099498A">
        <w:rPr>
          <w:szCs w:val="22"/>
        </w:rPr>
        <w:t xml:space="preserve"> “leaves some basic definitional problems unresolved.”</w:t>
      </w:r>
      <w:r>
        <w:rPr>
          <w:szCs w:val="22"/>
        </w:rPr>
        <w:t xml:space="preserve">  Verizon Comments at 3.  This obligation extends to transactions which would violate our brokering rule, 47 CFR § 52.107(a), but are allowed by the exception for numbers assigned via competitive bidding.  47 CFR § 52.107</w:t>
      </w:r>
      <w:r w:rsidRPr="0099498A">
        <w:rPr>
          <w:szCs w:val="22"/>
        </w:rPr>
        <w:t xml:space="preserve">(c). </w:t>
      </w:r>
      <w:r>
        <w:rPr>
          <w:szCs w:val="22"/>
        </w:rPr>
        <w:t xml:space="preserve"> </w:t>
      </w:r>
      <w:r w:rsidRPr="0099498A">
        <w:rPr>
          <w:szCs w:val="22"/>
        </w:rPr>
        <w:t xml:space="preserve">Put differently, </w:t>
      </w:r>
      <w:r>
        <w:rPr>
          <w:szCs w:val="22"/>
        </w:rPr>
        <w:t xml:space="preserve">covered transactions are those which </w:t>
      </w:r>
      <w:r w:rsidRPr="0099498A">
        <w:rPr>
          <w:szCs w:val="22"/>
        </w:rPr>
        <w:t>result in the reassignment of an 833 number from one subscriber to another</w:t>
      </w:r>
      <w:r>
        <w:rPr>
          <w:szCs w:val="22"/>
        </w:rPr>
        <w:t xml:space="preserve">, </w:t>
      </w:r>
      <w:r>
        <w:t xml:space="preserve">bypassing the spare pool, which would have violated our prior first-come, first-served rule.  </w:t>
      </w:r>
      <w:r>
        <w:rPr>
          <w:i/>
        </w:rPr>
        <w:t xml:space="preserve">See </w:t>
      </w:r>
      <w:r>
        <w:t xml:space="preserve">47 CFR § 52.111 (2011) (“Toll free numbers shall be made available on a first-come, first-served basis unless the Commission directs otherwise”); </w:t>
      </w:r>
      <w:r w:rsidRPr="00A9691A">
        <w:rPr>
          <w:i/>
        </w:rPr>
        <w:t>s</w:t>
      </w:r>
      <w:r>
        <w:rPr>
          <w:i/>
        </w:rPr>
        <w:t>ee also</w:t>
      </w:r>
      <w:r>
        <w:t xml:space="preserve"> </w:t>
      </w:r>
      <w:r>
        <w:rPr>
          <w:i/>
        </w:rPr>
        <w:t>Transaction Network Services, Inc., TSYS Acquiring Solutions, LLC, and Electronic Payment Systems, LLC</w:t>
      </w:r>
      <w:r>
        <w:t>, Declaratory Ruling, CC Docket No. 95-155, 26 FCC Rcd 2109, 2111 para. 7 (WCB 2011) (“[W]hen a subscriber ceases to use [a number] . . . a RespOrg must place the number into a pool of available numbers -- called the ‘spare pool’ -- so that another RespOrg may reserve it for another subscriber on a first-come, first-served basis.”).</w:t>
      </w:r>
    </w:p>
  </w:footnote>
  <w:footnote w:id="223">
    <w:p w:rsidR="00CB75C2" w:rsidRDefault="00AA13C4" w:rsidP="00B42A2B">
      <w:pPr>
        <w:pStyle w:val="FootnoteText"/>
      </w:pPr>
      <w:r>
        <w:rPr>
          <w:rStyle w:val="FootnoteReference"/>
        </w:rPr>
        <w:footnoteRef/>
      </w:r>
      <w:r>
        <w:t xml:space="preserve"> </w:t>
      </w:r>
      <w:r w:rsidRPr="00C73C6C">
        <w:rPr>
          <w:i/>
        </w:rPr>
        <w:t>833 Auction Comment Public Notice</w:t>
      </w:r>
      <w:r>
        <w:t xml:space="preserve"> at para. 57.</w:t>
      </w:r>
    </w:p>
  </w:footnote>
  <w:footnote w:id="224">
    <w:p w:rsidR="00CB75C2" w:rsidRDefault="00AA13C4" w:rsidP="00B42A2B">
      <w:pPr>
        <w:pStyle w:val="FootnoteText"/>
      </w:pPr>
      <w:r>
        <w:rPr>
          <w:rStyle w:val="FootnoteReference"/>
        </w:rPr>
        <w:footnoteRef/>
      </w:r>
      <w:r>
        <w:t xml:space="preserve"> Verizon Comments at 2; AT&amp;T Reply at 2.</w:t>
      </w:r>
    </w:p>
  </w:footnote>
  <w:footnote w:id="225">
    <w:p w:rsidR="00CB75C2" w:rsidRDefault="00AA13C4" w:rsidP="00B42A2B">
      <w:pPr>
        <w:pStyle w:val="FootnoteText"/>
      </w:pPr>
      <w:r>
        <w:rPr>
          <w:rStyle w:val="FootnoteReference"/>
        </w:rPr>
        <w:footnoteRef/>
      </w:r>
      <w:r>
        <w:t xml:space="preserve"> </w:t>
      </w:r>
      <w:r>
        <w:rPr>
          <w:i/>
        </w:rPr>
        <w:t xml:space="preserve">Toll Free Assignment Modernization Order, </w:t>
      </w:r>
      <w:r>
        <w:t xml:space="preserve">334 FCC Rcd </w:t>
      </w:r>
      <w:r w:rsidRPr="00751DD6">
        <w:t>at 9304-05, para. 85</w:t>
      </w:r>
    </w:p>
  </w:footnote>
  <w:footnote w:id="226">
    <w:p w:rsidR="00CB75C2" w:rsidRDefault="00AA13C4" w:rsidP="00B42A2B">
      <w:pPr>
        <w:pStyle w:val="FootnoteText"/>
      </w:pPr>
      <w:r>
        <w:rPr>
          <w:rStyle w:val="FootnoteReference"/>
        </w:rPr>
        <w:footnoteRef/>
      </w:r>
      <w:r>
        <w:t xml:space="preserve"> </w:t>
      </w:r>
      <w:r w:rsidRPr="000B7D83">
        <w:rPr>
          <w:i/>
        </w:rPr>
        <w:t>833 Auction Comment Public Notice</w:t>
      </w:r>
      <w:r>
        <w:t xml:space="preserve"> at para. 58.</w:t>
      </w:r>
    </w:p>
  </w:footnote>
  <w:footnote w:id="227">
    <w:p w:rsidR="00CB75C2" w:rsidRPr="00A5429D" w:rsidRDefault="00AA13C4" w:rsidP="00B42A2B">
      <w:pPr>
        <w:pStyle w:val="FootnoteText"/>
      </w:pPr>
      <w:r>
        <w:rPr>
          <w:rStyle w:val="FootnoteReference"/>
        </w:rPr>
        <w:footnoteRef/>
      </w:r>
      <w:r>
        <w:t xml:space="preserve"> </w:t>
      </w:r>
      <w:r>
        <w:rPr>
          <w:i/>
        </w:rPr>
        <w:t>See</w:t>
      </w:r>
      <w:r>
        <w:t xml:space="preserve"> ATIS SNAC Comments at 3-4; CenturyLink Comments at 5; John Benedict, Vice President, Federal Regulatory Affairs &amp; Regulatory Counsel, CenturyLink, to Marlene H. Dortch, Secretary, FCC, WC Docket No. 17-192, at 2 (filed July 25, 2019) (CenturyLink </w:t>
      </w:r>
      <w:r>
        <w:rPr>
          <w:i/>
        </w:rPr>
        <w:t>Ex Parte</w:t>
      </w:r>
      <w:r>
        <w:t xml:space="preserve"> Letter).</w:t>
      </w:r>
    </w:p>
  </w:footnote>
  <w:footnote w:id="228">
    <w:p w:rsidR="00CB75C2" w:rsidRPr="004B285C" w:rsidRDefault="00AA13C4" w:rsidP="00B42A2B">
      <w:pPr>
        <w:pStyle w:val="FootnoteText"/>
      </w:pPr>
      <w:r>
        <w:rPr>
          <w:rStyle w:val="FootnoteReference"/>
        </w:rPr>
        <w:footnoteRef/>
      </w:r>
      <w:r>
        <w:t xml:space="preserve"> </w:t>
      </w:r>
      <w:r>
        <w:rPr>
          <w:i/>
        </w:rPr>
        <w:t>Id</w:t>
      </w:r>
      <w:r>
        <w:t>.</w:t>
      </w:r>
    </w:p>
  </w:footnote>
  <w:footnote w:id="229">
    <w:p w:rsidR="00CB75C2" w:rsidRDefault="00AA13C4" w:rsidP="00B42A2B">
      <w:pPr>
        <w:pStyle w:val="FootnoteText"/>
      </w:pPr>
      <w:r>
        <w:rPr>
          <w:rStyle w:val="FootnoteReference"/>
        </w:rPr>
        <w:footnoteRef/>
      </w:r>
      <w:r>
        <w:t xml:space="preserve"> CenturyLink Comments at 4; Verizon Comments at 2; AT&amp;T Reply at 2; Letter from Jacquelyne Flemming, Assistant Vice President, External Affairs/Regulatory, AT&amp;T, to Marlene H. Dortch, Secretary, FCC, WC Docket No. 17-192, at 1 (filed July 25, 2019) (AT&amp;T </w:t>
      </w:r>
      <w:r>
        <w:rPr>
          <w:i/>
        </w:rPr>
        <w:t>Ex Parte</w:t>
      </w:r>
      <w:r>
        <w:t xml:space="preserve"> Letter); CenturyLink </w:t>
      </w:r>
      <w:r>
        <w:rPr>
          <w:i/>
        </w:rPr>
        <w:t>Ex Parte</w:t>
      </w:r>
      <w:r>
        <w:t xml:space="preserve"> Letter at 1; Letter from Robert G. Morse, Associate General Counsel, Federal Regulatory and Legal Affairs, Verizon, to Marlene H. Dortch, Secretary, FCC, WC Docket No. 17-192, at 2 (filed July 25, 2019) (Verizon </w:t>
      </w:r>
      <w:r>
        <w:rPr>
          <w:i/>
        </w:rPr>
        <w:t>Ex Parte</w:t>
      </w:r>
      <w:r>
        <w:t xml:space="preserve"> Letter); </w:t>
      </w:r>
      <w:r>
        <w:rPr>
          <w:i/>
        </w:rPr>
        <w:t>see also</w:t>
      </w:r>
      <w:r>
        <w:t xml:space="preserve"> ATIS SNAC Comments at 3-4, Letter from Mike Saperstein, Vice President, Policy &amp; Advocacy, USTelecom, to Marlene H. Dortch, Secretary, FCC, WC Docket No. 17-192, at 1 (filed July 26, 2019) (USTelecom </w:t>
      </w:r>
      <w:r>
        <w:rPr>
          <w:i/>
        </w:rPr>
        <w:t>Ex Parte</w:t>
      </w:r>
      <w:r>
        <w:t xml:space="preserve"> Letter).</w:t>
      </w:r>
    </w:p>
  </w:footnote>
  <w:footnote w:id="230">
    <w:p w:rsidR="00CB75C2" w:rsidRDefault="00AA13C4" w:rsidP="00B42A2B">
      <w:pPr>
        <w:pStyle w:val="FootnoteText"/>
      </w:pPr>
      <w:r>
        <w:rPr>
          <w:rStyle w:val="FootnoteReference"/>
        </w:rPr>
        <w:footnoteRef/>
      </w:r>
      <w:r>
        <w:t xml:space="preserve"> ATIS SNAC Comments at 3-4; CenturyLink Comments at 5; CenturyLink </w:t>
      </w:r>
      <w:r>
        <w:rPr>
          <w:i/>
        </w:rPr>
        <w:t>Ex Parte</w:t>
      </w:r>
      <w:r>
        <w:t xml:space="preserve"> Letter at 2.</w:t>
      </w:r>
    </w:p>
  </w:footnote>
  <w:footnote w:id="231">
    <w:p w:rsidR="00CB75C2" w:rsidRPr="003004DA" w:rsidRDefault="00AA13C4" w:rsidP="00B42A2B">
      <w:pPr>
        <w:pStyle w:val="FootnoteText"/>
      </w:pPr>
      <w:r>
        <w:rPr>
          <w:rStyle w:val="FootnoteReference"/>
        </w:rPr>
        <w:footnoteRef/>
      </w:r>
      <w:r>
        <w:t xml:space="preserve"> CenturyLink Comments at 4; Verizon Comments at 2; AT&amp;T Reply at 2; AT&amp;T </w:t>
      </w:r>
      <w:r>
        <w:rPr>
          <w:i/>
        </w:rPr>
        <w:t>Ex Parte</w:t>
      </w:r>
      <w:r>
        <w:t xml:space="preserve"> Letter at 1;</w:t>
      </w:r>
      <w:r w:rsidRPr="003004DA">
        <w:t xml:space="preserve"> </w:t>
      </w:r>
      <w:r>
        <w:t xml:space="preserve">Century Link </w:t>
      </w:r>
      <w:r>
        <w:rPr>
          <w:i/>
        </w:rPr>
        <w:t>Ex Parte</w:t>
      </w:r>
      <w:r>
        <w:t xml:space="preserve"> Letter at 1; Verizon </w:t>
      </w:r>
      <w:r>
        <w:rPr>
          <w:i/>
        </w:rPr>
        <w:t>Ex Parte</w:t>
      </w:r>
      <w:r>
        <w:t xml:space="preserve"> Letter at 2; USTelecom </w:t>
      </w:r>
      <w:r>
        <w:rPr>
          <w:i/>
        </w:rPr>
        <w:t>Ex Parte</w:t>
      </w:r>
      <w:r>
        <w:t xml:space="preserve"> Letter at 1; </w:t>
      </w:r>
      <w:r>
        <w:rPr>
          <w:i/>
        </w:rPr>
        <w:t>see also</w:t>
      </w:r>
      <w:r>
        <w:t xml:space="preserve"> ATIS SNAC Comments at 3-4.</w:t>
      </w:r>
    </w:p>
  </w:footnote>
  <w:footnote w:id="232">
    <w:p w:rsidR="00CB75C2" w:rsidRDefault="00AA13C4" w:rsidP="00B42A2B">
      <w:pPr>
        <w:pStyle w:val="FootnoteText"/>
      </w:pPr>
      <w:r>
        <w:rPr>
          <w:rStyle w:val="FootnoteReference"/>
        </w:rPr>
        <w:footnoteRef/>
      </w:r>
      <w:r>
        <w:t xml:space="preserve"> CenturyLink Comments at 4-5; Verizon Comments at 2-5; AT&amp;T Reply at 2-3; AT&amp;T </w:t>
      </w:r>
      <w:r>
        <w:rPr>
          <w:i/>
        </w:rPr>
        <w:t>Ex Parte</w:t>
      </w:r>
      <w:r>
        <w:t xml:space="preserve"> Letter at 1; CenturyLink </w:t>
      </w:r>
      <w:r>
        <w:rPr>
          <w:i/>
        </w:rPr>
        <w:t>Ex Parte</w:t>
      </w:r>
      <w:r>
        <w:t xml:space="preserve"> Letter at 2; Verizon </w:t>
      </w:r>
      <w:r>
        <w:rPr>
          <w:i/>
        </w:rPr>
        <w:t>Ex Parte</w:t>
      </w:r>
      <w:r>
        <w:t xml:space="preserve"> Letter at 1-2; </w:t>
      </w:r>
      <w:r>
        <w:rPr>
          <w:i/>
        </w:rPr>
        <w:t>see also</w:t>
      </w:r>
      <w:r>
        <w:t xml:space="preserve"> ATIS SNAC Comments at 3-4; USTelecom </w:t>
      </w:r>
      <w:r>
        <w:rPr>
          <w:i/>
        </w:rPr>
        <w:t>Ex Parte</w:t>
      </w:r>
      <w:r>
        <w:t xml:space="preserve"> Letter at 1.</w:t>
      </w:r>
    </w:p>
  </w:footnote>
  <w:footnote w:id="233">
    <w:p w:rsidR="00CB75C2" w:rsidRDefault="00AA13C4" w:rsidP="00B42A2B">
      <w:pPr>
        <w:pStyle w:val="FootnoteText"/>
      </w:pPr>
      <w:r>
        <w:rPr>
          <w:rStyle w:val="FootnoteReference"/>
        </w:rPr>
        <w:footnoteRef/>
      </w:r>
      <w:r>
        <w:t xml:space="preserve"> </w:t>
      </w:r>
      <w:r w:rsidRPr="00BC6A28">
        <w:rPr>
          <w:i/>
        </w:rPr>
        <w:t xml:space="preserve">See </w:t>
      </w:r>
      <w:r>
        <w:t xml:space="preserve">CenturyLink </w:t>
      </w:r>
      <w:r w:rsidRPr="00CE379F">
        <w:rPr>
          <w:i/>
        </w:rPr>
        <w:t>Ex Parte</w:t>
      </w:r>
      <w:r>
        <w:t xml:space="preserve"> Letter at 2; USTelecom </w:t>
      </w:r>
      <w:r>
        <w:rPr>
          <w:i/>
        </w:rPr>
        <w:t>Ex Parte</w:t>
      </w:r>
      <w:r>
        <w:t xml:space="preserve"> Letter at 1.</w:t>
      </w:r>
    </w:p>
  </w:footnote>
  <w:footnote w:id="234">
    <w:p w:rsidR="00CB75C2" w:rsidRDefault="00AA13C4" w:rsidP="00B42A2B">
      <w:pPr>
        <w:pStyle w:val="FootnoteText"/>
      </w:pPr>
      <w:r>
        <w:rPr>
          <w:rStyle w:val="FootnoteReference"/>
        </w:rPr>
        <w:footnoteRef/>
      </w:r>
      <w:r>
        <w:t xml:space="preserve"> ATIS SNAC Comments at 3; CenturyLink Comments at 4-5; AT&amp;T Reply at 2-3.</w:t>
      </w:r>
    </w:p>
  </w:footnote>
  <w:footnote w:id="235">
    <w:p w:rsidR="00CB75C2" w:rsidRPr="00B12426" w:rsidRDefault="00AA13C4" w:rsidP="00B42A2B">
      <w:pPr>
        <w:pStyle w:val="FootnoteText"/>
      </w:pPr>
      <w:r>
        <w:rPr>
          <w:rStyle w:val="FootnoteReference"/>
        </w:rPr>
        <w:footnoteRef/>
      </w:r>
      <w:r>
        <w:t xml:space="preserve"> </w:t>
      </w:r>
      <w:r>
        <w:rPr>
          <w:i/>
        </w:rPr>
        <w:t>See</w:t>
      </w:r>
      <w:r>
        <w:t xml:space="preserve"> ATIS SNAC Comments at 4 (suggesting </w:t>
      </w:r>
      <w:r w:rsidRPr="00B12426">
        <w:t xml:space="preserve">a tiered approach to applying the penalty); </w:t>
      </w:r>
      <w:r w:rsidRPr="00E20ED0">
        <w:rPr>
          <w:rFonts w:eastAsia="Calibri"/>
        </w:rPr>
        <w:t>Verizon Comments at 5 (suggesting we delay the effective date of this rule);</w:t>
      </w:r>
      <w:r w:rsidRPr="00B12426">
        <w:t xml:space="preserve"> AT&amp;T Reply at</w:t>
      </w:r>
      <w:r>
        <w:t xml:space="preserve"> 3-4 (supporting ATIS SNAC’s proposed tiered approach).</w:t>
      </w:r>
    </w:p>
  </w:footnote>
  <w:footnote w:id="236">
    <w:p w:rsidR="00CB75C2" w:rsidRDefault="00AA13C4" w:rsidP="00B42A2B">
      <w:pPr>
        <w:pStyle w:val="FootnoteText"/>
      </w:pPr>
      <w:r>
        <w:rPr>
          <w:rStyle w:val="FootnoteReference"/>
        </w:rPr>
        <w:footnoteRef/>
      </w:r>
      <w:r>
        <w:t xml:space="preserve"> </w:t>
      </w:r>
      <w:r>
        <w:rPr>
          <w:i/>
        </w:rPr>
        <w:t xml:space="preserve">See supra </w:t>
      </w:r>
      <w:r>
        <w:t>Section VI.F.</w:t>
      </w:r>
    </w:p>
  </w:footnote>
  <w:footnote w:id="237">
    <w:p w:rsidR="00CB75C2" w:rsidRPr="00563EB7" w:rsidRDefault="00AA13C4" w:rsidP="00B42A2B">
      <w:pPr>
        <w:pStyle w:val="FootnoteText"/>
      </w:pPr>
      <w:r w:rsidRPr="00563EB7">
        <w:rPr>
          <w:rStyle w:val="FootnoteReference"/>
          <w:sz w:val="20"/>
        </w:rPr>
        <w:footnoteRef/>
      </w:r>
      <w:r w:rsidRPr="00563EB7">
        <w:t xml:space="preserve"> </w:t>
      </w:r>
      <w:r w:rsidRPr="00563EB7">
        <w:rPr>
          <w:i/>
        </w:rPr>
        <w:t>See</w:t>
      </w:r>
      <w:r w:rsidRPr="00563EB7">
        <w:t xml:space="preserve"> 5 U.S.C. § 801(a)(1)(A).</w:t>
      </w:r>
      <w:r w:rsidRPr="00563EB7">
        <w:rPr>
          <w:i/>
        </w:rPr>
        <w:t xml:space="preserve"> </w:t>
      </w:r>
      <w:r w:rsidRPr="00563EB7">
        <w:t xml:space="preserve"> </w:t>
      </w:r>
    </w:p>
  </w:footnote>
  <w:footnote w:id="238">
    <w:p w:rsidR="00CB75C2" w:rsidRDefault="00AA13C4" w:rsidP="00B42A2B">
      <w:pPr>
        <w:pStyle w:val="FootnoteText"/>
      </w:pPr>
      <w:r>
        <w:rPr>
          <w:rStyle w:val="FootnoteReference"/>
        </w:rPr>
        <w:footnoteRef/>
      </w:r>
      <w:r>
        <w:t xml:space="preserve"> </w:t>
      </w:r>
      <w:r w:rsidRPr="00C77F9E">
        <w:t xml:space="preserve">5 U.S.C. § 603. The RFA, </w:t>
      </w:r>
      <w:r w:rsidRPr="00C1382E">
        <w:rPr>
          <w:i/>
        </w:rPr>
        <w:t>see</w:t>
      </w:r>
      <w:r w:rsidRPr="00C77F9E">
        <w:t xml:space="preserve"> 5 U.S.C. §§ 601-612, has been amended by the Small Business Regulatory Enforcement Fairness Act of 1996, Pub. L. No. 104-121, Title II, 110 Stat. 857 (1996).</w:t>
      </w:r>
    </w:p>
  </w:footnote>
  <w:footnote w:id="239">
    <w:p w:rsidR="00CB75C2" w:rsidRDefault="00AA13C4" w:rsidP="00B42A2B">
      <w:pPr>
        <w:pStyle w:val="FootnoteText"/>
      </w:pPr>
      <w:r>
        <w:rPr>
          <w:rStyle w:val="FootnoteReference"/>
        </w:rPr>
        <w:footnoteRef/>
      </w:r>
      <w:r>
        <w:t xml:space="preserve"> </w:t>
      </w:r>
      <w:r w:rsidRPr="008B1D75">
        <w:rPr>
          <w:i/>
        </w:rPr>
        <w:t>Toll Free Assignment Modernization, Toll Free Service Access Codes</w:t>
      </w:r>
      <w:r w:rsidRPr="008B1D75">
        <w:t>, Notice of Proposed Rulemaking, 32 FCC Rcd 7885, Appx. C (2017).</w:t>
      </w:r>
    </w:p>
  </w:footnote>
  <w:footnote w:id="240">
    <w:p w:rsidR="00CB75C2" w:rsidRPr="002079AA" w:rsidRDefault="00AA13C4" w:rsidP="00B42A2B">
      <w:pPr>
        <w:pStyle w:val="FootnoteText"/>
        <w:rPr>
          <w:color w:val="FF0000"/>
        </w:rPr>
      </w:pPr>
      <w:r>
        <w:rPr>
          <w:rStyle w:val="FootnoteReference"/>
        </w:rPr>
        <w:footnoteRef/>
      </w:r>
      <w:r>
        <w:t xml:space="preserve"> </w:t>
      </w:r>
      <w:r w:rsidRPr="00F00438">
        <w:rPr>
          <w:i/>
        </w:rPr>
        <w:t>833 Auction Comment Public Notice</w:t>
      </w:r>
      <w:r>
        <w:t xml:space="preserve"> at paras. 59-69.  </w:t>
      </w:r>
      <w:r w:rsidRPr="00FF277D">
        <w:t xml:space="preserve">A summary of the </w:t>
      </w:r>
      <w:r w:rsidRPr="00FF277D">
        <w:rPr>
          <w:i/>
        </w:rPr>
        <w:t>833 Auction Comment Public Notice</w:t>
      </w:r>
      <w:r w:rsidRPr="00FF277D">
        <w:t xml:space="preserve"> was published in the Federal Register at 84 Fed. Reg. 24424 (May 28, 2019).</w:t>
      </w:r>
    </w:p>
  </w:footnote>
  <w:footnote w:id="241">
    <w:p w:rsidR="00CB75C2" w:rsidRDefault="00AA13C4" w:rsidP="00B42A2B">
      <w:pPr>
        <w:pStyle w:val="FootnoteText"/>
      </w:pPr>
      <w:r>
        <w:rPr>
          <w:rStyle w:val="FootnoteReference"/>
        </w:rPr>
        <w:footnoteRef/>
      </w:r>
      <w:r>
        <w:t xml:space="preserve"> </w:t>
      </w:r>
      <w:r w:rsidRPr="008B1D75">
        <w:rPr>
          <w:i/>
        </w:rPr>
        <w:t>Toll Free Assignment Modernization Order</w:t>
      </w:r>
      <w:r w:rsidRPr="008B1D75">
        <w:t>, 33 FCC Rcd at 9313-22, Appx B</w:t>
      </w:r>
      <w:r>
        <w:t>.</w:t>
      </w:r>
    </w:p>
  </w:footnote>
  <w:footnote w:id="242">
    <w:p w:rsidR="00CB75C2" w:rsidRDefault="00AA13C4" w:rsidP="00B42A2B">
      <w:pPr>
        <w:pStyle w:val="FootnoteText"/>
      </w:pPr>
      <w:r>
        <w:rPr>
          <w:rStyle w:val="FootnoteReference"/>
        </w:rPr>
        <w:footnoteRef/>
      </w:r>
      <w:r>
        <w:t xml:space="preserve"> </w:t>
      </w:r>
      <w:r w:rsidRPr="00C664D0">
        <w:t>5 U.S.C. § 60</w:t>
      </w:r>
      <w:r>
        <w:t>4.</w:t>
      </w:r>
    </w:p>
  </w:footnote>
  <w:footnote w:id="243">
    <w:p w:rsidR="00CB75C2" w:rsidRDefault="00AA13C4" w:rsidP="00B42A2B">
      <w:pPr>
        <w:pStyle w:val="FootnoteText"/>
      </w:pPr>
      <w:r>
        <w:rPr>
          <w:rStyle w:val="FootnoteReference"/>
        </w:rPr>
        <w:footnoteRef/>
      </w:r>
      <w:r>
        <w:t xml:space="preserve"> </w:t>
      </w:r>
      <w:r w:rsidRPr="00063826">
        <w:t>5 U.S.C. § 60</w:t>
      </w:r>
      <w:r>
        <w:t xml:space="preserve">4(a)(3). </w:t>
      </w:r>
    </w:p>
  </w:footnote>
  <w:footnote w:id="244">
    <w:p w:rsidR="00CB75C2" w:rsidRPr="00D764A7" w:rsidRDefault="00AA13C4" w:rsidP="00B42A2B">
      <w:pPr>
        <w:pStyle w:val="FootnoteText"/>
      </w:pPr>
      <w:r w:rsidRPr="00D764A7">
        <w:rPr>
          <w:rStyle w:val="FootnoteReference"/>
        </w:rPr>
        <w:footnoteRef/>
      </w:r>
      <w:r w:rsidRPr="00D764A7">
        <w:t xml:space="preserve"> </w:t>
      </w:r>
      <w:r w:rsidRPr="004E4F46">
        <w:rPr>
          <w:i/>
        </w:rPr>
        <w:t>Id</w:t>
      </w:r>
      <w:r w:rsidRPr="00425C7C">
        <w:rPr>
          <w:i/>
        </w:rPr>
        <w:t>.</w:t>
      </w:r>
      <w:r w:rsidRPr="00D764A7">
        <w:t xml:space="preserve"> § 604(</w:t>
      </w:r>
      <w:r>
        <w:t>a</w:t>
      </w:r>
      <w:r w:rsidRPr="00D764A7">
        <w:t>)</w:t>
      </w:r>
      <w:r>
        <w:t>(4)</w:t>
      </w:r>
      <w:r w:rsidRPr="00D764A7">
        <w:t>.</w:t>
      </w:r>
    </w:p>
  </w:footnote>
  <w:footnote w:id="245">
    <w:p w:rsidR="00CB75C2" w:rsidRDefault="00AA13C4" w:rsidP="00B42A2B">
      <w:pPr>
        <w:pStyle w:val="FootnoteText"/>
      </w:pPr>
      <w:r>
        <w:rPr>
          <w:rStyle w:val="FootnoteReference"/>
        </w:rPr>
        <w:footnoteRef/>
      </w:r>
      <w:r>
        <w:t xml:space="preserve"> </w:t>
      </w:r>
      <w:r w:rsidRPr="00F61346">
        <w:rPr>
          <w:i/>
        </w:rPr>
        <w:t>Id</w:t>
      </w:r>
      <w:r w:rsidRPr="002B1F78">
        <w:t>. § 601(6).</w:t>
      </w:r>
    </w:p>
  </w:footnote>
  <w:footnote w:id="246">
    <w:p w:rsidR="00CB75C2" w:rsidRDefault="00AA13C4" w:rsidP="00B42A2B">
      <w:pPr>
        <w:pStyle w:val="FootnoteText"/>
      </w:pPr>
      <w:r>
        <w:rPr>
          <w:rStyle w:val="FootnoteReference"/>
        </w:rPr>
        <w:footnoteRef/>
      </w:r>
      <w:r>
        <w:t xml:space="preserve"> </w:t>
      </w:r>
      <w:r w:rsidRPr="00F61346">
        <w:rPr>
          <w:i/>
        </w:rPr>
        <w:t>Id</w:t>
      </w:r>
      <w:r w:rsidRPr="002B1F78">
        <w:t xml:space="preserve">. § 601(3) (incorporating by reference the definition of “small business concern” in the Small Business Act, 15 U.S.C. § 632). </w:t>
      </w:r>
      <w:r>
        <w:t xml:space="preserve"> </w:t>
      </w:r>
      <w:r w:rsidRPr="002B1F78">
        <w:t>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247">
    <w:p w:rsidR="00CB75C2" w:rsidRDefault="00AA13C4" w:rsidP="00B42A2B">
      <w:pPr>
        <w:pStyle w:val="FootnoteText"/>
      </w:pPr>
      <w:r>
        <w:rPr>
          <w:rStyle w:val="FootnoteReference"/>
        </w:rPr>
        <w:footnoteRef/>
      </w:r>
      <w:r>
        <w:t xml:space="preserve"> </w:t>
      </w:r>
      <w:r w:rsidRPr="002B1F78">
        <w:t>15 U.S.C. § 632.</w:t>
      </w:r>
    </w:p>
  </w:footnote>
  <w:footnote w:id="248">
    <w:p w:rsidR="00CB75C2" w:rsidRDefault="00AA13C4" w:rsidP="00B42A2B">
      <w:pPr>
        <w:pStyle w:val="FootnoteText"/>
      </w:pPr>
      <w:r>
        <w:rPr>
          <w:rStyle w:val="FootnoteReference"/>
        </w:rPr>
        <w:footnoteRef/>
      </w:r>
      <w:r>
        <w:t xml:space="preserve"> </w:t>
      </w:r>
      <w:r w:rsidRPr="0055778B">
        <w:rPr>
          <w:i/>
        </w:rPr>
        <w:t>Toll Free Assignment Modernization, Toll Free Service Access Codes, Report and Order</w:t>
      </w:r>
      <w:r w:rsidRPr="0055778B">
        <w:t>, 33 FCC Rcd 9274, 9313-22, Appx B.</w:t>
      </w:r>
      <w:r>
        <w:t xml:space="preserve"> </w:t>
      </w:r>
      <w:r w:rsidRPr="0055778B">
        <w:t xml:space="preserve"> </w:t>
      </w:r>
      <w:r w:rsidRPr="0055778B">
        <w:rPr>
          <w:i/>
        </w:rPr>
        <w:t>See</w:t>
      </w:r>
      <w:r w:rsidRPr="0055778B">
        <w:t xml:space="preserve"> FCC Launches Experiment to Assign Toll Free Numbers by Auction, </w:t>
      </w:r>
      <w:hyperlink r:id="rId5" w:history="1">
        <w:r w:rsidRPr="009873B0">
          <w:rPr>
            <w:rStyle w:val="Hyperlink"/>
          </w:rPr>
          <w:t>https://www.fcc.gov/document/fcc-launches-experiment-assign-toll-free-numbers-auction-0</w:t>
        </w:r>
      </w:hyperlink>
      <w:r>
        <w:t xml:space="preserve">   </w:t>
      </w:r>
      <w:r w:rsidRPr="0055778B">
        <w:t xml:space="preserve">(last visited </w:t>
      </w:r>
      <w:r>
        <w:t>July 8</w:t>
      </w:r>
      <w:r w:rsidRPr="0055778B">
        <w:t>, 2019).</w:t>
      </w:r>
      <w:r>
        <w:t xml:space="preserve"> </w:t>
      </w:r>
    </w:p>
  </w:footnote>
  <w:footnote w:id="249">
    <w:p w:rsidR="00CB75C2" w:rsidRDefault="00AA13C4" w:rsidP="00B42A2B">
      <w:pPr>
        <w:pStyle w:val="FootnoteText"/>
      </w:pPr>
      <w:r>
        <w:rPr>
          <w:rStyle w:val="FootnoteReference"/>
        </w:rPr>
        <w:footnoteRef/>
      </w:r>
      <w:r>
        <w:t xml:space="preserve"> </w:t>
      </w:r>
      <w:r w:rsidRPr="007C6E92">
        <w:rPr>
          <w:i/>
        </w:rPr>
        <w:t>Toll Free Assignment Modernization Order</w:t>
      </w:r>
      <w:r w:rsidRPr="007C6E92">
        <w:t>, 33 FCC Rcd at 9290, para 43.</w:t>
      </w:r>
    </w:p>
  </w:footnote>
  <w:footnote w:id="250">
    <w:p w:rsidR="00CB75C2" w:rsidRDefault="00AA13C4" w:rsidP="00B42A2B">
      <w:pPr>
        <w:pStyle w:val="FootnoteText"/>
      </w:pPr>
      <w:r>
        <w:rPr>
          <w:rStyle w:val="FootnoteReference"/>
        </w:rPr>
        <w:footnoteRef/>
      </w:r>
      <w:r>
        <w:t xml:space="preserve"> </w:t>
      </w:r>
      <w:r w:rsidRPr="007C6E92">
        <w:rPr>
          <w:i/>
        </w:rPr>
        <w:t>Id</w:t>
      </w:r>
      <w:r>
        <w:t xml:space="preserve">. </w:t>
      </w:r>
    </w:p>
  </w:footnote>
  <w:footnote w:id="251">
    <w:p w:rsidR="00CB75C2" w:rsidRDefault="00AA13C4" w:rsidP="00B42A2B">
      <w:pPr>
        <w:pStyle w:val="FootnoteText"/>
      </w:pPr>
      <w:r>
        <w:rPr>
          <w:rStyle w:val="FootnoteReference"/>
        </w:rPr>
        <w:footnoteRef/>
      </w:r>
      <w:r>
        <w:t xml:space="preserve"> </w:t>
      </w:r>
      <w:r w:rsidRPr="007C6E92">
        <w:rPr>
          <w:i/>
        </w:rPr>
        <w:t>Id</w:t>
      </w:r>
      <w:r>
        <w:t xml:space="preserve">. </w:t>
      </w:r>
    </w:p>
  </w:footnote>
  <w:footnote w:id="252">
    <w:p w:rsidR="00CB75C2" w:rsidRDefault="00AA13C4" w:rsidP="00B42A2B">
      <w:pPr>
        <w:pStyle w:val="FootnoteText"/>
      </w:pPr>
      <w:r>
        <w:rPr>
          <w:rStyle w:val="FootnoteReference"/>
        </w:rPr>
        <w:footnoteRef/>
      </w:r>
      <w:r>
        <w:t xml:space="preserve"> The resubmission window dates for 833 Auction will be announced by Somos in a future public notice. </w:t>
      </w:r>
    </w:p>
  </w:footnote>
  <w:footnote w:id="253">
    <w:p w:rsidR="00CB75C2" w:rsidRDefault="00AA13C4" w:rsidP="00B42A2B">
      <w:pPr>
        <w:pStyle w:val="FootnoteText"/>
      </w:pPr>
      <w:r>
        <w:rPr>
          <w:rStyle w:val="FootnoteReference"/>
        </w:rPr>
        <w:footnoteRef/>
      </w:r>
      <w:r>
        <w:t xml:space="preserve"> </w:t>
      </w:r>
      <w:r w:rsidRPr="0056418D">
        <w:t>5 U.S.C. § 603(c)(1)-(4).</w:t>
      </w:r>
    </w:p>
  </w:footnote>
  <w:footnote w:id="254">
    <w:p w:rsidR="00CB75C2" w:rsidRPr="00D764A7" w:rsidRDefault="00AA13C4" w:rsidP="00B42A2B">
      <w:pPr>
        <w:pStyle w:val="FootnoteText"/>
      </w:pPr>
      <w:r w:rsidRPr="00D764A7">
        <w:rPr>
          <w:rStyle w:val="FootnoteReference"/>
        </w:rPr>
        <w:footnoteRef/>
      </w:r>
      <w:r w:rsidRPr="00D764A7">
        <w:t xml:space="preserve"> </w:t>
      </w:r>
      <w:r w:rsidRPr="004E4F46">
        <w:rPr>
          <w:i/>
        </w:rPr>
        <w:t>Id</w:t>
      </w:r>
      <w:r w:rsidRPr="00425C7C">
        <w:rPr>
          <w:i/>
        </w:rPr>
        <w:t>.</w:t>
      </w:r>
      <w:r w:rsidRPr="00D764A7">
        <w:t xml:space="preserve"> § 604(b).</w:t>
      </w:r>
    </w:p>
  </w:footnote>
  <w:footnote w:id="255">
    <w:p w:rsidR="001F631F" w:rsidRDefault="00AA13C4" w:rsidP="001F631F">
      <w:pPr>
        <w:pStyle w:val="FootnoteText"/>
      </w:pPr>
      <w:r>
        <w:rPr>
          <w:rStyle w:val="FootnoteReference"/>
        </w:rPr>
        <w:footnoteRef/>
      </w:r>
      <w:r>
        <w:t xml:space="preserve"> R.H. Coase, </w:t>
      </w:r>
      <w:r w:rsidRPr="00C2676A">
        <w:rPr>
          <w:i/>
        </w:rPr>
        <w:t>The Federal Communications Commission</w:t>
      </w:r>
      <w:r>
        <w:t>, 2 J. L. &amp; Econ. 1, 20 (1959).</w:t>
      </w:r>
    </w:p>
  </w:footnote>
  <w:footnote w:id="256">
    <w:p w:rsidR="001F631F" w:rsidRDefault="00AA13C4" w:rsidP="001F631F">
      <w:pPr>
        <w:pStyle w:val="FootnoteText"/>
      </w:pPr>
      <w:r>
        <w:rPr>
          <w:rStyle w:val="FootnoteReference"/>
        </w:rPr>
        <w:footnoteRef/>
      </w:r>
      <w:r>
        <w:t xml:space="preserve"> </w:t>
      </w:r>
      <w:r w:rsidRPr="00C2676A">
        <w:rPr>
          <w:i/>
        </w:rPr>
        <w:t>Id.</w:t>
      </w:r>
    </w:p>
  </w:footnote>
  <w:footnote w:id="257">
    <w:p w:rsidR="001F631F" w:rsidRDefault="00AA13C4" w:rsidP="001F631F">
      <w:pPr>
        <w:pStyle w:val="FootnoteText"/>
      </w:pPr>
      <w:r>
        <w:rPr>
          <w:rStyle w:val="FootnoteReference"/>
        </w:rPr>
        <w:footnoteRef/>
      </w:r>
      <w:r>
        <w:t xml:space="preserve"> </w:t>
      </w:r>
      <w:r w:rsidRPr="009C31E5">
        <w:t xml:space="preserve">Reily Gregson, </w:t>
      </w:r>
      <w:r w:rsidRPr="009C31E5">
        <w:rPr>
          <w:i/>
        </w:rPr>
        <w:t>Clinton Wants to Auction 888 Numbers in ’97 Budget</w:t>
      </w:r>
      <w:r w:rsidRPr="009C31E5">
        <w:t xml:space="preserve">, </w:t>
      </w:r>
      <w:r w:rsidRPr="009C31E5">
        <w:rPr>
          <w:smallCaps/>
        </w:rPr>
        <w:t>RCR Wireless</w:t>
      </w:r>
      <w:r w:rsidRPr="009C31E5">
        <w:t xml:space="preserve"> (March 25, 1996), </w:t>
      </w:r>
      <w:r w:rsidRPr="009C31E5">
        <w:rPr>
          <w:i/>
        </w:rPr>
        <w:t xml:space="preserve"> </w:t>
      </w:r>
      <w:hyperlink r:id="rId6" w:history="1">
        <w:r w:rsidRPr="009C31E5">
          <w:rPr>
            <w:rStyle w:val="Hyperlink"/>
          </w:rPr>
          <w:t>https://www.rcrwireless.com/19960325/carriers/clinton-wants-to-auction-888-numbers-in-97-budget</w:t>
        </w:r>
      </w:hyperlink>
      <w:r w:rsidRPr="009C31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C2" w:rsidRPr="009838BC" w:rsidRDefault="00AA13C4" w:rsidP="009838BC">
    <w:pPr>
      <w:tabs>
        <w:tab w:val="center" w:pos="4680"/>
        <w:tab w:val="right" w:pos="9360"/>
      </w:tabs>
    </w:pPr>
    <w:r w:rsidRPr="009838BC">
      <w:rPr>
        <w:b/>
      </w:rPr>
      <w:tab/>
      <w:t>Federal Communications Commission</w:t>
    </w:r>
    <w:r w:rsidRPr="009838BC">
      <w:rPr>
        <w:b/>
      </w:rPr>
      <w:tab/>
    </w:r>
    <w:r>
      <w:rPr>
        <w:b/>
      </w:rPr>
      <w:t>FCC 19-75</w:t>
    </w:r>
  </w:p>
  <w:p w:rsidR="00CB75C2" w:rsidRPr="009838BC" w:rsidRDefault="00AA13C4" w:rsidP="009838BC">
    <w:pPr>
      <w:tabs>
        <w:tab w:val="left" w:pos="-720"/>
      </w:tabs>
      <w:suppressAutoHyphens/>
      <w:spacing w:line="19" w:lineRule="exact"/>
      <w:rPr>
        <w:spacing w:val="-2"/>
      </w:rPr>
    </w:pPr>
    <w:r>
      <w:rPr>
        <w:noProof/>
      </w:rPr>
      <mc:AlternateContent>
        <mc:Choice Requires="wps">
          <w:drawing>
            <wp:anchor distT="0" distB="0" distL="114300" distR="114300" simplePos="0" relativeHeight="251662336" behindDoc="1" locked="0" layoutInCell="0" allowOverlap="1" wp14:anchorId="50688FBC" wp14:editId="565EFEC1">
              <wp:simplePos x="0" y="0"/>
              <wp:positionH relativeFrom="margin">
                <wp:posOffset>0</wp:posOffset>
              </wp:positionH>
              <wp:positionV relativeFrom="paragraph">
                <wp:posOffset>0</wp:posOffset>
              </wp:positionV>
              <wp:extent cx="5943600" cy="12065"/>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85225A" id="Rectangle 15" o:spid="_x0000_s1026" style="position:absolute;margin-left:0;margin-top:0;width:468pt;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VdwIAAPo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Dir+mVdwIAAPoEAAAOAAAAAAAAAAAA&#10;AAAAAC4CAABkcnMvZTJvRG9jLnhtbFBLAQItABQABgAIAAAAIQAiPO7R1wAAAAMBAAAPAAAAAAAA&#10;AAAAAAAAANEEAABkcnMvZG93bnJldi54bWxQSwUGAAAAAAQABADzAAAA1QUAAAAA&#10;" o:allowincell="f" fillcolor="black" stroked="f" strokeweight=".05pt">
              <w10:wrap anchorx="margin"/>
            </v:rect>
          </w:pict>
        </mc:Fallback>
      </mc:AlternateContent>
    </w:r>
  </w:p>
  <w:p w:rsidR="00CB75C2" w:rsidRPr="009838BC" w:rsidRDefault="00CB75C2" w:rsidP="009838BC">
    <w:pPr>
      <w:spacing w:before="40"/>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C2" w:rsidRPr="00A866AC" w:rsidRDefault="00AA13C4" w:rsidP="009838BC">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14:anchorId="176D550C" wp14:editId="586460AF">
              <wp:simplePos x="0" y="0"/>
              <wp:positionH relativeFrom="margin">
                <wp:posOffset>-57150</wp:posOffset>
              </wp:positionH>
              <wp:positionV relativeFrom="paragraph">
                <wp:posOffset>741045</wp:posOffset>
              </wp:positionV>
              <wp:extent cx="3108960" cy="64008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5C2" w:rsidRDefault="00AA13C4" w:rsidP="009838BC">
                          <w:pPr>
                            <w:rPr>
                              <w:rFonts w:ascii="Arial" w:hAnsi="Arial"/>
                              <w:b/>
                            </w:rPr>
                          </w:pPr>
                          <w:r>
                            <w:rPr>
                              <w:rFonts w:ascii="Arial" w:hAnsi="Arial"/>
                              <w:b/>
                            </w:rPr>
                            <w:t>Federal Communications Commission</w:t>
                          </w:r>
                        </w:p>
                        <w:p w:rsidR="00CB75C2" w:rsidRDefault="00AA13C4" w:rsidP="009838BC">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CB75C2" w:rsidRDefault="00AA13C4" w:rsidP="009838BC">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5pt;margin-top:58.35pt;width:244.8pt;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ve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" o:allowincell="f" stroked="f">
              <v:textbox>
                <w:txbxContent>
                  <w:p w:rsidR="00CB75C2" w:rsidRDefault="00AA13C4" w:rsidP="009838BC">
                    <w:pPr>
                      <w:rPr>
                        <w:rFonts w:ascii="Arial" w:hAnsi="Arial"/>
                        <w:b/>
                      </w:rPr>
                    </w:pPr>
                    <w:r>
                      <w:rPr>
                        <w:rFonts w:ascii="Arial" w:hAnsi="Arial"/>
                        <w:b/>
                      </w:rPr>
                      <w:t>Federal Communications Commission</w:t>
                    </w:r>
                  </w:p>
                  <w:p w:rsidR="00CB75C2" w:rsidRDefault="00AA13C4" w:rsidP="009838BC">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CB75C2" w:rsidRDefault="00AA13C4" w:rsidP="009838BC">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59264" behindDoc="0" locked="0" layoutInCell="0" allowOverlap="1" wp14:anchorId="1DDE03AD" wp14:editId="693FBF1D">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CB75C2" w:rsidRPr="00357D50" w:rsidRDefault="00AA13C4" w:rsidP="009838BC">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14:anchorId="4D93AF60" wp14:editId="35BBC8AC">
              <wp:simplePos x="0" y="0"/>
              <wp:positionH relativeFrom="margin">
                <wp:align>right</wp:align>
              </wp:positionH>
              <wp:positionV relativeFrom="paragraph">
                <wp:posOffset>720090</wp:posOffset>
              </wp:positionV>
              <wp:extent cx="5943600" cy="0"/>
              <wp:effectExtent l="5715" t="5715" r="13335" b="1333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F47DAF" id="Straight Connector 10"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56.7pt" to="884.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VyHgIAADc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" o:allowincell="f">
              <w10:wrap anchorx="margin"/>
            </v:line>
          </w:pict>
        </mc:Fallback>
      </mc:AlternateContent>
    </w:r>
    <w:r>
      <w:rPr>
        <w:noProof/>
      </w:rPr>
      <mc:AlternateContent>
        <mc:Choice Requires="wps">
          <w:drawing>
            <wp:anchor distT="0" distB="0" distL="114300" distR="114300" simplePos="0" relativeHeight="251661312" behindDoc="0" locked="0" layoutInCell="0" allowOverlap="1" wp14:anchorId="000E3D50" wp14:editId="3D52DCD6">
              <wp:simplePos x="0" y="0"/>
              <wp:positionH relativeFrom="column">
                <wp:posOffset>3343275</wp:posOffset>
              </wp:positionH>
              <wp:positionV relativeFrom="paragraph">
                <wp:posOffset>178435</wp:posOffset>
              </wp:positionV>
              <wp:extent cx="2640965" cy="447675"/>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5C2" w:rsidRDefault="00AA13C4" w:rsidP="009838BC">
                          <w:pPr>
                            <w:spacing w:before="40"/>
                            <w:jc w:val="right"/>
                            <w:rPr>
                              <w:rFonts w:ascii="Arial" w:hAnsi="Arial"/>
                              <w:b/>
                              <w:sz w:val="16"/>
                            </w:rPr>
                          </w:pPr>
                          <w:r>
                            <w:rPr>
                              <w:rFonts w:ascii="Arial" w:hAnsi="Arial"/>
                              <w:b/>
                              <w:sz w:val="16"/>
                            </w:rPr>
                            <w:t>News Media Information 202 / 418-0500</w:t>
                          </w:r>
                        </w:p>
                        <w:p w:rsidR="00CB75C2" w:rsidRDefault="00AA13C4" w:rsidP="009838BC">
                          <w:pPr>
                            <w:jc w:val="right"/>
                            <w:rPr>
                              <w:rFonts w:ascii="Arial" w:hAnsi="Arial"/>
                              <w:b/>
                              <w:sz w:val="16"/>
                            </w:rPr>
                          </w:pPr>
                          <w:r>
                            <w:rPr>
                              <w:rFonts w:ascii="Arial" w:hAnsi="Arial"/>
                              <w:b/>
                              <w:sz w:val="16"/>
                            </w:rPr>
                            <w:t xml:space="preserve">Internet: </w:t>
                          </w:r>
                          <w:bookmarkStart w:id="1011" w:name="_Hlt233824"/>
                          <w:r>
                            <w:fldChar w:fldCharType="begin"/>
                          </w:r>
                          <w:r>
                            <w:instrText xml:space="preserve"> HYPERLINK "https://www.fcc.gov" </w:instrText>
                          </w:r>
                          <w:r>
                            <w:fldChar w:fldCharType="separate"/>
                          </w:r>
                          <w:r w:rsidRPr="00D216CD">
                            <w:rPr>
                              <w:rStyle w:val="Hyperlink"/>
                              <w:rFonts w:ascii="Arial" w:hAnsi="Arial"/>
                              <w:b/>
                              <w:sz w:val="16"/>
                            </w:rPr>
                            <w:t>h</w:t>
                          </w:r>
                          <w:bookmarkEnd w:id="1011"/>
                          <w:r w:rsidRPr="00D216CD">
                            <w:rPr>
                              <w:rStyle w:val="Hyperlink"/>
                              <w:rFonts w:ascii="Arial" w:hAnsi="Arial"/>
                              <w:b/>
                              <w:sz w:val="16"/>
                            </w:rPr>
                            <w:t>ttps://www.fcc.gov</w:t>
                          </w:r>
                          <w:r>
                            <w:rPr>
                              <w:rStyle w:val="Hyperlink"/>
                              <w:rFonts w:ascii="Arial" w:hAnsi="Arial"/>
                              <w:b/>
                              <w:sz w:val="16"/>
                            </w:rPr>
                            <w:fldChar w:fldCharType="end"/>
                          </w:r>
                        </w:p>
                        <w:p w:rsidR="00CB75C2" w:rsidRDefault="00AA13C4" w:rsidP="009838BC">
                          <w:pPr>
                            <w:jc w:val="right"/>
                          </w:pPr>
                          <w:r>
                            <w:rPr>
                              <w:rFonts w:ascii="Arial" w:hAnsi="Arial"/>
                              <w:b/>
                              <w:sz w:val="16"/>
                            </w:rPr>
                            <w:t>TTY: 1-888-835-5322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63.25pt;margin-top:14.05pt;width:207.9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" o:allowincell="f" stroked="f">
              <v:textbox inset=",0,,0">
                <w:txbxContent>
                  <w:p w:rsidR="00CB75C2" w:rsidRDefault="00AA13C4" w:rsidP="009838BC">
                    <w:pPr>
                      <w:spacing w:before="40"/>
                      <w:jc w:val="right"/>
                      <w:rPr>
                        <w:rFonts w:ascii="Arial" w:hAnsi="Arial"/>
                        <w:b/>
                        <w:sz w:val="16"/>
                      </w:rPr>
                    </w:pPr>
                    <w:r>
                      <w:rPr>
                        <w:rFonts w:ascii="Arial" w:hAnsi="Arial"/>
                        <w:b/>
                        <w:sz w:val="16"/>
                      </w:rPr>
                      <w:t>News Media Information 202 / 418-0500</w:t>
                    </w:r>
                  </w:p>
                  <w:p w:rsidR="00CB75C2" w:rsidRDefault="00AA13C4" w:rsidP="009838BC">
                    <w:pPr>
                      <w:jc w:val="right"/>
                      <w:rPr>
                        <w:rFonts w:ascii="Arial" w:hAnsi="Arial"/>
                        <w:b/>
                        <w:sz w:val="16"/>
                      </w:rPr>
                    </w:pPr>
                    <w:r>
                      <w:rPr>
                        <w:rFonts w:ascii="Arial" w:hAnsi="Arial"/>
                        <w:b/>
                        <w:sz w:val="16"/>
                      </w:rPr>
                      <w:t xml:space="preserve">Internet: </w:t>
                    </w:r>
                    <w:bookmarkStart w:id="1012" w:name="_Hlt233824"/>
                    <w:r>
                      <w:fldChar w:fldCharType="begin"/>
                    </w:r>
                    <w:r>
                      <w:instrText xml:space="preserve"> HYPERLINK "https://www.fcc.gov" </w:instrText>
                    </w:r>
                    <w:r>
                      <w:fldChar w:fldCharType="separate"/>
                    </w:r>
                    <w:r w:rsidRPr="00D216CD">
                      <w:rPr>
                        <w:rStyle w:val="Hyperlink"/>
                        <w:rFonts w:ascii="Arial" w:hAnsi="Arial"/>
                        <w:b/>
                        <w:sz w:val="16"/>
                      </w:rPr>
                      <w:t>h</w:t>
                    </w:r>
                    <w:bookmarkEnd w:id="1012"/>
                    <w:r w:rsidRPr="00D216CD">
                      <w:rPr>
                        <w:rStyle w:val="Hyperlink"/>
                        <w:rFonts w:ascii="Arial" w:hAnsi="Arial"/>
                        <w:b/>
                        <w:sz w:val="16"/>
                      </w:rPr>
                      <w:t>ttps://www.fcc.gov</w:t>
                    </w:r>
                    <w:r>
                      <w:rPr>
                        <w:rStyle w:val="Hyperlink"/>
                        <w:rFonts w:ascii="Arial" w:hAnsi="Arial"/>
                        <w:b/>
                        <w:sz w:val="16"/>
                      </w:rPr>
                      <w:fldChar w:fldCharType="end"/>
                    </w:r>
                  </w:p>
                  <w:p w:rsidR="00CB75C2" w:rsidRDefault="00AA13C4" w:rsidP="009838BC">
                    <w:pPr>
                      <w:jc w:val="right"/>
                    </w:pPr>
                    <w:r>
                      <w:rPr>
                        <w:rFonts w:ascii="Arial" w:hAnsi="Arial"/>
                        <w:b/>
                        <w:sz w:val="16"/>
                      </w:rPr>
                      <w:t>TTY: 1-888-835-5322</w:t>
                    </w:r>
                  </w:p>
                </w:txbxContent>
              </v:textbox>
            </v:shape>
          </w:pict>
        </mc:Fallback>
      </mc:AlternateContent>
    </w:r>
  </w:p>
  <w:p w:rsidR="00CB75C2" w:rsidRPr="009838BC" w:rsidRDefault="00CB75C2" w:rsidP="009838B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EBB"/>
    <w:multiLevelType w:val="hybridMultilevel"/>
    <w:tmpl w:val="34A4CE18"/>
    <w:lvl w:ilvl="0" w:tplc="012C34B6">
      <w:start w:val="1"/>
      <w:numFmt w:val="bullet"/>
      <w:lvlText w:val=""/>
      <w:lvlJc w:val="left"/>
      <w:pPr>
        <w:ind w:left="1440" w:hanging="360"/>
      </w:pPr>
      <w:rPr>
        <w:rFonts w:ascii="Symbol" w:hAnsi="Symbol" w:hint="default"/>
      </w:rPr>
    </w:lvl>
    <w:lvl w:ilvl="1" w:tplc="85326D32" w:tentative="1">
      <w:start w:val="1"/>
      <w:numFmt w:val="bullet"/>
      <w:lvlText w:val="o"/>
      <w:lvlJc w:val="left"/>
      <w:pPr>
        <w:ind w:left="2160" w:hanging="360"/>
      </w:pPr>
      <w:rPr>
        <w:rFonts w:ascii="Courier New" w:hAnsi="Courier New" w:cs="Courier New" w:hint="default"/>
      </w:rPr>
    </w:lvl>
    <w:lvl w:ilvl="2" w:tplc="8B526784" w:tentative="1">
      <w:start w:val="1"/>
      <w:numFmt w:val="bullet"/>
      <w:lvlText w:val=""/>
      <w:lvlJc w:val="left"/>
      <w:pPr>
        <w:ind w:left="2880" w:hanging="360"/>
      </w:pPr>
      <w:rPr>
        <w:rFonts w:ascii="Wingdings" w:hAnsi="Wingdings" w:hint="default"/>
      </w:rPr>
    </w:lvl>
    <w:lvl w:ilvl="3" w:tplc="93826EE6" w:tentative="1">
      <w:start w:val="1"/>
      <w:numFmt w:val="bullet"/>
      <w:lvlText w:val=""/>
      <w:lvlJc w:val="left"/>
      <w:pPr>
        <w:ind w:left="3600" w:hanging="360"/>
      </w:pPr>
      <w:rPr>
        <w:rFonts w:ascii="Symbol" w:hAnsi="Symbol" w:hint="default"/>
      </w:rPr>
    </w:lvl>
    <w:lvl w:ilvl="4" w:tplc="022813AE" w:tentative="1">
      <w:start w:val="1"/>
      <w:numFmt w:val="bullet"/>
      <w:lvlText w:val="o"/>
      <w:lvlJc w:val="left"/>
      <w:pPr>
        <w:ind w:left="4320" w:hanging="360"/>
      </w:pPr>
      <w:rPr>
        <w:rFonts w:ascii="Courier New" w:hAnsi="Courier New" w:cs="Courier New" w:hint="default"/>
      </w:rPr>
    </w:lvl>
    <w:lvl w:ilvl="5" w:tplc="57D4C09E" w:tentative="1">
      <w:start w:val="1"/>
      <w:numFmt w:val="bullet"/>
      <w:lvlText w:val=""/>
      <w:lvlJc w:val="left"/>
      <w:pPr>
        <w:ind w:left="5040" w:hanging="360"/>
      </w:pPr>
      <w:rPr>
        <w:rFonts w:ascii="Wingdings" w:hAnsi="Wingdings" w:hint="default"/>
      </w:rPr>
    </w:lvl>
    <w:lvl w:ilvl="6" w:tplc="292AA032" w:tentative="1">
      <w:start w:val="1"/>
      <w:numFmt w:val="bullet"/>
      <w:lvlText w:val=""/>
      <w:lvlJc w:val="left"/>
      <w:pPr>
        <w:ind w:left="5760" w:hanging="360"/>
      </w:pPr>
      <w:rPr>
        <w:rFonts w:ascii="Symbol" w:hAnsi="Symbol" w:hint="default"/>
      </w:rPr>
    </w:lvl>
    <w:lvl w:ilvl="7" w:tplc="2FF643C2" w:tentative="1">
      <w:start w:val="1"/>
      <w:numFmt w:val="bullet"/>
      <w:lvlText w:val="o"/>
      <w:lvlJc w:val="left"/>
      <w:pPr>
        <w:ind w:left="6480" w:hanging="360"/>
      </w:pPr>
      <w:rPr>
        <w:rFonts w:ascii="Courier New" w:hAnsi="Courier New" w:cs="Courier New" w:hint="default"/>
      </w:rPr>
    </w:lvl>
    <w:lvl w:ilvl="8" w:tplc="C1DCA7DC" w:tentative="1">
      <w:start w:val="1"/>
      <w:numFmt w:val="bullet"/>
      <w:lvlText w:val=""/>
      <w:lvlJc w:val="left"/>
      <w:pPr>
        <w:ind w:left="720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6D07DA5"/>
    <w:multiLevelType w:val="hybridMultilevel"/>
    <w:tmpl w:val="09B266AE"/>
    <w:lvl w:ilvl="0" w:tplc="A3129202">
      <w:start w:val="1"/>
      <w:numFmt w:val="bullet"/>
      <w:lvlText w:val=""/>
      <w:lvlJc w:val="left"/>
      <w:pPr>
        <w:ind w:left="1800" w:hanging="360"/>
      </w:pPr>
      <w:rPr>
        <w:rFonts w:ascii="Symbol" w:hAnsi="Symbol" w:hint="default"/>
      </w:rPr>
    </w:lvl>
    <w:lvl w:ilvl="1" w:tplc="D0B0853A" w:tentative="1">
      <w:start w:val="1"/>
      <w:numFmt w:val="bullet"/>
      <w:lvlText w:val="o"/>
      <w:lvlJc w:val="left"/>
      <w:pPr>
        <w:ind w:left="2520" w:hanging="360"/>
      </w:pPr>
      <w:rPr>
        <w:rFonts w:ascii="Courier New" w:hAnsi="Courier New" w:cs="Courier New" w:hint="default"/>
      </w:rPr>
    </w:lvl>
    <w:lvl w:ilvl="2" w:tplc="8CA63A2C" w:tentative="1">
      <w:start w:val="1"/>
      <w:numFmt w:val="bullet"/>
      <w:lvlText w:val=""/>
      <w:lvlJc w:val="left"/>
      <w:pPr>
        <w:ind w:left="3240" w:hanging="360"/>
      </w:pPr>
      <w:rPr>
        <w:rFonts w:ascii="Wingdings" w:hAnsi="Wingdings" w:hint="default"/>
      </w:rPr>
    </w:lvl>
    <w:lvl w:ilvl="3" w:tplc="3B12A9F6" w:tentative="1">
      <w:start w:val="1"/>
      <w:numFmt w:val="bullet"/>
      <w:lvlText w:val=""/>
      <w:lvlJc w:val="left"/>
      <w:pPr>
        <w:ind w:left="3960" w:hanging="360"/>
      </w:pPr>
      <w:rPr>
        <w:rFonts w:ascii="Symbol" w:hAnsi="Symbol" w:hint="default"/>
      </w:rPr>
    </w:lvl>
    <w:lvl w:ilvl="4" w:tplc="C0ECC0CA" w:tentative="1">
      <w:start w:val="1"/>
      <w:numFmt w:val="bullet"/>
      <w:lvlText w:val="o"/>
      <w:lvlJc w:val="left"/>
      <w:pPr>
        <w:ind w:left="4680" w:hanging="360"/>
      </w:pPr>
      <w:rPr>
        <w:rFonts w:ascii="Courier New" w:hAnsi="Courier New" w:cs="Courier New" w:hint="default"/>
      </w:rPr>
    </w:lvl>
    <w:lvl w:ilvl="5" w:tplc="94306F90" w:tentative="1">
      <w:start w:val="1"/>
      <w:numFmt w:val="bullet"/>
      <w:lvlText w:val=""/>
      <w:lvlJc w:val="left"/>
      <w:pPr>
        <w:ind w:left="5400" w:hanging="360"/>
      </w:pPr>
      <w:rPr>
        <w:rFonts w:ascii="Wingdings" w:hAnsi="Wingdings" w:hint="default"/>
      </w:rPr>
    </w:lvl>
    <w:lvl w:ilvl="6" w:tplc="57780B44" w:tentative="1">
      <w:start w:val="1"/>
      <w:numFmt w:val="bullet"/>
      <w:lvlText w:val=""/>
      <w:lvlJc w:val="left"/>
      <w:pPr>
        <w:ind w:left="6120" w:hanging="360"/>
      </w:pPr>
      <w:rPr>
        <w:rFonts w:ascii="Symbol" w:hAnsi="Symbol" w:hint="default"/>
      </w:rPr>
    </w:lvl>
    <w:lvl w:ilvl="7" w:tplc="9C32CB1C" w:tentative="1">
      <w:start w:val="1"/>
      <w:numFmt w:val="bullet"/>
      <w:lvlText w:val="o"/>
      <w:lvlJc w:val="left"/>
      <w:pPr>
        <w:ind w:left="6840" w:hanging="360"/>
      </w:pPr>
      <w:rPr>
        <w:rFonts w:ascii="Courier New" w:hAnsi="Courier New" w:cs="Courier New" w:hint="default"/>
      </w:rPr>
    </w:lvl>
    <w:lvl w:ilvl="8" w:tplc="70886E16"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2B"/>
    <w:rsid w:val="00002DD1"/>
    <w:rsid w:val="000072CE"/>
    <w:rsid w:val="00013A8B"/>
    <w:rsid w:val="00021445"/>
    <w:rsid w:val="000349F5"/>
    <w:rsid w:val="00036039"/>
    <w:rsid w:val="00037F90"/>
    <w:rsid w:val="00046044"/>
    <w:rsid w:val="00060D7A"/>
    <w:rsid w:val="00063826"/>
    <w:rsid w:val="0006429A"/>
    <w:rsid w:val="00066B25"/>
    <w:rsid w:val="0007256D"/>
    <w:rsid w:val="000875BF"/>
    <w:rsid w:val="00092AC7"/>
    <w:rsid w:val="000949DA"/>
    <w:rsid w:val="00096D8C"/>
    <w:rsid w:val="0009757B"/>
    <w:rsid w:val="000A7958"/>
    <w:rsid w:val="000B7D83"/>
    <w:rsid w:val="000C0B65"/>
    <w:rsid w:val="000C1861"/>
    <w:rsid w:val="000C20B7"/>
    <w:rsid w:val="000C769D"/>
    <w:rsid w:val="000D0CF7"/>
    <w:rsid w:val="000D59F8"/>
    <w:rsid w:val="000E2F39"/>
    <w:rsid w:val="000E3D42"/>
    <w:rsid w:val="000E5884"/>
    <w:rsid w:val="000F070A"/>
    <w:rsid w:val="000F29BD"/>
    <w:rsid w:val="000F3298"/>
    <w:rsid w:val="00100603"/>
    <w:rsid w:val="00105172"/>
    <w:rsid w:val="00122BD5"/>
    <w:rsid w:val="0012698B"/>
    <w:rsid w:val="00130258"/>
    <w:rsid w:val="00133FB6"/>
    <w:rsid w:val="001405C6"/>
    <w:rsid w:val="00143CFB"/>
    <w:rsid w:val="00176F90"/>
    <w:rsid w:val="001776E7"/>
    <w:rsid w:val="00187745"/>
    <w:rsid w:val="001948A7"/>
    <w:rsid w:val="00197923"/>
    <w:rsid w:val="001979D9"/>
    <w:rsid w:val="001A25E3"/>
    <w:rsid w:val="001A3189"/>
    <w:rsid w:val="001A3D64"/>
    <w:rsid w:val="001B3007"/>
    <w:rsid w:val="001B6006"/>
    <w:rsid w:val="001C0F67"/>
    <w:rsid w:val="001C3670"/>
    <w:rsid w:val="001D0F7B"/>
    <w:rsid w:val="001D6BCF"/>
    <w:rsid w:val="001E01CA"/>
    <w:rsid w:val="001F631F"/>
    <w:rsid w:val="0020277D"/>
    <w:rsid w:val="00205DD4"/>
    <w:rsid w:val="002060D9"/>
    <w:rsid w:val="0020656A"/>
    <w:rsid w:val="002079AA"/>
    <w:rsid w:val="00226822"/>
    <w:rsid w:val="00245BE1"/>
    <w:rsid w:val="0025162E"/>
    <w:rsid w:val="00257636"/>
    <w:rsid w:val="00260594"/>
    <w:rsid w:val="00261497"/>
    <w:rsid w:val="002615F1"/>
    <w:rsid w:val="00262D4F"/>
    <w:rsid w:val="00263470"/>
    <w:rsid w:val="00266E0D"/>
    <w:rsid w:val="00281DA8"/>
    <w:rsid w:val="00285017"/>
    <w:rsid w:val="00287A24"/>
    <w:rsid w:val="002A2D2E"/>
    <w:rsid w:val="002B1C01"/>
    <w:rsid w:val="002B1F78"/>
    <w:rsid w:val="002B6443"/>
    <w:rsid w:val="002E444D"/>
    <w:rsid w:val="002E61AD"/>
    <w:rsid w:val="002F2B88"/>
    <w:rsid w:val="002F6F27"/>
    <w:rsid w:val="003004DA"/>
    <w:rsid w:val="00315000"/>
    <w:rsid w:val="003229DC"/>
    <w:rsid w:val="003305FE"/>
    <w:rsid w:val="00332ED7"/>
    <w:rsid w:val="00335360"/>
    <w:rsid w:val="00335761"/>
    <w:rsid w:val="00343749"/>
    <w:rsid w:val="00351640"/>
    <w:rsid w:val="00356ED9"/>
    <w:rsid w:val="00357D50"/>
    <w:rsid w:val="003704A2"/>
    <w:rsid w:val="0037576D"/>
    <w:rsid w:val="00375D4B"/>
    <w:rsid w:val="003925DC"/>
    <w:rsid w:val="00394F13"/>
    <w:rsid w:val="00397806"/>
    <w:rsid w:val="003B0550"/>
    <w:rsid w:val="003B694F"/>
    <w:rsid w:val="003D0148"/>
    <w:rsid w:val="003D6D5C"/>
    <w:rsid w:val="003E3CD8"/>
    <w:rsid w:val="003F171C"/>
    <w:rsid w:val="003F7685"/>
    <w:rsid w:val="00412FC5"/>
    <w:rsid w:val="004155E2"/>
    <w:rsid w:val="00422276"/>
    <w:rsid w:val="004242F1"/>
    <w:rsid w:val="00425C7C"/>
    <w:rsid w:val="00440542"/>
    <w:rsid w:val="00444403"/>
    <w:rsid w:val="00445A00"/>
    <w:rsid w:val="00445B1F"/>
    <w:rsid w:val="00451B0F"/>
    <w:rsid w:val="0046125F"/>
    <w:rsid w:val="0048471F"/>
    <w:rsid w:val="00487524"/>
    <w:rsid w:val="00496106"/>
    <w:rsid w:val="004A6187"/>
    <w:rsid w:val="004B285C"/>
    <w:rsid w:val="004C12D0"/>
    <w:rsid w:val="004C2EE3"/>
    <w:rsid w:val="004E4A22"/>
    <w:rsid w:val="004E4F46"/>
    <w:rsid w:val="004E765D"/>
    <w:rsid w:val="004E792F"/>
    <w:rsid w:val="005034F9"/>
    <w:rsid w:val="00504A1A"/>
    <w:rsid w:val="00511968"/>
    <w:rsid w:val="00515AB8"/>
    <w:rsid w:val="00520749"/>
    <w:rsid w:val="00527D1B"/>
    <w:rsid w:val="00532217"/>
    <w:rsid w:val="005371BA"/>
    <w:rsid w:val="005524E1"/>
    <w:rsid w:val="00552B72"/>
    <w:rsid w:val="0055614C"/>
    <w:rsid w:val="0055778B"/>
    <w:rsid w:val="005577AD"/>
    <w:rsid w:val="00562924"/>
    <w:rsid w:val="00563EB7"/>
    <w:rsid w:val="0056418D"/>
    <w:rsid w:val="005712E5"/>
    <w:rsid w:val="005A61E6"/>
    <w:rsid w:val="005B1A14"/>
    <w:rsid w:val="005B6A88"/>
    <w:rsid w:val="005E4A74"/>
    <w:rsid w:val="005F2157"/>
    <w:rsid w:val="005F7D0B"/>
    <w:rsid w:val="006034B8"/>
    <w:rsid w:val="00607BA5"/>
    <w:rsid w:val="006137E6"/>
    <w:rsid w:val="006146FD"/>
    <w:rsid w:val="00626EB6"/>
    <w:rsid w:val="00626F11"/>
    <w:rsid w:val="006334F7"/>
    <w:rsid w:val="006353A3"/>
    <w:rsid w:val="0064234E"/>
    <w:rsid w:val="00655D03"/>
    <w:rsid w:val="006568A5"/>
    <w:rsid w:val="00677EEC"/>
    <w:rsid w:val="00683193"/>
    <w:rsid w:val="00683F84"/>
    <w:rsid w:val="006A6A81"/>
    <w:rsid w:val="006A6FFC"/>
    <w:rsid w:val="006B4D29"/>
    <w:rsid w:val="006C17CB"/>
    <w:rsid w:val="006C3BC0"/>
    <w:rsid w:val="006D4638"/>
    <w:rsid w:val="006E26AF"/>
    <w:rsid w:val="006F7393"/>
    <w:rsid w:val="007018B2"/>
    <w:rsid w:val="0070224F"/>
    <w:rsid w:val="00703E3C"/>
    <w:rsid w:val="00705A57"/>
    <w:rsid w:val="00710B0C"/>
    <w:rsid w:val="007115F7"/>
    <w:rsid w:val="00713D55"/>
    <w:rsid w:val="00717FA0"/>
    <w:rsid w:val="00720B03"/>
    <w:rsid w:val="00723379"/>
    <w:rsid w:val="00751DD6"/>
    <w:rsid w:val="0076171A"/>
    <w:rsid w:val="007803A9"/>
    <w:rsid w:val="00780EF0"/>
    <w:rsid w:val="007828B5"/>
    <w:rsid w:val="00785689"/>
    <w:rsid w:val="00786242"/>
    <w:rsid w:val="0079754B"/>
    <w:rsid w:val="007A0B9C"/>
    <w:rsid w:val="007A0D78"/>
    <w:rsid w:val="007A1E6D"/>
    <w:rsid w:val="007C010B"/>
    <w:rsid w:val="007C6E92"/>
    <w:rsid w:val="007D6CB5"/>
    <w:rsid w:val="007E1C13"/>
    <w:rsid w:val="007F4A56"/>
    <w:rsid w:val="008048B7"/>
    <w:rsid w:val="00816525"/>
    <w:rsid w:val="008209B0"/>
    <w:rsid w:val="00822CE0"/>
    <w:rsid w:val="00837455"/>
    <w:rsid w:val="00837C62"/>
    <w:rsid w:val="00841AB1"/>
    <w:rsid w:val="00842AD2"/>
    <w:rsid w:val="00856BE8"/>
    <w:rsid w:val="00865A70"/>
    <w:rsid w:val="0087178C"/>
    <w:rsid w:val="00872F44"/>
    <w:rsid w:val="00881436"/>
    <w:rsid w:val="00892CCF"/>
    <w:rsid w:val="008B1D75"/>
    <w:rsid w:val="008C22FD"/>
    <w:rsid w:val="008E1E2D"/>
    <w:rsid w:val="008E3F2C"/>
    <w:rsid w:val="008F0F46"/>
    <w:rsid w:val="008F6928"/>
    <w:rsid w:val="00905A05"/>
    <w:rsid w:val="00910E39"/>
    <w:rsid w:val="00910F12"/>
    <w:rsid w:val="00925FC2"/>
    <w:rsid w:val="00926503"/>
    <w:rsid w:val="00927C7F"/>
    <w:rsid w:val="00930ECF"/>
    <w:rsid w:val="00934012"/>
    <w:rsid w:val="00935652"/>
    <w:rsid w:val="009470B1"/>
    <w:rsid w:val="00966908"/>
    <w:rsid w:val="00966A36"/>
    <w:rsid w:val="009702B1"/>
    <w:rsid w:val="0097342E"/>
    <w:rsid w:val="009760A3"/>
    <w:rsid w:val="009803F4"/>
    <w:rsid w:val="009838BC"/>
    <w:rsid w:val="009873B0"/>
    <w:rsid w:val="00991281"/>
    <w:rsid w:val="0099498A"/>
    <w:rsid w:val="009A4F61"/>
    <w:rsid w:val="009B388E"/>
    <w:rsid w:val="009B4071"/>
    <w:rsid w:val="009C31E5"/>
    <w:rsid w:val="009D3B30"/>
    <w:rsid w:val="009D56AC"/>
    <w:rsid w:val="00A10CD4"/>
    <w:rsid w:val="00A41644"/>
    <w:rsid w:val="00A41CD3"/>
    <w:rsid w:val="00A43E90"/>
    <w:rsid w:val="00A45F4F"/>
    <w:rsid w:val="00A46A90"/>
    <w:rsid w:val="00A5429D"/>
    <w:rsid w:val="00A600A9"/>
    <w:rsid w:val="00A67AD9"/>
    <w:rsid w:val="00A710BB"/>
    <w:rsid w:val="00A830A0"/>
    <w:rsid w:val="00A866AC"/>
    <w:rsid w:val="00A931A6"/>
    <w:rsid w:val="00A9691A"/>
    <w:rsid w:val="00A97B40"/>
    <w:rsid w:val="00AA13C4"/>
    <w:rsid w:val="00AA1993"/>
    <w:rsid w:val="00AA3E71"/>
    <w:rsid w:val="00AA40EC"/>
    <w:rsid w:val="00AA55B7"/>
    <w:rsid w:val="00AA5B9E"/>
    <w:rsid w:val="00AA704B"/>
    <w:rsid w:val="00AB1AFC"/>
    <w:rsid w:val="00AB2407"/>
    <w:rsid w:val="00AB53DF"/>
    <w:rsid w:val="00AC11CA"/>
    <w:rsid w:val="00AC29D3"/>
    <w:rsid w:val="00AD16E0"/>
    <w:rsid w:val="00AE4EFE"/>
    <w:rsid w:val="00AE6D2D"/>
    <w:rsid w:val="00AE6E7B"/>
    <w:rsid w:val="00AF1A90"/>
    <w:rsid w:val="00AF462C"/>
    <w:rsid w:val="00B02314"/>
    <w:rsid w:val="00B05196"/>
    <w:rsid w:val="00B06DD6"/>
    <w:rsid w:val="00B07E5C"/>
    <w:rsid w:val="00B12426"/>
    <w:rsid w:val="00B16A7D"/>
    <w:rsid w:val="00B326E3"/>
    <w:rsid w:val="00B42A2B"/>
    <w:rsid w:val="00B529C0"/>
    <w:rsid w:val="00B72EF0"/>
    <w:rsid w:val="00B811F7"/>
    <w:rsid w:val="00BA3341"/>
    <w:rsid w:val="00BA5DC6"/>
    <w:rsid w:val="00BA6196"/>
    <w:rsid w:val="00BA74E0"/>
    <w:rsid w:val="00BB064A"/>
    <w:rsid w:val="00BB4086"/>
    <w:rsid w:val="00BC6A28"/>
    <w:rsid w:val="00BC6D8C"/>
    <w:rsid w:val="00BF1DF3"/>
    <w:rsid w:val="00BF4030"/>
    <w:rsid w:val="00C03169"/>
    <w:rsid w:val="00C1382E"/>
    <w:rsid w:val="00C16AF2"/>
    <w:rsid w:val="00C16DEB"/>
    <w:rsid w:val="00C2676A"/>
    <w:rsid w:val="00C301C7"/>
    <w:rsid w:val="00C34006"/>
    <w:rsid w:val="00C4199D"/>
    <w:rsid w:val="00C426B1"/>
    <w:rsid w:val="00C450FE"/>
    <w:rsid w:val="00C51A8B"/>
    <w:rsid w:val="00C60499"/>
    <w:rsid w:val="00C61D39"/>
    <w:rsid w:val="00C664D0"/>
    <w:rsid w:val="00C73C6C"/>
    <w:rsid w:val="00C77F9E"/>
    <w:rsid w:val="00C82B6B"/>
    <w:rsid w:val="00C90D6A"/>
    <w:rsid w:val="00C917D9"/>
    <w:rsid w:val="00C93CCF"/>
    <w:rsid w:val="00C96931"/>
    <w:rsid w:val="00CB378E"/>
    <w:rsid w:val="00CB61E6"/>
    <w:rsid w:val="00CB75C2"/>
    <w:rsid w:val="00CB7A33"/>
    <w:rsid w:val="00CC72B6"/>
    <w:rsid w:val="00CD05C2"/>
    <w:rsid w:val="00CE379F"/>
    <w:rsid w:val="00CF6421"/>
    <w:rsid w:val="00CF7121"/>
    <w:rsid w:val="00D00B6B"/>
    <w:rsid w:val="00D0218D"/>
    <w:rsid w:val="00D140D6"/>
    <w:rsid w:val="00D16071"/>
    <w:rsid w:val="00D216CD"/>
    <w:rsid w:val="00D266AD"/>
    <w:rsid w:val="00D27B0D"/>
    <w:rsid w:val="00D348CE"/>
    <w:rsid w:val="00D5018F"/>
    <w:rsid w:val="00D53C55"/>
    <w:rsid w:val="00D63329"/>
    <w:rsid w:val="00D7517E"/>
    <w:rsid w:val="00D764A7"/>
    <w:rsid w:val="00D76CFC"/>
    <w:rsid w:val="00D80FB3"/>
    <w:rsid w:val="00D91582"/>
    <w:rsid w:val="00D97269"/>
    <w:rsid w:val="00DA2529"/>
    <w:rsid w:val="00DA6633"/>
    <w:rsid w:val="00DB130A"/>
    <w:rsid w:val="00DB168E"/>
    <w:rsid w:val="00DC10A1"/>
    <w:rsid w:val="00DC655F"/>
    <w:rsid w:val="00DD2260"/>
    <w:rsid w:val="00DD3518"/>
    <w:rsid w:val="00DD470A"/>
    <w:rsid w:val="00DD79E8"/>
    <w:rsid w:val="00DD7EBD"/>
    <w:rsid w:val="00DE72D3"/>
    <w:rsid w:val="00DF3C56"/>
    <w:rsid w:val="00DF62B6"/>
    <w:rsid w:val="00E02F23"/>
    <w:rsid w:val="00E06E31"/>
    <w:rsid w:val="00E07225"/>
    <w:rsid w:val="00E10904"/>
    <w:rsid w:val="00E117C2"/>
    <w:rsid w:val="00E155B7"/>
    <w:rsid w:val="00E20ED0"/>
    <w:rsid w:val="00E27609"/>
    <w:rsid w:val="00E41602"/>
    <w:rsid w:val="00E41C1B"/>
    <w:rsid w:val="00E511B0"/>
    <w:rsid w:val="00E514C3"/>
    <w:rsid w:val="00E53F20"/>
    <w:rsid w:val="00E5409F"/>
    <w:rsid w:val="00E6046E"/>
    <w:rsid w:val="00E61A82"/>
    <w:rsid w:val="00E7227C"/>
    <w:rsid w:val="00E7266E"/>
    <w:rsid w:val="00E86537"/>
    <w:rsid w:val="00EA0BF4"/>
    <w:rsid w:val="00EA5967"/>
    <w:rsid w:val="00EB0E64"/>
    <w:rsid w:val="00EC0185"/>
    <w:rsid w:val="00EC7287"/>
    <w:rsid w:val="00ED5604"/>
    <w:rsid w:val="00EE0186"/>
    <w:rsid w:val="00F00438"/>
    <w:rsid w:val="00F01420"/>
    <w:rsid w:val="00F021FA"/>
    <w:rsid w:val="00F118C9"/>
    <w:rsid w:val="00F3196B"/>
    <w:rsid w:val="00F44CEC"/>
    <w:rsid w:val="00F57ACA"/>
    <w:rsid w:val="00F61346"/>
    <w:rsid w:val="00F62E97"/>
    <w:rsid w:val="00F64209"/>
    <w:rsid w:val="00F66B55"/>
    <w:rsid w:val="00F773E4"/>
    <w:rsid w:val="00F8252B"/>
    <w:rsid w:val="00F86001"/>
    <w:rsid w:val="00F9317F"/>
    <w:rsid w:val="00F9336A"/>
    <w:rsid w:val="00F93BF5"/>
    <w:rsid w:val="00F96F63"/>
    <w:rsid w:val="00FA19DA"/>
    <w:rsid w:val="00FA267A"/>
    <w:rsid w:val="00FA7F2C"/>
    <w:rsid w:val="00FB2FB4"/>
    <w:rsid w:val="00FC00F2"/>
    <w:rsid w:val="00FD0C8C"/>
    <w:rsid w:val="00FE26E8"/>
    <w:rsid w:val="00FF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C4"/>
    <w:pPr>
      <w:widowControl w:val="0"/>
    </w:pPr>
    <w:rPr>
      <w:snapToGrid w:val="0"/>
      <w:kern w:val="28"/>
      <w:sz w:val="22"/>
    </w:rPr>
  </w:style>
  <w:style w:type="paragraph" w:styleId="Heading1">
    <w:name w:val="heading 1"/>
    <w:aliases w:val="Heading 1 Char,Heading 1 Char Char Char,Heading 1 Char Char Char Char Char Char,Heading 1 Char Char1,Heading 1 Char Char1 Char,Heading 1 Char1 Char,Heading 1 Char1 Char Char Char2 Char,Heading 1 Char2,Heading 1 Char2 Char Char1 Char"/>
    <w:basedOn w:val="Normal"/>
    <w:next w:val="ParaNum"/>
    <w:qFormat/>
    <w:rsid w:val="00AA13C4"/>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 Char1,Heading 2 Char Char1 Char Char,Heading 2 Char Char2,Heading 2 Char Char3 Char,Heading 2 Char1 Char,Heading 2 Char1 Char Char,Heading 2 Char1 Char Char Char,Heading 2 Char2,UNDERRUBRIK 1-2 Char,h2 Char"/>
    <w:basedOn w:val="Normal"/>
    <w:next w:val="ParaNum"/>
    <w:autoRedefine/>
    <w:qFormat/>
    <w:rsid w:val="00AA13C4"/>
    <w:pPr>
      <w:keepNext/>
      <w:numPr>
        <w:ilvl w:val="1"/>
        <w:numId w:val="3"/>
      </w:numPr>
      <w:spacing w:after="120"/>
      <w:outlineLvl w:val="1"/>
    </w:pPr>
    <w:rPr>
      <w:b/>
    </w:rPr>
  </w:style>
  <w:style w:type="paragraph" w:styleId="Heading3">
    <w:name w:val="heading 3"/>
    <w:aliases w:val="1,1 Char,3,3 Char,31,31 Char,?? 3,?? 3 Char,Heading 3 Char,Heading 3 Char Char Char Char,Heading 3 Char Char Char Char Char,Heading 3 Char1,Heading 3 Char1 Char Char,Heading 3 Char2 Char1 Char Char,Titre 3,Titre 3 Char,Titre 31,Titre 31 Char"/>
    <w:basedOn w:val="Normal"/>
    <w:next w:val="ParaNum"/>
    <w:qFormat/>
    <w:rsid w:val="00AA13C4"/>
    <w:pPr>
      <w:keepNext/>
      <w:numPr>
        <w:ilvl w:val="2"/>
        <w:numId w:val="3"/>
      </w:numPr>
      <w:tabs>
        <w:tab w:val="left" w:pos="2160"/>
      </w:tabs>
      <w:spacing w:after="120"/>
      <w:outlineLvl w:val="2"/>
    </w:pPr>
    <w:rPr>
      <w:b/>
    </w:rPr>
  </w:style>
  <w:style w:type="paragraph" w:styleId="Heading4">
    <w:name w:val="heading 4"/>
    <w:aliases w:val="Heading 4 Char,Heading 4 Char Char Char Char Char Char1,Heading 4 Char Char Char1 Char Char1,Heading 4 Char Char1 Char Char1,Heading 4 Char1 Char,Heading 4 Char1 Char Char Char Char1,Heading 4 Char1 Char1 Char Char1,Heading 4 Char2 Char Char1"/>
    <w:basedOn w:val="Normal"/>
    <w:next w:val="ParaNum"/>
    <w:qFormat/>
    <w:rsid w:val="00AA13C4"/>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rsid w:val="00AA13C4"/>
    <w:pPr>
      <w:keepNext/>
      <w:numPr>
        <w:ilvl w:val="4"/>
        <w:numId w:val="3"/>
      </w:numPr>
      <w:tabs>
        <w:tab w:val="left" w:pos="3600"/>
      </w:tabs>
      <w:suppressAutoHyphens/>
      <w:spacing w:after="120"/>
      <w:outlineLvl w:val="4"/>
    </w:pPr>
    <w:rPr>
      <w:b/>
    </w:rPr>
  </w:style>
  <w:style w:type="paragraph" w:styleId="Heading6">
    <w:name w:val="heading 6"/>
    <w:aliases w:val="Heading 6 Char,Heading 6 Char Char,Heading 6 Char Char Char,Heading 6 Char Char1,Heading 6 Char1,Heading 6 Char1 Char,Heading 6 Char2,h6"/>
    <w:basedOn w:val="Normal"/>
    <w:next w:val="ParaNum"/>
    <w:qFormat/>
    <w:rsid w:val="00AA13C4"/>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AA13C4"/>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AA13C4"/>
    <w:pPr>
      <w:numPr>
        <w:ilvl w:val="7"/>
        <w:numId w:val="3"/>
      </w:numPr>
      <w:tabs>
        <w:tab w:val="clear" w:pos="5400"/>
        <w:tab w:val="left" w:pos="5760"/>
      </w:tabs>
      <w:spacing w:after="120"/>
      <w:ind w:left="5760" w:hanging="720"/>
      <w:outlineLvl w:val="7"/>
    </w:pPr>
    <w:rPr>
      <w:b/>
    </w:rPr>
  </w:style>
  <w:style w:type="paragraph" w:styleId="Heading9">
    <w:name w:val="heading 9"/>
    <w:aliases w:val="9,Heading 9 Char,Heading 9.table,Titre 9,Topic,t,table"/>
    <w:basedOn w:val="Normal"/>
    <w:next w:val="ParaNum"/>
    <w:qFormat/>
    <w:rsid w:val="00AA13C4"/>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AA13C4"/>
    <w:pPr>
      <w:numPr>
        <w:numId w:val="2"/>
      </w:numPr>
      <w:tabs>
        <w:tab w:val="clear" w:pos="1080"/>
        <w:tab w:val="num" w:pos="1440"/>
      </w:tabs>
      <w:spacing w:after="120"/>
    </w:pPr>
  </w:style>
  <w:style w:type="paragraph" w:styleId="EndnoteText">
    <w:name w:val="endnote text"/>
    <w:basedOn w:val="Normal"/>
    <w:semiHidden/>
    <w:rsid w:val="00AA13C4"/>
    <w:rPr>
      <w:sz w:val="20"/>
    </w:rPr>
  </w:style>
  <w:style w:type="character" w:styleId="EndnoteReference">
    <w:name w:val="endnote reference"/>
    <w:semiHidden/>
    <w:rsid w:val="00AA13C4"/>
    <w:rPr>
      <w:vertAlign w:val="superscript"/>
    </w:rPr>
  </w:style>
  <w:style w:type="paragraph" w:styleId="FootnoteText">
    <w:name w:val="footnote text"/>
    <w:aliases w:val="ALTS FOOTNOTE,ALTS FOOTNOTE Char,Footnote Text Char Char,Footnote Text Char1,Footnote Text Char1 Char Char,Footnote Text Char1 Char Char Char,Footnote Text Char1 Char1,Footnote Text Char2,Footnote Text Char2 Char Char,f,fn,fn Ch,fn Char1"/>
    <w:link w:val="FootnoteTextChar"/>
    <w:rsid w:val="00AA13C4"/>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AA13C4"/>
    <w:rPr>
      <w:rFonts w:ascii="Times New Roman" w:hAnsi="Times New Roman"/>
      <w:dstrike w:val="0"/>
      <w:color w:val="auto"/>
      <w:sz w:val="22"/>
      <w:vertAlign w:val="superscript"/>
    </w:rPr>
  </w:style>
  <w:style w:type="paragraph" w:styleId="TOC1">
    <w:name w:val="toc 1"/>
    <w:basedOn w:val="Normal"/>
    <w:next w:val="Normal"/>
    <w:uiPriority w:val="39"/>
    <w:rsid w:val="00AA13C4"/>
    <w:pPr>
      <w:tabs>
        <w:tab w:val="left" w:pos="360"/>
        <w:tab w:val="right" w:leader="dot" w:pos="9360"/>
      </w:tabs>
      <w:suppressAutoHyphens/>
      <w:ind w:left="360" w:right="720" w:hanging="360"/>
    </w:pPr>
    <w:rPr>
      <w:caps/>
      <w:noProof/>
    </w:rPr>
  </w:style>
  <w:style w:type="paragraph" w:styleId="TOC2">
    <w:name w:val="toc 2"/>
    <w:basedOn w:val="Normal"/>
    <w:next w:val="Normal"/>
    <w:rsid w:val="00AA13C4"/>
    <w:pPr>
      <w:tabs>
        <w:tab w:val="left" w:pos="720"/>
        <w:tab w:val="right" w:leader="dot" w:pos="9360"/>
      </w:tabs>
      <w:suppressAutoHyphens/>
      <w:ind w:left="720" w:right="720" w:hanging="360"/>
    </w:pPr>
    <w:rPr>
      <w:noProof/>
    </w:rPr>
  </w:style>
  <w:style w:type="paragraph" w:styleId="TOC3">
    <w:name w:val="toc 3"/>
    <w:basedOn w:val="Normal"/>
    <w:next w:val="Normal"/>
    <w:rsid w:val="00AA13C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A13C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A13C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A13C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A13C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A13C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A13C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A13C4"/>
    <w:pPr>
      <w:tabs>
        <w:tab w:val="right" w:pos="9360"/>
      </w:tabs>
      <w:suppressAutoHyphens/>
    </w:pPr>
  </w:style>
  <w:style w:type="character" w:customStyle="1" w:styleId="EquationCaption">
    <w:name w:val="_Equation Caption"/>
    <w:rsid w:val="00AA13C4"/>
  </w:style>
  <w:style w:type="paragraph" w:styleId="Header">
    <w:name w:val="header"/>
    <w:basedOn w:val="Normal"/>
    <w:autoRedefine/>
    <w:rsid w:val="00AA13C4"/>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rsid w:val="00AA13C4"/>
    <w:pPr>
      <w:tabs>
        <w:tab w:val="center" w:pos="4320"/>
        <w:tab w:val="right" w:pos="8640"/>
      </w:tabs>
    </w:pPr>
  </w:style>
  <w:style w:type="character" w:styleId="PageNumber">
    <w:name w:val="page number"/>
    <w:basedOn w:val="DefaultParagraphFont"/>
    <w:rsid w:val="00AA13C4"/>
  </w:style>
  <w:style w:type="paragraph" w:styleId="BlockText">
    <w:name w:val="Block Text"/>
    <w:basedOn w:val="Normal"/>
    <w:rsid w:val="00AA13C4"/>
    <w:pPr>
      <w:spacing w:after="240"/>
      <w:ind w:left="1440" w:right="1440"/>
    </w:pPr>
  </w:style>
  <w:style w:type="paragraph" w:customStyle="1" w:styleId="Paratitle">
    <w:name w:val="Para title"/>
    <w:basedOn w:val="Normal"/>
    <w:rsid w:val="00AA13C4"/>
    <w:pPr>
      <w:tabs>
        <w:tab w:val="center" w:pos="9270"/>
      </w:tabs>
      <w:spacing w:after="240"/>
    </w:pPr>
    <w:rPr>
      <w:spacing w:val="-2"/>
    </w:rPr>
  </w:style>
  <w:style w:type="paragraph" w:customStyle="1" w:styleId="Bullet">
    <w:name w:val="Bullet"/>
    <w:basedOn w:val="Normal"/>
    <w:rsid w:val="00AA13C4"/>
    <w:pPr>
      <w:numPr>
        <w:numId w:val="1"/>
      </w:numPr>
      <w:tabs>
        <w:tab w:val="clear" w:pos="360"/>
        <w:tab w:val="left" w:pos="2160"/>
      </w:tabs>
      <w:spacing w:after="220"/>
      <w:ind w:left="2160" w:hanging="720"/>
    </w:pPr>
  </w:style>
  <w:style w:type="paragraph" w:customStyle="1" w:styleId="TableFormat">
    <w:name w:val="TableFormat"/>
    <w:basedOn w:val="Bullet"/>
    <w:rsid w:val="00AA13C4"/>
    <w:pPr>
      <w:numPr>
        <w:numId w:val="0"/>
      </w:numPr>
      <w:tabs>
        <w:tab w:val="clear" w:pos="2160"/>
        <w:tab w:val="left" w:pos="5040"/>
      </w:tabs>
      <w:ind w:left="5040" w:hanging="3600"/>
    </w:pPr>
  </w:style>
  <w:style w:type="paragraph" w:customStyle="1" w:styleId="TOCTitle">
    <w:name w:val="TOC Title"/>
    <w:basedOn w:val="Normal"/>
    <w:rsid w:val="00AA13C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A13C4"/>
    <w:pPr>
      <w:jc w:val="center"/>
    </w:pPr>
    <w:rPr>
      <w:rFonts w:ascii="Times New Roman Bold" w:hAnsi="Times New Roman Bold"/>
      <w:b/>
      <w:bCs/>
      <w:caps/>
      <w:szCs w:val="22"/>
    </w:rPr>
  </w:style>
  <w:style w:type="character" w:styleId="Hyperlink">
    <w:name w:val="Hyperlink"/>
    <w:rsid w:val="00AA13C4"/>
    <w:rPr>
      <w:color w:val="0000FF"/>
      <w:u w:val="single"/>
    </w:rPr>
  </w:style>
  <w:style w:type="character" w:customStyle="1" w:styleId="FooterChar">
    <w:name w:val="Footer Char"/>
    <w:link w:val="Footer"/>
    <w:uiPriority w:val="99"/>
    <w:rsid w:val="00AA13C4"/>
    <w:rPr>
      <w:snapToGrid w:val="0"/>
      <w:kern w:val="28"/>
      <w:sz w:val="22"/>
    </w:rPr>
  </w:style>
  <w:style w:type="character" w:customStyle="1" w:styleId="UnresolvedMention1">
    <w:name w:val="Unresolved Mention1"/>
    <w:uiPriority w:val="99"/>
    <w:semiHidden/>
    <w:unhideWhenUsed/>
    <w:rsid w:val="00B42A2B"/>
    <w:rPr>
      <w:color w:val="605E5C"/>
      <w:shd w:val="clear" w:color="auto" w:fill="E1DFDD"/>
    </w:rPr>
  </w:style>
  <w:style w:type="character" w:customStyle="1" w:styleId="ParaNumChar">
    <w:name w:val="ParaNum Char"/>
    <w:link w:val="ParaNum"/>
    <w:rsid w:val="00B42A2B"/>
    <w:rPr>
      <w:snapToGrid w:val="0"/>
      <w:kern w:val="28"/>
      <w:sz w:val="22"/>
    </w:rPr>
  </w:style>
  <w:style w:type="character" w:customStyle="1" w:styleId="FootnoteTextChar">
    <w:name w:val="Footnote Text Char"/>
    <w:aliases w:val="ALTS FOOTNOTE Char1,ALTS FOOTNOTE Char Char,Footnote Text Char Char Char,Footnote Text Char1 Char,Footnote Text Char1 Char Char Char1,Footnote Text Char1 Char Char Char Char,Footnote Text Char1 Char1 Char,Footnote Text Char2 Char"/>
    <w:link w:val="FootnoteText"/>
    <w:rsid w:val="00B42A2B"/>
  </w:style>
  <w:style w:type="character" w:styleId="Emphasis">
    <w:name w:val="Emphasis"/>
    <w:uiPriority w:val="20"/>
    <w:qFormat/>
    <w:rsid w:val="00B42A2B"/>
    <w:rPr>
      <w:i/>
      <w:iCs/>
    </w:rPr>
  </w:style>
  <w:style w:type="character" w:styleId="CommentReference">
    <w:name w:val="annotation reference"/>
    <w:uiPriority w:val="99"/>
    <w:rsid w:val="00B42A2B"/>
    <w:rPr>
      <w:sz w:val="16"/>
      <w:szCs w:val="16"/>
    </w:rPr>
  </w:style>
  <w:style w:type="character" w:customStyle="1" w:styleId="footnote">
    <w:name w:val="footnote"/>
    <w:rsid w:val="00B42A2B"/>
  </w:style>
  <w:style w:type="paragraph" w:customStyle="1" w:styleId="BulletCharChar">
    <w:name w:val="Bullet Char Char"/>
    <w:basedOn w:val="Normal"/>
    <w:link w:val="BulletCharCharChar"/>
    <w:rsid w:val="00B42A2B"/>
    <w:pPr>
      <w:tabs>
        <w:tab w:val="left" w:pos="2160"/>
      </w:tabs>
      <w:spacing w:after="220" w:line="276" w:lineRule="auto"/>
      <w:ind w:left="2160" w:hanging="720"/>
    </w:pPr>
  </w:style>
  <w:style w:type="character" w:customStyle="1" w:styleId="BulletCharCharChar">
    <w:name w:val="Bullet Char Char Char"/>
    <w:link w:val="BulletCharChar"/>
    <w:rsid w:val="00B42A2B"/>
    <w:rPr>
      <w:snapToGrid w:val="0"/>
      <w:kern w:val="28"/>
      <w:sz w:val="22"/>
    </w:rPr>
  </w:style>
  <w:style w:type="paragraph" w:styleId="BalloonText">
    <w:name w:val="Balloon Text"/>
    <w:basedOn w:val="Normal"/>
    <w:link w:val="BalloonTextChar"/>
    <w:uiPriority w:val="99"/>
    <w:semiHidden/>
    <w:unhideWhenUsed/>
    <w:rsid w:val="00B42A2B"/>
    <w:rPr>
      <w:rFonts w:ascii="Segoe UI" w:hAnsi="Segoe UI" w:cs="Segoe UI"/>
      <w:sz w:val="18"/>
      <w:szCs w:val="18"/>
    </w:rPr>
  </w:style>
  <w:style w:type="character" w:customStyle="1" w:styleId="BalloonTextChar">
    <w:name w:val="Balloon Text Char"/>
    <w:link w:val="BalloonText"/>
    <w:uiPriority w:val="99"/>
    <w:semiHidden/>
    <w:rsid w:val="00B42A2B"/>
    <w:rPr>
      <w:rFonts w:ascii="Segoe UI" w:hAnsi="Segoe UI" w:cs="Segoe UI"/>
      <w:snapToGrid w:val="0"/>
      <w:kern w:val="28"/>
      <w:sz w:val="18"/>
      <w:szCs w:val="18"/>
    </w:rPr>
  </w:style>
  <w:style w:type="paragraph" w:styleId="CommentText">
    <w:name w:val="annotation text"/>
    <w:basedOn w:val="Normal"/>
    <w:link w:val="CommentTextChar"/>
    <w:uiPriority w:val="99"/>
    <w:unhideWhenUsed/>
    <w:rsid w:val="00B42A2B"/>
    <w:rPr>
      <w:sz w:val="20"/>
    </w:rPr>
  </w:style>
  <w:style w:type="character" w:customStyle="1" w:styleId="CommentTextChar">
    <w:name w:val="Comment Text Char"/>
    <w:link w:val="CommentText"/>
    <w:uiPriority w:val="99"/>
    <w:rsid w:val="00B42A2B"/>
    <w:rPr>
      <w:snapToGrid w:val="0"/>
      <w:kern w:val="28"/>
    </w:rPr>
  </w:style>
  <w:style w:type="paragraph" w:styleId="CommentSubject">
    <w:name w:val="annotation subject"/>
    <w:basedOn w:val="CommentText"/>
    <w:next w:val="CommentText"/>
    <w:link w:val="CommentSubjectChar"/>
    <w:uiPriority w:val="99"/>
    <w:semiHidden/>
    <w:unhideWhenUsed/>
    <w:rsid w:val="00B42A2B"/>
    <w:rPr>
      <w:b/>
      <w:bCs/>
    </w:rPr>
  </w:style>
  <w:style w:type="character" w:customStyle="1" w:styleId="CommentSubjectChar">
    <w:name w:val="Comment Subject Char"/>
    <w:link w:val="CommentSubject"/>
    <w:uiPriority w:val="99"/>
    <w:semiHidden/>
    <w:rsid w:val="00B42A2B"/>
    <w:rPr>
      <w:b/>
      <w:bCs/>
      <w:snapToGrid w:val="0"/>
      <w:kern w:val="28"/>
    </w:rPr>
  </w:style>
  <w:style w:type="character" w:styleId="FollowedHyperlink">
    <w:name w:val="FollowedHyperlink"/>
    <w:uiPriority w:val="99"/>
    <w:semiHidden/>
    <w:unhideWhenUsed/>
    <w:rsid w:val="00B42A2B"/>
    <w:rPr>
      <w:color w:val="954F72"/>
      <w:u w:val="single"/>
    </w:rPr>
  </w:style>
  <w:style w:type="paragraph" w:styleId="Revision">
    <w:name w:val="Revision"/>
    <w:hidden/>
    <w:uiPriority w:val="99"/>
    <w:semiHidden/>
    <w:rsid w:val="00B42A2B"/>
    <w:rPr>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C4"/>
    <w:pPr>
      <w:widowControl w:val="0"/>
    </w:pPr>
    <w:rPr>
      <w:snapToGrid w:val="0"/>
      <w:kern w:val="28"/>
      <w:sz w:val="22"/>
    </w:rPr>
  </w:style>
  <w:style w:type="paragraph" w:styleId="Heading1">
    <w:name w:val="heading 1"/>
    <w:aliases w:val="Heading 1 Char,Heading 1 Char Char Char,Heading 1 Char Char Char Char Char Char,Heading 1 Char Char1,Heading 1 Char Char1 Char,Heading 1 Char1 Char,Heading 1 Char1 Char Char Char2 Char,Heading 1 Char2,Heading 1 Char2 Char Char1 Char"/>
    <w:basedOn w:val="Normal"/>
    <w:next w:val="ParaNum"/>
    <w:qFormat/>
    <w:rsid w:val="00AA13C4"/>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 Char1,Heading 2 Char Char1 Char Char,Heading 2 Char Char2,Heading 2 Char Char3 Char,Heading 2 Char1 Char,Heading 2 Char1 Char Char,Heading 2 Char1 Char Char Char,Heading 2 Char2,UNDERRUBRIK 1-2 Char,h2 Char"/>
    <w:basedOn w:val="Normal"/>
    <w:next w:val="ParaNum"/>
    <w:autoRedefine/>
    <w:qFormat/>
    <w:rsid w:val="00AA13C4"/>
    <w:pPr>
      <w:keepNext/>
      <w:numPr>
        <w:ilvl w:val="1"/>
        <w:numId w:val="3"/>
      </w:numPr>
      <w:spacing w:after="120"/>
      <w:outlineLvl w:val="1"/>
    </w:pPr>
    <w:rPr>
      <w:b/>
    </w:rPr>
  </w:style>
  <w:style w:type="paragraph" w:styleId="Heading3">
    <w:name w:val="heading 3"/>
    <w:aliases w:val="1,1 Char,3,3 Char,31,31 Char,?? 3,?? 3 Char,Heading 3 Char,Heading 3 Char Char Char Char,Heading 3 Char Char Char Char Char,Heading 3 Char1,Heading 3 Char1 Char Char,Heading 3 Char2 Char1 Char Char,Titre 3,Titre 3 Char,Titre 31,Titre 31 Char"/>
    <w:basedOn w:val="Normal"/>
    <w:next w:val="ParaNum"/>
    <w:qFormat/>
    <w:rsid w:val="00AA13C4"/>
    <w:pPr>
      <w:keepNext/>
      <w:numPr>
        <w:ilvl w:val="2"/>
        <w:numId w:val="3"/>
      </w:numPr>
      <w:tabs>
        <w:tab w:val="left" w:pos="2160"/>
      </w:tabs>
      <w:spacing w:after="120"/>
      <w:outlineLvl w:val="2"/>
    </w:pPr>
    <w:rPr>
      <w:b/>
    </w:rPr>
  </w:style>
  <w:style w:type="paragraph" w:styleId="Heading4">
    <w:name w:val="heading 4"/>
    <w:aliases w:val="Heading 4 Char,Heading 4 Char Char Char Char Char Char1,Heading 4 Char Char Char1 Char Char1,Heading 4 Char Char1 Char Char1,Heading 4 Char1 Char,Heading 4 Char1 Char Char Char Char1,Heading 4 Char1 Char1 Char Char1,Heading 4 Char2 Char Char1"/>
    <w:basedOn w:val="Normal"/>
    <w:next w:val="ParaNum"/>
    <w:qFormat/>
    <w:rsid w:val="00AA13C4"/>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rsid w:val="00AA13C4"/>
    <w:pPr>
      <w:keepNext/>
      <w:numPr>
        <w:ilvl w:val="4"/>
        <w:numId w:val="3"/>
      </w:numPr>
      <w:tabs>
        <w:tab w:val="left" w:pos="3600"/>
      </w:tabs>
      <w:suppressAutoHyphens/>
      <w:spacing w:after="120"/>
      <w:outlineLvl w:val="4"/>
    </w:pPr>
    <w:rPr>
      <w:b/>
    </w:rPr>
  </w:style>
  <w:style w:type="paragraph" w:styleId="Heading6">
    <w:name w:val="heading 6"/>
    <w:aliases w:val="Heading 6 Char,Heading 6 Char Char,Heading 6 Char Char Char,Heading 6 Char Char1,Heading 6 Char1,Heading 6 Char1 Char,Heading 6 Char2,h6"/>
    <w:basedOn w:val="Normal"/>
    <w:next w:val="ParaNum"/>
    <w:qFormat/>
    <w:rsid w:val="00AA13C4"/>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AA13C4"/>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AA13C4"/>
    <w:pPr>
      <w:numPr>
        <w:ilvl w:val="7"/>
        <w:numId w:val="3"/>
      </w:numPr>
      <w:tabs>
        <w:tab w:val="clear" w:pos="5400"/>
        <w:tab w:val="left" w:pos="5760"/>
      </w:tabs>
      <w:spacing w:after="120"/>
      <w:ind w:left="5760" w:hanging="720"/>
      <w:outlineLvl w:val="7"/>
    </w:pPr>
    <w:rPr>
      <w:b/>
    </w:rPr>
  </w:style>
  <w:style w:type="paragraph" w:styleId="Heading9">
    <w:name w:val="heading 9"/>
    <w:aliases w:val="9,Heading 9 Char,Heading 9.table,Titre 9,Topic,t,table"/>
    <w:basedOn w:val="Normal"/>
    <w:next w:val="ParaNum"/>
    <w:qFormat/>
    <w:rsid w:val="00AA13C4"/>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AA13C4"/>
    <w:pPr>
      <w:numPr>
        <w:numId w:val="2"/>
      </w:numPr>
      <w:tabs>
        <w:tab w:val="clear" w:pos="1080"/>
        <w:tab w:val="num" w:pos="1440"/>
      </w:tabs>
      <w:spacing w:after="120"/>
    </w:pPr>
  </w:style>
  <w:style w:type="paragraph" w:styleId="EndnoteText">
    <w:name w:val="endnote text"/>
    <w:basedOn w:val="Normal"/>
    <w:semiHidden/>
    <w:rsid w:val="00AA13C4"/>
    <w:rPr>
      <w:sz w:val="20"/>
    </w:rPr>
  </w:style>
  <w:style w:type="character" w:styleId="EndnoteReference">
    <w:name w:val="endnote reference"/>
    <w:semiHidden/>
    <w:rsid w:val="00AA13C4"/>
    <w:rPr>
      <w:vertAlign w:val="superscript"/>
    </w:rPr>
  </w:style>
  <w:style w:type="paragraph" w:styleId="FootnoteText">
    <w:name w:val="footnote text"/>
    <w:aliases w:val="ALTS FOOTNOTE,ALTS FOOTNOTE Char,Footnote Text Char Char,Footnote Text Char1,Footnote Text Char1 Char Char,Footnote Text Char1 Char Char Char,Footnote Text Char1 Char1,Footnote Text Char2,Footnote Text Char2 Char Char,f,fn,fn Ch,fn Char1"/>
    <w:link w:val="FootnoteTextChar"/>
    <w:rsid w:val="00AA13C4"/>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AA13C4"/>
    <w:rPr>
      <w:rFonts w:ascii="Times New Roman" w:hAnsi="Times New Roman"/>
      <w:dstrike w:val="0"/>
      <w:color w:val="auto"/>
      <w:sz w:val="22"/>
      <w:vertAlign w:val="superscript"/>
    </w:rPr>
  </w:style>
  <w:style w:type="paragraph" w:styleId="TOC1">
    <w:name w:val="toc 1"/>
    <w:basedOn w:val="Normal"/>
    <w:next w:val="Normal"/>
    <w:uiPriority w:val="39"/>
    <w:rsid w:val="00AA13C4"/>
    <w:pPr>
      <w:tabs>
        <w:tab w:val="left" w:pos="360"/>
        <w:tab w:val="right" w:leader="dot" w:pos="9360"/>
      </w:tabs>
      <w:suppressAutoHyphens/>
      <w:ind w:left="360" w:right="720" w:hanging="360"/>
    </w:pPr>
    <w:rPr>
      <w:caps/>
      <w:noProof/>
    </w:rPr>
  </w:style>
  <w:style w:type="paragraph" w:styleId="TOC2">
    <w:name w:val="toc 2"/>
    <w:basedOn w:val="Normal"/>
    <w:next w:val="Normal"/>
    <w:rsid w:val="00AA13C4"/>
    <w:pPr>
      <w:tabs>
        <w:tab w:val="left" w:pos="720"/>
        <w:tab w:val="right" w:leader="dot" w:pos="9360"/>
      </w:tabs>
      <w:suppressAutoHyphens/>
      <w:ind w:left="720" w:right="720" w:hanging="360"/>
    </w:pPr>
    <w:rPr>
      <w:noProof/>
    </w:rPr>
  </w:style>
  <w:style w:type="paragraph" w:styleId="TOC3">
    <w:name w:val="toc 3"/>
    <w:basedOn w:val="Normal"/>
    <w:next w:val="Normal"/>
    <w:rsid w:val="00AA13C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A13C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A13C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A13C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A13C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A13C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A13C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A13C4"/>
    <w:pPr>
      <w:tabs>
        <w:tab w:val="right" w:pos="9360"/>
      </w:tabs>
      <w:suppressAutoHyphens/>
    </w:pPr>
  </w:style>
  <w:style w:type="character" w:customStyle="1" w:styleId="EquationCaption">
    <w:name w:val="_Equation Caption"/>
    <w:rsid w:val="00AA13C4"/>
  </w:style>
  <w:style w:type="paragraph" w:styleId="Header">
    <w:name w:val="header"/>
    <w:basedOn w:val="Normal"/>
    <w:autoRedefine/>
    <w:rsid w:val="00AA13C4"/>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rsid w:val="00AA13C4"/>
    <w:pPr>
      <w:tabs>
        <w:tab w:val="center" w:pos="4320"/>
        <w:tab w:val="right" w:pos="8640"/>
      </w:tabs>
    </w:pPr>
  </w:style>
  <w:style w:type="character" w:styleId="PageNumber">
    <w:name w:val="page number"/>
    <w:basedOn w:val="DefaultParagraphFont"/>
    <w:rsid w:val="00AA13C4"/>
  </w:style>
  <w:style w:type="paragraph" w:styleId="BlockText">
    <w:name w:val="Block Text"/>
    <w:basedOn w:val="Normal"/>
    <w:rsid w:val="00AA13C4"/>
    <w:pPr>
      <w:spacing w:after="240"/>
      <w:ind w:left="1440" w:right="1440"/>
    </w:pPr>
  </w:style>
  <w:style w:type="paragraph" w:customStyle="1" w:styleId="Paratitle">
    <w:name w:val="Para title"/>
    <w:basedOn w:val="Normal"/>
    <w:rsid w:val="00AA13C4"/>
    <w:pPr>
      <w:tabs>
        <w:tab w:val="center" w:pos="9270"/>
      </w:tabs>
      <w:spacing w:after="240"/>
    </w:pPr>
    <w:rPr>
      <w:spacing w:val="-2"/>
    </w:rPr>
  </w:style>
  <w:style w:type="paragraph" w:customStyle="1" w:styleId="Bullet">
    <w:name w:val="Bullet"/>
    <w:basedOn w:val="Normal"/>
    <w:rsid w:val="00AA13C4"/>
    <w:pPr>
      <w:numPr>
        <w:numId w:val="1"/>
      </w:numPr>
      <w:tabs>
        <w:tab w:val="clear" w:pos="360"/>
        <w:tab w:val="left" w:pos="2160"/>
      </w:tabs>
      <w:spacing w:after="220"/>
      <w:ind w:left="2160" w:hanging="720"/>
    </w:pPr>
  </w:style>
  <w:style w:type="paragraph" w:customStyle="1" w:styleId="TableFormat">
    <w:name w:val="TableFormat"/>
    <w:basedOn w:val="Bullet"/>
    <w:rsid w:val="00AA13C4"/>
    <w:pPr>
      <w:numPr>
        <w:numId w:val="0"/>
      </w:numPr>
      <w:tabs>
        <w:tab w:val="clear" w:pos="2160"/>
        <w:tab w:val="left" w:pos="5040"/>
      </w:tabs>
      <w:ind w:left="5040" w:hanging="3600"/>
    </w:pPr>
  </w:style>
  <w:style w:type="paragraph" w:customStyle="1" w:styleId="TOCTitle">
    <w:name w:val="TOC Title"/>
    <w:basedOn w:val="Normal"/>
    <w:rsid w:val="00AA13C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A13C4"/>
    <w:pPr>
      <w:jc w:val="center"/>
    </w:pPr>
    <w:rPr>
      <w:rFonts w:ascii="Times New Roman Bold" w:hAnsi="Times New Roman Bold"/>
      <w:b/>
      <w:bCs/>
      <w:caps/>
      <w:szCs w:val="22"/>
    </w:rPr>
  </w:style>
  <w:style w:type="character" w:styleId="Hyperlink">
    <w:name w:val="Hyperlink"/>
    <w:rsid w:val="00AA13C4"/>
    <w:rPr>
      <w:color w:val="0000FF"/>
      <w:u w:val="single"/>
    </w:rPr>
  </w:style>
  <w:style w:type="character" w:customStyle="1" w:styleId="FooterChar">
    <w:name w:val="Footer Char"/>
    <w:link w:val="Footer"/>
    <w:uiPriority w:val="99"/>
    <w:rsid w:val="00AA13C4"/>
    <w:rPr>
      <w:snapToGrid w:val="0"/>
      <w:kern w:val="28"/>
      <w:sz w:val="22"/>
    </w:rPr>
  </w:style>
  <w:style w:type="character" w:customStyle="1" w:styleId="UnresolvedMention1">
    <w:name w:val="Unresolved Mention1"/>
    <w:uiPriority w:val="99"/>
    <w:semiHidden/>
    <w:unhideWhenUsed/>
    <w:rsid w:val="00B42A2B"/>
    <w:rPr>
      <w:color w:val="605E5C"/>
      <w:shd w:val="clear" w:color="auto" w:fill="E1DFDD"/>
    </w:rPr>
  </w:style>
  <w:style w:type="character" w:customStyle="1" w:styleId="ParaNumChar">
    <w:name w:val="ParaNum Char"/>
    <w:link w:val="ParaNum"/>
    <w:rsid w:val="00B42A2B"/>
    <w:rPr>
      <w:snapToGrid w:val="0"/>
      <w:kern w:val="28"/>
      <w:sz w:val="22"/>
    </w:rPr>
  </w:style>
  <w:style w:type="character" w:customStyle="1" w:styleId="FootnoteTextChar">
    <w:name w:val="Footnote Text Char"/>
    <w:aliases w:val="ALTS FOOTNOTE Char1,ALTS FOOTNOTE Char Char,Footnote Text Char Char Char,Footnote Text Char1 Char,Footnote Text Char1 Char Char Char1,Footnote Text Char1 Char Char Char Char,Footnote Text Char1 Char1 Char,Footnote Text Char2 Char"/>
    <w:link w:val="FootnoteText"/>
    <w:rsid w:val="00B42A2B"/>
  </w:style>
  <w:style w:type="character" w:styleId="Emphasis">
    <w:name w:val="Emphasis"/>
    <w:uiPriority w:val="20"/>
    <w:qFormat/>
    <w:rsid w:val="00B42A2B"/>
    <w:rPr>
      <w:i/>
      <w:iCs/>
    </w:rPr>
  </w:style>
  <w:style w:type="character" w:styleId="CommentReference">
    <w:name w:val="annotation reference"/>
    <w:uiPriority w:val="99"/>
    <w:rsid w:val="00B42A2B"/>
    <w:rPr>
      <w:sz w:val="16"/>
      <w:szCs w:val="16"/>
    </w:rPr>
  </w:style>
  <w:style w:type="character" w:customStyle="1" w:styleId="footnote">
    <w:name w:val="footnote"/>
    <w:rsid w:val="00B42A2B"/>
  </w:style>
  <w:style w:type="paragraph" w:customStyle="1" w:styleId="BulletCharChar">
    <w:name w:val="Bullet Char Char"/>
    <w:basedOn w:val="Normal"/>
    <w:link w:val="BulletCharCharChar"/>
    <w:rsid w:val="00B42A2B"/>
    <w:pPr>
      <w:tabs>
        <w:tab w:val="left" w:pos="2160"/>
      </w:tabs>
      <w:spacing w:after="220" w:line="276" w:lineRule="auto"/>
      <w:ind w:left="2160" w:hanging="720"/>
    </w:pPr>
  </w:style>
  <w:style w:type="character" w:customStyle="1" w:styleId="BulletCharCharChar">
    <w:name w:val="Bullet Char Char Char"/>
    <w:link w:val="BulletCharChar"/>
    <w:rsid w:val="00B42A2B"/>
    <w:rPr>
      <w:snapToGrid w:val="0"/>
      <w:kern w:val="28"/>
      <w:sz w:val="22"/>
    </w:rPr>
  </w:style>
  <w:style w:type="paragraph" w:styleId="BalloonText">
    <w:name w:val="Balloon Text"/>
    <w:basedOn w:val="Normal"/>
    <w:link w:val="BalloonTextChar"/>
    <w:uiPriority w:val="99"/>
    <w:semiHidden/>
    <w:unhideWhenUsed/>
    <w:rsid w:val="00B42A2B"/>
    <w:rPr>
      <w:rFonts w:ascii="Segoe UI" w:hAnsi="Segoe UI" w:cs="Segoe UI"/>
      <w:sz w:val="18"/>
      <w:szCs w:val="18"/>
    </w:rPr>
  </w:style>
  <w:style w:type="character" w:customStyle="1" w:styleId="BalloonTextChar">
    <w:name w:val="Balloon Text Char"/>
    <w:link w:val="BalloonText"/>
    <w:uiPriority w:val="99"/>
    <w:semiHidden/>
    <w:rsid w:val="00B42A2B"/>
    <w:rPr>
      <w:rFonts w:ascii="Segoe UI" w:hAnsi="Segoe UI" w:cs="Segoe UI"/>
      <w:snapToGrid w:val="0"/>
      <w:kern w:val="28"/>
      <w:sz w:val="18"/>
      <w:szCs w:val="18"/>
    </w:rPr>
  </w:style>
  <w:style w:type="paragraph" w:styleId="CommentText">
    <w:name w:val="annotation text"/>
    <w:basedOn w:val="Normal"/>
    <w:link w:val="CommentTextChar"/>
    <w:uiPriority w:val="99"/>
    <w:unhideWhenUsed/>
    <w:rsid w:val="00B42A2B"/>
    <w:rPr>
      <w:sz w:val="20"/>
    </w:rPr>
  </w:style>
  <w:style w:type="character" w:customStyle="1" w:styleId="CommentTextChar">
    <w:name w:val="Comment Text Char"/>
    <w:link w:val="CommentText"/>
    <w:uiPriority w:val="99"/>
    <w:rsid w:val="00B42A2B"/>
    <w:rPr>
      <w:snapToGrid w:val="0"/>
      <w:kern w:val="28"/>
    </w:rPr>
  </w:style>
  <w:style w:type="paragraph" w:styleId="CommentSubject">
    <w:name w:val="annotation subject"/>
    <w:basedOn w:val="CommentText"/>
    <w:next w:val="CommentText"/>
    <w:link w:val="CommentSubjectChar"/>
    <w:uiPriority w:val="99"/>
    <w:semiHidden/>
    <w:unhideWhenUsed/>
    <w:rsid w:val="00B42A2B"/>
    <w:rPr>
      <w:b/>
      <w:bCs/>
    </w:rPr>
  </w:style>
  <w:style w:type="character" w:customStyle="1" w:styleId="CommentSubjectChar">
    <w:name w:val="Comment Subject Char"/>
    <w:link w:val="CommentSubject"/>
    <w:uiPriority w:val="99"/>
    <w:semiHidden/>
    <w:rsid w:val="00B42A2B"/>
    <w:rPr>
      <w:b/>
      <w:bCs/>
      <w:snapToGrid w:val="0"/>
      <w:kern w:val="28"/>
    </w:rPr>
  </w:style>
  <w:style w:type="character" w:styleId="FollowedHyperlink">
    <w:name w:val="FollowedHyperlink"/>
    <w:uiPriority w:val="99"/>
    <w:semiHidden/>
    <w:unhideWhenUsed/>
    <w:rsid w:val="00B42A2B"/>
    <w:rPr>
      <w:color w:val="954F72"/>
      <w:u w:val="single"/>
    </w:rPr>
  </w:style>
  <w:style w:type="paragraph" w:styleId="Revision">
    <w:name w:val="Revision"/>
    <w:hidden/>
    <w:uiPriority w:val="99"/>
    <w:semiHidden/>
    <w:rsid w:val="00B42A2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auctions" TargetMode="External"/><Relationship Id="rId13" Type="http://schemas.openxmlformats.org/officeDocument/2006/relationships/hyperlink" Target="mailto:auctionhelp@somos.com" TargetMode="External"/><Relationship Id="rId18" Type="http://schemas.openxmlformats.org/officeDocument/2006/relationships/hyperlink" Target="https://www.fcc.gov/general/frauds-scams-and-alerts-guides"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auctionhelp@somos.com" TargetMode="External"/><Relationship Id="rId7" Type="http://schemas.openxmlformats.org/officeDocument/2006/relationships/endnotes" Target="endnotes.xml"/><Relationship Id="rId12" Type="http://schemas.openxmlformats.org/officeDocument/2006/relationships/hyperlink" Target="mailto:833auction@fcc.gov" TargetMode="External"/><Relationship Id="rId17" Type="http://schemas.openxmlformats.org/officeDocument/2006/relationships/hyperlink" Target="mailto:auctionhelp@somos.com" TargetMode="External"/><Relationship Id="rId25" Type="http://schemas.openxmlformats.org/officeDocument/2006/relationships/hyperlink" Target="mailto:john.finnie@fcc.gov" TargetMode="External"/><Relationship Id="rId2" Type="http://schemas.openxmlformats.org/officeDocument/2006/relationships/styles" Target="styles.xml"/><Relationship Id="rId16" Type="http://schemas.openxmlformats.org/officeDocument/2006/relationships/hyperlink" Target="mailto:auctionhelp@somos.com" TargetMode="External"/><Relationship Id="rId20" Type="http://schemas.openxmlformats.org/officeDocument/2006/relationships/hyperlink" Target="https://www.sec.gov/investo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uction.somos.com/" TargetMode="External"/><Relationship Id="rId24" Type="http://schemas.openxmlformats.org/officeDocument/2006/relationships/hyperlink" Target="mailto:matthew.collins@fcc.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uctionhelp@somos.comT" TargetMode="External"/><Relationship Id="rId23" Type="http://schemas.openxmlformats.org/officeDocument/2006/relationships/hyperlink" Target="mailto:scott.mackoul@fcc.gov" TargetMode="External"/><Relationship Id="rId28" Type="http://schemas.openxmlformats.org/officeDocument/2006/relationships/footer" Target="footer2.xml"/><Relationship Id="rId10" Type="http://schemas.openxmlformats.org/officeDocument/2006/relationships/hyperlink" Target="http://auction.somos.com/" TargetMode="External"/><Relationship Id="rId19" Type="http://schemas.openxmlformats.org/officeDocument/2006/relationships/hyperlink" Target="http://ftc.gov/bcp/edu/pubs/consumer/invest/inv03.s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c.gov/wireline-competition/competition-policy-division/numbering-resources/833-auction" TargetMode="External"/><Relationship Id="rId14" Type="http://schemas.openxmlformats.org/officeDocument/2006/relationships/hyperlink" Target="https://www.fcc.gov/summary-listing-documents-addressing-application-rule-prohibiting-certain-communications" TargetMode="External"/><Relationship Id="rId22" Type="http://schemas.openxmlformats.org/officeDocument/2006/relationships/hyperlink" Target="mailto:scott.mackoul@fcc.gov"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archive/atr/public/press_releases/1998/2068.htm" TargetMode="External"/><Relationship Id="rId2" Type="http://schemas.openxmlformats.org/officeDocument/2006/relationships/hyperlink" Target="http://auction.somos.com/" TargetMode="External"/><Relationship Id="rId1" Type="http://schemas.openxmlformats.org/officeDocument/2006/relationships/hyperlink" Target="http://www.nanc-chair.org/docs/mtg_docs/Jun17_TFNA_Report.pdf" TargetMode="External"/><Relationship Id="rId6" Type="http://schemas.openxmlformats.org/officeDocument/2006/relationships/hyperlink" Target="https://www.rcrwireless.com/19960325/carriers/clinton-wants-to-auction-888-numbers-in-97-budget" TargetMode="External"/><Relationship Id="rId5" Type="http://schemas.openxmlformats.org/officeDocument/2006/relationships/hyperlink" Target="https://www.fcc.gov/document/fcc-launches-experiment-assign-toll-free-numbers-auction-0" TargetMode="External"/><Relationship Id="rId4" Type="http://schemas.openxmlformats.org/officeDocument/2006/relationships/hyperlink" Target="https://apps.fcc.gov/redlight/login.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Public%20Notice%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3</Pages>
  <Words>19151</Words>
  <Characters>109166</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SYSTEM</cp:lastModifiedBy>
  <cp:revision>2</cp:revision>
  <dcterms:created xsi:type="dcterms:W3CDTF">2019-08-02T20:48:00Z</dcterms:created>
  <dcterms:modified xsi:type="dcterms:W3CDTF">2019-08-02T20:48:00Z</dcterms:modified>
</cp:coreProperties>
</file>