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B6762" w14:textId="77777777" w:rsidR="00EF3EC7" w:rsidRPr="00532416" w:rsidRDefault="00EF3EC7">
      <w:pPr>
        <w:rPr>
          <w:sz w:val="24"/>
          <w:szCs w:val="24"/>
        </w:rPr>
      </w:pPr>
      <w:bookmarkStart w:id="0" w:name="_GoBack"/>
      <w:bookmarkEnd w:id="0"/>
    </w:p>
    <w:p w14:paraId="558B6763" w14:textId="77777777" w:rsidR="007017BF" w:rsidRPr="00532416" w:rsidRDefault="007017BF" w:rsidP="007017BF">
      <w:pPr>
        <w:suppressAutoHyphens/>
        <w:spacing w:after="0" w:line="240" w:lineRule="auto"/>
        <w:jc w:val="center"/>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SUPPORTING STATEMENT FOR NEW AND</w:t>
      </w:r>
    </w:p>
    <w:p w14:paraId="558B6764" w14:textId="77777777" w:rsidR="007017BF" w:rsidRPr="00532416" w:rsidRDefault="007017BF" w:rsidP="007017BF">
      <w:pPr>
        <w:suppressAutoHyphens/>
        <w:spacing w:after="240" w:line="240" w:lineRule="auto"/>
        <w:jc w:val="center"/>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REVISED INFORMATION COLLECTIONS</w:t>
      </w:r>
    </w:p>
    <w:p w14:paraId="558B6765" w14:textId="237A4B7F" w:rsidR="007017BF" w:rsidRPr="00E3216F" w:rsidRDefault="007017BF" w:rsidP="007017BF">
      <w:pPr>
        <w:tabs>
          <w:tab w:val="center" w:pos="4680"/>
        </w:tabs>
        <w:suppressAutoHyphens/>
        <w:spacing w:after="240" w:line="240" w:lineRule="auto"/>
        <w:jc w:val="center"/>
        <w:rPr>
          <w:rFonts w:ascii="Times New Roman" w:eastAsia="Times New Roman" w:hAnsi="Times New Roman" w:cs="Times New Roman"/>
          <w:sz w:val="24"/>
          <w:szCs w:val="24"/>
        </w:rPr>
      </w:pPr>
      <w:r w:rsidRPr="00E3216F">
        <w:rPr>
          <w:rFonts w:ascii="Times New Roman" w:eastAsia="Times New Roman" w:hAnsi="Times New Roman" w:cs="Times New Roman"/>
          <w:sz w:val="24"/>
          <w:szCs w:val="24"/>
        </w:rPr>
        <w:t>Clearing Exemption for Swaps Between Certain Affiliated Entities</w:t>
      </w:r>
    </w:p>
    <w:p w14:paraId="558B6766" w14:textId="77777777" w:rsidR="007017BF" w:rsidRPr="00532416" w:rsidRDefault="007017BF" w:rsidP="007017BF">
      <w:pPr>
        <w:tabs>
          <w:tab w:val="center" w:pos="4680"/>
        </w:tabs>
        <w:suppressAutoHyphens/>
        <w:spacing w:after="240" w:line="240" w:lineRule="auto"/>
        <w:jc w:val="center"/>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OMB CONTROL NUMBER 3038-</w:t>
      </w:r>
      <w:r w:rsidR="00FB3E03" w:rsidRPr="00532416">
        <w:rPr>
          <w:rFonts w:ascii="Times New Roman" w:eastAsia="Times New Roman" w:hAnsi="Times New Roman" w:cs="Times New Roman"/>
          <w:b/>
          <w:sz w:val="24"/>
          <w:szCs w:val="24"/>
        </w:rPr>
        <w:t>0104</w:t>
      </w:r>
    </w:p>
    <w:p w14:paraId="558B6767" w14:textId="36F40451" w:rsidR="007017BF" w:rsidRPr="00532416" w:rsidRDefault="00FB3E03" w:rsidP="007017BF">
      <w:pPr>
        <w:tabs>
          <w:tab w:val="center" w:pos="4680"/>
        </w:tabs>
        <w:suppressAutoHyphens/>
        <w:spacing w:after="240" w:line="240" w:lineRule="auto"/>
        <w:jc w:val="center"/>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 xml:space="preserve">Rule 50.52 </w:t>
      </w:r>
      <w:r w:rsidR="000020F8" w:rsidRPr="00532416">
        <w:rPr>
          <w:rFonts w:ascii="Times New Roman" w:eastAsia="Times New Roman" w:hAnsi="Times New Roman" w:cs="Times New Roman"/>
          <w:b/>
          <w:sz w:val="24"/>
          <w:szCs w:val="24"/>
        </w:rPr>
        <w:t xml:space="preserve">(Exemption for Swaps Between Affiliates) </w:t>
      </w:r>
    </w:p>
    <w:p w14:paraId="558B6768" w14:textId="77777777" w:rsidR="007017BF" w:rsidRPr="00532416" w:rsidRDefault="007017BF" w:rsidP="007017BF">
      <w:pPr>
        <w:spacing w:after="240" w:line="240" w:lineRule="auto"/>
        <w:outlineLvl w:val="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Justification</w:t>
      </w:r>
    </w:p>
    <w:p w14:paraId="558B6769" w14:textId="77777777" w:rsidR="007017BF" w:rsidRPr="00532416" w:rsidRDefault="007017BF" w:rsidP="007017BF">
      <w:pPr>
        <w:tabs>
          <w:tab w:val="left" w:pos="-720"/>
          <w:tab w:val="left" w:pos="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b/>
          <w:sz w:val="24"/>
          <w:szCs w:val="24"/>
        </w:rPr>
        <w:t>1.</w:t>
      </w:r>
      <w:r w:rsidRPr="00532416">
        <w:rPr>
          <w:rFonts w:ascii="Times New Roman" w:eastAsia="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58B676A" w14:textId="50B41B45" w:rsidR="007017BF" w:rsidRPr="00532416" w:rsidRDefault="007017BF" w:rsidP="00704AF3">
      <w:pPr>
        <w:spacing w:after="240" w:line="240" w:lineRule="auto"/>
        <w:jc w:val="both"/>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 xml:space="preserve">Section 2(h)(1)(A) of the Commodity Exchange Act (“CEA”) makes it unlawful for any person to engage in a swap if the </w:t>
      </w:r>
      <w:r w:rsidR="001A1B7C" w:rsidRPr="00532416">
        <w:rPr>
          <w:rFonts w:ascii="Times New Roman" w:eastAsia="Times New Roman" w:hAnsi="Times New Roman" w:cs="Times New Roman"/>
          <w:sz w:val="24"/>
          <w:szCs w:val="24"/>
        </w:rPr>
        <w:t xml:space="preserve">Commodity Futures Trading </w:t>
      </w:r>
      <w:r w:rsidRPr="00532416">
        <w:rPr>
          <w:rFonts w:ascii="Times New Roman" w:eastAsia="Times New Roman" w:hAnsi="Times New Roman" w:cs="Times New Roman"/>
          <w:sz w:val="24"/>
          <w:szCs w:val="24"/>
        </w:rPr>
        <w:t>Commission</w:t>
      </w:r>
      <w:r w:rsidR="001A1B7C" w:rsidRPr="00532416">
        <w:rPr>
          <w:rFonts w:ascii="Times New Roman" w:eastAsia="Times New Roman" w:hAnsi="Times New Roman" w:cs="Times New Roman"/>
          <w:sz w:val="24"/>
          <w:szCs w:val="24"/>
        </w:rPr>
        <w:t xml:space="preserve"> (“Commission”)</w:t>
      </w:r>
      <w:r w:rsidRPr="00532416">
        <w:rPr>
          <w:rFonts w:ascii="Times New Roman" w:eastAsia="Times New Roman" w:hAnsi="Times New Roman" w:cs="Times New Roman"/>
          <w:sz w:val="24"/>
          <w:szCs w:val="24"/>
        </w:rPr>
        <w:t xml:space="preserve"> determines such swap is required to be cleared, unless that person submits the swap for clearing to a registered derivatives clearing organization.  7 U.S.C. 2(h)(1)(A).  By exercising its general exemptive authority in CEA section 4(c)(1), </w:t>
      </w:r>
      <w:r w:rsidR="00CA0322" w:rsidRPr="00532416">
        <w:rPr>
          <w:rFonts w:ascii="Times New Roman" w:eastAsia="Times New Roman" w:hAnsi="Times New Roman" w:cs="Times New Roman"/>
          <w:sz w:val="24"/>
          <w:szCs w:val="24"/>
        </w:rPr>
        <w:t xml:space="preserve">on April 1, 2013, </w:t>
      </w:r>
      <w:r w:rsidRPr="00532416">
        <w:rPr>
          <w:rFonts w:ascii="Times New Roman" w:eastAsia="Times New Roman" w:hAnsi="Times New Roman" w:cs="Times New Roman"/>
          <w:sz w:val="24"/>
          <w:szCs w:val="24"/>
        </w:rPr>
        <w:t xml:space="preserve">the Commission </w:t>
      </w:r>
      <w:r w:rsidR="00CF3D1F" w:rsidRPr="00532416">
        <w:rPr>
          <w:rFonts w:ascii="Times New Roman" w:eastAsia="Times New Roman" w:hAnsi="Times New Roman" w:cs="Times New Roman"/>
          <w:sz w:val="24"/>
          <w:szCs w:val="24"/>
        </w:rPr>
        <w:t>adopted</w:t>
      </w:r>
      <w:r w:rsidR="00CA0322" w:rsidRPr="00532416">
        <w:rPr>
          <w:rFonts w:ascii="Times New Roman" w:eastAsia="Times New Roman" w:hAnsi="Times New Roman" w:cs="Times New Roman"/>
          <w:sz w:val="24"/>
          <w:szCs w:val="24"/>
        </w:rPr>
        <w:t xml:space="preserve"> a final rule</w:t>
      </w:r>
      <w:r w:rsidR="00AB1091" w:rsidRPr="00532416">
        <w:rPr>
          <w:rFonts w:ascii="Times New Roman" w:eastAsia="Times New Roman" w:hAnsi="Times New Roman" w:cs="Times New Roman"/>
          <w:sz w:val="24"/>
          <w:szCs w:val="24"/>
        </w:rPr>
        <w:t xml:space="preserve"> </w:t>
      </w:r>
      <w:r w:rsidRPr="00532416">
        <w:rPr>
          <w:rFonts w:ascii="Times New Roman" w:eastAsia="Times New Roman" w:hAnsi="Times New Roman" w:cs="Times New Roman"/>
          <w:sz w:val="24"/>
          <w:szCs w:val="24"/>
        </w:rPr>
        <w:t>exempt</w:t>
      </w:r>
      <w:r w:rsidR="00D85506" w:rsidRPr="00532416">
        <w:rPr>
          <w:rFonts w:ascii="Times New Roman" w:eastAsia="Times New Roman" w:hAnsi="Times New Roman" w:cs="Times New Roman"/>
          <w:sz w:val="24"/>
          <w:szCs w:val="24"/>
        </w:rPr>
        <w:t>ing</w:t>
      </w:r>
      <w:r w:rsidRPr="00532416">
        <w:rPr>
          <w:rFonts w:ascii="Times New Roman" w:eastAsia="Times New Roman" w:hAnsi="Times New Roman" w:cs="Times New Roman"/>
          <w:sz w:val="24"/>
          <w:szCs w:val="24"/>
        </w:rPr>
        <w:t xml:space="preserve"> from the statutory clearing requirement swap transactions between certain affiliated entities within a corporate group (“inter-affiliate swaps”), subject to certain conditions.</w:t>
      </w:r>
      <w:r w:rsidRPr="00532416">
        <w:rPr>
          <w:rFonts w:ascii="Times New Roman" w:eastAsia="Times New Roman" w:hAnsi="Times New Roman" w:cs="Times New Roman"/>
          <w:sz w:val="24"/>
          <w:szCs w:val="24"/>
          <w:vertAlign w:val="superscript"/>
        </w:rPr>
        <w:footnoteReference w:id="1"/>
      </w:r>
      <w:r w:rsidRPr="00532416">
        <w:rPr>
          <w:rFonts w:ascii="Times New Roman" w:eastAsia="Times New Roman" w:hAnsi="Times New Roman" w:cs="Times New Roman"/>
          <w:sz w:val="24"/>
          <w:szCs w:val="24"/>
        </w:rPr>
        <w:t xml:space="preserve">  7 U.S.C. 6(c).  </w:t>
      </w:r>
      <w:r w:rsidR="00704AF3">
        <w:rPr>
          <w:rFonts w:ascii="Times New Roman" w:eastAsia="Times New Roman" w:hAnsi="Times New Roman" w:cs="Times New Roman"/>
          <w:sz w:val="24"/>
          <w:szCs w:val="24"/>
        </w:rPr>
        <w:t>Commission regulation</w:t>
      </w:r>
      <w:r w:rsidR="00CA0322" w:rsidRPr="00532416">
        <w:rPr>
          <w:rFonts w:ascii="Times New Roman" w:eastAsia="Times New Roman" w:hAnsi="Times New Roman" w:cs="Times New Roman"/>
          <w:sz w:val="24"/>
          <w:szCs w:val="24"/>
        </w:rPr>
        <w:t xml:space="preserve"> 50.52 contains </w:t>
      </w:r>
      <w:r w:rsidR="00626D16">
        <w:rPr>
          <w:rFonts w:ascii="Times New Roman" w:eastAsia="Times New Roman" w:hAnsi="Times New Roman" w:cs="Times New Roman"/>
          <w:sz w:val="24"/>
          <w:szCs w:val="24"/>
        </w:rPr>
        <w:t>an</w:t>
      </w:r>
      <w:r w:rsidRPr="00532416">
        <w:rPr>
          <w:rFonts w:ascii="Times New Roman" w:eastAsia="Times New Roman" w:hAnsi="Times New Roman" w:cs="Times New Roman"/>
          <w:sz w:val="24"/>
          <w:szCs w:val="24"/>
        </w:rPr>
        <w:t xml:space="preserve"> elective exemption</w:t>
      </w:r>
      <w:r w:rsidR="00626D16">
        <w:rPr>
          <w:rFonts w:ascii="Times New Roman" w:eastAsia="Times New Roman" w:hAnsi="Times New Roman" w:cs="Times New Roman"/>
          <w:sz w:val="24"/>
          <w:szCs w:val="24"/>
        </w:rPr>
        <w:t xml:space="preserve"> for qualifying counterparties</w:t>
      </w:r>
      <w:r w:rsidRPr="00532416">
        <w:rPr>
          <w:rFonts w:ascii="Times New Roman" w:eastAsia="Times New Roman" w:hAnsi="Times New Roman" w:cs="Times New Roman"/>
          <w:sz w:val="24"/>
          <w:szCs w:val="24"/>
        </w:rPr>
        <w:t xml:space="preserve"> and </w:t>
      </w:r>
      <w:r w:rsidR="00CA0322" w:rsidRPr="00532416">
        <w:rPr>
          <w:rFonts w:ascii="Times New Roman" w:eastAsia="Times New Roman" w:hAnsi="Times New Roman" w:cs="Times New Roman"/>
          <w:sz w:val="24"/>
          <w:szCs w:val="24"/>
        </w:rPr>
        <w:t xml:space="preserve">outlines </w:t>
      </w:r>
      <w:r w:rsidRPr="00532416">
        <w:rPr>
          <w:rFonts w:ascii="Times New Roman" w:eastAsia="Times New Roman" w:hAnsi="Times New Roman" w:cs="Times New Roman"/>
          <w:sz w:val="24"/>
          <w:szCs w:val="24"/>
        </w:rPr>
        <w:t xml:space="preserve">the conditions entities must satisfy in order to rely upon it. </w:t>
      </w:r>
      <w:r w:rsidRPr="00532416">
        <w:rPr>
          <w:rFonts w:ascii="Times New Roman" w:eastAsia="Calibri" w:hAnsi="Times New Roman" w:cs="Times New Roman"/>
          <w:sz w:val="24"/>
          <w:szCs w:val="24"/>
        </w:rPr>
        <w:t xml:space="preserve"> </w:t>
      </w:r>
      <w:r w:rsidRPr="00532416">
        <w:rPr>
          <w:rFonts w:ascii="Times New Roman" w:eastAsia="Times New Roman" w:hAnsi="Times New Roman" w:cs="Times New Roman"/>
          <w:sz w:val="24"/>
          <w:szCs w:val="24"/>
        </w:rPr>
        <w:t xml:space="preserve">These conditions are designed </w:t>
      </w:r>
      <w:r w:rsidR="00B66114">
        <w:rPr>
          <w:rFonts w:ascii="Times New Roman" w:eastAsia="Times New Roman" w:hAnsi="Times New Roman" w:cs="Times New Roman"/>
          <w:sz w:val="24"/>
          <w:szCs w:val="24"/>
        </w:rPr>
        <w:t xml:space="preserve">and are necessary </w:t>
      </w:r>
      <w:r w:rsidRPr="00532416">
        <w:rPr>
          <w:rFonts w:ascii="Times New Roman" w:eastAsia="Times New Roman" w:hAnsi="Times New Roman" w:cs="Times New Roman"/>
          <w:sz w:val="24"/>
          <w:szCs w:val="24"/>
        </w:rPr>
        <w:t>to address Commission concerns regarding inter-affiliate swap risk and to provide the Commission with information necessary to regulate swaps markets.</w:t>
      </w:r>
      <w:r w:rsidR="001A1B7C" w:rsidRPr="00532416">
        <w:rPr>
          <w:rFonts w:ascii="Times New Roman" w:eastAsia="Times New Roman" w:hAnsi="Times New Roman" w:cs="Times New Roman"/>
          <w:sz w:val="24"/>
          <w:szCs w:val="24"/>
        </w:rPr>
        <w:t xml:space="preserve"> </w:t>
      </w:r>
      <w:r w:rsidRPr="00532416">
        <w:rPr>
          <w:rFonts w:ascii="Times New Roman" w:eastAsia="Times New Roman" w:hAnsi="Times New Roman" w:cs="Times New Roman"/>
          <w:sz w:val="24"/>
          <w:szCs w:val="24"/>
        </w:rPr>
        <w:t xml:space="preserve"> </w:t>
      </w:r>
    </w:p>
    <w:p w14:paraId="558B676B" w14:textId="1AB4555D" w:rsidR="006D7DBF" w:rsidRPr="00532416" w:rsidRDefault="007017BF" w:rsidP="00704AF3">
      <w:pPr>
        <w:spacing w:after="240" w:line="240" w:lineRule="auto"/>
        <w:jc w:val="both"/>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Among the conditions of the exemption is a notification and reporting requirement.  By electing the exemption, affiliated entities</w:t>
      </w:r>
      <w:r w:rsidR="00AB1091" w:rsidRPr="00532416">
        <w:rPr>
          <w:rFonts w:ascii="Times New Roman" w:eastAsia="Times New Roman" w:hAnsi="Times New Roman" w:cs="Times New Roman"/>
          <w:sz w:val="24"/>
          <w:szCs w:val="24"/>
        </w:rPr>
        <w:t xml:space="preserve">, known as “eligible affiliate counterparties” </w:t>
      </w:r>
      <w:r w:rsidR="00D85506" w:rsidRPr="00532416">
        <w:rPr>
          <w:rFonts w:ascii="Times New Roman" w:eastAsia="Times New Roman" w:hAnsi="Times New Roman" w:cs="Times New Roman"/>
          <w:sz w:val="24"/>
          <w:szCs w:val="24"/>
        </w:rPr>
        <w:t xml:space="preserve">will </w:t>
      </w:r>
      <w:r w:rsidRPr="00532416">
        <w:rPr>
          <w:rFonts w:ascii="Times New Roman" w:eastAsia="Times New Roman" w:hAnsi="Times New Roman" w:cs="Times New Roman"/>
          <w:sz w:val="24"/>
          <w:szCs w:val="24"/>
        </w:rPr>
        <w:t xml:space="preserve">be transacting uncleared swaps, transactions </w:t>
      </w:r>
      <w:r w:rsidR="0084182A" w:rsidRPr="00532416">
        <w:rPr>
          <w:rFonts w:ascii="Times New Roman" w:eastAsia="Times New Roman" w:hAnsi="Times New Roman" w:cs="Times New Roman"/>
          <w:sz w:val="24"/>
          <w:szCs w:val="24"/>
        </w:rPr>
        <w:t>that</w:t>
      </w:r>
      <w:r w:rsidRPr="00532416">
        <w:rPr>
          <w:rFonts w:ascii="Times New Roman" w:eastAsia="Times New Roman" w:hAnsi="Times New Roman" w:cs="Times New Roman"/>
          <w:sz w:val="24"/>
          <w:szCs w:val="24"/>
        </w:rPr>
        <w:t xml:space="preserve"> CEA section 4r requires be reported to a swap data repository (“SDR”), or to the Commission if no SDR will accept such information.  7 U.S.C. 6r.  </w:t>
      </w:r>
      <w:r w:rsidR="00704AF3">
        <w:rPr>
          <w:rFonts w:ascii="Times New Roman" w:eastAsia="Times New Roman" w:hAnsi="Times New Roman" w:cs="Times New Roman"/>
          <w:sz w:val="24"/>
          <w:szCs w:val="24"/>
        </w:rPr>
        <w:t>Commission regulation</w:t>
      </w:r>
      <w:r w:rsidR="00CA0322" w:rsidRPr="00532416">
        <w:rPr>
          <w:rFonts w:ascii="Times New Roman" w:eastAsia="Times New Roman" w:hAnsi="Times New Roman" w:cs="Times New Roman"/>
          <w:sz w:val="24"/>
          <w:szCs w:val="24"/>
        </w:rPr>
        <w:t xml:space="preserve"> 50.52(c)</w:t>
      </w:r>
      <w:r w:rsidRPr="00532416">
        <w:rPr>
          <w:rFonts w:ascii="Times New Roman" w:eastAsia="Times New Roman" w:hAnsi="Times New Roman" w:cs="Times New Roman"/>
          <w:sz w:val="24"/>
          <w:szCs w:val="24"/>
        </w:rPr>
        <w:t xml:space="preserve"> implements the reporting requirement in CEA section 4r for these uncleared inter-affiliate swaps and specifies the exact information that must be reported.  CEA section 2(j) further requires</w:t>
      </w:r>
      <w:r w:rsidR="00761C26">
        <w:rPr>
          <w:rFonts w:ascii="Times New Roman" w:eastAsia="Times New Roman" w:hAnsi="Times New Roman" w:cs="Times New Roman"/>
          <w:sz w:val="24"/>
          <w:szCs w:val="24"/>
        </w:rPr>
        <w:t xml:space="preserve"> a counterparty that is an</w:t>
      </w:r>
      <w:r w:rsidRPr="00532416">
        <w:rPr>
          <w:rFonts w:ascii="Times New Roman" w:eastAsia="Times New Roman" w:hAnsi="Times New Roman" w:cs="Times New Roman"/>
          <w:sz w:val="24"/>
          <w:szCs w:val="24"/>
        </w:rPr>
        <w:t xml:space="preserve"> issuer of securities under section 12 of the Securities Exchange Act of 1934 (“Exchange Act”) or </w:t>
      </w:r>
      <w:r w:rsidR="00761C26">
        <w:rPr>
          <w:rFonts w:ascii="Times New Roman" w:eastAsia="Times New Roman" w:hAnsi="Times New Roman" w:cs="Times New Roman"/>
          <w:sz w:val="24"/>
          <w:szCs w:val="24"/>
        </w:rPr>
        <w:t xml:space="preserve">that is </w:t>
      </w:r>
      <w:r w:rsidRPr="00532416">
        <w:rPr>
          <w:rFonts w:ascii="Times New Roman" w:eastAsia="Times New Roman" w:hAnsi="Times New Roman" w:cs="Times New Roman"/>
          <w:sz w:val="24"/>
          <w:szCs w:val="24"/>
        </w:rPr>
        <w:t xml:space="preserve">required to file reports under </w:t>
      </w:r>
      <w:r w:rsidRPr="00532416">
        <w:rPr>
          <w:rFonts w:ascii="Times New Roman" w:eastAsia="Times New Roman" w:hAnsi="Times New Roman" w:cs="Times New Roman"/>
          <w:sz w:val="24"/>
          <w:szCs w:val="24"/>
        </w:rPr>
        <w:lastRenderedPageBreak/>
        <w:t>Exchange Act section 15(d) (</w:t>
      </w:r>
      <w:r w:rsidR="00CA0322" w:rsidRPr="00532416">
        <w:rPr>
          <w:rFonts w:ascii="Times New Roman" w:eastAsia="Times New Roman" w:hAnsi="Times New Roman" w:cs="Times New Roman"/>
          <w:sz w:val="24"/>
          <w:szCs w:val="24"/>
        </w:rPr>
        <w:t xml:space="preserve">collectively, </w:t>
      </w:r>
      <w:r w:rsidRPr="00532416">
        <w:rPr>
          <w:rFonts w:ascii="Times New Roman" w:eastAsia="Times New Roman" w:hAnsi="Times New Roman" w:cs="Times New Roman"/>
          <w:sz w:val="24"/>
          <w:szCs w:val="24"/>
        </w:rPr>
        <w:t>“SEC Filers”) electing</w:t>
      </w:r>
      <w:r w:rsidR="00906D7C" w:rsidRPr="00532416">
        <w:rPr>
          <w:rFonts w:ascii="Times New Roman" w:eastAsia="Times New Roman" w:hAnsi="Times New Roman" w:cs="Times New Roman"/>
          <w:sz w:val="24"/>
          <w:szCs w:val="24"/>
        </w:rPr>
        <w:t xml:space="preserve"> the end-user exception</w:t>
      </w:r>
      <w:r w:rsidRPr="00532416">
        <w:rPr>
          <w:rFonts w:ascii="Times New Roman" w:eastAsia="Times New Roman" w:hAnsi="Times New Roman" w:cs="Times New Roman"/>
          <w:sz w:val="24"/>
          <w:szCs w:val="24"/>
        </w:rPr>
        <w:t xml:space="preserve"> to first have an appropriate committee of the issuer’s board or governing body review and approve its decision to enter into</w:t>
      </w:r>
      <w:r w:rsidR="00761C26">
        <w:rPr>
          <w:rFonts w:ascii="Times New Roman" w:eastAsia="Times New Roman" w:hAnsi="Times New Roman" w:cs="Times New Roman"/>
          <w:sz w:val="24"/>
          <w:szCs w:val="24"/>
        </w:rPr>
        <w:t xml:space="preserve"> those</w:t>
      </w:r>
      <w:r w:rsidRPr="00532416">
        <w:rPr>
          <w:rFonts w:ascii="Times New Roman" w:eastAsia="Times New Roman" w:hAnsi="Times New Roman" w:cs="Times New Roman"/>
          <w:sz w:val="24"/>
          <w:szCs w:val="24"/>
        </w:rPr>
        <w:t xml:space="preserve"> uncleared swaps.  7 U.S.C. 2(j).  </w:t>
      </w:r>
      <w:r w:rsidR="00704AF3">
        <w:rPr>
          <w:rFonts w:ascii="Times New Roman" w:eastAsia="Times New Roman" w:hAnsi="Times New Roman" w:cs="Times New Roman"/>
          <w:sz w:val="24"/>
          <w:szCs w:val="24"/>
        </w:rPr>
        <w:t>Commission regulation</w:t>
      </w:r>
      <w:r w:rsidR="00CA0322" w:rsidRPr="00532416">
        <w:rPr>
          <w:rFonts w:ascii="Times New Roman" w:eastAsia="Times New Roman" w:hAnsi="Times New Roman" w:cs="Times New Roman"/>
          <w:sz w:val="24"/>
          <w:szCs w:val="24"/>
        </w:rPr>
        <w:t xml:space="preserve"> 50.52(c)(3) </w:t>
      </w:r>
      <w:r w:rsidR="00761C26">
        <w:rPr>
          <w:rFonts w:ascii="Times New Roman" w:eastAsia="Times New Roman" w:hAnsi="Times New Roman" w:cs="Times New Roman"/>
          <w:sz w:val="24"/>
          <w:szCs w:val="24"/>
        </w:rPr>
        <w:t>extends the</w:t>
      </w:r>
      <w:r w:rsidR="00761C26" w:rsidRPr="00532416">
        <w:rPr>
          <w:rFonts w:ascii="Times New Roman" w:eastAsia="Times New Roman" w:hAnsi="Times New Roman" w:cs="Times New Roman"/>
          <w:sz w:val="24"/>
          <w:szCs w:val="24"/>
        </w:rPr>
        <w:t xml:space="preserve"> </w:t>
      </w:r>
      <w:r w:rsidRPr="00532416">
        <w:rPr>
          <w:rFonts w:ascii="Times New Roman" w:eastAsia="Times New Roman" w:hAnsi="Times New Roman" w:cs="Times New Roman"/>
          <w:sz w:val="24"/>
          <w:szCs w:val="24"/>
        </w:rPr>
        <w:t xml:space="preserve">CEA section 2(j) </w:t>
      </w:r>
      <w:r w:rsidR="00761C26">
        <w:rPr>
          <w:rFonts w:ascii="Times New Roman" w:eastAsia="Times New Roman" w:hAnsi="Times New Roman" w:cs="Times New Roman"/>
          <w:sz w:val="24"/>
          <w:szCs w:val="24"/>
        </w:rPr>
        <w:t xml:space="preserve">requirement </w:t>
      </w:r>
      <w:r w:rsidR="00906D7C" w:rsidRPr="00532416">
        <w:rPr>
          <w:rFonts w:ascii="Times New Roman" w:eastAsia="Times New Roman" w:hAnsi="Times New Roman" w:cs="Times New Roman"/>
          <w:sz w:val="24"/>
          <w:szCs w:val="24"/>
        </w:rPr>
        <w:t xml:space="preserve">to </w:t>
      </w:r>
      <w:r w:rsidR="00761C26">
        <w:rPr>
          <w:rFonts w:ascii="Times New Roman" w:eastAsia="Times New Roman" w:hAnsi="Times New Roman" w:cs="Times New Roman"/>
          <w:sz w:val="24"/>
          <w:szCs w:val="24"/>
        </w:rPr>
        <w:t xml:space="preserve">SEC Filers electing </w:t>
      </w:r>
      <w:r w:rsidR="00906D7C" w:rsidRPr="00532416">
        <w:rPr>
          <w:rFonts w:ascii="Times New Roman" w:eastAsia="Times New Roman" w:hAnsi="Times New Roman" w:cs="Times New Roman"/>
          <w:sz w:val="24"/>
          <w:szCs w:val="24"/>
        </w:rPr>
        <w:t>the exemption for swaps between affiliated entities by</w:t>
      </w:r>
      <w:r w:rsidRPr="00532416">
        <w:rPr>
          <w:rFonts w:ascii="Times New Roman" w:eastAsia="Times New Roman" w:hAnsi="Times New Roman" w:cs="Times New Roman"/>
          <w:sz w:val="24"/>
          <w:szCs w:val="24"/>
        </w:rPr>
        <w:t xml:space="preserve"> collect</w:t>
      </w:r>
      <w:r w:rsidR="00906D7C" w:rsidRPr="00532416">
        <w:rPr>
          <w:rFonts w:ascii="Times New Roman" w:eastAsia="Times New Roman" w:hAnsi="Times New Roman" w:cs="Times New Roman"/>
          <w:sz w:val="24"/>
          <w:szCs w:val="24"/>
        </w:rPr>
        <w:t>ing</w:t>
      </w:r>
      <w:r w:rsidRPr="00532416">
        <w:rPr>
          <w:rFonts w:ascii="Times New Roman" w:eastAsia="Times New Roman" w:hAnsi="Times New Roman" w:cs="Times New Roman"/>
          <w:sz w:val="24"/>
          <w:szCs w:val="24"/>
        </w:rPr>
        <w:t xml:space="preserve"> information necessary to satisfy that requirement.  Additionally, </w:t>
      </w:r>
      <w:r w:rsidR="00704AF3">
        <w:rPr>
          <w:rFonts w:ascii="Times New Roman" w:eastAsia="Times New Roman" w:hAnsi="Times New Roman" w:cs="Times New Roman"/>
          <w:sz w:val="24"/>
          <w:szCs w:val="24"/>
        </w:rPr>
        <w:t>Commission regulation</w:t>
      </w:r>
      <w:r w:rsidR="004554CD" w:rsidRPr="00532416">
        <w:rPr>
          <w:rFonts w:ascii="Times New Roman" w:eastAsia="Times New Roman" w:hAnsi="Times New Roman" w:cs="Times New Roman"/>
          <w:sz w:val="24"/>
          <w:szCs w:val="24"/>
        </w:rPr>
        <w:t xml:space="preserve"> 50.52(d) </w:t>
      </w:r>
      <w:r w:rsidRPr="00532416">
        <w:rPr>
          <w:rFonts w:ascii="Times New Roman" w:eastAsia="Times New Roman" w:hAnsi="Times New Roman" w:cs="Times New Roman"/>
          <w:sz w:val="24"/>
          <w:szCs w:val="24"/>
        </w:rPr>
        <w:t>allow</w:t>
      </w:r>
      <w:r w:rsidR="004554CD" w:rsidRPr="00532416">
        <w:rPr>
          <w:rFonts w:ascii="Times New Roman" w:eastAsia="Times New Roman" w:hAnsi="Times New Roman" w:cs="Times New Roman"/>
          <w:sz w:val="24"/>
          <w:szCs w:val="24"/>
        </w:rPr>
        <w:t>s</w:t>
      </w:r>
      <w:r w:rsidRPr="00532416">
        <w:rPr>
          <w:rFonts w:ascii="Times New Roman" w:eastAsia="Times New Roman" w:hAnsi="Times New Roman" w:cs="Times New Roman"/>
          <w:sz w:val="24"/>
          <w:szCs w:val="24"/>
        </w:rPr>
        <w:t xml:space="preserve"> </w:t>
      </w:r>
      <w:r w:rsidR="003E4123">
        <w:rPr>
          <w:rFonts w:ascii="Times New Roman" w:eastAsia="Times New Roman" w:hAnsi="Times New Roman" w:cs="Times New Roman"/>
          <w:sz w:val="24"/>
          <w:szCs w:val="24"/>
        </w:rPr>
        <w:t>counterparties</w:t>
      </w:r>
      <w:r w:rsidR="003E4123" w:rsidRPr="00532416">
        <w:rPr>
          <w:rFonts w:ascii="Times New Roman" w:eastAsia="Times New Roman" w:hAnsi="Times New Roman" w:cs="Times New Roman"/>
          <w:sz w:val="24"/>
          <w:szCs w:val="24"/>
        </w:rPr>
        <w:t xml:space="preserve"> </w:t>
      </w:r>
      <w:r w:rsidRPr="00532416">
        <w:rPr>
          <w:rFonts w:ascii="Times New Roman" w:eastAsia="Times New Roman" w:hAnsi="Times New Roman" w:cs="Times New Roman"/>
          <w:sz w:val="24"/>
          <w:szCs w:val="24"/>
        </w:rPr>
        <w:t>to submit some information, including the information required by CEA section 2(j), on an annual basis, as opposed to submitting identical information with each qualifying inter-affiliate swap.</w:t>
      </w:r>
    </w:p>
    <w:p w14:paraId="558B676C" w14:textId="77777777" w:rsidR="007017BF" w:rsidRPr="00532416" w:rsidRDefault="007017BF" w:rsidP="007017BF">
      <w:pPr>
        <w:tabs>
          <w:tab w:val="left" w:pos="-72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2.</w:t>
      </w:r>
      <w:r w:rsidRPr="00532416">
        <w:rPr>
          <w:rFonts w:ascii="Times New Roman" w:eastAsia="Times New Roman" w:hAnsi="Times New Roman" w:cs="Times New Roman"/>
          <w:b/>
          <w:sz w:val="24"/>
          <w:szCs w:val="24"/>
        </w:rPr>
        <w:tab/>
        <w:t>Indicate how, by whom, and for what purpose the data would be used.  Except for a new collection, indicate the actual use the agency has made of the information received from the current collection.</w:t>
      </w:r>
    </w:p>
    <w:p w14:paraId="558B676D" w14:textId="133B96EC" w:rsidR="007017BF" w:rsidRPr="00532416" w:rsidRDefault="007017BF" w:rsidP="00704AF3">
      <w:pPr>
        <w:tabs>
          <w:tab w:val="left" w:pos="-720"/>
        </w:tabs>
        <w:spacing w:after="240" w:line="240" w:lineRule="auto"/>
        <w:jc w:val="both"/>
        <w:rPr>
          <w:rFonts w:ascii="Times New Roman" w:eastAsia="Times New Roman" w:hAnsi="Times New Roman" w:cs="Times New Roman"/>
          <w:sz w:val="24"/>
          <w:szCs w:val="24"/>
        </w:rPr>
      </w:pPr>
      <w:r w:rsidRPr="00532416">
        <w:rPr>
          <w:rFonts w:ascii="Times New Roman" w:eastAsia="Times New Roman" w:hAnsi="Times New Roman" w:cs="Times New Roman"/>
          <w:b/>
          <w:sz w:val="24"/>
          <w:szCs w:val="24"/>
        </w:rPr>
        <w:tab/>
      </w:r>
      <w:r w:rsidR="00CF6142" w:rsidRPr="00532416">
        <w:rPr>
          <w:rFonts w:ascii="Times New Roman" w:eastAsia="Times New Roman" w:hAnsi="Times New Roman" w:cs="Times New Roman"/>
          <w:sz w:val="24"/>
          <w:szCs w:val="24"/>
        </w:rPr>
        <w:t xml:space="preserve">Since the Commission adopted </w:t>
      </w:r>
      <w:r w:rsidR="009B3FC8">
        <w:rPr>
          <w:rFonts w:ascii="Times New Roman" w:eastAsia="Times New Roman" w:hAnsi="Times New Roman" w:cs="Times New Roman"/>
          <w:sz w:val="24"/>
          <w:szCs w:val="24"/>
        </w:rPr>
        <w:t>Commission regulation</w:t>
      </w:r>
      <w:r w:rsidR="00CF6142" w:rsidRPr="00532416">
        <w:rPr>
          <w:rFonts w:ascii="Times New Roman" w:eastAsia="Times New Roman" w:hAnsi="Times New Roman" w:cs="Times New Roman"/>
          <w:sz w:val="24"/>
          <w:szCs w:val="24"/>
        </w:rPr>
        <w:t xml:space="preserve"> 50.52 in 2013,</w:t>
      </w:r>
      <w:r w:rsidR="00CF6142" w:rsidRPr="00532416">
        <w:rPr>
          <w:rFonts w:ascii="Times New Roman" w:eastAsia="Times New Roman" w:hAnsi="Times New Roman" w:cs="Times New Roman"/>
          <w:b/>
          <w:sz w:val="24"/>
          <w:szCs w:val="24"/>
        </w:rPr>
        <w:t xml:space="preserve"> </w:t>
      </w:r>
      <w:r w:rsidR="00CF6142" w:rsidRPr="00532416">
        <w:rPr>
          <w:rFonts w:ascii="Times New Roman" w:eastAsia="Times New Roman" w:hAnsi="Times New Roman" w:cs="Times New Roman"/>
          <w:sz w:val="24"/>
          <w:szCs w:val="24"/>
        </w:rPr>
        <w:t>t</w:t>
      </w:r>
      <w:r w:rsidRPr="00532416">
        <w:rPr>
          <w:rFonts w:ascii="Times New Roman" w:eastAsia="Times New Roman" w:hAnsi="Times New Roman" w:cs="Times New Roman"/>
          <w:sz w:val="24"/>
          <w:szCs w:val="24"/>
        </w:rPr>
        <w:t xml:space="preserve">he data </w:t>
      </w:r>
      <w:r w:rsidR="00B67638">
        <w:rPr>
          <w:rFonts w:ascii="Times New Roman" w:eastAsia="Times New Roman" w:hAnsi="Times New Roman" w:cs="Times New Roman"/>
          <w:sz w:val="24"/>
          <w:szCs w:val="24"/>
        </w:rPr>
        <w:t xml:space="preserve">requested under this collection of information </w:t>
      </w:r>
      <w:r w:rsidR="00CF6142" w:rsidRPr="00532416">
        <w:rPr>
          <w:rFonts w:ascii="Times New Roman" w:eastAsia="Times New Roman" w:hAnsi="Times New Roman" w:cs="Times New Roman"/>
          <w:sz w:val="24"/>
          <w:szCs w:val="24"/>
        </w:rPr>
        <w:t>has</w:t>
      </w:r>
      <w:r w:rsidR="00D85506" w:rsidRPr="00532416">
        <w:rPr>
          <w:rFonts w:ascii="Times New Roman" w:eastAsia="Times New Roman" w:hAnsi="Times New Roman" w:cs="Times New Roman"/>
          <w:sz w:val="24"/>
          <w:szCs w:val="24"/>
        </w:rPr>
        <w:t xml:space="preserve"> </w:t>
      </w:r>
      <w:r w:rsidRPr="00532416">
        <w:rPr>
          <w:rFonts w:ascii="Times New Roman" w:eastAsia="Times New Roman" w:hAnsi="Times New Roman" w:cs="Times New Roman"/>
          <w:sz w:val="24"/>
          <w:szCs w:val="24"/>
        </w:rPr>
        <w:t>be</w:t>
      </w:r>
      <w:r w:rsidR="00CF6142" w:rsidRPr="00532416">
        <w:rPr>
          <w:rFonts w:ascii="Times New Roman" w:eastAsia="Times New Roman" w:hAnsi="Times New Roman" w:cs="Times New Roman"/>
          <w:sz w:val="24"/>
          <w:szCs w:val="24"/>
        </w:rPr>
        <w:t>en</w:t>
      </w:r>
      <w:r w:rsidRPr="00532416">
        <w:rPr>
          <w:rFonts w:ascii="Times New Roman" w:eastAsia="Times New Roman" w:hAnsi="Times New Roman" w:cs="Times New Roman"/>
          <w:sz w:val="24"/>
          <w:szCs w:val="24"/>
        </w:rPr>
        <w:t xml:space="preserve"> collected by SDRs.  The Commission </w:t>
      </w:r>
      <w:r w:rsidR="00CF6142" w:rsidRPr="00532416">
        <w:rPr>
          <w:rFonts w:ascii="Times New Roman" w:eastAsia="Times New Roman" w:hAnsi="Times New Roman" w:cs="Times New Roman"/>
          <w:sz w:val="24"/>
          <w:szCs w:val="24"/>
        </w:rPr>
        <w:t xml:space="preserve">has </w:t>
      </w:r>
      <w:r w:rsidRPr="00532416">
        <w:rPr>
          <w:rFonts w:ascii="Times New Roman" w:eastAsia="Times New Roman" w:hAnsi="Times New Roman" w:cs="Times New Roman"/>
          <w:sz w:val="24"/>
          <w:szCs w:val="24"/>
        </w:rPr>
        <w:t>use</w:t>
      </w:r>
      <w:r w:rsidR="00CF6142" w:rsidRPr="00532416">
        <w:rPr>
          <w:rFonts w:ascii="Times New Roman" w:eastAsia="Times New Roman" w:hAnsi="Times New Roman" w:cs="Times New Roman"/>
          <w:sz w:val="24"/>
          <w:szCs w:val="24"/>
        </w:rPr>
        <w:t>d</w:t>
      </w:r>
      <w:r w:rsidRPr="00532416">
        <w:rPr>
          <w:rFonts w:ascii="Times New Roman" w:eastAsia="Times New Roman" w:hAnsi="Times New Roman" w:cs="Times New Roman"/>
          <w:sz w:val="24"/>
          <w:szCs w:val="24"/>
        </w:rPr>
        <w:t xml:space="preserve"> the data to monitor use of the exemption by </w:t>
      </w:r>
      <w:r w:rsidR="00AB1091" w:rsidRPr="00532416">
        <w:rPr>
          <w:rFonts w:ascii="Times New Roman" w:eastAsia="Times New Roman" w:hAnsi="Times New Roman" w:cs="Times New Roman"/>
          <w:sz w:val="24"/>
          <w:szCs w:val="24"/>
        </w:rPr>
        <w:t>eligible affiliate counterparties</w:t>
      </w:r>
      <w:r w:rsidRPr="00532416">
        <w:rPr>
          <w:rFonts w:ascii="Times New Roman" w:eastAsia="Times New Roman" w:hAnsi="Times New Roman" w:cs="Times New Roman"/>
          <w:sz w:val="24"/>
          <w:szCs w:val="24"/>
        </w:rPr>
        <w:t>, to analyze the risk characteristics of uncleared swaps generally, and to enhance the Commission’s ability to identify and reduce potential systemic risk.</w:t>
      </w:r>
    </w:p>
    <w:p w14:paraId="558B676E" w14:textId="77777777" w:rsidR="007017BF" w:rsidRPr="00532416" w:rsidRDefault="007017BF" w:rsidP="007017BF">
      <w:pPr>
        <w:keepNext/>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3.</w:t>
      </w:r>
      <w:r w:rsidRPr="00532416">
        <w:rPr>
          <w:rFonts w:ascii="Times New Roman" w:eastAsia="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58B676F" w14:textId="70198FCF" w:rsidR="007017BF" w:rsidRPr="00532416" w:rsidRDefault="007017BF" w:rsidP="00704AF3">
      <w:pPr>
        <w:tabs>
          <w:tab w:val="left" w:pos="-720"/>
          <w:tab w:val="left" w:pos="0"/>
        </w:tabs>
        <w:spacing w:after="240" w:line="240" w:lineRule="auto"/>
        <w:jc w:val="both"/>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 xml:space="preserve">The Commission is committed to utilizing technology in order to reduce reporting burdens for respondents.  </w:t>
      </w:r>
      <w:r w:rsidR="005F4E8F">
        <w:rPr>
          <w:rFonts w:ascii="Times New Roman" w:eastAsia="Times New Roman" w:hAnsi="Times New Roman" w:cs="Times New Roman"/>
          <w:sz w:val="24"/>
          <w:szCs w:val="24"/>
        </w:rPr>
        <w:t>The i</w:t>
      </w:r>
      <w:r w:rsidRPr="00532416">
        <w:rPr>
          <w:rFonts w:ascii="Times New Roman" w:eastAsia="Times New Roman" w:hAnsi="Times New Roman" w:cs="Times New Roman"/>
          <w:sz w:val="24"/>
          <w:szCs w:val="24"/>
        </w:rPr>
        <w:t>nformation</w:t>
      </w:r>
      <w:r w:rsidR="005F4E8F">
        <w:rPr>
          <w:rFonts w:ascii="Times New Roman" w:eastAsia="Times New Roman" w:hAnsi="Times New Roman" w:cs="Times New Roman"/>
          <w:sz w:val="24"/>
          <w:szCs w:val="24"/>
        </w:rPr>
        <w:t xml:space="preserve"> required under this collection</w:t>
      </w:r>
      <w:r w:rsidRPr="00532416">
        <w:rPr>
          <w:rFonts w:ascii="Times New Roman" w:eastAsia="Times New Roman" w:hAnsi="Times New Roman" w:cs="Times New Roman"/>
          <w:sz w:val="24"/>
          <w:szCs w:val="24"/>
        </w:rPr>
        <w:t xml:space="preserve"> may be submitted electronically to an SDR. The Commission </w:t>
      </w:r>
      <w:r w:rsidR="00B22433" w:rsidRPr="00532416">
        <w:rPr>
          <w:rFonts w:ascii="Times New Roman" w:eastAsia="Times New Roman" w:hAnsi="Times New Roman" w:cs="Times New Roman"/>
          <w:sz w:val="24"/>
          <w:szCs w:val="24"/>
        </w:rPr>
        <w:t xml:space="preserve">understands </w:t>
      </w:r>
      <w:r w:rsidRPr="00532416">
        <w:rPr>
          <w:rFonts w:ascii="Times New Roman" w:eastAsia="Times New Roman" w:hAnsi="Times New Roman" w:cs="Times New Roman"/>
          <w:sz w:val="24"/>
          <w:szCs w:val="24"/>
        </w:rPr>
        <w:t xml:space="preserve">that 100% of the </w:t>
      </w:r>
      <w:r w:rsidR="00B67638">
        <w:rPr>
          <w:rFonts w:ascii="Times New Roman" w:eastAsia="Times New Roman" w:hAnsi="Times New Roman" w:cs="Times New Roman"/>
          <w:sz w:val="24"/>
          <w:szCs w:val="24"/>
        </w:rPr>
        <w:t xml:space="preserve">information reported pursuant to this </w:t>
      </w:r>
      <w:r w:rsidRPr="00532416">
        <w:rPr>
          <w:rFonts w:ascii="Times New Roman" w:eastAsia="Times New Roman" w:hAnsi="Times New Roman" w:cs="Times New Roman"/>
          <w:sz w:val="24"/>
          <w:szCs w:val="24"/>
        </w:rPr>
        <w:t xml:space="preserve">collection of information </w:t>
      </w:r>
      <w:r w:rsidR="00B22433" w:rsidRPr="00532416">
        <w:rPr>
          <w:rFonts w:ascii="Times New Roman" w:eastAsia="Times New Roman" w:hAnsi="Times New Roman" w:cs="Times New Roman"/>
          <w:sz w:val="24"/>
          <w:szCs w:val="24"/>
        </w:rPr>
        <w:t>is</w:t>
      </w:r>
      <w:r w:rsidRPr="00532416">
        <w:rPr>
          <w:rFonts w:ascii="Times New Roman" w:eastAsia="Times New Roman" w:hAnsi="Times New Roman" w:cs="Times New Roman"/>
          <w:sz w:val="24"/>
          <w:szCs w:val="24"/>
        </w:rPr>
        <w:t xml:space="preserve"> submitted electronically.</w:t>
      </w:r>
    </w:p>
    <w:p w14:paraId="558B6770" w14:textId="77777777" w:rsidR="007017BF" w:rsidRPr="00532416"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4.</w:t>
      </w:r>
      <w:r w:rsidRPr="00532416">
        <w:rPr>
          <w:rFonts w:ascii="Times New Roman" w:eastAsia="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14:paraId="558B6771" w14:textId="77777777" w:rsidR="007017BF" w:rsidRPr="00532416" w:rsidRDefault="007017BF" w:rsidP="00704AF3">
      <w:pPr>
        <w:tabs>
          <w:tab w:val="left" w:pos="-720"/>
        </w:tabs>
        <w:spacing w:after="240" w:line="240" w:lineRule="auto"/>
        <w:jc w:val="both"/>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The required information is not available from any other source.</w:t>
      </w:r>
    </w:p>
    <w:p w14:paraId="558B6772" w14:textId="77777777" w:rsidR="007017BF" w:rsidRPr="00532416"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5.</w:t>
      </w:r>
      <w:r w:rsidRPr="00532416">
        <w:rPr>
          <w:rFonts w:ascii="Times New Roman" w:eastAsia="Times New Roman" w:hAnsi="Times New Roman" w:cs="Times New Roman"/>
          <w:b/>
          <w:sz w:val="24"/>
          <w:szCs w:val="24"/>
        </w:rPr>
        <w:tab/>
        <w:t>If the collection of information involves small business or other small entities (Item 5 of OMB From 83-I), describe the methods used to minimize burden.</w:t>
      </w:r>
    </w:p>
    <w:p w14:paraId="558B6773" w14:textId="77777777" w:rsidR="007017BF" w:rsidRPr="00532416" w:rsidRDefault="007017BF" w:rsidP="00704AF3">
      <w:pPr>
        <w:tabs>
          <w:tab w:val="left" w:pos="-720"/>
        </w:tabs>
        <w:spacing w:after="240" w:line="240" w:lineRule="auto"/>
        <w:jc w:val="both"/>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This collection of information will not have a significant impact on a substantial number of small entities.</w:t>
      </w:r>
    </w:p>
    <w:p w14:paraId="558B6774" w14:textId="77777777" w:rsidR="007017BF" w:rsidRPr="00532416"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6.</w:t>
      </w:r>
      <w:r w:rsidRPr="00532416">
        <w:rPr>
          <w:rFonts w:ascii="Times New Roman" w:eastAsia="Times New Roman" w:hAnsi="Times New Roman" w:cs="Times New Roman"/>
          <w:b/>
          <w:sz w:val="24"/>
          <w:szCs w:val="24"/>
        </w:rPr>
        <w:tab/>
        <w:t>Describe the consequence to the Federal Program or policy activities if the collection were conducted less frequently as well as any technical or legal obstacles to reducing burden.</w:t>
      </w:r>
    </w:p>
    <w:p w14:paraId="558B6775" w14:textId="121E2B67" w:rsidR="007017BF" w:rsidRPr="00532416" w:rsidRDefault="007017BF" w:rsidP="00704AF3">
      <w:pPr>
        <w:tabs>
          <w:tab w:val="left" w:pos="-720"/>
        </w:tabs>
        <w:spacing w:after="240" w:line="240" w:lineRule="auto"/>
        <w:jc w:val="both"/>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If the information required under this collection of information were not collected or was conducted less frequently, the</w:t>
      </w:r>
      <w:r w:rsidR="00864E77" w:rsidRPr="00532416">
        <w:rPr>
          <w:rFonts w:ascii="Times New Roman" w:eastAsia="Times New Roman" w:hAnsi="Times New Roman" w:cs="Times New Roman"/>
          <w:sz w:val="24"/>
          <w:szCs w:val="24"/>
        </w:rPr>
        <w:t>n the</w:t>
      </w:r>
      <w:r w:rsidRPr="00532416">
        <w:rPr>
          <w:rFonts w:ascii="Times New Roman" w:eastAsia="Times New Roman" w:hAnsi="Times New Roman" w:cs="Times New Roman"/>
          <w:sz w:val="24"/>
          <w:szCs w:val="24"/>
        </w:rPr>
        <w:t xml:space="preserve"> Commission’s ability to monitor and enforce the conditions </w:t>
      </w:r>
      <w:r w:rsidRPr="00532416">
        <w:rPr>
          <w:rFonts w:ascii="Times New Roman" w:eastAsia="Times New Roman" w:hAnsi="Times New Roman" w:cs="Times New Roman"/>
          <w:sz w:val="24"/>
          <w:szCs w:val="24"/>
        </w:rPr>
        <w:lastRenderedPageBreak/>
        <w:t xml:space="preserve">set forth in the exemption </w:t>
      </w:r>
      <w:r w:rsidR="00864E77" w:rsidRPr="00532416">
        <w:rPr>
          <w:rFonts w:ascii="Times New Roman" w:eastAsia="Times New Roman" w:hAnsi="Times New Roman" w:cs="Times New Roman"/>
          <w:sz w:val="24"/>
          <w:szCs w:val="24"/>
        </w:rPr>
        <w:t xml:space="preserve">would </w:t>
      </w:r>
      <w:r w:rsidRPr="00532416">
        <w:rPr>
          <w:rFonts w:ascii="Times New Roman" w:eastAsia="Times New Roman" w:hAnsi="Times New Roman" w:cs="Times New Roman"/>
          <w:sz w:val="24"/>
          <w:szCs w:val="24"/>
        </w:rPr>
        <w:t xml:space="preserve">be hindered.  The Commission would be unable to ensure that only </w:t>
      </w:r>
      <w:r w:rsidR="00AB1091" w:rsidRPr="00532416">
        <w:rPr>
          <w:rFonts w:ascii="Times New Roman" w:eastAsia="Times New Roman" w:hAnsi="Times New Roman" w:cs="Times New Roman"/>
          <w:sz w:val="24"/>
          <w:szCs w:val="24"/>
        </w:rPr>
        <w:t xml:space="preserve">eligible </w:t>
      </w:r>
      <w:r w:rsidRPr="00532416">
        <w:rPr>
          <w:rFonts w:ascii="Times New Roman" w:eastAsia="Times New Roman" w:hAnsi="Times New Roman" w:cs="Times New Roman"/>
          <w:sz w:val="24"/>
          <w:szCs w:val="24"/>
        </w:rPr>
        <w:t>affiliate</w:t>
      </w:r>
      <w:r w:rsidR="00AB1091" w:rsidRPr="00532416">
        <w:rPr>
          <w:rFonts w:ascii="Times New Roman" w:eastAsia="Times New Roman" w:hAnsi="Times New Roman" w:cs="Times New Roman"/>
          <w:sz w:val="24"/>
          <w:szCs w:val="24"/>
        </w:rPr>
        <w:t xml:space="preserve"> counterparties</w:t>
      </w:r>
      <w:r w:rsidRPr="00532416">
        <w:rPr>
          <w:rFonts w:ascii="Times New Roman" w:eastAsia="Times New Roman" w:hAnsi="Times New Roman" w:cs="Times New Roman"/>
          <w:sz w:val="24"/>
          <w:szCs w:val="24"/>
        </w:rPr>
        <w:t xml:space="preserve"> meeting the specified conditions elect the exemption, and the Commission’s ability to evaluate the risks of, and monitor the use of uncleared inter-affiliate swaps </w:t>
      </w:r>
      <w:r w:rsidR="00864E77" w:rsidRPr="00532416">
        <w:rPr>
          <w:rFonts w:ascii="Times New Roman" w:eastAsia="Times New Roman" w:hAnsi="Times New Roman" w:cs="Times New Roman"/>
          <w:sz w:val="24"/>
          <w:szCs w:val="24"/>
        </w:rPr>
        <w:t xml:space="preserve">would </w:t>
      </w:r>
      <w:r w:rsidRPr="00532416">
        <w:rPr>
          <w:rFonts w:ascii="Times New Roman" w:eastAsia="Times New Roman" w:hAnsi="Times New Roman" w:cs="Times New Roman"/>
          <w:sz w:val="24"/>
          <w:szCs w:val="24"/>
        </w:rPr>
        <w:t>be hindered.</w:t>
      </w:r>
      <w:r w:rsidRPr="00532416">
        <w:rPr>
          <w:rFonts w:ascii="Times New Roman" w:eastAsia="Times New Roman" w:hAnsi="Times New Roman" w:cs="Optimum"/>
          <w:color w:val="000000"/>
          <w:sz w:val="24"/>
          <w:szCs w:val="24"/>
        </w:rPr>
        <w:t xml:space="preserve"> </w:t>
      </w:r>
      <w:r w:rsidR="006D7CA7">
        <w:rPr>
          <w:rFonts w:ascii="Times New Roman" w:eastAsia="Times New Roman" w:hAnsi="Times New Roman" w:cs="Optimum"/>
          <w:color w:val="000000"/>
          <w:sz w:val="24"/>
          <w:szCs w:val="24"/>
        </w:rPr>
        <w:t xml:space="preserve"> In addition, failure to obtain the subject information would adv</w:t>
      </w:r>
      <w:r w:rsidR="00B66114">
        <w:rPr>
          <w:rFonts w:ascii="Times New Roman" w:eastAsia="Times New Roman" w:hAnsi="Times New Roman" w:cs="Optimum"/>
          <w:color w:val="000000"/>
          <w:sz w:val="24"/>
          <w:szCs w:val="24"/>
        </w:rPr>
        <w:t>er</w:t>
      </w:r>
      <w:r w:rsidR="006D7CA7">
        <w:rPr>
          <w:rFonts w:ascii="Times New Roman" w:eastAsia="Times New Roman" w:hAnsi="Times New Roman" w:cs="Optimum"/>
          <w:color w:val="000000"/>
          <w:sz w:val="24"/>
          <w:szCs w:val="24"/>
        </w:rPr>
        <w:t xml:space="preserve">sly affect the Commission’s ability to ensure the </w:t>
      </w:r>
      <w:r w:rsidR="009B3FC8">
        <w:rPr>
          <w:rFonts w:ascii="Times New Roman" w:eastAsia="Times New Roman" w:hAnsi="Times New Roman" w:cs="Optimum"/>
          <w:color w:val="000000"/>
          <w:sz w:val="24"/>
          <w:szCs w:val="24"/>
        </w:rPr>
        <w:t>counterparties’</w:t>
      </w:r>
      <w:r w:rsidR="006D7CA7">
        <w:rPr>
          <w:rFonts w:ascii="Times New Roman" w:eastAsia="Times New Roman" w:hAnsi="Times New Roman" w:cs="Optimum"/>
          <w:color w:val="000000"/>
          <w:sz w:val="24"/>
          <w:szCs w:val="24"/>
        </w:rPr>
        <w:t xml:space="preserve"> compliance with their obligations under the CEA and Commission regulations related to the clearing requirement.  </w:t>
      </w:r>
      <w:r w:rsidRPr="00532416">
        <w:rPr>
          <w:rFonts w:ascii="Times New Roman" w:eastAsia="Times New Roman" w:hAnsi="Times New Roman" w:cs="Times New Roman"/>
          <w:sz w:val="24"/>
          <w:szCs w:val="24"/>
        </w:rPr>
        <w:t xml:space="preserve">The integrity and efficiency of the swap markets </w:t>
      </w:r>
      <w:r w:rsidR="002C42A0" w:rsidRPr="00532416">
        <w:rPr>
          <w:rFonts w:ascii="Times New Roman" w:eastAsia="Times New Roman" w:hAnsi="Times New Roman" w:cs="Times New Roman"/>
          <w:sz w:val="24"/>
          <w:szCs w:val="24"/>
        </w:rPr>
        <w:t xml:space="preserve">would </w:t>
      </w:r>
      <w:r w:rsidRPr="00532416">
        <w:rPr>
          <w:rFonts w:ascii="Times New Roman" w:eastAsia="Times New Roman" w:hAnsi="Times New Roman" w:cs="Times New Roman"/>
          <w:sz w:val="24"/>
          <w:szCs w:val="24"/>
        </w:rPr>
        <w:t xml:space="preserve">be adversely affected because the information collection allows </w:t>
      </w:r>
      <w:r w:rsidR="009B3FC8">
        <w:rPr>
          <w:rFonts w:ascii="Times New Roman" w:eastAsia="Times New Roman" w:hAnsi="Times New Roman" w:cs="Times New Roman"/>
          <w:sz w:val="24"/>
          <w:szCs w:val="24"/>
        </w:rPr>
        <w:t>counterparties</w:t>
      </w:r>
      <w:r w:rsidR="009B3FC8" w:rsidRPr="00532416">
        <w:rPr>
          <w:rFonts w:ascii="Times New Roman" w:eastAsia="Times New Roman" w:hAnsi="Times New Roman" w:cs="Times New Roman"/>
          <w:sz w:val="24"/>
          <w:szCs w:val="24"/>
        </w:rPr>
        <w:t xml:space="preserve"> </w:t>
      </w:r>
      <w:r w:rsidRPr="00532416">
        <w:rPr>
          <w:rFonts w:ascii="Times New Roman" w:eastAsia="Times New Roman" w:hAnsi="Times New Roman" w:cs="Times New Roman"/>
          <w:sz w:val="24"/>
          <w:szCs w:val="24"/>
        </w:rPr>
        <w:t xml:space="preserve">to </w:t>
      </w:r>
      <w:r w:rsidR="00AB1091" w:rsidRPr="00532416">
        <w:rPr>
          <w:rFonts w:ascii="Times New Roman" w:eastAsia="Times New Roman" w:hAnsi="Times New Roman" w:cs="Times New Roman"/>
          <w:sz w:val="24"/>
          <w:szCs w:val="24"/>
        </w:rPr>
        <w:t xml:space="preserve">elect an </w:t>
      </w:r>
      <w:r w:rsidRPr="00532416">
        <w:rPr>
          <w:rFonts w:ascii="Times New Roman" w:eastAsia="Times New Roman" w:hAnsi="Times New Roman" w:cs="Times New Roman"/>
          <w:sz w:val="24"/>
          <w:szCs w:val="24"/>
        </w:rPr>
        <w:t>exempt</w:t>
      </w:r>
      <w:r w:rsidR="00AB1091" w:rsidRPr="00532416">
        <w:rPr>
          <w:rFonts w:ascii="Times New Roman" w:eastAsia="Times New Roman" w:hAnsi="Times New Roman" w:cs="Times New Roman"/>
          <w:sz w:val="24"/>
          <w:szCs w:val="24"/>
        </w:rPr>
        <w:t>ion</w:t>
      </w:r>
      <w:r w:rsidRPr="00532416">
        <w:rPr>
          <w:rFonts w:ascii="Times New Roman" w:eastAsia="Times New Roman" w:hAnsi="Times New Roman" w:cs="Times New Roman"/>
          <w:sz w:val="24"/>
          <w:szCs w:val="24"/>
        </w:rPr>
        <w:t xml:space="preserve"> </w:t>
      </w:r>
      <w:r w:rsidR="00AB1091" w:rsidRPr="00532416">
        <w:rPr>
          <w:rFonts w:ascii="Times New Roman" w:eastAsia="Times New Roman" w:hAnsi="Times New Roman" w:cs="Times New Roman"/>
          <w:sz w:val="24"/>
          <w:szCs w:val="24"/>
        </w:rPr>
        <w:t xml:space="preserve">for certain swaps </w:t>
      </w:r>
      <w:r w:rsidRPr="00532416">
        <w:rPr>
          <w:rFonts w:ascii="Times New Roman" w:eastAsia="Times New Roman" w:hAnsi="Times New Roman" w:cs="Times New Roman"/>
          <w:sz w:val="24"/>
          <w:szCs w:val="24"/>
        </w:rPr>
        <w:t xml:space="preserve">from the clearing requirement. The information collection cannot be conducted less frequently without compromising the accuracy and timeliness of the data.  </w:t>
      </w:r>
    </w:p>
    <w:p w14:paraId="558B6776" w14:textId="77777777" w:rsidR="007017BF" w:rsidRPr="00532416"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7.</w:t>
      </w:r>
      <w:r w:rsidRPr="00532416">
        <w:rPr>
          <w:rFonts w:ascii="Times New Roman" w:eastAsia="Times New Roman" w:hAnsi="Times New Roman" w:cs="Times New Roman"/>
          <w:b/>
          <w:sz w:val="24"/>
          <w:szCs w:val="24"/>
        </w:rPr>
        <w:tab/>
        <w:t>Explain any special circumstances that require the collection to be conducted in a manner:</w:t>
      </w:r>
    </w:p>
    <w:p w14:paraId="558B6777"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requiring respondents to report information to the agency more often than quarterly;</w:t>
      </w:r>
    </w:p>
    <w:p w14:paraId="558B6778" w14:textId="3497AEBD" w:rsidR="007017BF" w:rsidRPr="00532416" w:rsidRDefault="007017BF" w:rsidP="007017BF">
      <w:pPr>
        <w:tabs>
          <w:tab w:val="left" w:pos="-720"/>
          <w:tab w:val="left" w:pos="0"/>
          <w:tab w:val="left" w:pos="720"/>
        </w:tabs>
        <w:spacing w:after="240" w:line="240" w:lineRule="auto"/>
        <w:jc w:val="both"/>
        <w:rPr>
          <w:rFonts w:ascii="Times New Roman" w:eastAsia="Times New Roman" w:hAnsi="Times New Roman" w:cs="Times New Roman"/>
          <w:bCs/>
          <w:sz w:val="24"/>
          <w:szCs w:val="24"/>
        </w:rPr>
      </w:pPr>
      <w:r w:rsidRPr="00532416">
        <w:rPr>
          <w:rFonts w:ascii="Times New Roman" w:eastAsia="Times New Roman" w:hAnsi="Times New Roman" w:cs="Times New Roman"/>
          <w:bCs/>
          <w:sz w:val="24"/>
          <w:szCs w:val="24"/>
        </w:rPr>
        <w:tab/>
        <w:t xml:space="preserve">The reporting counterparty </w:t>
      </w:r>
      <w:r w:rsidR="004554CD" w:rsidRPr="00532416">
        <w:rPr>
          <w:rFonts w:ascii="Times New Roman" w:eastAsia="Times New Roman" w:hAnsi="Times New Roman" w:cs="Times New Roman"/>
          <w:bCs/>
          <w:sz w:val="24"/>
          <w:szCs w:val="24"/>
        </w:rPr>
        <w:t>must</w:t>
      </w:r>
      <w:r w:rsidRPr="00532416">
        <w:rPr>
          <w:rFonts w:ascii="Times New Roman" w:eastAsia="Times New Roman" w:hAnsi="Times New Roman" w:cs="Times New Roman"/>
          <w:bCs/>
          <w:sz w:val="24"/>
          <w:szCs w:val="24"/>
        </w:rPr>
        <w:t xml:space="preserve"> report the information required in </w:t>
      </w:r>
      <w:r w:rsidR="00704AF3">
        <w:rPr>
          <w:rFonts w:ascii="Times New Roman" w:eastAsia="Times New Roman" w:hAnsi="Times New Roman" w:cs="Times New Roman"/>
          <w:bCs/>
          <w:sz w:val="24"/>
          <w:szCs w:val="24"/>
        </w:rPr>
        <w:t>Commission regulation</w:t>
      </w:r>
      <w:r w:rsidRPr="00532416">
        <w:rPr>
          <w:rFonts w:ascii="Times New Roman" w:eastAsia="Times New Roman" w:hAnsi="Times New Roman" w:cs="Times New Roman"/>
          <w:bCs/>
          <w:sz w:val="24"/>
          <w:szCs w:val="24"/>
        </w:rPr>
        <w:t> </w:t>
      </w:r>
      <w:r w:rsidR="004554CD" w:rsidRPr="00532416">
        <w:rPr>
          <w:rFonts w:ascii="Times New Roman" w:eastAsia="Times New Roman" w:hAnsi="Times New Roman" w:cs="Times New Roman"/>
          <w:bCs/>
          <w:sz w:val="24"/>
          <w:szCs w:val="24"/>
        </w:rPr>
        <w:t xml:space="preserve">50.52(c)(1) </w:t>
      </w:r>
      <w:r w:rsidRPr="00532416">
        <w:rPr>
          <w:rFonts w:ascii="Times New Roman" w:eastAsia="Times New Roman" w:hAnsi="Times New Roman" w:cs="Times New Roman"/>
          <w:bCs/>
          <w:sz w:val="24"/>
          <w:szCs w:val="24"/>
        </w:rPr>
        <w:t xml:space="preserve">for each swap.  It also </w:t>
      </w:r>
      <w:r w:rsidR="004554CD" w:rsidRPr="00532416">
        <w:rPr>
          <w:rFonts w:ascii="Times New Roman" w:eastAsia="Times New Roman" w:hAnsi="Times New Roman" w:cs="Times New Roman"/>
          <w:bCs/>
          <w:sz w:val="24"/>
          <w:szCs w:val="24"/>
        </w:rPr>
        <w:t>must</w:t>
      </w:r>
      <w:r w:rsidRPr="00532416">
        <w:rPr>
          <w:rFonts w:ascii="Times New Roman" w:eastAsia="Times New Roman" w:hAnsi="Times New Roman" w:cs="Times New Roman"/>
          <w:bCs/>
          <w:sz w:val="24"/>
          <w:szCs w:val="24"/>
        </w:rPr>
        <w:t xml:space="preserve"> report the information required in </w:t>
      </w:r>
      <w:r w:rsidR="00704AF3">
        <w:rPr>
          <w:rFonts w:ascii="Times New Roman" w:eastAsia="Times New Roman" w:hAnsi="Times New Roman" w:cs="Times New Roman"/>
          <w:bCs/>
          <w:sz w:val="24"/>
          <w:szCs w:val="24"/>
        </w:rPr>
        <w:t>Commission regulation</w:t>
      </w:r>
      <w:r w:rsidRPr="00532416">
        <w:rPr>
          <w:rFonts w:ascii="Times New Roman" w:eastAsia="Times New Roman" w:hAnsi="Times New Roman" w:cs="Times New Roman"/>
          <w:bCs/>
          <w:sz w:val="24"/>
          <w:szCs w:val="24"/>
        </w:rPr>
        <w:t> </w:t>
      </w:r>
      <w:r w:rsidR="004554CD" w:rsidRPr="00532416">
        <w:rPr>
          <w:rFonts w:ascii="Times New Roman" w:eastAsia="Times New Roman" w:hAnsi="Times New Roman" w:cs="Times New Roman"/>
          <w:bCs/>
          <w:sz w:val="24"/>
          <w:szCs w:val="24"/>
        </w:rPr>
        <w:t xml:space="preserve">50.52(c)(2)-(3) </w:t>
      </w:r>
      <w:r w:rsidRPr="00532416">
        <w:rPr>
          <w:rFonts w:ascii="Times New Roman" w:eastAsia="Times New Roman" w:hAnsi="Times New Roman" w:cs="Times New Roman"/>
          <w:bCs/>
          <w:sz w:val="24"/>
          <w:szCs w:val="24"/>
        </w:rPr>
        <w:t xml:space="preserve">for each swap if no annual report had been filed.  However, the Commission has given respondents the option to report the same information on an annual basis instead.  The Commission </w:t>
      </w:r>
      <w:r w:rsidR="002C42A0" w:rsidRPr="00532416">
        <w:rPr>
          <w:rFonts w:ascii="Times New Roman" w:eastAsia="Times New Roman" w:hAnsi="Times New Roman" w:cs="Times New Roman"/>
          <w:bCs/>
          <w:sz w:val="24"/>
          <w:szCs w:val="24"/>
        </w:rPr>
        <w:t xml:space="preserve">understands </w:t>
      </w:r>
      <w:r w:rsidRPr="00532416">
        <w:rPr>
          <w:rFonts w:ascii="Times New Roman" w:eastAsia="Times New Roman" w:hAnsi="Times New Roman" w:cs="Times New Roman"/>
          <w:bCs/>
          <w:sz w:val="24"/>
          <w:szCs w:val="24"/>
        </w:rPr>
        <w:t xml:space="preserve">that </w:t>
      </w:r>
      <w:r w:rsidR="002C42A0" w:rsidRPr="00532416">
        <w:rPr>
          <w:rFonts w:ascii="Times New Roman" w:eastAsia="Times New Roman" w:hAnsi="Times New Roman" w:cs="Times New Roman"/>
          <w:bCs/>
          <w:sz w:val="24"/>
          <w:szCs w:val="24"/>
        </w:rPr>
        <w:t>100</w:t>
      </w:r>
      <w:r w:rsidRPr="00532416">
        <w:rPr>
          <w:rFonts w:ascii="Times New Roman" w:eastAsia="Times New Roman" w:hAnsi="Times New Roman" w:cs="Times New Roman"/>
          <w:bCs/>
          <w:sz w:val="24"/>
          <w:szCs w:val="24"/>
        </w:rPr>
        <w:t xml:space="preserve">% of </w:t>
      </w:r>
      <w:r w:rsidR="001C376C">
        <w:rPr>
          <w:rFonts w:ascii="Times New Roman" w:eastAsia="Times New Roman" w:hAnsi="Times New Roman" w:cs="Times New Roman"/>
          <w:bCs/>
          <w:sz w:val="24"/>
          <w:szCs w:val="24"/>
        </w:rPr>
        <w:t xml:space="preserve">the </w:t>
      </w:r>
      <w:r w:rsidRPr="00532416">
        <w:rPr>
          <w:rFonts w:ascii="Times New Roman" w:eastAsia="Times New Roman" w:hAnsi="Times New Roman" w:cs="Times New Roman"/>
          <w:bCs/>
          <w:sz w:val="24"/>
          <w:szCs w:val="24"/>
        </w:rPr>
        <w:t>entities</w:t>
      </w:r>
      <w:r w:rsidR="001C376C">
        <w:rPr>
          <w:rFonts w:ascii="Times New Roman" w:eastAsia="Times New Roman" w:hAnsi="Times New Roman" w:cs="Times New Roman"/>
          <w:bCs/>
          <w:sz w:val="24"/>
          <w:szCs w:val="24"/>
        </w:rPr>
        <w:t xml:space="preserve"> electing the inter-affiliate exemption</w:t>
      </w:r>
      <w:r w:rsidRPr="00532416">
        <w:rPr>
          <w:rFonts w:ascii="Times New Roman" w:eastAsia="Times New Roman" w:hAnsi="Times New Roman" w:cs="Times New Roman"/>
          <w:bCs/>
          <w:sz w:val="24"/>
          <w:szCs w:val="24"/>
        </w:rPr>
        <w:t xml:space="preserve"> report annually. </w:t>
      </w:r>
    </w:p>
    <w:p w14:paraId="558B6779"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requiring respondents to prepare a written response to a collection of information in fewer than 30 days after receipt of it:</w:t>
      </w:r>
    </w:p>
    <w:p w14:paraId="558B677A" w14:textId="08B7FE39" w:rsidR="007017BF" w:rsidRPr="00532416" w:rsidRDefault="007017BF" w:rsidP="007017BF">
      <w:pPr>
        <w:tabs>
          <w:tab w:val="left" w:pos="-720"/>
          <w:tab w:val="left" w:pos="0"/>
          <w:tab w:val="left" w:pos="720"/>
        </w:tabs>
        <w:spacing w:after="240" w:line="240" w:lineRule="auto"/>
        <w:jc w:val="both"/>
        <w:rPr>
          <w:rFonts w:ascii="Times New Roman" w:eastAsia="Times New Roman" w:hAnsi="Times New Roman" w:cs="Times New Roman"/>
          <w:bCs/>
          <w:sz w:val="24"/>
          <w:szCs w:val="24"/>
        </w:rPr>
      </w:pPr>
      <w:r w:rsidRPr="00532416">
        <w:rPr>
          <w:rFonts w:ascii="Times New Roman" w:eastAsia="Times New Roman" w:hAnsi="Times New Roman" w:cs="Times New Roman"/>
          <w:bCs/>
          <w:sz w:val="24"/>
          <w:szCs w:val="24"/>
        </w:rPr>
        <w:tab/>
        <w:t xml:space="preserve">The reporting counterparty </w:t>
      </w:r>
      <w:r w:rsidR="004554CD" w:rsidRPr="00532416">
        <w:rPr>
          <w:rFonts w:ascii="Times New Roman" w:eastAsia="Times New Roman" w:hAnsi="Times New Roman" w:cs="Times New Roman"/>
          <w:bCs/>
          <w:sz w:val="24"/>
          <w:szCs w:val="24"/>
        </w:rPr>
        <w:t>must</w:t>
      </w:r>
      <w:r w:rsidRPr="00532416">
        <w:rPr>
          <w:rFonts w:ascii="Times New Roman" w:eastAsia="Times New Roman" w:hAnsi="Times New Roman" w:cs="Times New Roman"/>
          <w:bCs/>
          <w:sz w:val="24"/>
          <w:szCs w:val="24"/>
        </w:rPr>
        <w:t xml:space="preserve"> report the information required in </w:t>
      </w:r>
      <w:r w:rsidR="008C673C">
        <w:rPr>
          <w:rFonts w:ascii="Times New Roman" w:eastAsia="Times New Roman" w:hAnsi="Times New Roman" w:cs="Times New Roman"/>
          <w:bCs/>
          <w:sz w:val="24"/>
          <w:szCs w:val="24"/>
        </w:rPr>
        <w:t>Commission regulation</w:t>
      </w:r>
      <w:r w:rsidRPr="00532416">
        <w:rPr>
          <w:rFonts w:ascii="Times New Roman" w:eastAsia="Times New Roman" w:hAnsi="Times New Roman" w:cs="Times New Roman"/>
          <w:bCs/>
          <w:sz w:val="24"/>
          <w:szCs w:val="24"/>
        </w:rPr>
        <w:t> </w:t>
      </w:r>
      <w:r w:rsidR="004554CD" w:rsidRPr="00532416">
        <w:rPr>
          <w:rFonts w:ascii="Times New Roman" w:eastAsia="Times New Roman" w:hAnsi="Times New Roman" w:cs="Times New Roman"/>
          <w:bCs/>
          <w:sz w:val="24"/>
          <w:szCs w:val="24"/>
        </w:rPr>
        <w:t xml:space="preserve">50.52(c)(1) </w:t>
      </w:r>
      <w:r w:rsidRPr="00532416">
        <w:rPr>
          <w:rFonts w:ascii="Times New Roman" w:eastAsia="Times New Roman" w:hAnsi="Times New Roman" w:cs="Times New Roman"/>
          <w:bCs/>
          <w:sz w:val="24"/>
          <w:szCs w:val="24"/>
        </w:rPr>
        <w:t xml:space="preserve">for each swap.  It also </w:t>
      </w:r>
      <w:r w:rsidR="004554CD" w:rsidRPr="00532416">
        <w:rPr>
          <w:rFonts w:ascii="Times New Roman" w:eastAsia="Times New Roman" w:hAnsi="Times New Roman" w:cs="Times New Roman"/>
          <w:bCs/>
          <w:sz w:val="24"/>
          <w:szCs w:val="24"/>
        </w:rPr>
        <w:t>must</w:t>
      </w:r>
      <w:r w:rsidRPr="00532416">
        <w:rPr>
          <w:rFonts w:ascii="Times New Roman" w:eastAsia="Times New Roman" w:hAnsi="Times New Roman" w:cs="Times New Roman"/>
          <w:bCs/>
          <w:sz w:val="24"/>
          <w:szCs w:val="24"/>
        </w:rPr>
        <w:t xml:space="preserve"> report the information required in </w:t>
      </w:r>
      <w:r w:rsidR="008C673C">
        <w:rPr>
          <w:rFonts w:ascii="Times New Roman" w:eastAsia="Times New Roman" w:hAnsi="Times New Roman" w:cs="Times New Roman"/>
          <w:bCs/>
          <w:sz w:val="24"/>
          <w:szCs w:val="24"/>
        </w:rPr>
        <w:t>Commission regulation</w:t>
      </w:r>
      <w:r w:rsidRPr="00532416">
        <w:rPr>
          <w:rFonts w:ascii="Times New Roman" w:eastAsia="Times New Roman" w:hAnsi="Times New Roman" w:cs="Times New Roman"/>
          <w:bCs/>
          <w:sz w:val="24"/>
          <w:szCs w:val="24"/>
        </w:rPr>
        <w:t> </w:t>
      </w:r>
      <w:r w:rsidR="004554CD" w:rsidRPr="00532416">
        <w:rPr>
          <w:rFonts w:ascii="Times New Roman" w:eastAsia="Times New Roman" w:hAnsi="Times New Roman" w:cs="Times New Roman"/>
          <w:bCs/>
          <w:sz w:val="24"/>
          <w:szCs w:val="24"/>
        </w:rPr>
        <w:t xml:space="preserve">50.52(c)(2)-(3) </w:t>
      </w:r>
      <w:r w:rsidRPr="00532416">
        <w:rPr>
          <w:rFonts w:ascii="Times New Roman" w:eastAsia="Times New Roman" w:hAnsi="Times New Roman" w:cs="Times New Roman"/>
          <w:bCs/>
          <w:sz w:val="24"/>
          <w:szCs w:val="24"/>
        </w:rPr>
        <w:t>for each swap if no annual report ha</w:t>
      </w:r>
      <w:r w:rsidR="00B33BE7">
        <w:rPr>
          <w:rFonts w:ascii="Times New Roman" w:eastAsia="Times New Roman" w:hAnsi="Times New Roman" w:cs="Times New Roman"/>
          <w:bCs/>
          <w:sz w:val="24"/>
          <w:szCs w:val="24"/>
        </w:rPr>
        <w:t>s</w:t>
      </w:r>
      <w:r w:rsidRPr="00532416">
        <w:rPr>
          <w:rFonts w:ascii="Times New Roman" w:eastAsia="Times New Roman" w:hAnsi="Times New Roman" w:cs="Times New Roman"/>
          <w:bCs/>
          <w:sz w:val="24"/>
          <w:szCs w:val="24"/>
        </w:rPr>
        <w:t xml:space="preserve"> been filed.  However, the Commission has given respondents the option to report the same information on an annual basis instead.  The Commission </w:t>
      </w:r>
      <w:r w:rsidR="00793C41" w:rsidRPr="00532416">
        <w:rPr>
          <w:rFonts w:ascii="Times New Roman" w:eastAsia="Times New Roman" w:hAnsi="Times New Roman" w:cs="Times New Roman"/>
          <w:bCs/>
          <w:sz w:val="24"/>
          <w:szCs w:val="24"/>
        </w:rPr>
        <w:t xml:space="preserve">understands </w:t>
      </w:r>
      <w:r w:rsidRPr="00532416">
        <w:rPr>
          <w:rFonts w:ascii="Times New Roman" w:eastAsia="Times New Roman" w:hAnsi="Times New Roman" w:cs="Times New Roman"/>
          <w:bCs/>
          <w:sz w:val="24"/>
          <w:szCs w:val="24"/>
        </w:rPr>
        <w:t xml:space="preserve">that </w:t>
      </w:r>
      <w:r w:rsidR="00793C41" w:rsidRPr="00532416">
        <w:rPr>
          <w:rFonts w:ascii="Times New Roman" w:eastAsia="Times New Roman" w:hAnsi="Times New Roman" w:cs="Times New Roman"/>
          <w:bCs/>
          <w:sz w:val="24"/>
          <w:szCs w:val="24"/>
        </w:rPr>
        <w:t>100</w:t>
      </w:r>
      <w:r w:rsidRPr="00532416">
        <w:rPr>
          <w:rFonts w:ascii="Times New Roman" w:eastAsia="Times New Roman" w:hAnsi="Times New Roman" w:cs="Times New Roman"/>
          <w:bCs/>
          <w:sz w:val="24"/>
          <w:szCs w:val="24"/>
        </w:rPr>
        <w:t xml:space="preserve">% of </w:t>
      </w:r>
      <w:r w:rsidR="00B33BE7">
        <w:rPr>
          <w:rFonts w:ascii="Times New Roman" w:eastAsia="Times New Roman" w:hAnsi="Times New Roman" w:cs="Times New Roman"/>
          <w:bCs/>
          <w:sz w:val="24"/>
          <w:szCs w:val="24"/>
        </w:rPr>
        <w:t xml:space="preserve">the </w:t>
      </w:r>
      <w:r w:rsidRPr="00532416">
        <w:rPr>
          <w:rFonts w:ascii="Times New Roman" w:eastAsia="Times New Roman" w:hAnsi="Times New Roman" w:cs="Times New Roman"/>
          <w:bCs/>
          <w:sz w:val="24"/>
          <w:szCs w:val="24"/>
        </w:rPr>
        <w:t xml:space="preserve">entities </w:t>
      </w:r>
      <w:r w:rsidR="00B33BE7">
        <w:rPr>
          <w:rFonts w:ascii="Times New Roman" w:eastAsia="Times New Roman" w:hAnsi="Times New Roman" w:cs="Times New Roman"/>
          <w:bCs/>
          <w:sz w:val="24"/>
          <w:szCs w:val="24"/>
        </w:rPr>
        <w:t xml:space="preserve">electing the inter-affiliate exemption </w:t>
      </w:r>
      <w:r w:rsidRPr="00532416">
        <w:rPr>
          <w:rFonts w:ascii="Times New Roman" w:eastAsia="Times New Roman" w:hAnsi="Times New Roman" w:cs="Times New Roman"/>
          <w:bCs/>
          <w:sz w:val="24"/>
          <w:szCs w:val="24"/>
        </w:rPr>
        <w:t xml:space="preserve">report annually. </w:t>
      </w:r>
    </w:p>
    <w:p w14:paraId="558B677B"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 xml:space="preserve">requiring respondents to submit more </w:t>
      </w:r>
      <w:r w:rsidR="00D07531" w:rsidRPr="00532416">
        <w:rPr>
          <w:rFonts w:ascii="Times New Roman" w:eastAsia="Times New Roman" w:hAnsi="Times New Roman" w:cs="Times New Roman"/>
          <w:b/>
          <w:sz w:val="24"/>
          <w:szCs w:val="24"/>
        </w:rPr>
        <w:t xml:space="preserve">than </w:t>
      </w:r>
      <w:r w:rsidRPr="00532416">
        <w:rPr>
          <w:rFonts w:ascii="Times New Roman" w:eastAsia="Times New Roman" w:hAnsi="Times New Roman" w:cs="Times New Roman"/>
          <w:b/>
          <w:sz w:val="24"/>
          <w:szCs w:val="24"/>
        </w:rPr>
        <w:t>an original and two copies of any document;</w:t>
      </w:r>
    </w:p>
    <w:p w14:paraId="558B677C" w14:textId="26968170" w:rsidR="007017BF" w:rsidRPr="00532416"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The exemption does not impose any requirements that obligate an applicant to submit more than an original and two copies of any document.</w:t>
      </w:r>
    </w:p>
    <w:p w14:paraId="558B677D"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requiring respondents to retain records other than health, medical, government contract, grant-in-aid, or tax records, for more than three years;</w:t>
      </w:r>
    </w:p>
    <w:p w14:paraId="558B677E" w14:textId="77777777" w:rsidR="007017BF" w:rsidRPr="00532416" w:rsidRDefault="007017BF" w:rsidP="007017BF">
      <w:pPr>
        <w:tabs>
          <w:tab w:val="left" w:pos="-720"/>
          <w:tab w:val="left" w:pos="0"/>
          <w:tab w:val="left" w:pos="720"/>
        </w:tabs>
        <w:spacing w:after="240" w:line="240" w:lineRule="auto"/>
        <w:ind w:right="720"/>
        <w:jc w:val="both"/>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The exemption does not impose any recordkeeping requirements.</w:t>
      </w:r>
    </w:p>
    <w:p w14:paraId="558B677F"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 xml:space="preserve">in connection with a statistical survey, that is not designed to produce valid and reliable results that can be generalized to the universe of study; </w:t>
      </w:r>
    </w:p>
    <w:p w14:paraId="558B6780" w14:textId="77777777" w:rsidR="007017BF" w:rsidRPr="00532416"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The exemption does not require nor involve any statistical surveys.</w:t>
      </w:r>
    </w:p>
    <w:p w14:paraId="558B6781"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requiring the use of a statistical data classification that has not been reviewed and approved by OMB;</w:t>
      </w:r>
    </w:p>
    <w:p w14:paraId="558B6782" w14:textId="77777777" w:rsidR="007017BF" w:rsidRPr="00532416" w:rsidRDefault="007017BF" w:rsidP="007017BF">
      <w:pPr>
        <w:tabs>
          <w:tab w:val="left" w:pos="-720"/>
          <w:tab w:val="left" w:pos="0"/>
          <w:tab w:val="left" w:pos="72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sz w:val="24"/>
          <w:szCs w:val="24"/>
        </w:rPr>
        <w:tab/>
        <w:t>The exemption does not require nor involve the use of any statistical data classification.</w:t>
      </w:r>
    </w:p>
    <w:p w14:paraId="558B6783"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558B6784" w14:textId="77777777" w:rsidR="007017BF" w:rsidRPr="00532416"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The exemption does not require a pledge of confidentiality.</w:t>
      </w:r>
    </w:p>
    <w:p w14:paraId="558B6785"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558B6786" w14:textId="4168BAD6" w:rsidR="007017BF" w:rsidRPr="00532416"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 xml:space="preserve">The exemption does not specifically require any person to submit data involving confidential information or trade secrets.  </w:t>
      </w:r>
      <w:r w:rsidR="00556071" w:rsidRPr="00556071">
        <w:rPr>
          <w:rFonts w:ascii="Times New Roman" w:eastAsia="Times New Roman" w:hAnsi="Times New Roman" w:cs="Times New Roman"/>
          <w:sz w:val="24"/>
          <w:szCs w:val="24"/>
        </w:rPr>
        <w:t>In any event, the Commission has promulgated regulations to protect the confidentiality of the information collected from respondents.  They are set forth in 17 CFR Part 145.</w:t>
      </w:r>
    </w:p>
    <w:p w14:paraId="558B6787" w14:textId="77777777" w:rsidR="007017BF" w:rsidRPr="00532416" w:rsidRDefault="007017BF" w:rsidP="007017BF">
      <w:pPr>
        <w:tabs>
          <w:tab w:val="left" w:pos="-720"/>
          <w:tab w:val="left" w:pos="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b/>
          <w:sz w:val="24"/>
          <w:szCs w:val="24"/>
        </w:rPr>
        <w:t>8.</w:t>
      </w:r>
      <w:r w:rsidRPr="00532416">
        <w:rPr>
          <w:rFonts w:ascii="Times New Roman" w:eastAsia="Times New Roman" w:hAnsi="Times New Roman" w:cs="Times New Roman"/>
          <w:b/>
          <w:sz w:val="24"/>
          <w:szCs w:val="24"/>
        </w:rPr>
        <w:tab/>
        <w:t xml:space="preserve">If applicable, provide a copy and identify the date and page number of publication in the </w:t>
      </w:r>
      <w:r w:rsidRPr="00532416">
        <w:rPr>
          <w:rFonts w:ascii="Times New Roman" w:eastAsia="Times New Roman" w:hAnsi="Times New Roman" w:cs="Times New Roman"/>
          <w:b/>
          <w:i/>
          <w:sz w:val="24"/>
          <w:szCs w:val="24"/>
        </w:rPr>
        <w:t>Federal Register</w:t>
      </w:r>
      <w:r w:rsidRPr="00532416">
        <w:rPr>
          <w:rFonts w:ascii="Times New Roman" w:eastAsia="Times New Roman" w:hAnsi="Times New Roman" w:cs="Times New Roman"/>
          <w:b/>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532416">
        <w:rPr>
          <w:rFonts w:ascii="Times New Roman" w:eastAsia="Times New Roman" w:hAnsi="Times New Roman" w:cs="Times New Roman"/>
          <w:sz w:val="24"/>
          <w:szCs w:val="24"/>
        </w:rPr>
        <w:tab/>
      </w:r>
    </w:p>
    <w:p w14:paraId="0AEAD879" w14:textId="05DC36A8" w:rsidR="00A74FDC" w:rsidRPr="00532416" w:rsidRDefault="00A74FDC" w:rsidP="00A74FDC">
      <w:pPr>
        <w:tabs>
          <w:tab w:val="left" w:pos="-720"/>
        </w:tabs>
        <w:suppressAutoHyphens/>
        <w:rPr>
          <w:rFonts w:ascii="Times New Roman" w:hAnsi="Times New Roman"/>
          <w:sz w:val="24"/>
          <w:szCs w:val="24"/>
        </w:rPr>
      </w:pPr>
      <w:r w:rsidRPr="00532416">
        <w:rPr>
          <w:rFonts w:ascii="Times New Roman" w:eastAsia="Times New Roman" w:hAnsi="Times New Roman" w:cs="Times New Roman"/>
          <w:sz w:val="24"/>
          <w:szCs w:val="24"/>
        </w:rPr>
        <w:tab/>
      </w:r>
      <w:r w:rsidR="00556071" w:rsidRPr="00556071">
        <w:rPr>
          <w:rFonts w:ascii="Times New Roman" w:hAnsi="Times New Roman"/>
          <w:sz w:val="24"/>
          <w:szCs w:val="24"/>
        </w:rPr>
        <w:t>A copy of the Federal Register notice soliciting comments on this information collection (</w:t>
      </w:r>
      <w:r w:rsidR="00123E41">
        <w:rPr>
          <w:rFonts w:ascii="Times New Roman" w:hAnsi="Times New Roman" w:cs="Times New Roman"/>
          <w:sz w:val="24"/>
          <w:szCs w:val="24"/>
        </w:rPr>
        <w:t>Agency Information Collection Act</w:t>
      </w:r>
      <w:r w:rsidR="00D13F96">
        <w:rPr>
          <w:rFonts w:ascii="Times New Roman" w:hAnsi="Times New Roman" w:cs="Times New Roman"/>
          <w:sz w:val="24"/>
          <w:szCs w:val="24"/>
        </w:rPr>
        <w:t>i</w:t>
      </w:r>
      <w:r w:rsidR="00123E41">
        <w:rPr>
          <w:rFonts w:ascii="Times New Roman" w:hAnsi="Times New Roman" w:cs="Times New Roman"/>
          <w:sz w:val="24"/>
          <w:szCs w:val="24"/>
        </w:rPr>
        <w:t xml:space="preserve">vities:  Notice of Intent to Extend Collection 3038-0104:  Clearing Exemption for Swaps Between Certain Affiliated </w:t>
      </w:r>
      <w:r w:rsidR="0079151F">
        <w:rPr>
          <w:rFonts w:ascii="Times New Roman" w:hAnsi="Times New Roman" w:cs="Times New Roman"/>
          <w:sz w:val="24"/>
          <w:szCs w:val="24"/>
        </w:rPr>
        <w:t>Entities</w:t>
      </w:r>
      <w:r w:rsidR="00123E41">
        <w:rPr>
          <w:rFonts w:ascii="Times New Roman" w:hAnsi="Times New Roman" w:cs="Times New Roman"/>
          <w:sz w:val="24"/>
          <w:szCs w:val="24"/>
        </w:rPr>
        <w:t xml:space="preserve">, </w:t>
      </w:r>
      <w:r w:rsidR="0079151F">
        <w:rPr>
          <w:rFonts w:ascii="Times New Roman" w:hAnsi="Times New Roman" w:cs="Times New Roman"/>
          <w:sz w:val="24"/>
          <w:szCs w:val="24"/>
        </w:rPr>
        <w:t>84</w:t>
      </w:r>
      <w:r w:rsidR="00123E41">
        <w:rPr>
          <w:rFonts w:ascii="Times New Roman" w:hAnsi="Times New Roman" w:cs="Times New Roman"/>
          <w:sz w:val="24"/>
          <w:szCs w:val="24"/>
        </w:rPr>
        <w:t xml:space="preserve"> FR 16662 (Apr. 22, 2019)</w:t>
      </w:r>
      <w:r w:rsidR="00556071" w:rsidRPr="00556071">
        <w:rPr>
          <w:rFonts w:ascii="Times New Roman" w:hAnsi="Times New Roman"/>
          <w:sz w:val="24"/>
          <w:szCs w:val="24"/>
        </w:rPr>
        <w:t xml:space="preserve">) is attached.  </w:t>
      </w:r>
      <w:r w:rsidR="00FE390C" w:rsidRPr="00FE390C">
        <w:rPr>
          <w:rFonts w:ascii="Times New Roman" w:hAnsi="Times New Roman"/>
          <w:sz w:val="24"/>
          <w:szCs w:val="24"/>
        </w:rPr>
        <w:t>The Commission did not receive any comments on the 60-day Federal Register notice</w:t>
      </w:r>
      <w:r w:rsidR="0079151F">
        <w:rPr>
          <w:rFonts w:ascii="Times New Roman" w:hAnsi="Times New Roman"/>
          <w:sz w:val="24"/>
          <w:szCs w:val="24"/>
        </w:rPr>
        <w:t>.</w:t>
      </w:r>
    </w:p>
    <w:p w14:paraId="558B678E" w14:textId="2E6C8A35" w:rsidR="007017BF" w:rsidRPr="00532416"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sz w:val="24"/>
          <w:szCs w:val="24"/>
        </w:rPr>
        <w:tab/>
      </w:r>
      <w:r w:rsidR="00D90DAD" w:rsidRPr="00532416">
        <w:rPr>
          <w:rFonts w:ascii="Times New Roman" w:eastAsia="Times New Roman" w:hAnsi="Times New Roman" w:cs="Times New Roman"/>
          <w:sz w:val="24"/>
          <w:szCs w:val="24"/>
        </w:rPr>
        <w:t xml:space="preserve"> </w:t>
      </w:r>
      <w:r w:rsidRPr="00532416">
        <w:rPr>
          <w:rFonts w:ascii="Times New Roman" w:eastAsia="Times New Roman" w:hAnsi="Times New Roman" w:cs="Times New Roman"/>
          <w:b/>
          <w:sz w:val="24"/>
          <w:szCs w:val="24"/>
        </w:rPr>
        <w:tab/>
        <w:t>Describe efforts to consult with persons outside the agency to obtain their views on the availability of data, frequency of collection, the clarity of instructions and recordkeeping disclosure, or reporting format (if any</w:t>
      </w:r>
      <w:r w:rsidR="00414F57">
        <w:rPr>
          <w:rFonts w:ascii="Times New Roman" w:eastAsia="Times New Roman" w:hAnsi="Times New Roman" w:cs="Times New Roman"/>
          <w:b/>
          <w:sz w:val="24"/>
          <w:szCs w:val="24"/>
        </w:rPr>
        <w:t>)</w:t>
      </w:r>
      <w:r w:rsidRPr="00532416">
        <w:rPr>
          <w:rFonts w:ascii="Times New Roman" w:eastAsia="Times New Roman" w:hAnsi="Times New Roman" w:cs="Times New Roman"/>
          <w:b/>
          <w:sz w:val="24"/>
          <w:szCs w:val="24"/>
        </w:rPr>
        <w:t>, and on the data elements to be recorded, disclosed, or reported.</w:t>
      </w:r>
    </w:p>
    <w:p w14:paraId="558B678F" w14:textId="131B66DC" w:rsidR="007017BF" w:rsidRPr="00532416" w:rsidRDefault="007017BF" w:rsidP="007017BF">
      <w:pPr>
        <w:tabs>
          <w:tab w:val="left" w:pos="-720"/>
        </w:tabs>
        <w:overflowPunct w:val="0"/>
        <w:autoSpaceDE w:val="0"/>
        <w:autoSpaceDN w:val="0"/>
        <w:adjustRightInd w:val="0"/>
        <w:spacing w:after="240" w:line="240" w:lineRule="auto"/>
        <w:textAlignment w:val="baseline"/>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r>
      <w:r w:rsidR="00414F57">
        <w:rPr>
          <w:rFonts w:ascii="Times New Roman" w:eastAsia="Times New Roman" w:hAnsi="Times New Roman" w:cs="Times New Roman"/>
          <w:sz w:val="24"/>
          <w:szCs w:val="24"/>
        </w:rPr>
        <w:t xml:space="preserve">During 2017 and 2018 Commission staff reviewed and discussed the format of the end-user </w:t>
      </w:r>
      <w:r w:rsidR="004550F5">
        <w:rPr>
          <w:rFonts w:ascii="Times New Roman" w:eastAsia="Times New Roman" w:hAnsi="Times New Roman" w:cs="Times New Roman"/>
          <w:sz w:val="24"/>
          <w:szCs w:val="24"/>
        </w:rPr>
        <w:t xml:space="preserve">exception </w:t>
      </w:r>
      <w:r w:rsidR="00414F57">
        <w:rPr>
          <w:rFonts w:ascii="Times New Roman" w:eastAsia="Times New Roman" w:hAnsi="Times New Roman" w:cs="Times New Roman"/>
          <w:sz w:val="24"/>
          <w:szCs w:val="24"/>
        </w:rPr>
        <w:t>reporting forms used by one of the Commission’s provisionally-registered SDRs</w:t>
      </w:r>
      <w:r w:rsidR="001C3742">
        <w:rPr>
          <w:rFonts w:ascii="Times New Roman" w:eastAsia="Times New Roman" w:hAnsi="Times New Roman" w:cs="Times New Roman"/>
          <w:sz w:val="24"/>
          <w:szCs w:val="24"/>
        </w:rPr>
        <w:t xml:space="preserve"> with relevant staff from that SDR</w:t>
      </w:r>
      <w:r w:rsidR="00414F57">
        <w:rPr>
          <w:rFonts w:ascii="Times New Roman" w:eastAsia="Times New Roman" w:hAnsi="Times New Roman" w:cs="Times New Roman"/>
          <w:sz w:val="24"/>
          <w:szCs w:val="24"/>
        </w:rPr>
        <w:t xml:space="preserve">.  Commission staff </w:t>
      </w:r>
      <w:r w:rsidR="004550F5">
        <w:rPr>
          <w:rFonts w:ascii="Times New Roman" w:eastAsia="Times New Roman" w:hAnsi="Times New Roman" w:cs="Times New Roman"/>
          <w:sz w:val="24"/>
          <w:szCs w:val="24"/>
        </w:rPr>
        <w:t xml:space="preserve">made efforts to clarify the instructions and requested information on the end-user exception reporting form, as well as to confirm that the instructions and reporting format on the inter-affiliate exemption forms did not require updating.  </w:t>
      </w:r>
      <w:r w:rsidR="00414F57">
        <w:rPr>
          <w:rFonts w:ascii="Times New Roman" w:eastAsia="Times New Roman" w:hAnsi="Times New Roman" w:cs="Times New Roman"/>
          <w:sz w:val="24"/>
          <w:szCs w:val="24"/>
        </w:rPr>
        <w:t xml:space="preserve"> </w:t>
      </w:r>
    </w:p>
    <w:p w14:paraId="558B6790" w14:textId="77777777" w:rsidR="007017BF" w:rsidRPr="00532416"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58B6791" w14:textId="7D0724F9" w:rsidR="007017BF" w:rsidRPr="00532416" w:rsidRDefault="007017BF" w:rsidP="007017BF">
      <w:pPr>
        <w:tabs>
          <w:tab w:val="left" w:pos="-72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r>
      <w:r w:rsidR="0064722F" w:rsidRPr="00532416">
        <w:rPr>
          <w:rFonts w:ascii="Times New Roman" w:eastAsia="Times New Roman" w:hAnsi="Times New Roman" w:cs="Times New Roman"/>
          <w:sz w:val="24"/>
          <w:szCs w:val="24"/>
        </w:rPr>
        <w:t>In 201</w:t>
      </w:r>
      <w:r w:rsidR="00A44F75">
        <w:rPr>
          <w:rFonts w:ascii="Times New Roman" w:eastAsia="Times New Roman" w:hAnsi="Times New Roman" w:cs="Times New Roman"/>
          <w:sz w:val="24"/>
          <w:szCs w:val="24"/>
        </w:rPr>
        <w:t>7</w:t>
      </w:r>
      <w:r w:rsidR="0064722F" w:rsidRPr="00532416">
        <w:rPr>
          <w:rFonts w:ascii="Times New Roman" w:eastAsia="Times New Roman" w:hAnsi="Times New Roman" w:cs="Times New Roman"/>
          <w:sz w:val="24"/>
          <w:szCs w:val="24"/>
        </w:rPr>
        <w:t xml:space="preserve">, </w:t>
      </w:r>
      <w:r w:rsidR="00A44F75">
        <w:rPr>
          <w:rFonts w:ascii="Times New Roman" w:eastAsia="Times New Roman" w:hAnsi="Times New Roman" w:cs="Times New Roman"/>
          <w:sz w:val="24"/>
          <w:szCs w:val="24"/>
        </w:rPr>
        <w:t xml:space="preserve">Commission staff communicated with representatives from one of the provisionally-registered SDRs responsible for </w:t>
      </w:r>
      <w:r w:rsidR="00F7161A">
        <w:rPr>
          <w:rFonts w:ascii="Times New Roman" w:eastAsia="Times New Roman" w:hAnsi="Times New Roman" w:cs="Times New Roman"/>
          <w:sz w:val="24"/>
          <w:szCs w:val="24"/>
        </w:rPr>
        <w:t xml:space="preserve">collecting, </w:t>
      </w:r>
      <w:r w:rsidR="00A44F75">
        <w:rPr>
          <w:rFonts w:ascii="Times New Roman" w:eastAsia="Times New Roman" w:hAnsi="Times New Roman" w:cs="Times New Roman"/>
          <w:sz w:val="24"/>
          <w:szCs w:val="24"/>
        </w:rPr>
        <w:t>compiling</w:t>
      </w:r>
      <w:r w:rsidR="00F7161A">
        <w:rPr>
          <w:rFonts w:ascii="Times New Roman" w:eastAsia="Times New Roman" w:hAnsi="Times New Roman" w:cs="Times New Roman"/>
          <w:sz w:val="24"/>
          <w:szCs w:val="24"/>
        </w:rPr>
        <w:t>,</w:t>
      </w:r>
      <w:r w:rsidR="00A44F75">
        <w:rPr>
          <w:rFonts w:ascii="Times New Roman" w:eastAsia="Times New Roman" w:hAnsi="Times New Roman" w:cs="Times New Roman"/>
          <w:sz w:val="24"/>
          <w:szCs w:val="24"/>
        </w:rPr>
        <w:t xml:space="preserve"> and organizing the reported information</w:t>
      </w:r>
      <w:r w:rsidRPr="00532416">
        <w:rPr>
          <w:rFonts w:ascii="Times New Roman" w:eastAsia="Times New Roman" w:hAnsi="Times New Roman" w:cs="Times New Roman"/>
          <w:sz w:val="24"/>
          <w:szCs w:val="24"/>
        </w:rPr>
        <w:t>.</w:t>
      </w:r>
      <w:r w:rsidR="00A44F75">
        <w:rPr>
          <w:rFonts w:ascii="Times New Roman" w:eastAsia="Times New Roman" w:hAnsi="Times New Roman" w:cs="Times New Roman"/>
          <w:sz w:val="24"/>
          <w:szCs w:val="24"/>
        </w:rPr>
        <w:t xml:space="preserve">  </w:t>
      </w:r>
      <w:r w:rsidRPr="00532416">
        <w:rPr>
          <w:rFonts w:ascii="Times New Roman" w:eastAsia="Times New Roman" w:hAnsi="Times New Roman" w:cs="Times New Roman"/>
          <w:sz w:val="24"/>
          <w:szCs w:val="24"/>
        </w:rPr>
        <w:t xml:space="preserve">  </w:t>
      </w:r>
    </w:p>
    <w:p w14:paraId="558B6792" w14:textId="77777777" w:rsidR="007017BF" w:rsidRPr="00532416" w:rsidRDefault="007017BF" w:rsidP="007017BF">
      <w:pPr>
        <w:tabs>
          <w:tab w:val="left" w:pos="-72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9.</w:t>
      </w:r>
      <w:r w:rsidRPr="00532416">
        <w:rPr>
          <w:rFonts w:ascii="Times New Roman" w:eastAsia="Times New Roman" w:hAnsi="Times New Roman" w:cs="Times New Roman"/>
          <w:b/>
          <w:sz w:val="24"/>
          <w:szCs w:val="24"/>
        </w:rPr>
        <w:tab/>
        <w:t>Explain any decision to provide any payment or gift to respondents, other than remuneration of contractors or grantees.</w:t>
      </w:r>
    </w:p>
    <w:p w14:paraId="558B6793" w14:textId="77777777" w:rsidR="007017BF" w:rsidRPr="00532416" w:rsidRDefault="007017BF" w:rsidP="007017BF">
      <w:pPr>
        <w:tabs>
          <w:tab w:val="left" w:pos="-72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This question does not apply.</w:t>
      </w:r>
    </w:p>
    <w:p w14:paraId="558B6794" w14:textId="77777777" w:rsidR="007017BF" w:rsidRPr="00532416" w:rsidRDefault="007017BF" w:rsidP="007017BF">
      <w:pPr>
        <w:tabs>
          <w:tab w:val="left" w:pos="-72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10.</w:t>
      </w:r>
      <w:r w:rsidRPr="00532416">
        <w:rPr>
          <w:rFonts w:ascii="Times New Roman" w:eastAsia="Times New Roman" w:hAnsi="Times New Roman" w:cs="Times New Roman"/>
          <w:b/>
          <w:sz w:val="24"/>
          <w:szCs w:val="24"/>
        </w:rPr>
        <w:tab/>
        <w:t>Describe any assurance of confidentiality provided to respondents and the basis for the assurance in statute, regulations, or agency policy.</w:t>
      </w:r>
    </w:p>
    <w:p w14:paraId="558B6795" w14:textId="4729383C" w:rsidR="007017BF" w:rsidRPr="00532416" w:rsidRDefault="007017BF" w:rsidP="007017BF">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r>
      <w:r w:rsidR="00556071" w:rsidRPr="00556071">
        <w:rPr>
          <w:rFonts w:ascii="Times New Roman" w:eastAsia="Times New Roman" w:hAnsi="Times New Roman" w:cs="Times New Roman"/>
          <w:sz w:val="24"/>
          <w:szCs w:val="24"/>
        </w:rPr>
        <w:t>The Commission does not provide respondents with an assurance of confidentiality beyond that provided by applicable law.  The Commission fully complies with section 8(a)(1) of the CEA, which strictly prohibits the Commission, unless specifically authorized by the CEA, from making public “data and information that would separately disclose the business transactions or market public positions of any person and trade secrets or names of customers.”  The Commission has procedures to protect the confidentiality of a respondent’s data. These are set forth in the Commission’s regulations at part 145 of the Code of Federal Regulations</w:t>
      </w:r>
      <w:r w:rsidRPr="00532416">
        <w:rPr>
          <w:rFonts w:ascii="Times New Roman" w:eastAsia="Times New Roman" w:hAnsi="Times New Roman" w:cs="Times New Roman"/>
          <w:sz w:val="24"/>
          <w:szCs w:val="24"/>
        </w:rPr>
        <w:t>.</w:t>
      </w:r>
    </w:p>
    <w:p w14:paraId="558B6796" w14:textId="77777777" w:rsidR="007017BF" w:rsidRPr="00532416" w:rsidRDefault="007017BF" w:rsidP="007017BF">
      <w:pPr>
        <w:tabs>
          <w:tab w:val="left" w:pos="-72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11.</w:t>
      </w:r>
      <w:r w:rsidRPr="00532416">
        <w:rPr>
          <w:rFonts w:ascii="Times New Roman" w:eastAsia="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58B6797" w14:textId="16225C6C" w:rsidR="007017BF" w:rsidRPr="00532416" w:rsidRDefault="007017BF" w:rsidP="007017BF">
      <w:pPr>
        <w:tabs>
          <w:tab w:val="left" w:pos="-72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 xml:space="preserve">The </w:t>
      </w:r>
      <w:r w:rsidR="001C3742">
        <w:rPr>
          <w:rFonts w:ascii="Times New Roman" w:eastAsia="Times New Roman" w:hAnsi="Times New Roman" w:cs="Times New Roman"/>
          <w:sz w:val="24"/>
          <w:szCs w:val="24"/>
        </w:rPr>
        <w:t xml:space="preserve">inter-affiliate </w:t>
      </w:r>
      <w:r w:rsidRPr="00532416">
        <w:rPr>
          <w:rFonts w:ascii="Times New Roman" w:eastAsia="Times New Roman" w:hAnsi="Times New Roman" w:cs="Times New Roman"/>
          <w:sz w:val="24"/>
          <w:szCs w:val="24"/>
        </w:rPr>
        <w:t xml:space="preserve">exemption does not require </w:t>
      </w:r>
      <w:r w:rsidR="001C3742">
        <w:rPr>
          <w:rFonts w:ascii="Times New Roman" w:eastAsia="Times New Roman" w:hAnsi="Times New Roman" w:cs="Times New Roman"/>
          <w:sz w:val="24"/>
          <w:szCs w:val="24"/>
        </w:rPr>
        <w:t>any persons to report</w:t>
      </w:r>
      <w:r w:rsidRPr="00532416">
        <w:rPr>
          <w:rFonts w:ascii="Times New Roman" w:eastAsia="Times New Roman" w:hAnsi="Times New Roman" w:cs="Times New Roman"/>
          <w:sz w:val="24"/>
          <w:szCs w:val="24"/>
        </w:rPr>
        <w:t xml:space="preserve"> sensitive information, as that term is used in Question 11.</w:t>
      </w:r>
    </w:p>
    <w:p w14:paraId="558B6798" w14:textId="77777777" w:rsidR="007017BF" w:rsidRPr="00532416"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12.</w:t>
      </w:r>
      <w:r w:rsidRPr="00532416">
        <w:rPr>
          <w:rFonts w:ascii="Times New Roman" w:eastAsia="Times New Roman" w:hAnsi="Times New Roman" w:cs="Times New Roman"/>
          <w:b/>
          <w:sz w:val="24"/>
          <w:szCs w:val="24"/>
        </w:rPr>
        <w:tab/>
        <w:t>Provide estimates of the hour burden of the collection of information.  The Statement should:</w:t>
      </w:r>
    </w:p>
    <w:p w14:paraId="558B6799" w14:textId="252F03D6" w:rsidR="007017BF" w:rsidRPr="00532416" w:rsidRDefault="00BD4596"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7017BF" w:rsidRPr="00532416">
        <w:rPr>
          <w:rFonts w:ascii="Times New Roman" w:eastAsia="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58B679A"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If the request for approval covers more than one form, provide separate hour burden estimates for each form and aggregate the hour burdens in Item 13 of OMB Form 83-I.</w:t>
      </w:r>
    </w:p>
    <w:p w14:paraId="558B679B"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 xml:space="preserve">Provide estimates of annualized cost to respondents for the hours burdens for collections of information, identifying and using appropriate wage rate categories.  The cost of contracting </w:t>
      </w:r>
      <w:r w:rsidR="00695BB7" w:rsidRPr="00532416">
        <w:rPr>
          <w:rFonts w:ascii="Times New Roman" w:eastAsia="Times New Roman" w:hAnsi="Times New Roman" w:cs="Times New Roman"/>
          <w:b/>
          <w:sz w:val="24"/>
          <w:szCs w:val="24"/>
        </w:rPr>
        <w:t>out</w:t>
      </w:r>
      <w:r w:rsidRPr="00532416">
        <w:rPr>
          <w:rFonts w:ascii="Times New Roman" w:eastAsia="Times New Roman" w:hAnsi="Times New Roman" w:cs="Times New Roman"/>
          <w:b/>
          <w:sz w:val="24"/>
          <w:szCs w:val="24"/>
        </w:rPr>
        <w:t xml:space="preserve"> or paying outside parties for information collection activities should not be included here.  Instead, this cost should be included in Item 13.</w:t>
      </w:r>
    </w:p>
    <w:p w14:paraId="558B679C" w14:textId="1FFEBA77" w:rsidR="007017BF" w:rsidRPr="00532416" w:rsidRDefault="007017BF" w:rsidP="00A442F5">
      <w:pPr>
        <w:tabs>
          <w:tab w:val="left" w:pos="-720"/>
        </w:tabs>
        <w:spacing w:after="240" w:line="240" w:lineRule="auto"/>
        <w:jc w:val="both"/>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r>
      <w:r w:rsidRPr="00BD4596">
        <w:rPr>
          <w:rFonts w:ascii="Times New Roman" w:eastAsia="Times New Roman" w:hAnsi="Times New Roman" w:cs="Times New Roman"/>
          <w:i/>
          <w:sz w:val="24"/>
          <w:szCs w:val="24"/>
        </w:rPr>
        <w:t xml:space="preserve">See </w:t>
      </w:r>
      <w:r w:rsidRPr="00BD4596">
        <w:rPr>
          <w:rFonts w:ascii="Times New Roman" w:eastAsia="Times New Roman" w:hAnsi="Times New Roman" w:cs="Times New Roman"/>
          <w:sz w:val="24"/>
          <w:szCs w:val="24"/>
        </w:rPr>
        <w:t>Attachment A.</w:t>
      </w:r>
      <w:r w:rsidRPr="00532416">
        <w:rPr>
          <w:rFonts w:ascii="Times New Roman" w:eastAsia="Times New Roman" w:hAnsi="Times New Roman" w:cs="Times New Roman"/>
          <w:sz w:val="24"/>
          <w:szCs w:val="24"/>
        </w:rPr>
        <w:t xml:space="preserve">  The Commission estimates that</w:t>
      </w:r>
      <w:r w:rsidR="00A442F5">
        <w:rPr>
          <w:rFonts w:ascii="Times New Roman" w:eastAsia="Times New Roman" w:hAnsi="Times New Roman" w:cs="Times New Roman"/>
          <w:sz w:val="24"/>
          <w:szCs w:val="24"/>
        </w:rPr>
        <w:t xml:space="preserve"> approximately</w:t>
      </w:r>
      <w:r w:rsidRPr="00532416">
        <w:rPr>
          <w:rFonts w:ascii="Times New Roman" w:eastAsia="Times New Roman" w:hAnsi="Times New Roman" w:cs="Times New Roman"/>
          <w:sz w:val="24"/>
          <w:szCs w:val="24"/>
        </w:rPr>
        <w:t xml:space="preserve"> </w:t>
      </w:r>
      <w:r w:rsidR="00A442F5">
        <w:rPr>
          <w:rFonts w:ascii="Times New Roman" w:eastAsia="Times New Roman" w:hAnsi="Times New Roman" w:cs="Times New Roman"/>
          <w:sz w:val="24"/>
          <w:szCs w:val="24"/>
        </w:rPr>
        <w:t>310</w:t>
      </w:r>
      <w:r w:rsidRPr="00532416">
        <w:rPr>
          <w:rFonts w:ascii="Times New Roman" w:eastAsia="Times New Roman" w:hAnsi="Times New Roman" w:cs="Times New Roman"/>
          <w:sz w:val="24"/>
          <w:szCs w:val="24"/>
        </w:rPr>
        <w:t xml:space="preserve"> respondents file a total of </w:t>
      </w:r>
      <w:r w:rsidR="00A442F5">
        <w:rPr>
          <w:rFonts w:ascii="Times New Roman" w:eastAsia="Times New Roman" w:hAnsi="Times New Roman" w:cs="Times New Roman"/>
          <w:sz w:val="24"/>
          <w:szCs w:val="24"/>
        </w:rPr>
        <w:t>310</w:t>
      </w:r>
      <w:r w:rsidRPr="00532416">
        <w:rPr>
          <w:rFonts w:ascii="Times New Roman" w:eastAsia="Times New Roman" w:hAnsi="Times New Roman" w:cs="Times New Roman"/>
          <w:sz w:val="24"/>
          <w:szCs w:val="24"/>
        </w:rPr>
        <w:t xml:space="preserve"> responses annually.  The estimated average number of hours required to report each </w:t>
      </w:r>
      <w:r w:rsidR="00CE2633" w:rsidRPr="00532416">
        <w:rPr>
          <w:rFonts w:ascii="Times New Roman" w:eastAsia="Times New Roman" w:hAnsi="Times New Roman" w:cs="Times New Roman"/>
          <w:sz w:val="24"/>
          <w:szCs w:val="24"/>
        </w:rPr>
        <w:t>annual report</w:t>
      </w:r>
      <w:r w:rsidRPr="00532416">
        <w:rPr>
          <w:rFonts w:ascii="Times New Roman" w:eastAsia="Times New Roman" w:hAnsi="Times New Roman" w:cs="Times New Roman"/>
          <w:sz w:val="24"/>
          <w:szCs w:val="24"/>
        </w:rPr>
        <w:t xml:space="preserve"> is </w:t>
      </w:r>
      <w:r w:rsidR="00CE2633" w:rsidRPr="00532416">
        <w:rPr>
          <w:rFonts w:ascii="Times New Roman" w:eastAsia="Times New Roman" w:hAnsi="Times New Roman" w:cs="Times New Roman"/>
          <w:sz w:val="24"/>
          <w:szCs w:val="24"/>
        </w:rPr>
        <w:t>1 hour</w:t>
      </w:r>
      <w:r w:rsidRPr="00532416">
        <w:rPr>
          <w:rFonts w:ascii="Times New Roman" w:eastAsia="Times New Roman" w:hAnsi="Times New Roman" w:cs="Times New Roman"/>
          <w:sz w:val="24"/>
          <w:szCs w:val="24"/>
        </w:rPr>
        <w:t>.  The cost of the hourly burden per</w:t>
      </w:r>
      <w:r w:rsidR="00CE2633" w:rsidRPr="00532416">
        <w:rPr>
          <w:rFonts w:ascii="Times New Roman" w:eastAsia="Times New Roman" w:hAnsi="Times New Roman" w:cs="Times New Roman"/>
          <w:sz w:val="24"/>
          <w:szCs w:val="24"/>
        </w:rPr>
        <w:t xml:space="preserve"> annual report</w:t>
      </w:r>
      <w:r w:rsidRPr="00532416">
        <w:rPr>
          <w:rFonts w:ascii="Times New Roman" w:eastAsia="Times New Roman" w:hAnsi="Times New Roman" w:cs="Times New Roman"/>
          <w:sz w:val="24"/>
          <w:szCs w:val="24"/>
        </w:rPr>
        <w:t xml:space="preserve"> is estimated to be $</w:t>
      </w:r>
      <w:r w:rsidR="00CE2633" w:rsidRPr="00532416">
        <w:rPr>
          <w:rFonts w:ascii="Times New Roman" w:eastAsia="Times New Roman" w:hAnsi="Times New Roman" w:cs="Times New Roman"/>
          <w:sz w:val="24"/>
          <w:szCs w:val="24"/>
        </w:rPr>
        <w:t>60.40</w:t>
      </w:r>
      <w:r w:rsidRPr="00532416">
        <w:rPr>
          <w:rFonts w:ascii="Times New Roman" w:eastAsia="Times New Roman" w:hAnsi="Times New Roman" w:cs="Times New Roman"/>
          <w:sz w:val="24"/>
          <w:szCs w:val="24"/>
        </w:rPr>
        <w:t xml:space="preserve">.    </w:t>
      </w:r>
    </w:p>
    <w:p w14:paraId="558B679D" w14:textId="77777777" w:rsidR="007017BF" w:rsidRPr="00532416" w:rsidRDefault="007017BF" w:rsidP="007017BF">
      <w:pPr>
        <w:keepNext/>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13.</w:t>
      </w:r>
      <w:r w:rsidRPr="00532416">
        <w:rPr>
          <w:rFonts w:ascii="Times New Roman" w:eastAsia="Times New Roman" w:hAnsi="Times New Roman" w:cs="Times New Roman"/>
          <w:b/>
          <w:sz w:val="24"/>
          <w:szCs w:val="24"/>
        </w:rPr>
        <w:tab/>
        <w:t xml:space="preserve">Provide an estimate of the total annual cost burden to respondents or recordkeepers resulting </w:t>
      </w:r>
      <w:r w:rsidR="00695BB7" w:rsidRPr="00532416">
        <w:rPr>
          <w:rFonts w:ascii="Times New Roman" w:eastAsia="Times New Roman" w:hAnsi="Times New Roman" w:cs="Times New Roman"/>
          <w:b/>
          <w:sz w:val="24"/>
          <w:szCs w:val="24"/>
        </w:rPr>
        <w:t>from</w:t>
      </w:r>
      <w:r w:rsidRPr="00532416">
        <w:rPr>
          <w:rFonts w:ascii="Times New Roman" w:eastAsia="Times New Roman" w:hAnsi="Times New Roman" w:cs="Times New Roman"/>
          <w:b/>
          <w:sz w:val="24"/>
          <w:szCs w:val="24"/>
        </w:rPr>
        <w:t xml:space="preserve"> the collection of information.  (Do not include the cost of any hour burden shown in Items 12 and 14).</w:t>
      </w:r>
    </w:p>
    <w:p w14:paraId="558B679E"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58B679F"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558B67A0" w14:textId="77777777" w:rsidR="007017BF" w:rsidRPr="00532416" w:rsidRDefault="007017BF" w:rsidP="007017BF">
      <w:pPr>
        <w:numPr>
          <w:ilvl w:val="0"/>
          <w:numId w:val="1"/>
        </w:numPr>
        <w:tabs>
          <w:tab w:val="left" w:pos="-720"/>
          <w:tab w:val="left" w:pos="0"/>
          <w:tab w:val="left" w:pos="720"/>
          <w:tab w:val="num" w:pos="1080"/>
        </w:tabs>
        <w:spacing w:after="240" w:line="240" w:lineRule="auto"/>
        <w:ind w:left="1080" w:hanging="360"/>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0E3D556" w14:textId="74B84148" w:rsidR="00CE2633" w:rsidRPr="00532416" w:rsidRDefault="007017BF" w:rsidP="00A442F5">
      <w:pPr>
        <w:tabs>
          <w:tab w:val="left" w:pos="-720"/>
        </w:tabs>
        <w:suppressAutoHyphens/>
        <w:ind w:hanging="720"/>
        <w:jc w:val="both"/>
        <w:rPr>
          <w:rFonts w:ascii="Times New Roman" w:hAnsi="Times New Roman"/>
          <w:sz w:val="24"/>
          <w:szCs w:val="24"/>
        </w:rPr>
      </w:pPr>
      <w:r w:rsidRPr="00532416">
        <w:rPr>
          <w:rFonts w:ascii="Times New Roman" w:eastAsia="Times New Roman" w:hAnsi="Times New Roman" w:cs="Times New Roman"/>
          <w:sz w:val="24"/>
          <w:szCs w:val="24"/>
        </w:rPr>
        <w:tab/>
      </w:r>
      <w:r w:rsidR="00CE2633" w:rsidRPr="00532416">
        <w:rPr>
          <w:rFonts w:ascii="Times New Roman" w:hAnsi="Times New Roman"/>
          <w:sz w:val="24"/>
          <w:szCs w:val="24"/>
        </w:rPr>
        <w:tab/>
        <w:t xml:space="preserve">To the extent that the collection is being renewed, the Commission believes that </w:t>
      </w:r>
      <w:r w:rsidR="00556071">
        <w:rPr>
          <w:rFonts w:ascii="Times New Roman" w:hAnsi="Times New Roman"/>
          <w:sz w:val="24"/>
          <w:szCs w:val="24"/>
        </w:rPr>
        <w:t>capital and start-up costs have already be</w:t>
      </w:r>
      <w:r w:rsidR="00A442F5">
        <w:rPr>
          <w:rFonts w:ascii="Times New Roman" w:hAnsi="Times New Roman"/>
          <w:sz w:val="24"/>
          <w:szCs w:val="24"/>
        </w:rPr>
        <w:t>en</w:t>
      </w:r>
      <w:r w:rsidR="00556071">
        <w:rPr>
          <w:rFonts w:ascii="Times New Roman" w:hAnsi="Times New Roman"/>
          <w:sz w:val="24"/>
          <w:szCs w:val="24"/>
        </w:rPr>
        <w:t xml:space="preserve"> incurred and </w:t>
      </w:r>
      <w:r w:rsidR="00CE2633" w:rsidRPr="00532416">
        <w:rPr>
          <w:rFonts w:ascii="Times New Roman" w:hAnsi="Times New Roman"/>
          <w:sz w:val="24"/>
          <w:szCs w:val="24"/>
        </w:rPr>
        <w:t xml:space="preserve">the additional technological infrastructure required to satisfy the reporting responsibility will be minimal.  </w:t>
      </w:r>
      <w:r w:rsidR="00A442F5">
        <w:rPr>
          <w:rFonts w:ascii="Times New Roman" w:hAnsi="Times New Roman"/>
          <w:sz w:val="24"/>
          <w:szCs w:val="24"/>
        </w:rPr>
        <w:t>Commission regulation</w:t>
      </w:r>
      <w:r w:rsidR="00CE2633" w:rsidRPr="00532416">
        <w:rPr>
          <w:rFonts w:ascii="Times New Roman" w:hAnsi="Times New Roman"/>
          <w:sz w:val="24"/>
          <w:szCs w:val="24"/>
        </w:rPr>
        <w:t xml:space="preserve"> 50.52 requires the reporting counterparty to report specified information to a registered SDR either on an annual basis or each time a swap relying on the </w:t>
      </w:r>
      <w:r w:rsidR="00A442F5">
        <w:rPr>
          <w:rFonts w:ascii="Times New Roman" w:hAnsi="Times New Roman"/>
          <w:sz w:val="24"/>
          <w:szCs w:val="24"/>
        </w:rPr>
        <w:t xml:space="preserve">inter-affiliate </w:t>
      </w:r>
      <w:r w:rsidR="00CE2633" w:rsidRPr="00532416">
        <w:rPr>
          <w:rFonts w:ascii="Times New Roman" w:hAnsi="Times New Roman"/>
          <w:sz w:val="24"/>
          <w:szCs w:val="24"/>
        </w:rPr>
        <w:t xml:space="preserve">exemption is entered into.  The Commission understands that all reporting counterparties file this report on an annual basis.  The Commission understands that this report is filed by relatively simple means, by accessing </w:t>
      </w:r>
      <w:r w:rsidR="00A442F5">
        <w:rPr>
          <w:rFonts w:ascii="Times New Roman" w:hAnsi="Times New Roman"/>
          <w:sz w:val="24"/>
          <w:szCs w:val="24"/>
        </w:rPr>
        <w:t xml:space="preserve">a pdf form on a </w:t>
      </w:r>
      <w:r w:rsidR="00CE2633" w:rsidRPr="00532416">
        <w:rPr>
          <w:rFonts w:ascii="Times New Roman" w:hAnsi="Times New Roman"/>
          <w:sz w:val="24"/>
          <w:szCs w:val="24"/>
        </w:rPr>
        <w:t xml:space="preserve">website and providing basic information.  </w:t>
      </w:r>
    </w:p>
    <w:p w14:paraId="558B67A2" w14:textId="77777777" w:rsidR="007017BF" w:rsidRPr="00532416" w:rsidRDefault="007017BF" w:rsidP="007017BF">
      <w:pPr>
        <w:tabs>
          <w:tab w:val="left" w:pos="-72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14.</w:t>
      </w:r>
      <w:r w:rsidRPr="00532416">
        <w:rPr>
          <w:rFonts w:ascii="Times New Roman" w:eastAsia="Times New Roman" w:hAnsi="Times New Roman" w:cs="Times New Roman"/>
          <w:b/>
          <w:sz w:val="24"/>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3D96FDFC" w14:textId="5365B1E9" w:rsidR="00EE66D4" w:rsidRPr="00532416" w:rsidRDefault="007017BF" w:rsidP="00A442F5">
      <w:pPr>
        <w:tabs>
          <w:tab w:val="left" w:pos="-720"/>
        </w:tabs>
        <w:spacing w:after="240" w:line="240" w:lineRule="auto"/>
        <w:jc w:val="both"/>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r>
      <w:r w:rsidR="00EE66D4" w:rsidRPr="00532416">
        <w:rPr>
          <w:rFonts w:ascii="Times New Roman" w:hAnsi="Times New Roman"/>
          <w:sz w:val="24"/>
          <w:szCs w:val="24"/>
        </w:rPr>
        <w:t>No additional costs to the government will result from the renewal of this collection of information.</w:t>
      </w:r>
    </w:p>
    <w:p w14:paraId="558B67A5" w14:textId="77777777" w:rsidR="007017BF" w:rsidRPr="00532416"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15.</w:t>
      </w:r>
      <w:r w:rsidRPr="00532416">
        <w:rPr>
          <w:rFonts w:ascii="Times New Roman" w:eastAsia="Times New Roman" w:hAnsi="Times New Roman" w:cs="Times New Roman"/>
          <w:b/>
          <w:sz w:val="24"/>
          <w:szCs w:val="24"/>
        </w:rPr>
        <w:tab/>
        <w:t>Explain the reasons for any program changes or adjustments reported in Items 13 or 14 of the OMB Form 83-I.</w:t>
      </w:r>
    </w:p>
    <w:p w14:paraId="1456053E" w14:textId="0EE82CE7" w:rsidR="00051079" w:rsidRDefault="007017BF" w:rsidP="00A442F5">
      <w:pPr>
        <w:tabs>
          <w:tab w:val="left" w:pos="-720"/>
        </w:tabs>
        <w:suppressAutoHyphens/>
        <w:jc w:val="both"/>
        <w:rPr>
          <w:rFonts w:ascii="Times New Roman" w:hAnsi="Times New Roman"/>
          <w:sz w:val="24"/>
          <w:szCs w:val="24"/>
        </w:rPr>
      </w:pPr>
      <w:r w:rsidRPr="00532416">
        <w:rPr>
          <w:rFonts w:ascii="Times New Roman" w:eastAsia="Times New Roman" w:hAnsi="Times New Roman" w:cs="Times New Roman"/>
          <w:sz w:val="24"/>
          <w:szCs w:val="24"/>
        </w:rPr>
        <w:tab/>
      </w:r>
      <w:r w:rsidR="00795106" w:rsidRPr="00532416">
        <w:rPr>
          <w:rFonts w:ascii="Times New Roman" w:hAnsi="Times New Roman"/>
          <w:sz w:val="24"/>
          <w:szCs w:val="24"/>
        </w:rPr>
        <w:t xml:space="preserve">Commission </w:t>
      </w:r>
      <w:r w:rsidR="00A442F5">
        <w:rPr>
          <w:rFonts w:ascii="Times New Roman" w:hAnsi="Times New Roman"/>
          <w:sz w:val="24"/>
          <w:szCs w:val="24"/>
        </w:rPr>
        <w:t xml:space="preserve">staff </w:t>
      </w:r>
      <w:r w:rsidR="00795106" w:rsidRPr="00532416">
        <w:rPr>
          <w:rFonts w:ascii="Times New Roman" w:hAnsi="Times New Roman"/>
          <w:sz w:val="24"/>
          <w:szCs w:val="24"/>
        </w:rPr>
        <w:t xml:space="preserve">developed </w:t>
      </w:r>
      <w:r w:rsidR="00F85F61">
        <w:rPr>
          <w:rFonts w:ascii="Times New Roman" w:hAnsi="Times New Roman"/>
          <w:sz w:val="24"/>
          <w:szCs w:val="24"/>
        </w:rPr>
        <w:t xml:space="preserve">and updated </w:t>
      </w:r>
      <w:r w:rsidR="00795106" w:rsidRPr="00532416">
        <w:rPr>
          <w:rFonts w:ascii="Times New Roman" w:hAnsi="Times New Roman"/>
          <w:sz w:val="24"/>
          <w:szCs w:val="24"/>
        </w:rPr>
        <w:t xml:space="preserve">its new estimates using information </w:t>
      </w:r>
      <w:r w:rsidR="00A442F5">
        <w:rPr>
          <w:rFonts w:ascii="Times New Roman" w:hAnsi="Times New Roman"/>
          <w:sz w:val="24"/>
          <w:szCs w:val="24"/>
        </w:rPr>
        <w:t xml:space="preserve">available </w:t>
      </w:r>
      <w:r w:rsidR="00795106" w:rsidRPr="00532416">
        <w:rPr>
          <w:rFonts w:ascii="Times New Roman" w:hAnsi="Times New Roman"/>
          <w:sz w:val="24"/>
          <w:szCs w:val="24"/>
        </w:rPr>
        <w:t xml:space="preserve">from </w:t>
      </w:r>
      <w:r w:rsidR="00A442F5">
        <w:rPr>
          <w:rFonts w:ascii="Times New Roman" w:hAnsi="Times New Roman"/>
          <w:sz w:val="24"/>
          <w:szCs w:val="24"/>
        </w:rPr>
        <w:t>one of the Commission’s provisionally-registered</w:t>
      </w:r>
      <w:r w:rsidR="00795106" w:rsidRPr="00532416">
        <w:rPr>
          <w:rFonts w:ascii="Times New Roman" w:hAnsi="Times New Roman"/>
          <w:sz w:val="24"/>
          <w:szCs w:val="24"/>
        </w:rPr>
        <w:t xml:space="preserve"> SDRs </w:t>
      </w:r>
      <w:r w:rsidR="009F3AED">
        <w:rPr>
          <w:rFonts w:ascii="Times New Roman" w:hAnsi="Times New Roman"/>
          <w:sz w:val="24"/>
          <w:szCs w:val="24"/>
        </w:rPr>
        <w:t>that is more commonly used to report</w:t>
      </w:r>
      <w:r w:rsidR="00A442F5">
        <w:rPr>
          <w:rFonts w:ascii="Times New Roman" w:hAnsi="Times New Roman"/>
          <w:sz w:val="24"/>
          <w:szCs w:val="24"/>
        </w:rPr>
        <w:t xml:space="preserve"> uncleared swaps</w:t>
      </w:r>
      <w:r w:rsidR="00795106" w:rsidRPr="00532416">
        <w:rPr>
          <w:rFonts w:ascii="Times New Roman" w:hAnsi="Times New Roman"/>
          <w:sz w:val="24"/>
          <w:szCs w:val="24"/>
        </w:rPr>
        <w:t xml:space="preserve">.  </w:t>
      </w:r>
      <w:r w:rsidR="00051079">
        <w:rPr>
          <w:rFonts w:ascii="Times New Roman" w:hAnsi="Times New Roman"/>
          <w:sz w:val="24"/>
          <w:szCs w:val="24"/>
        </w:rPr>
        <w:t xml:space="preserve">In the past, Commission staff had </w:t>
      </w:r>
      <w:r w:rsidR="009F3AED">
        <w:rPr>
          <w:rFonts w:ascii="Times New Roman" w:hAnsi="Times New Roman"/>
          <w:sz w:val="24"/>
          <w:szCs w:val="24"/>
        </w:rPr>
        <w:t>obtained data from</w:t>
      </w:r>
      <w:r w:rsidR="00051079">
        <w:rPr>
          <w:rFonts w:ascii="Times New Roman" w:hAnsi="Times New Roman"/>
          <w:sz w:val="24"/>
          <w:szCs w:val="24"/>
        </w:rPr>
        <w:t xml:space="preserve"> two provisionally-registered SDRs to </w:t>
      </w:r>
      <w:r w:rsidR="009F3AED">
        <w:rPr>
          <w:rFonts w:ascii="Times New Roman" w:hAnsi="Times New Roman"/>
          <w:sz w:val="24"/>
          <w:szCs w:val="24"/>
        </w:rPr>
        <w:t xml:space="preserve">estimate </w:t>
      </w:r>
      <w:r w:rsidR="00051079">
        <w:rPr>
          <w:rFonts w:ascii="Times New Roman" w:hAnsi="Times New Roman"/>
          <w:sz w:val="24"/>
          <w:szCs w:val="24"/>
        </w:rPr>
        <w:t xml:space="preserve">the number of </w:t>
      </w:r>
      <w:r w:rsidR="00EF7960">
        <w:rPr>
          <w:rFonts w:ascii="Times New Roman" w:hAnsi="Times New Roman"/>
          <w:sz w:val="24"/>
          <w:szCs w:val="24"/>
        </w:rPr>
        <w:t>respondents</w:t>
      </w:r>
      <w:r w:rsidR="00051079">
        <w:rPr>
          <w:rFonts w:ascii="Times New Roman" w:hAnsi="Times New Roman"/>
          <w:sz w:val="24"/>
          <w:szCs w:val="24"/>
        </w:rPr>
        <w:t xml:space="preserve"> who provide the information subject t</w:t>
      </w:r>
      <w:r w:rsidR="009F3AED">
        <w:rPr>
          <w:rFonts w:ascii="Times New Roman" w:hAnsi="Times New Roman"/>
          <w:sz w:val="24"/>
          <w:szCs w:val="24"/>
        </w:rPr>
        <w:t>o this collection.  One of the</w:t>
      </w:r>
      <w:r w:rsidR="00051079">
        <w:rPr>
          <w:rFonts w:ascii="Times New Roman" w:hAnsi="Times New Roman"/>
          <w:sz w:val="24"/>
          <w:szCs w:val="24"/>
        </w:rPr>
        <w:t xml:space="preserve"> SDRs</w:t>
      </w:r>
      <w:r w:rsidR="009F3AED">
        <w:rPr>
          <w:rFonts w:ascii="Times New Roman" w:hAnsi="Times New Roman"/>
          <w:sz w:val="24"/>
          <w:szCs w:val="24"/>
        </w:rPr>
        <w:t xml:space="preserve"> that had provided data in the past recently withdrew</w:t>
      </w:r>
      <w:r w:rsidR="00051079">
        <w:rPr>
          <w:rFonts w:ascii="Times New Roman" w:hAnsi="Times New Roman"/>
          <w:sz w:val="24"/>
          <w:szCs w:val="24"/>
        </w:rPr>
        <w:t xml:space="preserve"> its registration </w:t>
      </w:r>
      <w:r w:rsidR="009F3AED">
        <w:rPr>
          <w:rFonts w:ascii="Times New Roman" w:hAnsi="Times New Roman"/>
          <w:sz w:val="24"/>
          <w:szCs w:val="24"/>
        </w:rPr>
        <w:t>with the Commission</w:t>
      </w:r>
      <w:r w:rsidR="00051079">
        <w:rPr>
          <w:rFonts w:ascii="Times New Roman" w:hAnsi="Times New Roman"/>
          <w:sz w:val="24"/>
          <w:szCs w:val="24"/>
        </w:rPr>
        <w:t xml:space="preserve"> and Commission staff did not include its data in this estimate.  </w:t>
      </w:r>
    </w:p>
    <w:p w14:paraId="4AF1EC87" w14:textId="4FFC88D5" w:rsidR="00795106" w:rsidRPr="00532416" w:rsidRDefault="00051079" w:rsidP="00A442F5">
      <w:pPr>
        <w:tabs>
          <w:tab w:val="left" w:pos="-720"/>
        </w:tabs>
        <w:suppressAutoHyphens/>
        <w:jc w:val="both"/>
        <w:rPr>
          <w:rFonts w:ascii="Times New Roman" w:hAnsi="Times New Roman"/>
          <w:sz w:val="24"/>
          <w:szCs w:val="24"/>
        </w:rPr>
      </w:pPr>
      <w:r>
        <w:rPr>
          <w:rFonts w:ascii="Times New Roman" w:hAnsi="Times New Roman"/>
          <w:sz w:val="24"/>
          <w:szCs w:val="24"/>
        </w:rPr>
        <w:tab/>
        <w:t xml:space="preserve">Commission staff notes that the </w:t>
      </w:r>
      <w:r w:rsidR="00B76B1A">
        <w:rPr>
          <w:rFonts w:ascii="Times New Roman" w:hAnsi="Times New Roman"/>
          <w:sz w:val="24"/>
          <w:szCs w:val="24"/>
        </w:rPr>
        <w:t xml:space="preserve">average </w:t>
      </w:r>
      <w:r>
        <w:rPr>
          <w:rFonts w:ascii="Times New Roman" w:hAnsi="Times New Roman"/>
          <w:sz w:val="24"/>
          <w:szCs w:val="24"/>
        </w:rPr>
        <w:t xml:space="preserve">number of </w:t>
      </w:r>
      <w:r w:rsidR="00C843F4">
        <w:rPr>
          <w:rFonts w:ascii="Times New Roman" w:hAnsi="Times New Roman"/>
          <w:sz w:val="24"/>
          <w:szCs w:val="24"/>
        </w:rPr>
        <w:t xml:space="preserve">counterparties </w:t>
      </w:r>
      <w:r w:rsidR="00B76B1A">
        <w:rPr>
          <w:rFonts w:ascii="Times New Roman" w:hAnsi="Times New Roman"/>
          <w:sz w:val="24"/>
          <w:szCs w:val="24"/>
        </w:rPr>
        <w:t>filing the inter-affiliate exemption annual form has increased over the previous three years compared to the average nu</w:t>
      </w:r>
      <w:r w:rsidR="009F3AED">
        <w:rPr>
          <w:rFonts w:ascii="Times New Roman" w:hAnsi="Times New Roman"/>
          <w:sz w:val="24"/>
          <w:szCs w:val="24"/>
        </w:rPr>
        <w:t xml:space="preserve">mber of counterparties that </w:t>
      </w:r>
      <w:r w:rsidR="00B76B1A">
        <w:rPr>
          <w:rFonts w:ascii="Times New Roman" w:hAnsi="Times New Roman"/>
          <w:sz w:val="24"/>
          <w:szCs w:val="24"/>
        </w:rPr>
        <w:t xml:space="preserve">filed the form in 2014-2015.  Commission staff reviewed the number of </w:t>
      </w:r>
      <w:r w:rsidR="009F3AED">
        <w:rPr>
          <w:rFonts w:ascii="Times New Roman" w:hAnsi="Times New Roman"/>
          <w:sz w:val="24"/>
          <w:szCs w:val="24"/>
        </w:rPr>
        <w:t>counterparties that submitted an annual form to DTCC Data Repository (U.S.) LLC during calendar year 2016, 2017, and 2018.  Commission staff calculated the average number of filers over those three calendar years to produce an estimated number of respondents to this collection of information.  The number of respondents increased</w:t>
      </w:r>
      <w:r w:rsidR="00EC061F">
        <w:rPr>
          <w:rFonts w:ascii="Times New Roman" w:hAnsi="Times New Roman"/>
          <w:sz w:val="24"/>
          <w:szCs w:val="24"/>
        </w:rPr>
        <w:t xml:space="preserve"> significantly in the past three years, which could be explained by </w:t>
      </w:r>
      <w:r w:rsidR="0094213F">
        <w:rPr>
          <w:rFonts w:ascii="Times New Roman" w:hAnsi="Times New Roman"/>
          <w:sz w:val="24"/>
          <w:szCs w:val="24"/>
        </w:rPr>
        <w:t>a rise in the number of counterparties electing</w:t>
      </w:r>
      <w:r w:rsidR="00EC061F">
        <w:rPr>
          <w:rFonts w:ascii="Times New Roman" w:hAnsi="Times New Roman"/>
          <w:sz w:val="24"/>
          <w:szCs w:val="24"/>
        </w:rPr>
        <w:t xml:space="preserve"> the inter-affiliate exemption after the Commission expanded the scope of swaps included under its clearing requirement in 2016.</w:t>
      </w:r>
      <w:r w:rsidR="00EC061F">
        <w:rPr>
          <w:rStyle w:val="FootnoteReference"/>
          <w:rFonts w:ascii="Times New Roman" w:hAnsi="Times New Roman"/>
          <w:sz w:val="24"/>
          <w:szCs w:val="24"/>
        </w:rPr>
        <w:footnoteReference w:id="2"/>
      </w:r>
      <w:r w:rsidR="009F3AED">
        <w:rPr>
          <w:rFonts w:ascii="Times New Roman" w:hAnsi="Times New Roman"/>
          <w:sz w:val="24"/>
          <w:szCs w:val="24"/>
        </w:rPr>
        <w:t xml:space="preserve"> </w:t>
      </w:r>
    </w:p>
    <w:p w14:paraId="558B67A7" w14:textId="77777777" w:rsidR="007017BF" w:rsidRPr="00532416"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16.</w:t>
      </w:r>
      <w:r w:rsidRPr="00532416">
        <w:rPr>
          <w:rFonts w:ascii="Times New Roman" w:eastAsia="Times New Roman" w:hAnsi="Times New Roman" w:cs="Times New Roman"/>
          <w:b/>
          <w:sz w:val="24"/>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558B67A8" w14:textId="77777777" w:rsidR="007017BF" w:rsidRPr="00532416" w:rsidRDefault="007017BF" w:rsidP="007017BF">
      <w:pPr>
        <w:tabs>
          <w:tab w:val="left" w:pos="-72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This question does not apply.</w:t>
      </w:r>
    </w:p>
    <w:p w14:paraId="558B67A9" w14:textId="77777777" w:rsidR="007017BF" w:rsidRPr="00532416" w:rsidRDefault="007017BF" w:rsidP="007017BF">
      <w:pPr>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17.</w:t>
      </w:r>
      <w:r w:rsidRPr="00532416">
        <w:rPr>
          <w:rFonts w:ascii="Times New Roman" w:eastAsia="Times New Roman" w:hAnsi="Times New Roman" w:cs="Times New Roman"/>
          <w:b/>
          <w:sz w:val="24"/>
          <w:szCs w:val="24"/>
        </w:rPr>
        <w:tab/>
        <w:t>If seeking approval to not display the expiration date for OMB approval of the information collection, explain the reasons that display would be inappropriate.</w:t>
      </w:r>
    </w:p>
    <w:p w14:paraId="558B67AA" w14:textId="77777777" w:rsidR="007017BF" w:rsidRPr="00532416" w:rsidRDefault="007017BF" w:rsidP="007017BF">
      <w:pPr>
        <w:tabs>
          <w:tab w:val="left" w:pos="-72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t>This question does not apply.</w:t>
      </w:r>
    </w:p>
    <w:p w14:paraId="558B67AB" w14:textId="77777777" w:rsidR="007017BF" w:rsidRPr="00532416" w:rsidRDefault="007017BF" w:rsidP="007017BF">
      <w:pPr>
        <w:keepNext/>
        <w:tabs>
          <w:tab w:val="left" w:pos="-720"/>
          <w:tab w:val="left" w:pos="0"/>
        </w:tabs>
        <w:spacing w:after="240" w:line="240" w:lineRule="auto"/>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18.</w:t>
      </w:r>
      <w:r w:rsidRPr="00532416">
        <w:rPr>
          <w:rFonts w:ascii="Times New Roman" w:eastAsia="Times New Roman" w:hAnsi="Times New Roman" w:cs="Times New Roman"/>
          <w:b/>
          <w:sz w:val="24"/>
          <w:szCs w:val="24"/>
        </w:rPr>
        <w:tab/>
        <w:t>Explain each exception to the certification statement identified in Item 19, "Certification for Paperwork Reduction Act Submissions," of OMB Form 83-I.</w:t>
      </w:r>
    </w:p>
    <w:p w14:paraId="558B67AC" w14:textId="65801451" w:rsidR="008E0043" w:rsidRPr="00532416" w:rsidRDefault="00672C54" w:rsidP="00672C54">
      <w:pPr>
        <w:tabs>
          <w:tab w:val="left" w:pos="-720"/>
        </w:tabs>
        <w:spacing w:after="240" w:line="240" w:lineRule="auto"/>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tab/>
      </w:r>
      <w:r w:rsidR="00E10038" w:rsidRPr="00532416">
        <w:rPr>
          <w:rFonts w:ascii="Times New Roman" w:eastAsia="Times New Roman" w:hAnsi="Times New Roman" w:cs="Times New Roman"/>
          <w:sz w:val="24"/>
          <w:szCs w:val="24"/>
        </w:rPr>
        <w:t>No exceptions exist.</w:t>
      </w:r>
    </w:p>
    <w:p w14:paraId="4622D3E4" w14:textId="77777777" w:rsidR="008E0043" w:rsidRPr="00532416" w:rsidRDefault="008E0043">
      <w:pPr>
        <w:rPr>
          <w:rFonts w:ascii="Times New Roman" w:eastAsia="Times New Roman" w:hAnsi="Times New Roman" w:cs="Times New Roman"/>
          <w:sz w:val="24"/>
          <w:szCs w:val="24"/>
        </w:rPr>
      </w:pPr>
      <w:r w:rsidRPr="00532416">
        <w:rPr>
          <w:rFonts w:ascii="Times New Roman" w:eastAsia="Times New Roman" w:hAnsi="Times New Roman" w:cs="Times New Roman"/>
          <w:sz w:val="24"/>
          <w:szCs w:val="24"/>
        </w:rPr>
        <w:br w:type="page"/>
      </w:r>
    </w:p>
    <w:p w14:paraId="558B67AD" w14:textId="77777777" w:rsidR="00970BCE" w:rsidRPr="00532416" w:rsidRDefault="00970BCE" w:rsidP="00970BCE">
      <w:pPr>
        <w:spacing w:after="240" w:line="240" w:lineRule="auto"/>
        <w:jc w:val="center"/>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Attachment A</w:t>
      </w:r>
    </w:p>
    <w:p w14:paraId="558B67AE" w14:textId="13338636" w:rsidR="00A54C56" w:rsidRPr="00532416" w:rsidRDefault="00D934D5" w:rsidP="00970BCE">
      <w:pPr>
        <w:spacing w:after="0" w:line="240" w:lineRule="auto"/>
        <w:jc w:val="center"/>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 xml:space="preserve">Rule 50.52 </w:t>
      </w:r>
      <w:r w:rsidR="008E0043" w:rsidRPr="00532416">
        <w:rPr>
          <w:rFonts w:ascii="Times New Roman" w:eastAsia="Times New Roman" w:hAnsi="Times New Roman" w:cs="Times New Roman"/>
          <w:b/>
          <w:sz w:val="24"/>
          <w:szCs w:val="24"/>
        </w:rPr>
        <w:t>(Exemption for Swaps Between Affiliates)</w:t>
      </w:r>
      <w:r w:rsidRPr="00532416" w:rsidDel="00D934D5">
        <w:rPr>
          <w:rFonts w:ascii="Times New Roman" w:eastAsia="Times New Roman" w:hAnsi="Times New Roman" w:cs="Times New Roman"/>
          <w:b/>
          <w:sz w:val="24"/>
          <w:szCs w:val="24"/>
        </w:rPr>
        <w:t xml:space="preserve"> </w:t>
      </w:r>
    </w:p>
    <w:p w14:paraId="558B67AF" w14:textId="77777777" w:rsidR="00A54C56" w:rsidRPr="00532416" w:rsidRDefault="00A54C56" w:rsidP="00970BCE">
      <w:pPr>
        <w:spacing w:after="0" w:line="240" w:lineRule="auto"/>
        <w:jc w:val="center"/>
        <w:rPr>
          <w:rFonts w:ascii="Times New Roman" w:eastAsia="Times New Roman" w:hAnsi="Times New Roman" w:cs="Times New Roman"/>
          <w:b/>
          <w:sz w:val="24"/>
          <w:szCs w:val="24"/>
        </w:rPr>
      </w:pPr>
    </w:p>
    <w:p w14:paraId="558B67B0" w14:textId="77777777" w:rsidR="00970BCE" w:rsidRPr="00532416" w:rsidRDefault="00970BCE" w:rsidP="00A54C56">
      <w:pPr>
        <w:spacing w:after="0" w:line="240" w:lineRule="auto"/>
        <w:jc w:val="center"/>
        <w:rPr>
          <w:rFonts w:ascii="Times New Roman" w:eastAsia="Times New Roman" w:hAnsi="Times New Roman" w:cs="Times New Roman"/>
          <w:b/>
          <w:sz w:val="24"/>
          <w:szCs w:val="24"/>
        </w:rPr>
      </w:pPr>
      <w:r w:rsidRPr="00532416">
        <w:rPr>
          <w:rFonts w:ascii="Times New Roman" w:eastAsia="Times New Roman" w:hAnsi="Times New Roman" w:cs="Times New Roman"/>
          <w:b/>
          <w:sz w:val="24"/>
          <w:szCs w:val="24"/>
        </w:rPr>
        <w:t>OMB Collection File 3038-</w:t>
      </w:r>
      <w:r w:rsidR="00D934D5" w:rsidRPr="00532416">
        <w:rPr>
          <w:rFonts w:ascii="Times New Roman" w:eastAsia="Times New Roman" w:hAnsi="Times New Roman" w:cs="Times New Roman"/>
          <w:b/>
          <w:sz w:val="24"/>
          <w:szCs w:val="24"/>
        </w:rPr>
        <w:t>0104</w:t>
      </w:r>
    </w:p>
    <w:p w14:paraId="558B67B1" w14:textId="77777777" w:rsidR="00970BCE" w:rsidRPr="00532416" w:rsidRDefault="00970BCE" w:rsidP="00970BCE">
      <w:pPr>
        <w:spacing w:after="0" w:line="240" w:lineRule="auto"/>
        <w:rPr>
          <w:rFonts w:ascii="Times New Roman" w:eastAsia="Times New Roman" w:hAnsi="Times New Roman" w:cs="Times New Roman"/>
          <w:sz w:val="24"/>
          <w:szCs w:val="24"/>
        </w:rPr>
      </w:pPr>
    </w:p>
    <w:p w14:paraId="51998BFC" w14:textId="77777777" w:rsidR="00E10038" w:rsidRPr="00532416" w:rsidRDefault="00E10038" w:rsidP="00970BCE">
      <w:pPr>
        <w:spacing w:after="0" w:line="240" w:lineRule="auto"/>
        <w:rPr>
          <w:rFonts w:ascii="Times New Roman" w:eastAsia="Times New Roman" w:hAnsi="Times New Roman" w:cs="Times New Roman"/>
          <w:sz w:val="24"/>
          <w:szCs w:val="24"/>
        </w:rPr>
      </w:pPr>
    </w:p>
    <w:tbl>
      <w:tblPr>
        <w:tblW w:w="5472"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2"/>
        <w:gridCol w:w="1120"/>
        <w:gridCol w:w="1040"/>
        <w:gridCol w:w="1040"/>
        <w:gridCol w:w="1040"/>
        <w:gridCol w:w="1119"/>
        <w:gridCol w:w="1119"/>
        <w:gridCol w:w="960"/>
        <w:gridCol w:w="792"/>
        <w:gridCol w:w="1048"/>
      </w:tblGrid>
      <w:tr w:rsidR="00E10038" w:rsidRPr="00532416" w:rsidDel="009C6DB4" w14:paraId="20833330" w14:textId="77777777" w:rsidTr="00F85F61">
        <w:trPr>
          <w:trHeight w:val="1458"/>
        </w:trPr>
        <w:tc>
          <w:tcPr>
            <w:tcW w:w="573" w:type="pct"/>
            <w:shd w:val="clear" w:color="auto" w:fill="auto"/>
          </w:tcPr>
          <w:p w14:paraId="0BCB921C"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1.</w:t>
            </w:r>
          </w:p>
          <w:p w14:paraId="1BB0EA55"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Regulation(s)</w:t>
            </w:r>
          </w:p>
        </w:tc>
        <w:tc>
          <w:tcPr>
            <w:tcW w:w="534" w:type="pct"/>
            <w:shd w:val="clear" w:color="auto" w:fill="auto"/>
          </w:tcPr>
          <w:p w14:paraId="6D1A6E28"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2.</w:t>
            </w:r>
          </w:p>
          <w:p w14:paraId="2A00E5F9"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 xml:space="preserve">Estimated Number of Respondents </w:t>
            </w:r>
          </w:p>
          <w:p w14:paraId="7F835B71" w14:textId="77777777" w:rsidR="00E10038" w:rsidRPr="00F85F61" w:rsidRDefault="00E10038" w:rsidP="00EC4EE8">
            <w:pPr>
              <w:tabs>
                <w:tab w:val="left" w:pos="-720"/>
                <w:tab w:val="left" w:pos="0"/>
              </w:tabs>
              <w:suppressAutoHyphens/>
              <w:jc w:val="center"/>
              <w:rPr>
                <w:rFonts w:ascii="Times New Roman" w:hAnsi="Times New Roman"/>
                <w:sz w:val="16"/>
                <w:szCs w:val="16"/>
              </w:rPr>
            </w:pPr>
          </w:p>
        </w:tc>
        <w:tc>
          <w:tcPr>
            <w:tcW w:w="496" w:type="pct"/>
            <w:shd w:val="clear" w:color="auto" w:fill="auto"/>
          </w:tcPr>
          <w:p w14:paraId="6D580405"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3.</w:t>
            </w:r>
          </w:p>
          <w:p w14:paraId="494E0491" w14:textId="1043A114" w:rsidR="00E10038" w:rsidRPr="00F85F61" w:rsidRDefault="00E10038" w:rsidP="00E1003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Estimated Number of Reports by Each Respondent</w:t>
            </w:r>
          </w:p>
        </w:tc>
        <w:tc>
          <w:tcPr>
            <w:tcW w:w="496" w:type="pct"/>
            <w:shd w:val="clear" w:color="auto" w:fill="auto"/>
          </w:tcPr>
          <w:p w14:paraId="5111FA5A"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4.</w:t>
            </w:r>
          </w:p>
          <w:p w14:paraId="39BE3A11"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Estimated Average Number of Burden Hours per Response</w:t>
            </w:r>
          </w:p>
        </w:tc>
        <w:tc>
          <w:tcPr>
            <w:tcW w:w="496" w:type="pct"/>
            <w:shd w:val="clear" w:color="auto" w:fill="auto"/>
          </w:tcPr>
          <w:p w14:paraId="51C6832E"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5.</w:t>
            </w:r>
          </w:p>
          <w:p w14:paraId="47A34FDB"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Annual  Number of Burden Hours per Respondent</w:t>
            </w:r>
          </w:p>
          <w:p w14:paraId="5F3B5DB9"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(3 x 4)</w:t>
            </w:r>
          </w:p>
        </w:tc>
        <w:tc>
          <w:tcPr>
            <w:tcW w:w="534" w:type="pct"/>
            <w:shd w:val="clear" w:color="auto" w:fill="auto"/>
          </w:tcPr>
          <w:p w14:paraId="038761E5"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 xml:space="preserve">6. </w:t>
            </w:r>
          </w:p>
          <w:p w14:paraId="7BC33FF1"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Estimated Average Burden Hour Cost</w:t>
            </w:r>
          </w:p>
          <w:p w14:paraId="0C78F1C5" w14:textId="77777777" w:rsidR="00E10038" w:rsidRPr="00F85F61" w:rsidRDefault="00E10038" w:rsidP="00EC4EE8">
            <w:pPr>
              <w:tabs>
                <w:tab w:val="left" w:pos="-720"/>
                <w:tab w:val="left" w:pos="0"/>
              </w:tabs>
              <w:suppressAutoHyphens/>
              <w:jc w:val="center"/>
              <w:rPr>
                <w:rFonts w:ascii="Times New Roman" w:hAnsi="Times New Roman"/>
                <w:sz w:val="16"/>
                <w:szCs w:val="16"/>
              </w:rPr>
            </w:pPr>
          </w:p>
        </w:tc>
        <w:tc>
          <w:tcPr>
            <w:tcW w:w="534" w:type="pct"/>
            <w:shd w:val="clear" w:color="auto" w:fill="auto"/>
          </w:tcPr>
          <w:p w14:paraId="16DFD7BA" w14:textId="77777777" w:rsidR="00E10038" w:rsidRPr="00F85F61" w:rsidRDefault="00E10038" w:rsidP="00EC4EE8">
            <w:pPr>
              <w:jc w:val="center"/>
              <w:rPr>
                <w:rFonts w:ascii="Times New Roman" w:eastAsia="Calibri" w:hAnsi="Times New Roman"/>
                <w:sz w:val="16"/>
                <w:szCs w:val="16"/>
              </w:rPr>
            </w:pPr>
            <w:r w:rsidRPr="00F85F61">
              <w:rPr>
                <w:rFonts w:ascii="Times New Roman" w:eastAsia="Calibri" w:hAnsi="Times New Roman"/>
                <w:sz w:val="16"/>
                <w:szCs w:val="16"/>
              </w:rPr>
              <w:t>7.</w:t>
            </w:r>
          </w:p>
          <w:p w14:paraId="2463C726" w14:textId="77777777" w:rsidR="00E10038" w:rsidRPr="00F85F61" w:rsidRDefault="00E10038" w:rsidP="00EC4EE8">
            <w:pPr>
              <w:jc w:val="center"/>
              <w:rPr>
                <w:rFonts w:ascii="Times New Roman" w:eastAsia="Calibri" w:hAnsi="Times New Roman"/>
                <w:sz w:val="16"/>
                <w:szCs w:val="16"/>
              </w:rPr>
            </w:pPr>
            <w:r w:rsidRPr="00F85F61">
              <w:rPr>
                <w:rFonts w:ascii="Times New Roman" w:eastAsia="Calibri" w:hAnsi="Times New Roman"/>
                <w:sz w:val="16"/>
                <w:szCs w:val="16"/>
              </w:rPr>
              <w:t>Total Average Hour Burden Cost Per Respondent</w:t>
            </w:r>
          </w:p>
          <w:p w14:paraId="22DBC8B6" w14:textId="77777777" w:rsidR="00E10038" w:rsidRPr="00F85F61" w:rsidRDefault="00E10038" w:rsidP="00EC4EE8">
            <w:pPr>
              <w:jc w:val="center"/>
              <w:rPr>
                <w:rFonts w:ascii="Times New Roman" w:eastAsia="Calibri" w:hAnsi="Times New Roman"/>
                <w:sz w:val="16"/>
                <w:szCs w:val="16"/>
              </w:rPr>
            </w:pPr>
            <w:r w:rsidRPr="00F85F61">
              <w:rPr>
                <w:rFonts w:ascii="Times New Roman" w:eastAsia="Calibri" w:hAnsi="Times New Roman"/>
                <w:sz w:val="16"/>
                <w:szCs w:val="16"/>
              </w:rPr>
              <w:t>(5 x 6)</w:t>
            </w:r>
          </w:p>
        </w:tc>
        <w:tc>
          <w:tcPr>
            <w:tcW w:w="458" w:type="pct"/>
            <w:shd w:val="clear" w:color="auto" w:fill="auto"/>
          </w:tcPr>
          <w:p w14:paraId="64AFA1AA"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8.</w:t>
            </w:r>
          </w:p>
          <w:p w14:paraId="40D9F5C3"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Total Annual</w:t>
            </w:r>
          </w:p>
          <w:p w14:paraId="04B60F1D"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Responses</w:t>
            </w:r>
          </w:p>
          <w:p w14:paraId="576E73C5"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(2 x 3)</w:t>
            </w:r>
          </w:p>
        </w:tc>
        <w:tc>
          <w:tcPr>
            <w:tcW w:w="378" w:type="pct"/>
            <w:shd w:val="clear" w:color="auto" w:fill="auto"/>
          </w:tcPr>
          <w:p w14:paraId="435C3B29"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9.</w:t>
            </w:r>
          </w:p>
          <w:p w14:paraId="445671A1"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Total Annual  Number of Burden Hours</w:t>
            </w:r>
          </w:p>
          <w:p w14:paraId="4352103E"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(2 x 5)</w:t>
            </w:r>
          </w:p>
        </w:tc>
        <w:tc>
          <w:tcPr>
            <w:tcW w:w="500" w:type="pct"/>
            <w:shd w:val="clear" w:color="auto" w:fill="auto"/>
          </w:tcPr>
          <w:p w14:paraId="3E4603CC"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10.</w:t>
            </w:r>
          </w:p>
          <w:p w14:paraId="1F0C8AD1" w14:textId="77777777" w:rsidR="00E10038" w:rsidRPr="00F85F61"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Total Annual Burden Hour Cost of All Responses</w:t>
            </w:r>
          </w:p>
          <w:p w14:paraId="3F36485F" w14:textId="77777777" w:rsidR="00E10038" w:rsidRPr="00F85F61" w:rsidDel="009C6DB4" w:rsidRDefault="00E10038" w:rsidP="00EC4EE8">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(6 x 9)</w:t>
            </w:r>
          </w:p>
        </w:tc>
      </w:tr>
      <w:tr w:rsidR="00E10038" w:rsidRPr="00532416" w14:paraId="207EF5FD" w14:textId="77777777" w:rsidTr="00F85F61">
        <w:trPr>
          <w:trHeight w:val="998"/>
        </w:trPr>
        <w:tc>
          <w:tcPr>
            <w:tcW w:w="573" w:type="pct"/>
            <w:shd w:val="clear" w:color="auto" w:fill="auto"/>
          </w:tcPr>
          <w:p w14:paraId="5A1351D4" w14:textId="0B5F61FF" w:rsidR="00E10038" w:rsidRPr="00121FD3" w:rsidRDefault="00E10038" w:rsidP="00E10038">
            <w:pPr>
              <w:tabs>
                <w:tab w:val="left" w:pos="-720"/>
                <w:tab w:val="left" w:pos="0"/>
              </w:tabs>
              <w:suppressAutoHyphens/>
              <w:jc w:val="center"/>
              <w:rPr>
                <w:rFonts w:ascii="Times New Roman" w:hAnsi="Times New Roman"/>
                <w:sz w:val="20"/>
                <w:szCs w:val="20"/>
              </w:rPr>
            </w:pPr>
            <w:r w:rsidRPr="00121FD3">
              <w:rPr>
                <w:rFonts w:ascii="Times New Roman" w:hAnsi="Times New Roman"/>
                <w:sz w:val="20"/>
                <w:szCs w:val="20"/>
              </w:rPr>
              <w:t>50.52(c)-(d)</w:t>
            </w:r>
          </w:p>
        </w:tc>
        <w:tc>
          <w:tcPr>
            <w:tcW w:w="534" w:type="pct"/>
            <w:shd w:val="clear" w:color="auto" w:fill="auto"/>
          </w:tcPr>
          <w:p w14:paraId="06331233" w14:textId="261A225B" w:rsidR="00E10038" w:rsidRPr="00121FD3" w:rsidRDefault="00A442F5" w:rsidP="00A442F5">
            <w:pPr>
              <w:tabs>
                <w:tab w:val="left" w:pos="-720"/>
                <w:tab w:val="left" w:pos="0"/>
              </w:tabs>
              <w:suppressAutoHyphens/>
              <w:jc w:val="center"/>
              <w:rPr>
                <w:rFonts w:ascii="Times New Roman" w:hAnsi="Times New Roman"/>
                <w:sz w:val="20"/>
                <w:szCs w:val="20"/>
              </w:rPr>
            </w:pPr>
            <w:r>
              <w:rPr>
                <w:rFonts w:ascii="Times New Roman" w:hAnsi="Times New Roman"/>
                <w:sz w:val="20"/>
                <w:szCs w:val="20"/>
              </w:rPr>
              <w:t>310</w:t>
            </w:r>
            <w:r w:rsidR="00E10038" w:rsidRPr="00121FD3">
              <w:rPr>
                <w:rStyle w:val="FootnoteReference"/>
                <w:rFonts w:ascii="Times New Roman" w:eastAsia="Times New Roman" w:hAnsi="Times New Roman" w:cs="Times New Roman"/>
                <w:sz w:val="20"/>
                <w:szCs w:val="20"/>
              </w:rPr>
              <w:footnoteReference w:id="3"/>
            </w:r>
          </w:p>
        </w:tc>
        <w:tc>
          <w:tcPr>
            <w:tcW w:w="496" w:type="pct"/>
            <w:shd w:val="clear" w:color="auto" w:fill="auto"/>
          </w:tcPr>
          <w:p w14:paraId="74FB6805" w14:textId="77777777" w:rsidR="00E10038" w:rsidRPr="00121FD3" w:rsidRDefault="00E10038" w:rsidP="00EC4EE8">
            <w:pPr>
              <w:tabs>
                <w:tab w:val="left" w:pos="-720"/>
                <w:tab w:val="left" w:pos="0"/>
              </w:tabs>
              <w:suppressAutoHyphens/>
              <w:jc w:val="center"/>
              <w:rPr>
                <w:rFonts w:ascii="Times New Roman" w:hAnsi="Times New Roman"/>
                <w:sz w:val="20"/>
                <w:szCs w:val="20"/>
              </w:rPr>
            </w:pPr>
            <w:r w:rsidRPr="00121FD3">
              <w:rPr>
                <w:rFonts w:ascii="Times New Roman" w:hAnsi="Times New Roman"/>
                <w:sz w:val="20"/>
                <w:szCs w:val="20"/>
              </w:rPr>
              <w:t>1</w:t>
            </w:r>
          </w:p>
        </w:tc>
        <w:tc>
          <w:tcPr>
            <w:tcW w:w="496" w:type="pct"/>
            <w:shd w:val="clear" w:color="auto" w:fill="auto"/>
          </w:tcPr>
          <w:p w14:paraId="02692B3A" w14:textId="3426EB6D" w:rsidR="00E10038" w:rsidRPr="00121FD3" w:rsidRDefault="00E10038" w:rsidP="00EC4EE8">
            <w:pPr>
              <w:tabs>
                <w:tab w:val="left" w:pos="-720"/>
                <w:tab w:val="left" w:pos="0"/>
              </w:tabs>
              <w:suppressAutoHyphens/>
              <w:jc w:val="center"/>
              <w:rPr>
                <w:rFonts w:ascii="Times New Roman" w:hAnsi="Times New Roman"/>
                <w:sz w:val="20"/>
                <w:szCs w:val="20"/>
              </w:rPr>
            </w:pPr>
            <w:r w:rsidRPr="00121FD3">
              <w:rPr>
                <w:rFonts w:ascii="Times New Roman" w:hAnsi="Times New Roman"/>
                <w:sz w:val="20"/>
                <w:szCs w:val="20"/>
              </w:rPr>
              <w:t>1</w:t>
            </w:r>
          </w:p>
        </w:tc>
        <w:tc>
          <w:tcPr>
            <w:tcW w:w="496" w:type="pct"/>
            <w:shd w:val="clear" w:color="auto" w:fill="auto"/>
          </w:tcPr>
          <w:p w14:paraId="3F7DC799" w14:textId="4A5DCBC7" w:rsidR="00E10038" w:rsidRPr="00121FD3" w:rsidRDefault="00E10038" w:rsidP="00EC4EE8">
            <w:pPr>
              <w:tabs>
                <w:tab w:val="left" w:pos="-720"/>
                <w:tab w:val="left" w:pos="0"/>
              </w:tabs>
              <w:suppressAutoHyphens/>
              <w:jc w:val="center"/>
              <w:rPr>
                <w:rFonts w:ascii="Times New Roman" w:hAnsi="Times New Roman"/>
                <w:sz w:val="20"/>
                <w:szCs w:val="20"/>
              </w:rPr>
            </w:pPr>
            <w:r w:rsidRPr="00121FD3">
              <w:rPr>
                <w:rFonts w:ascii="Times New Roman" w:hAnsi="Times New Roman"/>
                <w:sz w:val="20"/>
                <w:szCs w:val="20"/>
              </w:rPr>
              <w:t>1</w:t>
            </w:r>
          </w:p>
        </w:tc>
        <w:tc>
          <w:tcPr>
            <w:tcW w:w="534" w:type="pct"/>
            <w:shd w:val="clear" w:color="auto" w:fill="auto"/>
          </w:tcPr>
          <w:p w14:paraId="7788D16D" w14:textId="67F96B97" w:rsidR="00E10038" w:rsidRPr="00121FD3" w:rsidRDefault="00E10038" w:rsidP="00E10038">
            <w:pPr>
              <w:tabs>
                <w:tab w:val="left" w:pos="-720"/>
                <w:tab w:val="left" w:pos="0"/>
              </w:tabs>
              <w:suppressAutoHyphens/>
              <w:jc w:val="center"/>
              <w:rPr>
                <w:rFonts w:ascii="Times New Roman" w:hAnsi="Times New Roman"/>
                <w:sz w:val="20"/>
                <w:szCs w:val="20"/>
              </w:rPr>
            </w:pPr>
            <w:r w:rsidRPr="00121FD3">
              <w:rPr>
                <w:rFonts w:ascii="Times New Roman" w:hAnsi="Times New Roman"/>
                <w:sz w:val="20"/>
                <w:szCs w:val="20"/>
              </w:rPr>
              <w:t>$60.40</w:t>
            </w:r>
            <w:r w:rsidRPr="00121FD3">
              <w:rPr>
                <w:rFonts w:ascii="Times New Roman" w:hAnsi="Times New Roman"/>
                <w:sz w:val="20"/>
                <w:szCs w:val="20"/>
                <w:vertAlign w:val="superscript"/>
              </w:rPr>
              <w:footnoteReference w:id="4"/>
            </w:r>
            <w:r w:rsidRPr="00121FD3">
              <w:rPr>
                <w:rFonts w:ascii="Times New Roman" w:hAnsi="Times New Roman"/>
                <w:sz w:val="20"/>
                <w:szCs w:val="20"/>
              </w:rPr>
              <w:t xml:space="preserve"> </w:t>
            </w:r>
          </w:p>
        </w:tc>
        <w:tc>
          <w:tcPr>
            <w:tcW w:w="534" w:type="pct"/>
            <w:shd w:val="clear" w:color="auto" w:fill="auto"/>
          </w:tcPr>
          <w:p w14:paraId="56D73C21" w14:textId="2BF49B18" w:rsidR="00E10038" w:rsidRPr="00121FD3" w:rsidRDefault="00E10038" w:rsidP="00E10038">
            <w:pPr>
              <w:rPr>
                <w:rFonts w:ascii="Times New Roman" w:eastAsia="Calibri" w:hAnsi="Times New Roman"/>
                <w:sz w:val="20"/>
                <w:szCs w:val="20"/>
              </w:rPr>
            </w:pPr>
            <w:r w:rsidRPr="00121FD3">
              <w:rPr>
                <w:rFonts w:ascii="Times New Roman" w:eastAsia="Calibri" w:hAnsi="Times New Roman"/>
                <w:sz w:val="20"/>
                <w:szCs w:val="20"/>
              </w:rPr>
              <w:t xml:space="preserve"> $60.40</w:t>
            </w:r>
          </w:p>
        </w:tc>
        <w:tc>
          <w:tcPr>
            <w:tcW w:w="458" w:type="pct"/>
            <w:shd w:val="clear" w:color="auto" w:fill="auto"/>
          </w:tcPr>
          <w:p w14:paraId="1A2AAFA8" w14:textId="53A4C1C4" w:rsidR="00E10038" w:rsidRPr="00121FD3" w:rsidRDefault="00A442F5" w:rsidP="00EC4EE8">
            <w:pPr>
              <w:tabs>
                <w:tab w:val="left" w:pos="-720"/>
                <w:tab w:val="left" w:pos="0"/>
              </w:tabs>
              <w:suppressAutoHyphens/>
              <w:jc w:val="center"/>
              <w:rPr>
                <w:rFonts w:ascii="Times New Roman" w:hAnsi="Times New Roman"/>
                <w:sz w:val="20"/>
                <w:szCs w:val="20"/>
              </w:rPr>
            </w:pPr>
            <w:r>
              <w:rPr>
                <w:rFonts w:ascii="Times New Roman" w:hAnsi="Times New Roman"/>
                <w:sz w:val="20"/>
                <w:szCs w:val="20"/>
              </w:rPr>
              <w:t>310</w:t>
            </w:r>
          </w:p>
        </w:tc>
        <w:tc>
          <w:tcPr>
            <w:tcW w:w="378" w:type="pct"/>
            <w:shd w:val="clear" w:color="auto" w:fill="auto"/>
          </w:tcPr>
          <w:p w14:paraId="72A1888F" w14:textId="72AA6BB2" w:rsidR="00E10038" w:rsidRPr="00121FD3" w:rsidRDefault="00A442F5" w:rsidP="00EC4EE8">
            <w:pPr>
              <w:tabs>
                <w:tab w:val="left" w:pos="-720"/>
                <w:tab w:val="left" w:pos="0"/>
              </w:tabs>
              <w:suppressAutoHyphens/>
              <w:jc w:val="center"/>
              <w:rPr>
                <w:rFonts w:ascii="Times New Roman" w:hAnsi="Times New Roman"/>
                <w:sz w:val="20"/>
                <w:szCs w:val="20"/>
              </w:rPr>
            </w:pPr>
            <w:r>
              <w:rPr>
                <w:rFonts w:ascii="Times New Roman" w:hAnsi="Times New Roman"/>
                <w:sz w:val="20"/>
                <w:szCs w:val="20"/>
              </w:rPr>
              <w:t>310</w:t>
            </w:r>
          </w:p>
        </w:tc>
        <w:tc>
          <w:tcPr>
            <w:tcW w:w="500" w:type="pct"/>
            <w:shd w:val="clear" w:color="auto" w:fill="auto"/>
          </w:tcPr>
          <w:p w14:paraId="4C27734C" w14:textId="0EF2704C" w:rsidR="00E10038" w:rsidRPr="00121FD3" w:rsidRDefault="00E10038" w:rsidP="00E10038">
            <w:pPr>
              <w:tabs>
                <w:tab w:val="left" w:pos="-720"/>
                <w:tab w:val="left" w:pos="0"/>
              </w:tabs>
              <w:suppressAutoHyphens/>
              <w:jc w:val="center"/>
              <w:rPr>
                <w:rFonts w:ascii="Times New Roman" w:hAnsi="Times New Roman"/>
                <w:sz w:val="20"/>
                <w:szCs w:val="20"/>
              </w:rPr>
            </w:pPr>
            <w:r w:rsidRPr="00121FD3">
              <w:rPr>
                <w:rFonts w:ascii="Times New Roman" w:hAnsi="Times New Roman"/>
                <w:sz w:val="20"/>
                <w:szCs w:val="20"/>
              </w:rPr>
              <w:t>$</w:t>
            </w:r>
            <w:r w:rsidR="00A442F5">
              <w:rPr>
                <w:rFonts w:ascii="Times New Roman" w:hAnsi="Times New Roman"/>
                <w:sz w:val="20"/>
                <w:szCs w:val="20"/>
              </w:rPr>
              <w:t>18,724</w:t>
            </w:r>
          </w:p>
        </w:tc>
      </w:tr>
    </w:tbl>
    <w:p w14:paraId="0A9C10C7" w14:textId="77777777" w:rsidR="00E10038" w:rsidRPr="00532416" w:rsidRDefault="00E10038" w:rsidP="00121FD3">
      <w:pPr>
        <w:spacing w:after="0" w:line="240" w:lineRule="auto"/>
        <w:rPr>
          <w:rFonts w:ascii="Times New Roman" w:eastAsia="Times New Roman" w:hAnsi="Times New Roman" w:cs="Times New Roman"/>
          <w:sz w:val="24"/>
          <w:szCs w:val="24"/>
        </w:rPr>
      </w:pPr>
    </w:p>
    <w:sectPr w:rsidR="00E10038" w:rsidRPr="00532416" w:rsidSect="00BF3C2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B6840" w14:textId="77777777" w:rsidR="00FC0D01" w:rsidRDefault="00FC0D01" w:rsidP="007017BF">
      <w:pPr>
        <w:spacing w:after="0" w:line="240" w:lineRule="auto"/>
      </w:pPr>
      <w:r>
        <w:separator/>
      </w:r>
    </w:p>
  </w:endnote>
  <w:endnote w:type="continuationSeparator" w:id="0">
    <w:p w14:paraId="558B6841" w14:textId="77777777" w:rsidR="00FC0D01" w:rsidRDefault="00FC0D01" w:rsidP="0070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479262"/>
      <w:docPartObj>
        <w:docPartGallery w:val="Page Numbers (Bottom of Page)"/>
        <w:docPartUnique/>
      </w:docPartObj>
    </w:sdtPr>
    <w:sdtEndPr>
      <w:rPr>
        <w:rFonts w:ascii="Times New Roman" w:hAnsi="Times New Roman" w:cs="Times New Roman"/>
        <w:noProof/>
      </w:rPr>
    </w:sdtEndPr>
    <w:sdtContent>
      <w:p w14:paraId="75965E63" w14:textId="0C3C2876" w:rsidR="00B22433" w:rsidRPr="00B22433" w:rsidRDefault="00B22433">
        <w:pPr>
          <w:pStyle w:val="Footer"/>
          <w:jc w:val="center"/>
          <w:rPr>
            <w:rFonts w:ascii="Times New Roman" w:hAnsi="Times New Roman" w:cs="Times New Roman"/>
          </w:rPr>
        </w:pPr>
        <w:r w:rsidRPr="00B22433">
          <w:rPr>
            <w:rFonts w:ascii="Times New Roman" w:hAnsi="Times New Roman" w:cs="Times New Roman"/>
          </w:rPr>
          <w:fldChar w:fldCharType="begin"/>
        </w:r>
        <w:r w:rsidRPr="00B22433">
          <w:rPr>
            <w:rFonts w:ascii="Times New Roman" w:hAnsi="Times New Roman" w:cs="Times New Roman"/>
          </w:rPr>
          <w:instrText xml:space="preserve"> PAGE   \* MERGEFORMAT </w:instrText>
        </w:r>
        <w:r w:rsidRPr="00B22433">
          <w:rPr>
            <w:rFonts w:ascii="Times New Roman" w:hAnsi="Times New Roman" w:cs="Times New Roman"/>
          </w:rPr>
          <w:fldChar w:fldCharType="separate"/>
        </w:r>
        <w:r w:rsidR="00977F4F">
          <w:rPr>
            <w:rFonts w:ascii="Times New Roman" w:hAnsi="Times New Roman" w:cs="Times New Roman"/>
            <w:noProof/>
          </w:rPr>
          <w:t>1</w:t>
        </w:r>
        <w:r w:rsidRPr="00B22433">
          <w:rPr>
            <w:rFonts w:ascii="Times New Roman" w:hAnsi="Times New Roman" w:cs="Times New Roman"/>
            <w:noProof/>
          </w:rPr>
          <w:fldChar w:fldCharType="end"/>
        </w:r>
      </w:p>
    </w:sdtContent>
  </w:sdt>
  <w:p w14:paraId="4AAF750E" w14:textId="77777777" w:rsidR="00B22433" w:rsidRDefault="00B224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B683E" w14:textId="77777777" w:rsidR="00FC0D01" w:rsidRDefault="00FC0D01" w:rsidP="007017BF">
      <w:pPr>
        <w:spacing w:after="0" w:line="240" w:lineRule="auto"/>
      </w:pPr>
      <w:r>
        <w:separator/>
      </w:r>
    </w:p>
  </w:footnote>
  <w:footnote w:type="continuationSeparator" w:id="0">
    <w:p w14:paraId="558B683F" w14:textId="77777777" w:rsidR="00FC0D01" w:rsidRDefault="00FC0D01" w:rsidP="007017BF">
      <w:pPr>
        <w:spacing w:after="0" w:line="240" w:lineRule="auto"/>
      </w:pPr>
      <w:r>
        <w:continuationSeparator/>
      </w:r>
    </w:p>
  </w:footnote>
  <w:footnote w:id="1">
    <w:p w14:paraId="558B6842" w14:textId="4A26F726" w:rsidR="00970BCE" w:rsidRPr="00532416" w:rsidRDefault="00970BCE" w:rsidP="007017BF">
      <w:pPr>
        <w:pStyle w:val="FootnoteText"/>
        <w:rPr>
          <w:rFonts w:ascii="Times New Roman" w:hAnsi="Times New Roman"/>
        </w:rPr>
      </w:pPr>
      <w:r w:rsidRPr="00532416">
        <w:rPr>
          <w:rStyle w:val="FootnoteReference"/>
          <w:rFonts w:ascii="Times New Roman" w:hAnsi="Times New Roman"/>
        </w:rPr>
        <w:footnoteRef/>
      </w:r>
      <w:r w:rsidRPr="00532416">
        <w:rPr>
          <w:rFonts w:ascii="Times New Roman" w:hAnsi="Times New Roman"/>
        </w:rPr>
        <w:t xml:space="preserve"> </w:t>
      </w:r>
      <w:r w:rsidR="00626D16">
        <w:rPr>
          <w:rFonts w:ascii="Times New Roman" w:hAnsi="Times New Roman"/>
          <w:lang w:val="en-US"/>
        </w:rPr>
        <w:t xml:space="preserve">Clearing Exemption for Swaps Between Certain Affiliated Entities, 78 FR 21750 (Apr. 11, 2013).  In addition, </w:t>
      </w:r>
      <w:r w:rsidR="005F4E8F">
        <w:rPr>
          <w:rFonts w:ascii="Times New Roman" w:hAnsi="Times New Roman"/>
          <w:lang w:val="en-US"/>
        </w:rPr>
        <w:t>t</w:t>
      </w:r>
      <w:r w:rsidRPr="00532416">
        <w:rPr>
          <w:rFonts w:ascii="Times New Roman" w:hAnsi="Times New Roman"/>
        </w:rPr>
        <w:t xml:space="preserve">he Commission notes also that other elective exceptions to the clearing requirement are created and contemplated by the CEA, as amended by the Dodd-Frank Act.  </w:t>
      </w:r>
      <w:r w:rsidRPr="00532416">
        <w:rPr>
          <w:rFonts w:ascii="Times New Roman" w:hAnsi="Times New Roman"/>
          <w:i/>
        </w:rPr>
        <w:t>See, e.g.</w:t>
      </w:r>
      <w:r w:rsidRPr="00532416">
        <w:rPr>
          <w:rFonts w:ascii="Times New Roman" w:hAnsi="Times New Roman"/>
        </w:rPr>
        <w:t xml:space="preserve">, CEA sections 2(h)(7)(A) (clearing exception for non-financial entities, commonly known as the “end-user exception”), 2(h)(7)(D) (extension of the end-user exception to qualifying affiliates), and 2(h)(7)(C)(iii) (requiring the Commission to consider whether to exempt certain small banks, savings associations, farm credit institutions, and credit unions from the clearing requirement).  </w:t>
      </w:r>
      <w:r w:rsidR="00C22051" w:rsidRPr="00532416">
        <w:rPr>
          <w:rFonts w:ascii="Times New Roman" w:hAnsi="Times New Roman"/>
        </w:rPr>
        <w:t xml:space="preserve">The Commission has issued </w:t>
      </w:r>
      <w:r w:rsidR="008D695A" w:rsidRPr="00532416">
        <w:rPr>
          <w:rFonts w:ascii="Times New Roman" w:hAnsi="Times New Roman"/>
          <w:lang w:val="en-US"/>
        </w:rPr>
        <w:t>a</w:t>
      </w:r>
      <w:r w:rsidR="008D695A" w:rsidRPr="00532416">
        <w:rPr>
          <w:rFonts w:ascii="Times New Roman" w:hAnsi="Times New Roman"/>
        </w:rPr>
        <w:t xml:space="preserve"> </w:t>
      </w:r>
      <w:r w:rsidR="00C22051" w:rsidRPr="00532416">
        <w:rPr>
          <w:rFonts w:ascii="Times New Roman" w:hAnsi="Times New Roman"/>
        </w:rPr>
        <w:t>final rule addressing the</w:t>
      </w:r>
      <w:r w:rsidR="008D695A" w:rsidRPr="00532416">
        <w:rPr>
          <w:rFonts w:ascii="Times New Roman" w:hAnsi="Times New Roman"/>
          <w:lang w:val="en-US"/>
        </w:rPr>
        <w:t xml:space="preserve"> end-user exception, including a provision for certain small credit institutions.</w:t>
      </w:r>
      <w:r w:rsidR="001A1B7C" w:rsidRPr="00532416">
        <w:rPr>
          <w:rFonts w:ascii="Times New Roman" w:hAnsi="Times New Roman"/>
        </w:rPr>
        <w:t xml:space="preserve">  </w:t>
      </w:r>
      <w:r w:rsidR="001A1B7C" w:rsidRPr="00532416">
        <w:rPr>
          <w:rFonts w:ascii="Times New Roman" w:hAnsi="Times New Roman"/>
          <w:i/>
        </w:rPr>
        <w:t>See</w:t>
      </w:r>
      <w:r w:rsidR="001A1B7C" w:rsidRPr="00532416">
        <w:rPr>
          <w:rFonts w:ascii="Times New Roman" w:hAnsi="Times New Roman"/>
        </w:rPr>
        <w:t xml:space="preserve"> </w:t>
      </w:r>
      <w:r w:rsidR="00C22051" w:rsidRPr="00532416">
        <w:rPr>
          <w:rFonts w:ascii="Times New Roman" w:hAnsi="Times New Roman"/>
        </w:rPr>
        <w:t xml:space="preserve">End-User Exception to the Clearing Requirement for Swaps, 77 FR 44441 (July 19, 2012) (final rule).  </w:t>
      </w:r>
    </w:p>
  </w:footnote>
  <w:footnote w:id="2">
    <w:p w14:paraId="7CB19C99" w14:textId="7B82ED28" w:rsidR="00EC061F" w:rsidRPr="00EC061F" w:rsidRDefault="00EC061F">
      <w:pPr>
        <w:pStyle w:val="FootnoteText"/>
        <w:rPr>
          <w:rFonts w:ascii="Times New Roman" w:hAnsi="Times New Roman"/>
          <w:lang w:val="en-US"/>
        </w:rPr>
      </w:pPr>
      <w:r w:rsidRPr="00EC061F">
        <w:rPr>
          <w:rStyle w:val="FootnoteReference"/>
          <w:rFonts w:ascii="Times New Roman" w:hAnsi="Times New Roman"/>
        </w:rPr>
        <w:footnoteRef/>
      </w:r>
      <w:r w:rsidRPr="00EC061F">
        <w:rPr>
          <w:rFonts w:ascii="Times New Roman" w:hAnsi="Times New Roman"/>
        </w:rPr>
        <w:t xml:space="preserve"> </w:t>
      </w:r>
      <w:r>
        <w:rPr>
          <w:rFonts w:ascii="Times New Roman" w:hAnsi="Times New Roman"/>
          <w:lang w:val="en-US"/>
        </w:rPr>
        <w:t>Clearing Requirement Determination Under Section 2(h) of the Commodity Exchange Act for Interest Rate Swaps.   81 FR 71202 (Oct. 14, 2016).  T</w:t>
      </w:r>
      <w:r w:rsidRPr="00532416">
        <w:rPr>
          <w:rFonts w:ascii="Times New Roman" w:hAnsi="Times New Roman"/>
        </w:rPr>
        <w:t xml:space="preserve">he Commission </w:t>
      </w:r>
      <w:r>
        <w:rPr>
          <w:rFonts w:ascii="Times New Roman" w:hAnsi="Times New Roman"/>
          <w:lang w:val="en-US"/>
        </w:rPr>
        <w:t xml:space="preserve">expanded the clearing requirement to include certain interest rate swaps denominated in nine additional currencies.  This expansion could have increased the number of inter-affiliate swaps that were subject to the Commission’s clearing requirement and would therefore be expected to </w:t>
      </w:r>
      <w:r w:rsidR="00EF7960">
        <w:rPr>
          <w:rFonts w:ascii="Times New Roman" w:hAnsi="Times New Roman"/>
          <w:lang w:val="en-US"/>
        </w:rPr>
        <w:t>increase</w:t>
      </w:r>
      <w:r>
        <w:rPr>
          <w:rFonts w:ascii="Times New Roman" w:hAnsi="Times New Roman"/>
          <w:lang w:val="en-US"/>
        </w:rPr>
        <w:t xml:space="preserve"> the number of counterparties electing the inter-affiliate exemption.  </w:t>
      </w:r>
      <w:r w:rsidRPr="00532416">
        <w:rPr>
          <w:rFonts w:ascii="Times New Roman" w:hAnsi="Times New Roman"/>
        </w:rPr>
        <w:t xml:space="preserve">  </w:t>
      </w:r>
    </w:p>
  </w:footnote>
  <w:footnote w:id="3">
    <w:p w14:paraId="71498C84" w14:textId="77777777" w:rsidR="00E10038" w:rsidRPr="00532416" w:rsidRDefault="00E10038" w:rsidP="00A442F5">
      <w:pPr>
        <w:pStyle w:val="FootnoteText"/>
        <w:jc w:val="both"/>
        <w:rPr>
          <w:rFonts w:ascii="Times New Roman" w:hAnsi="Times New Roman"/>
          <w:lang w:val="en-US"/>
        </w:rPr>
      </w:pPr>
      <w:r w:rsidRPr="00532416">
        <w:rPr>
          <w:rStyle w:val="FootnoteReference"/>
        </w:rPr>
        <w:footnoteRef/>
      </w:r>
      <w:r w:rsidRPr="00532416">
        <w:t xml:space="preserve"> </w:t>
      </w:r>
      <w:r w:rsidRPr="00532416">
        <w:rPr>
          <w:rFonts w:ascii="Times New Roman" w:hAnsi="Times New Roman"/>
          <w:lang w:val="en-US"/>
        </w:rPr>
        <w:t>75 is the average number of annual reports filed pursuant to rule 50.52 during 2014 and 2015.  The Commission is not aware of any reports filed on a swap-by-swap basis.</w:t>
      </w:r>
    </w:p>
    <w:p w14:paraId="2DA09060" w14:textId="77777777" w:rsidR="00E10038" w:rsidRPr="00532416" w:rsidRDefault="00E10038" w:rsidP="00E10038">
      <w:pPr>
        <w:pStyle w:val="FootnoteText"/>
        <w:rPr>
          <w:lang w:val="en-US"/>
        </w:rPr>
      </w:pPr>
    </w:p>
  </w:footnote>
  <w:footnote w:id="4">
    <w:p w14:paraId="0D8F1D46" w14:textId="0BB391FF" w:rsidR="00E10038" w:rsidRPr="00532416" w:rsidRDefault="00E10038" w:rsidP="00A442F5">
      <w:pPr>
        <w:pStyle w:val="FootnoteText"/>
        <w:jc w:val="both"/>
        <w:rPr>
          <w:rFonts w:ascii="Times New Roman" w:hAnsi="Times New Roman"/>
          <w:lang w:val="en-US"/>
        </w:rPr>
      </w:pPr>
      <w:r w:rsidRPr="00532416">
        <w:rPr>
          <w:rStyle w:val="FootnoteReference"/>
          <w:rFonts w:ascii="Times New Roman" w:hAnsi="Times New Roman"/>
        </w:rPr>
        <w:footnoteRef/>
      </w:r>
      <w:r w:rsidRPr="00532416">
        <w:rPr>
          <w:rFonts w:ascii="Times New Roman" w:hAnsi="Times New Roman"/>
        </w:rPr>
        <w:t xml:space="preserve"> In arriving at a wage rate for the hourly costs imposed, Commission staff used the Management &amp; Professional Earnings in the Securities Industry Report, published in 2013 by the Securities Industry and Financial Markets Associations  (2013 Report).  The wage rate used is a composite (blended) wage rate by averaging the mean annual salaries of an Assistant/Associate General Counsel, an Assistant Compliance Director, and a Programmer (Senior) as published in the 2013 report and dividing that figure by 2</w:t>
      </w:r>
      <w:r w:rsidR="00121FD3">
        <w:rPr>
          <w:rFonts w:ascii="Times New Roman" w:hAnsi="Times New Roman"/>
          <w:lang w:val="en-US"/>
        </w:rPr>
        <w:t>,</w:t>
      </w:r>
      <w:r w:rsidRPr="00532416">
        <w:rPr>
          <w:rFonts w:ascii="Times New Roman" w:hAnsi="Times New Roman"/>
        </w:rPr>
        <w:t xml:space="preserve">000 annual working hours to arrive at the hourly rate of $60.40.  </w:t>
      </w:r>
    </w:p>
    <w:p w14:paraId="66A17677" w14:textId="77777777" w:rsidR="00E10038" w:rsidRPr="00532416" w:rsidRDefault="00E10038" w:rsidP="00E10038">
      <w:pPr>
        <w:pStyle w:val="FootnoteText"/>
        <w:rPr>
          <w:rFonts w:ascii="Times New Roman" w:hAnsi="Times New Roman"/>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E85A7" w14:textId="7C8584CC" w:rsidR="00BE1DBD" w:rsidRPr="00BE1DBD" w:rsidRDefault="00BE1DBD" w:rsidP="00BE1DBD">
    <w:pPr>
      <w:pStyle w:val="Header"/>
      <w:jc w:val="right"/>
      <w:rPr>
        <w:rFonts w:ascii="Times New Roman" w:hAnsi="Times New Roman" w:cs="Times New Roman"/>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BF"/>
    <w:rsid w:val="000020F8"/>
    <w:rsid w:val="00043B30"/>
    <w:rsid w:val="00051079"/>
    <w:rsid w:val="00054FA4"/>
    <w:rsid w:val="000C53A2"/>
    <w:rsid w:val="00106E20"/>
    <w:rsid w:val="00121FD3"/>
    <w:rsid w:val="00123E41"/>
    <w:rsid w:val="001A1B7C"/>
    <w:rsid w:val="001C3742"/>
    <w:rsid w:val="001C376C"/>
    <w:rsid w:val="0021441C"/>
    <w:rsid w:val="002253E2"/>
    <w:rsid w:val="002B416D"/>
    <w:rsid w:val="002C42A0"/>
    <w:rsid w:val="002D2380"/>
    <w:rsid w:val="00324651"/>
    <w:rsid w:val="00392E70"/>
    <w:rsid w:val="003E1551"/>
    <w:rsid w:val="003E4123"/>
    <w:rsid w:val="00414F57"/>
    <w:rsid w:val="00415A0D"/>
    <w:rsid w:val="004266EC"/>
    <w:rsid w:val="0044089F"/>
    <w:rsid w:val="004550F5"/>
    <w:rsid w:val="004554CD"/>
    <w:rsid w:val="004D5E12"/>
    <w:rsid w:val="004E2747"/>
    <w:rsid w:val="00532416"/>
    <w:rsid w:val="00556071"/>
    <w:rsid w:val="005F4E8F"/>
    <w:rsid w:val="006150E6"/>
    <w:rsid w:val="00626D16"/>
    <w:rsid w:val="00637FFE"/>
    <w:rsid w:val="0064722F"/>
    <w:rsid w:val="00663685"/>
    <w:rsid w:val="00672C54"/>
    <w:rsid w:val="00685156"/>
    <w:rsid w:val="00695BB7"/>
    <w:rsid w:val="006A116B"/>
    <w:rsid w:val="006D1C27"/>
    <w:rsid w:val="006D7CA7"/>
    <w:rsid w:val="006D7DBF"/>
    <w:rsid w:val="006F6C53"/>
    <w:rsid w:val="007017BF"/>
    <w:rsid w:val="00704AF3"/>
    <w:rsid w:val="00721AE5"/>
    <w:rsid w:val="0073492B"/>
    <w:rsid w:val="0073668A"/>
    <w:rsid w:val="00761C26"/>
    <w:rsid w:val="0079151F"/>
    <w:rsid w:val="00793C41"/>
    <w:rsid w:val="00795106"/>
    <w:rsid w:val="007F3EAB"/>
    <w:rsid w:val="00830E02"/>
    <w:rsid w:val="00840F3D"/>
    <w:rsid w:val="0084182A"/>
    <w:rsid w:val="00860B78"/>
    <w:rsid w:val="00864505"/>
    <w:rsid w:val="00864E77"/>
    <w:rsid w:val="008751BD"/>
    <w:rsid w:val="008B5922"/>
    <w:rsid w:val="008C673C"/>
    <w:rsid w:val="008D695A"/>
    <w:rsid w:val="008E0043"/>
    <w:rsid w:val="008F0342"/>
    <w:rsid w:val="00906D7C"/>
    <w:rsid w:val="0094213F"/>
    <w:rsid w:val="00970BCE"/>
    <w:rsid w:val="00977F4F"/>
    <w:rsid w:val="00994C8E"/>
    <w:rsid w:val="009B3FC8"/>
    <w:rsid w:val="009F3AED"/>
    <w:rsid w:val="00A34503"/>
    <w:rsid w:val="00A442F5"/>
    <w:rsid w:val="00A44F75"/>
    <w:rsid w:val="00A54C56"/>
    <w:rsid w:val="00A74FDC"/>
    <w:rsid w:val="00A758F9"/>
    <w:rsid w:val="00AB1091"/>
    <w:rsid w:val="00AB5274"/>
    <w:rsid w:val="00B22433"/>
    <w:rsid w:val="00B33BE7"/>
    <w:rsid w:val="00B346B0"/>
    <w:rsid w:val="00B66114"/>
    <w:rsid w:val="00B67638"/>
    <w:rsid w:val="00B76B1A"/>
    <w:rsid w:val="00BC1724"/>
    <w:rsid w:val="00BD4596"/>
    <w:rsid w:val="00BE1DBD"/>
    <w:rsid w:val="00BF3C27"/>
    <w:rsid w:val="00C0162B"/>
    <w:rsid w:val="00C06905"/>
    <w:rsid w:val="00C22051"/>
    <w:rsid w:val="00C61A01"/>
    <w:rsid w:val="00C843F4"/>
    <w:rsid w:val="00CA0322"/>
    <w:rsid w:val="00CB1DD3"/>
    <w:rsid w:val="00CC7D14"/>
    <w:rsid w:val="00CE2633"/>
    <w:rsid w:val="00CF3D1F"/>
    <w:rsid w:val="00CF6142"/>
    <w:rsid w:val="00D07531"/>
    <w:rsid w:val="00D13F96"/>
    <w:rsid w:val="00D73AAD"/>
    <w:rsid w:val="00D7678A"/>
    <w:rsid w:val="00D85506"/>
    <w:rsid w:val="00D90BEE"/>
    <w:rsid w:val="00D90DAD"/>
    <w:rsid w:val="00D934D5"/>
    <w:rsid w:val="00DA4283"/>
    <w:rsid w:val="00E10038"/>
    <w:rsid w:val="00E3216F"/>
    <w:rsid w:val="00E86356"/>
    <w:rsid w:val="00EC061F"/>
    <w:rsid w:val="00EC3C18"/>
    <w:rsid w:val="00ED3380"/>
    <w:rsid w:val="00EE66D4"/>
    <w:rsid w:val="00EF3EC7"/>
    <w:rsid w:val="00EF7960"/>
    <w:rsid w:val="00F301A6"/>
    <w:rsid w:val="00F33BF8"/>
    <w:rsid w:val="00F40707"/>
    <w:rsid w:val="00F579C0"/>
    <w:rsid w:val="00F6144E"/>
    <w:rsid w:val="00F6233F"/>
    <w:rsid w:val="00F6525C"/>
    <w:rsid w:val="00F7161A"/>
    <w:rsid w:val="00F8542E"/>
    <w:rsid w:val="00F85F61"/>
    <w:rsid w:val="00F92490"/>
    <w:rsid w:val="00FB3E03"/>
    <w:rsid w:val="00FC0D01"/>
    <w:rsid w:val="00FE275C"/>
    <w:rsid w:val="00FE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8B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7017BF"/>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7017BF"/>
    <w:rPr>
      <w:rFonts w:ascii="Arial" w:eastAsia="Times New Roman" w:hAnsi="Arial" w:cs="Times New Roman"/>
      <w:sz w:val="20"/>
      <w:szCs w:val="20"/>
      <w:lang w:val="x-none" w:eastAsia="x-none"/>
    </w:rPr>
  </w:style>
  <w:style w:type="character" w:styleId="FootnoteReference">
    <w:name w:val="footnote reference"/>
    <w:aliases w:val="fr,Style 19,Style 16,Style 35"/>
    <w:rsid w:val="007017BF"/>
    <w:rPr>
      <w:vertAlign w:val="superscript"/>
    </w:rPr>
  </w:style>
  <w:style w:type="character" w:customStyle="1" w:styleId="FootnoteReference1">
    <w:name w:val="Footnote Reference1"/>
    <w:autoRedefine/>
    <w:rsid w:val="00970BCE"/>
    <w:rPr>
      <w:color w:val="000000"/>
      <w:sz w:val="22"/>
      <w:vertAlign w:val="superscript"/>
    </w:rPr>
  </w:style>
  <w:style w:type="paragraph" w:customStyle="1" w:styleId="FootnoteText1">
    <w:name w:val="Footnote Text1"/>
    <w:rsid w:val="00970BCE"/>
    <w:pPr>
      <w:spacing w:after="0" w:line="240" w:lineRule="auto"/>
    </w:pPr>
    <w:rPr>
      <w:rFonts w:ascii="Times New Roman" w:eastAsia="ヒラギノ角ゴ Pro W3" w:hAnsi="Times New Roman" w:cs="Times New Roman"/>
      <w:color w:val="000000"/>
      <w:sz w:val="20"/>
      <w:szCs w:val="20"/>
    </w:rPr>
  </w:style>
  <w:style w:type="paragraph" w:styleId="BalloonText">
    <w:name w:val="Balloon Text"/>
    <w:basedOn w:val="Normal"/>
    <w:link w:val="BalloonTextChar"/>
    <w:uiPriority w:val="99"/>
    <w:semiHidden/>
    <w:unhideWhenUsed/>
    <w:rsid w:val="00970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BCE"/>
    <w:rPr>
      <w:rFonts w:ascii="Tahoma" w:hAnsi="Tahoma" w:cs="Tahoma"/>
      <w:sz w:val="16"/>
      <w:szCs w:val="16"/>
    </w:rPr>
  </w:style>
  <w:style w:type="character" w:styleId="CommentReference">
    <w:name w:val="annotation reference"/>
    <w:basedOn w:val="DefaultParagraphFont"/>
    <w:uiPriority w:val="99"/>
    <w:semiHidden/>
    <w:unhideWhenUsed/>
    <w:rsid w:val="004D5E12"/>
    <w:rPr>
      <w:sz w:val="16"/>
      <w:szCs w:val="16"/>
    </w:rPr>
  </w:style>
  <w:style w:type="paragraph" w:styleId="CommentText">
    <w:name w:val="annotation text"/>
    <w:basedOn w:val="Normal"/>
    <w:link w:val="CommentTextChar"/>
    <w:uiPriority w:val="99"/>
    <w:semiHidden/>
    <w:unhideWhenUsed/>
    <w:rsid w:val="004D5E12"/>
    <w:pPr>
      <w:spacing w:line="240" w:lineRule="auto"/>
    </w:pPr>
    <w:rPr>
      <w:sz w:val="20"/>
      <w:szCs w:val="20"/>
    </w:rPr>
  </w:style>
  <w:style w:type="character" w:customStyle="1" w:styleId="CommentTextChar">
    <w:name w:val="Comment Text Char"/>
    <w:basedOn w:val="DefaultParagraphFont"/>
    <w:link w:val="CommentText"/>
    <w:uiPriority w:val="99"/>
    <w:semiHidden/>
    <w:rsid w:val="004D5E12"/>
    <w:rPr>
      <w:sz w:val="20"/>
      <w:szCs w:val="20"/>
    </w:rPr>
  </w:style>
  <w:style w:type="paragraph" w:styleId="CommentSubject">
    <w:name w:val="annotation subject"/>
    <w:basedOn w:val="CommentText"/>
    <w:next w:val="CommentText"/>
    <w:link w:val="CommentSubjectChar"/>
    <w:uiPriority w:val="99"/>
    <w:semiHidden/>
    <w:unhideWhenUsed/>
    <w:rsid w:val="004D5E12"/>
    <w:rPr>
      <w:b/>
      <w:bCs/>
    </w:rPr>
  </w:style>
  <w:style w:type="character" w:customStyle="1" w:styleId="CommentSubjectChar">
    <w:name w:val="Comment Subject Char"/>
    <w:basedOn w:val="CommentTextChar"/>
    <w:link w:val="CommentSubject"/>
    <w:uiPriority w:val="99"/>
    <w:semiHidden/>
    <w:rsid w:val="004D5E12"/>
    <w:rPr>
      <w:b/>
      <w:bCs/>
      <w:sz w:val="20"/>
      <w:szCs w:val="20"/>
    </w:rPr>
  </w:style>
  <w:style w:type="paragraph" w:styleId="Revision">
    <w:name w:val="Revision"/>
    <w:hidden/>
    <w:uiPriority w:val="99"/>
    <w:semiHidden/>
    <w:rsid w:val="00A54C56"/>
    <w:pPr>
      <w:spacing w:after="0" w:line="240" w:lineRule="auto"/>
    </w:pPr>
  </w:style>
  <w:style w:type="paragraph" w:styleId="Header">
    <w:name w:val="header"/>
    <w:basedOn w:val="Normal"/>
    <w:link w:val="HeaderChar"/>
    <w:uiPriority w:val="99"/>
    <w:unhideWhenUsed/>
    <w:rsid w:val="00B22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433"/>
  </w:style>
  <w:style w:type="paragraph" w:styleId="Footer">
    <w:name w:val="footer"/>
    <w:basedOn w:val="Normal"/>
    <w:link w:val="FooterChar"/>
    <w:uiPriority w:val="99"/>
    <w:unhideWhenUsed/>
    <w:rsid w:val="00B22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4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7017BF"/>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7017BF"/>
    <w:rPr>
      <w:rFonts w:ascii="Arial" w:eastAsia="Times New Roman" w:hAnsi="Arial" w:cs="Times New Roman"/>
      <w:sz w:val="20"/>
      <w:szCs w:val="20"/>
      <w:lang w:val="x-none" w:eastAsia="x-none"/>
    </w:rPr>
  </w:style>
  <w:style w:type="character" w:styleId="FootnoteReference">
    <w:name w:val="footnote reference"/>
    <w:aliases w:val="fr,Style 19,Style 16,Style 35"/>
    <w:rsid w:val="007017BF"/>
    <w:rPr>
      <w:vertAlign w:val="superscript"/>
    </w:rPr>
  </w:style>
  <w:style w:type="character" w:customStyle="1" w:styleId="FootnoteReference1">
    <w:name w:val="Footnote Reference1"/>
    <w:autoRedefine/>
    <w:rsid w:val="00970BCE"/>
    <w:rPr>
      <w:color w:val="000000"/>
      <w:sz w:val="22"/>
      <w:vertAlign w:val="superscript"/>
    </w:rPr>
  </w:style>
  <w:style w:type="paragraph" w:customStyle="1" w:styleId="FootnoteText1">
    <w:name w:val="Footnote Text1"/>
    <w:rsid w:val="00970BCE"/>
    <w:pPr>
      <w:spacing w:after="0" w:line="240" w:lineRule="auto"/>
    </w:pPr>
    <w:rPr>
      <w:rFonts w:ascii="Times New Roman" w:eastAsia="ヒラギノ角ゴ Pro W3" w:hAnsi="Times New Roman" w:cs="Times New Roman"/>
      <w:color w:val="000000"/>
      <w:sz w:val="20"/>
      <w:szCs w:val="20"/>
    </w:rPr>
  </w:style>
  <w:style w:type="paragraph" w:styleId="BalloonText">
    <w:name w:val="Balloon Text"/>
    <w:basedOn w:val="Normal"/>
    <w:link w:val="BalloonTextChar"/>
    <w:uiPriority w:val="99"/>
    <w:semiHidden/>
    <w:unhideWhenUsed/>
    <w:rsid w:val="00970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BCE"/>
    <w:rPr>
      <w:rFonts w:ascii="Tahoma" w:hAnsi="Tahoma" w:cs="Tahoma"/>
      <w:sz w:val="16"/>
      <w:szCs w:val="16"/>
    </w:rPr>
  </w:style>
  <w:style w:type="character" w:styleId="CommentReference">
    <w:name w:val="annotation reference"/>
    <w:basedOn w:val="DefaultParagraphFont"/>
    <w:uiPriority w:val="99"/>
    <w:semiHidden/>
    <w:unhideWhenUsed/>
    <w:rsid w:val="004D5E12"/>
    <w:rPr>
      <w:sz w:val="16"/>
      <w:szCs w:val="16"/>
    </w:rPr>
  </w:style>
  <w:style w:type="paragraph" w:styleId="CommentText">
    <w:name w:val="annotation text"/>
    <w:basedOn w:val="Normal"/>
    <w:link w:val="CommentTextChar"/>
    <w:uiPriority w:val="99"/>
    <w:semiHidden/>
    <w:unhideWhenUsed/>
    <w:rsid w:val="004D5E12"/>
    <w:pPr>
      <w:spacing w:line="240" w:lineRule="auto"/>
    </w:pPr>
    <w:rPr>
      <w:sz w:val="20"/>
      <w:szCs w:val="20"/>
    </w:rPr>
  </w:style>
  <w:style w:type="character" w:customStyle="1" w:styleId="CommentTextChar">
    <w:name w:val="Comment Text Char"/>
    <w:basedOn w:val="DefaultParagraphFont"/>
    <w:link w:val="CommentText"/>
    <w:uiPriority w:val="99"/>
    <w:semiHidden/>
    <w:rsid w:val="004D5E12"/>
    <w:rPr>
      <w:sz w:val="20"/>
      <w:szCs w:val="20"/>
    </w:rPr>
  </w:style>
  <w:style w:type="paragraph" w:styleId="CommentSubject">
    <w:name w:val="annotation subject"/>
    <w:basedOn w:val="CommentText"/>
    <w:next w:val="CommentText"/>
    <w:link w:val="CommentSubjectChar"/>
    <w:uiPriority w:val="99"/>
    <w:semiHidden/>
    <w:unhideWhenUsed/>
    <w:rsid w:val="004D5E12"/>
    <w:rPr>
      <w:b/>
      <w:bCs/>
    </w:rPr>
  </w:style>
  <w:style w:type="character" w:customStyle="1" w:styleId="CommentSubjectChar">
    <w:name w:val="Comment Subject Char"/>
    <w:basedOn w:val="CommentTextChar"/>
    <w:link w:val="CommentSubject"/>
    <w:uiPriority w:val="99"/>
    <w:semiHidden/>
    <w:rsid w:val="004D5E12"/>
    <w:rPr>
      <w:b/>
      <w:bCs/>
      <w:sz w:val="20"/>
      <w:szCs w:val="20"/>
    </w:rPr>
  </w:style>
  <w:style w:type="paragraph" w:styleId="Revision">
    <w:name w:val="Revision"/>
    <w:hidden/>
    <w:uiPriority w:val="99"/>
    <w:semiHidden/>
    <w:rsid w:val="00A54C56"/>
    <w:pPr>
      <w:spacing w:after="0" w:line="240" w:lineRule="auto"/>
    </w:pPr>
  </w:style>
  <w:style w:type="paragraph" w:styleId="Header">
    <w:name w:val="header"/>
    <w:basedOn w:val="Normal"/>
    <w:link w:val="HeaderChar"/>
    <w:uiPriority w:val="99"/>
    <w:unhideWhenUsed/>
    <w:rsid w:val="00B22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433"/>
  </w:style>
  <w:style w:type="paragraph" w:styleId="Footer">
    <w:name w:val="footer"/>
    <w:basedOn w:val="Normal"/>
    <w:link w:val="FooterChar"/>
    <w:uiPriority w:val="99"/>
    <w:unhideWhenUsed/>
    <w:rsid w:val="00B22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A684E-C21F-404C-8219-38E50CA062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ADAFC6F-4BFF-4CF9-9E56-A70131226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28222A-3F1B-4517-89E3-17E591870F4A}">
  <ds:schemaRefs>
    <ds:schemaRef ds:uri="http://schemas.microsoft.com/sharepoint/v3/contenttype/forms"/>
  </ds:schemaRefs>
</ds:datastoreItem>
</file>

<file path=customXml/itemProps4.xml><?xml version="1.0" encoding="utf-8"?>
<ds:datastoreItem xmlns:ds="http://schemas.openxmlformats.org/officeDocument/2006/customXml" ds:itemID="{EFA0C688-1C98-4E69-A1C6-8B391F862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3068</Words>
  <Characters>17493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SYSTEM</cp:lastModifiedBy>
  <cp:revision>2</cp:revision>
  <cp:lastPrinted>2013-04-03T15:19:00Z</cp:lastPrinted>
  <dcterms:created xsi:type="dcterms:W3CDTF">2019-07-01T20:15:00Z</dcterms:created>
  <dcterms:modified xsi:type="dcterms:W3CDTF">2019-07-01T20:15:00Z</dcterms:modified>
</cp:coreProperties>
</file>