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37DFD" w14:textId="77777777" w:rsidR="000D3C54" w:rsidRDefault="000D3C54" w:rsidP="00D71769">
      <w:pPr>
        <w:jc w:val="center"/>
        <w:rPr>
          <w:b/>
        </w:rPr>
      </w:pPr>
      <w:bookmarkStart w:id="0" w:name="_GoBack"/>
      <w:bookmarkEnd w:id="0"/>
      <w:r w:rsidRPr="000D3C54">
        <w:rPr>
          <w:b/>
        </w:rPr>
        <w:t xml:space="preserve">HUD-94000-OHF </w:t>
      </w:r>
    </w:p>
    <w:p w14:paraId="41252E9F" w14:textId="77777777" w:rsidR="00D71769" w:rsidRDefault="000D3C54" w:rsidP="00D71769">
      <w:pPr>
        <w:jc w:val="center"/>
        <w:rPr>
          <w:b/>
        </w:rPr>
      </w:pPr>
      <w:r w:rsidRPr="000D3C54">
        <w:rPr>
          <w:b/>
        </w:rPr>
        <w:t>Security Instrument/Mortgage/Deed of Trust</w:t>
      </w:r>
    </w:p>
    <w:p w14:paraId="4A7A7030" w14:textId="77777777" w:rsidR="00C15BE2" w:rsidRDefault="00C15BE2" w:rsidP="00D71769">
      <w:pPr>
        <w:jc w:val="center"/>
        <w:rPr>
          <w:b/>
        </w:rPr>
      </w:pPr>
    </w:p>
    <w:p w14:paraId="562EC6E4" w14:textId="77777777" w:rsidR="00D71769" w:rsidRPr="00D71769" w:rsidRDefault="00D71769">
      <w:pPr>
        <w:rPr>
          <w:sz w:val="20"/>
          <w:szCs w:val="20"/>
        </w:rPr>
      </w:pPr>
    </w:p>
    <w:tbl>
      <w:tblPr>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3870"/>
        <w:gridCol w:w="3870"/>
      </w:tblGrid>
      <w:tr w:rsidR="00D71769" w:rsidRPr="00990ECF" w14:paraId="01972ADC" w14:textId="77777777" w:rsidTr="00C15BE2">
        <w:tc>
          <w:tcPr>
            <w:tcW w:w="1710" w:type="dxa"/>
          </w:tcPr>
          <w:p w14:paraId="5B90F06B" w14:textId="77777777" w:rsidR="00D71769" w:rsidRPr="00990ECF" w:rsidRDefault="00D71769" w:rsidP="00990ECF">
            <w:pPr>
              <w:jc w:val="center"/>
              <w:rPr>
                <w:b/>
                <w:sz w:val="20"/>
                <w:szCs w:val="20"/>
              </w:rPr>
            </w:pPr>
            <w:r w:rsidRPr="00990ECF">
              <w:rPr>
                <w:b/>
                <w:sz w:val="20"/>
                <w:szCs w:val="20"/>
              </w:rPr>
              <w:t>LOCATION</w:t>
            </w:r>
          </w:p>
        </w:tc>
        <w:tc>
          <w:tcPr>
            <w:tcW w:w="3870" w:type="dxa"/>
          </w:tcPr>
          <w:p w14:paraId="62641FAC" w14:textId="77777777" w:rsidR="00D71769" w:rsidRPr="00990ECF" w:rsidRDefault="00425931" w:rsidP="00990ECF">
            <w:pPr>
              <w:jc w:val="center"/>
              <w:rPr>
                <w:b/>
                <w:sz w:val="20"/>
                <w:szCs w:val="20"/>
              </w:rPr>
            </w:pPr>
            <w:r w:rsidRPr="00990ECF">
              <w:rPr>
                <w:b/>
                <w:sz w:val="20"/>
                <w:szCs w:val="20"/>
              </w:rPr>
              <w:t>CURRENT TEXT</w:t>
            </w:r>
          </w:p>
        </w:tc>
        <w:tc>
          <w:tcPr>
            <w:tcW w:w="3870" w:type="dxa"/>
          </w:tcPr>
          <w:p w14:paraId="361FEB6B" w14:textId="77777777" w:rsidR="00D71769" w:rsidRPr="00990ECF" w:rsidRDefault="00425931" w:rsidP="00990ECF">
            <w:pPr>
              <w:jc w:val="center"/>
              <w:rPr>
                <w:b/>
                <w:sz w:val="20"/>
                <w:szCs w:val="20"/>
              </w:rPr>
            </w:pPr>
            <w:r w:rsidRPr="00990ECF">
              <w:rPr>
                <w:b/>
                <w:sz w:val="20"/>
                <w:szCs w:val="20"/>
              </w:rPr>
              <w:t>REVISED TEXT</w:t>
            </w:r>
          </w:p>
        </w:tc>
      </w:tr>
      <w:tr w:rsidR="00D71769" w:rsidRPr="00990ECF" w14:paraId="5C7740BD" w14:textId="77777777" w:rsidTr="00C15BE2">
        <w:tc>
          <w:tcPr>
            <w:tcW w:w="1710" w:type="dxa"/>
          </w:tcPr>
          <w:p w14:paraId="27C08A0F" w14:textId="77777777" w:rsidR="00D71769" w:rsidRPr="00990ECF" w:rsidRDefault="00D71769" w:rsidP="00337D32">
            <w:pPr>
              <w:rPr>
                <w:sz w:val="20"/>
                <w:szCs w:val="20"/>
              </w:rPr>
            </w:pPr>
            <w:r w:rsidRPr="00990ECF">
              <w:rPr>
                <w:sz w:val="20"/>
                <w:szCs w:val="20"/>
              </w:rPr>
              <w:t xml:space="preserve">p. </w:t>
            </w:r>
            <w:r w:rsidR="000D3C54">
              <w:rPr>
                <w:sz w:val="20"/>
                <w:szCs w:val="20"/>
              </w:rPr>
              <w:t>3</w:t>
            </w:r>
            <w:r w:rsidRPr="00990ECF">
              <w:rPr>
                <w:sz w:val="20"/>
                <w:szCs w:val="20"/>
              </w:rPr>
              <w:t>,</w:t>
            </w:r>
            <w:r w:rsidR="000D3C54">
              <w:rPr>
                <w:sz w:val="20"/>
                <w:szCs w:val="20"/>
              </w:rPr>
              <w:t xml:space="preserve"> Section 1 – Accounts Receivable</w:t>
            </w:r>
          </w:p>
        </w:tc>
        <w:tc>
          <w:tcPr>
            <w:tcW w:w="3870" w:type="dxa"/>
          </w:tcPr>
          <w:p w14:paraId="207D19DF" w14:textId="77777777" w:rsidR="00D71769" w:rsidRPr="00990ECF" w:rsidRDefault="000D3C54">
            <w:pPr>
              <w:rPr>
                <w:sz w:val="20"/>
                <w:szCs w:val="20"/>
              </w:rPr>
            </w:pPr>
            <w:r w:rsidRPr="000D3C54">
              <w:rPr>
                <w:sz w:val="20"/>
                <w:szCs w:val="20"/>
              </w:rPr>
              <w:t>“Accounts Receivable” means all right, title and interest of Borrower in and to the following, in each case arising from the operation of the Hospital located on the Mortgaged Property in the ordinary course of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clauses (a) and (b); and (d) all of the proceeds of the property described in clauses (a), (b) and (c).  Notwithstanding the foregoing, “Accounts Receivable” shall not include accounts arising from the sale of Borrower’s equipment, inventory or other goods, other than accounts arising from the sale of Borrower’s inventory in the ordinary course of Borrower’s business.</w:t>
            </w:r>
          </w:p>
        </w:tc>
        <w:tc>
          <w:tcPr>
            <w:tcW w:w="3870" w:type="dxa"/>
          </w:tcPr>
          <w:p w14:paraId="7A56513B" w14:textId="77777777" w:rsidR="00D71769" w:rsidRPr="00990ECF" w:rsidRDefault="000D3C54">
            <w:pPr>
              <w:rPr>
                <w:sz w:val="20"/>
                <w:szCs w:val="20"/>
              </w:rPr>
            </w:pPr>
            <w:r w:rsidRPr="000D3C54">
              <w:rPr>
                <w:sz w:val="20"/>
                <w:szCs w:val="20"/>
              </w:rPr>
              <w:t>“Accounts Receivable” means all right, title and interest of Borrower in and to the following, in each case arising from the Borrower in the ordinary course of business: (a) Patient Account Receivables, (b) payment intangibles, (c) guaranties, letter-of-credit rights and other supporting obligations relating to the property described in clauses (a) and (b); and (d) all of the proceeds of the property described in clauses (a), (b) and (c).  Notwithstanding the foregoing, “Accounts Receivable” shall not include accounts arising from the sale of Borrower’s equipment, inventory or other goods, other than accounts arising from the sale of Borrower’s inventory in the ordinary course of Borrower’s business.</w:t>
            </w:r>
          </w:p>
        </w:tc>
      </w:tr>
      <w:tr w:rsidR="00D71769" w:rsidRPr="00990ECF" w14:paraId="72D17DDC" w14:textId="77777777" w:rsidTr="00C15BE2">
        <w:tc>
          <w:tcPr>
            <w:tcW w:w="1710" w:type="dxa"/>
          </w:tcPr>
          <w:p w14:paraId="65FB79AF" w14:textId="77777777" w:rsidR="00D71769" w:rsidRPr="00990ECF" w:rsidRDefault="000D3C54">
            <w:pPr>
              <w:rPr>
                <w:sz w:val="20"/>
                <w:szCs w:val="20"/>
              </w:rPr>
            </w:pPr>
            <w:r w:rsidRPr="00990ECF">
              <w:rPr>
                <w:sz w:val="20"/>
                <w:szCs w:val="20"/>
              </w:rPr>
              <w:t xml:space="preserve">p. </w:t>
            </w:r>
            <w:r>
              <w:rPr>
                <w:sz w:val="20"/>
                <w:szCs w:val="20"/>
              </w:rPr>
              <w:t>4</w:t>
            </w:r>
            <w:r w:rsidRPr="00990ECF">
              <w:rPr>
                <w:sz w:val="20"/>
                <w:szCs w:val="20"/>
              </w:rPr>
              <w:t>,</w:t>
            </w:r>
            <w:r>
              <w:rPr>
                <w:sz w:val="20"/>
                <w:szCs w:val="20"/>
              </w:rPr>
              <w:t xml:space="preserve"> Section 1 – Affiliate</w:t>
            </w:r>
          </w:p>
        </w:tc>
        <w:tc>
          <w:tcPr>
            <w:tcW w:w="3870" w:type="dxa"/>
          </w:tcPr>
          <w:p w14:paraId="7B782568" w14:textId="77777777" w:rsidR="00D71769" w:rsidRPr="00990ECF" w:rsidRDefault="000D3C54">
            <w:pPr>
              <w:rPr>
                <w:sz w:val="20"/>
                <w:szCs w:val="20"/>
              </w:rPr>
            </w:pPr>
            <w:r w:rsidRPr="000D3C54">
              <w:rPr>
                <w:sz w:val="20"/>
                <w:szCs w:val="20"/>
              </w:rPr>
              <w:t>“Affiliate” is defined in 24 CFR 242.1, or any successor regulation.</w:t>
            </w:r>
          </w:p>
        </w:tc>
        <w:tc>
          <w:tcPr>
            <w:tcW w:w="3870" w:type="dxa"/>
          </w:tcPr>
          <w:p w14:paraId="4B400A21" w14:textId="77777777" w:rsidR="00D71769" w:rsidRPr="00990ECF" w:rsidRDefault="000D3C54">
            <w:pPr>
              <w:rPr>
                <w:sz w:val="20"/>
                <w:szCs w:val="20"/>
              </w:rPr>
            </w:pPr>
            <w:r w:rsidRPr="000D3C54">
              <w:rPr>
                <w:sz w:val="20"/>
                <w:szCs w:val="20"/>
              </w:rPr>
              <w:t>“Affiliate” is defined in 24 CFR 242.1, or any successor regulation. The Affiliates include, but are not limited to, to those Affiliates listed in Exhibit B of the Regulatory Agreement.</w:t>
            </w:r>
          </w:p>
        </w:tc>
      </w:tr>
      <w:tr w:rsidR="00D71769" w:rsidRPr="00990ECF" w14:paraId="2F734DBE" w14:textId="77777777" w:rsidTr="00C15BE2">
        <w:tc>
          <w:tcPr>
            <w:tcW w:w="1710" w:type="dxa"/>
          </w:tcPr>
          <w:p w14:paraId="69D65402" w14:textId="77777777" w:rsidR="00D71769" w:rsidRPr="00990ECF" w:rsidRDefault="000D3C54">
            <w:pPr>
              <w:rPr>
                <w:sz w:val="20"/>
                <w:szCs w:val="20"/>
              </w:rPr>
            </w:pPr>
            <w:r w:rsidRPr="00990ECF">
              <w:rPr>
                <w:sz w:val="20"/>
                <w:szCs w:val="20"/>
              </w:rPr>
              <w:t xml:space="preserve">p. </w:t>
            </w:r>
            <w:r>
              <w:rPr>
                <w:sz w:val="20"/>
                <w:szCs w:val="20"/>
              </w:rPr>
              <w:t>8</w:t>
            </w:r>
            <w:r w:rsidRPr="00990ECF">
              <w:rPr>
                <w:sz w:val="20"/>
                <w:szCs w:val="20"/>
              </w:rPr>
              <w:t>,</w:t>
            </w:r>
            <w:r>
              <w:rPr>
                <w:sz w:val="20"/>
                <w:szCs w:val="20"/>
              </w:rPr>
              <w:t xml:space="preserve"> Section 1 – </w:t>
            </w:r>
            <w:r w:rsidRPr="000D3C54">
              <w:rPr>
                <w:sz w:val="20"/>
                <w:szCs w:val="20"/>
              </w:rPr>
              <w:t>Mortgaged Property</w:t>
            </w:r>
            <w:r>
              <w:rPr>
                <w:sz w:val="20"/>
                <w:szCs w:val="20"/>
              </w:rPr>
              <w:t xml:space="preserve"> #21</w:t>
            </w:r>
          </w:p>
        </w:tc>
        <w:tc>
          <w:tcPr>
            <w:tcW w:w="3870" w:type="dxa"/>
          </w:tcPr>
          <w:p w14:paraId="5E61D0ED" w14:textId="77777777" w:rsidR="00D71769" w:rsidRPr="00990ECF" w:rsidRDefault="000D3C54">
            <w:pPr>
              <w:rPr>
                <w:sz w:val="20"/>
                <w:szCs w:val="20"/>
              </w:rPr>
            </w:pPr>
            <w:r>
              <w:rPr>
                <w:sz w:val="20"/>
                <w:szCs w:val="20"/>
              </w:rPr>
              <w:t>N/A</w:t>
            </w:r>
          </w:p>
        </w:tc>
        <w:tc>
          <w:tcPr>
            <w:tcW w:w="3870" w:type="dxa"/>
          </w:tcPr>
          <w:p w14:paraId="69990C21" w14:textId="77777777" w:rsidR="00D71769" w:rsidRPr="000D3C54" w:rsidRDefault="000D3C54" w:rsidP="00EC135C">
            <w:pPr>
              <w:numPr>
                <w:ilvl w:val="0"/>
                <w:numId w:val="1"/>
              </w:numPr>
              <w:kinsoku w:val="0"/>
              <w:overflowPunct w:val="0"/>
              <w:autoSpaceDE w:val="0"/>
              <w:autoSpaceDN w:val="0"/>
              <w:adjustRightInd w:val="0"/>
              <w:ind w:left="-14" w:firstLine="0"/>
              <w:textAlignment w:val="baseline"/>
              <w:rPr>
                <w:sz w:val="20"/>
                <w:szCs w:val="20"/>
              </w:rPr>
            </w:pPr>
            <w:r w:rsidRPr="000D3C54">
              <w:rPr>
                <w:color w:val="000000"/>
                <w:sz w:val="20"/>
                <w:szCs w:val="20"/>
              </w:rPr>
              <w:t xml:space="preserve">Any income or sales proceeds distributed from a joint venture to the Borrower. </w:t>
            </w:r>
          </w:p>
        </w:tc>
      </w:tr>
      <w:tr w:rsidR="00D71769" w:rsidRPr="00990ECF" w14:paraId="10CAAF70" w14:textId="77777777" w:rsidTr="00C15BE2">
        <w:tc>
          <w:tcPr>
            <w:tcW w:w="1710" w:type="dxa"/>
          </w:tcPr>
          <w:p w14:paraId="757A403F" w14:textId="77777777" w:rsidR="00D71769" w:rsidRPr="00990ECF" w:rsidRDefault="000D3C54">
            <w:pPr>
              <w:rPr>
                <w:sz w:val="20"/>
                <w:szCs w:val="20"/>
              </w:rPr>
            </w:pPr>
            <w:r w:rsidRPr="00990ECF">
              <w:rPr>
                <w:sz w:val="20"/>
                <w:szCs w:val="20"/>
              </w:rPr>
              <w:t xml:space="preserve">p. </w:t>
            </w:r>
            <w:r>
              <w:rPr>
                <w:sz w:val="20"/>
                <w:szCs w:val="20"/>
              </w:rPr>
              <w:t>8</w:t>
            </w:r>
            <w:r w:rsidRPr="00990ECF">
              <w:rPr>
                <w:sz w:val="20"/>
                <w:szCs w:val="20"/>
              </w:rPr>
              <w:t>,</w:t>
            </w:r>
            <w:r>
              <w:rPr>
                <w:sz w:val="20"/>
                <w:szCs w:val="20"/>
              </w:rPr>
              <w:t xml:space="preserve"> Section 1 – Patient Accounts Receiv</w:t>
            </w:r>
            <w:r w:rsidR="00EC135C">
              <w:rPr>
                <w:sz w:val="20"/>
                <w:szCs w:val="20"/>
              </w:rPr>
              <w:t>able</w:t>
            </w:r>
          </w:p>
        </w:tc>
        <w:tc>
          <w:tcPr>
            <w:tcW w:w="3870" w:type="dxa"/>
          </w:tcPr>
          <w:p w14:paraId="6DFFA300" w14:textId="77777777" w:rsidR="00D71769" w:rsidRPr="00990ECF" w:rsidRDefault="000D3C54">
            <w:pPr>
              <w:rPr>
                <w:sz w:val="20"/>
                <w:szCs w:val="20"/>
              </w:rPr>
            </w:pPr>
            <w:r>
              <w:rPr>
                <w:sz w:val="20"/>
                <w:szCs w:val="20"/>
              </w:rPr>
              <w:t>N/A</w:t>
            </w:r>
          </w:p>
        </w:tc>
        <w:tc>
          <w:tcPr>
            <w:tcW w:w="3870" w:type="dxa"/>
          </w:tcPr>
          <w:p w14:paraId="031D296B" w14:textId="77777777" w:rsidR="00D71769" w:rsidRPr="00990ECF" w:rsidRDefault="000D3C54">
            <w:pPr>
              <w:rPr>
                <w:sz w:val="20"/>
                <w:szCs w:val="20"/>
              </w:rPr>
            </w:pPr>
            <w:r w:rsidRPr="000D3C54">
              <w:rPr>
                <w:sz w:val="20"/>
                <w:szCs w:val="20"/>
              </w:rPr>
              <w:t>“Patient Accounts Receivable” means all right, title, and interest of Borrower in and to the following, in each case arising from the Borrower  in the ordinary course of business: all rights to payments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w:t>
            </w:r>
          </w:p>
        </w:tc>
      </w:tr>
      <w:tr w:rsidR="006D38DC" w:rsidRPr="00990ECF" w14:paraId="28DBFD2A" w14:textId="77777777" w:rsidTr="00C15BE2">
        <w:trPr>
          <w:cantSplit/>
        </w:trPr>
        <w:tc>
          <w:tcPr>
            <w:tcW w:w="1710" w:type="dxa"/>
          </w:tcPr>
          <w:p w14:paraId="4AB90CB1" w14:textId="77777777" w:rsidR="006D38DC" w:rsidRPr="00990ECF" w:rsidRDefault="006D38DC">
            <w:pPr>
              <w:rPr>
                <w:sz w:val="20"/>
                <w:szCs w:val="20"/>
              </w:rPr>
            </w:pPr>
            <w:r w:rsidRPr="00990ECF">
              <w:rPr>
                <w:sz w:val="20"/>
                <w:szCs w:val="20"/>
              </w:rPr>
              <w:lastRenderedPageBreak/>
              <w:t xml:space="preserve">p. </w:t>
            </w:r>
            <w:r>
              <w:rPr>
                <w:sz w:val="20"/>
                <w:szCs w:val="20"/>
              </w:rPr>
              <w:t>8</w:t>
            </w:r>
            <w:r w:rsidRPr="00990ECF">
              <w:rPr>
                <w:sz w:val="20"/>
                <w:szCs w:val="20"/>
              </w:rPr>
              <w:t>,</w:t>
            </w:r>
            <w:r>
              <w:rPr>
                <w:sz w:val="20"/>
                <w:szCs w:val="20"/>
              </w:rPr>
              <w:t xml:space="preserve"> Section 1 – Personalty</w:t>
            </w:r>
          </w:p>
        </w:tc>
        <w:tc>
          <w:tcPr>
            <w:tcW w:w="3870" w:type="dxa"/>
          </w:tcPr>
          <w:p w14:paraId="3828CB34" w14:textId="77777777" w:rsidR="006D38DC" w:rsidRDefault="006D38DC">
            <w:pPr>
              <w:rPr>
                <w:sz w:val="20"/>
                <w:szCs w:val="20"/>
              </w:rPr>
            </w:pPr>
            <w:r w:rsidRPr="006D38DC">
              <w:rPr>
                <w:sz w:val="20"/>
                <w:szCs w:val="20"/>
              </w:rPr>
              <w:t>“Personalty” means all equipment, inventory, and general intangibles associated with the Hospital and/or the Project.  It includes furniture, furnishings, beds, machinery (including motor vehicles),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Hospital and/or any other portion of the 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  Personalty includes all tangible and intangible personal property used in connection with the Hospital (such as major movable equipment and systems), accounts, licenses, permits, bed authorities, certificates of need required to operate the Hospital and to receive benefits and reimbursements under provider agreements with Medicaid, Medicare, State and local programs, payments from healthcare insurers and any other assistance providers; all certifications, permits and approvals, instruments, Revenue, lease and contract rights, and equipment leases relating to the use, operation, maintenance, repair and improvement of the Hospital.  Generally, intangibles shall also include all cash and cash escrow funds, such as but not limited to: debt service reserve accounts, bank accounts, equipment reserve replacement fund accounts and investments.</w:t>
            </w:r>
          </w:p>
        </w:tc>
        <w:tc>
          <w:tcPr>
            <w:tcW w:w="3870" w:type="dxa"/>
          </w:tcPr>
          <w:p w14:paraId="100848C2" w14:textId="77777777" w:rsidR="006D38DC" w:rsidRPr="000D3C54" w:rsidRDefault="006D38DC">
            <w:pPr>
              <w:rPr>
                <w:sz w:val="20"/>
                <w:szCs w:val="20"/>
              </w:rPr>
            </w:pPr>
            <w:r w:rsidRPr="006D38DC">
              <w:rPr>
                <w:sz w:val="20"/>
                <w:szCs w:val="20"/>
              </w:rPr>
              <w:t>“Personalty” means all equipment, inventory, and general intangibles associated with the Hospital and/or the Project.  It includes furniture, furnishings, beds, machinery (including motor vehicles),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Hospital and/or any other portion of the 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  Personalty includes all tangible and intangible personal property used in connection with the Hospital (such as major movable equipment and systems), accounts, licenses, permits, bed authorities, certificates of need required to operate the Hospital and to receive benefits and reimbursements under provider agreements with Medicaid, Medicare, State and local programs, payments from healthcare insurers and any other assistance providers; all certifications, permits and approvals, instruments, Revenue, lease and contract rights, and equipment leases relating to the use, operation, maintenance, repair and improvement of the Hospital.  Personalty includes any income or sales proceeds distributed from a joint venture to the Borrower. Generally, intangibles shall also include all cash and cash escrow funds, such as but not limited to: debt service reserve accounts, bank accounts, equipment reserve replacement fund accounts and investments.</w:t>
            </w:r>
          </w:p>
        </w:tc>
      </w:tr>
      <w:tr w:rsidR="006D38DC" w:rsidRPr="00990ECF" w14:paraId="52A986CE" w14:textId="77777777" w:rsidTr="00C15BE2">
        <w:tc>
          <w:tcPr>
            <w:tcW w:w="1710" w:type="dxa"/>
          </w:tcPr>
          <w:p w14:paraId="1A8C0110" w14:textId="77777777" w:rsidR="006D38DC" w:rsidRPr="00990ECF" w:rsidRDefault="006D38DC">
            <w:pPr>
              <w:rPr>
                <w:sz w:val="20"/>
                <w:szCs w:val="20"/>
              </w:rPr>
            </w:pPr>
            <w:r w:rsidRPr="00990ECF">
              <w:rPr>
                <w:sz w:val="20"/>
                <w:szCs w:val="20"/>
              </w:rPr>
              <w:t xml:space="preserve">p. </w:t>
            </w:r>
            <w:r>
              <w:rPr>
                <w:sz w:val="20"/>
                <w:szCs w:val="20"/>
              </w:rPr>
              <w:t>8</w:t>
            </w:r>
            <w:r w:rsidRPr="00990ECF">
              <w:rPr>
                <w:sz w:val="20"/>
                <w:szCs w:val="20"/>
              </w:rPr>
              <w:t>,</w:t>
            </w:r>
            <w:r>
              <w:rPr>
                <w:sz w:val="20"/>
                <w:szCs w:val="20"/>
              </w:rPr>
              <w:t xml:space="preserve"> Section 1 – </w:t>
            </w:r>
            <w:r w:rsidRPr="006D38DC">
              <w:rPr>
                <w:sz w:val="20"/>
                <w:szCs w:val="20"/>
              </w:rPr>
              <w:t>Property Jurisdiction</w:t>
            </w:r>
          </w:p>
        </w:tc>
        <w:tc>
          <w:tcPr>
            <w:tcW w:w="3870" w:type="dxa"/>
          </w:tcPr>
          <w:p w14:paraId="08117D43" w14:textId="77777777" w:rsidR="006D38DC" w:rsidRPr="006D38DC" w:rsidRDefault="006D38DC">
            <w:pPr>
              <w:rPr>
                <w:sz w:val="20"/>
                <w:szCs w:val="20"/>
              </w:rPr>
            </w:pPr>
            <w:r w:rsidRPr="006D38DC">
              <w:rPr>
                <w:sz w:val="20"/>
                <w:szCs w:val="20"/>
              </w:rPr>
              <w:t>“Property Jurisdiction” means any applicable jurisdiction in which the Land is located.</w:t>
            </w:r>
          </w:p>
        </w:tc>
        <w:tc>
          <w:tcPr>
            <w:tcW w:w="3870" w:type="dxa"/>
          </w:tcPr>
          <w:p w14:paraId="21FF1A88" w14:textId="77777777" w:rsidR="006D38DC" w:rsidRPr="006D38DC" w:rsidRDefault="006D38DC">
            <w:pPr>
              <w:rPr>
                <w:sz w:val="20"/>
                <w:szCs w:val="20"/>
              </w:rPr>
            </w:pPr>
            <w:r w:rsidRPr="006D38DC">
              <w:rPr>
                <w:sz w:val="20"/>
                <w:szCs w:val="20"/>
              </w:rPr>
              <w:t>“Property Jurisdiction” means any jurisdiction in which the Land is located.</w:t>
            </w:r>
          </w:p>
        </w:tc>
      </w:tr>
    </w:tbl>
    <w:p w14:paraId="4CA57DE7" w14:textId="77777777" w:rsidR="0035640F" w:rsidRPr="00D71769" w:rsidRDefault="0035640F" w:rsidP="00EC135C">
      <w:pPr>
        <w:rPr>
          <w:sz w:val="20"/>
          <w:szCs w:val="20"/>
        </w:rPr>
      </w:pPr>
    </w:p>
    <w:sectPr w:rsidR="0035640F" w:rsidRPr="00D71769" w:rsidSect="00C15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C82"/>
    <w:multiLevelType w:val="hybridMultilevel"/>
    <w:tmpl w:val="63B6B190"/>
    <w:lvl w:ilvl="0" w:tplc="1436BD2A">
      <w:start w:val="2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3A3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3C54"/>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1A75"/>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38DC"/>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47F3E"/>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15BE2"/>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135C"/>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7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SYSTEM</cp:lastModifiedBy>
  <cp:revision>2</cp:revision>
  <cp:lastPrinted>2018-10-03T15:19:00Z</cp:lastPrinted>
  <dcterms:created xsi:type="dcterms:W3CDTF">2019-08-09T22:14:00Z</dcterms:created>
  <dcterms:modified xsi:type="dcterms:W3CDTF">2019-08-09T22:14:00Z</dcterms:modified>
</cp:coreProperties>
</file>