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14642" w14:textId="77777777" w:rsidR="00C64707" w:rsidRPr="00C64707" w:rsidRDefault="00D83898"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Pr>
          <w:rFonts w:ascii="Arial" w:eastAsia="Times New Roman" w:hAnsi="Arial" w:cs="Arial"/>
          <w:b/>
          <w:bCs/>
          <w:color w:val="555555"/>
          <w:sz w:val="24"/>
          <w:szCs w:val="24"/>
        </w:rPr>
        <w:t xml:space="preserve">Supporting Statement </w:t>
      </w:r>
    </w:p>
    <w:p w14:paraId="05A11305" w14:textId="77777777" w:rsidR="00C64707" w:rsidRPr="00C64707" w:rsidRDefault="00D83898" w:rsidP="00C64707">
      <w:pPr>
        <w:shd w:val="clear" w:color="auto" w:fill="FFFFFF"/>
        <w:spacing w:after="0" w:line="240" w:lineRule="auto"/>
        <w:jc w:val="center"/>
        <w:rPr>
          <w:rFonts w:ascii="Arial" w:eastAsia="Times New Roman" w:hAnsi="Arial" w:cs="Arial"/>
          <w:color w:val="555555"/>
          <w:sz w:val="24"/>
          <w:szCs w:val="24"/>
        </w:rPr>
      </w:pPr>
      <w:r w:rsidRPr="00D83898">
        <w:rPr>
          <w:rFonts w:ascii="Arial" w:eastAsia="Times New Roman" w:hAnsi="Arial" w:cs="Arial"/>
          <w:color w:val="555555"/>
          <w:sz w:val="24"/>
          <w:szCs w:val="24"/>
        </w:rPr>
        <w:t>Website for web based Frequency Coordination Request Information Collection Request</w:t>
      </w:r>
    </w:p>
    <w:p w14:paraId="0F634D68" w14:textId="77777777" w:rsidR="00C64707" w:rsidRDefault="00C64707" w:rsidP="00C64707">
      <w:pPr>
        <w:shd w:val="clear" w:color="auto" w:fill="FFFFFF"/>
        <w:spacing w:after="0" w:line="240" w:lineRule="auto"/>
        <w:rPr>
          <w:rFonts w:ascii="Arial" w:eastAsia="Times New Roman" w:hAnsi="Arial" w:cs="Arial"/>
          <w:color w:val="555555"/>
          <w:sz w:val="24"/>
          <w:szCs w:val="24"/>
        </w:rPr>
      </w:pPr>
    </w:p>
    <w:p w14:paraId="6F9D5729" w14:textId="77777777" w:rsidR="007635DE" w:rsidRPr="007635DE" w:rsidRDefault="007635DE" w:rsidP="007635DE">
      <w:pPr>
        <w:pStyle w:val="Subtitle"/>
        <w:rPr>
          <w:rFonts w:ascii="Arial" w:hAnsi="Arial" w:cs="Arial"/>
          <w:color w:val="555555"/>
        </w:rPr>
      </w:pPr>
      <w:r w:rsidRPr="007635DE">
        <w:rPr>
          <w:rFonts w:ascii="Arial" w:hAnsi="Arial" w:cs="Arial"/>
          <w:color w:val="555555"/>
        </w:rPr>
        <w:t>INTRODUCTION</w:t>
      </w:r>
    </w:p>
    <w:p w14:paraId="0225AB92" w14:textId="77777777" w:rsidR="007635DE" w:rsidRPr="007635DE" w:rsidRDefault="007635DE" w:rsidP="007635DE">
      <w:pPr>
        <w:rPr>
          <w:rFonts w:ascii="Arial" w:eastAsia="Times New Roman" w:hAnsi="Arial" w:cs="Arial"/>
          <w:b/>
          <w:bCs/>
          <w:color w:val="555555"/>
          <w:sz w:val="24"/>
          <w:szCs w:val="24"/>
        </w:rPr>
      </w:pPr>
    </w:p>
    <w:p w14:paraId="7A33B443" w14:textId="77777777" w:rsidR="007635DE" w:rsidRPr="007635DE" w:rsidRDefault="007635DE" w:rsidP="007635DE">
      <w:pPr>
        <w:rPr>
          <w:rFonts w:ascii="Arial" w:eastAsia="Times New Roman" w:hAnsi="Arial" w:cs="Arial"/>
          <w:b/>
          <w:color w:val="555555"/>
          <w:sz w:val="24"/>
          <w:szCs w:val="24"/>
        </w:rPr>
      </w:pPr>
      <w:r w:rsidRPr="007635DE">
        <w:rPr>
          <w:rFonts w:ascii="Arial" w:eastAsia="Times New Roman" w:hAnsi="Arial" w:cs="Arial"/>
          <w:b/>
          <w:color w:val="555555"/>
          <w:sz w:val="24"/>
          <w:szCs w:val="24"/>
        </w:rPr>
        <w:t>This information collection is submitted to the Office of Management and Budget (OMB) to request a new Information Collection Request (ICR) clearance for the information collection entitled, Website for Frequency Coordination Request, previously associated with OMB Control No. 2120-0001.</w:t>
      </w:r>
    </w:p>
    <w:p w14:paraId="2C975F56" w14:textId="77777777" w:rsidR="007635DE" w:rsidRPr="00C64707" w:rsidRDefault="007635DE" w:rsidP="00C64707">
      <w:pPr>
        <w:shd w:val="clear" w:color="auto" w:fill="FFFFFF"/>
        <w:spacing w:after="0" w:line="240" w:lineRule="auto"/>
        <w:rPr>
          <w:rFonts w:ascii="Arial" w:eastAsia="Times New Roman" w:hAnsi="Arial" w:cs="Arial"/>
          <w:color w:val="555555"/>
          <w:sz w:val="24"/>
          <w:szCs w:val="24"/>
        </w:rPr>
      </w:pPr>
    </w:p>
    <w:p w14:paraId="46312D8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67AB575F" w14:textId="77777777" w:rsidR="00D83898" w:rsidRPr="00D83898" w:rsidRDefault="00C64707" w:rsidP="00D8389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D83898" w:rsidRPr="00D83898">
        <w:rPr>
          <w:rFonts w:ascii="Arial" w:eastAsia="Times New Roman" w:hAnsi="Arial" w:cs="Arial"/>
          <w:color w:val="555555"/>
          <w:sz w:val="24"/>
          <w:szCs w:val="24"/>
        </w:rPr>
        <w:t xml:space="preserve">1. Circumstances that make collection of information necessary.  </w:t>
      </w:r>
    </w:p>
    <w:p w14:paraId="3343C97B" w14:textId="77777777" w:rsidR="00D83898" w:rsidRPr="00D83898" w:rsidRDefault="00D83898" w:rsidP="00D83898">
      <w:pPr>
        <w:shd w:val="clear" w:color="auto" w:fill="FFFFFF"/>
        <w:spacing w:after="0" w:line="240" w:lineRule="auto"/>
        <w:rPr>
          <w:rFonts w:ascii="Arial" w:eastAsia="Times New Roman" w:hAnsi="Arial" w:cs="Arial"/>
          <w:color w:val="555555"/>
          <w:sz w:val="24"/>
          <w:szCs w:val="24"/>
        </w:rPr>
      </w:pPr>
      <w:r w:rsidRPr="00D83898">
        <w:rPr>
          <w:rFonts w:ascii="Arial" w:eastAsia="Times New Roman" w:hAnsi="Arial" w:cs="Arial"/>
          <w:color w:val="555555"/>
          <w:sz w:val="24"/>
          <w:szCs w:val="24"/>
        </w:rPr>
        <w:t>49 U.S.C. Section 44718(c) Under Broadcast Applications and Tower Studies states, “In carrying out laws related to a broadcast application - the Administrator of the Federal Aviation Administration and the Federal Communications Commission shall take action necessary to coordinate efficiently—</w:t>
      </w:r>
    </w:p>
    <w:p w14:paraId="4A9531B9" w14:textId="77777777" w:rsidR="00D83898" w:rsidRPr="00D83898" w:rsidRDefault="00D83898" w:rsidP="00D83898">
      <w:pPr>
        <w:shd w:val="clear" w:color="auto" w:fill="FFFFFF"/>
        <w:spacing w:after="0" w:line="240" w:lineRule="auto"/>
        <w:rPr>
          <w:rFonts w:ascii="Arial" w:eastAsia="Times New Roman" w:hAnsi="Arial" w:cs="Arial"/>
          <w:color w:val="555555"/>
          <w:sz w:val="24"/>
          <w:szCs w:val="24"/>
        </w:rPr>
      </w:pPr>
      <w:r w:rsidRPr="00D83898">
        <w:rPr>
          <w:rFonts w:ascii="Arial" w:eastAsia="Times New Roman" w:hAnsi="Arial" w:cs="Arial"/>
          <w:color w:val="555555"/>
          <w:sz w:val="24"/>
          <w:szCs w:val="24"/>
        </w:rPr>
        <w:t>(1) The receipt and consideration of, and action on, the application; and</w:t>
      </w:r>
    </w:p>
    <w:p w14:paraId="58A16F55" w14:textId="77777777" w:rsidR="00D83898" w:rsidRPr="00D83898" w:rsidRDefault="00D83898" w:rsidP="00D83898">
      <w:pPr>
        <w:shd w:val="clear" w:color="auto" w:fill="FFFFFF"/>
        <w:spacing w:after="0" w:line="240" w:lineRule="auto"/>
        <w:rPr>
          <w:rFonts w:ascii="Arial" w:eastAsia="Times New Roman" w:hAnsi="Arial" w:cs="Arial"/>
          <w:color w:val="555555"/>
          <w:sz w:val="24"/>
          <w:szCs w:val="24"/>
        </w:rPr>
      </w:pPr>
      <w:r w:rsidRPr="00D83898">
        <w:rPr>
          <w:rFonts w:ascii="Arial" w:eastAsia="Times New Roman" w:hAnsi="Arial" w:cs="Arial"/>
          <w:color w:val="555555"/>
          <w:sz w:val="24"/>
          <w:szCs w:val="24"/>
        </w:rPr>
        <w:t>(2) The completion of any associated aeronautical study</w:t>
      </w:r>
    </w:p>
    <w:p w14:paraId="4438E3A6" w14:textId="77777777" w:rsidR="00D83898" w:rsidRPr="00D83898" w:rsidRDefault="00D83898" w:rsidP="00D83898">
      <w:pPr>
        <w:shd w:val="clear" w:color="auto" w:fill="FFFFFF"/>
        <w:spacing w:after="0" w:line="240" w:lineRule="auto"/>
        <w:rPr>
          <w:rFonts w:ascii="Arial" w:eastAsia="Times New Roman" w:hAnsi="Arial" w:cs="Arial"/>
          <w:color w:val="555555"/>
          <w:sz w:val="24"/>
          <w:szCs w:val="24"/>
        </w:rPr>
      </w:pPr>
    </w:p>
    <w:p w14:paraId="558233FD" w14:textId="77777777" w:rsidR="00D83898" w:rsidRPr="00D83898" w:rsidRDefault="00D83898" w:rsidP="00D83898">
      <w:pPr>
        <w:shd w:val="clear" w:color="auto" w:fill="FFFFFF"/>
        <w:spacing w:after="0" w:line="240" w:lineRule="auto"/>
        <w:rPr>
          <w:rFonts w:ascii="Arial" w:eastAsia="Times New Roman" w:hAnsi="Arial" w:cs="Arial"/>
          <w:color w:val="555555"/>
          <w:sz w:val="24"/>
          <w:szCs w:val="24"/>
        </w:rPr>
      </w:pPr>
      <w:r w:rsidRPr="00D83898">
        <w:rPr>
          <w:rFonts w:ascii="Arial" w:eastAsia="Times New Roman" w:hAnsi="Arial" w:cs="Arial"/>
          <w:color w:val="555555"/>
          <w:sz w:val="24"/>
          <w:szCs w:val="24"/>
        </w:rPr>
        <w:t xml:space="preserve">The prior ICR efforts worked to meet the requirement of all elements of 49 U.S.C. Section 44718 inclusive of broadcast radio frequency data via OMB Control 2120-0001, associated with filing a Notice of Proposed Construction or Alteration. Due to the limitations imposed by the “Structure Construction or Alteration” factor, several broadcast applications were not being properly captured with the required consideration data or aeronautical study initiated. </w:t>
      </w:r>
    </w:p>
    <w:p w14:paraId="7F116532" w14:textId="77777777" w:rsidR="00D83898" w:rsidRPr="00D83898" w:rsidRDefault="00D83898" w:rsidP="00D83898">
      <w:pPr>
        <w:shd w:val="clear" w:color="auto" w:fill="FFFFFF"/>
        <w:spacing w:after="0" w:line="240" w:lineRule="auto"/>
        <w:rPr>
          <w:rFonts w:ascii="Arial" w:eastAsia="Times New Roman" w:hAnsi="Arial" w:cs="Arial"/>
          <w:color w:val="555555"/>
          <w:sz w:val="24"/>
          <w:szCs w:val="24"/>
        </w:rPr>
      </w:pPr>
    </w:p>
    <w:p w14:paraId="59642BC5" w14:textId="77777777" w:rsidR="00C64707" w:rsidRPr="00D83898" w:rsidRDefault="00D83898" w:rsidP="00D83898">
      <w:pPr>
        <w:shd w:val="clear" w:color="auto" w:fill="FFFFFF"/>
        <w:spacing w:after="0" w:line="240" w:lineRule="auto"/>
        <w:rPr>
          <w:rFonts w:ascii="Arial" w:eastAsia="Times New Roman" w:hAnsi="Arial" w:cs="Arial"/>
          <w:color w:val="555555"/>
          <w:sz w:val="24"/>
          <w:szCs w:val="24"/>
        </w:rPr>
      </w:pPr>
      <w:r w:rsidRPr="00D83898">
        <w:rPr>
          <w:rFonts w:ascii="Arial" w:eastAsia="Times New Roman" w:hAnsi="Arial" w:cs="Arial"/>
          <w:color w:val="555555"/>
          <w:sz w:val="24"/>
          <w:szCs w:val="24"/>
        </w:rPr>
        <w:t>The Federal Aviation Administration (FAA) Order 6050.32.B, Chapter 3, Section 302 outlines the US National Organizations, and the role of the National Telecommunications and Information Administration (NTIA) is assigning the Aviation Assignment Group (AAG) of the radio spectrum to FAA which support aeronautical services. Hence, FAA must “authorize” aeronautical frequencies of broadcast applications which impact the AAG bands. The Federal Aviation Administration (FAA) Order 6050.32.B, Chapter 3, Sections 303 and 304 and Chapter 4, outline how the FAA will use the ICR data for spectrum engineering evaluations, analysis, and assignment and processing. These actions are required to address the proponent and FAA objectives of providing reliable communications, navigation, and surveillance in support of the National Airspace System (NAS). The information collected is needed to perform the aeronautical studies, technical evaluations required and to meet the specified requirements for the radio frequency engineering pursuant to the FAA Order.    This submission for clearance will support the FAA’s collection of the radio frequency information by the Web based Frequency Coordination Request (WebFCR) application, located at FAA.Gov. FAA Order 6050.32.B is</w:t>
      </w:r>
      <w:r w:rsidRPr="00D83898">
        <w:t xml:space="preserve"> </w:t>
      </w:r>
      <w:r w:rsidRPr="00D83898">
        <w:rPr>
          <w:rFonts w:ascii="Arial" w:eastAsia="Times New Roman" w:hAnsi="Arial" w:cs="Arial"/>
          <w:color w:val="555555"/>
          <w:sz w:val="24"/>
          <w:szCs w:val="24"/>
        </w:rPr>
        <w:t>attached to this submission.</w:t>
      </w:r>
    </w:p>
    <w:p w14:paraId="72F0011A" w14:textId="77777777" w:rsidR="00D83898" w:rsidRDefault="00D83898" w:rsidP="00C64707">
      <w:pPr>
        <w:shd w:val="clear" w:color="auto" w:fill="FFFFFF"/>
        <w:spacing w:after="0" w:line="240" w:lineRule="auto"/>
        <w:rPr>
          <w:rFonts w:ascii="Arial" w:eastAsia="Times New Roman" w:hAnsi="Arial" w:cs="Arial"/>
          <w:color w:val="555555"/>
          <w:sz w:val="24"/>
          <w:szCs w:val="24"/>
        </w:rPr>
      </w:pPr>
    </w:p>
    <w:p w14:paraId="7C6728CB" w14:textId="77777777" w:rsidR="00D83898" w:rsidRDefault="00D83898" w:rsidP="00C64707">
      <w:pPr>
        <w:shd w:val="clear" w:color="auto" w:fill="FFFFFF"/>
        <w:spacing w:after="0" w:line="240" w:lineRule="auto"/>
        <w:rPr>
          <w:rFonts w:ascii="Arial" w:eastAsia="Times New Roman" w:hAnsi="Arial" w:cs="Arial"/>
          <w:color w:val="555555"/>
          <w:sz w:val="24"/>
          <w:szCs w:val="24"/>
        </w:rPr>
      </w:pPr>
    </w:p>
    <w:p w14:paraId="1C94F8BF" w14:textId="77777777" w:rsidR="00D83898" w:rsidRDefault="00D83898" w:rsidP="00C64707">
      <w:pPr>
        <w:shd w:val="clear" w:color="auto" w:fill="FFFFFF"/>
        <w:spacing w:after="0" w:line="240" w:lineRule="auto"/>
        <w:rPr>
          <w:rFonts w:ascii="Arial" w:eastAsia="Times New Roman" w:hAnsi="Arial" w:cs="Arial"/>
          <w:color w:val="555555"/>
          <w:sz w:val="24"/>
          <w:szCs w:val="24"/>
        </w:rPr>
      </w:pPr>
    </w:p>
    <w:p w14:paraId="1A177AC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1CCD68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7A4F4E36" w14:textId="3CFB879E" w:rsidR="00CB5186" w:rsidRPr="003C578B" w:rsidRDefault="003C578B" w:rsidP="00C64707">
      <w:pPr>
        <w:shd w:val="clear" w:color="auto" w:fill="FFFFFF"/>
        <w:spacing w:after="0" w:line="240" w:lineRule="auto"/>
        <w:rPr>
          <w:rFonts w:ascii="Arial" w:eastAsia="Times New Roman" w:hAnsi="Arial" w:cs="Arial"/>
          <w:sz w:val="24"/>
          <w:szCs w:val="24"/>
        </w:rPr>
      </w:pPr>
      <w:r>
        <w:rPr>
          <w:rFonts w:ascii="Arial" w:eastAsia="Times New Roman" w:hAnsi="Arial" w:cs="Arial"/>
          <w:color w:val="555555"/>
          <w:sz w:val="24"/>
          <w:szCs w:val="24"/>
        </w:rPr>
        <w:t>S</w:t>
      </w:r>
      <w:r w:rsidR="00CB5186" w:rsidRPr="00CB5186">
        <w:rPr>
          <w:rFonts w:ascii="Arial" w:eastAsia="Times New Roman" w:hAnsi="Arial" w:cs="Arial"/>
          <w:color w:val="555555"/>
          <w:sz w:val="24"/>
          <w:szCs w:val="24"/>
        </w:rPr>
        <w:t xml:space="preserve">ubmission of a request for FAA frequency coordination is required “on occasion to </w:t>
      </w:r>
      <w:r w:rsidR="00CB5186">
        <w:rPr>
          <w:rFonts w:ascii="Arial" w:eastAsia="Times New Roman" w:hAnsi="Arial" w:cs="Arial"/>
          <w:color w:val="555555"/>
          <w:sz w:val="24"/>
          <w:szCs w:val="24"/>
        </w:rPr>
        <w:t xml:space="preserve">request and/or </w:t>
      </w:r>
      <w:r w:rsidR="00CB5186" w:rsidRPr="00CB5186">
        <w:rPr>
          <w:rFonts w:ascii="Arial" w:eastAsia="Times New Roman" w:hAnsi="Arial" w:cs="Arial"/>
          <w:color w:val="555555"/>
          <w:sz w:val="24"/>
          <w:szCs w:val="24"/>
        </w:rPr>
        <w:t>continue frequency use” as needed by the proponent</w:t>
      </w:r>
      <w:r w:rsidR="00CB5186" w:rsidRPr="00554AB1">
        <w:rPr>
          <w:rFonts w:ascii="Arial" w:eastAsia="Times New Roman" w:hAnsi="Arial" w:cs="Arial"/>
          <w:color w:val="555555"/>
          <w:sz w:val="24"/>
          <w:szCs w:val="24"/>
        </w:rPr>
        <w:t>.</w:t>
      </w:r>
      <w:r w:rsidRPr="00554AB1">
        <w:rPr>
          <w:rFonts w:ascii="Arial" w:eastAsia="Times New Roman" w:hAnsi="Arial" w:cs="Arial"/>
          <w:color w:val="555555"/>
          <w:sz w:val="24"/>
          <w:szCs w:val="24"/>
        </w:rPr>
        <w:t xml:space="preserve"> Reporting of this information by respondents is mandatory upon each occasion</w:t>
      </w:r>
      <w:r w:rsidR="007555AE">
        <w:rPr>
          <w:rFonts w:ascii="Arial" w:eastAsia="Times New Roman" w:hAnsi="Arial" w:cs="Arial"/>
          <w:color w:val="555555"/>
          <w:sz w:val="24"/>
          <w:szCs w:val="24"/>
        </w:rPr>
        <w:t>.</w:t>
      </w:r>
      <w:r w:rsidR="005E3F24" w:rsidRPr="003C578B">
        <w:rPr>
          <w:rFonts w:ascii="Arial" w:eastAsia="Times New Roman" w:hAnsi="Arial" w:cs="Arial"/>
          <w:sz w:val="24"/>
          <w:szCs w:val="24"/>
        </w:rPr>
        <w:t xml:space="preserve"> </w:t>
      </w:r>
    </w:p>
    <w:p w14:paraId="4F7864E7" w14:textId="77777777" w:rsidR="00C64707" w:rsidRPr="00C64707" w:rsidRDefault="00D83898" w:rsidP="00C64707">
      <w:pPr>
        <w:shd w:val="clear" w:color="auto" w:fill="FFFFFF"/>
        <w:spacing w:after="0" w:line="240" w:lineRule="auto"/>
        <w:rPr>
          <w:rFonts w:ascii="Arial" w:eastAsia="Times New Roman" w:hAnsi="Arial" w:cs="Arial"/>
          <w:color w:val="555555"/>
          <w:sz w:val="24"/>
          <w:szCs w:val="24"/>
        </w:rPr>
      </w:pPr>
      <w:r w:rsidRPr="00D83898">
        <w:rPr>
          <w:rFonts w:ascii="Arial" w:eastAsia="Times New Roman" w:hAnsi="Arial" w:cs="Arial"/>
          <w:color w:val="555555"/>
          <w:sz w:val="24"/>
          <w:szCs w:val="24"/>
        </w:rPr>
        <w:t>The information is used by the FAA Spectrum Engineering and Assignment Organization (AJW-1C2) to complete the engineering required to adequately evaluate and engineer the proponent’s request.  a.) The response to this data collection is required for the proponent to obtain FAA concurrence to use a radio frequency that impacts civil aviation. b.) Those entities who respond to this collection are proponents (individuals, corporations, organizations or agencies) who are seeking to broadcast on a radio frequency within the AAG frequencies as defined by</w:t>
      </w:r>
      <w:r>
        <w:rPr>
          <w:rFonts w:ascii="Arial" w:eastAsia="Times New Roman" w:hAnsi="Arial" w:cs="Arial"/>
          <w:color w:val="555555"/>
          <w:sz w:val="24"/>
          <w:szCs w:val="24"/>
        </w:rPr>
        <w:t xml:space="preserve"> the National Telecommunications and Information Agency</w:t>
      </w:r>
      <w:r w:rsidRPr="00D83898">
        <w:rPr>
          <w:rFonts w:ascii="Arial" w:eastAsia="Times New Roman" w:hAnsi="Arial" w:cs="Arial"/>
          <w:color w:val="555555"/>
          <w:sz w:val="24"/>
          <w:szCs w:val="24"/>
        </w:rPr>
        <w:t xml:space="preserve"> </w:t>
      </w:r>
      <w:r>
        <w:rPr>
          <w:rFonts w:ascii="Arial" w:eastAsia="Times New Roman" w:hAnsi="Arial" w:cs="Arial"/>
          <w:color w:val="555555"/>
          <w:sz w:val="24"/>
          <w:szCs w:val="24"/>
        </w:rPr>
        <w:t>(</w:t>
      </w:r>
      <w:r w:rsidRPr="00D83898">
        <w:rPr>
          <w:rFonts w:ascii="Arial" w:eastAsia="Times New Roman" w:hAnsi="Arial" w:cs="Arial"/>
          <w:color w:val="555555"/>
          <w:sz w:val="24"/>
          <w:szCs w:val="24"/>
        </w:rPr>
        <w:t>NTIA</w:t>
      </w:r>
      <w:r w:rsidR="00EB6157">
        <w:rPr>
          <w:rFonts w:ascii="Arial" w:eastAsia="Times New Roman" w:hAnsi="Arial" w:cs="Arial"/>
          <w:color w:val="555555"/>
          <w:sz w:val="24"/>
          <w:szCs w:val="24"/>
        </w:rPr>
        <w:t>)</w:t>
      </w:r>
      <w:r w:rsidRPr="00D83898">
        <w:rPr>
          <w:rFonts w:ascii="Arial" w:eastAsia="Times New Roman" w:hAnsi="Arial" w:cs="Arial"/>
          <w:color w:val="555555"/>
          <w:sz w:val="24"/>
          <w:szCs w:val="24"/>
        </w:rPr>
        <w:t>. c.) The information collected is used for analysis of the impact to aviation only, and the concurrence is disclosed to the requester and the Federal Communications Commission (FCC) via the requester. d.) The FCC issued licenses for radio frequency transmission authorization m</w:t>
      </w:r>
      <w:r w:rsidR="00CB5186">
        <w:rPr>
          <w:rFonts w:ascii="Arial" w:eastAsia="Times New Roman" w:hAnsi="Arial" w:cs="Arial"/>
          <w:color w:val="555555"/>
          <w:sz w:val="24"/>
          <w:szCs w:val="24"/>
        </w:rPr>
        <w:t>ust be renewed typically every 10</w:t>
      </w:r>
      <w:r w:rsidRPr="00D83898">
        <w:rPr>
          <w:rFonts w:ascii="Arial" w:eastAsia="Times New Roman" w:hAnsi="Arial" w:cs="Arial"/>
          <w:color w:val="555555"/>
          <w:sz w:val="24"/>
          <w:szCs w:val="24"/>
        </w:rPr>
        <w:t xml:space="preserve"> years, this requires the proponent to resubmit to the FAA under this collection, to extend the license</w:t>
      </w:r>
      <w:r w:rsidR="00EB6157">
        <w:rPr>
          <w:rFonts w:ascii="Arial" w:eastAsia="Times New Roman" w:hAnsi="Arial" w:cs="Arial"/>
          <w:color w:val="555555"/>
          <w:sz w:val="24"/>
          <w:szCs w:val="24"/>
        </w:rPr>
        <w:t xml:space="preserve"> period, if required</w:t>
      </w:r>
      <w:r w:rsidR="00CB5186">
        <w:rPr>
          <w:rFonts w:ascii="Arial" w:eastAsia="Times New Roman" w:hAnsi="Arial" w:cs="Arial"/>
          <w:color w:val="555555"/>
          <w:sz w:val="24"/>
          <w:szCs w:val="24"/>
        </w:rPr>
        <w:t xml:space="preserve"> every 10</w:t>
      </w:r>
      <w:r w:rsidRPr="00D83898">
        <w:rPr>
          <w:rFonts w:ascii="Arial" w:eastAsia="Times New Roman" w:hAnsi="Arial" w:cs="Arial"/>
          <w:color w:val="555555"/>
          <w:sz w:val="24"/>
          <w:szCs w:val="24"/>
        </w:rPr>
        <w:t xml:space="preserve"> years.</w:t>
      </w:r>
      <w:r w:rsidR="00EB6157">
        <w:rPr>
          <w:rFonts w:ascii="Arial" w:eastAsia="Times New Roman" w:hAnsi="Arial" w:cs="Arial"/>
          <w:color w:val="555555"/>
          <w:sz w:val="24"/>
          <w:szCs w:val="24"/>
        </w:rPr>
        <w:t xml:space="preserve"> Hence, the collection period is five years.</w:t>
      </w:r>
      <w:r w:rsidRPr="00D83898">
        <w:rPr>
          <w:rFonts w:ascii="Arial" w:eastAsia="Times New Roman" w:hAnsi="Arial" w:cs="Arial"/>
          <w:color w:val="555555"/>
          <w:sz w:val="24"/>
          <w:szCs w:val="24"/>
        </w:rPr>
        <w:t xml:space="preserve"> e.) Information under this collection from proponents</w:t>
      </w:r>
      <w:r w:rsidR="00EB6157">
        <w:rPr>
          <w:rFonts w:ascii="Arial" w:eastAsia="Times New Roman" w:hAnsi="Arial" w:cs="Arial"/>
          <w:color w:val="555555"/>
          <w:sz w:val="24"/>
          <w:szCs w:val="24"/>
        </w:rPr>
        <w:t xml:space="preserve"> is comprised of technical specifications regarding the radio frequency transmitter (i.e. power, coordinates, signal characteristics, manufacturer) and is </w:t>
      </w:r>
      <w:r w:rsidR="00087D69">
        <w:rPr>
          <w:rFonts w:ascii="Arial" w:eastAsia="Times New Roman" w:hAnsi="Arial" w:cs="Arial"/>
          <w:color w:val="555555"/>
          <w:sz w:val="24"/>
          <w:szCs w:val="24"/>
        </w:rPr>
        <w:t>placed in the record which is sent to the NTIA and</w:t>
      </w:r>
      <w:r w:rsidR="00087D69" w:rsidRPr="00087D69">
        <w:t xml:space="preserve"> </w:t>
      </w:r>
      <w:r w:rsidR="00087D69">
        <w:rPr>
          <w:rFonts w:ascii="Arial" w:eastAsia="Times New Roman" w:hAnsi="Arial" w:cs="Arial"/>
          <w:color w:val="555555"/>
          <w:sz w:val="24"/>
          <w:szCs w:val="24"/>
        </w:rPr>
        <w:t xml:space="preserve">FCC </w:t>
      </w:r>
      <w:r w:rsidR="00087D69" w:rsidRPr="00087D69">
        <w:rPr>
          <w:rFonts w:ascii="Arial" w:eastAsia="Times New Roman" w:hAnsi="Arial" w:cs="Arial"/>
          <w:color w:val="555555"/>
          <w:sz w:val="24"/>
          <w:szCs w:val="24"/>
        </w:rPr>
        <w:t>as a part of its license process</w:t>
      </w:r>
      <w:r w:rsidR="00087D69">
        <w:rPr>
          <w:rFonts w:ascii="Arial" w:eastAsia="Times New Roman" w:hAnsi="Arial" w:cs="Arial"/>
          <w:color w:val="555555"/>
          <w:sz w:val="24"/>
          <w:szCs w:val="24"/>
        </w:rPr>
        <w:t>, along with the engineered frequency</w:t>
      </w:r>
      <w:r w:rsidRPr="00D83898">
        <w:rPr>
          <w:rFonts w:ascii="Arial" w:eastAsia="Times New Roman" w:hAnsi="Arial" w:cs="Arial"/>
          <w:color w:val="555555"/>
          <w:sz w:val="24"/>
          <w:szCs w:val="24"/>
        </w:rPr>
        <w:t xml:space="preserve"> and the concurrence number gene</w:t>
      </w:r>
      <w:r w:rsidR="00087D69">
        <w:rPr>
          <w:rFonts w:ascii="Arial" w:eastAsia="Times New Roman" w:hAnsi="Arial" w:cs="Arial"/>
          <w:color w:val="555555"/>
          <w:sz w:val="24"/>
          <w:szCs w:val="24"/>
        </w:rPr>
        <w:t>rated by FAA</w:t>
      </w:r>
      <w:r w:rsidRPr="00D83898">
        <w:rPr>
          <w:rFonts w:ascii="Arial" w:eastAsia="Times New Roman" w:hAnsi="Arial" w:cs="Arial"/>
          <w:color w:val="555555"/>
          <w:sz w:val="24"/>
          <w:szCs w:val="24"/>
        </w:rPr>
        <w:t>.  f.) The information collected through the WebFCR portal supports the engineering, modeling, validation and workflow management of the request to evaluate if the request interferes or impacts civil aviation operations pursuant to FAA Order 6050.32B.</w:t>
      </w:r>
      <w:r w:rsidR="00EB6157">
        <w:rPr>
          <w:rFonts w:ascii="Arial" w:eastAsia="Times New Roman" w:hAnsi="Arial" w:cs="Arial"/>
          <w:color w:val="555555"/>
          <w:sz w:val="24"/>
          <w:szCs w:val="24"/>
        </w:rPr>
        <w:t xml:space="preserve"> </w:t>
      </w:r>
      <w:r w:rsidR="00DF0FFF">
        <w:rPr>
          <w:rFonts w:ascii="Arial" w:eastAsia="Times New Roman" w:hAnsi="Arial" w:cs="Arial"/>
          <w:color w:val="555555"/>
          <w:sz w:val="24"/>
          <w:szCs w:val="24"/>
        </w:rPr>
        <w:t xml:space="preserve">g) The </w:t>
      </w:r>
      <w:r w:rsidR="00DF0FFF" w:rsidRPr="00DF0FFF">
        <w:rPr>
          <w:rFonts w:ascii="Arial" w:eastAsia="Times New Roman" w:hAnsi="Arial" w:cs="Arial"/>
          <w:color w:val="555555"/>
          <w:sz w:val="24"/>
          <w:szCs w:val="24"/>
        </w:rPr>
        <w:t>record which is sent to the NTIA and FCC as a part of its license process</w:t>
      </w:r>
      <w:r w:rsidR="00DF0FFF">
        <w:rPr>
          <w:rFonts w:ascii="Arial" w:eastAsia="Times New Roman" w:hAnsi="Arial" w:cs="Arial"/>
          <w:color w:val="555555"/>
          <w:sz w:val="24"/>
          <w:szCs w:val="24"/>
        </w:rPr>
        <w:t xml:space="preserve">, when approved by NTIA is added to the official Government Master File (GMF) by NTIA, as an official part of its record keeping process. FAA does not retain the information submitted via WebFCR in any FAA data record or information record, but maintains an updated copy of the GMF from NTIA </w:t>
      </w:r>
      <w:r w:rsidR="00FF68B4">
        <w:rPr>
          <w:rFonts w:ascii="Arial" w:eastAsia="Times New Roman" w:hAnsi="Arial" w:cs="Arial"/>
          <w:color w:val="555555"/>
          <w:sz w:val="24"/>
          <w:szCs w:val="24"/>
        </w:rPr>
        <w:t>for engineering purposes.</w:t>
      </w:r>
    </w:p>
    <w:p w14:paraId="58C3D259" w14:textId="77777777" w:rsidR="00D83898" w:rsidRDefault="00D83898" w:rsidP="00C64707">
      <w:pPr>
        <w:shd w:val="clear" w:color="auto" w:fill="FFFFFF"/>
        <w:spacing w:after="0" w:line="240" w:lineRule="auto"/>
        <w:rPr>
          <w:rFonts w:ascii="Arial" w:eastAsia="Times New Roman" w:hAnsi="Arial" w:cs="Arial"/>
          <w:color w:val="555555"/>
          <w:sz w:val="24"/>
          <w:szCs w:val="24"/>
        </w:rPr>
      </w:pPr>
    </w:p>
    <w:p w14:paraId="6B6997C4" w14:textId="77777777" w:rsidR="001F0724" w:rsidRPr="00C64707" w:rsidRDefault="001F0724" w:rsidP="00C64707">
      <w:pPr>
        <w:shd w:val="clear" w:color="auto" w:fill="FFFFFF"/>
        <w:spacing w:after="0" w:line="240" w:lineRule="auto"/>
        <w:rPr>
          <w:rFonts w:ascii="Arial" w:eastAsia="Times New Roman" w:hAnsi="Arial" w:cs="Arial"/>
          <w:color w:val="555555"/>
          <w:sz w:val="24"/>
          <w:szCs w:val="24"/>
        </w:rPr>
      </w:pPr>
    </w:p>
    <w:p w14:paraId="4CF0289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451584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2FB59E6D" w14:textId="3471BC8E" w:rsidR="00C64707" w:rsidRPr="00087D69" w:rsidRDefault="00C64707" w:rsidP="00087D69">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087D69" w:rsidRPr="00087D69">
        <w:rPr>
          <w:rFonts w:ascii="Arial" w:eastAsia="Times New Roman" w:hAnsi="Arial" w:cs="Arial"/>
          <w:color w:val="555555"/>
          <w:sz w:val="24"/>
          <w:szCs w:val="24"/>
        </w:rPr>
        <w:t xml:space="preserve">The information collected by the FAA Spectrum Engineering and Assignment </w:t>
      </w:r>
      <w:r w:rsidR="00087D69" w:rsidRPr="00087D69">
        <w:rPr>
          <w:rFonts w:ascii="Arial" w:eastAsia="Times New Roman" w:hAnsi="Arial" w:cs="Arial"/>
          <w:color w:val="555555"/>
          <w:sz w:val="24"/>
          <w:szCs w:val="24"/>
        </w:rPr>
        <w:lastRenderedPageBreak/>
        <w:t>Organization (AJW-1C2) is automated through the use of the Web based Frequency Coordination Request (WebFCR) Application hosted on the internet at the FAA.Gov public external environment. The proponent is allowed to enter or upload directly the frequency coordination request information and submit the data for evaluation.  The WebFCR application directly transfers the data to the</w:t>
      </w:r>
      <w:r w:rsidR="00087D69">
        <w:rPr>
          <w:rFonts w:ascii="Arial" w:eastAsia="Times New Roman" w:hAnsi="Arial" w:cs="Arial"/>
          <w:color w:val="555555"/>
          <w:sz w:val="24"/>
          <w:szCs w:val="24"/>
        </w:rPr>
        <w:t xml:space="preserve"> FAA’s server-based</w:t>
      </w:r>
      <w:r w:rsidR="00087D69" w:rsidRPr="00087D69">
        <w:rPr>
          <w:rFonts w:ascii="Arial" w:eastAsia="Times New Roman" w:hAnsi="Arial" w:cs="Arial"/>
          <w:color w:val="555555"/>
          <w:sz w:val="24"/>
          <w:szCs w:val="24"/>
        </w:rPr>
        <w:t xml:space="preserve"> Automated Frequency Manager (AFM) System and alerts the responsible</w:t>
      </w:r>
      <w:r w:rsidR="00087D69">
        <w:rPr>
          <w:rFonts w:ascii="Arial" w:eastAsia="Times New Roman" w:hAnsi="Arial" w:cs="Arial"/>
          <w:color w:val="555555"/>
          <w:sz w:val="24"/>
          <w:szCs w:val="24"/>
        </w:rPr>
        <w:t xml:space="preserve"> AJW-1C</w:t>
      </w:r>
      <w:r w:rsidR="00087D69" w:rsidRPr="00087D69">
        <w:rPr>
          <w:rFonts w:ascii="Arial" w:eastAsia="Times New Roman" w:hAnsi="Arial" w:cs="Arial"/>
          <w:color w:val="555555"/>
          <w:sz w:val="24"/>
          <w:szCs w:val="24"/>
        </w:rPr>
        <w:t xml:space="preserve"> spectrum engineer. The data entered into WebFCR supports the engineering, modeling, validation and workflow management of the request through to completion. Automated</w:t>
      </w:r>
      <w:r w:rsidR="00A15D62">
        <w:rPr>
          <w:rFonts w:ascii="Arial" w:eastAsia="Times New Roman" w:hAnsi="Arial" w:cs="Arial"/>
          <w:color w:val="555555"/>
          <w:sz w:val="24"/>
          <w:szCs w:val="24"/>
        </w:rPr>
        <w:t xml:space="preserve"> email</w:t>
      </w:r>
      <w:r w:rsidR="00087D69" w:rsidRPr="00087D69">
        <w:rPr>
          <w:rFonts w:ascii="Arial" w:eastAsia="Times New Roman" w:hAnsi="Arial" w:cs="Arial"/>
          <w:color w:val="555555"/>
          <w:sz w:val="24"/>
          <w:szCs w:val="24"/>
        </w:rPr>
        <w:t xml:space="preserve"> communications to the</w:t>
      </w:r>
      <w:r w:rsidR="00A15D62">
        <w:rPr>
          <w:rFonts w:ascii="Arial" w:eastAsia="Times New Roman" w:hAnsi="Arial" w:cs="Arial"/>
          <w:color w:val="555555"/>
          <w:sz w:val="24"/>
          <w:szCs w:val="24"/>
        </w:rPr>
        <w:t xml:space="preserve"> proponents and</w:t>
      </w:r>
      <w:r w:rsidR="00087D69" w:rsidRPr="00087D69">
        <w:rPr>
          <w:rFonts w:ascii="Arial" w:eastAsia="Times New Roman" w:hAnsi="Arial" w:cs="Arial"/>
          <w:color w:val="555555"/>
          <w:sz w:val="24"/>
          <w:szCs w:val="24"/>
        </w:rPr>
        <w:t xml:space="preserve"> defined stakeholders is manifest in AFM</w:t>
      </w:r>
      <w:r w:rsidR="00A15D62">
        <w:rPr>
          <w:rFonts w:ascii="Arial" w:eastAsia="Times New Roman" w:hAnsi="Arial" w:cs="Arial"/>
          <w:color w:val="555555"/>
          <w:sz w:val="24"/>
          <w:szCs w:val="24"/>
        </w:rPr>
        <w:t xml:space="preserve"> system</w:t>
      </w:r>
      <w:r w:rsidR="00087D69" w:rsidRPr="00087D69">
        <w:rPr>
          <w:rFonts w:ascii="Arial" w:eastAsia="Times New Roman" w:hAnsi="Arial" w:cs="Arial"/>
          <w:color w:val="555555"/>
          <w:sz w:val="24"/>
          <w:szCs w:val="24"/>
        </w:rPr>
        <w:t xml:space="preserve"> via email and</w:t>
      </w:r>
      <w:r w:rsidR="00A15D62">
        <w:rPr>
          <w:rFonts w:ascii="Arial" w:eastAsia="Times New Roman" w:hAnsi="Arial" w:cs="Arial"/>
          <w:color w:val="555555"/>
          <w:sz w:val="24"/>
          <w:szCs w:val="24"/>
        </w:rPr>
        <w:t xml:space="preserve"> is presented to the proponent on real-time dashboards to show</w:t>
      </w:r>
      <w:r w:rsidR="00087D69" w:rsidRPr="00087D69">
        <w:rPr>
          <w:rFonts w:ascii="Arial" w:eastAsia="Times New Roman" w:hAnsi="Arial" w:cs="Arial"/>
          <w:color w:val="555555"/>
          <w:sz w:val="24"/>
          <w:szCs w:val="24"/>
        </w:rPr>
        <w:t xml:space="preserve"> the progress and status of a given request. These automated tools significantly reduce the burden and the time</w:t>
      </w:r>
      <w:r w:rsidR="00A15D62">
        <w:rPr>
          <w:rFonts w:ascii="Arial" w:eastAsia="Times New Roman" w:hAnsi="Arial" w:cs="Arial"/>
          <w:color w:val="555555"/>
          <w:sz w:val="24"/>
          <w:szCs w:val="24"/>
        </w:rPr>
        <w:t xml:space="preserve"> required to complete a request, while providing the proponent relevant status information.</w:t>
      </w:r>
      <w:r w:rsidR="003D195F">
        <w:rPr>
          <w:rFonts w:ascii="Arial" w:eastAsia="Times New Roman" w:hAnsi="Arial" w:cs="Arial"/>
          <w:color w:val="555555"/>
          <w:sz w:val="24"/>
          <w:szCs w:val="24"/>
        </w:rPr>
        <w:t xml:space="preserve"> The public, nor any other internal or external organization has access to the proponent information which is in the process.</w:t>
      </w:r>
      <w:r w:rsidR="00FF68B4">
        <w:rPr>
          <w:rFonts w:ascii="Arial" w:eastAsia="Times New Roman" w:hAnsi="Arial" w:cs="Arial"/>
          <w:color w:val="555555"/>
          <w:sz w:val="24"/>
          <w:szCs w:val="24"/>
        </w:rPr>
        <w:t xml:space="preserve"> W</w:t>
      </w:r>
      <w:r w:rsidR="00FF68B4" w:rsidRPr="00FF68B4">
        <w:rPr>
          <w:rFonts w:ascii="Arial" w:eastAsia="Times New Roman" w:hAnsi="Arial" w:cs="Arial"/>
          <w:color w:val="555555"/>
          <w:sz w:val="24"/>
          <w:szCs w:val="24"/>
        </w:rPr>
        <w:t>hen</w:t>
      </w:r>
      <w:r w:rsidR="00FF68B4">
        <w:rPr>
          <w:rFonts w:ascii="Arial" w:eastAsia="Times New Roman" w:hAnsi="Arial" w:cs="Arial"/>
          <w:color w:val="555555"/>
          <w:sz w:val="24"/>
          <w:szCs w:val="24"/>
        </w:rPr>
        <w:t xml:space="preserve"> a radio frequency is</w:t>
      </w:r>
      <w:r w:rsidR="00FF68B4" w:rsidRPr="00FF68B4">
        <w:rPr>
          <w:rFonts w:ascii="Arial" w:eastAsia="Times New Roman" w:hAnsi="Arial" w:cs="Arial"/>
          <w:color w:val="555555"/>
          <w:sz w:val="24"/>
          <w:szCs w:val="24"/>
        </w:rPr>
        <w:t xml:space="preserve"> approved by NTIA</w:t>
      </w:r>
      <w:r w:rsidR="00FF68B4">
        <w:rPr>
          <w:rFonts w:ascii="Arial" w:eastAsia="Times New Roman" w:hAnsi="Arial" w:cs="Arial"/>
          <w:color w:val="555555"/>
          <w:sz w:val="24"/>
          <w:szCs w:val="24"/>
        </w:rPr>
        <w:t>, then NTIA adds the record</w:t>
      </w:r>
      <w:r w:rsidR="00FF68B4" w:rsidRPr="00FF68B4">
        <w:rPr>
          <w:rFonts w:ascii="Arial" w:eastAsia="Times New Roman" w:hAnsi="Arial" w:cs="Arial"/>
          <w:color w:val="555555"/>
          <w:sz w:val="24"/>
          <w:szCs w:val="24"/>
        </w:rPr>
        <w:t xml:space="preserve"> to the official Gover</w:t>
      </w:r>
      <w:r w:rsidR="00FF68B4">
        <w:rPr>
          <w:rFonts w:ascii="Arial" w:eastAsia="Times New Roman" w:hAnsi="Arial" w:cs="Arial"/>
          <w:color w:val="555555"/>
          <w:sz w:val="24"/>
          <w:szCs w:val="24"/>
        </w:rPr>
        <w:t>nment Master File (GMF)</w:t>
      </w:r>
      <w:r w:rsidR="00E62F47">
        <w:rPr>
          <w:rFonts w:ascii="Arial" w:eastAsia="Times New Roman" w:hAnsi="Arial" w:cs="Arial"/>
          <w:color w:val="555555"/>
          <w:sz w:val="24"/>
          <w:szCs w:val="24"/>
        </w:rPr>
        <w:t xml:space="preserve"> as an official part of NTIA’s</w:t>
      </w:r>
      <w:r w:rsidR="00FF68B4" w:rsidRPr="00FF68B4">
        <w:rPr>
          <w:rFonts w:ascii="Arial" w:eastAsia="Times New Roman" w:hAnsi="Arial" w:cs="Arial"/>
          <w:color w:val="555555"/>
          <w:sz w:val="24"/>
          <w:szCs w:val="24"/>
        </w:rPr>
        <w:t xml:space="preserve"> record keeping process.</w:t>
      </w:r>
      <w:r w:rsidR="00FF68B4">
        <w:rPr>
          <w:rFonts w:ascii="Arial" w:eastAsia="Times New Roman" w:hAnsi="Arial" w:cs="Arial"/>
          <w:color w:val="555555"/>
          <w:sz w:val="24"/>
          <w:szCs w:val="24"/>
        </w:rPr>
        <w:t xml:space="preserve">  The collection</w:t>
      </w:r>
      <w:r w:rsidR="00FF68B4" w:rsidRPr="00FF68B4">
        <w:t xml:space="preserve"> </w:t>
      </w:r>
      <w:r w:rsidR="00FF68B4" w:rsidRPr="00FF68B4">
        <w:rPr>
          <w:rFonts w:ascii="Arial" w:eastAsia="Times New Roman" w:hAnsi="Arial" w:cs="Arial"/>
          <w:color w:val="555555"/>
          <w:sz w:val="24"/>
          <w:szCs w:val="24"/>
        </w:rPr>
        <w:t xml:space="preserve">in the WebFCR application </w:t>
      </w:r>
      <w:r w:rsidR="00FF68B4">
        <w:rPr>
          <w:rFonts w:ascii="Arial" w:eastAsia="Times New Roman" w:hAnsi="Arial" w:cs="Arial"/>
          <w:color w:val="555555"/>
          <w:sz w:val="24"/>
          <w:szCs w:val="24"/>
        </w:rPr>
        <w:t xml:space="preserve">is </w:t>
      </w:r>
      <w:r w:rsidR="00A15D62">
        <w:rPr>
          <w:rFonts w:ascii="Arial" w:eastAsia="Times New Roman" w:hAnsi="Arial" w:cs="Arial"/>
          <w:color w:val="555555"/>
          <w:sz w:val="24"/>
          <w:szCs w:val="24"/>
        </w:rPr>
        <w:t>fully</w:t>
      </w:r>
      <w:r w:rsidR="00FF68B4">
        <w:rPr>
          <w:rFonts w:ascii="Arial" w:eastAsia="Times New Roman" w:hAnsi="Arial" w:cs="Arial"/>
          <w:color w:val="555555"/>
          <w:sz w:val="24"/>
          <w:szCs w:val="24"/>
        </w:rPr>
        <w:t xml:space="preserve"> </w:t>
      </w:r>
      <w:r w:rsidR="003C578B">
        <w:rPr>
          <w:rFonts w:ascii="Arial" w:eastAsia="Times New Roman" w:hAnsi="Arial" w:cs="Arial"/>
          <w:color w:val="555555"/>
          <w:sz w:val="24"/>
          <w:szCs w:val="24"/>
        </w:rPr>
        <w:t xml:space="preserve">(100%) </w:t>
      </w:r>
      <w:r w:rsidR="00FF68B4">
        <w:rPr>
          <w:rFonts w:ascii="Arial" w:eastAsia="Times New Roman" w:hAnsi="Arial" w:cs="Arial"/>
          <w:color w:val="555555"/>
          <w:sz w:val="24"/>
          <w:szCs w:val="24"/>
        </w:rPr>
        <w:t xml:space="preserve">electronic </w:t>
      </w:r>
      <w:r w:rsidR="00A15D62">
        <w:rPr>
          <w:rFonts w:ascii="Arial" w:eastAsia="Times New Roman" w:hAnsi="Arial" w:cs="Arial"/>
          <w:color w:val="555555"/>
          <w:sz w:val="24"/>
          <w:szCs w:val="24"/>
        </w:rPr>
        <w:t>for</w:t>
      </w:r>
      <w:r w:rsidR="00FF68B4">
        <w:rPr>
          <w:rFonts w:ascii="Arial" w:eastAsia="Times New Roman" w:hAnsi="Arial" w:cs="Arial"/>
          <w:color w:val="555555"/>
          <w:sz w:val="24"/>
          <w:szCs w:val="24"/>
        </w:rPr>
        <w:t xml:space="preserve"> </w:t>
      </w:r>
      <w:r w:rsidR="00E62F47">
        <w:rPr>
          <w:rFonts w:ascii="Arial" w:eastAsia="Times New Roman" w:hAnsi="Arial" w:cs="Arial"/>
          <w:color w:val="555555"/>
          <w:sz w:val="24"/>
          <w:szCs w:val="24"/>
        </w:rPr>
        <w:t xml:space="preserve">the </w:t>
      </w:r>
      <w:r w:rsidR="00FF68B4">
        <w:rPr>
          <w:rFonts w:ascii="Arial" w:eastAsia="Times New Roman" w:hAnsi="Arial" w:cs="Arial"/>
          <w:color w:val="555555"/>
          <w:sz w:val="24"/>
          <w:szCs w:val="24"/>
        </w:rPr>
        <w:t>required</w:t>
      </w:r>
      <w:r w:rsidR="00E62F47">
        <w:rPr>
          <w:rFonts w:ascii="Arial" w:eastAsia="Times New Roman" w:hAnsi="Arial" w:cs="Arial"/>
          <w:color w:val="555555"/>
          <w:sz w:val="24"/>
          <w:szCs w:val="24"/>
        </w:rPr>
        <w:t xml:space="preserve"> FAA</w:t>
      </w:r>
      <w:r w:rsidR="00087D69" w:rsidRPr="00087D69">
        <w:rPr>
          <w:rFonts w:ascii="Arial" w:eastAsia="Times New Roman" w:hAnsi="Arial" w:cs="Arial"/>
          <w:color w:val="555555"/>
          <w:sz w:val="24"/>
          <w:szCs w:val="24"/>
        </w:rPr>
        <w:t xml:space="preserve"> engineering</w:t>
      </w:r>
      <w:r w:rsidR="00A15D62">
        <w:rPr>
          <w:rFonts w:ascii="Arial" w:eastAsia="Times New Roman" w:hAnsi="Arial" w:cs="Arial"/>
          <w:color w:val="555555"/>
          <w:sz w:val="24"/>
          <w:szCs w:val="24"/>
        </w:rPr>
        <w:t xml:space="preserve"> concurrence process</w:t>
      </w:r>
      <w:r w:rsidR="00FF68B4">
        <w:rPr>
          <w:rFonts w:ascii="Arial" w:eastAsia="Times New Roman" w:hAnsi="Arial" w:cs="Arial"/>
          <w:color w:val="555555"/>
          <w:sz w:val="24"/>
          <w:szCs w:val="24"/>
        </w:rPr>
        <w:t xml:space="preserve"> of AAG bands</w:t>
      </w:r>
      <w:r w:rsidR="00087D69" w:rsidRPr="00087D69">
        <w:rPr>
          <w:rFonts w:ascii="Arial" w:eastAsia="Times New Roman" w:hAnsi="Arial" w:cs="Arial"/>
          <w:color w:val="555555"/>
          <w:sz w:val="24"/>
          <w:szCs w:val="24"/>
        </w:rPr>
        <w:t>.</w:t>
      </w:r>
    </w:p>
    <w:p w14:paraId="658B7943" w14:textId="77777777" w:rsidR="00087D69" w:rsidRDefault="00087D69" w:rsidP="00C64707">
      <w:pPr>
        <w:shd w:val="clear" w:color="auto" w:fill="FFFFFF"/>
        <w:spacing w:after="0" w:line="240" w:lineRule="auto"/>
        <w:rPr>
          <w:rFonts w:ascii="Arial" w:eastAsia="Times New Roman" w:hAnsi="Arial" w:cs="Arial"/>
          <w:color w:val="555555"/>
          <w:sz w:val="24"/>
          <w:szCs w:val="24"/>
        </w:rPr>
      </w:pPr>
    </w:p>
    <w:p w14:paraId="32B7EBF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4E50AE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71E0DA8B" w14:textId="77777777" w:rsidR="00794BFF" w:rsidRDefault="00794BFF" w:rsidP="00C64707">
      <w:pPr>
        <w:shd w:val="clear" w:color="auto" w:fill="FFFFFF"/>
        <w:spacing w:after="0" w:line="240" w:lineRule="auto"/>
        <w:rPr>
          <w:rFonts w:ascii="Arial" w:eastAsia="Times New Roman" w:hAnsi="Arial" w:cs="Arial"/>
          <w:color w:val="555555"/>
          <w:sz w:val="24"/>
          <w:szCs w:val="24"/>
        </w:rPr>
      </w:pPr>
    </w:p>
    <w:p w14:paraId="5A2D0C64" w14:textId="52F6F230" w:rsidR="0084638A" w:rsidRDefault="0084638A" w:rsidP="00C64707">
      <w:pPr>
        <w:shd w:val="clear" w:color="auto" w:fill="FFFFFF"/>
        <w:spacing w:after="0" w:line="240" w:lineRule="auto"/>
        <w:rPr>
          <w:rFonts w:ascii="Arial" w:eastAsia="Times New Roman" w:hAnsi="Arial" w:cs="Arial"/>
          <w:color w:val="555555"/>
          <w:sz w:val="24"/>
          <w:szCs w:val="24"/>
        </w:rPr>
      </w:pPr>
      <w:r w:rsidRPr="0084638A">
        <w:rPr>
          <w:rFonts w:ascii="Arial" w:eastAsia="Times New Roman" w:hAnsi="Arial" w:cs="Arial"/>
          <w:color w:val="555555"/>
          <w:sz w:val="24"/>
          <w:szCs w:val="24"/>
        </w:rPr>
        <w:t>The prior ICR efforts worked</w:t>
      </w:r>
      <w:r w:rsidR="00093E57">
        <w:rPr>
          <w:rFonts w:ascii="Arial" w:eastAsia="Times New Roman" w:hAnsi="Arial" w:cs="Arial"/>
          <w:color w:val="555555"/>
          <w:sz w:val="24"/>
          <w:szCs w:val="24"/>
        </w:rPr>
        <w:t xml:space="preserve"> via</w:t>
      </w:r>
      <w:r w:rsidR="00093E57" w:rsidRPr="00093E57">
        <w:t xml:space="preserve"> </w:t>
      </w:r>
      <w:r w:rsidR="00093E57" w:rsidRPr="00093E57">
        <w:rPr>
          <w:rFonts w:ascii="Arial" w:eastAsia="Times New Roman" w:hAnsi="Arial" w:cs="Arial"/>
          <w:color w:val="555555"/>
          <w:sz w:val="24"/>
          <w:szCs w:val="24"/>
        </w:rPr>
        <w:t>FAA Form 7460-1</w:t>
      </w:r>
      <w:r w:rsidRPr="0084638A">
        <w:rPr>
          <w:rFonts w:ascii="Arial" w:eastAsia="Times New Roman" w:hAnsi="Arial" w:cs="Arial"/>
          <w:color w:val="555555"/>
          <w:sz w:val="24"/>
          <w:szCs w:val="24"/>
        </w:rPr>
        <w:t xml:space="preserve"> </w:t>
      </w:r>
      <w:r w:rsidR="00093E57">
        <w:rPr>
          <w:rFonts w:ascii="Arial" w:eastAsia="Times New Roman" w:hAnsi="Arial" w:cs="Arial"/>
          <w:color w:val="555555"/>
          <w:sz w:val="24"/>
          <w:szCs w:val="24"/>
        </w:rPr>
        <w:t>attempted to include</w:t>
      </w:r>
      <w:r w:rsidRPr="0084638A">
        <w:rPr>
          <w:rFonts w:ascii="Arial" w:eastAsia="Times New Roman" w:hAnsi="Arial" w:cs="Arial"/>
          <w:color w:val="555555"/>
          <w:sz w:val="24"/>
          <w:szCs w:val="24"/>
        </w:rPr>
        <w:t xml:space="preserve"> radio frequency </w:t>
      </w:r>
      <w:r w:rsidR="00093E57">
        <w:rPr>
          <w:rFonts w:ascii="Arial" w:eastAsia="Times New Roman" w:hAnsi="Arial" w:cs="Arial"/>
          <w:color w:val="555555"/>
          <w:sz w:val="24"/>
          <w:szCs w:val="24"/>
        </w:rPr>
        <w:t xml:space="preserve">data </w:t>
      </w:r>
      <w:r w:rsidRPr="0084638A">
        <w:rPr>
          <w:rFonts w:ascii="Arial" w:eastAsia="Times New Roman" w:hAnsi="Arial" w:cs="Arial"/>
          <w:color w:val="555555"/>
          <w:sz w:val="24"/>
          <w:szCs w:val="24"/>
        </w:rPr>
        <w:t>associated with filing a Notice of Proposed Construction or Alteration. Due to the limitations imposed by the “Structure Con</w:t>
      </w:r>
      <w:r w:rsidR="003C578B">
        <w:rPr>
          <w:rFonts w:ascii="Arial" w:eastAsia="Times New Roman" w:hAnsi="Arial" w:cs="Arial"/>
          <w:color w:val="555555"/>
          <w:sz w:val="24"/>
          <w:szCs w:val="24"/>
        </w:rPr>
        <w:t>struction or Alteration” factor</w:t>
      </w:r>
      <w:r w:rsidR="0088129F">
        <w:rPr>
          <w:rFonts w:ascii="Arial" w:eastAsia="Times New Roman" w:hAnsi="Arial" w:cs="Arial"/>
          <w:color w:val="555555"/>
          <w:sz w:val="24"/>
          <w:szCs w:val="24"/>
        </w:rPr>
        <w:t>s</w:t>
      </w:r>
      <w:r w:rsidR="0008219A">
        <w:rPr>
          <w:rFonts w:ascii="Arial" w:eastAsia="Times New Roman" w:hAnsi="Arial" w:cs="Arial"/>
          <w:color w:val="555555"/>
          <w:sz w:val="24"/>
          <w:szCs w:val="24"/>
        </w:rPr>
        <w:t>, several of the</w:t>
      </w:r>
      <w:r w:rsidR="00093E57">
        <w:rPr>
          <w:rFonts w:ascii="Arial" w:eastAsia="Times New Roman" w:hAnsi="Arial" w:cs="Arial"/>
          <w:color w:val="555555"/>
          <w:sz w:val="24"/>
          <w:szCs w:val="24"/>
        </w:rPr>
        <w:t xml:space="preserve"> frequency</w:t>
      </w:r>
      <w:r w:rsidRPr="0084638A">
        <w:rPr>
          <w:rFonts w:ascii="Arial" w:eastAsia="Times New Roman" w:hAnsi="Arial" w:cs="Arial"/>
          <w:color w:val="555555"/>
          <w:sz w:val="24"/>
          <w:szCs w:val="24"/>
        </w:rPr>
        <w:t xml:space="preserve"> applications were </w:t>
      </w:r>
      <w:r w:rsidR="00093E57">
        <w:rPr>
          <w:rFonts w:ascii="Arial" w:eastAsia="Times New Roman" w:hAnsi="Arial" w:cs="Arial"/>
          <w:color w:val="555555"/>
          <w:sz w:val="24"/>
          <w:szCs w:val="24"/>
        </w:rPr>
        <w:t xml:space="preserve">not being properly captured. Hence, the move to electronic processing via WebFCR. </w:t>
      </w:r>
    </w:p>
    <w:p w14:paraId="0D4148F3" w14:textId="4B944623" w:rsidR="00C64707" w:rsidRPr="00C64707" w:rsidRDefault="00794BFF" w:rsidP="00C64707">
      <w:pPr>
        <w:shd w:val="clear" w:color="auto" w:fill="FFFFFF"/>
        <w:spacing w:after="0" w:line="240" w:lineRule="auto"/>
        <w:rPr>
          <w:rFonts w:ascii="Arial" w:eastAsia="Times New Roman" w:hAnsi="Arial" w:cs="Arial"/>
          <w:color w:val="555555"/>
          <w:sz w:val="24"/>
          <w:szCs w:val="24"/>
        </w:rPr>
      </w:pPr>
      <w:r w:rsidRPr="00794BFF">
        <w:rPr>
          <w:rFonts w:ascii="Arial" w:eastAsia="Times New Roman" w:hAnsi="Arial" w:cs="Arial"/>
          <w:color w:val="555555"/>
          <w:sz w:val="24"/>
          <w:szCs w:val="24"/>
        </w:rPr>
        <w:t>The proponents and/or stakeholder</w:t>
      </w:r>
      <w:r>
        <w:rPr>
          <w:rFonts w:ascii="Arial" w:eastAsia="Times New Roman" w:hAnsi="Arial" w:cs="Arial"/>
          <w:color w:val="555555"/>
          <w:sz w:val="24"/>
          <w:szCs w:val="24"/>
        </w:rPr>
        <w:t>s</w:t>
      </w:r>
      <w:r w:rsidR="00093E57">
        <w:rPr>
          <w:rFonts w:ascii="Arial" w:eastAsia="Times New Roman" w:hAnsi="Arial" w:cs="Arial"/>
          <w:color w:val="555555"/>
          <w:sz w:val="24"/>
          <w:szCs w:val="24"/>
        </w:rPr>
        <w:t>, now,</w:t>
      </w:r>
      <w:r>
        <w:rPr>
          <w:rFonts w:ascii="Arial" w:eastAsia="Times New Roman" w:hAnsi="Arial" w:cs="Arial"/>
          <w:color w:val="555555"/>
          <w:sz w:val="24"/>
          <w:szCs w:val="24"/>
        </w:rPr>
        <w:t xml:space="preserve"> who have</w:t>
      </w:r>
      <w:r w:rsidRPr="00794BFF">
        <w:rPr>
          <w:rFonts w:ascii="Arial" w:eastAsia="Times New Roman" w:hAnsi="Arial" w:cs="Arial"/>
          <w:color w:val="555555"/>
          <w:sz w:val="24"/>
          <w:szCs w:val="24"/>
        </w:rPr>
        <w:t xml:space="preserve"> a requirement to coordina</w:t>
      </w:r>
      <w:r>
        <w:rPr>
          <w:rFonts w:ascii="Arial" w:eastAsia="Times New Roman" w:hAnsi="Arial" w:cs="Arial"/>
          <w:color w:val="555555"/>
          <w:sz w:val="24"/>
          <w:szCs w:val="24"/>
        </w:rPr>
        <w:t>te frequencies with the FAA have</w:t>
      </w:r>
      <w:r w:rsidRPr="00794BFF">
        <w:rPr>
          <w:rFonts w:ascii="Arial" w:eastAsia="Times New Roman" w:hAnsi="Arial" w:cs="Arial"/>
          <w:color w:val="555555"/>
          <w:sz w:val="24"/>
          <w:szCs w:val="24"/>
        </w:rPr>
        <w:t xml:space="preserve"> been asked to utilize the WebFCR internet application to enter or upload directly their frequency coordination request information, in lieu of the prior FAA Form 7460-1 or free format email communications.</w:t>
      </w:r>
      <w:r>
        <w:rPr>
          <w:rFonts w:ascii="Arial" w:eastAsia="Times New Roman" w:hAnsi="Arial" w:cs="Arial"/>
          <w:color w:val="555555"/>
          <w:sz w:val="24"/>
          <w:szCs w:val="24"/>
        </w:rPr>
        <w:t xml:space="preserve"> Organizations and/or documentation now directs all </w:t>
      </w:r>
      <w:r w:rsidR="00BA32CE">
        <w:rPr>
          <w:rFonts w:ascii="Arial" w:eastAsia="Times New Roman" w:hAnsi="Arial" w:cs="Arial"/>
          <w:color w:val="555555"/>
          <w:sz w:val="24"/>
          <w:szCs w:val="24"/>
        </w:rPr>
        <w:t>entities seeking to broadcast on radio frequencies</w:t>
      </w:r>
      <w:r w:rsidR="00BA32CE" w:rsidRPr="00BA32CE">
        <w:rPr>
          <w:rFonts w:ascii="Arial" w:eastAsia="Times New Roman" w:hAnsi="Arial" w:cs="Arial"/>
          <w:color w:val="555555"/>
          <w:sz w:val="24"/>
          <w:szCs w:val="24"/>
        </w:rPr>
        <w:t xml:space="preserve"> which impact the AAG bands</w:t>
      </w:r>
      <w:r w:rsidR="00BA32CE">
        <w:rPr>
          <w:rFonts w:ascii="Arial" w:eastAsia="Times New Roman" w:hAnsi="Arial" w:cs="Arial"/>
          <w:color w:val="555555"/>
          <w:sz w:val="24"/>
          <w:szCs w:val="24"/>
        </w:rPr>
        <w:t xml:space="preserve">, to access and obtain coordination via the FAA WebFCR internet application at FAA.GOV. </w:t>
      </w:r>
      <w:r w:rsidRPr="00794BFF">
        <w:rPr>
          <w:rFonts w:ascii="Arial" w:eastAsia="Times New Roman" w:hAnsi="Arial" w:cs="Arial"/>
          <w:color w:val="555555"/>
          <w:sz w:val="24"/>
          <w:szCs w:val="24"/>
        </w:rPr>
        <w:t xml:space="preserve"> Further,</w:t>
      </w:r>
      <w:r w:rsidR="00BA32CE">
        <w:rPr>
          <w:rFonts w:ascii="Arial" w:eastAsia="Times New Roman" w:hAnsi="Arial" w:cs="Arial"/>
          <w:color w:val="555555"/>
          <w:sz w:val="24"/>
          <w:szCs w:val="24"/>
        </w:rPr>
        <w:t xml:space="preserve"> such proponents and</w:t>
      </w:r>
      <w:r w:rsidRPr="00794BFF">
        <w:rPr>
          <w:rFonts w:ascii="Arial" w:eastAsia="Times New Roman" w:hAnsi="Arial" w:cs="Arial"/>
          <w:color w:val="555555"/>
          <w:sz w:val="24"/>
          <w:szCs w:val="24"/>
        </w:rPr>
        <w:t xml:space="preserve"> user</w:t>
      </w:r>
      <w:r w:rsidR="00BA32CE">
        <w:rPr>
          <w:rFonts w:ascii="Arial" w:eastAsia="Times New Roman" w:hAnsi="Arial" w:cs="Arial"/>
          <w:color w:val="555555"/>
          <w:sz w:val="24"/>
          <w:szCs w:val="24"/>
        </w:rPr>
        <w:t>s are allowed to upload with their</w:t>
      </w:r>
      <w:r w:rsidRPr="00794BFF">
        <w:rPr>
          <w:rFonts w:ascii="Arial" w:eastAsia="Times New Roman" w:hAnsi="Arial" w:cs="Arial"/>
          <w:color w:val="555555"/>
          <w:sz w:val="24"/>
          <w:szCs w:val="24"/>
        </w:rPr>
        <w:t xml:space="preserve"> request</w:t>
      </w:r>
      <w:r w:rsidR="00BA32CE">
        <w:rPr>
          <w:rFonts w:ascii="Arial" w:eastAsia="Times New Roman" w:hAnsi="Arial" w:cs="Arial"/>
          <w:color w:val="555555"/>
          <w:sz w:val="24"/>
          <w:szCs w:val="24"/>
        </w:rPr>
        <w:t>,</w:t>
      </w:r>
      <w:r w:rsidRPr="00794BFF">
        <w:rPr>
          <w:rFonts w:ascii="Arial" w:eastAsia="Times New Roman" w:hAnsi="Arial" w:cs="Arial"/>
          <w:color w:val="555555"/>
          <w:sz w:val="24"/>
          <w:szCs w:val="24"/>
        </w:rPr>
        <w:t xml:space="preserve"> a PDF document</w:t>
      </w:r>
      <w:r w:rsidR="00BA32CE">
        <w:rPr>
          <w:rFonts w:ascii="Arial" w:eastAsia="Times New Roman" w:hAnsi="Arial" w:cs="Arial"/>
          <w:color w:val="555555"/>
          <w:sz w:val="24"/>
          <w:szCs w:val="24"/>
        </w:rPr>
        <w:t xml:space="preserve"> explaining and/or</w:t>
      </w:r>
      <w:r w:rsidRPr="00794BFF">
        <w:rPr>
          <w:rFonts w:ascii="Arial" w:eastAsia="Times New Roman" w:hAnsi="Arial" w:cs="Arial"/>
          <w:color w:val="555555"/>
          <w:sz w:val="24"/>
          <w:szCs w:val="24"/>
        </w:rPr>
        <w:t xml:space="preserve"> containing additional spectrum related information</w:t>
      </w:r>
      <w:r w:rsidR="00BA32CE">
        <w:rPr>
          <w:rFonts w:ascii="Arial" w:eastAsia="Times New Roman" w:hAnsi="Arial" w:cs="Arial"/>
          <w:color w:val="555555"/>
          <w:sz w:val="24"/>
          <w:szCs w:val="24"/>
        </w:rPr>
        <w:t xml:space="preserve"> outlining the nature </w:t>
      </w:r>
      <w:r w:rsidR="0084638A">
        <w:rPr>
          <w:rFonts w:ascii="Arial" w:eastAsia="Times New Roman" w:hAnsi="Arial" w:cs="Arial"/>
          <w:color w:val="555555"/>
          <w:sz w:val="24"/>
          <w:szCs w:val="24"/>
        </w:rPr>
        <w:t xml:space="preserve">and circumstances of their request </w:t>
      </w:r>
      <w:r w:rsidR="0084638A" w:rsidRPr="00794BFF">
        <w:rPr>
          <w:rFonts w:ascii="Arial" w:eastAsia="Times New Roman" w:hAnsi="Arial" w:cs="Arial"/>
          <w:color w:val="555555"/>
          <w:sz w:val="24"/>
          <w:szCs w:val="24"/>
        </w:rPr>
        <w:t>at</w:t>
      </w:r>
      <w:r w:rsidRPr="00794BFF">
        <w:rPr>
          <w:rFonts w:ascii="Arial" w:eastAsia="Times New Roman" w:hAnsi="Arial" w:cs="Arial"/>
          <w:color w:val="555555"/>
          <w:sz w:val="24"/>
          <w:szCs w:val="24"/>
        </w:rPr>
        <w:t xml:space="preserve"> the discretion of the user.     </w:t>
      </w:r>
      <w:r w:rsidR="00C64707" w:rsidRPr="00C64707">
        <w:rPr>
          <w:rFonts w:ascii="Arial" w:eastAsia="Times New Roman" w:hAnsi="Arial" w:cs="Arial"/>
          <w:color w:val="555555"/>
          <w:sz w:val="24"/>
          <w:szCs w:val="24"/>
        </w:rPr>
        <w:br/>
      </w:r>
    </w:p>
    <w:p w14:paraId="1C9845F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18C16E66"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093E57" w:rsidRPr="00093E57">
        <w:rPr>
          <w:rFonts w:ascii="Arial" w:eastAsia="Times New Roman" w:hAnsi="Arial" w:cs="Arial"/>
          <w:color w:val="555555"/>
          <w:sz w:val="24"/>
          <w:szCs w:val="24"/>
        </w:rPr>
        <w:t>Individuals as well as small businesses and large c</w:t>
      </w:r>
      <w:r w:rsidR="00462CCA">
        <w:rPr>
          <w:rFonts w:ascii="Arial" w:eastAsia="Times New Roman" w:hAnsi="Arial" w:cs="Arial"/>
          <w:color w:val="555555"/>
          <w:sz w:val="24"/>
          <w:szCs w:val="24"/>
        </w:rPr>
        <w:t>orporations may require to broadcast on a radio frequency impacting aviation</w:t>
      </w:r>
      <w:r w:rsidR="00093E57" w:rsidRPr="00093E57">
        <w:rPr>
          <w:rFonts w:ascii="Arial" w:eastAsia="Times New Roman" w:hAnsi="Arial" w:cs="Arial"/>
          <w:color w:val="555555"/>
          <w:sz w:val="24"/>
          <w:szCs w:val="24"/>
        </w:rPr>
        <w:t>.  The information collected has been designed to</w:t>
      </w:r>
      <w:r w:rsidR="00462CCA">
        <w:rPr>
          <w:rFonts w:ascii="Arial" w:eastAsia="Times New Roman" w:hAnsi="Arial" w:cs="Arial"/>
          <w:color w:val="555555"/>
          <w:sz w:val="24"/>
          <w:szCs w:val="24"/>
        </w:rPr>
        <w:t xml:space="preserve"> fully</w:t>
      </w:r>
      <w:r w:rsidR="00093E57" w:rsidRPr="00093E57">
        <w:rPr>
          <w:rFonts w:ascii="Arial" w:eastAsia="Times New Roman" w:hAnsi="Arial" w:cs="Arial"/>
          <w:color w:val="555555"/>
          <w:sz w:val="24"/>
          <w:szCs w:val="24"/>
        </w:rPr>
        <w:t xml:space="preserve"> minimize the burden on all respondents by limiting the amount of information required to the basic data needed, generalizing the formats in which it i</w:t>
      </w:r>
      <w:r w:rsidR="00462CCA">
        <w:rPr>
          <w:rFonts w:ascii="Arial" w:eastAsia="Times New Roman" w:hAnsi="Arial" w:cs="Arial"/>
          <w:color w:val="555555"/>
          <w:sz w:val="24"/>
          <w:szCs w:val="24"/>
        </w:rPr>
        <w:t>s submitted (electronic/on-line</w:t>
      </w:r>
      <w:r w:rsidR="00093E57" w:rsidRPr="00093E57">
        <w:rPr>
          <w:rFonts w:ascii="Arial" w:eastAsia="Times New Roman" w:hAnsi="Arial" w:cs="Arial"/>
          <w:color w:val="555555"/>
          <w:sz w:val="24"/>
          <w:szCs w:val="24"/>
        </w:rPr>
        <w:t>), allowing multiple methods of data entry and by providing clear and concise instruct</w:t>
      </w:r>
      <w:r w:rsidR="00462CCA">
        <w:rPr>
          <w:rFonts w:ascii="Arial" w:eastAsia="Times New Roman" w:hAnsi="Arial" w:cs="Arial"/>
          <w:color w:val="555555"/>
          <w:sz w:val="24"/>
          <w:szCs w:val="24"/>
        </w:rPr>
        <w:t>ions, inclusive of dynamic helpdesk accessible via telephone.</w:t>
      </w:r>
    </w:p>
    <w:p w14:paraId="4FB50C15" w14:textId="77777777" w:rsidR="00093E57" w:rsidRDefault="00093E57" w:rsidP="00C64707">
      <w:pPr>
        <w:shd w:val="clear" w:color="auto" w:fill="FFFFFF"/>
        <w:spacing w:after="0" w:line="240" w:lineRule="auto"/>
        <w:rPr>
          <w:rFonts w:ascii="Arial" w:eastAsia="Times New Roman" w:hAnsi="Arial" w:cs="Arial"/>
          <w:color w:val="555555"/>
          <w:sz w:val="24"/>
          <w:szCs w:val="24"/>
        </w:rPr>
      </w:pPr>
    </w:p>
    <w:p w14:paraId="6F9D50F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1386E6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5002F020" w14:textId="77777777" w:rsidR="0024611B" w:rsidRDefault="00C64707" w:rsidP="00462CCA">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24611B">
        <w:rPr>
          <w:rFonts w:ascii="Arial" w:eastAsia="Times New Roman" w:hAnsi="Arial" w:cs="Arial"/>
          <w:color w:val="555555"/>
          <w:sz w:val="24"/>
          <w:szCs w:val="24"/>
        </w:rPr>
        <w:t>Submission of the</w:t>
      </w:r>
      <w:r w:rsidR="00462CCA" w:rsidRPr="00462CCA">
        <w:rPr>
          <w:rFonts w:ascii="Arial" w:eastAsia="Times New Roman" w:hAnsi="Arial" w:cs="Arial"/>
          <w:color w:val="555555"/>
          <w:sz w:val="24"/>
          <w:szCs w:val="24"/>
        </w:rPr>
        <w:t xml:space="preserve"> request</w:t>
      </w:r>
      <w:r w:rsidR="0024611B">
        <w:rPr>
          <w:rFonts w:ascii="Arial" w:eastAsia="Times New Roman" w:hAnsi="Arial" w:cs="Arial"/>
          <w:color w:val="555555"/>
          <w:sz w:val="24"/>
          <w:szCs w:val="24"/>
        </w:rPr>
        <w:t>ed information to the</w:t>
      </w:r>
      <w:r w:rsidR="00462CCA" w:rsidRPr="00462CCA">
        <w:rPr>
          <w:rFonts w:ascii="Arial" w:eastAsia="Times New Roman" w:hAnsi="Arial" w:cs="Arial"/>
          <w:color w:val="555555"/>
          <w:sz w:val="24"/>
          <w:szCs w:val="24"/>
        </w:rPr>
        <w:t xml:space="preserve"> FAA</w:t>
      </w:r>
      <w:r w:rsidR="0024611B">
        <w:rPr>
          <w:rFonts w:ascii="Arial" w:eastAsia="Times New Roman" w:hAnsi="Arial" w:cs="Arial"/>
          <w:color w:val="555555"/>
          <w:sz w:val="24"/>
          <w:szCs w:val="24"/>
        </w:rPr>
        <w:t xml:space="preserve"> for</w:t>
      </w:r>
      <w:r w:rsidR="00462CCA" w:rsidRPr="00462CCA">
        <w:rPr>
          <w:rFonts w:ascii="Arial" w:eastAsia="Times New Roman" w:hAnsi="Arial" w:cs="Arial"/>
          <w:color w:val="555555"/>
          <w:sz w:val="24"/>
          <w:szCs w:val="24"/>
        </w:rPr>
        <w:t xml:space="preserve"> fre</w:t>
      </w:r>
      <w:r w:rsidR="003C578B">
        <w:rPr>
          <w:rFonts w:ascii="Arial" w:eastAsia="Times New Roman" w:hAnsi="Arial" w:cs="Arial"/>
          <w:color w:val="555555"/>
          <w:sz w:val="24"/>
          <w:szCs w:val="24"/>
        </w:rPr>
        <w:t>quency coordination is required</w:t>
      </w:r>
      <w:r w:rsidR="0024611B">
        <w:rPr>
          <w:rFonts w:ascii="Arial" w:eastAsia="Times New Roman" w:hAnsi="Arial" w:cs="Arial"/>
          <w:color w:val="555555"/>
          <w:sz w:val="24"/>
          <w:szCs w:val="24"/>
        </w:rPr>
        <w:t xml:space="preserve"> to allow for the engineering and analysis of the broadcast at that proposed frequency at that given location and its impact on U.S. civil aviation operations. Not collecting the information, prior to operation could directly affect the safety of civil aviation. </w:t>
      </w:r>
    </w:p>
    <w:p w14:paraId="6CEF0D8C" w14:textId="079F0F3D" w:rsidR="00462CCA" w:rsidRPr="00462CCA" w:rsidRDefault="0024611B" w:rsidP="00462CC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How often informat</w:t>
      </w:r>
      <w:r w:rsidR="009D78B9">
        <w:rPr>
          <w:rFonts w:ascii="Arial" w:eastAsia="Times New Roman" w:hAnsi="Arial" w:cs="Arial"/>
          <w:color w:val="555555"/>
          <w:sz w:val="24"/>
          <w:szCs w:val="24"/>
        </w:rPr>
        <w:t>ion is collected is relative to the proponent continuing needs or:</w:t>
      </w:r>
      <w:r>
        <w:rPr>
          <w:rFonts w:ascii="Arial" w:eastAsia="Times New Roman" w:hAnsi="Arial" w:cs="Arial"/>
          <w:color w:val="555555"/>
          <w:sz w:val="24"/>
          <w:szCs w:val="24"/>
        </w:rPr>
        <w:t xml:space="preserve">   </w:t>
      </w:r>
      <w:r w:rsidR="003C578B">
        <w:rPr>
          <w:rFonts w:ascii="Arial" w:eastAsia="Times New Roman" w:hAnsi="Arial" w:cs="Arial"/>
          <w:color w:val="555555"/>
          <w:sz w:val="24"/>
          <w:szCs w:val="24"/>
        </w:rPr>
        <w:t xml:space="preserve"> </w:t>
      </w:r>
      <w:r w:rsidR="009D78B9">
        <w:rPr>
          <w:rFonts w:ascii="Arial" w:eastAsia="Times New Roman" w:hAnsi="Arial" w:cs="Arial"/>
          <w:color w:val="555555"/>
          <w:sz w:val="24"/>
          <w:szCs w:val="24"/>
        </w:rPr>
        <w:t>“O</w:t>
      </w:r>
      <w:r w:rsidR="00462CCA" w:rsidRPr="00462CCA">
        <w:rPr>
          <w:rFonts w:ascii="Arial" w:eastAsia="Times New Roman" w:hAnsi="Arial" w:cs="Arial"/>
          <w:color w:val="555555"/>
          <w:sz w:val="24"/>
          <w:szCs w:val="24"/>
        </w:rPr>
        <w:t>n occasion to continue frequency use” as needed by the proponent. The AAG frequencies as referenced in Section 1 above, require FAA review every 10 years, while the FCC</w:t>
      </w:r>
      <w:r w:rsidR="00CB5186">
        <w:rPr>
          <w:rFonts w:ascii="Arial" w:eastAsia="Times New Roman" w:hAnsi="Arial" w:cs="Arial"/>
          <w:color w:val="555555"/>
          <w:sz w:val="24"/>
          <w:szCs w:val="24"/>
        </w:rPr>
        <w:t xml:space="preserve"> also</w:t>
      </w:r>
      <w:r w:rsidR="00462CCA" w:rsidRPr="00462CCA">
        <w:rPr>
          <w:rFonts w:ascii="Arial" w:eastAsia="Times New Roman" w:hAnsi="Arial" w:cs="Arial"/>
          <w:color w:val="555555"/>
          <w:sz w:val="24"/>
          <w:szCs w:val="24"/>
        </w:rPr>
        <w:t xml:space="preserve"> grants licens</w:t>
      </w:r>
      <w:r w:rsidR="00CB5186">
        <w:rPr>
          <w:rFonts w:ascii="Arial" w:eastAsia="Times New Roman" w:hAnsi="Arial" w:cs="Arial"/>
          <w:color w:val="555555"/>
          <w:sz w:val="24"/>
          <w:szCs w:val="24"/>
        </w:rPr>
        <w:t>es for typically 10</w:t>
      </w:r>
      <w:r w:rsidR="00462CCA" w:rsidRPr="00462CCA">
        <w:rPr>
          <w:rFonts w:ascii="Arial" w:eastAsia="Times New Roman" w:hAnsi="Arial" w:cs="Arial"/>
          <w:color w:val="555555"/>
          <w:sz w:val="24"/>
          <w:szCs w:val="24"/>
        </w:rPr>
        <w:t xml:space="preserve"> years, at which point an extension can be requested.   Thus, how often such information is required is determined by the requesters, not by the FAA.</w:t>
      </w:r>
    </w:p>
    <w:p w14:paraId="29E7A84D" w14:textId="77777777" w:rsidR="00462CCA" w:rsidRPr="00462CCA" w:rsidRDefault="00462CCA" w:rsidP="00462CCA">
      <w:pPr>
        <w:shd w:val="clear" w:color="auto" w:fill="FFFFFF"/>
        <w:spacing w:after="0" w:line="240" w:lineRule="auto"/>
        <w:rPr>
          <w:rFonts w:ascii="Arial" w:eastAsia="Times New Roman" w:hAnsi="Arial" w:cs="Arial"/>
          <w:color w:val="555555"/>
          <w:sz w:val="24"/>
          <w:szCs w:val="24"/>
        </w:rPr>
      </w:pPr>
    </w:p>
    <w:p w14:paraId="37305B54" w14:textId="77777777" w:rsidR="00462CCA" w:rsidRPr="00462CCA" w:rsidRDefault="00462CCA" w:rsidP="00462CCA">
      <w:pPr>
        <w:shd w:val="clear" w:color="auto" w:fill="FFFFFF"/>
        <w:spacing w:after="0" w:line="240" w:lineRule="auto"/>
        <w:rPr>
          <w:rFonts w:ascii="Arial" w:eastAsia="Times New Roman" w:hAnsi="Arial" w:cs="Arial"/>
          <w:color w:val="555555"/>
          <w:sz w:val="24"/>
          <w:szCs w:val="24"/>
        </w:rPr>
      </w:pPr>
      <w:r w:rsidRPr="00462CCA">
        <w:rPr>
          <w:rFonts w:ascii="Arial" w:eastAsia="Times New Roman" w:hAnsi="Arial" w:cs="Arial"/>
          <w:color w:val="555555"/>
          <w:sz w:val="24"/>
          <w:szCs w:val="24"/>
        </w:rPr>
        <w:t>There are no specific technical or legal obstacles to reducing the reporting burden.</w:t>
      </w:r>
    </w:p>
    <w:p w14:paraId="552C78AF" w14:textId="77777777" w:rsidR="00C64707" w:rsidRPr="00462CCA" w:rsidRDefault="00C64707" w:rsidP="00462CCA">
      <w:pPr>
        <w:shd w:val="clear" w:color="auto" w:fill="FFFFFF"/>
        <w:spacing w:after="0" w:line="240" w:lineRule="auto"/>
        <w:rPr>
          <w:rFonts w:ascii="Arial" w:eastAsia="Times New Roman" w:hAnsi="Arial" w:cs="Arial"/>
          <w:color w:val="555555"/>
          <w:sz w:val="24"/>
          <w:szCs w:val="24"/>
        </w:rPr>
      </w:pPr>
    </w:p>
    <w:p w14:paraId="261EC33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0534EA0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5A03EE54"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14:paraId="63DB0526"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14:paraId="64616D93"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14:paraId="08B59A64"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14:paraId="39F096B7"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14:paraId="5DD2C0A6" w14:textId="77777777" w:rsidR="00C64707" w:rsidRPr="00C64707" w:rsidRDefault="00C64707"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93575CB" w14:textId="77777777" w:rsidR="00C64707" w:rsidRPr="00C64707" w:rsidRDefault="00AF5AD1" w:rsidP="00C6470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b/>
          <w:bCs/>
          <w:i/>
          <w:iCs/>
          <w:color w:val="555555"/>
          <w:sz w:val="24"/>
          <w:szCs w:val="24"/>
        </w:rPr>
        <w:t>r</w:t>
      </w:r>
      <w:r w:rsidRPr="00C64707">
        <w:rPr>
          <w:rFonts w:ascii="Arial" w:eastAsia="Times New Roman" w:hAnsi="Arial" w:cs="Arial"/>
          <w:b/>
          <w:bCs/>
          <w:i/>
          <w:iCs/>
          <w:color w:val="555555"/>
          <w:sz w:val="24"/>
          <w:szCs w:val="24"/>
        </w:rPr>
        <w:t>equiring</w:t>
      </w:r>
      <w:r w:rsidR="00C64707" w:rsidRPr="00C64707">
        <w:rPr>
          <w:rFonts w:ascii="Arial" w:eastAsia="Times New Roman" w:hAnsi="Arial" w:cs="Arial"/>
          <w:b/>
          <w:bCs/>
          <w:i/>
          <w:iCs/>
          <w:color w:val="555555"/>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14:paraId="5AA5C744" w14:textId="1B6C8314" w:rsidR="00B65FC8" w:rsidRDefault="00B65FC8" w:rsidP="00C64707">
      <w:pPr>
        <w:shd w:val="clear" w:color="auto" w:fill="FFFFFF"/>
        <w:spacing w:after="0" w:line="240" w:lineRule="auto"/>
        <w:rPr>
          <w:rFonts w:ascii="Arial" w:eastAsia="Times New Roman" w:hAnsi="Arial" w:cs="Arial"/>
          <w:color w:val="555555"/>
          <w:sz w:val="24"/>
          <w:szCs w:val="24"/>
        </w:rPr>
      </w:pPr>
    </w:p>
    <w:p w14:paraId="24DA5A90" w14:textId="0B945BAF" w:rsidR="00B65FC8" w:rsidRDefault="009D78B9"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w:t>
      </w:r>
      <w:r w:rsidR="0008219A">
        <w:rPr>
          <w:rFonts w:ascii="Arial" w:eastAsia="Times New Roman" w:hAnsi="Arial" w:cs="Arial"/>
          <w:color w:val="555555"/>
          <w:sz w:val="24"/>
          <w:szCs w:val="24"/>
        </w:rPr>
        <w:t>special circumstances.</w:t>
      </w:r>
    </w:p>
    <w:p w14:paraId="67D11E80" w14:textId="77777777" w:rsidR="00444062" w:rsidRDefault="00444062" w:rsidP="00C64707">
      <w:pPr>
        <w:shd w:val="clear" w:color="auto" w:fill="FFFFFF"/>
        <w:spacing w:after="0" w:line="240" w:lineRule="auto"/>
        <w:rPr>
          <w:rFonts w:ascii="Arial" w:eastAsia="Times New Roman" w:hAnsi="Arial" w:cs="Arial"/>
          <w:color w:val="555555"/>
          <w:sz w:val="24"/>
          <w:szCs w:val="24"/>
        </w:rPr>
      </w:pPr>
    </w:p>
    <w:p w14:paraId="5C8C0CA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3CF7CE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9F76FE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48CBD6C" w14:textId="77777777" w:rsidR="009165F2" w:rsidRDefault="009165F2" w:rsidP="00C64707">
      <w:pPr>
        <w:shd w:val="clear" w:color="auto" w:fill="FFFFFF"/>
        <w:spacing w:after="0" w:line="240" w:lineRule="auto"/>
        <w:rPr>
          <w:rFonts w:ascii="Arial" w:eastAsia="Times New Roman" w:hAnsi="Arial" w:cs="Arial"/>
          <w:color w:val="555555"/>
          <w:sz w:val="24"/>
          <w:szCs w:val="24"/>
        </w:rPr>
      </w:pPr>
    </w:p>
    <w:p w14:paraId="164B9D2C" w14:textId="70F317E0" w:rsidR="009165F2" w:rsidRPr="009165F2" w:rsidRDefault="00733196" w:rsidP="009165F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 </w:t>
      </w:r>
      <w:r w:rsidR="009165F2" w:rsidRPr="009165F2">
        <w:rPr>
          <w:rFonts w:ascii="Arial" w:eastAsia="Times New Roman" w:hAnsi="Arial" w:cs="Arial"/>
          <w:color w:val="555555"/>
          <w:sz w:val="24"/>
          <w:szCs w:val="24"/>
        </w:rPr>
        <w:t>Federal Reg</w:t>
      </w:r>
      <w:r w:rsidR="009165F2">
        <w:rPr>
          <w:rFonts w:ascii="Arial" w:eastAsia="Times New Roman" w:hAnsi="Arial" w:cs="Arial"/>
          <w:color w:val="555555"/>
          <w:sz w:val="24"/>
          <w:szCs w:val="24"/>
        </w:rPr>
        <w:t>ister Notice published on April 19, 2019</w:t>
      </w:r>
      <w:r w:rsidR="009165F2" w:rsidRPr="009165F2">
        <w:rPr>
          <w:rFonts w:ascii="Arial" w:eastAsia="Times New Roman" w:hAnsi="Arial" w:cs="Arial"/>
          <w:color w:val="555555"/>
          <w:sz w:val="24"/>
          <w:szCs w:val="24"/>
        </w:rPr>
        <w:t xml:space="preserve"> </w:t>
      </w:r>
      <w:r w:rsidR="009165F2">
        <w:rPr>
          <w:rFonts w:ascii="Arial" w:eastAsia="Times New Roman" w:hAnsi="Arial" w:cs="Arial"/>
          <w:color w:val="555555"/>
          <w:sz w:val="24"/>
          <w:szCs w:val="24"/>
        </w:rPr>
        <w:t>(</w:t>
      </w:r>
      <w:r w:rsidRPr="00733196">
        <w:rPr>
          <w:rFonts w:ascii="Arial" w:eastAsia="Times New Roman" w:hAnsi="Arial" w:cs="Arial"/>
          <w:color w:val="555555"/>
          <w:sz w:val="24"/>
          <w:szCs w:val="24"/>
        </w:rPr>
        <w:t>84 FR 16557</w:t>
      </w:r>
      <w:r>
        <w:rPr>
          <w:rFonts w:ascii="Arial" w:eastAsia="Times New Roman" w:hAnsi="Arial" w:cs="Arial"/>
          <w:color w:val="555555"/>
          <w:sz w:val="24"/>
          <w:szCs w:val="24"/>
        </w:rPr>
        <w:t>)</w:t>
      </w:r>
      <w:r w:rsidR="009165F2" w:rsidRPr="009165F2">
        <w:rPr>
          <w:rFonts w:ascii="Arial" w:eastAsia="Times New Roman" w:hAnsi="Arial" w:cs="Arial"/>
          <w:color w:val="555555"/>
          <w:sz w:val="24"/>
          <w:szCs w:val="24"/>
        </w:rPr>
        <w:t xml:space="preserve"> solicited public comment. No comments were received</w:t>
      </w:r>
      <w:r>
        <w:rPr>
          <w:rFonts w:ascii="Arial" w:eastAsia="Times New Roman" w:hAnsi="Arial" w:cs="Arial"/>
          <w:color w:val="555555"/>
          <w:sz w:val="24"/>
          <w:szCs w:val="24"/>
        </w:rPr>
        <w:t>.</w:t>
      </w:r>
    </w:p>
    <w:p w14:paraId="6DD958A7" w14:textId="77777777" w:rsidR="009165F2" w:rsidRDefault="009165F2" w:rsidP="00C64707">
      <w:pPr>
        <w:shd w:val="clear" w:color="auto" w:fill="FFFFFF"/>
        <w:spacing w:after="0" w:line="240" w:lineRule="auto"/>
        <w:rPr>
          <w:rFonts w:ascii="Arial" w:eastAsia="Times New Roman" w:hAnsi="Arial" w:cs="Arial"/>
          <w:color w:val="555555"/>
          <w:sz w:val="24"/>
          <w:szCs w:val="24"/>
        </w:rPr>
      </w:pPr>
    </w:p>
    <w:p w14:paraId="23615D01"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939ADA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14:paraId="64C6D127" w14:textId="282CE988" w:rsid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550003" w:rsidRPr="00550003">
        <w:rPr>
          <w:rFonts w:ascii="Arial" w:eastAsia="Times New Roman" w:hAnsi="Arial" w:cs="Arial"/>
          <w:color w:val="555555"/>
          <w:sz w:val="24"/>
          <w:szCs w:val="24"/>
        </w:rPr>
        <w:t>No payments or gifts</w:t>
      </w:r>
      <w:r w:rsidR="00550003">
        <w:rPr>
          <w:rFonts w:ascii="Arial" w:eastAsia="Times New Roman" w:hAnsi="Arial" w:cs="Arial"/>
          <w:color w:val="555555"/>
          <w:sz w:val="24"/>
          <w:szCs w:val="24"/>
        </w:rPr>
        <w:t xml:space="preserve"> </w:t>
      </w:r>
      <w:r w:rsidR="00550003" w:rsidRPr="00550003">
        <w:rPr>
          <w:rFonts w:ascii="Arial" w:eastAsia="Times New Roman" w:hAnsi="Arial" w:cs="Arial"/>
          <w:color w:val="555555"/>
          <w:sz w:val="24"/>
          <w:szCs w:val="24"/>
        </w:rPr>
        <w:t>will be provided</w:t>
      </w:r>
      <w:r w:rsidR="00733196">
        <w:rPr>
          <w:rFonts w:ascii="Arial" w:eastAsia="Times New Roman" w:hAnsi="Arial" w:cs="Arial"/>
          <w:color w:val="555555"/>
          <w:sz w:val="24"/>
          <w:szCs w:val="24"/>
        </w:rPr>
        <w:t xml:space="preserve"> to respondents.</w:t>
      </w:r>
    </w:p>
    <w:p w14:paraId="3A52B2F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1A77F0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61BFE65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9F53C94" w14:textId="6EBCC7DC" w:rsidR="00AF1075" w:rsidRPr="00AF1075" w:rsidRDefault="00AF1075" w:rsidP="00AF1075">
      <w:pPr>
        <w:shd w:val="clear" w:color="auto" w:fill="FFFFFF"/>
        <w:spacing w:after="0" w:line="240" w:lineRule="auto"/>
        <w:rPr>
          <w:rFonts w:ascii="Arial" w:eastAsia="Times New Roman" w:hAnsi="Arial" w:cs="Arial"/>
          <w:color w:val="555555"/>
          <w:sz w:val="24"/>
          <w:szCs w:val="24"/>
        </w:rPr>
      </w:pPr>
      <w:r w:rsidRPr="00AF1075">
        <w:rPr>
          <w:rFonts w:ascii="Arial" w:eastAsia="Times New Roman" w:hAnsi="Arial" w:cs="Arial"/>
          <w:color w:val="555555"/>
          <w:sz w:val="24"/>
          <w:szCs w:val="24"/>
        </w:rPr>
        <w:t xml:space="preserve">No assurances of confidentiality are provided to respondents. </w:t>
      </w:r>
    </w:p>
    <w:p w14:paraId="7021B57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14:paraId="583C26F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16AFD88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BC2054" w:rsidRPr="00BC2054">
        <w:rPr>
          <w:rFonts w:ascii="Arial" w:eastAsia="Times New Roman" w:hAnsi="Arial" w:cs="Arial"/>
          <w:color w:val="555555"/>
          <w:sz w:val="24"/>
          <w:szCs w:val="24"/>
        </w:rPr>
        <w:t>There are no questions of a sensitive nature.</w:t>
      </w:r>
    </w:p>
    <w:p w14:paraId="7312841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8633AE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14:paraId="3F56D744" w14:textId="77777777" w:rsidR="00CB66C8" w:rsidRDefault="00C64707" w:rsidP="00CB66C8">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CB66C8" w:rsidRPr="00211C09">
        <w:rPr>
          <w:rFonts w:ascii="Arial" w:eastAsia="Times New Roman" w:hAnsi="Arial" w:cs="Arial"/>
          <w:color w:val="555555"/>
          <w:sz w:val="24"/>
          <w:szCs w:val="24"/>
        </w:rPr>
        <w:t>T</w:t>
      </w:r>
      <w:r w:rsidR="00CB66C8">
        <w:rPr>
          <w:rFonts w:ascii="Arial" w:eastAsia="Times New Roman" w:hAnsi="Arial" w:cs="Arial"/>
          <w:color w:val="555555"/>
          <w:sz w:val="24"/>
          <w:szCs w:val="24"/>
        </w:rPr>
        <w:t>he burden</w:t>
      </w:r>
      <w:r w:rsidR="00CB66C8" w:rsidRPr="00211C09">
        <w:rPr>
          <w:rFonts w:ascii="Arial" w:eastAsia="Times New Roman" w:hAnsi="Arial" w:cs="Arial"/>
          <w:color w:val="555555"/>
          <w:sz w:val="24"/>
          <w:szCs w:val="24"/>
        </w:rPr>
        <w:t xml:space="preserve"> incurred in requesting a coordination for the proposed frequency request would only</w:t>
      </w:r>
      <w:r w:rsidR="00CB66C8">
        <w:rPr>
          <w:rFonts w:ascii="Arial" w:eastAsia="Times New Roman" w:hAnsi="Arial" w:cs="Arial"/>
          <w:color w:val="555555"/>
          <w:sz w:val="24"/>
          <w:szCs w:val="24"/>
        </w:rPr>
        <w:t xml:space="preserve"> include the administrative burden</w:t>
      </w:r>
      <w:r w:rsidR="00CB66C8" w:rsidRPr="00211C09">
        <w:rPr>
          <w:rFonts w:ascii="Arial" w:eastAsia="Times New Roman" w:hAnsi="Arial" w:cs="Arial"/>
          <w:color w:val="555555"/>
          <w:sz w:val="24"/>
          <w:szCs w:val="24"/>
        </w:rPr>
        <w:t xml:space="preserve"> of submitting the data request</w:t>
      </w:r>
      <w:r w:rsidR="00CB66C8">
        <w:rPr>
          <w:rFonts w:ascii="Arial" w:eastAsia="Times New Roman" w:hAnsi="Arial" w:cs="Arial"/>
          <w:color w:val="555555"/>
          <w:sz w:val="24"/>
          <w:szCs w:val="24"/>
        </w:rPr>
        <w:t xml:space="preserve"> online or approximately 0.2 hours</w:t>
      </w:r>
      <w:r w:rsidR="00CB66C8" w:rsidRPr="00211C09">
        <w:rPr>
          <w:rFonts w:ascii="Arial" w:eastAsia="Times New Roman" w:hAnsi="Arial" w:cs="Arial"/>
          <w:color w:val="555555"/>
          <w:sz w:val="24"/>
          <w:szCs w:val="24"/>
        </w:rPr>
        <w:t>. Typically the same user is applying to the FCC for a license to broadcast, hence no additional data or documents are required.</w:t>
      </w:r>
    </w:p>
    <w:p w14:paraId="1AE5E19B" w14:textId="5005867D" w:rsidR="00CB66C8" w:rsidRDefault="00CB66C8" w:rsidP="00C64707">
      <w:pPr>
        <w:shd w:val="clear" w:color="auto" w:fill="FFFFFF"/>
        <w:spacing w:after="0" w:line="240" w:lineRule="auto"/>
        <w:rPr>
          <w:rFonts w:ascii="Arial" w:eastAsia="Times New Roman" w:hAnsi="Arial" w:cs="Arial"/>
          <w:color w:val="555555"/>
          <w:sz w:val="24"/>
          <w:szCs w:val="24"/>
        </w:rPr>
      </w:pPr>
    </w:p>
    <w:p w14:paraId="5B192BA2" w14:textId="77777777" w:rsidR="00CB66C8" w:rsidRDefault="00CB66C8" w:rsidP="00C64707">
      <w:pPr>
        <w:shd w:val="clear" w:color="auto" w:fill="FFFFFF"/>
        <w:spacing w:after="0" w:line="240" w:lineRule="auto"/>
        <w:rPr>
          <w:rFonts w:ascii="Arial" w:eastAsia="Times New Roman" w:hAnsi="Arial" w:cs="Arial"/>
          <w:color w:val="555555"/>
          <w:sz w:val="24"/>
          <w:szCs w:val="24"/>
        </w:rPr>
      </w:pPr>
    </w:p>
    <w:p w14:paraId="01D79F31" w14:textId="6470EBF6" w:rsidR="00C64707" w:rsidRPr="00C64707" w:rsidRDefault="0095255B" w:rsidP="00C64707">
      <w:pPr>
        <w:shd w:val="clear" w:color="auto" w:fill="FFFFFF"/>
        <w:spacing w:after="0" w:line="240" w:lineRule="auto"/>
        <w:rPr>
          <w:rFonts w:ascii="Arial" w:eastAsia="Times New Roman" w:hAnsi="Arial" w:cs="Arial"/>
          <w:color w:val="555555"/>
          <w:sz w:val="24"/>
          <w:szCs w:val="24"/>
        </w:rPr>
      </w:pPr>
      <w:r w:rsidRPr="0095255B">
        <w:rPr>
          <w:rFonts w:ascii="Arial" w:eastAsia="Times New Roman" w:hAnsi="Arial" w:cs="Arial"/>
          <w:color w:val="555555"/>
          <w:sz w:val="24"/>
          <w:szCs w:val="24"/>
        </w:rPr>
        <w:t xml:space="preserve">The number of WebFCR Frequency </w:t>
      </w:r>
      <w:r>
        <w:rPr>
          <w:rFonts w:ascii="Arial" w:eastAsia="Times New Roman" w:hAnsi="Arial" w:cs="Arial"/>
          <w:color w:val="555555"/>
          <w:sz w:val="24"/>
          <w:szCs w:val="24"/>
        </w:rPr>
        <w:t>Coordination Request annually by each IC category is:</w:t>
      </w:r>
      <w:r w:rsidR="00C64707" w:rsidRPr="00C64707">
        <w:rPr>
          <w:rFonts w:ascii="Arial" w:eastAsia="Times New Roman" w:hAnsi="Arial" w:cs="Arial"/>
          <w:color w:val="555555"/>
          <w:sz w:val="24"/>
          <w:szCs w:val="24"/>
        </w:rPr>
        <w:br/>
      </w:r>
    </w:p>
    <w:p w14:paraId="4802C429" w14:textId="77777777" w:rsidR="0095255B" w:rsidRDefault="0095255B" w:rsidP="0095255B">
      <w:pPr>
        <w:shd w:val="clear" w:color="auto" w:fill="FFFFFF"/>
        <w:spacing w:before="100" w:beforeAutospacing="1" w:after="225" w:line="240" w:lineRule="auto"/>
        <w:contextualSpacing/>
        <w:rPr>
          <w:rFonts w:ascii="Arial" w:eastAsia="Times New Roman" w:hAnsi="Arial" w:cs="Arial"/>
          <w:color w:val="555555"/>
          <w:sz w:val="24"/>
          <w:szCs w:val="24"/>
        </w:rPr>
      </w:pPr>
    </w:p>
    <w:p w14:paraId="2D2C3CED" w14:textId="77777777" w:rsidR="0095255B" w:rsidRDefault="0095255B" w:rsidP="0095255B">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 xml:space="preserve">IC 1 - </w:t>
      </w:r>
      <w:r w:rsidRPr="005532ED">
        <w:rPr>
          <w:rFonts w:ascii="Arial" w:eastAsia="Times New Roman" w:hAnsi="Arial" w:cs="Arial"/>
          <w:color w:val="555555"/>
          <w:sz w:val="24"/>
          <w:szCs w:val="24"/>
        </w:rPr>
        <w:t>Feder</w:t>
      </w:r>
      <w:r>
        <w:rPr>
          <w:rFonts w:ascii="Arial" w:eastAsia="Times New Roman" w:hAnsi="Arial" w:cs="Arial"/>
          <w:color w:val="555555"/>
          <w:sz w:val="24"/>
          <w:szCs w:val="24"/>
        </w:rPr>
        <w:t xml:space="preserve">al and Military Agencies </w:t>
      </w:r>
    </w:p>
    <w:tbl>
      <w:tblPr>
        <w:tblW w:w="4597" w:type="dxa"/>
        <w:tblLook w:val="04A0" w:firstRow="1" w:lastRow="0" w:firstColumn="1" w:lastColumn="0" w:noHBand="0" w:noVBand="1"/>
      </w:tblPr>
      <w:tblGrid>
        <w:gridCol w:w="1900"/>
        <w:gridCol w:w="1118"/>
        <w:gridCol w:w="1579"/>
      </w:tblGrid>
      <w:tr w:rsidR="009D0722" w:rsidRPr="00E34880" w14:paraId="1949F69E" w14:textId="77777777" w:rsidTr="009D0722">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A2D63" w14:textId="77777777" w:rsidR="009D0722" w:rsidRPr="00E34880" w:rsidRDefault="009D0722" w:rsidP="00FA6798">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0E1BE7EA" w14:textId="77777777" w:rsidR="009D0722" w:rsidRPr="00E34880" w:rsidRDefault="009D0722" w:rsidP="00FA6798">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5F9CB148" w14:textId="77777777" w:rsidR="009D0722" w:rsidRPr="00E34880" w:rsidRDefault="009D0722" w:rsidP="00FA6798">
            <w:pPr>
              <w:spacing w:after="0" w:line="240" w:lineRule="auto"/>
              <w:rPr>
                <w:rFonts w:cs="Calibri"/>
                <w:b/>
                <w:bCs/>
                <w:color w:val="000000"/>
              </w:rPr>
            </w:pPr>
            <w:r w:rsidRPr="00E34880">
              <w:rPr>
                <w:rFonts w:cs="Calibri"/>
                <w:b/>
                <w:bCs/>
                <w:color w:val="000000"/>
              </w:rPr>
              <w:t>Recordkeeping</w:t>
            </w:r>
          </w:p>
        </w:tc>
      </w:tr>
      <w:tr w:rsidR="009D0722" w:rsidRPr="00E34880" w14:paraId="7E27C08D" w14:textId="77777777" w:rsidTr="009D0722">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586CE9C" w14:textId="77777777" w:rsidR="009D0722" w:rsidRPr="00E34880" w:rsidRDefault="009D0722" w:rsidP="00FA6798">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5FB10DE3" w14:textId="77777777" w:rsidR="009D0722" w:rsidRPr="00E34880" w:rsidRDefault="009D0722" w:rsidP="00FA6798">
            <w:pPr>
              <w:spacing w:after="0" w:line="240" w:lineRule="auto"/>
              <w:rPr>
                <w:rFonts w:cs="Calibri"/>
                <w:color w:val="000000"/>
              </w:rPr>
            </w:pPr>
            <w:r>
              <w:rPr>
                <w:rFonts w:cs="Calibri"/>
                <w:color w:val="000000"/>
              </w:rPr>
              <w:t>1100</w:t>
            </w:r>
          </w:p>
        </w:tc>
        <w:tc>
          <w:tcPr>
            <w:tcW w:w="1579" w:type="dxa"/>
            <w:tcBorders>
              <w:top w:val="nil"/>
              <w:left w:val="nil"/>
              <w:bottom w:val="single" w:sz="4" w:space="0" w:color="auto"/>
              <w:right w:val="single" w:sz="4" w:space="0" w:color="auto"/>
            </w:tcBorders>
            <w:shd w:val="clear" w:color="auto" w:fill="auto"/>
            <w:noWrap/>
            <w:vAlign w:val="bottom"/>
          </w:tcPr>
          <w:p w14:paraId="266EA7CA" w14:textId="77777777" w:rsidR="009D0722" w:rsidRPr="00E34880" w:rsidRDefault="00357BC2" w:rsidP="00FA6798">
            <w:pPr>
              <w:spacing w:after="0" w:line="240" w:lineRule="auto"/>
              <w:rPr>
                <w:rFonts w:cs="Calibri"/>
                <w:color w:val="000000"/>
              </w:rPr>
            </w:pPr>
            <w:r>
              <w:rPr>
                <w:rFonts w:cs="Calibri"/>
                <w:color w:val="000000"/>
              </w:rPr>
              <w:t>0</w:t>
            </w:r>
          </w:p>
        </w:tc>
      </w:tr>
      <w:tr w:rsidR="009D0722" w:rsidRPr="00E34880" w14:paraId="74073985"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612EF10" w14:textId="77777777" w:rsidR="009D0722" w:rsidRPr="00E34880" w:rsidRDefault="009D0722" w:rsidP="00FA6798">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2F6A0CCF" w14:textId="77777777" w:rsidR="009D0722" w:rsidRPr="00E34880" w:rsidRDefault="009D0722" w:rsidP="00FA6798">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127A2C6E" w14:textId="77777777" w:rsidR="009D0722" w:rsidRPr="00E34880" w:rsidRDefault="00357BC2" w:rsidP="00FA6798">
            <w:pPr>
              <w:spacing w:after="0" w:line="240" w:lineRule="auto"/>
              <w:rPr>
                <w:rFonts w:cs="Calibri"/>
                <w:color w:val="000000"/>
              </w:rPr>
            </w:pPr>
            <w:r>
              <w:rPr>
                <w:rFonts w:cs="Calibri"/>
                <w:color w:val="000000"/>
              </w:rPr>
              <w:t>0</w:t>
            </w:r>
          </w:p>
        </w:tc>
      </w:tr>
      <w:tr w:rsidR="009D0722" w:rsidRPr="00E34880" w14:paraId="1D53D24A"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436A10C" w14:textId="77777777" w:rsidR="009D0722" w:rsidRPr="00E34880" w:rsidRDefault="009D0722" w:rsidP="00FA6798">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4ECD1B68" w14:textId="77777777" w:rsidR="009D0722" w:rsidRPr="00E34880" w:rsidRDefault="009D0722" w:rsidP="00FA6798">
            <w:pPr>
              <w:spacing w:after="0" w:line="240" w:lineRule="auto"/>
              <w:rPr>
                <w:rFonts w:cs="Calibri"/>
                <w:color w:val="000000"/>
              </w:rPr>
            </w:pPr>
            <w:r>
              <w:rPr>
                <w:rFonts w:cs="Calibri"/>
                <w:color w:val="000000"/>
              </w:rPr>
              <w:t>0.2Hrs</w:t>
            </w:r>
          </w:p>
        </w:tc>
        <w:tc>
          <w:tcPr>
            <w:tcW w:w="1579" w:type="dxa"/>
            <w:tcBorders>
              <w:top w:val="nil"/>
              <w:left w:val="nil"/>
              <w:bottom w:val="single" w:sz="4" w:space="0" w:color="auto"/>
              <w:right w:val="single" w:sz="4" w:space="0" w:color="auto"/>
            </w:tcBorders>
            <w:shd w:val="clear" w:color="auto" w:fill="auto"/>
            <w:noWrap/>
            <w:vAlign w:val="bottom"/>
          </w:tcPr>
          <w:p w14:paraId="2DA13AA7" w14:textId="77777777" w:rsidR="009D0722" w:rsidRPr="00E34880" w:rsidRDefault="00357BC2" w:rsidP="00FA6798">
            <w:pPr>
              <w:spacing w:after="0" w:line="240" w:lineRule="auto"/>
              <w:rPr>
                <w:rFonts w:cs="Calibri"/>
                <w:color w:val="000000"/>
              </w:rPr>
            </w:pPr>
            <w:r>
              <w:rPr>
                <w:rFonts w:cs="Calibri"/>
                <w:color w:val="000000"/>
              </w:rPr>
              <w:t>0</w:t>
            </w:r>
          </w:p>
        </w:tc>
      </w:tr>
      <w:tr w:rsidR="009D0722" w:rsidRPr="00E34880" w14:paraId="7785D829"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3B72E82" w14:textId="77777777" w:rsidR="009D0722" w:rsidRPr="00E34880" w:rsidRDefault="009D0722" w:rsidP="00FA6798">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158011F6" w14:textId="77777777" w:rsidR="009D0722" w:rsidRPr="00E34880" w:rsidRDefault="009D0722" w:rsidP="00FA6798">
            <w:pPr>
              <w:spacing w:after="0" w:line="240" w:lineRule="auto"/>
              <w:rPr>
                <w:rFonts w:cs="Calibri"/>
                <w:color w:val="000000"/>
              </w:rPr>
            </w:pPr>
            <w:r>
              <w:rPr>
                <w:rFonts w:cs="Calibri"/>
                <w:color w:val="000000"/>
              </w:rPr>
              <w:t>1100</w:t>
            </w:r>
          </w:p>
        </w:tc>
        <w:tc>
          <w:tcPr>
            <w:tcW w:w="1579" w:type="dxa"/>
            <w:tcBorders>
              <w:top w:val="nil"/>
              <w:left w:val="nil"/>
              <w:bottom w:val="single" w:sz="4" w:space="0" w:color="auto"/>
              <w:right w:val="single" w:sz="4" w:space="0" w:color="auto"/>
            </w:tcBorders>
            <w:shd w:val="clear" w:color="auto" w:fill="auto"/>
            <w:noWrap/>
            <w:vAlign w:val="bottom"/>
          </w:tcPr>
          <w:p w14:paraId="6D3DD0F2" w14:textId="77777777" w:rsidR="009D0722" w:rsidRPr="00E34880" w:rsidRDefault="00357BC2" w:rsidP="00FA6798">
            <w:pPr>
              <w:spacing w:after="0" w:line="240" w:lineRule="auto"/>
              <w:rPr>
                <w:rFonts w:cs="Calibri"/>
                <w:color w:val="000000"/>
              </w:rPr>
            </w:pPr>
            <w:r>
              <w:rPr>
                <w:rFonts w:cs="Calibri"/>
                <w:color w:val="000000"/>
              </w:rPr>
              <w:t>0</w:t>
            </w:r>
          </w:p>
        </w:tc>
      </w:tr>
      <w:tr w:rsidR="009D0722" w:rsidRPr="00E34880" w14:paraId="472EB536"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64C28DA9" w14:textId="77777777" w:rsidR="009D0722" w:rsidRPr="00E34880" w:rsidRDefault="009D0722" w:rsidP="00FA6798">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16C17479" w14:textId="77777777" w:rsidR="009D0722" w:rsidRPr="00E34880" w:rsidRDefault="009D0722" w:rsidP="00FA6798">
            <w:pPr>
              <w:spacing w:after="0" w:line="240" w:lineRule="auto"/>
              <w:rPr>
                <w:rFonts w:cs="Calibri"/>
                <w:color w:val="000000"/>
              </w:rPr>
            </w:pPr>
            <w:r>
              <w:rPr>
                <w:rFonts w:cs="Calibri"/>
                <w:color w:val="000000"/>
              </w:rPr>
              <w:t>220</w:t>
            </w:r>
          </w:p>
        </w:tc>
        <w:tc>
          <w:tcPr>
            <w:tcW w:w="1579" w:type="dxa"/>
            <w:tcBorders>
              <w:top w:val="nil"/>
              <w:left w:val="nil"/>
              <w:bottom w:val="single" w:sz="4" w:space="0" w:color="auto"/>
              <w:right w:val="single" w:sz="4" w:space="0" w:color="auto"/>
            </w:tcBorders>
            <w:shd w:val="clear" w:color="auto" w:fill="auto"/>
            <w:noWrap/>
            <w:vAlign w:val="bottom"/>
          </w:tcPr>
          <w:p w14:paraId="169E04E6" w14:textId="77777777" w:rsidR="009D0722" w:rsidRPr="00E34880" w:rsidRDefault="00357BC2" w:rsidP="00FA6798">
            <w:pPr>
              <w:spacing w:after="0" w:line="240" w:lineRule="auto"/>
              <w:rPr>
                <w:rFonts w:cs="Calibri"/>
                <w:color w:val="000000"/>
              </w:rPr>
            </w:pPr>
            <w:r>
              <w:rPr>
                <w:rFonts w:cs="Calibri"/>
                <w:color w:val="000000"/>
              </w:rPr>
              <w:t>0</w:t>
            </w:r>
          </w:p>
        </w:tc>
      </w:tr>
    </w:tbl>
    <w:p w14:paraId="4FBD3DBF" w14:textId="7D92A727" w:rsidR="0088036A" w:rsidRPr="00C64707" w:rsidRDefault="0088036A" w:rsidP="0095255B">
      <w:pPr>
        <w:shd w:val="clear" w:color="auto" w:fill="FFFFFF"/>
        <w:spacing w:before="100" w:beforeAutospacing="1" w:after="225" w:line="240" w:lineRule="auto"/>
        <w:rPr>
          <w:rFonts w:ascii="Arial" w:eastAsia="Times New Roman" w:hAnsi="Arial" w:cs="Arial"/>
          <w:color w:val="555555"/>
          <w:sz w:val="24"/>
          <w:szCs w:val="24"/>
        </w:rPr>
      </w:pPr>
    </w:p>
    <w:p w14:paraId="29F6A24D" w14:textId="77777777" w:rsidR="0095255B" w:rsidRDefault="0095255B" w:rsidP="0095255B">
      <w:pPr>
        <w:shd w:val="clear" w:color="auto" w:fill="FFFFFF"/>
        <w:spacing w:before="100" w:beforeAutospacing="1" w:after="225" w:line="240" w:lineRule="auto"/>
        <w:contextualSpacing/>
        <w:rPr>
          <w:rFonts w:ascii="Arial" w:eastAsia="Times New Roman" w:hAnsi="Arial" w:cs="Arial"/>
          <w:color w:val="555555"/>
          <w:sz w:val="24"/>
          <w:szCs w:val="24"/>
        </w:rPr>
      </w:pPr>
    </w:p>
    <w:p w14:paraId="75BD3C9C" w14:textId="77777777" w:rsidR="0095255B" w:rsidRDefault="0095255B" w:rsidP="0095255B">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IC 2 - Private Sector</w:t>
      </w:r>
    </w:p>
    <w:tbl>
      <w:tblPr>
        <w:tblW w:w="4597" w:type="dxa"/>
        <w:tblLook w:val="04A0" w:firstRow="1" w:lastRow="0" w:firstColumn="1" w:lastColumn="0" w:noHBand="0" w:noVBand="1"/>
      </w:tblPr>
      <w:tblGrid>
        <w:gridCol w:w="1900"/>
        <w:gridCol w:w="1118"/>
        <w:gridCol w:w="1579"/>
      </w:tblGrid>
      <w:tr w:rsidR="009D0722" w:rsidRPr="00E34880" w14:paraId="7834B341" w14:textId="77777777" w:rsidTr="009D0722">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B284D" w14:textId="77777777" w:rsidR="009D0722" w:rsidRPr="00E34880" w:rsidRDefault="009D0722" w:rsidP="00FA6798">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47D60716" w14:textId="77777777" w:rsidR="009D0722" w:rsidRPr="00E34880" w:rsidRDefault="009D0722" w:rsidP="00FA6798">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78DAAD3B" w14:textId="77777777" w:rsidR="009D0722" w:rsidRPr="00E34880" w:rsidRDefault="009D0722" w:rsidP="00FA6798">
            <w:pPr>
              <w:spacing w:after="0" w:line="240" w:lineRule="auto"/>
              <w:rPr>
                <w:rFonts w:cs="Calibri"/>
                <w:b/>
                <w:bCs/>
                <w:color w:val="000000"/>
              </w:rPr>
            </w:pPr>
            <w:r w:rsidRPr="00E34880">
              <w:rPr>
                <w:rFonts w:cs="Calibri"/>
                <w:b/>
                <w:bCs/>
                <w:color w:val="000000"/>
              </w:rPr>
              <w:t>Recordkeeping</w:t>
            </w:r>
          </w:p>
        </w:tc>
      </w:tr>
      <w:tr w:rsidR="00357BC2" w:rsidRPr="00E34880" w14:paraId="012694FD" w14:textId="77777777" w:rsidTr="009D0722">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8CDCA83" w14:textId="77777777" w:rsidR="00357BC2" w:rsidRPr="00E34880" w:rsidRDefault="00357BC2" w:rsidP="00357BC2">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29DECDD8" w14:textId="77777777" w:rsidR="00357BC2" w:rsidRPr="00E34880" w:rsidRDefault="00357BC2" w:rsidP="00357BC2">
            <w:pPr>
              <w:spacing w:after="0" w:line="240" w:lineRule="auto"/>
              <w:rPr>
                <w:rFonts w:cs="Calibri"/>
                <w:color w:val="000000"/>
              </w:rPr>
            </w:pPr>
            <w:r>
              <w:rPr>
                <w:rFonts w:cs="Calibri"/>
                <w:color w:val="000000"/>
              </w:rPr>
              <w:t>600</w:t>
            </w:r>
          </w:p>
        </w:tc>
        <w:tc>
          <w:tcPr>
            <w:tcW w:w="1579" w:type="dxa"/>
            <w:tcBorders>
              <w:top w:val="nil"/>
              <w:left w:val="nil"/>
              <w:bottom w:val="single" w:sz="4" w:space="0" w:color="auto"/>
              <w:right w:val="single" w:sz="4" w:space="0" w:color="auto"/>
            </w:tcBorders>
            <w:shd w:val="clear" w:color="auto" w:fill="auto"/>
            <w:noWrap/>
            <w:vAlign w:val="bottom"/>
          </w:tcPr>
          <w:p w14:paraId="638BB188"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0981B414"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02E5493" w14:textId="77777777" w:rsidR="00357BC2" w:rsidRPr="00E34880" w:rsidRDefault="00357BC2" w:rsidP="00357BC2">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4C6F5AC1" w14:textId="77777777" w:rsidR="00357BC2" w:rsidRPr="00E34880" w:rsidRDefault="00357BC2" w:rsidP="00357BC2">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66F96AC3"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1BF1325D"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FE612B2" w14:textId="77777777" w:rsidR="00357BC2" w:rsidRPr="00E34880" w:rsidRDefault="00357BC2" w:rsidP="00357BC2">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48680FAE" w14:textId="77777777" w:rsidR="00357BC2" w:rsidRPr="00E34880" w:rsidRDefault="00357BC2" w:rsidP="00357BC2">
            <w:pPr>
              <w:spacing w:after="0" w:line="240" w:lineRule="auto"/>
              <w:rPr>
                <w:rFonts w:cs="Calibri"/>
                <w:color w:val="000000"/>
              </w:rPr>
            </w:pPr>
            <w:r>
              <w:rPr>
                <w:rFonts w:cs="Calibri"/>
                <w:color w:val="000000"/>
              </w:rPr>
              <w:t>0.2hrs</w:t>
            </w:r>
          </w:p>
        </w:tc>
        <w:tc>
          <w:tcPr>
            <w:tcW w:w="1579" w:type="dxa"/>
            <w:tcBorders>
              <w:top w:val="nil"/>
              <w:left w:val="nil"/>
              <w:bottom w:val="single" w:sz="4" w:space="0" w:color="auto"/>
              <w:right w:val="single" w:sz="4" w:space="0" w:color="auto"/>
            </w:tcBorders>
            <w:shd w:val="clear" w:color="auto" w:fill="auto"/>
            <w:noWrap/>
            <w:vAlign w:val="bottom"/>
          </w:tcPr>
          <w:p w14:paraId="5B2E57F5"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60863324"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F25E3E4" w14:textId="77777777" w:rsidR="00357BC2" w:rsidRPr="00E34880" w:rsidRDefault="00357BC2" w:rsidP="00357BC2">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3BA46DF5" w14:textId="77777777" w:rsidR="00357BC2" w:rsidRPr="00E34880" w:rsidRDefault="00357BC2" w:rsidP="00357BC2">
            <w:pPr>
              <w:spacing w:after="0" w:line="240" w:lineRule="auto"/>
              <w:rPr>
                <w:rFonts w:cs="Calibri"/>
                <w:color w:val="000000"/>
              </w:rPr>
            </w:pPr>
            <w:r>
              <w:rPr>
                <w:rFonts w:cs="Calibri"/>
                <w:color w:val="000000"/>
              </w:rPr>
              <w:t>600</w:t>
            </w:r>
          </w:p>
        </w:tc>
        <w:tc>
          <w:tcPr>
            <w:tcW w:w="1579" w:type="dxa"/>
            <w:tcBorders>
              <w:top w:val="nil"/>
              <w:left w:val="nil"/>
              <w:bottom w:val="single" w:sz="4" w:space="0" w:color="auto"/>
              <w:right w:val="single" w:sz="4" w:space="0" w:color="auto"/>
            </w:tcBorders>
            <w:shd w:val="clear" w:color="auto" w:fill="auto"/>
            <w:noWrap/>
            <w:vAlign w:val="bottom"/>
          </w:tcPr>
          <w:p w14:paraId="2E1B1876"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2B5FAFAE"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764E8D6" w14:textId="77777777" w:rsidR="00357BC2" w:rsidRPr="00E34880" w:rsidRDefault="00357BC2" w:rsidP="00357BC2">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15451DC8" w14:textId="77777777" w:rsidR="00357BC2" w:rsidRPr="00E34880" w:rsidRDefault="00357BC2" w:rsidP="00357BC2">
            <w:pPr>
              <w:spacing w:after="0" w:line="240" w:lineRule="auto"/>
              <w:rPr>
                <w:rFonts w:cs="Calibri"/>
                <w:color w:val="000000"/>
              </w:rPr>
            </w:pPr>
            <w:r>
              <w:rPr>
                <w:rFonts w:cs="Calibri"/>
                <w:color w:val="000000"/>
              </w:rPr>
              <w:t>120</w:t>
            </w:r>
          </w:p>
        </w:tc>
        <w:tc>
          <w:tcPr>
            <w:tcW w:w="1579" w:type="dxa"/>
            <w:tcBorders>
              <w:top w:val="nil"/>
              <w:left w:val="nil"/>
              <w:bottom w:val="single" w:sz="4" w:space="0" w:color="auto"/>
              <w:right w:val="single" w:sz="4" w:space="0" w:color="auto"/>
            </w:tcBorders>
            <w:shd w:val="clear" w:color="auto" w:fill="auto"/>
            <w:noWrap/>
            <w:vAlign w:val="bottom"/>
          </w:tcPr>
          <w:p w14:paraId="17943270" w14:textId="77777777" w:rsidR="00357BC2" w:rsidRPr="00E34880" w:rsidRDefault="00357BC2" w:rsidP="00357BC2">
            <w:pPr>
              <w:spacing w:after="0" w:line="240" w:lineRule="auto"/>
              <w:rPr>
                <w:rFonts w:cs="Calibri"/>
                <w:color w:val="000000"/>
              </w:rPr>
            </w:pPr>
            <w:r>
              <w:rPr>
                <w:rFonts w:cs="Calibri"/>
                <w:color w:val="000000"/>
              </w:rPr>
              <w:t>0</w:t>
            </w:r>
          </w:p>
        </w:tc>
      </w:tr>
    </w:tbl>
    <w:p w14:paraId="10E37A82" w14:textId="77777777" w:rsidR="0095255B" w:rsidRDefault="0095255B" w:rsidP="0095255B">
      <w:pPr>
        <w:shd w:val="clear" w:color="auto" w:fill="FFFFFF"/>
        <w:spacing w:before="100" w:beforeAutospacing="1" w:after="225" w:line="240" w:lineRule="auto"/>
        <w:contextualSpacing/>
        <w:rPr>
          <w:rFonts w:ascii="Arial" w:eastAsia="Times New Roman" w:hAnsi="Arial" w:cs="Arial"/>
          <w:color w:val="555555"/>
          <w:sz w:val="24"/>
          <w:szCs w:val="24"/>
        </w:rPr>
      </w:pPr>
    </w:p>
    <w:p w14:paraId="01DF8DF8" w14:textId="77777777" w:rsidR="0095255B" w:rsidRDefault="0095255B" w:rsidP="0095255B">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IC 3 - Individuals</w:t>
      </w:r>
    </w:p>
    <w:tbl>
      <w:tblPr>
        <w:tblW w:w="4597" w:type="dxa"/>
        <w:tblLook w:val="04A0" w:firstRow="1" w:lastRow="0" w:firstColumn="1" w:lastColumn="0" w:noHBand="0" w:noVBand="1"/>
      </w:tblPr>
      <w:tblGrid>
        <w:gridCol w:w="1900"/>
        <w:gridCol w:w="1118"/>
        <w:gridCol w:w="1579"/>
      </w:tblGrid>
      <w:tr w:rsidR="009D0722" w:rsidRPr="00E34880" w14:paraId="7DBF0E21" w14:textId="77777777" w:rsidTr="009D0722">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56142B" w14:textId="77777777" w:rsidR="009D0722" w:rsidRPr="00E34880" w:rsidRDefault="009D0722" w:rsidP="00FA6798">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1950B4DB" w14:textId="77777777" w:rsidR="009D0722" w:rsidRPr="00E34880" w:rsidRDefault="009D0722" w:rsidP="00FA6798">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4836EA15" w14:textId="77777777" w:rsidR="009D0722" w:rsidRPr="00E34880" w:rsidRDefault="009D0722" w:rsidP="00FA6798">
            <w:pPr>
              <w:spacing w:after="0" w:line="240" w:lineRule="auto"/>
              <w:rPr>
                <w:rFonts w:cs="Calibri"/>
                <w:b/>
                <w:bCs/>
                <w:color w:val="000000"/>
              </w:rPr>
            </w:pPr>
            <w:r w:rsidRPr="00E34880">
              <w:rPr>
                <w:rFonts w:cs="Calibri"/>
                <w:b/>
                <w:bCs/>
                <w:color w:val="000000"/>
              </w:rPr>
              <w:t>Recordkeeping</w:t>
            </w:r>
          </w:p>
        </w:tc>
      </w:tr>
      <w:tr w:rsidR="00357BC2" w:rsidRPr="00E34880" w14:paraId="1C5060EC" w14:textId="77777777" w:rsidTr="009D0722">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58DF469" w14:textId="77777777" w:rsidR="00357BC2" w:rsidRPr="00E34880" w:rsidRDefault="00357BC2" w:rsidP="00357BC2">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51E633B0" w14:textId="77777777" w:rsidR="00357BC2" w:rsidRPr="00E34880" w:rsidRDefault="00357BC2" w:rsidP="00357BC2">
            <w:pPr>
              <w:spacing w:after="0" w:line="240" w:lineRule="auto"/>
              <w:rPr>
                <w:rFonts w:cs="Calibri"/>
                <w:color w:val="000000"/>
              </w:rPr>
            </w:pPr>
            <w:r>
              <w:rPr>
                <w:rFonts w:cs="Calibri"/>
                <w:color w:val="000000"/>
              </w:rPr>
              <w:t>400</w:t>
            </w:r>
          </w:p>
        </w:tc>
        <w:tc>
          <w:tcPr>
            <w:tcW w:w="1579" w:type="dxa"/>
            <w:tcBorders>
              <w:top w:val="nil"/>
              <w:left w:val="nil"/>
              <w:bottom w:val="single" w:sz="4" w:space="0" w:color="auto"/>
              <w:right w:val="single" w:sz="4" w:space="0" w:color="auto"/>
            </w:tcBorders>
            <w:shd w:val="clear" w:color="auto" w:fill="auto"/>
            <w:noWrap/>
            <w:vAlign w:val="bottom"/>
          </w:tcPr>
          <w:p w14:paraId="0759D516"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478864E1"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2A2EC7D" w14:textId="77777777" w:rsidR="00357BC2" w:rsidRPr="00E34880" w:rsidRDefault="00357BC2" w:rsidP="00357BC2">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4F575E70" w14:textId="77777777" w:rsidR="00357BC2" w:rsidRPr="00E34880" w:rsidRDefault="00357BC2" w:rsidP="00357BC2">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65CEBF29"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31E212AE"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692F589" w14:textId="77777777" w:rsidR="00357BC2" w:rsidRPr="00E34880" w:rsidRDefault="00357BC2" w:rsidP="00357BC2">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5EE274E4" w14:textId="77777777" w:rsidR="00357BC2" w:rsidRPr="00E34880" w:rsidRDefault="00357BC2" w:rsidP="00357BC2">
            <w:pPr>
              <w:spacing w:after="0" w:line="240" w:lineRule="auto"/>
              <w:rPr>
                <w:rFonts w:cs="Calibri"/>
                <w:color w:val="000000"/>
              </w:rPr>
            </w:pPr>
            <w:r>
              <w:rPr>
                <w:rFonts w:cs="Calibri"/>
                <w:color w:val="000000"/>
              </w:rPr>
              <w:t>0.2hrs</w:t>
            </w:r>
          </w:p>
        </w:tc>
        <w:tc>
          <w:tcPr>
            <w:tcW w:w="1579" w:type="dxa"/>
            <w:tcBorders>
              <w:top w:val="nil"/>
              <w:left w:val="nil"/>
              <w:bottom w:val="single" w:sz="4" w:space="0" w:color="auto"/>
              <w:right w:val="single" w:sz="4" w:space="0" w:color="auto"/>
            </w:tcBorders>
            <w:shd w:val="clear" w:color="auto" w:fill="auto"/>
            <w:noWrap/>
            <w:vAlign w:val="bottom"/>
          </w:tcPr>
          <w:p w14:paraId="30AB2CCA"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3AE08F2B"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8F37A1F" w14:textId="77777777" w:rsidR="00357BC2" w:rsidRPr="00E34880" w:rsidRDefault="00357BC2" w:rsidP="00357BC2">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3FA0DA18" w14:textId="77777777" w:rsidR="00357BC2" w:rsidRPr="00E34880" w:rsidRDefault="00357BC2" w:rsidP="00357BC2">
            <w:pPr>
              <w:spacing w:after="0" w:line="240" w:lineRule="auto"/>
              <w:rPr>
                <w:rFonts w:cs="Calibri"/>
                <w:color w:val="000000"/>
              </w:rPr>
            </w:pPr>
            <w:r>
              <w:rPr>
                <w:rFonts w:cs="Calibri"/>
                <w:color w:val="000000"/>
              </w:rPr>
              <w:t>400</w:t>
            </w:r>
          </w:p>
        </w:tc>
        <w:tc>
          <w:tcPr>
            <w:tcW w:w="1579" w:type="dxa"/>
            <w:tcBorders>
              <w:top w:val="nil"/>
              <w:left w:val="nil"/>
              <w:bottom w:val="single" w:sz="4" w:space="0" w:color="auto"/>
              <w:right w:val="single" w:sz="4" w:space="0" w:color="auto"/>
            </w:tcBorders>
            <w:shd w:val="clear" w:color="auto" w:fill="auto"/>
            <w:noWrap/>
            <w:vAlign w:val="bottom"/>
          </w:tcPr>
          <w:p w14:paraId="18DB949A"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18A8A653"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53E13970" w14:textId="77777777" w:rsidR="00357BC2" w:rsidRPr="00E34880" w:rsidRDefault="00357BC2" w:rsidP="00357BC2">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02656F35" w14:textId="77777777" w:rsidR="00357BC2" w:rsidRPr="00E34880" w:rsidRDefault="00357BC2" w:rsidP="00357BC2">
            <w:pPr>
              <w:spacing w:after="0" w:line="240" w:lineRule="auto"/>
              <w:rPr>
                <w:rFonts w:cs="Calibri"/>
                <w:color w:val="000000"/>
              </w:rPr>
            </w:pPr>
            <w:r>
              <w:rPr>
                <w:rFonts w:cs="Calibri"/>
                <w:color w:val="000000"/>
              </w:rPr>
              <w:t>80</w:t>
            </w:r>
          </w:p>
        </w:tc>
        <w:tc>
          <w:tcPr>
            <w:tcW w:w="1579" w:type="dxa"/>
            <w:tcBorders>
              <w:top w:val="nil"/>
              <w:left w:val="nil"/>
              <w:bottom w:val="single" w:sz="4" w:space="0" w:color="auto"/>
              <w:right w:val="single" w:sz="4" w:space="0" w:color="auto"/>
            </w:tcBorders>
            <w:shd w:val="clear" w:color="auto" w:fill="auto"/>
            <w:noWrap/>
            <w:vAlign w:val="bottom"/>
          </w:tcPr>
          <w:p w14:paraId="0867FEDA" w14:textId="77777777" w:rsidR="00357BC2" w:rsidRPr="00E34880" w:rsidRDefault="00357BC2" w:rsidP="00357BC2">
            <w:pPr>
              <w:spacing w:after="0" w:line="240" w:lineRule="auto"/>
              <w:rPr>
                <w:rFonts w:cs="Calibri"/>
                <w:color w:val="000000"/>
              </w:rPr>
            </w:pPr>
            <w:r>
              <w:rPr>
                <w:rFonts w:cs="Calibri"/>
                <w:color w:val="000000"/>
              </w:rPr>
              <w:t>0</w:t>
            </w:r>
          </w:p>
        </w:tc>
      </w:tr>
    </w:tbl>
    <w:p w14:paraId="1901804F" w14:textId="77777777" w:rsidR="0095255B" w:rsidRPr="00C64707" w:rsidRDefault="0095255B" w:rsidP="0095255B">
      <w:pPr>
        <w:shd w:val="clear" w:color="auto" w:fill="FFFFFF"/>
        <w:spacing w:before="100" w:beforeAutospacing="1" w:after="225" w:line="240" w:lineRule="auto"/>
        <w:rPr>
          <w:rFonts w:ascii="Arial" w:eastAsia="Times New Roman" w:hAnsi="Arial" w:cs="Arial"/>
          <w:color w:val="555555"/>
          <w:sz w:val="24"/>
          <w:szCs w:val="24"/>
        </w:rPr>
      </w:pPr>
    </w:p>
    <w:p w14:paraId="69A409D6" w14:textId="77777777" w:rsidR="0095255B" w:rsidRDefault="0095255B" w:rsidP="0095255B">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 xml:space="preserve"> IC 4 – State, Local and Municipalities </w:t>
      </w:r>
    </w:p>
    <w:tbl>
      <w:tblPr>
        <w:tblW w:w="4597" w:type="dxa"/>
        <w:tblLook w:val="04A0" w:firstRow="1" w:lastRow="0" w:firstColumn="1" w:lastColumn="0" w:noHBand="0" w:noVBand="1"/>
      </w:tblPr>
      <w:tblGrid>
        <w:gridCol w:w="1900"/>
        <w:gridCol w:w="1118"/>
        <w:gridCol w:w="1579"/>
      </w:tblGrid>
      <w:tr w:rsidR="009D0722" w:rsidRPr="00E34880" w14:paraId="1E81BA68" w14:textId="77777777" w:rsidTr="009D0722">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A429A" w14:textId="77777777" w:rsidR="009D0722" w:rsidRPr="00E34880" w:rsidRDefault="009D0722" w:rsidP="00FA6798">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6B79E6A8" w14:textId="77777777" w:rsidR="009D0722" w:rsidRPr="00E34880" w:rsidRDefault="009D0722" w:rsidP="00FA6798">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3E92BDA2" w14:textId="77777777" w:rsidR="009D0722" w:rsidRPr="00E34880" w:rsidRDefault="009D0722" w:rsidP="00FA6798">
            <w:pPr>
              <w:spacing w:after="0" w:line="240" w:lineRule="auto"/>
              <w:rPr>
                <w:rFonts w:cs="Calibri"/>
                <w:b/>
                <w:bCs/>
                <w:color w:val="000000"/>
              </w:rPr>
            </w:pPr>
            <w:r w:rsidRPr="00E34880">
              <w:rPr>
                <w:rFonts w:cs="Calibri"/>
                <w:b/>
                <w:bCs/>
                <w:color w:val="000000"/>
              </w:rPr>
              <w:t>Recordkeeping</w:t>
            </w:r>
          </w:p>
        </w:tc>
      </w:tr>
      <w:tr w:rsidR="00357BC2" w:rsidRPr="00E34880" w14:paraId="1EE76FCD" w14:textId="77777777" w:rsidTr="009D0722">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1D8F75A" w14:textId="77777777" w:rsidR="00357BC2" w:rsidRPr="00E34880" w:rsidRDefault="00357BC2" w:rsidP="00357BC2">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2B963427" w14:textId="77777777" w:rsidR="00357BC2" w:rsidRPr="00E34880" w:rsidRDefault="00357BC2" w:rsidP="00357BC2">
            <w:pPr>
              <w:spacing w:after="0" w:line="240" w:lineRule="auto"/>
              <w:rPr>
                <w:rFonts w:cs="Calibri"/>
                <w:color w:val="000000"/>
              </w:rPr>
            </w:pPr>
            <w:r>
              <w:rPr>
                <w:rFonts w:cs="Calibri"/>
                <w:color w:val="000000"/>
              </w:rPr>
              <w:t>300</w:t>
            </w:r>
          </w:p>
        </w:tc>
        <w:tc>
          <w:tcPr>
            <w:tcW w:w="1579" w:type="dxa"/>
            <w:tcBorders>
              <w:top w:val="nil"/>
              <w:left w:val="nil"/>
              <w:bottom w:val="single" w:sz="4" w:space="0" w:color="auto"/>
              <w:right w:val="single" w:sz="4" w:space="0" w:color="auto"/>
            </w:tcBorders>
            <w:shd w:val="clear" w:color="auto" w:fill="auto"/>
            <w:noWrap/>
            <w:vAlign w:val="bottom"/>
          </w:tcPr>
          <w:p w14:paraId="3C5B8AC5"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0BC018E5"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FB8C2D9" w14:textId="77777777" w:rsidR="00357BC2" w:rsidRPr="00E34880" w:rsidRDefault="00357BC2" w:rsidP="00357BC2">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5E17BB39" w14:textId="77777777" w:rsidR="00357BC2" w:rsidRPr="00E34880" w:rsidRDefault="00357BC2" w:rsidP="00357BC2">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4F7662FB"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6AB3F457"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387B745" w14:textId="77777777" w:rsidR="00357BC2" w:rsidRPr="00E34880" w:rsidRDefault="00357BC2" w:rsidP="00357BC2">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688EC71A" w14:textId="77777777" w:rsidR="00357BC2" w:rsidRPr="00E34880" w:rsidRDefault="00357BC2" w:rsidP="00357BC2">
            <w:pPr>
              <w:spacing w:after="0" w:line="240" w:lineRule="auto"/>
              <w:rPr>
                <w:rFonts w:cs="Calibri"/>
                <w:color w:val="000000"/>
              </w:rPr>
            </w:pPr>
            <w:r>
              <w:rPr>
                <w:rFonts w:cs="Calibri"/>
                <w:color w:val="000000"/>
              </w:rPr>
              <w:t>0.2hrs</w:t>
            </w:r>
          </w:p>
        </w:tc>
        <w:tc>
          <w:tcPr>
            <w:tcW w:w="1579" w:type="dxa"/>
            <w:tcBorders>
              <w:top w:val="nil"/>
              <w:left w:val="nil"/>
              <w:bottom w:val="single" w:sz="4" w:space="0" w:color="auto"/>
              <w:right w:val="single" w:sz="4" w:space="0" w:color="auto"/>
            </w:tcBorders>
            <w:shd w:val="clear" w:color="auto" w:fill="auto"/>
            <w:noWrap/>
            <w:vAlign w:val="bottom"/>
          </w:tcPr>
          <w:p w14:paraId="48792602"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0362CA0C"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4B190BD" w14:textId="77777777" w:rsidR="00357BC2" w:rsidRPr="00E34880" w:rsidRDefault="00357BC2" w:rsidP="00357BC2">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7B0A620C" w14:textId="77777777" w:rsidR="00357BC2" w:rsidRPr="00E34880" w:rsidRDefault="00357BC2" w:rsidP="00357BC2">
            <w:pPr>
              <w:spacing w:after="0" w:line="240" w:lineRule="auto"/>
              <w:rPr>
                <w:rFonts w:cs="Calibri"/>
                <w:color w:val="000000"/>
              </w:rPr>
            </w:pPr>
            <w:r>
              <w:rPr>
                <w:rFonts w:cs="Calibri"/>
                <w:color w:val="000000"/>
              </w:rPr>
              <w:t>300</w:t>
            </w:r>
          </w:p>
        </w:tc>
        <w:tc>
          <w:tcPr>
            <w:tcW w:w="1579" w:type="dxa"/>
            <w:tcBorders>
              <w:top w:val="nil"/>
              <w:left w:val="nil"/>
              <w:bottom w:val="single" w:sz="4" w:space="0" w:color="auto"/>
              <w:right w:val="single" w:sz="4" w:space="0" w:color="auto"/>
            </w:tcBorders>
            <w:shd w:val="clear" w:color="auto" w:fill="auto"/>
            <w:noWrap/>
            <w:vAlign w:val="bottom"/>
          </w:tcPr>
          <w:p w14:paraId="586059D3"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3287F177"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7FEDF264" w14:textId="77777777" w:rsidR="00357BC2" w:rsidRPr="00E34880" w:rsidRDefault="00357BC2" w:rsidP="00357BC2">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6678E3D5" w14:textId="77777777" w:rsidR="00357BC2" w:rsidRPr="00E34880" w:rsidRDefault="00357BC2" w:rsidP="00357BC2">
            <w:pPr>
              <w:spacing w:after="0" w:line="240" w:lineRule="auto"/>
              <w:rPr>
                <w:rFonts w:cs="Calibri"/>
                <w:color w:val="000000"/>
              </w:rPr>
            </w:pPr>
            <w:r>
              <w:rPr>
                <w:rFonts w:cs="Calibri"/>
                <w:color w:val="000000"/>
              </w:rPr>
              <w:t>60</w:t>
            </w:r>
          </w:p>
        </w:tc>
        <w:tc>
          <w:tcPr>
            <w:tcW w:w="1579" w:type="dxa"/>
            <w:tcBorders>
              <w:top w:val="nil"/>
              <w:left w:val="nil"/>
              <w:bottom w:val="single" w:sz="4" w:space="0" w:color="auto"/>
              <w:right w:val="single" w:sz="4" w:space="0" w:color="auto"/>
            </w:tcBorders>
            <w:shd w:val="clear" w:color="auto" w:fill="auto"/>
            <w:noWrap/>
            <w:vAlign w:val="bottom"/>
          </w:tcPr>
          <w:p w14:paraId="46C945CF" w14:textId="77777777" w:rsidR="00357BC2" w:rsidRPr="00E34880" w:rsidRDefault="00357BC2" w:rsidP="00357BC2">
            <w:pPr>
              <w:spacing w:after="0" w:line="240" w:lineRule="auto"/>
              <w:rPr>
                <w:rFonts w:cs="Calibri"/>
                <w:color w:val="000000"/>
              </w:rPr>
            </w:pPr>
            <w:r>
              <w:rPr>
                <w:rFonts w:cs="Calibri"/>
                <w:color w:val="000000"/>
              </w:rPr>
              <w:t>0</w:t>
            </w:r>
          </w:p>
        </w:tc>
      </w:tr>
    </w:tbl>
    <w:p w14:paraId="0F2598C9" w14:textId="30F2A206" w:rsidR="007812FB" w:rsidRPr="00C64707" w:rsidRDefault="007812FB" w:rsidP="0095255B">
      <w:pPr>
        <w:shd w:val="clear" w:color="auto" w:fill="FFFFFF"/>
        <w:spacing w:before="100" w:beforeAutospacing="1" w:after="225" w:line="240" w:lineRule="auto"/>
        <w:rPr>
          <w:rFonts w:ascii="Arial" w:eastAsia="Times New Roman" w:hAnsi="Arial" w:cs="Arial"/>
          <w:color w:val="555555"/>
          <w:sz w:val="24"/>
          <w:szCs w:val="24"/>
        </w:rPr>
      </w:pPr>
    </w:p>
    <w:p w14:paraId="1544AFA7" w14:textId="77777777" w:rsidR="0095255B" w:rsidRDefault="0095255B" w:rsidP="0095255B">
      <w:pPr>
        <w:shd w:val="clear" w:color="auto" w:fill="FFFFFF"/>
        <w:spacing w:before="100" w:beforeAutospacing="1" w:after="225" w:line="240" w:lineRule="auto"/>
        <w:contextualSpacing/>
        <w:rPr>
          <w:rFonts w:ascii="Arial" w:eastAsia="Times New Roman" w:hAnsi="Arial" w:cs="Arial"/>
          <w:color w:val="555555"/>
          <w:sz w:val="24"/>
          <w:szCs w:val="24"/>
        </w:rPr>
      </w:pPr>
    </w:p>
    <w:p w14:paraId="071348E0" w14:textId="77777777" w:rsidR="0095255B" w:rsidRDefault="0095255B" w:rsidP="0095255B">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Total for WebFCR ICs</w:t>
      </w:r>
    </w:p>
    <w:tbl>
      <w:tblPr>
        <w:tblW w:w="4597" w:type="dxa"/>
        <w:tblLook w:val="04A0" w:firstRow="1" w:lastRow="0" w:firstColumn="1" w:lastColumn="0" w:noHBand="0" w:noVBand="1"/>
      </w:tblPr>
      <w:tblGrid>
        <w:gridCol w:w="1900"/>
        <w:gridCol w:w="1118"/>
        <w:gridCol w:w="1579"/>
      </w:tblGrid>
      <w:tr w:rsidR="009D0722" w:rsidRPr="00E34880" w14:paraId="607038DF" w14:textId="77777777" w:rsidTr="009D0722">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7D7D" w14:textId="77777777" w:rsidR="009D0722" w:rsidRPr="00E34880" w:rsidRDefault="009D0722" w:rsidP="00FA6798">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5DDDDC28" w14:textId="77777777" w:rsidR="009D0722" w:rsidRPr="00E34880" w:rsidRDefault="009D0722" w:rsidP="00FA6798">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2353C9C4" w14:textId="77777777" w:rsidR="009D0722" w:rsidRPr="00E34880" w:rsidRDefault="009D0722" w:rsidP="00FA6798">
            <w:pPr>
              <w:spacing w:after="0" w:line="240" w:lineRule="auto"/>
              <w:rPr>
                <w:rFonts w:cs="Calibri"/>
                <w:b/>
                <w:bCs/>
                <w:color w:val="000000"/>
              </w:rPr>
            </w:pPr>
            <w:r w:rsidRPr="00E34880">
              <w:rPr>
                <w:rFonts w:cs="Calibri"/>
                <w:b/>
                <w:bCs/>
                <w:color w:val="000000"/>
              </w:rPr>
              <w:t>Recordkeeping</w:t>
            </w:r>
          </w:p>
        </w:tc>
      </w:tr>
      <w:tr w:rsidR="00357BC2" w:rsidRPr="00E34880" w14:paraId="0A735639" w14:textId="77777777" w:rsidTr="009D0722">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C42A697" w14:textId="77777777" w:rsidR="00357BC2" w:rsidRPr="00E34880" w:rsidRDefault="00357BC2" w:rsidP="00357BC2">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14:paraId="33FDD80E" w14:textId="77777777" w:rsidR="00357BC2" w:rsidRPr="00E34880" w:rsidRDefault="00357BC2" w:rsidP="00357BC2">
            <w:pPr>
              <w:spacing w:after="0" w:line="240" w:lineRule="auto"/>
              <w:rPr>
                <w:rFonts w:cs="Calibri"/>
                <w:color w:val="000000"/>
              </w:rPr>
            </w:pPr>
            <w:r>
              <w:rPr>
                <w:rFonts w:cs="Calibri"/>
                <w:color w:val="000000"/>
              </w:rPr>
              <w:t>2400</w:t>
            </w:r>
          </w:p>
        </w:tc>
        <w:tc>
          <w:tcPr>
            <w:tcW w:w="1579" w:type="dxa"/>
            <w:tcBorders>
              <w:top w:val="nil"/>
              <w:left w:val="nil"/>
              <w:bottom w:val="single" w:sz="4" w:space="0" w:color="auto"/>
              <w:right w:val="single" w:sz="4" w:space="0" w:color="auto"/>
            </w:tcBorders>
            <w:shd w:val="clear" w:color="auto" w:fill="auto"/>
            <w:noWrap/>
            <w:vAlign w:val="bottom"/>
          </w:tcPr>
          <w:p w14:paraId="2C566BD3"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1EC4214B"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5BF70A6" w14:textId="77777777" w:rsidR="00357BC2" w:rsidRPr="00E34880" w:rsidRDefault="00357BC2" w:rsidP="00357BC2">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14:paraId="1C513CAA" w14:textId="77777777" w:rsidR="00357BC2" w:rsidRPr="00E34880" w:rsidRDefault="00357BC2" w:rsidP="00357BC2">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14:paraId="73910D9C"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67A27882"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3E0B64" w14:textId="77777777" w:rsidR="00357BC2" w:rsidRPr="00E34880" w:rsidRDefault="00357BC2" w:rsidP="00357BC2">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14:paraId="1847F0AB" w14:textId="77777777" w:rsidR="00357BC2" w:rsidRPr="00E34880" w:rsidRDefault="00357BC2" w:rsidP="00357BC2">
            <w:pPr>
              <w:spacing w:after="0" w:line="240" w:lineRule="auto"/>
              <w:rPr>
                <w:rFonts w:cs="Calibri"/>
                <w:color w:val="000000"/>
              </w:rPr>
            </w:pPr>
            <w:r>
              <w:rPr>
                <w:rFonts w:cs="Calibri"/>
                <w:color w:val="000000"/>
              </w:rPr>
              <w:t>0.2hrs</w:t>
            </w:r>
          </w:p>
        </w:tc>
        <w:tc>
          <w:tcPr>
            <w:tcW w:w="1579" w:type="dxa"/>
            <w:tcBorders>
              <w:top w:val="nil"/>
              <w:left w:val="nil"/>
              <w:bottom w:val="single" w:sz="4" w:space="0" w:color="auto"/>
              <w:right w:val="single" w:sz="4" w:space="0" w:color="auto"/>
            </w:tcBorders>
            <w:shd w:val="clear" w:color="auto" w:fill="auto"/>
            <w:noWrap/>
            <w:vAlign w:val="bottom"/>
          </w:tcPr>
          <w:p w14:paraId="1AE894D5"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5E204221"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EF5F7DB" w14:textId="77777777" w:rsidR="00357BC2" w:rsidRPr="00E34880" w:rsidRDefault="00357BC2" w:rsidP="00357BC2">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14:paraId="1D32643A" w14:textId="77777777" w:rsidR="00357BC2" w:rsidRPr="00E34880" w:rsidRDefault="00357BC2" w:rsidP="00357BC2">
            <w:pPr>
              <w:spacing w:after="0" w:line="240" w:lineRule="auto"/>
              <w:rPr>
                <w:rFonts w:cs="Calibri"/>
                <w:color w:val="000000"/>
              </w:rPr>
            </w:pPr>
            <w:r>
              <w:rPr>
                <w:rFonts w:cs="Calibri"/>
                <w:color w:val="000000"/>
              </w:rPr>
              <w:t>2400</w:t>
            </w:r>
          </w:p>
        </w:tc>
        <w:tc>
          <w:tcPr>
            <w:tcW w:w="1579" w:type="dxa"/>
            <w:tcBorders>
              <w:top w:val="nil"/>
              <w:left w:val="nil"/>
              <w:bottom w:val="single" w:sz="4" w:space="0" w:color="auto"/>
              <w:right w:val="single" w:sz="4" w:space="0" w:color="auto"/>
            </w:tcBorders>
            <w:shd w:val="clear" w:color="auto" w:fill="auto"/>
            <w:noWrap/>
            <w:vAlign w:val="bottom"/>
          </w:tcPr>
          <w:p w14:paraId="313BCC7A" w14:textId="77777777" w:rsidR="00357BC2" w:rsidRPr="00E34880" w:rsidRDefault="00357BC2" w:rsidP="00357BC2">
            <w:pPr>
              <w:spacing w:after="0" w:line="240" w:lineRule="auto"/>
              <w:rPr>
                <w:rFonts w:cs="Calibri"/>
                <w:color w:val="000000"/>
              </w:rPr>
            </w:pPr>
            <w:r>
              <w:rPr>
                <w:rFonts w:cs="Calibri"/>
                <w:color w:val="000000"/>
              </w:rPr>
              <w:t>0</w:t>
            </w:r>
          </w:p>
        </w:tc>
      </w:tr>
      <w:tr w:rsidR="00357BC2" w:rsidRPr="00E34880" w14:paraId="029623BB" w14:textId="77777777" w:rsidTr="009D072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1695D5B7" w14:textId="77777777" w:rsidR="00357BC2" w:rsidRPr="00E34880" w:rsidRDefault="00357BC2" w:rsidP="00357BC2">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0D348C46" w14:textId="77777777" w:rsidR="00357BC2" w:rsidRPr="00E34880" w:rsidRDefault="00357BC2" w:rsidP="00357BC2">
            <w:pPr>
              <w:spacing w:after="0" w:line="240" w:lineRule="auto"/>
              <w:rPr>
                <w:rFonts w:cs="Calibri"/>
                <w:color w:val="000000"/>
              </w:rPr>
            </w:pPr>
            <w:r>
              <w:rPr>
                <w:rFonts w:cs="Calibri"/>
                <w:color w:val="000000"/>
              </w:rPr>
              <w:t>480</w:t>
            </w:r>
          </w:p>
        </w:tc>
        <w:tc>
          <w:tcPr>
            <w:tcW w:w="1579" w:type="dxa"/>
            <w:tcBorders>
              <w:top w:val="nil"/>
              <w:left w:val="nil"/>
              <w:bottom w:val="single" w:sz="4" w:space="0" w:color="auto"/>
              <w:right w:val="single" w:sz="4" w:space="0" w:color="auto"/>
            </w:tcBorders>
            <w:shd w:val="clear" w:color="auto" w:fill="auto"/>
            <w:noWrap/>
            <w:vAlign w:val="bottom"/>
          </w:tcPr>
          <w:p w14:paraId="33F61526" w14:textId="77777777" w:rsidR="00357BC2" w:rsidRPr="00E34880" w:rsidRDefault="00357BC2" w:rsidP="00357BC2">
            <w:pPr>
              <w:spacing w:after="0" w:line="240" w:lineRule="auto"/>
              <w:rPr>
                <w:rFonts w:cs="Calibri"/>
                <w:color w:val="000000"/>
              </w:rPr>
            </w:pPr>
            <w:r>
              <w:rPr>
                <w:rFonts w:cs="Calibri"/>
                <w:color w:val="000000"/>
              </w:rPr>
              <w:t>0</w:t>
            </w:r>
          </w:p>
        </w:tc>
      </w:tr>
    </w:tbl>
    <w:p w14:paraId="02133271" w14:textId="5F78964C" w:rsidR="0095255B" w:rsidRDefault="0095255B" w:rsidP="00C64707">
      <w:pPr>
        <w:shd w:val="clear" w:color="auto" w:fill="FFFFFF"/>
        <w:spacing w:after="0" w:line="240" w:lineRule="auto"/>
        <w:rPr>
          <w:rFonts w:ascii="Arial" w:eastAsia="Times New Roman" w:hAnsi="Arial" w:cs="Arial"/>
          <w:color w:val="555555"/>
          <w:sz w:val="24"/>
          <w:szCs w:val="24"/>
        </w:rPr>
      </w:pPr>
    </w:p>
    <w:p w14:paraId="3582D1B3" w14:textId="77777777" w:rsidR="0095255B" w:rsidRPr="009D48E3" w:rsidRDefault="0095255B" w:rsidP="0095255B">
      <w:pPr>
        <w:pStyle w:val="BlockText"/>
        <w:rPr>
          <w:b/>
        </w:rPr>
      </w:pPr>
      <w:r w:rsidRPr="009D48E3">
        <w:rPr>
          <w:b/>
        </w:rPr>
        <w:t>The</w:t>
      </w:r>
      <w:r>
        <w:rPr>
          <w:b/>
        </w:rPr>
        <w:t xml:space="preserve"> total</w:t>
      </w:r>
      <w:r w:rsidRPr="009D48E3">
        <w:rPr>
          <w:b/>
        </w:rPr>
        <w:t xml:space="preserve"> estimated hour burden</w:t>
      </w:r>
      <w:r>
        <w:rPr>
          <w:b/>
        </w:rPr>
        <w:t xml:space="preserve"> for WebFCR as outlined in the ICs above</w:t>
      </w:r>
      <w:r w:rsidRPr="009D48E3">
        <w:rPr>
          <w:b/>
        </w:rPr>
        <w:t xml:space="preserve"> (determined through c</w:t>
      </w:r>
      <w:r>
        <w:rPr>
          <w:b/>
        </w:rPr>
        <w:t>onsultation with stakeholders</w:t>
      </w:r>
      <w:r w:rsidRPr="009D48E3">
        <w:rPr>
          <w:b/>
        </w:rPr>
        <w:t xml:space="preserve">) is: </w:t>
      </w:r>
    </w:p>
    <w:p w14:paraId="76B37FCA" w14:textId="77777777" w:rsidR="0095255B" w:rsidRPr="009D48E3" w:rsidRDefault="0095255B" w:rsidP="0095255B">
      <w:pPr>
        <w:pStyle w:val="BlockText"/>
      </w:pPr>
    </w:p>
    <w:p w14:paraId="5F3A6F54" w14:textId="77777777" w:rsidR="0095255B" w:rsidRPr="009D48E3" w:rsidRDefault="0095255B" w:rsidP="0095255B">
      <w:pPr>
        <w:pStyle w:val="BlockText"/>
      </w:pPr>
      <w:r>
        <w:t xml:space="preserve">Fiscal 2020 FAA WebFCR </w:t>
      </w:r>
      <w:r>
        <w:tab/>
      </w:r>
      <w:r>
        <w:tab/>
        <w:t>.20</w:t>
      </w:r>
      <w:r w:rsidRPr="009D48E3">
        <w:t xml:space="preserve"> hours x   </w:t>
      </w:r>
      <w:r>
        <w:t>2,4</w:t>
      </w:r>
      <w:r w:rsidRPr="009D48E3">
        <w:t>00</w:t>
      </w:r>
      <w:r w:rsidRPr="009D48E3">
        <w:tab/>
      </w:r>
      <w:r>
        <w:t>= 48</w:t>
      </w:r>
      <w:r w:rsidRPr="009D48E3">
        <w:t>0 hr. (estimated)</w:t>
      </w:r>
    </w:p>
    <w:p w14:paraId="5FCDC899" w14:textId="77777777" w:rsidR="0095255B" w:rsidRDefault="0095255B" w:rsidP="0095255B">
      <w:pPr>
        <w:pStyle w:val="BlockText"/>
        <w:rPr>
          <w:b/>
        </w:rPr>
      </w:pPr>
      <w:r>
        <w:rPr>
          <w:b/>
        </w:rPr>
        <w:t>Total WebFCR Request 2019</w:t>
      </w:r>
      <w:r>
        <w:rPr>
          <w:b/>
        </w:rPr>
        <w:tab/>
      </w:r>
      <w:r>
        <w:rPr>
          <w:b/>
        </w:rPr>
        <w:tab/>
      </w:r>
      <w:r>
        <w:rPr>
          <w:b/>
        </w:rPr>
        <w:tab/>
      </w:r>
      <w:r>
        <w:rPr>
          <w:b/>
        </w:rPr>
        <w:tab/>
        <w:t xml:space="preserve">   480</w:t>
      </w:r>
      <w:r w:rsidRPr="009D48E3">
        <w:rPr>
          <w:b/>
        </w:rPr>
        <w:t xml:space="preserve"> hr. (estimated)</w:t>
      </w:r>
    </w:p>
    <w:p w14:paraId="749582AD" w14:textId="77777777" w:rsidR="0095255B" w:rsidRDefault="0095255B" w:rsidP="0095255B">
      <w:pPr>
        <w:pStyle w:val="BlockText"/>
        <w:rPr>
          <w:b/>
        </w:rPr>
      </w:pPr>
    </w:p>
    <w:p w14:paraId="0D21040D" w14:textId="46A51687" w:rsidR="00FD29F0" w:rsidRDefault="00FD29F0" w:rsidP="00C64707">
      <w:pPr>
        <w:shd w:val="clear" w:color="auto" w:fill="FFFFFF"/>
        <w:spacing w:after="0" w:line="240" w:lineRule="auto"/>
        <w:rPr>
          <w:rFonts w:ascii="Arial" w:eastAsia="Times New Roman" w:hAnsi="Arial" w:cs="Arial"/>
          <w:color w:val="555555"/>
          <w:sz w:val="24"/>
          <w:szCs w:val="24"/>
        </w:rPr>
      </w:pPr>
    </w:p>
    <w:p w14:paraId="465E0E89" w14:textId="7511F2F2" w:rsidR="00FD29F0" w:rsidRDefault="00FD29F0"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respondents are either two generic arenas: Government oriented, which includes Federal, state and municipal or Private which includes corporate and individuals.</w:t>
      </w:r>
    </w:p>
    <w:p w14:paraId="6265F664" w14:textId="4CA21371" w:rsidR="00FD29F0" w:rsidRDefault="00FD29F0" w:rsidP="00C64707">
      <w:pPr>
        <w:shd w:val="clear" w:color="auto" w:fill="FFFFFF"/>
        <w:spacing w:after="0" w:line="240" w:lineRule="auto"/>
        <w:rPr>
          <w:rFonts w:ascii="Arial" w:eastAsia="Times New Roman" w:hAnsi="Arial" w:cs="Arial"/>
          <w:color w:val="555555"/>
          <w:sz w:val="24"/>
          <w:szCs w:val="24"/>
        </w:rPr>
      </w:pPr>
    </w:p>
    <w:p w14:paraId="00D0B4B0" w14:textId="3F169E52" w:rsidR="00FD29F0" w:rsidRDefault="00FD29F0" w:rsidP="00C64707">
      <w:pPr>
        <w:shd w:val="clear" w:color="auto" w:fill="FFFFFF"/>
        <w:spacing w:after="0" w:line="240" w:lineRule="auto"/>
        <w:rPr>
          <w:rFonts w:ascii="Arial" w:hAnsi="Arial" w:cs="Arial"/>
        </w:rPr>
      </w:pPr>
      <w:r>
        <w:rPr>
          <w:rFonts w:ascii="Arial" w:eastAsia="Times New Roman" w:hAnsi="Arial" w:cs="Arial"/>
          <w:color w:val="555555"/>
          <w:sz w:val="24"/>
          <w:szCs w:val="24"/>
        </w:rPr>
        <w:t xml:space="preserve">   The government respondents</w:t>
      </w:r>
      <w:r w:rsidR="009C4834">
        <w:rPr>
          <w:rFonts w:ascii="Arial" w:eastAsia="Times New Roman" w:hAnsi="Arial" w:cs="Arial"/>
          <w:color w:val="555555"/>
          <w:sz w:val="24"/>
          <w:szCs w:val="24"/>
        </w:rPr>
        <w:t>:</w:t>
      </w:r>
      <w:r>
        <w:rPr>
          <w:rFonts w:ascii="Arial" w:eastAsia="Times New Roman" w:hAnsi="Arial" w:cs="Arial"/>
          <w:color w:val="555555"/>
          <w:sz w:val="24"/>
          <w:szCs w:val="24"/>
        </w:rPr>
        <w:t xml:space="preserve"> </w:t>
      </w:r>
      <w:r w:rsidR="00CB66C8">
        <w:rPr>
          <w:rFonts w:ascii="Arial" w:eastAsia="Times New Roman" w:hAnsi="Arial" w:cs="Arial"/>
          <w:color w:val="555555"/>
          <w:sz w:val="24"/>
          <w:szCs w:val="24"/>
        </w:rPr>
        <w:t xml:space="preserve">Typically </w:t>
      </w:r>
      <w:r w:rsidR="00CB66C8" w:rsidRPr="00CB66C8">
        <w:rPr>
          <w:rFonts w:ascii="Arial" w:eastAsia="Times New Roman" w:hAnsi="Arial" w:cs="Arial"/>
          <w:color w:val="555555"/>
          <w:sz w:val="24"/>
          <w:szCs w:val="24"/>
        </w:rPr>
        <w:t>respondents</w:t>
      </w:r>
      <w:r w:rsidR="00CB66C8">
        <w:rPr>
          <w:rFonts w:ascii="Arial" w:eastAsia="Times New Roman" w:hAnsi="Arial" w:cs="Arial"/>
          <w:color w:val="555555"/>
          <w:sz w:val="24"/>
          <w:szCs w:val="24"/>
        </w:rPr>
        <w:t xml:space="preserve"> most familiar with</w:t>
      </w:r>
      <w:r w:rsidR="00CB66C8" w:rsidRPr="00CB66C8">
        <w:t xml:space="preserve"> </w:t>
      </w:r>
      <w:r w:rsidR="00CB66C8" w:rsidRPr="00CB66C8">
        <w:rPr>
          <w:rFonts w:ascii="Arial" w:eastAsia="Times New Roman" w:hAnsi="Arial" w:cs="Arial"/>
          <w:color w:val="555555"/>
          <w:sz w:val="24"/>
          <w:szCs w:val="24"/>
        </w:rPr>
        <w:t>aviation facility systems</w:t>
      </w:r>
      <w:r w:rsidR="00CB66C8">
        <w:rPr>
          <w:rFonts w:ascii="Arial" w:eastAsia="Times New Roman" w:hAnsi="Arial" w:cs="Arial"/>
          <w:color w:val="555555"/>
          <w:sz w:val="24"/>
          <w:szCs w:val="24"/>
        </w:rPr>
        <w:t xml:space="preserve"> would be equivalent to</w:t>
      </w:r>
      <w:r w:rsidR="009C4834" w:rsidRPr="00783A12">
        <w:rPr>
          <w:rFonts w:ascii="Arial" w:eastAsia="Times New Roman" w:hAnsi="Arial" w:cs="Arial"/>
          <w:color w:val="555555"/>
          <w:sz w:val="24"/>
          <w:szCs w:val="24"/>
        </w:rPr>
        <w:t xml:space="preserve"> the GS-13 lev</w:t>
      </w:r>
      <w:r w:rsidR="00CB66C8">
        <w:rPr>
          <w:rFonts w:ascii="Arial" w:eastAsia="Times New Roman" w:hAnsi="Arial" w:cs="Arial"/>
          <w:color w:val="555555"/>
          <w:sz w:val="24"/>
          <w:szCs w:val="24"/>
        </w:rPr>
        <w:t>el technical personnel</w:t>
      </w:r>
      <w:r w:rsidR="009C4834" w:rsidRPr="00783A12">
        <w:rPr>
          <w:rFonts w:ascii="Arial" w:eastAsia="Times New Roman" w:hAnsi="Arial" w:cs="Arial"/>
          <w:color w:val="555555"/>
          <w:sz w:val="24"/>
          <w:szCs w:val="24"/>
        </w:rPr>
        <w:t>.  Generally, t</w:t>
      </w:r>
      <w:r w:rsidR="00CB66C8">
        <w:rPr>
          <w:rFonts w:ascii="Arial" w:eastAsia="Times New Roman" w:hAnsi="Arial" w:cs="Arial"/>
          <w:color w:val="555555"/>
          <w:sz w:val="24"/>
          <w:szCs w:val="24"/>
        </w:rPr>
        <w:t>hese technical support staff can be averaged at</w:t>
      </w:r>
      <w:r w:rsidR="009C4834" w:rsidRPr="009D0408">
        <w:rPr>
          <w:rFonts w:ascii="Arial" w:eastAsia="Times New Roman" w:hAnsi="Arial" w:cs="Arial"/>
          <w:color w:val="555555"/>
          <w:sz w:val="24"/>
          <w:szCs w:val="24"/>
        </w:rPr>
        <w:t xml:space="preserve"> GS-13 (General GS-13, Step 5 hourly wage, Kansas City Locality</w:t>
      </w:r>
      <w:r w:rsidR="00F159AB" w:rsidRPr="009D0408">
        <w:rPr>
          <w:rFonts w:ascii="Arial" w:eastAsia="Times New Roman" w:hAnsi="Arial" w:cs="Arial"/>
          <w:color w:val="555555"/>
          <w:sz w:val="24"/>
          <w:szCs w:val="24"/>
        </w:rPr>
        <w:t xml:space="preserve"> Pay) for an average wage of $48.5</w:t>
      </w:r>
      <w:r w:rsidR="009C4834" w:rsidRPr="009D0408">
        <w:rPr>
          <w:rFonts w:ascii="Arial" w:eastAsia="Times New Roman" w:hAnsi="Arial" w:cs="Arial"/>
          <w:color w:val="555555"/>
          <w:sz w:val="24"/>
          <w:szCs w:val="24"/>
        </w:rPr>
        <w:t>6 per hour</w:t>
      </w:r>
      <w:r w:rsidR="001814C5">
        <w:rPr>
          <w:rStyle w:val="FootnoteReference"/>
          <w:rFonts w:ascii="Arial" w:eastAsia="Times New Roman" w:hAnsi="Arial" w:cs="Arial"/>
          <w:color w:val="555555"/>
          <w:sz w:val="24"/>
          <w:szCs w:val="24"/>
        </w:rPr>
        <w:footnoteReference w:id="1"/>
      </w:r>
      <w:r w:rsidR="009C4834" w:rsidRPr="009D0408">
        <w:rPr>
          <w:rFonts w:ascii="Arial" w:eastAsia="Times New Roman" w:hAnsi="Arial" w:cs="Arial"/>
          <w:color w:val="555555"/>
          <w:sz w:val="24"/>
          <w:szCs w:val="24"/>
        </w:rPr>
        <w:t xml:space="preserve"> with 31.4%</w:t>
      </w:r>
      <w:r w:rsidR="001814C5">
        <w:rPr>
          <w:rStyle w:val="FootnoteReference"/>
          <w:rFonts w:ascii="Arial" w:eastAsia="Times New Roman" w:hAnsi="Arial" w:cs="Arial"/>
          <w:color w:val="555555"/>
          <w:sz w:val="24"/>
          <w:szCs w:val="24"/>
        </w:rPr>
        <w:footnoteReference w:id="2"/>
      </w:r>
      <w:r w:rsidR="009C4834" w:rsidRPr="009D0408">
        <w:rPr>
          <w:rFonts w:ascii="Arial" w:eastAsia="Times New Roman" w:hAnsi="Arial" w:cs="Arial"/>
          <w:color w:val="555555"/>
          <w:sz w:val="24"/>
          <w:szCs w:val="24"/>
        </w:rPr>
        <w:t xml:space="preserve"> fringe benefits cost for a total of </w:t>
      </w:r>
      <w:r w:rsidR="00F159AB" w:rsidRPr="009D0408">
        <w:rPr>
          <w:rFonts w:ascii="Arial" w:eastAsia="Times New Roman" w:hAnsi="Arial" w:cs="Arial"/>
          <w:color w:val="555555"/>
          <w:sz w:val="24"/>
          <w:szCs w:val="24"/>
        </w:rPr>
        <w:t>$63.81</w:t>
      </w:r>
      <w:r w:rsidR="009C4834" w:rsidRPr="009D0408">
        <w:rPr>
          <w:rFonts w:ascii="Arial" w:eastAsia="Times New Roman" w:hAnsi="Arial" w:cs="Arial"/>
          <w:color w:val="555555"/>
          <w:sz w:val="24"/>
          <w:szCs w:val="24"/>
        </w:rPr>
        <w:t xml:space="preserve"> per hour.  Kansas City was used as the locality pay as it is the mid-point in terms of cost for locality pay.  With</w:t>
      </w:r>
      <w:r w:rsidR="009D0408">
        <w:rPr>
          <w:rFonts w:ascii="Arial" w:eastAsia="Times New Roman" w:hAnsi="Arial" w:cs="Arial"/>
          <w:color w:val="555555"/>
          <w:sz w:val="24"/>
          <w:szCs w:val="24"/>
        </w:rPr>
        <w:t xml:space="preserve"> the required 17</w:t>
      </w:r>
      <w:r w:rsidR="008D40DF">
        <w:rPr>
          <w:rFonts w:ascii="Arial" w:eastAsia="Times New Roman" w:hAnsi="Arial" w:cs="Arial"/>
          <w:color w:val="555555"/>
          <w:sz w:val="24"/>
          <w:szCs w:val="24"/>
        </w:rPr>
        <w:t>%</w:t>
      </w:r>
      <w:r w:rsidR="001814C5">
        <w:rPr>
          <w:rStyle w:val="FootnoteReference"/>
          <w:rFonts w:ascii="Arial" w:eastAsia="Times New Roman" w:hAnsi="Arial" w:cs="Arial"/>
          <w:color w:val="555555"/>
          <w:sz w:val="24"/>
          <w:szCs w:val="24"/>
        </w:rPr>
        <w:footnoteReference w:id="3"/>
      </w:r>
      <w:r w:rsidR="009D0408">
        <w:rPr>
          <w:rFonts w:ascii="Times New Roman" w:eastAsia="Times New Roman" w:hAnsi="Times New Roman" w:cs="Times New Roman"/>
          <w:sz w:val="20"/>
          <w:szCs w:val="20"/>
          <w:vertAlign w:val="superscript"/>
        </w:rPr>
        <w:t xml:space="preserve">   </w:t>
      </w:r>
      <w:r w:rsidR="009D0408">
        <w:rPr>
          <w:rFonts w:ascii="Arial" w:eastAsia="Times New Roman" w:hAnsi="Arial" w:cs="Arial"/>
          <w:color w:val="555555"/>
          <w:sz w:val="24"/>
          <w:szCs w:val="24"/>
        </w:rPr>
        <w:t>o</w:t>
      </w:r>
      <w:r w:rsidR="009C4834" w:rsidRPr="009D0408">
        <w:rPr>
          <w:rFonts w:ascii="Arial" w:eastAsia="Times New Roman" w:hAnsi="Arial" w:cs="Arial"/>
          <w:color w:val="555555"/>
          <w:sz w:val="24"/>
          <w:szCs w:val="24"/>
        </w:rPr>
        <w:t>verhe</w:t>
      </w:r>
      <w:r w:rsidR="00F159AB" w:rsidRPr="009D0408">
        <w:rPr>
          <w:rFonts w:ascii="Arial" w:eastAsia="Times New Roman" w:hAnsi="Arial" w:cs="Arial"/>
          <w:color w:val="555555"/>
          <w:sz w:val="24"/>
          <w:szCs w:val="24"/>
        </w:rPr>
        <w:t xml:space="preserve">ad added, the total </w:t>
      </w:r>
      <w:r w:rsidR="009D0408">
        <w:rPr>
          <w:rFonts w:ascii="Arial" w:eastAsia="Times New Roman" w:hAnsi="Arial" w:cs="Arial"/>
          <w:color w:val="555555"/>
          <w:sz w:val="24"/>
          <w:szCs w:val="24"/>
        </w:rPr>
        <w:t xml:space="preserve">estimated </w:t>
      </w:r>
      <w:r w:rsidR="00F159AB" w:rsidRPr="009D0408">
        <w:rPr>
          <w:rFonts w:ascii="Arial" w:eastAsia="Times New Roman" w:hAnsi="Arial" w:cs="Arial"/>
          <w:color w:val="555555"/>
          <w:sz w:val="24"/>
          <w:szCs w:val="24"/>
        </w:rPr>
        <w:t xml:space="preserve">salary is </w:t>
      </w:r>
      <w:r w:rsidR="001814C5">
        <w:rPr>
          <w:rFonts w:ascii="Arial" w:eastAsia="Times New Roman" w:hAnsi="Arial" w:cs="Arial"/>
          <w:color w:val="555555"/>
          <w:sz w:val="24"/>
          <w:szCs w:val="24"/>
        </w:rPr>
        <w:t>$</w:t>
      </w:r>
      <w:r w:rsidR="00F159AB" w:rsidRPr="009D0408">
        <w:rPr>
          <w:rFonts w:ascii="Arial" w:eastAsia="Times New Roman" w:hAnsi="Arial" w:cs="Arial"/>
          <w:color w:val="555555"/>
          <w:sz w:val="24"/>
          <w:szCs w:val="24"/>
        </w:rPr>
        <w:t>74.6</w:t>
      </w:r>
      <w:r w:rsidR="009C4834" w:rsidRPr="009D0408">
        <w:rPr>
          <w:rFonts w:ascii="Arial" w:eastAsia="Times New Roman" w:hAnsi="Arial" w:cs="Arial"/>
          <w:color w:val="555555"/>
          <w:sz w:val="24"/>
          <w:szCs w:val="24"/>
        </w:rPr>
        <w:t>6 per hour.</w:t>
      </w:r>
    </w:p>
    <w:p w14:paraId="666E24BD" w14:textId="0465B65D" w:rsidR="00DB5D34" w:rsidRDefault="00DB5D34" w:rsidP="001F0724">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estimated </w:t>
      </w:r>
      <w:r w:rsidR="009660A4">
        <w:rPr>
          <w:rFonts w:ascii="Arial" w:eastAsia="Times New Roman" w:hAnsi="Arial" w:cs="Arial"/>
          <w:color w:val="555555"/>
          <w:sz w:val="24"/>
          <w:szCs w:val="24"/>
        </w:rPr>
        <w:t>labor cost</w:t>
      </w:r>
      <w:r>
        <w:rPr>
          <w:rFonts w:ascii="Arial" w:eastAsia="Times New Roman" w:hAnsi="Arial" w:cs="Arial"/>
          <w:color w:val="555555"/>
          <w:sz w:val="24"/>
          <w:szCs w:val="24"/>
        </w:rPr>
        <w:t xml:space="preserve"> for Federal, Military, State and Municipal respondents</w:t>
      </w:r>
      <w:r w:rsidR="009660A4">
        <w:rPr>
          <w:rFonts w:ascii="Arial" w:eastAsia="Times New Roman" w:hAnsi="Arial" w:cs="Arial"/>
          <w:color w:val="555555"/>
          <w:sz w:val="24"/>
          <w:szCs w:val="24"/>
        </w:rPr>
        <w:t>:</w:t>
      </w:r>
      <w:r>
        <w:rPr>
          <w:rFonts w:ascii="Arial" w:eastAsia="Times New Roman" w:hAnsi="Arial" w:cs="Arial"/>
          <w:color w:val="555555"/>
          <w:sz w:val="24"/>
          <w:szCs w:val="24"/>
        </w:rPr>
        <w:t xml:space="preserve">                                                     </w:t>
      </w:r>
      <w:r w:rsidR="008D3210">
        <w:rPr>
          <w:rFonts w:ascii="Arial" w:eastAsia="Times New Roman" w:hAnsi="Arial" w:cs="Arial"/>
          <w:color w:val="555555"/>
          <w:sz w:val="24"/>
          <w:szCs w:val="24"/>
        </w:rPr>
        <w:t xml:space="preserve"> </w:t>
      </w:r>
    </w:p>
    <w:p w14:paraId="24B012A6" w14:textId="2EF775C7" w:rsidR="001F0724" w:rsidRDefault="009C4834" w:rsidP="001F0724">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1100(IC-1) + 300 (IC-4) = 1400 x 0.2 hours x $</w:t>
      </w:r>
      <w:r w:rsidR="00F159AB">
        <w:rPr>
          <w:rFonts w:ascii="Arial" w:eastAsia="Times New Roman" w:hAnsi="Arial" w:cs="Arial"/>
          <w:color w:val="555555"/>
          <w:sz w:val="24"/>
          <w:szCs w:val="24"/>
        </w:rPr>
        <w:t>74.6</w:t>
      </w:r>
      <w:r w:rsidR="007812FB">
        <w:rPr>
          <w:rFonts w:ascii="Arial" w:eastAsia="Times New Roman" w:hAnsi="Arial" w:cs="Arial"/>
          <w:color w:val="555555"/>
          <w:sz w:val="24"/>
          <w:szCs w:val="24"/>
        </w:rPr>
        <w:t>6 =</w:t>
      </w:r>
      <w:r>
        <w:rPr>
          <w:rFonts w:ascii="Arial" w:eastAsia="Times New Roman" w:hAnsi="Arial" w:cs="Arial"/>
          <w:color w:val="555555"/>
          <w:sz w:val="24"/>
          <w:szCs w:val="24"/>
        </w:rPr>
        <w:t xml:space="preserve"> </w:t>
      </w:r>
      <w:r w:rsidR="00F159AB">
        <w:rPr>
          <w:rFonts w:ascii="Arial" w:eastAsia="Times New Roman" w:hAnsi="Arial" w:cs="Arial"/>
          <w:color w:val="555555"/>
          <w:sz w:val="24"/>
          <w:szCs w:val="24"/>
        </w:rPr>
        <w:t>$20,904</w:t>
      </w:r>
      <w:r w:rsidR="007812FB">
        <w:rPr>
          <w:rFonts w:ascii="Arial" w:eastAsia="Times New Roman" w:hAnsi="Arial" w:cs="Arial"/>
          <w:color w:val="555555"/>
          <w:sz w:val="24"/>
          <w:szCs w:val="24"/>
        </w:rPr>
        <w:t>.80</w:t>
      </w:r>
    </w:p>
    <w:p w14:paraId="220F1D81" w14:textId="336DC02D" w:rsidR="009C4834" w:rsidRDefault="007812FB" w:rsidP="001F0724">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p>
    <w:p w14:paraId="50124B0F" w14:textId="36EC0E6C" w:rsidR="007812FB" w:rsidRDefault="007812FB" w:rsidP="007812FB">
      <w:pPr>
        <w:rPr>
          <w:rFonts w:ascii="Arial" w:eastAsia="Times New Roman" w:hAnsi="Arial" w:cs="Arial"/>
          <w:color w:val="555555"/>
          <w:sz w:val="24"/>
          <w:szCs w:val="24"/>
        </w:rPr>
      </w:pPr>
      <w:r>
        <w:rPr>
          <w:rFonts w:ascii="Arial" w:eastAsia="Times New Roman" w:hAnsi="Arial" w:cs="Arial"/>
          <w:color w:val="555555"/>
          <w:sz w:val="24"/>
          <w:szCs w:val="24"/>
        </w:rPr>
        <w:t xml:space="preserve">The Private and individual respondents: </w:t>
      </w:r>
      <w:r w:rsidRPr="009D0408">
        <w:rPr>
          <w:rFonts w:ascii="Arial" w:eastAsia="Times New Roman" w:hAnsi="Arial" w:cs="Arial"/>
          <w:color w:val="555555"/>
          <w:sz w:val="24"/>
          <w:szCs w:val="24"/>
        </w:rPr>
        <w:t xml:space="preserve">The estimated hourly rate for the respondents is </w:t>
      </w:r>
      <w:r w:rsidR="005C43CB">
        <w:rPr>
          <w:rFonts w:ascii="Arial" w:eastAsia="Times New Roman" w:hAnsi="Arial" w:cs="Arial"/>
          <w:color w:val="555555"/>
          <w:sz w:val="24"/>
          <w:szCs w:val="24"/>
        </w:rPr>
        <w:t>approximately $25.12</w:t>
      </w:r>
      <w:r w:rsidR="008D3210" w:rsidRPr="009D0408">
        <w:rPr>
          <w:rFonts w:ascii="Arial" w:eastAsia="Times New Roman" w:hAnsi="Arial" w:cs="Arial"/>
          <w:color w:val="555555"/>
          <w:sz w:val="24"/>
          <w:szCs w:val="24"/>
        </w:rPr>
        <w:t xml:space="preserve"> per hour, based on a</w:t>
      </w:r>
      <w:r w:rsidR="005C43CB">
        <w:rPr>
          <w:rFonts w:ascii="Arial" w:eastAsia="Times New Roman" w:hAnsi="Arial" w:cs="Arial"/>
          <w:color w:val="555555"/>
          <w:sz w:val="24"/>
          <w:szCs w:val="24"/>
        </w:rPr>
        <w:t>n civilian worked</w:t>
      </w:r>
      <w:r w:rsidR="008D3210" w:rsidRPr="009D0408">
        <w:rPr>
          <w:rFonts w:ascii="Arial" w:eastAsia="Times New Roman" w:hAnsi="Arial" w:cs="Arial"/>
          <w:color w:val="555555"/>
          <w:sz w:val="24"/>
          <w:szCs w:val="24"/>
        </w:rPr>
        <w:t xml:space="preserve"> earning FG-9</w:t>
      </w:r>
      <w:r w:rsidRPr="009D0408">
        <w:rPr>
          <w:rFonts w:ascii="Arial" w:eastAsia="Times New Roman" w:hAnsi="Arial" w:cs="Arial"/>
          <w:color w:val="555555"/>
          <w:sz w:val="24"/>
          <w:szCs w:val="24"/>
        </w:rPr>
        <w:t>, Step 5 (Kansas City Locality Pay).</w:t>
      </w:r>
      <w:r w:rsidR="0027145A">
        <w:rPr>
          <w:rFonts w:eastAsia="Times New Roman"/>
          <w:color w:val="555555"/>
          <w:sz w:val="24"/>
          <w:szCs w:val="24"/>
          <w:vertAlign w:val="superscript"/>
        </w:rPr>
        <w:t>1</w:t>
      </w:r>
      <w:r w:rsidRPr="005C43CB">
        <w:rPr>
          <w:rFonts w:ascii="Arial" w:eastAsia="Times New Roman" w:hAnsi="Arial" w:cs="Arial"/>
          <w:color w:val="555555"/>
          <w:sz w:val="24"/>
          <w:szCs w:val="24"/>
        </w:rPr>
        <w:t xml:space="preserve">  Kansas City locality </w:t>
      </w:r>
      <w:r w:rsidR="008D3210" w:rsidRPr="005C43CB">
        <w:rPr>
          <w:rFonts w:ascii="Arial" w:eastAsia="Times New Roman" w:hAnsi="Arial" w:cs="Arial"/>
          <w:color w:val="555555"/>
          <w:sz w:val="24"/>
          <w:szCs w:val="24"/>
        </w:rPr>
        <w:t>pay was utilized as it is a mid-</w:t>
      </w:r>
      <w:r w:rsidRPr="005C43CB">
        <w:rPr>
          <w:rFonts w:ascii="Arial" w:eastAsia="Times New Roman" w:hAnsi="Arial" w:cs="Arial"/>
          <w:color w:val="555555"/>
          <w:sz w:val="24"/>
          <w:szCs w:val="24"/>
        </w:rPr>
        <w:t>point, cost wise, for locality pay.  A 31.4 percent multiplier was then applied to account for fringe benefit</w:t>
      </w:r>
      <w:r w:rsidR="002D280C">
        <w:rPr>
          <w:rFonts w:ascii="Arial" w:eastAsia="Times New Roman" w:hAnsi="Arial" w:cs="Arial"/>
          <w:color w:val="555555"/>
          <w:sz w:val="24"/>
          <w:szCs w:val="24"/>
        </w:rPr>
        <w:t>s which brings the salary to $33.01</w:t>
      </w:r>
      <w:r w:rsidRPr="005C43CB">
        <w:rPr>
          <w:rFonts w:ascii="Arial" w:eastAsia="Times New Roman" w:hAnsi="Arial" w:cs="Arial"/>
          <w:color w:val="555555"/>
          <w:sz w:val="24"/>
          <w:szCs w:val="24"/>
        </w:rPr>
        <w:t xml:space="preserve"> per hour.</w:t>
      </w:r>
      <w:r w:rsidR="001814C5">
        <w:rPr>
          <w:rStyle w:val="FootnoteReference"/>
          <w:rFonts w:ascii="Arial" w:eastAsia="Times New Roman" w:hAnsi="Arial" w:cs="Arial"/>
          <w:color w:val="555555"/>
          <w:sz w:val="24"/>
          <w:szCs w:val="24"/>
        </w:rPr>
        <w:footnoteReference w:id="4"/>
      </w:r>
      <w:r w:rsidRPr="002D280C">
        <w:rPr>
          <w:rFonts w:ascii="Arial" w:eastAsia="Times New Roman" w:hAnsi="Arial" w:cs="Arial"/>
          <w:color w:val="555555"/>
          <w:sz w:val="24"/>
          <w:szCs w:val="24"/>
        </w:rPr>
        <w:t xml:space="preserve">  To account for overhead, a multiplier of 17</w:t>
      </w:r>
      <w:r w:rsidR="001814C5">
        <w:rPr>
          <w:rFonts w:ascii="Arial" w:eastAsia="Times New Roman" w:hAnsi="Arial" w:cs="Arial"/>
          <w:color w:val="555555"/>
          <w:sz w:val="24"/>
          <w:szCs w:val="24"/>
        </w:rPr>
        <w:t>%</w:t>
      </w:r>
      <w:r w:rsidR="001814C5" w:rsidRPr="001814C5">
        <w:rPr>
          <w:rFonts w:ascii="Arial" w:eastAsia="Times New Roman" w:hAnsi="Arial" w:cs="Arial"/>
          <w:color w:val="555555"/>
          <w:sz w:val="24"/>
          <w:szCs w:val="24"/>
          <w:vertAlign w:val="superscript"/>
        </w:rPr>
        <w:t>3</w:t>
      </w:r>
      <w:r w:rsidRPr="002D280C">
        <w:rPr>
          <w:rFonts w:ascii="Arial" w:eastAsia="Times New Roman" w:hAnsi="Arial" w:cs="Arial"/>
          <w:color w:val="555555"/>
          <w:sz w:val="24"/>
          <w:szCs w:val="24"/>
        </w:rPr>
        <w:t xml:space="preserve"> was applied.  The total salary wi</w:t>
      </w:r>
      <w:r w:rsidR="002D280C">
        <w:rPr>
          <w:rFonts w:ascii="Arial" w:eastAsia="Times New Roman" w:hAnsi="Arial" w:cs="Arial"/>
          <w:color w:val="555555"/>
          <w:sz w:val="24"/>
          <w:szCs w:val="24"/>
        </w:rPr>
        <w:t>th fringe and overhead is $38.62</w:t>
      </w:r>
      <w:r w:rsidRPr="002D280C">
        <w:rPr>
          <w:rFonts w:ascii="Arial" w:eastAsia="Times New Roman" w:hAnsi="Arial" w:cs="Arial"/>
          <w:color w:val="555555"/>
          <w:sz w:val="24"/>
          <w:szCs w:val="24"/>
        </w:rPr>
        <w:t xml:space="preserve">. </w:t>
      </w:r>
    </w:p>
    <w:p w14:paraId="44AC67AF" w14:textId="49C67CAC" w:rsidR="0037671B" w:rsidRPr="002D280C" w:rsidRDefault="0037671B" w:rsidP="002D280C">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The estimated labor cost for private and individual</w:t>
      </w:r>
      <w:r w:rsidRPr="008D3210">
        <w:rPr>
          <w:rFonts w:ascii="Arial" w:eastAsia="Times New Roman" w:hAnsi="Arial" w:cs="Arial"/>
          <w:color w:val="555555"/>
          <w:sz w:val="24"/>
          <w:szCs w:val="24"/>
        </w:rPr>
        <w:t xml:space="preserve"> respondents</w:t>
      </w:r>
      <w:r>
        <w:rPr>
          <w:rFonts w:ascii="Arial" w:eastAsia="Times New Roman" w:hAnsi="Arial" w:cs="Arial"/>
          <w:color w:val="555555"/>
          <w:sz w:val="24"/>
          <w:szCs w:val="24"/>
        </w:rPr>
        <w:t>:</w:t>
      </w:r>
    </w:p>
    <w:p w14:paraId="42868D82" w14:textId="548B109E" w:rsidR="009C4834" w:rsidRDefault="008D3210" w:rsidP="001F0724">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600(IC-2) + 40</w:t>
      </w:r>
      <w:r w:rsidR="002D280C">
        <w:rPr>
          <w:rFonts w:ascii="Arial" w:eastAsia="Times New Roman" w:hAnsi="Arial" w:cs="Arial"/>
          <w:color w:val="555555"/>
          <w:sz w:val="24"/>
          <w:szCs w:val="24"/>
        </w:rPr>
        <w:t>0(IC-3) = 1000 x 0.2 hours X $38.62 = $7,724</w:t>
      </w:r>
      <w:r>
        <w:rPr>
          <w:rFonts w:ascii="Arial" w:eastAsia="Times New Roman" w:hAnsi="Arial" w:cs="Arial"/>
          <w:color w:val="555555"/>
          <w:sz w:val="24"/>
          <w:szCs w:val="24"/>
        </w:rPr>
        <w:t>.00</w:t>
      </w:r>
    </w:p>
    <w:p w14:paraId="57B2EBA1" w14:textId="77777777" w:rsidR="002D280C" w:rsidRDefault="002D280C" w:rsidP="001F0724">
      <w:pPr>
        <w:shd w:val="clear" w:color="auto" w:fill="FFFFFF"/>
        <w:spacing w:before="100" w:beforeAutospacing="1" w:after="225" w:line="240" w:lineRule="auto"/>
        <w:rPr>
          <w:rFonts w:ascii="Arial" w:eastAsia="Times New Roman" w:hAnsi="Arial" w:cs="Arial"/>
          <w:color w:val="555555"/>
          <w:sz w:val="24"/>
          <w:szCs w:val="24"/>
        </w:rPr>
      </w:pPr>
    </w:p>
    <w:p w14:paraId="775B2AF7" w14:textId="18526252" w:rsidR="007812FB" w:rsidRDefault="00F159AB" w:rsidP="001F0724">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The</w:t>
      </w:r>
      <w:r w:rsidR="0037671B">
        <w:rPr>
          <w:rFonts w:ascii="Arial" w:eastAsia="Times New Roman" w:hAnsi="Arial" w:cs="Arial"/>
          <w:color w:val="555555"/>
          <w:sz w:val="24"/>
          <w:szCs w:val="24"/>
        </w:rPr>
        <w:t xml:space="preserve"> total labor</w:t>
      </w:r>
      <w:r>
        <w:rPr>
          <w:rFonts w:ascii="Arial" w:eastAsia="Times New Roman" w:hAnsi="Arial" w:cs="Arial"/>
          <w:color w:val="555555"/>
          <w:sz w:val="24"/>
          <w:szCs w:val="24"/>
        </w:rPr>
        <w:t xml:space="preserve"> cost for the WebFCR Collections are: $20,904.80 +</w:t>
      </w:r>
      <w:r w:rsidR="000C79E5">
        <w:rPr>
          <w:rFonts w:ascii="Arial" w:eastAsia="Times New Roman" w:hAnsi="Arial" w:cs="Arial"/>
          <w:color w:val="555555"/>
          <w:sz w:val="24"/>
          <w:szCs w:val="24"/>
        </w:rPr>
        <w:t xml:space="preserve"> </w:t>
      </w:r>
      <w:r w:rsidR="000C79E5" w:rsidRPr="000C79E5">
        <w:rPr>
          <w:rFonts w:ascii="Arial" w:eastAsia="Times New Roman" w:hAnsi="Arial" w:cs="Arial"/>
          <w:color w:val="555555"/>
          <w:sz w:val="24"/>
          <w:szCs w:val="24"/>
        </w:rPr>
        <w:t>$7,724.00</w:t>
      </w:r>
      <w:r>
        <w:rPr>
          <w:rFonts w:ascii="Arial" w:eastAsia="Times New Roman" w:hAnsi="Arial" w:cs="Arial"/>
          <w:color w:val="555555"/>
          <w:sz w:val="24"/>
          <w:szCs w:val="24"/>
        </w:rPr>
        <w:t xml:space="preserve"> </w:t>
      </w:r>
      <w:r w:rsidR="000C79E5">
        <w:rPr>
          <w:rFonts w:ascii="Arial" w:eastAsia="Times New Roman" w:hAnsi="Arial" w:cs="Arial"/>
          <w:color w:val="555555"/>
          <w:sz w:val="24"/>
          <w:szCs w:val="24"/>
        </w:rPr>
        <w:t>= $28,628</w:t>
      </w:r>
      <w:r>
        <w:rPr>
          <w:rFonts w:ascii="Arial" w:eastAsia="Times New Roman" w:hAnsi="Arial" w:cs="Arial"/>
          <w:color w:val="555555"/>
          <w:sz w:val="24"/>
          <w:szCs w:val="24"/>
        </w:rPr>
        <w:t>.80</w:t>
      </w:r>
    </w:p>
    <w:p w14:paraId="28226CF5" w14:textId="77777777" w:rsidR="00F159AB" w:rsidRPr="00C64707" w:rsidRDefault="00F159AB" w:rsidP="001F0724">
      <w:pPr>
        <w:shd w:val="clear" w:color="auto" w:fill="FFFFFF"/>
        <w:spacing w:before="100" w:beforeAutospacing="1" w:after="225" w:line="240" w:lineRule="auto"/>
        <w:rPr>
          <w:rFonts w:ascii="Arial" w:eastAsia="Times New Roman" w:hAnsi="Arial" w:cs="Arial"/>
          <w:color w:val="555555"/>
          <w:sz w:val="24"/>
          <w:szCs w:val="24"/>
        </w:rPr>
      </w:pPr>
    </w:p>
    <w:p w14:paraId="11C82CB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47675998" w14:textId="0C5A41B6"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CB7FC5" w:rsidRPr="00CB7FC5">
        <w:rPr>
          <w:rFonts w:ascii="Arial" w:eastAsia="Times New Roman" w:hAnsi="Arial" w:cs="Arial"/>
          <w:color w:val="555555"/>
          <w:sz w:val="24"/>
          <w:szCs w:val="24"/>
        </w:rPr>
        <w:t>There are no additional costs that have not already been included in item 1</w:t>
      </w:r>
      <w:r w:rsidR="00CB7FC5">
        <w:rPr>
          <w:rFonts w:ascii="Arial" w:eastAsia="Times New Roman" w:hAnsi="Arial" w:cs="Arial"/>
          <w:color w:val="555555"/>
          <w:sz w:val="24"/>
          <w:szCs w:val="24"/>
        </w:rPr>
        <w:t>2.</w:t>
      </w:r>
      <w:r w:rsidR="00CB7FC5" w:rsidRPr="00CB7FC5">
        <w:rPr>
          <w:rFonts w:ascii="Arial" w:eastAsia="Times New Roman" w:hAnsi="Arial" w:cs="Arial"/>
          <w:color w:val="555555"/>
          <w:sz w:val="24"/>
          <w:szCs w:val="24"/>
        </w:rPr>
        <w:t xml:space="preserve">  </w:t>
      </w:r>
      <w:r w:rsidR="00CB7FC5">
        <w:rPr>
          <w:rFonts w:ascii="Arial" w:eastAsia="Times New Roman" w:hAnsi="Arial" w:cs="Arial"/>
          <w:color w:val="555555"/>
          <w:sz w:val="24"/>
          <w:szCs w:val="24"/>
        </w:rPr>
        <w:t xml:space="preserve">There are no </w:t>
      </w:r>
      <w:r w:rsidR="002D280C">
        <w:rPr>
          <w:rFonts w:ascii="Arial" w:eastAsia="Times New Roman" w:hAnsi="Arial" w:cs="Arial"/>
          <w:color w:val="555555"/>
          <w:sz w:val="24"/>
          <w:szCs w:val="24"/>
        </w:rPr>
        <w:t>material</w:t>
      </w:r>
      <w:r w:rsidR="00CB7FC5">
        <w:rPr>
          <w:rFonts w:ascii="Arial" w:eastAsia="Times New Roman" w:hAnsi="Arial" w:cs="Arial"/>
          <w:color w:val="555555"/>
          <w:sz w:val="24"/>
          <w:szCs w:val="24"/>
        </w:rPr>
        <w:t>,</w:t>
      </w:r>
      <w:r w:rsidR="002D280C">
        <w:rPr>
          <w:rFonts w:ascii="Arial" w:eastAsia="Times New Roman" w:hAnsi="Arial" w:cs="Arial"/>
          <w:color w:val="555555"/>
          <w:sz w:val="24"/>
          <w:szCs w:val="24"/>
        </w:rPr>
        <w:t xml:space="preserve"> capital</w:t>
      </w:r>
      <w:r w:rsidR="00EC3D6A">
        <w:rPr>
          <w:rFonts w:ascii="Arial" w:eastAsia="Times New Roman" w:hAnsi="Arial" w:cs="Arial"/>
          <w:color w:val="555555"/>
          <w:sz w:val="24"/>
          <w:szCs w:val="24"/>
        </w:rPr>
        <w:t xml:space="preserve"> or maintenance costs</w:t>
      </w:r>
      <w:r w:rsidR="00CB7FC5">
        <w:rPr>
          <w:rFonts w:ascii="Arial" w:eastAsia="Times New Roman" w:hAnsi="Arial" w:cs="Arial"/>
          <w:color w:val="555555"/>
          <w:sz w:val="24"/>
          <w:szCs w:val="24"/>
        </w:rPr>
        <w:t>.</w:t>
      </w:r>
    </w:p>
    <w:p w14:paraId="62E4E725" w14:textId="77777777" w:rsidR="00EC3D6A" w:rsidRDefault="00EC3D6A" w:rsidP="00C64707">
      <w:pPr>
        <w:shd w:val="clear" w:color="auto" w:fill="FFFFFF"/>
        <w:spacing w:after="0" w:line="240" w:lineRule="auto"/>
        <w:rPr>
          <w:rFonts w:ascii="Arial" w:eastAsia="Times New Roman" w:hAnsi="Arial" w:cs="Arial"/>
          <w:color w:val="555555"/>
          <w:sz w:val="24"/>
          <w:szCs w:val="24"/>
        </w:rPr>
      </w:pPr>
    </w:p>
    <w:p w14:paraId="028468D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CB7816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3735DD68" w14:textId="4FBDA6D9" w:rsidR="00F07381" w:rsidRPr="00E16877" w:rsidRDefault="00F07381" w:rsidP="00E16877">
      <w:pPr>
        <w:shd w:val="clear" w:color="auto" w:fill="FFFFFF"/>
        <w:spacing w:after="0" w:line="240" w:lineRule="auto"/>
        <w:rPr>
          <w:rFonts w:ascii="Arial" w:eastAsia="Times New Roman" w:hAnsi="Arial" w:cs="Arial"/>
          <w:color w:val="555555"/>
          <w:sz w:val="24"/>
          <w:szCs w:val="24"/>
        </w:rPr>
      </w:pPr>
    </w:p>
    <w:p w14:paraId="287BC031" w14:textId="21A2AEDC" w:rsidR="00C44408" w:rsidRPr="00E16877" w:rsidRDefault="00C44408" w:rsidP="00E16877">
      <w:pPr>
        <w:shd w:val="clear" w:color="auto" w:fill="FFFFFF"/>
        <w:spacing w:after="0" w:line="240" w:lineRule="auto"/>
        <w:rPr>
          <w:rFonts w:ascii="Arial" w:eastAsia="Times New Roman" w:hAnsi="Arial" w:cs="Arial"/>
          <w:color w:val="555555"/>
          <w:sz w:val="24"/>
          <w:szCs w:val="24"/>
        </w:rPr>
      </w:pPr>
      <w:r w:rsidRPr="00E16877">
        <w:rPr>
          <w:rFonts w:ascii="Arial" w:eastAsia="Times New Roman" w:hAnsi="Arial" w:cs="Arial"/>
          <w:color w:val="555555"/>
          <w:sz w:val="24"/>
          <w:szCs w:val="24"/>
        </w:rPr>
        <w:t>All submissions for this collection are processed by the government through the automated Web</w:t>
      </w:r>
      <w:r w:rsidR="00484EDE" w:rsidRPr="00E16877">
        <w:rPr>
          <w:rFonts w:ascii="Arial" w:eastAsia="Times New Roman" w:hAnsi="Arial" w:cs="Arial"/>
          <w:color w:val="555555"/>
          <w:sz w:val="24"/>
          <w:szCs w:val="24"/>
        </w:rPr>
        <w:t>FCR System application.  In prior years planning</w:t>
      </w:r>
      <w:r w:rsidRPr="00E16877">
        <w:rPr>
          <w:rFonts w:ascii="Arial" w:eastAsia="Times New Roman" w:hAnsi="Arial" w:cs="Arial"/>
          <w:color w:val="555555"/>
          <w:sz w:val="24"/>
          <w:szCs w:val="24"/>
        </w:rPr>
        <w:t xml:space="preserve">, FAA Spectrum asked an engineer to prepare an internal limited “Time on Projects” study designed to estimate the approximate time it takes a government employee to process a frequency application for a given frequency band. Although each band is different, the average time and number of technical steps, by the spectrum engineer can be considered similar as referenced in the FAA Order 6050.32B Change 3.   </w:t>
      </w:r>
    </w:p>
    <w:p w14:paraId="2E88D05F" w14:textId="77777777" w:rsidR="00C44408" w:rsidRPr="00E16877" w:rsidRDefault="00C44408" w:rsidP="00E16877">
      <w:pPr>
        <w:shd w:val="clear" w:color="auto" w:fill="FFFFFF"/>
        <w:spacing w:after="0" w:line="240" w:lineRule="auto"/>
        <w:rPr>
          <w:rFonts w:ascii="Arial" w:eastAsia="Times New Roman" w:hAnsi="Arial" w:cs="Arial"/>
          <w:color w:val="555555"/>
          <w:sz w:val="24"/>
          <w:szCs w:val="24"/>
        </w:rPr>
      </w:pPr>
    </w:p>
    <w:p w14:paraId="51AEABAB" w14:textId="3D88C0CE" w:rsidR="00C44408" w:rsidRPr="00E16877" w:rsidRDefault="00783CB3" w:rsidP="00E16877">
      <w:pPr>
        <w:shd w:val="clear" w:color="auto" w:fill="FFFFFF"/>
        <w:spacing w:after="0" w:line="240" w:lineRule="auto"/>
        <w:rPr>
          <w:rFonts w:ascii="Arial" w:eastAsia="Times New Roman" w:hAnsi="Arial" w:cs="Arial"/>
          <w:color w:val="555555"/>
          <w:sz w:val="24"/>
          <w:szCs w:val="24"/>
        </w:rPr>
      </w:pPr>
      <w:r w:rsidRPr="00E16877">
        <w:rPr>
          <w:rFonts w:ascii="Arial" w:eastAsia="Times New Roman" w:hAnsi="Arial" w:cs="Arial"/>
          <w:color w:val="555555"/>
          <w:sz w:val="24"/>
          <w:szCs w:val="24"/>
        </w:rPr>
        <w:t>The</w:t>
      </w:r>
      <w:r w:rsidR="00C44408" w:rsidRPr="00E16877">
        <w:rPr>
          <w:rFonts w:ascii="Arial" w:eastAsia="Times New Roman" w:hAnsi="Arial" w:cs="Arial"/>
          <w:color w:val="555555"/>
          <w:sz w:val="24"/>
          <w:szCs w:val="24"/>
        </w:rPr>
        <w:t xml:space="preserve"> mean hourly wage of the Federal Spectrum Engineers involved in processing WebFCR Coordination Request are 1) Service Area Level Frequency Management Officers at</w:t>
      </w:r>
      <w:r w:rsidRPr="00E16877">
        <w:rPr>
          <w:rFonts w:ascii="Arial" w:eastAsia="Times New Roman" w:hAnsi="Arial" w:cs="Arial"/>
          <w:color w:val="555555"/>
          <w:sz w:val="24"/>
          <w:szCs w:val="24"/>
        </w:rPr>
        <w:t xml:space="preserve"> nominally, Kansas City was used as the locality pay again, GS</w:t>
      </w:r>
      <w:r w:rsidR="00C44408" w:rsidRPr="00E16877">
        <w:rPr>
          <w:rFonts w:ascii="Arial" w:eastAsia="Times New Roman" w:hAnsi="Arial" w:cs="Arial"/>
          <w:color w:val="555555"/>
          <w:sz w:val="24"/>
          <w:szCs w:val="24"/>
        </w:rPr>
        <w:t>-14 Step 5</w:t>
      </w:r>
      <w:r w:rsidR="00ED423E" w:rsidRPr="00E16877">
        <w:rPr>
          <w:rFonts w:ascii="Arial" w:eastAsia="Times New Roman" w:hAnsi="Arial" w:cs="Arial"/>
          <w:color w:val="555555"/>
          <w:sz w:val="24"/>
          <w:szCs w:val="24"/>
        </w:rPr>
        <w:t xml:space="preserve"> at $57.38 per hour</w:t>
      </w:r>
      <w:r w:rsidR="006913B2">
        <w:rPr>
          <w:rStyle w:val="FootnoteReference"/>
          <w:rFonts w:ascii="Arial" w:eastAsia="Times New Roman" w:hAnsi="Arial" w:cs="Arial"/>
          <w:color w:val="555555"/>
          <w:sz w:val="24"/>
          <w:szCs w:val="24"/>
        </w:rPr>
        <w:footnoteReference w:id="5"/>
      </w:r>
      <w:r w:rsidRPr="00E16877">
        <w:rPr>
          <w:rFonts w:ascii="Arial" w:eastAsia="Times New Roman" w:hAnsi="Arial" w:cs="Arial"/>
          <w:color w:val="555555"/>
          <w:sz w:val="24"/>
          <w:szCs w:val="24"/>
        </w:rPr>
        <w:t>, 2) The next</w:t>
      </w:r>
      <w:r w:rsidR="00C44408" w:rsidRPr="00E16877">
        <w:rPr>
          <w:rFonts w:ascii="Arial" w:eastAsia="Times New Roman" w:hAnsi="Arial" w:cs="Arial"/>
          <w:color w:val="555555"/>
          <w:sz w:val="24"/>
          <w:szCs w:val="24"/>
        </w:rPr>
        <w:t xml:space="preserve"> </w:t>
      </w:r>
      <w:r w:rsidRPr="00E16877">
        <w:rPr>
          <w:rFonts w:ascii="Arial" w:eastAsia="Times New Roman" w:hAnsi="Arial" w:cs="Arial"/>
          <w:color w:val="555555"/>
          <w:sz w:val="24"/>
          <w:szCs w:val="24"/>
        </w:rPr>
        <w:t>Level analysis is a review</w:t>
      </w:r>
      <w:r w:rsidR="00ED423E" w:rsidRPr="00E16877">
        <w:rPr>
          <w:rFonts w:ascii="Arial" w:eastAsia="Times New Roman" w:hAnsi="Arial" w:cs="Arial"/>
          <w:color w:val="555555"/>
          <w:sz w:val="24"/>
          <w:szCs w:val="24"/>
        </w:rPr>
        <w:t xml:space="preserve"> per NTIA Manual</w:t>
      </w:r>
      <w:r w:rsidR="006913B2">
        <w:rPr>
          <w:rStyle w:val="FootnoteReference"/>
          <w:rFonts w:ascii="Arial" w:eastAsia="Times New Roman" w:hAnsi="Arial" w:cs="Arial"/>
          <w:color w:val="555555"/>
          <w:sz w:val="24"/>
          <w:szCs w:val="24"/>
        </w:rPr>
        <w:footnoteReference w:id="6"/>
      </w:r>
      <w:r w:rsidR="006E2BA7" w:rsidRPr="00E16877">
        <w:rPr>
          <w:rFonts w:ascii="Arial" w:eastAsia="Times New Roman" w:hAnsi="Arial" w:cs="Arial"/>
          <w:color w:val="555555"/>
          <w:sz w:val="24"/>
          <w:szCs w:val="24"/>
        </w:rPr>
        <w:t xml:space="preserve"> </w:t>
      </w:r>
      <w:r w:rsidR="00ED423E" w:rsidRPr="00E16877">
        <w:rPr>
          <w:rFonts w:ascii="Arial" w:eastAsia="Times New Roman" w:hAnsi="Arial" w:cs="Arial"/>
          <w:color w:val="555555"/>
          <w:sz w:val="24"/>
          <w:szCs w:val="24"/>
        </w:rPr>
        <w:t xml:space="preserve"> is</w:t>
      </w:r>
      <w:r w:rsidRPr="00E16877">
        <w:rPr>
          <w:rFonts w:ascii="Arial" w:eastAsia="Times New Roman" w:hAnsi="Arial" w:cs="Arial"/>
          <w:color w:val="555555"/>
          <w:sz w:val="24"/>
          <w:szCs w:val="24"/>
        </w:rPr>
        <w:t xml:space="preserve"> by Spectrum</w:t>
      </w:r>
      <w:r w:rsidR="00C44408" w:rsidRPr="00E16877">
        <w:rPr>
          <w:rFonts w:ascii="Arial" w:eastAsia="Times New Roman" w:hAnsi="Arial" w:cs="Arial"/>
          <w:color w:val="555555"/>
          <w:sz w:val="24"/>
          <w:szCs w:val="24"/>
        </w:rPr>
        <w:t xml:space="preserve"> Engineers which are Band Subject Matter Experts</w:t>
      </w:r>
      <w:r w:rsidR="00ED423E" w:rsidRPr="00E16877">
        <w:rPr>
          <w:rFonts w:ascii="Arial" w:eastAsia="Times New Roman" w:hAnsi="Arial" w:cs="Arial"/>
          <w:color w:val="555555"/>
          <w:sz w:val="24"/>
          <w:szCs w:val="24"/>
        </w:rPr>
        <w:t xml:space="preserve"> at a higher grade, nominally, GS-15 Step 5</w:t>
      </w:r>
      <w:r w:rsidR="006E2BA7" w:rsidRPr="00E16877">
        <w:rPr>
          <w:rFonts w:ascii="Arial" w:eastAsia="Times New Roman" w:hAnsi="Arial" w:cs="Arial"/>
          <w:color w:val="555555"/>
          <w:sz w:val="24"/>
          <w:szCs w:val="24"/>
        </w:rPr>
        <w:t xml:space="preserve"> at $67.49</w:t>
      </w:r>
      <w:r w:rsidR="009E60F3">
        <w:rPr>
          <w:rFonts w:ascii="Arial" w:eastAsia="Times New Roman" w:hAnsi="Arial" w:cs="Arial"/>
          <w:color w:val="555555"/>
          <w:sz w:val="24"/>
          <w:szCs w:val="24"/>
          <w:vertAlign w:val="superscript"/>
        </w:rPr>
        <w:t>6</w:t>
      </w:r>
      <w:r w:rsidR="006E2BA7" w:rsidRPr="00E16877">
        <w:rPr>
          <w:rFonts w:ascii="Arial" w:eastAsia="Times New Roman" w:hAnsi="Arial" w:cs="Arial"/>
          <w:color w:val="555555"/>
          <w:sz w:val="24"/>
          <w:szCs w:val="24"/>
        </w:rPr>
        <w:t xml:space="preserve"> per hour</w:t>
      </w:r>
      <w:r w:rsidR="00ED423E" w:rsidRPr="00E16877">
        <w:rPr>
          <w:rFonts w:ascii="Arial" w:eastAsia="Times New Roman" w:hAnsi="Arial" w:cs="Arial"/>
          <w:color w:val="555555"/>
          <w:sz w:val="24"/>
          <w:szCs w:val="24"/>
        </w:rPr>
        <w:t xml:space="preserve"> </w:t>
      </w:r>
      <w:r w:rsidR="00C44408" w:rsidRPr="00E16877">
        <w:rPr>
          <w:rFonts w:ascii="Arial" w:eastAsia="Times New Roman" w:hAnsi="Arial" w:cs="Arial"/>
          <w:color w:val="555555"/>
          <w:sz w:val="24"/>
          <w:szCs w:val="24"/>
        </w:rPr>
        <w:t>, and 3)</w:t>
      </w:r>
      <w:r w:rsidR="006E2BA7" w:rsidRPr="00E16877">
        <w:rPr>
          <w:rFonts w:ascii="Arial" w:eastAsia="Times New Roman" w:hAnsi="Arial" w:cs="Arial"/>
          <w:color w:val="555555"/>
          <w:sz w:val="24"/>
          <w:szCs w:val="24"/>
        </w:rPr>
        <w:t xml:space="preserve"> similar</w:t>
      </w:r>
      <w:r w:rsidR="00C44408" w:rsidRPr="00E16877">
        <w:rPr>
          <w:rFonts w:ascii="Arial" w:eastAsia="Times New Roman" w:hAnsi="Arial" w:cs="Arial"/>
          <w:color w:val="555555"/>
          <w:sz w:val="24"/>
          <w:szCs w:val="24"/>
        </w:rPr>
        <w:t xml:space="preserve"> Spectrum Frequency Assignment Subcommittee (FAS) representative</w:t>
      </w:r>
      <w:r w:rsidR="00ED423E" w:rsidRPr="00E16877">
        <w:rPr>
          <w:rFonts w:ascii="Arial" w:eastAsia="Times New Roman" w:hAnsi="Arial" w:cs="Arial"/>
          <w:color w:val="555555"/>
          <w:sz w:val="24"/>
          <w:szCs w:val="24"/>
        </w:rPr>
        <w:t>s</w:t>
      </w:r>
      <w:r w:rsidR="00C44408" w:rsidRPr="00E16877">
        <w:rPr>
          <w:rFonts w:ascii="Arial" w:eastAsia="Times New Roman" w:hAnsi="Arial" w:cs="Arial"/>
          <w:color w:val="555555"/>
          <w:sz w:val="24"/>
          <w:szCs w:val="24"/>
        </w:rPr>
        <w:t xml:space="preserve">. </w:t>
      </w:r>
      <w:r w:rsidR="00F22E44" w:rsidRPr="00E16877">
        <w:rPr>
          <w:rFonts w:ascii="Arial" w:eastAsia="Times New Roman" w:hAnsi="Arial" w:cs="Arial"/>
          <w:color w:val="555555"/>
          <w:sz w:val="24"/>
          <w:szCs w:val="24"/>
        </w:rPr>
        <w:t xml:space="preserve"> As in item 12, the 31.4 percent multiplier is applied to account for fringe benefits and the 17 percent factor for overhead</w:t>
      </w:r>
      <w:r w:rsidR="006913B2" w:rsidRPr="006913B2">
        <w:rPr>
          <w:rFonts w:ascii="Arial" w:eastAsia="Times New Roman" w:hAnsi="Arial" w:cs="Arial"/>
          <w:color w:val="555555"/>
          <w:sz w:val="24"/>
          <w:szCs w:val="24"/>
          <w:vertAlign w:val="superscript"/>
        </w:rPr>
        <w:t>3</w:t>
      </w:r>
      <w:r w:rsidR="006913B2">
        <w:rPr>
          <w:rFonts w:ascii="Arial" w:eastAsia="Times New Roman" w:hAnsi="Arial" w:cs="Arial"/>
          <w:color w:val="555555"/>
          <w:sz w:val="24"/>
          <w:szCs w:val="24"/>
        </w:rPr>
        <w:t>.</w:t>
      </w:r>
      <w:r w:rsidR="00F22E44" w:rsidRPr="00E16877">
        <w:rPr>
          <w:rFonts w:ascii="Arial" w:eastAsia="Times New Roman" w:hAnsi="Arial" w:cs="Arial"/>
          <w:color w:val="555555"/>
          <w:sz w:val="24"/>
          <w:szCs w:val="24"/>
        </w:rPr>
        <w:t xml:space="preserve"> The total respective hourly rates are $88.21 for FMO and $103.76</w:t>
      </w:r>
      <w:r w:rsidR="00C44408" w:rsidRPr="00E16877">
        <w:rPr>
          <w:rFonts w:ascii="Arial" w:eastAsia="Times New Roman" w:hAnsi="Arial" w:cs="Arial"/>
          <w:color w:val="555555"/>
          <w:sz w:val="24"/>
          <w:szCs w:val="24"/>
        </w:rPr>
        <w:t xml:space="preserve"> for SME and FAS level personnel. </w:t>
      </w:r>
    </w:p>
    <w:p w14:paraId="34FCB330" w14:textId="77777777" w:rsidR="00C44408" w:rsidRDefault="00C44408" w:rsidP="00C44408">
      <w:pPr>
        <w:spacing w:after="0"/>
      </w:pPr>
    </w:p>
    <w:p w14:paraId="5D72F9C6" w14:textId="51E7B241" w:rsidR="00C44408" w:rsidRPr="00554AB1" w:rsidRDefault="00C44408"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For Non-Federal WebFCR records, approximately 50% of the submissions required an engineering analyst to coordinate and research specific data from external sources to complete processing of the records by FAA.  This work also address cases for all WebFCR records where international coordination is required due to proximity to the border and/or other complex conditions.  The analysts are GS-13 step 5 technical personnel category</w:t>
      </w:r>
      <w:r w:rsidR="00554AB1" w:rsidRPr="00554AB1">
        <w:rPr>
          <w:rFonts w:ascii="Arial" w:eastAsia="Times New Roman" w:hAnsi="Arial" w:cs="Arial"/>
          <w:color w:val="555555"/>
          <w:sz w:val="24"/>
          <w:szCs w:val="24"/>
          <w:vertAlign w:val="superscript"/>
        </w:rPr>
        <w:t>1</w:t>
      </w:r>
      <w:r w:rsidR="00F22E44" w:rsidRPr="00554AB1">
        <w:rPr>
          <w:rFonts w:ascii="Arial" w:eastAsia="Times New Roman" w:hAnsi="Arial" w:cs="Arial"/>
          <w:color w:val="555555"/>
          <w:sz w:val="24"/>
          <w:szCs w:val="24"/>
        </w:rPr>
        <w:t xml:space="preserve"> referenced in item 12 at $74.66</w:t>
      </w:r>
      <w:r w:rsidRPr="00554AB1">
        <w:rPr>
          <w:rFonts w:ascii="Arial" w:eastAsia="Times New Roman" w:hAnsi="Arial" w:cs="Arial"/>
          <w:color w:val="555555"/>
          <w:sz w:val="24"/>
          <w:szCs w:val="24"/>
        </w:rPr>
        <w:t xml:space="preserve"> per hour rounded.</w:t>
      </w:r>
    </w:p>
    <w:p w14:paraId="1EE509C2" w14:textId="77129261" w:rsidR="00C44408" w:rsidRPr="00554AB1" w:rsidRDefault="00C44408"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br/>
        <w:t>Accordingly,</w:t>
      </w:r>
      <w:r w:rsidR="002201F7" w:rsidRPr="00554AB1">
        <w:rPr>
          <w:rFonts w:ascii="Arial" w:eastAsia="Times New Roman" w:hAnsi="Arial" w:cs="Arial"/>
          <w:color w:val="555555"/>
          <w:sz w:val="24"/>
          <w:szCs w:val="24"/>
        </w:rPr>
        <w:t xml:space="preserve"> these rates are inclusive of</w:t>
      </w:r>
      <w:r w:rsidRPr="00554AB1">
        <w:rPr>
          <w:rFonts w:ascii="Arial" w:eastAsia="Times New Roman" w:hAnsi="Arial" w:cs="Arial"/>
          <w:color w:val="555555"/>
          <w:sz w:val="24"/>
          <w:szCs w:val="24"/>
        </w:rPr>
        <w:t xml:space="preserve"> benefits plus other overhead costs such as rent, utilities, and office equipment, the equations are: </w:t>
      </w:r>
    </w:p>
    <w:p w14:paraId="53B40F5F" w14:textId="77777777" w:rsidR="00C44408" w:rsidRPr="00554AB1" w:rsidRDefault="00C44408" w:rsidP="00C44408">
      <w:pPr>
        <w:spacing w:after="0"/>
        <w:rPr>
          <w:rFonts w:ascii="Arial" w:eastAsia="Times New Roman" w:hAnsi="Arial" w:cs="Arial"/>
          <w:color w:val="555555"/>
          <w:sz w:val="24"/>
          <w:szCs w:val="24"/>
        </w:rPr>
      </w:pPr>
    </w:p>
    <w:p w14:paraId="3DBE9CAF" w14:textId="78A13DC1" w:rsidR="00C44408" w:rsidRPr="00554AB1" w:rsidRDefault="00C44408"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w:t>
      </w:r>
      <w:r w:rsidRPr="00554AB1">
        <w:rPr>
          <w:rFonts w:ascii="Arial" w:eastAsia="Times New Roman" w:hAnsi="Arial" w:cs="Arial"/>
          <w:color w:val="555555"/>
          <w:sz w:val="24"/>
          <w:szCs w:val="24"/>
        </w:rPr>
        <w:tab/>
        <w:t>Analyst N</w:t>
      </w:r>
      <w:r w:rsidR="002201F7" w:rsidRPr="00554AB1">
        <w:rPr>
          <w:rFonts w:ascii="Arial" w:eastAsia="Times New Roman" w:hAnsi="Arial" w:cs="Arial"/>
          <w:color w:val="555555"/>
          <w:sz w:val="24"/>
          <w:szCs w:val="24"/>
        </w:rPr>
        <w:t>ominal cost rate $48.56 x 1.314 x 1.17 = $74.66</w:t>
      </w:r>
    </w:p>
    <w:p w14:paraId="548DB200" w14:textId="067F500E" w:rsidR="00C44408" w:rsidRPr="00554AB1" w:rsidRDefault="00C44408"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w:t>
      </w:r>
      <w:r w:rsidRPr="00554AB1">
        <w:rPr>
          <w:rFonts w:ascii="Arial" w:eastAsia="Times New Roman" w:hAnsi="Arial" w:cs="Arial"/>
          <w:color w:val="555555"/>
          <w:sz w:val="24"/>
          <w:szCs w:val="24"/>
        </w:rPr>
        <w:tab/>
        <w:t>FMO N</w:t>
      </w:r>
      <w:r w:rsidR="002201F7" w:rsidRPr="00554AB1">
        <w:rPr>
          <w:rFonts w:ascii="Arial" w:eastAsia="Times New Roman" w:hAnsi="Arial" w:cs="Arial"/>
          <w:color w:val="555555"/>
          <w:sz w:val="24"/>
          <w:szCs w:val="24"/>
        </w:rPr>
        <w:t xml:space="preserve">ominal cost </w:t>
      </w:r>
      <w:r w:rsidR="001D5DF8" w:rsidRPr="00554AB1">
        <w:rPr>
          <w:rFonts w:ascii="Arial" w:eastAsia="Times New Roman" w:hAnsi="Arial" w:cs="Arial"/>
          <w:color w:val="555555"/>
          <w:sz w:val="24"/>
          <w:szCs w:val="24"/>
        </w:rPr>
        <w:t>rate $</w:t>
      </w:r>
      <w:r w:rsidR="002201F7" w:rsidRPr="00554AB1">
        <w:rPr>
          <w:rFonts w:ascii="Arial" w:eastAsia="Times New Roman" w:hAnsi="Arial" w:cs="Arial"/>
          <w:color w:val="555555"/>
          <w:sz w:val="24"/>
          <w:szCs w:val="24"/>
        </w:rPr>
        <w:t>57.38 x 1.314 x 1.17 = $88.21</w:t>
      </w:r>
    </w:p>
    <w:p w14:paraId="5AF28E54" w14:textId="3D084A72" w:rsidR="00C44408" w:rsidRPr="00554AB1" w:rsidRDefault="00C44408"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w:t>
      </w:r>
      <w:r w:rsidRPr="00554AB1">
        <w:rPr>
          <w:rFonts w:ascii="Arial" w:eastAsia="Times New Roman" w:hAnsi="Arial" w:cs="Arial"/>
          <w:color w:val="555555"/>
          <w:sz w:val="24"/>
          <w:szCs w:val="24"/>
        </w:rPr>
        <w:tab/>
        <w:t>SME/FAS No</w:t>
      </w:r>
      <w:r w:rsidR="002201F7" w:rsidRPr="00554AB1">
        <w:rPr>
          <w:rFonts w:ascii="Arial" w:eastAsia="Times New Roman" w:hAnsi="Arial" w:cs="Arial"/>
          <w:color w:val="555555"/>
          <w:sz w:val="24"/>
          <w:szCs w:val="24"/>
        </w:rPr>
        <w:t xml:space="preserve">minal cost rate $67.49 x 1.314 x 1.17 = $103.76 </w:t>
      </w:r>
    </w:p>
    <w:p w14:paraId="264B0EAC" w14:textId="77777777" w:rsidR="00C44408" w:rsidRPr="00554AB1" w:rsidRDefault="00C44408" w:rsidP="00C44408">
      <w:pPr>
        <w:spacing w:after="0"/>
        <w:rPr>
          <w:rFonts w:ascii="Arial" w:eastAsia="Times New Roman" w:hAnsi="Arial" w:cs="Arial"/>
          <w:color w:val="555555"/>
          <w:sz w:val="24"/>
          <w:szCs w:val="24"/>
        </w:rPr>
      </w:pPr>
    </w:p>
    <w:p w14:paraId="287EB461" w14:textId="77777777" w:rsidR="00C44408" w:rsidRPr="00554AB1" w:rsidRDefault="00C44408" w:rsidP="00C44408">
      <w:pPr>
        <w:spacing w:after="0"/>
        <w:rPr>
          <w:rFonts w:ascii="Arial" w:eastAsia="Times New Roman" w:hAnsi="Arial" w:cs="Arial"/>
          <w:color w:val="555555"/>
          <w:sz w:val="24"/>
          <w:szCs w:val="24"/>
        </w:rPr>
      </w:pPr>
    </w:p>
    <w:p w14:paraId="1FDAA330" w14:textId="77777777" w:rsidR="00C44408" w:rsidRPr="00554AB1" w:rsidRDefault="00C44408"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Once the data is received, it must be processed by 3 Spectrum Engineers, one at the FAA Service Area level by the Frequency Management Officer (FMO), and then one (1) Spectrum Engineer band subject matter expert (SME) review at the FAA HQ level.  A final quality, policy and protocol review is completed by the Spectrum Frequency Assignment Subcommittee (FAS) representative prior to export to the NTIA for final approval.</w:t>
      </w:r>
    </w:p>
    <w:p w14:paraId="21B339E3" w14:textId="77777777" w:rsidR="00C44408" w:rsidRPr="00554AB1" w:rsidRDefault="00C44408"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The table below estimates the WebFCR Engineer support and analysis work by the processing team.</w:t>
      </w:r>
    </w:p>
    <w:p w14:paraId="73C07DF2" w14:textId="77777777" w:rsidR="00C44408" w:rsidRPr="00554AB1" w:rsidRDefault="00C44408" w:rsidP="00C44408">
      <w:pPr>
        <w:spacing w:after="0"/>
        <w:rPr>
          <w:rFonts w:ascii="Arial" w:eastAsia="Times New Roman" w:hAnsi="Arial" w:cs="Arial"/>
          <w:color w:val="555555"/>
          <w:sz w:val="24"/>
          <w:szCs w:val="24"/>
        </w:rPr>
      </w:pPr>
    </w:p>
    <w:p w14:paraId="3AACADDE" w14:textId="77777777" w:rsidR="00C44408" w:rsidRPr="00554AB1" w:rsidRDefault="00C44408" w:rsidP="00C44408">
      <w:pPr>
        <w:spacing w:after="0"/>
        <w:rPr>
          <w:rFonts w:ascii="Arial" w:eastAsia="Times New Roman" w:hAnsi="Arial" w:cs="Arial"/>
          <w:color w:val="555555"/>
          <w:sz w:val="24"/>
          <w:szCs w:val="24"/>
        </w:rPr>
      </w:pPr>
    </w:p>
    <w:p w14:paraId="72A9626A" w14:textId="25AB2378" w:rsidR="00C44408" w:rsidRPr="00554AB1" w:rsidRDefault="00C44408"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 xml:space="preserve">  See Tables</w:t>
      </w:r>
      <w:r w:rsidR="004646CD" w:rsidRPr="00554AB1">
        <w:rPr>
          <w:rFonts w:ascii="Arial" w:eastAsia="Times New Roman" w:hAnsi="Arial" w:cs="Arial"/>
          <w:color w:val="555555"/>
          <w:sz w:val="24"/>
          <w:szCs w:val="24"/>
        </w:rPr>
        <w:t xml:space="preserve"> 1</w:t>
      </w:r>
      <w:r w:rsidR="001D5DF8" w:rsidRPr="00554AB1">
        <w:rPr>
          <w:rFonts w:ascii="Arial" w:eastAsia="Times New Roman" w:hAnsi="Arial" w:cs="Arial"/>
          <w:color w:val="555555"/>
          <w:sz w:val="24"/>
          <w:szCs w:val="24"/>
        </w:rPr>
        <w:t>4a</w:t>
      </w:r>
      <w:r w:rsidRPr="00554AB1">
        <w:rPr>
          <w:rFonts w:ascii="Arial" w:eastAsia="Times New Roman" w:hAnsi="Arial" w:cs="Arial"/>
          <w:color w:val="555555"/>
          <w:sz w:val="24"/>
          <w:szCs w:val="24"/>
        </w:rPr>
        <w:t xml:space="preserve"> Summary below for calculations.</w:t>
      </w:r>
    </w:p>
    <w:p w14:paraId="67317990" w14:textId="77777777" w:rsidR="00C44408" w:rsidRDefault="00C44408" w:rsidP="00C44408">
      <w:pPr>
        <w:spacing w:after="0"/>
      </w:pPr>
    </w:p>
    <w:p w14:paraId="7011694B" w14:textId="77777777" w:rsidR="00C44408" w:rsidRDefault="00C44408" w:rsidP="00C44408">
      <w:pPr>
        <w:spacing w:after="0"/>
      </w:pPr>
    </w:p>
    <w:p w14:paraId="6701563C" w14:textId="31182379" w:rsidR="00C44408" w:rsidRPr="00554AB1" w:rsidRDefault="001D5DF8" w:rsidP="00C44408">
      <w:pPr>
        <w:spacing w:after="0"/>
        <w:jc w:val="center"/>
        <w:rPr>
          <w:rFonts w:ascii="Arial" w:hAnsi="Arial" w:cs="Arial"/>
          <w:b/>
        </w:rPr>
      </w:pPr>
      <w:r w:rsidRPr="00554AB1">
        <w:rPr>
          <w:rFonts w:ascii="Arial" w:hAnsi="Arial" w:cs="Arial"/>
          <w:b/>
        </w:rPr>
        <w:t>Table 14a</w:t>
      </w:r>
      <w:r w:rsidR="004646CD" w:rsidRPr="00554AB1">
        <w:rPr>
          <w:rFonts w:ascii="Arial" w:hAnsi="Arial" w:cs="Arial"/>
          <w:b/>
        </w:rPr>
        <w:t xml:space="preserve"> – WebFCR Processing &amp; Costing</w:t>
      </w:r>
      <w:r w:rsidR="00C44408" w:rsidRPr="00554AB1">
        <w:rPr>
          <w:rFonts w:ascii="Arial" w:hAnsi="Arial" w:cs="Arial"/>
          <w:b/>
        </w:rPr>
        <w:t xml:space="preserve"> Estimated</w:t>
      </w:r>
    </w:p>
    <w:tbl>
      <w:tblPr>
        <w:tblStyle w:val="TableGrid"/>
        <w:tblW w:w="0" w:type="auto"/>
        <w:tblInd w:w="0" w:type="dxa"/>
        <w:tblLook w:val="04A0" w:firstRow="1" w:lastRow="0" w:firstColumn="1" w:lastColumn="0" w:noHBand="0" w:noVBand="1"/>
      </w:tblPr>
      <w:tblGrid>
        <w:gridCol w:w="1951"/>
        <w:gridCol w:w="1270"/>
        <w:gridCol w:w="1084"/>
        <w:gridCol w:w="1124"/>
        <w:gridCol w:w="1350"/>
        <w:gridCol w:w="1233"/>
        <w:gridCol w:w="1564"/>
      </w:tblGrid>
      <w:tr w:rsidR="00C44408" w14:paraId="237D7D57" w14:textId="77777777" w:rsidTr="002649BF">
        <w:tc>
          <w:tcPr>
            <w:tcW w:w="2041" w:type="dxa"/>
            <w:tcBorders>
              <w:top w:val="single" w:sz="4" w:space="0" w:color="auto"/>
              <w:left w:val="single" w:sz="4" w:space="0" w:color="auto"/>
              <w:bottom w:val="single" w:sz="4" w:space="0" w:color="auto"/>
              <w:right w:val="single" w:sz="4" w:space="0" w:color="auto"/>
            </w:tcBorders>
            <w:hideMark/>
          </w:tcPr>
          <w:p w14:paraId="39561C88" w14:textId="77777777" w:rsidR="00C44408" w:rsidRPr="00554AB1" w:rsidRDefault="00C44408" w:rsidP="0011277A">
            <w:pPr>
              <w:rPr>
                <w:rFonts w:ascii="Arial" w:eastAsia="Times New Roman" w:hAnsi="Arial" w:cs="Arial"/>
                <w:color w:val="555555"/>
                <w:sz w:val="24"/>
                <w:szCs w:val="24"/>
              </w:rPr>
            </w:pPr>
            <w:r w:rsidRPr="00554AB1">
              <w:rPr>
                <w:rFonts w:ascii="Arial" w:eastAsia="Times New Roman" w:hAnsi="Arial" w:cs="Arial"/>
                <w:color w:val="555555"/>
                <w:sz w:val="24"/>
                <w:szCs w:val="24"/>
              </w:rPr>
              <w:t>Federal government Employee by general labor category description</w:t>
            </w:r>
          </w:p>
        </w:tc>
        <w:tc>
          <w:tcPr>
            <w:tcW w:w="1152" w:type="dxa"/>
            <w:tcBorders>
              <w:top w:val="single" w:sz="4" w:space="0" w:color="auto"/>
              <w:left w:val="single" w:sz="4" w:space="0" w:color="auto"/>
              <w:bottom w:val="single" w:sz="4" w:space="0" w:color="auto"/>
              <w:right w:val="single" w:sz="4" w:space="0" w:color="auto"/>
            </w:tcBorders>
            <w:hideMark/>
          </w:tcPr>
          <w:p w14:paraId="379153FD" w14:textId="1A4CFEC4" w:rsidR="00C44408" w:rsidRPr="00554AB1" w:rsidRDefault="00C44408" w:rsidP="0011277A">
            <w:pPr>
              <w:rPr>
                <w:rFonts w:ascii="Arial" w:eastAsia="Times New Roman" w:hAnsi="Arial" w:cs="Arial"/>
                <w:color w:val="555555"/>
                <w:sz w:val="24"/>
                <w:szCs w:val="24"/>
              </w:rPr>
            </w:pPr>
            <w:r w:rsidRPr="00554AB1">
              <w:rPr>
                <w:rFonts w:ascii="Arial" w:eastAsia="Times New Roman" w:hAnsi="Arial" w:cs="Arial"/>
                <w:color w:val="555555"/>
                <w:sz w:val="24"/>
                <w:szCs w:val="24"/>
              </w:rPr>
              <w:t>Avg. Approx</w:t>
            </w:r>
            <w:r w:rsidR="00F66C83" w:rsidRPr="00554AB1">
              <w:rPr>
                <w:rFonts w:ascii="Arial" w:eastAsia="Times New Roman" w:hAnsi="Arial" w:cs="Arial"/>
                <w:color w:val="555555"/>
                <w:sz w:val="24"/>
                <w:szCs w:val="24"/>
              </w:rPr>
              <w:t>.</w:t>
            </w:r>
            <w:r w:rsidRPr="00554AB1">
              <w:rPr>
                <w:rFonts w:ascii="Arial" w:eastAsia="Times New Roman" w:hAnsi="Arial" w:cs="Arial"/>
                <w:color w:val="555555"/>
                <w:sz w:val="24"/>
                <w:szCs w:val="24"/>
              </w:rPr>
              <w:t xml:space="preserve"> Wage Rate/hour</w:t>
            </w:r>
          </w:p>
        </w:tc>
        <w:tc>
          <w:tcPr>
            <w:tcW w:w="1008" w:type="dxa"/>
            <w:tcBorders>
              <w:top w:val="single" w:sz="4" w:space="0" w:color="auto"/>
              <w:left w:val="single" w:sz="4" w:space="0" w:color="auto"/>
              <w:bottom w:val="single" w:sz="4" w:space="0" w:color="auto"/>
              <w:right w:val="single" w:sz="4" w:space="0" w:color="auto"/>
            </w:tcBorders>
            <w:hideMark/>
          </w:tcPr>
          <w:p w14:paraId="5D4FEECB" w14:textId="77777777" w:rsidR="00C44408" w:rsidRPr="00554AB1" w:rsidRDefault="00C44408" w:rsidP="0011277A">
            <w:pPr>
              <w:rPr>
                <w:rFonts w:ascii="Arial" w:eastAsia="Times New Roman" w:hAnsi="Arial" w:cs="Arial"/>
                <w:color w:val="555555"/>
                <w:sz w:val="24"/>
                <w:szCs w:val="24"/>
              </w:rPr>
            </w:pPr>
            <w:r w:rsidRPr="00554AB1">
              <w:rPr>
                <w:rFonts w:ascii="Arial" w:eastAsia="Times New Roman" w:hAnsi="Arial" w:cs="Arial"/>
                <w:color w:val="555555"/>
                <w:sz w:val="24"/>
                <w:szCs w:val="24"/>
              </w:rPr>
              <w:t>Fully Burden</w:t>
            </w:r>
          </w:p>
          <w:p w14:paraId="5E88D270" w14:textId="77777777" w:rsidR="00C44408" w:rsidRPr="00554AB1" w:rsidRDefault="00C44408" w:rsidP="0011277A">
            <w:pPr>
              <w:rPr>
                <w:rFonts w:ascii="Arial" w:eastAsia="Times New Roman" w:hAnsi="Arial" w:cs="Arial"/>
                <w:color w:val="555555"/>
                <w:sz w:val="24"/>
                <w:szCs w:val="24"/>
              </w:rPr>
            </w:pPr>
            <w:r w:rsidRPr="00554AB1">
              <w:rPr>
                <w:rFonts w:ascii="Arial" w:eastAsia="Times New Roman" w:hAnsi="Arial" w:cs="Arial"/>
                <w:color w:val="555555"/>
                <w:sz w:val="24"/>
                <w:szCs w:val="24"/>
              </w:rPr>
              <w:t>Rates</w:t>
            </w:r>
          </w:p>
        </w:tc>
        <w:tc>
          <w:tcPr>
            <w:tcW w:w="1157" w:type="dxa"/>
            <w:tcBorders>
              <w:top w:val="single" w:sz="4" w:space="0" w:color="auto"/>
              <w:left w:val="single" w:sz="4" w:space="0" w:color="auto"/>
              <w:bottom w:val="single" w:sz="4" w:space="0" w:color="auto"/>
              <w:right w:val="single" w:sz="4" w:space="0" w:color="auto"/>
            </w:tcBorders>
            <w:hideMark/>
          </w:tcPr>
          <w:p w14:paraId="41FDF3B8" w14:textId="1E802EA7" w:rsidR="00C44408" w:rsidRPr="00554AB1" w:rsidRDefault="00C44408" w:rsidP="0011277A">
            <w:pPr>
              <w:rPr>
                <w:rFonts w:ascii="Arial" w:eastAsia="Times New Roman" w:hAnsi="Arial" w:cs="Arial"/>
                <w:color w:val="555555"/>
                <w:sz w:val="24"/>
                <w:szCs w:val="24"/>
              </w:rPr>
            </w:pPr>
            <w:r w:rsidRPr="00554AB1">
              <w:rPr>
                <w:rFonts w:ascii="Arial" w:eastAsia="Times New Roman" w:hAnsi="Arial" w:cs="Arial"/>
                <w:color w:val="555555"/>
                <w:sz w:val="24"/>
                <w:szCs w:val="24"/>
              </w:rPr>
              <w:t>Process time for each IC</w:t>
            </w:r>
          </w:p>
        </w:tc>
        <w:tc>
          <w:tcPr>
            <w:tcW w:w="1162" w:type="dxa"/>
            <w:tcBorders>
              <w:top w:val="single" w:sz="4" w:space="0" w:color="auto"/>
              <w:left w:val="single" w:sz="4" w:space="0" w:color="auto"/>
              <w:bottom w:val="single" w:sz="4" w:space="0" w:color="auto"/>
              <w:right w:val="single" w:sz="4" w:space="0" w:color="auto"/>
            </w:tcBorders>
            <w:hideMark/>
          </w:tcPr>
          <w:p w14:paraId="467BBC4D" w14:textId="0F2FC35F" w:rsidR="00C44408" w:rsidRPr="00554AB1" w:rsidRDefault="00C44408" w:rsidP="0011277A">
            <w:pPr>
              <w:rPr>
                <w:rFonts w:ascii="Arial" w:eastAsia="Times New Roman" w:hAnsi="Arial" w:cs="Arial"/>
                <w:color w:val="555555"/>
                <w:sz w:val="24"/>
                <w:szCs w:val="24"/>
              </w:rPr>
            </w:pPr>
            <w:r w:rsidRPr="00554AB1">
              <w:rPr>
                <w:rFonts w:ascii="Arial" w:eastAsia="Times New Roman" w:hAnsi="Arial" w:cs="Arial"/>
                <w:color w:val="555555"/>
                <w:sz w:val="24"/>
                <w:szCs w:val="24"/>
              </w:rPr>
              <w:t>Total records Processed  for all ICs</w:t>
            </w:r>
          </w:p>
        </w:tc>
        <w:tc>
          <w:tcPr>
            <w:tcW w:w="1344" w:type="dxa"/>
            <w:tcBorders>
              <w:top w:val="single" w:sz="4" w:space="0" w:color="auto"/>
              <w:left w:val="single" w:sz="4" w:space="0" w:color="auto"/>
              <w:bottom w:val="single" w:sz="4" w:space="0" w:color="auto"/>
              <w:right w:val="single" w:sz="4" w:space="0" w:color="auto"/>
            </w:tcBorders>
            <w:hideMark/>
          </w:tcPr>
          <w:p w14:paraId="13F3A360" w14:textId="136CF0B9" w:rsidR="00C44408" w:rsidRPr="00554AB1" w:rsidRDefault="002649BF" w:rsidP="0011277A">
            <w:pPr>
              <w:rPr>
                <w:rFonts w:ascii="Arial" w:eastAsia="Times New Roman" w:hAnsi="Arial" w:cs="Arial"/>
                <w:color w:val="555555"/>
                <w:sz w:val="24"/>
                <w:szCs w:val="24"/>
              </w:rPr>
            </w:pPr>
            <w:r w:rsidRPr="00554AB1">
              <w:rPr>
                <w:rFonts w:ascii="Arial" w:eastAsia="Times New Roman" w:hAnsi="Arial" w:cs="Arial"/>
                <w:color w:val="555555"/>
                <w:sz w:val="24"/>
                <w:szCs w:val="24"/>
              </w:rPr>
              <w:t xml:space="preserve">Total </w:t>
            </w:r>
            <w:r w:rsidR="00C44408" w:rsidRPr="00554AB1">
              <w:rPr>
                <w:rFonts w:ascii="Arial" w:eastAsia="Times New Roman" w:hAnsi="Arial" w:cs="Arial"/>
                <w:color w:val="555555"/>
                <w:sz w:val="24"/>
                <w:szCs w:val="24"/>
              </w:rPr>
              <w:t xml:space="preserve">hours </w:t>
            </w:r>
            <w:r w:rsidR="001D5DF8" w:rsidRPr="00554AB1">
              <w:rPr>
                <w:rFonts w:ascii="Arial" w:eastAsia="Times New Roman" w:hAnsi="Arial" w:cs="Arial"/>
                <w:color w:val="555555"/>
                <w:sz w:val="24"/>
                <w:szCs w:val="24"/>
              </w:rPr>
              <w:t>required for All ICs.</w:t>
            </w:r>
          </w:p>
        </w:tc>
        <w:tc>
          <w:tcPr>
            <w:tcW w:w="1486" w:type="dxa"/>
            <w:tcBorders>
              <w:top w:val="single" w:sz="4" w:space="0" w:color="auto"/>
              <w:left w:val="single" w:sz="4" w:space="0" w:color="auto"/>
              <w:bottom w:val="single" w:sz="4" w:space="0" w:color="auto"/>
              <w:right w:val="single" w:sz="4" w:space="0" w:color="auto"/>
            </w:tcBorders>
            <w:hideMark/>
          </w:tcPr>
          <w:p w14:paraId="04CF65B5" w14:textId="77777777" w:rsidR="00C44408" w:rsidRPr="00554AB1" w:rsidRDefault="00C44408" w:rsidP="0011277A">
            <w:pPr>
              <w:rPr>
                <w:rFonts w:ascii="Arial" w:eastAsia="Times New Roman" w:hAnsi="Arial" w:cs="Arial"/>
                <w:color w:val="555555"/>
                <w:sz w:val="24"/>
                <w:szCs w:val="24"/>
              </w:rPr>
            </w:pPr>
            <w:r w:rsidRPr="00554AB1">
              <w:rPr>
                <w:rFonts w:ascii="Arial" w:eastAsia="Times New Roman" w:hAnsi="Arial" w:cs="Arial"/>
                <w:color w:val="555555"/>
                <w:sz w:val="24"/>
                <w:szCs w:val="24"/>
              </w:rPr>
              <w:t>Approximate Annualized cost to the Government</w:t>
            </w:r>
          </w:p>
        </w:tc>
      </w:tr>
      <w:tr w:rsidR="002649BF" w14:paraId="03AD2022" w14:textId="77777777" w:rsidTr="002649BF">
        <w:tc>
          <w:tcPr>
            <w:tcW w:w="2041" w:type="dxa"/>
            <w:tcBorders>
              <w:top w:val="single" w:sz="4" w:space="0" w:color="auto"/>
              <w:left w:val="single" w:sz="4" w:space="0" w:color="auto"/>
              <w:bottom w:val="single" w:sz="4" w:space="0" w:color="auto"/>
              <w:right w:val="single" w:sz="4" w:space="0" w:color="auto"/>
            </w:tcBorders>
            <w:hideMark/>
          </w:tcPr>
          <w:p w14:paraId="203E2901" w14:textId="6CDB1C90"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Coo</w:t>
            </w:r>
            <w:r w:rsidR="00F66C83" w:rsidRPr="00554AB1">
              <w:rPr>
                <w:rFonts w:ascii="Arial" w:eastAsia="Times New Roman" w:hAnsi="Arial" w:cs="Arial"/>
                <w:color w:val="555555"/>
                <w:sz w:val="24"/>
                <w:szCs w:val="24"/>
              </w:rPr>
              <w:t>r</w:t>
            </w:r>
            <w:r w:rsidRPr="00554AB1">
              <w:rPr>
                <w:rFonts w:ascii="Arial" w:eastAsia="Times New Roman" w:hAnsi="Arial" w:cs="Arial"/>
                <w:color w:val="555555"/>
                <w:sz w:val="24"/>
                <w:szCs w:val="24"/>
              </w:rPr>
              <w:t>d/Analyst</w:t>
            </w:r>
          </w:p>
        </w:tc>
        <w:tc>
          <w:tcPr>
            <w:tcW w:w="1152" w:type="dxa"/>
            <w:tcBorders>
              <w:top w:val="single" w:sz="4" w:space="0" w:color="auto"/>
              <w:left w:val="single" w:sz="4" w:space="0" w:color="auto"/>
              <w:bottom w:val="single" w:sz="4" w:space="0" w:color="auto"/>
              <w:right w:val="single" w:sz="4" w:space="0" w:color="auto"/>
            </w:tcBorders>
            <w:hideMark/>
          </w:tcPr>
          <w:p w14:paraId="0BB7E043" w14:textId="7BF1192B"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$48.56</w:t>
            </w:r>
          </w:p>
        </w:tc>
        <w:tc>
          <w:tcPr>
            <w:tcW w:w="1008" w:type="dxa"/>
            <w:tcBorders>
              <w:top w:val="single" w:sz="4" w:space="0" w:color="auto"/>
              <w:left w:val="single" w:sz="4" w:space="0" w:color="auto"/>
              <w:bottom w:val="single" w:sz="4" w:space="0" w:color="auto"/>
              <w:right w:val="single" w:sz="4" w:space="0" w:color="auto"/>
            </w:tcBorders>
            <w:hideMark/>
          </w:tcPr>
          <w:p w14:paraId="2823161A" w14:textId="29590434"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$74.66</w:t>
            </w:r>
          </w:p>
        </w:tc>
        <w:tc>
          <w:tcPr>
            <w:tcW w:w="1157" w:type="dxa"/>
            <w:tcBorders>
              <w:top w:val="single" w:sz="4" w:space="0" w:color="auto"/>
              <w:left w:val="single" w:sz="4" w:space="0" w:color="auto"/>
              <w:bottom w:val="single" w:sz="4" w:space="0" w:color="auto"/>
              <w:right w:val="single" w:sz="4" w:space="0" w:color="auto"/>
            </w:tcBorders>
            <w:hideMark/>
          </w:tcPr>
          <w:p w14:paraId="651399EB"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0.5</w:t>
            </w:r>
          </w:p>
        </w:tc>
        <w:tc>
          <w:tcPr>
            <w:tcW w:w="1162" w:type="dxa"/>
            <w:tcBorders>
              <w:top w:val="single" w:sz="4" w:space="0" w:color="auto"/>
              <w:left w:val="single" w:sz="4" w:space="0" w:color="auto"/>
              <w:bottom w:val="single" w:sz="4" w:space="0" w:color="auto"/>
              <w:right w:val="single" w:sz="4" w:space="0" w:color="auto"/>
            </w:tcBorders>
            <w:hideMark/>
          </w:tcPr>
          <w:p w14:paraId="3C04A83C"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1086</w:t>
            </w:r>
          </w:p>
        </w:tc>
        <w:tc>
          <w:tcPr>
            <w:tcW w:w="1344" w:type="dxa"/>
            <w:tcBorders>
              <w:top w:val="single" w:sz="4" w:space="0" w:color="auto"/>
              <w:left w:val="single" w:sz="4" w:space="0" w:color="auto"/>
              <w:bottom w:val="single" w:sz="4" w:space="0" w:color="auto"/>
              <w:right w:val="single" w:sz="4" w:space="0" w:color="auto"/>
            </w:tcBorders>
            <w:hideMark/>
          </w:tcPr>
          <w:p w14:paraId="19B6D3CD"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 xml:space="preserve">  543</w:t>
            </w:r>
          </w:p>
        </w:tc>
        <w:tc>
          <w:tcPr>
            <w:tcW w:w="1486" w:type="dxa"/>
            <w:tcBorders>
              <w:top w:val="single" w:sz="4" w:space="0" w:color="auto"/>
              <w:left w:val="single" w:sz="4" w:space="0" w:color="auto"/>
              <w:bottom w:val="single" w:sz="4" w:space="0" w:color="auto"/>
              <w:right w:val="single" w:sz="4" w:space="0" w:color="auto"/>
            </w:tcBorders>
            <w:hideMark/>
          </w:tcPr>
          <w:p w14:paraId="15E81653" w14:textId="72AFD6DD" w:rsidR="002649BF" w:rsidRPr="00554AB1" w:rsidRDefault="001D5DF8"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$40,540.38</w:t>
            </w:r>
          </w:p>
        </w:tc>
      </w:tr>
      <w:tr w:rsidR="002649BF" w14:paraId="1B06AE98" w14:textId="77777777" w:rsidTr="002649BF">
        <w:tc>
          <w:tcPr>
            <w:tcW w:w="2041" w:type="dxa"/>
            <w:tcBorders>
              <w:top w:val="single" w:sz="4" w:space="0" w:color="auto"/>
              <w:left w:val="single" w:sz="4" w:space="0" w:color="auto"/>
              <w:bottom w:val="single" w:sz="4" w:space="0" w:color="auto"/>
              <w:right w:val="single" w:sz="4" w:space="0" w:color="auto"/>
            </w:tcBorders>
            <w:hideMark/>
          </w:tcPr>
          <w:p w14:paraId="23B671C0"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Spectrum/FMO</w:t>
            </w:r>
          </w:p>
        </w:tc>
        <w:tc>
          <w:tcPr>
            <w:tcW w:w="1152" w:type="dxa"/>
            <w:tcBorders>
              <w:top w:val="single" w:sz="4" w:space="0" w:color="auto"/>
              <w:left w:val="single" w:sz="4" w:space="0" w:color="auto"/>
              <w:bottom w:val="single" w:sz="4" w:space="0" w:color="auto"/>
              <w:right w:val="single" w:sz="4" w:space="0" w:color="auto"/>
            </w:tcBorders>
            <w:hideMark/>
          </w:tcPr>
          <w:p w14:paraId="29368B79" w14:textId="7F2E7FA4"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$57.38</w:t>
            </w:r>
          </w:p>
        </w:tc>
        <w:tc>
          <w:tcPr>
            <w:tcW w:w="1008" w:type="dxa"/>
            <w:tcBorders>
              <w:top w:val="single" w:sz="4" w:space="0" w:color="auto"/>
              <w:left w:val="single" w:sz="4" w:space="0" w:color="auto"/>
              <w:bottom w:val="single" w:sz="4" w:space="0" w:color="auto"/>
              <w:right w:val="single" w:sz="4" w:space="0" w:color="auto"/>
            </w:tcBorders>
            <w:hideMark/>
          </w:tcPr>
          <w:p w14:paraId="2C9167B1" w14:textId="284F43DB"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$88.21</w:t>
            </w:r>
          </w:p>
        </w:tc>
        <w:tc>
          <w:tcPr>
            <w:tcW w:w="1157" w:type="dxa"/>
            <w:tcBorders>
              <w:top w:val="single" w:sz="4" w:space="0" w:color="auto"/>
              <w:left w:val="single" w:sz="4" w:space="0" w:color="auto"/>
              <w:bottom w:val="single" w:sz="4" w:space="0" w:color="auto"/>
              <w:right w:val="single" w:sz="4" w:space="0" w:color="auto"/>
            </w:tcBorders>
            <w:hideMark/>
          </w:tcPr>
          <w:p w14:paraId="6143B6C2"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0.5</w:t>
            </w:r>
          </w:p>
        </w:tc>
        <w:tc>
          <w:tcPr>
            <w:tcW w:w="1162" w:type="dxa"/>
            <w:tcBorders>
              <w:top w:val="single" w:sz="4" w:space="0" w:color="auto"/>
              <w:left w:val="single" w:sz="4" w:space="0" w:color="auto"/>
              <w:bottom w:val="single" w:sz="4" w:space="0" w:color="auto"/>
              <w:right w:val="single" w:sz="4" w:space="0" w:color="auto"/>
            </w:tcBorders>
            <w:hideMark/>
          </w:tcPr>
          <w:p w14:paraId="7DC718EC"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2400</w:t>
            </w:r>
          </w:p>
        </w:tc>
        <w:tc>
          <w:tcPr>
            <w:tcW w:w="1344" w:type="dxa"/>
            <w:tcBorders>
              <w:top w:val="single" w:sz="4" w:space="0" w:color="auto"/>
              <w:left w:val="single" w:sz="4" w:space="0" w:color="auto"/>
              <w:bottom w:val="single" w:sz="4" w:space="0" w:color="auto"/>
              <w:right w:val="single" w:sz="4" w:space="0" w:color="auto"/>
            </w:tcBorders>
            <w:hideMark/>
          </w:tcPr>
          <w:p w14:paraId="5A141DE1"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1200</w:t>
            </w:r>
          </w:p>
        </w:tc>
        <w:tc>
          <w:tcPr>
            <w:tcW w:w="1486" w:type="dxa"/>
            <w:tcBorders>
              <w:top w:val="single" w:sz="4" w:space="0" w:color="auto"/>
              <w:left w:val="single" w:sz="4" w:space="0" w:color="auto"/>
              <w:bottom w:val="single" w:sz="4" w:space="0" w:color="auto"/>
              <w:right w:val="single" w:sz="4" w:space="0" w:color="auto"/>
            </w:tcBorders>
            <w:hideMark/>
          </w:tcPr>
          <w:p w14:paraId="50CB1C3A" w14:textId="1AD45142" w:rsidR="002649BF" w:rsidRPr="00554AB1" w:rsidRDefault="001D5DF8"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$105,852</w:t>
            </w:r>
          </w:p>
        </w:tc>
      </w:tr>
      <w:tr w:rsidR="002649BF" w14:paraId="5551C166" w14:textId="77777777" w:rsidTr="002649BF">
        <w:tc>
          <w:tcPr>
            <w:tcW w:w="2041" w:type="dxa"/>
            <w:tcBorders>
              <w:top w:val="single" w:sz="4" w:space="0" w:color="auto"/>
              <w:left w:val="single" w:sz="4" w:space="0" w:color="auto"/>
              <w:bottom w:val="single" w:sz="4" w:space="0" w:color="auto"/>
              <w:right w:val="single" w:sz="4" w:space="0" w:color="auto"/>
            </w:tcBorders>
            <w:hideMark/>
          </w:tcPr>
          <w:p w14:paraId="6A64C8AB"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Spectrum/SME</w:t>
            </w:r>
          </w:p>
        </w:tc>
        <w:tc>
          <w:tcPr>
            <w:tcW w:w="1152" w:type="dxa"/>
            <w:tcBorders>
              <w:top w:val="single" w:sz="4" w:space="0" w:color="auto"/>
              <w:left w:val="single" w:sz="4" w:space="0" w:color="auto"/>
              <w:bottom w:val="single" w:sz="4" w:space="0" w:color="auto"/>
              <w:right w:val="single" w:sz="4" w:space="0" w:color="auto"/>
            </w:tcBorders>
            <w:hideMark/>
          </w:tcPr>
          <w:p w14:paraId="377344F4" w14:textId="56611F01"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$67.49</w:t>
            </w:r>
          </w:p>
        </w:tc>
        <w:tc>
          <w:tcPr>
            <w:tcW w:w="1008" w:type="dxa"/>
            <w:tcBorders>
              <w:top w:val="single" w:sz="4" w:space="0" w:color="auto"/>
              <w:left w:val="single" w:sz="4" w:space="0" w:color="auto"/>
              <w:bottom w:val="single" w:sz="4" w:space="0" w:color="auto"/>
              <w:right w:val="single" w:sz="4" w:space="0" w:color="auto"/>
            </w:tcBorders>
            <w:hideMark/>
          </w:tcPr>
          <w:p w14:paraId="5C290FA4" w14:textId="66413D55"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$103.76</w:t>
            </w:r>
          </w:p>
        </w:tc>
        <w:tc>
          <w:tcPr>
            <w:tcW w:w="1157" w:type="dxa"/>
            <w:tcBorders>
              <w:top w:val="single" w:sz="4" w:space="0" w:color="auto"/>
              <w:left w:val="single" w:sz="4" w:space="0" w:color="auto"/>
              <w:bottom w:val="single" w:sz="4" w:space="0" w:color="auto"/>
              <w:right w:val="single" w:sz="4" w:space="0" w:color="auto"/>
            </w:tcBorders>
            <w:hideMark/>
          </w:tcPr>
          <w:p w14:paraId="2E49FFF7"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0.4</w:t>
            </w:r>
          </w:p>
        </w:tc>
        <w:tc>
          <w:tcPr>
            <w:tcW w:w="1162" w:type="dxa"/>
            <w:tcBorders>
              <w:top w:val="single" w:sz="4" w:space="0" w:color="auto"/>
              <w:left w:val="single" w:sz="4" w:space="0" w:color="auto"/>
              <w:bottom w:val="single" w:sz="4" w:space="0" w:color="auto"/>
              <w:right w:val="single" w:sz="4" w:space="0" w:color="auto"/>
            </w:tcBorders>
            <w:hideMark/>
          </w:tcPr>
          <w:p w14:paraId="67ED6418"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2400</w:t>
            </w:r>
          </w:p>
        </w:tc>
        <w:tc>
          <w:tcPr>
            <w:tcW w:w="1344" w:type="dxa"/>
            <w:tcBorders>
              <w:top w:val="single" w:sz="4" w:space="0" w:color="auto"/>
              <w:left w:val="single" w:sz="4" w:space="0" w:color="auto"/>
              <w:bottom w:val="single" w:sz="4" w:space="0" w:color="auto"/>
              <w:right w:val="single" w:sz="4" w:space="0" w:color="auto"/>
            </w:tcBorders>
            <w:hideMark/>
          </w:tcPr>
          <w:p w14:paraId="1925E3DC"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 xml:space="preserve"> 960</w:t>
            </w:r>
          </w:p>
        </w:tc>
        <w:tc>
          <w:tcPr>
            <w:tcW w:w="1486" w:type="dxa"/>
            <w:tcBorders>
              <w:top w:val="single" w:sz="4" w:space="0" w:color="auto"/>
              <w:left w:val="single" w:sz="4" w:space="0" w:color="auto"/>
              <w:bottom w:val="single" w:sz="4" w:space="0" w:color="auto"/>
              <w:right w:val="single" w:sz="4" w:space="0" w:color="auto"/>
            </w:tcBorders>
            <w:hideMark/>
          </w:tcPr>
          <w:p w14:paraId="5DA31B0E" w14:textId="6DE4FA37" w:rsidR="002649BF" w:rsidRPr="00554AB1" w:rsidRDefault="001D5DF8"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$99,609.60</w:t>
            </w:r>
          </w:p>
        </w:tc>
      </w:tr>
      <w:tr w:rsidR="002649BF" w14:paraId="0C914143" w14:textId="77777777" w:rsidTr="002649BF">
        <w:tc>
          <w:tcPr>
            <w:tcW w:w="2041" w:type="dxa"/>
            <w:tcBorders>
              <w:top w:val="single" w:sz="4" w:space="0" w:color="auto"/>
              <w:left w:val="single" w:sz="4" w:space="0" w:color="auto"/>
              <w:bottom w:val="single" w:sz="4" w:space="0" w:color="auto"/>
              <w:right w:val="single" w:sz="4" w:space="0" w:color="auto"/>
            </w:tcBorders>
            <w:hideMark/>
          </w:tcPr>
          <w:p w14:paraId="3C7553AD"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Spectrum/FAS</w:t>
            </w:r>
          </w:p>
        </w:tc>
        <w:tc>
          <w:tcPr>
            <w:tcW w:w="1152" w:type="dxa"/>
            <w:tcBorders>
              <w:top w:val="single" w:sz="4" w:space="0" w:color="auto"/>
              <w:left w:val="single" w:sz="4" w:space="0" w:color="auto"/>
              <w:bottom w:val="single" w:sz="4" w:space="0" w:color="auto"/>
              <w:right w:val="single" w:sz="4" w:space="0" w:color="auto"/>
            </w:tcBorders>
            <w:hideMark/>
          </w:tcPr>
          <w:p w14:paraId="7C17E3B8" w14:textId="260D683F"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$67.49</w:t>
            </w:r>
          </w:p>
        </w:tc>
        <w:tc>
          <w:tcPr>
            <w:tcW w:w="1008" w:type="dxa"/>
            <w:tcBorders>
              <w:top w:val="single" w:sz="4" w:space="0" w:color="auto"/>
              <w:left w:val="single" w:sz="4" w:space="0" w:color="auto"/>
              <w:bottom w:val="single" w:sz="4" w:space="0" w:color="auto"/>
              <w:right w:val="single" w:sz="4" w:space="0" w:color="auto"/>
            </w:tcBorders>
            <w:hideMark/>
          </w:tcPr>
          <w:p w14:paraId="3B87FBCF" w14:textId="3A1B97ED"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$103.76</w:t>
            </w:r>
          </w:p>
        </w:tc>
        <w:tc>
          <w:tcPr>
            <w:tcW w:w="1157" w:type="dxa"/>
            <w:tcBorders>
              <w:top w:val="single" w:sz="4" w:space="0" w:color="auto"/>
              <w:left w:val="single" w:sz="4" w:space="0" w:color="auto"/>
              <w:bottom w:val="single" w:sz="4" w:space="0" w:color="auto"/>
              <w:right w:val="single" w:sz="4" w:space="0" w:color="auto"/>
            </w:tcBorders>
            <w:hideMark/>
          </w:tcPr>
          <w:p w14:paraId="6AD418AD"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0.25</w:t>
            </w:r>
          </w:p>
        </w:tc>
        <w:tc>
          <w:tcPr>
            <w:tcW w:w="1162" w:type="dxa"/>
            <w:tcBorders>
              <w:top w:val="single" w:sz="4" w:space="0" w:color="auto"/>
              <w:left w:val="single" w:sz="4" w:space="0" w:color="auto"/>
              <w:bottom w:val="single" w:sz="4" w:space="0" w:color="auto"/>
              <w:right w:val="single" w:sz="4" w:space="0" w:color="auto"/>
            </w:tcBorders>
            <w:hideMark/>
          </w:tcPr>
          <w:p w14:paraId="65C394F0"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2400</w:t>
            </w:r>
          </w:p>
        </w:tc>
        <w:tc>
          <w:tcPr>
            <w:tcW w:w="1344" w:type="dxa"/>
            <w:tcBorders>
              <w:top w:val="single" w:sz="4" w:space="0" w:color="auto"/>
              <w:left w:val="single" w:sz="4" w:space="0" w:color="auto"/>
              <w:bottom w:val="single" w:sz="4" w:space="0" w:color="auto"/>
              <w:right w:val="single" w:sz="4" w:space="0" w:color="auto"/>
            </w:tcBorders>
            <w:hideMark/>
          </w:tcPr>
          <w:p w14:paraId="1B35B134" w14:textId="77777777" w:rsidR="002649BF" w:rsidRPr="00554AB1" w:rsidRDefault="002649BF"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 xml:space="preserve"> 600</w:t>
            </w:r>
          </w:p>
        </w:tc>
        <w:tc>
          <w:tcPr>
            <w:tcW w:w="1486" w:type="dxa"/>
            <w:tcBorders>
              <w:top w:val="single" w:sz="4" w:space="0" w:color="auto"/>
              <w:left w:val="single" w:sz="4" w:space="0" w:color="auto"/>
              <w:bottom w:val="single" w:sz="4" w:space="0" w:color="auto"/>
              <w:right w:val="single" w:sz="4" w:space="0" w:color="auto"/>
            </w:tcBorders>
            <w:hideMark/>
          </w:tcPr>
          <w:p w14:paraId="75DBCE96" w14:textId="11165D3E" w:rsidR="002649BF" w:rsidRPr="00554AB1" w:rsidRDefault="001D5DF8"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$62,256.00</w:t>
            </w:r>
          </w:p>
        </w:tc>
      </w:tr>
      <w:tr w:rsidR="002649BF" w14:paraId="3DA2BF33" w14:textId="77777777" w:rsidTr="002649BF">
        <w:tc>
          <w:tcPr>
            <w:tcW w:w="7864" w:type="dxa"/>
            <w:gridSpan w:val="6"/>
            <w:tcBorders>
              <w:top w:val="single" w:sz="4" w:space="0" w:color="auto"/>
              <w:left w:val="single" w:sz="4" w:space="0" w:color="auto"/>
              <w:bottom w:val="single" w:sz="4" w:space="0" w:color="auto"/>
              <w:right w:val="single" w:sz="4" w:space="0" w:color="auto"/>
            </w:tcBorders>
            <w:hideMark/>
          </w:tcPr>
          <w:p w14:paraId="3B81690D" w14:textId="77777777" w:rsidR="002649BF" w:rsidRPr="00554AB1" w:rsidRDefault="002649BF" w:rsidP="002649BF">
            <w:pPr>
              <w:jc w:val="right"/>
              <w:rPr>
                <w:rFonts w:ascii="Arial" w:eastAsia="Times New Roman" w:hAnsi="Arial" w:cs="Arial"/>
                <w:color w:val="555555"/>
                <w:sz w:val="24"/>
                <w:szCs w:val="24"/>
              </w:rPr>
            </w:pPr>
            <w:r w:rsidRPr="00554AB1">
              <w:rPr>
                <w:rFonts w:ascii="Arial" w:eastAsia="Times New Roman" w:hAnsi="Arial" w:cs="Arial"/>
                <w:color w:val="555555"/>
                <w:sz w:val="24"/>
                <w:szCs w:val="24"/>
              </w:rPr>
              <w:t>Total</w:t>
            </w:r>
          </w:p>
        </w:tc>
        <w:tc>
          <w:tcPr>
            <w:tcW w:w="1486" w:type="dxa"/>
            <w:tcBorders>
              <w:top w:val="single" w:sz="4" w:space="0" w:color="auto"/>
              <w:left w:val="single" w:sz="4" w:space="0" w:color="auto"/>
              <w:bottom w:val="single" w:sz="4" w:space="0" w:color="auto"/>
              <w:right w:val="single" w:sz="4" w:space="0" w:color="auto"/>
            </w:tcBorders>
            <w:hideMark/>
          </w:tcPr>
          <w:p w14:paraId="6EA7FD06" w14:textId="192E40C0" w:rsidR="002649BF" w:rsidRPr="00554AB1" w:rsidRDefault="001D5DF8" w:rsidP="002649BF">
            <w:pPr>
              <w:rPr>
                <w:rFonts w:ascii="Arial" w:eastAsia="Times New Roman" w:hAnsi="Arial" w:cs="Arial"/>
                <w:color w:val="555555"/>
                <w:sz w:val="24"/>
                <w:szCs w:val="24"/>
              </w:rPr>
            </w:pPr>
            <w:r w:rsidRPr="00554AB1">
              <w:rPr>
                <w:rFonts w:ascii="Arial" w:eastAsia="Times New Roman" w:hAnsi="Arial" w:cs="Arial"/>
                <w:color w:val="555555"/>
                <w:sz w:val="24"/>
                <w:szCs w:val="24"/>
              </w:rPr>
              <w:t>$308,258.40</w:t>
            </w:r>
          </w:p>
        </w:tc>
      </w:tr>
    </w:tbl>
    <w:p w14:paraId="278DD049" w14:textId="77777777" w:rsidR="00C44408" w:rsidRDefault="00C44408" w:rsidP="00C44408">
      <w:pPr>
        <w:spacing w:after="0"/>
      </w:pPr>
    </w:p>
    <w:p w14:paraId="067C424F" w14:textId="77777777" w:rsidR="00C44408" w:rsidRDefault="00C44408" w:rsidP="00C44408">
      <w:pPr>
        <w:spacing w:after="0"/>
      </w:pPr>
    </w:p>
    <w:p w14:paraId="6808969B" w14:textId="2C24CA51" w:rsidR="00C44408" w:rsidRDefault="00C44408" w:rsidP="00C44408">
      <w:pPr>
        <w:spacing w:after="0"/>
      </w:pPr>
    </w:p>
    <w:p w14:paraId="1A723EF9" w14:textId="1C57AEB4" w:rsidR="002F54EB" w:rsidRPr="00554AB1" w:rsidRDefault="002F54EB"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In addition to these labor costs associated with processing these Information Collections, during CY2018, the FAA invested funds totaling $2</w:t>
      </w:r>
      <w:r w:rsidR="00694301">
        <w:rPr>
          <w:rFonts w:ascii="Arial" w:eastAsia="Times New Roman" w:hAnsi="Arial" w:cs="Arial"/>
          <w:color w:val="555555"/>
          <w:sz w:val="24"/>
          <w:szCs w:val="24"/>
        </w:rPr>
        <w:t>,</w:t>
      </w:r>
      <w:r w:rsidR="0039748A" w:rsidRPr="00554AB1">
        <w:rPr>
          <w:rFonts w:ascii="Arial" w:eastAsia="Times New Roman" w:hAnsi="Arial" w:cs="Arial"/>
          <w:color w:val="555555"/>
          <w:sz w:val="24"/>
          <w:szCs w:val="24"/>
        </w:rPr>
        <w:t>087</w:t>
      </w:r>
      <w:r w:rsidR="00694301">
        <w:rPr>
          <w:rFonts w:ascii="Arial" w:eastAsia="Times New Roman" w:hAnsi="Arial" w:cs="Arial"/>
          <w:color w:val="555555"/>
          <w:sz w:val="24"/>
          <w:szCs w:val="24"/>
        </w:rPr>
        <w:t>,</w:t>
      </w:r>
      <w:r w:rsidR="0039748A" w:rsidRPr="00554AB1">
        <w:rPr>
          <w:rFonts w:ascii="Arial" w:eastAsia="Times New Roman" w:hAnsi="Arial" w:cs="Arial"/>
          <w:color w:val="555555"/>
          <w:sz w:val="24"/>
          <w:szCs w:val="24"/>
        </w:rPr>
        <w:t>235.35</w:t>
      </w:r>
      <w:r w:rsidRPr="00554AB1">
        <w:rPr>
          <w:rFonts w:ascii="Arial" w:eastAsia="Times New Roman" w:hAnsi="Arial" w:cs="Arial"/>
          <w:color w:val="555555"/>
          <w:sz w:val="24"/>
          <w:szCs w:val="24"/>
        </w:rPr>
        <w:t xml:space="preserve"> to ma</w:t>
      </w:r>
      <w:r w:rsidR="0039748A" w:rsidRPr="00554AB1">
        <w:rPr>
          <w:rFonts w:ascii="Arial" w:eastAsia="Times New Roman" w:hAnsi="Arial" w:cs="Arial"/>
          <w:color w:val="555555"/>
          <w:sz w:val="24"/>
          <w:szCs w:val="24"/>
        </w:rPr>
        <w:t>intain and enhance the group of Spectrum Engineering</w:t>
      </w:r>
      <w:r w:rsidRPr="00554AB1">
        <w:rPr>
          <w:rFonts w:ascii="Arial" w:eastAsia="Times New Roman" w:hAnsi="Arial" w:cs="Arial"/>
          <w:color w:val="555555"/>
          <w:sz w:val="24"/>
          <w:szCs w:val="24"/>
        </w:rPr>
        <w:t xml:space="preserve"> System application</w:t>
      </w:r>
      <w:r w:rsidR="0039748A" w:rsidRPr="00554AB1">
        <w:rPr>
          <w:rFonts w:ascii="Arial" w:eastAsia="Times New Roman" w:hAnsi="Arial" w:cs="Arial"/>
          <w:color w:val="555555"/>
          <w:sz w:val="24"/>
          <w:szCs w:val="24"/>
        </w:rPr>
        <w:t>s inclusive of WebFCR</w:t>
      </w:r>
      <w:r w:rsidRPr="00554AB1">
        <w:rPr>
          <w:rFonts w:ascii="Arial" w:eastAsia="Times New Roman" w:hAnsi="Arial" w:cs="Arial"/>
          <w:color w:val="555555"/>
          <w:sz w:val="24"/>
          <w:szCs w:val="24"/>
        </w:rPr>
        <w:t>.</w:t>
      </w:r>
      <w:r w:rsidR="00694301">
        <w:rPr>
          <w:rFonts w:ascii="Arial" w:eastAsia="Times New Roman" w:hAnsi="Arial" w:cs="Arial"/>
          <w:color w:val="555555"/>
          <w:sz w:val="24"/>
          <w:szCs w:val="24"/>
        </w:rPr>
        <w:t xml:space="preserve"> This maintenance and enhancement process continues on an annual basis for these systems.</w:t>
      </w:r>
    </w:p>
    <w:p w14:paraId="2C86A435" w14:textId="19A64BE6" w:rsidR="00C44408" w:rsidRPr="00554AB1" w:rsidRDefault="00C44408" w:rsidP="00C44408">
      <w:pPr>
        <w:spacing w:after="0"/>
        <w:rPr>
          <w:rFonts w:ascii="Arial" w:eastAsia="Times New Roman" w:hAnsi="Arial" w:cs="Arial"/>
          <w:color w:val="555555"/>
          <w:sz w:val="24"/>
          <w:szCs w:val="24"/>
        </w:rPr>
      </w:pPr>
    </w:p>
    <w:p w14:paraId="44564E4F" w14:textId="0CE904EF" w:rsidR="00C44408" w:rsidRPr="00554AB1" w:rsidRDefault="00C44408" w:rsidP="00C44408">
      <w:pPr>
        <w:spacing w:after="0"/>
        <w:rPr>
          <w:rFonts w:ascii="Arial" w:eastAsia="Times New Roman" w:hAnsi="Arial" w:cs="Arial"/>
          <w:color w:val="555555"/>
          <w:sz w:val="24"/>
          <w:szCs w:val="24"/>
        </w:rPr>
      </w:pPr>
      <w:r w:rsidRPr="00554AB1">
        <w:rPr>
          <w:rFonts w:ascii="Arial" w:eastAsia="Times New Roman" w:hAnsi="Arial" w:cs="Arial"/>
          <w:color w:val="555555"/>
          <w:sz w:val="24"/>
          <w:szCs w:val="24"/>
        </w:rPr>
        <w:t>Therefore the total WebFCR system annualized processing</w:t>
      </w:r>
      <w:r w:rsidR="0039748A" w:rsidRPr="00554AB1">
        <w:rPr>
          <w:rFonts w:ascii="Arial" w:eastAsia="Times New Roman" w:hAnsi="Arial" w:cs="Arial"/>
          <w:color w:val="555555"/>
          <w:sz w:val="24"/>
          <w:szCs w:val="24"/>
        </w:rPr>
        <w:t>, maintenance and sustainment</w:t>
      </w:r>
      <w:r w:rsidRPr="00554AB1">
        <w:rPr>
          <w:rFonts w:ascii="Arial" w:eastAsia="Times New Roman" w:hAnsi="Arial" w:cs="Arial"/>
          <w:color w:val="555555"/>
          <w:sz w:val="24"/>
          <w:szCs w:val="24"/>
        </w:rPr>
        <w:t xml:space="preserve"> cost to the gov</w:t>
      </w:r>
      <w:r w:rsidR="0039748A" w:rsidRPr="00554AB1">
        <w:rPr>
          <w:rFonts w:ascii="Arial" w:eastAsia="Times New Roman" w:hAnsi="Arial" w:cs="Arial"/>
          <w:color w:val="555555"/>
          <w:sz w:val="24"/>
          <w:szCs w:val="24"/>
        </w:rPr>
        <w:t>ernment is estimated as $2,395,493.75</w:t>
      </w:r>
      <w:r w:rsidRPr="00554AB1">
        <w:rPr>
          <w:rFonts w:ascii="Arial" w:eastAsia="Times New Roman" w:hAnsi="Arial" w:cs="Arial"/>
          <w:color w:val="555555"/>
          <w:sz w:val="24"/>
          <w:szCs w:val="24"/>
        </w:rPr>
        <w:t xml:space="preserve"> annually.</w:t>
      </w:r>
    </w:p>
    <w:p w14:paraId="6EAA9FAC" w14:textId="3416E780" w:rsidR="00C44408" w:rsidRDefault="00C44408" w:rsidP="00C64707">
      <w:pPr>
        <w:shd w:val="clear" w:color="auto" w:fill="FFFFFF"/>
        <w:spacing w:after="0" w:line="240" w:lineRule="auto"/>
        <w:rPr>
          <w:rFonts w:ascii="Arial" w:eastAsia="Times New Roman" w:hAnsi="Arial" w:cs="Arial"/>
          <w:color w:val="555555"/>
          <w:sz w:val="24"/>
          <w:szCs w:val="24"/>
        </w:rPr>
      </w:pPr>
    </w:p>
    <w:p w14:paraId="22BC82CC"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14:paraId="34F2829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14:paraId="568869F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A570346" w14:textId="77777777" w:rsidR="00815F0F" w:rsidRPr="00815F0F" w:rsidRDefault="00815F0F" w:rsidP="00815F0F">
      <w:pPr>
        <w:rPr>
          <w:rFonts w:ascii="Arial" w:eastAsia="Times New Roman" w:hAnsi="Arial" w:cs="Arial"/>
          <w:color w:val="555555"/>
          <w:sz w:val="24"/>
          <w:szCs w:val="24"/>
        </w:rPr>
      </w:pPr>
      <w:r w:rsidRPr="00815F0F">
        <w:rPr>
          <w:rFonts w:ascii="Arial" w:eastAsia="Times New Roman" w:hAnsi="Arial" w:cs="Arial"/>
          <w:color w:val="555555"/>
          <w:sz w:val="24"/>
          <w:szCs w:val="24"/>
        </w:rPr>
        <w:t>This information collection is to request a new Information Collection Request (ICR) clearance for the FAA Spectrum Engineering and Policy Organization for information collection (IC) entitled, Website for Frequency Coordination Request, which was previously associated with OMB Control No. 2120-0001, relative to the form 7460-1. As outlined earlier, the inherent limitations imposed by the “Structure Construction or Alteration” factor, of the 7460 form, caused proponents to fail to respond for several broadcast applications when not directly associated with such cases and use or requirement for a radio frequency was not being properly captured and the required consideration data or aeronautical study initiated by FAA for the frequency engineering.  This new ICR removes, Web Based Frequency Coordination Request (WEBFCR), from the previously listed collection of information.</w:t>
      </w:r>
    </w:p>
    <w:p w14:paraId="072571A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28578E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57CAF2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B576412" w14:textId="77777777" w:rsidR="008052BC" w:rsidRDefault="00815F0F" w:rsidP="00C64707">
      <w:pPr>
        <w:shd w:val="clear" w:color="auto" w:fill="FFFFFF"/>
        <w:spacing w:after="0" w:line="240" w:lineRule="auto"/>
        <w:rPr>
          <w:rFonts w:ascii="Arial" w:eastAsia="Times New Roman" w:hAnsi="Arial" w:cs="Arial"/>
          <w:color w:val="555555"/>
          <w:sz w:val="24"/>
          <w:szCs w:val="24"/>
        </w:rPr>
      </w:pPr>
      <w:r w:rsidRPr="00815F0F">
        <w:rPr>
          <w:rFonts w:ascii="Arial" w:eastAsia="Times New Roman" w:hAnsi="Arial" w:cs="Arial"/>
          <w:color w:val="555555"/>
          <w:sz w:val="24"/>
          <w:szCs w:val="24"/>
        </w:rPr>
        <w:t>There is no plan for tabulation or publication.</w:t>
      </w:r>
    </w:p>
    <w:p w14:paraId="29DD79A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091A3F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5E4AE99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815F0F" w:rsidRPr="00815F0F">
        <w:rPr>
          <w:rFonts w:ascii="Arial" w:eastAsia="Times New Roman" w:hAnsi="Arial" w:cs="Arial"/>
          <w:color w:val="555555"/>
          <w:sz w:val="24"/>
          <w:szCs w:val="24"/>
        </w:rPr>
        <w:t>No such approval is being sought</w:t>
      </w:r>
      <w:r w:rsidR="00815F0F">
        <w:rPr>
          <w:rFonts w:ascii="Arial" w:eastAsia="Times New Roman" w:hAnsi="Arial" w:cs="Arial"/>
          <w:color w:val="555555"/>
          <w:sz w:val="24"/>
          <w:szCs w:val="24"/>
        </w:rPr>
        <w:t>.</w:t>
      </w:r>
    </w:p>
    <w:p w14:paraId="7AF0BAB8" w14:textId="284DFBD0" w:rsidR="00C64707" w:rsidRDefault="00C64707" w:rsidP="00C64707">
      <w:pPr>
        <w:shd w:val="clear" w:color="auto" w:fill="FFFFFF"/>
        <w:spacing w:after="0" w:line="240" w:lineRule="auto"/>
        <w:rPr>
          <w:rFonts w:ascii="Arial" w:eastAsia="Times New Roman" w:hAnsi="Arial" w:cs="Arial"/>
          <w:color w:val="555555"/>
          <w:sz w:val="24"/>
          <w:szCs w:val="24"/>
        </w:rPr>
      </w:pPr>
    </w:p>
    <w:p w14:paraId="52C235E6" w14:textId="77777777" w:rsidR="00507250" w:rsidRPr="00C64707" w:rsidRDefault="00507250" w:rsidP="00C64707">
      <w:pPr>
        <w:shd w:val="clear" w:color="auto" w:fill="FFFFFF"/>
        <w:spacing w:after="0" w:line="240" w:lineRule="auto"/>
        <w:rPr>
          <w:rFonts w:ascii="Arial" w:eastAsia="Times New Roman" w:hAnsi="Arial" w:cs="Arial"/>
          <w:color w:val="555555"/>
          <w:sz w:val="24"/>
          <w:szCs w:val="24"/>
        </w:rPr>
      </w:pPr>
    </w:p>
    <w:p w14:paraId="003815C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02A7A97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815F0F" w:rsidRPr="00815F0F">
        <w:rPr>
          <w:rFonts w:ascii="Arial" w:eastAsia="Times New Roman" w:hAnsi="Arial" w:cs="Arial"/>
          <w:color w:val="555555"/>
          <w:sz w:val="24"/>
          <w:szCs w:val="24"/>
        </w:rPr>
        <w:t>There are no exceptions.</w:t>
      </w:r>
    </w:p>
    <w:p w14:paraId="751DFD78" w14:textId="77777777" w:rsidR="005B4EB0" w:rsidRDefault="005B4EB0"/>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CBF75" w14:textId="77777777" w:rsidR="00B33902" w:rsidRDefault="00B33902" w:rsidP="009C4834">
      <w:pPr>
        <w:spacing w:after="0" w:line="240" w:lineRule="auto"/>
      </w:pPr>
      <w:r>
        <w:separator/>
      </w:r>
    </w:p>
  </w:endnote>
  <w:endnote w:type="continuationSeparator" w:id="0">
    <w:p w14:paraId="5F787792" w14:textId="77777777" w:rsidR="00B33902" w:rsidRDefault="00B33902" w:rsidP="009C4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50B5F3" w14:textId="77777777" w:rsidR="00B33902" w:rsidRDefault="00B33902" w:rsidP="009C4834">
      <w:pPr>
        <w:spacing w:after="0" w:line="240" w:lineRule="auto"/>
      </w:pPr>
      <w:r>
        <w:separator/>
      </w:r>
    </w:p>
  </w:footnote>
  <w:footnote w:type="continuationSeparator" w:id="0">
    <w:p w14:paraId="441463D7" w14:textId="77777777" w:rsidR="00B33902" w:rsidRDefault="00B33902" w:rsidP="009C4834">
      <w:pPr>
        <w:spacing w:after="0" w:line="240" w:lineRule="auto"/>
      </w:pPr>
      <w:r>
        <w:continuationSeparator/>
      </w:r>
    </w:p>
  </w:footnote>
  <w:footnote w:id="1">
    <w:p w14:paraId="4CC3573D" w14:textId="1845F9B4" w:rsidR="001814C5" w:rsidRDefault="001814C5">
      <w:pPr>
        <w:pStyle w:val="FootnoteText"/>
      </w:pPr>
      <w:r>
        <w:rPr>
          <w:rStyle w:val="FootnoteReference"/>
        </w:rPr>
        <w:footnoteRef/>
      </w:r>
      <w:r>
        <w:t xml:space="preserve"> https://www.opm.gov/policy-data-oversight/pay-leave/salaries-wages/salary-tables/pdf/2019/KC_h.pdf</w:t>
      </w:r>
    </w:p>
  </w:footnote>
  <w:footnote w:id="2">
    <w:p w14:paraId="03D68500" w14:textId="030F1B70" w:rsidR="001814C5" w:rsidRDefault="001814C5">
      <w:pPr>
        <w:pStyle w:val="FootnoteText"/>
      </w:pPr>
      <w:r>
        <w:rPr>
          <w:rStyle w:val="FootnoteReference"/>
        </w:rPr>
        <w:footnoteRef/>
      </w:r>
      <w:r>
        <w:t xml:space="preserve"> Bureau of Labor Statistics, </w:t>
      </w:r>
      <w:r w:rsidR="00F363D6">
        <w:t>https://www.bls.gov/news.release/ecec.nr0.htm</w:t>
      </w:r>
    </w:p>
  </w:footnote>
  <w:footnote w:id="3">
    <w:p w14:paraId="01D3A03C" w14:textId="6B40EE9F" w:rsidR="001814C5" w:rsidRDefault="001814C5">
      <w:pPr>
        <w:pStyle w:val="FootnoteText"/>
      </w:pPr>
      <w:r>
        <w:rPr>
          <w:rStyle w:val="FootnoteReference"/>
        </w:rPr>
        <w:footnoteRef/>
      </w:r>
      <w:r>
        <w:t xml:space="preserve"> </w:t>
      </w:r>
      <w:r w:rsidRPr="001814C5">
        <w:t>Source: Cody Rice, U.S. Environmental Protection Agency, “Wage Rates for Economic Analyses of the Toxics Release Inventory Program” (June 10, 2002)</w:t>
      </w:r>
      <w:r w:rsidRPr="001814C5">
        <w:rPr>
          <w:rFonts w:cstheme="minorHAnsi"/>
        </w:rPr>
        <w:t>,</w:t>
      </w:r>
      <w:r w:rsidRPr="001814C5">
        <w:rPr>
          <w:rFonts w:eastAsia="Calibri" w:cstheme="minorHAnsi"/>
        </w:rPr>
        <w:t xml:space="preserve"> </w:t>
      </w:r>
      <w:hyperlink r:id="rId1" w:history="1">
        <w:r w:rsidRPr="001814C5">
          <w:rPr>
            <w:rFonts w:eastAsia="Calibri" w:cstheme="minorHAnsi"/>
            <w:color w:val="0000FF"/>
            <w:u w:val="single"/>
          </w:rPr>
          <w:t>https://www.regulations.gov/document?D=EPA-HQ-OPPT-2014-0650-0005</w:t>
        </w:r>
      </w:hyperlink>
      <w:r w:rsidRPr="001814C5">
        <w:rPr>
          <w:rFonts w:eastAsia="Calibri" w:cstheme="minorHAnsi"/>
        </w:rPr>
        <w:t>.</w:t>
      </w:r>
    </w:p>
  </w:footnote>
  <w:footnote w:id="4">
    <w:p w14:paraId="2DDBB3B1" w14:textId="4A6BB114" w:rsidR="001814C5" w:rsidRDefault="001814C5">
      <w:pPr>
        <w:pStyle w:val="FootnoteText"/>
      </w:pPr>
      <w:r>
        <w:rPr>
          <w:rStyle w:val="FootnoteReference"/>
        </w:rPr>
        <w:footnoteRef/>
      </w:r>
      <w:r>
        <w:t xml:space="preserve"> https://www.bls.gov/news.release/ecec.nr0.htm</w:t>
      </w:r>
    </w:p>
  </w:footnote>
  <w:footnote w:id="5">
    <w:p w14:paraId="41A136B7" w14:textId="28028F9E" w:rsidR="006913B2" w:rsidRDefault="006913B2">
      <w:pPr>
        <w:pStyle w:val="FootnoteText"/>
      </w:pPr>
      <w:r>
        <w:rPr>
          <w:rStyle w:val="FootnoteReference"/>
        </w:rPr>
        <w:footnoteRef/>
      </w:r>
      <w:r>
        <w:t xml:space="preserve"> https://www.opm.gov/policy-data-oversight/pay-leave/salaries-wages/salary-tables/pdf/2019/KC_h.pdf</w:t>
      </w:r>
    </w:p>
  </w:footnote>
  <w:footnote w:id="6">
    <w:p w14:paraId="7E1693A2" w14:textId="258FF5C2" w:rsidR="006913B2" w:rsidRDefault="006913B2">
      <w:pPr>
        <w:pStyle w:val="FootnoteText"/>
      </w:pPr>
      <w:r>
        <w:rPr>
          <w:rStyle w:val="FootnoteReference"/>
        </w:rPr>
        <w:footnoteRef/>
      </w:r>
      <w:r>
        <w:t xml:space="preserve"> NTIA Manual Annex F, </w:t>
      </w:r>
      <w:hyperlink r:id="rId2" w:history="1">
        <w:r w:rsidRPr="006D21B5">
          <w:rPr>
            <w:color w:val="0000FF"/>
            <w:u w:val="single"/>
          </w:rPr>
          <w:t>https://www.ntia.doc.gov/files/ntia/publications/redbook/2017-09/F_17_9.pdf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6464B"/>
    <w:rsid w:val="000714D1"/>
    <w:rsid w:val="00075F9D"/>
    <w:rsid w:val="0008219A"/>
    <w:rsid w:val="00083818"/>
    <w:rsid w:val="00087D69"/>
    <w:rsid w:val="00093E57"/>
    <w:rsid w:val="000A1B0D"/>
    <w:rsid w:val="000C79E5"/>
    <w:rsid w:val="001032E6"/>
    <w:rsid w:val="00145552"/>
    <w:rsid w:val="001722CD"/>
    <w:rsid w:val="00174EDE"/>
    <w:rsid w:val="001814C5"/>
    <w:rsid w:val="001B2EEC"/>
    <w:rsid w:val="001C6589"/>
    <w:rsid w:val="001D5DF8"/>
    <w:rsid w:val="001F0724"/>
    <w:rsid w:val="00211C09"/>
    <w:rsid w:val="002201F7"/>
    <w:rsid w:val="0024611B"/>
    <w:rsid w:val="002649BF"/>
    <w:rsid w:val="0027145A"/>
    <w:rsid w:val="00272591"/>
    <w:rsid w:val="00273C7B"/>
    <w:rsid w:val="002A5C9A"/>
    <w:rsid w:val="002B7E1A"/>
    <w:rsid w:val="002C3F9F"/>
    <w:rsid w:val="002C4937"/>
    <w:rsid w:val="002D280C"/>
    <w:rsid w:val="002F54EB"/>
    <w:rsid w:val="00357BC2"/>
    <w:rsid w:val="0037671B"/>
    <w:rsid w:val="0039748A"/>
    <w:rsid w:val="003A13E7"/>
    <w:rsid w:val="003B549E"/>
    <w:rsid w:val="003C0B7B"/>
    <w:rsid w:val="003C578B"/>
    <w:rsid w:val="003D195F"/>
    <w:rsid w:val="00422ED7"/>
    <w:rsid w:val="00444062"/>
    <w:rsid w:val="00462CCA"/>
    <w:rsid w:val="004646CD"/>
    <w:rsid w:val="00484EDE"/>
    <w:rsid w:val="00487951"/>
    <w:rsid w:val="004F5A6E"/>
    <w:rsid w:val="00507250"/>
    <w:rsid w:val="00550003"/>
    <w:rsid w:val="00554AB1"/>
    <w:rsid w:val="005B4EB0"/>
    <w:rsid w:val="005C1ED4"/>
    <w:rsid w:val="005C43CB"/>
    <w:rsid w:val="005E3F24"/>
    <w:rsid w:val="00641F59"/>
    <w:rsid w:val="006913B2"/>
    <w:rsid w:val="00694301"/>
    <w:rsid w:val="006C6C76"/>
    <w:rsid w:val="006D5B09"/>
    <w:rsid w:val="006E1C13"/>
    <w:rsid w:val="006E2BA7"/>
    <w:rsid w:val="006F307F"/>
    <w:rsid w:val="00701FAC"/>
    <w:rsid w:val="00733196"/>
    <w:rsid w:val="007463A5"/>
    <w:rsid w:val="007555AE"/>
    <w:rsid w:val="007635DE"/>
    <w:rsid w:val="00771C53"/>
    <w:rsid w:val="007812FB"/>
    <w:rsid w:val="00783A12"/>
    <w:rsid w:val="00783CB3"/>
    <w:rsid w:val="00794BFF"/>
    <w:rsid w:val="007A7839"/>
    <w:rsid w:val="007C35FE"/>
    <w:rsid w:val="007D2FB5"/>
    <w:rsid w:val="007F329A"/>
    <w:rsid w:val="008052BC"/>
    <w:rsid w:val="00815F0F"/>
    <w:rsid w:val="0084638A"/>
    <w:rsid w:val="0088036A"/>
    <w:rsid w:val="0088129F"/>
    <w:rsid w:val="0088356E"/>
    <w:rsid w:val="008D3210"/>
    <w:rsid w:val="008D40DF"/>
    <w:rsid w:val="008E67AC"/>
    <w:rsid w:val="009165F2"/>
    <w:rsid w:val="0095255B"/>
    <w:rsid w:val="009660A4"/>
    <w:rsid w:val="009749B7"/>
    <w:rsid w:val="009912A9"/>
    <w:rsid w:val="009C4834"/>
    <w:rsid w:val="009D0408"/>
    <w:rsid w:val="009D0722"/>
    <w:rsid w:val="009D78B9"/>
    <w:rsid w:val="009E60F3"/>
    <w:rsid w:val="00A11399"/>
    <w:rsid w:val="00A15D62"/>
    <w:rsid w:val="00A8023F"/>
    <w:rsid w:val="00A80E7F"/>
    <w:rsid w:val="00A859EE"/>
    <w:rsid w:val="00A9607C"/>
    <w:rsid w:val="00AF1075"/>
    <w:rsid w:val="00AF5AD1"/>
    <w:rsid w:val="00B11F1E"/>
    <w:rsid w:val="00B33902"/>
    <w:rsid w:val="00B52E96"/>
    <w:rsid w:val="00B65FC8"/>
    <w:rsid w:val="00BA32CE"/>
    <w:rsid w:val="00BC2054"/>
    <w:rsid w:val="00BD6411"/>
    <w:rsid w:val="00BE7373"/>
    <w:rsid w:val="00C01E98"/>
    <w:rsid w:val="00C44408"/>
    <w:rsid w:val="00C525A6"/>
    <w:rsid w:val="00C64707"/>
    <w:rsid w:val="00CB5186"/>
    <w:rsid w:val="00CB66C8"/>
    <w:rsid w:val="00CB7FC5"/>
    <w:rsid w:val="00CD3912"/>
    <w:rsid w:val="00CE6A86"/>
    <w:rsid w:val="00CF58D0"/>
    <w:rsid w:val="00D02AC6"/>
    <w:rsid w:val="00D06F7D"/>
    <w:rsid w:val="00D30079"/>
    <w:rsid w:val="00D674E2"/>
    <w:rsid w:val="00D81A83"/>
    <w:rsid w:val="00D832C8"/>
    <w:rsid w:val="00D83898"/>
    <w:rsid w:val="00DB5D34"/>
    <w:rsid w:val="00DE51CE"/>
    <w:rsid w:val="00DF0FFF"/>
    <w:rsid w:val="00E16877"/>
    <w:rsid w:val="00E42D16"/>
    <w:rsid w:val="00E45679"/>
    <w:rsid w:val="00E62F47"/>
    <w:rsid w:val="00EB6157"/>
    <w:rsid w:val="00EC3D6A"/>
    <w:rsid w:val="00ED423E"/>
    <w:rsid w:val="00F07381"/>
    <w:rsid w:val="00F159AB"/>
    <w:rsid w:val="00F21344"/>
    <w:rsid w:val="00F22E44"/>
    <w:rsid w:val="00F24CCC"/>
    <w:rsid w:val="00F363D6"/>
    <w:rsid w:val="00F479C1"/>
    <w:rsid w:val="00F5591C"/>
    <w:rsid w:val="00F66C83"/>
    <w:rsid w:val="00FD29F0"/>
    <w:rsid w:val="00FF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lockText">
    <w:name w:val="Block Text"/>
    <w:basedOn w:val="Normal"/>
    <w:rsid w:val="0095255B"/>
    <w:pPr>
      <w:spacing w:after="0" w:line="240" w:lineRule="auto"/>
      <w:ind w:left="900" w:right="-72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C44408"/>
    <w:pPr>
      <w:spacing w:after="0" w:line="240" w:lineRule="auto"/>
    </w:pPr>
    <w:rPr>
      <w:sz w:val="20"/>
      <w:szCs w:val="20"/>
    </w:rPr>
  </w:style>
  <w:style w:type="character" w:customStyle="1" w:styleId="FootnoteTextChar">
    <w:name w:val="Footnote Text Char"/>
    <w:basedOn w:val="DefaultParagraphFont"/>
    <w:link w:val="FootnoteText"/>
    <w:semiHidden/>
    <w:rsid w:val="00C44408"/>
    <w:rPr>
      <w:sz w:val="20"/>
      <w:szCs w:val="20"/>
    </w:rPr>
  </w:style>
  <w:style w:type="character" w:styleId="FootnoteReference">
    <w:name w:val="footnote reference"/>
    <w:basedOn w:val="DefaultParagraphFont"/>
    <w:uiPriority w:val="99"/>
    <w:semiHidden/>
    <w:unhideWhenUsed/>
    <w:rsid w:val="00C44408"/>
    <w:rPr>
      <w:vertAlign w:val="superscript"/>
    </w:rPr>
  </w:style>
  <w:style w:type="table" w:styleId="TableGrid">
    <w:name w:val="Table Grid"/>
    <w:basedOn w:val="TableNormal"/>
    <w:uiPriority w:val="59"/>
    <w:rsid w:val="00C444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7635DE"/>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7635DE"/>
    <w:rPr>
      <w:rFonts w:ascii="Letter Gothic 12cpi" w:eastAsia="Times New Roman" w:hAnsi="Letter Gothic 12cpi" w:cs="Times New Roman"/>
      <w:b/>
      <w:bCs/>
      <w:sz w:val="24"/>
      <w:szCs w:val="24"/>
      <w:u w:val="single"/>
    </w:rPr>
  </w:style>
  <w:style w:type="paragraph" w:styleId="CommentSubject">
    <w:name w:val="annotation subject"/>
    <w:basedOn w:val="CommentText"/>
    <w:next w:val="CommentText"/>
    <w:link w:val="CommentSubjectChar"/>
    <w:uiPriority w:val="99"/>
    <w:semiHidden/>
    <w:unhideWhenUsed/>
    <w:rsid w:val="007635DE"/>
    <w:rPr>
      <w:b/>
      <w:bCs/>
    </w:rPr>
  </w:style>
  <w:style w:type="character" w:customStyle="1" w:styleId="CommentSubjectChar">
    <w:name w:val="Comment Subject Char"/>
    <w:basedOn w:val="CommentTextChar"/>
    <w:link w:val="CommentSubject"/>
    <w:uiPriority w:val="99"/>
    <w:semiHidden/>
    <w:rsid w:val="007635DE"/>
    <w:rPr>
      <w:b/>
      <w:bCs/>
      <w:sz w:val="20"/>
      <w:szCs w:val="20"/>
    </w:rPr>
  </w:style>
  <w:style w:type="character" w:styleId="Hyperlink">
    <w:name w:val="Hyperlink"/>
    <w:semiHidden/>
    <w:unhideWhenUsed/>
    <w:rsid w:val="007812FB"/>
    <w:rPr>
      <w:color w:val="0563C1"/>
      <w:u w:val="single"/>
    </w:rPr>
  </w:style>
  <w:style w:type="character" w:styleId="FollowedHyperlink">
    <w:name w:val="FollowedHyperlink"/>
    <w:basedOn w:val="DefaultParagraphFont"/>
    <w:uiPriority w:val="99"/>
    <w:semiHidden/>
    <w:unhideWhenUsed/>
    <w:rsid w:val="006F307F"/>
    <w:rPr>
      <w:color w:val="954F72" w:themeColor="followedHyperlink"/>
      <w:u w:val="single"/>
    </w:rPr>
  </w:style>
  <w:style w:type="paragraph" w:styleId="Revision">
    <w:name w:val="Revision"/>
    <w:hidden/>
    <w:uiPriority w:val="99"/>
    <w:semiHidden/>
    <w:rsid w:val="000821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lockText">
    <w:name w:val="Block Text"/>
    <w:basedOn w:val="Normal"/>
    <w:rsid w:val="0095255B"/>
    <w:pPr>
      <w:spacing w:after="0" w:line="240" w:lineRule="auto"/>
      <w:ind w:left="900" w:right="-720"/>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C44408"/>
    <w:pPr>
      <w:spacing w:after="0" w:line="240" w:lineRule="auto"/>
    </w:pPr>
    <w:rPr>
      <w:sz w:val="20"/>
      <w:szCs w:val="20"/>
    </w:rPr>
  </w:style>
  <w:style w:type="character" w:customStyle="1" w:styleId="FootnoteTextChar">
    <w:name w:val="Footnote Text Char"/>
    <w:basedOn w:val="DefaultParagraphFont"/>
    <w:link w:val="FootnoteText"/>
    <w:semiHidden/>
    <w:rsid w:val="00C44408"/>
    <w:rPr>
      <w:sz w:val="20"/>
      <w:szCs w:val="20"/>
    </w:rPr>
  </w:style>
  <w:style w:type="character" w:styleId="FootnoteReference">
    <w:name w:val="footnote reference"/>
    <w:basedOn w:val="DefaultParagraphFont"/>
    <w:uiPriority w:val="99"/>
    <w:semiHidden/>
    <w:unhideWhenUsed/>
    <w:rsid w:val="00C44408"/>
    <w:rPr>
      <w:vertAlign w:val="superscript"/>
    </w:rPr>
  </w:style>
  <w:style w:type="table" w:styleId="TableGrid">
    <w:name w:val="Table Grid"/>
    <w:basedOn w:val="TableNormal"/>
    <w:uiPriority w:val="59"/>
    <w:rsid w:val="00C444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7635DE"/>
    <w:pPr>
      <w:widowControl w:val="0"/>
      <w:autoSpaceDE w:val="0"/>
      <w:autoSpaceDN w:val="0"/>
      <w:adjustRightInd w:val="0"/>
      <w:spacing w:after="0" w:line="240" w:lineRule="auto"/>
    </w:pPr>
    <w:rPr>
      <w:rFonts w:ascii="Letter Gothic 12cpi" w:eastAsia="Times New Roman" w:hAnsi="Letter Gothic 12cpi" w:cs="Times New Roman"/>
      <w:b/>
      <w:bCs/>
      <w:sz w:val="24"/>
      <w:szCs w:val="24"/>
      <w:u w:val="single"/>
    </w:rPr>
  </w:style>
  <w:style w:type="character" w:customStyle="1" w:styleId="SubtitleChar">
    <w:name w:val="Subtitle Char"/>
    <w:basedOn w:val="DefaultParagraphFont"/>
    <w:link w:val="Subtitle"/>
    <w:rsid w:val="007635DE"/>
    <w:rPr>
      <w:rFonts w:ascii="Letter Gothic 12cpi" w:eastAsia="Times New Roman" w:hAnsi="Letter Gothic 12cpi" w:cs="Times New Roman"/>
      <w:b/>
      <w:bCs/>
      <w:sz w:val="24"/>
      <w:szCs w:val="24"/>
      <w:u w:val="single"/>
    </w:rPr>
  </w:style>
  <w:style w:type="paragraph" w:styleId="CommentSubject">
    <w:name w:val="annotation subject"/>
    <w:basedOn w:val="CommentText"/>
    <w:next w:val="CommentText"/>
    <w:link w:val="CommentSubjectChar"/>
    <w:uiPriority w:val="99"/>
    <w:semiHidden/>
    <w:unhideWhenUsed/>
    <w:rsid w:val="007635DE"/>
    <w:rPr>
      <w:b/>
      <w:bCs/>
    </w:rPr>
  </w:style>
  <w:style w:type="character" w:customStyle="1" w:styleId="CommentSubjectChar">
    <w:name w:val="Comment Subject Char"/>
    <w:basedOn w:val="CommentTextChar"/>
    <w:link w:val="CommentSubject"/>
    <w:uiPriority w:val="99"/>
    <w:semiHidden/>
    <w:rsid w:val="007635DE"/>
    <w:rPr>
      <w:b/>
      <w:bCs/>
      <w:sz w:val="20"/>
      <w:szCs w:val="20"/>
    </w:rPr>
  </w:style>
  <w:style w:type="character" w:styleId="Hyperlink">
    <w:name w:val="Hyperlink"/>
    <w:semiHidden/>
    <w:unhideWhenUsed/>
    <w:rsid w:val="007812FB"/>
    <w:rPr>
      <w:color w:val="0563C1"/>
      <w:u w:val="single"/>
    </w:rPr>
  </w:style>
  <w:style w:type="character" w:styleId="FollowedHyperlink">
    <w:name w:val="FollowedHyperlink"/>
    <w:basedOn w:val="DefaultParagraphFont"/>
    <w:uiPriority w:val="99"/>
    <w:semiHidden/>
    <w:unhideWhenUsed/>
    <w:rsid w:val="006F307F"/>
    <w:rPr>
      <w:color w:val="954F72" w:themeColor="followedHyperlink"/>
      <w:u w:val="single"/>
    </w:rPr>
  </w:style>
  <w:style w:type="paragraph" w:styleId="Revision">
    <w:name w:val="Revision"/>
    <w:hidden/>
    <w:uiPriority w:val="99"/>
    <w:semiHidden/>
    <w:rsid w:val="000821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92021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tia.doc.gov/files/ntia/publications/redbook/2017-09/F_17_9.pdf" TargetMode="External"/><Relationship Id="rId1" Type="http://schemas.openxmlformats.org/officeDocument/2006/relationships/hyperlink" Target="https://www.regulations.gov/document?D=EPA-HQ-OPPT-2014-0650-0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A41D1-0903-4FF3-B36A-3F6C7784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3374</Words>
  <Characters>19235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cp:lastPrinted>2019-10-17T14:24:00Z</cp:lastPrinted>
  <dcterms:created xsi:type="dcterms:W3CDTF">2019-11-20T15:26:00Z</dcterms:created>
  <dcterms:modified xsi:type="dcterms:W3CDTF">2019-11-20T15:26:00Z</dcterms:modified>
</cp:coreProperties>
</file>