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6E0535" w14:textId="77777777" w:rsidR="000E23CE" w:rsidRPr="00A70F33" w:rsidRDefault="000E23CE" w:rsidP="004065DF">
      <w:pPr>
        <w:jc w:val="center"/>
        <w:rPr>
          <w:bCs/>
          <w:szCs w:val="26"/>
        </w:rPr>
      </w:pPr>
      <w:bookmarkStart w:id="0" w:name="_GoBack"/>
      <w:bookmarkEnd w:id="0"/>
    </w:p>
    <w:p w14:paraId="2BCA8923" w14:textId="77777777" w:rsidR="000F659C" w:rsidRPr="00A70F33" w:rsidRDefault="008F3825" w:rsidP="004065DF">
      <w:pPr>
        <w:jc w:val="center"/>
        <w:rPr>
          <w:b/>
          <w:bCs/>
          <w:szCs w:val="26"/>
        </w:rPr>
      </w:pPr>
      <w:r w:rsidRPr="00A70F33">
        <w:rPr>
          <w:bCs/>
          <w:szCs w:val="26"/>
        </w:rPr>
        <w:t>Supporting Statement</w:t>
      </w:r>
      <w:r w:rsidR="008D6EE6" w:rsidRPr="00A70F33">
        <w:rPr>
          <w:bCs/>
          <w:szCs w:val="26"/>
        </w:rPr>
        <w:t xml:space="preserve"> for </w:t>
      </w:r>
    </w:p>
    <w:p w14:paraId="13FBD71D" w14:textId="4ACE1044" w:rsidR="000E23CE" w:rsidRPr="00A70F33" w:rsidRDefault="007920B5" w:rsidP="001C60BB">
      <w:pPr>
        <w:jc w:val="center"/>
        <w:rPr>
          <w:b/>
          <w:bCs/>
          <w:szCs w:val="26"/>
        </w:rPr>
      </w:pPr>
      <w:r w:rsidRPr="00A70F33">
        <w:rPr>
          <w:b/>
          <w:bCs/>
          <w:szCs w:val="26"/>
        </w:rPr>
        <w:t>FERC</w:t>
      </w:r>
      <w:r w:rsidR="00A25934" w:rsidRPr="00A70F33">
        <w:rPr>
          <w:b/>
          <w:bCs/>
          <w:szCs w:val="26"/>
        </w:rPr>
        <w:t>-</w:t>
      </w:r>
      <w:r w:rsidR="005B7ACF" w:rsidRPr="00A70F33">
        <w:rPr>
          <w:b/>
          <w:bCs/>
          <w:szCs w:val="26"/>
        </w:rPr>
        <w:t>919</w:t>
      </w:r>
      <w:r w:rsidR="000E23CE" w:rsidRPr="00A70F33">
        <w:rPr>
          <w:b/>
          <w:bCs/>
          <w:szCs w:val="26"/>
        </w:rPr>
        <w:t>,</w:t>
      </w:r>
      <w:r w:rsidR="00233571" w:rsidRPr="00A70F33">
        <w:rPr>
          <w:b/>
          <w:bCs/>
          <w:szCs w:val="26"/>
        </w:rPr>
        <w:t xml:space="preserve"> </w:t>
      </w:r>
      <w:r w:rsidR="00CF6EC6" w:rsidRPr="00A70F33">
        <w:rPr>
          <w:b/>
          <w:bCs/>
          <w:szCs w:val="26"/>
        </w:rPr>
        <w:t xml:space="preserve">Final Rule on </w:t>
      </w:r>
      <w:r w:rsidR="0032536D" w:rsidRPr="00A70F33">
        <w:rPr>
          <w:b/>
          <w:bCs/>
          <w:szCs w:val="26"/>
        </w:rPr>
        <w:t>Refinements to Policies and Procedures for Market Based Rates for Wholesale Sales of Electric Energy, Capacity and Ancillary Services by Public Utilities</w:t>
      </w:r>
      <w:r w:rsidR="001C60BB" w:rsidRPr="00A70F33">
        <w:rPr>
          <w:b/>
          <w:szCs w:val="26"/>
        </w:rPr>
        <w:t>,</w:t>
      </w:r>
      <w:r w:rsidR="001C60BB" w:rsidRPr="00A70F33">
        <w:rPr>
          <w:b/>
          <w:bCs/>
          <w:szCs w:val="26"/>
        </w:rPr>
        <w:t xml:space="preserve"> </w:t>
      </w:r>
      <w:r w:rsidR="007D6158" w:rsidRPr="00A70F33">
        <w:rPr>
          <w:b/>
          <w:bCs/>
          <w:szCs w:val="26"/>
        </w:rPr>
        <w:t>Docket No. RM19-2</w:t>
      </w:r>
      <w:r w:rsidR="000E23CE" w:rsidRPr="00A70F33">
        <w:rPr>
          <w:b/>
          <w:bCs/>
          <w:szCs w:val="26"/>
        </w:rPr>
        <w:t>-000</w:t>
      </w:r>
    </w:p>
    <w:p w14:paraId="3F782D61" w14:textId="77777777" w:rsidR="000E23CE" w:rsidRPr="00A70F33" w:rsidRDefault="000E23CE" w:rsidP="000E23CE">
      <w:pPr>
        <w:tabs>
          <w:tab w:val="center" w:pos="4680"/>
        </w:tabs>
        <w:jc w:val="center"/>
        <w:rPr>
          <w:b/>
          <w:bCs/>
          <w:szCs w:val="26"/>
        </w:rPr>
      </w:pPr>
    </w:p>
    <w:p w14:paraId="0071C4C6" w14:textId="6293A4AE" w:rsidR="007D6158" w:rsidRPr="00A70F33" w:rsidRDefault="007D6158" w:rsidP="007D6158">
      <w:pPr>
        <w:rPr>
          <w:szCs w:val="26"/>
        </w:rPr>
      </w:pPr>
      <w:r w:rsidRPr="00A70F33">
        <w:rPr>
          <w:szCs w:val="26"/>
        </w:rPr>
        <w:t xml:space="preserve">The Federal Energy Regulatory Commission (FERC or Commission) requests that the Office of Management and </w:t>
      </w:r>
      <w:r w:rsidR="000B59E6" w:rsidRPr="00A70F33">
        <w:rPr>
          <w:szCs w:val="26"/>
        </w:rPr>
        <w:t>Budget (OMB) review and approve</w:t>
      </w:r>
      <w:r w:rsidRPr="00A70F33">
        <w:rPr>
          <w:szCs w:val="26"/>
        </w:rPr>
        <w:t xml:space="preserve"> the </w:t>
      </w:r>
      <w:r w:rsidRPr="00A70F33">
        <w:rPr>
          <w:b/>
          <w:szCs w:val="26"/>
        </w:rPr>
        <w:t>FERC-919 (</w:t>
      </w:r>
      <w:r w:rsidR="0032536D" w:rsidRPr="00A70F33">
        <w:rPr>
          <w:b/>
          <w:szCs w:val="26"/>
        </w:rPr>
        <w:t>Refinements to Policies and Procedures for Market Based Rates for Wholesale Sales of Electric Energy, Capacity and Ancillary Services by Public Utilities</w:t>
      </w:r>
      <w:r w:rsidRPr="00A70F33">
        <w:rPr>
          <w:b/>
          <w:szCs w:val="26"/>
        </w:rPr>
        <w:t>;</w:t>
      </w:r>
      <w:r w:rsidRPr="00A70F33">
        <w:rPr>
          <w:szCs w:val="26"/>
        </w:rPr>
        <w:t xml:space="preserve"> OMB Control Number 1902-0234), as </w:t>
      </w:r>
      <w:r w:rsidR="00CF6EC6" w:rsidRPr="00A70F33">
        <w:rPr>
          <w:szCs w:val="26"/>
        </w:rPr>
        <w:t>modified</w:t>
      </w:r>
      <w:r w:rsidRPr="00A70F33">
        <w:rPr>
          <w:szCs w:val="26"/>
        </w:rPr>
        <w:t xml:space="preserve"> in the</w:t>
      </w:r>
      <w:r w:rsidR="00EC229E" w:rsidRPr="00A70F33">
        <w:rPr>
          <w:szCs w:val="26"/>
        </w:rPr>
        <w:t xml:space="preserve"> </w:t>
      </w:r>
      <w:r w:rsidR="00CF6EC6" w:rsidRPr="00A70F33">
        <w:rPr>
          <w:szCs w:val="26"/>
        </w:rPr>
        <w:t>final rule</w:t>
      </w:r>
      <w:r w:rsidRPr="00A70F33">
        <w:rPr>
          <w:szCs w:val="26"/>
        </w:rPr>
        <w:t xml:space="preserve"> in Docket No. RM19-2</w:t>
      </w:r>
      <w:r w:rsidR="00EC229E" w:rsidRPr="00A70F33">
        <w:rPr>
          <w:szCs w:val="26"/>
        </w:rPr>
        <w:t>-000</w:t>
      </w:r>
      <w:r w:rsidRPr="00A70F33">
        <w:rPr>
          <w:szCs w:val="26"/>
        </w:rPr>
        <w:t>.</w:t>
      </w:r>
    </w:p>
    <w:p w14:paraId="27968DF0" w14:textId="77777777" w:rsidR="00E66D62" w:rsidRPr="00A70F33" w:rsidRDefault="00E66D62" w:rsidP="004065DF">
      <w:pPr>
        <w:rPr>
          <w:bCs/>
          <w:szCs w:val="26"/>
          <w:u w:val="single"/>
        </w:rPr>
      </w:pPr>
    </w:p>
    <w:p w14:paraId="55CFF7E5" w14:textId="77777777" w:rsidR="000F659C" w:rsidRPr="00A70F33" w:rsidRDefault="000F659C" w:rsidP="004065DF">
      <w:pPr>
        <w:tabs>
          <w:tab w:val="left" w:pos="-1440"/>
        </w:tabs>
        <w:ind w:left="720" w:hanging="720"/>
        <w:rPr>
          <w:b/>
          <w:bCs/>
          <w:szCs w:val="26"/>
        </w:rPr>
      </w:pPr>
      <w:r w:rsidRPr="00A70F33">
        <w:rPr>
          <w:b/>
          <w:bCs/>
          <w:szCs w:val="26"/>
        </w:rPr>
        <w:t>1.</w:t>
      </w:r>
      <w:r w:rsidRPr="00A70F33">
        <w:rPr>
          <w:b/>
          <w:bCs/>
          <w:szCs w:val="26"/>
        </w:rPr>
        <w:tab/>
        <w:t>CIRCUMSTANCES THAT MAKE THE COLLECTION OF INFORMATION NECESSARY</w:t>
      </w:r>
    </w:p>
    <w:p w14:paraId="2665EB04" w14:textId="77777777" w:rsidR="000F659C" w:rsidRPr="00A70F33" w:rsidRDefault="000F659C" w:rsidP="004065DF">
      <w:pPr>
        <w:rPr>
          <w:bCs/>
          <w:color w:val="FF0000"/>
          <w:szCs w:val="26"/>
        </w:rPr>
      </w:pPr>
    </w:p>
    <w:p w14:paraId="2EF5B9F1" w14:textId="54C00685" w:rsidR="007D6158" w:rsidRPr="00A70F33" w:rsidRDefault="007D6158" w:rsidP="007D6158">
      <w:pPr>
        <w:rPr>
          <w:szCs w:val="26"/>
        </w:rPr>
      </w:pPr>
      <w:r w:rsidRPr="00A70F33">
        <w:rPr>
          <w:szCs w:val="26"/>
        </w:rPr>
        <w:t>Complianc</w:t>
      </w:r>
      <w:r w:rsidR="000B59E6" w:rsidRPr="00A70F33">
        <w:rPr>
          <w:szCs w:val="26"/>
        </w:rPr>
        <w:t>e with Federal Power Act (FPA) s</w:t>
      </w:r>
      <w:r w:rsidRPr="00A70F33">
        <w:rPr>
          <w:szCs w:val="26"/>
        </w:rPr>
        <w:t>ections 205</w:t>
      </w:r>
      <w:r w:rsidRPr="00A70F33">
        <w:rPr>
          <w:rStyle w:val="FootnoteReference"/>
        </w:rPr>
        <w:footnoteReference w:id="2"/>
      </w:r>
      <w:r w:rsidRPr="00A70F33">
        <w:rPr>
          <w:szCs w:val="26"/>
        </w:rPr>
        <w:t xml:space="preserve"> and 206</w:t>
      </w:r>
      <w:r w:rsidRPr="00A70F33">
        <w:rPr>
          <w:rStyle w:val="FootnoteReference"/>
        </w:rPr>
        <w:footnoteReference w:id="3"/>
      </w:r>
      <w:r w:rsidRPr="00A70F33">
        <w:rPr>
          <w:szCs w:val="26"/>
        </w:rPr>
        <w:t xml:space="preserve"> make </w:t>
      </w:r>
      <w:r w:rsidR="0057468B" w:rsidRPr="00A70F33">
        <w:rPr>
          <w:szCs w:val="26"/>
        </w:rPr>
        <w:t xml:space="preserve">the FERC-919 information collection </w:t>
      </w:r>
      <w:r w:rsidR="000B59E6" w:rsidRPr="00A70F33">
        <w:rPr>
          <w:szCs w:val="26"/>
        </w:rPr>
        <w:t>necessary.  Specifically, s</w:t>
      </w:r>
      <w:r w:rsidRPr="00A70F33">
        <w:rPr>
          <w:szCs w:val="26"/>
        </w:rPr>
        <w:t xml:space="preserve">ection 205 of the FPA requires just and reasonable rates and charges.  Section 206 allows the Commission to revoke a seller’s market-based rate authorization if it determines that the seller may have gained market power since its original authorization to charge market-based rates.  </w:t>
      </w:r>
    </w:p>
    <w:p w14:paraId="23EB22F3" w14:textId="77777777" w:rsidR="007D6158" w:rsidRPr="00A70F33" w:rsidRDefault="007D6158" w:rsidP="007D6158">
      <w:pPr>
        <w:rPr>
          <w:szCs w:val="26"/>
        </w:rPr>
      </w:pPr>
    </w:p>
    <w:p w14:paraId="0EA89A4C" w14:textId="6D7AAB25" w:rsidR="007D6158" w:rsidRPr="00A70F33" w:rsidRDefault="007D6158" w:rsidP="007D6158">
      <w:pPr>
        <w:rPr>
          <w:szCs w:val="26"/>
        </w:rPr>
      </w:pPr>
      <w:r w:rsidRPr="00A70F33">
        <w:rPr>
          <w:szCs w:val="26"/>
        </w:rPr>
        <w:t xml:space="preserve">The </w:t>
      </w:r>
      <w:r w:rsidR="000B59E6" w:rsidRPr="00A70F33">
        <w:rPr>
          <w:szCs w:val="26"/>
        </w:rPr>
        <w:t>previous</w:t>
      </w:r>
      <w:r w:rsidRPr="00A70F33">
        <w:rPr>
          <w:szCs w:val="26"/>
        </w:rPr>
        <w:t xml:space="preserve"> information collection requirements for FERC-919 (</w:t>
      </w:r>
      <w:r w:rsidR="00EC229E" w:rsidRPr="00A70F33">
        <w:rPr>
          <w:szCs w:val="26"/>
        </w:rPr>
        <w:t xml:space="preserve">prior to the modifications </w:t>
      </w:r>
      <w:r w:rsidR="000B59E6" w:rsidRPr="00A70F33">
        <w:rPr>
          <w:szCs w:val="26"/>
        </w:rPr>
        <w:t>made by the final rule</w:t>
      </w:r>
      <w:r w:rsidRPr="00A70F33">
        <w:rPr>
          <w:szCs w:val="26"/>
        </w:rPr>
        <w:t xml:space="preserve"> in Docket </w:t>
      </w:r>
      <w:r w:rsidR="00281F70" w:rsidRPr="00A70F33">
        <w:rPr>
          <w:szCs w:val="26"/>
        </w:rPr>
        <w:t xml:space="preserve">No. </w:t>
      </w:r>
      <w:r w:rsidRPr="00A70F33">
        <w:rPr>
          <w:szCs w:val="26"/>
        </w:rPr>
        <w:t>RM19-2</w:t>
      </w:r>
      <w:r w:rsidR="00EC229E" w:rsidRPr="00A70F33">
        <w:rPr>
          <w:szCs w:val="26"/>
        </w:rPr>
        <w:t>-000</w:t>
      </w:r>
      <w:r w:rsidRPr="00A70F33">
        <w:rPr>
          <w:szCs w:val="26"/>
        </w:rPr>
        <w:t>) are:</w:t>
      </w:r>
    </w:p>
    <w:p w14:paraId="75341D2A" w14:textId="77777777" w:rsidR="007D6158" w:rsidRPr="00A70F33" w:rsidRDefault="007D6158" w:rsidP="007D6158">
      <w:pPr>
        <w:ind w:left="360" w:hanging="360"/>
        <w:rPr>
          <w:szCs w:val="26"/>
        </w:rPr>
      </w:pPr>
    </w:p>
    <w:p w14:paraId="6B4FC001" w14:textId="77777777" w:rsidR="007D6158" w:rsidRPr="00A70F33" w:rsidRDefault="007D6158" w:rsidP="007D6158">
      <w:pPr>
        <w:numPr>
          <w:ilvl w:val="0"/>
          <w:numId w:val="34"/>
        </w:numPr>
        <w:rPr>
          <w:szCs w:val="26"/>
        </w:rPr>
      </w:pPr>
      <w:r w:rsidRPr="00A70F33">
        <w:rPr>
          <w:szCs w:val="26"/>
        </w:rPr>
        <w:t>Initial market power analyses to qualify for authority to charge market-based rates</w:t>
      </w:r>
      <w:r w:rsidRPr="00A70F33">
        <w:rPr>
          <w:rStyle w:val="FootnoteReference"/>
        </w:rPr>
        <w:footnoteReference w:id="4"/>
      </w:r>
    </w:p>
    <w:p w14:paraId="6D85C7FE" w14:textId="77777777" w:rsidR="007D6158" w:rsidRPr="00A70F33" w:rsidRDefault="007D6158" w:rsidP="007D6158">
      <w:pPr>
        <w:numPr>
          <w:ilvl w:val="0"/>
          <w:numId w:val="34"/>
        </w:numPr>
        <w:rPr>
          <w:szCs w:val="26"/>
        </w:rPr>
      </w:pPr>
      <w:r w:rsidRPr="00A70F33">
        <w:rPr>
          <w:szCs w:val="26"/>
        </w:rPr>
        <w:t>Triennial market power analysis in Category 2 seller updates</w:t>
      </w:r>
      <w:r w:rsidRPr="00A70F33">
        <w:rPr>
          <w:rStyle w:val="FootnoteReference"/>
        </w:rPr>
        <w:footnoteReference w:id="5"/>
      </w:r>
    </w:p>
    <w:p w14:paraId="40564F30" w14:textId="77777777" w:rsidR="00C64A00" w:rsidRPr="00A70F33" w:rsidRDefault="00C64A00" w:rsidP="00C64A00">
      <w:pPr>
        <w:widowControl/>
        <w:numPr>
          <w:ilvl w:val="0"/>
          <w:numId w:val="34"/>
        </w:numPr>
        <w:autoSpaceDE/>
        <w:autoSpaceDN/>
        <w:adjustRightInd/>
        <w:spacing w:line="259" w:lineRule="auto"/>
        <w:rPr>
          <w:szCs w:val="26"/>
        </w:rPr>
      </w:pPr>
      <w:r w:rsidRPr="00A70F33">
        <w:rPr>
          <w:szCs w:val="26"/>
        </w:rPr>
        <w:t>Notices of change in status</w:t>
      </w:r>
      <w:r w:rsidRPr="00A70F33">
        <w:rPr>
          <w:rStyle w:val="FootnoteReference"/>
        </w:rPr>
        <w:footnoteReference w:id="6"/>
      </w:r>
    </w:p>
    <w:p w14:paraId="4A28BE47" w14:textId="77777777" w:rsidR="00C64A00" w:rsidRPr="00A70F33" w:rsidRDefault="00C64A00" w:rsidP="00C64A00">
      <w:pPr>
        <w:ind w:left="720"/>
        <w:rPr>
          <w:szCs w:val="26"/>
        </w:rPr>
      </w:pPr>
    </w:p>
    <w:p w14:paraId="7E455D9E" w14:textId="1430FD9A" w:rsidR="007D6158" w:rsidRPr="00A70F33" w:rsidRDefault="007D6158" w:rsidP="007D6158">
      <w:pPr>
        <w:rPr>
          <w:szCs w:val="26"/>
          <w:highlight w:val="yellow"/>
        </w:rPr>
      </w:pPr>
      <w:r w:rsidRPr="00A70F33">
        <w:rPr>
          <w:szCs w:val="26"/>
        </w:rPr>
        <w:t xml:space="preserve">In the </w:t>
      </w:r>
      <w:r w:rsidR="000B59E6" w:rsidRPr="00A70F33">
        <w:rPr>
          <w:szCs w:val="26"/>
        </w:rPr>
        <w:t>final rule</w:t>
      </w:r>
      <w:r w:rsidRPr="00A70F33">
        <w:rPr>
          <w:szCs w:val="26"/>
        </w:rPr>
        <w:t xml:space="preserve"> in </w:t>
      </w:r>
      <w:r w:rsidR="00EC229E" w:rsidRPr="00A70F33">
        <w:rPr>
          <w:szCs w:val="26"/>
        </w:rPr>
        <w:t xml:space="preserve">Docket No. </w:t>
      </w:r>
      <w:r w:rsidRPr="00A70F33">
        <w:rPr>
          <w:szCs w:val="26"/>
        </w:rPr>
        <w:t>RM19-2</w:t>
      </w:r>
      <w:r w:rsidR="00EC229E" w:rsidRPr="00A70F33">
        <w:rPr>
          <w:szCs w:val="26"/>
        </w:rPr>
        <w:t>-000</w:t>
      </w:r>
      <w:r w:rsidR="008A60C0">
        <w:rPr>
          <w:szCs w:val="26"/>
        </w:rPr>
        <w:t>, the Commission</w:t>
      </w:r>
      <w:r w:rsidRPr="00A70F33">
        <w:rPr>
          <w:szCs w:val="26"/>
        </w:rPr>
        <w:t xml:space="preserve"> </w:t>
      </w:r>
      <w:r w:rsidR="000B59E6" w:rsidRPr="00A70F33">
        <w:rPr>
          <w:szCs w:val="26"/>
        </w:rPr>
        <w:t>modifies</w:t>
      </w:r>
      <w:r w:rsidR="00034A91" w:rsidRPr="00A70F33">
        <w:rPr>
          <w:szCs w:val="26"/>
        </w:rPr>
        <w:t xml:space="preserve"> </w:t>
      </w:r>
      <w:r w:rsidR="00067EB1" w:rsidRPr="00A70F33">
        <w:rPr>
          <w:szCs w:val="26"/>
        </w:rPr>
        <w:t xml:space="preserve">§ 35.37(c) of its regulations regarding the </w:t>
      </w:r>
      <w:r w:rsidR="00034A91" w:rsidRPr="00A70F33">
        <w:rPr>
          <w:szCs w:val="26"/>
        </w:rPr>
        <w:t xml:space="preserve">horizontal market power analysis for </w:t>
      </w:r>
      <w:r w:rsidR="00067EB1" w:rsidRPr="00A70F33">
        <w:rPr>
          <w:szCs w:val="26"/>
        </w:rPr>
        <w:t>market-based rate sellers</w:t>
      </w:r>
      <w:r w:rsidR="00067EB1" w:rsidRPr="00A70F33">
        <w:rPr>
          <w:rStyle w:val="FootnoteReference"/>
        </w:rPr>
        <w:footnoteReference w:id="7"/>
      </w:r>
      <w:r w:rsidR="00067EB1" w:rsidRPr="00A70F33">
        <w:rPr>
          <w:szCs w:val="26"/>
        </w:rPr>
        <w:t xml:space="preserve"> studying certain Regional Transmission Organization (RTO) and Independent System Operator (ISO) markets.</w:t>
      </w:r>
      <w:r w:rsidR="00067EB1" w:rsidRPr="00A70F33">
        <w:rPr>
          <w:szCs w:val="26"/>
          <w:vertAlign w:val="superscript"/>
        </w:rPr>
        <w:t xml:space="preserve">  </w:t>
      </w:r>
      <w:r w:rsidR="00034A91" w:rsidRPr="00A70F33">
        <w:rPr>
          <w:szCs w:val="26"/>
        </w:rPr>
        <w:t xml:space="preserve">The </w:t>
      </w:r>
      <w:r w:rsidR="000B59E6" w:rsidRPr="00A70F33">
        <w:rPr>
          <w:szCs w:val="26"/>
        </w:rPr>
        <w:t>changes adopted by the final rule</w:t>
      </w:r>
      <w:r w:rsidR="00034A91" w:rsidRPr="00A70F33">
        <w:rPr>
          <w:szCs w:val="26"/>
        </w:rPr>
        <w:t xml:space="preserve"> relieve </w:t>
      </w:r>
      <w:r w:rsidR="00067EB1" w:rsidRPr="00A70F33">
        <w:rPr>
          <w:szCs w:val="26"/>
        </w:rPr>
        <w:t xml:space="preserve">Sellers </w:t>
      </w:r>
      <w:r w:rsidR="00034A91" w:rsidRPr="00A70F33">
        <w:rPr>
          <w:szCs w:val="26"/>
        </w:rPr>
        <w:t xml:space="preserve">of the </w:t>
      </w:r>
      <w:r w:rsidR="00034A91" w:rsidRPr="00A70F33">
        <w:rPr>
          <w:szCs w:val="26"/>
        </w:rPr>
        <w:lastRenderedPageBreak/>
        <w:t xml:space="preserve">requirement to submit indicative screens </w:t>
      </w:r>
      <w:r w:rsidR="00067EB1" w:rsidRPr="00A70F33">
        <w:rPr>
          <w:szCs w:val="26"/>
        </w:rPr>
        <w:t>for RTO/ISO markets with RTO/ISO-administered energy, ancillary services, and capacity markets subject to Commission-approved RTO/ISO monitoring and mitigation</w:t>
      </w:r>
      <w:r w:rsidR="00034A91" w:rsidRPr="00A70F33">
        <w:rPr>
          <w:szCs w:val="26"/>
        </w:rPr>
        <w:t>.</w:t>
      </w:r>
      <w:r w:rsidR="00BA0C48" w:rsidRPr="00A70F33">
        <w:rPr>
          <w:szCs w:val="26"/>
        </w:rPr>
        <w:t xml:space="preserve"> </w:t>
      </w:r>
      <w:r w:rsidRPr="00A70F33">
        <w:rPr>
          <w:szCs w:val="26"/>
        </w:rPr>
        <w:t xml:space="preserve"> </w:t>
      </w:r>
      <w:r w:rsidR="00067EB1" w:rsidRPr="00A70F33">
        <w:rPr>
          <w:szCs w:val="26"/>
        </w:rPr>
        <w:t xml:space="preserve">Additionally, Sellers in RTOs or ISOs that do not have an RTO/ISO-administered capacity market </w:t>
      </w:r>
      <w:r w:rsidR="00C44838">
        <w:rPr>
          <w:szCs w:val="26"/>
        </w:rPr>
        <w:t>will</w:t>
      </w:r>
      <w:r w:rsidR="00067EB1" w:rsidRPr="00A70F33">
        <w:rPr>
          <w:szCs w:val="26"/>
        </w:rPr>
        <w:t xml:space="preserve"> be relieved of the requirement to submit indicative screens if their market-based rate authority is limited to sales of energy and/or ancillary services.</w:t>
      </w:r>
    </w:p>
    <w:p w14:paraId="46256AFD" w14:textId="77777777" w:rsidR="00507B72" w:rsidRPr="00A70F33" w:rsidRDefault="00507B72" w:rsidP="004A7C75">
      <w:pPr>
        <w:pStyle w:val="FERCparanumber"/>
        <w:numPr>
          <w:ilvl w:val="0"/>
          <w:numId w:val="0"/>
        </w:numPr>
        <w:rPr>
          <w:szCs w:val="26"/>
        </w:rPr>
      </w:pPr>
    </w:p>
    <w:p w14:paraId="248637AA" w14:textId="77777777" w:rsidR="000F659C" w:rsidRPr="00A70F33" w:rsidRDefault="000F659C" w:rsidP="004065DF">
      <w:pPr>
        <w:tabs>
          <w:tab w:val="left" w:pos="-1440"/>
        </w:tabs>
        <w:ind w:left="720" w:hanging="720"/>
        <w:rPr>
          <w:b/>
          <w:bCs/>
          <w:szCs w:val="26"/>
        </w:rPr>
      </w:pPr>
      <w:r w:rsidRPr="00A70F33">
        <w:rPr>
          <w:b/>
          <w:bCs/>
          <w:szCs w:val="26"/>
        </w:rPr>
        <w:t>2.</w:t>
      </w:r>
      <w:r w:rsidRPr="00A70F33">
        <w:rPr>
          <w:b/>
          <w:bCs/>
          <w:szCs w:val="26"/>
        </w:rPr>
        <w:tab/>
        <w:t>HOW, BY WHOM, AND FOR WHAT PURPOSE THE INFORMATION IS TO BE USED AND THE CONSEQUENCES OF NOT COLLECTING THE INFORMATION</w:t>
      </w:r>
    </w:p>
    <w:p w14:paraId="4C1240BC" w14:textId="77777777" w:rsidR="000F659C" w:rsidRPr="00A70F33" w:rsidRDefault="000F659C" w:rsidP="004065DF">
      <w:pPr>
        <w:rPr>
          <w:bCs/>
          <w:szCs w:val="26"/>
        </w:rPr>
      </w:pPr>
    </w:p>
    <w:p w14:paraId="31E55714" w14:textId="7288D015" w:rsidR="00AA468A" w:rsidRPr="00A70F33" w:rsidRDefault="00AA468A" w:rsidP="00AA468A">
      <w:pPr>
        <w:rPr>
          <w:color w:val="FF0000"/>
          <w:szCs w:val="26"/>
        </w:rPr>
      </w:pPr>
      <w:r w:rsidRPr="00A70F33">
        <w:rPr>
          <w:szCs w:val="26"/>
        </w:rPr>
        <w:t xml:space="preserve">The </w:t>
      </w:r>
      <w:r w:rsidR="00252726">
        <w:rPr>
          <w:szCs w:val="26"/>
        </w:rPr>
        <w:t>purpose for collecting this information is to</w:t>
      </w:r>
      <w:r w:rsidRPr="00A70F33">
        <w:rPr>
          <w:szCs w:val="26"/>
        </w:rPr>
        <w:t xml:space="preserve"> ensure that market-based rates charged by public utilities are just and reasonable, as Congress has mandated.</w:t>
      </w:r>
      <w:r w:rsidR="007A3BAC">
        <w:rPr>
          <w:szCs w:val="26"/>
        </w:rPr>
        <w:t xml:space="preserve"> </w:t>
      </w:r>
      <w:r w:rsidR="001B7EA3">
        <w:rPr>
          <w:szCs w:val="26"/>
        </w:rPr>
        <w:t>Part</w:t>
      </w:r>
      <w:r w:rsidRPr="00A70F33">
        <w:rPr>
          <w:szCs w:val="26"/>
        </w:rPr>
        <w:t xml:space="preserve"> 35</w:t>
      </w:r>
      <w:r w:rsidR="001B7EA3">
        <w:rPr>
          <w:rStyle w:val="FootnoteReference"/>
          <w:szCs w:val="26"/>
        </w:rPr>
        <w:footnoteReference w:id="8"/>
      </w:r>
      <w:r w:rsidR="001B7EA3">
        <w:rPr>
          <w:szCs w:val="26"/>
        </w:rPr>
        <w:t xml:space="preserve"> of the Commission’s regulations</w:t>
      </w:r>
      <w:r w:rsidRPr="00A70F33">
        <w:rPr>
          <w:szCs w:val="26"/>
        </w:rPr>
        <w:t xml:space="preserve"> contains the regulations </w:t>
      </w:r>
      <w:r w:rsidR="001B7EA3">
        <w:rPr>
          <w:szCs w:val="26"/>
        </w:rPr>
        <w:t>that</w:t>
      </w:r>
      <w:r w:rsidRPr="00A70F33">
        <w:rPr>
          <w:szCs w:val="26"/>
        </w:rPr>
        <w:t xml:space="preserve"> require </w:t>
      </w:r>
      <w:r w:rsidR="008A60C0">
        <w:rPr>
          <w:szCs w:val="26"/>
        </w:rPr>
        <w:t>S</w:t>
      </w:r>
      <w:r w:rsidRPr="00A70F33">
        <w:rPr>
          <w:szCs w:val="26"/>
        </w:rPr>
        <w:t xml:space="preserve">ellers to submit market power analyses and related reports.  </w:t>
      </w:r>
    </w:p>
    <w:p w14:paraId="1A4FC66A" w14:textId="77777777" w:rsidR="001C60BB" w:rsidRPr="00A70F33" w:rsidRDefault="001C60BB" w:rsidP="001C60BB">
      <w:pPr>
        <w:rPr>
          <w:szCs w:val="26"/>
        </w:rPr>
      </w:pPr>
    </w:p>
    <w:p w14:paraId="7C99D429" w14:textId="4933EB6E" w:rsidR="00047B9D" w:rsidRDefault="001C60BB" w:rsidP="001C60BB">
      <w:pPr>
        <w:rPr>
          <w:szCs w:val="26"/>
        </w:rPr>
      </w:pPr>
      <w:r w:rsidRPr="00A70F33">
        <w:rPr>
          <w:szCs w:val="26"/>
        </w:rPr>
        <w:t xml:space="preserve">In general, market power analyses help inform the Commission whether an entity seeking market-based rate authority lacks </w:t>
      </w:r>
      <w:r w:rsidR="00C44838">
        <w:rPr>
          <w:szCs w:val="26"/>
        </w:rPr>
        <w:t xml:space="preserve">or has adequately mitigated </w:t>
      </w:r>
      <w:r w:rsidRPr="00A70F33">
        <w:rPr>
          <w:szCs w:val="26"/>
        </w:rPr>
        <w:t xml:space="preserve">market power, and whether sales by that entity will be </w:t>
      </w:r>
      <w:r w:rsidR="00DE2015">
        <w:rPr>
          <w:szCs w:val="26"/>
        </w:rPr>
        <w:t xml:space="preserve">at rates that are </w:t>
      </w:r>
      <w:r w:rsidRPr="00A70F33">
        <w:rPr>
          <w:szCs w:val="26"/>
        </w:rPr>
        <w:t xml:space="preserve">just and reasonable.  The criteria and process </w:t>
      </w:r>
      <w:r w:rsidR="0070107B">
        <w:rPr>
          <w:szCs w:val="26"/>
        </w:rPr>
        <w:t xml:space="preserve">described above </w:t>
      </w:r>
      <w:r w:rsidRPr="00A70F33">
        <w:rPr>
          <w:szCs w:val="26"/>
        </w:rPr>
        <w:t>outline Commission expectations for market-based rate sellers and Commission review criteria</w:t>
      </w:r>
      <w:r w:rsidR="000A3188" w:rsidRPr="00A70F33">
        <w:rPr>
          <w:szCs w:val="26"/>
        </w:rPr>
        <w:t xml:space="preserve">. </w:t>
      </w:r>
    </w:p>
    <w:p w14:paraId="67DBB3AD" w14:textId="77777777" w:rsidR="007A3BAC" w:rsidRPr="00A70F33" w:rsidRDefault="007A3BAC" w:rsidP="001C60BB">
      <w:pPr>
        <w:rPr>
          <w:szCs w:val="26"/>
        </w:rPr>
      </w:pPr>
    </w:p>
    <w:p w14:paraId="5ADA00D9" w14:textId="7DD217D5" w:rsidR="001C60BB" w:rsidRPr="00A70F33" w:rsidRDefault="00CE3C86" w:rsidP="00570BDB">
      <w:pPr>
        <w:widowControl/>
        <w:rPr>
          <w:szCs w:val="26"/>
        </w:rPr>
      </w:pPr>
      <w:r>
        <w:rPr>
          <w:szCs w:val="26"/>
        </w:rPr>
        <w:t>In the final rule, t</w:t>
      </w:r>
      <w:r w:rsidR="00E40E47" w:rsidRPr="00A70F33">
        <w:rPr>
          <w:szCs w:val="26"/>
        </w:rPr>
        <w:t>he Commission</w:t>
      </w:r>
      <w:r w:rsidR="00FA0E6D" w:rsidRPr="00A70F33">
        <w:rPr>
          <w:szCs w:val="26"/>
        </w:rPr>
        <w:t xml:space="preserve"> eliminate</w:t>
      </w:r>
      <w:r w:rsidR="00CB0EFE">
        <w:rPr>
          <w:szCs w:val="26"/>
        </w:rPr>
        <w:t>s</w:t>
      </w:r>
      <w:r w:rsidR="00FA0E6D" w:rsidRPr="00A70F33">
        <w:rPr>
          <w:szCs w:val="26"/>
        </w:rPr>
        <w:t xml:space="preserve"> the need for </w:t>
      </w:r>
      <w:r w:rsidR="002C33C7">
        <w:rPr>
          <w:szCs w:val="26"/>
        </w:rPr>
        <w:t>S</w:t>
      </w:r>
      <w:r w:rsidR="00FA0E6D" w:rsidRPr="00A70F33">
        <w:rPr>
          <w:szCs w:val="26"/>
        </w:rPr>
        <w:t xml:space="preserve">ellers to submit indicative screens for </w:t>
      </w:r>
      <w:r w:rsidR="00336CA6" w:rsidRPr="00A70F33">
        <w:rPr>
          <w:szCs w:val="26"/>
        </w:rPr>
        <w:t xml:space="preserve">RTO/ISO </w:t>
      </w:r>
      <w:r w:rsidR="00FA0E6D" w:rsidRPr="00A70F33">
        <w:rPr>
          <w:szCs w:val="26"/>
        </w:rPr>
        <w:t xml:space="preserve">markets </w:t>
      </w:r>
      <w:r w:rsidR="00E97B43">
        <w:rPr>
          <w:szCs w:val="26"/>
        </w:rPr>
        <w:t>with</w:t>
      </w:r>
      <w:r w:rsidR="00FA0E6D" w:rsidRPr="00A70F33">
        <w:rPr>
          <w:szCs w:val="26"/>
        </w:rPr>
        <w:t xml:space="preserve"> Commission-approved RTO/ISO market monitoring and mitigation </w:t>
      </w:r>
      <w:r w:rsidR="0024080F" w:rsidRPr="00A70F33">
        <w:rPr>
          <w:szCs w:val="26"/>
        </w:rPr>
        <w:t>for energy, capacity, and ancillary services</w:t>
      </w:r>
      <w:r w:rsidR="00336CA6" w:rsidRPr="00A70F33">
        <w:rPr>
          <w:rStyle w:val="FootnoteReference"/>
        </w:rPr>
        <w:footnoteReference w:id="9"/>
      </w:r>
      <w:r w:rsidR="0024080F" w:rsidRPr="00A70F33">
        <w:rPr>
          <w:szCs w:val="26"/>
        </w:rPr>
        <w:t xml:space="preserve"> </w:t>
      </w:r>
      <w:r w:rsidR="00596F6C">
        <w:rPr>
          <w:szCs w:val="26"/>
        </w:rPr>
        <w:t xml:space="preserve">and finds </w:t>
      </w:r>
      <w:r w:rsidR="00FA0E6D" w:rsidRPr="00A70F33">
        <w:rPr>
          <w:szCs w:val="26"/>
        </w:rPr>
        <w:t xml:space="preserve">that </w:t>
      </w:r>
      <w:r w:rsidR="002C33C7">
        <w:rPr>
          <w:szCs w:val="26"/>
        </w:rPr>
        <w:t>S</w:t>
      </w:r>
      <w:r w:rsidR="00FA0E6D" w:rsidRPr="00A70F33">
        <w:rPr>
          <w:szCs w:val="26"/>
        </w:rPr>
        <w:t xml:space="preserve">ellers may rely on </w:t>
      </w:r>
      <w:r w:rsidR="00596F6C">
        <w:rPr>
          <w:szCs w:val="26"/>
        </w:rPr>
        <w:t>such mitigation</w:t>
      </w:r>
      <w:r w:rsidR="00FA0E6D" w:rsidRPr="00A70F33">
        <w:rPr>
          <w:szCs w:val="26"/>
        </w:rPr>
        <w:t xml:space="preserve"> to mitigate any market power that they may have in that market</w:t>
      </w:r>
      <w:r w:rsidR="001C60BB" w:rsidRPr="00A70F33">
        <w:rPr>
          <w:szCs w:val="26"/>
        </w:rPr>
        <w:t>.</w:t>
      </w:r>
      <w:r w:rsidR="008336A9" w:rsidRPr="00A70F33">
        <w:rPr>
          <w:rStyle w:val="FootnoteReference"/>
        </w:rPr>
        <w:footnoteReference w:id="10"/>
      </w:r>
      <w:r w:rsidR="001C60BB" w:rsidRPr="00A70F33">
        <w:rPr>
          <w:szCs w:val="26"/>
        </w:rPr>
        <w:t xml:space="preserve">  </w:t>
      </w:r>
      <w:r w:rsidR="00BE1636" w:rsidRPr="00A70F33">
        <w:rPr>
          <w:color w:val="000000"/>
          <w:szCs w:val="26"/>
        </w:rPr>
        <w:t>As the Commission explain</w:t>
      </w:r>
      <w:r w:rsidR="00C44838">
        <w:rPr>
          <w:color w:val="000000"/>
          <w:szCs w:val="26"/>
        </w:rPr>
        <w:t>ed</w:t>
      </w:r>
      <w:r w:rsidR="00BE1636" w:rsidRPr="00A70F33">
        <w:rPr>
          <w:color w:val="000000"/>
          <w:szCs w:val="26"/>
        </w:rPr>
        <w:t xml:space="preserve"> in the </w:t>
      </w:r>
      <w:r w:rsidR="00C44838">
        <w:rPr>
          <w:color w:val="000000"/>
          <w:szCs w:val="26"/>
        </w:rPr>
        <w:t>NOPR</w:t>
      </w:r>
      <w:r w:rsidR="00BE1636" w:rsidRPr="00A70F33">
        <w:rPr>
          <w:color w:val="000000"/>
          <w:szCs w:val="26"/>
        </w:rPr>
        <w:t xml:space="preserve">, the submission of indicative screens </w:t>
      </w:r>
      <w:r w:rsidR="008439D6" w:rsidRPr="00A70F33">
        <w:rPr>
          <w:color w:val="000000"/>
          <w:szCs w:val="26"/>
        </w:rPr>
        <w:t xml:space="preserve">by </w:t>
      </w:r>
      <w:r w:rsidR="002C33C7">
        <w:rPr>
          <w:color w:val="000000"/>
          <w:szCs w:val="26"/>
        </w:rPr>
        <w:t>S</w:t>
      </w:r>
      <w:r w:rsidR="008439D6" w:rsidRPr="00A70F33">
        <w:rPr>
          <w:color w:val="000000"/>
          <w:szCs w:val="26"/>
        </w:rPr>
        <w:t xml:space="preserve">ellers in the RTO/ISO markets </w:t>
      </w:r>
      <w:r w:rsidR="00BE1636" w:rsidRPr="00A70F33">
        <w:rPr>
          <w:color w:val="000000"/>
          <w:szCs w:val="26"/>
        </w:rPr>
        <w:t xml:space="preserve">yields little practical benefit because it has been the Commission’s practice to allow RTO/ISO </w:t>
      </w:r>
      <w:r w:rsidR="00CB7E70">
        <w:rPr>
          <w:color w:val="000000"/>
          <w:szCs w:val="26"/>
        </w:rPr>
        <w:t>S</w:t>
      </w:r>
      <w:r w:rsidR="00BE1636" w:rsidRPr="00A70F33">
        <w:rPr>
          <w:color w:val="000000"/>
          <w:szCs w:val="26"/>
        </w:rPr>
        <w:t>ellers</w:t>
      </w:r>
      <w:r w:rsidR="00E97B43">
        <w:rPr>
          <w:rStyle w:val="FootnoteReference"/>
          <w:color w:val="000000"/>
          <w:szCs w:val="26"/>
        </w:rPr>
        <w:footnoteReference w:id="11"/>
      </w:r>
      <w:r w:rsidR="00BE1636" w:rsidRPr="00A70F33">
        <w:rPr>
          <w:color w:val="000000"/>
          <w:szCs w:val="26"/>
        </w:rPr>
        <w:t xml:space="preserve"> that fail the indicative screens to rely </w:t>
      </w:r>
      <w:r w:rsidR="00BE1636" w:rsidRPr="00A70F33">
        <w:rPr>
          <w:color w:val="000000"/>
          <w:szCs w:val="26"/>
        </w:rPr>
        <w:lastRenderedPageBreak/>
        <w:t xml:space="preserve">on </w:t>
      </w:r>
      <w:r w:rsidR="00281F70" w:rsidRPr="00A70F33">
        <w:rPr>
          <w:color w:val="000000"/>
          <w:szCs w:val="26"/>
        </w:rPr>
        <w:t xml:space="preserve">Commission-approved </w:t>
      </w:r>
      <w:r w:rsidR="00BE1636" w:rsidRPr="00A70F33">
        <w:rPr>
          <w:color w:val="000000"/>
          <w:szCs w:val="26"/>
        </w:rPr>
        <w:t>RTO/ISO</w:t>
      </w:r>
      <w:r w:rsidR="00281F70" w:rsidRPr="00A70F33">
        <w:rPr>
          <w:color w:val="000000"/>
          <w:szCs w:val="26"/>
        </w:rPr>
        <w:t>-administered</w:t>
      </w:r>
      <w:r w:rsidR="00BE1636" w:rsidRPr="00A70F33">
        <w:rPr>
          <w:color w:val="000000"/>
          <w:szCs w:val="26"/>
        </w:rPr>
        <w:t xml:space="preserve"> monitoring and mitigation to mitigate any market power that the </w:t>
      </w:r>
      <w:r w:rsidR="002C33C7">
        <w:rPr>
          <w:color w:val="000000"/>
          <w:szCs w:val="26"/>
        </w:rPr>
        <w:t>S</w:t>
      </w:r>
      <w:r w:rsidR="00BE1636" w:rsidRPr="00A70F33">
        <w:rPr>
          <w:color w:val="000000"/>
          <w:szCs w:val="26"/>
        </w:rPr>
        <w:t>ellers may have.  Thus, elimination of the requirement to submit indicative screens in these RTO/ISO markets w</w:t>
      </w:r>
      <w:r w:rsidR="0061086F">
        <w:rPr>
          <w:color w:val="000000"/>
          <w:szCs w:val="26"/>
        </w:rPr>
        <w:t>ill</w:t>
      </w:r>
      <w:r w:rsidR="001C60BB" w:rsidRPr="00A70F33">
        <w:rPr>
          <w:szCs w:val="26"/>
        </w:rPr>
        <w:t xml:space="preserve"> improve regulatory efficiency </w:t>
      </w:r>
      <w:r w:rsidR="00A53F67">
        <w:rPr>
          <w:szCs w:val="26"/>
        </w:rPr>
        <w:t>by simplifying the</w:t>
      </w:r>
      <w:r w:rsidR="00A53F67" w:rsidRPr="00A70F33">
        <w:rPr>
          <w:szCs w:val="26"/>
        </w:rPr>
        <w:t xml:space="preserve"> </w:t>
      </w:r>
      <w:r w:rsidR="001C60BB" w:rsidRPr="00A70F33">
        <w:rPr>
          <w:szCs w:val="26"/>
        </w:rPr>
        <w:t>Commission</w:t>
      </w:r>
      <w:r w:rsidR="00A53F67">
        <w:rPr>
          <w:szCs w:val="26"/>
        </w:rPr>
        <w:t>’s</w:t>
      </w:r>
      <w:r w:rsidR="001C60BB" w:rsidRPr="00A70F33">
        <w:rPr>
          <w:szCs w:val="26"/>
        </w:rPr>
        <w:t xml:space="preserve"> analysis and determination of market-based rate authority.  It </w:t>
      </w:r>
      <w:r w:rsidR="00A53F67">
        <w:rPr>
          <w:szCs w:val="26"/>
        </w:rPr>
        <w:t xml:space="preserve">will </w:t>
      </w:r>
      <w:r w:rsidR="001C60BB" w:rsidRPr="00A70F33">
        <w:rPr>
          <w:szCs w:val="26"/>
        </w:rPr>
        <w:t>also help reduce document preparation time overall</w:t>
      </w:r>
      <w:r w:rsidR="00751FE6" w:rsidRPr="00A70F33">
        <w:rPr>
          <w:szCs w:val="26"/>
        </w:rPr>
        <w:t xml:space="preserve"> (i.e. reduces paperwork burden upon affected </w:t>
      </w:r>
      <w:r w:rsidR="00BB2E5D">
        <w:rPr>
          <w:szCs w:val="26"/>
        </w:rPr>
        <w:t>S</w:t>
      </w:r>
      <w:r w:rsidR="00751FE6" w:rsidRPr="00A70F33">
        <w:rPr>
          <w:szCs w:val="26"/>
        </w:rPr>
        <w:t>ellers)</w:t>
      </w:r>
      <w:r w:rsidR="001C60BB" w:rsidRPr="00A70F33">
        <w:rPr>
          <w:szCs w:val="26"/>
        </w:rPr>
        <w:t xml:space="preserve"> and provide utilities with clearly defined requirements</w:t>
      </w:r>
      <w:r w:rsidR="00A53F67">
        <w:rPr>
          <w:szCs w:val="26"/>
        </w:rPr>
        <w:t xml:space="preserve"> when seeking or retaining market-based rate authority</w:t>
      </w:r>
      <w:r w:rsidR="001C60BB" w:rsidRPr="00A70F33">
        <w:rPr>
          <w:szCs w:val="26"/>
        </w:rPr>
        <w:t xml:space="preserve">.  </w:t>
      </w:r>
    </w:p>
    <w:p w14:paraId="785F7A04" w14:textId="77777777" w:rsidR="001C60BB" w:rsidRPr="00A70F33" w:rsidRDefault="001C60BB" w:rsidP="001C60BB">
      <w:pPr>
        <w:rPr>
          <w:szCs w:val="26"/>
        </w:rPr>
      </w:pPr>
    </w:p>
    <w:p w14:paraId="01D8EEF5" w14:textId="76438DA7" w:rsidR="001C60BB" w:rsidRPr="00A70F33" w:rsidRDefault="0061086F" w:rsidP="001C60BB">
      <w:pPr>
        <w:rPr>
          <w:szCs w:val="26"/>
        </w:rPr>
      </w:pPr>
      <w:r>
        <w:rPr>
          <w:szCs w:val="26"/>
        </w:rPr>
        <w:t>Even without</w:t>
      </w:r>
      <w:r w:rsidR="00304BE1" w:rsidRPr="00A70F33">
        <w:rPr>
          <w:szCs w:val="26"/>
        </w:rPr>
        <w:t xml:space="preserve"> </w:t>
      </w:r>
      <w:r w:rsidR="001C60BB" w:rsidRPr="00A70F33">
        <w:rPr>
          <w:szCs w:val="26"/>
        </w:rPr>
        <w:t>th</w:t>
      </w:r>
      <w:r w:rsidR="00FA0E6D" w:rsidRPr="00A70F33">
        <w:rPr>
          <w:szCs w:val="26"/>
        </w:rPr>
        <w:t>e indicative screen</w:t>
      </w:r>
      <w:r w:rsidR="001C60BB" w:rsidRPr="00A70F33">
        <w:rPr>
          <w:szCs w:val="26"/>
        </w:rPr>
        <w:t xml:space="preserve"> information</w:t>
      </w:r>
      <w:r w:rsidR="00FA0E6D" w:rsidRPr="00A70F33">
        <w:rPr>
          <w:szCs w:val="26"/>
        </w:rPr>
        <w:t xml:space="preserve"> </w:t>
      </w:r>
      <w:r>
        <w:rPr>
          <w:szCs w:val="26"/>
        </w:rPr>
        <w:t>for</w:t>
      </w:r>
      <w:r w:rsidR="00FA0E6D" w:rsidRPr="00A70F33">
        <w:rPr>
          <w:szCs w:val="26"/>
        </w:rPr>
        <w:t xml:space="preserve"> </w:t>
      </w:r>
      <w:r w:rsidR="00A53F67">
        <w:rPr>
          <w:szCs w:val="26"/>
        </w:rPr>
        <w:t>the</w:t>
      </w:r>
      <w:r w:rsidR="00A53F67" w:rsidRPr="00A70F33">
        <w:rPr>
          <w:szCs w:val="26"/>
        </w:rPr>
        <w:t xml:space="preserve"> </w:t>
      </w:r>
      <w:r w:rsidR="00FA0E6D" w:rsidRPr="00A70F33">
        <w:rPr>
          <w:szCs w:val="26"/>
        </w:rPr>
        <w:t>specified RTO/ISO markets</w:t>
      </w:r>
      <w:r w:rsidR="001C60BB" w:rsidRPr="00A70F33">
        <w:rPr>
          <w:szCs w:val="26"/>
        </w:rPr>
        <w:t xml:space="preserve">, the Commission </w:t>
      </w:r>
      <w:r w:rsidR="00A53F67">
        <w:rPr>
          <w:szCs w:val="26"/>
        </w:rPr>
        <w:t>will</w:t>
      </w:r>
      <w:r w:rsidR="00A53F67" w:rsidRPr="00A70F33">
        <w:rPr>
          <w:szCs w:val="26"/>
        </w:rPr>
        <w:t xml:space="preserve"> </w:t>
      </w:r>
      <w:r w:rsidR="00FA0E6D" w:rsidRPr="00A70F33">
        <w:rPr>
          <w:szCs w:val="26"/>
        </w:rPr>
        <w:t>still be able</w:t>
      </w:r>
      <w:r w:rsidR="001C60BB" w:rsidRPr="00A70F33">
        <w:rPr>
          <w:szCs w:val="26"/>
        </w:rPr>
        <w:t xml:space="preserve"> to meet its statutory responsibility to ensure </w:t>
      </w:r>
      <w:r w:rsidR="00A53F67">
        <w:rPr>
          <w:szCs w:val="26"/>
        </w:rPr>
        <w:t xml:space="preserve">public </w:t>
      </w:r>
      <w:r w:rsidR="001C60BB" w:rsidRPr="00A70F33">
        <w:rPr>
          <w:szCs w:val="26"/>
        </w:rPr>
        <w:t xml:space="preserve">utility rates are just and reasonable.  </w:t>
      </w:r>
      <w:r w:rsidR="00FA0E6D" w:rsidRPr="00A70F33">
        <w:rPr>
          <w:szCs w:val="26"/>
        </w:rPr>
        <w:t xml:space="preserve">The Commission will continue to receive other information, such as information on all of a </w:t>
      </w:r>
      <w:r w:rsidR="000404E3">
        <w:rPr>
          <w:szCs w:val="26"/>
        </w:rPr>
        <w:t>S</w:t>
      </w:r>
      <w:r w:rsidR="00FA0E6D" w:rsidRPr="00A70F33">
        <w:rPr>
          <w:szCs w:val="26"/>
        </w:rPr>
        <w:t>eller’s affiliates</w:t>
      </w:r>
      <w:r w:rsidR="007028E6" w:rsidRPr="00A70F33">
        <w:rPr>
          <w:szCs w:val="26"/>
        </w:rPr>
        <w:t>,</w:t>
      </w:r>
      <w:r w:rsidR="00FA0E6D" w:rsidRPr="00A70F33">
        <w:rPr>
          <w:szCs w:val="26"/>
        </w:rPr>
        <w:t xml:space="preserve"> assets</w:t>
      </w:r>
      <w:r w:rsidR="007028E6" w:rsidRPr="00A70F33">
        <w:rPr>
          <w:szCs w:val="26"/>
        </w:rPr>
        <w:t>,</w:t>
      </w:r>
      <w:r w:rsidR="00FA0E6D" w:rsidRPr="00A70F33">
        <w:rPr>
          <w:szCs w:val="26"/>
        </w:rPr>
        <w:t xml:space="preserve"> and data on sales made pursuant to the </w:t>
      </w:r>
      <w:r w:rsidR="000404E3">
        <w:rPr>
          <w:szCs w:val="26"/>
        </w:rPr>
        <w:t>S</w:t>
      </w:r>
      <w:r w:rsidR="00FA0E6D" w:rsidRPr="00A70F33">
        <w:rPr>
          <w:szCs w:val="26"/>
        </w:rPr>
        <w:t>eller’</w:t>
      </w:r>
      <w:r w:rsidR="00304BE1" w:rsidRPr="00A70F33">
        <w:rPr>
          <w:szCs w:val="26"/>
        </w:rPr>
        <w:t xml:space="preserve">s market-based rate </w:t>
      </w:r>
      <w:r w:rsidR="005B0C38" w:rsidRPr="00A70F33">
        <w:rPr>
          <w:szCs w:val="26"/>
        </w:rPr>
        <w:t xml:space="preserve">authority, which will assist </w:t>
      </w:r>
      <w:r w:rsidR="00304BE1" w:rsidRPr="00A70F33">
        <w:rPr>
          <w:szCs w:val="26"/>
        </w:rPr>
        <w:t xml:space="preserve">in ensuring that rates are just and reasonable.  </w:t>
      </w:r>
      <w:r w:rsidR="00CB7E70">
        <w:rPr>
          <w:szCs w:val="26"/>
        </w:rPr>
        <w:t>If the Commission failed to collect this data,</w:t>
      </w:r>
      <w:r w:rsidR="001C60BB" w:rsidRPr="00A70F33">
        <w:rPr>
          <w:szCs w:val="26"/>
        </w:rPr>
        <w:t xml:space="preserve"> </w:t>
      </w:r>
      <w:r w:rsidR="00CB7E70">
        <w:rPr>
          <w:szCs w:val="26"/>
        </w:rPr>
        <w:t xml:space="preserve">the Commission </w:t>
      </w:r>
      <w:r w:rsidR="00FA0E6D" w:rsidRPr="00A70F33">
        <w:rPr>
          <w:szCs w:val="26"/>
        </w:rPr>
        <w:t>c</w:t>
      </w:r>
      <w:r w:rsidR="001C60BB" w:rsidRPr="00A70F33">
        <w:rPr>
          <w:szCs w:val="26"/>
        </w:rPr>
        <w:t xml:space="preserve">ould </w:t>
      </w:r>
      <w:r w:rsidR="00CB7E70">
        <w:rPr>
          <w:szCs w:val="26"/>
        </w:rPr>
        <w:t>fail in its statutory obligation to ensure that</w:t>
      </w:r>
      <w:r w:rsidR="001C60BB" w:rsidRPr="00A70F33">
        <w:rPr>
          <w:szCs w:val="26"/>
        </w:rPr>
        <w:t xml:space="preserve"> public utilities </w:t>
      </w:r>
      <w:r w:rsidR="00CB7E70">
        <w:rPr>
          <w:szCs w:val="26"/>
        </w:rPr>
        <w:t xml:space="preserve">are </w:t>
      </w:r>
      <w:r w:rsidR="001C60BB" w:rsidRPr="00A70F33">
        <w:rPr>
          <w:szCs w:val="26"/>
        </w:rPr>
        <w:t>charging rates that are just and reasonable.</w:t>
      </w:r>
    </w:p>
    <w:p w14:paraId="7A53D816" w14:textId="77777777" w:rsidR="004065DF" w:rsidRPr="00A70F33" w:rsidRDefault="004065DF" w:rsidP="004065DF">
      <w:pPr>
        <w:rPr>
          <w:color w:val="FF0000"/>
          <w:szCs w:val="26"/>
        </w:rPr>
      </w:pPr>
    </w:p>
    <w:p w14:paraId="7D95AED7" w14:textId="77777777" w:rsidR="000F659C" w:rsidRPr="00A70F33" w:rsidRDefault="000F659C" w:rsidP="004065DF">
      <w:pPr>
        <w:tabs>
          <w:tab w:val="left" w:pos="-1440"/>
        </w:tabs>
        <w:ind w:left="720" w:hanging="720"/>
        <w:rPr>
          <w:b/>
          <w:bCs/>
          <w:szCs w:val="26"/>
        </w:rPr>
      </w:pPr>
      <w:r w:rsidRPr="00A70F33">
        <w:rPr>
          <w:b/>
          <w:bCs/>
          <w:szCs w:val="26"/>
        </w:rPr>
        <w:t>3.</w:t>
      </w:r>
      <w:r w:rsidRPr="00A70F33">
        <w:rPr>
          <w:b/>
          <w:bCs/>
          <w:szCs w:val="26"/>
        </w:rPr>
        <w:tab/>
        <w:t>DESCRIBE ANY CONSIDERATION OF THE USE OF IMPROVED INFORMATION TECHNOLOGY TO REDUCE BURDEN AND TECHNICAL OR LEGAL OBSTACLES TO REDUCING BURDEN</w:t>
      </w:r>
    </w:p>
    <w:p w14:paraId="72615FC5" w14:textId="77777777" w:rsidR="00D047D6" w:rsidRPr="00A70F33" w:rsidRDefault="00D047D6" w:rsidP="00D047D6">
      <w:pPr>
        <w:widowControl/>
        <w:rPr>
          <w:szCs w:val="26"/>
        </w:rPr>
      </w:pPr>
    </w:p>
    <w:p w14:paraId="1CA3F78A" w14:textId="10B88115" w:rsidR="0091343B" w:rsidRPr="00A70F33" w:rsidRDefault="0091343B" w:rsidP="0091343B">
      <w:pPr>
        <w:rPr>
          <w:szCs w:val="26"/>
        </w:rPr>
      </w:pPr>
      <w:r w:rsidRPr="00A70F33">
        <w:rPr>
          <w:szCs w:val="26"/>
        </w:rPr>
        <w:t xml:space="preserve">The Commission continues to expand the list of filing types that may be submitted electronically to reduce the burden related to this information collection.  However, the FERC-919 filings </w:t>
      </w:r>
      <w:r w:rsidR="000060B5">
        <w:rPr>
          <w:szCs w:val="26"/>
        </w:rPr>
        <w:t>(</w:t>
      </w:r>
      <w:r w:rsidR="00CE055E" w:rsidRPr="00A70F33">
        <w:rPr>
          <w:szCs w:val="26"/>
        </w:rPr>
        <w:t>specifically</w:t>
      </w:r>
      <w:r w:rsidR="00B227D9" w:rsidRPr="00A70F33">
        <w:rPr>
          <w:szCs w:val="26"/>
        </w:rPr>
        <w:t xml:space="preserve"> the </w:t>
      </w:r>
      <w:r w:rsidRPr="00A70F33">
        <w:rPr>
          <w:szCs w:val="26"/>
        </w:rPr>
        <w:t>initial market power analyses to qualify for authority to charge market</w:t>
      </w:r>
      <w:r w:rsidR="007028E6" w:rsidRPr="00A70F33">
        <w:rPr>
          <w:szCs w:val="26"/>
        </w:rPr>
        <w:t>-</w:t>
      </w:r>
      <w:r w:rsidRPr="00A70F33">
        <w:rPr>
          <w:szCs w:val="26"/>
        </w:rPr>
        <w:t>based rates, trie</w:t>
      </w:r>
      <w:r w:rsidR="005B0C38" w:rsidRPr="00A70F33">
        <w:rPr>
          <w:szCs w:val="26"/>
        </w:rPr>
        <w:t>nnial market power analysis in C</w:t>
      </w:r>
      <w:r w:rsidRPr="00A70F33">
        <w:rPr>
          <w:szCs w:val="26"/>
        </w:rPr>
        <w:t>ategory 2 seller updates</w:t>
      </w:r>
      <w:r w:rsidR="00CE055E" w:rsidRPr="00A70F33">
        <w:rPr>
          <w:szCs w:val="26"/>
        </w:rPr>
        <w:t xml:space="preserve"> as required in 18 CFR 35.37(a)</w:t>
      </w:r>
      <w:r w:rsidR="00C563B3">
        <w:rPr>
          <w:szCs w:val="26"/>
        </w:rPr>
        <w:t>,</w:t>
      </w:r>
      <w:r w:rsidRPr="00A70F33">
        <w:rPr>
          <w:szCs w:val="26"/>
        </w:rPr>
        <w:t xml:space="preserve"> and change in status reports as required in 18 CFR 35.42(a) (including Appendix B)</w:t>
      </w:r>
      <w:r w:rsidR="0023762A">
        <w:rPr>
          <w:szCs w:val="26"/>
        </w:rPr>
        <w:t>)</w:t>
      </w:r>
      <w:r w:rsidRPr="00A70F33">
        <w:rPr>
          <w:szCs w:val="26"/>
        </w:rPr>
        <w:t xml:space="preserve"> are and will continue to be filed in various media ranging from paper documents to XML data transfers.  </w:t>
      </w:r>
      <w:r w:rsidR="00890985">
        <w:rPr>
          <w:szCs w:val="26"/>
        </w:rPr>
        <w:t xml:space="preserve">In </w:t>
      </w:r>
      <w:r w:rsidRPr="00A70F33">
        <w:rPr>
          <w:szCs w:val="26"/>
        </w:rPr>
        <w:t>Order No. 714</w:t>
      </w:r>
      <w:r w:rsidR="00890985">
        <w:rPr>
          <w:szCs w:val="26"/>
        </w:rPr>
        <w:t>,</w:t>
      </w:r>
      <w:r w:rsidR="00CE055E" w:rsidRPr="00A70F33">
        <w:rPr>
          <w:rStyle w:val="FootnoteReference"/>
        </w:rPr>
        <w:footnoteReference w:id="12"/>
      </w:r>
      <w:r w:rsidRPr="00A70F33">
        <w:rPr>
          <w:szCs w:val="26"/>
        </w:rPr>
        <w:t xml:space="preserve"> the Commission required that all tariffs, tariff revisions</w:t>
      </w:r>
      <w:r w:rsidR="00890985">
        <w:rPr>
          <w:szCs w:val="26"/>
        </w:rPr>
        <w:t>,</w:t>
      </w:r>
      <w:r w:rsidRPr="00A70F33">
        <w:rPr>
          <w:szCs w:val="26"/>
        </w:rPr>
        <w:t xml:space="preserve"> and rate change applications be filed electronically starting April 1, 2010.</w:t>
      </w:r>
      <w:r w:rsidR="00B227D9" w:rsidRPr="00A70F33">
        <w:rPr>
          <w:szCs w:val="26"/>
        </w:rPr>
        <w:t xml:space="preserve">  </w:t>
      </w:r>
      <w:r w:rsidRPr="00A70F33">
        <w:rPr>
          <w:szCs w:val="26"/>
        </w:rPr>
        <w:t>Those who file FERC-919 information related to market</w:t>
      </w:r>
      <w:r w:rsidR="007028E6" w:rsidRPr="00A70F33">
        <w:rPr>
          <w:szCs w:val="26"/>
        </w:rPr>
        <w:t>-</w:t>
      </w:r>
      <w:r w:rsidRPr="00A70F33">
        <w:rPr>
          <w:szCs w:val="26"/>
        </w:rPr>
        <w:t xml:space="preserve">based tariffs do so by embedding electronic tariff and filing information within the XML schema of </w:t>
      </w:r>
      <w:r w:rsidR="000404E3">
        <w:rPr>
          <w:szCs w:val="26"/>
        </w:rPr>
        <w:t xml:space="preserve">Commission’s </w:t>
      </w:r>
      <w:r w:rsidRPr="00A70F33">
        <w:rPr>
          <w:szCs w:val="26"/>
        </w:rPr>
        <w:t>eTariff system.</w:t>
      </w:r>
    </w:p>
    <w:p w14:paraId="595C1D0F" w14:textId="77777777" w:rsidR="000F659C" w:rsidRPr="00A70F33" w:rsidRDefault="000F659C" w:rsidP="004065DF">
      <w:pPr>
        <w:rPr>
          <w:szCs w:val="26"/>
        </w:rPr>
      </w:pPr>
    </w:p>
    <w:p w14:paraId="3DD39D91" w14:textId="77777777" w:rsidR="000F659C" w:rsidRPr="00A70F33" w:rsidRDefault="000F659C" w:rsidP="004065DF">
      <w:pPr>
        <w:tabs>
          <w:tab w:val="left" w:pos="-1440"/>
        </w:tabs>
        <w:ind w:left="720" w:hanging="720"/>
        <w:rPr>
          <w:b/>
          <w:bCs/>
          <w:szCs w:val="26"/>
        </w:rPr>
      </w:pPr>
      <w:r w:rsidRPr="00A70F33">
        <w:rPr>
          <w:b/>
          <w:bCs/>
          <w:szCs w:val="26"/>
        </w:rPr>
        <w:t>4.</w:t>
      </w:r>
      <w:r w:rsidRPr="00A70F33">
        <w:rPr>
          <w:b/>
          <w:bCs/>
          <w:szCs w:val="26"/>
        </w:rPr>
        <w:tab/>
        <w:t xml:space="preserve">DESCRIBE EFFORTS TO IDENTIFY DUPLICATION AND SHOW SPECIFICALLY WHY ANY SIMILAR INFORMATION ALREADY AVAILABLE CANNOT BE USED OR MODIFIED FOR USE FOR THE PURPOSE(S) DESCRIBED IN INSTRUCTION </w:t>
      </w:r>
      <w:r w:rsidR="00D047D6" w:rsidRPr="00A70F33">
        <w:rPr>
          <w:b/>
          <w:bCs/>
          <w:szCs w:val="26"/>
        </w:rPr>
        <w:t xml:space="preserve">NO. </w:t>
      </w:r>
      <w:r w:rsidRPr="00A70F33">
        <w:rPr>
          <w:b/>
          <w:bCs/>
          <w:szCs w:val="26"/>
        </w:rPr>
        <w:t>2.</w:t>
      </w:r>
    </w:p>
    <w:p w14:paraId="7A50AAB3" w14:textId="77777777" w:rsidR="000F659C" w:rsidRPr="00A70F33" w:rsidRDefault="000F659C" w:rsidP="004065DF">
      <w:pPr>
        <w:rPr>
          <w:bCs/>
          <w:szCs w:val="26"/>
        </w:rPr>
      </w:pPr>
    </w:p>
    <w:p w14:paraId="03B18BDE" w14:textId="77777777" w:rsidR="000F659C" w:rsidRPr="00A70F33" w:rsidRDefault="00763057" w:rsidP="004065DF">
      <w:pPr>
        <w:rPr>
          <w:szCs w:val="26"/>
        </w:rPr>
      </w:pPr>
      <w:r w:rsidRPr="00A70F33">
        <w:rPr>
          <w:bCs/>
          <w:szCs w:val="26"/>
        </w:rPr>
        <w:t xml:space="preserve">The Commission periodically reviews filing requirements as OMB review dates arise or as the Commission may deem necessary in carrying out </w:t>
      </w:r>
      <w:r w:rsidR="007E728B" w:rsidRPr="00A70F33">
        <w:rPr>
          <w:bCs/>
          <w:szCs w:val="26"/>
        </w:rPr>
        <w:t xml:space="preserve">its regulatory responsibilities.  </w:t>
      </w:r>
      <w:r w:rsidRPr="00A70F33">
        <w:rPr>
          <w:bCs/>
          <w:szCs w:val="26"/>
        </w:rPr>
        <w:t xml:space="preserve">To date, </w:t>
      </w:r>
      <w:r w:rsidR="007E728B" w:rsidRPr="00A70F33">
        <w:rPr>
          <w:bCs/>
          <w:szCs w:val="26"/>
        </w:rPr>
        <w:t xml:space="preserve">the Commission has found </w:t>
      </w:r>
      <w:r w:rsidRPr="00A70F33">
        <w:rPr>
          <w:bCs/>
          <w:szCs w:val="26"/>
        </w:rPr>
        <w:t xml:space="preserve">no duplication of application data </w:t>
      </w:r>
      <w:r w:rsidR="007E728B" w:rsidRPr="00A70F33">
        <w:rPr>
          <w:bCs/>
          <w:szCs w:val="26"/>
        </w:rPr>
        <w:t>elsewhere</w:t>
      </w:r>
      <w:r w:rsidRPr="00A70F33">
        <w:rPr>
          <w:bCs/>
          <w:szCs w:val="26"/>
        </w:rPr>
        <w:t xml:space="preserve">.  </w:t>
      </w:r>
      <w:r w:rsidR="007E728B" w:rsidRPr="00A70F33">
        <w:rPr>
          <w:bCs/>
          <w:szCs w:val="26"/>
        </w:rPr>
        <w:t xml:space="preserve">Moreover, the Commission </w:t>
      </w:r>
      <w:r w:rsidR="00784E2D" w:rsidRPr="00A70F33">
        <w:rPr>
          <w:bCs/>
          <w:szCs w:val="26"/>
        </w:rPr>
        <w:t xml:space="preserve">can neither </w:t>
      </w:r>
      <w:r w:rsidR="007E728B" w:rsidRPr="00A70F33">
        <w:rPr>
          <w:bCs/>
          <w:szCs w:val="26"/>
        </w:rPr>
        <w:t>compile nor obtain the data and analyses from any other source but the filer.</w:t>
      </w:r>
      <w:r w:rsidR="00967D29" w:rsidRPr="00A70F33">
        <w:rPr>
          <w:bCs/>
          <w:szCs w:val="26"/>
        </w:rPr>
        <w:t xml:space="preserve"> </w:t>
      </w:r>
      <w:r w:rsidR="007E728B" w:rsidRPr="00A70F33">
        <w:rPr>
          <w:bCs/>
          <w:szCs w:val="26"/>
        </w:rPr>
        <w:t xml:space="preserve"> </w:t>
      </w:r>
      <w:r w:rsidRPr="00A70F33">
        <w:rPr>
          <w:bCs/>
          <w:szCs w:val="26"/>
        </w:rPr>
        <w:t xml:space="preserve">The information is specific to each </w:t>
      </w:r>
      <w:r w:rsidR="007E728B" w:rsidRPr="00A70F33">
        <w:rPr>
          <w:bCs/>
          <w:szCs w:val="26"/>
        </w:rPr>
        <w:t xml:space="preserve">filing </w:t>
      </w:r>
      <w:r w:rsidRPr="00A70F33">
        <w:rPr>
          <w:bCs/>
          <w:szCs w:val="26"/>
        </w:rPr>
        <w:t>applicant.</w:t>
      </w:r>
    </w:p>
    <w:p w14:paraId="4D4F7A6C" w14:textId="77777777" w:rsidR="00E66D62" w:rsidRPr="00A70F33" w:rsidRDefault="00E66D62" w:rsidP="004065DF">
      <w:pPr>
        <w:rPr>
          <w:szCs w:val="26"/>
        </w:rPr>
      </w:pPr>
    </w:p>
    <w:p w14:paraId="7D18529A" w14:textId="77777777" w:rsidR="000F659C" w:rsidRPr="00A70F33" w:rsidRDefault="000F659C" w:rsidP="004065DF">
      <w:pPr>
        <w:tabs>
          <w:tab w:val="left" w:pos="-1440"/>
        </w:tabs>
        <w:ind w:left="720" w:hanging="720"/>
        <w:rPr>
          <w:b/>
          <w:bCs/>
          <w:szCs w:val="26"/>
        </w:rPr>
      </w:pPr>
      <w:r w:rsidRPr="00A70F33">
        <w:rPr>
          <w:b/>
          <w:bCs/>
          <w:szCs w:val="26"/>
        </w:rPr>
        <w:t>5.</w:t>
      </w:r>
      <w:r w:rsidRPr="00A70F33">
        <w:rPr>
          <w:b/>
          <w:bCs/>
          <w:szCs w:val="26"/>
        </w:rPr>
        <w:tab/>
        <w:t>METHODS USED TO MINIMIZE BURDEN IN COLLECTION OF INFORMATION INVOLVING SMALL ENTITIES</w:t>
      </w:r>
    </w:p>
    <w:p w14:paraId="2925E831" w14:textId="77777777" w:rsidR="00950543" w:rsidRPr="00A70F33" w:rsidRDefault="00950543" w:rsidP="002E03BD">
      <w:pPr>
        <w:tabs>
          <w:tab w:val="left" w:pos="-1440"/>
        </w:tabs>
        <w:rPr>
          <w:szCs w:val="26"/>
        </w:rPr>
      </w:pPr>
    </w:p>
    <w:p w14:paraId="2E495839" w14:textId="5B64C92F" w:rsidR="00FC0592" w:rsidRPr="00A70F33" w:rsidRDefault="0082686C" w:rsidP="002E03BD">
      <w:pPr>
        <w:tabs>
          <w:tab w:val="left" w:pos="-1440"/>
        </w:tabs>
        <w:rPr>
          <w:szCs w:val="26"/>
        </w:rPr>
      </w:pPr>
      <w:r w:rsidRPr="00A70F33">
        <w:rPr>
          <w:szCs w:val="26"/>
        </w:rPr>
        <w:t>The Commission currently requires the submission of a market power analysis</w:t>
      </w:r>
      <w:r w:rsidR="00D56C95">
        <w:rPr>
          <w:szCs w:val="26"/>
        </w:rPr>
        <w:t>, including horizontal market power indicative screens,</w:t>
      </w:r>
      <w:r w:rsidRPr="00A70F33">
        <w:rPr>
          <w:szCs w:val="26"/>
        </w:rPr>
        <w:t xml:space="preserve"> from all entities seeking authority to sell at market-based rates.</w:t>
      </w:r>
    </w:p>
    <w:p w14:paraId="4ECA53EE" w14:textId="77777777" w:rsidR="00FC0592" w:rsidRPr="00A70F33" w:rsidRDefault="00FC0592" w:rsidP="002E03BD">
      <w:pPr>
        <w:tabs>
          <w:tab w:val="left" w:pos="-1440"/>
        </w:tabs>
        <w:rPr>
          <w:szCs w:val="26"/>
        </w:rPr>
      </w:pPr>
    </w:p>
    <w:p w14:paraId="4302A767" w14:textId="0E3CAC9B" w:rsidR="00FC0592" w:rsidRPr="00A70F33" w:rsidRDefault="00FC0592" w:rsidP="002E03BD">
      <w:pPr>
        <w:tabs>
          <w:tab w:val="left" w:pos="-1440"/>
        </w:tabs>
        <w:rPr>
          <w:szCs w:val="26"/>
        </w:rPr>
      </w:pPr>
      <w:r w:rsidRPr="00A70F33">
        <w:rPr>
          <w:szCs w:val="26"/>
        </w:rPr>
        <w:t>The</w:t>
      </w:r>
      <w:r w:rsidR="00C9574C" w:rsidRPr="00A70F33">
        <w:rPr>
          <w:szCs w:val="26"/>
        </w:rPr>
        <w:t xml:space="preserve"> final rule </w:t>
      </w:r>
      <w:r w:rsidRPr="00A70F33">
        <w:rPr>
          <w:szCs w:val="26"/>
        </w:rPr>
        <w:t xml:space="preserve">in </w:t>
      </w:r>
      <w:r w:rsidR="00E40E47" w:rsidRPr="00A70F33">
        <w:rPr>
          <w:szCs w:val="26"/>
        </w:rPr>
        <w:t>Docket No. </w:t>
      </w:r>
      <w:r w:rsidRPr="00A70F33">
        <w:rPr>
          <w:szCs w:val="26"/>
        </w:rPr>
        <w:t>RM19-2</w:t>
      </w:r>
      <w:r w:rsidR="007028E6" w:rsidRPr="00A70F33">
        <w:rPr>
          <w:szCs w:val="26"/>
        </w:rPr>
        <w:t>-000</w:t>
      </w:r>
      <w:r w:rsidRPr="00A70F33">
        <w:rPr>
          <w:szCs w:val="26"/>
        </w:rPr>
        <w:t xml:space="preserve"> relieve</w:t>
      </w:r>
      <w:r w:rsidR="006F6CA9">
        <w:rPr>
          <w:szCs w:val="26"/>
        </w:rPr>
        <w:t>s</w:t>
      </w:r>
      <w:r w:rsidRPr="00A70F33">
        <w:rPr>
          <w:szCs w:val="26"/>
        </w:rPr>
        <w:t xml:space="preserve"> </w:t>
      </w:r>
      <w:r w:rsidR="00DB077E">
        <w:rPr>
          <w:szCs w:val="26"/>
        </w:rPr>
        <w:t>S</w:t>
      </w:r>
      <w:r w:rsidRPr="00A70F33">
        <w:rPr>
          <w:szCs w:val="26"/>
        </w:rPr>
        <w:t xml:space="preserve">ellers </w:t>
      </w:r>
      <w:r w:rsidR="002166F8" w:rsidRPr="00A70F33">
        <w:rPr>
          <w:szCs w:val="26"/>
        </w:rPr>
        <w:t xml:space="preserve">in certain RTO/ISO markets </w:t>
      </w:r>
      <w:r w:rsidRPr="00A70F33">
        <w:rPr>
          <w:szCs w:val="26"/>
        </w:rPr>
        <w:t>of the requirement to file indicative screens as part of their market power analyses</w:t>
      </w:r>
      <w:r w:rsidR="001A05A8" w:rsidRPr="00A70F33">
        <w:rPr>
          <w:szCs w:val="26"/>
        </w:rPr>
        <w:t xml:space="preserve">.  This modification </w:t>
      </w:r>
      <w:r w:rsidR="00BB2BEB" w:rsidRPr="00A70F33">
        <w:rPr>
          <w:szCs w:val="26"/>
        </w:rPr>
        <w:t>w</w:t>
      </w:r>
      <w:r w:rsidR="00BB2BEB">
        <w:rPr>
          <w:szCs w:val="26"/>
        </w:rPr>
        <w:t>ill</w:t>
      </w:r>
      <w:r w:rsidR="00BB2BEB" w:rsidRPr="00A70F33">
        <w:rPr>
          <w:szCs w:val="26"/>
        </w:rPr>
        <w:t xml:space="preserve"> </w:t>
      </w:r>
      <w:r w:rsidR="001A05A8" w:rsidRPr="00A70F33">
        <w:rPr>
          <w:szCs w:val="26"/>
        </w:rPr>
        <w:t>apply in any RTO/ISO market with RTO/ISO-administered energy, ancillary services, and capacity markets subject to Commission-approved RTO/ISO monitoring and mitigation.  The changes to the Commission’s regulations are esti</w:t>
      </w:r>
      <w:r w:rsidR="004426A3" w:rsidRPr="00A70F33">
        <w:rPr>
          <w:szCs w:val="26"/>
        </w:rPr>
        <w:t xml:space="preserve">mated </w:t>
      </w:r>
      <w:r w:rsidR="004525C5">
        <w:rPr>
          <w:szCs w:val="26"/>
        </w:rPr>
        <w:t>to reduce by</w:t>
      </w:r>
      <w:r w:rsidR="004426A3" w:rsidRPr="00A70F33">
        <w:rPr>
          <w:szCs w:val="26"/>
        </w:rPr>
        <w:t xml:space="preserve"> 41</w:t>
      </w:r>
      <w:r w:rsidR="001A05A8" w:rsidRPr="00A70F33">
        <w:rPr>
          <w:szCs w:val="26"/>
        </w:rPr>
        <w:t xml:space="preserve"> percent </w:t>
      </w:r>
      <w:r w:rsidR="004525C5">
        <w:rPr>
          <w:szCs w:val="26"/>
        </w:rPr>
        <w:t>the</w:t>
      </w:r>
      <w:r w:rsidR="004525C5" w:rsidRPr="00A70F33">
        <w:rPr>
          <w:szCs w:val="26"/>
        </w:rPr>
        <w:t xml:space="preserve"> </w:t>
      </w:r>
      <w:r w:rsidR="001A05A8" w:rsidRPr="00A70F33">
        <w:rPr>
          <w:szCs w:val="26"/>
        </w:rPr>
        <w:t xml:space="preserve">total annual burden </w:t>
      </w:r>
      <w:r w:rsidR="00522A41">
        <w:rPr>
          <w:szCs w:val="26"/>
        </w:rPr>
        <w:t>for</w:t>
      </w:r>
      <w:r w:rsidR="00522A41" w:rsidRPr="00A70F33">
        <w:rPr>
          <w:szCs w:val="26"/>
        </w:rPr>
        <w:t xml:space="preserve"> </w:t>
      </w:r>
      <w:r w:rsidR="00522A41">
        <w:rPr>
          <w:szCs w:val="26"/>
        </w:rPr>
        <w:t>S</w:t>
      </w:r>
      <w:r w:rsidR="00522A41" w:rsidRPr="00A70F33">
        <w:rPr>
          <w:szCs w:val="26"/>
        </w:rPr>
        <w:t xml:space="preserve">ellers </w:t>
      </w:r>
      <w:r w:rsidR="001A05A8" w:rsidRPr="00A70F33">
        <w:rPr>
          <w:szCs w:val="26"/>
        </w:rPr>
        <w:t xml:space="preserve">when filing triennial market power analyses and market power analyses in new applications for market-based rates, including small entities.  </w:t>
      </w:r>
    </w:p>
    <w:p w14:paraId="57DD015E" w14:textId="77777777" w:rsidR="00BB3EFE" w:rsidRPr="00A70F33" w:rsidRDefault="00BB3EFE" w:rsidP="004A7C75">
      <w:pPr>
        <w:tabs>
          <w:tab w:val="left" w:pos="-1440"/>
        </w:tabs>
        <w:rPr>
          <w:szCs w:val="26"/>
        </w:rPr>
      </w:pPr>
    </w:p>
    <w:p w14:paraId="548A6304" w14:textId="77777777" w:rsidR="00877019" w:rsidRPr="00A70F33" w:rsidRDefault="000F659C" w:rsidP="004065DF">
      <w:pPr>
        <w:tabs>
          <w:tab w:val="left" w:pos="-1440"/>
        </w:tabs>
        <w:ind w:left="720" w:hanging="720"/>
        <w:rPr>
          <w:b/>
          <w:bCs/>
          <w:szCs w:val="26"/>
        </w:rPr>
      </w:pPr>
      <w:r w:rsidRPr="00A70F33">
        <w:rPr>
          <w:b/>
          <w:bCs/>
          <w:szCs w:val="26"/>
        </w:rPr>
        <w:t>6.</w:t>
      </w:r>
      <w:r w:rsidRPr="00A70F33">
        <w:rPr>
          <w:b/>
          <w:bCs/>
          <w:szCs w:val="26"/>
        </w:rPr>
        <w:tab/>
        <w:t>CONSEQUENCE TO FEDERAL PROGRAM IF COLLECT</w:t>
      </w:r>
      <w:r w:rsidR="00001779" w:rsidRPr="00A70F33">
        <w:rPr>
          <w:b/>
          <w:bCs/>
          <w:szCs w:val="26"/>
        </w:rPr>
        <w:t xml:space="preserve">ION WERE </w:t>
      </w:r>
      <w:r w:rsidRPr="00A70F33">
        <w:rPr>
          <w:b/>
          <w:bCs/>
          <w:szCs w:val="26"/>
        </w:rPr>
        <w:t>CONDUCTED LESS FREQUENTLY</w:t>
      </w:r>
    </w:p>
    <w:p w14:paraId="5C05718F" w14:textId="77777777" w:rsidR="000F659C" w:rsidRPr="00A70F33" w:rsidRDefault="000F659C" w:rsidP="004065DF">
      <w:pPr>
        <w:rPr>
          <w:bCs/>
          <w:szCs w:val="26"/>
        </w:rPr>
      </w:pPr>
    </w:p>
    <w:p w14:paraId="57E2645F" w14:textId="095017FE" w:rsidR="004065DF" w:rsidRPr="00A70F33" w:rsidRDefault="00EF0C33" w:rsidP="004065DF">
      <w:pPr>
        <w:rPr>
          <w:szCs w:val="26"/>
        </w:rPr>
      </w:pPr>
      <w:r w:rsidRPr="00A70F33">
        <w:rPr>
          <w:szCs w:val="26"/>
        </w:rPr>
        <w:t xml:space="preserve">Section 205 of the FPA mandates just and reasonable rates.  The Commission requires information </w:t>
      </w:r>
      <w:r w:rsidR="00FC73ED">
        <w:rPr>
          <w:szCs w:val="26"/>
        </w:rPr>
        <w:t>that comes from</w:t>
      </w:r>
      <w:r w:rsidRPr="00A70F33">
        <w:rPr>
          <w:szCs w:val="26"/>
        </w:rPr>
        <w:t xml:space="preserve"> FERC-919 under </w:t>
      </w:r>
      <w:r w:rsidR="00E40E47" w:rsidRPr="00A70F33">
        <w:rPr>
          <w:szCs w:val="26"/>
        </w:rPr>
        <w:t>other</w:t>
      </w:r>
      <w:r w:rsidRPr="00A70F33">
        <w:rPr>
          <w:szCs w:val="26"/>
        </w:rPr>
        <w:t xml:space="preserve"> circumstances discussed previously to meet </w:t>
      </w:r>
      <w:r w:rsidR="002F3A78">
        <w:rPr>
          <w:szCs w:val="26"/>
        </w:rPr>
        <w:t>its</w:t>
      </w:r>
      <w:r w:rsidR="002F3A78" w:rsidRPr="00A70F33">
        <w:rPr>
          <w:szCs w:val="26"/>
        </w:rPr>
        <w:t xml:space="preserve"> </w:t>
      </w:r>
      <w:r w:rsidRPr="00A70F33">
        <w:rPr>
          <w:szCs w:val="26"/>
        </w:rPr>
        <w:t xml:space="preserve">statutory requirements.  It is not possible to collect this </w:t>
      </w:r>
      <w:r w:rsidR="00A1319E" w:rsidRPr="00A70F33">
        <w:rPr>
          <w:szCs w:val="26"/>
        </w:rPr>
        <w:t>information</w:t>
      </w:r>
      <w:r w:rsidRPr="00A70F33">
        <w:rPr>
          <w:szCs w:val="26"/>
        </w:rPr>
        <w:t xml:space="preserve"> less frequently.  If the Commission conducted the </w:t>
      </w:r>
      <w:r w:rsidR="00A1319E" w:rsidRPr="00A70F33">
        <w:rPr>
          <w:szCs w:val="26"/>
        </w:rPr>
        <w:t>information</w:t>
      </w:r>
      <w:r w:rsidR="004426A3" w:rsidRPr="00A70F33">
        <w:rPr>
          <w:szCs w:val="26"/>
        </w:rPr>
        <w:t xml:space="preserve"> collection</w:t>
      </w:r>
      <w:r w:rsidRPr="00A70F33">
        <w:rPr>
          <w:szCs w:val="26"/>
        </w:rPr>
        <w:t xml:space="preserve"> less frequently, the Commission would be unable to perform its mandated oversight and review responsibilities with respect to electric market</w:t>
      </w:r>
      <w:r w:rsidR="00A876A6" w:rsidRPr="00A70F33">
        <w:rPr>
          <w:szCs w:val="26"/>
        </w:rPr>
        <w:t>-</w:t>
      </w:r>
      <w:r w:rsidRPr="00A70F33">
        <w:rPr>
          <w:szCs w:val="26"/>
        </w:rPr>
        <w:t>based rates being just and reasonable.</w:t>
      </w:r>
      <w:r w:rsidR="00E9482A">
        <w:rPr>
          <w:szCs w:val="26"/>
        </w:rPr>
        <w:t xml:space="preserve"> </w:t>
      </w:r>
      <w:r w:rsidRPr="00A70F33">
        <w:rPr>
          <w:szCs w:val="26"/>
        </w:rPr>
        <w:t xml:space="preserve"> </w:t>
      </w:r>
      <w:r w:rsidR="00987E87" w:rsidRPr="00A70F33">
        <w:rPr>
          <w:szCs w:val="26"/>
        </w:rPr>
        <w:t xml:space="preserve">In the </w:t>
      </w:r>
      <w:r w:rsidR="00E9482A">
        <w:rPr>
          <w:szCs w:val="26"/>
        </w:rPr>
        <w:t>f</w:t>
      </w:r>
      <w:r w:rsidR="00122991" w:rsidRPr="00A70F33">
        <w:rPr>
          <w:szCs w:val="26"/>
        </w:rPr>
        <w:t xml:space="preserve">inal </w:t>
      </w:r>
      <w:r w:rsidR="00E9482A">
        <w:rPr>
          <w:szCs w:val="26"/>
        </w:rPr>
        <w:t>r</w:t>
      </w:r>
      <w:r w:rsidR="00122991" w:rsidRPr="00A70F33">
        <w:rPr>
          <w:szCs w:val="26"/>
        </w:rPr>
        <w:t xml:space="preserve">ule </w:t>
      </w:r>
      <w:r w:rsidR="00987E87" w:rsidRPr="00A70F33">
        <w:rPr>
          <w:szCs w:val="26"/>
        </w:rPr>
        <w:t>in Docket No. RM19</w:t>
      </w:r>
      <w:r w:rsidR="00987E87" w:rsidRPr="00A70F33">
        <w:rPr>
          <w:szCs w:val="26"/>
        </w:rPr>
        <w:noBreakHyphen/>
        <w:t>2-000, the Commission eliminate</w:t>
      </w:r>
      <w:r w:rsidR="00956ED9" w:rsidRPr="00A70F33">
        <w:rPr>
          <w:szCs w:val="26"/>
        </w:rPr>
        <w:t>s</w:t>
      </w:r>
      <w:r w:rsidR="00987E87" w:rsidRPr="00A70F33">
        <w:rPr>
          <w:szCs w:val="26"/>
        </w:rPr>
        <w:t xml:space="preserve"> collection of indicative screen information in certain contexts, reducing regulatory burden for some </w:t>
      </w:r>
      <w:r w:rsidR="00C1362D">
        <w:rPr>
          <w:szCs w:val="26"/>
        </w:rPr>
        <w:t>S</w:t>
      </w:r>
      <w:r w:rsidR="00987E87" w:rsidRPr="00A70F33">
        <w:rPr>
          <w:szCs w:val="26"/>
        </w:rPr>
        <w:t xml:space="preserve">ellers. </w:t>
      </w:r>
      <w:r w:rsidRPr="00A70F33">
        <w:rPr>
          <w:szCs w:val="26"/>
        </w:rPr>
        <w:t xml:space="preserve"> </w:t>
      </w:r>
    </w:p>
    <w:p w14:paraId="23318028" w14:textId="77777777" w:rsidR="00EF0C33" w:rsidRPr="00A70F33" w:rsidRDefault="00EF0C33" w:rsidP="004065DF">
      <w:pPr>
        <w:rPr>
          <w:szCs w:val="26"/>
        </w:rPr>
      </w:pPr>
    </w:p>
    <w:p w14:paraId="3D0E4ABC" w14:textId="77777777" w:rsidR="000F659C" w:rsidRPr="00A70F33" w:rsidRDefault="000F659C" w:rsidP="004065DF">
      <w:pPr>
        <w:tabs>
          <w:tab w:val="left" w:pos="-1440"/>
        </w:tabs>
        <w:ind w:left="720" w:hanging="720"/>
        <w:rPr>
          <w:b/>
          <w:bCs/>
          <w:szCs w:val="26"/>
        </w:rPr>
      </w:pPr>
      <w:r w:rsidRPr="00A70F33">
        <w:rPr>
          <w:b/>
          <w:bCs/>
          <w:szCs w:val="26"/>
        </w:rPr>
        <w:t>7.</w:t>
      </w:r>
      <w:r w:rsidRPr="00A70F33">
        <w:rPr>
          <w:b/>
          <w:bCs/>
          <w:szCs w:val="26"/>
        </w:rPr>
        <w:tab/>
        <w:t>EXPLAIN ANY SPECIAL CIRCUMSTANCES RELATING TO THE INFORMATION COLLECTION</w:t>
      </w:r>
    </w:p>
    <w:p w14:paraId="6855DDB8" w14:textId="77777777" w:rsidR="000F659C" w:rsidRPr="00A70F33" w:rsidRDefault="000F659C" w:rsidP="004065DF">
      <w:pPr>
        <w:rPr>
          <w:bCs/>
          <w:szCs w:val="26"/>
        </w:rPr>
      </w:pPr>
    </w:p>
    <w:p w14:paraId="4127CA5D" w14:textId="77777777" w:rsidR="00E66D62" w:rsidRPr="00A70F33" w:rsidRDefault="00FD796F" w:rsidP="004065DF">
      <w:pPr>
        <w:tabs>
          <w:tab w:val="left" w:pos="-1440"/>
        </w:tabs>
        <w:ind w:left="720" w:hanging="720"/>
        <w:rPr>
          <w:szCs w:val="26"/>
        </w:rPr>
      </w:pPr>
      <w:r w:rsidRPr="00A70F33">
        <w:rPr>
          <w:szCs w:val="26"/>
        </w:rPr>
        <w:t xml:space="preserve">There are no special circumstances related to the </w:t>
      </w:r>
      <w:r w:rsidR="004426A3" w:rsidRPr="00A70F33">
        <w:rPr>
          <w:szCs w:val="26"/>
        </w:rPr>
        <w:t xml:space="preserve">FERC-919 </w:t>
      </w:r>
      <w:r w:rsidRPr="00A70F33">
        <w:rPr>
          <w:szCs w:val="26"/>
        </w:rPr>
        <w:t>information collection.</w:t>
      </w:r>
    </w:p>
    <w:p w14:paraId="2E8B288E" w14:textId="77777777" w:rsidR="00FD796F" w:rsidRPr="00A70F33" w:rsidRDefault="00FD796F" w:rsidP="004065DF">
      <w:pPr>
        <w:tabs>
          <w:tab w:val="left" w:pos="-1440"/>
        </w:tabs>
        <w:ind w:left="720" w:hanging="720"/>
        <w:rPr>
          <w:bCs/>
          <w:szCs w:val="26"/>
        </w:rPr>
      </w:pPr>
    </w:p>
    <w:p w14:paraId="66A13D69" w14:textId="13895ECC" w:rsidR="00ED3AFA" w:rsidRDefault="00D8257A" w:rsidP="004525C5">
      <w:pPr>
        <w:tabs>
          <w:tab w:val="left" w:pos="-1440"/>
        </w:tabs>
        <w:ind w:left="720" w:hanging="720"/>
        <w:rPr>
          <w:szCs w:val="26"/>
        </w:rPr>
      </w:pPr>
      <w:r w:rsidRPr="00A70F33">
        <w:rPr>
          <w:b/>
          <w:bCs/>
          <w:szCs w:val="26"/>
        </w:rPr>
        <w:t>8.</w:t>
      </w:r>
      <w:r w:rsidRPr="00A70F33">
        <w:rPr>
          <w:b/>
          <w:bCs/>
          <w:szCs w:val="26"/>
        </w:rPr>
        <w:tab/>
        <w:t>DESCRIBE EFFORTS TO CONSULT OUTSIDE THE AGENCY: SUMMARIZE PUBLIC COMMENTS AND THE AGENCY'S RESPONSE TO THESE COMMENTS</w:t>
      </w:r>
    </w:p>
    <w:p w14:paraId="3F50CE19" w14:textId="77777777" w:rsidR="00FA3DB9" w:rsidRDefault="00FA3DB9" w:rsidP="00ED3AFA">
      <w:pPr>
        <w:rPr>
          <w:szCs w:val="26"/>
        </w:rPr>
      </w:pPr>
    </w:p>
    <w:p w14:paraId="19C6F124" w14:textId="45C1FDB2" w:rsidR="00FA3DB9" w:rsidRPr="00E227AA" w:rsidRDefault="00FA3DB9" w:rsidP="00FA3DB9">
      <w:pPr>
        <w:rPr>
          <w:szCs w:val="26"/>
        </w:rPr>
      </w:pPr>
      <w:r w:rsidRPr="006C3990">
        <w:rPr>
          <w:szCs w:val="26"/>
        </w:rPr>
        <w:t>Each FERC rulemaking (both proposed and final rules) is published in the Federal Register</w:t>
      </w:r>
      <w:r w:rsidR="00AA47AC">
        <w:rPr>
          <w:szCs w:val="26"/>
        </w:rPr>
        <w:t>,</w:t>
      </w:r>
      <w:r w:rsidRPr="006C3990">
        <w:rPr>
          <w:szCs w:val="26"/>
        </w:rPr>
        <w:t xml:space="preserve"> thereby providing public utilities and licensees, state commissions, Federal agencies, and other interested parties an opportunity to submit data, views, comments or suggestions concerning the collections of data.  The NOPR </w:t>
      </w:r>
      <w:r w:rsidRPr="00DB1C47">
        <w:rPr>
          <w:szCs w:val="26"/>
        </w:rPr>
        <w:t xml:space="preserve">(issued </w:t>
      </w:r>
      <w:r w:rsidR="00AA47AC">
        <w:rPr>
          <w:szCs w:val="26"/>
        </w:rPr>
        <w:t>December 20</w:t>
      </w:r>
      <w:r>
        <w:rPr>
          <w:szCs w:val="26"/>
        </w:rPr>
        <w:t>, 2018</w:t>
      </w:r>
      <w:r w:rsidRPr="00DB1C47">
        <w:rPr>
          <w:szCs w:val="26"/>
        </w:rPr>
        <w:t xml:space="preserve">) was published in the Federal Register on </w:t>
      </w:r>
      <w:r w:rsidR="00AA47AC">
        <w:rPr>
          <w:szCs w:val="26"/>
        </w:rPr>
        <w:t>F</w:t>
      </w:r>
      <w:r w:rsidR="0064227B">
        <w:rPr>
          <w:szCs w:val="26"/>
        </w:rPr>
        <w:t>ebruary</w:t>
      </w:r>
      <w:r w:rsidR="00D86F9A">
        <w:rPr>
          <w:szCs w:val="26"/>
        </w:rPr>
        <w:t xml:space="preserve"> </w:t>
      </w:r>
      <w:r w:rsidR="0064227B">
        <w:rPr>
          <w:szCs w:val="26"/>
        </w:rPr>
        <w:t>1</w:t>
      </w:r>
      <w:r w:rsidR="00AA47AC">
        <w:rPr>
          <w:szCs w:val="26"/>
        </w:rPr>
        <w:t>, 2019</w:t>
      </w:r>
      <w:r>
        <w:rPr>
          <w:szCs w:val="26"/>
        </w:rPr>
        <w:t>.</w:t>
      </w:r>
      <w:r w:rsidRPr="00E227AA">
        <w:rPr>
          <w:rStyle w:val="FootnoteReference"/>
          <w:szCs w:val="26"/>
        </w:rPr>
        <w:footnoteReference w:id="13"/>
      </w:r>
      <w:r w:rsidRPr="00E227AA">
        <w:rPr>
          <w:szCs w:val="26"/>
        </w:rPr>
        <w:t xml:space="preserve">  </w:t>
      </w:r>
      <w:r w:rsidRPr="00A55038">
        <w:rPr>
          <w:szCs w:val="26"/>
        </w:rPr>
        <w:t xml:space="preserve">Many commenters state that the Commission’s proposals will reduce administrative burdens.  All other comments are summarized and addressed in the </w:t>
      </w:r>
      <w:r w:rsidR="00CA36C3">
        <w:rPr>
          <w:szCs w:val="26"/>
        </w:rPr>
        <w:t>final r</w:t>
      </w:r>
      <w:r w:rsidRPr="00A55038">
        <w:rPr>
          <w:szCs w:val="26"/>
        </w:rPr>
        <w:t>ule</w:t>
      </w:r>
      <w:r>
        <w:rPr>
          <w:szCs w:val="26"/>
        </w:rPr>
        <w:t xml:space="preserve">.  </w:t>
      </w:r>
      <w:r w:rsidR="00CA36C3">
        <w:rPr>
          <w:szCs w:val="26"/>
        </w:rPr>
        <w:t>The f</w:t>
      </w:r>
      <w:r w:rsidRPr="006C3990">
        <w:rPr>
          <w:szCs w:val="26"/>
        </w:rPr>
        <w:t xml:space="preserve">inal </w:t>
      </w:r>
      <w:r w:rsidR="00CA36C3">
        <w:rPr>
          <w:szCs w:val="26"/>
        </w:rPr>
        <w:t>r</w:t>
      </w:r>
      <w:r w:rsidRPr="006C3990">
        <w:rPr>
          <w:szCs w:val="26"/>
        </w:rPr>
        <w:t xml:space="preserve">ule (issued </w:t>
      </w:r>
      <w:r w:rsidR="0064227B">
        <w:rPr>
          <w:szCs w:val="26"/>
        </w:rPr>
        <w:t xml:space="preserve">July 18, </w:t>
      </w:r>
      <w:r w:rsidRPr="006C3990">
        <w:rPr>
          <w:szCs w:val="26"/>
        </w:rPr>
        <w:t xml:space="preserve">2019) was published in the Federal Register </w:t>
      </w:r>
      <w:r w:rsidRPr="00313CFE">
        <w:rPr>
          <w:szCs w:val="26"/>
        </w:rPr>
        <w:t xml:space="preserve">on </w:t>
      </w:r>
      <w:r w:rsidR="00A14B7F" w:rsidRPr="00F42F79">
        <w:rPr>
          <w:szCs w:val="26"/>
        </w:rPr>
        <w:t>July 26</w:t>
      </w:r>
      <w:r w:rsidR="00862EBD" w:rsidRPr="00F42F79">
        <w:rPr>
          <w:szCs w:val="26"/>
        </w:rPr>
        <w:t xml:space="preserve">, </w:t>
      </w:r>
      <w:r w:rsidRPr="00F42F79">
        <w:rPr>
          <w:szCs w:val="26"/>
        </w:rPr>
        <w:t>2019.</w:t>
      </w:r>
      <w:r w:rsidRPr="00313CFE">
        <w:rPr>
          <w:szCs w:val="26"/>
          <w:vertAlign w:val="superscript"/>
        </w:rPr>
        <w:footnoteReference w:id="14"/>
      </w:r>
    </w:p>
    <w:p w14:paraId="52BDCE31" w14:textId="0DC4CC1E" w:rsidR="00E66D62" w:rsidRPr="00A70F33" w:rsidRDefault="00E66D62" w:rsidP="004065DF">
      <w:pPr>
        <w:rPr>
          <w:szCs w:val="26"/>
        </w:rPr>
      </w:pPr>
    </w:p>
    <w:p w14:paraId="569C20F7" w14:textId="77777777" w:rsidR="00D8257A" w:rsidRPr="00A70F33" w:rsidRDefault="00D8257A" w:rsidP="00E25A66">
      <w:pPr>
        <w:pStyle w:val="OMBHeadings"/>
      </w:pPr>
      <w:r w:rsidRPr="00A70F33">
        <w:t>9.</w:t>
      </w:r>
      <w:r w:rsidRPr="00A70F33">
        <w:tab/>
        <w:t>EXPLAIN ANY PAYMENT OR GIFTS TO RESPONDENTS</w:t>
      </w:r>
    </w:p>
    <w:p w14:paraId="3EA9848A" w14:textId="77777777" w:rsidR="00D8257A" w:rsidRPr="00A70F33" w:rsidRDefault="00D8257A" w:rsidP="004065DF">
      <w:pPr>
        <w:rPr>
          <w:bCs/>
          <w:szCs w:val="26"/>
        </w:rPr>
      </w:pPr>
    </w:p>
    <w:p w14:paraId="084E6FB0" w14:textId="79EC37E8" w:rsidR="00D8257A" w:rsidRPr="00A70F33" w:rsidRDefault="0018448E" w:rsidP="004065DF">
      <w:pPr>
        <w:rPr>
          <w:szCs w:val="26"/>
        </w:rPr>
      </w:pPr>
      <w:r w:rsidRPr="00A70F33">
        <w:rPr>
          <w:szCs w:val="26"/>
        </w:rPr>
        <w:t>The</w:t>
      </w:r>
      <w:r w:rsidR="004F0005">
        <w:rPr>
          <w:szCs w:val="26"/>
        </w:rPr>
        <w:t xml:space="preserve"> Commission </w:t>
      </w:r>
      <w:r w:rsidR="009C2454">
        <w:rPr>
          <w:szCs w:val="26"/>
        </w:rPr>
        <w:t>does not make payment or provide gifts to respondents related to FERC-919.</w:t>
      </w:r>
    </w:p>
    <w:p w14:paraId="441F6657" w14:textId="77777777" w:rsidR="00E66D62" w:rsidRPr="00A70F33" w:rsidRDefault="00E66D62" w:rsidP="004065DF">
      <w:pPr>
        <w:rPr>
          <w:szCs w:val="26"/>
        </w:rPr>
      </w:pPr>
    </w:p>
    <w:p w14:paraId="03A5E250" w14:textId="77777777" w:rsidR="00D8257A" w:rsidRPr="00A70F33" w:rsidRDefault="00D8257A" w:rsidP="004065DF">
      <w:pPr>
        <w:tabs>
          <w:tab w:val="left" w:pos="-1440"/>
        </w:tabs>
        <w:ind w:left="720" w:hanging="720"/>
        <w:rPr>
          <w:b/>
          <w:bCs/>
          <w:szCs w:val="26"/>
        </w:rPr>
      </w:pPr>
      <w:r w:rsidRPr="00A70F33">
        <w:rPr>
          <w:b/>
          <w:bCs/>
          <w:szCs w:val="26"/>
        </w:rPr>
        <w:t>10.</w:t>
      </w:r>
      <w:r w:rsidRPr="00A70F33">
        <w:rPr>
          <w:b/>
          <w:bCs/>
          <w:szCs w:val="26"/>
        </w:rPr>
        <w:tab/>
        <w:t>DESCRIBE ANY ASSURANCE OF CONFIDENTIALITY PROVIDED TO RESPONDENTS</w:t>
      </w:r>
    </w:p>
    <w:p w14:paraId="0DE7CE37" w14:textId="77777777" w:rsidR="00D8257A" w:rsidRPr="00A70F33" w:rsidRDefault="00D8257A" w:rsidP="004065DF">
      <w:pPr>
        <w:rPr>
          <w:bCs/>
          <w:szCs w:val="26"/>
        </w:rPr>
      </w:pPr>
    </w:p>
    <w:p w14:paraId="10DEBB79" w14:textId="7629B4FE" w:rsidR="00D8257A" w:rsidRPr="00A70F33" w:rsidRDefault="00357085" w:rsidP="004065DF">
      <w:pPr>
        <w:rPr>
          <w:szCs w:val="26"/>
        </w:rPr>
      </w:pPr>
      <w:r w:rsidRPr="00A70F33">
        <w:rPr>
          <w:szCs w:val="26"/>
        </w:rPr>
        <w:t xml:space="preserve">The Commission does not consider the information collected in filings to be confidential.  However, the Commission will consider specific requests for confidential treatment (e.g. Critical Energy/Electric Infrastructure Information [CEII] or non-public) to the extent permitted by law and </w:t>
      </w:r>
      <w:r w:rsidR="00372BA7">
        <w:rPr>
          <w:szCs w:val="26"/>
        </w:rPr>
        <w:t>Commission</w:t>
      </w:r>
      <w:r w:rsidR="00372BA7" w:rsidRPr="00A70F33">
        <w:rPr>
          <w:szCs w:val="26"/>
        </w:rPr>
        <w:t xml:space="preserve"> </w:t>
      </w:r>
      <w:r w:rsidRPr="00A70F33">
        <w:rPr>
          <w:szCs w:val="26"/>
        </w:rPr>
        <w:t>regulations.</w:t>
      </w:r>
      <w:r w:rsidRPr="00A70F33">
        <w:rPr>
          <w:rStyle w:val="FootnoteReference"/>
        </w:rPr>
        <w:footnoteReference w:id="15"/>
      </w:r>
      <w:r w:rsidRPr="00A70F33">
        <w:rPr>
          <w:szCs w:val="26"/>
        </w:rPr>
        <w:t xml:space="preserve">  The Commission will review each request for confidential treatment on a case-by-case basis</w:t>
      </w:r>
      <w:r w:rsidR="00252726">
        <w:rPr>
          <w:szCs w:val="26"/>
        </w:rPr>
        <w:t>.</w:t>
      </w:r>
    </w:p>
    <w:p w14:paraId="4BCAB9DE" w14:textId="77777777" w:rsidR="00E66D62" w:rsidRPr="00A70F33" w:rsidRDefault="00E66D62" w:rsidP="004065DF">
      <w:pPr>
        <w:rPr>
          <w:szCs w:val="26"/>
        </w:rPr>
      </w:pPr>
    </w:p>
    <w:p w14:paraId="3B495A3B" w14:textId="77777777" w:rsidR="00D8257A" w:rsidRPr="00A70F33" w:rsidRDefault="00D8257A" w:rsidP="004065DF">
      <w:pPr>
        <w:tabs>
          <w:tab w:val="left" w:pos="-1440"/>
        </w:tabs>
        <w:ind w:left="720" w:hanging="720"/>
        <w:rPr>
          <w:b/>
          <w:bCs/>
          <w:szCs w:val="26"/>
        </w:rPr>
      </w:pPr>
      <w:r w:rsidRPr="00A70F33">
        <w:rPr>
          <w:b/>
          <w:bCs/>
          <w:szCs w:val="26"/>
        </w:rPr>
        <w:t>11.</w:t>
      </w:r>
      <w:r w:rsidRPr="00A70F33">
        <w:rPr>
          <w:b/>
          <w:bCs/>
          <w:szCs w:val="26"/>
        </w:rPr>
        <w:tab/>
      </w:r>
      <w:r w:rsidR="00357085" w:rsidRPr="00A70F33">
        <w:rPr>
          <w:b/>
          <w:bCs/>
          <w:szCs w:val="26"/>
        </w:rPr>
        <w:t>PROVIDE ADDITIONAL JUSTIFICATION FOR ANY QUESTIONS OF A SENSITIVE NATURE, SUCH AS SEXUAL BEHAVIOR AND ATTITUDES, RELIGIOUS BELIEFS, AND OTHER MATTERS THAT ARE COMMONLY CONSIDERED PRIVATE</w:t>
      </w:r>
      <w:r w:rsidRPr="00A70F33">
        <w:rPr>
          <w:b/>
          <w:bCs/>
          <w:szCs w:val="26"/>
        </w:rPr>
        <w:t>.</w:t>
      </w:r>
    </w:p>
    <w:p w14:paraId="08176872" w14:textId="77777777" w:rsidR="00D8257A" w:rsidRPr="00A70F33" w:rsidRDefault="00D8257A" w:rsidP="004065DF">
      <w:pPr>
        <w:rPr>
          <w:b/>
          <w:bCs/>
          <w:szCs w:val="26"/>
        </w:rPr>
      </w:pPr>
    </w:p>
    <w:p w14:paraId="050E9D2F" w14:textId="1A36066C" w:rsidR="00D8257A" w:rsidRPr="00A70F33" w:rsidRDefault="00D8257A" w:rsidP="004065DF">
      <w:pPr>
        <w:rPr>
          <w:szCs w:val="26"/>
        </w:rPr>
      </w:pPr>
      <w:r w:rsidRPr="00A70F33">
        <w:rPr>
          <w:szCs w:val="26"/>
        </w:rPr>
        <w:t xml:space="preserve">There are no questions of a sensitive nature </w:t>
      </w:r>
      <w:r w:rsidR="00017F39" w:rsidRPr="00A70F33">
        <w:rPr>
          <w:szCs w:val="26"/>
        </w:rPr>
        <w:t>ass</w:t>
      </w:r>
      <w:r w:rsidR="00435E6F" w:rsidRPr="00A70F33">
        <w:rPr>
          <w:szCs w:val="26"/>
        </w:rPr>
        <w:t xml:space="preserve">ociated </w:t>
      </w:r>
      <w:r w:rsidR="009C2454">
        <w:rPr>
          <w:szCs w:val="26"/>
        </w:rPr>
        <w:t xml:space="preserve">that are considered private </w:t>
      </w:r>
      <w:r w:rsidR="007A3BAC">
        <w:rPr>
          <w:szCs w:val="26"/>
        </w:rPr>
        <w:t xml:space="preserve">in </w:t>
      </w:r>
      <w:r w:rsidR="007A3BAC" w:rsidRPr="00A70F33">
        <w:rPr>
          <w:szCs w:val="26"/>
        </w:rPr>
        <w:t>FERC</w:t>
      </w:r>
      <w:r w:rsidR="00435E6F" w:rsidRPr="00A70F33">
        <w:rPr>
          <w:szCs w:val="26"/>
        </w:rPr>
        <w:t>-919</w:t>
      </w:r>
      <w:r w:rsidRPr="00A70F33">
        <w:rPr>
          <w:szCs w:val="26"/>
        </w:rPr>
        <w:t>.</w:t>
      </w:r>
    </w:p>
    <w:p w14:paraId="1CB0B74B" w14:textId="77777777" w:rsidR="00D8257A" w:rsidRPr="00A70F33" w:rsidRDefault="00D8257A" w:rsidP="009802EF">
      <w:pPr>
        <w:tabs>
          <w:tab w:val="left" w:pos="-1440"/>
        </w:tabs>
        <w:rPr>
          <w:bCs/>
          <w:color w:val="FF0000"/>
          <w:szCs w:val="26"/>
        </w:rPr>
      </w:pPr>
    </w:p>
    <w:p w14:paraId="427479F5" w14:textId="77777777" w:rsidR="00D8257A" w:rsidRPr="00A70F33" w:rsidRDefault="00D8257A" w:rsidP="004065DF">
      <w:pPr>
        <w:tabs>
          <w:tab w:val="left" w:pos="-1440"/>
        </w:tabs>
        <w:ind w:left="720" w:hanging="720"/>
        <w:rPr>
          <w:b/>
          <w:bCs/>
          <w:szCs w:val="26"/>
        </w:rPr>
      </w:pPr>
      <w:r w:rsidRPr="00A70F33">
        <w:rPr>
          <w:b/>
          <w:bCs/>
          <w:szCs w:val="26"/>
        </w:rPr>
        <w:t>12.</w:t>
      </w:r>
      <w:r w:rsidRPr="00A70F33">
        <w:rPr>
          <w:b/>
          <w:bCs/>
          <w:szCs w:val="26"/>
        </w:rPr>
        <w:tab/>
        <w:t>ESTIMATED BURDEN OF COLLECTION OF INFORMATION</w:t>
      </w:r>
    </w:p>
    <w:p w14:paraId="5F7A4797" w14:textId="4E32E9BD" w:rsidR="00700CC9" w:rsidRPr="00A70F33" w:rsidRDefault="00BC1F64" w:rsidP="00700CC9">
      <w:pPr>
        <w:pStyle w:val="FERCparanumber"/>
        <w:numPr>
          <w:ilvl w:val="0"/>
          <w:numId w:val="0"/>
        </w:numPr>
        <w:autoSpaceDE/>
        <w:autoSpaceDN/>
        <w:adjustRightInd/>
        <w:rPr>
          <w:szCs w:val="26"/>
        </w:rPr>
      </w:pPr>
      <w:r w:rsidRPr="00A70F33">
        <w:rPr>
          <w:szCs w:val="26"/>
        </w:rPr>
        <w:t xml:space="preserve">As discussed in </w:t>
      </w:r>
      <w:r w:rsidR="00BE20F0">
        <w:rPr>
          <w:szCs w:val="26"/>
        </w:rPr>
        <w:t>Q</w:t>
      </w:r>
      <w:r w:rsidRPr="00A70F33">
        <w:rPr>
          <w:szCs w:val="26"/>
        </w:rPr>
        <w:t xml:space="preserve">uestions </w:t>
      </w:r>
      <w:r w:rsidR="009F3A90">
        <w:rPr>
          <w:szCs w:val="26"/>
        </w:rPr>
        <w:t>No.</w:t>
      </w:r>
      <w:r w:rsidRPr="00A70F33">
        <w:rPr>
          <w:szCs w:val="26"/>
        </w:rPr>
        <w:t xml:space="preserve">1 and 5, the </w:t>
      </w:r>
      <w:r w:rsidR="001A0698" w:rsidRPr="00A70F33">
        <w:rPr>
          <w:szCs w:val="26"/>
        </w:rPr>
        <w:t xml:space="preserve">final rule </w:t>
      </w:r>
      <w:r w:rsidRPr="00A70F33">
        <w:rPr>
          <w:szCs w:val="26"/>
        </w:rPr>
        <w:t>reduce</w:t>
      </w:r>
      <w:r w:rsidR="00122991" w:rsidRPr="00A70F33">
        <w:rPr>
          <w:szCs w:val="26"/>
        </w:rPr>
        <w:t>s</w:t>
      </w:r>
      <w:r w:rsidRPr="00A70F33">
        <w:rPr>
          <w:szCs w:val="26"/>
        </w:rPr>
        <w:t xml:space="preserve"> regulatory burden by relieving a subset of </w:t>
      </w:r>
      <w:r w:rsidR="00BE20F0">
        <w:rPr>
          <w:szCs w:val="26"/>
        </w:rPr>
        <w:t>S</w:t>
      </w:r>
      <w:r w:rsidR="00BE20F0" w:rsidRPr="00A70F33">
        <w:rPr>
          <w:szCs w:val="26"/>
        </w:rPr>
        <w:t xml:space="preserve">ellers </w:t>
      </w:r>
      <w:r w:rsidRPr="00A70F33">
        <w:rPr>
          <w:szCs w:val="26"/>
        </w:rPr>
        <w:t xml:space="preserve">of the requirement to file indicative screens in certain markets. </w:t>
      </w:r>
      <w:r w:rsidR="00700CC9">
        <w:rPr>
          <w:szCs w:val="26"/>
        </w:rPr>
        <w:t xml:space="preserve"> </w:t>
      </w:r>
      <w:r w:rsidR="00700CC9" w:rsidRPr="00A70F33">
        <w:rPr>
          <w:szCs w:val="26"/>
        </w:rPr>
        <w:t>The estimated burden and cost reductions as a result of the final rule follow:</w:t>
      </w:r>
    </w:p>
    <w:tbl>
      <w:tblPr>
        <w:tblW w:w="5807" w:type="pct"/>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8"/>
        <w:gridCol w:w="1530"/>
        <w:gridCol w:w="1510"/>
        <w:gridCol w:w="1350"/>
        <w:gridCol w:w="1657"/>
        <w:gridCol w:w="1602"/>
        <w:gridCol w:w="1395"/>
      </w:tblGrid>
      <w:tr w:rsidR="00ED3AFA" w:rsidRPr="00825E87" w14:paraId="4F6C9159" w14:textId="77777777" w:rsidTr="006C6A4D">
        <w:trPr>
          <w:cantSplit/>
        </w:trPr>
        <w:tc>
          <w:tcPr>
            <w:tcW w:w="5000" w:type="pct"/>
            <w:gridSpan w:val="7"/>
            <w:shd w:val="clear" w:color="auto" w:fill="D9D9D9"/>
          </w:tcPr>
          <w:p w14:paraId="508D1507" w14:textId="38AFA467" w:rsidR="00ED3AFA" w:rsidRPr="00825E87" w:rsidRDefault="00ED3AFA" w:rsidP="00122991">
            <w:pPr>
              <w:keepNext/>
              <w:jc w:val="center"/>
              <w:rPr>
                <w:rFonts w:eastAsia="Calibri"/>
                <w:b/>
                <w:sz w:val="22"/>
                <w:szCs w:val="22"/>
              </w:rPr>
            </w:pPr>
            <w:r w:rsidRPr="00825E87">
              <w:rPr>
                <w:rFonts w:eastAsia="Calibri"/>
                <w:b/>
                <w:sz w:val="22"/>
                <w:szCs w:val="22"/>
              </w:rPr>
              <w:t xml:space="preserve">Burden </w:t>
            </w:r>
            <w:r w:rsidR="006505A6" w:rsidRPr="00825E87">
              <w:rPr>
                <w:rFonts w:eastAsia="Calibri"/>
                <w:b/>
                <w:sz w:val="22"/>
                <w:szCs w:val="22"/>
              </w:rPr>
              <w:t xml:space="preserve">and Cost </w:t>
            </w:r>
            <w:r w:rsidRPr="00825E87">
              <w:rPr>
                <w:rFonts w:eastAsia="Calibri"/>
                <w:b/>
                <w:sz w:val="22"/>
                <w:szCs w:val="22"/>
              </w:rPr>
              <w:t>Reductions as in</w:t>
            </w:r>
            <w:r w:rsidR="00122991" w:rsidRPr="00825E87">
              <w:rPr>
                <w:rFonts w:eastAsia="Calibri"/>
                <w:b/>
                <w:sz w:val="22"/>
                <w:szCs w:val="22"/>
              </w:rPr>
              <w:t xml:space="preserve"> the</w:t>
            </w:r>
            <w:r w:rsidRPr="00825E87">
              <w:rPr>
                <w:rFonts w:eastAsia="Calibri"/>
                <w:b/>
                <w:sz w:val="22"/>
                <w:szCs w:val="22"/>
              </w:rPr>
              <w:t xml:space="preserve"> </w:t>
            </w:r>
            <w:r w:rsidR="001A0698" w:rsidRPr="00825E87">
              <w:rPr>
                <w:rFonts w:eastAsia="Calibri"/>
                <w:b/>
                <w:sz w:val="22"/>
                <w:szCs w:val="22"/>
              </w:rPr>
              <w:t>Final Rule</w:t>
            </w:r>
            <w:r w:rsidRPr="00825E87">
              <w:rPr>
                <w:rFonts w:eastAsia="Calibri"/>
                <w:b/>
                <w:sz w:val="22"/>
                <w:szCs w:val="22"/>
              </w:rPr>
              <w:t xml:space="preserve"> in </w:t>
            </w:r>
            <w:r w:rsidR="00A02F1F" w:rsidRPr="00825E87">
              <w:rPr>
                <w:rFonts w:eastAsia="Calibri"/>
                <w:b/>
                <w:sz w:val="22"/>
                <w:szCs w:val="22"/>
              </w:rPr>
              <w:t xml:space="preserve">Docket No. </w:t>
            </w:r>
            <w:r w:rsidRPr="00825E87">
              <w:rPr>
                <w:rFonts w:eastAsia="Calibri"/>
                <w:b/>
                <w:sz w:val="22"/>
                <w:szCs w:val="22"/>
              </w:rPr>
              <w:t>RM19-2-000</w:t>
            </w:r>
            <w:r w:rsidRPr="00825E87">
              <w:rPr>
                <w:rStyle w:val="FootnoteReference"/>
                <w:sz w:val="22"/>
                <w:szCs w:val="22"/>
              </w:rPr>
              <w:footnoteReference w:id="16"/>
            </w:r>
          </w:p>
        </w:tc>
      </w:tr>
      <w:tr w:rsidR="006C6A4D" w:rsidRPr="00825E87" w14:paraId="7EBB5548" w14:textId="77777777" w:rsidTr="00825E87">
        <w:trPr>
          <w:cantSplit/>
        </w:trPr>
        <w:tc>
          <w:tcPr>
            <w:tcW w:w="934" w:type="pct"/>
            <w:shd w:val="clear" w:color="auto" w:fill="D9D9D9"/>
            <w:vAlign w:val="bottom"/>
          </w:tcPr>
          <w:p w14:paraId="1310DB13" w14:textId="77777777" w:rsidR="00ED3AFA" w:rsidRPr="00825E87" w:rsidRDefault="00ED3AFA" w:rsidP="004426A3">
            <w:pPr>
              <w:keepNext/>
              <w:jc w:val="center"/>
              <w:rPr>
                <w:rFonts w:eastAsia="Calibri"/>
                <w:b/>
                <w:sz w:val="22"/>
                <w:szCs w:val="22"/>
              </w:rPr>
            </w:pPr>
            <w:r w:rsidRPr="00825E87">
              <w:rPr>
                <w:rFonts w:eastAsia="Calibri"/>
                <w:b/>
                <w:sz w:val="22"/>
                <w:szCs w:val="22"/>
              </w:rPr>
              <w:t>Requirement</w:t>
            </w:r>
          </w:p>
        </w:tc>
        <w:tc>
          <w:tcPr>
            <w:tcW w:w="688" w:type="pct"/>
            <w:shd w:val="clear" w:color="auto" w:fill="D9D9D9"/>
            <w:vAlign w:val="bottom"/>
          </w:tcPr>
          <w:p w14:paraId="08B13648" w14:textId="77777777" w:rsidR="00ED3AFA" w:rsidRPr="00825E87" w:rsidRDefault="00ED3AFA" w:rsidP="004426A3">
            <w:pPr>
              <w:keepNext/>
              <w:jc w:val="center"/>
              <w:rPr>
                <w:rFonts w:eastAsia="Calibri"/>
                <w:b/>
                <w:sz w:val="22"/>
                <w:szCs w:val="22"/>
              </w:rPr>
            </w:pPr>
            <w:r w:rsidRPr="00825E87">
              <w:rPr>
                <w:rFonts w:eastAsia="Calibri"/>
                <w:b/>
                <w:sz w:val="22"/>
                <w:szCs w:val="22"/>
              </w:rPr>
              <w:t>Number of Respondents</w:t>
            </w:r>
          </w:p>
          <w:p w14:paraId="117C1B7C" w14:textId="77777777" w:rsidR="00ED3AFA" w:rsidRPr="00825E87" w:rsidRDefault="00ED3AFA" w:rsidP="004426A3">
            <w:pPr>
              <w:keepNext/>
              <w:jc w:val="center"/>
              <w:rPr>
                <w:rFonts w:eastAsia="Calibri"/>
                <w:b/>
                <w:sz w:val="22"/>
                <w:szCs w:val="22"/>
              </w:rPr>
            </w:pPr>
            <w:r w:rsidRPr="00825E87">
              <w:rPr>
                <w:rFonts w:eastAsia="Calibri"/>
                <w:b/>
                <w:sz w:val="22"/>
                <w:szCs w:val="22"/>
              </w:rPr>
              <w:t>(1)</w:t>
            </w:r>
          </w:p>
        </w:tc>
        <w:tc>
          <w:tcPr>
            <w:tcW w:w="679" w:type="pct"/>
            <w:shd w:val="clear" w:color="auto" w:fill="D9D9D9"/>
            <w:vAlign w:val="bottom"/>
          </w:tcPr>
          <w:p w14:paraId="613727C8" w14:textId="77777777" w:rsidR="00ED3AFA" w:rsidRPr="00825E87" w:rsidRDefault="00ED3AFA" w:rsidP="004426A3">
            <w:pPr>
              <w:keepNext/>
              <w:jc w:val="center"/>
              <w:rPr>
                <w:rFonts w:eastAsia="Calibri"/>
                <w:b/>
                <w:sz w:val="22"/>
                <w:szCs w:val="22"/>
              </w:rPr>
            </w:pPr>
            <w:r w:rsidRPr="00825E87">
              <w:rPr>
                <w:rFonts w:eastAsia="Calibri"/>
                <w:b/>
                <w:sz w:val="22"/>
                <w:szCs w:val="22"/>
              </w:rPr>
              <w:t>Annual Number of Responses per Respondent</w:t>
            </w:r>
          </w:p>
          <w:p w14:paraId="1BFE054A" w14:textId="77777777" w:rsidR="00ED3AFA" w:rsidRPr="00825E87" w:rsidRDefault="00ED3AFA" w:rsidP="004426A3">
            <w:pPr>
              <w:keepNext/>
              <w:jc w:val="center"/>
              <w:rPr>
                <w:rFonts w:eastAsia="Calibri"/>
                <w:b/>
                <w:sz w:val="22"/>
                <w:szCs w:val="22"/>
              </w:rPr>
            </w:pPr>
            <w:r w:rsidRPr="00825E87">
              <w:rPr>
                <w:rFonts w:eastAsia="Calibri"/>
                <w:b/>
                <w:sz w:val="22"/>
                <w:szCs w:val="22"/>
              </w:rPr>
              <w:t>(2)</w:t>
            </w:r>
          </w:p>
        </w:tc>
        <w:tc>
          <w:tcPr>
            <w:tcW w:w="607" w:type="pct"/>
            <w:shd w:val="clear" w:color="auto" w:fill="D9D9D9"/>
            <w:vAlign w:val="bottom"/>
          </w:tcPr>
          <w:p w14:paraId="7B1DB55B" w14:textId="77777777" w:rsidR="00ED3AFA" w:rsidRPr="00825E87" w:rsidRDefault="00ED3AFA" w:rsidP="004426A3">
            <w:pPr>
              <w:keepNext/>
              <w:jc w:val="center"/>
              <w:rPr>
                <w:rFonts w:eastAsia="Calibri"/>
                <w:b/>
                <w:sz w:val="22"/>
                <w:szCs w:val="22"/>
              </w:rPr>
            </w:pPr>
            <w:r w:rsidRPr="00825E87">
              <w:rPr>
                <w:rFonts w:eastAsia="Calibri"/>
                <w:b/>
                <w:sz w:val="22"/>
                <w:szCs w:val="22"/>
              </w:rPr>
              <w:t>Total Number of Responses</w:t>
            </w:r>
          </w:p>
          <w:p w14:paraId="3DC35D38" w14:textId="77777777" w:rsidR="00ED3AFA" w:rsidRPr="00825E87" w:rsidRDefault="00ED3AFA" w:rsidP="004426A3">
            <w:pPr>
              <w:keepNext/>
              <w:jc w:val="center"/>
              <w:rPr>
                <w:rFonts w:eastAsia="Calibri"/>
                <w:b/>
                <w:sz w:val="22"/>
                <w:szCs w:val="22"/>
              </w:rPr>
            </w:pPr>
            <w:r w:rsidRPr="00825E87">
              <w:rPr>
                <w:rFonts w:eastAsia="Calibri"/>
                <w:b/>
                <w:sz w:val="22"/>
                <w:szCs w:val="22"/>
              </w:rPr>
              <w:t>(1)*(2)=(3)</w:t>
            </w:r>
          </w:p>
        </w:tc>
        <w:tc>
          <w:tcPr>
            <w:tcW w:w="745" w:type="pct"/>
            <w:shd w:val="clear" w:color="auto" w:fill="D9D9D9"/>
            <w:vAlign w:val="bottom"/>
          </w:tcPr>
          <w:p w14:paraId="0ADBFC3F" w14:textId="5DDEBD0F" w:rsidR="00ED3AFA" w:rsidRPr="00825E87" w:rsidRDefault="00ED3AFA" w:rsidP="004426A3">
            <w:pPr>
              <w:keepNext/>
              <w:jc w:val="center"/>
              <w:rPr>
                <w:rFonts w:eastAsia="Calibri"/>
                <w:b/>
                <w:sz w:val="22"/>
                <w:szCs w:val="22"/>
              </w:rPr>
            </w:pPr>
            <w:r w:rsidRPr="00825E87">
              <w:rPr>
                <w:rFonts w:eastAsia="Calibri"/>
                <w:b/>
                <w:sz w:val="22"/>
                <w:szCs w:val="22"/>
              </w:rPr>
              <w:t>Average Burden &amp; Cost Per Response</w:t>
            </w:r>
            <w:r w:rsidR="005B61A5" w:rsidRPr="00825E87">
              <w:rPr>
                <w:rStyle w:val="FootnoteReference"/>
                <w:sz w:val="22"/>
                <w:szCs w:val="22"/>
              </w:rPr>
              <w:footnoteReference w:id="17"/>
            </w:r>
          </w:p>
          <w:p w14:paraId="3468BAA1" w14:textId="77777777" w:rsidR="00ED3AFA" w:rsidRPr="00825E87" w:rsidRDefault="00ED3AFA" w:rsidP="004426A3">
            <w:pPr>
              <w:keepNext/>
              <w:jc w:val="center"/>
              <w:rPr>
                <w:rFonts w:eastAsia="Calibri"/>
                <w:b/>
                <w:sz w:val="22"/>
                <w:szCs w:val="22"/>
              </w:rPr>
            </w:pPr>
            <w:r w:rsidRPr="00825E87">
              <w:rPr>
                <w:rFonts w:eastAsia="Calibri"/>
                <w:b/>
                <w:sz w:val="22"/>
                <w:szCs w:val="22"/>
              </w:rPr>
              <w:t>(4)</w:t>
            </w:r>
          </w:p>
        </w:tc>
        <w:tc>
          <w:tcPr>
            <w:tcW w:w="720" w:type="pct"/>
            <w:shd w:val="clear" w:color="auto" w:fill="D9D9D9"/>
            <w:vAlign w:val="bottom"/>
          </w:tcPr>
          <w:p w14:paraId="30CC7FBE" w14:textId="77777777" w:rsidR="00ED3AFA" w:rsidRPr="00825E87" w:rsidRDefault="00ED3AFA" w:rsidP="004426A3">
            <w:pPr>
              <w:keepNext/>
              <w:jc w:val="center"/>
              <w:rPr>
                <w:rFonts w:eastAsia="Calibri"/>
                <w:b/>
                <w:sz w:val="22"/>
                <w:szCs w:val="22"/>
              </w:rPr>
            </w:pPr>
            <w:r w:rsidRPr="00825E87">
              <w:rPr>
                <w:rFonts w:eastAsia="Calibri"/>
                <w:b/>
                <w:sz w:val="22"/>
                <w:szCs w:val="22"/>
              </w:rPr>
              <w:t>Total Annual Burden Hours &amp; Cost</w:t>
            </w:r>
          </w:p>
          <w:p w14:paraId="304D59EA" w14:textId="77777777" w:rsidR="00ED3AFA" w:rsidRPr="00825E87" w:rsidRDefault="00ED3AFA" w:rsidP="004426A3">
            <w:pPr>
              <w:keepNext/>
              <w:jc w:val="center"/>
              <w:rPr>
                <w:rFonts w:eastAsia="Calibri"/>
                <w:b/>
                <w:sz w:val="22"/>
                <w:szCs w:val="22"/>
              </w:rPr>
            </w:pPr>
            <w:r w:rsidRPr="00825E87">
              <w:rPr>
                <w:rFonts w:eastAsia="Calibri"/>
                <w:b/>
                <w:sz w:val="22"/>
                <w:szCs w:val="22"/>
              </w:rPr>
              <w:t>(3)*(4)=(5)</w:t>
            </w:r>
          </w:p>
        </w:tc>
        <w:tc>
          <w:tcPr>
            <w:tcW w:w="627" w:type="pct"/>
            <w:shd w:val="clear" w:color="auto" w:fill="D9D9D9"/>
            <w:vAlign w:val="bottom"/>
          </w:tcPr>
          <w:p w14:paraId="227F4133" w14:textId="77777777" w:rsidR="00ED3AFA" w:rsidRPr="00825E87" w:rsidRDefault="00ED3AFA" w:rsidP="004426A3">
            <w:pPr>
              <w:keepNext/>
              <w:jc w:val="center"/>
              <w:rPr>
                <w:rFonts w:eastAsia="Calibri"/>
                <w:b/>
                <w:sz w:val="22"/>
                <w:szCs w:val="22"/>
              </w:rPr>
            </w:pPr>
            <w:r w:rsidRPr="00825E87">
              <w:rPr>
                <w:rFonts w:eastAsia="Calibri"/>
                <w:b/>
                <w:sz w:val="22"/>
                <w:szCs w:val="22"/>
              </w:rPr>
              <w:t>Annual Cost per Respondent ($)</w:t>
            </w:r>
          </w:p>
          <w:p w14:paraId="06F4F72E" w14:textId="77777777" w:rsidR="00ED3AFA" w:rsidRPr="00825E87" w:rsidRDefault="00ED3AFA" w:rsidP="004426A3">
            <w:pPr>
              <w:keepNext/>
              <w:jc w:val="center"/>
              <w:rPr>
                <w:rFonts w:eastAsia="Calibri"/>
                <w:b/>
                <w:sz w:val="22"/>
                <w:szCs w:val="22"/>
              </w:rPr>
            </w:pPr>
            <w:r w:rsidRPr="00825E87">
              <w:rPr>
                <w:rFonts w:eastAsia="Calibri"/>
                <w:b/>
                <w:sz w:val="22"/>
                <w:szCs w:val="22"/>
              </w:rPr>
              <w:t>(5)÷(1)</w:t>
            </w:r>
          </w:p>
        </w:tc>
      </w:tr>
      <w:tr w:rsidR="006C6A4D" w:rsidRPr="00825E87" w14:paraId="21562E38" w14:textId="77777777" w:rsidTr="00825E87">
        <w:trPr>
          <w:cantSplit/>
        </w:trPr>
        <w:tc>
          <w:tcPr>
            <w:tcW w:w="934" w:type="pct"/>
            <w:tcBorders>
              <w:top w:val="single" w:sz="4" w:space="0" w:color="auto"/>
              <w:left w:val="single" w:sz="4" w:space="0" w:color="auto"/>
              <w:bottom w:val="single" w:sz="4" w:space="0" w:color="auto"/>
              <w:right w:val="single" w:sz="4" w:space="0" w:color="auto"/>
            </w:tcBorders>
          </w:tcPr>
          <w:p w14:paraId="73C3A67C" w14:textId="77777777" w:rsidR="00ED3AFA" w:rsidRPr="00825E87" w:rsidRDefault="00ED3AFA" w:rsidP="004426A3">
            <w:pPr>
              <w:keepNext/>
              <w:rPr>
                <w:rFonts w:eastAsia="Calibri"/>
                <w:sz w:val="22"/>
                <w:szCs w:val="22"/>
              </w:rPr>
            </w:pPr>
            <w:r w:rsidRPr="00825E87">
              <w:rPr>
                <w:rFonts w:eastAsia="Calibri"/>
                <w:sz w:val="22"/>
                <w:szCs w:val="22"/>
              </w:rPr>
              <w:t>Market Power Analysis in New Applications for Market-based Rates for RTO/ISO Sellers</w:t>
            </w:r>
          </w:p>
        </w:tc>
        <w:tc>
          <w:tcPr>
            <w:tcW w:w="688" w:type="pct"/>
            <w:tcBorders>
              <w:top w:val="single" w:sz="4" w:space="0" w:color="auto"/>
              <w:left w:val="single" w:sz="4" w:space="0" w:color="auto"/>
              <w:bottom w:val="single" w:sz="4" w:space="0" w:color="auto"/>
              <w:right w:val="single" w:sz="4" w:space="0" w:color="auto"/>
            </w:tcBorders>
            <w:vAlign w:val="bottom"/>
          </w:tcPr>
          <w:p w14:paraId="33D6E2A7" w14:textId="77777777" w:rsidR="00ED3AFA" w:rsidRPr="00825E87" w:rsidRDefault="00ED3AFA" w:rsidP="004426A3">
            <w:pPr>
              <w:keepNext/>
              <w:jc w:val="right"/>
              <w:rPr>
                <w:rFonts w:eastAsia="Calibri"/>
                <w:sz w:val="22"/>
                <w:szCs w:val="22"/>
              </w:rPr>
            </w:pPr>
            <w:r w:rsidRPr="00825E87">
              <w:rPr>
                <w:rFonts w:eastAsia="Calibri"/>
                <w:sz w:val="22"/>
                <w:szCs w:val="22"/>
              </w:rPr>
              <w:t>72</w:t>
            </w:r>
          </w:p>
        </w:tc>
        <w:tc>
          <w:tcPr>
            <w:tcW w:w="679" w:type="pct"/>
            <w:tcBorders>
              <w:top w:val="single" w:sz="4" w:space="0" w:color="auto"/>
              <w:left w:val="single" w:sz="4" w:space="0" w:color="auto"/>
              <w:bottom w:val="single" w:sz="4" w:space="0" w:color="auto"/>
              <w:right w:val="single" w:sz="4" w:space="0" w:color="auto"/>
            </w:tcBorders>
            <w:vAlign w:val="bottom"/>
          </w:tcPr>
          <w:p w14:paraId="55C1E108" w14:textId="77777777" w:rsidR="00ED3AFA" w:rsidRPr="00825E87" w:rsidRDefault="00ED3AFA" w:rsidP="004426A3">
            <w:pPr>
              <w:keepNext/>
              <w:jc w:val="right"/>
              <w:rPr>
                <w:rFonts w:eastAsia="Calibri"/>
                <w:sz w:val="22"/>
                <w:szCs w:val="22"/>
              </w:rPr>
            </w:pPr>
            <w:r w:rsidRPr="00825E87">
              <w:rPr>
                <w:rFonts w:eastAsia="Calibri"/>
                <w:sz w:val="22"/>
                <w:szCs w:val="22"/>
              </w:rPr>
              <w:t>1</w:t>
            </w:r>
          </w:p>
        </w:tc>
        <w:tc>
          <w:tcPr>
            <w:tcW w:w="607" w:type="pct"/>
            <w:tcBorders>
              <w:top w:val="single" w:sz="4" w:space="0" w:color="auto"/>
              <w:left w:val="single" w:sz="4" w:space="0" w:color="auto"/>
              <w:bottom w:val="single" w:sz="4" w:space="0" w:color="auto"/>
              <w:right w:val="single" w:sz="4" w:space="0" w:color="auto"/>
            </w:tcBorders>
            <w:vAlign w:val="bottom"/>
          </w:tcPr>
          <w:p w14:paraId="09E2CADF" w14:textId="77777777" w:rsidR="00ED3AFA" w:rsidRPr="00825E87" w:rsidRDefault="00ED3AFA" w:rsidP="004426A3">
            <w:pPr>
              <w:keepNext/>
              <w:jc w:val="right"/>
              <w:rPr>
                <w:rFonts w:eastAsia="Calibri"/>
                <w:sz w:val="22"/>
                <w:szCs w:val="22"/>
              </w:rPr>
            </w:pPr>
            <w:r w:rsidRPr="00825E87">
              <w:rPr>
                <w:rFonts w:eastAsia="Calibri"/>
                <w:sz w:val="22"/>
                <w:szCs w:val="22"/>
              </w:rPr>
              <w:t>72</w:t>
            </w:r>
          </w:p>
        </w:tc>
        <w:tc>
          <w:tcPr>
            <w:tcW w:w="745" w:type="pct"/>
            <w:tcBorders>
              <w:top w:val="single" w:sz="4" w:space="0" w:color="auto"/>
              <w:left w:val="single" w:sz="4" w:space="0" w:color="auto"/>
              <w:bottom w:val="single" w:sz="4" w:space="0" w:color="auto"/>
              <w:right w:val="single" w:sz="4" w:space="0" w:color="auto"/>
            </w:tcBorders>
            <w:vAlign w:val="bottom"/>
          </w:tcPr>
          <w:p w14:paraId="5C8D941E" w14:textId="68510C85" w:rsidR="00ED3AFA" w:rsidRPr="00825E87" w:rsidRDefault="00ED3AFA" w:rsidP="004426A3">
            <w:pPr>
              <w:keepNext/>
              <w:jc w:val="right"/>
              <w:rPr>
                <w:rFonts w:eastAsia="Calibri"/>
                <w:sz w:val="22"/>
                <w:szCs w:val="22"/>
              </w:rPr>
            </w:pPr>
            <w:r w:rsidRPr="00825E87">
              <w:rPr>
                <w:rFonts w:eastAsia="Calibri"/>
                <w:sz w:val="22"/>
                <w:szCs w:val="22"/>
              </w:rPr>
              <w:t>-230</w:t>
            </w:r>
            <w:r w:rsidR="004426A3" w:rsidRPr="00825E87">
              <w:rPr>
                <w:rFonts w:eastAsia="Calibri"/>
                <w:sz w:val="22"/>
                <w:szCs w:val="22"/>
              </w:rPr>
              <w:t xml:space="preserve"> hrs</w:t>
            </w:r>
            <w:r w:rsidR="00D83019" w:rsidRPr="00825E87">
              <w:rPr>
                <w:rFonts w:eastAsia="Calibri"/>
                <w:sz w:val="22"/>
                <w:szCs w:val="22"/>
              </w:rPr>
              <w:t>.</w:t>
            </w:r>
          </w:p>
          <w:p w14:paraId="3E782B33" w14:textId="085A3551" w:rsidR="00ED3AFA" w:rsidRPr="00825E87" w:rsidRDefault="00ED3AFA" w:rsidP="00822F54">
            <w:pPr>
              <w:keepNext/>
              <w:jc w:val="right"/>
              <w:rPr>
                <w:rFonts w:eastAsia="Calibri"/>
                <w:sz w:val="22"/>
                <w:szCs w:val="22"/>
              </w:rPr>
            </w:pPr>
            <w:r w:rsidRPr="00825E87">
              <w:rPr>
                <w:rFonts w:eastAsia="Calibri"/>
                <w:sz w:val="22"/>
                <w:szCs w:val="22"/>
              </w:rPr>
              <w:t>-$21,</w:t>
            </w:r>
            <w:r w:rsidR="009101F4" w:rsidRPr="00825E87">
              <w:rPr>
                <w:rFonts w:eastAsia="Calibri"/>
                <w:sz w:val="22"/>
                <w:szCs w:val="22"/>
              </w:rPr>
              <w:t>620</w:t>
            </w:r>
          </w:p>
        </w:tc>
        <w:tc>
          <w:tcPr>
            <w:tcW w:w="720" w:type="pct"/>
            <w:tcBorders>
              <w:top w:val="single" w:sz="4" w:space="0" w:color="auto"/>
              <w:left w:val="single" w:sz="4" w:space="0" w:color="auto"/>
              <w:bottom w:val="single" w:sz="4" w:space="0" w:color="auto"/>
              <w:right w:val="single" w:sz="4" w:space="0" w:color="auto"/>
            </w:tcBorders>
            <w:vAlign w:val="bottom"/>
          </w:tcPr>
          <w:p w14:paraId="231E1760" w14:textId="07BC2697" w:rsidR="00ED3AFA" w:rsidRPr="00825E87" w:rsidRDefault="00ED3AFA" w:rsidP="004426A3">
            <w:pPr>
              <w:keepNext/>
              <w:jc w:val="right"/>
              <w:rPr>
                <w:rFonts w:eastAsia="Calibri"/>
                <w:sz w:val="22"/>
                <w:szCs w:val="22"/>
              </w:rPr>
            </w:pPr>
            <w:r w:rsidRPr="00825E87">
              <w:rPr>
                <w:rFonts w:eastAsia="Calibri"/>
                <w:sz w:val="22"/>
                <w:szCs w:val="22"/>
              </w:rPr>
              <w:t>-16,560</w:t>
            </w:r>
            <w:r w:rsidR="004426A3" w:rsidRPr="00825E87">
              <w:rPr>
                <w:rFonts w:eastAsia="Calibri"/>
                <w:sz w:val="22"/>
                <w:szCs w:val="22"/>
              </w:rPr>
              <w:t xml:space="preserve"> hrs.</w:t>
            </w:r>
          </w:p>
          <w:p w14:paraId="54737B2A" w14:textId="5821313E" w:rsidR="00ED3AFA" w:rsidRPr="00825E87" w:rsidRDefault="00ED3AFA" w:rsidP="004426A3">
            <w:pPr>
              <w:keepNext/>
              <w:jc w:val="right"/>
              <w:rPr>
                <w:rFonts w:eastAsia="Calibri"/>
                <w:sz w:val="22"/>
                <w:szCs w:val="22"/>
              </w:rPr>
            </w:pPr>
            <w:r w:rsidRPr="00825E87">
              <w:rPr>
                <w:rFonts w:eastAsia="Calibri"/>
                <w:sz w:val="22"/>
                <w:szCs w:val="22"/>
              </w:rPr>
              <w:t>-$1,5</w:t>
            </w:r>
            <w:r w:rsidR="009101F4" w:rsidRPr="00825E87">
              <w:rPr>
                <w:rFonts w:eastAsia="Calibri"/>
                <w:sz w:val="22"/>
                <w:szCs w:val="22"/>
              </w:rPr>
              <w:t>56,640</w:t>
            </w:r>
          </w:p>
        </w:tc>
        <w:tc>
          <w:tcPr>
            <w:tcW w:w="627" w:type="pct"/>
            <w:tcBorders>
              <w:top w:val="single" w:sz="4" w:space="0" w:color="auto"/>
              <w:left w:val="single" w:sz="4" w:space="0" w:color="auto"/>
              <w:bottom w:val="single" w:sz="4" w:space="0" w:color="auto"/>
              <w:right w:val="single" w:sz="4" w:space="0" w:color="auto"/>
            </w:tcBorders>
            <w:vAlign w:val="bottom"/>
          </w:tcPr>
          <w:p w14:paraId="6D48EA6C" w14:textId="0C6AEED2" w:rsidR="00ED3AFA" w:rsidRPr="00825E87" w:rsidRDefault="00ED3AFA" w:rsidP="00B42B8E">
            <w:pPr>
              <w:keepNext/>
              <w:jc w:val="right"/>
              <w:rPr>
                <w:rFonts w:eastAsia="Calibri"/>
                <w:sz w:val="22"/>
                <w:szCs w:val="22"/>
              </w:rPr>
            </w:pPr>
            <w:r w:rsidRPr="00825E87">
              <w:rPr>
                <w:rFonts w:eastAsia="Calibri"/>
                <w:sz w:val="22"/>
                <w:szCs w:val="22"/>
              </w:rPr>
              <w:t>-$21,</w:t>
            </w:r>
            <w:r w:rsidR="009101F4" w:rsidRPr="00825E87">
              <w:rPr>
                <w:rFonts w:eastAsia="Calibri"/>
                <w:sz w:val="22"/>
                <w:szCs w:val="22"/>
              </w:rPr>
              <w:t>620</w:t>
            </w:r>
          </w:p>
        </w:tc>
      </w:tr>
      <w:tr w:rsidR="006C6A4D" w:rsidRPr="00825E87" w14:paraId="3A401806" w14:textId="77777777" w:rsidTr="00825E87">
        <w:trPr>
          <w:cantSplit/>
        </w:trPr>
        <w:tc>
          <w:tcPr>
            <w:tcW w:w="934" w:type="pct"/>
            <w:tcBorders>
              <w:top w:val="single" w:sz="4" w:space="0" w:color="auto"/>
              <w:left w:val="single" w:sz="4" w:space="0" w:color="auto"/>
              <w:bottom w:val="single" w:sz="4" w:space="0" w:color="auto"/>
              <w:right w:val="single" w:sz="4" w:space="0" w:color="auto"/>
            </w:tcBorders>
          </w:tcPr>
          <w:p w14:paraId="0237CCED" w14:textId="77777777" w:rsidR="00ED3AFA" w:rsidRPr="00825E87" w:rsidRDefault="00ED3AFA" w:rsidP="004426A3">
            <w:pPr>
              <w:keepNext/>
              <w:rPr>
                <w:rFonts w:eastAsia="Calibri"/>
                <w:sz w:val="22"/>
                <w:szCs w:val="22"/>
              </w:rPr>
            </w:pPr>
            <w:r w:rsidRPr="00825E87">
              <w:rPr>
                <w:rFonts w:eastAsia="Calibri"/>
                <w:sz w:val="22"/>
                <w:szCs w:val="22"/>
              </w:rPr>
              <w:t>Triennial Market Power Analysis Updates for RTO/ISO Sellers</w:t>
            </w:r>
          </w:p>
        </w:tc>
        <w:tc>
          <w:tcPr>
            <w:tcW w:w="688" w:type="pct"/>
            <w:tcBorders>
              <w:top w:val="single" w:sz="4" w:space="0" w:color="auto"/>
              <w:left w:val="single" w:sz="4" w:space="0" w:color="auto"/>
              <w:bottom w:val="single" w:sz="4" w:space="0" w:color="auto"/>
              <w:right w:val="single" w:sz="4" w:space="0" w:color="auto"/>
            </w:tcBorders>
            <w:vAlign w:val="bottom"/>
          </w:tcPr>
          <w:p w14:paraId="31BD4484" w14:textId="77777777" w:rsidR="00ED3AFA" w:rsidRPr="00825E87" w:rsidRDefault="00ED3AFA" w:rsidP="004426A3">
            <w:pPr>
              <w:keepNext/>
              <w:jc w:val="right"/>
              <w:rPr>
                <w:rFonts w:eastAsia="Calibri"/>
                <w:sz w:val="22"/>
                <w:szCs w:val="22"/>
              </w:rPr>
            </w:pPr>
            <w:r w:rsidRPr="00825E87">
              <w:rPr>
                <w:rFonts w:eastAsia="Calibri"/>
                <w:sz w:val="22"/>
                <w:szCs w:val="22"/>
              </w:rPr>
              <w:t>33</w:t>
            </w:r>
          </w:p>
        </w:tc>
        <w:tc>
          <w:tcPr>
            <w:tcW w:w="679" w:type="pct"/>
            <w:tcBorders>
              <w:top w:val="single" w:sz="4" w:space="0" w:color="auto"/>
              <w:left w:val="single" w:sz="4" w:space="0" w:color="auto"/>
              <w:bottom w:val="single" w:sz="4" w:space="0" w:color="auto"/>
              <w:right w:val="single" w:sz="4" w:space="0" w:color="auto"/>
            </w:tcBorders>
            <w:vAlign w:val="bottom"/>
          </w:tcPr>
          <w:p w14:paraId="44FA3A12" w14:textId="77777777" w:rsidR="00ED3AFA" w:rsidRPr="00825E87" w:rsidRDefault="00ED3AFA" w:rsidP="004426A3">
            <w:pPr>
              <w:keepNext/>
              <w:jc w:val="right"/>
              <w:rPr>
                <w:rFonts w:eastAsia="Calibri"/>
                <w:sz w:val="22"/>
                <w:szCs w:val="22"/>
              </w:rPr>
            </w:pPr>
            <w:r w:rsidRPr="00825E87">
              <w:rPr>
                <w:rFonts w:eastAsia="Calibri"/>
                <w:sz w:val="22"/>
                <w:szCs w:val="22"/>
              </w:rPr>
              <w:t>1</w:t>
            </w:r>
          </w:p>
        </w:tc>
        <w:tc>
          <w:tcPr>
            <w:tcW w:w="607" w:type="pct"/>
            <w:tcBorders>
              <w:top w:val="single" w:sz="4" w:space="0" w:color="auto"/>
              <w:left w:val="single" w:sz="4" w:space="0" w:color="auto"/>
              <w:bottom w:val="single" w:sz="4" w:space="0" w:color="auto"/>
              <w:right w:val="single" w:sz="4" w:space="0" w:color="auto"/>
            </w:tcBorders>
            <w:vAlign w:val="bottom"/>
          </w:tcPr>
          <w:p w14:paraId="4E92A545" w14:textId="77777777" w:rsidR="00ED3AFA" w:rsidRPr="00825E87" w:rsidRDefault="00ED3AFA" w:rsidP="004426A3">
            <w:pPr>
              <w:keepNext/>
              <w:jc w:val="right"/>
              <w:rPr>
                <w:rFonts w:eastAsia="Calibri"/>
                <w:sz w:val="22"/>
                <w:szCs w:val="22"/>
              </w:rPr>
            </w:pPr>
            <w:r w:rsidRPr="00825E87">
              <w:rPr>
                <w:rFonts w:eastAsia="Calibri"/>
                <w:sz w:val="22"/>
                <w:szCs w:val="22"/>
              </w:rPr>
              <w:t>33</w:t>
            </w:r>
          </w:p>
        </w:tc>
        <w:tc>
          <w:tcPr>
            <w:tcW w:w="745" w:type="pct"/>
            <w:tcBorders>
              <w:top w:val="single" w:sz="4" w:space="0" w:color="auto"/>
              <w:left w:val="single" w:sz="4" w:space="0" w:color="auto"/>
              <w:bottom w:val="single" w:sz="4" w:space="0" w:color="auto"/>
              <w:right w:val="single" w:sz="4" w:space="0" w:color="auto"/>
            </w:tcBorders>
            <w:vAlign w:val="bottom"/>
          </w:tcPr>
          <w:p w14:paraId="6ADB3503" w14:textId="7D5892DA" w:rsidR="00ED3AFA" w:rsidRPr="00825E87" w:rsidRDefault="00ED3AFA" w:rsidP="004426A3">
            <w:pPr>
              <w:keepNext/>
              <w:jc w:val="right"/>
              <w:rPr>
                <w:rFonts w:eastAsia="Calibri"/>
                <w:sz w:val="22"/>
                <w:szCs w:val="22"/>
              </w:rPr>
            </w:pPr>
            <w:r w:rsidRPr="00825E87">
              <w:rPr>
                <w:rFonts w:eastAsia="Calibri"/>
                <w:sz w:val="22"/>
                <w:szCs w:val="22"/>
              </w:rPr>
              <w:t>-230</w:t>
            </w:r>
            <w:r w:rsidR="004426A3" w:rsidRPr="00825E87">
              <w:rPr>
                <w:rFonts w:eastAsia="Calibri"/>
                <w:sz w:val="22"/>
                <w:szCs w:val="22"/>
              </w:rPr>
              <w:t xml:space="preserve"> hrs</w:t>
            </w:r>
            <w:r w:rsidR="00D83019" w:rsidRPr="00825E87">
              <w:rPr>
                <w:rFonts w:eastAsia="Calibri"/>
                <w:sz w:val="22"/>
                <w:szCs w:val="22"/>
              </w:rPr>
              <w:t>.</w:t>
            </w:r>
          </w:p>
          <w:p w14:paraId="768D91F9" w14:textId="4A06A79C" w:rsidR="00ED3AFA" w:rsidRPr="00825E87" w:rsidRDefault="00ED3AFA" w:rsidP="00822F54">
            <w:pPr>
              <w:keepNext/>
              <w:jc w:val="right"/>
              <w:rPr>
                <w:rFonts w:eastAsia="Calibri"/>
                <w:sz w:val="22"/>
                <w:szCs w:val="22"/>
              </w:rPr>
            </w:pPr>
            <w:r w:rsidRPr="00825E87">
              <w:rPr>
                <w:rFonts w:eastAsia="Calibri"/>
                <w:sz w:val="22"/>
                <w:szCs w:val="22"/>
              </w:rPr>
              <w:t>-$21,</w:t>
            </w:r>
            <w:r w:rsidR="009101F4" w:rsidRPr="00825E87">
              <w:rPr>
                <w:rFonts w:eastAsia="Calibri"/>
                <w:sz w:val="22"/>
                <w:szCs w:val="22"/>
              </w:rPr>
              <w:t>620</w:t>
            </w:r>
          </w:p>
        </w:tc>
        <w:tc>
          <w:tcPr>
            <w:tcW w:w="720" w:type="pct"/>
            <w:tcBorders>
              <w:top w:val="single" w:sz="4" w:space="0" w:color="auto"/>
              <w:left w:val="single" w:sz="4" w:space="0" w:color="auto"/>
              <w:bottom w:val="single" w:sz="4" w:space="0" w:color="auto"/>
              <w:right w:val="single" w:sz="4" w:space="0" w:color="auto"/>
            </w:tcBorders>
            <w:vAlign w:val="bottom"/>
          </w:tcPr>
          <w:p w14:paraId="3025EE3A" w14:textId="7C58F398" w:rsidR="00ED3AFA" w:rsidRPr="00825E87" w:rsidRDefault="00ED3AFA" w:rsidP="004426A3">
            <w:pPr>
              <w:keepNext/>
              <w:jc w:val="right"/>
              <w:rPr>
                <w:rFonts w:eastAsia="Calibri"/>
                <w:sz w:val="22"/>
                <w:szCs w:val="22"/>
              </w:rPr>
            </w:pPr>
            <w:r w:rsidRPr="00825E87">
              <w:rPr>
                <w:rFonts w:eastAsia="Calibri"/>
                <w:sz w:val="22"/>
                <w:szCs w:val="22"/>
              </w:rPr>
              <w:t>-7,590</w:t>
            </w:r>
            <w:r w:rsidR="004426A3" w:rsidRPr="00825E87">
              <w:rPr>
                <w:rFonts w:eastAsia="Calibri"/>
                <w:sz w:val="22"/>
                <w:szCs w:val="22"/>
              </w:rPr>
              <w:t xml:space="preserve"> hrs.</w:t>
            </w:r>
          </w:p>
          <w:p w14:paraId="3A30E8C8" w14:textId="60853B52" w:rsidR="00ED3AFA" w:rsidRPr="00825E87" w:rsidRDefault="00ED3AFA" w:rsidP="004426A3">
            <w:pPr>
              <w:keepNext/>
              <w:jc w:val="right"/>
              <w:rPr>
                <w:rFonts w:eastAsia="Calibri"/>
                <w:sz w:val="22"/>
                <w:szCs w:val="22"/>
              </w:rPr>
            </w:pPr>
            <w:r w:rsidRPr="00825E87">
              <w:rPr>
                <w:rFonts w:eastAsia="Calibri"/>
                <w:sz w:val="22"/>
                <w:szCs w:val="22"/>
              </w:rPr>
              <w:t>-$</w:t>
            </w:r>
            <w:r w:rsidR="009101F4" w:rsidRPr="00825E87">
              <w:rPr>
                <w:rFonts w:eastAsia="Calibri"/>
                <w:sz w:val="22"/>
                <w:szCs w:val="22"/>
              </w:rPr>
              <w:t>713</w:t>
            </w:r>
            <w:r w:rsidRPr="00825E87">
              <w:rPr>
                <w:rFonts w:eastAsia="Calibri"/>
                <w:sz w:val="22"/>
                <w:szCs w:val="22"/>
              </w:rPr>
              <w:t>,</w:t>
            </w:r>
            <w:r w:rsidR="009101F4" w:rsidRPr="00825E87">
              <w:rPr>
                <w:rFonts w:eastAsia="Calibri"/>
                <w:sz w:val="22"/>
                <w:szCs w:val="22"/>
              </w:rPr>
              <w:t>460</w:t>
            </w:r>
          </w:p>
        </w:tc>
        <w:tc>
          <w:tcPr>
            <w:tcW w:w="627" w:type="pct"/>
            <w:tcBorders>
              <w:top w:val="single" w:sz="4" w:space="0" w:color="auto"/>
              <w:left w:val="single" w:sz="4" w:space="0" w:color="auto"/>
              <w:bottom w:val="single" w:sz="4" w:space="0" w:color="auto"/>
              <w:right w:val="single" w:sz="4" w:space="0" w:color="auto"/>
            </w:tcBorders>
            <w:vAlign w:val="bottom"/>
          </w:tcPr>
          <w:p w14:paraId="015F25F7" w14:textId="7241B518" w:rsidR="00ED3AFA" w:rsidRPr="00825E87" w:rsidRDefault="00ED3AFA" w:rsidP="00B42B8E">
            <w:pPr>
              <w:keepNext/>
              <w:jc w:val="right"/>
              <w:rPr>
                <w:rFonts w:eastAsia="Calibri"/>
                <w:sz w:val="22"/>
                <w:szCs w:val="22"/>
              </w:rPr>
            </w:pPr>
            <w:r w:rsidRPr="00825E87">
              <w:rPr>
                <w:rFonts w:eastAsia="Calibri"/>
                <w:sz w:val="22"/>
                <w:szCs w:val="22"/>
              </w:rPr>
              <w:t>-$21,</w:t>
            </w:r>
            <w:r w:rsidR="009101F4" w:rsidRPr="00825E87">
              <w:rPr>
                <w:rFonts w:eastAsia="Calibri"/>
                <w:sz w:val="22"/>
                <w:szCs w:val="22"/>
              </w:rPr>
              <w:t>620</w:t>
            </w:r>
          </w:p>
        </w:tc>
      </w:tr>
      <w:tr w:rsidR="006C6A4D" w:rsidRPr="00825E87" w14:paraId="22AFE0A2" w14:textId="77777777" w:rsidTr="00825E87">
        <w:trPr>
          <w:cantSplit/>
        </w:trPr>
        <w:tc>
          <w:tcPr>
            <w:tcW w:w="934" w:type="pct"/>
            <w:vAlign w:val="center"/>
          </w:tcPr>
          <w:p w14:paraId="47E666DC" w14:textId="77777777" w:rsidR="004426A3" w:rsidRPr="00825E87" w:rsidRDefault="004426A3">
            <w:pPr>
              <w:keepNext/>
              <w:rPr>
                <w:rFonts w:eastAsia="Calibri"/>
                <w:b/>
                <w:sz w:val="22"/>
                <w:szCs w:val="22"/>
              </w:rPr>
            </w:pPr>
            <w:r w:rsidRPr="00825E87">
              <w:rPr>
                <w:rFonts w:eastAsia="Calibri"/>
                <w:b/>
                <w:sz w:val="22"/>
                <w:szCs w:val="22"/>
              </w:rPr>
              <w:t>Total</w:t>
            </w:r>
          </w:p>
        </w:tc>
        <w:tc>
          <w:tcPr>
            <w:tcW w:w="1367" w:type="pct"/>
            <w:gridSpan w:val="2"/>
            <w:shd w:val="clear" w:color="auto" w:fill="D9D9D9"/>
            <w:vAlign w:val="bottom"/>
          </w:tcPr>
          <w:p w14:paraId="6D04F291" w14:textId="77777777" w:rsidR="004426A3" w:rsidRPr="00825E87" w:rsidRDefault="004426A3" w:rsidP="004426A3">
            <w:pPr>
              <w:keepNext/>
              <w:jc w:val="right"/>
              <w:rPr>
                <w:rFonts w:eastAsia="Calibri"/>
                <w:b/>
                <w:sz w:val="22"/>
                <w:szCs w:val="22"/>
              </w:rPr>
            </w:pPr>
          </w:p>
        </w:tc>
        <w:tc>
          <w:tcPr>
            <w:tcW w:w="607" w:type="pct"/>
            <w:vAlign w:val="center"/>
          </w:tcPr>
          <w:p w14:paraId="71DA8D0C" w14:textId="77777777" w:rsidR="004426A3" w:rsidRPr="00825E87" w:rsidRDefault="004426A3">
            <w:pPr>
              <w:keepNext/>
              <w:jc w:val="right"/>
              <w:rPr>
                <w:rFonts w:eastAsia="Calibri"/>
                <w:b/>
                <w:sz w:val="22"/>
                <w:szCs w:val="22"/>
              </w:rPr>
            </w:pPr>
            <w:r w:rsidRPr="00825E87">
              <w:rPr>
                <w:rFonts w:eastAsia="Calibri"/>
                <w:b/>
                <w:sz w:val="22"/>
                <w:szCs w:val="22"/>
              </w:rPr>
              <w:t>105</w:t>
            </w:r>
          </w:p>
        </w:tc>
        <w:tc>
          <w:tcPr>
            <w:tcW w:w="745" w:type="pct"/>
            <w:shd w:val="clear" w:color="auto" w:fill="D9D9D9"/>
            <w:vAlign w:val="center"/>
          </w:tcPr>
          <w:p w14:paraId="6862069C" w14:textId="77777777" w:rsidR="004426A3" w:rsidRPr="00825E87" w:rsidRDefault="004426A3">
            <w:pPr>
              <w:keepNext/>
              <w:jc w:val="right"/>
              <w:rPr>
                <w:rFonts w:eastAsia="Calibri"/>
                <w:b/>
                <w:sz w:val="22"/>
                <w:szCs w:val="22"/>
              </w:rPr>
            </w:pPr>
          </w:p>
        </w:tc>
        <w:tc>
          <w:tcPr>
            <w:tcW w:w="720" w:type="pct"/>
            <w:tcBorders>
              <w:top w:val="single" w:sz="4" w:space="0" w:color="auto"/>
              <w:left w:val="single" w:sz="4" w:space="0" w:color="auto"/>
              <w:bottom w:val="single" w:sz="4" w:space="0" w:color="auto"/>
              <w:right w:val="single" w:sz="4" w:space="0" w:color="auto"/>
            </w:tcBorders>
          </w:tcPr>
          <w:p w14:paraId="13A47540" w14:textId="5DCD40AB" w:rsidR="004426A3" w:rsidRPr="00825E87" w:rsidRDefault="004426A3" w:rsidP="004426A3">
            <w:pPr>
              <w:keepNext/>
              <w:jc w:val="right"/>
              <w:rPr>
                <w:rFonts w:eastAsia="Calibri"/>
                <w:b/>
                <w:sz w:val="22"/>
                <w:szCs w:val="22"/>
              </w:rPr>
            </w:pPr>
            <w:r w:rsidRPr="00825E87">
              <w:rPr>
                <w:rFonts w:eastAsia="Calibri"/>
                <w:b/>
                <w:sz w:val="22"/>
                <w:szCs w:val="22"/>
              </w:rPr>
              <w:t>-24,150 hrs.</w:t>
            </w:r>
          </w:p>
          <w:p w14:paraId="2732E547" w14:textId="1FDBBDC3" w:rsidR="004426A3" w:rsidRPr="00825E87" w:rsidRDefault="004426A3" w:rsidP="00B42B8E">
            <w:pPr>
              <w:keepNext/>
              <w:jc w:val="right"/>
              <w:rPr>
                <w:rFonts w:eastAsia="Calibri"/>
                <w:b/>
                <w:sz w:val="22"/>
                <w:szCs w:val="22"/>
              </w:rPr>
            </w:pPr>
            <w:r w:rsidRPr="00825E87">
              <w:rPr>
                <w:rFonts w:eastAsia="Calibri"/>
                <w:b/>
                <w:sz w:val="22"/>
                <w:szCs w:val="22"/>
              </w:rPr>
              <w:t>-$2,2</w:t>
            </w:r>
            <w:r w:rsidR="009101F4" w:rsidRPr="00825E87">
              <w:rPr>
                <w:rFonts w:eastAsia="Calibri"/>
                <w:b/>
                <w:sz w:val="22"/>
                <w:szCs w:val="22"/>
              </w:rPr>
              <w:t>70</w:t>
            </w:r>
            <w:r w:rsidRPr="00825E87">
              <w:rPr>
                <w:rFonts w:eastAsia="Calibri"/>
                <w:b/>
                <w:sz w:val="22"/>
                <w:szCs w:val="22"/>
              </w:rPr>
              <w:t>,</w:t>
            </w:r>
            <w:r w:rsidR="009101F4" w:rsidRPr="00825E87">
              <w:rPr>
                <w:rFonts w:eastAsia="Calibri"/>
                <w:b/>
                <w:sz w:val="22"/>
                <w:szCs w:val="22"/>
              </w:rPr>
              <w:t>100</w:t>
            </w:r>
          </w:p>
        </w:tc>
        <w:tc>
          <w:tcPr>
            <w:tcW w:w="627" w:type="pct"/>
            <w:tcBorders>
              <w:top w:val="single" w:sz="4" w:space="0" w:color="auto"/>
              <w:left w:val="single" w:sz="4" w:space="0" w:color="auto"/>
              <w:bottom w:val="single" w:sz="4" w:space="0" w:color="auto"/>
              <w:right w:val="single" w:sz="4" w:space="0" w:color="auto"/>
            </w:tcBorders>
            <w:shd w:val="clear" w:color="auto" w:fill="D9D9D9"/>
          </w:tcPr>
          <w:p w14:paraId="6692A424" w14:textId="77777777" w:rsidR="004426A3" w:rsidRPr="00825E87" w:rsidRDefault="004426A3" w:rsidP="004426A3">
            <w:pPr>
              <w:keepNext/>
              <w:jc w:val="right"/>
              <w:rPr>
                <w:rFonts w:eastAsia="Calibri"/>
                <w:b/>
                <w:sz w:val="22"/>
                <w:szCs w:val="22"/>
              </w:rPr>
            </w:pPr>
          </w:p>
        </w:tc>
      </w:tr>
    </w:tbl>
    <w:p w14:paraId="50495B60" w14:textId="77777777" w:rsidR="00C20CA3" w:rsidRPr="00A70F33" w:rsidRDefault="00C20CA3" w:rsidP="004065DF">
      <w:pPr>
        <w:rPr>
          <w:szCs w:val="26"/>
        </w:rPr>
      </w:pPr>
    </w:p>
    <w:p w14:paraId="31352AF2" w14:textId="740253FE" w:rsidR="000A1968" w:rsidRPr="00A70F33" w:rsidRDefault="00750C06" w:rsidP="00750C06">
      <w:pPr>
        <w:pStyle w:val="OMBHeadings"/>
      </w:pPr>
      <w:r>
        <w:t>13.</w:t>
      </w:r>
      <w:r>
        <w:tab/>
      </w:r>
      <w:r w:rsidR="000A1968" w:rsidRPr="00A70F33">
        <w:t>ESTIMATE OF THE TOTAL ANNUAL COST BURDEN TO RESPONDENTS</w:t>
      </w:r>
    </w:p>
    <w:p w14:paraId="5FBD4EE5" w14:textId="77777777" w:rsidR="00F21C4B" w:rsidRPr="00A70F33" w:rsidRDefault="00F21C4B" w:rsidP="004065DF">
      <w:pPr>
        <w:rPr>
          <w:szCs w:val="26"/>
        </w:rPr>
      </w:pPr>
    </w:p>
    <w:p w14:paraId="77F30B38" w14:textId="1F185012" w:rsidR="00844E85" w:rsidRPr="00A70F33" w:rsidRDefault="00844E85" w:rsidP="00844E85">
      <w:pPr>
        <w:rPr>
          <w:szCs w:val="26"/>
        </w:rPr>
      </w:pPr>
      <w:r w:rsidRPr="00A70F33">
        <w:rPr>
          <w:szCs w:val="26"/>
        </w:rPr>
        <w:t>There are no start-up or other non-labor costs</w:t>
      </w:r>
      <w:r w:rsidR="009C2454">
        <w:rPr>
          <w:szCs w:val="26"/>
        </w:rPr>
        <w:t xml:space="preserve"> associated with FERC-919</w:t>
      </w:r>
      <w:r w:rsidRPr="00A70F33">
        <w:rPr>
          <w:szCs w:val="26"/>
        </w:rPr>
        <w:t>.</w:t>
      </w:r>
      <w:r w:rsidR="009C2454">
        <w:rPr>
          <w:szCs w:val="26"/>
        </w:rPr>
        <w:t xml:space="preserve">  All of the costs in the final rule are associated with the burden hours and accounted for in Questions #12 and #15.</w:t>
      </w:r>
    </w:p>
    <w:p w14:paraId="1B522703" w14:textId="417E6C05" w:rsidR="005B5397" w:rsidRPr="00A70F33" w:rsidRDefault="005B5397" w:rsidP="004065DF">
      <w:pPr>
        <w:rPr>
          <w:szCs w:val="26"/>
        </w:rPr>
      </w:pPr>
    </w:p>
    <w:p w14:paraId="39AF64BF" w14:textId="594BE684" w:rsidR="005B5397" w:rsidRPr="00E25A66" w:rsidRDefault="005B5397" w:rsidP="00E25A66">
      <w:pPr>
        <w:tabs>
          <w:tab w:val="left" w:pos="-1440"/>
        </w:tabs>
        <w:ind w:left="720" w:hanging="720"/>
        <w:rPr>
          <w:b/>
          <w:bCs/>
          <w:szCs w:val="26"/>
        </w:rPr>
      </w:pPr>
      <w:r w:rsidRPr="00E25A66">
        <w:rPr>
          <w:b/>
          <w:bCs/>
          <w:szCs w:val="26"/>
        </w:rPr>
        <w:t>1</w:t>
      </w:r>
      <w:r w:rsidR="0013562B" w:rsidRPr="00E25A66">
        <w:rPr>
          <w:b/>
          <w:bCs/>
          <w:szCs w:val="26"/>
        </w:rPr>
        <w:t>4</w:t>
      </w:r>
      <w:r w:rsidR="000A1968" w:rsidRPr="00E25A66">
        <w:rPr>
          <w:b/>
          <w:bCs/>
          <w:szCs w:val="26"/>
        </w:rPr>
        <w:t xml:space="preserve">. </w:t>
      </w:r>
      <w:r w:rsidR="00750C06">
        <w:rPr>
          <w:b/>
          <w:bCs/>
          <w:szCs w:val="26"/>
        </w:rPr>
        <w:tab/>
      </w:r>
      <w:r w:rsidR="000A1968" w:rsidRPr="00E25A66">
        <w:rPr>
          <w:b/>
          <w:bCs/>
          <w:szCs w:val="26"/>
        </w:rPr>
        <w:t xml:space="preserve">ESTIMATE OF THE TOTAL ANNUAL COST </w:t>
      </w:r>
      <w:r w:rsidRPr="00E25A66">
        <w:rPr>
          <w:b/>
          <w:bCs/>
          <w:szCs w:val="26"/>
        </w:rPr>
        <w:t xml:space="preserve">TO </w:t>
      </w:r>
      <w:r w:rsidR="0013562B" w:rsidRPr="00E25A66">
        <w:rPr>
          <w:b/>
          <w:bCs/>
          <w:szCs w:val="26"/>
        </w:rPr>
        <w:t>FEDERAL GOVERNMENT</w:t>
      </w:r>
    </w:p>
    <w:p w14:paraId="18B8D83E" w14:textId="77777777" w:rsidR="00310F28" w:rsidRPr="00A70F33" w:rsidRDefault="00310F28" w:rsidP="00943FF9">
      <w:pPr>
        <w:tabs>
          <w:tab w:val="left" w:pos="-1440"/>
        </w:tabs>
        <w:rPr>
          <w:b/>
          <w:bCs/>
          <w:color w:val="FF0000"/>
          <w:szCs w:val="26"/>
        </w:rPr>
      </w:pPr>
    </w:p>
    <w:p w14:paraId="064C88BC" w14:textId="3163ACC3" w:rsidR="00A81030" w:rsidRPr="00A70F33" w:rsidRDefault="003D5B6A" w:rsidP="00A81030">
      <w:pPr>
        <w:tabs>
          <w:tab w:val="left" w:pos="-1440"/>
        </w:tabs>
        <w:rPr>
          <w:bCs/>
          <w:szCs w:val="26"/>
        </w:rPr>
      </w:pPr>
      <w:r>
        <w:rPr>
          <w:bCs/>
          <w:szCs w:val="26"/>
        </w:rPr>
        <w:t xml:space="preserve">The Commission bases its </w:t>
      </w:r>
      <w:r w:rsidR="00A81030" w:rsidRPr="00A70F33">
        <w:rPr>
          <w:bCs/>
          <w:szCs w:val="26"/>
        </w:rPr>
        <w:t>estimate of the</w:t>
      </w:r>
      <w:r w:rsidR="007A3BAC">
        <w:rPr>
          <w:bCs/>
          <w:szCs w:val="26"/>
        </w:rPr>
        <w:t xml:space="preserve"> “</w:t>
      </w:r>
      <w:r>
        <w:rPr>
          <w:bCs/>
          <w:szCs w:val="26"/>
        </w:rPr>
        <w:t>A</w:t>
      </w:r>
      <w:r w:rsidR="00A81030" w:rsidRPr="00A70F33">
        <w:rPr>
          <w:bCs/>
          <w:szCs w:val="26"/>
        </w:rPr>
        <w:t xml:space="preserve">nalysis and </w:t>
      </w:r>
      <w:r>
        <w:rPr>
          <w:bCs/>
          <w:szCs w:val="26"/>
        </w:rPr>
        <w:t>P</w:t>
      </w:r>
      <w:r w:rsidR="00A81030" w:rsidRPr="00A70F33">
        <w:rPr>
          <w:bCs/>
          <w:szCs w:val="26"/>
        </w:rPr>
        <w:t>rocessing of filings</w:t>
      </w:r>
      <w:r>
        <w:rPr>
          <w:bCs/>
          <w:szCs w:val="26"/>
        </w:rPr>
        <w:t>”</w:t>
      </w:r>
      <w:r w:rsidR="00441BAC">
        <w:rPr>
          <w:bCs/>
          <w:szCs w:val="26"/>
        </w:rPr>
        <w:t xml:space="preserve"> </w:t>
      </w:r>
      <w:r w:rsidR="009C2454">
        <w:rPr>
          <w:bCs/>
          <w:szCs w:val="26"/>
        </w:rPr>
        <w:t xml:space="preserve">cost </w:t>
      </w:r>
      <w:r w:rsidR="00A81030" w:rsidRPr="00A70F33">
        <w:rPr>
          <w:bCs/>
          <w:szCs w:val="26"/>
        </w:rPr>
        <w:t xml:space="preserve">on salaries and benefits for professional and clerical support.  This estimated cost represents staff analysis, decision-making, and review of any actual filings submitted in response to the information collection.  The estimates </w:t>
      </w:r>
      <w:r w:rsidR="009C2454">
        <w:rPr>
          <w:bCs/>
          <w:szCs w:val="26"/>
        </w:rPr>
        <w:t xml:space="preserve">provided below include </w:t>
      </w:r>
      <w:r w:rsidR="00A81030" w:rsidRPr="00A70F33">
        <w:rPr>
          <w:bCs/>
          <w:szCs w:val="26"/>
        </w:rPr>
        <w:t>the entire FERC-919, not simply for the areas affected by</w:t>
      </w:r>
      <w:r w:rsidR="00FA1BE3">
        <w:rPr>
          <w:bCs/>
          <w:szCs w:val="26"/>
        </w:rPr>
        <w:t xml:space="preserve"> </w:t>
      </w:r>
      <w:r w:rsidR="00A81030" w:rsidRPr="00A70F33">
        <w:rPr>
          <w:bCs/>
          <w:szCs w:val="26"/>
        </w:rPr>
        <w:t xml:space="preserve">the </w:t>
      </w:r>
      <w:r w:rsidR="00BA7AD3" w:rsidRPr="00A70F33">
        <w:rPr>
          <w:bCs/>
          <w:szCs w:val="26"/>
        </w:rPr>
        <w:t>final rule</w:t>
      </w:r>
      <w:r w:rsidR="00A81030" w:rsidRPr="00A70F33">
        <w:rPr>
          <w:bCs/>
          <w:szCs w:val="26"/>
        </w:rPr>
        <w:t xml:space="preserve"> in </w:t>
      </w:r>
      <w:r w:rsidR="00281F70" w:rsidRPr="00A70F33">
        <w:rPr>
          <w:bCs/>
          <w:szCs w:val="26"/>
        </w:rPr>
        <w:t xml:space="preserve">Docket No. </w:t>
      </w:r>
      <w:r w:rsidR="00A81030" w:rsidRPr="00A70F33">
        <w:rPr>
          <w:bCs/>
          <w:szCs w:val="26"/>
        </w:rPr>
        <w:t>RM1</w:t>
      </w:r>
      <w:r w:rsidR="00101F76" w:rsidRPr="00A70F33">
        <w:rPr>
          <w:bCs/>
          <w:szCs w:val="26"/>
        </w:rPr>
        <w:t>9</w:t>
      </w:r>
      <w:r w:rsidR="00A81030" w:rsidRPr="00A70F33">
        <w:rPr>
          <w:bCs/>
          <w:szCs w:val="26"/>
        </w:rPr>
        <w:t>-2-000.</w:t>
      </w:r>
    </w:p>
    <w:p w14:paraId="41264F57" w14:textId="77777777" w:rsidR="00A81030" w:rsidRPr="00A70F33" w:rsidRDefault="00A81030" w:rsidP="00A81030">
      <w:pPr>
        <w:tabs>
          <w:tab w:val="left" w:pos="-1440"/>
        </w:tabs>
        <w:rPr>
          <w:bCs/>
          <w:szCs w:val="26"/>
        </w:rPr>
      </w:pPr>
    </w:p>
    <w:p w14:paraId="414CF719" w14:textId="77777777" w:rsidR="00511A7D" w:rsidRPr="00A70F33" w:rsidRDefault="00511A7D" w:rsidP="00511A7D">
      <w:pPr>
        <w:tabs>
          <w:tab w:val="left" w:pos="-1440"/>
        </w:tabs>
        <w:rPr>
          <w:bCs/>
          <w:szCs w:val="26"/>
        </w:rPr>
      </w:pPr>
      <w:r w:rsidRPr="00A70F33">
        <w:rPr>
          <w:bCs/>
          <w:szCs w:val="26"/>
        </w:rPr>
        <w:t>The estimated annualized cost to the Federal Government for FERC-919 follows:</w:t>
      </w:r>
    </w:p>
    <w:p w14:paraId="40B0495B" w14:textId="77777777" w:rsidR="00511A7D" w:rsidRPr="00A70F33" w:rsidRDefault="00511A7D" w:rsidP="00511A7D">
      <w:pPr>
        <w:tabs>
          <w:tab w:val="left" w:pos="-1440"/>
        </w:tabs>
        <w:rPr>
          <w:bCs/>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5"/>
        <w:gridCol w:w="2610"/>
        <w:gridCol w:w="2903"/>
      </w:tblGrid>
      <w:tr w:rsidR="00511A7D" w:rsidRPr="001B3B47" w14:paraId="4EF62757" w14:textId="77777777" w:rsidTr="008B62F0">
        <w:tc>
          <w:tcPr>
            <w:tcW w:w="3865" w:type="dxa"/>
            <w:tcBorders>
              <w:top w:val="single" w:sz="4" w:space="0" w:color="auto"/>
              <w:left w:val="single" w:sz="4" w:space="0" w:color="auto"/>
              <w:bottom w:val="single" w:sz="4" w:space="0" w:color="auto"/>
              <w:right w:val="single" w:sz="4" w:space="0" w:color="auto"/>
            </w:tcBorders>
            <w:shd w:val="clear" w:color="auto" w:fill="CCCCCC"/>
          </w:tcPr>
          <w:p w14:paraId="45FB08A4" w14:textId="77777777" w:rsidR="00511A7D" w:rsidRPr="001B3B47" w:rsidRDefault="00511A7D" w:rsidP="00511A7D">
            <w:pPr>
              <w:tabs>
                <w:tab w:val="left" w:pos="-1440"/>
              </w:tabs>
              <w:rPr>
                <w:bCs/>
                <w:sz w:val="24"/>
              </w:rPr>
            </w:pPr>
          </w:p>
        </w:tc>
        <w:tc>
          <w:tcPr>
            <w:tcW w:w="2610" w:type="dxa"/>
            <w:tcBorders>
              <w:top w:val="single" w:sz="4" w:space="0" w:color="auto"/>
              <w:left w:val="single" w:sz="4" w:space="0" w:color="auto"/>
              <w:bottom w:val="single" w:sz="4" w:space="0" w:color="auto"/>
              <w:right w:val="single" w:sz="4" w:space="0" w:color="auto"/>
            </w:tcBorders>
            <w:shd w:val="clear" w:color="auto" w:fill="CCCCCC"/>
            <w:hideMark/>
          </w:tcPr>
          <w:p w14:paraId="4A875A96" w14:textId="7B7CB99E" w:rsidR="00511A7D" w:rsidRPr="001B3B47" w:rsidRDefault="00511A7D" w:rsidP="00566E2B">
            <w:pPr>
              <w:tabs>
                <w:tab w:val="left" w:pos="-1440"/>
              </w:tabs>
              <w:rPr>
                <w:b/>
                <w:bCs/>
                <w:sz w:val="24"/>
              </w:rPr>
            </w:pPr>
            <w:r w:rsidRPr="001B3B47">
              <w:rPr>
                <w:b/>
                <w:bCs/>
                <w:sz w:val="24"/>
              </w:rPr>
              <w:t>Number of Employees (FTE)</w:t>
            </w:r>
            <w:r w:rsidR="008B62F0" w:rsidRPr="001B3B47">
              <w:rPr>
                <w:rStyle w:val="FootnoteReference"/>
                <w:bCs/>
                <w:sz w:val="24"/>
              </w:rPr>
              <w:t xml:space="preserve"> </w:t>
            </w:r>
          </w:p>
        </w:tc>
        <w:tc>
          <w:tcPr>
            <w:tcW w:w="2903" w:type="dxa"/>
            <w:tcBorders>
              <w:top w:val="single" w:sz="4" w:space="0" w:color="auto"/>
              <w:left w:val="single" w:sz="4" w:space="0" w:color="auto"/>
              <w:bottom w:val="single" w:sz="4" w:space="0" w:color="auto"/>
              <w:right w:val="single" w:sz="4" w:space="0" w:color="auto"/>
            </w:tcBorders>
            <w:shd w:val="clear" w:color="auto" w:fill="CCCCCC"/>
            <w:hideMark/>
          </w:tcPr>
          <w:p w14:paraId="45AB129F" w14:textId="77777777" w:rsidR="00511A7D" w:rsidRPr="001B3B47" w:rsidRDefault="00511A7D" w:rsidP="00511A7D">
            <w:pPr>
              <w:tabs>
                <w:tab w:val="left" w:pos="-1440"/>
              </w:tabs>
              <w:rPr>
                <w:b/>
                <w:bCs/>
                <w:sz w:val="24"/>
              </w:rPr>
            </w:pPr>
            <w:r w:rsidRPr="001B3B47">
              <w:rPr>
                <w:b/>
                <w:bCs/>
                <w:sz w:val="24"/>
              </w:rPr>
              <w:t>Estimated Annual Federal Cost</w:t>
            </w:r>
          </w:p>
        </w:tc>
      </w:tr>
      <w:tr w:rsidR="00511A7D" w:rsidRPr="001B3B47" w14:paraId="39A01A5A" w14:textId="77777777" w:rsidTr="008B62F0">
        <w:tc>
          <w:tcPr>
            <w:tcW w:w="3865" w:type="dxa"/>
            <w:tcBorders>
              <w:top w:val="single" w:sz="4" w:space="0" w:color="auto"/>
              <w:left w:val="single" w:sz="4" w:space="0" w:color="auto"/>
              <w:bottom w:val="single" w:sz="4" w:space="0" w:color="auto"/>
              <w:right w:val="single" w:sz="4" w:space="0" w:color="auto"/>
            </w:tcBorders>
          </w:tcPr>
          <w:p w14:paraId="54501CAE" w14:textId="14A64A45" w:rsidR="00511A7D" w:rsidRPr="001B3B47" w:rsidRDefault="00511A7D" w:rsidP="008718C6">
            <w:pPr>
              <w:tabs>
                <w:tab w:val="left" w:pos="-1440"/>
              </w:tabs>
              <w:rPr>
                <w:bCs/>
                <w:sz w:val="24"/>
              </w:rPr>
            </w:pPr>
            <w:r w:rsidRPr="001B3B47">
              <w:rPr>
                <w:bCs/>
                <w:sz w:val="24"/>
              </w:rPr>
              <w:t>FERC-919, Analysis and Processing of filings</w:t>
            </w:r>
            <w:r w:rsidR="008718C6" w:rsidRPr="001B3B47">
              <w:rPr>
                <w:rStyle w:val="FootnoteReference"/>
                <w:sz w:val="24"/>
              </w:rPr>
              <w:footnoteReference w:id="18"/>
            </w:r>
          </w:p>
        </w:tc>
        <w:tc>
          <w:tcPr>
            <w:tcW w:w="2610" w:type="dxa"/>
            <w:tcBorders>
              <w:top w:val="single" w:sz="4" w:space="0" w:color="auto"/>
              <w:left w:val="single" w:sz="4" w:space="0" w:color="auto"/>
              <w:bottom w:val="single" w:sz="4" w:space="0" w:color="auto"/>
              <w:right w:val="single" w:sz="4" w:space="0" w:color="auto"/>
            </w:tcBorders>
            <w:vAlign w:val="bottom"/>
          </w:tcPr>
          <w:p w14:paraId="20692484" w14:textId="0BB9CDAD" w:rsidR="00511A7D" w:rsidRPr="001B3B47" w:rsidRDefault="0075731D" w:rsidP="00566E2B">
            <w:pPr>
              <w:tabs>
                <w:tab w:val="left" w:pos="-1440"/>
              </w:tabs>
              <w:jc w:val="right"/>
              <w:rPr>
                <w:bCs/>
                <w:sz w:val="24"/>
              </w:rPr>
            </w:pPr>
            <w:r w:rsidRPr="001B3B47">
              <w:rPr>
                <w:bCs/>
                <w:sz w:val="24"/>
              </w:rPr>
              <w:t>28</w:t>
            </w:r>
            <w:r w:rsidR="00566E2B" w:rsidRPr="001B3B47">
              <w:rPr>
                <w:rStyle w:val="FootnoteReference"/>
                <w:bCs/>
                <w:sz w:val="24"/>
              </w:rPr>
              <w:footnoteReference w:id="19"/>
            </w:r>
          </w:p>
        </w:tc>
        <w:tc>
          <w:tcPr>
            <w:tcW w:w="2903" w:type="dxa"/>
            <w:tcBorders>
              <w:top w:val="single" w:sz="4" w:space="0" w:color="auto"/>
              <w:left w:val="single" w:sz="4" w:space="0" w:color="auto"/>
              <w:bottom w:val="single" w:sz="4" w:space="0" w:color="auto"/>
              <w:right w:val="single" w:sz="4" w:space="0" w:color="auto"/>
            </w:tcBorders>
            <w:vAlign w:val="bottom"/>
          </w:tcPr>
          <w:p w14:paraId="7CAAA59B" w14:textId="7ADA2AE1" w:rsidR="00511A7D" w:rsidRPr="001B3B47" w:rsidRDefault="00511A7D" w:rsidP="00566E2B">
            <w:pPr>
              <w:tabs>
                <w:tab w:val="left" w:pos="-1440"/>
              </w:tabs>
              <w:jc w:val="right"/>
              <w:rPr>
                <w:bCs/>
                <w:sz w:val="24"/>
              </w:rPr>
            </w:pPr>
            <w:r w:rsidRPr="001B3B47">
              <w:rPr>
                <w:bCs/>
                <w:sz w:val="24"/>
              </w:rPr>
              <w:t>$</w:t>
            </w:r>
            <w:r w:rsidR="00566E2B" w:rsidRPr="001B3B47">
              <w:rPr>
                <w:bCs/>
                <w:sz w:val="24"/>
              </w:rPr>
              <w:t>4,678,548</w:t>
            </w:r>
          </w:p>
        </w:tc>
      </w:tr>
      <w:tr w:rsidR="00511A7D" w:rsidRPr="008B54AC" w14:paraId="3031828E" w14:textId="77777777" w:rsidTr="008B62F0">
        <w:tc>
          <w:tcPr>
            <w:tcW w:w="3865" w:type="dxa"/>
            <w:tcBorders>
              <w:top w:val="single" w:sz="4" w:space="0" w:color="auto"/>
              <w:left w:val="single" w:sz="4" w:space="0" w:color="auto"/>
              <w:bottom w:val="single" w:sz="4" w:space="0" w:color="auto"/>
              <w:right w:val="single" w:sz="4" w:space="0" w:color="auto"/>
            </w:tcBorders>
          </w:tcPr>
          <w:p w14:paraId="4E1FD007" w14:textId="4588BFDB" w:rsidR="00511A7D" w:rsidRPr="001B3B47" w:rsidRDefault="00511A7D" w:rsidP="00566E2B">
            <w:pPr>
              <w:tabs>
                <w:tab w:val="left" w:pos="-1440"/>
              </w:tabs>
              <w:rPr>
                <w:bCs/>
                <w:sz w:val="24"/>
              </w:rPr>
            </w:pPr>
            <w:r w:rsidRPr="001B3B47">
              <w:rPr>
                <w:bCs/>
                <w:sz w:val="24"/>
              </w:rPr>
              <w:t>PRA</w:t>
            </w:r>
            <w:r w:rsidR="00566E2B" w:rsidRPr="001B3B47">
              <w:rPr>
                <w:bCs/>
                <w:sz w:val="24"/>
              </w:rPr>
              <w:t xml:space="preserve"> </w:t>
            </w:r>
            <w:r w:rsidRPr="001B3B47">
              <w:rPr>
                <w:bCs/>
                <w:sz w:val="24"/>
              </w:rPr>
              <w:t>Administrative Cost</w:t>
            </w:r>
            <w:r w:rsidR="00566E2B" w:rsidRPr="008B54AC">
              <w:rPr>
                <w:rStyle w:val="FootnoteReference"/>
                <w:sz w:val="24"/>
              </w:rPr>
              <w:footnoteReference w:id="20"/>
            </w:r>
          </w:p>
        </w:tc>
        <w:tc>
          <w:tcPr>
            <w:tcW w:w="261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57C7482" w14:textId="77777777" w:rsidR="00511A7D" w:rsidRPr="001B3B47" w:rsidRDefault="00511A7D" w:rsidP="003F7B61">
            <w:pPr>
              <w:tabs>
                <w:tab w:val="left" w:pos="-1440"/>
              </w:tabs>
              <w:jc w:val="right"/>
              <w:rPr>
                <w:bCs/>
                <w:sz w:val="24"/>
              </w:rPr>
            </w:pPr>
          </w:p>
        </w:tc>
        <w:tc>
          <w:tcPr>
            <w:tcW w:w="2903" w:type="dxa"/>
            <w:tcBorders>
              <w:top w:val="single" w:sz="4" w:space="0" w:color="auto"/>
              <w:left w:val="single" w:sz="4" w:space="0" w:color="auto"/>
              <w:bottom w:val="single" w:sz="4" w:space="0" w:color="auto"/>
              <w:right w:val="single" w:sz="4" w:space="0" w:color="auto"/>
            </w:tcBorders>
            <w:vAlign w:val="center"/>
          </w:tcPr>
          <w:p w14:paraId="028E8283" w14:textId="704ABE27" w:rsidR="00511A7D" w:rsidRPr="008B54AC" w:rsidRDefault="00F253AC" w:rsidP="00F253AC">
            <w:pPr>
              <w:tabs>
                <w:tab w:val="left" w:pos="-1440"/>
              </w:tabs>
              <w:jc w:val="right"/>
              <w:rPr>
                <w:bCs/>
                <w:sz w:val="24"/>
              </w:rPr>
            </w:pPr>
            <w:r w:rsidRPr="001B3B47">
              <w:rPr>
                <w:bCs/>
                <w:sz w:val="24"/>
              </w:rPr>
              <w:t>$4,832</w:t>
            </w:r>
            <w:r w:rsidR="00566E2B" w:rsidRPr="008B54AC">
              <w:rPr>
                <w:rStyle w:val="FootnoteReference"/>
                <w:sz w:val="24"/>
              </w:rPr>
              <w:footnoteReference w:id="21"/>
            </w:r>
          </w:p>
        </w:tc>
      </w:tr>
      <w:tr w:rsidR="00511A7D" w:rsidRPr="008B54AC" w14:paraId="57815042" w14:textId="77777777" w:rsidTr="008B62F0">
        <w:tc>
          <w:tcPr>
            <w:tcW w:w="3865" w:type="dxa"/>
            <w:tcBorders>
              <w:top w:val="single" w:sz="4" w:space="0" w:color="auto"/>
              <w:left w:val="single" w:sz="4" w:space="0" w:color="auto"/>
              <w:bottom w:val="single" w:sz="4" w:space="0" w:color="auto"/>
              <w:right w:val="single" w:sz="4" w:space="0" w:color="auto"/>
            </w:tcBorders>
            <w:hideMark/>
          </w:tcPr>
          <w:p w14:paraId="766A4672" w14:textId="77777777" w:rsidR="00511A7D" w:rsidRPr="008B54AC" w:rsidRDefault="00511A7D" w:rsidP="00511A7D">
            <w:pPr>
              <w:tabs>
                <w:tab w:val="left" w:pos="-1440"/>
              </w:tabs>
              <w:rPr>
                <w:b/>
                <w:bCs/>
                <w:sz w:val="24"/>
              </w:rPr>
            </w:pPr>
            <w:r w:rsidRPr="008B54AC">
              <w:rPr>
                <w:b/>
                <w:bCs/>
                <w:sz w:val="24"/>
              </w:rPr>
              <w:t>FERC Total</w:t>
            </w:r>
          </w:p>
        </w:tc>
        <w:tc>
          <w:tcPr>
            <w:tcW w:w="2610" w:type="dxa"/>
            <w:vMerge/>
            <w:tcBorders>
              <w:top w:val="single" w:sz="4" w:space="0" w:color="auto"/>
              <w:left w:val="single" w:sz="4" w:space="0" w:color="auto"/>
              <w:bottom w:val="single" w:sz="4" w:space="0" w:color="auto"/>
              <w:right w:val="single" w:sz="4" w:space="0" w:color="auto"/>
            </w:tcBorders>
            <w:vAlign w:val="center"/>
            <w:hideMark/>
          </w:tcPr>
          <w:p w14:paraId="661D717B" w14:textId="77777777" w:rsidR="00511A7D" w:rsidRPr="008B54AC" w:rsidRDefault="00511A7D" w:rsidP="0032536D">
            <w:pPr>
              <w:tabs>
                <w:tab w:val="left" w:pos="-1440"/>
              </w:tabs>
              <w:jc w:val="right"/>
              <w:rPr>
                <w:bCs/>
                <w:sz w:val="24"/>
              </w:rPr>
            </w:pPr>
          </w:p>
        </w:tc>
        <w:tc>
          <w:tcPr>
            <w:tcW w:w="2903" w:type="dxa"/>
            <w:tcBorders>
              <w:top w:val="single" w:sz="4" w:space="0" w:color="auto"/>
              <w:left w:val="single" w:sz="4" w:space="0" w:color="auto"/>
              <w:bottom w:val="single" w:sz="4" w:space="0" w:color="auto"/>
              <w:right w:val="single" w:sz="4" w:space="0" w:color="auto"/>
            </w:tcBorders>
            <w:vAlign w:val="center"/>
            <w:hideMark/>
          </w:tcPr>
          <w:p w14:paraId="12977572" w14:textId="4EF6009E" w:rsidR="00511A7D" w:rsidRPr="008B54AC" w:rsidRDefault="00511A7D" w:rsidP="00A04581">
            <w:pPr>
              <w:tabs>
                <w:tab w:val="left" w:pos="-1440"/>
              </w:tabs>
              <w:jc w:val="right"/>
              <w:rPr>
                <w:b/>
                <w:bCs/>
                <w:sz w:val="24"/>
              </w:rPr>
            </w:pPr>
            <w:r w:rsidRPr="008B54AC">
              <w:rPr>
                <w:b/>
                <w:bCs/>
                <w:sz w:val="24"/>
              </w:rPr>
              <w:t>$</w:t>
            </w:r>
            <w:r w:rsidR="00566E2B" w:rsidRPr="008B54AC">
              <w:rPr>
                <w:b/>
                <w:bCs/>
                <w:sz w:val="24"/>
              </w:rPr>
              <w:t>4,683</w:t>
            </w:r>
            <w:r w:rsidR="00F253AC" w:rsidRPr="008B54AC">
              <w:rPr>
                <w:b/>
                <w:bCs/>
                <w:sz w:val="24"/>
              </w:rPr>
              <w:t>,</w:t>
            </w:r>
            <w:r w:rsidR="00566E2B" w:rsidRPr="008B54AC">
              <w:rPr>
                <w:b/>
                <w:bCs/>
                <w:sz w:val="24"/>
              </w:rPr>
              <w:t>380</w:t>
            </w:r>
          </w:p>
        </w:tc>
      </w:tr>
    </w:tbl>
    <w:p w14:paraId="16F0D683" w14:textId="2F4AE179" w:rsidR="00B827A3" w:rsidRPr="00A70F33" w:rsidRDefault="00B827A3" w:rsidP="00AB713E">
      <w:pPr>
        <w:tabs>
          <w:tab w:val="left" w:pos="-1440"/>
        </w:tabs>
        <w:rPr>
          <w:szCs w:val="26"/>
        </w:rPr>
      </w:pPr>
    </w:p>
    <w:p w14:paraId="30620D99" w14:textId="77777777" w:rsidR="00D8257A" w:rsidRPr="00A70F33" w:rsidRDefault="00D8257A" w:rsidP="004065DF">
      <w:pPr>
        <w:tabs>
          <w:tab w:val="left" w:pos="-1440"/>
        </w:tabs>
        <w:ind w:left="720" w:hanging="720"/>
        <w:rPr>
          <w:b/>
          <w:bCs/>
          <w:szCs w:val="26"/>
        </w:rPr>
      </w:pPr>
      <w:r w:rsidRPr="00A70F33">
        <w:rPr>
          <w:b/>
          <w:bCs/>
          <w:szCs w:val="26"/>
        </w:rPr>
        <w:t>1</w:t>
      </w:r>
      <w:r w:rsidR="00E67159" w:rsidRPr="00A70F33">
        <w:rPr>
          <w:b/>
          <w:bCs/>
          <w:szCs w:val="26"/>
        </w:rPr>
        <w:t>5</w:t>
      </w:r>
      <w:r w:rsidRPr="00A70F33">
        <w:rPr>
          <w:b/>
          <w:bCs/>
          <w:szCs w:val="26"/>
        </w:rPr>
        <w:t>.</w:t>
      </w:r>
      <w:r w:rsidRPr="00A70F33">
        <w:rPr>
          <w:b/>
          <w:bCs/>
          <w:szCs w:val="26"/>
        </w:rPr>
        <w:tab/>
        <w:t>REASONS FOR CHANGES IN BURDEN INCLUDING THE NEED FOR ANY INCREASE</w:t>
      </w:r>
    </w:p>
    <w:p w14:paraId="3CB06E4A" w14:textId="77777777" w:rsidR="00690D93" w:rsidRPr="00A70F33" w:rsidRDefault="00690D93" w:rsidP="004065DF">
      <w:pPr>
        <w:tabs>
          <w:tab w:val="left" w:pos="-1440"/>
        </w:tabs>
        <w:ind w:left="720" w:hanging="720"/>
        <w:rPr>
          <w:b/>
          <w:bCs/>
          <w:color w:val="FF0000"/>
          <w:szCs w:val="26"/>
        </w:rPr>
      </w:pPr>
    </w:p>
    <w:p w14:paraId="5783E034" w14:textId="738E6272" w:rsidR="00D77A08" w:rsidRPr="00A70F33" w:rsidRDefault="009B4CE8" w:rsidP="00AB713E">
      <w:pPr>
        <w:widowControl/>
        <w:tabs>
          <w:tab w:val="num" w:pos="0"/>
        </w:tabs>
        <w:rPr>
          <w:szCs w:val="26"/>
        </w:rPr>
      </w:pPr>
      <w:r w:rsidRPr="00A70F33">
        <w:rPr>
          <w:szCs w:val="26"/>
        </w:rPr>
        <w:t xml:space="preserve">As described above in </w:t>
      </w:r>
      <w:r w:rsidR="00A02F1F" w:rsidRPr="00A70F33">
        <w:rPr>
          <w:szCs w:val="26"/>
        </w:rPr>
        <w:t xml:space="preserve">Questions </w:t>
      </w:r>
      <w:r w:rsidR="00FA3313">
        <w:rPr>
          <w:szCs w:val="26"/>
        </w:rPr>
        <w:t>No.</w:t>
      </w:r>
      <w:r w:rsidR="00AB713E" w:rsidRPr="00A70F33">
        <w:rPr>
          <w:szCs w:val="26"/>
        </w:rPr>
        <w:t xml:space="preserve">1, 2, and 5, the </w:t>
      </w:r>
      <w:r w:rsidR="00151738" w:rsidRPr="00A70F33">
        <w:rPr>
          <w:szCs w:val="26"/>
        </w:rPr>
        <w:t xml:space="preserve">final rule </w:t>
      </w:r>
      <w:r w:rsidR="00AB713E" w:rsidRPr="00A70F33">
        <w:rPr>
          <w:szCs w:val="26"/>
        </w:rPr>
        <w:t xml:space="preserve">in </w:t>
      </w:r>
      <w:r w:rsidR="00A02F1F" w:rsidRPr="00A70F33">
        <w:rPr>
          <w:szCs w:val="26"/>
        </w:rPr>
        <w:t xml:space="preserve">Docket No. </w:t>
      </w:r>
      <w:r w:rsidR="00AB713E" w:rsidRPr="00A70F33">
        <w:rPr>
          <w:szCs w:val="26"/>
        </w:rPr>
        <w:t>RM19-2</w:t>
      </w:r>
      <w:r w:rsidR="00A02F1F" w:rsidRPr="00A70F33">
        <w:rPr>
          <w:szCs w:val="26"/>
        </w:rPr>
        <w:t>-000</w:t>
      </w:r>
      <w:r w:rsidRPr="00A70F33">
        <w:rPr>
          <w:szCs w:val="26"/>
        </w:rPr>
        <w:t xml:space="preserve"> </w:t>
      </w:r>
      <w:r w:rsidR="00AB713E" w:rsidRPr="00A70F33">
        <w:rPr>
          <w:szCs w:val="26"/>
        </w:rPr>
        <w:t>reliev</w:t>
      </w:r>
      <w:r w:rsidR="00956ED9" w:rsidRPr="00A70F33">
        <w:rPr>
          <w:szCs w:val="26"/>
        </w:rPr>
        <w:t>es</w:t>
      </w:r>
      <w:r w:rsidR="00AB713E" w:rsidRPr="00A70F33">
        <w:rPr>
          <w:szCs w:val="26"/>
        </w:rPr>
        <w:t xml:space="preserve"> </w:t>
      </w:r>
      <w:r w:rsidR="002E6163">
        <w:rPr>
          <w:szCs w:val="26"/>
        </w:rPr>
        <w:t>S</w:t>
      </w:r>
      <w:r w:rsidR="00AB713E" w:rsidRPr="00A70F33">
        <w:rPr>
          <w:szCs w:val="26"/>
        </w:rPr>
        <w:t xml:space="preserve">ellers </w:t>
      </w:r>
      <w:r w:rsidR="002166F8" w:rsidRPr="00A70F33">
        <w:rPr>
          <w:szCs w:val="26"/>
        </w:rPr>
        <w:t xml:space="preserve">in certain RTO/ISO markets </w:t>
      </w:r>
      <w:r w:rsidR="00AB713E" w:rsidRPr="00A70F33">
        <w:rPr>
          <w:szCs w:val="26"/>
        </w:rPr>
        <w:t>of the requirement to file indicative screens as part of their market power analyses</w:t>
      </w:r>
      <w:r w:rsidR="003036C2">
        <w:rPr>
          <w:szCs w:val="26"/>
        </w:rPr>
        <w:t>, reducing burden</w:t>
      </w:r>
      <w:r w:rsidR="00AB713E" w:rsidRPr="00A70F33">
        <w:rPr>
          <w:szCs w:val="26"/>
        </w:rPr>
        <w:t xml:space="preserve">.  This modification of the Commission’s </w:t>
      </w:r>
      <w:r w:rsidR="002E6163">
        <w:rPr>
          <w:szCs w:val="26"/>
        </w:rPr>
        <w:t xml:space="preserve">regulations regarding the </w:t>
      </w:r>
      <w:r w:rsidR="00AB713E" w:rsidRPr="00A70F33">
        <w:rPr>
          <w:szCs w:val="26"/>
        </w:rPr>
        <w:t>horizontal mar</w:t>
      </w:r>
      <w:r w:rsidR="00CA36C3">
        <w:rPr>
          <w:szCs w:val="26"/>
        </w:rPr>
        <w:t xml:space="preserve">ket power analysis would apply </w:t>
      </w:r>
      <w:r w:rsidR="002E6163">
        <w:rPr>
          <w:szCs w:val="26"/>
        </w:rPr>
        <w:t>to</w:t>
      </w:r>
      <w:r w:rsidR="00AB713E" w:rsidRPr="00A70F33">
        <w:rPr>
          <w:szCs w:val="26"/>
        </w:rPr>
        <w:t xml:space="preserve"> RTO/ISO market</w:t>
      </w:r>
      <w:r w:rsidR="002E6163">
        <w:rPr>
          <w:szCs w:val="26"/>
        </w:rPr>
        <w:t>s</w:t>
      </w:r>
      <w:r w:rsidR="00AB713E" w:rsidRPr="00A70F33">
        <w:rPr>
          <w:szCs w:val="26"/>
        </w:rPr>
        <w:t xml:space="preserve"> with RTO/ISO-administered energy, ancillary services, and capacity markets subject to Commission-approved RTO/ISO monitoring and mitigation.  </w:t>
      </w:r>
    </w:p>
    <w:p w14:paraId="793D0421" w14:textId="77777777" w:rsidR="00D77A08" w:rsidRPr="00A70F33" w:rsidRDefault="00D77A08" w:rsidP="00AB713E">
      <w:pPr>
        <w:widowControl/>
        <w:tabs>
          <w:tab w:val="num" w:pos="0"/>
        </w:tabs>
        <w:rPr>
          <w:szCs w:val="26"/>
        </w:rPr>
      </w:pPr>
    </w:p>
    <w:p w14:paraId="34D44CA4" w14:textId="68406EB5" w:rsidR="00D77A08" w:rsidRPr="00A70F33" w:rsidRDefault="00D77A08" w:rsidP="00AB713E">
      <w:pPr>
        <w:widowControl/>
        <w:tabs>
          <w:tab w:val="num" w:pos="0"/>
        </w:tabs>
        <w:rPr>
          <w:szCs w:val="26"/>
        </w:rPr>
      </w:pPr>
      <w:r w:rsidRPr="00A70F33">
        <w:rPr>
          <w:iCs/>
          <w:szCs w:val="26"/>
        </w:rPr>
        <w:t xml:space="preserve">The indicative screens require extensive data collection, with some of this data being costly and difficult to collect.  The </w:t>
      </w:r>
      <w:r w:rsidR="00122991" w:rsidRPr="00A70F33">
        <w:rPr>
          <w:iCs/>
          <w:szCs w:val="26"/>
        </w:rPr>
        <w:t xml:space="preserve">Commission </w:t>
      </w:r>
      <w:r w:rsidRPr="00A70F33">
        <w:rPr>
          <w:iCs/>
          <w:szCs w:val="26"/>
        </w:rPr>
        <w:t xml:space="preserve">recognizes the burden of submitting these screens outweigh the benefits given the Commission’s </w:t>
      </w:r>
      <w:r w:rsidR="008E745F" w:rsidRPr="00A70F33">
        <w:rPr>
          <w:iCs/>
          <w:szCs w:val="26"/>
        </w:rPr>
        <w:t>rebuttable presumption</w:t>
      </w:r>
      <w:r w:rsidRPr="00A70F33">
        <w:rPr>
          <w:iCs/>
          <w:szCs w:val="26"/>
        </w:rPr>
        <w:t xml:space="preserve"> that RTO/ISO monitoring and mitigation adequately mitigate a </w:t>
      </w:r>
      <w:r w:rsidR="002E6163">
        <w:rPr>
          <w:iCs/>
          <w:szCs w:val="26"/>
        </w:rPr>
        <w:t>S</w:t>
      </w:r>
      <w:r w:rsidRPr="00A70F33">
        <w:rPr>
          <w:iCs/>
          <w:szCs w:val="26"/>
        </w:rPr>
        <w:t>eller’s market power.</w:t>
      </w:r>
      <w:r w:rsidR="008E745F" w:rsidRPr="00A70F33">
        <w:rPr>
          <w:rStyle w:val="FootnoteReference"/>
        </w:rPr>
        <w:footnoteReference w:id="22"/>
      </w:r>
      <w:r w:rsidR="00101F76" w:rsidRPr="00A70F33">
        <w:rPr>
          <w:iCs/>
          <w:szCs w:val="26"/>
        </w:rPr>
        <w:t xml:space="preserve"> </w:t>
      </w:r>
      <w:r w:rsidRPr="00A70F33">
        <w:rPr>
          <w:iCs/>
          <w:szCs w:val="26"/>
        </w:rPr>
        <w:t>Further, the availability of other data regarding horizontal market power suggests that the indicative screens would provide only marginal additional market power protections.</w:t>
      </w:r>
    </w:p>
    <w:p w14:paraId="4F8D03B9" w14:textId="77777777" w:rsidR="00D77A08" w:rsidRPr="00A70F33" w:rsidRDefault="00D77A08" w:rsidP="00AB713E">
      <w:pPr>
        <w:widowControl/>
        <w:tabs>
          <w:tab w:val="num" w:pos="0"/>
        </w:tabs>
        <w:rPr>
          <w:szCs w:val="26"/>
        </w:rPr>
      </w:pPr>
    </w:p>
    <w:p w14:paraId="6FD4A95E" w14:textId="176A554B" w:rsidR="009B4CE8" w:rsidRPr="00A70F33" w:rsidRDefault="002E6163" w:rsidP="00AB713E">
      <w:pPr>
        <w:widowControl/>
        <w:tabs>
          <w:tab w:val="num" w:pos="0"/>
        </w:tabs>
        <w:rPr>
          <w:color w:val="FF0000"/>
          <w:szCs w:val="26"/>
        </w:rPr>
      </w:pPr>
      <w:r w:rsidRPr="00A70F33">
        <w:rPr>
          <w:szCs w:val="26"/>
        </w:rPr>
        <w:t>The changes to the Commission’s regul</w:t>
      </w:r>
      <w:r w:rsidR="000A2951">
        <w:rPr>
          <w:szCs w:val="26"/>
        </w:rPr>
        <w:t xml:space="preserve">ations are estimated to result in a </w:t>
      </w:r>
      <w:r w:rsidRPr="00A70F33">
        <w:rPr>
          <w:szCs w:val="26"/>
        </w:rPr>
        <w:t xml:space="preserve">reduction of 41 percent in total annual burden </w:t>
      </w:r>
      <w:r>
        <w:rPr>
          <w:szCs w:val="26"/>
        </w:rPr>
        <w:t>for</w:t>
      </w:r>
      <w:r w:rsidRPr="00A70F33">
        <w:rPr>
          <w:szCs w:val="26"/>
        </w:rPr>
        <w:t xml:space="preserve"> </w:t>
      </w:r>
      <w:r>
        <w:rPr>
          <w:szCs w:val="26"/>
        </w:rPr>
        <w:t>S</w:t>
      </w:r>
      <w:r w:rsidRPr="00A70F33">
        <w:rPr>
          <w:szCs w:val="26"/>
        </w:rPr>
        <w:t>ellers when filing triennial market power analyses and market power analyses in new appli</w:t>
      </w:r>
      <w:r>
        <w:rPr>
          <w:szCs w:val="26"/>
        </w:rPr>
        <w:t xml:space="preserve">cations for market-based rates.  </w:t>
      </w:r>
    </w:p>
    <w:p w14:paraId="4C728132" w14:textId="77777777" w:rsidR="0046724B" w:rsidRPr="00A70F33" w:rsidRDefault="0046724B" w:rsidP="0046724B">
      <w:pPr>
        <w:rPr>
          <w:szCs w:val="26"/>
        </w:rPr>
      </w:pPr>
    </w:p>
    <w:p w14:paraId="39C24BF8" w14:textId="79183E6C" w:rsidR="00580952" w:rsidRPr="00A70F33" w:rsidRDefault="0046724B" w:rsidP="0046724B">
      <w:pPr>
        <w:rPr>
          <w:szCs w:val="26"/>
        </w:rPr>
      </w:pPr>
      <w:r w:rsidRPr="00A70F33">
        <w:rPr>
          <w:szCs w:val="26"/>
        </w:rPr>
        <w:t xml:space="preserve">A comparison of the current OMB-approved inventory </w:t>
      </w:r>
      <w:r w:rsidR="00AB713E" w:rsidRPr="00A70F33">
        <w:rPr>
          <w:szCs w:val="26"/>
        </w:rPr>
        <w:t xml:space="preserve">with the changes </w:t>
      </w:r>
      <w:r w:rsidR="001E61FD" w:rsidRPr="00A70F33">
        <w:rPr>
          <w:szCs w:val="26"/>
        </w:rPr>
        <w:t xml:space="preserve">proposed </w:t>
      </w:r>
      <w:r w:rsidR="00AB713E" w:rsidRPr="00A70F33">
        <w:rPr>
          <w:szCs w:val="26"/>
        </w:rPr>
        <w:t xml:space="preserve">in </w:t>
      </w:r>
      <w:r w:rsidR="00A02F1F" w:rsidRPr="00A70F33">
        <w:rPr>
          <w:szCs w:val="26"/>
        </w:rPr>
        <w:t xml:space="preserve">the </w:t>
      </w:r>
      <w:r w:rsidR="00151738" w:rsidRPr="00A70F33">
        <w:rPr>
          <w:szCs w:val="26"/>
        </w:rPr>
        <w:t xml:space="preserve">final rule </w:t>
      </w:r>
      <w:r w:rsidR="00A02F1F" w:rsidRPr="00A70F33">
        <w:rPr>
          <w:szCs w:val="26"/>
        </w:rPr>
        <w:t xml:space="preserve">in Docket No. </w:t>
      </w:r>
      <w:r w:rsidR="00AB713E" w:rsidRPr="00A70F33">
        <w:rPr>
          <w:szCs w:val="26"/>
        </w:rPr>
        <w:t>RM19-2</w:t>
      </w:r>
      <w:r w:rsidR="00A02F1F" w:rsidRPr="00A70F33">
        <w:rPr>
          <w:szCs w:val="26"/>
        </w:rPr>
        <w:t>-000</w:t>
      </w:r>
      <w:r w:rsidRPr="00A70F33">
        <w:rPr>
          <w:szCs w:val="26"/>
        </w:rPr>
        <w:t xml:space="preserve"> follows</w:t>
      </w:r>
      <w:r w:rsidR="00A02F1F" w:rsidRPr="00A70F33">
        <w:rPr>
          <w:szCs w:val="26"/>
        </w:rPr>
        <w:t>:</w:t>
      </w:r>
    </w:p>
    <w:p w14:paraId="4465FBE1" w14:textId="77777777" w:rsidR="00AB713E" w:rsidRPr="00A70F33" w:rsidRDefault="00AB713E" w:rsidP="0046724B">
      <w:pPr>
        <w:rPr>
          <w:color w:val="FF0000"/>
          <w:szCs w:val="26"/>
        </w:rPr>
      </w:pPr>
    </w:p>
    <w:tbl>
      <w:tblPr>
        <w:tblW w:w="95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7"/>
        <w:gridCol w:w="1350"/>
        <w:gridCol w:w="1440"/>
        <w:gridCol w:w="1890"/>
        <w:gridCol w:w="1830"/>
      </w:tblGrid>
      <w:tr w:rsidR="00A02F1F" w:rsidRPr="00A70F33" w14:paraId="19C5F92F" w14:textId="77777777" w:rsidTr="00CA36C3">
        <w:trPr>
          <w:trHeight w:val="870"/>
        </w:trPr>
        <w:tc>
          <w:tcPr>
            <w:tcW w:w="3037" w:type="dxa"/>
            <w:shd w:val="clear" w:color="auto" w:fill="D9D9D9"/>
            <w:vAlign w:val="bottom"/>
          </w:tcPr>
          <w:p w14:paraId="177CCE11" w14:textId="77777777" w:rsidR="00A02F1F" w:rsidRPr="00A70F33" w:rsidRDefault="00A02F1F" w:rsidP="00A02F1F">
            <w:pPr>
              <w:rPr>
                <w:b/>
                <w:szCs w:val="26"/>
              </w:rPr>
            </w:pPr>
            <w:r w:rsidRPr="00A70F33">
              <w:rPr>
                <w:b/>
                <w:szCs w:val="26"/>
              </w:rPr>
              <w:t>FERC-919</w:t>
            </w:r>
          </w:p>
        </w:tc>
        <w:tc>
          <w:tcPr>
            <w:tcW w:w="1350" w:type="dxa"/>
            <w:shd w:val="clear" w:color="auto" w:fill="D9D9D9"/>
            <w:vAlign w:val="bottom"/>
          </w:tcPr>
          <w:p w14:paraId="29FA2829" w14:textId="77777777" w:rsidR="00A02F1F" w:rsidRPr="00A70F33" w:rsidRDefault="00A02F1F" w:rsidP="00A02F1F">
            <w:pPr>
              <w:rPr>
                <w:b/>
                <w:szCs w:val="26"/>
              </w:rPr>
            </w:pPr>
            <w:r w:rsidRPr="00A70F33">
              <w:rPr>
                <w:b/>
                <w:szCs w:val="26"/>
              </w:rPr>
              <w:t>Total Request</w:t>
            </w:r>
          </w:p>
        </w:tc>
        <w:tc>
          <w:tcPr>
            <w:tcW w:w="1440" w:type="dxa"/>
            <w:shd w:val="clear" w:color="auto" w:fill="D9D9D9"/>
            <w:vAlign w:val="bottom"/>
          </w:tcPr>
          <w:p w14:paraId="7CE37965" w14:textId="77777777" w:rsidR="00A02F1F" w:rsidRPr="00A70F33" w:rsidRDefault="00A02F1F" w:rsidP="00A02F1F">
            <w:pPr>
              <w:rPr>
                <w:b/>
                <w:szCs w:val="26"/>
              </w:rPr>
            </w:pPr>
            <w:r w:rsidRPr="00A70F33">
              <w:rPr>
                <w:b/>
                <w:szCs w:val="26"/>
              </w:rPr>
              <w:t>Previously Approved</w:t>
            </w:r>
          </w:p>
        </w:tc>
        <w:tc>
          <w:tcPr>
            <w:tcW w:w="1890" w:type="dxa"/>
            <w:shd w:val="clear" w:color="auto" w:fill="D9D9D9"/>
            <w:vAlign w:val="bottom"/>
          </w:tcPr>
          <w:p w14:paraId="3DB502FD" w14:textId="77777777" w:rsidR="00A02F1F" w:rsidRPr="00A70F33" w:rsidRDefault="00A02F1F" w:rsidP="00A02F1F">
            <w:pPr>
              <w:rPr>
                <w:b/>
                <w:szCs w:val="26"/>
              </w:rPr>
            </w:pPr>
            <w:r w:rsidRPr="00A70F33">
              <w:rPr>
                <w:b/>
                <w:szCs w:val="26"/>
              </w:rPr>
              <w:t>Change due to Adjustment in Estimate</w:t>
            </w:r>
          </w:p>
        </w:tc>
        <w:tc>
          <w:tcPr>
            <w:tcW w:w="1830" w:type="dxa"/>
            <w:shd w:val="clear" w:color="auto" w:fill="D9D9D9"/>
            <w:vAlign w:val="bottom"/>
          </w:tcPr>
          <w:p w14:paraId="644081F1" w14:textId="77777777" w:rsidR="00A02F1F" w:rsidRPr="00A70F33" w:rsidRDefault="00A02F1F" w:rsidP="00A02F1F">
            <w:pPr>
              <w:rPr>
                <w:b/>
                <w:szCs w:val="26"/>
              </w:rPr>
            </w:pPr>
            <w:r w:rsidRPr="00A70F33">
              <w:rPr>
                <w:b/>
                <w:szCs w:val="26"/>
              </w:rPr>
              <w:t>Change Due to Agency Discretion</w:t>
            </w:r>
          </w:p>
        </w:tc>
      </w:tr>
      <w:tr w:rsidR="00A02F1F" w:rsidRPr="00A70F33" w14:paraId="057C5198" w14:textId="77777777" w:rsidTr="00CA36C3">
        <w:trPr>
          <w:trHeight w:val="288"/>
        </w:trPr>
        <w:tc>
          <w:tcPr>
            <w:tcW w:w="3037" w:type="dxa"/>
          </w:tcPr>
          <w:p w14:paraId="5AF53280" w14:textId="77777777" w:rsidR="00A02F1F" w:rsidRPr="00A70F33" w:rsidRDefault="00A02F1F" w:rsidP="00A02F1F">
            <w:pPr>
              <w:rPr>
                <w:szCs w:val="26"/>
              </w:rPr>
            </w:pPr>
            <w:r w:rsidRPr="00A70F33">
              <w:rPr>
                <w:szCs w:val="26"/>
              </w:rPr>
              <w:t>Annual Number of Responses</w:t>
            </w:r>
          </w:p>
        </w:tc>
        <w:tc>
          <w:tcPr>
            <w:tcW w:w="1350" w:type="dxa"/>
            <w:vAlign w:val="bottom"/>
          </w:tcPr>
          <w:p w14:paraId="0B9F3BB5" w14:textId="50FB74DC" w:rsidR="00A02F1F" w:rsidRPr="00A70F33" w:rsidRDefault="007165EA" w:rsidP="00C26C5B">
            <w:pPr>
              <w:rPr>
                <w:szCs w:val="26"/>
              </w:rPr>
            </w:pPr>
            <w:r>
              <w:rPr>
                <w:szCs w:val="26"/>
              </w:rPr>
              <w:t>358</w:t>
            </w:r>
          </w:p>
        </w:tc>
        <w:tc>
          <w:tcPr>
            <w:tcW w:w="1440" w:type="dxa"/>
            <w:vAlign w:val="bottom"/>
          </w:tcPr>
          <w:p w14:paraId="76C2551C" w14:textId="77777777" w:rsidR="00A02F1F" w:rsidRPr="00A70F33" w:rsidRDefault="00C26C5B" w:rsidP="00C26C5B">
            <w:pPr>
              <w:rPr>
                <w:szCs w:val="26"/>
              </w:rPr>
            </w:pPr>
            <w:r w:rsidRPr="00A70F33">
              <w:rPr>
                <w:szCs w:val="26"/>
              </w:rPr>
              <w:t>358</w:t>
            </w:r>
          </w:p>
        </w:tc>
        <w:tc>
          <w:tcPr>
            <w:tcW w:w="1890" w:type="dxa"/>
            <w:vAlign w:val="bottom"/>
          </w:tcPr>
          <w:p w14:paraId="18480285" w14:textId="77777777" w:rsidR="00A02F1F" w:rsidRPr="00A70F33" w:rsidRDefault="001F2A90" w:rsidP="00C26C5B">
            <w:pPr>
              <w:rPr>
                <w:szCs w:val="26"/>
              </w:rPr>
            </w:pPr>
            <w:r w:rsidRPr="00A70F33">
              <w:rPr>
                <w:szCs w:val="26"/>
              </w:rPr>
              <w:t>0</w:t>
            </w:r>
          </w:p>
        </w:tc>
        <w:tc>
          <w:tcPr>
            <w:tcW w:w="1830" w:type="dxa"/>
            <w:vAlign w:val="bottom"/>
          </w:tcPr>
          <w:p w14:paraId="1D9558CC" w14:textId="59BF0725" w:rsidR="00A02F1F" w:rsidRPr="00A70F33" w:rsidRDefault="007165EA" w:rsidP="00C26C5B">
            <w:pPr>
              <w:rPr>
                <w:szCs w:val="26"/>
              </w:rPr>
            </w:pPr>
            <w:r>
              <w:rPr>
                <w:szCs w:val="26"/>
              </w:rPr>
              <w:t>0</w:t>
            </w:r>
          </w:p>
        </w:tc>
      </w:tr>
      <w:tr w:rsidR="00A02F1F" w:rsidRPr="00A70F33" w14:paraId="0C915523" w14:textId="77777777" w:rsidTr="00CA36C3">
        <w:trPr>
          <w:trHeight w:val="302"/>
        </w:trPr>
        <w:tc>
          <w:tcPr>
            <w:tcW w:w="3037" w:type="dxa"/>
          </w:tcPr>
          <w:p w14:paraId="0D52F2A3" w14:textId="77777777" w:rsidR="00A02F1F" w:rsidRPr="00A70F33" w:rsidRDefault="00A02F1F" w:rsidP="00A02F1F">
            <w:pPr>
              <w:rPr>
                <w:szCs w:val="26"/>
              </w:rPr>
            </w:pPr>
            <w:r w:rsidRPr="00A70F33">
              <w:rPr>
                <w:szCs w:val="26"/>
              </w:rPr>
              <w:t>Annual Time Burden (Hr</w:t>
            </w:r>
            <w:r w:rsidR="00A47ADD" w:rsidRPr="00A70F33">
              <w:rPr>
                <w:szCs w:val="26"/>
              </w:rPr>
              <w:t>.</w:t>
            </w:r>
            <w:r w:rsidRPr="00A70F33">
              <w:rPr>
                <w:szCs w:val="26"/>
              </w:rPr>
              <w:t>)</w:t>
            </w:r>
          </w:p>
        </w:tc>
        <w:tc>
          <w:tcPr>
            <w:tcW w:w="1350" w:type="dxa"/>
            <w:vAlign w:val="bottom"/>
          </w:tcPr>
          <w:p w14:paraId="42331674" w14:textId="1081ED83" w:rsidR="00A02F1F" w:rsidRPr="00A70F33" w:rsidRDefault="00C26C5B">
            <w:pPr>
              <w:rPr>
                <w:szCs w:val="26"/>
              </w:rPr>
            </w:pPr>
            <w:r w:rsidRPr="00A70F33">
              <w:rPr>
                <w:szCs w:val="26"/>
              </w:rPr>
              <w:t>35,</w:t>
            </w:r>
            <w:r w:rsidR="00BE3134">
              <w:rPr>
                <w:szCs w:val="26"/>
              </w:rPr>
              <w:t>401</w:t>
            </w:r>
          </w:p>
        </w:tc>
        <w:tc>
          <w:tcPr>
            <w:tcW w:w="1440" w:type="dxa"/>
            <w:vAlign w:val="bottom"/>
          </w:tcPr>
          <w:p w14:paraId="3CF145AB" w14:textId="77777777" w:rsidR="00A02F1F" w:rsidRPr="00A70F33" w:rsidRDefault="00C26C5B" w:rsidP="00C26C5B">
            <w:pPr>
              <w:rPr>
                <w:szCs w:val="26"/>
              </w:rPr>
            </w:pPr>
            <w:r w:rsidRPr="00A70F33">
              <w:rPr>
                <w:szCs w:val="26"/>
              </w:rPr>
              <w:t>59,551</w:t>
            </w:r>
          </w:p>
        </w:tc>
        <w:tc>
          <w:tcPr>
            <w:tcW w:w="1890" w:type="dxa"/>
            <w:vAlign w:val="bottom"/>
          </w:tcPr>
          <w:p w14:paraId="0F0A8FAF" w14:textId="77777777" w:rsidR="00A02F1F" w:rsidRPr="00A70F33" w:rsidRDefault="001F2A90" w:rsidP="00C26C5B">
            <w:pPr>
              <w:rPr>
                <w:szCs w:val="26"/>
              </w:rPr>
            </w:pPr>
            <w:r w:rsidRPr="00A70F33">
              <w:rPr>
                <w:szCs w:val="26"/>
              </w:rPr>
              <w:t>0</w:t>
            </w:r>
          </w:p>
        </w:tc>
        <w:tc>
          <w:tcPr>
            <w:tcW w:w="1830" w:type="dxa"/>
            <w:vAlign w:val="bottom"/>
          </w:tcPr>
          <w:p w14:paraId="2336E8E5" w14:textId="6381709C" w:rsidR="00A02F1F" w:rsidRPr="00A70F33" w:rsidRDefault="001F2A90" w:rsidP="00B42B8E">
            <w:pPr>
              <w:rPr>
                <w:szCs w:val="26"/>
              </w:rPr>
            </w:pPr>
            <w:r w:rsidRPr="00A70F33">
              <w:rPr>
                <w:szCs w:val="26"/>
              </w:rPr>
              <w:t>-24,</w:t>
            </w:r>
            <w:r w:rsidR="00A018B3" w:rsidRPr="00A70F33">
              <w:rPr>
                <w:szCs w:val="26"/>
              </w:rPr>
              <w:t>1</w:t>
            </w:r>
            <w:r w:rsidR="00BE3134">
              <w:rPr>
                <w:szCs w:val="26"/>
              </w:rPr>
              <w:t>50</w:t>
            </w:r>
          </w:p>
        </w:tc>
      </w:tr>
      <w:tr w:rsidR="00A02F1F" w:rsidRPr="00A70F33" w14:paraId="614E4666" w14:textId="77777777" w:rsidTr="00CA36C3">
        <w:trPr>
          <w:trHeight w:val="295"/>
        </w:trPr>
        <w:tc>
          <w:tcPr>
            <w:tcW w:w="3037" w:type="dxa"/>
          </w:tcPr>
          <w:p w14:paraId="3E7BDF2E" w14:textId="77777777" w:rsidR="00A02F1F" w:rsidRPr="00A70F33" w:rsidRDefault="00A02F1F" w:rsidP="00A02F1F">
            <w:pPr>
              <w:rPr>
                <w:szCs w:val="26"/>
              </w:rPr>
            </w:pPr>
            <w:r w:rsidRPr="00A70F33">
              <w:rPr>
                <w:szCs w:val="26"/>
              </w:rPr>
              <w:t>Annual Cost Burden ($)</w:t>
            </w:r>
          </w:p>
        </w:tc>
        <w:tc>
          <w:tcPr>
            <w:tcW w:w="1350" w:type="dxa"/>
            <w:vAlign w:val="bottom"/>
          </w:tcPr>
          <w:p w14:paraId="312DBBC8" w14:textId="396F1F3D" w:rsidR="00A02F1F" w:rsidRPr="00A70F33" w:rsidRDefault="00FE06CC" w:rsidP="00C26C5B">
            <w:pPr>
              <w:rPr>
                <w:szCs w:val="26"/>
              </w:rPr>
            </w:pPr>
            <w:r>
              <w:rPr>
                <w:szCs w:val="26"/>
              </w:rPr>
              <w:t>0</w:t>
            </w:r>
          </w:p>
        </w:tc>
        <w:tc>
          <w:tcPr>
            <w:tcW w:w="1440" w:type="dxa"/>
            <w:vAlign w:val="bottom"/>
          </w:tcPr>
          <w:p w14:paraId="4289B9DA" w14:textId="7A286444" w:rsidR="00A02F1F" w:rsidRPr="00A70F33" w:rsidRDefault="00FE06CC" w:rsidP="00C26C5B">
            <w:pPr>
              <w:rPr>
                <w:szCs w:val="26"/>
              </w:rPr>
            </w:pPr>
            <w:r>
              <w:rPr>
                <w:szCs w:val="26"/>
              </w:rPr>
              <w:t>0</w:t>
            </w:r>
          </w:p>
        </w:tc>
        <w:tc>
          <w:tcPr>
            <w:tcW w:w="1890" w:type="dxa"/>
            <w:vAlign w:val="bottom"/>
          </w:tcPr>
          <w:p w14:paraId="38ABC400" w14:textId="59D10623" w:rsidR="00A02F1F" w:rsidRPr="00A70F33" w:rsidRDefault="00A02F1F" w:rsidP="00C26C5B">
            <w:pPr>
              <w:rPr>
                <w:szCs w:val="26"/>
              </w:rPr>
            </w:pPr>
            <w:r w:rsidRPr="00A70F33">
              <w:rPr>
                <w:szCs w:val="26"/>
              </w:rPr>
              <w:t>0</w:t>
            </w:r>
          </w:p>
        </w:tc>
        <w:tc>
          <w:tcPr>
            <w:tcW w:w="1830" w:type="dxa"/>
            <w:vAlign w:val="bottom"/>
          </w:tcPr>
          <w:p w14:paraId="308B0BBE" w14:textId="6590641E" w:rsidR="00A02F1F" w:rsidRPr="00A70F33" w:rsidRDefault="00FE06CC" w:rsidP="00C26C5B">
            <w:pPr>
              <w:rPr>
                <w:szCs w:val="26"/>
              </w:rPr>
            </w:pPr>
            <w:r>
              <w:rPr>
                <w:szCs w:val="26"/>
              </w:rPr>
              <w:t>0</w:t>
            </w:r>
          </w:p>
        </w:tc>
      </w:tr>
    </w:tbl>
    <w:p w14:paraId="12EF90BF" w14:textId="77777777" w:rsidR="00C34ED8" w:rsidRPr="00A70F33" w:rsidRDefault="00C34ED8" w:rsidP="004065DF">
      <w:pPr>
        <w:rPr>
          <w:szCs w:val="26"/>
        </w:rPr>
      </w:pPr>
    </w:p>
    <w:p w14:paraId="0B90B320" w14:textId="77777777" w:rsidR="00FD7726" w:rsidRPr="00A70F33" w:rsidRDefault="00FD7726" w:rsidP="004065DF">
      <w:pPr>
        <w:tabs>
          <w:tab w:val="left" w:pos="-1440"/>
        </w:tabs>
        <w:ind w:left="720" w:hanging="720"/>
        <w:rPr>
          <w:b/>
          <w:bCs/>
          <w:szCs w:val="26"/>
        </w:rPr>
      </w:pPr>
      <w:r w:rsidRPr="00A70F33">
        <w:rPr>
          <w:b/>
          <w:bCs/>
          <w:szCs w:val="26"/>
        </w:rPr>
        <w:t>1</w:t>
      </w:r>
      <w:r w:rsidR="00E67159" w:rsidRPr="00A70F33">
        <w:rPr>
          <w:b/>
          <w:bCs/>
          <w:szCs w:val="26"/>
        </w:rPr>
        <w:t>6</w:t>
      </w:r>
      <w:r w:rsidRPr="00A70F33">
        <w:rPr>
          <w:b/>
          <w:bCs/>
          <w:szCs w:val="26"/>
        </w:rPr>
        <w:t>.</w:t>
      </w:r>
      <w:r w:rsidRPr="00A70F33">
        <w:rPr>
          <w:b/>
          <w:bCs/>
          <w:szCs w:val="26"/>
        </w:rPr>
        <w:tab/>
        <w:t>TIME SCHEDULE FOR THE PUBLICATION OF DATA</w:t>
      </w:r>
    </w:p>
    <w:p w14:paraId="49348DE5" w14:textId="77777777" w:rsidR="00396927" w:rsidRPr="00A70F33" w:rsidRDefault="00396927" w:rsidP="004065DF">
      <w:pPr>
        <w:rPr>
          <w:bCs/>
          <w:szCs w:val="26"/>
        </w:rPr>
      </w:pPr>
    </w:p>
    <w:p w14:paraId="003457AC" w14:textId="77777777" w:rsidR="00722DB9" w:rsidRPr="00A70F33" w:rsidRDefault="00722DB9" w:rsidP="00722DB9">
      <w:pPr>
        <w:rPr>
          <w:szCs w:val="26"/>
        </w:rPr>
      </w:pPr>
      <w:r w:rsidRPr="00A70F33">
        <w:rPr>
          <w:szCs w:val="26"/>
        </w:rPr>
        <w:t>FERC does not publish any data associated with this collection.</w:t>
      </w:r>
    </w:p>
    <w:p w14:paraId="73140DEA" w14:textId="77777777" w:rsidR="004F7E31" w:rsidRPr="00A70F33" w:rsidRDefault="004F7E31" w:rsidP="004065DF">
      <w:pPr>
        <w:rPr>
          <w:szCs w:val="26"/>
        </w:rPr>
      </w:pPr>
    </w:p>
    <w:p w14:paraId="6366BF32" w14:textId="77777777" w:rsidR="00FD7726" w:rsidRPr="00A70F33" w:rsidRDefault="00E67159" w:rsidP="004065DF">
      <w:pPr>
        <w:tabs>
          <w:tab w:val="left" w:pos="-1440"/>
        </w:tabs>
        <w:ind w:left="720" w:hanging="720"/>
        <w:rPr>
          <w:b/>
          <w:bCs/>
          <w:szCs w:val="26"/>
        </w:rPr>
      </w:pPr>
      <w:r w:rsidRPr="00A70F33">
        <w:rPr>
          <w:b/>
          <w:bCs/>
          <w:szCs w:val="26"/>
        </w:rPr>
        <w:t>17</w:t>
      </w:r>
      <w:r w:rsidR="00FD7726" w:rsidRPr="00A70F33">
        <w:rPr>
          <w:b/>
          <w:bCs/>
          <w:szCs w:val="26"/>
        </w:rPr>
        <w:t>.</w:t>
      </w:r>
      <w:r w:rsidR="00FD7726" w:rsidRPr="00A70F33">
        <w:rPr>
          <w:b/>
          <w:bCs/>
          <w:szCs w:val="26"/>
        </w:rPr>
        <w:tab/>
        <w:t>DISPLAY OF EXPIRATION DATE</w:t>
      </w:r>
    </w:p>
    <w:p w14:paraId="77C1CCAF" w14:textId="77777777" w:rsidR="00FD7726" w:rsidRPr="00A70F33" w:rsidRDefault="00FD7726" w:rsidP="004065DF">
      <w:pPr>
        <w:rPr>
          <w:b/>
          <w:bCs/>
          <w:szCs w:val="26"/>
        </w:rPr>
      </w:pPr>
    </w:p>
    <w:p w14:paraId="60D64883" w14:textId="77777777" w:rsidR="00722DB9" w:rsidRPr="00A70F33" w:rsidRDefault="00C26C5B" w:rsidP="00722DB9">
      <w:pPr>
        <w:rPr>
          <w:szCs w:val="26"/>
        </w:rPr>
      </w:pPr>
      <w:r w:rsidRPr="00A70F33">
        <w:rPr>
          <w:szCs w:val="26"/>
        </w:rPr>
        <w:t xml:space="preserve">The expiration dates are posted on ferc.gov at </w:t>
      </w:r>
      <w:hyperlink r:id="rId14" w:history="1">
        <w:r w:rsidRPr="00A70F33">
          <w:rPr>
            <w:rStyle w:val="Hyperlink"/>
            <w:szCs w:val="26"/>
          </w:rPr>
          <w:t>http://www.ferc.gov/docs-filing/info-collections.asp</w:t>
        </w:r>
      </w:hyperlink>
      <w:r w:rsidRPr="00A70F33">
        <w:rPr>
          <w:szCs w:val="26"/>
        </w:rPr>
        <w:t>.</w:t>
      </w:r>
    </w:p>
    <w:p w14:paraId="17A8BC02" w14:textId="77777777" w:rsidR="00965DE9" w:rsidRPr="00A70F33" w:rsidRDefault="00965DE9" w:rsidP="004065DF">
      <w:pPr>
        <w:rPr>
          <w:szCs w:val="26"/>
        </w:rPr>
      </w:pPr>
    </w:p>
    <w:p w14:paraId="3F415A37" w14:textId="77777777" w:rsidR="00FD7726" w:rsidRPr="00A70F33" w:rsidRDefault="00E67159" w:rsidP="004065DF">
      <w:pPr>
        <w:tabs>
          <w:tab w:val="left" w:pos="-1440"/>
        </w:tabs>
        <w:ind w:left="720" w:hanging="720"/>
        <w:rPr>
          <w:b/>
          <w:bCs/>
          <w:szCs w:val="26"/>
        </w:rPr>
      </w:pPr>
      <w:r w:rsidRPr="00A70F33">
        <w:rPr>
          <w:b/>
          <w:bCs/>
          <w:szCs w:val="26"/>
        </w:rPr>
        <w:t>18</w:t>
      </w:r>
      <w:r w:rsidR="00FD7726" w:rsidRPr="00A70F33">
        <w:rPr>
          <w:b/>
          <w:bCs/>
          <w:szCs w:val="26"/>
        </w:rPr>
        <w:t>.</w:t>
      </w:r>
      <w:r w:rsidR="00FD7726" w:rsidRPr="00A70F33">
        <w:rPr>
          <w:b/>
          <w:bCs/>
          <w:szCs w:val="26"/>
        </w:rPr>
        <w:tab/>
        <w:t>EXCEPTIONS TO THE CERTIFICATION STATEMENT</w:t>
      </w:r>
    </w:p>
    <w:p w14:paraId="492EC061" w14:textId="77777777" w:rsidR="00722DB9" w:rsidRPr="00A70F33" w:rsidRDefault="00722DB9" w:rsidP="00722DB9">
      <w:pPr>
        <w:rPr>
          <w:szCs w:val="26"/>
        </w:rPr>
      </w:pPr>
    </w:p>
    <w:p w14:paraId="3D96EE89" w14:textId="293E15B9" w:rsidR="00C50D0D" w:rsidRPr="00277C14" w:rsidRDefault="00722DB9" w:rsidP="00E67159">
      <w:pPr>
        <w:rPr>
          <w:szCs w:val="26"/>
        </w:rPr>
      </w:pPr>
      <w:r w:rsidRPr="00A70F33">
        <w:rPr>
          <w:szCs w:val="26"/>
        </w:rPr>
        <w:t>There are no exceptions.</w:t>
      </w:r>
    </w:p>
    <w:sectPr w:rsidR="00C50D0D" w:rsidRPr="00277C14" w:rsidSect="00B947E8">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1166" w:footer="1080" w:gutter="0"/>
      <w:pgNumType w:fmt="numberInDash"/>
      <w:cols w:space="720"/>
      <w:noEndnote/>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7067A8" w14:textId="77777777" w:rsidR="00D22504" w:rsidRDefault="00D22504">
      <w:r>
        <w:separator/>
      </w:r>
    </w:p>
  </w:endnote>
  <w:endnote w:type="continuationSeparator" w:id="0">
    <w:p w14:paraId="66D78B08" w14:textId="77777777" w:rsidR="00D22504" w:rsidRDefault="00D22504">
      <w:r>
        <w:continuationSeparator/>
      </w:r>
    </w:p>
  </w:endnote>
  <w:endnote w:type="continuationNotice" w:id="1">
    <w:p w14:paraId="1DF1ED03" w14:textId="77777777" w:rsidR="00D22504" w:rsidRDefault="00D225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39DB8" w14:textId="77777777" w:rsidR="00252726" w:rsidRDefault="002527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6F4DC" w14:textId="77777777" w:rsidR="00252726" w:rsidRDefault="002527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0E059" w14:textId="77777777" w:rsidR="00252726" w:rsidRDefault="002527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A0F3F" w14:textId="77777777" w:rsidR="00D22504" w:rsidRDefault="00D22504">
      <w:r>
        <w:separator/>
      </w:r>
    </w:p>
  </w:footnote>
  <w:footnote w:type="continuationSeparator" w:id="0">
    <w:p w14:paraId="6BD116E1" w14:textId="77777777" w:rsidR="00D22504" w:rsidRDefault="00D22504">
      <w:r>
        <w:continuationSeparator/>
      </w:r>
    </w:p>
  </w:footnote>
  <w:footnote w:type="continuationNotice" w:id="1">
    <w:p w14:paraId="541B6594" w14:textId="77777777" w:rsidR="00D22504" w:rsidRDefault="00D22504"/>
  </w:footnote>
  <w:footnote w:id="2">
    <w:p w14:paraId="5CE6FA09" w14:textId="1ADEE0DA" w:rsidR="00252726" w:rsidRPr="00007F97" w:rsidRDefault="00252726" w:rsidP="00007F97">
      <w:pPr>
        <w:pStyle w:val="FootnoteText"/>
        <w:rPr>
          <w:sz w:val="20"/>
          <w:lang w:val="en-US"/>
        </w:rPr>
      </w:pPr>
      <w:r w:rsidRPr="00007F97">
        <w:rPr>
          <w:b/>
          <w:sz w:val="20"/>
          <w:vertAlign w:val="superscript"/>
          <w:lang w:val="en-US"/>
        </w:rPr>
        <w:footnoteRef/>
      </w:r>
      <w:r w:rsidRPr="00007F97">
        <w:rPr>
          <w:sz w:val="20"/>
          <w:lang w:val="en-US"/>
        </w:rPr>
        <w:t xml:space="preserve"> 16 U.S.C. </w:t>
      </w:r>
      <w:r w:rsidR="00EC16C9" w:rsidRPr="00007F97">
        <w:rPr>
          <w:sz w:val="20"/>
          <w:lang w:val="en-US"/>
        </w:rPr>
        <w:t>824d.</w:t>
      </w:r>
    </w:p>
  </w:footnote>
  <w:footnote w:id="3">
    <w:p w14:paraId="24131C90" w14:textId="7D384407" w:rsidR="00252726" w:rsidRPr="00007F97" w:rsidRDefault="00252726" w:rsidP="00007F97">
      <w:pPr>
        <w:pStyle w:val="FootnoteText"/>
        <w:rPr>
          <w:sz w:val="20"/>
          <w:lang w:val="en-US"/>
        </w:rPr>
      </w:pPr>
      <w:r w:rsidRPr="00007F97">
        <w:rPr>
          <w:b/>
          <w:sz w:val="20"/>
          <w:vertAlign w:val="superscript"/>
          <w:lang w:val="en-US"/>
        </w:rPr>
        <w:footnoteRef/>
      </w:r>
      <w:r w:rsidRPr="00007F97">
        <w:rPr>
          <w:sz w:val="20"/>
          <w:lang w:val="en-US"/>
        </w:rPr>
        <w:t xml:space="preserve"> 16 U.S.C. </w:t>
      </w:r>
      <w:r w:rsidR="00EC16C9" w:rsidRPr="00007F97">
        <w:rPr>
          <w:sz w:val="20"/>
          <w:lang w:val="en-US"/>
        </w:rPr>
        <w:t>824e.</w:t>
      </w:r>
    </w:p>
  </w:footnote>
  <w:footnote w:id="4">
    <w:p w14:paraId="0C3B8C5E" w14:textId="65468C95" w:rsidR="00252726" w:rsidRPr="00007F97" w:rsidRDefault="00252726" w:rsidP="00007F97">
      <w:pPr>
        <w:pStyle w:val="FootnoteText"/>
        <w:rPr>
          <w:sz w:val="20"/>
          <w:lang w:val="en-US"/>
        </w:rPr>
      </w:pPr>
      <w:r w:rsidRPr="00007F97">
        <w:rPr>
          <w:b/>
          <w:sz w:val="20"/>
          <w:vertAlign w:val="superscript"/>
          <w:lang w:val="en-US"/>
        </w:rPr>
        <w:footnoteRef/>
      </w:r>
      <w:r w:rsidRPr="00007F97">
        <w:rPr>
          <w:sz w:val="20"/>
          <w:lang w:val="en-US"/>
        </w:rPr>
        <w:t xml:space="preserve"> 18 CFR 35.37(a).</w:t>
      </w:r>
    </w:p>
  </w:footnote>
  <w:footnote w:id="5">
    <w:p w14:paraId="6384B3A2" w14:textId="62F78EDF" w:rsidR="00252726" w:rsidRPr="00007F97" w:rsidRDefault="00252726" w:rsidP="00007F97">
      <w:pPr>
        <w:pStyle w:val="FootnoteText"/>
        <w:rPr>
          <w:sz w:val="20"/>
          <w:lang w:val="en-US"/>
        </w:rPr>
      </w:pPr>
      <w:r w:rsidRPr="00007F97">
        <w:rPr>
          <w:b/>
          <w:sz w:val="20"/>
          <w:vertAlign w:val="superscript"/>
          <w:lang w:val="en-US"/>
        </w:rPr>
        <w:footnoteRef/>
      </w:r>
      <w:r w:rsidRPr="00007F97">
        <w:rPr>
          <w:sz w:val="20"/>
          <w:lang w:val="en-US"/>
        </w:rPr>
        <w:t xml:space="preserve"> 18 CFR 35.37(a).</w:t>
      </w:r>
    </w:p>
  </w:footnote>
  <w:footnote w:id="6">
    <w:p w14:paraId="74EC449C" w14:textId="35C7DF0E" w:rsidR="00252726" w:rsidRPr="00007F97" w:rsidRDefault="00252726" w:rsidP="00007F97">
      <w:pPr>
        <w:pStyle w:val="FootnoteText"/>
        <w:rPr>
          <w:sz w:val="20"/>
          <w:lang w:val="en-US"/>
        </w:rPr>
      </w:pPr>
      <w:r w:rsidRPr="00007F97">
        <w:rPr>
          <w:b/>
          <w:sz w:val="20"/>
          <w:vertAlign w:val="superscript"/>
          <w:lang w:val="en-US"/>
        </w:rPr>
        <w:footnoteRef/>
      </w:r>
      <w:r w:rsidRPr="00007F97">
        <w:rPr>
          <w:sz w:val="20"/>
          <w:lang w:val="en-US"/>
        </w:rPr>
        <w:t xml:space="preserve"> 18 CFR 35.42.</w:t>
      </w:r>
    </w:p>
  </w:footnote>
  <w:footnote w:id="7">
    <w:p w14:paraId="4909C1C8" w14:textId="0FDF6FEC" w:rsidR="00252726" w:rsidRPr="00007F97" w:rsidRDefault="00252726" w:rsidP="00007F97">
      <w:pPr>
        <w:pStyle w:val="FootnoteText"/>
        <w:rPr>
          <w:sz w:val="20"/>
          <w:lang w:val="en-US"/>
        </w:rPr>
      </w:pPr>
      <w:r w:rsidRPr="00007F97">
        <w:rPr>
          <w:b/>
          <w:sz w:val="20"/>
          <w:vertAlign w:val="superscript"/>
          <w:lang w:val="en-US"/>
        </w:rPr>
        <w:footnoteRef/>
      </w:r>
      <w:r w:rsidRPr="00007F97">
        <w:rPr>
          <w:sz w:val="20"/>
          <w:lang w:val="en-US"/>
        </w:rPr>
        <w:t xml:space="preserve"> The term “Seller” is defined as any person that has authorization to or seeks authorization to engage in sales for resale of electric energy, capacity or ancillary services at market</w:t>
      </w:r>
      <w:r w:rsidRPr="00007F97">
        <w:rPr>
          <w:sz w:val="20"/>
          <w:lang w:val="en-US"/>
        </w:rPr>
        <w:noBreakHyphen/>
        <w:t>based rates. 18 CFR 35.36(a)(1).</w:t>
      </w:r>
    </w:p>
  </w:footnote>
  <w:footnote w:id="8">
    <w:p w14:paraId="6260EEB1" w14:textId="70523E74" w:rsidR="00252726" w:rsidRPr="00007F97" w:rsidRDefault="00252726" w:rsidP="00007F97">
      <w:pPr>
        <w:pStyle w:val="FootnoteText"/>
        <w:rPr>
          <w:sz w:val="20"/>
          <w:lang w:val="en-US"/>
        </w:rPr>
      </w:pPr>
      <w:r w:rsidRPr="00007F97">
        <w:rPr>
          <w:rStyle w:val="FootnoteReference"/>
          <w:sz w:val="20"/>
          <w:lang w:val="en-US"/>
        </w:rPr>
        <w:footnoteRef/>
      </w:r>
      <w:r w:rsidRPr="00007F97">
        <w:rPr>
          <w:sz w:val="20"/>
          <w:lang w:val="en-US"/>
        </w:rPr>
        <w:t xml:space="preserve"> 18 CFR pt. 35.</w:t>
      </w:r>
    </w:p>
  </w:footnote>
  <w:footnote w:id="9">
    <w:p w14:paraId="54C80DA4" w14:textId="7DBDC78D" w:rsidR="00252726" w:rsidRPr="00007F97" w:rsidRDefault="00252726" w:rsidP="00007F97">
      <w:pPr>
        <w:pStyle w:val="FootnoteText"/>
        <w:rPr>
          <w:sz w:val="20"/>
          <w:lang w:val="en-US"/>
        </w:rPr>
      </w:pPr>
      <w:r w:rsidRPr="00007F97">
        <w:rPr>
          <w:b/>
          <w:sz w:val="20"/>
          <w:vertAlign w:val="superscript"/>
          <w:lang w:val="en-US"/>
        </w:rPr>
        <w:footnoteRef/>
      </w:r>
      <w:r w:rsidRPr="00007F97">
        <w:rPr>
          <w:sz w:val="20"/>
          <w:lang w:val="en-US"/>
        </w:rPr>
        <w:t xml:space="preserve"> Currently, there are four RTOs/ISOs that administer energy, capacity and ancillary services markets with Commission-approved monitoring and mitigation.  For purposes of the final rule, the Commission estimates that there are 105 respondents that currently submit indicative screens for these RTOs/ISOs.  Those 105 respondents would be affected by this proposal.</w:t>
      </w:r>
    </w:p>
  </w:footnote>
  <w:footnote w:id="10">
    <w:p w14:paraId="19C03854" w14:textId="78EDFF74" w:rsidR="00252726" w:rsidRPr="00007F97" w:rsidRDefault="00252726" w:rsidP="00007F97">
      <w:pPr>
        <w:pStyle w:val="FootnoteText"/>
        <w:rPr>
          <w:sz w:val="20"/>
          <w:lang w:val="en-US"/>
        </w:rPr>
      </w:pPr>
      <w:r w:rsidRPr="00007F97">
        <w:rPr>
          <w:b/>
          <w:sz w:val="20"/>
          <w:vertAlign w:val="superscript"/>
          <w:lang w:val="en-US"/>
        </w:rPr>
        <w:footnoteRef/>
      </w:r>
      <w:r w:rsidRPr="00007F97">
        <w:rPr>
          <w:sz w:val="20"/>
          <w:lang w:val="en-US"/>
        </w:rPr>
        <w:t xml:space="preserve"> In Order No. 697-A, the Commission stated that “to the extent a seller seeking to obtain or retain market-based rate authority is relying on existing Commission-approved RTO/ISO market monitoring and mitigation, we adopt a rebuttable presumption that the existing mitigation is sufficient to address any market power concerns.”  Order No. 697</w:t>
      </w:r>
      <w:r w:rsidRPr="00007F97">
        <w:rPr>
          <w:sz w:val="20"/>
          <w:lang w:val="en-US"/>
        </w:rPr>
        <w:noBreakHyphen/>
        <w:t>A, 123 FERC ¶ 61,055 at P 111.</w:t>
      </w:r>
    </w:p>
  </w:footnote>
  <w:footnote w:id="11">
    <w:p w14:paraId="266CF89F" w14:textId="58119B17" w:rsidR="00252726" w:rsidRPr="00007F97" w:rsidRDefault="00252726" w:rsidP="00007F97">
      <w:pPr>
        <w:pStyle w:val="FootnoteText"/>
        <w:rPr>
          <w:sz w:val="20"/>
          <w:lang w:val="en-US"/>
        </w:rPr>
      </w:pPr>
      <w:r w:rsidRPr="00007F97">
        <w:rPr>
          <w:rStyle w:val="FootnoteReference"/>
          <w:sz w:val="20"/>
          <w:lang w:val="en-US"/>
        </w:rPr>
        <w:footnoteRef/>
      </w:r>
      <w:r w:rsidRPr="00007F97">
        <w:rPr>
          <w:sz w:val="20"/>
          <w:lang w:val="en-US"/>
        </w:rPr>
        <w:t xml:space="preserve"> RTO/ISO Sellers are Sellers that have an RTO/ISO market as a relevant geographic market.</w:t>
      </w:r>
    </w:p>
  </w:footnote>
  <w:footnote w:id="12">
    <w:p w14:paraId="7E3DA9A1" w14:textId="6C6C134B" w:rsidR="00252726" w:rsidRPr="00007F97" w:rsidRDefault="00252726" w:rsidP="00007F97">
      <w:pPr>
        <w:rPr>
          <w:sz w:val="20"/>
          <w:szCs w:val="20"/>
        </w:rPr>
      </w:pPr>
      <w:r w:rsidRPr="00007F97">
        <w:rPr>
          <w:b/>
          <w:sz w:val="20"/>
          <w:szCs w:val="20"/>
          <w:vertAlign w:val="superscript"/>
        </w:rPr>
        <w:footnoteRef/>
      </w:r>
      <w:r w:rsidRPr="00007F97">
        <w:rPr>
          <w:sz w:val="20"/>
          <w:szCs w:val="20"/>
        </w:rPr>
        <w:t xml:space="preserve"> </w:t>
      </w:r>
      <w:r w:rsidRPr="00007F97">
        <w:rPr>
          <w:i/>
          <w:iCs/>
          <w:sz w:val="20"/>
          <w:szCs w:val="20"/>
        </w:rPr>
        <w:t>Electronic Tariff Filings</w:t>
      </w:r>
      <w:r w:rsidRPr="00007F97">
        <w:rPr>
          <w:sz w:val="20"/>
          <w:szCs w:val="20"/>
        </w:rPr>
        <w:t xml:space="preserve">, Order No. 714, 124 FERC ¶ 61,270 (2008), </w:t>
      </w:r>
      <w:r w:rsidRPr="00007F97">
        <w:rPr>
          <w:i/>
          <w:sz w:val="20"/>
          <w:szCs w:val="20"/>
        </w:rPr>
        <w:t>order on reh’g</w:t>
      </w:r>
      <w:r w:rsidRPr="00007F97">
        <w:rPr>
          <w:sz w:val="20"/>
          <w:szCs w:val="20"/>
        </w:rPr>
        <w:t>, Order No. 714-A, 147 FERC ¶ 61,115 (2014).</w:t>
      </w:r>
    </w:p>
  </w:footnote>
  <w:footnote w:id="13">
    <w:p w14:paraId="001DC1A8" w14:textId="4C8D15DB" w:rsidR="00252726" w:rsidRPr="00007F97" w:rsidRDefault="00252726" w:rsidP="00007F97">
      <w:pPr>
        <w:pStyle w:val="FootnoteText"/>
        <w:rPr>
          <w:sz w:val="20"/>
          <w:lang w:val="en-US"/>
        </w:rPr>
      </w:pPr>
      <w:r w:rsidRPr="00007F97">
        <w:rPr>
          <w:rStyle w:val="FootnoteReference"/>
          <w:sz w:val="20"/>
          <w:lang w:val="en-US"/>
        </w:rPr>
        <w:footnoteRef/>
      </w:r>
      <w:r w:rsidRPr="00007F97">
        <w:rPr>
          <w:sz w:val="20"/>
          <w:lang w:val="en-US"/>
        </w:rPr>
        <w:t xml:space="preserve"> 84 FR 993 (Feb. 1, 2019)</w:t>
      </w:r>
    </w:p>
  </w:footnote>
  <w:footnote w:id="14">
    <w:p w14:paraId="109AF9C4" w14:textId="1DB9E6EB" w:rsidR="00252726" w:rsidRPr="00007F97" w:rsidRDefault="00252726" w:rsidP="00007F97">
      <w:pPr>
        <w:pStyle w:val="FootnoteText"/>
        <w:rPr>
          <w:sz w:val="20"/>
          <w:lang w:val="en-US"/>
        </w:rPr>
      </w:pPr>
      <w:r w:rsidRPr="00007F97">
        <w:rPr>
          <w:rStyle w:val="FootnoteReference"/>
          <w:sz w:val="20"/>
          <w:lang w:val="en-US"/>
        </w:rPr>
        <w:footnoteRef/>
      </w:r>
      <w:r w:rsidRPr="00007F97">
        <w:rPr>
          <w:sz w:val="20"/>
          <w:vertAlign w:val="superscript"/>
          <w:lang w:val="en-US"/>
        </w:rPr>
        <w:t xml:space="preserve"> </w:t>
      </w:r>
      <w:r w:rsidRPr="00007F97">
        <w:rPr>
          <w:sz w:val="20"/>
          <w:lang w:val="en-US"/>
        </w:rPr>
        <w:t>84 FR 36374 (July 26, 2019</w:t>
      </w:r>
      <w:r w:rsidR="00313CFE" w:rsidRPr="00007F97">
        <w:rPr>
          <w:sz w:val="20"/>
          <w:lang w:val="en-US"/>
        </w:rPr>
        <w:t>).</w:t>
      </w:r>
    </w:p>
  </w:footnote>
  <w:footnote w:id="15">
    <w:p w14:paraId="37617427" w14:textId="690BE72C" w:rsidR="00252726" w:rsidRPr="00007F97" w:rsidRDefault="00252726" w:rsidP="00007F97">
      <w:pPr>
        <w:pStyle w:val="FootnoteText"/>
        <w:rPr>
          <w:sz w:val="20"/>
          <w:lang w:val="en-US"/>
        </w:rPr>
      </w:pPr>
      <w:r w:rsidRPr="00007F97">
        <w:rPr>
          <w:b/>
          <w:sz w:val="20"/>
          <w:vertAlign w:val="superscript"/>
          <w:lang w:val="en-US"/>
        </w:rPr>
        <w:footnoteRef/>
      </w:r>
      <w:r w:rsidRPr="00007F97">
        <w:rPr>
          <w:sz w:val="20"/>
          <w:lang w:val="en-US"/>
        </w:rPr>
        <w:t xml:space="preserve"> 18 CFR § 388.112.  More information on the CEII definition, program and requirements is posted at </w:t>
      </w:r>
      <w:hyperlink r:id="rId1" w:history="1">
        <w:r w:rsidRPr="00007F97">
          <w:rPr>
            <w:rStyle w:val="Hyperlink"/>
            <w:sz w:val="20"/>
            <w:lang w:val="en-US"/>
          </w:rPr>
          <w:t>http://www.ferc.gov/legal/ceii-foia/ceii.asp</w:t>
        </w:r>
      </w:hyperlink>
      <w:r w:rsidRPr="00007F97">
        <w:rPr>
          <w:sz w:val="20"/>
          <w:lang w:val="en-US"/>
        </w:rPr>
        <w:t>.</w:t>
      </w:r>
    </w:p>
  </w:footnote>
  <w:footnote w:id="16">
    <w:p w14:paraId="2A6C85C4" w14:textId="73E49908" w:rsidR="00252726" w:rsidRPr="00007F97" w:rsidRDefault="00252726" w:rsidP="00007F97">
      <w:pPr>
        <w:pStyle w:val="FootnoteText"/>
        <w:rPr>
          <w:sz w:val="20"/>
          <w:lang w:val="en-US"/>
        </w:rPr>
      </w:pPr>
      <w:r w:rsidRPr="00007F97">
        <w:rPr>
          <w:b/>
          <w:sz w:val="20"/>
          <w:vertAlign w:val="superscript"/>
          <w:lang w:val="en-US"/>
        </w:rPr>
        <w:footnoteRef/>
      </w:r>
      <w:r w:rsidRPr="00007F97">
        <w:rPr>
          <w:sz w:val="20"/>
          <w:vertAlign w:val="superscript"/>
          <w:lang w:val="en-US"/>
        </w:rPr>
        <w:t xml:space="preserve"> </w:t>
      </w:r>
      <w:r w:rsidRPr="00007F97">
        <w:rPr>
          <w:sz w:val="20"/>
          <w:lang w:val="en-US"/>
        </w:rPr>
        <w:t xml:space="preserve">Although some Sellers may include the indicative screens when submitting a change in status filing, this is not required by the Commission’s regulations.  Thus, we estimate that the change in burden for change in status filings is </w:t>
      </w:r>
      <w:r w:rsidRPr="00007F97">
        <w:rPr>
          <w:i/>
          <w:sz w:val="20"/>
          <w:lang w:val="en-US"/>
        </w:rPr>
        <w:t>de minimis</w:t>
      </w:r>
      <w:r w:rsidRPr="00007F97">
        <w:rPr>
          <w:sz w:val="20"/>
          <w:lang w:val="en-US"/>
        </w:rPr>
        <w:t xml:space="preserve">.  </w:t>
      </w:r>
      <w:r w:rsidRPr="00007F97">
        <w:rPr>
          <w:i/>
          <w:sz w:val="20"/>
          <w:lang w:val="en-US"/>
        </w:rPr>
        <w:t xml:space="preserve">See </w:t>
      </w:r>
      <w:r w:rsidRPr="00007F97">
        <w:rPr>
          <w:sz w:val="20"/>
          <w:lang w:val="en-US"/>
        </w:rPr>
        <w:t xml:space="preserve">18 CFR 35.42. </w:t>
      </w:r>
    </w:p>
  </w:footnote>
  <w:footnote w:id="17">
    <w:p w14:paraId="4A5DDCD6" w14:textId="731A7E86" w:rsidR="00252726" w:rsidRPr="00007F97" w:rsidRDefault="00252726" w:rsidP="00007F97">
      <w:pPr>
        <w:pStyle w:val="FootnoteText"/>
        <w:rPr>
          <w:sz w:val="20"/>
          <w:lang w:val="en-US"/>
        </w:rPr>
      </w:pPr>
      <w:r w:rsidRPr="00007F97">
        <w:rPr>
          <w:b/>
          <w:sz w:val="20"/>
          <w:vertAlign w:val="superscript"/>
          <w:lang w:val="en-US"/>
        </w:rPr>
        <w:footnoteRef/>
      </w:r>
      <w:r w:rsidRPr="00007F97">
        <w:rPr>
          <w:sz w:val="20"/>
          <w:vertAlign w:val="superscript"/>
          <w:lang w:val="en-US"/>
        </w:rPr>
        <w:t xml:space="preserve"> </w:t>
      </w:r>
      <w:r w:rsidRPr="00007F97">
        <w:rPr>
          <w:sz w:val="20"/>
          <w:lang w:val="en-US"/>
        </w:rPr>
        <w:t xml:space="preserve">The estimated hourly cost (salary plus benefits) provided in this section are based on the figures for May 2018 posted by the Bureau of Labor Statistics for the Utilities sector (available at http://www.bls.gov/oes/current/naics2_22.htm) and updated March 2019 for benefits information (at http://www.bls.gov/news.release/ecec.nr0.htm).  The hourly estimates for salary plus benefits are:  </w:t>
      </w:r>
    </w:p>
    <w:p w14:paraId="0DEDE78B" w14:textId="77777777" w:rsidR="00252726" w:rsidRPr="00007F97" w:rsidRDefault="00252726" w:rsidP="00007F97">
      <w:pPr>
        <w:autoSpaceDE/>
        <w:autoSpaceDN/>
        <w:adjustRightInd/>
        <w:rPr>
          <w:sz w:val="20"/>
          <w:szCs w:val="20"/>
        </w:rPr>
      </w:pPr>
      <w:r w:rsidRPr="00007F97">
        <w:rPr>
          <w:sz w:val="20"/>
          <w:szCs w:val="20"/>
        </w:rPr>
        <w:t>Economist:  $70.83/hour</w:t>
      </w:r>
    </w:p>
    <w:p w14:paraId="7AD88540" w14:textId="77777777" w:rsidR="00252726" w:rsidRPr="00007F97" w:rsidRDefault="00252726" w:rsidP="00007F97">
      <w:pPr>
        <w:autoSpaceDE/>
        <w:autoSpaceDN/>
        <w:adjustRightInd/>
        <w:rPr>
          <w:sz w:val="20"/>
          <w:szCs w:val="20"/>
        </w:rPr>
      </w:pPr>
      <w:r w:rsidRPr="00007F97">
        <w:rPr>
          <w:sz w:val="20"/>
          <w:szCs w:val="20"/>
        </w:rPr>
        <w:t>Electrical Engineer:  $68.17/hour</w:t>
      </w:r>
    </w:p>
    <w:p w14:paraId="568C94D9" w14:textId="7E2AA118" w:rsidR="00252726" w:rsidRPr="00007F97" w:rsidRDefault="00252726" w:rsidP="00007F97">
      <w:pPr>
        <w:autoSpaceDE/>
        <w:autoSpaceDN/>
        <w:adjustRightInd/>
        <w:rPr>
          <w:sz w:val="20"/>
          <w:szCs w:val="20"/>
        </w:rPr>
      </w:pPr>
      <w:r w:rsidRPr="00007F97">
        <w:rPr>
          <w:sz w:val="20"/>
          <w:szCs w:val="20"/>
        </w:rPr>
        <w:t>Lawyer:  $142.86/hour</w:t>
      </w:r>
    </w:p>
    <w:p w14:paraId="6A3733AD" w14:textId="23CED15F" w:rsidR="00252726" w:rsidRPr="00007F97" w:rsidRDefault="00252726" w:rsidP="00007F97">
      <w:pPr>
        <w:rPr>
          <w:sz w:val="20"/>
          <w:szCs w:val="20"/>
        </w:rPr>
      </w:pPr>
      <w:r w:rsidRPr="00007F97">
        <w:rPr>
          <w:sz w:val="20"/>
          <w:szCs w:val="20"/>
        </w:rPr>
        <w:t>The average hourly cost of the three categories is $93.95 [($70.83+$68.17+$142.86)/3].  The Commission rounds it up to $94.00/hour.</w:t>
      </w:r>
    </w:p>
  </w:footnote>
  <w:footnote w:id="18">
    <w:p w14:paraId="661EABB6" w14:textId="29B955C3" w:rsidR="00252726" w:rsidRPr="00007F97" w:rsidRDefault="00252726" w:rsidP="00007F97">
      <w:pPr>
        <w:pStyle w:val="FootnoteText"/>
        <w:rPr>
          <w:sz w:val="20"/>
          <w:highlight w:val="yellow"/>
          <w:lang w:val="en-US"/>
        </w:rPr>
      </w:pPr>
      <w:r w:rsidRPr="00007F97">
        <w:rPr>
          <w:b/>
          <w:sz w:val="20"/>
          <w:vertAlign w:val="superscript"/>
          <w:lang w:val="en-US"/>
        </w:rPr>
        <w:footnoteRef/>
      </w:r>
      <w:r w:rsidRPr="00007F97">
        <w:rPr>
          <w:sz w:val="20"/>
          <w:vertAlign w:val="superscript"/>
          <w:lang w:val="en-US"/>
        </w:rPr>
        <w:t xml:space="preserve"> </w:t>
      </w:r>
      <w:r w:rsidRPr="00007F97">
        <w:rPr>
          <w:sz w:val="20"/>
          <w:lang w:val="en-US"/>
        </w:rPr>
        <w:t>Based upon FERC’s 2019 average annual salary plus benefits of one FTE (full-time equivalent): $167,091 per year.</w:t>
      </w:r>
    </w:p>
  </w:footnote>
  <w:footnote w:id="19">
    <w:p w14:paraId="6D23FA21" w14:textId="1FB76798" w:rsidR="00252726" w:rsidRPr="00007F97" w:rsidRDefault="00252726" w:rsidP="00007F97">
      <w:pPr>
        <w:pStyle w:val="FootnoteText"/>
        <w:rPr>
          <w:sz w:val="20"/>
          <w:lang w:val="en-US"/>
        </w:rPr>
      </w:pPr>
      <w:r w:rsidRPr="00007F97">
        <w:rPr>
          <w:rStyle w:val="FootnoteReference"/>
          <w:sz w:val="20"/>
          <w:lang w:val="en-US"/>
        </w:rPr>
        <w:footnoteRef/>
      </w:r>
      <w:r w:rsidRPr="00007F97">
        <w:rPr>
          <w:sz w:val="20"/>
          <w:lang w:val="en-US"/>
        </w:rPr>
        <w:t xml:space="preserve"> 28 FTEs include: 20 (Office of Energy Market Regulation - market-based rate program staff) + 4 (Office of General Council) + 1 (Office of Enforcement) + 1 (Office of Electric Reliability) + 2 (Senior Staff/Commissioners &amp; Staff/Office of Secretary).</w:t>
      </w:r>
    </w:p>
  </w:footnote>
  <w:footnote w:id="20">
    <w:p w14:paraId="06BDF8CC" w14:textId="77777777" w:rsidR="00252726" w:rsidRPr="00007F97" w:rsidRDefault="00252726" w:rsidP="00007F97">
      <w:pPr>
        <w:pStyle w:val="FootnoteText"/>
        <w:rPr>
          <w:sz w:val="20"/>
          <w:lang w:val="en-US"/>
        </w:rPr>
      </w:pPr>
      <w:r w:rsidRPr="00007F97">
        <w:rPr>
          <w:b/>
          <w:sz w:val="20"/>
          <w:vertAlign w:val="superscript"/>
          <w:lang w:val="en-US"/>
        </w:rPr>
        <w:footnoteRef/>
      </w:r>
      <w:r w:rsidRPr="00007F97">
        <w:rPr>
          <w:sz w:val="20"/>
          <w:vertAlign w:val="superscript"/>
          <w:lang w:val="en-US"/>
        </w:rPr>
        <w:t xml:space="preserve"> </w:t>
      </w:r>
      <w:r w:rsidRPr="00007F97">
        <w:rPr>
          <w:sz w:val="20"/>
          <w:lang w:val="en-US"/>
        </w:rPr>
        <w:t xml:space="preserve">The Paperwork Reduction Act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and other changes to the collection, as well as necessary publications in the Federal Register. </w:t>
      </w:r>
    </w:p>
  </w:footnote>
  <w:footnote w:id="21">
    <w:p w14:paraId="7E6DDD78" w14:textId="77777777" w:rsidR="00252726" w:rsidRPr="00007F97" w:rsidRDefault="00252726" w:rsidP="00007F97">
      <w:pPr>
        <w:pStyle w:val="FootnoteText"/>
        <w:rPr>
          <w:sz w:val="20"/>
          <w:highlight w:val="yellow"/>
          <w:lang w:val="en-US"/>
        </w:rPr>
      </w:pPr>
      <w:r w:rsidRPr="00007F97">
        <w:rPr>
          <w:b/>
          <w:sz w:val="20"/>
          <w:vertAlign w:val="superscript"/>
          <w:lang w:val="en-US"/>
        </w:rPr>
        <w:footnoteRef/>
      </w:r>
      <w:r w:rsidRPr="00007F97">
        <w:rPr>
          <w:sz w:val="20"/>
          <w:vertAlign w:val="superscript"/>
          <w:lang w:val="en-US"/>
        </w:rPr>
        <w:t xml:space="preserve"> </w:t>
      </w:r>
      <w:r w:rsidRPr="00007F97">
        <w:rPr>
          <w:sz w:val="20"/>
          <w:lang w:val="en-US"/>
        </w:rPr>
        <w:t>Based upon FERC’s 2019 estimated average annual PRA Administrative Cost: $4,832.</w:t>
      </w:r>
    </w:p>
  </w:footnote>
  <w:footnote w:id="22">
    <w:p w14:paraId="444DAA9E" w14:textId="2D21C40B" w:rsidR="00252726" w:rsidRPr="00007F97" w:rsidRDefault="00252726" w:rsidP="00007F97">
      <w:pPr>
        <w:pStyle w:val="FootnoteText"/>
        <w:rPr>
          <w:sz w:val="20"/>
          <w:lang w:val="en-US"/>
        </w:rPr>
      </w:pPr>
      <w:r w:rsidRPr="00007F97">
        <w:rPr>
          <w:b/>
          <w:sz w:val="20"/>
          <w:vertAlign w:val="superscript"/>
          <w:lang w:val="en-US"/>
        </w:rPr>
        <w:footnoteRef/>
      </w:r>
      <w:r w:rsidRPr="00007F97">
        <w:rPr>
          <w:sz w:val="20"/>
          <w:lang w:val="en-US"/>
        </w:rPr>
        <w:t xml:space="preserve"> In Order No. 697-A, 123 FERC ¶ 61,055 at P 111, the Commission stated that “to the extent a seller seeking to obtain or retain market-based rate authority is relying on existing Commission-approved RTO/ISO market monitoring and mitigation, we adopt a rebuttable presumption that the existing mitigation is sufficient to address any market power concerns.”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139A9" w14:textId="77777777" w:rsidR="00252726" w:rsidRDefault="002527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B50BD" w14:textId="77777777" w:rsidR="00252726" w:rsidRDefault="00252726" w:rsidP="004015BF">
    <w:pPr>
      <w:pStyle w:val="Header"/>
    </w:pPr>
    <w:r>
      <w:t xml:space="preserve">FERC-919 (OMB Control No. 1902-0234) </w:t>
    </w:r>
  </w:p>
  <w:p w14:paraId="3D653994" w14:textId="5A7FB02C" w:rsidR="00252726" w:rsidRDefault="00252726" w:rsidP="004015BF">
    <w:pPr>
      <w:pStyle w:val="Header"/>
    </w:pPr>
    <w:r>
      <w:t>Final Rule (issued 7/18/2019) in Docket No. RM19-2-000</w:t>
    </w:r>
  </w:p>
  <w:p w14:paraId="6F5EB137" w14:textId="77777777" w:rsidR="00252726" w:rsidRDefault="00252726" w:rsidP="004015BF">
    <w:pPr>
      <w:pStyle w:val="Header"/>
    </w:pPr>
    <w:r>
      <w:t xml:space="preserve">RIN:  </w:t>
    </w:r>
    <w:r w:rsidRPr="00236785">
      <w:t>1902-AF61</w:t>
    </w:r>
    <w:r>
      <w:tab/>
    </w:r>
    <w:r>
      <w:tab/>
    </w:r>
    <w:r>
      <w:rPr>
        <w:rStyle w:val="PageNumber"/>
      </w:rPr>
      <w:fldChar w:fldCharType="begin"/>
    </w:r>
    <w:r>
      <w:rPr>
        <w:rStyle w:val="PageNumber"/>
      </w:rPr>
      <w:instrText xml:space="preserve"> PAGE </w:instrText>
    </w:r>
    <w:r>
      <w:rPr>
        <w:rStyle w:val="PageNumber"/>
      </w:rPr>
      <w:fldChar w:fldCharType="separate"/>
    </w:r>
    <w:r w:rsidR="0010503B">
      <w:rPr>
        <w:rStyle w:val="PageNumber"/>
        <w:noProof/>
      </w:rPr>
      <w:t>- 1 -</w:t>
    </w:r>
    <w:r>
      <w:rPr>
        <w:rStyle w:val="PageNumber"/>
      </w:rPr>
      <w:fldChar w:fldCharType="end"/>
    </w:r>
  </w:p>
  <w:p w14:paraId="1EC16BA4" w14:textId="77777777" w:rsidR="00252726" w:rsidRDefault="002527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7238C" w14:textId="77777777" w:rsidR="00252726" w:rsidRPr="0057468B" w:rsidRDefault="00252726" w:rsidP="0057468B">
    <w:pPr>
      <w:tabs>
        <w:tab w:val="left" w:pos="-1440"/>
      </w:tabs>
      <w:rPr>
        <w:szCs w:val="26"/>
      </w:rPr>
    </w:pPr>
    <w:r w:rsidRPr="0057468B">
      <w:rPr>
        <w:szCs w:val="26"/>
      </w:rPr>
      <w:t xml:space="preserve">FERC-919 (OMB Control No. 1902-0234) </w:t>
    </w:r>
  </w:p>
  <w:p w14:paraId="007B9A17" w14:textId="77777777" w:rsidR="00252726" w:rsidRPr="0057468B" w:rsidRDefault="00252726" w:rsidP="0057468B">
    <w:pPr>
      <w:tabs>
        <w:tab w:val="left" w:pos="-1440"/>
      </w:tabs>
      <w:rPr>
        <w:szCs w:val="26"/>
      </w:rPr>
    </w:pPr>
    <w:r w:rsidRPr="0057468B">
      <w:rPr>
        <w:szCs w:val="26"/>
      </w:rPr>
      <w:t xml:space="preserve">NOPR </w:t>
    </w:r>
    <w:r>
      <w:rPr>
        <w:szCs w:val="26"/>
      </w:rPr>
      <w:t>(i</w:t>
    </w:r>
    <w:r w:rsidRPr="0057468B">
      <w:rPr>
        <w:szCs w:val="26"/>
      </w:rPr>
      <w:t>ssued 12/20/2018</w:t>
    </w:r>
    <w:r>
      <w:rPr>
        <w:szCs w:val="26"/>
      </w:rPr>
      <w:t xml:space="preserve">) in </w:t>
    </w:r>
    <w:r w:rsidRPr="0057468B">
      <w:rPr>
        <w:szCs w:val="26"/>
      </w:rPr>
      <w:t xml:space="preserve">Docket No. RM19-2-000 </w:t>
    </w:r>
  </w:p>
  <w:p w14:paraId="20D30ADF" w14:textId="77777777" w:rsidR="00252726" w:rsidRPr="0057468B" w:rsidRDefault="00252726" w:rsidP="0057468B">
    <w:pPr>
      <w:tabs>
        <w:tab w:val="left" w:pos="-1440"/>
      </w:tabs>
      <w:rPr>
        <w:szCs w:val="26"/>
      </w:rPr>
    </w:pPr>
    <w:r w:rsidRPr="0057468B">
      <w:rPr>
        <w:szCs w:val="26"/>
      </w:rPr>
      <w:t>RIN:  1902-AF61</w:t>
    </w:r>
  </w:p>
  <w:p w14:paraId="5B54CE6D" w14:textId="77777777" w:rsidR="00252726" w:rsidRPr="0057468B" w:rsidRDefault="00252726" w:rsidP="0057468B">
    <w:pPr>
      <w:pStyle w:val="Header"/>
      <w:rPr>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14BEBE"/>
    <w:multiLevelType w:val="hybridMultilevel"/>
    <w:tmpl w:val="640D5B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1E2B856"/>
    <w:multiLevelType w:val="hybridMultilevel"/>
    <w:tmpl w:val="BD923B5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3214C"/>
    <w:multiLevelType w:val="hybridMultilevel"/>
    <w:tmpl w:val="9AD67B92"/>
    <w:lvl w:ilvl="0" w:tplc="4A5E8DCC">
      <w:start w:val="70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F01A89"/>
    <w:multiLevelType w:val="hybridMultilevel"/>
    <w:tmpl w:val="68CA7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4C7F75"/>
    <w:multiLevelType w:val="hybridMultilevel"/>
    <w:tmpl w:val="BB9C09D4"/>
    <w:lvl w:ilvl="0" w:tplc="4A5E8DCC">
      <w:start w:val="7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FC21E7"/>
    <w:multiLevelType w:val="hybridMultilevel"/>
    <w:tmpl w:val="B2DE8BAA"/>
    <w:lvl w:ilvl="0" w:tplc="C926472E">
      <w:start w:val="1"/>
      <w:numFmt w:val="bullet"/>
      <w:lvlText w:val=""/>
      <w:lvlJc w:val="left"/>
      <w:pPr>
        <w:tabs>
          <w:tab w:val="num" w:pos="720"/>
        </w:tabs>
        <w:ind w:left="720" w:hanging="360"/>
      </w:pPr>
      <w:rPr>
        <w:rFonts w:ascii="Symbol" w:hAnsi="Symbol"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E0F7CD0"/>
    <w:multiLevelType w:val="hybridMultilevel"/>
    <w:tmpl w:val="F606EA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E394FCE"/>
    <w:multiLevelType w:val="hybridMultilevel"/>
    <w:tmpl w:val="A46E7FA0"/>
    <w:lvl w:ilvl="0" w:tplc="61125720">
      <w:start w:val="1"/>
      <w:numFmt w:val="bullet"/>
      <w:lvlText w:val=""/>
      <w:lvlJc w:val="left"/>
      <w:pPr>
        <w:tabs>
          <w:tab w:val="num" w:pos="360"/>
        </w:tabs>
        <w:ind w:left="576" w:hanging="216"/>
      </w:pPr>
      <w:rPr>
        <w:rFonts w:ascii="Symbol" w:hAnsi="Symbol"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B3D1BAA"/>
    <w:multiLevelType w:val="hybridMultilevel"/>
    <w:tmpl w:val="FDDA60A0"/>
    <w:lvl w:ilvl="0" w:tplc="6594672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EC3529F"/>
    <w:multiLevelType w:val="hybridMultilevel"/>
    <w:tmpl w:val="F8741D1C"/>
    <w:lvl w:ilvl="0" w:tplc="4A5E8DCC">
      <w:start w:val="70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F92BE0"/>
    <w:multiLevelType w:val="hybridMultilevel"/>
    <w:tmpl w:val="055AA072"/>
    <w:lvl w:ilvl="0" w:tplc="3C1A128A">
      <w:start w:val="1"/>
      <w:numFmt w:val="bullet"/>
      <w:lvlText w:val=""/>
      <w:lvlJc w:val="left"/>
      <w:pPr>
        <w:tabs>
          <w:tab w:val="num" w:pos="0"/>
        </w:tabs>
        <w:ind w:left="216" w:hanging="216"/>
      </w:pPr>
      <w:rPr>
        <w:rFonts w:ascii="Symbol" w:hAnsi="Symbol" w:cs="Times New Roman"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8883012"/>
    <w:multiLevelType w:val="hybridMultilevel"/>
    <w:tmpl w:val="88C2E0D6"/>
    <w:lvl w:ilvl="0" w:tplc="5AA86386">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AB67B3"/>
    <w:multiLevelType w:val="hybridMultilevel"/>
    <w:tmpl w:val="F0AEE946"/>
    <w:lvl w:ilvl="0" w:tplc="61125720">
      <w:start w:val="1"/>
      <w:numFmt w:val="bullet"/>
      <w:lvlText w:val=""/>
      <w:lvlJc w:val="left"/>
      <w:pPr>
        <w:tabs>
          <w:tab w:val="num" w:pos="360"/>
        </w:tabs>
        <w:ind w:left="576" w:hanging="216"/>
      </w:pPr>
      <w:rPr>
        <w:rFonts w:ascii="Symbol" w:hAnsi="Symbol"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4D7723"/>
    <w:multiLevelType w:val="hybridMultilevel"/>
    <w:tmpl w:val="47D294DC"/>
    <w:lvl w:ilvl="0" w:tplc="6EE25A1C">
      <w:start w:val="2"/>
      <w:numFmt w:val="lowerLetter"/>
      <w:lvlText w:val="%1)"/>
      <w:lvlJc w:val="left"/>
      <w:pPr>
        <w:tabs>
          <w:tab w:val="num" w:pos="1872"/>
        </w:tabs>
        <w:ind w:left="1872" w:hanging="360"/>
      </w:pPr>
      <w:rPr>
        <w:rFonts w:hint="default"/>
      </w:rPr>
    </w:lvl>
    <w:lvl w:ilvl="1" w:tplc="04090019" w:tentative="1">
      <w:start w:val="1"/>
      <w:numFmt w:val="lowerLetter"/>
      <w:lvlText w:val="%2."/>
      <w:lvlJc w:val="left"/>
      <w:pPr>
        <w:tabs>
          <w:tab w:val="num" w:pos="2592"/>
        </w:tabs>
        <w:ind w:left="2592" w:hanging="360"/>
      </w:pPr>
    </w:lvl>
    <w:lvl w:ilvl="2" w:tplc="0409001B" w:tentative="1">
      <w:start w:val="1"/>
      <w:numFmt w:val="lowerRoman"/>
      <w:lvlText w:val="%3."/>
      <w:lvlJc w:val="right"/>
      <w:pPr>
        <w:tabs>
          <w:tab w:val="num" w:pos="3312"/>
        </w:tabs>
        <w:ind w:left="3312" w:hanging="180"/>
      </w:pPr>
    </w:lvl>
    <w:lvl w:ilvl="3" w:tplc="0409000F" w:tentative="1">
      <w:start w:val="1"/>
      <w:numFmt w:val="decimal"/>
      <w:lvlText w:val="%4."/>
      <w:lvlJc w:val="left"/>
      <w:pPr>
        <w:tabs>
          <w:tab w:val="num" w:pos="4032"/>
        </w:tabs>
        <w:ind w:left="4032" w:hanging="360"/>
      </w:pPr>
    </w:lvl>
    <w:lvl w:ilvl="4" w:tplc="04090019" w:tentative="1">
      <w:start w:val="1"/>
      <w:numFmt w:val="lowerLetter"/>
      <w:lvlText w:val="%5."/>
      <w:lvlJc w:val="left"/>
      <w:pPr>
        <w:tabs>
          <w:tab w:val="num" w:pos="4752"/>
        </w:tabs>
        <w:ind w:left="4752" w:hanging="360"/>
      </w:pPr>
    </w:lvl>
    <w:lvl w:ilvl="5" w:tplc="0409001B" w:tentative="1">
      <w:start w:val="1"/>
      <w:numFmt w:val="lowerRoman"/>
      <w:lvlText w:val="%6."/>
      <w:lvlJc w:val="right"/>
      <w:pPr>
        <w:tabs>
          <w:tab w:val="num" w:pos="5472"/>
        </w:tabs>
        <w:ind w:left="5472" w:hanging="180"/>
      </w:pPr>
    </w:lvl>
    <w:lvl w:ilvl="6" w:tplc="0409000F" w:tentative="1">
      <w:start w:val="1"/>
      <w:numFmt w:val="decimal"/>
      <w:lvlText w:val="%7."/>
      <w:lvlJc w:val="left"/>
      <w:pPr>
        <w:tabs>
          <w:tab w:val="num" w:pos="6192"/>
        </w:tabs>
        <w:ind w:left="6192" w:hanging="360"/>
      </w:pPr>
    </w:lvl>
    <w:lvl w:ilvl="7" w:tplc="04090019" w:tentative="1">
      <w:start w:val="1"/>
      <w:numFmt w:val="lowerLetter"/>
      <w:lvlText w:val="%8."/>
      <w:lvlJc w:val="left"/>
      <w:pPr>
        <w:tabs>
          <w:tab w:val="num" w:pos="6912"/>
        </w:tabs>
        <w:ind w:left="6912" w:hanging="360"/>
      </w:pPr>
    </w:lvl>
    <w:lvl w:ilvl="8" w:tplc="0409001B" w:tentative="1">
      <w:start w:val="1"/>
      <w:numFmt w:val="lowerRoman"/>
      <w:lvlText w:val="%9."/>
      <w:lvlJc w:val="right"/>
      <w:pPr>
        <w:tabs>
          <w:tab w:val="num" w:pos="7632"/>
        </w:tabs>
        <w:ind w:left="7632" w:hanging="180"/>
      </w:pPr>
    </w:lvl>
  </w:abstractNum>
  <w:abstractNum w:abstractNumId="14">
    <w:nsid w:val="33156D43"/>
    <w:multiLevelType w:val="multilevel"/>
    <w:tmpl w:val="8152A0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5">
    <w:nsid w:val="33FD383E"/>
    <w:multiLevelType w:val="hybridMultilevel"/>
    <w:tmpl w:val="14A2ED0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FD710A"/>
    <w:multiLevelType w:val="hybridMultilevel"/>
    <w:tmpl w:val="BDA4F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7D2C53"/>
    <w:multiLevelType w:val="hybridMultilevel"/>
    <w:tmpl w:val="324E67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9924AC2"/>
    <w:multiLevelType w:val="multilevel"/>
    <w:tmpl w:val="F0AEE946"/>
    <w:lvl w:ilvl="0">
      <w:start w:val="1"/>
      <w:numFmt w:val="bullet"/>
      <w:lvlText w:val=""/>
      <w:lvlJc w:val="left"/>
      <w:pPr>
        <w:tabs>
          <w:tab w:val="num" w:pos="360"/>
        </w:tabs>
        <w:ind w:left="576" w:hanging="216"/>
      </w:pPr>
      <w:rPr>
        <w:rFonts w:ascii="Symbol" w:hAnsi="Symbol"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9F77370"/>
    <w:multiLevelType w:val="hybridMultilevel"/>
    <w:tmpl w:val="E572FBB6"/>
    <w:lvl w:ilvl="0" w:tplc="27AC5A24">
      <w:start w:val="1"/>
      <w:numFmt w:val="decimal"/>
      <w:lvlText w:val="%1."/>
      <w:lvlJc w:val="left"/>
      <w:pPr>
        <w:tabs>
          <w:tab w:val="num" w:pos="720"/>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F716F4"/>
    <w:multiLevelType w:val="hybridMultilevel"/>
    <w:tmpl w:val="AB22D3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1941EDE"/>
    <w:multiLevelType w:val="hybridMultilevel"/>
    <w:tmpl w:val="01C09E0C"/>
    <w:lvl w:ilvl="0" w:tplc="4A5E8DCC">
      <w:start w:val="7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5336E80"/>
    <w:multiLevelType w:val="hybridMultilevel"/>
    <w:tmpl w:val="C4AA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7B1E49"/>
    <w:multiLevelType w:val="hybridMultilevel"/>
    <w:tmpl w:val="05B444C0"/>
    <w:lvl w:ilvl="0" w:tplc="5E0A3582">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55031C89"/>
    <w:multiLevelType w:val="hybridMultilevel"/>
    <w:tmpl w:val="87647D04"/>
    <w:lvl w:ilvl="0" w:tplc="61125720">
      <w:start w:val="1"/>
      <w:numFmt w:val="bullet"/>
      <w:lvlText w:val=""/>
      <w:lvlJc w:val="left"/>
      <w:pPr>
        <w:tabs>
          <w:tab w:val="num" w:pos="360"/>
        </w:tabs>
        <w:ind w:left="576" w:hanging="216"/>
      </w:pPr>
      <w:rPr>
        <w:rFonts w:ascii="Symbol" w:hAnsi="Symbol" w:cs="Times New Roman"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8A33788"/>
    <w:multiLevelType w:val="hybridMultilevel"/>
    <w:tmpl w:val="39909D64"/>
    <w:lvl w:ilvl="0" w:tplc="8B8AC3EA">
      <w:start w:val="2"/>
      <w:numFmt w:val="decimal"/>
      <w:lvlText w:val="%1."/>
      <w:lvlJc w:val="left"/>
      <w:pPr>
        <w:tabs>
          <w:tab w:val="num" w:pos="2810"/>
        </w:tabs>
        <w:ind w:left="2810" w:hanging="360"/>
      </w:pPr>
      <w:rPr>
        <w:rFonts w:hint="default"/>
      </w:rPr>
    </w:lvl>
    <w:lvl w:ilvl="1" w:tplc="8ECE11FC">
      <w:start w:val="2"/>
      <w:numFmt w:val="lowerLetter"/>
      <w:lvlText w:val="%2."/>
      <w:lvlJc w:val="left"/>
      <w:pPr>
        <w:tabs>
          <w:tab w:val="num" w:pos="3530"/>
        </w:tabs>
        <w:ind w:left="3530" w:hanging="360"/>
      </w:pPr>
      <w:rPr>
        <w:rFonts w:hint="default"/>
      </w:rPr>
    </w:lvl>
    <w:lvl w:ilvl="2" w:tplc="0409001B" w:tentative="1">
      <w:start w:val="1"/>
      <w:numFmt w:val="lowerRoman"/>
      <w:lvlText w:val="%3."/>
      <w:lvlJc w:val="right"/>
      <w:pPr>
        <w:tabs>
          <w:tab w:val="num" w:pos="4250"/>
        </w:tabs>
        <w:ind w:left="4250" w:hanging="180"/>
      </w:pPr>
    </w:lvl>
    <w:lvl w:ilvl="3" w:tplc="0409000F" w:tentative="1">
      <w:start w:val="1"/>
      <w:numFmt w:val="decimal"/>
      <w:lvlText w:val="%4."/>
      <w:lvlJc w:val="left"/>
      <w:pPr>
        <w:tabs>
          <w:tab w:val="num" w:pos="4970"/>
        </w:tabs>
        <w:ind w:left="4970" w:hanging="360"/>
      </w:pPr>
    </w:lvl>
    <w:lvl w:ilvl="4" w:tplc="04090019" w:tentative="1">
      <w:start w:val="1"/>
      <w:numFmt w:val="lowerLetter"/>
      <w:lvlText w:val="%5."/>
      <w:lvlJc w:val="left"/>
      <w:pPr>
        <w:tabs>
          <w:tab w:val="num" w:pos="5690"/>
        </w:tabs>
        <w:ind w:left="5690" w:hanging="360"/>
      </w:pPr>
    </w:lvl>
    <w:lvl w:ilvl="5" w:tplc="0409001B" w:tentative="1">
      <w:start w:val="1"/>
      <w:numFmt w:val="lowerRoman"/>
      <w:lvlText w:val="%6."/>
      <w:lvlJc w:val="right"/>
      <w:pPr>
        <w:tabs>
          <w:tab w:val="num" w:pos="6410"/>
        </w:tabs>
        <w:ind w:left="6410" w:hanging="180"/>
      </w:pPr>
    </w:lvl>
    <w:lvl w:ilvl="6" w:tplc="0409000F" w:tentative="1">
      <w:start w:val="1"/>
      <w:numFmt w:val="decimal"/>
      <w:lvlText w:val="%7."/>
      <w:lvlJc w:val="left"/>
      <w:pPr>
        <w:tabs>
          <w:tab w:val="num" w:pos="7130"/>
        </w:tabs>
        <w:ind w:left="7130" w:hanging="360"/>
      </w:pPr>
    </w:lvl>
    <w:lvl w:ilvl="7" w:tplc="04090019" w:tentative="1">
      <w:start w:val="1"/>
      <w:numFmt w:val="lowerLetter"/>
      <w:lvlText w:val="%8."/>
      <w:lvlJc w:val="left"/>
      <w:pPr>
        <w:tabs>
          <w:tab w:val="num" w:pos="7850"/>
        </w:tabs>
        <w:ind w:left="7850" w:hanging="360"/>
      </w:pPr>
    </w:lvl>
    <w:lvl w:ilvl="8" w:tplc="0409001B" w:tentative="1">
      <w:start w:val="1"/>
      <w:numFmt w:val="lowerRoman"/>
      <w:lvlText w:val="%9."/>
      <w:lvlJc w:val="right"/>
      <w:pPr>
        <w:tabs>
          <w:tab w:val="num" w:pos="8570"/>
        </w:tabs>
        <w:ind w:left="8570" w:hanging="180"/>
      </w:pPr>
    </w:lvl>
  </w:abstractNum>
  <w:abstractNum w:abstractNumId="26">
    <w:nsid w:val="5A246766"/>
    <w:multiLevelType w:val="hybridMultilevel"/>
    <w:tmpl w:val="580E891E"/>
    <w:lvl w:ilvl="0" w:tplc="F86A95EE">
      <w:start w:val="2010"/>
      <w:numFmt w:val="bullet"/>
      <w:lvlText w:val="-"/>
      <w:lvlJc w:val="left"/>
      <w:pPr>
        <w:tabs>
          <w:tab w:val="num" w:pos="405"/>
        </w:tabs>
        <w:ind w:left="405" w:hanging="360"/>
      </w:pPr>
      <w:rPr>
        <w:rFonts w:ascii="Arial" w:eastAsia="Times New Roman" w:hAnsi="Arial" w:cs="Arial"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27">
    <w:nsid w:val="5D106614"/>
    <w:multiLevelType w:val="hybridMultilevel"/>
    <w:tmpl w:val="AE86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412D59"/>
    <w:multiLevelType w:val="hybridMultilevel"/>
    <w:tmpl w:val="8580E65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6E11790"/>
    <w:multiLevelType w:val="hybridMultilevel"/>
    <w:tmpl w:val="C4DA5566"/>
    <w:lvl w:ilvl="0" w:tplc="3C1A128A">
      <w:start w:val="1"/>
      <w:numFmt w:val="bullet"/>
      <w:lvlText w:val=""/>
      <w:lvlJc w:val="left"/>
      <w:pPr>
        <w:tabs>
          <w:tab w:val="num" w:pos="0"/>
        </w:tabs>
        <w:ind w:left="216" w:hanging="216"/>
      </w:pPr>
      <w:rPr>
        <w:rFonts w:ascii="Symbol" w:hAnsi="Symbol" w:cs="Times New Roman" w:hint="default"/>
        <w:sz w:val="16"/>
      </w:rPr>
    </w:lvl>
    <w:lvl w:ilvl="1" w:tplc="04090003">
      <w:start w:val="1"/>
      <w:numFmt w:val="bullet"/>
      <w:lvlText w:val="o"/>
      <w:lvlJc w:val="left"/>
      <w:pPr>
        <w:tabs>
          <w:tab w:val="num" w:pos="1440"/>
        </w:tabs>
        <w:ind w:left="1440" w:hanging="360"/>
      </w:pPr>
      <w:rPr>
        <w:rFonts w:ascii="Courier New" w:hAnsi="Courier New" w:cs="Courier New" w:hint="default"/>
        <w:sz w:val="16"/>
      </w:rPr>
    </w:lvl>
    <w:lvl w:ilvl="2" w:tplc="3C1A128A">
      <w:start w:val="1"/>
      <w:numFmt w:val="bullet"/>
      <w:lvlText w:val=""/>
      <w:lvlJc w:val="left"/>
      <w:pPr>
        <w:tabs>
          <w:tab w:val="num" w:pos="1800"/>
        </w:tabs>
        <w:ind w:left="2016" w:hanging="216"/>
      </w:pPr>
      <w:rPr>
        <w:rFonts w:ascii="Symbol" w:hAnsi="Symbol" w:cs="Times New Roman"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90A6FA0"/>
    <w:multiLevelType w:val="hybridMultilevel"/>
    <w:tmpl w:val="B68C87D4"/>
    <w:lvl w:ilvl="0" w:tplc="3C1A128A">
      <w:start w:val="1"/>
      <w:numFmt w:val="bullet"/>
      <w:lvlText w:val=""/>
      <w:lvlJc w:val="left"/>
      <w:pPr>
        <w:tabs>
          <w:tab w:val="num" w:pos="0"/>
        </w:tabs>
        <w:ind w:left="216" w:hanging="216"/>
      </w:pPr>
      <w:rPr>
        <w:rFonts w:ascii="Symbol" w:hAnsi="Symbol" w:cs="Times New Roman"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22D703E"/>
    <w:multiLevelType w:val="hybridMultilevel"/>
    <w:tmpl w:val="BAE6B8B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nsid w:val="73764AC1"/>
    <w:multiLevelType w:val="hybridMultilevel"/>
    <w:tmpl w:val="EEC241E4"/>
    <w:lvl w:ilvl="0" w:tplc="04090001">
      <w:start w:val="1"/>
      <w:numFmt w:val="bullet"/>
      <w:lvlText w:val=""/>
      <w:lvlJc w:val="left"/>
      <w:pPr>
        <w:tabs>
          <w:tab w:val="num" w:pos="720"/>
        </w:tabs>
        <w:ind w:left="720" w:hanging="360"/>
      </w:pPr>
      <w:rPr>
        <w:rFonts w:ascii="Symbol" w:hAnsi="Symbol" w:hint="default"/>
      </w:rPr>
    </w:lvl>
    <w:lvl w:ilvl="1" w:tplc="61125720">
      <w:start w:val="1"/>
      <w:numFmt w:val="bullet"/>
      <w:lvlText w:val=""/>
      <w:lvlJc w:val="left"/>
      <w:pPr>
        <w:tabs>
          <w:tab w:val="num" w:pos="1080"/>
        </w:tabs>
        <w:ind w:left="1296" w:hanging="216"/>
      </w:pPr>
      <w:rPr>
        <w:rFonts w:ascii="Symbol" w:hAnsi="Symbol" w:cs="Times New Roman"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562138E"/>
    <w:multiLevelType w:val="hybridMultilevel"/>
    <w:tmpl w:val="A8D8EF0C"/>
    <w:lvl w:ilvl="0" w:tplc="4858A6B0">
      <w:start w:val="1"/>
      <w:numFmt w:val="bullet"/>
      <w:lvlText w:val=""/>
      <w:lvlJc w:val="left"/>
      <w:pPr>
        <w:tabs>
          <w:tab w:val="num" w:pos="360"/>
        </w:tabs>
        <w:ind w:left="576" w:hanging="216"/>
      </w:pPr>
      <w:rPr>
        <w:rFonts w:ascii="Symbol" w:hAnsi="Symbol" w:cs="Times New Roman"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D3B09D3"/>
    <w:multiLevelType w:val="hybridMultilevel"/>
    <w:tmpl w:val="D95AD8BA"/>
    <w:lvl w:ilvl="0" w:tplc="F5C89774">
      <w:start w:val="1"/>
      <w:numFmt w:val="decimal"/>
      <w:lvlText w:val="%1."/>
      <w:lvlJc w:val="left"/>
      <w:pPr>
        <w:tabs>
          <w:tab w:val="num" w:pos="720"/>
        </w:tabs>
        <w:ind w:left="0" w:firstLine="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4E4DD3"/>
    <w:multiLevelType w:val="hybridMultilevel"/>
    <w:tmpl w:val="CC5A33FE"/>
    <w:lvl w:ilvl="0" w:tplc="EDCEAEB4">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F1A5133"/>
    <w:multiLevelType w:val="hybridMultilevel"/>
    <w:tmpl w:val="3FD653A8"/>
    <w:lvl w:ilvl="0" w:tplc="F86A95EE">
      <w:start w:val="2010"/>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F716EAE"/>
    <w:multiLevelType w:val="hybridMultilevel"/>
    <w:tmpl w:val="C85C2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6"/>
  </w:num>
  <w:num w:numId="3">
    <w:abstractNumId w:val="32"/>
  </w:num>
  <w:num w:numId="4">
    <w:abstractNumId w:val="17"/>
  </w:num>
  <w:num w:numId="5">
    <w:abstractNumId w:val="25"/>
  </w:num>
  <w:num w:numId="6">
    <w:abstractNumId w:val="8"/>
  </w:num>
  <w:num w:numId="7">
    <w:abstractNumId w:val="24"/>
  </w:num>
  <w:num w:numId="8">
    <w:abstractNumId w:val="12"/>
  </w:num>
  <w:num w:numId="9">
    <w:abstractNumId w:val="7"/>
  </w:num>
  <w:num w:numId="10">
    <w:abstractNumId w:val="13"/>
  </w:num>
  <w:num w:numId="11">
    <w:abstractNumId w:val="0"/>
  </w:num>
  <w:num w:numId="12">
    <w:abstractNumId w:val="30"/>
  </w:num>
  <w:num w:numId="13">
    <w:abstractNumId w:val="10"/>
  </w:num>
  <w:num w:numId="14">
    <w:abstractNumId w:val="29"/>
  </w:num>
  <w:num w:numId="15">
    <w:abstractNumId w:val="28"/>
  </w:num>
  <w:num w:numId="16">
    <w:abstractNumId w:val="15"/>
  </w:num>
  <w:num w:numId="17">
    <w:abstractNumId w:val="14"/>
  </w:num>
  <w:num w:numId="18">
    <w:abstractNumId w:val="35"/>
  </w:num>
  <w:num w:numId="19">
    <w:abstractNumId w:val="1"/>
  </w:num>
  <w:num w:numId="20">
    <w:abstractNumId w:val="26"/>
  </w:num>
  <w:num w:numId="21">
    <w:abstractNumId w:val="18"/>
  </w:num>
  <w:num w:numId="22">
    <w:abstractNumId w:val="33"/>
  </w:num>
  <w:num w:numId="23">
    <w:abstractNumId w:val="5"/>
  </w:num>
  <w:num w:numId="24">
    <w:abstractNumId w:val="2"/>
  </w:num>
  <w:num w:numId="25">
    <w:abstractNumId w:val="21"/>
  </w:num>
  <w:num w:numId="26">
    <w:abstractNumId w:val="4"/>
  </w:num>
  <w:num w:numId="27">
    <w:abstractNumId w:val="9"/>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6"/>
  </w:num>
  <w:num w:numId="31">
    <w:abstractNumId w:val="6"/>
  </w:num>
  <w:num w:numId="32">
    <w:abstractNumId w:val="11"/>
  </w:num>
  <w:num w:numId="33">
    <w:abstractNumId w:val="22"/>
  </w:num>
  <w:num w:numId="34">
    <w:abstractNumId w:val="20"/>
  </w:num>
  <w:num w:numId="35">
    <w:abstractNumId w:val="34"/>
  </w:num>
  <w:num w:numId="36">
    <w:abstractNumId w:val="31"/>
  </w:num>
  <w:num w:numId="37">
    <w:abstractNumId w:val="37"/>
  </w:num>
  <w:num w:numId="38">
    <w:abstractNumId w:val="27"/>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59C"/>
    <w:rsid w:val="000001D4"/>
    <w:rsid w:val="00001779"/>
    <w:rsid w:val="00003A63"/>
    <w:rsid w:val="0000539D"/>
    <w:rsid w:val="000060B5"/>
    <w:rsid w:val="000072D4"/>
    <w:rsid w:val="00007F97"/>
    <w:rsid w:val="00010E7C"/>
    <w:rsid w:val="00012137"/>
    <w:rsid w:val="000123F7"/>
    <w:rsid w:val="00012993"/>
    <w:rsid w:val="00012B73"/>
    <w:rsid w:val="00013D2D"/>
    <w:rsid w:val="00014CB0"/>
    <w:rsid w:val="000156A7"/>
    <w:rsid w:val="000179A0"/>
    <w:rsid w:val="00017D8C"/>
    <w:rsid w:val="00017F39"/>
    <w:rsid w:val="000222FD"/>
    <w:rsid w:val="000229DB"/>
    <w:rsid w:val="0002308B"/>
    <w:rsid w:val="000275E5"/>
    <w:rsid w:val="00030AF9"/>
    <w:rsid w:val="00030DEE"/>
    <w:rsid w:val="00031C77"/>
    <w:rsid w:val="000320C9"/>
    <w:rsid w:val="00034421"/>
    <w:rsid w:val="00034A91"/>
    <w:rsid w:val="000404E3"/>
    <w:rsid w:val="00042886"/>
    <w:rsid w:val="00043FC2"/>
    <w:rsid w:val="00047B9D"/>
    <w:rsid w:val="000506DA"/>
    <w:rsid w:val="0005690C"/>
    <w:rsid w:val="00057881"/>
    <w:rsid w:val="00060D22"/>
    <w:rsid w:val="0006308E"/>
    <w:rsid w:val="000642E3"/>
    <w:rsid w:val="00065F24"/>
    <w:rsid w:val="00067B3D"/>
    <w:rsid w:val="00067EB1"/>
    <w:rsid w:val="00070F81"/>
    <w:rsid w:val="00072035"/>
    <w:rsid w:val="00073BDF"/>
    <w:rsid w:val="00075FAD"/>
    <w:rsid w:val="0007618E"/>
    <w:rsid w:val="00082AE6"/>
    <w:rsid w:val="000840E3"/>
    <w:rsid w:val="00086FE0"/>
    <w:rsid w:val="00087711"/>
    <w:rsid w:val="00087B93"/>
    <w:rsid w:val="00092297"/>
    <w:rsid w:val="00092A43"/>
    <w:rsid w:val="000941A8"/>
    <w:rsid w:val="000941B8"/>
    <w:rsid w:val="00094C45"/>
    <w:rsid w:val="00095D92"/>
    <w:rsid w:val="00095E31"/>
    <w:rsid w:val="00095FE5"/>
    <w:rsid w:val="0009600B"/>
    <w:rsid w:val="00097A55"/>
    <w:rsid w:val="000A007A"/>
    <w:rsid w:val="000A1968"/>
    <w:rsid w:val="000A199D"/>
    <w:rsid w:val="000A1CAA"/>
    <w:rsid w:val="000A2951"/>
    <w:rsid w:val="000A3188"/>
    <w:rsid w:val="000A4E7B"/>
    <w:rsid w:val="000B0034"/>
    <w:rsid w:val="000B29EA"/>
    <w:rsid w:val="000B59E6"/>
    <w:rsid w:val="000B6E73"/>
    <w:rsid w:val="000C108C"/>
    <w:rsid w:val="000C17AE"/>
    <w:rsid w:val="000C2067"/>
    <w:rsid w:val="000C228A"/>
    <w:rsid w:val="000C27FB"/>
    <w:rsid w:val="000C4A80"/>
    <w:rsid w:val="000C4FAB"/>
    <w:rsid w:val="000D2575"/>
    <w:rsid w:val="000D3DD1"/>
    <w:rsid w:val="000D6216"/>
    <w:rsid w:val="000E23CE"/>
    <w:rsid w:val="000E3124"/>
    <w:rsid w:val="000E375F"/>
    <w:rsid w:val="000E3F07"/>
    <w:rsid w:val="000E4429"/>
    <w:rsid w:val="000E4C98"/>
    <w:rsid w:val="000E6414"/>
    <w:rsid w:val="000E78EF"/>
    <w:rsid w:val="000E7F94"/>
    <w:rsid w:val="000F0960"/>
    <w:rsid w:val="000F1EC5"/>
    <w:rsid w:val="000F2A6E"/>
    <w:rsid w:val="000F2C42"/>
    <w:rsid w:val="000F659C"/>
    <w:rsid w:val="000F6771"/>
    <w:rsid w:val="000F7B20"/>
    <w:rsid w:val="00101731"/>
    <w:rsid w:val="00101F76"/>
    <w:rsid w:val="0010220D"/>
    <w:rsid w:val="0010288A"/>
    <w:rsid w:val="0010503B"/>
    <w:rsid w:val="001114CE"/>
    <w:rsid w:val="00112C1B"/>
    <w:rsid w:val="00112C21"/>
    <w:rsid w:val="001137DC"/>
    <w:rsid w:val="0011432E"/>
    <w:rsid w:val="001152CC"/>
    <w:rsid w:val="001159B2"/>
    <w:rsid w:val="00122991"/>
    <w:rsid w:val="00126AFC"/>
    <w:rsid w:val="001308D3"/>
    <w:rsid w:val="00132ACF"/>
    <w:rsid w:val="0013310A"/>
    <w:rsid w:val="00134081"/>
    <w:rsid w:val="0013464C"/>
    <w:rsid w:val="0013562B"/>
    <w:rsid w:val="00140172"/>
    <w:rsid w:val="0014112D"/>
    <w:rsid w:val="00144CDE"/>
    <w:rsid w:val="00145475"/>
    <w:rsid w:val="00146240"/>
    <w:rsid w:val="00146887"/>
    <w:rsid w:val="00151738"/>
    <w:rsid w:val="00151800"/>
    <w:rsid w:val="00153BF4"/>
    <w:rsid w:val="00156973"/>
    <w:rsid w:val="001573B3"/>
    <w:rsid w:val="0016057D"/>
    <w:rsid w:val="00160E2B"/>
    <w:rsid w:val="00162C34"/>
    <w:rsid w:val="001636E2"/>
    <w:rsid w:val="00163A1E"/>
    <w:rsid w:val="001651FE"/>
    <w:rsid w:val="00165A84"/>
    <w:rsid w:val="001667B8"/>
    <w:rsid w:val="00170914"/>
    <w:rsid w:val="00173B13"/>
    <w:rsid w:val="00174937"/>
    <w:rsid w:val="00181E9B"/>
    <w:rsid w:val="0018448E"/>
    <w:rsid w:val="00184870"/>
    <w:rsid w:val="00185D0E"/>
    <w:rsid w:val="0019015F"/>
    <w:rsid w:val="0019089D"/>
    <w:rsid w:val="00193490"/>
    <w:rsid w:val="0019353D"/>
    <w:rsid w:val="00195FAB"/>
    <w:rsid w:val="001A05A8"/>
    <w:rsid w:val="001A0698"/>
    <w:rsid w:val="001A467B"/>
    <w:rsid w:val="001A5E8E"/>
    <w:rsid w:val="001B2C8B"/>
    <w:rsid w:val="001B2D76"/>
    <w:rsid w:val="001B3B47"/>
    <w:rsid w:val="001B5621"/>
    <w:rsid w:val="001B572E"/>
    <w:rsid w:val="001B656D"/>
    <w:rsid w:val="001B7EA3"/>
    <w:rsid w:val="001C0EFF"/>
    <w:rsid w:val="001C5720"/>
    <w:rsid w:val="001C5EB6"/>
    <w:rsid w:val="001C60BB"/>
    <w:rsid w:val="001D0497"/>
    <w:rsid w:val="001D0621"/>
    <w:rsid w:val="001D1756"/>
    <w:rsid w:val="001D284E"/>
    <w:rsid w:val="001D4723"/>
    <w:rsid w:val="001D4E07"/>
    <w:rsid w:val="001D58B7"/>
    <w:rsid w:val="001D6DEA"/>
    <w:rsid w:val="001E34A4"/>
    <w:rsid w:val="001E4181"/>
    <w:rsid w:val="001E4E99"/>
    <w:rsid w:val="001E5B2F"/>
    <w:rsid w:val="001E61FD"/>
    <w:rsid w:val="001E65A1"/>
    <w:rsid w:val="001E6C3A"/>
    <w:rsid w:val="001F0325"/>
    <w:rsid w:val="001F199B"/>
    <w:rsid w:val="001F259D"/>
    <w:rsid w:val="001F2A90"/>
    <w:rsid w:val="001F3CAB"/>
    <w:rsid w:val="001F3D21"/>
    <w:rsid w:val="001F72BA"/>
    <w:rsid w:val="00200497"/>
    <w:rsid w:val="002012A2"/>
    <w:rsid w:val="00201447"/>
    <w:rsid w:val="00201A77"/>
    <w:rsid w:val="00202860"/>
    <w:rsid w:val="002028CD"/>
    <w:rsid w:val="00203697"/>
    <w:rsid w:val="002058B4"/>
    <w:rsid w:val="00205F54"/>
    <w:rsid w:val="002060CB"/>
    <w:rsid w:val="0020649B"/>
    <w:rsid w:val="00207438"/>
    <w:rsid w:val="00211A90"/>
    <w:rsid w:val="00211CCA"/>
    <w:rsid w:val="00213FDB"/>
    <w:rsid w:val="002148A9"/>
    <w:rsid w:val="00214F09"/>
    <w:rsid w:val="0021575D"/>
    <w:rsid w:val="002166F8"/>
    <w:rsid w:val="00221E12"/>
    <w:rsid w:val="00224D83"/>
    <w:rsid w:val="002256BD"/>
    <w:rsid w:val="00226922"/>
    <w:rsid w:val="002269D4"/>
    <w:rsid w:val="002300D7"/>
    <w:rsid w:val="00231DDE"/>
    <w:rsid w:val="00233571"/>
    <w:rsid w:val="002349EB"/>
    <w:rsid w:val="0023572E"/>
    <w:rsid w:val="002364F9"/>
    <w:rsid w:val="00236785"/>
    <w:rsid w:val="002367EF"/>
    <w:rsid w:val="0023762A"/>
    <w:rsid w:val="0024080F"/>
    <w:rsid w:val="002413DD"/>
    <w:rsid w:val="00243686"/>
    <w:rsid w:val="00246090"/>
    <w:rsid w:val="00246258"/>
    <w:rsid w:val="0024629B"/>
    <w:rsid w:val="002468EC"/>
    <w:rsid w:val="00247F02"/>
    <w:rsid w:val="0025062A"/>
    <w:rsid w:val="00250708"/>
    <w:rsid w:val="00251497"/>
    <w:rsid w:val="00251706"/>
    <w:rsid w:val="00252726"/>
    <w:rsid w:val="00257C76"/>
    <w:rsid w:val="00260D82"/>
    <w:rsid w:val="002638A9"/>
    <w:rsid w:val="00267515"/>
    <w:rsid w:val="0027058D"/>
    <w:rsid w:val="0027264D"/>
    <w:rsid w:val="00275D06"/>
    <w:rsid w:val="00276663"/>
    <w:rsid w:val="00277C14"/>
    <w:rsid w:val="00281F70"/>
    <w:rsid w:val="00290100"/>
    <w:rsid w:val="0029342F"/>
    <w:rsid w:val="00293519"/>
    <w:rsid w:val="00293597"/>
    <w:rsid w:val="002969D8"/>
    <w:rsid w:val="002A3339"/>
    <w:rsid w:val="002A6B6B"/>
    <w:rsid w:val="002A71D0"/>
    <w:rsid w:val="002A7C40"/>
    <w:rsid w:val="002B051F"/>
    <w:rsid w:val="002B5570"/>
    <w:rsid w:val="002C0B96"/>
    <w:rsid w:val="002C0F77"/>
    <w:rsid w:val="002C13A2"/>
    <w:rsid w:val="002C1C2C"/>
    <w:rsid w:val="002C33C7"/>
    <w:rsid w:val="002C418A"/>
    <w:rsid w:val="002C7CBF"/>
    <w:rsid w:val="002D0291"/>
    <w:rsid w:val="002D1C37"/>
    <w:rsid w:val="002D7A3D"/>
    <w:rsid w:val="002E03BD"/>
    <w:rsid w:val="002E2154"/>
    <w:rsid w:val="002E6163"/>
    <w:rsid w:val="002E71E5"/>
    <w:rsid w:val="002E7D0D"/>
    <w:rsid w:val="002F08EE"/>
    <w:rsid w:val="002F1D55"/>
    <w:rsid w:val="002F2E6D"/>
    <w:rsid w:val="002F3A78"/>
    <w:rsid w:val="002F4B0C"/>
    <w:rsid w:val="002F4D22"/>
    <w:rsid w:val="002F5C08"/>
    <w:rsid w:val="00300F41"/>
    <w:rsid w:val="00302EC5"/>
    <w:rsid w:val="003036C2"/>
    <w:rsid w:val="003043B3"/>
    <w:rsid w:val="00304BE1"/>
    <w:rsid w:val="00310F28"/>
    <w:rsid w:val="00311164"/>
    <w:rsid w:val="00311B6C"/>
    <w:rsid w:val="00313CFE"/>
    <w:rsid w:val="00315BDA"/>
    <w:rsid w:val="00321267"/>
    <w:rsid w:val="0032278B"/>
    <w:rsid w:val="0032536D"/>
    <w:rsid w:val="003256FB"/>
    <w:rsid w:val="00326711"/>
    <w:rsid w:val="00330FC7"/>
    <w:rsid w:val="0033313E"/>
    <w:rsid w:val="00333F7C"/>
    <w:rsid w:val="003343FD"/>
    <w:rsid w:val="003365E4"/>
    <w:rsid w:val="00336CA6"/>
    <w:rsid w:val="00340D12"/>
    <w:rsid w:val="0034130D"/>
    <w:rsid w:val="00343676"/>
    <w:rsid w:val="00347D3A"/>
    <w:rsid w:val="00350760"/>
    <w:rsid w:val="00351757"/>
    <w:rsid w:val="00352B98"/>
    <w:rsid w:val="00352EA9"/>
    <w:rsid w:val="0035466E"/>
    <w:rsid w:val="00354C93"/>
    <w:rsid w:val="00357085"/>
    <w:rsid w:val="003600D4"/>
    <w:rsid w:val="00363ADB"/>
    <w:rsid w:val="003643D0"/>
    <w:rsid w:val="003648B9"/>
    <w:rsid w:val="00372BA7"/>
    <w:rsid w:val="0037407F"/>
    <w:rsid w:val="00374D7C"/>
    <w:rsid w:val="003767F7"/>
    <w:rsid w:val="0037685F"/>
    <w:rsid w:val="00380B87"/>
    <w:rsid w:val="00381162"/>
    <w:rsid w:val="00381760"/>
    <w:rsid w:val="0038236A"/>
    <w:rsid w:val="003836B1"/>
    <w:rsid w:val="00383D93"/>
    <w:rsid w:val="003846A9"/>
    <w:rsid w:val="0038479E"/>
    <w:rsid w:val="0038555E"/>
    <w:rsid w:val="00392BEF"/>
    <w:rsid w:val="00394B38"/>
    <w:rsid w:val="00395976"/>
    <w:rsid w:val="00395FFD"/>
    <w:rsid w:val="00396927"/>
    <w:rsid w:val="003972AC"/>
    <w:rsid w:val="003A245C"/>
    <w:rsid w:val="003A250E"/>
    <w:rsid w:val="003A4F19"/>
    <w:rsid w:val="003B20BA"/>
    <w:rsid w:val="003B2629"/>
    <w:rsid w:val="003B2E4A"/>
    <w:rsid w:val="003B40C0"/>
    <w:rsid w:val="003B5CA8"/>
    <w:rsid w:val="003B6D3A"/>
    <w:rsid w:val="003C0416"/>
    <w:rsid w:val="003C1055"/>
    <w:rsid w:val="003C2D70"/>
    <w:rsid w:val="003C5CBA"/>
    <w:rsid w:val="003C714F"/>
    <w:rsid w:val="003C72A8"/>
    <w:rsid w:val="003D0C37"/>
    <w:rsid w:val="003D25AB"/>
    <w:rsid w:val="003D4379"/>
    <w:rsid w:val="003D48C0"/>
    <w:rsid w:val="003D4A46"/>
    <w:rsid w:val="003D5B6A"/>
    <w:rsid w:val="003D72B7"/>
    <w:rsid w:val="003E2399"/>
    <w:rsid w:val="003E33D1"/>
    <w:rsid w:val="003E3464"/>
    <w:rsid w:val="003E4A35"/>
    <w:rsid w:val="003F0291"/>
    <w:rsid w:val="003F1251"/>
    <w:rsid w:val="003F2E1E"/>
    <w:rsid w:val="003F37F5"/>
    <w:rsid w:val="003F4F20"/>
    <w:rsid w:val="003F7B61"/>
    <w:rsid w:val="00400EA5"/>
    <w:rsid w:val="004015BF"/>
    <w:rsid w:val="0040284A"/>
    <w:rsid w:val="00402E64"/>
    <w:rsid w:val="00403AFB"/>
    <w:rsid w:val="00404011"/>
    <w:rsid w:val="00404349"/>
    <w:rsid w:val="004065DF"/>
    <w:rsid w:val="004132D9"/>
    <w:rsid w:val="004143B9"/>
    <w:rsid w:val="00414A7E"/>
    <w:rsid w:val="00415DD6"/>
    <w:rsid w:val="00417A36"/>
    <w:rsid w:val="00427980"/>
    <w:rsid w:val="00427FA9"/>
    <w:rsid w:val="004305C4"/>
    <w:rsid w:val="004312A0"/>
    <w:rsid w:val="00432210"/>
    <w:rsid w:val="004355C6"/>
    <w:rsid w:val="00435E6F"/>
    <w:rsid w:val="00440AE5"/>
    <w:rsid w:val="00441BAC"/>
    <w:rsid w:val="004426A3"/>
    <w:rsid w:val="00443950"/>
    <w:rsid w:val="00446218"/>
    <w:rsid w:val="004466CE"/>
    <w:rsid w:val="00446E71"/>
    <w:rsid w:val="00447D8E"/>
    <w:rsid w:val="004525C5"/>
    <w:rsid w:val="00453A9D"/>
    <w:rsid w:val="00453B5E"/>
    <w:rsid w:val="00453CE8"/>
    <w:rsid w:val="00453E93"/>
    <w:rsid w:val="004544AB"/>
    <w:rsid w:val="00455C81"/>
    <w:rsid w:val="00455D6A"/>
    <w:rsid w:val="00456853"/>
    <w:rsid w:val="00456D03"/>
    <w:rsid w:val="004616B4"/>
    <w:rsid w:val="004640DE"/>
    <w:rsid w:val="0046452F"/>
    <w:rsid w:val="0046573E"/>
    <w:rsid w:val="0046724B"/>
    <w:rsid w:val="00470645"/>
    <w:rsid w:val="00471C0C"/>
    <w:rsid w:val="00473370"/>
    <w:rsid w:val="004738E1"/>
    <w:rsid w:val="00474A5B"/>
    <w:rsid w:val="00475826"/>
    <w:rsid w:val="00476866"/>
    <w:rsid w:val="00480748"/>
    <w:rsid w:val="004809D7"/>
    <w:rsid w:val="0048165A"/>
    <w:rsid w:val="00481EC8"/>
    <w:rsid w:val="0048276A"/>
    <w:rsid w:val="00482EF7"/>
    <w:rsid w:val="00484368"/>
    <w:rsid w:val="00484533"/>
    <w:rsid w:val="00485686"/>
    <w:rsid w:val="00485EE9"/>
    <w:rsid w:val="00490835"/>
    <w:rsid w:val="00496A32"/>
    <w:rsid w:val="00497191"/>
    <w:rsid w:val="004977B9"/>
    <w:rsid w:val="004A1DF8"/>
    <w:rsid w:val="004A3129"/>
    <w:rsid w:val="004A40C4"/>
    <w:rsid w:val="004A5AB2"/>
    <w:rsid w:val="004A75A8"/>
    <w:rsid w:val="004A7C75"/>
    <w:rsid w:val="004B0A62"/>
    <w:rsid w:val="004B49CF"/>
    <w:rsid w:val="004B5254"/>
    <w:rsid w:val="004B5DD4"/>
    <w:rsid w:val="004C1CED"/>
    <w:rsid w:val="004C4D45"/>
    <w:rsid w:val="004C5855"/>
    <w:rsid w:val="004C5AF4"/>
    <w:rsid w:val="004C677B"/>
    <w:rsid w:val="004C71FF"/>
    <w:rsid w:val="004C7CAA"/>
    <w:rsid w:val="004D0015"/>
    <w:rsid w:val="004D1709"/>
    <w:rsid w:val="004D190F"/>
    <w:rsid w:val="004D221F"/>
    <w:rsid w:val="004D2375"/>
    <w:rsid w:val="004D29C7"/>
    <w:rsid w:val="004D52B6"/>
    <w:rsid w:val="004D5C53"/>
    <w:rsid w:val="004D5DF3"/>
    <w:rsid w:val="004D64A6"/>
    <w:rsid w:val="004E1F9D"/>
    <w:rsid w:val="004E4F99"/>
    <w:rsid w:val="004E53AD"/>
    <w:rsid w:val="004E72F4"/>
    <w:rsid w:val="004F0005"/>
    <w:rsid w:val="004F2406"/>
    <w:rsid w:val="004F50E1"/>
    <w:rsid w:val="004F604B"/>
    <w:rsid w:val="004F6067"/>
    <w:rsid w:val="004F65D9"/>
    <w:rsid w:val="004F6CEE"/>
    <w:rsid w:val="004F7E31"/>
    <w:rsid w:val="005001C6"/>
    <w:rsid w:val="00500911"/>
    <w:rsid w:val="00502EB6"/>
    <w:rsid w:val="00503A19"/>
    <w:rsid w:val="00503B01"/>
    <w:rsid w:val="0050489F"/>
    <w:rsid w:val="00505509"/>
    <w:rsid w:val="00505C68"/>
    <w:rsid w:val="00507B72"/>
    <w:rsid w:val="005110CF"/>
    <w:rsid w:val="00511A7D"/>
    <w:rsid w:val="00516DA9"/>
    <w:rsid w:val="00520C6A"/>
    <w:rsid w:val="00522A41"/>
    <w:rsid w:val="00524FED"/>
    <w:rsid w:val="0052676F"/>
    <w:rsid w:val="0053061E"/>
    <w:rsid w:val="00531501"/>
    <w:rsid w:val="00531546"/>
    <w:rsid w:val="005343A2"/>
    <w:rsid w:val="005361BE"/>
    <w:rsid w:val="00536F65"/>
    <w:rsid w:val="00541197"/>
    <w:rsid w:val="00542652"/>
    <w:rsid w:val="00544106"/>
    <w:rsid w:val="00545053"/>
    <w:rsid w:val="005464EE"/>
    <w:rsid w:val="00550D48"/>
    <w:rsid w:val="00551812"/>
    <w:rsid w:val="00556CC7"/>
    <w:rsid w:val="00556F69"/>
    <w:rsid w:val="00557AA8"/>
    <w:rsid w:val="00557FD9"/>
    <w:rsid w:val="00561B12"/>
    <w:rsid w:val="00564795"/>
    <w:rsid w:val="0056696C"/>
    <w:rsid w:val="00566B4C"/>
    <w:rsid w:val="00566E2B"/>
    <w:rsid w:val="005676EF"/>
    <w:rsid w:val="00570BDB"/>
    <w:rsid w:val="0057333F"/>
    <w:rsid w:val="0057468B"/>
    <w:rsid w:val="005756C8"/>
    <w:rsid w:val="005765AC"/>
    <w:rsid w:val="00580952"/>
    <w:rsid w:val="005813D2"/>
    <w:rsid w:val="00581F92"/>
    <w:rsid w:val="0058255C"/>
    <w:rsid w:val="00583484"/>
    <w:rsid w:val="00583497"/>
    <w:rsid w:val="00583B6D"/>
    <w:rsid w:val="00584F9D"/>
    <w:rsid w:val="005856F7"/>
    <w:rsid w:val="0059177F"/>
    <w:rsid w:val="005919C7"/>
    <w:rsid w:val="00592BD5"/>
    <w:rsid w:val="005940D2"/>
    <w:rsid w:val="0059535F"/>
    <w:rsid w:val="00596AB5"/>
    <w:rsid w:val="00596F6C"/>
    <w:rsid w:val="005A1212"/>
    <w:rsid w:val="005A22C9"/>
    <w:rsid w:val="005A2380"/>
    <w:rsid w:val="005A2D42"/>
    <w:rsid w:val="005A481D"/>
    <w:rsid w:val="005A4FCE"/>
    <w:rsid w:val="005A7A42"/>
    <w:rsid w:val="005B07BF"/>
    <w:rsid w:val="005B0C38"/>
    <w:rsid w:val="005B43BC"/>
    <w:rsid w:val="005B5397"/>
    <w:rsid w:val="005B61A5"/>
    <w:rsid w:val="005B6203"/>
    <w:rsid w:val="005B7848"/>
    <w:rsid w:val="005B7ACF"/>
    <w:rsid w:val="005C14E4"/>
    <w:rsid w:val="005C16D6"/>
    <w:rsid w:val="005C26AE"/>
    <w:rsid w:val="005C36ED"/>
    <w:rsid w:val="005C4598"/>
    <w:rsid w:val="005C4EAC"/>
    <w:rsid w:val="005C5E76"/>
    <w:rsid w:val="005D1CFF"/>
    <w:rsid w:val="005D27B5"/>
    <w:rsid w:val="005D479F"/>
    <w:rsid w:val="005D560C"/>
    <w:rsid w:val="005D5846"/>
    <w:rsid w:val="005D5B40"/>
    <w:rsid w:val="005D6226"/>
    <w:rsid w:val="005D73E0"/>
    <w:rsid w:val="005D7670"/>
    <w:rsid w:val="005E0647"/>
    <w:rsid w:val="005E0890"/>
    <w:rsid w:val="005E2204"/>
    <w:rsid w:val="005E2ADA"/>
    <w:rsid w:val="005E30D7"/>
    <w:rsid w:val="005E5872"/>
    <w:rsid w:val="005E729E"/>
    <w:rsid w:val="005F3B2F"/>
    <w:rsid w:val="005F3B8C"/>
    <w:rsid w:val="005F4E3C"/>
    <w:rsid w:val="005F5128"/>
    <w:rsid w:val="005F5F64"/>
    <w:rsid w:val="005F6348"/>
    <w:rsid w:val="00601791"/>
    <w:rsid w:val="00607555"/>
    <w:rsid w:val="006106F8"/>
    <w:rsid w:val="0061086F"/>
    <w:rsid w:val="00614E89"/>
    <w:rsid w:val="00614EAC"/>
    <w:rsid w:val="0061659D"/>
    <w:rsid w:val="00617D29"/>
    <w:rsid w:val="00621F6F"/>
    <w:rsid w:val="00622131"/>
    <w:rsid w:val="00625D99"/>
    <w:rsid w:val="0062649E"/>
    <w:rsid w:val="00627B1C"/>
    <w:rsid w:val="006301F1"/>
    <w:rsid w:val="00633121"/>
    <w:rsid w:val="00633514"/>
    <w:rsid w:val="00634A28"/>
    <w:rsid w:val="00636977"/>
    <w:rsid w:val="00636F43"/>
    <w:rsid w:val="0064227B"/>
    <w:rsid w:val="00644BA2"/>
    <w:rsid w:val="0064704C"/>
    <w:rsid w:val="00650059"/>
    <w:rsid w:val="006501D9"/>
    <w:rsid w:val="006505A6"/>
    <w:rsid w:val="006512AD"/>
    <w:rsid w:val="00653666"/>
    <w:rsid w:val="00656C7E"/>
    <w:rsid w:val="00661322"/>
    <w:rsid w:val="00661D8D"/>
    <w:rsid w:val="00661E48"/>
    <w:rsid w:val="00661F6C"/>
    <w:rsid w:val="0066224C"/>
    <w:rsid w:val="00666028"/>
    <w:rsid w:val="006671BF"/>
    <w:rsid w:val="0067068C"/>
    <w:rsid w:val="00671929"/>
    <w:rsid w:val="00673482"/>
    <w:rsid w:val="00673700"/>
    <w:rsid w:val="00673894"/>
    <w:rsid w:val="006761E4"/>
    <w:rsid w:val="00676BCD"/>
    <w:rsid w:val="006806D2"/>
    <w:rsid w:val="00681485"/>
    <w:rsid w:val="006834F2"/>
    <w:rsid w:val="00684597"/>
    <w:rsid w:val="00684C0F"/>
    <w:rsid w:val="00685C97"/>
    <w:rsid w:val="00686BF5"/>
    <w:rsid w:val="00687A95"/>
    <w:rsid w:val="00690D93"/>
    <w:rsid w:val="00691742"/>
    <w:rsid w:val="006930F2"/>
    <w:rsid w:val="006A04B8"/>
    <w:rsid w:val="006A1485"/>
    <w:rsid w:val="006A44E1"/>
    <w:rsid w:val="006A73EE"/>
    <w:rsid w:val="006B1198"/>
    <w:rsid w:val="006B12EC"/>
    <w:rsid w:val="006B1419"/>
    <w:rsid w:val="006B390D"/>
    <w:rsid w:val="006B44DB"/>
    <w:rsid w:val="006B53FA"/>
    <w:rsid w:val="006B5CF8"/>
    <w:rsid w:val="006B636D"/>
    <w:rsid w:val="006C0E44"/>
    <w:rsid w:val="006C0EC5"/>
    <w:rsid w:val="006C208B"/>
    <w:rsid w:val="006C41E3"/>
    <w:rsid w:val="006C43DE"/>
    <w:rsid w:val="006C4A42"/>
    <w:rsid w:val="006C6A4D"/>
    <w:rsid w:val="006D054C"/>
    <w:rsid w:val="006D0AB6"/>
    <w:rsid w:val="006D0BD8"/>
    <w:rsid w:val="006D0F06"/>
    <w:rsid w:val="006D109A"/>
    <w:rsid w:val="006D3ECF"/>
    <w:rsid w:val="006D403B"/>
    <w:rsid w:val="006D4864"/>
    <w:rsid w:val="006D4D20"/>
    <w:rsid w:val="006D629E"/>
    <w:rsid w:val="006E3432"/>
    <w:rsid w:val="006E3945"/>
    <w:rsid w:val="006E3EFA"/>
    <w:rsid w:val="006E49DE"/>
    <w:rsid w:val="006E528C"/>
    <w:rsid w:val="006E695D"/>
    <w:rsid w:val="006F0135"/>
    <w:rsid w:val="006F2258"/>
    <w:rsid w:val="006F3453"/>
    <w:rsid w:val="006F359C"/>
    <w:rsid w:val="006F363B"/>
    <w:rsid w:val="006F491A"/>
    <w:rsid w:val="006F6CA9"/>
    <w:rsid w:val="006F70B1"/>
    <w:rsid w:val="00700CC9"/>
    <w:rsid w:val="0070107B"/>
    <w:rsid w:val="0070243A"/>
    <w:rsid w:val="007028E6"/>
    <w:rsid w:val="00703741"/>
    <w:rsid w:val="007069D8"/>
    <w:rsid w:val="007073D3"/>
    <w:rsid w:val="00707CE6"/>
    <w:rsid w:val="00712116"/>
    <w:rsid w:val="00713730"/>
    <w:rsid w:val="007155A2"/>
    <w:rsid w:val="007165EA"/>
    <w:rsid w:val="00716629"/>
    <w:rsid w:val="00717C2A"/>
    <w:rsid w:val="0072064C"/>
    <w:rsid w:val="00722DB9"/>
    <w:rsid w:val="0072485B"/>
    <w:rsid w:val="00726397"/>
    <w:rsid w:val="00731084"/>
    <w:rsid w:val="00732431"/>
    <w:rsid w:val="007324E9"/>
    <w:rsid w:val="00732741"/>
    <w:rsid w:val="00733AA4"/>
    <w:rsid w:val="0073459B"/>
    <w:rsid w:val="0073540B"/>
    <w:rsid w:val="007369B1"/>
    <w:rsid w:val="00737223"/>
    <w:rsid w:val="0074086F"/>
    <w:rsid w:val="0074320C"/>
    <w:rsid w:val="00745141"/>
    <w:rsid w:val="00750034"/>
    <w:rsid w:val="00750C06"/>
    <w:rsid w:val="00751AC0"/>
    <w:rsid w:val="00751FE6"/>
    <w:rsid w:val="007530E6"/>
    <w:rsid w:val="007552DB"/>
    <w:rsid w:val="0075731D"/>
    <w:rsid w:val="00757EE7"/>
    <w:rsid w:val="00760261"/>
    <w:rsid w:val="00761EA1"/>
    <w:rsid w:val="00763057"/>
    <w:rsid w:val="00763B6B"/>
    <w:rsid w:val="00763D0B"/>
    <w:rsid w:val="00764DF9"/>
    <w:rsid w:val="007652E7"/>
    <w:rsid w:val="007657F1"/>
    <w:rsid w:val="00765A2E"/>
    <w:rsid w:val="0077086C"/>
    <w:rsid w:val="007717E9"/>
    <w:rsid w:val="00771A2A"/>
    <w:rsid w:val="00773385"/>
    <w:rsid w:val="00780BC1"/>
    <w:rsid w:val="0078239E"/>
    <w:rsid w:val="0078389F"/>
    <w:rsid w:val="00784E2D"/>
    <w:rsid w:val="00787342"/>
    <w:rsid w:val="00790402"/>
    <w:rsid w:val="00790EB6"/>
    <w:rsid w:val="007920B5"/>
    <w:rsid w:val="00796FE8"/>
    <w:rsid w:val="00797659"/>
    <w:rsid w:val="007A0294"/>
    <w:rsid w:val="007A04DE"/>
    <w:rsid w:val="007A24A4"/>
    <w:rsid w:val="007A363B"/>
    <w:rsid w:val="007A3BAC"/>
    <w:rsid w:val="007B061A"/>
    <w:rsid w:val="007B1248"/>
    <w:rsid w:val="007B160F"/>
    <w:rsid w:val="007B19C5"/>
    <w:rsid w:val="007B1EED"/>
    <w:rsid w:val="007B2319"/>
    <w:rsid w:val="007B4FCE"/>
    <w:rsid w:val="007B6D31"/>
    <w:rsid w:val="007B758E"/>
    <w:rsid w:val="007C18E2"/>
    <w:rsid w:val="007C3AF5"/>
    <w:rsid w:val="007C3FFD"/>
    <w:rsid w:val="007C7510"/>
    <w:rsid w:val="007D0890"/>
    <w:rsid w:val="007D22B0"/>
    <w:rsid w:val="007D376B"/>
    <w:rsid w:val="007D4F3E"/>
    <w:rsid w:val="007D6158"/>
    <w:rsid w:val="007E008A"/>
    <w:rsid w:val="007E1872"/>
    <w:rsid w:val="007E1BFD"/>
    <w:rsid w:val="007E1F04"/>
    <w:rsid w:val="007E5EE8"/>
    <w:rsid w:val="007E728B"/>
    <w:rsid w:val="007F2293"/>
    <w:rsid w:val="007F5793"/>
    <w:rsid w:val="007F68F3"/>
    <w:rsid w:val="007F6909"/>
    <w:rsid w:val="00802CB8"/>
    <w:rsid w:val="00802D54"/>
    <w:rsid w:val="00803625"/>
    <w:rsid w:val="00804E5B"/>
    <w:rsid w:val="008064C3"/>
    <w:rsid w:val="008066D7"/>
    <w:rsid w:val="00807B0C"/>
    <w:rsid w:val="00811458"/>
    <w:rsid w:val="00811980"/>
    <w:rsid w:val="008139A5"/>
    <w:rsid w:val="00813CE5"/>
    <w:rsid w:val="008143E4"/>
    <w:rsid w:val="00814ACC"/>
    <w:rsid w:val="008160A5"/>
    <w:rsid w:val="008205A5"/>
    <w:rsid w:val="008216AE"/>
    <w:rsid w:val="00822F54"/>
    <w:rsid w:val="00823CDC"/>
    <w:rsid w:val="00825E87"/>
    <w:rsid w:val="0082686C"/>
    <w:rsid w:val="0082726B"/>
    <w:rsid w:val="008272B1"/>
    <w:rsid w:val="0083225A"/>
    <w:rsid w:val="008324DC"/>
    <w:rsid w:val="00832D50"/>
    <w:rsid w:val="008336A9"/>
    <w:rsid w:val="00836000"/>
    <w:rsid w:val="0084005B"/>
    <w:rsid w:val="0084171D"/>
    <w:rsid w:val="00841E3F"/>
    <w:rsid w:val="008439D6"/>
    <w:rsid w:val="00844667"/>
    <w:rsid w:val="00844E85"/>
    <w:rsid w:val="0084723A"/>
    <w:rsid w:val="00851D56"/>
    <w:rsid w:val="00855208"/>
    <w:rsid w:val="008558B6"/>
    <w:rsid w:val="00857F3E"/>
    <w:rsid w:val="00862EBD"/>
    <w:rsid w:val="00865ED8"/>
    <w:rsid w:val="00866561"/>
    <w:rsid w:val="008669D0"/>
    <w:rsid w:val="008702AE"/>
    <w:rsid w:val="00870408"/>
    <w:rsid w:val="00870701"/>
    <w:rsid w:val="00870EAA"/>
    <w:rsid w:val="00871544"/>
    <w:rsid w:val="008718C6"/>
    <w:rsid w:val="0087442B"/>
    <w:rsid w:val="00874C19"/>
    <w:rsid w:val="00875247"/>
    <w:rsid w:val="00877019"/>
    <w:rsid w:val="008779FB"/>
    <w:rsid w:val="00877BE0"/>
    <w:rsid w:val="0088061B"/>
    <w:rsid w:val="00881013"/>
    <w:rsid w:val="00881250"/>
    <w:rsid w:val="008833EC"/>
    <w:rsid w:val="00885B84"/>
    <w:rsid w:val="00887A7C"/>
    <w:rsid w:val="00890985"/>
    <w:rsid w:val="008930AA"/>
    <w:rsid w:val="00896D22"/>
    <w:rsid w:val="00896D94"/>
    <w:rsid w:val="008A4741"/>
    <w:rsid w:val="008A47F0"/>
    <w:rsid w:val="008A60C0"/>
    <w:rsid w:val="008B06EF"/>
    <w:rsid w:val="008B25DF"/>
    <w:rsid w:val="008B3689"/>
    <w:rsid w:val="008B3F74"/>
    <w:rsid w:val="008B5071"/>
    <w:rsid w:val="008B54AC"/>
    <w:rsid w:val="008B62F0"/>
    <w:rsid w:val="008C08E6"/>
    <w:rsid w:val="008C1A7E"/>
    <w:rsid w:val="008C2A27"/>
    <w:rsid w:val="008C3105"/>
    <w:rsid w:val="008C47B4"/>
    <w:rsid w:val="008C4E1C"/>
    <w:rsid w:val="008C5C84"/>
    <w:rsid w:val="008C72BA"/>
    <w:rsid w:val="008D0694"/>
    <w:rsid w:val="008D0749"/>
    <w:rsid w:val="008D3631"/>
    <w:rsid w:val="008D38C3"/>
    <w:rsid w:val="008D4F82"/>
    <w:rsid w:val="008D571A"/>
    <w:rsid w:val="008D622F"/>
    <w:rsid w:val="008D6BE4"/>
    <w:rsid w:val="008D6EE6"/>
    <w:rsid w:val="008D7366"/>
    <w:rsid w:val="008E14EE"/>
    <w:rsid w:val="008E1676"/>
    <w:rsid w:val="008E33B7"/>
    <w:rsid w:val="008E745F"/>
    <w:rsid w:val="008E7497"/>
    <w:rsid w:val="008F0905"/>
    <w:rsid w:val="008F1E5D"/>
    <w:rsid w:val="008F37FC"/>
    <w:rsid w:val="008F3825"/>
    <w:rsid w:val="008F3DFD"/>
    <w:rsid w:val="008F56EA"/>
    <w:rsid w:val="008F630A"/>
    <w:rsid w:val="008F7C3C"/>
    <w:rsid w:val="009101F4"/>
    <w:rsid w:val="00911D5E"/>
    <w:rsid w:val="0091343B"/>
    <w:rsid w:val="00913ACA"/>
    <w:rsid w:val="00913E01"/>
    <w:rsid w:val="00914126"/>
    <w:rsid w:val="00915257"/>
    <w:rsid w:val="0091536C"/>
    <w:rsid w:val="00915CAE"/>
    <w:rsid w:val="00917F67"/>
    <w:rsid w:val="00920171"/>
    <w:rsid w:val="009208F0"/>
    <w:rsid w:val="0092213F"/>
    <w:rsid w:val="00924385"/>
    <w:rsid w:val="00924B1A"/>
    <w:rsid w:val="00925949"/>
    <w:rsid w:val="00932354"/>
    <w:rsid w:val="009325A1"/>
    <w:rsid w:val="009329E6"/>
    <w:rsid w:val="00933136"/>
    <w:rsid w:val="00934FFF"/>
    <w:rsid w:val="00935961"/>
    <w:rsid w:val="00935DFA"/>
    <w:rsid w:val="009361E8"/>
    <w:rsid w:val="009361ED"/>
    <w:rsid w:val="00937187"/>
    <w:rsid w:val="00937B3E"/>
    <w:rsid w:val="00937D22"/>
    <w:rsid w:val="00937F12"/>
    <w:rsid w:val="00940D93"/>
    <w:rsid w:val="00941662"/>
    <w:rsid w:val="00943D7F"/>
    <w:rsid w:val="00943FF9"/>
    <w:rsid w:val="0094512F"/>
    <w:rsid w:val="00946D3D"/>
    <w:rsid w:val="0094791E"/>
    <w:rsid w:val="0095042D"/>
    <w:rsid w:val="00950543"/>
    <w:rsid w:val="00952A34"/>
    <w:rsid w:val="00956ED9"/>
    <w:rsid w:val="00956FAA"/>
    <w:rsid w:val="00960A48"/>
    <w:rsid w:val="00963E6F"/>
    <w:rsid w:val="0096457B"/>
    <w:rsid w:val="0096552E"/>
    <w:rsid w:val="009655DB"/>
    <w:rsid w:val="00965DE9"/>
    <w:rsid w:val="00967568"/>
    <w:rsid w:val="009678CF"/>
    <w:rsid w:val="00967D29"/>
    <w:rsid w:val="0097178B"/>
    <w:rsid w:val="009802EF"/>
    <w:rsid w:val="0098123B"/>
    <w:rsid w:val="009833DD"/>
    <w:rsid w:val="009844DB"/>
    <w:rsid w:val="009844E5"/>
    <w:rsid w:val="00985A56"/>
    <w:rsid w:val="0098621C"/>
    <w:rsid w:val="00986762"/>
    <w:rsid w:val="00987E87"/>
    <w:rsid w:val="009920CE"/>
    <w:rsid w:val="00992F7D"/>
    <w:rsid w:val="00993238"/>
    <w:rsid w:val="00993D68"/>
    <w:rsid w:val="009942CD"/>
    <w:rsid w:val="009A2986"/>
    <w:rsid w:val="009A326B"/>
    <w:rsid w:val="009A444F"/>
    <w:rsid w:val="009A610E"/>
    <w:rsid w:val="009A7183"/>
    <w:rsid w:val="009A7445"/>
    <w:rsid w:val="009A7515"/>
    <w:rsid w:val="009B13AA"/>
    <w:rsid w:val="009B2C55"/>
    <w:rsid w:val="009B3A97"/>
    <w:rsid w:val="009B3B8A"/>
    <w:rsid w:val="009B4CE8"/>
    <w:rsid w:val="009B5D39"/>
    <w:rsid w:val="009B7597"/>
    <w:rsid w:val="009C0998"/>
    <w:rsid w:val="009C136F"/>
    <w:rsid w:val="009C2082"/>
    <w:rsid w:val="009C2454"/>
    <w:rsid w:val="009D0597"/>
    <w:rsid w:val="009D2A37"/>
    <w:rsid w:val="009D3590"/>
    <w:rsid w:val="009E0A47"/>
    <w:rsid w:val="009E1151"/>
    <w:rsid w:val="009E1EC6"/>
    <w:rsid w:val="009E54BB"/>
    <w:rsid w:val="009E5688"/>
    <w:rsid w:val="009E6FE3"/>
    <w:rsid w:val="009E7FC8"/>
    <w:rsid w:val="009F03D5"/>
    <w:rsid w:val="009F0619"/>
    <w:rsid w:val="009F18E9"/>
    <w:rsid w:val="009F1BDC"/>
    <w:rsid w:val="009F35BD"/>
    <w:rsid w:val="009F3A90"/>
    <w:rsid w:val="009F3D38"/>
    <w:rsid w:val="009F3F4A"/>
    <w:rsid w:val="009F7253"/>
    <w:rsid w:val="009F7718"/>
    <w:rsid w:val="00A002DB"/>
    <w:rsid w:val="00A008A6"/>
    <w:rsid w:val="00A018B3"/>
    <w:rsid w:val="00A023EF"/>
    <w:rsid w:val="00A0288F"/>
    <w:rsid w:val="00A02F1F"/>
    <w:rsid w:val="00A043EC"/>
    <w:rsid w:val="00A04581"/>
    <w:rsid w:val="00A049F1"/>
    <w:rsid w:val="00A04FAC"/>
    <w:rsid w:val="00A05710"/>
    <w:rsid w:val="00A05805"/>
    <w:rsid w:val="00A05F22"/>
    <w:rsid w:val="00A12F32"/>
    <w:rsid w:val="00A1319E"/>
    <w:rsid w:val="00A13714"/>
    <w:rsid w:val="00A13C69"/>
    <w:rsid w:val="00A14B7F"/>
    <w:rsid w:val="00A14F51"/>
    <w:rsid w:val="00A167BB"/>
    <w:rsid w:val="00A17550"/>
    <w:rsid w:val="00A23327"/>
    <w:rsid w:val="00A257A1"/>
    <w:rsid w:val="00A25934"/>
    <w:rsid w:val="00A2798E"/>
    <w:rsid w:val="00A306C3"/>
    <w:rsid w:val="00A31E79"/>
    <w:rsid w:val="00A32380"/>
    <w:rsid w:val="00A35D49"/>
    <w:rsid w:val="00A37516"/>
    <w:rsid w:val="00A40EC8"/>
    <w:rsid w:val="00A46A44"/>
    <w:rsid w:val="00A46A92"/>
    <w:rsid w:val="00A47ADD"/>
    <w:rsid w:val="00A50732"/>
    <w:rsid w:val="00A508EB"/>
    <w:rsid w:val="00A53074"/>
    <w:rsid w:val="00A53F67"/>
    <w:rsid w:val="00A543F4"/>
    <w:rsid w:val="00A54470"/>
    <w:rsid w:val="00A54DFB"/>
    <w:rsid w:val="00A558FC"/>
    <w:rsid w:val="00A55C11"/>
    <w:rsid w:val="00A56EB6"/>
    <w:rsid w:val="00A576BC"/>
    <w:rsid w:val="00A57803"/>
    <w:rsid w:val="00A57DC8"/>
    <w:rsid w:val="00A61486"/>
    <w:rsid w:val="00A62715"/>
    <w:rsid w:val="00A62F0B"/>
    <w:rsid w:val="00A63629"/>
    <w:rsid w:val="00A64370"/>
    <w:rsid w:val="00A67383"/>
    <w:rsid w:val="00A70F33"/>
    <w:rsid w:val="00A71418"/>
    <w:rsid w:val="00A725FA"/>
    <w:rsid w:val="00A73FC2"/>
    <w:rsid w:val="00A754D7"/>
    <w:rsid w:val="00A75FEC"/>
    <w:rsid w:val="00A76034"/>
    <w:rsid w:val="00A76452"/>
    <w:rsid w:val="00A77B68"/>
    <w:rsid w:val="00A80413"/>
    <w:rsid w:val="00A80B86"/>
    <w:rsid w:val="00A81030"/>
    <w:rsid w:val="00A81DC7"/>
    <w:rsid w:val="00A83C53"/>
    <w:rsid w:val="00A8654A"/>
    <w:rsid w:val="00A86B70"/>
    <w:rsid w:val="00A86DD1"/>
    <w:rsid w:val="00A876A6"/>
    <w:rsid w:val="00A87DD0"/>
    <w:rsid w:val="00A9197C"/>
    <w:rsid w:val="00A9510A"/>
    <w:rsid w:val="00A96A49"/>
    <w:rsid w:val="00A975F6"/>
    <w:rsid w:val="00AA2353"/>
    <w:rsid w:val="00AA39FF"/>
    <w:rsid w:val="00AA3B58"/>
    <w:rsid w:val="00AA468A"/>
    <w:rsid w:val="00AA47AC"/>
    <w:rsid w:val="00AA62EF"/>
    <w:rsid w:val="00AB2B5D"/>
    <w:rsid w:val="00AB46A0"/>
    <w:rsid w:val="00AB7087"/>
    <w:rsid w:val="00AB713E"/>
    <w:rsid w:val="00AC2728"/>
    <w:rsid w:val="00AC2984"/>
    <w:rsid w:val="00AC4314"/>
    <w:rsid w:val="00AC5CA0"/>
    <w:rsid w:val="00AC6B29"/>
    <w:rsid w:val="00AC6D19"/>
    <w:rsid w:val="00AC72D7"/>
    <w:rsid w:val="00AD05AB"/>
    <w:rsid w:val="00AD0858"/>
    <w:rsid w:val="00AD17F5"/>
    <w:rsid w:val="00AD2182"/>
    <w:rsid w:val="00AD3611"/>
    <w:rsid w:val="00AD4133"/>
    <w:rsid w:val="00AD6245"/>
    <w:rsid w:val="00AD6251"/>
    <w:rsid w:val="00AD7374"/>
    <w:rsid w:val="00AE1DD5"/>
    <w:rsid w:val="00AE48A6"/>
    <w:rsid w:val="00AE589A"/>
    <w:rsid w:val="00AE6744"/>
    <w:rsid w:val="00AE715D"/>
    <w:rsid w:val="00AE7720"/>
    <w:rsid w:val="00AF017C"/>
    <w:rsid w:val="00AF02AB"/>
    <w:rsid w:val="00AF0B98"/>
    <w:rsid w:val="00AF3948"/>
    <w:rsid w:val="00AF3A46"/>
    <w:rsid w:val="00AF4776"/>
    <w:rsid w:val="00AF5772"/>
    <w:rsid w:val="00AF6807"/>
    <w:rsid w:val="00B00670"/>
    <w:rsid w:val="00B02967"/>
    <w:rsid w:val="00B05C76"/>
    <w:rsid w:val="00B06516"/>
    <w:rsid w:val="00B119A7"/>
    <w:rsid w:val="00B1362E"/>
    <w:rsid w:val="00B17455"/>
    <w:rsid w:val="00B178A0"/>
    <w:rsid w:val="00B20DE6"/>
    <w:rsid w:val="00B22236"/>
    <w:rsid w:val="00B227D9"/>
    <w:rsid w:val="00B22D32"/>
    <w:rsid w:val="00B24A98"/>
    <w:rsid w:val="00B25700"/>
    <w:rsid w:val="00B25DCA"/>
    <w:rsid w:val="00B26EF2"/>
    <w:rsid w:val="00B33BD8"/>
    <w:rsid w:val="00B3459F"/>
    <w:rsid w:val="00B363F2"/>
    <w:rsid w:val="00B3714C"/>
    <w:rsid w:val="00B3769F"/>
    <w:rsid w:val="00B3777A"/>
    <w:rsid w:val="00B40C4E"/>
    <w:rsid w:val="00B41EDB"/>
    <w:rsid w:val="00B428CC"/>
    <w:rsid w:val="00B42989"/>
    <w:rsid w:val="00B42B8E"/>
    <w:rsid w:val="00B44DCB"/>
    <w:rsid w:val="00B46154"/>
    <w:rsid w:val="00B51E68"/>
    <w:rsid w:val="00B54293"/>
    <w:rsid w:val="00B6037E"/>
    <w:rsid w:val="00B62D69"/>
    <w:rsid w:val="00B631F4"/>
    <w:rsid w:val="00B65B83"/>
    <w:rsid w:val="00B663BA"/>
    <w:rsid w:val="00B71635"/>
    <w:rsid w:val="00B717A2"/>
    <w:rsid w:val="00B73E15"/>
    <w:rsid w:val="00B74188"/>
    <w:rsid w:val="00B74794"/>
    <w:rsid w:val="00B77B8D"/>
    <w:rsid w:val="00B81890"/>
    <w:rsid w:val="00B826F4"/>
    <w:rsid w:val="00B827A3"/>
    <w:rsid w:val="00B83047"/>
    <w:rsid w:val="00B862C7"/>
    <w:rsid w:val="00B8660D"/>
    <w:rsid w:val="00B93587"/>
    <w:rsid w:val="00B947E8"/>
    <w:rsid w:val="00B950BB"/>
    <w:rsid w:val="00B96DF3"/>
    <w:rsid w:val="00BA019D"/>
    <w:rsid w:val="00BA0C48"/>
    <w:rsid w:val="00BA13E7"/>
    <w:rsid w:val="00BA6A85"/>
    <w:rsid w:val="00BA7AD3"/>
    <w:rsid w:val="00BB0D86"/>
    <w:rsid w:val="00BB236B"/>
    <w:rsid w:val="00BB2BEB"/>
    <w:rsid w:val="00BB2E5D"/>
    <w:rsid w:val="00BB3EFE"/>
    <w:rsid w:val="00BB60DA"/>
    <w:rsid w:val="00BB76CA"/>
    <w:rsid w:val="00BC1F64"/>
    <w:rsid w:val="00BC2DBC"/>
    <w:rsid w:val="00BC56D1"/>
    <w:rsid w:val="00BC5C40"/>
    <w:rsid w:val="00BC623D"/>
    <w:rsid w:val="00BC6507"/>
    <w:rsid w:val="00BC7E6C"/>
    <w:rsid w:val="00BD1626"/>
    <w:rsid w:val="00BD354C"/>
    <w:rsid w:val="00BD3DAC"/>
    <w:rsid w:val="00BD4013"/>
    <w:rsid w:val="00BD589C"/>
    <w:rsid w:val="00BE05F2"/>
    <w:rsid w:val="00BE0677"/>
    <w:rsid w:val="00BE1636"/>
    <w:rsid w:val="00BE20F0"/>
    <w:rsid w:val="00BE2D46"/>
    <w:rsid w:val="00BE3134"/>
    <w:rsid w:val="00BE4417"/>
    <w:rsid w:val="00BE5AE5"/>
    <w:rsid w:val="00BE5CC1"/>
    <w:rsid w:val="00BF0D42"/>
    <w:rsid w:val="00BF2B4C"/>
    <w:rsid w:val="00BF6A6F"/>
    <w:rsid w:val="00BF6C94"/>
    <w:rsid w:val="00BF77E8"/>
    <w:rsid w:val="00C05628"/>
    <w:rsid w:val="00C102EF"/>
    <w:rsid w:val="00C10D5A"/>
    <w:rsid w:val="00C1285A"/>
    <w:rsid w:val="00C133C5"/>
    <w:rsid w:val="00C135D6"/>
    <w:rsid w:val="00C1362D"/>
    <w:rsid w:val="00C137DC"/>
    <w:rsid w:val="00C15553"/>
    <w:rsid w:val="00C15DAC"/>
    <w:rsid w:val="00C167AB"/>
    <w:rsid w:val="00C16AD2"/>
    <w:rsid w:val="00C20CA3"/>
    <w:rsid w:val="00C21B7A"/>
    <w:rsid w:val="00C224BA"/>
    <w:rsid w:val="00C2387A"/>
    <w:rsid w:val="00C25546"/>
    <w:rsid w:val="00C25A33"/>
    <w:rsid w:val="00C26848"/>
    <w:rsid w:val="00C26C5B"/>
    <w:rsid w:val="00C3191A"/>
    <w:rsid w:val="00C326B2"/>
    <w:rsid w:val="00C3296C"/>
    <w:rsid w:val="00C33524"/>
    <w:rsid w:val="00C34ED8"/>
    <w:rsid w:val="00C361A0"/>
    <w:rsid w:val="00C36E0B"/>
    <w:rsid w:val="00C40596"/>
    <w:rsid w:val="00C42503"/>
    <w:rsid w:val="00C440D2"/>
    <w:rsid w:val="00C44838"/>
    <w:rsid w:val="00C44E91"/>
    <w:rsid w:val="00C455E1"/>
    <w:rsid w:val="00C461EA"/>
    <w:rsid w:val="00C47B89"/>
    <w:rsid w:val="00C50D0D"/>
    <w:rsid w:val="00C50EAF"/>
    <w:rsid w:val="00C514C4"/>
    <w:rsid w:val="00C51986"/>
    <w:rsid w:val="00C51D83"/>
    <w:rsid w:val="00C523EC"/>
    <w:rsid w:val="00C52B34"/>
    <w:rsid w:val="00C563B3"/>
    <w:rsid w:val="00C5744F"/>
    <w:rsid w:val="00C60BF1"/>
    <w:rsid w:val="00C60EF2"/>
    <w:rsid w:val="00C63B2C"/>
    <w:rsid w:val="00C63B7D"/>
    <w:rsid w:val="00C64A00"/>
    <w:rsid w:val="00C6672A"/>
    <w:rsid w:val="00C71865"/>
    <w:rsid w:val="00C718FD"/>
    <w:rsid w:val="00C71B7A"/>
    <w:rsid w:val="00C71C1C"/>
    <w:rsid w:val="00C75CA8"/>
    <w:rsid w:val="00C77885"/>
    <w:rsid w:val="00C77BD9"/>
    <w:rsid w:val="00C809B2"/>
    <w:rsid w:val="00C84EBD"/>
    <w:rsid w:val="00C869D1"/>
    <w:rsid w:val="00C870BB"/>
    <w:rsid w:val="00C870C7"/>
    <w:rsid w:val="00C90A2F"/>
    <w:rsid w:val="00C911AC"/>
    <w:rsid w:val="00C91D6F"/>
    <w:rsid w:val="00C9574C"/>
    <w:rsid w:val="00CA08FB"/>
    <w:rsid w:val="00CA0E9A"/>
    <w:rsid w:val="00CA15DE"/>
    <w:rsid w:val="00CA217E"/>
    <w:rsid w:val="00CA30A3"/>
    <w:rsid w:val="00CA3496"/>
    <w:rsid w:val="00CA36C3"/>
    <w:rsid w:val="00CA5A06"/>
    <w:rsid w:val="00CB0A36"/>
    <w:rsid w:val="00CB0EFE"/>
    <w:rsid w:val="00CB2394"/>
    <w:rsid w:val="00CB320D"/>
    <w:rsid w:val="00CB75B9"/>
    <w:rsid w:val="00CB7E70"/>
    <w:rsid w:val="00CC0E81"/>
    <w:rsid w:val="00CC2EA8"/>
    <w:rsid w:val="00CC48CC"/>
    <w:rsid w:val="00CC6006"/>
    <w:rsid w:val="00CC6F0F"/>
    <w:rsid w:val="00CD6F31"/>
    <w:rsid w:val="00CD78B6"/>
    <w:rsid w:val="00CE03F1"/>
    <w:rsid w:val="00CE055E"/>
    <w:rsid w:val="00CE06DD"/>
    <w:rsid w:val="00CE1907"/>
    <w:rsid w:val="00CE250D"/>
    <w:rsid w:val="00CE3C86"/>
    <w:rsid w:val="00CF1376"/>
    <w:rsid w:val="00CF157B"/>
    <w:rsid w:val="00CF1F22"/>
    <w:rsid w:val="00CF3F07"/>
    <w:rsid w:val="00CF5F8C"/>
    <w:rsid w:val="00CF6EC6"/>
    <w:rsid w:val="00D017D3"/>
    <w:rsid w:val="00D023CB"/>
    <w:rsid w:val="00D047D6"/>
    <w:rsid w:val="00D04FEE"/>
    <w:rsid w:val="00D07786"/>
    <w:rsid w:val="00D07F51"/>
    <w:rsid w:val="00D118A4"/>
    <w:rsid w:val="00D12C8D"/>
    <w:rsid w:val="00D21465"/>
    <w:rsid w:val="00D21D32"/>
    <w:rsid w:val="00D22504"/>
    <w:rsid w:val="00D23050"/>
    <w:rsid w:val="00D26061"/>
    <w:rsid w:val="00D27109"/>
    <w:rsid w:val="00D3041D"/>
    <w:rsid w:val="00D313E9"/>
    <w:rsid w:val="00D314B9"/>
    <w:rsid w:val="00D329A5"/>
    <w:rsid w:val="00D33F59"/>
    <w:rsid w:val="00D40A0C"/>
    <w:rsid w:val="00D40A46"/>
    <w:rsid w:val="00D456FF"/>
    <w:rsid w:val="00D45C4B"/>
    <w:rsid w:val="00D533F7"/>
    <w:rsid w:val="00D546D2"/>
    <w:rsid w:val="00D54DDC"/>
    <w:rsid w:val="00D55328"/>
    <w:rsid w:val="00D55F8F"/>
    <w:rsid w:val="00D5632A"/>
    <w:rsid w:val="00D56C95"/>
    <w:rsid w:val="00D5786F"/>
    <w:rsid w:val="00D57FA6"/>
    <w:rsid w:val="00D6047F"/>
    <w:rsid w:val="00D60905"/>
    <w:rsid w:val="00D7520E"/>
    <w:rsid w:val="00D75B0F"/>
    <w:rsid w:val="00D77A08"/>
    <w:rsid w:val="00D77E44"/>
    <w:rsid w:val="00D80CC6"/>
    <w:rsid w:val="00D8257A"/>
    <w:rsid w:val="00D83019"/>
    <w:rsid w:val="00D85BC2"/>
    <w:rsid w:val="00D86CAA"/>
    <w:rsid w:val="00D86F9A"/>
    <w:rsid w:val="00D87084"/>
    <w:rsid w:val="00D94174"/>
    <w:rsid w:val="00D972C1"/>
    <w:rsid w:val="00DA0BD0"/>
    <w:rsid w:val="00DA31F2"/>
    <w:rsid w:val="00DA3E7E"/>
    <w:rsid w:val="00DA4FA3"/>
    <w:rsid w:val="00DA546B"/>
    <w:rsid w:val="00DA55C3"/>
    <w:rsid w:val="00DA5D02"/>
    <w:rsid w:val="00DB077E"/>
    <w:rsid w:val="00DB2C56"/>
    <w:rsid w:val="00DB2F03"/>
    <w:rsid w:val="00DB3508"/>
    <w:rsid w:val="00DB5633"/>
    <w:rsid w:val="00DB7C15"/>
    <w:rsid w:val="00DC15CD"/>
    <w:rsid w:val="00DC22B2"/>
    <w:rsid w:val="00DC274B"/>
    <w:rsid w:val="00DC414D"/>
    <w:rsid w:val="00DC6899"/>
    <w:rsid w:val="00DC72A4"/>
    <w:rsid w:val="00DD218E"/>
    <w:rsid w:val="00DD2683"/>
    <w:rsid w:val="00DD2E0F"/>
    <w:rsid w:val="00DD4AD7"/>
    <w:rsid w:val="00DD4FD8"/>
    <w:rsid w:val="00DD52A8"/>
    <w:rsid w:val="00DD726F"/>
    <w:rsid w:val="00DD7D0F"/>
    <w:rsid w:val="00DE15B7"/>
    <w:rsid w:val="00DE193F"/>
    <w:rsid w:val="00DE1F04"/>
    <w:rsid w:val="00DE2015"/>
    <w:rsid w:val="00DE4A86"/>
    <w:rsid w:val="00DF2823"/>
    <w:rsid w:val="00DF3A60"/>
    <w:rsid w:val="00DF5FC2"/>
    <w:rsid w:val="00DF7128"/>
    <w:rsid w:val="00E0028B"/>
    <w:rsid w:val="00E035AA"/>
    <w:rsid w:val="00E03A02"/>
    <w:rsid w:val="00E03E80"/>
    <w:rsid w:val="00E03F19"/>
    <w:rsid w:val="00E04325"/>
    <w:rsid w:val="00E05931"/>
    <w:rsid w:val="00E05F64"/>
    <w:rsid w:val="00E069BF"/>
    <w:rsid w:val="00E07958"/>
    <w:rsid w:val="00E1047A"/>
    <w:rsid w:val="00E104DB"/>
    <w:rsid w:val="00E1180E"/>
    <w:rsid w:val="00E13025"/>
    <w:rsid w:val="00E13761"/>
    <w:rsid w:val="00E20229"/>
    <w:rsid w:val="00E2155B"/>
    <w:rsid w:val="00E218CF"/>
    <w:rsid w:val="00E2255F"/>
    <w:rsid w:val="00E25A66"/>
    <w:rsid w:val="00E35581"/>
    <w:rsid w:val="00E3633C"/>
    <w:rsid w:val="00E37CF6"/>
    <w:rsid w:val="00E405A1"/>
    <w:rsid w:val="00E409EE"/>
    <w:rsid w:val="00E40C6A"/>
    <w:rsid w:val="00E40E47"/>
    <w:rsid w:val="00E4184E"/>
    <w:rsid w:val="00E44ABF"/>
    <w:rsid w:val="00E4525A"/>
    <w:rsid w:val="00E4764A"/>
    <w:rsid w:val="00E530C9"/>
    <w:rsid w:val="00E54154"/>
    <w:rsid w:val="00E553EC"/>
    <w:rsid w:val="00E56129"/>
    <w:rsid w:val="00E56173"/>
    <w:rsid w:val="00E56206"/>
    <w:rsid w:val="00E571CB"/>
    <w:rsid w:val="00E6019A"/>
    <w:rsid w:val="00E63E9B"/>
    <w:rsid w:val="00E65560"/>
    <w:rsid w:val="00E66675"/>
    <w:rsid w:val="00E66D62"/>
    <w:rsid w:val="00E670AF"/>
    <w:rsid w:val="00E67159"/>
    <w:rsid w:val="00E7353E"/>
    <w:rsid w:val="00E73A45"/>
    <w:rsid w:val="00E749EC"/>
    <w:rsid w:val="00E75279"/>
    <w:rsid w:val="00E800D0"/>
    <w:rsid w:val="00E8637B"/>
    <w:rsid w:val="00E935F3"/>
    <w:rsid w:val="00E9482A"/>
    <w:rsid w:val="00E96376"/>
    <w:rsid w:val="00E97B43"/>
    <w:rsid w:val="00EA30B4"/>
    <w:rsid w:val="00EA3E01"/>
    <w:rsid w:val="00EA41B0"/>
    <w:rsid w:val="00EA51AD"/>
    <w:rsid w:val="00EA64A9"/>
    <w:rsid w:val="00EB5720"/>
    <w:rsid w:val="00EB611E"/>
    <w:rsid w:val="00EB6BE6"/>
    <w:rsid w:val="00EC0733"/>
    <w:rsid w:val="00EC0BD7"/>
    <w:rsid w:val="00EC16C9"/>
    <w:rsid w:val="00EC229E"/>
    <w:rsid w:val="00EC5251"/>
    <w:rsid w:val="00EC6248"/>
    <w:rsid w:val="00EC703A"/>
    <w:rsid w:val="00EC78D3"/>
    <w:rsid w:val="00EC7F32"/>
    <w:rsid w:val="00ED0353"/>
    <w:rsid w:val="00ED0937"/>
    <w:rsid w:val="00ED0EC8"/>
    <w:rsid w:val="00ED2B6F"/>
    <w:rsid w:val="00ED3AFA"/>
    <w:rsid w:val="00ED4B01"/>
    <w:rsid w:val="00ED4F6B"/>
    <w:rsid w:val="00ED640C"/>
    <w:rsid w:val="00ED64B8"/>
    <w:rsid w:val="00ED64DF"/>
    <w:rsid w:val="00ED6F0E"/>
    <w:rsid w:val="00ED7745"/>
    <w:rsid w:val="00EE0877"/>
    <w:rsid w:val="00EE1D9E"/>
    <w:rsid w:val="00EE2365"/>
    <w:rsid w:val="00EE45C1"/>
    <w:rsid w:val="00EE4B61"/>
    <w:rsid w:val="00EE4B6F"/>
    <w:rsid w:val="00EE53E6"/>
    <w:rsid w:val="00EE5D65"/>
    <w:rsid w:val="00EE67F8"/>
    <w:rsid w:val="00EE6EF0"/>
    <w:rsid w:val="00EE7DFB"/>
    <w:rsid w:val="00EF0C33"/>
    <w:rsid w:val="00EF1BFF"/>
    <w:rsid w:val="00EF3B6F"/>
    <w:rsid w:val="00EF5815"/>
    <w:rsid w:val="00EF5849"/>
    <w:rsid w:val="00EF593A"/>
    <w:rsid w:val="00EF5B38"/>
    <w:rsid w:val="00F010FD"/>
    <w:rsid w:val="00F02651"/>
    <w:rsid w:val="00F0327F"/>
    <w:rsid w:val="00F04C03"/>
    <w:rsid w:val="00F072D3"/>
    <w:rsid w:val="00F1043A"/>
    <w:rsid w:val="00F106AD"/>
    <w:rsid w:val="00F11820"/>
    <w:rsid w:val="00F154C4"/>
    <w:rsid w:val="00F155F5"/>
    <w:rsid w:val="00F17EB9"/>
    <w:rsid w:val="00F20B69"/>
    <w:rsid w:val="00F21C4B"/>
    <w:rsid w:val="00F22FC1"/>
    <w:rsid w:val="00F24B99"/>
    <w:rsid w:val="00F252CF"/>
    <w:rsid w:val="00F253AC"/>
    <w:rsid w:val="00F255C3"/>
    <w:rsid w:val="00F26E9C"/>
    <w:rsid w:val="00F27195"/>
    <w:rsid w:val="00F308B4"/>
    <w:rsid w:val="00F314F8"/>
    <w:rsid w:val="00F34400"/>
    <w:rsid w:val="00F34BD2"/>
    <w:rsid w:val="00F3735F"/>
    <w:rsid w:val="00F37659"/>
    <w:rsid w:val="00F41414"/>
    <w:rsid w:val="00F42662"/>
    <w:rsid w:val="00F42BD6"/>
    <w:rsid w:val="00F42CB9"/>
    <w:rsid w:val="00F42F79"/>
    <w:rsid w:val="00F4536E"/>
    <w:rsid w:val="00F453FA"/>
    <w:rsid w:val="00F4794B"/>
    <w:rsid w:val="00F553C3"/>
    <w:rsid w:val="00F56175"/>
    <w:rsid w:val="00F637A4"/>
    <w:rsid w:val="00F63D87"/>
    <w:rsid w:val="00F657AF"/>
    <w:rsid w:val="00F66672"/>
    <w:rsid w:val="00F67ABE"/>
    <w:rsid w:val="00F67EEC"/>
    <w:rsid w:val="00F7274E"/>
    <w:rsid w:val="00F74375"/>
    <w:rsid w:val="00F74A8C"/>
    <w:rsid w:val="00F750BD"/>
    <w:rsid w:val="00F80495"/>
    <w:rsid w:val="00F81060"/>
    <w:rsid w:val="00F81473"/>
    <w:rsid w:val="00F85766"/>
    <w:rsid w:val="00F85C16"/>
    <w:rsid w:val="00F86C8F"/>
    <w:rsid w:val="00F872D2"/>
    <w:rsid w:val="00F93275"/>
    <w:rsid w:val="00F9459F"/>
    <w:rsid w:val="00F9668C"/>
    <w:rsid w:val="00F977D4"/>
    <w:rsid w:val="00FA0E6D"/>
    <w:rsid w:val="00FA114E"/>
    <w:rsid w:val="00FA1A82"/>
    <w:rsid w:val="00FA1BE3"/>
    <w:rsid w:val="00FA3313"/>
    <w:rsid w:val="00FA3DB9"/>
    <w:rsid w:val="00FA5597"/>
    <w:rsid w:val="00FA6438"/>
    <w:rsid w:val="00FA65D3"/>
    <w:rsid w:val="00FA76E3"/>
    <w:rsid w:val="00FC0592"/>
    <w:rsid w:val="00FC15D6"/>
    <w:rsid w:val="00FC2793"/>
    <w:rsid w:val="00FC36E6"/>
    <w:rsid w:val="00FC73ED"/>
    <w:rsid w:val="00FD14B2"/>
    <w:rsid w:val="00FD15D6"/>
    <w:rsid w:val="00FD3DAA"/>
    <w:rsid w:val="00FD45E5"/>
    <w:rsid w:val="00FD55EF"/>
    <w:rsid w:val="00FD58B4"/>
    <w:rsid w:val="00FD5CCE"/>
    <w:rsid w:val="00FD6A59"/>
    <w:rsid w:val="00FD7726"/>
    <w:rsid w:val="00FD796F"/>
    <w:rsid w:val="00FD7DFF"/>
    <w:rsid w:val="00FE06CC"/>
    <w:rsid w:val="00FE09FF"/>
    <w:rsid w:val="00FE1C9D"/>
    <w:rsid w:val="00FE1DD1"/>
    <w:rsid w:val="00FE1F97"/>
    <w:rsid w:val="00FE241E"/>
    <w:rsid w:val="00FE2CB3"/>
    <w:rsid w:val="00FE495A"/>
    <w:rsid w:val="00FE5621"/>
    <w:rsid w:val="00FE592E"/>
    <w:rsid w:val="00FE5E17"/>
    <w:rsid w:val="00FE679B"/>
    <w:rsid w:val="00FE6E2A"/>
    <w:rsid w:val="00FF05E4"/>
    <w:rsid w:val="00FF06CC"/>
    <w:rsid w:val="00FF2511"/>
    <w:rsid w:val="00FF4916"/>
    <w:rsid w:val="00FF5166"/>
    <w:rsid w:val="00FF6CEF"/>
    <w:rsid w:val="00FF6DB5"/>
    <w:rsid w:val="00FF7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1727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f"/>
    <w:basedOn w:val="Normal"/>
    <w:link w:val="FootnoteTextChar"/>
    <w:unhideWhenUsed/>
    <w:qFormat/>
    <w:rsid w:val="005D479F"/>
    <w:rPr>
      <w:szCs w:val="20"/>
      <w:lang w:val="es-US"/>
    </w:rPr>
  </w:style>
  <w:style w:type="character" w:customStyle="1" w:styleId="Hypertext">
    <w:name w:val="Hypertext"/>
    <w:rPr>
      <w:color w:val="0000FF"/>
      <w:u w:val="single"/>
    </w:rPr>
  </w:style>
  <w:style w:type="paragraph" w:styleId="Header">
    <w:name w:val="header"/>
    <w:basedOn w:val="Normal"/>
    <w:rsid w:val="003B2E4A"/>
    <w:pPr>
      <w:tabs>
        <w:tab w:val="center" w:pos="4320"/>
        <w:tab w:val="right" w:pos="8640"/>
      </w:tabs>
    </w:pPr>
  </w:style>
  <w:style w:type="paragraph" w:styleId="Footer">
    <w:name w:val="footer"/>
    <w:basedOn w:val="Normal"/>
    <w:rsid w:val="003B2E4A"/>
    <w:pPr>
      <w:tabs>
        <w:tab w:val="center" w:pos="4320"/>
        <w:tab w:val="right" w:pos="8640"/>
      </w:tabs>
    </w:pPr>
  </w:style>
  <w:style w:type="character" w:styleId="PageNumber">
    <w:name w:val="page number"/>
    <w:basedOn w:val="DefaultParagraphFont"/>
    <w:rsid w:val="003B2E4A"/>
  </w:style>
  <w:style w:type="character" w:styleId="Hyperlink">
    <w:name w:val="Hyperlink"/>
    <w:uiPriority w:val="99"/>
    <w:rsid w:val="00A54DFB"/>
    <w:rPr>
      <w:color w:val="0000FF"/>
      <w:u w:val="single"/>
    </w:rPr>
  </w:style>
  <w:style w:type="character" w:customStyle="1" w:styleId="FootnoteTextChar">
    <w:name w:val="Footnote Text Char"/>
    <w:aliases w:val="fn Char1,Footnote Text Char1 Char2,Footnote Text Char Char Char2,Footnote Text Char1 Char Char1,Footnote Text Char Char Char Char1, Char Char1,Footnote Text Char Char1 Char1,Char Char1,Footnote Text Char1 Char Char Char1 Char,ft Char1"/>
    <w:basedOn w:val="DefaultParagraphFont"/>
    <w:link w:val="FootnoteText"/>
    <w:rsid w:val="005D479F"/>
    <w:rPr>
      <w:sz w:val="26"/>
      <w:lang w:val="es-US"/>
    </w:rPr>
  </w:style>
  <w:style w:type="paragraph" w:customStyle="1" w:styleId="Style5">
    <w:name w:val="Style 5"/>
    <w:basedOn w:val="Normal"/>
    <w:rsid w:val="00D8257A"/>
    <w:pPr>
      <w:autoSpaceDE/>
      <w:autoSpaceDN/>
      <w:adjustRightInd/>
      <w:spacing w:line="480" w:lineRule="auto"/>
      <w:ind w:firstLine="720"/>
    </w:pPr>
    <w:rPr>
      <w:noProof/>
      <w:color w:val="000000"/>
      <w:sz w:val="20"/>
      <w:szCs w:val="20"/>
    </w:rPr>
  </w:style>
  <w:style w:type="table" w:styleId="TableGrid">
    <w:name w:val="Table Grid"/>
    <w:basedOn w:val="TableNormal"/>
    <w:rsid w:val="0046452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21D32"/>
    <w:rPr>
      <w:sz w:val="16"/>
      <w:szCs w:val="16"/>
    </w:rPr>
  </w:style>
  <w:style w:type="paragraph" w:styleId="CommentText">
    <w:name w:val="annotation text"/>
    <w:basedOn w:val="Normal"/>
    <w:semiHidden/>
    <w:rsid w:val="00D21D32"/>
    <w:rPr>
      <w:sz w:val="20"/>
      <w:szCs w:val="20"/>
    </w:rPr>
  </w:style>
  <w:style w:type="paragraph" w:styleId="CommentSubject">
    <w:name w:val="annotation subject"/>
    <w:basedOn w:val="CommentText"/>
    <w:next w:val="CommentText"/>
    <w:semiHidden/>
    <w:rsid w:val="00D21D32"/>
    <w:rPr>
      <w:b/>
      <w:bCs/>
    </w:rPr>
  </w:style>
  <w:style w:type="paragraph" w:styleId="BalloonText">
    <w:name w:val="Balloon Text"/>
    <w:basedOn w:val="Normal"/>
    <w:semiHidden/>
    <w:rsid w:val="00D21D32"/>
    <w:rPr>
      <w:rFonts w:ascii="Tahoma" w:hAnsi="Tahoma" w:cs="Tahoma"/>
      <w:sz w:val="16"/>
      <w:szCs w:val="16"/>
    </w:rPr>
  </w:style>
  <w:style w:type="paragraph" w:styleId="NormalWeb">
    <w:name w:val="Normal (Web)"/>
    <w:basedOn w:val="Normal"/>
    <w:rsid w:val="008D0749"/>
    <w:pPr>
      <w:widowControl/>
      <w:autoSpaceDE/>
      <w:autoSpaceDN/>
      <w:adjustRightInd/>
      <w:spacing w:before="100" w:beforeAutospacing="1" w:after="100" w:afterAutospacing="1"/>
    </w:pPr>
  </w:style>
  <w:style w:type="paragraph" w:customStyle="1" w:styleId="Default">
    <w:name w:val="Default"/>
    <w:rsid w:val="00CC0E81"/>
    <w:pPr>
      <w:autoSpaceDE w:val="0"/>
      <w:autoSpaceDN w:val="0"/>
      <w:adjustRightInd w:val="0"/>
    </w:pPr>
    <w:rPr>
      <w:rFonts w:ascii="Verdana" w:hAnsi="Verdana" w:cs="Verdana"/>
      <w:color w:val="000000"/>
      <w:sz w:val="24"/>
      <w:szCs w:val="24"/>
    </w:rPr>
  </w:style>
  <w:style w:type="character" w:styleId="FootnoteReference">
    <w:name w:val="footnote reference"/>
    <w:aliases w:val="o,fr,Style 13,Style 12,Style 15,Style 17,Style 9,o1,fr1,o2,fr2,o3,fr3,Style 18,(NECG) Footnote Reference,Style 20,Style 7,Style 8,Style 19,Style 28,Styl,Style 11,Style 16"/>
    <w:basedOn w:val="DefaultParagraphFont"/>
    <w:unhideWhenUsed/>
    <w:qFormat/>
    <w:rsid w:val="00A70F33"/>
    <w:rPr>
      <w:rFonts w:ascii="Times New Roman" w:hAnsi="Times New Roman" w:cs="Times New Roman"/>
      <w:b/>
      <w:sz w:val="26"/>
      <w:vertAlign w:val="superscript"/>
    </w:rPr>
  </w:style>
  <w:style w:type="character" w:customStyle="1" w:styleId="ptext-2">
    <w:name w:val="ptext-2"/>
    <w:basedOn w:val="DefaultParagraphFont"/>
    <w:rsid w:val="00EE0877"/>
  </w:style>
  <w:style w:type="paragraph" w:customStyle="1" w:styleId="CM10">
    <w:name w:val="CM10"/>
    <w:basedOn w:val="Default"/>
    <w:next w:val="Default"/>
    <w:rsid w:val="00ED0EC8"/>
    <w:rPr>
      <w:rFonts w:ascii="Times New Roman" w:hAnsi="Times New Roman" w:cs="Times New Roman"/>
      <w:color w:val="auto"/>
    </w:rPr>
  </w:style>
  <w:style w:type="paragraph" w:customStyle="1" w:styleId="CM11">
    <w:name w:val="CM11"/>
    <w:basedOn w:val="Default"/>
    <w:next w:val="Default"/>
    <w:rsid w:val="00ED0EC8"/>
    <w:rPr>
      <w:rFonts w:ascii="Times New Roman" w:hAnsi="Times New Roman" w:cs="Times New Roman"/>
      <w:color w:val="auto"/>
    </w:rPr>
  </w:style>
  <w:style w:type="paragraph" w:customStyle="1" w:styleId="CM12">
    <w:name w:val="CM12"/>
    <w:basedOn w:val="Default"/>
    <w:next w:val="Default"/>
    <w:rsid w:val="00ED0EC8"/>
    <w:rPr>
      <w:rFonts w:ascii="Times New Roman" w:hAnsi="Times New Roman" w:cs="Times New Roman"/>
      <w:color w:val="auto"/>
    </w:rPr>
  </w:style>
  <w:style w:type="paragraph" w:customStyle="1" w:styleId="CM2">
    <w:name w:val="CM2"/>
    <w:basedOn w:val="Default"/>
    <w:next w:val="Default"/>
    <w:rsid w:val="00ED0EC8"/>
    <w:pPr>
      <w:spacing w:line="526" w:lineRule="atLeast"/>
    </w:pPr>
    <w:rPr>
      <w:rFonts w:ascii="Times New Roman" w:hAnsi="Times New Roman" w:cs="Times New Roman"/>
      <w:color w:val="auto"/>
    </w:rPr>
  </w:style>
  <w:style w:type="paragraph" w:customStyle="1" w:styleId="CM3">
    <w:name w:val="CM3"/>
    <w:basedOn w:val="Default"/>
    <w:next w:val="Default"/>
    <w:rsid w:val="00ED0EC8"/>
    <w:rPr>
      <w:rFonts w:ascii="Times New Roman" w:hAnsi="Times New Roman" w:cs="Times New Roman"/>
      <w:color w:val="auto"/>
    </w:rPr>
  </w:style>
  <w:style w:type="paragraph" w:customStyle="1" w:styleId="CM13">
    <w:name w:val="CM13"/>
    <w:basedOn w:val="Default"/>
    <w:next w:val="Default"/>
    <w:rsid w:val="00ED0EC8"/>
    <w:rPr>
      <w:rFonts w:ascii="Times New Roman" w:hAnsi="Times New Roman" w:cs="Times New Roman"/>
      <w:color w:val="auto"/>
    </w:rPr>
  </w:style>
  <w:style w:type="paragraph" w:customStyle="1" w:styleId="CM4">
    <w:name w:val="CM4"/>
    <w:basedOn w:val="Default"/>
    <w:next w:val="Default"/>
    <w:rsid w:val="00ED0EC8"/>
    <w:pPr>
      <w:spacing w:line="220" w:lineRule="atLeast"/>
    </w:pPr>
    <w:rPr>
      <w:rFonts w:ascii="Times New Roman" w:hAnsi="Times New Roman" w:cs="Times New Roman"/>
      <w:color w:val="auto"/>
    </w:rPr>
  </w:style>
  <w:style w:type="paragraph" w:customStyle="1" w:styleId="CM14">
    <w:name w:val="CM14"/>
    <w:basedOn w:val="Default"/>
    <w:next w:val="Default"/>
    <w:rsid w:val="00ED0EC8"/>
    <w:rPr>
      <w:rFonts w:ascii="Times New Roman" w:hAnsi="Times New Roman" w:cs="Times New Roman"/>
      <w:color w:val="auto"/>
    </w:rPr>
  </w:style>
  <w:style w:type="paragraph" w:customStyle="1" w:styleId="CM5">
    <w:name w:val="CM5"/>
    <w:basedOn w:val="Default"/>
    <w:next w:val="Default"/>
    <w:rsid w:val="00ED0EC8"/>
    <w:rPr>
      <w:rFonts w:ascii="Times New Roman" w:hAnsi="Times New Roman" w:cs="Times New Roman"/>
      <w:color w:val="auto"/>
    </w:rPr>
  </w:style>
  <w:style w:type="paragraph" w:customStyle="1" w:styleId="CM6">
    <w:name w:val="CM6"/>
    <w:basedOn w:val="Default"/>
    <w:next w:val="Default"/>
    <w:rsid w:val="00ED0EC8"/>
    <w:pPr>
      <w:spacing w:line="528" w:lineRule="atLeast"/>
    </w:pPr>
    <w:rPr>
      <w:rFonts w:ascii="Times New Roman" w:hAnsi="Times New Roman" w:cs="Times New Roman"/>
      <w:color w:val="auto"/>
    </w:rPr>
  </w:style>
  <w:style w:type="paragraph" w:customStyle="1" w:styleId="CM15">
    <w:name w:val="CM15"/>
    <w:basedOn w:val="Default"/>
    <w:next w:val="Default"/>
    <w:rsid w:val="00ED0EC8"/>
    <w:rPr>
      <w:rFonts w:ascii="Times New Roman" w:hAnsi="Times New Roman" w:cs="Times New Roman"/>
      <w:color w:val="auto"/>
    </w:rPr>
  </w:style>
  <w:style w:type="paragraph" w:customStyle="1" w:styleId="CM9">
    <w:name w:val="CM9"/>
    <w:basedOn w:val="Default"/>
    <w:next w:val="Default"/>
    <w:rsid w:val="00ED0EC8"/>
    <w:pPr>
      <w:spacing w:line="526" w:lineRule="atLeast"/>
    </w:pPr>
    <w:rPr>
      <w:rFonts w:ascii="Times New Roman" w:hAnsi="Times New Roman" w:cs="Times New Roman"/>
      <w:color w:val="auto"/>
    </w:rPr>
  </w:style>
  <w:style w:type="paragraph" w:customStyle="1" w:styleId="CM16">
    <w:name w:val="CM16"/>
    <w:basedOn w:val="Default"/>
    <w:next w:val="Default"/>
    <w:rsid w:val="00ED0EC8"/>
    <w:rPr>
      <w:rFonts w:ascii="Times New Roman" w:hAnsi="Times New Roman" w:cs="Times New Roman"/>
      <w:color w:val="auto"/>
    </w:rPr>
  </w:style>
  <w:style w:type="paragraph" w:customStyle="1" w:styleId="BodyFootnote">
    <w:name w:val="Body Footnote"/>
    <w:basedOn w:val="Normal"/>
    <w:autoRedefine/>
    <w:rsid w:val="00A70F33"/>
    <w:pPr>
      <w:ind w:firstLine="720"/>
    </w:pPr>
    <w:rPr>
      <w:rFonts w:ascii="Arial" w:hAnsi="Arial" w:cs="Arial"/>
      <w:sz w:val="16"/>
      <w:szCs w:val="26"/>
    </w:rPr>
  </w:style>
  <w:style w:type="paragraph" w:styleId="ListContinue">
    <w:name w:val="List Continue"/>
    <w:basedOn w:val="Normal"/>
    <w:rsid w:val="00311164"/>
    <w:pPr>
      <w:widowControl/>
      <w:autoSpaceDE/>
      <w:autoSpaceDN/>
      <w:adjustRightInd/>
      <w:spacing w:after="120"/>
      <w:ind w:left="360"/>
    </w:pPr>
    <w:rPr>
      <w:rFonts w:ascii="Arial" w:hAnsi="Arial" w:cs="Arial"/>
      <w:sz w:val="16"/>
      <w:szCs w:val="16"/>
    </w:rPr>
  </w:style>
  <w:style w:type="paragraph" w:customStyle="1" w:styleId="LegalFormat">
    <w:name w:val="Legal Format"/>
    <w:basedOn w:val="ListContinue"/>
    <w:autoRedefine/>
    <w:rsid w:val="00181E9B"/>
    <w:pPr>
      <w:framePr w:hSpace="180" w:wrap="around" w:vAnchor="text" w:hAnchor="margin" w:x="108" w:y="229"/>
      <w:spacing w:after="0"/>
      <w:ind w:left="0"/>
      <w:jc w:val="right"/>
    </w:pPr>
    <w:rPr>
      <w:rFonts w:ascii="Times New Roman" w:hAnsi="Times New Roman" w:cs="Times New Roman"/>
      <w:b/>
      <w:sz w:val="24"/>
    </w:rPr>
  </w:style>
  <w:style w:type="paragraph" w:customStyle="1" w:styleId="FERCparanumber">
    <w:name w:val="FERC paranumber"/>
    <w:basedOn w:val="Normal"/>
    <w:link w:val="FERCparanumberChar"/>
    <w:qFormat/>
    <w:rsid w:val="00A70F33"/>
    <w:pPr>
      <w:widowControl/>
      <w:numPr>
        <w:numId w:val="18"/>
      </w:numPr>
      <w:spacing w:after="240"/>
    </w:pPr>
    <w:rPr>
      <w:szCs w:val="16"/>
    </w:rPr>
  </w:style>
  <w:style w:type="character" w:styleId="FollowedHyperlink">
    <w:name w:val="FollowedHyperlink"/>
    <w:rsid w:val="00311164"/>
    <w:rPr>
      <w:color w:val="800080"/>
      <w:u w:val="single"/>
    </w:rPr>
  </w:style>
  <w:style w:type="character" w:customStyle="1" w:styleId="st1">
    <w:name w:val="st1"/>
    <w:rsid w:val="005D6226"/>
  </w:style>
  <w:style w:type="paragraph" w:styleId="PlainText">
    <w:name w:val="Plain Text"/>
    <w:basedOn w:val="Normal"/>
    <w:link w:val="PlainTextChar"/>
    <w:uiPriority w:val="99"/>
    <w:unhideWhenUsed/>
    <w:rsid w:val="004466CE"/>
    <w:pPr>
      <w:widowControl/>
      <w:autoSpaceDE/>
      <w:autoSpaceDN/>
      <w:adjustRightInd/>
    </w:pPr>
    <w:rPr>
      <w:rFonts w:eastAsia="Calibri"/>
      <w:szCs w:val="26"/>
      <w:lang w:val="x-none" w:eastAsia="x-none"/>
    </w:rPr>
  </w:style>
  <w:style w:type="character" w:customStyle="1" w:styleId="PlainTextChar">
    <w:name w:val="Plain Text Char"/>
    <w:link w:val="PlainText"/>
    <w:uiPriority w:val="99"/>
    <w:rsid w:val="004466CE"/>
    <w:rPr>
      <w:rFonts w:eastAsia="Calibri"/>
      <w:sz w:val="26"/>
      <w:szCs w:val="26"/>
    </w:rPr>
  </w:style>
  <w:style w:type="paragraph" w:styleId="ListParagraph">
    <w:name w:val="List Paragraph"/>
    <w:basedOn w:val="Normal"/>
    <w:qFormat/>
    <w:rsid w:val="005B5397"/>
    <w:pPr>
      <w:widowControl/>
      <w:autoSpaceDE/>
      <w:autoSpaceDN/>
      <w:adjustRightInd/>
      <w:spacing w:after="200" w:line="276" w:lineRule="auto"/>
      <w:ind w:left="720"/>
      <w:contextualSpacing/>
    </w:pPr>
    <w:rPr>
      <w:rFonts w:ascii="Calibri" w:hAnsi="Calibri"/>
      <w:sz w:val="22"/>
      <w:szCs w:val="22"/>
    </w:rPr>
  </w:style>
  <w:style w:type="paragraph" w:styleId="Revision">
    <w:name w:val="Revision"/>
    <w:hidden/>
    <w:uiPriority w:val="99"/>
    <w:semiHidden/>
    <w:rsid w:val="00112C21"/>
    <w:rPr>
      <w:sz w:val="24"/>
      <w:szCs w:val="24"/>
    </w:rPr>
  </w:style>
  <w:style w:type="character" w:customStyle="1" w:styleId="FERCparanumberChar">
    <w:name w:val="FERC paranumber Char"/>
    <w:link w:val="FERCparanumber"/>
    <w:locked/>
    <w:rsid w:val="00507B72"/>
    <w:rPr>
      <w:sz w:val="26"/>
      <w:szCs w:val="16"/>
    </w:rPr>
  </w:style>
  <w:style w:type="character" w:customStyle="1" w:styleId="ms-rtefontface-5">
    <w:name w:val="ms-rtefontface-5"/>
    <w:basedOn w:val="DefaultParagraphFont"/>
    <w:rsid w:val="00205F54"/>
  </w:style>
  <w:style w:type="paragraph" w:customStyle="1" w:styleId="OMBHeadings">
    <w:name w:val="OMB Headings"/>
    <w:basedOn w:val="Normal"/>
    <w:link w:val="OMBHeadingsChar"/>
    <w:qFormat/>
    <w:rsid w:val="00E25A66"/>
    <w:pPr>
      <w:tabs>
        <w:tab w:val="left" w:pos="-1440"/>
      </w:tabs>
      <w:ind w:left="720" w:hanging="720"/>
    </w:pPr>
    <w:rPr>
      <w:b/>
      <w:bCs/>
      <w:szCs w:val="26"/>
    </w:rPr>
  </w:style>
  <w:style w:type="character" w:customStyle="1" w:styleId="OMBHeadingsChar">
    <w:name w:val="OMB Headings Char"/>
    <w:basedOn w:val="DefaultParagraphFont"/>
    <w:link w:val="OMBHeadings"/>
    <w:rsid w:val="00E25A66"/>
    <w:rPr>
      <w:b/>
      <w:bCs/>
      <w:sz w:val="26"/>
      <w:szCs w:val="26"/>
    </w:rPr>
  </w:style>
  <w:style w:type="character" w:customStyle="1" w:styleId="FootnoteTextChar2">
    <w:name w:val="Footnote Text Char2"/>
    <w:aliases w:val="Footnote Text Char Char2,fn Char,Footnote Text Char1 Char1,Footnote Text Char Char Char1,Footnote Text Char1 Char Char,Footnote Text Char Char Char Char, Char Char,Footnote Text Char Char1 Char,Char Char,fn Char Char Char,ft Char"/>
    <w:uiPriority w:val="99"/>
    <w:rsid w:val="00FA3DB9"/>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f"/>
    <w:basedOn w:val="Normal"/>
    <w:link w:val="FootnoteTextChar"/>
    <w:unhideWhenUsed/>
    <w:qFormat/>
    <w:rsid w:val="005D479F"/>
    <w:rPr>
      <w:szCs w:val="20"/>
      <w:lang w:val="es-US"/>
    </w:rPr>
  </w:style>
  <w:style w:type="character" w:customStyle="1" w:styleId="Hypertext">
    <w:name w:val="Hypertext"/>
    <w:rPr>
      <w:color w:val="0000FF"/>
      <w:u w:val="single"/>
    </w:rPr>
  </w:style>
  <w:style w:type="paragraph" w:styleId="Header">
    <w:name w:val="header"/>
    <w:basedOn w:val="Normal"/>
    <w:rsid w:val="003B2E4A"/>
    <w:pPr>
      <w:tabs>
        <w:tab w:val="center" w:pos="4320"/>
        <w:tab w:val="right" w:pos="8640"/>
      </w:tabs>
    </w:pPr>
  </w:style>
  <w:style w:type="paragraph" w:styleId="Footer">
    <w:name w:val="footer"/>
    <w:basedOn w:val="Normal"/>
    <w:rsid w:val="003B2E4A"/>
    <w:pPr>
      <w:tabs>
        <w:tab w:val="center" w:pos="4320"/>
        <w:tab w:val="right" w:pos="8640"/>
      </w:tabs>
    </w:pPr>
  </w:style>
  <w:style w:type="character" w:styleId="PageNumber">
    <w:name w:val="page number"/>
    <w:basedOn w:val="DefaultParagraphFont"/>
    <w:rsid w:val="003B2E4A"/>
  </w:style>
  <w:style w:type="character" w:styleId="Hyperlink">
    <w:name w:val="Hyperlink"/>
    <w:uiPriority w:val="99"/>
    <w:rsid w:val="00A54DFB"/>
    <w:rPr>
      <w:color w:val="0000FF"/>
      <w:u w:val="single"/>
    </w:rPr>
  </w:style>
  <w:style w:type="character" w:customStyle="1" w:styleId="FootnoteTextChar">
    <w:name w:val="Footnote Text Char"/>
    <w:aliases w:val="fn Char1,Footnote Text Char1 Char2,Footnote Text Char Char Char2,Footnote Text Char1 Char Char1,Footnote Text Char Char Char Char1, Char Char1,Footnote Text Char Char1 Char1,Char Char1,Footnote Text Char1 Char Char Char1 Char,ft Char1"/>
    <w:basedOn w:val="DefaultParagraphFont"/>
    <w:link w:val="FootnoteText"/>
    <w:rsid w:val="005D479F"/>
    <w:rPr>
      <w:sz w:val="26"/>
      <w:lang w:val="es-US"/>
    </w:rPr>
  </w:style>
  <w:style w:type="paragraph" w:customStyle="1" w:styleId="Style5">
    <w:name w:val="Style 5"/>
    <w:basedOn w:val="Normal"/>
    <w:rsid w:val="00D8257A"/>
    <w:pPr>
      <w:autoSpaceDE/>
      <w:autoSpaceDN/>
      <w:adjustRightInd/>
      <w:spacing w:line="480" w:lineRule="auto"/>
      <w:ind w:firstLine="720"/>
    </w:pPr>
    <w:rPr>
      <w:noProof/>
      <w:color w:val="000000"/>
      <w:sz w:val="20"/>
      <w:szCs w:val="20"/>
    </w:rPr>
  </w:style>
  <w:style w:type="table" w:styleId="TableGrid">
    <w:name w:val="Table Grid"/>
    <w:basedOn w:val="TableNormal"/>
    <w:rsid w:val="0046452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21D32"/>
    <w:rPr>
      <w:sz w:val="16"/>
      <w:szCs w:val="16"/>
    </w:rPr>
  </w:style>
  <w:style w:type="paragraph" w:styleId="CommentText">
    <w:name w:val="annotation text"/>
    <w:basedOn w:val="Normal"/>
    <w:semiHidden/>
    <w:rsid w:val="00D21D32"/>
    <w:rPr>
      <w:sz w:val="20"/>
      <w:szCs w:val="20"/>
    </w:rPr>
  </w:style>
  <w:style w:type="paragraph" w:styleId="CommentSubject">
    <w:name w:val="annotation subject"/>
    <w:basedOn w:val="CommentText"/>
    <w:next w:val="CommentText"/>
    <w:semiHidden/>
    <w:rsid w:val="00D21D32"/>
    <w:rPr>
      <w:b/>
      <w:bCs/>
    </w:rPr>
  </w:style>
  <w:style w:type="paragraph" w:styleId="BalloonText">
    <w:name w:val="Balloon Text"/>
    <w:basedOn w:val="Normal"/>
    <w:semiHidden/>
    <w:rsid w:val="00D21D32"/>
    <w:rPr>
      <w:rFonts w:ascii="Tahoma" w:hAnsi="Tahoma" w:cs="Tahoma"/>
      <w:sz w:val="16"/>
      <w:szCs w:val="16"/>
    </w:rPr>
  </w:style>
  <w:style w:type="paragraph" w:styleId="NormalWeb">
    <w:name w:val="Normal (Web)"/>
    <w:basedOn w:val="Normal"/>
    <w:rsid w:val="008D0749"/>
    <w:pPr>
      <w:widowControl/>
      <w:autoSpaceDE/>
      <w:autoSpaceDN/>
      <w:adjustRightInd/>
      <w:spacing w:before="100" w:beforeAutospacing="1" w:after="100" w:afterAutospacing="1"/>
    </w:pPr>
  </w:style>
  <w:style w:type="paragraph" w:customStyle="1" w:styleId="Default">
    <w:name w:val="Default"/>
    <w:rsid w:val="00CC0E81"/>
    <w:pPr>
      <w:autoSpaceDE w:val="0"/>
      <w:autoSpaceDN w:val="0"/>
      <w:adjustRightInd w:val="0"/>
    </w:pPr>
    <w:rPr>
      <w:rFonts w:ascii="Verdana" w:hAnsi="Verdana" w:cs="Verdana"/>
      <w:color w:val="000000"/>
      <w:sz w:val="24"/>
      <w:szCs w:val="24"/>
    </w:rPr>
  </w:style>
  <w:style w:type="character" w:styleId="FootnoteReference">
    <w:name w:val="footnote reference"/>
    <w:aliases w:val="o,fr,Style 13,Style 12,Style 15,Style 17,Style 9,o1,fr1,o2,fr2,o3,fr3,Style 18,(NECG) Footnote Reference,Style 20,Style 7,Style 8,Style 19,Style 28,Styl,Style 11,Style 16"/>
    <w:basedOn w:val="DefaultParagraphFont"/>
    <w:unhideWhenUsed/>
    <w:qFormat/>
    <w:rsid w:val="00A70F33"/>
    <w:rPr>
      <w:rFonts w:ascii="Times New Roman" w:hAnsi="Times New Roman" w:cs="Times New Roman"/>
      <w:b/>
      <w:sz w:val="26"/>
      <w:vertAlign w:val="superscript"/>
    </w:rPr>
  </w:style>
  <w:style w:type="character" w:customStyle="1" w:styleId="ptext-2">
    <w:name w:val="ptext-2"/>
    <w:basedOn w:val="DefaultParagraphFont"/>
    <w:rsid w:val="00EE0877"/>
  </w:style>
  <w:style w:type="paragraph" w:customStyle="1" w:styleId="CM10">
    <w:name w:val="CM10"/>
    <w:basedOn w:val="Default"/>
    <w:next w:val="Default"/>
    <w:rsid w:val="00ED0EC8"/>
    <w:rPr>
      <w:rFonts w:ascii="Times New Roman" w:hAnsi="Times New Roman" w:cs="Times New Roman"/>
      <w:color w:val="auto"/>
    </w:rPr>
  </w:style>
  <w:style w:type="paragraph" w:customStyle="1" w:styleId="CM11">
    <w:name w:val="CM11"/>
    <w:basedOn w:val="Default"/>
    <w:next w:val="Default"/>
    <w:rsid w:val="00ED0EC8"/>
    <w:rPr>
      <w:rFonts w:ascii="Times New Roman" w:hAnsi="Times New Roman" w:cs="Times New Roman"/>
      <w:color w:val="auto"/>
    </w:rPr>
  </w:style>
  <w:style w:type="paragraph" w:customStyle="1" w:styleId="CM12">
    <w:name w:val="CM12"/>
    <w:basedOn w:val="Default"/>
    <w:next w:val="Default"/>
    <w:rsid w:val="00ED0EC8"/>
    <w:rPr>
      <w:rFonts w:ascii="Times New Roman" w:hAnsi="Times New Roman" w:cs="Times New Roman"/>
      <w:color w:val="auto"/>
    </w:rPr>
  </w:style>
  <w:style w:type="paragraph" w:customStyle="1" w:styleId="CM2">
    <w:name w:val="CM2"/>
    <w:basedOn w:val="Default"/>
    <w:next w:val="Default"/>
    <w:rsid w:val="00ED0EC8"/>
    <w:pPr>
      <w:spacing w:line="526" w:lineRule="atLeast"/>
    </w:pPr>
    <w:rPr>
      <w:rFonts w:ascii="Times New Roman" w:hAnsi="Times New Roman" w:cs="Times New Roman"/>
      <w:color w:val="auto"/>
    </w:rPr>
  </w:style>
  <w:style w:type="paragraph" w:customStyle="1" w:styleId="CM3">
    <w:name w:val="CM3"/>
    <w:basedOn w:val="Default"/>
    <w:next w:val="Default"/>
    <w:rsid w:val="00ED0EC8"/>
    <w:rPr>
      <w:rFonts w:ascii="Times New Roman" w:hAnsi="Times New Roman" w:cs="Times New Roman"/>
      <w:color w:val="auto"/>
    </w:rPr>
  </w:style>
  <w:style w:type="paragraph" w:customStyle="1" w:styleId="CM13">
    <w:name w:val="CM13"/>
    <w:basedOn w:val="Default"/>
    <w:next w:val="Default"/>
    <w:rsid w:val="00ED0EC8"/>
    <w:rPr>
      <w:rFonts w:ascii="Times New Roman" w:hAnsi="Times New Roman" w:cs="Times New Roman"/>
      <w:color w:val="auto"/>
    </w:rPr>
  </w:style>
  <w:style w:type="paragraph" w:customStyle="1" w:styleId="CM4">
    <w:name w:val="CM4"/>
    <w:basedOn w:val="Default"/>
    <w:next w:val="Default"/>
    <w:rsid w:val="00ED0EC8"/>
    <w:pPr>
      <w:spacing w:line="220" w:lineRule="atLeast"/>
    </w:pPr>
    <w:rPr>
      <w:rFonts w:ascii="Times New Roman" w:hAnsi="Times New Roman" w:cs="Times New Roman"/>
      <w:color w:val="auto"/>
    </w:rPr>
  </w:style>
  <w:style w:type="paragraph" w:customStyle="1" w:styleId="CM14">
    <w:name w:val="CM14"/>
    <w:basedOn w:val="Default"/>
    <w:next w:val="Default"/>
    <w:rsid w:val="00ED0EC8"/>
    <w:rPr>
      <w:rFonts w:ascii="Times New Roman" w:hAnsi="Times New Roman" w:cs="Times New Roman"/>
      <w:color w:val="auto"/>
    </w:rPr>
  </w:style>
  <w:style w:type="paragraph" w:customStyle="1" w:styleId="CM5">
    <w:name w:val="CM5"/>
    <w:basedOn w:val="Default"/>
    <w:next w:val="Default"/>
    <w:rsid w:val="00ED0EC8"/>
    <w:rPr>
      <w:rFonts w:ascii="Times New Roman" w:hAnsi="Times New Roman" w:cs="Times New Roman"/>
      <w:color w:val="auto"/>
    </w:rPr>
  </w:style>
  <w:style w:type="paragraph" w:customStyle="1" w:styleId="CM6">
    <w:name w:val="CM6"/>
    <w:basedOn w:val="Default"/>
    <w:next w:val="Default"/>
    <w:rsid w:val="00ED0EC8"/>
    <w:pPr>
      <w:spacing w:line="528" w:lineRule="atLeast"/>
    </w:pPr>
    <w:rPr>
      <w:rFonts w:ascii="Times New Roman" w:hAnsi="Times New Roman" w:cs="Times New Roman"/>
      <w:color w:val="auto"/>
    </w:rPr>
  </w:style>
  <w:style w:type="paragraph" w:customStyle="1" w:styleId="CM15">
    <w:name w:val="CM15"/>
    <w:basedOn w:val="Default"/>
    <w:next w:val="Default"/>
    <w:rsid w:val="00ED0EC8"/>
    <w:rPr>
      <w:rFonts w:ascii="Times New Roman" w:hAnsi="Times New Roman" w:cs="Times New Roman"/>
      <w:color w:val="auto"/>
    </w:rPr>
  </w:style>
  <w:style w:type="paragraph" w:customStyle="1" w:styleId="CM9">
    <w:name w:val="CM9"/>
    <w:basedOn w:val="Default"/>
    <w:next w:val="Default"/>
    <w:rsid w:val="00ED0EC8"/>
    <w:pPr>
      <w:spacing w:line="526" w:lineRule="atLeast"/>
    </w:pPr>
    <w:rPr>
      <w:rFonts w:ascii="Times New Roman" w:hAnsi="Times New Roman" w:cs="Times New Roman"/>
      <w:color w:val="auto"/>
    </w:rPr>
  </w:style>
  <w:style w:type="paragraph" w:customStyle="1" w:styleId="CM16">
    <w:name w:val="CM16"/>
    <w:basedOn w:val="Default"/>
    <w:next w:val="Default"/>
    <w:rsid w:val="00ED0EC8"/>
    <w:rPr>
      <w:rFonts w:ascii="Times New Roman" w:hAnsi="Times New Roman" w:cs="Times New Roman"/>
      <w:color w:val="auto"/>
    </w:rPr>
  </w:style>
  <w:style w:type="paragraph" w:customStyle="1" w:styleId="BodyFootnote">
    <w:name w:val="Body Footnote"/>
    <w:basedOn w:val="Normal"/>
    <w:autoRedefine/>
    <w:rsid w:val="00A70F33"/>
    <w:pPr>
      <w:ind w:firstLine="720"/>
    </w:pPr>
    <w:rPr>
      <w:rFonts w:ascii="Arial" w:hAnsi="Arial" w:cs="Arial"/>
      <w:sz w:val="16"/>
      <w:szCs w:val="26"/>
    </w:rPr>
  </w:style>
  <w:style w:type="paragraph" w:styleId="ListContinue">
    <w:name w:val="List Continue"/>
    <w:basedOn w:val="Normal"/>
    <w:rsid w:val="00311164"/>
    <w:pPr>
      <w:widowControl/>
      <w:autoSpaceDE/>
      <w:autoSpaceDN/>
      <w:adjustRightInd/>
      <w:spacing w:after="120"/>
      <w:ind w:left="360"/>
    </w:pPr>
    <w:rPr>
      <w:rFonts w:ascii="Arial" w:hAnsi="Arial" w:cs="Arial"/>
      <w:sz w:val="16"/>
      <w:szCs w:val="16"/>
    </w:rPr>
  </w:style>
  <w:style w:type="paragraph" w:customStyle="1" w:styleId="LegalFormat">
    <w:name w:val="Legal Format"/>
    <w:basedOn w:val="ListContinue"/>
    <w:autoRedefine/>
    <w:rsid w:val="00181E9B"/>
    <w:pPr>
      <w:framePr w:hSpace="180" w:wrap="around" w:vAnchor="text" w:hAnchor="margin" w:x="108" w:y="229"/>
      <w:spacing w:after="0"/>
      <w:ind w:left="0"/>
      <w:jc w:val="right"/>
    </w:pPr>
    <w:rPr>
      <w:rFonts w:ascii="Times New Roman" w:hAnsi="Times New Roman" w:cs="Times New Roman"/>
      <w:b/>
      <w:sz w:val="24"/>
    </w:rPr>
  </w:style>
  <w:style w:type="paragraph" w:customStyle="1" w:styleId="FERCparanumber">
    <w:name w:val="FERC paranumber"/>
    <w:basedOn w:val="Normal"/>
    <w:link w:val="FERCparanumberChar"/>
    <w:qFormat/>
    <w:rsid w:val="00A70F33"/>
    <w:pPr>
      <w:widowControl/>
      <w:numPr>
        <w:numId w:val="18"/>
      </w:numPr>
      <w:spacing w:after="240"/>
    </w:pPr>
    <w:rPr>
      <w:szCs w:val="16"/>
    </w:rPr>
  </w:style>
  <w:style w:type="character" w:styleId="FollowedHyperlink">
    <w:name w:val="FollowedHyperlink"/>
    <w:rsid w:val="00311164"/>
    <w:rPr>
      <w:color w:val="800080"/>
      <w:u w:val="single"/>
    </w:rPr>
  </w:style>
  <w:style w:type="character" w:customStyle="1" w:styleId="st1">
    <w:name w:val="st1"/>
    <w:rsid w:val="005D6226"/>
  </w:style>
  <w:style w:type="paragraph" w:styleId="PlainText">
    <w:name w:val="Plain Text"/>
    <w:basedOn w:val="Normal"/>
    <w:link w:val="PlainTextChar"/>
    <w:uiPriority w:val="99"/>
    <w:unhideWhenUsed/>
    <w:rsid w:val="004466CE"/>
    <w:pPr>
      <w:widowControl/>
      <w:autoSpaceDE/>
      <w:autoSpaceDN/>
      <w:adjustRightInd/>
    </w:pPr>
    <w:rPr>
      <w:rFonts w:eastAsia="Calibri"/>
      <w:szCs w:val="26"/>
      <w:lang w:val="x-none" w:eastAsia="x-none"/>
    </w:rPr>
  </w:style>
  <w:style w:type="character" w:customStyle="1" w:styleId="PlainTextChar">
    <w:name w:val="Plain Text Char"/>
    <w:link w:val="PlainText"/>
    <w:uiPriority w:val="99"/>
    <w:rsid w:val="004466CE"/>
    <w:rPr>
      <w:rFonts w:eastAsia="Calibri"/>
      <w:sz w:val="26"/>
      <w:szCs w:val="26"/>
    </w:rPr>
  </w:style>
  <w:style w:type="paragraph" w:styleId="ListParagraph">
    <w:name w:val="List Paragraph"/>
    <w:basedOn w:val="Normal"/>
    <w:qFormat/>
    <w:rsid w:val="005B5397"/>
    <w:pPr>
      <w:widowControl/>
      <w:autoSpaceDE/>
      <w:autoSpaceDN/>
      <w:adjustRightInd/>
      <w:spacing w:after="200" w:line="276" w:lineRule="auto"/>
      <w:ind w:left="720"/>
      <w:contextualSpacing/>
    </w:pPr>
    <w:rPr>
      <w:rFonts w:ascii="Calibri" w:hAnsi="Calibri"/>
      <w:sz w:val="22"/>
      <w:szCs w:val="22"/>
    </w:rPr>
  </w:style>
  <w:style w:type="paragraph" w:styleId="Revision">
    <w:name w:val="Revision"/>
    <w:hidden/>
    <w:uiPriority w:val="99"/>
    <w:semiHidden/>
    <w:rsid w:val="00112C21"/>
    <w:rPr>
      <w:sz w:val="24"/>
      <w:szCs w:val="24"/>
    </w:rPr>
  </w:style>
  <w:style w:type="character" w:customStyle="1" w:styleId="FERCparanumberChar">
    <w:name w:val="FERC paranumber Char"/>
    <w:link w:val="FERCparanumber"/>
    <w:locked/>
    <w:rsid w:val="00507B72"/>
    <w:rPr>
      <w:sz w:val="26"/>
      <w:szCs w:val="16"/>
    </w:rPr>
  </w:style>
  <w:style w:type="character" w:customStyle="1" w:styleId="ms-rtefontface-5">
    <w:name w:val="ms-rtefontface-5"/>
    <w:basedOn w:val="DefaultParagraphFont"/>
    <w:rsid w:val="00205F54"/>
  </w:style>
  <w:style w:type="paragraph" w:customStyle="1" w:styleId="OMBHeadings">
    <w:name w:val="OMB Headings"/>
    <w:basedOn w:val="Normal"/>
    <w:link w:val="OMBHeadingsChar"/>
    <w:qFormat/>
    <w:rsid w:val="00E25A66"/>
    <w:pPr>
      <w:tabs>
        <w:tab w:val="left" w:pos="-1440"/>
      </w:tabs>
      <w:ind w:left="720" w:hanging="720"/>
    </w:pPr>
    <w:rPr>
      <w:b/>
      <w:bCs/>
      <w:szCs w:val="26"/>
    </w:rPr>
  </w:style>
  <w:style w:type="character" w:customStyle="1" w:styleId="OMBHeadingsChar">
    <w:name w:val="OMB Headings Char"/>
    <w:basedOn w:val="DefaultParagraphFont"/>
    <w:link w:val="OMBHeadings"/>
    <w:rsid w:val="00E25A66"/>
    <w:rPr>
      <w:b/>
      <w:bCs/>
      <w:sz w:val="26"/>
      <w:szCs w:val="26"/>
    </w:rPr>
  </w:style>
  <w:style w:type="character" w:customStyle="1" w:styleId="FootnoteTextChar2">
    <w:name w:val="Footnote Text Char2"/>
    <w:aliases w:val="Footnote Text Char Char2,fn Char,Footnote Text Char1 Char1,Footnote Text Char Char Char1,Footnote Text Char1 Char Char,Footnote Text Char Char Char Char, Char Char,Footnote Text Char Char1 Char,Char Char,fn Char Char Char,ft Char"/>
    <w:uiPriority w:val="99"/>
    <w:rsid w:val="00FA3DB9"/>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301876">
      <w:bodyDiv w:val="1"/>
      <w:marLeft w:val="0"/>
      <w:marRight w:val="0"/>
      <w:marTop w:val="0"/>
      <w:marBottom w:val="0"/>
      <w:divBdr>
        <w:top w:val="none" w:sz="0" w:space="0" w:color="auto"/>
        <w:left w:val="none" w:sz="0" w:space="0" w:color="auto"/>
        <w:bottom w:val="none" w:sz="0" w:space="0" w:color="auto"/>
        <w:right w:val="none" w:sz="0" w:space="0" w:color="auto"/>
      </w:divBdr>
    </w:div>
    <w:div w:id="494106844">
      <w:bodyDiv w:val="1"/>
      <w:marLeft w:val="0"/>
      <w:marRight w:val="0"/>
      <w:marTop w:val="0"/>
      <w:marBottom w:val="0"/>
      <w:divBdr>
        <w:top w:val="none" w:sz="0" w:space="0" w:color="auto"/>
        <w:left w:val="none" w:sz="0" w:space="0" w:color="auto"/>
        <w:bottom w:val="none" w:sz="0" w:space="0" w:color="auto"/>
        <w:right w:val="none" w:sz="0" w:space="0" w:color="auto"/>
      </w:divBdr>
    </w:div>
    <w:div w:id="516429246">
      <w:bodyDiv w:val="1"/>
      <w:marLeft w:val="0"/>
      <w:marRight w:val="0"/>
      <w:marTop w:val="0"/>
      <w:marBottom w:val="0"/>
      <w:divBdr>
        <w:top w:val="none" w:sz="0" w:space="0" w:color="auto"/>
        <w:left w:val="none" w:sz="0" w:space="0" w:color="auto"/>
        <w:bottom w:val="none" w:sz="0" w:space="0" w:color="auto"/>
        <w:right w:val="none" w:sz="0" w:space="0" w:color="auto"/>
      </w:divBdr>
    </w:div>
    <w:div w:id="668799177">
      <w:bodyDiv w:val="1"/>
      <w:marLeft w:val="0"/>
      <w:marRight w:val="0"/>
      <w:marTop w:val="0"/>
      <w:marBottom w:val="0"/>
      <w:divBdr>
        <w:top w:val="none" w:sz="0" w:space="0" w:color="auto"/>
        <w:left w:val="none" w:sz="0" w:space="0" w:color="auto"/>
        <w:bottom w:val="none" w:sz="0" w:space="0" w:color="auto"/>
        <w:right w:val="none" w:sz="0" w:space="0" w:color="auto"/>
      </w:divBdr>
    </w:div>
    <w:div w:id="808401727">
      <w:bodyDiv w:val="1"/>
      <w:marLeft w:val="0"/>
      <w:marRight w:val="0"/>
      <w:marTop w:val="0"/>
      <w:marBottom w:val="0"/>
      <w:divBdr>
        <w:top w:val="none" w:sz="0" w:space="0" w:color="auto"/>
        <w:left w:val="none" w:sz="0" w:space="0" w:color="auto"/>
        <w:bottom w:val="none" w:sz="0" w:space="0" w:color="auto"/>
        <w:right w:val="none" w:sz="0" w:space="0" w:color="auto"/>
      </w:divBdr>
    </w:div>
    <w:div w:id="916280853">
      <w:bodyDiv w:val="1"/>
      <w:marLeft w:val="0"/>
      <w:marRight w:val="0"/>
      <w:marTop w:val="0"/>
      <w:marBottom w:val="0"/>
      <w:divBdr>
        <w:top w:val="none" w:sz="0" w:space="0" w:color="auto"/>
        <w:left w:val="none" w:sz="0" w:space="0" w:color="auto"/>
        <w:bottom w:val="none" w:sz="0" w:space="0" w:color="auto"/>
        <w:right w:val="none" w:sz="0" w:space="0" w:color="auto"/>
      </w:divBdr>
    </w:div>
    <w:div w:id="1296764518">
      <w:bodyDiv w:val="1"/>
      <w:marLeft w:val="0"/>
      <w:marRight w:val="0"/>
      <w:marTop w:val="0"/>
      <w:marBottom w:val="0"/>
      <w:divBdr>
        <w:top w:val="none" w:sz="0" w:space="0" w:color="auto"/>
        <w:left w:val="none" w:sz="0" w:space="0" w:color="auto"/>
        <w:bottom w:val="none" w:sz="0" w:space="0" w:color="auto"/>
        <w:right w:val="none" w:sz="0" w:space="0" w:color="auto"/>
      </w:divBdr>
    </w:div>
    <w:div w:id="1442727206">
      <w:bodyDiv w:val="1"/>
      <w:marLeft w:val="0"/>
      <w:marRight w:val="0"/>
      <w:marTop w:val="0"/>
      <w:marBottom w:val="0"/>
      <w:divBdr>
        <w:top w:val="none" w:sz="0" w:space="0" w:color="auto"/>
        <w:left w:val="none" w:sz="0" w:space="0" w:color="auto"/>
        <w:bottom w:val="none" w:sz="0" w:space="0" w:color="auto"/>
        <w:right w:val="none" w:sz="0" w:space="0" w:color="auto"/>
      </w:divBdr>
    </w:div>
    <w:div w:id="1800764416">
      <w:bodyDiv w:val="1"/>
      <w:marLeft w:val="0"/>
      <w:marRight w:val="0"/>
      <w:marTop w:val="0"/>
      <w:marBottom w:val="0"/>
      <w:divBdr>
        <w:top w:val="none" w:sz="0" w:space="0" w:color="auto"/>
        <w:left w:val="none" w:sz="0" w:space="0" w:color="auto"/>
        <w:bottom w:val="none" w:sz="0" w:space="0" w:color="auto"/>
        <w:right w:val="none" w:sz="0" w:space="0" w:color="auto"/>
      </w:divBdr>
    </w:div>
    <w:div w:id="1905604761">
      <w:bodyDiv w:val="1"/>
      <w:marLeft w:val="0"/>
      <w:marRight w:val="0"/>
      <w:marTop w:val="0"/>
      <w:marBottom w:val="0"/>
      <w:divBdr>
        <w:top w:val="none" w:sz="0" w:space="0" w:color="auto"/>
        <w:left w:val="none" w:sz="0" w:space="0" w:color="auto"/>
        <w:bottom w:val="none" w:sz="0" w:space="0" w:color="auto"/>
        <w:right w:val="none" w:sz="0" w:space="0" w:color="auto"/>
      </w:divBdr>
    </w:div>
    <w:div w:id="205731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ferc.gov/legal/ceii-foia/ceii.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 xsi:nil="true"/>
    <Date xmlns="d6eefc7d-9817-4fa6-84d5-3bc009be21b8" xsi:nil="true"/>
    <Status xmlns="d6eefc7d-9817-4fa6-84d5-3bc009be21b8">None</Status>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AC145-BF5A-43CF-8060-C9550897C801}">
  <ds:schemaRefs>
    <ds:schemaRef ds:uri="Microsoft.SharePoint.Taxonomy.ContentTypeSync"/>
  </ds:schemaRefs>
</ds:datastoreItem>
</file>

<file path=customXml/itemProps2.xml><?xml version="1.0" encoding="utf-8"?>
<ds:datastoreItem xmlns:ds="http://schemas.openxmlformats.org/officeDocument/2006/customXml" ds:itemID="{E74EA50E-ABD3-4D21-829F-2D461CBC71E3}">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d6eefc7d-9817-4fa6-84d5-3bc009be21b8"/>
    <ds:schemaRef ds:uri="http://www.w3.org/XML/1998/namespace"/>
    <ds:schemaRef ds:uri="http://purl.org/dc/dcmitype/"/>
  </ds:schemaRefs>
</ds:datastoreItem>
</file>

<file path=customXml/itemProps3.xml><?xml version="1.0" encoding="utf-8"?>
<ds:datastoreItem xmlns:ds="http://schemas.openxmlformats.org/officeDocument/2006/customXml" ds:itemID="{CCC41BC7-DCA5-49D0-ADAC-F8B6FD065DDC}">
  <ds:schemaRefs>
    <ds:schemaRef ds:uri="http://schemas.microsoft.com/sharepoint/v3/contenttype/forms"/>
  </ds:schemaRefs>
</ds:datastoreItem>
</file>

<file path=customXml/itemProps4.xml><?xml version="1.0" encoding="utf-8"?>
<ds:datastoreItem xmlns:ds="http://schemas.openxmlformats.org/officeDocument/2006/customXml" ds:itemID="{D71BA0A6-A752-4137-8C21-B6D1812270B6}">
  <ds:schemaRefs>
    <ds:schemaRef ds:uri="http://schemas.microsoft.com/office/2006/metadata/customXsn"/>
  </ds:schemaRefs>
</ds:datastoreItem>
</file>

<file path=customXml/itemProps5.xml><?xml version="1.0" encoding="utf-8"?>
<ds:datastoreItem xmlns:ds="http://schemas.openxmlformats.org/officeDocument/2006/customXml" ds:itemID="{E01EDD76-434E-4FFB-BB06-A7FA9E9CC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C38F33B-0BDD-4DC8-A958-B71F9C1AA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2108</Words>
  <Characters>12020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RM19-2-000 NOPR supporting statement</vt:lpstr>
    </vt:vector>
  </TitlesOfParts>
  <Company>Federal Energy Regulatory Commission</Company>
  <LinksUpToDate>false</LinksUpToDate>
  <CharactersWithSpaces>14100</CharactersWithSpaces>
  <SharedDoc>false</SharedDoc>
  <HLinks>
    <vt:vector size="12" baseType="variant">
      <vt:variant>
        <vt:i4>1310738</vt:i4>
      </vt:variant>
      <vt:variant>
        <vt:i4>0</vt:i4>
      </vt:variant>
      <vt:variant>
        <vt:i4>0</vt:i4>
      </vt:variant>
      <vt:variant>
        <vt:i4>5</vt:i4>
      </vt:variant>
      <vt:variant>
        <vt:lpwstr>http://www.ferc.gov/docs-filing/info-collections.asp</vt:lpwstr>
      </vt:variant>
      <vt:variant>
        <vt:lpwstr/>
      </vt:variant>
      <vt:variant>
        <vt:i4>4915294</vt:i4>
      </vt:variant>
      <vt:variant>
        <vt:i4>0</vt:i4>
      </vt:variant>
      <vt:variant>
        <vt:i4>0</vt:i4>
      </vt:variant>
      <vt:variant>
        <vt:i4>5</vt:i4>
      </vt:variant>
      <vt:variant>
        <vt:lpwstr>http://www.ferc.gov/legal/ceii-foia/ceii.asp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RM19-2-000 NOPR supporting statement</dc:title>
  <dc:subject/>
  <dc:creator>ferc</dc:creator>
  <cp:keywords/>
  <cp:lastModifiedBy>SYSTEM</cp:lastModifiedBy>
  <cp:revision>2</cp:revision>
  <cp:lastPrinted>2019-07-11T20:12:00Z</cp:lastPrinted>
  <dcterms:created xsi:type="dcterms:W3CDTF">2019-08-01T19:46:00Z</dcterms:created>
  <dcterms:modified xsi:type="dcterms:W3CDTF">2019-08-01T19:46:00Z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0x0101001EA51C0686BDB848B772F285AB6866B0</vt:lpwstr>
  </property>
  <property fmtid="{D5CDD505-2E9C-101B-9397-08002B2CF9AE}" pid="4" name="Renewal Document Type">
    <vt:lpwstr>None</vt:lpwstr>
  </property>
  <property fmtid="{D5CDD505-2E9C-101B-9397-08002B2CF9AE}" pid="5" name="Rulemaking Document Type">
    <vt:lpwstr>OMB Supporting Statement</vt:lpwstr>
  </property>
  <property fmtid="{D5CDD505-2E9C-101B-9397-08002B2CF9AE}" pid="6" name="3. Docket Number">
    <vt:lpwstr/>
  </property>
  <property fmtid="{D5CDD505-2E9C-101B-9397-08002B2CF9AE}" pid="7" name="1. Collection Number">
    <vt:lpwstr>919</vt:lpwstr>
  </property>
  <property fmtid="{D5CDD505-2E9C-101B-9397-08002B2CF9AE}" pid="8" name="Date">
    <vt:lpwstr>2019-03-27T00:00:00Z</vt:lpwstr>
  </property>
  <property fmtid="{D5CDD505-2E9C-101B-9397-08002B2CF9AE}" pid="9" name="Status">
    <vt:lpwstr>Final</vt:lpwstr>
  </property>
  <property fmtid="{D5CDD505-2E9C-101B-9397-08002B2CF9AE}" pid="10" name="2. Docket Number">
    <vt:lpwstr/>
  </property>
  <property fmtid="{D5CDD505-2E9C-101B-9397-08002B2CF9AE}" pid="11" name="2. Collection Number">
    <vt:lpwstr/>
  </property>
  <property fmtid="{D5CDD505-2E9C-101B-9397-08002B2CF9AE}" pid="12" name="1. Docket Number">
    <vt:lpwstr>RM19-2</vt:lpwstr>
  </property>
  <property fmtid="{D5CDD505-2E9C-101B-9397-08002B2CF9AE}" pid="13" name="3. Collection Number">
    <vt:lpwstr/>
  </property>
</Properties>
</file>