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FF71E" w14:textId="77777777" w:rsidR="007E02B0" w:rsidRPr="00E62CD8" w:rsidRDefault="007E02B0" w:rsidP="007E02B0">
      <w:pPr>
        <w:pStyle w:val="Title"/>
        <w:rPr>
          <w:rFonts w:ascii="Times New Roman" w:hAnsi="Times New Roman"/>
          <w:sz w:val="28"/>
          <w:szCs w:val="28"/>
        </w:rPr>
      </w:pPr>
      <w:bookmarkStart w:id="0" w:name="_GoBack"/>
      <w:bookmarkEnd w:id="0"/>
      <w:r w:rsidRPr="00E62CD8">
        <w:rPr>
          <w:rFonts w:ascii="Times New Roman" w:hAnsi="Times New Roman"/>
          <w:sz w:val="28"/>
          <w:szCs w:val="28"/>
        </w:rPr>
        <w:t>Annual Performance Report for Grants under the</w:t>
      </w:r>
    </w:p>
    <w:p w14:paraId="52580EB7" w14:textId="77777777" w:rsidR="007E02B0" w:rsidRPr="00E62CD8" w:rsidRDefault="007E02B0" w:rsidP="007E02B0">
      <w:pPr>
        <w:jc w:val="center"/>
        <w:rPr>
          <w:rFonts w:ascii="Times New Roman" w:hAnsi="Times New Roman"/>
          <w:b/>
          <w:sz w:val="28"/>
          <w:szCs w:val="28"/>
        </w:rPr>
      </w:pPr>
      <w:r w:rsidRPr="00E62CD8">
        <w:rPr>
          <w:rFonts w:ascii="Times New Roman" w:hAnsi="Times New Roman"/>
          <w:b/>
          <w:sz w:val="28"/>
          <w:szCs w:val="28"/>
        </w:rPr>
        <w:t>Ronald E. McNair Postbaccalaureate Achievement Program</w:t>
      </w:r>
    </w:p>
    <w:p w14:paraId="17397400" w14:textId="77777777" w:rsidR="000D085C" w:rsidRDefault="00FB65D0" w:rsidP="007E02B0">
      <w:pPr>
        <w:pStyle w:val="Heading2"/>
        <w:jc w:val="center"/>
        <w:rPr>
          <w:rFonts w:ascii="Times New Roman" w:hAnsi="Times New Roman"/>
          <w:sz w:val="24"/>
          <w:szCs w:val="24"/>
        </w:rPr>
      </w:pPr>
      <w:r>
        <w:rPr>
          <w:rFonts w:ascii="Times New Roman" w:hAnsi="Times New Roman"/>
          <w:i w:val="0"/>
          <w:sz w:val="24"/>
          <w:szCs w:val="24"/>
        </w:rPr>
        <w:t>SUPPORTING STATEMENT</w:t>
      </w:r>
      <w:r w:rsidR="007E02B0" w:rsidRPr="00E62CD8">
        <w:rPr>
          <w:rFonts w:ascii="Times New Roman" w:hAnsi="Times New Roman"/>
          <w:sz w:val="24"/>
          <w:szCs w:val="24"/>
        </w:rPr>
        <w:t xml:space="preserve"> </w:t>
      </w:r>
    </w:p>
    <w:p w14:paraId="1223DE99" w14:textId="77777777" w:rsidR="007E02B0" w:rsidRPr="00FB65D0" w:rsidRDefault="00FB65D0" w:rsidP="007E02B0">
      <w:pPr>
        <w:pStyle w:val="Heading2"/>
        <w:jc w:val="center"/>
        <w:rPr>
          <w:rFonts w:ascii="Times New Roman" w:hAnsi="Times New Roman"/>
          <w:i w:val="0"/>
          <w:sz w:val="24"/>
          <w:szCs w:val="24"/>
        </w:rPr>
      </w:pPr>
      <w:r w:rsidRPr="00FB65D0">
        <w:rPr>
          <w:rFonts w:ascii="Times New Roman" w:hAnsi="Times New Roman"/>
          <w:i w:val="0"/>
          <w:sz w:val="24"/>
          <w:szCs w:val="24"/>
        </w:rPr>
        <w:t>FOR PAPERWORK REDUCTION ACT SUBMISSION</w:t>
      </w:r>
    </w:p>
    <w:p w14:paraId="051F48B6" w14:textId="77777777" w:rsidR="00031642" w:rsidRDefault="00031642" w:rsidP="00031642">
      <w:pPr>
        <w:tabs>
          <w:tab w:val="left" w:pos="0"/>
        </w:tabs>
        <w:suppressAutoHyphens/>
        <w:spacing w:after="100" w:afterAutospacing="1"/>
        <w:rPr>
          <w:rFonts w:ascii="Times New Roman" w:hAnsi="Times New Roman"/>
          <w:b/>
          <w:szCs w:val="24"/>
        </w:rPr>
      </w:pPr>
    </w:p>
    <w:p w14:paraId="1C351947" w14:textId="77777777" w:rsidR="00414B52" w:rsidRPr="00D44C08" w:rsidRDefault="00414B52" w:rsidP="00414B52">
      <w:pPr>
        <w:tabs>
          <w:tab w:val="left" w:pos="0"/>
        </w:tabs>
        <w:suppressAutoHyphens/>
        <w:rPr>
          <w:rFonts w:ascii="Times New Roman" w:hAnsi="Times New Roman"/>
          <w:sz w:val="22"/>
          <w:szCs w:val="22"/>
        </w:rPr>
      </w:pPr>
      <w:r w:rsidRPr="00D44C08">
        <w:rPr>
          <w:rFonts w:ascii="Times New Roman" w:hAnsi="Times New Roman"/>
          <w:b/>
          <w:sz w:val="22"/>
          <w:szCs w:val="22"/>
        </w:rPr>
        <w:t xml:space="preserve">A. Justification </w:t>
      </w:r>
    </w:p>
    <w:p w14:paraId="3C17843F" w14:textId="77777777" w:rsidR="00414B52" w:rsidRPr="00D44C08" w:rsidRDefault="00414B52" w:rsidP="00414B52">
      <w:pPr>
        <w:tabs>
          <w:tab w:val="left" w:pos="0"/>
        </w:tabs>
        <w:suppressAutoHyphens/>
        <w:rPr>
          <w:rFonts w:ascii="Times New Roman" w:hAnsi="Times New Roman"/>
          <w:sz w:val="22"/>
          <w:szCs w:val="22"/>
        </w:rPr>
      </w:pPr>
    </w:p>
    <w:p w14:paraId="6D393B5A" w14:textId="77777777" w:rsidR="00414B52" w:rsidRPr="00D44C08" w:rsidRDefault="00414B52" w:rsidP="00414B52">
      <w:pPr>
        <w:tabs>
          <w:tab w:val="left" w:pos="0"/>
        </w:tabs>
        <w:suppressAutoHyphens/>
        <w:rPr>
          <w:rFonts w:ascii="Times New Roman" w:hAnsi="Times New Roman"/>
          <w:i/>
          <w:sz w:val="22"/>
          <w:szCs w:val="22"/>
        </w:rPr>
      </w:pPr>
      <w:r w:rsidRPr="00D44C08">
        <w:rPr>
          <w:rFonts w:ascii="Times New Roman" w:hAnsi="Times New Roman"/>
          <w:i/>
          <w:sz w:val="22"/>
          <w:szCs w:val="22"/>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D44C08">
        <w:rPr>
          <w:rStyle w:val="FootnoteReference"/>
          <w:rFonts w:ascii="Times New Roman" w:hAnsi="Times New Roman"/>
          <w:i/>
          <w:sz w:val="22"/>
          <w:szCs w:val="22"/>
        </w:rPr>
        <w:footnoteReference w:id="1"/>
      </w:r>
      <w:r w:rsidRPr="00D44C08">
        <w:rPr>
          <w:rFonts w:ascii="Times New Roman" w:hAnsi="Times New Roman"/>
          <w:i/>
          <w:sz w:val="22"/>
          <w:szCs w:val="22"/>
        </w:rPr>
        <w:t xml:space="preserve">. </w:t>
      </w:r>
      <w:r w:rsidR="00CD4E11" w:rsidRPr="00D44C08">
        <w:rPr>
          <w:rFonts w:ascii="Times New Roman" w:hAnsi="Times New Roman"/>
          <w:i/>
          <w:sz w:val="22"/>
          <w:szCs w:val="22"/>
        </w:rPr>
        <w:t xml:space="preserve"> </w:t>
      </w:r>
      <w:r w:rsidRPr="00D44C08">
        <w:rPr>
          <w:rFonts w:ascii="Times New Roman" w:hAnsi="Times New Roman"/>
          <w:i/>
          <w:sz w:val="22"/>
          <w:szCs w:val="22"/>
        </w:rPr>
        <w:t xml:space="preserve">Specify the review type of the collection (new, revision, extension, reinstatement with change, reinstatement without change). </w:t>
      </w:r>
      <w:r w:rsidR="00CD4E11" w:rsidRPr="00D44C08">
        <w:rPr>
          <w:rFonts w:ascii="Times New Roman" w:hAnsi="Times New Roman"/>
          <w:i/>
          <w:sz w:val="22"/>
          <w:szCs w:val="22"/>
        </w:rPr>
        <w:t xml:space="preserve"> </w:t>
      </w:r>
      <w:r w:rsidRPr="00D44C08">
        <w:rPr>
          <w:rFonts w:ascii="Times New Roman" w:hAnsi="Times New Roman"/>
          <w:i/>
          <w:sz w:val="22"/>
          <w:szCs w:val="22"/>
        </w:rPr>
        <w:t>If revised, briefly specify the changes.  If a rulemaking is involved, make note of the sections or changed sections, if applicable.</w:t>
      </w:r>
    </w:p>
    <w:p w14:paraId="47A6DD10" w14:textId="77777777" w:rsidR="00FB65D0" w:rsidRPr="00D44C08" w:rsidRDefault="00FB65D0" w:rsidP="009032E8">
      <w:pPr>
        <w:pStyle w:val="ListParagraph"/>
        <w:ind w:left="0"/>
        <w:rPr>
          <w:rFonts w:ascii="Times New Roman" w:hAnsi="Times New Roman"/>
          <w:sz w:val="22"/>
          <w:szCs w:val="22"/>
        </w:rPr>
      </w:pPr>
    </w:p>
    <w:p w14:paraId="677B81E8" w14:textId="052CE458" w:rsidR="00CC0087" w:rsidRPr="0015716C" w:rsidRDefault="00D71B59" w:rsidP="009032E8">
      <w:pPr>
        <w:pStyle w:val="ListParagraph"/>
        <w:ind w:left="0"/>
        <w:rPr>
          <w:rFonts w:ascii="Times New Roman" w:hAnsi="Times New Roman"/>
          <w:sz w:val="22"/>
          <w:szCs w:val="22"/>
        </w:rPr>
      </w:pPr>
      <w:r w:rsidRPr="00D44C08">
        <w:rPr>
          <w:rFonts w:ascii="Times New Roman" w:hAnsi="Times New Roman"/>
          <w:sz w:val="22"/>
          <w:szCs w:val="22"/>
        </w:rPr>
        <w:t xml:space="preserve">The Department of Education (Department) is requesting approval </w:t>
      </w:r>
      <w:r w:rsidR="0047647F" w:rsidRPr="00E17878">
        <w:rPr>
          <w:rFonts w:ascii="Times New Roman" w:hAnsi="Times New Roman"/>
          <w:sz w:val="22"/>
          <w:szCs w:val="22"/>
        </w:rPr>
        <w:t xml:space="preserve">of </w:t>
      </w:r>
      <w:r w:rsidRPr="00E17878">
        <w:rPr>
          <w:rFonts w:ascii="Times New Roman" w:hAnsi="Times New Roman"/>
          <w:sz w:val="22"/>
          <w:szCs w:val="22"/>
        </w:rPr>
        <w:t xml:space="preserve">a </w:t>
      </w:r>
      <w:r w:rsidR="004837DB" w:rsidRPr="00E17878">
        <w:rPr>
          <w:rFonts w:ascii="Times New Roman" w:hAnsi="Times New Roman"/>
          <w:sz w:val="22"/>
          <w:szCs w:val="22"/>
        </w:rPr>
        <w:t>revision</w:t>
      </w:r>
      <w:r w:rsidR="00C17A6B" w:rsidRPr="00E17878">
        <w:rPr>
          <w:rFonts w:ascii="Times New Roman" w:hAnsi="Times New Roman"/>
          <w:sz w:val="22"/>
          <w:szCs w:val="22"/>
        </w:rPr>
        <w:t xml:space="preserve"> of a currently approved collection</w:t>
      </w:r>
      <w:r w:rsidRPr="008F6483">
        <w:rPr>
          <w:rFonts w:ascii="Times New Roman" w:hAnsi="Times New Roman"/>
          <w:sz w:val="22"/>
          <w:szCs w:val="22"/>
        </w:rPr>
        <w:t xml:space="preserve">.  The Ronald E. McNair Postbaccalaureate Achievement (McNair) Program Annual Performance Report (APR) will expire on </w:t>
      </w:r>
      <w:r w:rsidR="004837DB" w:rsidRPr="0015716C">
        <w:rPr>
          <w:rFonts w:ascii="Times New Roman" w:hAnsi="Times New Roman"/>
          <w:sz w:val="22"/>
          <w:szCs w:val="22"/>
        </w:rPr>
        <w:t>November 30</w:t>
      </w:r>
      <w:r w:rsidR="00CC0087" w:rsidRPr="0015716C">
        <w:rPr>
          <w:rFonts w:ascii="Times New Roman" w:hAnsi="Times New Roman"/>
          <w:sz w:val="22"/>
          <w:szCs w:val="22"/>
        </w:rPr>
        <w:t>, 201</w:t>
      </w:r>
      <w:r w:rsidR="00506AA5" w:rsidRPr="0015716C">
        <w:rPr>
          <w:rFonts w:ascii="Times New Roman" w:hAnsi="Times New Roman"/>
          <w:sz w:val="22"/>
          <w:szCs w:val="22"/>
        </w:rPr>
        <w:t>9</w:t>
      </w:r>
      <w:r w:rsidRPr="0015716C">
        <w:rPr>
          <w:rFonts w:ascii="Times New Roman" w:hAnsi="Times New Roman"/>
          <w:sz w:val="22"/>
          <w:szCs w:val="22"/>
        </w:rPr>
        <w:t xml:space="preserve"> </w:t>
      </w:r>
      <w:r w:rsidR="00CC0087" w:rsidRPr="0015716C">
        <w:rPr>
          <w:rFonts w:ascii="Times New Roman" w:hAnsi="Times New Roman"/>
          <w:sz w:val="22"/>
          <w:szCs w:val="22"/>
        </w:rPr>
        <w:t>(</w:t>
      </w:r>
      <w:r w:rsidRPr="0015716C">
        <w:rPr>
          <w:rFonts w:ascii="Times New Roman" w:hAnsi="Times New Roman"/>
          <w:sz w:val="22"/>
          <w:szCs w:val="22"/>
        </w:rPr>
        <w:t xml:space="preserve">OMB </w:t>
      </w:r>
      <w:r w:rsidR="00CC0087" w:rsidRPr="0015716C">
        <w:rPr>
          <w:rFonts w:ascii="Times New Roman" w:hAnsi="Times New Roman"/>
          <w:sz w:val="22"/>
          <w:szCs w:val="22"/>
        </w:rPr>
        <w:t xml:space="preserve">No. </w:t>
      </w:r>
      <w:r w:rsidRPr="0015716C">
        <w:rPr>
          <w:rFonts w:ascii="Times New Roman" w:hAnsi="Times New Roman"/>
          <w:sz w:val="22"/>
          <w:szCs w:val="22"/>
        </w:rPr>
        <w:t>1840-0640</w:t>
      </w:r>
      <w:r w:rsidR="00CC0087" w:rsidRPr="0015716C">
        <w:rPr>
          <w:rFonts w:ascii="Times New Roman" w:hAnsi="Times New Roman"/>
          <w:sz w:val="22"/>
          <w:szCs w:val="22"/>
        </w:rPr>
        <w:t>)</w:t>
      </w:r>
      <w:r w:rsidRPr="0015716C">
        <w:rPr>
          <w:rFonts w:ascii="Times New Roman" w:hAnsi="Times New Roman"/>
          <w:sz w:val="22"/>
          <w:szCs w:val="22"/>
        </w:rPr>
        <w:t xml:space="preserve">.  </w:t>
      </w:r>
    </w:p>
    <w:p w14:paraId="08338BFC" w14:textId="77777777" w:rsidR="00520FB8" w:rsidRPr="0015716C" w:rsidRDefault="00520FB8" w:rsidP="009032E8">
      <w:pPr>
        <w:pStyle w:val="ListParagraph"/>
        <w:ind w:left="0"/>
        <w:rPr>
          <w:rFonts w:ascii="Times New Roman" w:hAnsi="Times New Roman"/>
          <w:sz w:val="22"/>
          <w:szCs w:val="22"/>
        </w:rPr>
      </w:pPr>
    </w:p>
    <w:p w14:paraId="3C8DE8D6" w14:textId="2640AE74" w:rsidR="0088114D" w:rsidRPr="00E17878" w:rsidRDefault="0088114D" w:rsidP="00274EC4">
      <w:pPr>
        <w:pStyle w:val="ListParagraph"/>
        <w:ind w:left="0"/>
        <w:rPr>
          <w:rFonts w:ascii="Times New Roman" w:hAnsi="Times New Roman"/>
          <w:sz w:val="22"/>
          <w:szCs w:val="22"/>
        </w:rPr>
      </w:pPr>
      <w:r w:rsidRPr="0015716C">
        <w:rPr>
          <w:rFonts w:ascii="Times New Roman" w:hAnsi="Times New Roman"/>
          <w:sz w:val="22"/>
          <w:szCs w:val="22"/>
        </w:rPr>
        <w:t>The McNair Program is authorized by Title IV, Part A, Subpart 2, Section 402E of the Higher Education Act of 1965, as amended (P.L.</w:t>
      </w:r>
      <w:r w:rsidR="0047647F" w:rsidRPr="0015716C">
        <w:rPr>
          <w:rFonts w:ascii="Times New Roman" w:hAnsi="Times New Roman"/>
          <w:sz w:val="22"/>
          <w:szCs w:val="22"/>
        </w:rPr>
        <w:t>110-315</w:t>
      </w:r>
      <w:r w:rsidRPr="0015716C">
        <w:rPr>
          <w:rFonts w:ascii="Times New Roman" w:hAnsi="Times New Roman"/>
          <w:sz w:val="22"/>
          <w:szCs w:val="22"/>
        </w:rPr>
        <w:t xml:space="preserve">); the program regulations in 34 CFR Part 647; and the Education Department General Administrative Regulations (EDGAR), Parts 74, 75, 77, 79, 82, 85, and 86.  The McNair Program authorizing statute and regulations for this collection are available via the following URL link: </w:t>
      </w:r>
      <w:hyperlink r:id="rId8" w:history="1">
        <w:r w:rsidRPr="00E17878">
          <w:rPr>
            <w:rStyle w:val="Hyperlink"/>
            <w:rFonts w:ascii="Times New Roman" w:hAnsi="Times New Roman"/>
            <w:sz w:val="22"/>
            <w:szCs w:val="22"/>
          </w:rPr>
          <w:t>http://www2.ed.gov/programs/triomcnair/legislation.html</w:t>
        </w:r>
      </w:hyperlink>
      <w:r w:rsidRPr="00E17878">
        <w:rPr>
          <w:rStyle w:val="Hyperlink"/>
          <w:rFonts w:ascii="Times New Roman" w:hAnsi="Times New Roman"/>
          <w:sz w:val="22"/>
          <w:szCs w:val="22"/>
          <w:u w:val="none"/>
        </w:rPr>
        <w:t xml:space="preserve">.  </w:t>
      </w:r>
    </w:p>
    <w:p w14:paraId="2B2A2C9D" w14:textId="77777777" w:rsidR="00BD76C7" w:rsidRPr="008F6483" w:rsidRDefault="00BD76C7" w:rsidP="006623BC">
      <w:pPr>
        <w:pStyle w:val="ListParagraph"/>
        <w:ind w:left="0"/>
        <w:rPr>
          <w:rFonts w:ascii="Times New Roman" w:hAnsi="Times New Roman"/>
          <w:sz w:val="22"/>
          <w:szCs w:val="22"/>
        </w:rPr>
      </w:pPr>
    </w:p>
    <w:p w14:paraId="0BFE58D5" w14:textId="77777777" w:rsidR="00D71B59" w:rsidRPr="0015716C" w:rsidRDefault="00CC0087" w:rsidP="009032E8">
      <w:pPr>
        <w:rPr>
          <w:rFonts w:ascii="Times New Roman" w:hAnsi="Times New Roman"/>
          <w:sz w:val="22"/>
          <w:szCs w:val="22"/>
        </w:rPr>
      </w:pPr>
      <w:r w:rsidRPr="0015716C">
        <w:rPr>
          <w:rFonts w:ascii="Times New Roman" w:hAnsi="Times New Roman"/>
          <w:sz w:val="22"/>
          <w:szCs w:val="22"/>
        </w:rPr>
        <w:t>Through a grant competition, McNair Program funds are awarded to institutions of higher education to prepare eligible participants for doctoral studies through involvement in research and other scholarly activities.</w:t>
      </w:r>
      <w:r w:rsidR="00D86610" w:rsidRPr="0015716C">
        <w:rPr>
          <w:rFonts w:ascii="Times New Roman" w:hAnsi="Times New Roman"/>
          <w:sz w:val="22"/>
          <w:szCs w:val="22"/>
        </w:rPr>
        <w:t xml:space="preserve"> </w:t>
      </w:r>
      <w:r w:rsidRPr="0015716C">
        <w:rPr>
          <w:rFonts w:ascii="Times New Roman" w:hAnsi="Times New Roman"/>
          <w:sz w:val="22"/>
          <w:szCs w:val="22"/>
        </w:rPr>
        <w:t xml:space="preserve"> Participants are from dis</w:t>
      </w:r>
      <w:r w:rsidR="00B808CA" w:rsidRPr="0015716C">
        <w:rPr>
          <w:rFonts w:ascii="Times New Roman" w:hAnsi="Times New Roman"/>
          <w:sz w:val="22"/>
          <w:szCs w:val="22"/>
        </w:rPr>
        <w:t xml:space="preserve">advantaged backgrounds and have </w:t>
      </w:r>
      <w:r w:rsidRPr="0015716C">
        <w:rPr>
          <w:rFonts w:ascii="Times New Roman" w:hAnsi="Times New Roman"/>
          <w:sz w:val="22"/>
          <w:szCs w:val="22"/>
        </w:rPr>
        <w:t>demonstrated strong academic potential.</w:t>
      </w:r>
      <w:r w:rsidR="00D86610" w:rsidRPr="0015716C">
        <w:rPr>
          <w:rFonts w:ascii="Times New Roman" w:hAnsi="Times New Roman"/>
          <w:sz w:val="22"/>
          <w:szCs w:val="22"/>
        </w:rPr>
        <w:t xml:space="preserve"> </w:t>
      </w:r>
      <w:r w:rsidRPr="0015716C">
        <w:rPr>
          <w:rFonts w:ascii="Times New Roman" w:hAnsi="Times New Roman"/>
          <w:sz w:val="22"/>
          <w:szCs w:val="22"/>
        </w:rPr>
        <w:t xml:space="preserve"> Institutions work closely with participants as they complete their undergraduate requirements.</w:t>
      </w:r>
      <w:r w:rsidR="00D86610" w:rsidRPr="0015716C">
        <w:rPr>
          <w:rFonts w:ascii="Times New Roman" w:hAnsi="Times New Roman"/>
          <w:sz w:val="22"/>
          <w:szCs w:val="22"/>
        </w:rPr>
        <w:t xml:space="preserve"> </w:t>
      </w:r>
      <w:r w:rsidRPr="0015716C">
        <w:rPr>
          <w:rFonts w:ascii="Times New Roman" w:hAnsi="Times New Roman"/>
          <w:sz w:val="22"/>
          <w:szCs w:val="22"/>
        </w:rPr>
        <w:t xml:space="preserve"> Institutions encourage participants to enroll in graduate programs and then track their progress through to the successful completion of advanced degrees.</w:t>
      </w:r>
      <w:r w:rsidR="00D86610" w:rsidRPr="0015716C">
        <w:rPr>
          <w:rFonts w:ascii="Times New Roman" w:hAnsi="Times New Roman"/>
          <w:sz w:val="22"/>
          <w:szCs w:val="22"/>
        </w:rPr>
        <w:t xml:space="preserve"> </w:t>
      </w:r>
      <w:r w:rsidRPr="0015716C">
        <w:rPr>
          <w:rFonts w:ascii="Times New Roman" w:hAnsi="Times New Roman"/>
          <w:sz w:val="22"/>
          <w:szCs w:val="22"/>
        </w:rPr>
        <w:t xml:space="preserve"> The goal is to increase the attainment of Ph.D. degrees by students from underr</w:t>
      </w:r>
      <w:r w:rsidR="00316275" w:rsidRPr="0015716C">
        <w:rPr>
          <w:rFonts w:ascii="Times New Roman" w:hAnsi="Times New Roman"/>
          <w:sz w:val="22"/>
          <w:szCs w:val="22"/>
        </w:rPr>
        <w:t>epresented segments of society.</w:t>
      </w:r>
    </w:p>
    <w:p w14:paraId="37A29608" w14:textId="77777777" w:rsidR="009032E8" w:rsidRPr="0015716C" w:rsidRDefault="009032E8" w:rsidP="009032E8">
      <w:pPr>
        <w:rPr>
          <w:rFonts w:ascii="Times New Roman" w:hAnsi="Times New Roman"/>
          <w:sz w:val="22"/>
          <w:szCs w:val="22"/>
        </w:rPr>
      </w:pPr>
    </w:p>
    <w:p w14:paraId="736282A6" w14:textId="1A71719C" w:rsidR="00BD76C7" w:rsidRPr="0015716C" w:rsidRDefault="00300BD5" w:rsidP="00BD76C7">
      <w:pPr>
        <w:pStyle w:val="ListParagraph"/>
        <w:ind w:left="0"/>
        <w:rPr>
          <w:rFonts w:ascii="Times New Roman" w:hAnsi="Times New Roman"/>
          <w:sz w:val="22"/>
          <w:szCs w:val="22"/>
        </w:rPr>
      </w:pPr>
      <w:r w:rsidRPr="0015716C">
        <w:rPr>
          <w:rFonts w:ascii="Times New Roman" w:hAnsi="Times New Roman"/>
          <w:sz w:val="22"/>
          <w:szCs w:val="22"/>
        </w:rPr>
        <w:t>The obligation to respond to this collection is required to obtain or retain benefit</w:t>
      </w:r>
      <w:r w:rsidR="00316275" w:rsidRPr="0015716C">
        <w:rPr>
          <w:rFonts w:ascii="Times New Roman" w:hAnsi="Times New Roman"/>
          <w:sz w:val="22"/>
          <w:szCs w:val="22"/>
        </w:rPr>
        <w:t xml:space="preserve"> under</w:t>
      </w:r>
      <w:r w:rsidR="00AB7743" w:rsidRPr="0015716C">
        <w:rPr>
          <w:rFonts w:ascii="Times New Roman" w:hAnsi="Times New Roman"/>
          <w:sz w:val="22"/>
          <w:szCs w:val="22"/>
        </w:rPr>
        <w:t xml:space="preserve"> </w:t>
      </w:r>
      <w:r w:rsidR="00AB7743" w:rsidRPr="0015716C">
        <w:rPr>
          <w:rFonts w:ascii="Times New Roman" w:eastAsia="MS Mincho" w:hAnsi="Times New Roman"/>
          <w:sz w:val="22"/>
          <w:szCs w:val="22"/>
        </w:rPr>
        <w:t xml:space="preserve">Title IV, Section 402E, of the Higher Education Act of 1965, as amended (Public Law </w:t>
      </w:r>
      <w:r w:rsidR="0047647F" w:rsidRPr="0015716C">
        <w:rPr>
          <w:rFonts w:ascii="Times New Roman" w:eastAsia="MS Mincho" w:hAnsi="Times New Roman"/>
          <w:sz w:val="22"/>
          <w:szCs w:val="22"/>
        </w:rPr>
        <w:t>110-315</w:t>
      </w:r>
      <w:r w:rsidR="00AB7743" w:rsidRPr="0015716C">
        <w:rPr>
          <w:rFonts w:ascii="Times New Roman" w:eastAsia="MS Mincho" w:hAnsi="Times New Roman"/>
          <w:sz w:val="22"/>
          <w:szCs w:val="22"/>
        </w:rPr>
        <w:t>)</w:t>
      </w:r>
      <w:r w:rsidR="00316275" w:rsidRPr="0015716C">
        <w:rPr>
          <w:rFonts w:ascii="Times New Roman" w:eastAsia="MS Mincho" w:hAnsi="Times New Roman"/>
          <w:sz w:val="22"/>
          <w:szCs w:val="22"/>
        </w:rPr>
        <w:t>,</w:t>
      </w:r>
      <w:r w:rsidR="004837DB" w:rsidRPr="0015716C">
        <w:rPr>
          <w:rFonts w:ascii="Times New Roman" w:eastAsia="MS Mincho" w:hAnsi="Times New Roman"/>
          <w:sz w:val="22"/>
          <w:szCs w:val="22"/>
        </w:rPr>
        <w:t xml:space="preserve"> and</w:t>
      </w:r>
      <w:r w:rsidR="00316275" w:rsidRPr="0015716C">
        <w:rPr>
          <w:rFonts w:ascii="Times New Roman" w:eastAsia="MS Mincho" w:hAnsi="Times New Roman"/>
          <w:sz w:val="22"/>
          <w:szCs w:val="22"/>
        </w:rPr>
        <w:t xml:space="preserve"> the program regulations in 34 CFR Part 647; and sections 75.590 and 75.720 of the Education Department General </w:t>
      </w:r>
      <w:r w:rsidR="00AB7743" w:rsidRPr="0015716C">
        <w:rPr>
          <w:rFonts w:ascii="Times New Roman" w:eastAsia="MS Mincho" w:hAnsi="Times New Roman"/>
          <w:sz w:val="22"/>
          <w:szCs w:val="22"/>
        </w:rPr>
        <w:t xml:space="preserve"> </w:t>
      </w:r>
      <w:r w:rsidR="00316275" w:rsidRPr="0015716C">
        <w:rPr>
          <w:rFonts w:ascii="Times New Roman" w:eastAsia="MS Mincho" w:hAnsi="Times New Roman"/>
          <w:sz w:val="22"/>
          <w:szCs w:val="22"/>
        </w:rPr>
        <w:t>Administrative Regulations (EDGAR) permit the collection of this information.</w:t>
      </w:r>
      <w:r w:rsidR="00BD76C7" w:rsidRPr="0015716C">
        <w:rPr>
          <w:rFonts w:ascii="Times New Roman" w:eastAsia="MS Mincho" w:hAnsi="Times New Roman"/>
          <w:sz w:val="22"/>
          <w:szCs w:val="22"/>
        </w:rPr>
        <w:t xml:space="preserve">  </w:t>
      </w:r>
      <w:r w:rsidR="00BD76C7" w:rsidRPr="0015716C">
        <w:rPr>
          <w:rFonts w:ascii="Times New Roman" w:hAnsi="Times New Roman"/>
          <w:sz w:val="22"/>
          <w:szCs w:val="22"/>
        </w:rPr>
        <w:t>The respondents under the collection are institutions of higher education or combinations of those institutions.</w:t>
      </w:r>
    </w:p>
    <w:p w14:paraId="253B2107" w14:textId="77777777" w:rsidR="00AB7743" w:rsidRPr="0015716C" w:rsidRDefault="00AB7743" w:rsidP="009032E8">
      <w:pPr>
        <w:pStyle w:val="PlainText"/>
        <w:rPr>
          <w:rFonts w:ascii="Times New Roman" w:eastAsia="MS Mincho" w:hAnsi="Times New Roman" w:cs="Times New Roman"/>
          <w:sz w:val="22"/>
          <w:szCs w:val="22"/>
        </w:rPr>
      </w:pPr>
    </w:p>
    <w:p w14:paraId="686ED3CB" w14:textId="77777777" w:rsidR="00391343" w:rsidRPr="0015716C" w:rsidRDefault="00CC0087" w:rsidP="009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15716C">
        <w:rPr>
          <w:rFonts w:ascii="Times New Roman" w:hAnsi="Times New Roman"/>
          <w:bCs/>
          <w:sz w:val="22"/>
          <w:szCs w:val="22"/>
        </w:rPr>
        <w:t xml:space="preserve">The information submitted in the annual performance report is used to meet several regulatory and statutory requirements.  </w:t>
      </w:r>
    </w:p>
    <w:p w14:paraId="7EC0132B" w14:textId="77777777" w:rsidR="00031642" w:rsidRPr="0015716C" w:rsidRDefault="00031642" w:rsidP="009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p>
    <w:p w14:paraId="29AC6590" w14:textId="77777777" w:rsidR="00826D7D" w:rsidRPr="0015716C" w:rsidRDefault="00826D7D" w:rsidP="009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p>
    <w:p w14:paraId="55C1126A" w14:textId="77777777" w:rsidR="00391343" w:rsidRPr="0015716C" w:rsidRDefault="00391343" w:rsidP="009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r w:rsidRPr="0015716C">
        <w:rPr>
          <w:rFonts w:ascii="Times New Roman" w:hAnsi="Times New Roman"/>
          <w:b/>
          <w:bCs/>
          <w:sz w:val="22"/>
          <w:szCs w:val="22"/>
          <w:u w:val="single"/>
        </w:rPr>
        <w:t>Prior Experience (PE) Points</w:t>
      </w:r>
    </w:p>
    <w:p w14:paraId="6AEC42D3" w14:textId="77777777" w:rsidR="00305581" w:rsidRPr="0015716C" w:rsidRDefault="00CC0087" w:rsidP="009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2"/>
          <w:szCs w:val="22"/>
        </w:rPr>
      </w:pPr>
      <w:r w:rsidRPr="0015716C">
        <w:rPr>
          <w:rFonts w:ascii="Times New Roman" w:hAnsi="Times New Roman"/>
          <w:bCs/>
          <w:sz w:val="22"/>
          <w:szCs w:val="22"/>
        </w:rPr>
        <w:lastRenderedPageBreak/>
        <w:t xml:space="preserve">First of all, the data collected via the McNair APR is used to assign prior experience points as mandated by the McNair Program authorizing statute, Title IV, Part A, Subpart 2, Chapter 1, Section </w:t>
      </w:r>
      <w:r w:rsidR="00752430" w:rsidRPr="0015716C">
        <w:rPr>
          <w:rFonts w:ascii="Times New Roman" w:hAnsi="Times New Roman"/>
          <w:sz w:val="22"/>
          <w:szCs w:val="22"/>
        </w:rPr>
        <w:t>402A(f)(3)(D)</w:t>
      </w:r>
      <w:r w:rsidRPr="0015716C">
        <w:rPr>
          <w:rFonts w:ascii="Times New Roman" w:hAnsi="Times New Roman"/>
          <w:bCs/>
          <w:sz w:val="22"/>
          <w:szCs w:val="22"/>
        </w:rPr>
        <w:t xml:space="preserve"> of the Higher Education Act of 1965, as amended, </w:t>
      </w:r>
      <w:r w:rsidR="00305581" w:rsidRPr="0015716C">
        <w:rPr>
          <w:rFonts w:ascii="Times New Roman" w:hAnsi="Times New Roman"/>
          <w:bCs/>
          <w:sz w:val="22"/>
          <w:szCs w:val="22"/>
        </w:rPr>
        <w:t xml:space="preserve">which </w:t>
      </w:r>
      <w:r w:rsidRPr="0015716C">
        <w:rPr>
          <w:rFonts w:ascii="Times New Roman" w:hAnsi="Times New Roman"/>
          <w:bCs/>
          <w:sz w:val="22"/>
          <w:szCs w:val="22"/>
        </w:rPr>
        <w:t>states</w:t>
      </w:r>
      <w:r w:rsidR="00305581" w:rsidRPr="0015716C">
        <w:rPr>
          <w:rFonts w:ascii="Times New Roman" w:hAnsi="Times New Roman"/>
          <w:bCs/>
          <w:sz w:val="22"/>
          <w:szCs w:val="22"/>
        </w:rPr>
        <w:t>:</w:t>
      </w:r>
      <w:r w:rsidRPr="0015716C">
        <w:rPr>
          <w:rFonts w:ascii="Times New Roman" w:hAnsi="Times New Roman"/>
          <w:bCs/>
          <w:i/>
          <w:sz w:val="22"/>
          <w:szCs w:val="22"/>
        </w:rPr>
        <w:t xml:space="preserve"> </w:t>
      </w:r>
    </w:p>
    <w:p w14:paraId="04CC7C16" w14:textId="77777777" w:rsidR="00305581" w:rsidRPr="0015716C" w:rsidRDefault="00CC0087" w:rsidP="009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2"/>
          <w:szCs w:val="22"/>
        </w:rPr>
      </w:pPr>
      <w:r w:rsidRPr="0015716C">
        <w:rPr>
          <w:rFonts w:ascii="Times New Roman" w:hAnsi="Times New Roman"/>
          <w:bCs/>
          <w:i/>
          <w:sz w:val="22"/>
          <w:szCs w:val="22"/>
        </w:rPr>
        <w:t>“</w:t>
      </w:r>
      <w:r w:rsidR="00752430" w:rsidRPr="0015716C">
        <w:rPr>
          <w:rFonts w:ascii="Times New Roman" w:hAnsi="Times New Roman"/>
          <w:bCs/>
          <w:i/>
          <w:sz w:val="22"/>
          <w:szCs w:val="22"/>
        </w:rPr>
        <w:t xml:space="preserve">For programs authorized under section </w:t>
      </w:r>
      <w:r w:rsidR="009B15B7" w:rsidRPr="0015716C">
        <w:rPr>
          <w:rFonts w:ascii="Times New Roman" w:hAnsi="Times New Roman"/>
          <w:bCs/>
          <w:i/>
          <w:sz w:val="22"/>
          <w:szCs w:val="22"/>
        </w:rPr>
        <w:t>402E</w:t>
      </w:r>
      <w:r w:rsidR="00752430" w:rsidRPr="0015716C">
        <w:rPr>
          <w:rFonts w:ascii="Times New Roman" w:hAnsi="Times New Roman"/>
          <w:bCs/>
          <w:i/>
          <w:sz w:val="22"/>
          <w:szCs w:val="22"/>
        </w:rPr>
        <w:t>, the extent to which the entity met or exceeded the entity’s objectives for such programs regarding</w:t>
      </w:r>
      <w:r w:rsidR="00305581" w:rsidRPr="0015716C">
        <w:rPr>
          <w:rFonts w:ascii="Times New Roman" w:hAnsi="Times New Roman"/>
          <w:bCs/>
          <w:i/>
          <w:sz w:val="22"/>
          <w:szCs w:val="22"/>
        </w:rPr>
        <w:t>—</w:t>
      </w:r>
    </w:p>
    <w:p w14:paraId="33C10CF8" w14:textId="77777777" w:rsidR="009032E8" w:rsidRPr="0015716C" w:rsidRDefault="009032E8" w:rsidP="009032E8">
      <w:pPr>
        <w:pStyle w:val="ListParagraph"/>
        <w:tabs>
          <w:tab w:val="left" w:pos="1350"/>
          <w:tab w:val="left" w:pos="1440"/>
        </w:tabs>
        <w:ind w:left="0"/>
        <w:rPr>
          <w:rFonts w:ascii="Times New Roman" w:hAnsi="Times New Roman"/>
          <w:i/>
          <w:sz w:val="22"/>
          <w:szCs w:val="22"/>
        </w:rPr>
      </w:pPr>
    </w:p>
    <w:p w14:paraId="101B49AF" w14:textId="77777777" w:rsidR="00CD4E11" w:rsidRPr="0015716C" w:rsidRDefault="00305581" w:rsidP="00CD4E11">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delivery of service to a total number of students served by the program, as agreed</w:t>
      </w:r>
      <w:r w:rsidR="00CD4E11" w:rsidRPr="0015716C">
        <w:rPr>
          <w:rFonts w:ascii="Times New Roman" w:hAnsi="Times New Roman"/>
          <w:i/>
          <w:sz w:val="22"/>
          <w:szCs w:val="22"/>
        </w:rPr>
        <w:t xml:space="preserve"> </w:t>
      </w:r>
      <w:r w:rsidRPr="0015716C">
        <w:rPr>
          <w:rFonts w:ascii="Times New Roman" w:hAnsi="Times New Roman"/>
          <w:i/>
          <w:sz w:val="22"/>
          <w:szCs w:val="22"/>
        </w:rPr>
        <w:t>upon by the entity and the Secretary for the period;</w:t>
      </w:r>
    </w:p>
    <w:p w14:paraId="01E66BE9" w14:textId="77777777" w:rsidR="00305581" w:rsidRPr="0015716C" w:rsidRDefault="00305581" w:rsidP="00CD4E11">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provision of appropriate scholarly and research activities for the students served by</w:t>
      </w:r>
      <w:r w:rsidR="00CD4E11" w:rsidRPr="0015716C">
        <w:rPr>
          <w:rFonts w:ascii="Times New Roman" w:hAnsi="Times New Roman"/>
          <w:i/>
          <w:sz w:val="22"/>
          <w:szCs w:val="22"/>
        </w:rPr>
        <w:t xml:space="preserve"> </w:t>
      </w:r>
      <w:r w:rsidRPr="0015716C">
        <w:rPr>
          <w:rFonts w:ascii="Times New Roman" w:hAnsi="Times New Roman"/>
          <w:i/>
          <w:sz w:val="22"/>
          <w:szCs w:val="22"/>
        </w:rPr>
        <w:t>the program;</w:t>
      </w:r>
    </w:p>
    <w:p w14:paraId="7FC678FF" w14:textId="77777777" w:rsidR="00305581" w:rsidRPr="0015716C" w:rsidRDefault="00305581" w:rsidP="00CD4E11">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acceptance and enrollment of such students in graduate programs; and</w:t>
      </w:r>
    </w:p>
    <w:p w14:paraId="7C1CC70C" w14:textId="77777777" w:rsidR="00305581" w:rsidRPr="0015716C" w:rsidRDefault="00305581" w:rsidP="00CD4E11">
      <w:pPr>
        <w:pStyle w:val="ListParagraph"/>
        <w:numPr>
          <w:ilvl w:val="0"/>
          <w:numId w:val="40"/>
        </w:numPr>
        <w:tabs>
          <w:tab w:val="left" w:pos="916"/>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2"/>
          <w:szCs w:val="22"/>
        </w:rPr>
      </w:pPr>
      <w:r w:rsidRPr="0015716C">
        <w:rPr>
          <w:rFonts w:ascii="Times New Roman" w:hAnsi="Times New Roman"/>
          <w:i/>
          <w:sz w:val="22"/>
          <w:szCs w:val="22"/>
        </w:rPr>
        <w:t>the continued enrollment of such students in graduate study and the attainment of doctoral degrees by former program participants.”</w:t>
      </w:r>
    </w:p>
    <w:p w14:paraId="770D043A" w14:textId="77777777" w:rsidR="00031642" w:rsidRPr="0015716C" w:rsidRDefault="00031642" w:rsidP="009032E8">
      <w:pPr>
        <w:pStyle w:val="BodyTextIndent3"/>
        <w:ind w:left="0"/>
        <w:rPr>
          <w:b w:val="0"/>
          <w:bCs/>
          <w:sz w:val="22"/>
          <w:szCs w:val="22"/>
        </w:rPr>
      </w:pPr>
    </w:p>
    <w:p w14:paraId="4968226D" w14:textId="77777777" w:rsidR="00CC0087" w:rsidRPr="0015716C" w:rsidRDefault="00305581" w:rsidP="009032E8">
      <w:pPr>
        <w:pStyle w:val="BodyTextIndent3"/>
        <w:ind w:left="0"/>
        <w:rPr>
          <w:b w:val="0"/>
          <w:bCs/>
          <w:sz w:val="22"/>
          <w:szCs w:val="22"/>
        </w:rPr>
      </w:pPr>
      <w:r w:rsidRPr="0015716C">
        <w:rPr>
          <w:b w:val="0"/>
          <w:bCs/>
          <w:sz w:val="22"/>
          <w:szCs w:val="22"/>
        </w:rPr>
        <w:t>The calculation of prior experience points is done on an annual basis using the data the project</w:t>
      </w:r>
      <w:r w:rsidR="0049728E" w:rsidRPr="0015716C">
        <w:rPr>
          <w:b w:val="0"/>
          <w:bCs/>
          <w:sz w:val="22"/>
          <w:szCs w:val="22"/>
        </w:rPr>
        <w:t xml:space="preserve"> </w:t>
      </w:r>
      <w:r w:rsidRPr="0015716C">
        <w:rPr>
          <w:b w:val="0"/>
          <w:bCs/>
          <w:sz w:val="22"/>
          <w:szCs w:val="22"/>
        </w:rPr>
        <w:t>submits for the reporting period.  As such, d</w:t>
      </w:r>
      <w:r w:rsidR="00CC0087" w:rsidRPr="0015716C">
        <w:rPr>
          <w:b w:val="0"/>
          <w:bCs/>
          <w:sz w:val="22"/>
          <w:szCs w:val="22"/>
        </w:rPr>
        <w:t>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14:paraId="3AFD8517" w14:textId="77777777" w:rsidR="009032E8" w:rsidRPr="0015716C" w:rsidRDefault="009032E8" w:rsidP="009032E8">
      <w:pPr>
        <w:pStyle w:val="BodyTextIndent3"/>
        <w:ind w:left="0"/>
        <w:rPr>
          <w:b w:val="0"/>
          <w:bCs/>
          <w:sz w:val="22"/>
          <w:szCs w:val="22"/>
        </w:rPr>
      </w:pPr>
    </w:p>
    <w:p w14:paraId="2AE7A6DD" w14:textId="77777777" w:rsidR="00391343" w:rsidRPr="0015716C" w:rsidRDefault="00391343" w:rsidP="009032E8">
      <w:pPr>
        <w:pStyle w:val="BodyTextIndent3"/>
        <w:ind w:left="0"/>
        <w:rPr>
          <w:bCs/>
          <w:sz w:val="22"/>
          <w:szCs w:val="22"/>
          <w:u w:val="single"/>
        </w:rPr>
      </w:pPr>
      <w:bookmarkStart w:id="1" w:name="OLE_LINK3"/>
      <w:bookmarkStart w:id="2" w:name="OLE_LINK4"/>
      <w:r w:rsidRPr="0015716C">
        <w:rPr>
          <w:bCs/>
          <w:sz w:val="22"/>
          <w:szCs w:val="22"/>
          <w:u w:val="single"/>
        </w:rPr>
        <w:t>Evaluation of Substantial Progress</w:t>
      </w:r>
    </w:p>
    <w:p w14:paraId="13F92828" w14:textId="77777777" w:rsidR="00CC0087" w:rsidRPr="0015716C" w:rsidRDefault="00305581" w:rsidP="009032E8">
      <w:pPr>
        <w:pStyle w:val="BodyTextIndent3"/>
        <w:ind w:left="0"/>
        <w:rPr>
          <w:b w:val="0"/>
          <w:bCs/>
          <w:sz w:val="22"/>
          <w:szCs w:val="22"/>
        </w:rPr>
      </w:pPr>
      <w:r w:rsidRPr="0015716C">
        <w:rPr>
          <w:b w:val="0"/>
          <w:bCs/>
          <w:sz w:val="22"/>
          <w:szCs w:val="22"/>
        </w:rPr>
        <w:t>Secondly</w:t>
      </w:r>
      <w:r w:rsidR="00CC0087" w:rsidRPr="0015716C">
        <w:rPr>
          <w:b w:val="0"/>
          <w:bCs/>
          <w:sz w:val="22"/>
          <w:szCs w:val="22"/>
        </w:rPr>
        <w:t>, during non-competitive years, the reports are used to verify that grantees are making substantial progress toward the achievement of approved objectives prior to issuing continuation awards.</w:t>
      </w:r>
    </w:p>
    <w:p w14:paraId="58863F07" w14:textId="77777777" w:rsidR="009032E8" w:rsidRPr="0015716C" w:rsidRDefault="009032E8" w:rsidP="009032E8">
      <w:pPr>
        <w:pStyle w:val="BodyTextIndent3"/>
        <w:ind w:left="0"/>
        <w:rPr>
          <w:b w:val="0"/>
          <w:bCs/>
          <w:sz w:val="22"/>
          <w:szCs w:val="22"/>
        </w:rPr>
      </w:pPr>
    </w:p>
    <w:bookmarkEnd w:id="1"/>
    <w:bookmarkEnd w:id="2"/>
    <w:p w14:paraId="312CC7BC" w14:textId="77777777" w:rsidR="00EA2444" w:rsidRPr="0015716C" w:rsidRDefault="00391343" w:rsidP="009032E8">
      <w:pPr>
        <w:rPr>
          <w:rFonts w:ascii="Times New Roman" w:hAnsi="Times New Roman"/>
          <w:b/>
          <w:sz w:val="22"/>
          <w:szCs w:val="22"/>
          <w:u w:val="single"/>
        </w:rPr>
      </w:pPr>
      <w:r w:rsidRPr="0015716C">
        <w:rPr>
          <w:rFonts w:ascii="Times New Roman" w:hAnsi="Times New Roman"/>
          <w:b/>
          <w:sz w:val="22"/>
          <w:szCs w:val="22"/>
          <w:u w:val="single"/>
        </w:rPr>
        <w:t>Government Performance and Results Act</w:t>
      </w:r>
      <w:r w:rsidR="00EA2444" w:rsidRPr="0015716C">
        <w:rPr>
          <w:rFonts w:ascii="Times New Roman" w:hAnsi="Times New Roman"/>
          <w:b/>
          <w:sz w:val="22"/>
          <w:szCs w:val="22"/>
          <w:u w:val="single"/>
        </w:rPr>
        <w:t xml:space="preserve"> (GPRA)</w:t>
      </w:r>
    </w:p>
    <w:p w14:paraId="1DF7491F" w14:textId="77777777" w:rsidR="00117A68" w:rsidRPr="0015716C" w:rsidRDefault="00305581" w:rsidP="009032E8">
      <w:pPr>
        <w:rPr>
          <w:rFonts w:ascii="Times New Roman" w:hAnsi="Times New Roman"/>
          <w:sz w:val="22"/>
          <w:szCs w:val="22"/>
        </w:rPr>
      </w:pPr>
      <w:r w:rsidRPr="0015716C">
        <w:rPr>
          <w:rFonts w:ascii="Times New Roman" w:hAnsi="Times New Roman"/>
          <w:sz w:val="22"/>
          <w:szCs w:val="22"/>
        </w:rPr>
        <w:t xml:space="preserve">Thirdly, </w:t>
      </w:r>
      <w:r w:rsidR="00117A68" w:rsidRPr="0015716C">
        <w:rPr>
          <w:rFonts w:ascii="Times New Roman" w:hAnsi="Times New Roman"/>
          <w:sz w:val="22"/>
          <w:szCs w:val="22"/>
        </w:rPr>
        <w:t>the Department is committed to continually improving its management of programs and improving the educational outcomes of students.</w:t>
      </w:r>
      <w:r w:rsidR="00D86610" w:rsidRPr="0015716C">
        <w:rPr>
          <w:rFonts w:ascii="Times New Roman" w:hAnsi="Times New Roman"/>
          <w:sz w:val="22"/>
          <w:szCs w:val="22"/>
        </w:rPr>
        <w:t xml:space="preserve"> </w:t>
      </w:r>
      <w:r w:rsidR="00117A68" w:rsidRPr="0015716C">
        <w:rPr>
          <w:rFonts w:ascii="Times New Roman" w:hAnsi="Times New Roman"/>
          <w:sz w:val="22"/>
          <w:szCs w:val="22"/>
        </w:rPr>
        <w:t xml:space="preserve"> Improvements are guided by monitoring and assessing performance, improving the data used for these assessments, collaborating with stakeholders, implementing recommendations, and re-assessing performance. </w:t>
      </w:r>
      <w:r w:rsidR="00D86610" w:rsidRPr="0015716C">
        <w:rPr>
          <w:rFonts w:ascii="Times New Roman" w:hAnsi="Times New Roman"/>
          <w:sz w:val="22"/>
          <w:szCs w:val="22"/>
        </w:rPr>
        <w:t xml:space="preserve"> </w:t>
      </w:r>
      <w:r w:rsidR="00117A68" w:rsidRPr="0015716C">
        <w:rPr>
          <w:rFonts w:ascii="Times New Roman" w:hAnsi="Times New Roman"/>
          <w:sz w:val="22"/>
          <w:szCs w:val="22"/>
        </w:rPr>
        <w:t>Providing data to the public is a key element in promoting improvement and collaborating with stakeholders.  Therefore, to meet these goals the APR collects aggregate and quantifiable data needed to respond to the requirements of the Government Performance and Results Act (GPRA).  The performance outcomes that are measured are:</w:t>
      </w:r>
    </w:p>
    <w:p w14:paraId="32BCEB3A" w14:textId="77777777" w:rsidR="009032E8" w:rsidRPr="0015716C" w:rsidRDefault="009032E8" w:rsidP="009032E8">
      <w:pPr>
        <w:rPr>
          <w:rFonts w:ascii="Times New Roman" w:hAnsi="Times New Roman"/>
          <w:sz w:val="22"/>
          <w:szCs w:val="22"/>
        </w:rPr>
      </w:pPr>
    </w:p>
    <w:p w14:paraId="1498D60E" w14:textId="77777777" w:rsidR="00391343" w:rsidRPr="0015716C" w:rsidRDefault="00391343" w:rsidP="009032E8">
      <w:pPr>
        <w:rPr>
          <w:rFonts w:ascii="Times New Roman" w:hAnsi="Times New Roman"/>
          <w:sz w:val="22"/>
          <w:szCs w:val="22"/>
        </w:rPr>
      </w:pPr>
      <w:r w:rsidRPr="0015716C">
        <w:rPr>
          <w:rFonts w:ascii="Times New Roman" w:hAnsi="Times New Roman"/>
          <w:sz w:val="22"/>
          <w:szCs w:val="22"/>
        </w:rPr>
        <w:t xml:space="preserve">—the acceptance and enrollment of project participants in graduate study, </w:t>
      </w:r>
    </w:p>
    <w:p w14:paraId="4658A396" w14:textId="77777777" w:rsidR="009B15B7" w:rsidRPr="0015716C" w:rsidRDefault="00391343" w:rsidP="009032E8">
      <w:pPr>
        <w:rPr>
          <w:rFonts w:ascii="Times New Roman" w:hAnsi="Times New Roman"/>
          <w:sz w:val="22"/>
          <w:szCs w:val="22"/>
        </w:rPr>
      </w:pPr>
      <w:r w:rsidRPr="0015716C">
        <w:rPr>
          <w:rFonts w:ascii="Times New Roman" w:hAnsi="Times New Roman"/>
          <w:sz w:val="22"/>
          <w:szCs w:val="22"/>
        </w:rPr>
        <w:t xml:space="preserve">—the </w:t>
      </w:r>
      <w:r w:rsidR="00117A68" w:rsidRPr="0015716C">
        <w:rPr>
          <w:rFonts w:ascii="Times New Roman" w:hAnsi="Times New Roman"/>
          <w:sz w:val="22"/>
          <w:szCs w:val="22"/>
        </w:rPr>
        <w:t>continued enrollment of project participants in graduate study</w:t>
      </w:r>
      <w:r w:rsidR="009B15B7" w:rsidRPr="0015716C">
        <w:rPr>
          <w:rFonts w:ascii="Times New Roman" w:hAnsi="Times New Roman"/>
          <w:sz w:val="22"/>
          <w:szCs w:val="22"/>
        </w:rPr>
        <w:t>, and</w:t>
      </w:r>
    </w:p>
    <w:p w14:paraId="51889CCA" w14:textId="7F8A24C4" w:rsidR="00117A68" w:rsidRPr="0015716C" w:rsidRDefault="00A90580" w:rsidP="009032E8">
      <w:pPr>
        <w:rPr>
          <w:rFonts w:ascii="Times New Roman" w:hAnsi="Times New Roman"/>
          <w:i/>
          <w:sz w:val="22"/>
          <w:szCs w:val="22"/>
        </w:rPr>
      </w:pPr>
      <w:r w:rsidRPr="0015716C">
        <w:rPr>
          <w:rFonts w:ascii="Times New Roman" w:hAnsi="Times New Roman"/>
          <w:sz w:val="22"/>
          <w:szCs w:val="22"/>
        </w:rPr>
        <w:t>—</w:t>
      </w:r>
      <w:r w:rsidR="009B15B7" w:rsidRPr="0015716C">
        <w:rPr>
          <w:rFonts w:ascii="Times New Roman" w:hAnsi="Times New Roman"/>
          <w:sz w:val="22"/>
          <w:szCs w:val="22"/>
        </w:rPr>
        <w:t xml:space="preserve">the cost per </w:t>
      </w:r>
      <w:r w:rsidR="005A6359" w:rsidRPr="0015716C">
        <w:rPr>
          <w:rFonts w:ascii="Times New Roman" w:hAnsi="Times New Roman"/>
          <w:sz w:val="22"/>
          <w:szCs w:val="22"/>
        </w:rPr>
        <w:t>graduate school enrollment</w:t>
      </w:r>
      <w:r w:rsidR="00391343" w:rsidRPr="0015716C">
        <w:rPr>
          <w:rFonts w:ascii="Times New Roman" w:hAnsi="Times New Roman"/>
          <w:sz w:val="22"/>
          <w:szCs w:val="22"/>
        </w:rPr>
        <w:t>.</w:t>
      </w:r>
    </w:p>
    <w:p w14:paraId="00F3CF6C" w14:textId="77777777" w:rsidR="00A93093" w:rsidRPr="0015716C" w:rsidRDefault="00A93093" w:rsidP="009032E8">
      <w:pPr>
        <w:tabs>
          <w:tab w:val="left" w:pos="-720"/>
          <w:tab w:val="left" w:pos="360"/>
        </w:tabs>
        <w:suppressAutoHyphens/>
        <w:rPr>
          <w:rFonts w:ascii="Times New Roman" w:hAnsi="Times New Roman"/>
          <w:sz w:val="22"/>
          <w:szCs w:val="22"/>
        </w:rPr>
      </w:pPr>
    </w:p>
    <w:p w14:paraId="24691423" w14:textId="77777777" w:rsidR="00414B52" w:rsidRPr="0015716C" w:rsidRDefault="00414B52" w:rsidP="00414B52">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2.  Indicate how, by whom, and for what purpose the information is to be used.  Except for a new collection, indicate the actual use the agency has made of the information received from the current collection. </w:t>
      </w:r>
    </w:p>
    <w:p w14:paraId="6E365B81" w14:textId="77777777" w:rsidR="003029C3" w:rsidRPr="0015716C" w:rsidRDefault="003029C3" w:rsidP="00414B52">
      <w:pPr>
        <w:tabs>
          <w:tab w:val="left" w:pos="-720"/>
        </w:tabs>
        <w:suppressAutoHyphens/>
        <w:rPr>
          <w:rFonts w:ascii="Times New Roman" w:hAnsi="Times New Roman"/>
          <w:sz w:val="22"/>
          <w:szCs w:val="22"/>
        </w:rPr>
      </w:pPr>
    </w:p>
    <w:p w14:paraId="36615292" w14:textId="77777777" w:rsidR="00F268E8" w:rsidRPr="0015716C" w:rsidRDefault="00CD7F7C" w:rsidP="009032E8">
      <w:pPr>
        <w:pStyle w:val="BodyTextIndent3"/>
        <w:ind w:left="0"/>
        <w:rPr>
          <w:b w:val="0"/>
          <w:sz w:val="22"/>
          <w:szCs w:val="22"/>
        </w:rPr>
      </w:pPr>
      <w:r w:rsidRPr="0015716C">
        <w:rPr>
          <w:b w:val="0"/>
          <w:sz w:val="22"/>
          <w:szCs w:val="22"/>
        </w:rPr>
        <w:t xml:space="preserve">As mentioned </w:t>
      </w:r>
      <w:r w:rsidR="00F268E8" w:rsidRPr="0015716C">
        <w:rPr>
          <w:b w:val="0"/>
          <w:sz w:val="22"/>
          <w:szCs w:val="22"/>
        </w:rPr>
        <w:t>above, the Department uses the data collected to: (a) determine the number of prior experience points to be awarded for the purpose of awarding the grant, (b) e</w:t>
      </w:r>
      <w:r w:rsidR="00F268E8" w:rsidRPr="0015716C">
        <w:rPr>
          <w:b w:val="0"/>
          <w:bCs/>
          <w:sz w:val="22"/>
          <w:szCs w:val="22"/>
        </w:rPr>
        <w:t>valuat</w:t>
      </w:r>
      <w:r w:rsidR="001F28BF" w:rsidRPr="0015716C">
        <w:rPr>
          <w:b w:val="0"/>
          <w:bCs/>
          <w:sz w:val="22"/>
          <w:szCs w:val="22"/>
        </w:rPr>
        <w:t>e</w:t>
      </w:r>
      <w:r w:rsidR="00F268E8" w:rsidRPr="0015716C">
        <w:rPr>
          <w:b w:val="0"/>
          <w:bCs/>
          <w:sz w:val="22"/>
          <w:szCs w:val="22"/>
        </w:rPr>
        <w:t xml:space="preserve"> substantial progress to</w:t>
      </w:r>
      <w:r w:rsidR="003029C3" w:rsidRPr="0015716C">
        <w:rPr>
          <w:b w:val="0"/>
          <w:bCs/>
          <w:sz w:val="22"/>
          <w:szCs w:val="22"/>
        </w:rPr>
        <w:t xml:space="preserve"> </w:t>
      </w:r>
      <w:r w:rsidR="00F268E8" w:rsidRPr="0015716C">
        <w:rPr>
          <w:b w:val="0"/>
          <w:bCs/>
          <w:sz w:val="22"/>
          <w:szCs w:val="22"/>
        </w:rPr>
        <w:t>aid in compliance and monitoring as well as funding, (c)</w:t>
      </w:r>
      <w:r w:rsidR="00F268E8" w:rsidRPr="0015716C">
        <w:rPr>
          <w:b w:val="0"/>
          <w:sz w:val="22"/>
          <w:szCs w:val="22"/>
        </w:rPr>
        <w:t xml:space="preserve"> respond to the requirements of GPRA, and (d) respond to the statutory requirement regarding reports to Congress on program outcomes.</w:t>
      </w:r>
    </w:p>
    <w:p w14:paraId="4EA98015" w14:textId="77777777" w:rsidR="00F268E8" w:rsidRPr="0015716C" w:rsidRDefault="00F268E8" w:rsidP="009032E8">
      <w:pPr>
        <w:rPr>
          <w:rFonts w:ascii="Times New Roman" w:hAnsi="Times New Roman"/>
          <w:sz w:val="22"/>
          <w:szCs w:val="22"/>
        </w:rPr>
      </w:pPr>
    </w:p>
    <w:p w14:paraId="57A385B0" w14:textId="77777777" w:rsidR="00C33528" w:rsidRPr="0015716C" w:rsidRDefault="00F268E8" w:rsidP="009032E8">
      <w:pPr>
        <w:pStyle w:val="BodyTextIndent3"/>
        <w:ind w:left="0"/>
        <w:rPr>
          <w:b w:val="0"/>
          <w:bCs/>
          <w:sz w:val="22"/>
          <w:szCs w:val="22"/>
        </w:rPr>
      </w:pPr>
      <w:r w:rsidRPr="0015716C">
        <w:rPr>
          <w:b w:val="0"/>
          <w:bCs/>
          <w:sz w:val="22"/>
          <w:szCs w:val="22"/>
        </w:rPr>
        <w:t>In addition, the annual performance reports are used to collect programmatic data for purposes of annual reporting; budget submissions to OMB</w:t>
      </w:r>
      <w:r w:rsidR="009B15B7" w:rsidRPr="0015716C">
        <w:rPr>
          <w:b w:val="0"/>
          <w:bCs/>
          <w:sz w:val="22"/>
          <w:szCs w:val="22"/>
        </w:rPr>
        <w:t xml:space="preserve"> and to Congress</w:t>
      </w:r>
      <w:r w:rsidRPr="0015716C">
        <w:rPr>
          <w:b w:val="0"/>
          <w:bCs/>
          <w:sz w:val="22"/>
          <w:szCs w:val="22"/>
        </w:rPr>
        <w:t xml:space="preserve">; Congressional hearing testimonials; </w:t>
      </w:r>
      <w:r w:rsidRPr="0015716C">
        <w:rPr>
          <w:b w:val="0"/>
          <w:bCs/>
          <w:sz w:val="22"/>
          <w:szCs w:val="22"/>
        </w:rPr>
        <w:lastRenderedPageBreak/>
        <w:t xml:space="preserve">Congressional inquiries; and responding to inquiries from </w:t>
      </w:r>
      <w:r w:rsidR="00C33528" w:rsidRPr="0015716C">
        <w:rPr>
          <w:b w:val="0"/>
          <w:bCs/>
          <w:sz w:val="22"/>
          <w:szCs w:val="22"/>
        </w:rPr>
        <w:t>h</w:t>
      </w:r>
      <w:r w:rsidRPr="0015716C">
        <w:rPr>
          <w:b w:val="0"/>
          <w:bCs/>
          <w:sz w:val="22"/>
          <w:szCs w:val="22"/>
        </w:rPr>
        <w:t>igher education interest groups and the general public.</w:t>
      </w:r>
    </w:p>
    <w:p w14:paraId="374C8588" w14:textId="77777777" w:rsidR="00C33528" w:rsidRPr="0015716C" w:rsidRDefault="00C33528" w:rsidP="009032E8">
      <w:pPr>
        <w:pStyle w:val="BodyTextIndent3"/>
        <w:ind w:left="0"/>
        <w:rPr>
          <w:b w:val="0"/>
          <w:bCs/>
          <w:sz w:val="22"/>
          <w:szCs w:val="22"/>
        </w:rPr>
      </w:pPr>
    </w:p>
    <w:p w14:paraId="0DAB8F05" w14:textId="77777777" w:rsidR="00414B52" w:rsidRPr="0015716C" w:rsidRDefault="00414B52" w:rsidP="00414B52">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099A79C7" w14:textId="77777777" w:rsidR="007B7622" w:rsidRPr="0015716C" w:rsidRDefault="007B7622" w:rsidP="006623BC">
      <w:pPr>
        <w:tabs>
          <w:tab w:val="left" w:pos="-720"/>
          <w:tab w:val="left" w:pos="630"/>
        </w:tabs>
        <w:suppressAutoHyphens/>
        <w:rPr>
          <w:rFonts w:ascii="Times New Roman" w:hAnsi="Times New Roman"/>
          <w:sz w:val="22"/>
          <w:szCs w:val="22"/>
        </w:rPr>
      </w:pPr>
    </w:p>
    <w:p w14:paraId="063E7B4C" w14:textId="604198BA" w:rsidR="009967D1" w:rsidRPr="0015716C" w:rsidRDefault="009967D1" w:rsidP="009967D1">
      <w:pPr>
        <w:rPr>
          <w:rFonts w:ascii="Times New Roman" w:hAnsi="Times New Roman"/>
          <w:sz w:val="22"/>
          <w:szCs w:val="22"/>
        </w:rPr>
      </w:pPr>
      <w:r w:rsidRPr="0015716C">
        <w:rPr>
          <w:rFonts w:ascii="Times New Roman" w:hAnsi="Times New Roman"/>
          <w:sz w:val="22"/>
          <w:szCs w:val="22"/>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w:t>
      </w:r>
      <w:r w:rsidR="00B646CF" w:rsidRPr="0015716C">
        <w:rPr>
          <w:rFonts w:ascii="Times New Roman" w:hAnsi="Times New Roman"/>
          <w:sz w:val="22"/>
          <w:szCs w:val="22"/>
        </w:rPr>
        <w:t xml:space="preserve">The McNair projects have been submitting the </w:t>
      </w:r>
      <w:r w:rsidR="000B7A82" w:rsidRPr="0015716C">
        <w:rPr>
          <w:rFonts w:ascii="Times New Roman" w:hAnsi="Times New Roman"/>
          <w:sz w:val="22"/>
          <w:szCs w:val="22"/>
        </w:rPr>
        <w:t>currently approved</w:t>
      </w:r>
      <w:r w:rsidR="00B646CF" w:rsidRPr="0015716C">
        <w:rPr>
          <w:rFonts w:ascii="Times New Roman" w:hAnsi="Times New Roman"/>
          <w:sz w:val="22"/>
          <w:szCs w:val="22"/>
        </w:rPr>
        <w:t xml:space="preserve"> annual performance report via the Internet for the past </w:t>
      </w:r>
      <w:r w:rsidR="00AC46D9" w:rsidRPr="0015716C">
        <w:rPr>
          <w:rFonts w:ascii="Times New Roman" w:hAnsi="Times New Roman"/>
          <w:sz w:val="22"/>
          <w:szCs w:val="22"/>
        </w:rPr>
        <w:t xml:space="preserve">eight </w:t>
      </w:r>
      <w:r w:rsidR="00B646CF" w:rsidRPr="0015716C">
        <w:rPr>
          <w:rFonts w:ascii="Times New Roman" w:hAnsi="Times New Roman"/>
          <w:sz w:val="22"/>
          <w:szCs w:val="22"/>
        </w:rPr>
        <w:t xml:space="preserve">years.  </w:t>
      </w:r>
      <w:r w:rsidR="00AC46D9" w:rsidRPr="0015716C">
        <w:rPr>
          <w:rFonts w:ascii="Times New Roman" w:hAnsi="Times New Roman"/>
          <w:sz w:val="22"/>
          <w:szCs w:val="22"/>
        </w:rPr>
        <w:t xml:space="preserve">Since </w:t>
      </w:r>
      <w:r w:rsidR="00B646CF" w:rsidRPr="0015716C">
        <w:rPr>
          <w:rFonts w:ascii="Times New Roman" w:hAnsi="Times New Roman"/>
          <w:sz w:val="22"/>
          <w:szCs w:val="22"/>
        </w:rPr>
        <w:t xml:space="preserve">project year 2014-15, 100% of the current grantees submitted via the Internet.  </w:t>
      </w:r>
      <w:r w:rsidRPr="0015716C">
        <w:rPr>
          <w:rFonts w:ascii="Times New Roman" w:hAnsi="Times New Roman"/>
          <w:sz w:val="22"/>
          <w:szCs w:val="22"/>
        </w:rPr>
        <w:t>The web site meets the Department’s security standards; that is, it is secured to ensure the data are only seen by authorized individuals and are protected from network hackers.</w:t>
      </w:r>
    </w:p>
    <w:p w14:paraId="260CC856" w14:textId="77777777" w:rsidR="009032E8" w:rsidRPr="00E17878" w:rsidRDefault="009032E8" w:rsidP="009032E8">
      <w:pPr>
        <w:rPr>
          <w:rFonts w:ascii="Times New Roman" w:hAnsi="Times New Roman"/>
          <w:sz w:val="22"/>
          <w:szCs w:val="22"/>
        </w:rPr>
      </w:pPr>
    </w:p>
    <w:p w14:paraId="536E47C9" w14:textId="77777777" w:rsidR="00414B52" w:rsidRPr="0015716C" w:rsidRDefault="00414B52" w:rsidP="00414B52">
      <w:pPr>
        <w:tabs>
          <w:tab w:val="left" w:pos="-720"/>
        </w:tabs>
        <w:suppressAutoHyphens/>
        <w:rPr>
          <w:rFonts w:ascii="Times New Roman" w:hAnsi="Times New Roman"/>
          <w:i/>
          <w:sz w:val="22"/>
          <w:szCs w:val="22"/>
        </w:rPr>
      </w:pPr>
      <w:r w:rsidRPr="008F6483">
        <w:rPr>
          <w:rFonts w:ascii="Times New Roman" w:hAnsi="Times New Roman"/>
          <w:i/>
          <w:sz w:val="22"/>
          <w:szCs w:val="22"/>
        </w:rPr>
        <w:t xml:space="preserve">4.  Describe efforts to identify duplication.  Show specifically why any similar information already available cannot be used or modified for use for the purposes </w:t>
      </w:r>
      <w:r w:rsidRPr="0015716C">
        <w:rPr>
          <w:rFonts w:ascii="Times New Roman" w:hAnsi="Times New Roman"/>
          <w:i/>
          <w:sz w:val="22"/>
          <w:szCs w:val="22"/>
        </w:rPr>
        <w:t>described in Item 2 above.</w:t>
      </w:r>
    </w:p>
    <w:p w14:paraId="48C4BADE" w14:textId="77777777" w:rsidR="00BE36C2" w:rsidRPr="0015716C" w:rsidRDefault="00BE36C2" w:rsidP="009032E8">
      <w:pPr>
        <w:rPr>
          <w:rFonts w:ascii="Times New Roman" w:hAnsi="Times New Roman"/>
          <w:sz w:val="22"/>
          <w:szCs w:val="22"/>
        </w:rPr>
      </w:pPr>
    </w:p>
    <w:p w14:paraId="3E41B01D" w14:textId="77777777" w:rsidR="006C5820" w:rsidRPr="0015716C" w:rsidRDefault="007B7622" w:rsidP="009032E8">
      <w:pPr>
        <w:rPr>
          <w:rFonts w:ascii="Times New Roman" w:hAnsi="Times New Roman"/>
          <w:sz w:val="22"/>
          <w:szCs w:val="22"/>
        </w:rPr>
      </w:pPr>
      <w:r w:rsidRPr="0015716C">
        <w:rPr>
          <w:rFonts w:ascii="Times New Roman" w:hAnsi="Times New Roman"/>
          <w:sz w:val="22"/>
          <w:szCs w:val="22"/>
        </w:rPr>
        <w:t xml:space="preserve">Since the information submitted in the report is unique to each respondent, </w:t>
      </w:r>
      <w:r w:rsidR="00CD7F7C" w:rsidRPr="0015716C">
        <w:rPr>
          <w:rFonts w:ascii="Times New Roman" w:hAnsi="Times New Roman"/>
          <w:sz w:val="22"/>
          <w:szCs w:val="22"/>
        </w:rPr>
        <w:t xml:space="preserve">no duplication exists. </w:t>
      </w:r>
      <w:r w:rsidRPr="0015716C">
        <w:rPr>
          <w:rFonts w:ascii="Times New Roman" w:hAnsi="Times New Roman"/>
          <w:sz w:val="22"/>
          <w:szCs w:val="22"/>
        </w:rPr>
        <w:t>There is no other collection instrument that is available to collect the information that is being requested.</w:t>
      </w:r>
      <w:r w:rsidR="00CD7F7C" w:rsidRPr="0015716C">
        <w:rPr>
          <w:rFonts w:ascii="Times New Roman" w:hAnsi="Times New Roman"/>
          <w:sz w:val="22"/>
          <w:szCs w:val="22"/>
        </w:rPr>
        <w:t xml:space="preserve">  The data collected in the APR are fundamental to the McNair program.</w:t>
      </w:r>
      <w:r w:rsidR="00826D76" w:rsidRPr="0015716C">
        <w:rPr>
          <w:rFonts w:ascii="Times New Roman" w:hAnsi="Times New Roman"/>
          <w:sz w:val="22"/>
          <w:szCs w:val="22"/>
        </w:rPr>
        <w:t xml:space="preserve"> </w:t>
      </w:r>
    </w:p>
    <w:p w14:paraId="790E1DBA" w14:textId="77777777" w:rsidR="00826D76" w:rsidRPr="0015716C" w:rsidRDefault="00826D76" w:rsidP="009032E8">
      <w:pPr>
        <w:rPr>
          <w:rFonts w:ascii="Times New Roman" w:hAnsi="Times New Roman"/>
          <w:sz w:val="22"/>
          <w:szCs w:val="22"/>
        </w:rPr>
      </w:pPr>
    </w:p>
    <w:p w14:paraId="2D975691" w14:textId="77777777" w:rsidR="009032E8" w:rsidRPr="0015716C" w:rsidRDefault="009032E8" w:rsidP="009032E8">
      <w:pPr>
        <w:rPr>
          <w:rFonts w:ascii="Times New Roman" w:hAnsi="Times New Roman"/>
          <w:i/>
          <w:sz w:val="22"/>
          <w:szCs w:val="22"/>
        </w:rPr>
      </w:pPr>
      <w:r w:rsidRPr="0015716C">
        <w:rPr>
          <w:rFonts w:ascii="Times New Roman" w:hAnsi="Times New Roman"/>
          <w:i/>
          <w:sz w:val="22"/>
          <w:szCs w:val="22"/>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1E0C508" w14:textId="77777777" w:rsidR="009032E8" w:rsidRPr="0015716C" w:rsidRDefault="009032E8" w:rsidP="009032E8">
      <w:pPr>
        <w:rPr>
          <w:rFonts w:ascii="Times New Roman" w:hAnsi="Times New Roman"/>
          <w:sz w:val="22"/>
          <w:szCs w:val="22"/>
        </w:rPr>
      </w:pPr>
    </w:p>
    <w:p w14:paraId="46F37AE7" w14:textId="77777777" w:rsidR="007B7622" w:rsidRPr="0015716C" w:rsidRDefault="007B7622" w:rsidP="009032E8">
      <w:pPr>
        <w:pStyle w:val="ListParagraph"/>
        <w:ind w:left="0"/>
        <w:rPr>
          <w:rFonts w:ascii="Times New Roman" w:hAnsi="Times New Roman"/>
          <w:sz w:val="22"/>
          <w:szCs w:val="22"/>
        </w:rPr>
      </w:pPr>
      <w:r w:rsidRPr="0015716C">
        <w:rPr>
          <w:rFonts w:ascii="Times New Roman" w:hAnsi="Times New Roman"/>
          <w:sz w:val="22"/>
          <w:szCs w:val="22"/>
        </w:rPr>
        <w:t>This information collection does not involve small businesses or other small entities.</w:t>
      </w:r>
    </w:p>
    <w:p w14:paraId="05BED633" w14:textId="77777777" w:rsidR="004F692A" w:rsidRPr="0015716C" w:rsidRDefault="004F692A" w:rsidP="009032E8">
      <w:pPr>
        <w:tabs>
          <w:tab w:val="left" w:pos="-720"/>
        </w:tabs>
        <w:suppressAutoHyphens/>
        <w:rPr>
          <w:rFonts w:ascii="Times New Roman" w:hAnsi="Times New Roman"/>
          <w:sz w:val="22"/>
          <w:szCs w:val="22"/>
        </w:rPr>
      </w:pPr>
    </w:p>
    <w:p w14:paraId="052C13AF" w14:textId="77777777" w:rsidR="009032E8" w:rsidRPr="0015716C" w:rsidRDefault="009032E8" w:rsidP="009032E8">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6.  Describe the consequences to Federal program or policy activities if the collection is not conducted or is conducted less frequently, as well as any technical or legal obstacles to reducing burden. </w:t>
      </w:r>
    </w:p>
    <w:p w14:paraId="06FBDA0C" w14:textId="77777777" w:rsidR="009032E8" w:rsidRPr="0015716C" w:rsidRDefault="009032E8" w:rsidP="009032E8">
      <w:pPr>
        <w:tabs>
          <w:tab w:val="left" w:pos="-720"/>
          <w:tab w:val="left" w:pos="720"/>
        </w:tabs>
        <w:suppressAutoHyphens/>
        <w:rPr>
          <w:rFonts w:ascii="Times New Roman" w:hAnsi="Times New Roman"/>
          <w:sz w:val="22"/>
          <w:szCs w:val="22"/>
        </w:rPr>
      </w:pPr>
    </w:p>
    <w:p w14:paraId="06E8BE0D" w14:textId="77777777" w:rsidR="00AA0B11" w:rsidRPr="0015716C" w:rsidRDefault="007B7622" w:rsidP="009032E8">
      <w:pPr>
        <w:rPr>
          <w:rFonts w:ascii="Times New Roman" w:hAnsi="Times New Roman"/>
          <w:sz w:val="22"/>
          <w:szCs w:val="22"/>
        </w:rPr>
      </w:pPr>
      <w:r w:rsidRPr="0015716C">
        <w:rPr>
          <w:rFonts w:ascii="Times New Roman" w:hAnsi="Times New Roman"/>
          <w:sz w:val="22"/>
          <w:szCs w:val="22"/>
        </w:rPr>
        <w:t>The collection of performance reports is required annually.  Collection of information on a less frequent basis is not feasible.  These reports are used to determine if the grantee is making satisfactory progress in meeting the goals and objectives proposed in its initial application, prior to awarding continuation funding.  In addition, the information is needed to award prior experience points to grantees.  Without this data collection, the Federal TRIO Programs will be unable to award non-competing continuation awards, use the data to assess the prior experience provision</w:t>
      </w:r>
      <w:r w:rsidR="00CD7F7C" w:rsidRPr="0015716C">
        <w:rPr>
          <w:rFonts w:ascii="Times New Roman" w:hAnsi="Times New Roman"/>
          <w:sz w:val="22"/>
          <w:szCs w:val="22"/>
        </w:rPr>
        <w:t xml:space="preserve"> of the authorizing statute, </w:t>
      </w:r>
      <w:r w:rsidRPr="0015716C">
        <w:rPr>
          <w:rFonts w:ascii="Times New Roman" w:hAnsi="Times New Roman"/>
          <w:sz w:val="22"/>
          <w:szCs w:val="22"/>
        </w:rPr>
        <w:t>respond to the GPRA</w:t>
      </w:r>
      <w:r w:rsidR="00CD7F7C" w:rsidRPr="0015716C">
        <w:rPr>
          <w:rFonts w:ascii="Times New Roman" w:hAnsi="Times New Roman"/>
          <w:sz w:val="22"/>
          <w:szCs w:val="22"/>
        </w:rPr>
        <w:t xml:space="preserve"> reporting requirements</w:t>
      </w:r>
      <w:r w:rsidR="001F28BF" w:rsidRPr="0015716C">
        <w:rPr>
          <w:rFonts w:ascii="Times New Roman" w:hAnsi="Times New Roman"/>
          <w:sz w:val="22"/>
          <w:szCs w:val="22"/>
        </w:rPr>
        <w:t xml:space="preserve"> and</w:t>
      </w:r>
      <w:r w:rsidRPr="0015716C">
        <w:rPr>
          <w:rFonts w:ascii="Times New Roman" w:hAnsi="Times New Roman"/>
          <w:sz w:val="22"/>
          <w:szCs w:val="22"/>
        </w:rPr>
        <w:t xml:space="preserve"> efficiency measures requirements, </w:t>
      </w:r>
      <w:r w:rsidR="0099171D" w:rsidRPr="0015716C">
        <w:rPr>
          <w:rFonts w:ascii="Times New Roman" w:hAnsi="Times New Roman"/>
          <w:sz w:val="22"/>
          <w:szCs w:val="22"/>
        </w:rPr>
        <w:t xml:space="preserve">respond to the statutory requirement </w:t>
      </w:r>
    </w:p>
    <w:p w14:paraId="29CFBB56" w14:textId="112FDB1B" w:rsidR="007B7622" w:rsidRPr="0015716C" w:rsidRDefault="0099171D" w:rsidP="009032E8">
      <w:pPr>
        <w:rPr>
          <w:rFonts w:ascii="Times New Roman" w:hAnsi="Times New Roman"/>
          <w:sz w:val="22"/>
          <w:szCs w:val="22"/>
        </w:rPr>
      </w:pPr>
      <w:r w:rsidRPr="0015716C">
        <w:rPr>
          <w:rFonts w:ascii="Times New Roman" w:hAnsi="Times New Roman"/>
          <w:sz w:val="22"/>
          <w:szCs w:val="22"/>
        </w:rPr>
        <w:t xml:space="preserve">regarding the reporting of outcomes data to </w:t>
      </w:r>
      <w:r w:rsidR="000B7A82" w:rsidRPr="0015716C">
        <w:rPr>
          <w:rFonts w:ascii="Times New Roman" w:hAnsi="Times New Roman"/>
          <w:sz w:val="22"/>
          <w:szCs w:val="22"/>
        </w:rPr>
        <w:t>Congress and</w:t>
      </w:r>
      <w:r w:rsidR="007B7622" w:rsidRPr="0015716C">
        <w:rPr>
          <w:rFonts w:ascii="Times New Roman" w:hAnsi="Times New Roman"/>
          <w:sz w:val="22"/>
          <w:szCs w:val="22"/>
        </w:rPr>
        <w:t xml:space="preserve"> develop improved policies for program administration.</w:t>
      </w:r>
    </w:p>
    <w:p w14:paraId="21529814" w14:textId="77777777" w:rsidR="004F692A" w:rsidRPr="0015716C" w:rsidRDefault="004F692A" w:rsidP="009032E8">
      <w:pPr>
        <w:tabs>
          <w:tab w:val="left" w:pos="-720"/>
        </w:tabs>
        <w:suppressAutoHyphens/>
        <w:rPr>
          <w:rFonts w:ascii="Times New Roman" w:hAnsi="Times New Roman"/>
          <w:sz w:val="22"/>
          <w:szCs w:val="22"/>
        </w:rPr>
      </w:pPr>
    </w:p>
    <w:p w14:paraId="78A0F5D4" w14:textId="77777777" w:rsidR="009B1475" w:rsidRPr="0015716C" w:rsidRDefault="009B1475" w:rsidP="0089718C">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7. </w:t>
      </w:r>
      <w:r w:rsidR="0089718C" w:rsidRPr="0015716C">
        <w:rPr>
          <w:rFonts w:ascii="Times New Roman" w:hAnsi="Times New Roman"/>
          <w:i/>
          <w:sz w:val="22"/>
          <w:szCs w:val="22"/>
        </w:rPr>
        <w:t xml:space="preserve"> </w:t>
      </w:r>
      <w:r w:rsidRPr="0015716C">
        <w:rPr>
          <w:rFonts w:ascii="Times New Roman" w:hAnsi="Times New Roman"/>
          <w:i/>
          <w:sz w:val="22"/>
          <w:szCs w:val="22"/>
        </w:rPr>
        <w:t>Explain any special circumstances that would cause an information collection to be conducted in a manner:</w:t>
      </w:r>
    </w:p>
    <w:p w14:paraId="5203B98E" w14:textId="77777777" w:rsidR="009B1475" w:rsidRPr="0015716C" w:rsidRDefault="009B1475" w:rsidP="009032E8">
      <w:pPr>
        <w:tabs>
          <w:tab w:val="left" w:pos="-720"/>
          <w:tab w:val="left" w:pos="720"/>
        </w:tabs>
        <w:suppressAutoHyphens/>
        <w:rPr>
          <w:rFonts w:ascii="Times New Roman" w:hAnsi="Times New Roman"/>
          <w:i/>
          <w:sz w:val="22"/>
          <w:szCs w:val="22"/>
        </w:rPr>
      </w:pPr>
    </w:p>
    <w:p w14:paraId="73F25A05"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report information to the agency more often than quarterly;</w:t>
      </w:r>
    </w:p>
    <w:p w14:paraId="33745F10" w14:textId="77777777" w:rsidR="009B1475" w:rsidRPr="0015716C" w:rsidRDefault="009B1475" w:rsidP="009B1475">
      <w:pPr>
        <w:numPr>
          <w:ilvl w:val="12"/>
          <w:numId w:val="0"/>
        </w:numPr>
        <w:tabs>
          <w:tab w:val="left" w:pos="-720"/>
        </w:tabs>
        <w:suppressAutoHyphens/>
        <w:ind w:left="340"/>
        <w:rPr>
          <w:rFonts w:ascii="Times New Roman" w:hAnsi="Times New Roman"/>
          <w:i/>
          <w:sz w:val="22"/>
          <w:szCs w:val="22"/>
        </w:rPr>
      </w:pPr>
    </w:p>
    <w:p w14:paraId="126FBC5C"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prepare a written response to a collection of information in fewer than 30 days after receipt of it;</w:t>
      </w:r>
    </w:p>
    <w:p w14:paraId="6399DD34" w14:textId="77777777" w:rsidR="009B1475" w:rsidRPr="0015716C" w:rsidRDefault="009B1475" w:rsidP="009B1475">
      <w:pPr>
        <w:numPr>
          <w:ilvl w:val="12"/>
          <w:numId w:val="0"/>
        </w:numPr>
        <w:tabs>
          <w:tab w:val="left" w:pos="-720"/>
        </w:tabs>
        <w:suppressAutoHyphens/>
        <w:rPr>
          <w:rFonts w:ascii="Times New Roman" w:hAnsi="Times New Roman"/>
          <w:i/>
          <w:sz w:val="22"/>
          <w:szCs w:val="22"/>
        </w:rPr>
      </w:pPr>
    </w:p>
    <w:p w14:paraId="20C7EE2E"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submit more than an original and two copies of any document;</w:t>
      </w:r>
    </w:p>
    <w:p w14:paraId="31092FD5" w14:textId="77777777" w:rsidR="009B1475" w:rsidRPr="0015716C" w:rsidRDefault="009B1475" w:rsidP="009B1475">
      <w:pPr>
        <w:numPr>
          <w:ilvl w:val="12"/>
          <w:numId w:val="0"/>
        </w:numPr>
        <w:tabs>
          <w:tab w:val="left" w:pos="-720"/>
        </w:tabs>
        <w:suppressAutoHyphens/>
        <w:rPr>
          <w:rFonts w:ascii="Times New Roman" w:hAnsi="Times New Roman"/>
          <w:i/>
          <w:sz w:val="22"/>
          <w:szCs w:val="22"/>
        </w:rPr>
      </w:pPr>
    </w:p>
    <w:p w14:paraId="487CBF0B"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retain records, other than health, medical, government contract, grant-in-aid, or tax records for more than three years;</w:t>
      </w:r>
    </w:p>
    <w:p w14:paraId="74B9D977" w14:textId="77777777" w:rsidR="009B1475" w:rsidRPr="0015716C" w:rsidRDefault="009B1475" w:rsidP="009B1475">
      <w:pPr>
        <w:numPr>
          <w:ilvl w:val="12"/>
          <w:numId w:val="0"/>
        </w:numPr>
        <w:tabs>
          <w:tab w:val="left" w:pos="-720"/>
        </w:tabs>
        <w:suppressAutoHyphens/>
        <w:rPr>
          <w:rFonts w:ascii="Times New Roman" w:hAnsi="Times New Roman"/>
          <w:i/>
          <w:sz w:val="22"/>
          <w:szCs w:val="22"/>
        </w:rPr>
      </w:pPr>
    </w:p>
    <w:p w14:paraId="18D8AD95"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in connection with a statistical survey, that is not designed to produce valid and reliable results than can be generalized to the universe of study;</w:t>
      </w:r>
    </w:p>
    <w:p w14:paraId="4B87F0A4" w14:textId="77777777" w:rsidR="009B1475" w:rsidRPr="0015716C" w:rsidRDefault="009B1475" w:rsidP="009B1475">
      <w:pPr>
        <w:numPr>
          <w:ilvl w:val="12"/>
          <w:numId w:val="0"/>
        </w:numPr>
        <w:tabs>
          <w:tab w:val="left" w:pos="-720"/>
        </w:tabs>
        <w:suppressAutoHyphens/>
        <w:rPr>
          <w:rFonts w:ascii="Times New Roman" w:hAnsi="Times New Roman"/>
          <w:i/>
          <w:sz w:val="22"/>
          <w:szCs w:val="22"/>
        </w:rPr>
      </w:pPr>
    </w:p>
    <w:p w14:paraId="3927904E"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the use of a statistical data classification that has not been reviewed and approved by OMB;</w:t>
      </w:r>
    </w:p>
    <w:p w14:paraId="3DD7DA2D" w14:textId="77777777" w:rsidR="009B1475" w:rsidRPr="0015716C" w:rsidRDefault="009B1475" w:rsidP="009B1475">
      <w:pPr>
        <w:numPr>
          <w:ilvl w:val="12"/>
          <w:numId w:val="0"/>
        </w:numPr>
        <w:tabs>
          <w:tab w:val="left" w:pos="-720"/>
        </w:tabs>
        <w:suppressAutoHyphens/>
        <w:rPr>
          <w:rFonts w:ascii="Times New Roman" w:hAnsi="Times New Roman"/>
          <w:i/>
          <w:sz w:val="22"/>
          <w:szCs w:val="22"/>
        </w:rPr>
      </w:pPr>
    </w:p>
    <w:p w14:paraId="1CD9C206"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8F51334" w14:textId="77777777" w:rsidR="009B1475" w:rsidRPr="0015716C" w:rsidRDefault="009B1475" w:rsidP="009B1475">
      <w:pPr>
        <w:numPr>
          <w:ilvl w:val="12"/>
          <w:numId w:val="0"/>
        </w:numPr>
        <w:tabs>
          <w:tab w:val="left" w:pos="-720"/>
        </w:tabs>
        <w:suppressAutoHyphens/>
        <w:rPr>
          <w:rFonts w:ascii="Times New Roman" w:hAnsi="Times New Roman"/>
          <w:i/>
          <w:sz w:val="22"/>
          <w:szCs w:val="22"/>
        </w:rPr>
      </w:pPr>
    </w:p>
    <w:p w14:paraId="1CEEA67B" w14:textId="77777777" w:rsidR="009B1475" w:rsidRPr="0015716C" w:rsidRDefault="009B1475" w:rsidP="009B1475">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0A758871" w14:textId="77777777" w:rsidR="004F692A" w:rsidRPr="0015716C" w:rsidRDefault="004F692A" w:rsidP="009B1475">
      <w:pPr>
        <w:tabs>
          <w:tab w:val="left" w:pos="-720"/>
          <w:tab w:val="left" w:pos="990"/>
          <w:tab w:val="left" w:pos="1247"/>
        </w:tabs>
        <w:suppressAutoHyphens/>
        <w:rPr>
          <w:rFonts w:ascii="Times New Roman" w:hAnsi="Times New Roman"/>
          <w:sz w:val="22"/>
          <w:szCs w:val="22"/>
        </w:rPr>
      </w:pPr>
    </w:p>
    <w:p w14:paraId="59FFFCAA" w14:textId="77777777" w:rsidR="00FC58BA" w:rsidRPr="0015716C" w:rsidRDefault="00FC58BA" w:rsidP="009032E8">
      <w:pPr>
        <w:rPr>
          <w:rFonts w:ascii="Times New Roman" w:hAnsi="Times New Roman"/>
          <w:sz w:val="22"/>
          <w:szCs w:val="22"/>
        </w:rPr>
      </w:pPr>
      <w:r w:rsidRPr="0015716C">
        <w:rPr>
          <w:rFonts w:ascii="Times New Roman" w:hAnsi="Times New Roman"/>
          <w:sz w:val="22"/>
          <w:szCs w:val="22"/>
        </w:rPr>
        <w:t xml:space="preserve">With one exception, no information will be collected in the manner covered under any of the special circumstances outlined.  The exception is that respondents are required to retain participant records for </w:t>
      </w:r>
      <w:r w:rsidR="0099171D" w:rsidRPr="0015716C">
        <w:rPr>
          <w:rFonts w:ascii="Times New Roman" w:hAnsi="Times New Roman"/>
          <w:sz w:val="22"/>
          <w:szCs w:val="22"/>
        </w:rPr>
        <w:t>a period of ten</w:t>
      </w:r>
      <w:r w:rsidRPr="0015716C">
        <w:rPr>
          <w:rFonts w:ascii="Times New Roman" w:hAnsi="Times New Roman"/>
          <w:sz w:val="22"/>
          <w:szCs w:val="22"/>
        </w:rPr>
        <w:t xml:space="preserve"> years.  In order to assess the impact of the program services on participating students’ academic progress, grantees are required to track the academic progress of all prior-year participants until they attain a doctoral degree, or until they are inactive in the pursuit of their academic objective for five years.</w:t>
      </w:r>
    </w:p>
    <w:p w14:paraId="4C8CE6A4" w14:textId="77777777" w:rsidR="009B1475" w:rsidRPr="0015716C" w:rsidRDefault="009B1475" w:rsidP="009032E8">
      <w:pPr>
        <w:rPr>
          <w:rFonts w:ascii="Times New Roman" w:hAnsi="Times New Roman"/>
          <w:sz w:val="22"/>
          <w:szCs w:val="22"/>
        </w:rPr>
      </w:pPr>
    </w:p>
    <w:p w14:paraId="5478F619" w14:textId="77777777" w:rsidR="009B1475" w:rsidRPr="0015716C" w:rsidRDefault="0089718C" w:rsidP="0089718C">
      <w:pPr>
        <w:tabs>
          <w:tab w:val="left" w:pos="-720"/>
          <w:tab w:val="left" w:pos="375"/>
        </w:tabs>
        <w:suppressAutoHyphens/>
        <w:rPr>
          <w:rFonts w:ascii="Times New Roman" w:hAnsi="Times New Roman"/>
          <w:i/>
          <w:sz w:val="22"/>
          <w:szCs w:val="22"/>
        </w:rPr>
      </w:pPr>
      <w:r w:rsidRPr="0015716C">
        <w:rPr>
          <w:rFonts w:ascii="Times New Roman" w:hAnsi="Times New Roman"/>
          <w:i/>
          <w:sz w:val="22"/>
          <w:szCs w:val="22"/>
        </w:rPr>
        <w:t xml:space="preserve">8.  </w:t>
      </w:r>
      <w:r w:rsidR="009B1475" w:rsidRPr="0015716C">
        <w:rPr>
          <w:rFonts w:ascii="Times New Roman" w:hAnsi="Times New Roman"/>
          <w:i/>
          <w:sz w:val="22"/>
          <w:szCs w:val="22"/>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F85F2BA" w14:textId="77777777" w:rsidR="009B1475" w:rsidRPr="0015716C" w:rsidRDefault="009B1475" w:rsidP="009B1475">
      <w:pPr>
        <w:tabs>
          <w:tab w:val="left" w:pos="-720"/>
        </w:tabs>
        <w:suppressAutoHyphens/>
        <w:rPr>
          <w:rStyle w:val="a"/>
          <w:rFonts w:ascii="Times New Roman" w:hAnsi="Times New Roman"/>
          <w:b/>
          <w:i/>
          <w:sz w:val="22"/>
          <w:szCs w:val="22"/>
        </w:rPr>
      </w:pPr>
    </w:p>
    <w:p w14:paraId="10BD94A7" w14:textId="77777777" w:rsidR="009B1475" w:rsidRPr="0015716C" w:rsidRDefault="009B1475" w:rsidP="009B1475">
      <w:pPr>
        <w:tabs>
          <w:tab w:val="left" w:pos="-720"/>
        </w:tabs>
        <w:suppressAutoHyphens/>
        <w:rPr>
          <w:rStyle w:val="a"/>
          <w:rFonts w:ascii="Times New Roman" w:hAnsi="Times New Roman"/>
          <w:i/>
          <w:sz w:val="22"/>
          <w:szCs w:val="22"/>
        </w:rPr>
      </w:pPr>
      <w:r w:rsidRPr="0015716C">
        <w:rPr>
          <w:rStyle w:val="a"/>
          <w:rFonts w:ascii="Times New Roman" w:hAnsi="Times New Roman"/>
          <w:i/>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3FC7E4B" w14:textId="77777777" w:rsidR="003029C3" w:rsidRPr="0015716C" w:rsidRDefault="003029C3" w:rsidP="009B1475">
      <w:pPr>
        <w:tabs>
          <w:tab w:val="left" w:pos="-720"/>
        </w:tabs>
        <w:suppressAutoHyphens/>
        <w:rPr>
          <w:rStyle w:val="a"/>
          <w:rFonts w:ascii="Times New Roman" w:hAnsi="Times New Roman"/>
          <w:i/>
          <w:sz w:val="22"/>
          <w:szCs w:val="22"/>
        </w:rPr>
      </w:pPr>
    </w:p>
    <w:p w14:paraId="1885E2DB" w14:textId="77777777" w:rsidR="009B1475" w:rsidRPr="0015716C" w:rsidRDefault="009B1475" w:rsidP="009B1475">
      <w:pPr>
        <w:tabs>
          <w:tab w:val="left" w:pos="-720"/>
        </w:tabs>
        <w:suppressAutoHyphens/>
        <w:rPr>
          <w:rFonts w:ascii="Times New Roman" w:hAnsi="Times New Roman"/>
          <w:i/>
          <w:sz w:val="22"/>
          <w:szCs w:val="22"/>
        </w:rPr>
      </w:pPr>
      <w:r w:rsidRPr="0015716C">
        <w:rPr>
          <w:rStyle w:val="a"/>
          <w:rFonts w:ascii="Times New Roman" w:hAnsi="Times New Roman"/>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35CBCB4" w14:textId="77777777" w:rsidR="009B1475" w:rsidRPr="0015716C" w:rsidRDefault="009B1475" w:rsidP="009032E8">
      <w:pPr>
        <w:rPr>
          <w:rFonts w:ascii="Times New Roman" w:hAnsi="Times New Roman"/>
          <w:sz w:val="22"/>
          <w:szCs w:val="22"/>
        </w:rPr>
      </w:pPr>
    </w:p>
    <w:p w14:paraId="25F05F91" w14:textId="4737A56F" w:rsidR="00AC71D1" w:rsidRDefault="00E42639" w:rsidP="00AC71D1">
      <w:pPr>
        <w:pStyle w:val="NoSpacing"/>
        <w:rPr>
          <w:rFonts w:ascii="Times New Roman" w:hAnsi="Times New Roman" w:cs="Times New Roman"/>
        </w:rPr>
      </w:pPr>
      <w:r>
        <w:rPr>
          <w:rFonts w:ascii="Times New Roman" w:hAnsi="Times New Roman" w:cs="Times New Roman"/>
        </w:rPr>
        <w:t>The</w:t>
      </w:r>
      <w:r w:rsidR="0055502A" w:rsidRPr="0015716C">
        <w:rPr>
          <w:rFonts w:ascii="Times New Roman" w:hAnsi="Times New Roman" w:cs="Times New Roman"/>
        </w:rPr>
        <w:t xml:space="preserve"> Department </w:t>
      </w:r>
      <w:r>
        <w:rPr>
          <w:rFonts w:ascii="Times New Roman" w:hAnsi="Times New Roman" w:cs="Times New Roman"/>
        </w:rPr>
        <w:t xml:space="preserve">has published </w:t>
      </w:r>
      <w:r w:rsidR="004B6DFC">
        <w:rPr>
          <w:rFonts w:ascii="Times New Roman" w:hAnsi="Times New Roman" w:cs="Times New Roman"/>
        </w:rPr>
        <w:t>a</w:t>
      </w:r>
      <w:r w:rsidR="0055502A" w:rsidRPr="0015716C">
        <w:rPr>
          <w:rFonts w:ascii="Times New Roman" w:hAnsi="Times New Roman" w:cs="Times New Roman"/>
        </w:rPr>
        <w:t xml:space="preserve"> 60-</w:t>
      </w:r>
      <w:r w:rsidR="0055502A" w:rsidRPr="00AC71D1">
        <w:rPr>
          <w:rFonts w:ascii="Times New Roman" w:hAnsi="Times New Roman" w:cs="Times New Roman"/>
        </w:rPr>
        <w:t xml:space="preserve">day </w:t>
      </w:r>
      <w:r w:rsidR="0055502A" w:rsidRPr="00AC71D1">
        <w:rPr>
          <w:rFonts w:ascii="Times New Roman" w:hAnsi="Times New Roman" w:cs="Times New Roman"/>
          <w:u w:val="single"/>
        </w:rPr>
        <w:t>Federal Register</w:t>
      </w:r>
      <w:r w:rsidR="0055502A" w:rsidRPr="00AC71D1">
        <w:rPr>
          <w:rFonts w:ascii="Times New Roman" w:hAnsi="Times New Roman" w:cs="Times New Roman"/>
        </w:rPr>
        <w:t xml:space="preserve"> notice as required by 5 CFR 1320.8(d)</w:t>
      </w:r>
      <w:r w:rsidR="004B6DFC" w:rsidRPr="00AC71D1">
        <w:rPr>
          <w:rFonts w:ascii="Times New Roman" w:hAnsi="Times New Roman" w:cs="Times New Roman"/>
        </w:rPr>
        <w:t xml:space="preserve"> to </w:t>
      </w:r>
      <w:r w:rsidR="0055502A" w:rsidRPr="00AC71D1">
        <w:rPr>
          <w:rFonts w:ascii="Times New Roman" w:hAnsi="Times New Roman" w:cs="Times New Roman"/>
        </w:rPr>
        <w:t>solicit comments on the information collection prior to submission to OMB</w:t>
      </w:r>
      <w:r w:rsidR="004B6DFC" w:rsidRPr="00AC71D1">
        <w:rPr>
          <w:rFonts w:ascii="Times New Roman" w:hAnsi="Times New Roman" w:cs="Times New Roman"/>
        </w:rPr>
        <w:t xml:space="preserve"> (</w:t>
      </w:r>
      <w:r w:rsidR="00AC71D1" w:rsidRPr="00AC71D1">
        <w:rPr>
          <w:rFonts w:ascii="Times New Roman" w:hAnsi="Times New Roman" w:cs="Times New Roman"/>
        </w:rPr>
        <w:t>84 FR 37855)</w:t>
      </w:r>
      <w:r w:rsidR="0055502A" w:rsidRPr="00AC71D1">
        <w:rPr>
          <w:rFonts w:ascii="Times New Roman" w:hAnsi="Times New Roman" w:cs="Times New Roman"/>
        </w:rPr>
        <w:t xml:space="preserve">.  </w:t>
      </w:r>
      <w:r w:rsidR="00AC71D1" w:rsidRPr="0015716C">
        <w:rPr>
          <w:rFonts w:ascii="Times New Roman" w:hAnsi="Times New Roman" w:cs="Times New Roman"/>
        </w:rPr>
        <w:t xml:space="preserve">The Department </w:t>
      </w:r>
      <w:r w:rsidR="008573B6">
        <w:rPr>
          <w:rFonts w:ascii="Times New Roman" w:hAnsi="Times New Roman" w:cs="Times New Roman"/>
        </w:rPr>
        <w:t>has</w:t>
      </w:r>
      <w:r w:rsidR="00AC71D1" w:rsidRPr="0015716C">
        <w:rPr>
          <w:rFonts w:ascii="Times New Roman" w:hAnsi="Times New Roman" w:cs="Times New Roman"/>
        </w:rPr>
        <w:t xml:space="preserve"> summarize</w:t>
      </w:r>
      <w:r w:rsidR="008573B6">
        <w:rPr>
          <w:rFonts w:ascii="Times New Roman" w:hAnsi="Times New Roman" w:cs="Times New Roman"/>
        </w:rPr>
        <w:t>d</w:t>
      </w:r>
      <w:r w:rsidR="00AC71D1" w:rsidRPr="0015716C">
        <w:rPr>
          <w:rFonts w:ascii="Times New Roman" w:hAnsi="Times New Roman" w:cs="Times New Roman"/>
        </w:rPr>
        <w:t xml:space="preserve"> public comments received in response to that notice and describe</w:t>
      </w:r>
      <w:r w:rsidR="008573B6">
        <w:rPr>
          <w:rFonts w:ascii="Times New Roman" w:hAnsi="Times New Roman" w:cs="Times New Roman"/>
        </w:rPr>
        <w:t>d</w:t>
      </w:r>
      <w:r w:rsidR="00AC71D1" w:rsidRPr="0015716C">
        <w:rPr>
          <w:rFonts w:ascii="Times New Roman" w:hAnsi="Times New Roman" w:cs="Times New Roman"/>
        </w:rPr>
        <w:t xml:space="preserve"> actions taken by the agency in response to these comments.  </w:t>
      </w:r>
    </w:p>
    <w:p w14:paraId="3CD25C74" w14:textId="77777777" w:rsidR="008573B6" w:rsidRPr="0015716C" w:rsidRDefault="008573B6" w:rsidP="00AC71D1">
      <w:pPr>
        <w:pStyle w:val="NoSpacing"/>
        <w:rPr>
          <w:rFonts w:ascii="Times New Roman" w:hAnsi="Times New Roman" w:cs="Times New Roman"/>
        </w:rPr>
      </w:pPr>
    </w:p>
    <w:p w14:paraId="44BD3D5B" w14:textId="19215650" w:rsidR="0055502A" w:rsidRPr="0015716C" w:rsidRDefault="0055502A" w:rsidP="0015716C">
      <w:pPr>
        <w:pStyle w:val="NoSpacing"/>
        <w:rPr>
          <w:rFonts w:ascii="Times New Roman" w:hAnsi="Times New Roman" w:cs="Times New Roman"/>
        </w:rPr>
      </w:pPr>
      <w:r w:rsidRPr="00AC71D1">
        <w:rPr>
          <w:rFonts w:ascii="Times New Roman" w:hAnsi="Times New Roman" w:cs="Times New Roman"/>
        </w:rPr>
        <w:t xml:space="preserve">A separate </w:t>
      </w:r>
      <w:r w:rsidRPr="0015716C">
        <w:rPr>
          <w:rFonts w:ascii="Times New Roman" w:hAnsi="Times New Roman" w:cs="Times New Roman"/>
        </w:rPr>
        <w:t xml:space="preserve">30-day </w:t>
      </w:r>
      <w:r w:rsidRPr="0015716C">
        <w:rPr>
          <w:rFonts w:ascii="Times New Roman" w:hAnsi="Times New Roman" w:cs="Times New Roman"/>
          <w:u w:val="single"/>
        </w:rPr>
        <w:t>Federal Register</w:t>
      </w:r>
      <w:r w:rsidRPr="0015716C">
        <w:rPr>
          <w:rFonts w:ascii="Times New Roman" w:hAnsi="Times New Roman" w:cs="Times New Roman"/>
        </w:rPr>
        <w:t xml:space="preserve"> notice will be published to solicit public comment on the new APR form.  The Department will summarize public comments received in response to that notice and describe actions taken by the agency in response to these comments.  </w:t>
      </w:r>
    </w:p>
    <w:p w14:paraId="2499DCA5" w14:textId="77777777" w:rsidR="003C0A8F" w:rsidRPr="0015716C" w:rsidRDefault="003C0A8F" w:rsidP="009032E8">
      <w:pPr>
        <w:rPr>
          <w:rFonts w:ascii="Times New Roman" w:hAnsi="Times New Roman"/>
          <w:sz w:val="22"/>
          <w:szCs w:val="22"/>
        </w:rPr>
      </w:pPr>
    </w:p>
    <w:p w14:paraId="3DB26F26" w14:textId="77777777" w:rsidR="00414B52" w:rsidRPr="0015716C" w:rsidRDefault="00414B52" w:rsidP="00414B52">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9. </w:t>
      </w:r>
      <w:r w:rsidR="006A5127" w:rsidRPr="0015716C">
        <w:rPr>
          <w:rFonts w:ascii="Times New Roman" w:hAnsi="Times New Roman"/>
          <w:i/>
          <w:sz w:val="22"/>
          <w:szCs w:val="22"/>
        </w:rPr>
        <w:t xml:space="preserve"> </w:t>
      </w:r>
      <w:r w:rsidRPr="0015716C">
        <w:rPr>
          <w:rStyle w:val="a"/>
          <w:rFonts w:ascii="Times New Roman" w:hAnsi="Times New Roman"/>
          <w:i/>
          <w:sz w:val="22"/>
          <w:szCs w:val="22"/>
        </w:rPr>
        <w:t>Explain any decision to provide any payment or gift to respondents, other than remuneration of contractors or grantees with meaningful justification.</w:t>
      </w:r>
    </w:p>
    <w:p w14:paraId="015ECA0B" w14:textId="77777777" w:rsidR="004F692A" w:rsidRPr="0015716C" w:rsidRDefault="004F692A" w:rsidP="009032E8">
      <w:pPr>
        <w:tabs>
          <w:tab w:val="left" w:pos="-720"/>
          <w:tab w:val="left" w:pos="720"/>
        </w:tabs>
        <w:suppressAutoHyphens/>
        <w:rPr>
          <w:rFonts w:ascii="Times New Roman" w:hAnsi="Times New Roman"/>
          <w:sz w:val="22"/>
          <w:szCs w:val="22"/>
        </w:rPr>
      </w:pPr>
    </w:p>
    <w:p w14:paraId="2C79B52E" w14:textId="77777777" w:rsidR="00FC58BA" w:rsidRPr="0015716C" w:rsidRDefault="00FC58BA" w:rsidP="009032E8">
      <w:pPr>
        <w:tabs>
          <w:tab w:val="left" w:pos="720"/>
        </w:tabs>
        <w:rPr>
          <w:rFonts w:ascii="Times New Roman" w:hAnsi="Times New Roman"/>
          <w:sz w:val="22"/>
          <w:szCs w:val="22"/>
        </w:rPr>
      </w:pPr>
      <w:r w:rsidRPr="0015716C">
        <w:rPr>
          <w:rFonts w:ascii="Times New Roman" w:hAnsi="Times New Roman"/>
          <w:sz w:val="22"/>
          <w:szCs w:val="22"/>
        </w:rPr>
        <w:t>The Department does not provide any payments or gifts to respondents.</w:t>
      </w:r>
    </w:p>
    <w:p w14:paraId="54286D7E" w14:textId="77777777" w:rsidR="00EE7590" w:rsidRPr="0015716C" w:rsidRDefault="00EE7590" w:rsidP="009032E8">
      <w:pPr>
        <w:tabs>
          <w:tab w:val="left" w:pos="720"/>
        </w:tabs>
        <w:rPr>
          <w:rFonts w:ascii="Times New Roman" w:hAnsi="Times New Roman"/>
          <w:sz w:val="22"/>
          <w:szCs w:val="22"/>
        </w:rPr>
      </w:pPr>
    </w:p>
    <w:p w14:paraId="2DFD6091" w14:textId="77777777" w:rsidR="00414B52" w:rsidRPr="0015716C" w:rsidRDefault="00414B52" w:rsidP="00414B52">
      <w:pPr>
        <w:tabs>
          <w:tab w:val="left" w:pos="-720"/>
        </w:tabs>
        <w:suppressAutoHyphens/>
        <w:rPr>
          <w:rFonts w:ascii="Times New Roman" w:hAnsi="Times New Roman"/>
          <w:i/>
          <w:sz w:val="22"/>
          <w:szCs w:val="22"/>
        </w:rPr>
      </w:pPr>
      <w:r w:rsidRPr="0015716C">
        <w:rPr>
          <w:rFonts w:ascii="Times New Roman" w:hAnsi="Times New Roman"/>
          <w:i/>
          <w:sz w:val="22"/>
          <w:szCs w:val="22"/>
        </w:rPr>
        <w:t>10.</w:t>
      </w:r>
      <w:r w:rsidR="006A5127" w:rsidRPr="0015716C">
        <w:rPr>
          <w:rFonts w:ascii="Times New Roman" w:hAnsi="Times New Roman"/>
          <w:i/>
          <w:sz w:val="22"/>
          <w:szCs w:val="22"/>
        </w:rPr>
        <w:t xml:space="preserve"> </w:t>
      </w:r>
      <w:r w:rsidRPr="0015716C">
        <w:rPr>
          <w:rFonts w:ascii="Times New Roman" w:hAnsi="Times New Roman"/>
          <w:i/>
          <w:sz w:val="22"/>
          <w:szCs w:val="22"/>
        </w:rPr>
        <w:t xml:space="preserve"> Describe any assurance of confidentiality provided to respondents and the basis for the assurance in statute, regulation, or agency policy. </w:t>
      </w:r>
      <w:r w:rsidR="006A5127" w:rsidRPr="0015716C">
        <w:rPr>
          <w:rFonts w:ascii="Times New Roman" w:hAnsi="Times New Roman"/>
          <w:i/>
          <w:sz w:val="22"/>
          <w:szCs w:val="22"/>
        </w:rPr>
        <w:t xml:space="preserve"> </w:t>
      </w:r>
      <w:r w:rsidRPr="0015716C">
        <w:rPr>
          <w:rFonts w:ascii="Times New Roman" w:hAnsi="Times New Roman"/>
          <w:i/>
          <w:sz w:val="22"/>
          <w:szCs w:val="22"/>
        </w:rPr>
        <w:t xml:space="preserve">If personally identifiable information (PII) is being collected, a Privacy Act statement should be included on the instrument. </w:t>
      </w:r>
      <w:r w:rsidR="006A5127" w:rsidRPr="0015716C">
        <w:rPr>
          <w:rFonts w:ascii="Times New Roman" w:hAnsi="Times New Roman"/>
          <w:i/>
          <w:sz w:val="22"/>
          <w:szCs w:val="22"/>
        </w:rPr>
        <w:t xml:space="preserve"> </w:t>
      </w:r>
      <w:r w:rsidRPr="0015716C">
        <w:rPr>
          <w:rFonts w:ascii="Times New Roman" w:hAnsi="Times New Roman"/>
          <w:i/>
          <w:sz w:val="22"/>
          <w:szCs w:val="22"/>
        </w:rPr>
        <w:t xml:space="preserve">Please provide a citation for the Systems of Record Notice and the date a Privacy Impact Assessment was completed as indicated on the IC Data Form. </w:t>
      </w:r>
      <w:r w:rsidR="006A5127" w:rsidRPr="0015716C">
        <w:rPr>
          <w:rFonts w:ascii="Times New Roman" w:hAnsi="Times New Roman"/>
          <w:i/>
          <w:sz w:val="22"/>
          <w:szCs w:val="22"/>
        </w:rPr>
        <w:t xml:space="preserve"> </w:t>
      </w:r>
      <w:r w:rsidRPr="0015716C">
        <w:rPr>
          <w:rFonts w:ascii="Times New Roman" w:hAnsi="Times New Roman"/>
          <w:i/>
          <w:sz w:val="22"/>
          <w:szCs w:val="22"/>
        </w:rPr>
        <w:t>A confidentiality statement with a legal citation that authorizes the pledge of confidentiality should be provided.</w:t>
      </w:r>
      <w:r w:rsidRPr="00E17878">
        <w:rPr>
          <w:rStyle w:val="FootnoteReference"/>
          <w:rFonts w:ascii="Times New Roman" w:hAnsi="Times New Roman"/>
          <w:i/>
          <w:sz w:val="22"/>
          <w:szCs w:val="22"/>
        </w:rPr>
        <w:footnoteReference w:id="2"/>
      </w:r>
      <w:r w:rsidRPr="00E17878">
        <w:rPr>
          <w:rFonts w:ascii="Times New Roman" w:hAnsi="Times New Roman"/>
          <w:i/>
          <w:sz w:val="22"/>
          <w:szCs w:val="22"/>
        </w:rPr>
        <w:t xml:space="preserve"> </w:t>
      </w:r>
      <w:r w:rsidR="006A5127" w:rsidRPr="00E17878">
        <w:rPr>
          <w:rFonts w:ascii="Times New Roman" w:hAnsi="Times New Roman"/>
          <w:i/>
          <w:sz w:val="22"/>
          <w:szCs w:val="22"/>
        </w:rPr>
        <w:t xml:space="preserve"> </w:t>
      </w:r>
      <w:r w:rsidRPr="00E17878">
        <w:rPr>
          <w:rFonts w:ascii="Times New Roman" w:hAnsi="Times New Roman"/>
          <w:i/>
          <w:sz w:val="22"/>
          <w:szCs w:val="22"/>
        </w:rPr>
        <w:t xml:space="preserve">If the collection is subject to the Privacy Act, the Privacy Act statement is deemed sufficient with respect to confidentiality. </w:t>
      </w:r>
      <w:r w:rsidRPr="008F6483">
        <w:rPr>
          <w:rFonts w:ascii="Times New Roman" w:hAnsi="Times New Roman"/>
          <w:i/>
          <w:sz w:val="22"/>
          <w:szCs w:val="22"/>
        </w:rPr>
        <w:t>If</w:t>
      </w:r>
      <w:r w:rsidR="006A5127" w:rsidRPr="0015716C">
        <w:rPr>
          <w:rFonts w:ascii="Times New Roman" w:hAnsi="Times New Roman"/>
          <w:i/>
          <w:sz w:val="22"/>
          <w:szCs w:val="22"/>
        </w:rPr>
        <w:t xml:space="preserve"> </w:t>
      </w:r>
      <w:r w:rsidRPr="0015716C">
        <w:rPr>
          <w:rFonts w:ascii="Times New Roman" w:hAnsi="Times New Roman"/>
          <w:i/>
          <w:sz w:val="22"/>
          <w:szCs w:val="22"/>
        </w:rPr>
        <w:t>there is no expectation of confidentiality, simply state that the Department makes no pledge about the confidentially of the data.</w:t>
      </w:r>
    </w:p>
    <w:p w14:paraId="6C6E581D" w14:textId="77777777" w:rsidR="00414B52" w:rsidRPr="0015716C" w:rsidRDefault="00414B52" w:rsidP="009032E8">
      <w:pPr>
        <w:tabs>
          <w:tab w:val="left" w:pos="-720"/>
        </w:tabs>
        <w:suppressAutoHyphens/>
        <w:rPr>
          <w:rFonts w:ascii="Times New Roman" w:hAnsi="Times New Roman"/>
          <w:sz w:val="22"/>
          <w:szCs w:val="22"/>
        </w:rPr>
      </w:pPr>
    </w:p>
    <w:p w14:paraId="60374EA3" w14:textId="77777777" w:rsidR="00FC58BA" w:rsidRPr="0015716C" w:rsidRDefault="00FC58BA" w:rsidP="009032E8">
      <w:pPr>
        <w:rPr>
          <w:rFonts w:ascii="Times New Roman" w:hAnsi="Times New Roman"/>
          <w:sz w:val="22"/>
          <w:szCs w:val="22"/>
        </w:rPr>
      </w:pPr>
      <w:r w:rsidRPr="0015716C">
        <w:rPr>
          <w:rFonts w:ascii="Times New Roman" w:hAnsi="Times New Roman"/>
          <w:sz w:val="22"/>
          <w:szCs w:val="22"/>
        </w:rPr>
        <w:t xml:space="preserve">The Department's disclosure policies adhere to the provisions of the Privacy Act – PL 95-379, 5 USC 552a.  </w:t>
      </w:r>
      <w:r w:rsidR="0062702F" w:rsidRPr="0015716C">
        <w:rPr>
          <w:rFonts w:ascii="Times New Roman" w:hAnsi="Times New Roman"/>
          <w:sz w:val="22"/>
          <w:szCs w:val="22"/>
        </w:rPr>
        <w:t xml:space="preserve">There is no assurance of confidentiality with respect to grant-required reports; however, grantees are instructed to </w:t>
      </w:r>
      <w:r w:rsidR="00B2285E" w:rsidRPr="0015716C">
        <w:rPr>
          <w:rFonts w:ascii="Times New Roman" w:hAnsi="Times New Roman"/>
          <w:sz w:val="22"/>
          <w:szCs w:val="22"/>
        </w:rPr>
        <w:t>e</w:t>
      </w:r>
      <w:r w:rsidR="0062702F" w:rsidRPr="0015716C">
        <w:rPr>
          <w:rFonts w:ascii="Times New Roman" w:hAnsi="Times New Roman"/>
          <w:sz w:val="22"/>
          <w:szCs w:val="22"/>
        </w:rPr>
        <w:t xml:space="preserve">nsure that program participants are informed of their rights under the Privacy Act with respect to the disclosure of social security numbers. </w:t>
      </w:r>
      <w:r w:rsidR="00D86610" w:rsidRPr="0015716C">
        <w:rPr>
          <w:rFonts w:ascii="Times New Roman" w:hAnsi="Times New Roman"/>
          <w:sz w:val="22"/>
          <w:szCs w:val="22"/>
        </w:rPr>
        <w:t xml:space="preserve"> </w:t>
      </w:r>
      <w:r w:rsidR="0062702F" w:rsidRPr="0015716C">
        <w:rPr>
          <w:rFonts w:ascii="Times New Roman" w:hAnsi="Times New Roman"/>
          <w:sz w:val="22"/>
          <w:szCs w:val="22"/>
        </w:rPr>
        <w:t xml:space="preserve">A disclosure statement is provided to students </w:t>
      </w:r>
      <w:r w:rsidR="0055166D" w:rsidRPr="0015716C">
        <w:rPr>
          <w:rFonts w:ascii="Times New Roman" w:hAnsi="Times New Roman"/>
          <w:sz w:val="22"/>
          <w:szCs w:val="22"/>
        </w:rPr>
        <w:t>at</w:t>
      </w:r>
      <w:r w:rsidR="0062702F" w:rsidRPr="0015716C">
        <w:rPr>
          <w:rFonts w:ascii="Times New Roman" w:hAnsi="Times New Roman"/>
          <w:sz w:val="22"/>
          <w:szCs w:val="22"/>
        </w:rPr>
        <w:t xml:space="preserve"> intake or </w:t>
      </w:r>
      <w:r w:rsidR="0055166D" w:rsidRPr="0015716C">
        <w:rPr>
          <w:rFonts w:ascii="Times New Roman" w:hAnsi="Times New Roman"/>
          <w:sz w:val="22"/>
          <w:szCs w:val="22"/>
        </w:rPr>
        <w:t xml:space="preserve">involving other </w:t>
      </w:r>
      <w:r w:rsidR="0062702F" w:rsidRPr="0015716C">
        <w:rPr>
          <w:rFonts w:ascii="Times New Roman" w:hAnsi="Times New Roman"/>
          <w:sz w:val="22"/>
          <w:szCs w:val="22"/>
        </w:rPr>
        <w:t>activities that occur during their time with the McNair project.</w:t>
      </w:r>
    </w:p>
    <w:p w14:paraId="44D0B807" w14:textId="77777777" w:rsidR="006B2F44" w:rsidRPr="0015716C" w:rsidRDefault="006B2F44" w:rsidP="009032E8">
      <w:pPr>
        <w:rPr>
          <w:rFonts w:ascii="Times New Roman" w:hAnsi="Times New Roman"/>
          <w:sz w:val="22"/>
          <w:szCs w:val="22"/>
        </w:rPr>
      </w:pPr>
    </w:p>
    <w:p w14:paraId="1630C534" w14:textId="2D9B7298" w:rsidR="006B2F44" w:rsidRPr="0015716C" w:rsidRDefault="006B2F44" w:rsidP="006B2F44">
      <w:pPr>
        <w:pStyle w:val="PlainText"/>
        <w:rPr>
          <w:rFonts w:ascii="Times New Roman" w:hAnsi="Times New Roman" w:cs="Times New Roman"/>
          <w:sz w:val="22"/>
          <w:szCs w:val="22"/>
        </w:rPr>
      </w:pPr>
      <w:r w:rsidRPr="0015716C">
        <w:rPr>
          <w:rFonts w:ascii="Times New Roman" w:hAnsi="Times New Roman" w:cs="Times New Roman"/>
          <w:sz w:val="22"/>
          <w:szCs w:val="22"/>
        </w:rPr>
        <w:t xml:space="preserve">Because the APR requests personal and confidential information on project participants, the secured Web site meets the Department of Education’s data security standards for sensitive data, including password and site access procedures.  Further, to ensure that the data is accessible only to authorized individuals and protected from unauthorized uses, a grantee must submit the participant level data via the Web application; under no circumstances should a grantee transmit the data to the Department or the APR Help Desk via e-mail.  </w:t>
      </w:r>
    </w:p>
    <w:p w14:paraId="66CE05DE" w14:textId="77777777" w:rsidR="004F692A" w:rsidRPr="00E17878" w:rsidRDefault="004F692A" w:rsidP="009032E8">
      <w:pPr>
        <w:tabs>
          <w:tab w:val="left" w:pos="-720"/>
        </w:tabs>
        <w:suppressAutoHyphens/>
        <w:rPr>
          <w:rFonts w:ascii="Times New Roman" w:hAnsi="Times New Roman"/>
          <w:sz w:val="22"/>
          <w:szCs w:val="22"/>
        </w:rPr>
      </w:pPr>
    </w:p>
    <w:p w14:paraId="08C405F8" w14:textId="77777777" w:rsidR="004F692A" w:rsidRPr="0015716C" w:rsidRDefault="004F692A" w:rsidP="009032E8">
      <w:pPr>
        <w:tabs>
          <w:tab w:val="left" w:pos="-720"/>
          <w:tab w:val="left" w:pos="720"/>
        </w:tabs>
        <w:suppressAutoHyphens/>
        <w:rPr>
          <w:rFonts w:ascii="Times New Roman" w:hAnsi="Times New Roman"/>
          <w:i/>
          <w:sz w:val="22"/>
          <w:szCs w:val="22"/>
        </w:rPr>
      </w:pPr>
      <w:r w:rsidRPr="008F6483">
        <w:rPr>
          <w:rFonts w:ascii="Times New Roman" w:hAnsi="Times New Roman"/>
          <w:i/>
          <w:sz w:val="22"/>
          <w:szCs w:val="22"/>
        </w:rPr>
        <w:t xml:space="preserve">11. </w:t>
      </w:r>
      <w:r w:rsidR="006A5127" w:rsidRPr="0015716C">
        <w:rPr>
          <w:rFonts w:ascii="Times New Roman" w:hAnsi="Times New Roman"/>
          <w:i/>
          <w:sz w:val="22"/>
          <w:szCs w:val="22"/>
        </w:rPr>
        <w:t xml:space="preserve"> </w:t>
      </w:r>
      <w:r w:rsidRPr="0015716C">
        <w:rPr>
          <w:rFonts w:ascii="Times New Roman" w:hAnsi="Times New Roman"/>
          <w:i/>
          <w:sz w:val="22"/>
          <w:szCs w:val="22"/>
        </w:rPr>
        <w:t xml:space="preserve">Provide additional justification for any questions of a sensitive nature, such as sexual behavior and attitudes, religious beliefs, and other matters that are commonly considered private. </w:t>
      </w:r>
      <w:r w:rsidR="00D86610" w:rsidRPr="0015716C">
        <w:rPr>
          <w:rFonts w:ascii="Times New Roman" w:hAnsi="Times New Roman"/>
          <w:i/>
          <w:sz w:val="22"/>
          <w:szCs w:val="22"/>
        </w:rPr>
        <w:t xml:space="preserve"> </w:t>
      </w:r>
      <w:r w:rsidRPr="0015716C">
        <w:rPr>
          <w:rFonts w:ascii="Times New Roman" w:hAnsi="Times New Roman"/>
          <w:i/>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325B948" w14:textId="77777777" w:rsidR="003C29C2" w:rsidRPr="0015716C" w:rsidRDefault="003C29C2" w:rsidP="009032E8">
      <w:pPr>
        <w:tabs>
          <w:tab w:val="left" w:pos="-720"/>
        </w:tabs>
        <w:suppressAutoHyphens/>
        <w:rPr>
          <w:rFonts w:ascii="Times New Roman" w:hAnsi="Times New Roman"/>
          <w:sz w:val="22"/>
          <w:szCs w:val="22"/>
        </w:rPr>
      </w:pPr>
    </w:p>
    <w:p w14:paraId="3941F638" w14:textId="77777777" w:rsidR="00FC58BA" w:rsidRPr="0015716C" w:rsidRDefault="00FC58BA" w:rsidP="009032E8">
      <w:pPr>
        <w:rPr>
          <w:rFonts w:ascii="Times New Roman" w:hAnsi="Times New Roman"/>
          <w:sz w:val="22"/>
          <w:szCs w:val="22"/>
        </w:rPr>
      </w:pPr>
      <w:r w:rsidRPr="0015716C">
        <w:rPr>
          <w:rFonts w:ascii="Times New Roman" w:hAnsi="Times New Roman"/>
          <w:sz w:val="22"/>
          <w:szCs w:val="22"/>
        </w:rPr>
        <w:t>The annual performance report form does not include questions about sexual behavior and attitudes, religious beliefs or other items that are commonly considered sensitive and private.</w:t>
      </w:r>
    </w:p>
    <w:p w14:paraId="328F8DDF" w14:textId="77777777" w:rsidR="00FC58BA" w:rsidRPr="0015716C" w:rsidRDefault="00FC58BA" w:rsidP="009032E8">
      <w:pPr>
        <w:tabs>
          <w:tab w:val="left" w:pos="-720"/>
        </w:tabs>
        <w:suppressAutoHyphens/>
        <w:rPr>
          <w:rFonts w:ascii="Times New Roman" w:hAnsi="Times New Roman"/>
          <w:sz w:val="22"/>
          <w:szCs w:val="22"/>
        </w:rPr>
      </w:pPr>
    </w:p>
    <w:p w14:paraId="48428172" w14:textId="77777777" w:rsidR="008A7414" w:rsidRPr="0015716C" w:rsidRDefault="008A7414" w:rsidP="008A7414">
      <w:pPr>
        <w:tabs>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12. </w:t>
      </w:r>
      <w:r w:rsidRPr="0015716C">
        <w:rPr>
          <w:rStyle w:val="a"/>
          <w:rFonts w:ascii="Times New Roman" w:hAnsi="Times New Roman"/>
          <w:i/>
          <w:sz w:val="22"/>
          <w:szCs w:val="22"/>
        </w:rPr>
        <w:t>Provide estimates of the hour burden of the collection of information.  The statement should:</w:t>
      </w:r>
    </w:p>
    <w:p w14:paraId="3A6CDFA9" w14:textId="77777777" w:rsidR="008A7414" w:rsidRPr="0015716C" w:rsidRDefault="008A7414" w:rsidP="008A7414">
      <w:pPr>
        <w:tabs>
          <w:tab w:val="left" w:pos="-720"/>
        </w:tabs>
        <w:suppressAutoHyphens/>
        <w:rPr>
          <w:rStyle w:val="a"/>
          <w:rFonts w:ascii="Times New Roman" w:hAnsi="Times New Roman"/>
          <w:i/>
          <w:sz w:val="22"/>
          <w:szCs w:val="22"/>
        </w:rPr>
      </w:pPr>
    </w:p>
    <w:p w14:paraId="7DCD29C9" w14:textId="77777777" w:rsidR="00AA0B11" w:rsidRPr="0015716C" w:rsidRDefault="008A7414" w:rsidP="008A7414">
      <w:pPr>
        <w:numPr>
          <w:ilvl w:val="0"/>
          <w:numId w:val="23"/>
        </w:numPr>
        <w:tabs>
          <w:tab w:val="left" w:pos="-720"/>
          <w:tab w:val="left" w:pos="1247"/>
        </w:tabs>
        <w:suppressAutoHyphens/>
        <w:rPr>
          <w:rStyle w:val="a"/>
          <w:rFonts w:ascii="Times New Roman" w:hAnsi="Times New Roman"/>
          <w:i/>
          <w:sz w:val="22"/>
          <w:szCs w:val="22"/>
        </w:rPr>
      </w:pPr>
      <w:r w:rsidRPr="0015716C">
        <w:rPr>
          <w:rStyle w:val="a"/>
          <w:rFonts w:ascii="Times New Roman" w:hAnsi="Times New Roman"/>
          <w:i/>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w:t>
      </w:r>
    </w:p>
    <w:p w14:paraId="42C90A97" w14:textId="77777777" w:rsidR="00AA0B11" w:rsidRPr="0015716C" w:rsidRDefault="00AA0B11" w:rsidP="00AA0B11">
      <w:pPr>
        <w:tabs>
          <w:tab w:val="left" w:pos="-720"/>
          <w:tab w:val="left" w:pos="1247"/>
        </w:tabs>
        <w:suppressAutoHyphens/>
        <w:ind w:left="1080"/>
        <w:rPr>
          <w:rStyle w:val="a"/>
          <w:rFonts w:ascii="Times New Roman" w:hAnsi="Times New Roman"/>
          <w:i/>
          <w:sz w:val="22"/>
          <w:szCs w:val="22"/>
        </w:rPr>
      </w:pPr>
    </w:p>
    <w:p w14:paraId="35A82563" w14:textId="77777777" w:rsidR="008A7414" w:rsidRPr="0015716C" w:rsidRDefault="008A7414" w:rsidP="008A7414">
      <w:pPr>
        <w:numPr>
          <w:ilvl w:val="0"/>
          <w:numId w:val="23"/>
        </w:numPr>
        <w:tabs>
          <w:tab w:val="left" w:pos="-720"/>
          <w:tab w:val="left" w:pos="1247"/>
        </w:tabs>
        <w:suppressAutoHyphens/>
        <w:rPr>
          <w:rStyle w:val="a"/>
          <w:rFonts w:ascii="Times New Roman" w:hAnsi="Times New Roman"/>
          <w:i/>
          <w:sz w:val="22"/>
          <w:szCs w:val="22"/>
        </w:rPr>
      </w:pPr>
      <w:r w:rsidRPr="0015716C">
        <w:rPr>
          <w:rStyle w:val="a"/>
          <w:rFonts w:ascii="Times New Roman" w:hAnsi="Times New Roman"/>
          <w:i/>
          <w:sz w:val="22"/>
          <w:szCs w:val="22"/>
        </w:rPr>
        <w:t>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EAF1B56" w14:textId="77777777" w:rsidR="008A7414" w:rsidRPr="0015716C" w:rsidRDefault="008A7414" w:rsidP="008A7414">
      <w:pPr>
        <w:tabs>
          <w:tab w:val="left" w:pos="-720"/>
          <w:tab w:val="left" w:pos="1247"/>
        </w:tabs>
        <w:suppressAutoHyphens/>
        <w:ind w:left="700"/>
        <w:rPr>
          <w:rStyle w:val="a"/>
          <w:rFonts w:ascii="Times New Roman" w:hAnsi="Times New Roman"/>
          <w:i/>
          <w:sz w:val="22"/>
          <w:szCs w:val="22"/>
        </w:rPr>
      </w:pPr>
    </w:p>
    <w:p w14:paraId="6EB879F2" w14:textId="77777777" w:rsidR="008A7414" w:rsidRPr="0015716C" w:rsidRDefault="008A7414" w:rsidP="008A7414">
      <w:pPr>
        <w:numPr>
          <w:ilvl w:val="0"/>
          <w:numId w:val="23"/>
        </w:numPr>
        <w:tabs>
          <w:tab w:val="left" w:pos="-720"/>
          <w:tab w:val="left" w:pos="1247"/>
        </w:tabs>
        <w:suppressAutoHyphens/>
        <w:rPr>
          <w:rStyle w:val="a"/>
          <w:rFonts w:ascii="Times New Roman" w:hAnsi="Times New Roman"/>
          <w:i/>
          <w:sz w:val="22"/>
          <w:szCs w:val="22"/>
        </w:rPr>
      </w:pPr>
      <w:r w:rsidRPr="0015716C">
        <w:rPr>
          <w:rStyle w:val="a"/>
          <w:rFonts w:ascii="Times New Roman" w:hAnsi="Times New Roman"/>
          <w:i/>
          <w:sz w:val="22"/>
          <w:szCs w:val="22"/>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362B3299" w14:textId="77777777" w:rsidR="008A7414" w:rsidRPr="0015716C" w:rsidRDefault="008A7414" w:rsidP="008A7414">
      <w:pPr>
        <w:tabs>
          <w:tab w:val="left" w:pos="-720"/>
          <w:tab w:val="left" w:pos="1247"/>
        </w:tabs>
        <w:suppressAutoHyphens/>
        <w:ind w:left="700"/>
        <w:rPr>
          <w:rStyle w:val="a"/>
          <w:rFonts w:ascii="Times New Roman" w:hAnsi="Times New Roman"/>
          <w:i/>
          <w:sz w:val="22"/>
          <w:szCs w:val="22"/>
        </w:rPr>
      </w:pPr>
    </w:p>
    <w:p w14:paraId="3240F0D3" w14:textId="77777777" w:rsidR="008A7414" w:rsidRPr="0015716C" w:rsidRDefault="008A7414" w:rsidP="008A7414">
      <w:pPr>
        <w:numPr>
          <w:ilvl w:val="0"/>
          <w:numId w:val="23"/>
        </w:numPr>
        <w:tabs>
          <w:tab w:val="left" w:pos="-720"/>
          <w:tab w:val="left" w:pos="1247"/>
        </w:tabs>
        <w:suppressAutoHyphens/>
        <w:rPr>
          <w:rStyle w:val="a"/>
          <w:rFonts w:ascii="Times New Roman" w:hAnsi="Times New Roman"/>
          <w:i/>
          <w:sz w:val="22"/>
          <w:szCs w:val="22"/>
        </w:rPr>
      </w:pPr>
      <w:r w:rsidRPr="0015716C">
        <w:rPr>
          <w:rStyle w:val="a"/>
          <w:rFonts w:ascii="Times New Roman" w:hAnsi="Times New Roman"/>
          <w:i/>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0638EF2" w14:textId="77777777" w:rsidR="00F02590" w:rsidRPr="0015716C" w:rsidRDefault="00F02590" w:rsidP="000172C7">
      <w:pPr>
        <w:ind w:left="1350"/>
        <w:rPr>
          <w:rFonts w:ascii="Times New Roman" w:hAnsi="Times New Roman"/>
          <w:sz w:val="22"/>
          <w:szCs w:val="22"/>
        </w:rPr>
      </w:pPr>
    </w:p>
    <w:p w14:paraId="066F878D" w14:textId="48D8555C" w:rsidR="00FC58BA" w:rsidRPr="0015716C" w:rsidRDefault="00273B17" w:rsidP="00C377B6">
      <w:pPr>
        <w:rPr>
          <w:rFonts w:ascii="Times New Roman" w:hAnsi="Times New Roman"/>
          <w:sz w:val="22"/>
          <w:szCs w:val="22"/>
        </w:rPr>
      </w:pPr>
      <w:r w:rsidRPr="0015716C">
        <w:rPr>
          <w:rFonts w:ascii="Times New Roman" w:hAnsi="Times New Roman"/>
          <w:sz w:val="22"/>
          <w:szCs w:val="22"/>
        </w:rPr>
        <w:t>The e</w:t>
      </w:r>
      <w:r w:rsidR="009E5367" w:rsidRPr="0015716C">
        <w:rPr>
          <w:rFonts w:ascii="Times New Roman" w:hAnsi="Times New Roman"/>
          <w:sz w:val="22"/>
          <w:szCs w:val="22"/>
        </w:rPr>
        <w:t>stimated burden hour</w:t>
      </w:r>
      <w:r w:rsidR="00F17D11" w:rsidRPr="0015716C">
        <w:rPr>
          <w:rFonts w:ascii="Times New Roman" w:hAnsi="Times New Roman"/>
          <w:sz w:val="22"/>
          <w:szCs w:val="22"/>
        </w:rPr>
        <w:t>s</w:t>
      </w:r>
      <w:r w:rsidR="00FC58BA" w:rsidRPr="0015716C">
        <w:rPr>
          <w:rFonts w:ascii="Times New Roman" w:hAnsi="Times New Roman"/>
          <w:sz w:val="22"/>
          <w:szCs w:val="22"/>
        </w:rPr>
        <w:t xml:space="preserve"> for this collection </w:t>
      </w:r>
      <w:r w:rsidR="00F17D11" w:rsidRPr="0015716C">
        <w:rPr>
          <w:rFonts w:ascii="Times New Roman" w:hAnsi="Times New Roman"/>
          <w:sz w:val="22"/>
          <w:szCs w:val="22"/>
        </w:rPr>
        <w:t>are</w:t>
      </w:r>
      <w:r w:rsidR="00FC58BA" w:rsidRPr="0015716C">
        <w:rPr>
          <w:rFonts w:ascii="Times New Roman" w:hAnsi="Times New Roman"/>
          <w:sz w:val="22"/>
          <w:szCs w:val="22"/>
        </w:rPr>
        <w:t xml:space="preserve"> </w:t>
      </w:r>
      <w:r w:rsidR="00F02590" w:rsidRPr="0015716C">
        <w:rPr>
          <w:rFonts w:ascii="Times New Roman" w:hAnsi="Times New Roman"/>
          <w:sz w:val="22"/>
          <w:szCs w:val="22"/>
        </w:rPr>
        <w:t>11</w:t>
      </w:r>
      <w:r w:rsidR="00FC58BA" w:rsidRPr="0015716C">
        <w:rPr>
          <w:rFonts w:ascii="Times New Roman" w:hAnsi="Times New Roman"/>
          <w:sz w:val="22"/>
          <w:szCs w:val="22"/>
        </w:rPr>
        <w:t xml:space="preserve"> hours.  We estimate approximately </w:t>
      </w:r>
      <w:r w:rsidR="000172C7" w:rsidRPr="0015716C">
        <w:rPr>
          <w:rFonts w:ascii="Times New Roman" w:hAnsi="Times New Roman"/>
          <w:sz w:val="22"/>
          <w:szCs w:val="22"/>
        </w:rPr>
        <w:t>1</w:t>
      </w:r>
      <w:r w:rsidR="00931846" w:rsidRPr="0015716C">
        <w:rPr>
          <w:rFonts w:ascii="Times New Roman" w:hAnsi="Times New Roman"/>
          <w:sz w:val="22"/>
          <w:szCs w:val="22"/>
        </w:rPr>
        <w:t>87</w:t>
      </w:r>
      <w:r w:rsidR="00FC58BA" w:rsidRPr="0015716C">
        <w:rPr>
          <w:rFonts w:ascii="Times New Roman" w:hAnsi="Times New Roman"/>
          <w:sz w:val="22"/>
          <w:szCs w:val="22"/>
        </w:rPr>
        <w:t xml:space="preserve"> respondents x 1 report each. </w:t>
      </w:r>
    </w:p>
    <w:p w14:paraId="7FAFD116" w14:textId="77777777" w:rsidR="00FF3171" w:rsidRPr="0015716C" w:rsidRDefault="00FF3171" w:rsidP="00273B17">
      <w:pPr>
        <w:ind w:left="1260"/>
        <w:rPr>
          <w:rFonts w:ascii="Times New Roman" w:hAnsi="Times New Roman"/>
          <w:sz w:val="22"/>
          <w:szCs w:val="22"/>
        </w:rPr>
      </w:pPr>
    </w:p>
    <w:tbl>
      <w:tblPr>
        <w:tblStyle w:val="TableGrid"/>
        <w:tblpPr w:leftFromText="180" w:rightFromText="180" w:vertAnchor="text" w:horzAnchor="margin" w:tblpXSpec="center" w:tblpY="101"/>
        <w:tblOverlap w:val="never"/>
        <w:tblW w:w="0" w:type="auto"/>
        <w:tblLook w:val="04A0" w:firstRow="1" w:lastRow="0" w:firstColumn="1" w:lastColumn="0" w:noHBand="0" w:noVBand="1"/>
      </w:tblPr>
      <w:tblGrid>
        <w:gridCol w:w="2466"/>
        <w:gridCol w:w="815"/>
        <w:gridCol w:w="1980"/>
        <w:gridCol w:w="1350"/>
      </w:tblGrid>
      <w:tr w:rsidR="00E62CD8" w:rsidRPr="0015716C" w14:paraId="57240BF6" w14:textId="77777777" w:rsidTr="00931846">
        <w:tc>
          <w:tcPr>
            <w:tcW w:w="6611" w:type="dxa"/>
            <w:gridSpan w:val="4"/>
            <w:shd w:val="clear" w:color="auto" w:fill="7030A0"/>
          </w:tcPr>
          <w:p w14:paraId="16F52F4B" w14:textId="77777777" w:rsidR="008E5940" w:rsidRPr="0015716C" w:rsidRDefault="008E5940" w:rsidP="00931846">
            <w:pPr>
              <w:jc w:val="center"/>
              <w:rPr>
                <w:rFonts w:ascii="Times New Roman" w:hAnsi="Times New Roman"/>
                <w:b/>
                <w:color w:val="FFFFFF" w:themeColor="background1"/>
                <w:sz w:val="22"/>
                <w:szCs w:val="22"/>
              </w:rPr>
            </w:pPr>
            <w:r w:rsidRPr="0015716C">
              <w:rPr>
                <w:rFonts w:ascii="Times New Roman" w:hAnsi="Times New Roman"/>
                <w:b/>
                <w:color w:val="FFFFFF" w:themeColor="background1"/>
                <w:sz w:val="22"/>
                <w:szCs w:val="22"/>
              </w:rPr>
              <w:t>Estimated Burden Hours</w:t>
            </w:r>
          </w:p>
        </w:tc>
      </w:tr>
      <w:tr w:rsidR="00273B17" w:rsidRPr="0015716C" w14:paraId="5B46E01F" w14:textId="77777777" w:rsidTr="00931846">
        <w:tc>
          <w:tcPr>
            <w:tcW w:w="2466" w:type="dxa"/>
            <w:shd w:val="clear" w:color="auto" w:fill="auto"/>
          </w:tcPr>
          <w:p w14:paraId="1CEBD3A8" w14:textId="77777777" w:rsidR="004C6E57" w:rsidRPr="00E17878" w:rsidRDefault="004C6E57" w:rsidP="00931846">
            <w:pPr>
              <w:jc w:val="center"/>
              <w:rPr>
                <w:rFonts w:ascii="Times New Roman" w:hAnsi="Times New Roman"/>
                <w:b/>
                <w:sz w:val="22"/>
                <w:szCs w:val="22"/>
              </w:rPr>
            </w:pPr>
          </w:p>
          <w:p w14:paraId="1E238E1A" w14:textId="77777777" w:rsidR="00273B17" w:rsidRPr="0015716C" w:rsidRDefault="004C6E57" w:rsidP="00931846">
            <w:pPr>
              <w:rPr>
                <w:rFonts w:ascii="Times New Roman" w:hAnsi="Times New Roman"/>
                <w:b/>
                <w:sz w:val="22"/>
                <w:szCs w:val="22"/>
              </w:rPr>
            </w:pPr>
            <w:r w:rsidRPr="008F6483">
              <w:rPr>
                <w:rFonts w:ascii="Times New Roman" w:hAnsi="Times New Roman"/>
                <w:b/>
                <w:sz w:val="22"/>
                <w:szCs w:val="22"/>
              </w:rPr>
              <w:t>Estimate</w:t>
            </w:r>
          </w:p>
        </w:tc>
        <w:tc>
          <w:tcPr>
            <w:tcW w:w="815" w:type="dxa"/>
            <w:shd w:val="clear" w:color="auto" w:fill="auto"/>
          </w:tcPr>
          <w:p w14:paraId="550F4C84" w14:textId="77777777" w:rsidR="00273B17" w:rsidRPr="0015716C" w:rsidRDefault="00273B17" w:rsidP="00931846">
            <w:pPr>
              <w:jc w:val="center"/>
              <w:rPr>
                <w:rFonts w:ascii="Times New Roman" w:hAnsi="Times New Roman"/>
                <w:b/>
                <w:sz w:val="22"/>
                <w:szCs w:val="22"/>
              </w:rPr>
            </w:pPr>
            <w:r w:rsidRPr="0015716C">
              <w:rPr>
                <w:rFonts w:ascii="Times New Roman" w:hAnsi="Times New Roman"/>
                <w:b/>
                <w:sz w:val="22"/>
                <w:szCs w:val="22"/>
              </w:rPr>
              <w:t xml:space="preserve">Public </w:t>
            </w:r>
            <w:r w:rsidR="009900DD" w:rsidRPr="0015716C">
              <w:rPr>
                <w:rFonts w:ascii="Times New Roman" w:hAnsi="Times New Roman"/>
                <w:b/>
                <w:sz w:val="22"/>
                <w:szCs w:val="22"/>
              </w:rPr>
              <w:t>Sector</w:t>
            </w:r>
          </w:p>
        </w:tc>
        <w:tc>
          <w:tcPr>
            <w:tcW w:w="1980" w:type="dxa"/>
            <w:shd w:val="clear" w:color="auto" w:fill="auto"/>
          </w:tcPr>
          <w:p w14:paraId="46F75253" w14:textId="77777777" w:rsidR="00273B17" w:rsidRPr="0015716C" w:rsidRDefault="00273B17" w:rsidP="00931846">
            <w:pPr>
              <w:jc w:val="center"/>
              <w:rPr>
                <w:rFonts w:ascii="Times New Roman" w:hAnsi="Times New Roman"/>
                <w:b/>
                <w:sz w:val="22"/>
                <w:szCs w:val="22"/>
              </w:rPr>
            </w:pPr>
            <w:r w:rsidRPr="0015716C">
              <w:rPr>
                <w:rFonts w:ascii="Times New Roman" w:hAnsi="Times New Roman"/>
                <w:b/>
                <w:sz w:val="22"/>
                <w:szCs w:val="22"/>
              </w:rPr>
              <w:t xml:space="preserve">Private, Non-profit </w:t>
            </w:r>
            <w:r w:rsidR="009900DD" w:rsidRPr="0015716C">
              <w:rPr>
                <w:rFonts w:ascii="Times New Roman" w:hAnsi="Times New Roman"/>
                <w:b/>
                <w:sz w:val="22"/>
                <w:szCs w:val="22"/>
              </w:rPr>
              <w:t>Sector</w:t>
            </w:r>
          </w:p>
        </w:tc>
        <w:tc>
          <w:tcPr>
            <w:tcW w:w="1350" w:type="dxa"/>
            <w:shd w:val="clear" w:color="auto" w:fill="auto"/>
          </w:tcPr>
          <w:p w14:paraId="191E02FC" w14:textId="77777777" w:rsidR="00273B17" w:rsidRPr="0015716C" w:rsidRDefault="00273B17" w:rsidP="00931846">
            <w:pPr>
              <w:jc w:val="center"/>
              <w:rPr>
                <w:rFonts w:ascii="Times New Roman" w:hAnsi="Times New Roman"/>
                <w:b/>
                <w:sz w:val="22"/>
                <w:szCs w:val="22"/>
              </w:rPr>
            </w:pPr>
          </w:p>
          <w:p w14:paraId="2F65464E" w14:textId="77777777" w:rsidR="00273B17" w:rsidRPr="0015716C" w:rsidRDefault="00273B17" w:rsidP="00931846">
            <w:pPr>
              <w:jc w:val="center"/>
              <w:rPr>
                <w:rFonts w:ascii="Times New Roman" w:hAnsi="Times New Roman"/>
                <w:b/>
                <w:sz w:val="22"/>
                <w:szCs w:val="22"/>
              </w:rPr>
            </w:pPr>
            <w:r w:rsidRPr="0015716C">
              <w:rPr>
                <w:rFonts w:ascii="Times New Roman" w:hAnsi="Times New Roman"/>
                <w:b/>
                <w:sz w:val="22"/>
                <w:szCs w:val="22"/>
              </w:rPr>
              <w:t>Total</w:t>
            </w:r>
          </w:p>
        </w:tc>
      </w:tr>
      <w:tr w:rsidR="00273B17" w:rsidRPr="0015716C" w14:paraId="4FACDDB2" w14:textId="77777777" w:rsidTr="00931846">
        <w:tc>
          <w:tcPr>
            <w:tcW w:w="2466" w:type="dxa"/>
          </w:tcPr>
          <w:p w14:paraId="4910F188" w14:textId="77777777" w:rsidR="00273B17" w:rsidRPr="00E17878" w:rsidRDefault="00273B17" w:rsidP="00931846">
            <w:pPr>
              <w:rPr>
                <w:rFonts w:ascii="Times New Roman" w:hAnsi="Times New Roman"/>
                <w:sz w:val="22"/>
                <w:szCs w:val="22"/>
              </w:rPr>
            </w:pPr>
            <w:r w:rsidRPr="00E17878">
              <w:rPr>
                <w:rFonts w:ascii="Times New Roman" w:hAnsi="Times New Roman"/>
                <w:sz w:val="22"/>
                <w:szCs w:val="22"/>
              </w:rPr>
              <w:t>Estimated number of respondents</w:t>
            </w:r>
          </w:p>
        </w:tc>
        <w:tc>
          <w:tcPr>
            <w:tcW w:w="815" w:type="dxa"/>
            <w:vAlign w:val="bottom"/>
          </w:tcPr>
          <w:p w14:paraId="2A0EDA4E" w14:textId="77777777" w:rsidR="00273B17" w:rsidRPr="0015716C" w:rsidRDefault="00523E3C" w:rsidP="00931846">
            <w:pPr>
              <w:jc w:val="center"/>
              <w:rPr>
                <w:rFonts w:ascii="Times New Roman" w:hAnsi="Times New Roman"/>
                <w:sz w:val="22"/>
                <w:szCs w:val="22"/>
              </w:rPr>
            </w:pPr>
            <w:r w:rsidRPr="008F6483">
              <w:rPr>
                <w:rFonts w:ascii="Times New Roman" w:hAnsi="Times New Roman"/>
                <w:sz w:val="22"/>
                <w:szCs w:val="22"/>
              </w:rPr>
              <w:t>11</w:t>
            </w:r>
            <w:r w:rsidR="006A44FA" w:rsidRPr="0015716C">
              <w:rPr>
                <w:rFonts w:ascii="Times New Roman" w:hAnsi="Times New Roman"/>
                <w:sz w:val="22"/>
                <w:szCs w:val="22"/>
              </w:rPr>
              <w:t>5</w:t>
            </w:r>
          </w:p>
        </w:tc>
        <w:tc>
          <w:tcPr>
            <w:tcW w:w="1980" w:type="dxa"/>
            <w:vAlign w:val="bottom"/>
          </w:tcPr>
          <w:p w14:paraId="16D9AB65" w14:textId="4F6D9153" w:rsidR="00273B17" w:rsidRPr="0015716C" w:rsidRDefault="00B22862" w:rsidP="00931846">
            <w:pPr>
              <w:jc w:val="center"/>
              <w:rPr>
                <w:rFonts w:ascii="Times New Roman" w:hAnsi="Times New Roman"/>
                <w:sz w:val="22"/>
                <w:szCs w:val="22"/>
              </w:rPr>
            </w:pPr>
            <w:r w:rsidRPr="0015716C">
              <w:rPr>
                <w:rFonts w:ascii="Times New Roman" w:hAnsi="Times New Roman"/>
                <w:sz w:val="22"/>
                <w:szCs w:val="22"/>
              </w:rPr>
              <w:t>72</w:t>
            </w:r>
          </w:p>
        </w:tc>
        <w:tc>
          <w:tcPr>
            <w:tcW w:w="1350" w:type="dxa"/>
            <w:vAlign w:val="bottom"/>
          </w:tcPr>
          <w:p w14:paraId="3790F8FD" w14:textId="633AD48A" w:rsidR="00273B17" w:rsidRPr="0015716C" w:rsidRDefault="00B22862" w:rsidP="00931846">
            <w:pPr>
              <w:jc w:val="center"/>
              <w:rPr>
                <w:rFonts w:ascii="Times New Roman" w:hAnsi="Times New Roman"/>
                <w:sz w:val="22"/>
                <w:szCs w:val="22"/>
              </w:rPr>
            </w:pPr>
            <w:r w:rsidRPr="0015716C">
              <w:rPr>
                <w:rFonts w:ascii="Times New Roman" w:hAnsi="Times New Roman"/>
                <w:sz w:val="22"/>
                <w:szCs w:val="22"/>
              </w:rPr>
              <w:t>187</w:t>
            </w:r>
          </w:p>
        </w:tc>
      </w:tr>
      <w:tr w:rsidR="00273B17" w:rsidRPr="0015716C" w14:paraId="08A73153" w14:textId="77777777" w:rsidTr="00931846">
        <w:tc>
          <w:tcPr>
            <w:tcW w:w="2466" w:type="dxa"/>
          </w:tcPr>
          <w:p w14:paraId="35C1E30F" w14:textId="77777777" w:rsidR="00273B17" w:rsidRPr="00E17878" w:rsidRDefault="00273B17" w:rsidP="00931846">
            <w:pPr>
              <w:rPr>
                <w:rFonts w:ascii="Times New Roman" w:hAnsi="Times New Roman"/>
                <w:sz w:val="22"/>
                <w:szCs w:val="22"/>
              </w:rPr>
            </w:pPr>
            <w:r w:rsidRPr="00E17878">
              <w:rPr>
                <w:rFonts w:ascii="Times New Roman" w:hAnsi="Times New Roman"/>
                <w:sz w:val="22"/>
                <w:szCs w:val="22"/>
              </w:rPr>
              <w:t>Estimated preparation time</w:t>
            </w:r>
          </w:p>
        </w:tc>
        <w:tc>
          <w:tcPr>
            <w:tcW w:w="815" w:type="dxa"/>
            <w:vAlign w:val="bottom"/>
          </w:tcPr>
          <w:p w14:paraId="6A3097C7" w14:textId="5DBB1088" w:rsidR="00273B17" w:rsidRPr="0015716C" w:rsidRDefault="00523E3C" w:rsidP="00931846">
            <w:pPr>
              <w:jc w:val="center"/>
              <w:rPr>
                <w:rFonts w:ascii="Times New Roman" w:hAnsi="Times New Roman"/>
                <w:sz w:val="22"/>
                <w:szCs w:val="22"/>
              </w:rPr>
            </w:pPr>
            <w:r w:rsidRPr="008F6483">
              <w:rPr>
                <w:rFonts w:ascii="Times New Roman" w:hAnsi="Times New Roman"/>
                <w:sz w:val="22"/>
                <w:szCs w:val="22"/>
              </w:rPr>
              <w:t>1</w:t>
            </w:r>
            <w:r w:rsidR="00C02A49" w:rsidRPr="0015716C">
              <w:rPr>
                <w:rFonts w:ascii="Times New Roman" w:hAnsi="Times New Roman"/>
                <w:sz w:val="22"/>
                <w:szCs w:val="22"/>
              </w:rPr>
              <w:t>1</w:t>
            </w:r>
          </w:p>
        </w:tc>
        <w:tc>
          <w:tcPr>
            <w:tcW w:w="1980" w:type="dxa"/>
            <w:vAlign w:val="bottom"/>
          </w:tcPr>
          <w:p w14:paraId="653BAB9F" w14:textId="5D846206" w:rsidR="00273B17" w:rsidRPr="0015716C" w:rsidRDefault="00523E3C" w:rsidP="00931846">
            <w:pPr>
              <w:jc w:val="center"/>
              <w:rPr>
                <w:rFonts w:ascii="Times New Roman" w:hAnsi="Times New Roman"/>
                <w:sz w:val="22"/>
                <w:szCs w:val="22"/>
              </w:rPr>
            </w:pPr>
            <w:r w:rsidRPr="0015716C">
              <w:rPr>
                <w:rFonts w:ascii="Times New Roman" w:hAnsi="Times New Roman"/>
                <w:sz w:val="22"/>
                <w:szCs w:val="22"/>
              </w:rPr>
              <w:t>11</w:t>
            </w:r>
          </w:p>
        </w:tc>
        <w:tc>
          <w:tcPr>
            <w:tcW w:w="1350" w:type="dxa"/>
            <w:vAlign w:val="bottom"/>
          </w:tcPr>
          <w:p w14:paraId="3D33D60B" w14:textId="65F30B31" w:rsidR="00273B17" w:rsidRPr="0015716C" w:rsidRDefault="00273B17" w:rsidP="00931846">
            <w:pPr>
              <w:jc w:val="center"/>
              <w:rPr>
                <w:rFonts w:ascii="Times New Roman" w:hAnsi="Times New Roman"/>
                <w:sz w:val="22"/>
                <w:szCs w:val="22"/>
              </w:rPr>
            </w:pPr>
            <w:r w:rsidRPr="0015716C">
              <w:rPr>
                <w:rFonts w:ascii="Times New Roman" w:hAnsi="Times New Roman"/>
                <w:sz w:val="22"/>
                <w:szCs w:val="22"/>
              </w:rPr>
              <w:t>11 hours</w:t>
            </w:r>
          </w:p>
        </w:tc>
      </w:tr>
      <w:tr w:rsidR="00273B17" w:rsidRPr="0015716C" w14:paraId="545A969E" w14:textId="77777777" w:rsidTr="00931846">
        <w:tc>
          <w:tcPr>
            <w:tcW w:w="2466" w:type="dxa"/>
          </w:tcPr>
          <w:p w14:paraId="111C0204" w14:textId="77777777" w:rsidR="00273B17" w:rsidRPr="00E17878" w:rsidRDefault="00273B17" w:rsidP="00931846">
            <w:pPr>
              <w:rPr>
                <w:rFonts w:ascii="Times New Roman" w:hAnsi="Times New Roman"/>
                <w:sz w:val="22"/>
                <w:szCs w:val="22"/>
              </w:rPr>
            </w:pPr>
            <w:r w:rsidRPr="00E17878">
              <w:rPr>
                <w:rFonts w:ascii="Times New Roman" w:hAnsi="Times New Roman"/>
                <w:sz w:val="22"/>
                <w:szCs w:val="22"/>
              </w:rPr>
              <w:t>Total estimated burden hours</w:t>
            </w:r>
            <w:r w:rsidRPr="00E17878">
              <w:rPr>
                <w:rFonts w:ascii="Times New Roman" w:hAnsi="Times New Roman"/>
                <w:sz w:val="22"/>
                <w:szCs w:val="22"/>
              </w:rPr>
              <w:tab/>
            </w:r>
          </w:p>
        </w:tc>
        <w:tc>
          <w:tcPr>
            <w:tcW w:w="815" w:type="dxa"/>
            <w:vAlign w:val="bottom"/>
          </w:tcPr>
          <w:p w14:paraId="7A860427" w14:textId="03691F0A" w:rsidR="00273B17" w:rsidRPr="0015716C" w:rsidRDefault="00523E3C" w:rsidP="00931846">
            <w:pPr>
              <w:jc w:val="center"/>
              <w:rPr>
                <w:rFonts w:ascii="Times New Roman" w:hAnsi="Times New Roman"/>
                <w:sz w:val="22"/>
                <w:szCs w:val="22"/>
              </w:rPr>
            </w:pPr>
            <w:r w:rsidRPr="008F6483">
              <w:rPr>
                <w:rFonts w:ascii="Times New Roman" w:hAnsi="Times New Roman"/>
                <w:sz w:val="22"/>
                <w:szCs w:val="22"/>
              </w:rPr>
              <w:t>1,</w:t>
            </w:r>
            <w:r w:rsidR="00C74E10" w:rsidRPr="0015716C">
              <w:rPr>
                <w:rFonts w:ascii="Times New Roman" w:hAnsi="Times New Roman"/>
                <w:sz w:val="22"/>
                <w:szCs w:val="22"/>
              </w:rPr>
              <w:t>265</w:t>
            </w:r>
          </w:p>
        </w:tc>
        <w:tc>
          <w:tcPr>
            <w:tcW w:w="1980" w:type="dxa"/>
            <w:vAlign w:val="bottom"/>
          </w:tcPr>
          <w:p w14:paraId="025A4EEC" w14:textId="7496043C" w:rsidR="00273B17" w:rsidRPr="0015716C" w:rsidRDefault="00FC636F" w:rsidP="00931846">
            <w:pPr>
              <w:jc w:val="center"/>
              <w:rPr>
                <w:rFonts w:ascii="Times New Roman" w:hAnsi="Times New Roman"/>
                <w:sz w:val="22"/>
                <w:szCs w:val="22"/>
              </w:rPr>
            </w:pPr>
            <w:r w:rsidRPr="0015716C">
              <w:rPr>
                <w:rFonts w:ascii="Times New Roman" w:hAnsi="Times New Roman"/>
                <w:sz w:val="22"/>
                <w:szCs w:val="22"/>
              </w:rPr>
              <w:t>792</w:t>
            </w:r>
          </w:p>
        </w:tc>
        <w:tc>
          <w:tcPr>
            <w:tcW w:w="1350" w:type="dxa"/>
            <w:vAlign w:val="bottom"/>
          </w:tcPr>
          <w:p w14:paraId="5D9265DC" w14:textId="05F21F2B" w:rsidR="00273B17" w:rsidRPr="0015716C" w:rsidRDefault="00FC636F" w:rsidP="00931846">
            <w:pPr>
              <w:jc w:val="center"/>
              <w:rPr>
                <w:rFonts w:ascii="Times New Roman" w:hAnsi="Times New Roman"/>
                <w:sz w:val="22"/>
                <w:szCs w:val="22"/>
              </w:rPr>
            </w:pPr>
            <w:r w:rsidRPr="0015716C">
              <w:rPr>
                <w:rFonts w:ascii="Times New Roman" w:hAnsi="Times New Roman"/>
                <w:sz w:val="22"/>
                <w:szCs w:val="22"/>
              </w:rPr>
              <w:t>2,057</w:t>
            </w:r>
          </w:p>
        </w:tc>
      </w:tr>
    </w:tbl>
    <w:p w14:paraId="2BA14A4C" w14:textId="77777777" w:rsidR="00506AA5" w:rsidRPr="00E17878" w:rsidRDefault="00506AA5" w:rsidP="009E5367">
      <w:pPr>
        <w:ind w:left="1260"/>
        <w:rPr>
          <w:rFonts w:ascii="Times New Roman" w:hAnsi="Times New Roman"/>
          <w:sz w:val="22"/>
          <w:szCs w:val="22"/>
        </w:rPr>
      </w:pPr>
    </w:p>
    <w:p w14:paraId="141794CB" w14:textId="77777777" w:rsidR="00506AA5" w:rsidRPr="008F6483" w:rsidRDefault="00506AA5" w:rsidP="00506AA5">
      <w:pPr>
        <w:rPr>
          <w:rFonts w:ascii="Times New Roman" w:hAnsi="Times New Roman"/>
          <w:sz w:val="22"/>
          <w:szCs w:val="22"/>
        </w:rPr>
      </w:pPr>
    </w:p>
    <w:p w14:paraId="7C20A7DE" w14:textId="77777777" w:rsidR="00506AA5" w:rsidRPr="0015716C" w:rsidRDefault="00506AA5" w:rsidP="009E5367">
      <w:pPr>
        <w:ind w:left="1260"/>
        <w:rPr>
          <w:rFonts w:ascii="Times New Roman" w:hAnsi="Times New Roman"/>
          <w:sz w:val="22"/>
          <w:szCs w:val="22"/>
        </w:rPr>
      </w:pPr>
    </w:p>
    <w:p w14:paraId="1884D38E" w14:textId="77777777" w:rsidR="00B56BB5" w:rsidRDefault="00506AA5" w:rsidP="009E5367">
      <w:pPr>
        <w:ind w:left="1260"/>
        <w:rPr>
          <w:rFonts w:ascii="Times New Roman" w:hAnsi="Times New Roman"/>
          <w:sz w:val="22"/>
          <w:szCs w:val="22"/>
        </w:rPr>
      </w:pPr>
      <w:r w:rsidRPr="0015716C">
        <w:rPr>
          <w:rFonts w:ascii="Times New Roman" w:hAnsi="Times New Roman"/>
          <w:sz w:val="22"/>
          <w:szCs w:val="22"/>
        </w:rPr>
        <w:br w:type="textWrapping" w:clear="all"/>
      </w:r>
    </w:p>
    <w:p w14:paraId="3251193F" w14:textId="0FCE8C64" w:rsidR="009E5367" w:rsidRPr="008F6483" w:rsidRDefault="00FC58BA" w:rsidP="009E5367">
      <w:pPr>
        <w:ind w:left="1260"/>
        <w:rPr>
          <w:rFonts w:ascii="Times New Roman" w:hAnsi="Times New Roman"/>
          <w:sz w:val="22"/>
          <w:szCs w:val="22"/>
        </w:rPr>
      </w:pPr>
      <w:r w:rsidRPr="00E17878">
        <w:rPr>
          <w:rFonts w:ascii="Times New Roman" w:hAnsi="Times New Roman"/>
          <w:sz w:val="22"/>
          <w:szCs w:val="22"/>
        </w:rPr>
        <w:t xml:space="preserve">Estimated Burden: </w:t>
      </w:r>
      <w:r w:rsidR="00561E94" w:rsidRPr="00E17878">
        <w:rPr>
          <w:rFonts w:ascii="Times New Roman" w:hAnsi="Times New Roman"/>
          <w:sz w:val="22"/>
          <w:szCs w:val="22"/>
        </w:rPr>
        <w:t>11</w:t>
      </w:r>
      <w:r w:rsidR="00FF3171" w:rsidRPr="00E17878">
        <w:rPr>
          <w:rFonts w:ascii="Times New Roman" w:hAnsi="Times New Roman"/>
          <w:sz w:val="22"/>
          <w:szCs w:val="22"/>
        </w:rPr>
        <w:t xml:space="preserve"> hours</w:t>
      </w:r>
      <w:r w:rsidR="009E5367" w:rsidRPr="00E17878">
        <w:rPr>
          <w:rFonts w:ascii="Times New Roman" w:hAnsi="Times New Roman"/>
          <w:sz w:val="22"/>
          <w:szCs w:val="22"/>
        </w:rPr>
        <w:t xml:space="preserve"> </w:t>
      </w:r>
      <w:r w:rsidR="00FF3360">
        <w:rPr>
          <w:rFonts w:ascii="Times New Roman" w:hAnsi="Times New Roman"/>
          <w:sz w:val="22"/>
          <w:szCs w:val="22"/>
        </w:rPr>
        <w:t>per respondent</w:t>
      </w:r>
      <w:r w:rsidR="009E5367" w:rsidRPr="00E17878">
        <w:rPr>
          <w:rFonts w:ascii="Times New Roman" w:hAnsi="Times New Roman"/>
          <w:sz w:val="22"/>
          <w:szCs w:val="22"/>
        </w:rPr>
        <w:t xml:space="preserve">—Number </w:t>
      </w:r>
      <w:r w:rsidRPr="00E17878">
        <w:rPr>
          <w:rFonts w:ascii="Times New Roman" w:hAnsi="Times New Roman"/>
          <w:sz w:val="22"/>
          <w:szCs w:val="22"/>
        </w:rPr>
        <w:t xml:space="preserve">of hours [preparation time] divided </w:t>
      </w:r>
    </w:p>
    <w:p w14:paraId="6C42444D" w14:textId="77777777" w:rsidR="00FC58BA" w:rsidRPr="0015716C" w:rsidRDefault="00FC58BA" w:rsidP="009E5367">
      <w:pPr>
        <w:ind w:left="1260"/>
        <w:rPr>
          <w:rFonts w:ascii="Times New Roman" w:hAnsi="Times New Roman"/>
          <w:sz w:val="22"/>
          <w:szCs w:val="22"/>
        </w:rPr>
      </w:pPr>
      <w:r w:rsidRPr="0015716C">
        <w:rPr>
          <w:rFonts w:ascii="Times New Roman" w:hAnsi="Times New Roman"/>
          <w:sz w:val="22"/>
          <w:szCs w:val="22"/>
        </w:rPr>
        <w:t xml:space="preserve">by the total number of respondents equals estimated burden hours.  </w:t>
      </w:r>
    </w:p>
    <w:p w14:paraId="45432393" w14:textId="77777777" w:rsidR="0062702F" w:rsidRPr="0015716C" w:rsidRDefault="0062702F" w:rsidP="00633DD4">
      <w:pPr>
        <w:rPr>
          <w:rFonts w:ascii="Times New Roman" w:hAnsi="Times New Roman"/>
          <w:sz w:val="22"/>
          <w:szCs w:val="22"/>
        </w:rPr>
      </w:pPr>
    </w:p>
    <w:p w14:paraId="3BB8A3EE" w14:textId="77777777" w:rsidR="0062702F" w:rsidRPr="0015716C" w:rsidRDefault="0062702F" w:rsidP="00C377B6">
      <w:pPr>
        <w:rPr>
          <w:rFonts w:ascii="Times New Roman" w:hAnsi="Times New Roman"/>
          <w:sz w:val="22"/>
          <w:szCs w:val="22"/>
        </w:rPr>
      </w:pPr>
      <w:r w:rsidRPr="0015716C">
        <w:rPr>
          <w:rFonts w:ascii="Times New Roman" w:hAnsi="Times New Roman"/>
          <w:sz w:val="22"/>
          <w:szCs w:val="22"/>
        </w:rPr>
        <w:t>The burden hours allotted for recordkeeping and reporting burden includes activities related to the update and review of data, responses to inconsistencies in the data reported, and data entry into the web portal.</w:t>
      </w:r>
    </w:p>
    <w:p w14:paraId="3575C005" w14:textId="77777777" w:rsidR="0062702F" w:rsidRPr="0015716C" w:rsidRDefault="0062702F" w:rsidP="0062702F">
      <w:pPr>
        <w:ind w:left="360"/>
        <w:rPr>
          <w:rFonts w:ascii="Times New Roman" w:hAnsi="Times New Roman"/>
          <w:sz w:val="22"/>
          <w:szCs w:val="22"/>
        </w:rPr>
      </w:pPr>
    </w:p>
    <w:p w14:paraId="01546280" w14:textId="77777777" w:rsidR="00FC58BA" w:rsidRPr="0015716C" w:rsidRDefault="00FC58BA" w:rsidP="00C377B6">
      <w:pPr>
        <w:rPr>
          <w:rFonts w:ascii="Times New Roman" w:hAnsi="Times New Roman"/>
          <w:sz w:val="22"/>
          <w:szCs w:val="22"/>
        </w:rPr>
      </w:pPr>
      <w:r w:rsidRPr="0015716C">
        <w:rPr>
          <w:rFonts w:ascii="Times New Roman" w:hAnsi="Times New Roman"/>
          <w:sz w:val="22"/>
          <w:szCs w:val="22"/>
        </w:rPr>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14:paraId="1D538472" w14:textId="77777777" w:rsidR="00C377B6" w:rsidRPr="0015716C" w:rsidRDefault="00C377B6" w:rsidP="00FC58BA">
      <w:pPr>
        <w:ind w:left="720"/>
        <w:rPr>
          <w:rFonts w:ascii="Times New Roman" w:hAnsi="Times New Roman"/>
          <w:sz w:val="22"/>
          <w:szCs w:val="22"/>
        </w:rPr>
      </w:pPr>
    </w:p>
    <w:p w14:paraId="280CC8E2" w14:textId="696CA7F0" w:rsidR="00377C60" w:rsidRPr="0015716C" w:rsidRDefault="00377C60" w:rsidP="00FC58BA">
      <w:pPr>
        <w:ind w:left="720"/>
        <w:rPr>
          <w:rFonts w:ascii="Times New Roman" w:hAnsi="Times New Roman"/>
          <w:sz w:val="22"/>
          <w:szCs w:val="22"/>
        </w:rPr>
      </w:pPr>
    </w:p>
    <w:p w14:paraId="08739030" w14:textId="3E496648" w:rsidR="00931846" w:rsidRPr="0015716C" w:rsidRDefault="00931846" w:rsidP="00FC58BA">
      <w:pPr>
        <w:ind w:left="720"/>
        <w:rPr>
          <w:rFonts w:ascii="Times New Roman" w:hAnsi="Times New Roman"/>
          <w:sz w:val="22"/>
          <w:szCs w:val="22"/>
        </w:rPr>
      </w:pPr>
    </w:p>
    <w:p w14:paraId="20E5AFAD" w14:textId="26913952" w:rsidR="00931846" w:rsidRPr="0015716C" w:rsidRDefault="00931846" w:rsidP="00FC58BA">
      <w:pPr>
        <w:ind w:left="720"/>
        <w:rPr>
          <w:rFonts w:ascii="Times New Roman" w:hAnsi="Times New Roman"/>
          <w:sz w:val="22"/>
          <w:szCs w:val="22"/>
        </w:rPr>
      </w:pPr>
    </w:p>
    <w:p w14:paraId="2C50BE7B" w14:textId="77777777" w:rsidR="00931846" w:rsidRPr="0015716C" w:rsidRDefault="00931846" w:rsidP="00FC58BA">
      <w:pPr>
        <w:ind w:left="720"/>
        <w:rPr>
          <w:rFonts w:ascii="Times New Roman" w:hAnsi="Times New Roman"/>
          <w:sz w:val="22"/>
          <w:szCs w:val="22"/>
        </w:rPr>
      </w:pPr>
    </w:p>
    <w:tbl>
      <w:tblPr>
        <w:tblStyle w:val="TableGrid"/>
        <w:tblW w:w="0" w:type="auto"/>
        <w:tblInd w:w="720" w:type="dxa"/>
        <w:tblLook w:val="04A0" w:firstRow="1" w:lastRow="0" w:firstColumn="1" w:lastColumn="0" w:noHBand="0" w:noVBand="1"/>
      </w:tblPr>
      <w:tblGrid>
        <w:gridCol w:w="4878"/>
        <w:gridCol w:w="3978"/>
      </w:tblGrid>
      <w:tr w:rsidR="00E62CD8" w:rsidRPr="0015716C" w14:paraId="7F209A8A" w14:textId="77777777" w:rsidTr="00E62CD8">
        <w:tc>
          <w:tcPr>
            <w:tcW w:w="8856" w:type="dxa"/>
            <w:gridSpan w:val="2"/>
            <w:shd w:val="clear" w:color="auto" w:fill="7030A0"/>
          </w:tcPr>
          <w:p w14:paraId="0D833F50" w14:textId="77777777" w:rsidR="004C7816" w:rsidRPr="0015716C" w:rsidRDefault="004C7816" w:rsidP="004C7816">
            <w:pPr>
              <w:jc w:val="center"/>
              <w:rPr>
                <w:rFonts w:ascii="Times New Roman" w:hAnsi="Times New Roman"/>
                <w:b/>
                <w:color w:val="FFFFFF" w:themeColor="background1"/>
                <w:sz w:val="22"/>
                <w:szCs w:val="22"/>
              </w:rPr>
            </w:pPr>
            <w:r w:rsidRPr="0015716C">
              <w:rPr>
                <w:rFonts w:ascii="Times New Roman" w:hAnsi="Times New Roman"/>
                <w:b/>
                <w:color w:val="FFFFFF" w:themeColor="background1"/>
                <w:sz w:val="22"/>
                <w:szCs w:val="22"/>
              </w:rPr>
              <w:t>Estimated annual costs to respondents</w:t>
            </w:r>
          </w:p>
        </w:tc>
      </w:tr>
      <w:tr w:rsidR="004C7816" w:rsidRPr="0015716C" w14:paraId="4C32A830" w14:textId="77777777" w:rsidTr="004C7816">
        <w:tc>
          <w:tcPr>
            <w:tcW w:w="4878" w:type="dxa"/>
          </w:tcPr>
          <w:p w14:paraId="20D5AAB7" w14:textId="01ECA429" w:rsidR="004C7816" w:rsidRPr="0015716C" w:rsidRDefault="004C7816" w:rsidP="00496A7E">
            <w:pPr>
              <w:rPr>
                <w:rFonts w:ascii="Times New Roman" w:hAnsi="Times New Roman"/>
                <w:sz w:val="22"/>
                <w:szCs w:val="22"/>
              </w:rPr>
            </w:pPr>
            <w:r w:rsidRPr="00E17878">
              <w:rPr>
                <w:rFonts w:ascii="Times New Roman" w:hAnsi="Times New Roman"/>
                <w:sz w:val="22"/>
                <w:szCs w:val="22"/>
              </w:rPr>
              <w:t>Professional (</w:t>
            </w:r>
            <w:r w:rsidR="006A44FA" w:rsidRPr="00E17878">
              <w:rPr>
                <w:rFonts w:ascii="Times New Roman" w:hAnsi="Times New Roman"/>
                <w:sz w:val="22"/>
                <w:szCs w:val="22"/>
              </w:rPr>
              <w:t>1</w:t>
            </w:r>
            <w:r w:rsidR="00FC636F" w:rsidRPr="00E17878">
              <w:rPr>
                <w:rFonts w:ascii="Times New Roman" w:hAnsi="Times New Roman"/>
                <w:sz w:val="22"/>
                <w:szCs w:val="22"/>
              </w:rPr>
              <w:t>87</w:t>
            </w:r>
            <w:r w:rsidR="006A44FA" w:rsidRPr="00E17878">
              <w:rPr>
                <w:rFonts w:ascii="Times New Roman" w:hAnsi="Times New Roman"/>
                <w:sz w:val="22"/>
                <w:szCs w:val="22"/>
              </w:rPr>
              <w:t xml:space="preserve"> </w:t>
            </w:r>
            <w:r w:rsidRPr="00E17878">
              <w:rPr>
                <w:rFonts w:ascii="Times New Roman" w:hAnsi="Times New Roman"/>
                <w:sz w:val="22"/>
                <w:szCs w:val="22"/>
              </w:rPr>
              <w:t>personnel X 1</w:t>
            </w:r>
            <w:r w:rsidR="003029C3" w:rsidRPr="008F6483">
              <w:rPr>
                <w:rFonts w:ascii="Times New Roman" w:hAnsi="Times New Roman"/>
                <w:sz w:val="22"/>
                <w:szCs w:val="22"/>
              </w:rPr>
              <w:t>0</w:t>
            </w:r>
            <w:r w:rsidRPr="0015716C">
              <w:rPr>
                <w:rFonts w:ascii="Times New Roman" w:hAnsi="Times New Roman"/>
                <w:sz w:val="22"/>
                <w:szCs w:val="22"/>
              </w:rPr>
              <w:t xml:space="preserve"> hours @ $</w:t>
            </w:r>
            <w:r w:rsidR="006A44FA" w:rsidRPr="0015716C">
              <w:rPr>
                <w:rFonts w:ascii="Times New Roman" w:hAnsi="Times New Roman"/>
                <w:sz w:val="22"/>
                <w:szCs w:val="22"/>
              </w:rPr>
              <w:t xml:space="preserve">37 </w:t>
            </w:r>
            <w:r w:rsidRPr="0015716C">
              <w:rPr>
                <w:rFonts w:ascii="Times New Roman" w:hAnsi="Times New Roman"/>
                <w:sz w:val="22"/>
                <w:szCs w:val="22"/>
              </w:rPr>
              <w:t>per hour)</w:t>
            </w:r>
          </w:p>
        </w:tc>
        <w:tc>
          <w:tcPr>
            <w:tcW w:w="3978" w:type="dxa"/>
          </w:tcPr>
          <w:p w14:paraId="4002F30A" w14:textId="6E626579" w:rsidR="004C7816" w:rsidRPr="00E17878" w:rsidRDefault="00523E3C" w:rsidP="00496A7E">
            <w:pPr>
              <w:rPr>
                <w:rFonts w:ascii="Times New Roman" w:hAnsi="Times New Roman"/>
                <w:sz w:val="22"/>
                <w:szCs w:val="22"/>
                <w:highlight w:val="yellow"/>
              </w:rPr>
            </w:pPr>
            <w:r w:rsidRPr="0015716C">
              <w:rPr>
                <w:rFonts w:ascii="Times New Roman" w:hAnsi="Times New Roman"/>
                <w:sz w:val="22"/>
                <w:szCs w:val="22"/>
              </w:rPr>
              <w:t>$</w:t>
            </w:r>
            <w:r w:rsidR="00C00299">
              <w:rPr>
                <w:rFonts w:ascii="Times New Roman" w:hAnsi="Times New Roman"/>
                <w:sz w:val="22"/>
                <w:szCs w:val="22"/>
              </w:rPr>
              <w:t>69,190.00</w:t>
            </w:r>
          </w:p>
        </w:tc>
      </w:tr>
      <w:tr w:rsidR="004C7816" w:rsidRPr="0015716C" w14:paraId="23F82ADA" w14:textId="77777777" w:rsidTr="004C7816">
        <w:tc>
          <w:tcPr>
            <w:tcW w:w="4878" w:type="dxa"/>
          </w:tcPr>
          <w:p w14:paraId="4E6B264F" w14:textId="1538D99D" w:rsidR="004C7816" w:rsidRPr="0015716C" w:rsidRDefault="004C7816" w:rsidP="006A44FA">
            <w:pPr>
              <w:pStyle w:val="Heading5"/>
              <w:ind w:left="0"/>
              <w:rPr>
                <w:sz w:val="22"/>
                <w:szCs w:val="22"/>
              </w:rPr>
            </w:pPr>
            <w:r w:rsidRPr="00E17878">
              <w:rPr>
                <w:sz w:val="22"/>
                <w:szCs w:val="22"/>
              </w:rPr>
              <w:t>Clerical (</w:t>
            </w:r>
            <w:r w:rsidR="006A44FA" w:rsidRPr="00E17878">
              <w:rPr>
                <w:sz w:val="22"/>
                <w:szCs w:val="22"/>
              </w:rPr>
              <w:t>1</w:t>
            </w:r>
            <w:r w:rsidR="00B144B6" w:rsidRPr="00E17878">
              <w:rPr>
                <w:sz w:val="22"/>
                <w:szCs w:val="22"/>
              </w:rPr>
              <w:t>87</w:t>
            </w:r>
            <w:r w:rsidR="006A44FA" w:rsidRPr="00E17878">
              <w:rPr>
                <w:sz w:val="22"/>
                <w:szCs w:val="22"/>
              </w:rPr>
              <w:t xml:space="preserve"> </w:t>
            </w:r>
            <w:r w:rsidRPr="00E17878">
              <w:rPr>
                <w:sz w:val="22"/>
                <w:szCs w:val="22"/>
              </w:rPr>
              <w:t xml:space="preserve">clerical X 1 </w:t>
            </w:r>
            <w:r w:rsidRPr="008F6483">
              <w:rPr>
                <w:sz w:val="22"/>
                <w:szCs w:val="22"/>
              </w:rPr>
              <w:t>hour @ $</w:t>
            </w:r>
            <w:r w:rsidR="006A44FA" w:rsidRPr="008F6483">
              <w:rPr>
                <w:sz w:val="22"/>
                <w:szCs w:val="22"/>
              </w:rPr>
              <w:t xml:space="preserve">17 </w:t>
            </w:r>
            <w:r w:rsidRPr="0015716C">
              <w:rPr>
                <w:sz w:val="22"/>
                <w:szCs w:val="22"/>
              </w:rPr>
              <w:t>per hour)</w:t>
            </w:r>
          </w:p>
        </w:tc>
        <w:tc>
          <w:tcPr>
            <w:tcW w:w="3978" w:type="dxa"/>
          </w:tcPr>
          <w:p w14:paraId="7FA97B9D" w14:textId="667D7920" w:rsidR="004C7816" w:rsidRPr="0015716C" w:rsidRDefault="00523E3C" w:rsidP="006A44FA">
            <w:pPr>
              <w:rPr>
                <w:rFonts w:ascii="Times New Roman" w:hAnsi="Times New Roman"/>
                <w:sz w:val="22"/>
                <w:szCs w:val="22"/>
                <w:highlight w:val="yellow"/>
              </w:rPr>
            </w:pPr>
            <w:r w:rsidRPr="0015716C">
              <w:rPr>
                <w:rFonts w:ascii="Times New Roman" w:hAnsi="Times New Roman"/>
                <w:sz w:val="22"/>
                <w:szCs w:val="22"/>
              </w:rPr>
              <w:t>$</w:t>
            </w:r>
            <w:r w:rsidR="00C60EB9" w:rsidRPr="0015716C">
              <w:rPr>
                <w:rFonts w:ascii="Times New Roman" w:hAnsi="Times New Roman"/>
                <w:sz w:val="22"/>
                <w:szCs w:val="22"/>
              </w:rPr>
              <w:t>3,179</w:t>
            </w:r>
            <w:r w:rsidR="00FF4012" w:rsidRPr="0015716C">
              <w:rPr>
                <w:rFonts w:ascii="Times New Roman" w:hAnsi="Times New Roman"/>
                <w:sz w:val="22"/>
                <w:szCs w:val="22"/>
              </w:rPr>
              <w:t>.00</w:t>
            </w:r>
          </w:p>
        </w:tc>
      </w:tr>
      <w:tr w:rsidR="004C7816" w:rsidRPr="0015716C" w14:paraId="7DA3BDDC" w14:textId="77777777" w:rsidTr="004C7816">
        <w:tc>
          <w:tcPr>
            <w:tcW w:w="4878" w:type="dxa"/>
          </w:tcPr>
          <w:p w14:paraId="0290A792" w14:textId="77777777" w:rsidR="004C7816" w:rsidRPr="00E17878" w:rsidRDefault="004C7816" w:rsidP="00FC58BA">
            <w:pPr>
              <w:rPr>
                <w:rFonts w:ascii="Times New Roman" w:hAnsi="Times New Roman"/>
                <w:b/>
                <w:sz w:val="22"/>
                <w:szCs w:val="22"/>
              </w:rPr>
            </w:pPr>
            <w:r w:rsidRPr="00E17878">
              <w:rPr>
                <w:rFonts w:ascii="Times New Roman" w:hAnsi="Times New Roman"/>
                <w:b/>
                <w:sz w:val="22"/>
                <w:szCs w:val="22"/>
              </w:rPr>
              <w:t>Total estimated costs to respondents</w:t>
            </w:r>
            <w:r w:rsidRPr="00E17878">
              <w:rPr>
                <w:rFonts w:ascii="Times New Roman" w:hAnsi="Times New Roman"/>
                <w:b/>
                <w:sz w:val="22"/>
                <w:szCs w:val="22"/>
              </w:rPr>
              <w:tab/>
            </w:r>
          </w:p>
        </w:tc>
        <w:tc>
          <w:tcPr>
            <w:tcW w:w="3978" w:type="dxa"/>
          </w:tcPr>
          <w:p w14:paraId="02792C43" w14:textId="2AE8BCD6" w:rsidR="004C7816" w:rsidRPr="00E17878" w:rsidRDefault="00523E3C" w:rsidP="00496A7E">
            <w:pPr>
              <w:rPr>
                <w:rFonts w:ascii="Times New Roman" w:hAnsi="Times New Roman"/>
                <w:b/>
                <w:sz w:val="22"/>
                <w:szCs w:val="22"/>
                <w:highlight w:val="yellow"/>
              </w:rPr>
            </w:pPr>
            <w:r w:rsidRPr="008F6483">
              <w:rPr>
                <w:rFonts w:ascii="Times New Roman" w:hAnsi="Times New Roman"/>
                <w:b/>
                <w:sz w:val="22"/>
                <w:szCs w:val="22"/>
              </w:rPr>
              <w:t>$</w:t>
            </w:r>
            <w:r w:rsidR="00C00299">
              <w:rPr>
                <w:rFonts w:ascii="Times New Roman" w:hAnsi="Times New Roman"/>
                <w:b/>
                <w:sz w:val="22"/>
                <w:szCs w:val="22"/>
              </w:rPr>
              <w:t>72,369.00</w:t>
            </w:r>
          </w:p>
        </w:tc>
      </w:tr>
    </w:tbl>
    <w:p w14:paraId="0DB7A89E" w14:textId="77777777" w:rsidR="006E48CC" w:rsidRPr="0015716C" w:rsidRDefault="006E48CC" w:rsidP="00C377B6">
      <w:pPr>
        <w:tabs>
          <w:tab w:val="left" w:pos="-720"/>
        </w:tabs>
        <w:suppressAutoHyphens/>
        <w:rPr>
          <w:rFonts w:ascii="Times New Roman" w:hAnsi="Times New Roman"/>
          <w:sz w:val="22"/>
          <w:szCs w:val="22"/>
        </w:rPr>
      </w:pPr>
    </w:p>
    <w:p w14:paraId="59CC5F6F" w14:textId="77777777" w:rsidR="00C377B6" w:rsidRPr="00E17878" w:rsidRDefault="00C377B6" w:rsidP="00C377B6">
      <w:pPr>
        <w:tabs>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13.  </w:t>
      </w:r>
      <w:r w:rsidRPr="00E17878">
        <w:rPr>
          <w:rStyle w:val="a"/>
          <w:rFonts w:ascii="Times New Roman" w:hAnsi="Times New Roman"/>
          <w:i/>
          <w:sz w:val="22"/>
          <w:szCs w:val="22"/>
        </w:rPr>
        <w:t>Provide an estimate of the total annual cost burden to respondents or record keepers resulting from the collection of information.  (Do not include the cost of any hour burden shown in Items 12 and 14.)</w:t>
      </w:r>
    </w:p>
    <w:p w14:paraId="1075FB58" w14:textId="77777777" w:rsidR="00276439" w:rsidRPr="008F6483" w:rsidRDefault="00276439" w:rsidP="00C377B6">
      <w:pPr>
        <w:tabs>
          <w:tab w:val="left" w:pos="-720"/>
        </w:tabs>
        <w:suppressAutoHyphens/>
        <w:rPr>
          <w:rFonts w:ascii="Times New Roman" w:hAnsi="Times New Roman"/>
          <w:i/>
          <w:sz w:val="22"/>
          <w:szCs w:val="22"/>
        </w:rPr>
      </w:pPr>
    </w:p>
    <w:p w14:paraId="19382687" w14:textId="77777777" w:rsidR="00AA0B11" w:rsidRPr="0015716C" w:rsidRDefault="00C377B6" w:rsidP="00C377B6">
      <w:pPr>
        <w:numPr>
          <w:ilvl w:val="0"/>
          <w:numId w:val="5"/>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 xml:space="preserve">The cost estimate should be split into two components: (a) a total capital and start-up cost component (annualized over its expected useful life); and (b) a total operation and maintenance </w:t>
      </w:r>
    </w:p>
    <w:p w14:paraId="1A2ACE6E" w14:textId="77777777" w:rsidR="00AA0B11" w:rsidRPr="0015716C" w:rsidRDefault="00AA0B11" w:rsidP="00AA0B11">
      <w:pPr>
        <w:tabs>
          <w:tab w:val="left" w:pos="-720"/>
          <w:tab w:val="left" w:pos="1247"/>
        </w:tabs>
        <w:suppressAutoHyphens/>
        <w:ind w:left="700"/>
        <w:rPr>
          <w:rFonts w:ascii="Times New Roman" w:hAnsi="Times New Roman"/>
          <w:i/>
          <w:sz w:val="22"/>
          <w:szCs w:val="22"/>
        </w:rPr>
      </w:pPr>
    </w:p>
    <w:p w14:paraId="773E0D14" w14:textId="77777777" w:rsidR="00C377B6" w:rsidRPr="0015716C" w:rsidRDefault="00C377B6" w:rsidP="00C377B6">
      <w:pPr>
        <w:numPr>
          <w:ilvl w:val="0"/>
          <w:numId w:val="5"/>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2889E2C" w14:textId="77777777" w:rsidR="00C377B6" w:rsidRPr="0015716C" w:rsidRDefault="00C377B6" w:rsidP="00C377B6">
      <w:pPr>
        <w:numPr>
          <w:ilvl w:val="12"/>
          <w:numId w:val="0"/>
        </w:numPr>
        <w:tabs>
          <w:tab w:val="left" w:pos="-720"/>
        </w:tabs>
        <w:suppressAutoHyphens/>
        <w:ind w:left="340"/>
        <w:rPr>
          <w:rFonts w:ascii="Times New Roman" w:hAnsi="Times New Roman"/>
          <w:i/>
          <w:sz w:val="22"/>
          <w:szCs w:val="22"/>
        </w:rPr>
      </w:pPr>
    </w:p>
    <w:p w14:paraId="6E28B2A8" w14:textId="77777777" w:rsidR="00C377B6" w:rsidRPr="0015716C" w:rsidRDefault="00C377B6" w:rsidP="00C377B6">
      <w:pPr>
        <w:numPr>
          <w:ilvl w:val="0"/>
          <w:numId w:val="5"/>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A5ACB79" w14:textId="77777777" w:rsidR="00C377B6" w:rsidRPr="0015716C" w:rsidRDefault="00C377B6" w:rsidP="00C377B6">
      <w:pPr>
        <w:tabs>
          <w:tab w:val="left" w:pos="-720"/>
          <w:tab w:val="left" w:pos="1247"/>
        </w:tabs>
        <w:suppressAutoHyphens/>
        <w:rPr>
          <w:rFonts w:ascii="Times New Roman" w:hAnsi="Times New Roman"/>
          <w:i/>
          <w:sz w:val="22"/>
          <w:szCs w:val="22"/>
        </w:rPr>
      </w:pPr>
    </w:p>
    <w:p w14:paraId="783C9EEB" w14:textId="77777777" w:rsidR="00C377B6" w:rsidRPr="0015716C" w:rsidRDefault="00C377B6" w:rsidP="00C377B6">
      <w:pPr>
        <w:numPr>
          <w:ilvl w:val="0"/>
          <w:numId w:val="5"/>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48A9A5E4" w14:textId="77777777" w:rsidR="00C377B6" w:rsidRPr="0015716C" w:rsidRDefault="00C377B6" w:rsidP="00C377B6">
      <w:pPr>
        <w:tabs>
          <w:tab w:val="left" w:pos="-720"/>
        </w:tabs>
        <w:suppressAutoHyphens/>
        <w:rPr>
          <w:rFonts w:ascii="Times New Roman" w:hAnsi="Times New Roman"/>
          <w:i/>
          <w:sz w:val="22"/>
          <w:szCs w:val="22"/>
        </w:rPr>
      </w:pPr>
    </w:p>
    <w:p w14:paraId="2F4DF3DF" w14:textId="77777777" w:rsidR="00C377B6" w:rsidRPr="00E17878" w:rsidRDefault="00C377B6" w:rsidP="00C377B6">
      <w:pPr>
        <w:tabs>
          <w:tab w:val="left" w:pos="-720"/>
        </w:tabs>
        <w:suppressAutoHyphens/>
        <w:rPr>
          <w:rFonts w:ascii="Times New Roman" w:hAnsi="Times New Roman"/>
          <w:i/>
          <w:sz w:val="22"/>
          <w:szCs w:val="22"/>
        </w:rPr>
      </w:pPr>
      <w:r w:rsidRPr="0015716C">
        <w:rPr>
          <w:rFonts w:ascii="Times New Roman" w:hAnsi="Times New Roman"/>
          <w:i/>
          <w:sz w:val="22"/>
          <w:szCs w:val="22"/>
        </w:rPr>
        <w:tab/>
        <w:t>Total Annualized Capital/Startup Cost</w:t>
      </w:r>
      <w:r w:rsidRPr="0015716C">
        <w:rPr>
          <w:rFonts w:ascii="Times New Roman" w:hAnsi="Times New Roman"/>
          <w:i/>
          <w:sz w:val="22"/>
          <w:szCs w:val="22"/>
        </w:rPr>
        <w:tab/>
        <w:t xml:space="preserve">: </w:t>
      </w:r>
      <w:bookmarkStart w:id="3" w:name="Startup"/>
      <w:r w:rsidRPr="0015716C">
        <w:rPr>
          <w:rFonts w:ascii="Times New Roman" w:hAnsi="Times New Roman"/>
          <w:i/>
          <w:sz w:val="22"/>
          <w:szCs w:val="22"/>
        </w:rPr>
        <w:fldChar w:fldCharType="begin">
          <w:ffData>
            <w:name w:val="Startup"/>
            <w:enabled/>
            <w:calcOnExit w:val="0"/>
            <w:helpText w:type="text" w:val="Enter total annualized capital/startup cost"/>
            <w:statusText w:type="text" w:val="Enter total annualized capital/startup cost"/>
            <w:textInput/>
          </w:ffData>
        </w:fldChar>
      </w:r>
      <w:r w:rsidRPr="0015716C">
        <w:rPr>
          <w:rFonts w:ascii="Times New Roman" w:hAnsi="Times New Roman"/>
          <w:i/>
          <w:sz w:val="22"/>
          <w:szCs w:val="22"/>
        </w:rPr>
        <w:instrText xml:space="preserve"> FORMTEXT </w:instrText>
      </w:r>
      <w:r w:rsidRPr="0015716C">
        <w:rPr>
          <w:rFonts w:ascii="Times New Roman" w:hAnsi="Times New Roman"/>
          <w:i/>
          <w:sz w:val="22"/>
          <w:szCs w:val="22"/>
        </w:rPr>
      </w:r>
      <w:r w:rsidRPr="0015716C">
        <w:rPr>
          <w:rFonts w:ascii="Times New Roman" w:hAnsi="Times New Roman"/>
          <w:i/>
          <w:sz w:val="22"/>
          <w:szCs w:val="22"/>
        </w:rPr>
        <w:fldChar w:fldCharType="separate"/>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sz w:val="22"/>
          <w:szCs w:val="22"/>
        </w:rPr>
        <w:fldChar w:fldCharType="end"/>
      </w:r>
      <w:bookmarkEnd w:id="3"/>
    </w:p>
    <w:p w14:paraId="5C9175E5" w14:textId="77777777" w:rsidR="00C377B6" w:rsidRPr="00E17878" w:rsidRDefault="00C377B6" w:rsidP="00C377B6">
      <w:pPr>
        <w:tabs>
          <w:tab w:val="left" w:pos="-720"/>
        </w:tabs>
        <w:suppressAutoHyphens/>
        <w:rPr>
          <w:rFonts w:ascii="Times New Roman" w:hAnsi="Times New Roman"/>
          <w:i/>
          <w:sz w:val="22"/>
          <w:szCs w:val="22"/>
        </w:rPr>
      </w:pPr>
      <w:r w:rsidRPr="00E17878">
        <w:rPr>
          <w:rFonts w:ascii="Times New Roman" w:hAnsi="Times New Roman"/>
          <w:i/>
          <w:sz w:val="22"/>
          <w:szCs w:val="22"/>
        </w:rPr>
        <w:tab/>
        <w:t>Total Annual Costs (O&amp;M)</w:t>
      </w:r>
      <w:r w:rsidRPr="00E17878">
        <w:rPr>
          <w:rFonts w:ascii="Times New Roman" w:hAnsi="Times New Roman"/>
          <w:i/>
          <w:sz w:val="22"/>
          <w:szCs w:val="22"/>
        </w:rPr>
        <w:tab/>
      </w:r>
      <w:r w:rsidRPr="00E17878">
        <w:rPr>
          <w:rFonts w:ascii="Times New Roman" w:hAnsi="Times New Roman"/>
          <w:i/>
          <w:sz w:val="22"/>
          <w:szCs w:val="22"/>
        </w:rPr>
        <w:tab/>
        <w:t xml:space="preserve">: </w:t>
      </w:r>
      <w:bookmarkStart w:id="4" w:name="OM"/>
      <w:r w:rsidRPr="0015716C">
        <w:rPr>
          <w:rFonts w:ascii="Times New Roman" w:hAnsi="Times New Roman"/>
          <w:i/>
          <w:sz w:val="22"/>
          <w:szCs w:val="22"/>
        </w:rPr>
        <w:fldChar w:fldCharType="begin">
          <w:ffData>
            <w:name w:val="OM"/>
            <w:enabled/>
            <w:calcOnExit w:val="0"/>
            <w:helpText w:type="text" w:val="Enter total annualized Costs (O&amp;M)"/>
            <w:statusText w:type="text" w:val="Enter total annualized Costs (O&amp;M)"/>
            <w:textInput/>
          </w:ffData>
        </w:fldChar>
      </w:r>
      <w:r w:rsidRPr="0015716C">
        <w:rPr>
          <w:rFonts w:ascii="Times New Roman" w:hAnsi="Times New Roman"/>
          <w:i/>
          <w:sz w:val="22"/>
          <w:szCs w:val="22"/>
        </w:rPr>
        <w:instrText xml:space="preserve"> FORMTEXT </w:instrText>
      </w:r>
      <w:r w:rsidRPr="0015716C">
        <w:rPr>
          <w:rFonts w:ascii="Times New Roman" w:hAnsi="Times New Roman"/>
          <w:i/>
          <w:sz w:val="22"/>
          <w:szCs w:val="22"/>
        </w:rPr>
      </w:r>
      <w:r w:rsidRPr="0015716C">
        <w:rPr>
          <w:rFonts w:ascii="Times New Roman" w:hAnsi="Times New Roman"/>
          <w:i/>
          <w:sz w:val="22"/>
          <w:szCs w:val="22"/>
        </w:rPr>
        <w:fldChar w:fldCharType="separate"/>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sz w:val="22"/>
          <w:szCs w:val="22"/>
        </w:rPr>
        <w:fldChar w:fldCharType="end"/>
      </w:r>
      <w:bookmarkEnd w:id="4"/>
    </w:p>
    <w:p w14:paraId="5364C1C2" w14:textId="77777777" w:rsidR="00C377B6" w:rsidRPr="008F6483" w:rsidRDefault="00C377B6" w:rsidP="00C377B6">
      <w:pPr>
        <w:tabs>
          <w:tab w:val="left" w:pos="-720"/>
        </w:tabs>
        <w:suppressAutoHyphens/>
        <w:rPr>
          <w:rFonts w:ascii="Times New Roman" w:hAnsi="Times New Roman"/>
          <w:i/>
          <w:sz w:val="22"/>
          <w:szCs w:val="22"/>
        </w:rPr>
      </w:pPr>
      <w:r w:rsidRPr="008F6483">
        <w:rPr>
          <w:rFonts w:ascii="Times New Roman" w:hAnsi="Times New Roman"/>
          <w:i/>
          <w:sz w:val="22"/>
          <w:szCs w:val="22"/>
        </w:rPr>
        <w:tab/>
      </w:r>
      <w:r w:rsidRPr="008F6483">
        <w:rPr>
          <w:rFonts w:ascii="Times New Roman" w:hAnsi="Times New Roman"/>
          <w:i/>
          <w:sz w:val="22"/>
          <w:szCs w:val="22"/>
        </w:rPr>
        <w:tab/>
      </w:r>
      <w:r w:rsidRPr="008F6483">
        <w:rPr>
          <w:rFonts w:ascii="Times New Roman" w:hAnsi="Times New Roman"/>
          <w:i/>
          <w:sz w:val="22"/>
          <w:szCs w:val="22"/>
        </w:rPr>
        <w:tab/>
      </w:r>
      <w:r w:rsidRPr="008F6483">
        <w:rPr>
          <w:rFonts w:ascii="Times New Roman" w:hAnsi="Times New Roman"/>
          <w:i/>
          <w:sz w:val="22"/>
          <w:szCs w:val="22"/>
        </w:rPr>
        <w:tab/>
      </w:r>
      <w:r w:rsidRPr="008F6483">
        <w:rPr>
          <w:rFonts w:ascii="Times New Roman" w:hAnsi="Times New Roman"/>
          <w:i/>
          <w:sz w:val="22"/>
          <w:szCs w:val="22"/>
        </w:rPr>
        <w:tab/>
      </w:r>
      <w:r w:rsidRPr="008F6483">
        <w:rPr>
          <w:rFonts w:ascii="Times New Roman" w:hAnsi="Times New Roman"/>
          <w:i/>
          <w:sz w:val="22"/>
          <w:szCs w:val="22"/>
        </w:rPr>
        <w:tab/>
      </w:r>
      <w:r w:rsidRPr="008F6483">
        <w:rPr>
          <w:rFonts w:ascii="Times New Roman" w:hAnsi="Times New Roman"/>
          <w:i/>
          <w:sz w:val="22"/>
          <w:szCs w:val="22"/>
        </w:rPr>
        <w:tab/>
        <w:t xml:space="preserve"> ____________________</w:t>
      </w:r>
    </w:p>
    <w:p w14:paraId="5B6A1B12" w14:textId="77777777" w:rsidR="00C377B6" w:rsidRPr="00E17878" w:rsidRDefault="00C377B6" w:rsidP="00C377B6">
      <w:pPr>
        <w:tabs>
          <w:tab w:val="left" w:pos="-720"/>
        </w:tabs>
        <w:suppressAutoHyphens/>
        <w:rPr>
          <w:rFonts w:ascii="Times New Roman" w:hAnsi="Times New Roman"/>
          <w:i/>
          <w:sz w:val="22"/>
          <w:szCs w:val="22"/>
        </w:rPr>
      </w:pPr>
      <w:r w:rsidRPr="0015716C">
        <w:rPr>
          <w:rFonts w:ascii="Times New Roman" w:hAnsi="Times New Roman"/>
          <w:i/>
          <w:sz w:val="22"/>
          <w:szCs w:val="22"/>
        </w:rPr>
        <w:tab/>
        <w:t>Total Annualized Costs Requested</w:t>
      </w:r>
      <w:r w:rsidRPr="0015716C">
        <w:rPr>
          <w:rFonts w:ascii="Times New Roman" w:hAnsi="Times New Roman"/>
          <w:i/>
          <w:sz w:val="22"/>
          <w:szCs w:val="22"/>
        </w:rPr>
        <w:tab/>
        <w:t xml:space="preserve">: </w:t>
      </w:r>
      <w:bookmarkStart w:id="5" w:name="Total_Cost"/>
      <w:r w:rsidRPr="0015716C">
        <w:rPr>
          <w:rFonts w:ascii="Times New Roman" w:hAnsi="Times New Roman"/>
          <w:i/>
          <w:sz w:val="22"/>
          <w:szCs w:val="22"/>
        </w:rPr>
        <w:fldChar w:fldCharType="begin">
          <w:ffData>
            <w:name w:val="Total_Cost"/>
            <w:enabled/>
            <w:calcOnExit w:val="0"/>
            <w:helpText w:type="text" w:val="Enter total annualized costs requested"/>
            <w:statusText w:type="text" w:val="Enter total annualized costs requested"/>
            <w:textInput/>
          </w:ffData>
        </w:fldChar>
      </w:r>
      <w:r w:rsidRPr="0015716C">
        <w:rPr>
          <w:rFonts w:ascii="Times New Roman" w:hAnsi="Times New Roman"/>
          <w:i/>
          <w:sz w:val="22"/>
          <w:szCs w:val="22"/>
        </w:rPr>
        <w:instrText xml:space="preserve"> FORMTEXT </w:instrText>
      </w:r>
      <w:r w:rsidRPr="0015716C">
        <w:rPr>
          <w:rFonts w:ascii="Times New Roman" w:hAnsi="Times New Roman"/>
          <w:i/>
          <w:sz w:val="22"/>
          <w:szCs w:val="22"/>
        </w:rPr>
      </w:r>
      <w:r w:rsidRPr="0015716C">
        <w:rPr>
          <w:rFonts w:ascii="Times New Roman" w:hAnsi="Times New Roman"/>
          <w:i/>
          <w:sz w:val="22"/>
          <w:szCs w:val="22"/>
        </w:rPr>
        <w:fldChar w:fldCharType="separate"/>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noProof/>
          <w:sz w:val="22"/>
          <w:szCs w:val="22"/>
        </w:rPr>
        <w:t> </w:t>
      </w:r>
      <w:r w:rsidRPr="0015716C">
        <w:rPr>
          <w:rFonts w:ascii="Times New Roman" w:hAnsi="Times New Roman"/>
          <w:i/>
          <w:sz w:val="22"/>
          <w:szCs w:val="22"/>
        </w:rPr>
        <w:fldChar w:fldCharType="end"/>
      </w:r>
      <w:bookmarkEnd w:id="5"/>
    </w:p>
    <w:p w14:paraId="109D7B73" w14:textId="77777777" w:rsidR="00523E3C" w:rsidRPr="008F6483" w:rsidRDefault="00523E3C" w:rsidP="00523E3C">
      <w:pPr>
        <w:rPr>
          <w:rFonts w:ascii="Times New Roman" w:hAnsi="Times New Roman"/>
          <w:sz w:val="22"/>
          <w:szCs w:val="22"/>
        </w:rPr>
      </w:pPr>
    </w:p>
    <w:p w14:paraId="0495B290" w14:textId="77777777" w:rsidR="00633DD4" w:rsidRPr="0015716C" w:rsidRDefault="00633DD4" w:rsidP="00C377B6">
      <w:pPr>
        <w:rPr>
          <w:rFonts w:ascii="Times New Roman" w:hAnsi="Times New Roman"/>
          <w:sz w:val="22"/>
          <w:szCs w:val="22"/>
        </w:rPr>
      </w:pPr>
      <w:r w:rsidRPr="0015716C">
        <w:rPr>
          <w:rFonts w:ascii="Times New Roman" w:hAnsi="Times New Roman"/>
          <w:sz w:val="22"/>
          <w:szCs w:val="22"/>
        </w:rPr>
        <w:t xml:space="preserve">There are no other costs to the respondents.  </w:t>
      </w:r>
      <w:r w:rsidR="009900DD" w:rsidRPr="0015716C">
        <w:rPr>
          <w:rFonts w:ascii="Times New Roman" w:hAnsi="Times New Roman"/>
          <w:sz w:val="22"/>
          <w:szCs w:val="22"/>
        </w:rPr>
        <w:t>Grantees are required by program regulations to collect and maintain this information.  The costs to transmit the data electronically via the Web are customary and usual business practices.</w:t>
      </w:r>
    </w:p>
    <w:p w14:paraId="7DEFF23C" w14:textId="77777777" w:rsidR="00633DD4" w:rsidRPr="0015716C" w:rsidRDefault="00633DD4">
      <w:pPr>
        <w:tabs>
          <w:tab w:val="left" w:pos="-720"/>
        </w:tabs>
        <w:suppressAutoHyphens/>
        <w:rPr>
          <w:rFonts w:ascii="Times New Roman" w:hAnsi="Times New Roman"/>
          <w:sz w:val="22"/>
          <w:szCs w:val="22"/>
        </w:rPr>
      </w:pPr>
    </w:p>
    <w:p w14:paraId="792CE347" w14:textId="77777777" w:rsidR="00C377B6" w:rsidRPr="0015716C" w:rsidRDefault="00C377B6" w:rsidP="00C377B6">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14.  </w:t>
      </w:r>
      <w:r w:rsidRPr="0015716C">
        <w:rPr>
          <w:rStyle w:val="a"/>
          <w:rFonts w:ascii="Times New Roman" w:hAnsi="Times New Roman"/>
          <w:i/>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1801D2" w14:textId="77777777" w:rsidR="004F692A" w:rsidRPr="0015716C" w:rsidRDefault="004F692A">
      <w:pPr>
        <w:tabs>
          <w:tab w:val="left" w:pos="-720"/>
        </w:tabs>
        <w:suppressAutoHyphens/>
        <w:rPr>
          <w:rFonts w:ascii="Times New Roman" w:hAnsi="Times New Roman"/>
          <w:sz w:val="22"/>
          <w:szCs w:val="22"/>
        </w:rPr>
      </w:pPr>
    </w:p>
    <w:p w14:paraId="160AA5D7" w14:textId="77777777" w:rsidR="00633DD4" w:rsidRPr="0015716C" w:rsidRDefault="00633DD4" w:rsidP="00C377B6">
      <w:pPr>
        <w:rPr>
          <w:rFonts w:ascii="Times New Roman" w:hAnsi="Times New Roman"/>
          <w:sz w:val="22"/>
          <w:szCs w:val="22"/>
        </w:rPr>
      </w:pPr>
      <w:r w:rsidRPr="0015716C">
        <w:rPr>
          <w:rFonts w:ascii="Times New Roman" w:hAnsi="Times New Roman"/>
          <w:sz w:val="22"/>
          <w:szCs w:val="22"/>
        </w:rPr>
        <w:t>The largest portion of the Government’s cost is borne directly by the Department of Education in designing the report form, securing clearance of the form, and in collecting, aggregating and disseminating the information.</w:t>
      </w:r>
    </w:p>
    <w:p w14:paraId="3188E6B3" w14:textId="77777777" w:rsidR="00826D7D" w:rsidRPr="0015716C" w:rsidRDefault="00826D7D" w:rsidP="00C377B6">
      <w:pPr>
        <w:rPr>
          <w:rFonts w:ascii="Times New Roman" w:hAnsi="Times New Roman"/>
          <w:sz w:val="22"/>
          <w:szCs w:val="22"/>
        </w:rPr>
      </w:pPr>
    </w:p>
    <w:p w14:paraId="6C072057" w14:textId="77777777" w:rsidR="00633DD4" w:rsidRPr="0015716C" w:rsidRDefault="00633DD4" w:rsidP="00633DD4">
      <w:pPr>
        <w:ind w:left="720"/>
        <w:rPr>
          <w:rFonts w:ascii="Times New Roman" w:hAnsi="Times New Roman"/>
          <w:sz w:val="22"/>
          <w:szCs w:val="22"/>
        </w:rPr>
      </w:pPr>
    </w:p>
    <w:tbl>
      <w:tblPr>
        <w:tblW w:w="0" w:type="auto"/>
        <w:tblInd w:w="1459" w:type="dxa"/>
        <w:tblLayout w:type="fixed"/>
        <w:tblCellMar>
          <w:left w:w="54" w:type="dxa"/>
          <w:right w:w="54" w:type="dxa"/>
        </w:tblCellMar>
        <w:tblLook w:val="0000" w:firstRow="0" w:lastRow="0" w:firstColumn="0" w:lastColumn="0" w:noHBand="0" w:noVBand="0"/>
      </w:tblPr>
      <w:tblGrid>
        <w:gridCol w:w="6570"/>
        <w:gridCol w:w="1295"/>
      </w:tblGrid>
      <w:tr w:rsidR="0079302C" w:rsidRPr="0015716C" w14:paraId="423B3DE2" w14:textId="77777777" w:rsidTr="00FF4012">
        <w:trPr>
          <w:trHeight w:val="312"/>
        </w:trPr>
        <w:tc>
          <w:tcPr>
            <w:tcW w:w="7865" w:type="dxa"/>
            <w:gridSpan w:val="2"/>
            <w:tcBorders>
              <w:top w:val="single" w:sz="4" w:space="0" w:color="auto"/>
              <w:left w:val="single" w:sz="4" w:space="0" w:color="auto"/>
              <w:bottom w:val="single" w:sz="4" w:space="0" w:color="auto"/>
              <w:right w:val="single" w:sz="4" w:space="0" w:color="auto"/>
            </w:tcBorders>
            <w:shd w:val="clear" w:color="auto" w:fill="7030A0"/>
          </w:tcPr>
          <w:p w14:paraId="68709619" w14:textId="77777777" w:rsidR="0079302C" w:rsidRPr="0015716C" w:rsidRDefault="0079302C" w:rsidP="0079302C">
            <w:pPr>
              <w:widowControl w:val="0"/>
              <w:jc w:val="center"/>
              <w:rPr>
                <w:rFonts w:ascii="Times New Roman" w:hAnsi="Times New Roman"/>
                <w:snapToGrid w:val="0"/>
                <w:color w:val="FFFFFF" w:themeColor="background1"/>
                <w:sz w:val="22"/>
                <w:szCs w:val="22"/>
              </w:rPr>
            </w:pPr>
            <w:r w:rsidRPr="0015716C">
              <w:rPr>
                <w:rFonts w:ascii="Times New Roman" w:hAnsi="Times New Roman"/>
                <w:b/>
                <w:snapToGrid w:val="0"/>
                <w:color w:val="FFFFFF" w:themeColor="background1"/>
                <w:sz w:val="22"/>
                <w:szCs w:val="22"/>
              </w:rPr>
              <w:t>Estimated annual cost to the Federal Government</w:t>
            </w:r>
          </w:p>
        </w:tc>
      </w:tr>
      <w:tr w:rsidR="0079302C" w:rsidRPr="0015716C" w14:paraId="72C3F7B8" w14:textId="77777777" w:rsidTr="00FF4012">
        <w:trPr>
          <w:trHeight w:val="233"/>
        </w:trPr>
        <w:tc>
          <w:tcPr>
            <w:tcW w:w="6570" w:type="dxa"/>
            <w:tcBorders>
              <w:top w:val="single" w:sz="4" w:space="0" w:color="auto"/>
              <w:left w:val="single" w:sz="4" w:space="0" w:color="auto"/>
              <w:bottom w:val="single" w:sz="4" w:space="0" w:color="auto"/>
            </w:tcBorders>
            <w:shd w:val="clear" w:color="auto" w:fill="E5DFEC" w:themeFill="accent4" w:themeFillTint="33"/>
            <w:vAlign w:val="center"/>
          </w:tcPr>
          <w:p w14:paraId="75C1EA27" w14:textId="77777777" w:rsidR="0079302C" w:rsidRPr="00E17878" w:rsidRDefault="004337E2" w:rsidP="0079302C">
            <w:pPr>
              <w:widowControl w:val="0"/>
              <w:rPr>
                <w:rFonts w:ascii="Times New Roman" w:hAnsi="Times New Roman"/>
                <w:b/>
                <w:snapToGrid w:val="0"/>
                <w:sz w:val="22"/>
                <w:szCs w:val="22"/>
              </w:rPr>
            </w:pPr>
            <w:r w:rsidRPr="00E17878">
              <w:rPr>
                <w:rFonts w:ascii="Times New Roman" w:hAnsi="Times New Roman"/>
                <w:b/>
                <w:snapToGrid w:val="0"/>
                <w:sz w:val="22"/>
                <w:szCs w:val="22"/>
              </w:rPr>
              <w:t>Federal Professional Staff Cost</w:t>
            </w:r>
          </w:p>
        </w:tc>
        <w:tc>
          <w:tcPr>
            <w:tcW w:w="1295" w:type="dxa"/>
            <w:tcBorders>
              <w:top w:val="single" w:sz="4" w:space="0" w:color="auto"/>
              <w:left w:val="single" w:sz="4" w:space="0" w:color="auto"/>
              <w:bottom w:val="single" w:sz="4" w:space="0" w:color="auto"/>
              <w:right w:val="single" w:sz="4" w:space="0" w:color="auto"/>
            </w:tcBorders>
            <w:vAlign w:val="center"/>
          </w:tcPr>
          <w:p w14:paraId="2B40DF51" w14:textId="77777777" w:rsidR="0079302C" w:rsidRPr="0015716C" w:rsidRDefault="0079302C" w:rsidP="004337E2">
            <w:pPr>
              <w:widowControl w:val="0"/>
              <w:jc w:val="center"/>
              <w:rPr>
                <w:rFonts w:ascii="Times New Roman" w:hAnsi="Times New Roman"/>
                <w:b/>
                <w:snapToGrid w:val="0"/>
                <w:sz w:val="22"/>
                <w:szCs w:val="22"/>
              </w:rPr>
            </w:pPr>
            <w:r w:rsidRPr="008F6483">
              <w:rPr>
                <w:rFonts w:ascii="Times New Roman" w:hAnsi="Times New Roman"/>
                <w:b/>
                <w:snapToGrid w:val="0"/>
                <w:sz w:val="22"/>
                <w:szCs w:val="22"/>
              </w:rPr>
              <w:t>Cost</w:t>
            </w:r>
          </w:p>
        </w:tc>
      </w:tr>
      <w:tr w:rsidR="00633DD4" w:rsidRPr="0015716C" w14:paraId="41B058A0" w14:textId="77777777" w:rsidTr="00FF4012">
        <w:trPr>
          <w:trHeight w:val="359"/>
        </w:trPr>
        <w:tc>
          <w:tcPr>
            <w:tcW w:w="6570" w:type="dxa"/>
            <w:tcBorders>
              <w:top w:val="single" w:sz="4" w:space="0" w:color="auto"/>
              <w:left w:val="single" w:sz="4" w:space="0" w:color="auto"/>
              <w:bottom w:val="single" w:sz="4" w:space="0" w:color="auto"/>
            </w:tcBorders>
          </w:tcPr>
          <w:p w14:paraId="6303511E" w14:textId="77777777" w:rsidR="00633DD4" w:rsidRPr="00E17878" w:rsidRDefault="00633DD4" w:rsidP="004D6793">
            <w:pPr>
              <w:widowControl w:val="0"/>
              <w:rPr>
                <w:rFonts w:ascii="Times New Roman" w:hAnsi="Times New Roman"/>
                <w:snapToGrid w:val="0"/>
                <w:sz w:val="22"/>
                <w:szCs w:val="22"/>
              </w:rPr>
            </w:pPr>
            <w:r w:rsidRPr="00E17878">
              <w:rPr>
                <w:rFonts w:ascii="Times New Roman" w:hAnsi="Times New Roman"/>
                <w:snapToGrid w:val="0"/>
                <w:sz w:val="22"/>
                <w:szCs w:val="22"/>
              </w:rPr>
              <w:t>Professional staff to develop clearance package</w:t>
            </w:r>
          </w:p>
          <w:p w14:paraId="114BCEBB" w14:textId="77777777" w:rsidR="00633DD4" w:rsidRPr="0015716C" w:rsidRDefault="00633DD4" w:rsidP="00F17D11">
            <w:pPr>
              <w:widowControl w:val="0"/>
              <w:rPr>
                <w:rFonts w:ascii="Times New Roman" w:hAnsi="Times New Roman"/>
                <w:snapToGrid w:val="0"/>
                <w:sz w:val="22"/>
                <w:szCs w:val="22"/>
              </w:rPr>
            </w:pPr>
            <w:r w:rsidRPr="008F6483">
              <w:rPr>
                <w:rFonts w:ascii="Times New Roman" w:hAnsi="Times New Roman"/>
                <w:snapToGrid w:val="0"/>
                <w:sz w:val="22"/>
                <w:szCs w:val="22"/>
              </w:rPr>
              <w:t>(GS-14 employee) 4</w:t>
            </w:r>
            <w:r w:rsidR="005E3AD3" w:rsidRPr="0015716C">
              <w:rPr>
                <w:rFonts w:ascii="Times New Roman" w:hAnsi="Times New Roman"/>
                <w:snapToGrid w:val="0"/>
                <w:sz w:val="22"/>
                <w:szCs w:val="22"/>
              </w:rPr>
              <w:t>5</w:t>
            </w:r>
            <w:r w:rsidRPr="0015716C">
              <w:rPr>
                <w:rFonts w:ascii="Times New Roman" w:hAnsi="Times New Roman"/>
                <w:snapToGrid w:val="0"/>
                <w:sz w:val="22"/>
                <w:szCs w:val="22"/>
              </w:rPr>
              <w:t xml:space="preserve"> h</w:t>
            </w:r>
            <w:r w:rsidR="00F17D11" w:rsidRPr="0015716C">
              <w:rPr>
                <w:rFonts w:ascii="Times New Roman" w:hAnsi="Times New Roman"/>
                <w:snapToGrid w:val="0"/>
                <w:sz w:val="22"/>
                <w:szCs w:val="22"/>
              </w:rPr>
              <w:t>ou</w:t>
            </w:r>
            <w:r w:rsidRPr="0015716C">
              <w:rPr>
                <w:rFonts w:ascii="Times New Roman" w:hAnsi="Times New Roman"/>
                <w:snapToGrid w:val="0"/>
                <w:sz w:val="22"/>
                <w:szCs w:val="22"/>
              </w:rPr>
              <w:t>rs @ $5</w:t>
            </w:r>
            <w:r w:rsidR="005E3AD3" w:rsidRPr="0015716C">
              <w:rPr>
                <w:rFonts w:ascii="Times New Roman" w:hAnsi="Times New Roman"/>
                <w:snapToGrid w:val="0"/>
                <w:sz w:val="22"/>
                <w:szCs w:val="22"/>
              </w:rPr>
              <w:t>5</w:t>
            </w:r>
            <w:r w:rsidRPr="0015716C">
              <w:rPr>
                <w:rFonts w:ascii="Times New Roman" w:hAnsi="Times New Roman"/>
                <w:snapToGrid w:val="0"/>
                <w:sz w:val="22"/>
                <w:szCs w:val="22"/>
              </w:rPr>
              <w:t>.00 per hour</w:t>
            </w:r>
          </w:p>
        </w:tc>
        <w:tc>
          <w:tcPr>
            <w:tcW w:w="1295" w:type="dxa"/>
            <w:tcBorders>
              <w:top w:val="single" w:sz="4" w:space="0" w:color="auto"/>
              <w:left w:val="single" w:sz="4" w:space="0" w:color="auto"/>
              <w:bottom w:val="single" w:sz="4" w:space="0" w:color="auto"/>
              <w:right w:val="single" w:sz="4" w:space="0" w:color="auto"/>
            </w:tcBorders>
            <w:vAlign w:val="bottom"/>
          </w:tcPr>
          <w:p w14:paraId="2446A5D1" w14:textId="77777777" w:rsidR="00633DD4" w:rsidRPr="0015716C" w:rsidRDefault="00633DD4" w:rsidP="004337E2">
            <w:pPr>
              <w:widowControl w:val="0"/>
              <w:jc w:val="right"/>
              <w:rPr>
                <w:rFonts w:ascii="Times New Roman" w:hAnsi="Times New Roman"/>
                <w:snapToGrid w:val="0"/>
                <w:sz w:val="22"/>
                <w:szCs w:val="22"/>
              </w:rPr>
            </w:pPr>
          </w:p>
          <w:p w14:paraId="4553FA26" w14:textId="77777777" w:rsidR="00633DD4" w:rsidRPr="0015716C" w:rsidRDefault="00633DD4" w:rsidP="004337E2">
            <w:pPr>
              <w:widowControl w:val="0"/>
              <w:jc w:val="right"/>
              <w:rPr>
                <w:rFonts w:ascii="Times New Roman" w:hAnsi="Times New Roman"/>
                <w:snapToGrid w:val="0"/>
                <w:sz w:val="22"/>
                <w:szCs w:val="22"/>
              </w:rPr>
            </w:pPr>
            <w:r w:rsidRPr="0015716C">
              <w:rPr>
                <w:rFonts w:ascii="Times New Roman" w:hAnsi="Times New Roman"/>
                <w:snapToGrid w:val="0"/>
                <w:sz w:val="22"/>
                <w:szCs w:val="22"/>
              </w:rPr>
              <w:t>$2,</w:t>
            </w:r>
            <w:r w:rsidR="005E3AD3" w:rsidRPr="0015716C">
              <w:rPr>
                <w:rFonts w:ascii="Times New Roman" w:hAnsi="Times New Roman"/>
                <w:snapToGrid w:val="0"/>
                <w:sz w:val="22"/>
                <w:szCs w:val="22"/>
              </w:rPr>
              <w:t>475</w:t>
            </w:r>
            <w:r w:rsidRPr="0015716C">
              <w:rPr>
                <w:rFonts w:ascii="Times New Roman" w:hAnsi="Times New Roman"/>
                <w:snapToGrid w:val="0"/>
                <w:sz w:val="22"/>
                <w:szCs w:val="22"/>
              </w:rPr>
              <w:t>.00</w:t>
            </w:r>
          </w:p>
        </w:tc>
      </w:tr>
      <w:tr w:rsidR="00633DD4" w:rsidRPr="0015716C" w14:paraId="7A05C7AE" w14:textId="77777777" w:rsidTr="00FF4012">
        <w:trPr>
          <w:trHeight w:val="458"/>
        </w:trPr>
        <w:tc>
          <w:tcPr>
            <w:tcW w:w="6570" w:type="dxa"/>
            <w:tcBorders>
              <w:top w:val="single" w:sz="4" w:space="0" w:color="auto"/>
              <w:left w:val="single" w:sz="4" w:space="0" w:color="auto"/>
              <w:bottom w:val="single" w:sz="4" w:space="0" w:color="auto"/>
            </w:tcBorders>
          </w:tcPr>
          <w:p w14:paraId="2544BD48" w14:textId="6082AB4D" w:rsidR="00633DD4" w:rsidRPr="00E17878" w:rsidRDefault="00633DD4" w:rsidP="00ED0B97">
            <w:pPr>
              <w:widowControl w:val="0"/>
              <w:rPr>
                <w:rFonts w:ascii="Times New Roman" w:hAnsi="Times New Roman"/>
                <w:snapToGrid w:val="0"/>
                <w:sz w:val="22"/>
                <w:szCs w:val="22"/>
              </w:rPr>
            </w:pPr>
            <w:r w:rsidRPr="00E17878">
              <w:rPr>
                <w:rFonts w:ascii="Times New Roman" w:hAnsi="Times New Roman"/>
                <w:snapToGrid w:val="0"/>
                <w:sz w:val="22"/>
                <w:szCs w:val="22"/>
              </w:rPr>
              <w:t>Overhead cost related to facilities, administration, and other indirect cost</w:t>
            </w:r>
            <w:r w:rsidR="00C00299">
              <w:rPr>
                <w:rFonts w:ascii="Times New Roman" w:hAnsi="Times New Roman"/>
                <w:snapToGrid w:val="0"/>
                <w:sz w:val="22"/>
                <w:szCs w:val="22"/>
              </w:rPr>
              <w:t>s</w:t>
            </w:r>
            <w:r w:rsidRPr="00E17878">
              <w:rPr>
                <w:rFonts w:ascii="Times New Roman" w:hAnsi="Times New Roman"/>
                <w:snapToGrid w:val="0"/>
                <w:sz w:val="22"/>
                <w:szCs w:val="22"/>
              </w:rPr>
              <w:t xml:space="preserve"> plus accrual of leave and fringe benefits @ 50% of salary of $2,</w:t>
            </w:r>
            <w:r w:rsidR="00ED0B97" w:rsidRPr="00E17878">
              <w:rPr>
                <w:rFonts w:ascii="Times New Roman" w:hAnsi="Times New Roman"/>
                <w:snapToGrid w:val="0"/>
                <w:sz w:val="22"/>
                <w:szCs w:val="22"/>
              </w:rPr>
              <w:t>475</w:t>
            </w:r>
          </w:p>
        </w:tc>
        <w:tc>
          <w:tcPr>
            <w:tcW w:w="1295" w:type="dxa"/>
            <w:tcBorders>
              <w:top w:val="single" w:sz="4" w:space="0" w:color="auto"/>
              <w:left w:val="single" w:sz="4" w:space="0" w:color="auto"/>
              <w:bottom w:val="single" w:sz="4" w:space="0" w:color="auto"/>
              <w:right w:val="single" w:sz="4" w:space="0" w:color="auto"/>
            </w:tcBorders>
            <w:vAlign w:val="bottom"/>
          </w:tcPr>
          <w:p w14:paraId="591E2DC0" w14:textId="77777777" w:rsidR="00633DD4" w:rsidRPr="008F6483" w:rsidRDefault="00633DD4" w:rsidP="004337E2">
            <w:pPr>
              <w:widowControl w:val="0"/>
              <w:jc w:val="right"/>
              <w:rPr>
                <w:rFonts w:ascii="Times New Roman" w:hAnsi="Times New Roman"/>
                <w:snapToGrid w:val="0"/>
                <w:sz w:val="22"/>
                <w:szCs w:val="22"/>
              </w:rPr>
            </w:pPr>
          </w:p>
          <w:p w14:paraId="75CDFA3C" w14:textId="77777777" w:rsidR="00633DD4" w:rsidRPr="0015716C" w:rsidRDefault="00ED0B97" w:rsidP="004337E2">
            <w:pPr>
              <w:widowControl w:val="0"/>
              <w:jc w:val="right"/>
              <w:rPr>
                <w:rFonts w:ascii="Times New Roman" w:hAnsi="Times New Roman"/>
                <w:snapToGrid w:val="0"/>
                <w:sz w:val="22"/>
                <w:szCs w:val="22"/>
              </w:rPr>
            </w:pPr>
            <w:r w:rsidRPr="0015716C">
              <w:rPr>
                <w:rFonts w:ascii="Times New Roman" w:hAnsi="Times New Roman"/>
                <w:snapToGrid w:val="0"/>
                <w:sz w:val="22"/>
                <w:szCs w:val="22"/>
              </w:rPr>
              <w:t>$1,238</w:t>
            </w:r>
            <w:r w:rsidR="00633DD4" w:rsidRPr="0015716C">
              <w:rPr>
                <w:rFonts w:ascii="Times New Roman" w:hAnsi="Times New Roman"/>
                <w:snapToGrid w:val="0"/>
                <w:sz w:val="22"/>
                <w:szCs w:val="22"/>
              </w:rPr>
              <w:t>.00</w:t>
            </w:r>
          </w:p>
        </w:tc>
      </w:tr>
      <w:tr w:rsidR="00633DD4" w:rsidRPr="0015716C" w14:paraId="6536E8D4" w14:textId="77777777" w:rsidTr="00FF4012">
        <w:trPr>
          <w:trHeight w:val="312"/>
        </w:trPr>
        <w:tc>
          <w:tcPr>
            <w:tcW w:w="6570" w:type="dxa"/>
            <w:tcBorders>
              <w:top w:val="single" w:sz="4" w:space="0" w:color="auto"/>
              <w:left w:val="single" w:sz="4" w:space="0" w:color="auto"/>
              <w:bottom w:val="single" w:sz="4" w:space="0" w:color="auto"/>
            </w:tcBorders>
          </w:tcPr>
          <w:p w14:paraId="4ACA5007" w14:textId="77777777" w:rsidR="00633DD4" w:rsidRPr="00E17878" w:rsidRDefault="00633DD4" w:rsidP="004D6793">
            <w:pPr>
              <w:widowControl w:val="0"/>
              <w:rPr>
                <w:rFonts w:ascii="Times New Roman" w:hAnsi="Times New Roman"/>
                <w:snapToGrid w:val="0"/>
                <w:sz w:val="22"/>
                <w:szCs w:val="22"/>
              </w:rPr>
            </w:pPr>
            <w:r w:rsidRPr="00E17878">
              <w:rPr>
                <w:rFonts w:ascii="Times New Roman" w:hAnsi="Times New Roman"/>
                <w:snapToGrid w:val="0"/>
                <w:sz w:val="22"/>
                <w:szCs w:val="22"/>
              </w:rPr>
              <w:t>Other Department staff to review and approve the request:</w:t>
            </w:r>
          </w:p>
          <w:p w14:paraId="4E6CF316" w14:textId="77777777" w:rsidR="00633DD4" w:rsidRPr="0015716C" w:rsidRDefault="00633DD4" w:rsidP="004D6793">
            <w:pPr>
              <w:widowControl w:val="0"/>
              <w:rPr>
                <w:rFonts w:ascii="Times New Roman" w:hAnsi="Times New Roman"/>
                <w:snapToGrid w:val="0"/>
                <w:sz w:val="22"/>
                <w:szCs w:val="22"/>
              </w:rPr>
            </w:pPr>
            <w:r w:rsidRPr="008F6483">
              <w:rPr>
                <w:rFonts w:ascii="Times New Roman" w:hAnsi="Times New Roman"/>
                <w:snapToGrid w:val="0"/>
                <w:sz w:val="22"/>
                <w:szCs w:val="22"/>
              </w:rPr>
              <w:t>(GS 15 employee) $6</w:t>
            </w:r>
            <w:r w:rsidR="0079302C" w:rsidRPr="0015716C">
              <w:rPr>
                <w:rFonts w:ascii="Times New Roman" w:hAnsi="Times New Roman"/>
                <w:snapToGrid w:val="0"/>
                <w:sz w:val="22"/>
                <w:szCs w:val="22"/>
              </w:rPr>
              <w:t>5 per hour X 14 hours = $910</w:t>
            </w:r>
            <w:r w:rsidRPr="0015716C">
              <w:rPr>
                <w:rFonts w:ascii="Times New Roman" w:hAnsi="Times New Roman"/>
                <w:snapToGrid w:val="0"/>
                <w:sz w:val="22"/>
                <w:szCs w:val="22"/>
              </w:rPr>
              <w:t>.00</w:t>
            </w:r>
          </w:p>
          <w:p w14:paraId="44B664F7" w14:textId="77777777" w:rsidR="00633DD4" w:rsidRPr="0015716C" w:rsidRDefault="00633DD4" w:rsidP="004D6793">
            <w:pPr>
              <w:widowControl w:val="0"/>
              <w:rPr>
                <w:rFonts w:ascii="Times New Roman" w:hAnsi="Times New Roman"/>
                <w:snapToGrid w:val="0"/>
                <w:sz w:val="22"/>
                <w:szCs w:val="22"/>
              </w:rPr>
            </w:pPr>
            <w:r w:rsidRPr="0015716C">
              <w:rPr>
                <w:rFonts w:ascii="Times New Roman" w:hAnsi="Times New Roman"/>
                <w:snapToGrid w:val="0"/>
                <w:sz w:val="22"/>
                <w:szCs w:val="22"/>
              </w:rPr>
              <w:t>(GS 14 employee) $5</w:t>
            </w:r>
            <w:r w:rsidR="0079302C" w:rsidRPr="0015716C">
              <w:rPr>
                <w:rFonts w:ascii="Times New Roman" w:hAnsi="Times New Roman"/>
                <w:snapToGrid w:val="0"/>
                <w:sz w:val="22"/>
                <w:szCs w:val="22"/>
              </w:rPr>
              <w:t>5 per hour X 20 hours = $1,1</w:t>
            </w:r>
            <w:r w:rsidRPr="0015716C">
              <w:rPr>
                <w:rFonts w:ascii="Times New Roman" w:hAnsi="Times New Roman"/>
                <w:snapToGrid w:val="0"/>
                <w:sz w:val="22"/>
                <w:szCs w:val="22"/>
              </w:rPr>
              <w:t>00.00</w:t>
            </w:r>
          </w:p>
          <w:p w14:paraId="244C26A2" w14:textId="77777777" w:rsidR="00633DD4" w:rsidRPr="0015716C" w:rsidRDefault="00633DD4" w:rsidP="0079302C">
            <w:pPr>
              <w:widowControl w:val="0"/>
              <w:rPr>
                <w:rFonts w:ascii="Times New Roman" w:hAnsi="Times New Roman"/>
                <w:snapToGrid w:val="0"/>
                <w:sz w:val="22"/>
                <w:szCs w:val="22"/>
              </w:rPr>
            </w:pPr>
            <w:r w:rsidRPr="0015716C">
              <w:rPr>
                <w:rFonts w:ascii="Times New Roman" w:hAnsi="Times New Roman"/>
                <w:snapToGrid w:val="0"/>
                <w:sz w:val="22"/>
                <w:szCs w:val="22"/>
              </w:rPr>
              <w:t>Overhead costs:  $</w:t>
            </w:r>
            <w:r w:rsidR="0079302C" w:rsidRPr="0015716C">
              <w:rPr>
                <w:rFonts w:ascii="Times New Roman" w:hAnsi="Times New Roman"/>
                <w:snapToGrid w:val="0"/>
                <w:sz w:val="22"/>
                <w:szCs w:val="22"/>
              </w:rPr>
              <w:t>2,010</w:t>
            </w:r>
            <w:r w:rsidRPr="0015716C">
              <w:rPr>
                <w:rFonts w:ascii="Times New Roman" w:hAnsi="Times New Roman"/>
                <w:snapToGrid w:val="0"/>
                <w:sz w:val="22"/>
                <w:szCs w:val="22"/>
              </w:rPr>
              <w:t>.00 X 50 percent = $</w:t>
            </w:r>
            <w:r w:rsidR="0079302C" w:rsidRPr="0015716C">
              <w:rPr>
                <w:rFonts w:ascii="Times New Roman" w:hAnsi="Times New Roman"/>
                <w:snapToGrid w:val="0"/>
                <w:sz w:val="22"/>
                <w:szCs w:val="22"/>
              </w:rPr>
              <w:t>1,005</w:t>
            </w:r>
            <w:r w:rsidRPr="0015716C">
              <w:rPr>
                <w:rFonts w:ascii="Times New Roman" w:hAnsi="Times New Roman"/>
                <w:snapToGrid w:val="0"/>
                <w:sz w:val="22"/>
                <w:szCs w:val="22"/>
              </w:rPr>
              <w:t>.00</w:t>
            </w:r>
          </w:p>
        </w:tc>
        <w:tc>
          <w:tcPr>
            <w:tcW w:w="1295" w:type="dxa"/>
            <w:tcBorders>
              <w:top w:val="single" w:sz="4" w:space="0" w:color="auto"/>
              <w:left w:val="single" w:sz="4" w:space="0" w:color="auto"/>
              <w:bottom w:val="single" w:sz="4" w:space="0" w:color="auto"/>
              <w:right w:val="single" w:sz="4" w:space="0" w:color="auto"/>
            </w:tcBorders>
            <w:vAlign w:val="bottom"/>
          </w:tcPr>
          <w:p w14:paraId="1872D298" w14:textId="77777777" w:rsidR="00633DD4" w:rsidRPr="0015716C" w:rsidRDefault="00633DD4" w:rsidP="004337E2">
            <w:pPr>
              <w:widowControl w:val="0"/>
              <w:jc w:val="right"/>
              <w:rPr>
                <w:rFonts w:ascii="Times New Roman" w:hAnsi="Times New Roman"/>
                <w:snapToGrid w:val="0"/>
                <w:sz w:val="22"/>
                <w:szCs w:val="22"/>
              </w:rPr>
            </w:pPr>
          </w:p>
          <w:p w14:paraId="0805DE79" w14:textId="77777777" w:rsidR="00633DD4" w:rsidRPr="0015716C" w:rsidRDefault="00633DD4" w:rsidP="004337E2">
            <w:pPr>
              <w:widowControl w:val="0"/>
              <w:jc w:val="right"/>
              <w:rPr>
                <w:rFonts w:ascii="Times New Roman" w:hAnsi="Times New Roman"/>
                <w:snapToGrid w:val="0"/>
                <w:sz w:val="22"/>
                <w:szCs w:val="22"/>
              </w:rPr>
            </w:pPr>
          </w:p>
          <w:p w14:paraId="643485D9" w14:textId="77777777" w:rsidR="00633DD4" w:rsidRPr="0015716C" w:rsidRDefault="00633DD4" w:rsidP="004337E2">
            <w:pPr>
              <w:widowControl w:val="0"/>
              <w:jc w:val="right"/>
              <w:rPr>
                <w:rFonts w:ascii="Times New Roman" w:hAnsi="Times New Roman"/>
                <w:snapToGrid w:val="0"/>
                <w:sz w:val="22"/>
                <w:szCs w:val="22"/>
              </w:rPr>
            </w:pPr>
          </w:p>
          <w:p w14:paraId="4DFFB105" w14:textId="77777777" w:rsidR="00633DD4" w:rsidRPr="0015716C" w:rsidRDefault="00633DD4" w:rsidP="004337E2">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79302C" w:rsidRPr="0015716C">
              <w:rPr>
                <w:rFonts w:ascii="Times New Roman" w:hAnsi="Times New Roman"/>
                <w:snapToGrid w:val="0"/>
                <w:sz w:val="22"/>
                <w:szCs w:val="22"/>
              </w:rPr>
              <w:t>3</w:t>
            </w:r>
            <w:r w:rsidRPr="0015716C">
              <w:rPr>
                <w:rFonts w:ascii="Times New Roman" w:hAnsi="Times New Roman"/>
                <w:snapToGrid w:val="0"/>
                <w:sz w:val="22"/>
                <w:szCs w:val="22"/>
              </w:rPr>
              <w:t>,</w:t>
            </w:r>
            <w:r w:rsidR="0079302C" w:rsidRPr="0015716C">
              <w:rPr>
                <w:rFonts w:ascii="Times New Roman" w:hAnsi="Times New Roman"/>
                <w:snapToGrid w:val="0"/>
                <w:sz w:val="22"/>
                <w:szCs w:val="22"/>
              </w:rPr>
              <w:t>015</w:t>
            </w:r>
            <w:r w:rsidRPr="0015716C">
              <w:rPr>
                <w:rFonts w:ascii="Times New Roman" w:hAnsi="Times New Roman"/>
                <w:snapToGrid w:val="0"/>
                <w:sz w:val="22"/>
                <w:szCs w:val="22"/>
              </w:rPr>
              <w:t>.00</w:t>
            </w:r>
          </w:p>
        </w:tc>
      </w:tr>
      <w:tr w:rsidR="00633DD4" w:rsidRPr="0015716C" w14:paraId="55659EF3" w14:textId="77777777" w:rsidTr="00FF4012">
        <w:trPr>
          <w:trHeight w:val="312"/>
        </w:trPr>
        <w:tc>
          <w:tcPr>
            <w:tcW w:w="6570" w:type="dxa"/>
            <w:tcBorders>
              <w:top w:val="single" w:sz="4" w:space="0" w:color="auto"/>
              <w:left w:val="single" w:sz="4" w:space="0" w:color="auto"/>
              <w:bottom w:val="single" w:sz="4" w:space="0" w:color="auto"/>
            </w:tcBorders>
          </w:tcPr>
          <w:p w14:paraId="068EE8F5" w14:textId="77777777" w:rsidR="00633DD4" w:rsidRPr="00E17878" w:rsidRDefault="00633DD4" w:rsidP="004D6793">
            <w:pPr>
              <w:widowControl w:val="0"/>
              <w:rPr>
                <w:rFonts w:ascii="Times New Roman" w:hAnsi="Times New Roman"/>
                <w:snapToGrid w:val="0"/>
                <w:sz w:val="22"/>
                <w:szCs w:val="22"/>
              </w:rPr>
            </w:pPr>
            <w:r w:rsidRPr="00E17878">
              <w:rPr>
                <w:rFonts w:ascii="Times New Roman" w:hAnsi="Times New Roman"/>
                <w:snapToGrid w:val="0"/>
                <w:sz w:val="22"/>
                <w:szCs w:val="22"/>
              </w:rPr>
              <w:t>OMB Review (estimated)</w:t>
            </w:r>
          </w:p>
          <w:p w14:paraId="338BAD9C" w14:textId="77777777" w:rsidR="00633DD4" w:rsidRPr="0015716C" w:rsidRDefault="0079302C" w:rsidP="004D6793">
            <w:pPr>
              <w:widowControl w:val="0"/>
              <w:rPr>
                <w:rFonts w:ascii="Times New Roman" w:hAnsi="Times New Roman"/>
                <w:snapToGrid w:val="0"/>
                <w:sz w:val="22"/>
                <w:szCs w:val="22"/>
              </w:rPr>
            </w:pPr>
            <w:r w:rsidRPr="008F6483">
              <w:rPr>
                <w:rFonts w:ascii="Times New Roman" w:hAnsi="Times New Roman"/>
                <w:snapToGrid w:val="0"/>
                <w:sz w:val="22"/>
                <w:szCs w:val="22"/>
              </w:rPr>
              <w:t>12</w:t>
            </w:r>
            <w:r w:rsidR="00F17D11" w:rsidRPr="0015716C">
              <w:rPr>
                <w:rFonts w:ascii="Times New Roman" w:hAnsi="Times New Roman"/>
                <w:snapToGrid w:val="0"/>
                <w:sz w:val="22"/>
                <w:szCs w:val="22"/>
              </w:rPr>
              <w:t xml:space="preserve"> </w:t>
            </w:r>
            <w:r w:rsidR="00633DD4" w:rsidRPr="0015716C">
              <w:rPr>
                <w:rFonts w:ascii="Times New Roman" w:hAnsi="Times New Roman"/>
                <w:snapToGrid w:val="0"/>
                <w:sz w:val="22"/>
                <w:szCs w:val="22"/>
              </w:rPr>
              <w:t>h</w:t>
            </w:r>
            <w:r w:rsidR="00F17D11" w:rsidRPr="0015716C">
              <w:rPr>
                <w:rFonts w:ascii="Times New Roman" w:hAnsi="Times New Roman"/>
                <w:snapToGrid w:val="0"/>
                <w:sz w:val="22"/>
                <w:szCs w:val="22"/>
              </w:rPr>
              <w:t>ou</w:t>
            </w:r>
            <w:r w:rsidR="00633DD4" w:rsidRPr="0015716C">
              <w:rPr>
                <w:rFonts w:ascii="Times New Roman" w:hAnsi="Times New Roman"/>
                <w:snapToGrid w:val="0"/>
                <w:sz w:val="22"/>
                <w:szCs w:val="22"/>
              </w:rPr>
              <w:t>rs x $4</w:t>
            </w:r>
            <w:r w:rsidRPr="0015716C">
              <w:rPr>
                <w:rFonts w:ascii="Times New Roman" w:hAnsi="Times New Roman"/>
                <w:snapToGrid w:val="0"/>
                <w:sz w:val="22"/>
                <w:szCs w:val="22"/>
              </w:rPr>
              <w:t>7</w:t>
            </w:r>
            <w:r w:rsidR="00633DD4" w:rsidRPr="0015716C">
              <w:rPr>
                <w:rFonts w:ascii="Times New Roman" w:hAnsi="Times New Roman"/>
                <w:snapToGrid w:val="0"/>
                <w:sz w:val="22"/>
                <w:szCs w:val="22"/>
              </w:rPr>
              <w:t xml:space="preserve">.00 per hour </w:t>
            </w:r>
          </w:p>
          <w:p w14:paraId="109012C4" w14:textId="77777777" w:rsidR="00633DD4" w:rsidRPr="0015716C" w:rsidRDefault="00633DD4" w:rsidP="005E3AD3">
            <w:pPr>
              <w:widowControl w:val="0"/>
              <w:rPr>
                <w:rFonts w:ascii="Times New Roman" w:hAnsi="Times New Roman"/>
                <w:snapToGrid w:val="0"/>
                <w:sz w:val="22"/>
                <w:szCs w:val="22"/>
              </w:rPr>
            </w:pPr>
            <w:r w:rsidRPr="0015716C">
              <w:rPr>
                <w:rFonts w:ascii="Times New Roman" w:hAnsi="Times New Roman"/>
                <w:snapToGrid w:val="0"/>
                <w:sz w:val="22"/>
                <w:szCs w:val="22"/>
              </w:rPr>
              <w:t>Overhead costs:  $</w:t>
            </w:r>
            <w:r w:rsidR="005E3AD3" w:rsidRPr="0015716C">
              <w:rPr>
                <w:rFonts w:ascii="Times New Roman" w:hAnsi="Times New Roman"/>
                <w:snapToGrid w:val="0"/>
                <w:sz w:val="22"/>
                <w:szCs w:val="22"/>
              </w:rPr>
              <w:t>564</w:t>
            </w:r>
            <w:r w:rsidRPr="0015716C">
              <w:rPr>
                <w:rFonts w:ascii="Times New Roman" w:hAnsi="Times New Roman"/>
                <w:snapToGrid w:val="0"/>
                <w:sz w:val="22"/>
                <w:szCs w:val="22"/>
              </w:rPr>
              <w:t xml:space="preserve"> X 50 percent</w:t>
            </w:r>
          </w:p>
        </w:tc>
        <w:tc>
          <w:tcPr>
            <w:tcW w:w="1295" w:type="dxa"/>
            <w:tcBorders>
              <w:top w:val="single" w:sz="4" w:space="0" w:color="auto"/>
              <w:left w:val="single" w:sz="4" w:space="0" w:color="auto"/>
              <w:bottom w:val="single" w:sz="4" w:space="0" w:color="auto"/>
              <w:right w:val="single" w:sz="4" w:space="0" w:color="auto"/>
            </w:tcBorders>
            <w:vAlign w:val="bottom"/>
          </w:tcPr>
          <w:p w14:paraId="022C9B8F" w14:textId="77777777" w:rsidR="00633DD4" w:rsidRPr="0015716C" w:rsidRDefault="00633DD4" w:rsidP="004337E2">
            <w:pPr>
              <w:widowControl w:val="0"/>
              <w:jc w:val="right"/>
              <w:rPr>
                <w:rFonts w:ascii="Times New Roman" w:hAnsi="Times New Roman"/>
                <w:snapToGrid w:val="0"/>
                <w:sz w:val="22"/>
                <w:szCs w:val="22"/>
              </w:rPr>
            </w:pPr>
          </w:p>
          <w:p w14:paraId="045872D4" w14:textId="77777777" w:rsidR="00633DD4" w:rsidRPr="0015716C" w:rsidRDefault="00633DD4" w:rsidP="004337E2">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5E3AD3" w:rsidRPr="0015716C">
              <w:rPr>
                <w:rFonts w:ascii="Times New Roman" w:hAnsi="Times New Roman"/>
                <w:snapToGrid w:val="0"/>
                <w:sz w:val="22"/>
                <w:szCs w:val="22"/>
              </w:rPr>
              <w:t>564</w:t>
            </w:r>
            <w:r w:rsidRPr="0015716C">
              <w:rPr>
                <w:rFonts w:ascii="Times New Roman" w:hAnsi="Times New Roman"/>
                <w:snapToGrid w:val="0"/>
                <w:sz w:val="22"/>
                <w:szCs w:val="22"/>
              </w:rPr>
              <w:t>.00</w:t>
            </w:r>
          </w:p>
          <w:p w14:paraId="5039D322" w14:textId="77777777" w:rsidR="00633DD4" w:rsidRPr="0015716C" w:rsidRDefault="00633DD4" w:rsidP="004337E2">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5E3AD3" w:rsidRPr="0015716C">
              <w:rPr>
                <w:rFonts w:ascii="Times New Roman" w:hAnsi="Times New Roman"/>
                <w:snapToGrid w:val="0"/>
                <w:sz w:val="22"/>
                <w:szCs w:val="22"/>
              </w:rPr>
              <w:t>282</w:t>
            </w:r>
            <w:r w:rsidRPr="0015716C">
              <w:rPr>
                <w:rFonts w:ascii="Times New Roman" w:hAnsi="Times New Roman"/>
                <w:snapToGrid w:val="0"/>
                <w:sz w:val="22"/>
                <w:szCs w:val="22"/>
              </w:rPr>
              <w:t>.00</w:t>
            </w:r>
          </w:p>
        </w:tc>
      </w:tr>
      <w:tr w:rsidR="00633DD4" w:rsidRPr="0015716C" w14:paraId="746AAF6F" w14:textId="77777777" w:rsidTr="00FF4012">
        <w:trPr>
          <w:trHeight w:val="296"/>
        </w:trPr>
        <w:tc>
          <w:tcPr>
            <w:tcW w:w="6570" w:type="dxa"/>
            <w:tcBorders>
              <w:top w:val="single" w:sz="4" w:space="0" w:color="auto"/>
              <w:left w:val="single" w:sz="4" w:space="0" w:color="auto"/>
              <w:bottom w:val="single" w:sz="4" w:space="0" w:color="auto"/>
            </w:tcBorders>
            <w:shd w:val="clear" w:color="auto" w:fill="E5DFEC" w:themeFill="accent4" w:themeFillTint="33"/>
            <w:vAlign w:val="bottom"/>
          </w:tcPr>
          <w:p w14:paraId="368FB881" w14:textId="77777777" w:rsidR="00633DD4" w:rsidRPr="00E17878" w:rsidRDefault="00633DD4" w:rsidP="004337E2">
            <w:pPr>
              <w:pStyle w:val="Heading1"/>
              <w:spacing w:before="0"/>
              <w:rPr>
                <w:rFonts w:ascii="Times New Roman" w:hAnsi="Times New Roman"/>
                <w:bCs w:val="0"/>
                <w:sz w:val="22"/>
                <w:szCs w:val="22"/>
              </w:rPr>
            </w:pPr>
            <w:r w:rsidRPr="00E17878">
              <w:rPr>
                <w:rFonts w:ascii="Times New Roman" w:hAnsi="Times New Roman"/>
                <w:bCs w:val="0"/>
                <w:sz w:val="22"/>
                <w:szCs w:val="22"/>
              </w:rPr>
              <w:t>Other Administrative Costs</w:t>
            </w:r>
          </w:p>
        </w:tc>
        <w:tc>
          <w:tcPr>
            <w:tcW w:w="1295" w:type="dxa"/>
            <w:tcBorders>
              <w:top w:val="single" w:sz="4" w:space="0" w:color="auto"/>
              <w:left w:val="single" w:sz="4" w:space="0" w:color="auto"/>
              <w:bottom w:val="single" w:sz="4" w:space="0" w:color="auto"/>
              <w:right w:val="single" w:sz="4" w:space="0" w:color="auto"/>
            </w:tcBorders>
            <w:vAlign w:val="bottom"/>
          </w:tcPr>
          <w:p w14:paraId="42A5F9BD" w14:textId="77777777" w:rsidR="00633DD4" w:rsidRPr="008F6483" w:rsidRDefault="00633DD4" w:rsidP="004337E2">
            <w:pPr>
              <w:widowControl w:val="0"/>
              <w:jc w:val="right"/>
              <w:rPr>
                <w:rFonts w:ascii="Times New Roman" w:hAnsi="Times New Roman"/>
                <w:snapToGrid w:val="0"/>
                <w:sz w:val="22"/>
                <w:szCs w:val="22"/>
              </w:rPr>
            </w:pPr>
          </w:p>
        </w:tc>
      </w:tr>
      <w:tr w:rsidR="00633DD4" w:rsidRPr="0015716C" w14:paraId="533922D5" w14:textId="77777777" w:rsidTr="00FF4012">
        <w:trPr>
          <w:trHeight w:val="312"/>
        </w:trPr>
        <w:tc>
          <w:tcPr>
            <w:tcW w:w="6570" w:type="dxa"/>
            <w:tcBorders>
              <w:top w:val="single" w:sz="4" w:space="0" w:color="auto"/>
              <w:left w:val="single" w:sz="4" w:space="0" w:color="auto"/>
              <w:bottom w:val="single" w:sz="4" w:space="0" w:color="auto"/>
            </w:tcBorders>
          </w:tcPr>
          <w:p w14:paraId="3BD9251E" w14:textId="77777777" w:rsidR="00633DD4" w:rsidRPr="008F6483" w:rsidRDefault="005E3AD3" w:rsidP="005E3AD3">
            <w:pPr>
              <w:widowControl w:val="0"/>
              <w:rPr>
                <w:rFonts w:ascii="Times New Roman" w:hAnsi="Times New Roman"/>
                <w:snapToGrid w:val="0"/>
                <w:sz w:val="22"/>
                <w:szCs w:val="22"/>
              </w:rPr>
            </w:pPr>
            <w:r w:rsidRPr="00E17878">
              <w:rPr>
                <w:rFonts w:ascii="Times New Roman" w:hAnsi="Times New Roman"/>
                <w:b/>
                <w:bCs/>
                <w:sz w:val="22"/>
                <w:szCs w:val="22"/>
              </w:rPr>
              <w:t>Annual Web Development</w:t>
            </w:r>
            <w:r w:rsidRPr="00E17878">
              <w:rPr>
                <w:rFonts w:ascii="Times New Roman" w:hAnsi="Times New Roman"/>
                <w:bCs/>
                <w:sz w:val="22"/>
                <w:szCs w:val="22"/>
              </w:rPr>
              <w:t>—Annual contract cost for development of APR Web application, Web-based data collection, Help Desk support, data processing, and grantee PE reports</w:t>
            </w:r>
          </w:p>
        </w:tc>
        <w:tc>
          <w:tcPr>
            <w:tcW w:w="1295" w:type="dxa"/>
            <w:tcBorders>
              <w:top w:val="single" w:sz="4" w:space="0" w:color="auto"/>
              <w:left w:val="single" w:sz="4" w:space="0" w:color="auto"/>
              <w:bottom w:val="single" w:sz="4" w:space="0" w:color="auto"/>
              <w:right w:val="single" w:sz="4" w:space="0" w:color="auto"/>
            </w:tcBorders>
            <w:vAlign w:val="bottom"/>
          </w:tcPr>
          <w:p w14:paraId="1471CA0A" w14:textId="77777777" w:rsidR="00633DD4" w:rsidRPr="0015716C" w:rsidRDefault="00633DD4" w:rsidP="004337E2">
            <w:pPr>
              <w:widowControl w:val="0"/>
              <w:jc w:val="right"/>
              <w:rPr>
                <w:rFonts w:ascii="Times New Roman" w:hAnsi="Times New Roman"/>
                <w:snapToGrid w:val="0"/>
                <w:sz w:val="22"/>
                <w:szCs w:val="22"/>
              </w:rPr>
            </w:pPr>
          </w:p>
          <w:p w14:paraId="6C60A8D0" w14:textId="77777777" w:rsidR="00633DD4" w:rsidRPr="0015716C" w:rsidRDefault="00633DD4" w:rsidP="006A44FA">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6A44FA" w:rsidRPr="0015716C">
              <w:rPr>
                <w:rFonts w:ascii="Times New Roman" w:hAnsi="Times New Roman"/>
                <w:snapToGrid w:val="0"/>
                <w:sz w:val="22"/>
                <w:szCs w:val="22"/>
              </w:rPr>
              <w:t>113,999</w:t>
            </w:r>
            <w:r w:rsidR="00FF4012" w:rsidRPr="0015716C">
              <w:rPr>
                <w:rFonts w:ascii="Times New Roman" w:hAnsi="Times New Roman"/>
                <w:snapToGrid w:val="0"/>
                <w:sz w:val="22"/>
                <w:szCs w:val="22"/>
              </w:rPr>
              <w:t>.00</w:t>
            </w:r>
          </w:p>
        </w:tc>
      </w:tr>
      <w:tr w:rsidR="00633DD4" w:rsidRPr="0015716C" w14:paraId="79A99C86" w14:textId="77777777" w:rsidTr="00FF4012">
        <w:trPr>
          <w:trHeight w:val="312"/>
        </w:trPr>
        <w:tc>
          <w:tcPr>
            <w:tcW w:w="6570" w:type="dxa"/>
            <w:tcBorders>
              <w:top w:val="single" w:sz="4" w:space="0" w:color="auto"/>
              <w:left w:val="single" w:sz="4" w:space="0" w:color="auto"/>
              <w:bottom w:val="single" w:sz="4" w:space="0" w:color="auto"/>
            </w:tcBorders>
          </w:tcPr>
          <w:p w14:paraId="51FA152D" w14:textId="77777777" w:rsidR="00633DD4" w:rsidRPr="008F6483" w:rsidRDefault="005E3AD3" w:rsidP="005E3AD3">
            <w:pPr>
              <w:widowControl w:val="0"/>
              <w:rPr>
                <w:rFonts w:ascii="Times New Roman" w:hAnsi="Times New Roman"/>
                <w:snapToGrid w:val="0"/>
                <w:sz w:val="22"/>
                <w:szCs w:val="22"/>
              </w:rPr>
            </w:pPr>
            <w:r w:rsidRPr="00E17878">
              <w:rPr>
                <w:rFonts w:ascii="Times New Roman" w:hAnsi="Times New Roman"/>
                <w:b/>
                <w:snapToGrid w:val="0"/>
                <w:sz w:val="22"/>
                <w:szCs w:val="22"/>
              </w:rPr>
              <w:t>Annual Data Analysis</w:t>
            </w:r>
            <w:r w:rsidRPr="00E17878">
              <w:rPr>
                <w:rFonts w:ascii="Times New Roman" w:hAnsi="Times New Roman"/>
                <w:snapToGrid w:val="0"/>
                <w:sz w:val="22"/>
                <w:szCs w:val="22"/>
              </w:rPr>
              <w:t xml:space="preserve">—Analyses </w:t>
            </w:r>
            <w:r w:rsidR="00633DD4" w:rsidRPr="00E17878">
              <w:rPr>
                <w:rFonts w:ascii="Times New Roman" w:hAnsi="Times New Roman"/>
                <w:snapToGrid w:val="0"/>
                <w:sz w:val="22"/>
                <w:szCs w:val="22"/>
              </w:rPr>
              <w:t>of data and preparation of national summary and individual project reports (contractor costs)</w:t>
            </w:r>
          </w:p>
        </w:tc>
        <w:tc>
          <w:tcPr>
            <w:tcW w:w="1295" w:type="dxa"/>
            <w:tcBorders>
              <w:top w:val="single" w:sz="4" w:space="0" w:color="auto"/>
              <w:left w:val="single" w:sz="4" w:space="0" w:color="auto"/>
              <w:bottom w:val="single" w:sz="4" w:space="0" w:color="auto"/>
              <w:right w:val="single" w:sz="4" w:space="0" w:color="auto"/>
            </w:tcBorders>
            <w:vAlign w:val="bottom"/>
          </w:tcPr>
          <w:p w14:paraId="020B4A59" w14:textId="77777777" w:rsidR="00633DD4" w:rsidRPr="0015716C" w:rsidRDefault="00633DD4" w:rsidP="004337E2">
            <w:pPr>
              <w:widowControl w:val="0"/>
              <w:jc w:val="right"/>
              <w:rPr>
                <w:rFonts w:ascii="Times New Roman" w:hAnsi="Times New Roman"/>
                <w:snapToGrid w:val="0"/>
                <w:sz w:val="22"/>
                <w:szCs w:val="22"/>
              </w:rPr>
            </w:pPr>
          </w:p>
          <w:p w14:paraId="062FFA7F" w14:textId="77777777" w:rsidR="00633DD4" w:rsidRPr="0015716C" w:rsidRDefault="00633DD4" w:rsidP="006A44FA">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6A44FA" w:rsidRPr="0015716C">
              <w:rPr>
                <w:rFonts w:ascii="Times New Roman" w:hAnsi="Times New Roman"/>
                <w:snapToGrid w:val="0"/>
                <w:sz w:val="22"/>
                <w:szCs w:val="22"/>
              </w:rPr>
              <w:t>147</w:t>
            </w:r>
            <w:r w:rsidRPr="0015716C">
              <w:rPr>
                <w:rFonts w:ascii="Times New Roman" w:hAnsi="Times New Roman"/>
                <w:snapToGrid w:val="0"/>
                <w:sz w:val="22"/>
                <w:szCs w:val="22"/>
              </w:rPr>
              <w:t>,000.00</w:t>
            </w:r>
          </w:p>
        </w:tc>
      </w:tr>
      <w:tr w:rsidR="00633DD4" w:rsidRPr="0015716C" w14:paraId="0285DB15" w14:textId="77777777" w:rsidTr="00FF4012">
        <w:trPr>
          <w:trHeight w:val="422"/>
        </w:trPr>
        <w:tc>
          <w:tcPr>
            <w:tcW w:w="6570" w:type="dxa"/>
            <w:tcBorders>
              <w:top w:val="single" w:sz="4" w:space="0" w:color="auto"/>
              <w:left w:val="single" w:sz="4" w:space="0" w:color="auto"/>
              <w:bottom w:val="single" w:sz="4" w:space="0" w:color="auto"/>
            </w:tcBorders>
            <w:vAlign w:val="center"/>
          </w:tcPr>
          <w:p w14:paraId="7AE6AEF6" w14:textId="77777777" w:rsidR="00633DD4" w:rsidRPr="00E17878" w:rsidRDefault="00633DD4" w:rsidP="004337E2">
            <w:pPr>
              <w:pStyle w:val="Heading1"/>
              <w:widowControl w:val="0"/>
              <w:spacing w:before="0"/>
              <w:jc w:val="center"/>
              <w:rPr>
                <w:rFonts w:ascii="Times New Roman" w:hAnsi="Times New Roman"/>
                <w:bCs w:val="0"/>
                <w:snapToGrid w:val="0"/>
                <w:sz w:val="22"/>
                <w:szCs w:val="22"/>
              </w:rPr>
            </w:pPr>
            <w:r w:rsidRPr="00E17878">
              <w:rPr>
                <w:rFonts w:ascii="Times New Roman" w:hAnsi="Times New Roman"/>
                <w:bCs w:val="0"/>
                <w:snapToGrid w:val="0"/>
                <w:sz w:val="22"/>
                <w:szCs w:val="22"/>
              </w:rPr>
              <w:t>Total Annual Government Cost</w:t>
            </w:r>
          </w:p>
        </w:tc>
        <w:tc>
          <w:tcPr>
            <w:tcW w:w="1295" w:type="dxa"/>
            <w:tcBorders>
              <w:top w:val="single" w:sz="4" w:space="0" w:color="auto"/>
              <w:left w:val="single" w:sz="4" w:space="0" w:color="auto"/>
              <w:bottom w:val="single" w:sz="4" w:space="0" w:color="auto"/>
              <w:right w:val="single" w:sz="4" w:space="0" w:color="auto"/>
            </w:tcBorders>
            <w:vAlign w:val="center"/>
          </w:tcPr>
          <w:p w14:paraId="7ED312D1" w14:textId="77777777" w:rsidR="00633DD4" w:rsidRPr="0015716C" w:rsidRDefault="005E3AD3" w:rsidP="006A44FA">
            <w:pPr>
              <w:widowControl w:val="0"/>
              <w:jc w:val="right"/>
              <w:rPr>
                <w:rFonts w:ascii="Times New Roman" w:hAnsi="Times New Roman"/>
                <w:b/>
                <w:snapToGrid w:val="0"/>
                <w:sz w:val="22"/>
                <w:szCs w:val="22"/>
              </w:rPr>
            </w:pPr>
            <w:r w:rsidRPr="008F6483">
              <w:rPr>
                <w:rFonts w:ascii="Times New Roman" w:hAnsi="Times New Roman"/>
                <w:b/>
                <w:snapToGrid w:val="0"/>
                <w:sz w:val="22"/>
                <w:szCs w:val="22"/>
              </w:rPr>
              <w:t>$</w:t>
            </w:r>
            <w:r w:rsidR="006A44FA" w:rsidRPr="0015716C">
              <w:rPr>
                <w:rFonts w:ascii="Times New Roman" w:hAnsi="Times New Roman"/>
                <w:b/>
                <w:snapToGrid w:val="0"/>
                <w:sz w:val="22"/>
                <w:szCs w:val="22"/>
              </w:rPr>
              <w:t>268,573</w:t>
            </w:r>
            <w:r w:rsidR="00FF4012" w:rsidRPr="0015716C">
              <w:rPr>
                <w:rFonts w:ascii="Times New Roman" w:hAnsi="Times New Roman"/>
                <w:b/>
                <w:snapToGrid w:val="0"/>
                <w:sz w:val="22"/>
                <w:szCs w:val="22"/>
              </w:rPr>
              <w:t>.00</w:t>
            </w:r>
          </w:p>
        </w:tc>
      </w:tr>
    </w:tbl>
    <w:p w14:paraId="6432718B" w14:textId="77777777" w:rsidR="00633DD4" w:rsidRPr="00E17878" w:rsidRDefault="00633DD4" w:rsidP="004337E2">
      <w:pPr>
        <w:widowControl w:val="0"/>
        <w:rPr>
          <w:rFonts w:ascii="Times New Roman" w:hAnsi="Times New Roman"/>
          <w:snapToGrid w:val="0"/>
          <w:sz w:val="22"/>
          <w:szCs w:val="22"/>
        </w:rPr>
      </w:pPr>
    </w:p>
    <w:p w14:paraId="7E3AD52F" w14:textId="77777777" w:rsidR="00C377B6" w:rsidRPr="0015716C" w:rsidRDefault="00C377B6" w:rsidP="00C377B6">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15.  </w:t>
      </w:r>
      <w:r w:rsidRPr="00E17878">
        <w:rPr>
          <w:rFonts w:ascii="Times New Roman" w:hAnsi="Times New Roman"/>
          <w:i/>
          <w:sz w:val="22"/>
          <w:szCs w:val="22"/>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w:t>
      </w:r>
      <w:r w:rsidRPr="008F6483">
        <w:rPr>
          <w:rFonts w:ascii="Times New Roman" w:hAnsi="Times New Roman"/>
          <w:i/>
          <w:sz w:val="22"/>
          <w:szCs w:val="22"/>
        </w:rPr>
        <w:t xml:space="preserve"> collection of information and generally are result of new statute or an agency action (e.g., changing a form, revising regulations, redefining the respondent universe, etc.).</w:t>
      </w:r>
      <w:r w:rsidR="00276439" w:rsidRPr="0015716C">
        <w:rPr>
          <w:rFonts w:ascii="Times New Roman" w:hAnsi="Times New Roman"/>
          <w:i/>
          <w:sz w:val="22"/>
          <w:szCs w:val="22"/>
        </w:rPr>
        <w:t xml:space="preserve"> </w:t>
      </w:r>
      <w:r w:rsidRPr="0015716C">
        <w:rPr>
          <w:rFonts w:ascii="Times New Roman" w:hAnsi="Times New Roman"/>
          <w:i/>
          <w:sz w:val="22"/>
          <w:szCs w:val="22"/>
        </w:rPr>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2116E4D" w14:textId="77777777" w:rsidR="004F692A" w:rsidRPr="0015716C" w:rsidRDefault="004F692A" w:rsidP="004C7816">
      <w:pPr>
        <w:tabs>
          <w:tab w:val="left" w:pos="-720"/>
          <w:tab w:val="left" w:pos="720"/>
        </w:tabs>
        <w:suppressAutoHyphens/>
        <w:ind w:left="720" w:hanging="360"/>
        <w:rPr>
          <w:rFonts w:ascii="Times New Roman" w:hAnsi="Times New Roman"/>
          <w:sz w:val="22"/>
          <w:szCs w:val="22"/>
        </w:rPr>
      </w:pPr>
    </w:p>
    <w:p w14:paraId="5323E9EF" w14:textId="340DEEA0" w:rsidR="003A5D15" w:rsidRPr="00E17878" w:rsidRDefault="003A5D15" w:rsidP="003A5D15">
      <w:pPr>
        <w:rPr>
          <w:rFonts w:ascii="Times New Roman" w:hAnsi="Times New Roman"/>
          <w:sz w:val="22"/>
          <w:szCs w:val="22"/>
        </w:rPr>
      </w:pPr>
      <w:r w:rsidRPr="0015716C">
        <w:rPr>
          <w:rFonts w:ascii="Times New Roman" w:hAnsi="Times New Roman"/>
          <w:sz w:val="22"/>
          <w:szCs w:val="22"/>
        </w:rPr>
        <w:t>The number of respondents has increased from 158 to 187 based on the number of grantees funded in the most recent McNair competition for new awards.  The total annual burden hours have increased accordingly.  In addition, for security and privacy reasons, the Department will no longer collect Social Security numbers (SSNs) as part of the APR.  The Department has established unique identifiers (case numbers) to replace the SSNs used in the past.  Grantees are required to replace the existing SSNs with the case numbers provided by the Department.</w:t>
      </w:r>
      <w:r w:rsidR="00017FEC">
        <w:rPr>
          <w:rFonts w:ascii="Times New Roman" w:hAnsi="Times New Roman"/>
          <w:sz w:val="22"/>
          <w:szCs w:val="22"/>
        </w:rPr>
        <w:t xml:space="preserve">  Burden per respondent</w:t>
      </w:r>
      <w:r w:rsidR="0083129F">
        <w:rPr>
          <w:rFonts w:ascii="Times New Roman" w:hAnsi="Times New Roman"/>
          <w:sz w:val="22"/>
          <w:szCs w:val="22"/>
        </w:rPr>
        <w:t xml:space="preserve"> (11 hours) has not changed since the previous clearance.</w:t>
      </w:r>
    </w:p>
    <w:p w14:paraId="4FDEE669" w14:textId="77777777" w:rsidR="004F692A" w:rsidRPr="00E17878" w:rsidRDefault="004F692A">
      <w:pPr>
        <w:tabs>
          <w:tab w:val="left" w:pos="-720"/>
        </w:tabs>
        <w:suppressAutoHyphens/>
        <w:rPr>
          <w:rFonts w:ascii="Times New Roman" w:hAnsi="Times New Roman"/>
          <w:sz w:val="22"/>
          <w:szCs w:val="22"/>
        </w:rPr>
      </w:pPr>
    </w:p>
    <w:p w14:paraId="353A1A3E" w14:textId="77777777" w:rsidR="004F692A" w:rsidRPr="0015716C" w:rsidRDefault="00C377B6">
      <w:pPr>
        <w:tabs>
          <w:tab w:val="left" w:pos="-720"/>
        </w:tabs>
        <w:suppressAutoHyphens/>
        <w:rPr>
          <w:rFonts w:ascii="Times New Roman" w:hAnsi="Times New Roman"/>
          <w:i/>
          <w:sz w:val="22"/>
          <w:szCs w:val="22"/>
        </w:rPr>
      </w:pPr>
      <w:r w:rsidRPr="008F6483">
        <w:rPr>
          <w:rFonts w:ascii="Times New Roman" w:hAnsi="Times New Roman"/>
          <w:i/>
          <w:sz w:val="22"/>
          <w:szCs w:val="22"/>
        </w:rPr>
        <w:t xml:space="preserve">16.  </w:t>
      </w:r>
      <w:r w:rsidRPr="0015716C">
        <w:rPr>
          <w:rStyle w:val="a"/>
          <w:rFonts w:ascii="Times New Roman" w:hAnsi="Times New Roman"/>
          <w:i/>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0D9D09" w14:textId="77777777" w:rsidR="00C377B6" w:rsidRPr="0015716C" w:rsidRDefault="00C377B6" w:rsidP="00C377B6">
      <w:pPr>
        <w:tabs>
          <w:tab w:val="left" w:pos="-720"/>
        </w:tabs>
        <w:suppressAutoHyphens/>
        <w:rPr>
          <w:rFonts w:ascii="Times New Roman" w:hAnsi="Times New Roman"/>
          <w:sz w:val="22"/>
          <w:szCs w:val="22"/>
        </w:rPr>
      </w:pPr>
    </w:p>
    <w:p w14:paraId="524E13F2" w14:textId="77777777" w:rsidR="004F692A" w:rsidRPr="0015716C" w:rsidRDefault="003453D4" w:rsidP="00C377B6">
      <w:pPr>
        <w:tabs>
          <w:tab w:val="left" w:pos="-720"/>
        </w:tabs>
        <w:suppressAutoHyphens/>
        <w:rPr>
          <w:rFonts w:ascii="Times New Roman" w:hAnsi="Times New Roman"/>
          <w:sz w:val="22"/>
          <w:szCs w:val="22"/>
        </w:rPr>
      </w:pPr>
      <w:r w:rsidRPr="0015716C">
        <w:rPr>
          <w:rFonts w:ascii="Times New Roman" w:hAnsi="Times New Roman"/>
          <w:sz w:val="22"/>
          <w:szCs w:val="22"/>
        </w:rPr>
        <w:t>R</w:t>
      </w:r>
      <w:r w:rsidR="00E5161F" w:rsidRPr="0015716C">
        <w:rPr>
          <w:rFonts w:ascii="Times New Roman" w:hAnsi="Times New Roman"/>
          <w:sz w:val="22"/>
          <w:szCs w:val="22"/>
        </w:rPr>
        <w:t>esults of th</w:t>
      </w:r>
      <w:r w:rsidRPr="0015716C">
        <w:rPr>
          <w:rFonts w:ascii="Times New Roman" w:hAnsi="Times New Roman"/>
          <w:sz w:val="22"/>
          <w:szCs w:val="22"/>
        </w:rPr>
        <w:t>e</w:t>
      </w:r>
      <w:r w:rsidR="00E5161F" w:rsidRPr="0015716C">
        <w:rPr>
          <w:rFonts w:ascii="Times New Roman" w:hAnsi="Times New Roman"/>
          <w:sz w:val="22"/>
          <w:szCs w:val="22"/>
        </w:rPr>
        <w:t xml:space="preserve"> collect</w:t>
      </w:r>
      <w:r w:rsidRPr="0015716C">
        <w:rPr>
          <w:rFonts w:ascii="Times New Roman" w:hAnsi="Times New Roman"/>
          <w:sz w:val="22"/>
          <w:szCs w:val="22"/>
        </w:rPr>
        <w:t>ed information</w:t>
      </w:r>
      <w:r w:rsidR="00E5161F" w:rsidRPr="0015716C">
        <w:rPr>
          <w:rFonts w:ascii="Times New Roman" w:hAnsi="Times New Roman"/>
          <w:sz w:val="22"/>
          <w:szCs w:val="22"/>
        </w:rPr>
        <w:t xml:space="preserve"> will not be published.</w:t>
      </w:r>
    </w:p>
    <w:p w14:paraId="1860152A" w14:textId="77777777" w:rsidR="004F692A" w:rsidRPr="0015716C" w:rsidRDefault="004F692A">
      <w:pPr>
        <w:tabs>
          <w:tab w:val="left" w:pos="-720"/>
        </w:tabs>
        <w:suppressAutoHyphens/>
        <w:rPr>
          <w:rFonts w:ascii="Times New Roman" w:hAnsi="Times New Roman"/>
          <w:sz w:val="22"/>
          <w:szCs w:val="22"/>
        </w:rPr>
      </w:pPr>
    </w:p>
    <w:p w14:paraId="3918B577" w14:textId="77777777" w:rsidR="00C377B6" w:rsidRPr="0015716C" w:rsidRDefault="00C377B6" w:rsidP="00C377B6">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17.  </w:t>
      </w:r>
      <w:r w:rsidRPr="0015716C">
        <w:rPr>
          <w:rStyle w:val="a"/>
          <w:rFonts w:ascii="Times New Roman" w:hAnsi="Times New Roman"/>
          <w:i/>
          <w:sz w:val="22"/>
          <w:szCs w:val="22"/>
        </w:rPr>
        <w:t>If seeking approval to not display the expiration date for OMB approval of the information collection, explain the reasons that display would be inappropriate.</w:t>
      </w:r>
    </w:p>
    <w:p w14:paraId="03F65B78" w14:textId="77777777" w:rsidR="00C377B6" w:rsidRPr="0015716C" w:rsidRDefault="00C377B6" w:rsidP="00C377B6">
      <w:pPr>
        <w:tabs>
          <w:tab w:val="left" w:pos="-720"/>
        </w:tabs>
        <w:suppressAutoHyphens/>
        <w:rPr>
          <w:rFonts w:ascii="Times New Roman" w:hAnsi="Times New Roman"/>
          <w:sz w:val="22"/>
          <w:szCs w:val="22"/>
        </w:rPr>
      </w:pPr>
    </w:p>
    <w:p w14:paraId="1D1FB7C7" w14:textId="77777777" w:rsidR="004F692A" w:rsidRPr="0015716C" w:rsidRDefault="00633DD4" w:rsidP="00C377B6">
      <w:pPr>
        <w:tabs>
          <w:tab w:val="left" w:pos="-720"/>
        </w:tabs>
        <w:suppressAutoHyphens/>
        <w:rPr>
          <w:rFonts w:ascii="Times New Roman" w:hAnsi="Times New Roman"/>
          <w:sz w:val="22"/>
          <w:szCs w:val="22"/>
        </w:rPr>
      </w:pPr>
      <w:r w:rsidRPr="0015716C">
        <w:rPr>
          <w:rFonts w:ascii="Times New Roman" w:hAnsi="Times New Roman"/>
          <w:sz w:val="22"/>
          <w:szCs w:val="22"/>
        </w:rPr>
        <w:t>The Department will display on the form the expiration date for the OMB approval as required.</w:t>
      </w:r>
    </w:p>
    <w:p w14:paraId="64DA1513" w14:textId="77777777" w:rsidR="004F692A" w:rsidRPr="0015716C" w:rsidRDefault="004F692A">
      <w:pPr>
        <w:tabs>
          <w:tab w:val="left" w:pos="-720"/>
        </w:tabs>
        <w:suppressAutoHyphens/>
        <w:rPr>
          <w:rFonts w:ascii="Times New Roman" w:hAnsi="Times New Roman"/>
          <w:sz w:val="22"/>
          <w:szCs w:val="22"/>
        </w:rPr>
      </w:pPr>
    </w:p>
    <w:p w14:paraId="1D675432" w14:textId="77777777" w:rsidR="00FF3171" w:rsidRPr="0015716C" w:rsidRDefault="004F692A" w:rsidP="006E48CC">
      <w:pPr>
        <w:tabs>
          <w:tab w:val="left" w:pos="-720"/>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18. </w:t>
      </w:r>
      <w:r w:rsidR="00276439" w:rsidRPr="0015716C">
        <w:rPr>
          <w:rFonts w:ascii="Times New Roman" w:hAnsi="Times New Roman"/>
          <w:i/>
          <w:sz w:val="22"/>
          <w:szCs w:val="22"/>
        </w:rPr>
        <w:t xml:space="preserve"> </w:t>
      </w:r>
      <w:r w:rsidRPr="0015716C">
        <w:rPr>
          <w:rStyle w:val="a"/>
          <w:rFonts w:ascii="Times New Roman" w:hAnsi="Times New Roman"/>
          <w:i/>
          <w:sz w:val="22"/>
          <w:szCs w:val="22"/>
        </w:rPr>
        <w:t>Explain each exception to the certification statement identified in</w:t>
      </w:r>
      <w:r w:rsidR="00FF3171" w:rsidRPr="0015716C">
        <w:rPr>
          <w:rStyle w:val="a"/>
          <w:rFonts w:ascii="Times New Roman" w:hAnsi="Times New Roman"/>
          <w:i/>
          <w:sz w:val="22"/>
          <w:szCs w:val="22"/>
        </w:rPr>
        <w:t xml:space="preserve"> the Certification of Paperwork</w:t>
      </w:r>
    </w:p>
    <w:p w14:paraId="2015B0EC" w14:textId="77777777" w:rsidR="004F692A" w:rsidRPr="0015716C" w:rsidRDefault="00C723C2" w:rsidP="006E48CC">
      <w:pPr>
        <w:tabs>
          <w:tab w:val="left" w:pos="-720"/>
          <w:tab w:val="left" w:pos="720"/>
        </w:tabs>
        <w:suppressAutoHyphens/>
        <w:rPr>
          <w:rStyle w:val="a"/>
          <w:rFonts w:ascii="Times New Roman" w:hAnsi="Times New Roman"/>
          <w:i/>
          <w:sz w:val="22"/>
          <w:szCs w:val="22"/>
        </w:rPr>
      </w:pPr>
      <w:r w:rsidRPr="0015716C">
        <w:rPr>
          <w:rStyle w:val="a"/>
          <w:rFonts w:ascii="Times New Roman" w:hAnsi="Times New Roman"/>
          <w:i/>
          <w:sz w:val="22"/>
          <w:szCs w:val="22"/>
        </w:rPr>
        <w:t>Reduction Act</w:t>
      </w:r>
      <w:r w:rsidR="004F692A" w:rsidRPr="0015716C">
        <w:rPr>
          <w:rStyle w:val="a"/>
          <w:rFonts w:ascii="Times New Roman" w:hAnsi="Times New Roman"/>
          <w:i/>
          <w:sz w:val="22"/>
          <w:szCs w:val="22"/>
        </w:rPr>
        <w:t>.</w:t>
      </w:r>
    </w:p>
    <w:p w14:paraId="7B310E65" w14:textId="77777777" w:rsidR="00633DD4" w:rsidRPr="0015716C" w:rsidRDefault="00633DD4">
      <w:pPr>
        <w:tabs>
          <w:tab w:val="left" w:pos="-720"/>
        </w:tabs>
        <w:suppressAutoHyphens/>
        <w:rPr>
          <w:rStyle w:val="a"/>
          <w:rFonts w:ascii="Times New Roman" w:hAnsi="Times New Roman"/>
          <w:sz w:val="22"/>
          <w:szCs w:val="22"/>
        </w:rPr>
      </w:pPr>
    </w:p>
    <w:p w14:paraId="24022F88" w14:textId="77777777" w:rsidR="00633DD4" w:rsidRPr="0015716C" w:rsidRDefault="00633DD4" w:rsidP="006E48CC">
      <w:pPr>
        <w:rPr>
          <w:rFonts w:ascii="Times New Roman" w:hAnsi="Times New Roman"/>
          <w:sz w:val="22"/>
          <w:szCs w:val="22"/>
        </w:rPr>
      </w:pPr>
      <w:r w:rsidRPr="0015716C">
        <w:rPr>
          <w:rFonts w:ascii="Times New Roman" w:hAnsi="Times New Roman"/>
          <w:sz w:val="22"/>
          <w:szCs w:val="22"/>
        </w:rPr>
        <w:t>There are no exceptions to the certification statement.</w:t>
      </w:r>
    </w:p>
    <w:p w14:paraId="02E62B2F" w14:textId="77777777" w:rsidR="001E61DA" w:rsidRPr="0015716C" w:rsidRDefault="001E61DA" w:rsidP="006E48CC">
      <w:pPr>
        <w:rPr>
          <w:rFonts w:ascii="Times New Roman" w:hAnsi="Times New Roman"/>
          <w:sz w:val="22"/>
          <w:szCs w:val="22"/>
        </w:rPr>
      </w:pPr>
    </w:p>
    <w:p w14:paraId="53135515" w14:textId="77777777" w:rsidR="00633DD4" w:rsidRPr="0015716C" w:rsidRDefault="00633DD4" w:rsidP="00633DD4">
      <w:pPr>
        <w:rPr>
          <w:rFonts w:ascii="Times New Roman" w:hAnsi="Times New Roman"/>
          <w:sz w:val="22"/>
          <w:szCs w:val="22"/>
        </w:rPr>
      </w:pPr>
    </w:p>
    <w:p w14:paraId="27B3EA83" w14:textId="77777777" w:rsidR="00633DD4" w:rsidRPr="0015716C" w:rsidRDefault="00276439" w:rsidP="00276439">
      <w:pPr>
        <w:rPr>
          <w:rFonts w:ascii="Times New Roman" w:hAnsi="Times New Roman"/>
          <w:b/>
          <w:sz w:val="22"/>
          <w:szCs w:val="22"/>
        </w:rPr>
      </w:pPr>
      <w:r w:rsidRPr="0015716C">
        <w:rPr>
          <w:rFonts w:ascii="Times New Roman" w:hAnsi="Times New Roman"/>
          <w:b/>
          <w:sz w:val="22"/>
          <w:szCs w:val="22"/>
        </w:rPr>
        <w:t xml:space="preserve">B.  </w:t>
      </w:r>
      <w:r w:rsidR="00633DD4" w:rsidRPr="0015716C">
        <w:rPr>
          <w:rFonts w:ascii="Times New Roman" w:hAnsi="Times New Roman"/>
          <w:b/>
          <w:sz w:val="22"/>
          <w:szCs w:val="22"/>
        </w:rPr>
        <w:t>Collection of Information Employing Statistical Methods statement.</w:t>
      </w:r>
    </w:p>
    <w:p w14:paraId="3C3872F1" w14:textId="77777777" w:rsidR="00633DD4" w:rsidRPr="0015716C" w:rsidRDefault="00633DD4" w:rsidP="00276439">
      <w:pPr>
        <w:rPr>
          <w:rFonts w:ascii="Times New Roman" w:hAnsi="Times New Roman"/>
          <w:sz w:val="22"/>
          <w:szCs w:val="22"/>
        </w:rPr>
      </w:pPr>
    </w:p>
    <w:p w14:paraId="5C9E48BD" w14:textId="77777777" w:rsidR="00633DD4" w:rsidRPr="0015716C" w:rsidRDefault="00633DD4" w:rsidP="00276439">
      <w:pPr>
        <w:rPr>
          <w:rFonts w:ascii="Times New Roman" w:hAnsi="Times New Roman"/>
          <w:sz w:val="22"/>
          <w:szCs w:val="22"/>
        </w:rPr>
      </w:pPr>
      <w:r w:rsidRPr="0015716C">
        <w:rPr>
          <w:rFonts w:ascii="Times New Roman" w:hAnsi="Times New Roman"/>
          <w:sz w:val="22"/>
          <w:szCs w:val="22"/>
        </w:rPr>
        <w:t>The collection of information does not employ statistical methods.</w:t>
      </w:r>
    </w:p>
    <w:p w14:paraId="3F59558C" w14:textId="67CF1209" w:rsidR="00EE7590" w:rsidRPr="0015716C" w:rsidRDefault="00EE7590">
      <w:pPr>
        <w:rPr>
          <w:rFonts w:ascii="Times New Roman" w:hAnsi="Times New Roman"/>
          <w:sz w:val="22"/>
          <w:szCs w:val="22"/>
        </w:rPr>
      </w:pPr>
    </w:p>
    <w:p w14:paraId="712381D8" w14:textId="77777777" w:rsidR="00B5258C" w:rsidRPr="0015716C" w:rsidRDefault="00B5258C" w:rsidP="00B5258C">
      <w:pPr>
        <w:pStyle w:val="BodyText"/>
        <w:spacing w:line="276" w:lineRule="auto"/>
        <w:ind w:left="990"/>
        <w:rPr>
          <w:b/>
          <w:sz w:val="22"/>
          <w:szCs w:val="22"/>
        </w:rPr>
      </w:pPr>
    </w:p>
    <w:p w14:paraId="7A391FDF" w14:textId="77777777" w:rsidR="001F167E" w:rsidRPr="0015716C" w:rsidRDefault="001F167E" w:rsidP="00B5258C">
      <w:pPr>
        <w:pStyle w:val="BodyText"/>
        <w:spacing w:line="276" w:lineRule="auto"/>
        <w:ind w:left="990"/>
        <w:rPr>
          <w:b/>
          <w:sz w:val="22"/>
          <w:szCs w:val="22"/>
        </w:rPr>
      </w:pPr>
    </w:p>
    <w:p w14:paraId="7C889722" w14:textId="77777777" w:rsidR="00801F25" w:rsidRPr="0015716C" w:rsidRDefault="00801F25" w:rsidP="00801F25">
      <w:pPr>
        <w:pStyle w:val="BodyText"/>
        <w:spacing w:line="276" w:lineRule="auto"/>
        <w:rPr>
          <w:b/>
          <w:sz w:val="22"/>
          <w:szCs w:val="22"/>
        </w:rPr>
      </w:pPr>
    </w:p>
    <w:p w14:paraId="1F1AED90" w14:textId="77777777" w:rsidR="00801F25" w:rsidRPr="0015716C" w:rsidRDefault="00801F25" w:rsidP="00801F25">
      <w:pPr>
        <w:pStyle w:val="BodyText"/>
        <w:spacing w:line="276" w:lineRule="auto"/>
        <w:ind w:left="270"/>
        <w:rPr>
          <w:b/>
          <w:sz w:val="22"/>
          <w:szCs w:val="22"/>
        </w:rPr>
      </w:pPr>
    </w:p>
    <w:p w14:paraId="4C72470B" w14:textId="77777777" w:rsidR="00633DD4" w:rsidRPr="0015716C" w:rsidRDefault="00801F25" w:rsidP="0015716C">
      <w:pPr>
        <w:tabs>
          <w:tab w:val="left" w:pos="-720"/>
          <w:tab w:val="left" w:pos="0"/>
        </w:tabs>
        <w:suppressAutoHyphens/>
        <w:outlineLvl w:val="0"/>
        <w:rPr>
          <w:rFonts w:ascii="Times New Roman" w:hAnsi="Times New Roman"/>
          <w:sz w:val="22"/>
          <w:szCs w:val="22"/>
        </w:rPr>
      </w:pPr>
      <w:r w:rsidRPr="0015716C">
        <w:rPr>
          <w:rFonts w:ascii="Times New Roman" w:hAnsi="Times New Roman"/>
          <w:sz w:val="22"/>
          <w:szCs w:val="22"/>
        </w:rPr>
        <w:t xml:space="preserve"> </w:t>
      </w:r>
    </w:p>
    <w:sectPr w:rsidR="00633DD4" w:rsidRPr="0015716C" w:rsidSect="006C5820">
      <w:headerReference w:type="default" r:id="rId9"/>
      <w:footerReference w:type="default" r:id="rId10"/>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F144A" w14:textId="77777777" w:rsidR="00B31305" w:rsidRDefault="00B31305">
      <w:pPr>
        <w:spacing w:line="20" w:lineRule="exact"/>
      </w:pPr>
    </w:p>
  </w:endnote>
  <w:endnote w:type="continuationSeparator" w:id="0">
    <w:p w14:paraId="54B90731" w14:textId="77777777" w:rsidR="00B31305" w:rsidRDefault="00B31305">
      <w:r>
        <w:t xml:space="preserve"> </w:t>
      </w:r>
    </w:p>
  </w:endnote>
  <w:endnote w:type="continuationNotice" w:id="1">
    <w:p w14:paraId="4A40E518" w14:textId="77777777" w:rsidR="00B31305" w:rsidRDefault="00B313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C9494" w14:textId="77777777" w:rsidR="00E5161F" w:rsidRDefault="00E5161F">
    <w:pPr>
      <w:spacing w:before="140" w:line="100" w:lineRule="exact"/>
      <w:rPr>
        <w:sz w:val="10"/>
      </w:rPr>
    </w:pPr>
  </w:p>
  <w:p w14:paraId="7DECDDBC" w14:textId="77777777" w:rsidR="00E5161F" w:rsidRDefault="00E5161F">
    <w:pPr>
      <w:tabs>
        <w:tab w:val="left" w:pos="0"/>
      </w:tabs>
      <w:suppressAutoHyphens/>
    </w:pPr>
  </w:p>
  <w:p w14:paraId="03036BC3" w14:textId="77777777" w:rsidR="00E5161F" w:rsidRDefault="00012365">
    <w:pPr>
      <w:tabs>
        <w:tab w:val="left" w:pos="0"/>
      </w:tabs>
      <w:suppressAutoHyphens/>
    </w:pPr>
    <w:r>
      <w:rPr>
        <w:noProof/>
      </w:rPr>
      <mc:AlternateContent>
        <mc:Choice Requires="wps">
          <w:drawing>
            <wp:anchor distT="0" distB="0" distL="114300" distR="114300" simplePos="0" relativeHeight="251657728" behindDoc="1" locked="0" layoutInCell="0" allowOverlap="1" wp14:anchorId="33104DA3" wp14:editId="137F26E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A29025" w14:textId="77777777" w:rsidR="00E5161F" w:rsidRPr="0015716C" w:rsidRDefault="00E5161F">
                          <w:pPr>
                            <w:tabs>
                              <w:tab w:val="center" w:pos="4650"/>
                            </w:tabs>
                            <w:suppressAutoHyphens/>
                            <w:jc w:val="both"/>
                            <w:rPr>
                              <w:rFonts w:ascii="Times New Roman" w:hAnsi="Times New Roman"/>
                            </w:rPr>
                          </w:pPr>
                          <w:r>
                            <w:tab/>
                          </w:r>
                          <w:r w:rsidR="00012365" w:rsidRPr="0015716C">
                            <w:rPr>
                              <w:rFonts w:ascii="Times New Roman" w:hAnsi="Times New Roman"/>
                            </w:rPr>
                            <w:fldChar w:fldCharType="begin"/>
                          </w:r>
                          <w:r w:rsidR="00012365" w:rsidRPr="0015716C">
                            <w:rPr>
                              <w:rFonts w:ascii="Times New Roman" w:hAnsi="Times New Roman"/>
                            </w:rPr>
                            <w:instrText>page \* arabic</w:instrText>
                          </w:r>
                          <w:r w:rsidR="00012365" w:rsidRPr="0015716C">
                            <w:rPr>
                              <w:rFonts w:ascii="Times New Roman" w:hAnsi="Times New Roman"/>
                            </w:rPr>
                            <w:fldChar w:fldCharType="separate"/>
                          </w:r>
                          <w:r w:rsidR="00C81353">
                            <w:rPr>
                              <w:rFonts w:ascii="Times New Roman" w:hAnsi="Times New Roman"/>
                              <w:noProof/>
                            </w:rPr>
                            <w:t>1</w:t>
                          </w:r>
                          <w:r w:rsidR="00012365" w:rsidRPr="0015716C">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3A29025" w14:textId="77777777" w:rsidR="00E5161F" w:rsidRPr="0015716C" w:rsidRDefault="00E5161F">
                    <w:pPr>
                      <w:tabs>
                        <w:tab w:val="center" w:pos="4650"/>
                      </w:tabs>
                      <w:suppressAutoHyphens/>
                      <w:jc w:val="both"/>
                      <w:rPr>
                        <w:rFonts w:ascii="Times New Roman" w:hAnsi="Times New Roman"/>
                      </w:rPr>
                    </w:pPr>
                    <w:r>
                      <w:tab/>
                    </w:r>
                    <w:r w:rsidR="00012365" w:rsidRPr="0015716C">
                      <w:rPr>
                        <w:rFonts w:ascii="Times New Roman" w:hAnsi="Times New Roman"/>
                      </w:rPr>
                      <w:fldChar w:fldCharType="begin"/>
                    </w:r>
                    <w:r w:rsidR="00012365" w:rsidRPr="0015716C">
                      <w:rPr>
                        <w:rFonts w:ascii="Times New Roman" w:hAnsi="Times New Roman"/>
                      </w:rPr>
                      <w:instrText>page \* arabic</w:instrText>
                    </w:r>
                    <w:r w:rsidR="00012365" w:rsidRPr="0015716C">
                      <w:rPr>
                        <w:rFonts w:ascii="Times New Roman" w:hAnsi="Times New Roman"/>
                      </w:rPr>
                      <w:fldChar w:fldCharType="separate"/>
                    </w:r>
                    <w:r w:rsidR="00C81353">
                      <w:rPr>
                        <w:rFonts w:ascii="Times New Roman" w:hAnsi="Times New Roman"/>
                        <w:noProof/>
                      </w:rPr>
                      <w:t>1</w:t>
                    </w:r>
                    <w:r w:rsidR="00012365" w:rsidRPr="0015716C">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813ED" w14:textId="77777777" w:rsidR="00B31305" w:rsidRDefault="00B31305">
      <w:r>
        <w:separator/>
      </w:r>
    </w:p>
  </w:footnote>
  <w:footnote w:type="continuationSeparator" w:id="0">
    <w:p w14:paraId="4D2E7CDC" w14:textId="77777777" w:rsidR="00B31305" w:rsidRDefault="00B31305">
      <w:r>
        <w:continuationSeparator/>
      </w:r>
    </w:p>
  </w:footnote>
  <w:footnote w:id="1">
    <w:p w14:paraId="10035637" w14:textId="77777777" w:rsidR="00414B52" w:rsidRDefault="00414B52" w:rsidP="00414B5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B0F329A" w14:textId="2506D5EE" w:rsidR="00414B52" w:rsidRPr="0015716C" w:rsidRDefault="00414B52" w:rsidP="00414B52">
      <w:pPr>
        <w:pStyle w:val="FootnoteText"/>
        <w:rPr>
          <w:sz w:val="20"/>
        </w:rPr>
      </w:pPr>
      <w:r w:rsidRPr="0015716C">
        <w:rPr>
          <w:rStyle w:val="FootnoteReference"/>
          <w:sz w:val="20"/>
        </w:rPr>
        <w:footnoteRef/>
      </w:r>
      <w:r w:rsidRPr="0015716C">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B55F86">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E50C1" w14:textId="5C0B151A" w:rsidR="00FB65D0" w:rsidRPr="006E48CC" w:rsidRDefault="00FB65D0" w:rsidP="00FB65D0">
    <w:pPr>
      <w:pStyle w:val="Header"/>
      <w:rPr>
        <w:rFonts w:ascii="Times New Roman" w:hAnsi="Times New Roman"/>
        <w:sz w:val="20"/>
      </w:rPr>
    </w:pPr>
    <w:r w:rsidRPr="006E48CC">
      <w:rPr>
        <w:rFonts w:ascii="Times New Roman" w:hAnsi="Times New Roman"/>
        <w:sz w:val="20"/>
      </w:rPr>
      <w:t xml:space="preserve">OMB Number: </w:t>
    </w:r>
    <w:r w:rsidR="00AF637F" w:rsidRPr="006E48CC">
      <w:rPr>
        <w:rFonts w:ascii="Times New Roman" w:hAnsi="Times New Roman"/>
        <w:sz w:val="20"/>
      </w:rPr>
      <w:t>1840</w:t>
    </w:r>
    <w:r w:rsidRPr="006E48CC">
      <w:rPr>
        <w:rFonts w:ascii="Times New Roman" w:hAnsi="Times New Roman"/>
        <w:sz w:val="20"/>
      </w:rPr>
      <w:t>-</w:t>
    </w:r>
    <w:r w:rsidR="00AF637F" w:rsidRPr="006E48CC">
      <w:rPr>
        <w:rFonts w:ascii="Times New Roman" w:hAnsi="Times New Roman"/>
        <w:sz w:val="20"/>
      </w:rPr>
      <w:t>0640</w:t>
    </w:r>
    <w:r w:rsidRPr="006E48CC">
      <w:rPr>
        <w:rFonts w:ascii="Times New Roman" w:hAnsi="Times New Roman"/>
        <w:sz w:val="20"/>
      </w:rPr>
      <w:t xml:space="preserve">                                         </w:t>
    </w:r>
    <w:r w:rsidR="008808BA">
      <w:rPr>
        <w:rFonts w:ascii="Times New Roman" w:hAnsi="Times New Roman"/>
        <w:sz w:val="20"/>
      </w:rPr>
      <w:tab/>
    </w:r>
    <w:r w:rsidRPr="006E48CC">
      <w:rPr>
        <w:rFonts w:ascii="Times New Roman" w:hAnsi="Times New Roman"/>
        <w:sz w:val="20"/>
      </w:rPr>
      <w:t xml:space="preserve">Revised: </w:t>
    </w:r>
    <w:r w:rsidR="00DE30E9">
      <w:rPr>
        <w:rFonts w:ascii="Times New Roman" w:hAnsi="Times New Roman"/>
        <w:sz w:val="20"/>
      </w:rPr>
      <w:t>10/24</w:t>
    </w:r>
    <w:r w:rsidR="008808BA">
      <w:rPr>
        <w:rFonts w:ascii="Times New Roman" w:hAnsi="Times New Roman"/>
        <w:sz w:val="20"/>
      </w:rPr>
      <w:t>/19</w:t>
    </w:r>
  </w:p>
  <w:p w14:paraId="069CD548" w14:textId="77777777" w:rsidR="00FB65D0" w:rsidRPr="006E48CC" w:rsidRDefault="00FB65D0" w:rsidP="00FB65D0">
    <w:pPr>
      <w:pStyle w:val="Header"/>
      <w:rPr>
        <w:rFonts w:ascii="Times New Roman" w:hAnsi="Times New Roman"/>
        <w:sz w:val="20"/>
      </w:rPr>
    </w:pPr>
    <w:r w:rsidRPr="006E48CC">
      <w:rPr>
        <w:rFonts w:ascii="Times New Roman" w:hAnsi="Times New Roman"/>
        <w:sz w:val="20"/>
      </w:rPr>
      <w:t>RIN Number: XXXX-XXXX (if applicable)</w:t>
    </w:r>
  </w:p>
  <w:p w14:paraId="49AEE47A" w14:textId="77777777" w:rsidR="00FB65D0" w:rsidRDefault="00FB65D0">
    <w:pPr>
      <w:pStyle w:val="Header"/>
    </w:pPr>
  </w:p>
  <w:p w14:paraId="557FF46F" w14:textId="77777777" w:rsidR="00AA0B11" w:rsidRDefault="00AA0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E46D7"/>
    <w:multiLevelType w:val="hybridMultilevel"/>
    <w:tmpl w:val="8F368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4">
    <w:nsid w:val="07404EF5"/>
    <w:multiLevelType w:val="hybridMultilevel"/>
    <w:tmpl w:val="C36C7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B01F8C"/>
    <w:multiLevelType w:val="hybridMultilevel"/>
    <w:tmpl w:val="1736C67A"/>
    <w:lvl w:ilvl="0" w:tplc="D87A73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7">
    <w:nsid w:val="0F2A7A2D"/>
    <w:multiLevelType w:val="hybridMultilevel"/>
    <w:tmpl w:val="920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E331AD"/>
    <w:multiLevelType w:val="hybridMultilevel"/>
    <w:tmpl w:val="41C0C82A"/>
    <w:lvl w:ilvl="0" w:tplc="244256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147338C8"/>
    <w:multiLevelType w:val="hybridMultilevel"/>
    <w:tmpl w:val="11DEED62"/>
    <w:lvl w:ilvl="0" w:tplc="39F0F7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11">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12">
    <w:nsid w:val="23DD7EEE"/>
    <w:multiLevelType w:val="hybridMultilevel"/>
    <w:tmpl w:val="80E07A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53F218A"/>
    <w:multiLevelType w:val="hybridMultilevel"/>
    <w:tmpl w:val="C9E6F300"/>
    <w:lvl w:ilvl="0" w:tplc="1F30CC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3685B"/>
    <w:multiLevelType w:val="hybridMultilevel"/>
    <w:tmpl w:val="1332E65A"/>
    <w:lvl w:ilvl="0" w:tplc="E1AC26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A035B8"/>
    <w:multiLevelType w:val="singleLevel"/>
    <w:tmpl w:val="1082AB00"/>
    <w:lvl w:ilvl="0">
      <w:start w:val="1"/>
      <w:numFmt w:val="decimal"/>
      <w:lvlText w:val="%1."/>
      <w:legacy w:legacy="1" w:legacySpace="0" w:legacyIndent="360"/>
      <w:lvlJc w:val="left"/>
      <w:pPr>
        <w:ind w:left="360" w:hanging="360"/>
      </w:pPr>
    </w:lvl>
  </w:abstractNum>
  <w:abstractNum w:abstractNumId="16">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782261"/>
    <w:multiLevelType w:val="hybridMultilevel"/>
    <w:tmpl w:val="CBC0297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10925"/>
    <w:multiLevelType w:val="hybridMultilevel"/>
    <w:tmpl w:val="0FD493C4"/>
    <w:lvl w:ilvl="0" w:tplc="1F30CC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46D5D"/>
    <w:multiLevelType w:val="hybridMultilevel"/>
    <w:tmpl w:val="965234A6"/>
    <w:lvl w:ilvl="0" w:tplc="1F30CC8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BF0158C"/>
    <w:multiLevelType w:val="hybridMultilevel"/>
    <w:tmpl w:val="B98C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878BA"/>
    <w:multiLevelType w:val="singleLevel"/>
    <w:tmpl w:val="A9000B78"/>
    <w:lvl w:ilvl="0">
      <w:start w:val="8"/>
      <w:numFmt w:val="decimal"/>
      <w:lvlText w:val="%1."/>
      <w:legacy w:legacy="1" w:legacySpace="0" w:legacyIndent="375"/>
      <w:lvlJc w:val="left"/>
      <w:pPr>
        <w:ind w:left="375" w:hanging="375"/>
      </w:pPr>
    </w:lvl>
  </w:abstractNum>
  <w:abstractNum w:abstractNumId="22">
    <w:nsid w:val="40D03EDA"/>
    <w:multiLevelType w:val="hybridMultilevel"/>
    <w:tmpl w:val="8452E306"/>
    <w:lvl w:ilvl="0" w:tplc="ACF2309E">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2575678"/>
    <w:multiLevelType w:val="hybridMultilevel"/>
    <w:tmpl w:val="03064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434A41C4"/>
    <w:multiLevelType w:val="hybridMultilevel"/>
    <w:tmpl w:val="7DC8C3C4"/>
    <w:lvl w:ilvl="0" w:tplc="1F30CC8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80F2B66"/>
    <w:multiLevelType w:val="hybridMultilevel"/>
    <w:tmpl w:val="61EACE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B26577"/>
    <w:multiLevelType w:val="hybridMultilevel"/>
    <w:tmpl w:val="669E1E26"/>
    <w:lvl w:ilvl="0" w:tplc="AEAC8A7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nsid w:val="4EF540A9"/>
    <w:multiLevelType w:val="hybridMultilevel"/>
    <w:tmpl w:val="C2CE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1">
    <w:nsid w:val="546D1DF4"/>
    <w:multiLevelType w:val="singleLevel"/>
    <w:tmpl w:val="04090001"/>
    <w:lvl w:ilvl="0">
      <w:start w:val="1"/>
      <w:numFmt w:val="bullet"/>
      <w:lvlText w:val=""/>
      <w:lvlJc w:val="left"/>
      <w:pPr>
        <w:ind w:left="720" w:hanging="360"/>
      </w:pPr>
      <w:rPr>
        <w:rFonts w:ascii="Symbol" w:hAnsi="Symbol" w:hint="default"/>
      </w:rPr>
    </w:lvl>
  </w:abstractNum>
  <w:abstractNum w:abstractNumId="32">
    <w:nsid w:val="5637498F"/>
    <w:multiLevelType w:val="hybridMultilevel"/>
    <w:tmpl w:val="68889A54"/>
    <w:lvl w:ilvl="0" w:tplc="1F30CC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CA1CE7"/>
    <w:multiLevelType w:val="hybridMultilevel"/>
    <w:tmpl w:val="266C4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AA559B"/>
    <w:multiLevelType w:val="hybridMultilevel"/>
    <w:tmpl w:val="D4DEC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091A02"/>
    <w:multiLevelType w:val="hybridMultilevel"/>
    <w:tmpl w:val="EE30396E"/>
    <w:lvl w:ilvl="0" w:tplc="1F30CC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681247"/>
    <w:multiLevelType w:val="singleLevel"/>
    <w:tmpl w:val="1082AB00"/>
    <w:lvl w:ilvl="0">
      <w:start w:val="1"/>
      <w:numFmt w:val="decimal"/>
      <w:lvlText w:val="%1."/>
      <w:legacy w:legacy="1" w:legacySpace="0" w:legacyIndent="360"/>
      <w:lvlJc w:val="left"/>
      <w:pPr>
        <w:ind w:left="360" w:hanging="360"/>
      </w:pPr>
    </w:lvl>
  </w:abstractNum>
  <w:abstractNum w:abstractNumId="37">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38">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39">
    <w:nsid w:val="793B253C"/>
    <w:multiLevelType w:val="hybridMultilevel"/>
    <w:tmpl w:val="44246B1C"/>
    <w:lvl w:ilvl="0" w:tplc="1F30CC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1"/>
  </w:num>
  <w:num w:numId="3">
    <w:abstractNumId w:val="15"/>
  </w:num>
  <w:num w:numId="4">
    <w:abstractNumId w:val="36"/>
  </w:num>
  <w:num w:numId="5">
    <w:abstractNumId w:val="1"/>
  </w:num>
  <w:num w:numId="6">
    <w:abstractNumId w:val="6"/>
  </w:num>
  <w:num w:numId="7">
    <w:abstractNumId w:val="28"/>
  </w:num>
  <w:num w:numId="8">
    <w:abstractNumId w:val="27"/>
  </w:num>
  <w:num w:numId="9">
    <w:abstractNumId w:val="30"/>
  </w:num>
  <w:num w:numId="10">
    <w:abstractNumId w:val="11"/>
  </w:num>
  <w:num w:numId="11">
    <w:abstractNumId w:val="37"/>
  </w:num>
  <w:num w:numId="12">
    <w:abstractNumId w:val="38"/>
  </w:num>
  <w:num w:numId="13">
    <w:abstractNumId w:val="31"/>
  </w:num>
  <w:num w:numId="14">
    <w:abstractNumId w:val="12"/>
  </w:num>
  <w:num w:numId="15">
    <w:abstractNumId w:val="7"/>
  </w:num>
  <w:num w:numId="16">
    <w:abstractNumId w:val="22"/>
  </w:num>
  <w:num w:numId="17">
    <w:abstractNumId w:val="10"/>
  </w:num>
  <w:num w:numId="18">
    <w:abstractNumId w:val="3"/>
  </w:num>
  <w:num w:numId="19">
    <w:abstractNumId w:val="17"/>
  </w:num>
  <w:num w:numId="20">
    <w:abstractNumId w:val="2"/>
  </w:num>
  <w:num w:numId="21">
    <w:abstractNumId w:val="19"/>
  </w:num>
  <w:num w:numId="22">
    <w:abstractNumId w:val="9"/>
  </w:num>
  <w:num w:numId="23">
    <w:abstractNumId w:val="16"/>
  </w:num>
  <w:num w:numId="24">
    <w:abstractNumId w:val="29"/>
  </w:num>
  <w:num w:numId="25">
    <w:abstractNumId w:val="8"/>
  </w:num>
  <w:num w:numId="26">
    <w:abstractNumId w:val="23"/>
  </w:num>
  <w:num w:numId="27">
    <w:abstractNumId w:val="34"/>
  </w:num>
  <w:num w:numId="28">
    <w:abstractNumId w:val="24"/>
  </w:num>
  <w:num w:numId="29">
    <w:abstractNumId w:val="32"/>
  </w:num>
  <w:num w:numId="30">
    <w:abstractNumId w:val="33"/>
  </w:num>
  <w:num w:numId="31">
    <w:abstractNumId w:val="20"/>
  </w:num>
  <w:num w:numId="32">
    <w:abstractNumId w:val="25"/>
  </w:num>
  <w:num w:numId="33">
    <w:abstractNumId w:val="4"/>
  </w:num>
  <w:num w:numId="34">
    <w:abstractNumId w:val="39"/>
  </w:num>
  <w:num w:numId="35">
    <w:abstractNumId w:val="26"/>
  </w:num>
  <w:num w:numId="36">
    <w:abstractNumId w:val="5"/>
  </w:num>
  <w:num w:numId="37">
    <w:abstractNumId w:val="35"/>
  </w:num>
  <w:num w:numId="38">
    <w:abstractNumId w:val="14"/>
  </w:num>
  <w:num w:numId="39">
    <w:abstractNumId w:val="1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365"/>
    <w:rsid w:val="0001508D"/>
    <w:rsid w:val="000172C7"/>
    <w:rsid w:val="00017FEC"/>
    <w:rsid w:val="000255F9"/>
    <w:rsid w:val="00031642"/>
    <w:rsid w:val="0006064B"/>
    <w:rsid w:val="00093D54"/>
    <w:rsid w:val="000B7A82"/>
    <w:rsid w:val="000D085C"/>
    <w:rsid w:val="000D1FC9"/>
    <w:rsid w:val="000D7BB6"/>
    <w:rsid w:val="000E4D39"/>
    <w:rsid w:val="000F175B"/>
    <w:rsid w:val="00117A68"/>
    <w:rsid w:val="001257D9"/>
    <w:rsid w:val="00153F20"/>
    <w:rsid w:val="00156F58"/>
    <w:rsid w:val="0015716C"/>
    <w:rsid w:val="00160683"/>
    <w:rsid w:val="001A45D9"/>
    <w:rsid w:val="001E61DA"/>
    <w:rsid w:val="001F167E"/>
    <w:rsid w:val="001F28BF"/>
    <w:rsid w:val="002038A7"/>
    <w:rsid w:val="002040F5"/>
    <w:rsid w:val="00224B9D"/>
    <w:rsid w:val="00225A5A"/>
    <w:rsid w:val="00273B17"/>
    <w:rsid w:val="00274EC4"/>
    <w:rsid w:val="00276439"/>
    <w:rsid w:val="00283379"/>
    <w:rsid w:val="00283AEE"/>
    <w:rsid w:val="002B29D1"/>
    <w:rsid w:val="00300BD5"/>
    <w:rsid w:val="003029C3"/>
    <w:rsid w:val="00305581"/>
    <w:rsid w:val="00316275"/>
    <w:rsid w:val="0032564D"/>
    <w:rsid w:val="00330D7A"/>
    <w:rsid w:val="003453D4"/>
    <w:rsid w:val="00377C60"/>
    <w:rsid w:val="0038352F"/>
    <w:rsid w:val="00391343"/>
    <w:rsid w:val="00394B51"/>
    <w:rsid w:val="003968C1"/>
    <w:rsid w:val="003A5D15"/>
    <w:rsid w:val="003C0A8F"/>
    <w:rsid w:val="003C29C2"/>
    <w:rsid w:val="003D740E"/>
    <w:rsid w:val="003E6BDC"/>
    <w:rsid w:val="00414B52"/>
    <w:rsid w:val="004337E2"/>
    <w:rsid w:val="0047647F"/>
    <w:rsid w:val="004837DB"/>
    <w:rsid w:val="00496A7E"/>
    <w:rsid w:val="0049728E"/>
    <w:rsid w:val="004B6DFC"/>
    <w:rsid w:val="004C08B4"/>
    <w:rsid w:val="004C23E1"/>
    <w:rsid w:val="004C6E57"/>
    <w:rsid w:val="004C7816"/>
    <w:rsid w:val="004D57F4"/>
    <w:rsid w:val="004D6793"/>
    <w:rsid w:val="004F3C1F"/>
    <w:rsid w:val="004F692A"/>
    <w:rsid w:val="00506AA5"/>
    <w:rsid w:val="00514810"/>
    <w:rsid w:val="00520FB8"/>
    <w:rsid w:val="00523E3C"/>
    <w:rsid w:val="00534C1D"/>
    <w:rsid w:val="00535A56"/>
    <w:rsid w:val="00541C22"/>
    <w:rsid w:val="0055166D"/>
    <w:rsid w:val="0055502A"/>
    <w:rsid w:val="00561E94"/>
    <w:rsid w:val="00566C75"/>
    <w:rsid w:val="00574824"/>
    <w:rsid w:val="00596742"/>
    <w:rsid w:val="00597C91"/>
    <w:rsid w:val="005A4185"/>
    <w:rsid w:val="005A6359"/>
    <w:rsid w:val="005D3F66"/>
    <w:rsid w:val="005D4E3C"/>
    <w:rsid w:val="005E3AD3"/>
    <w:rsid w:val="0062702F"/>
    <w:rsid w:val="00633DD4"/>
    <w:rsid w:val="00635A06"/>
    <w:rsid w:val="006623BC"/>
    <w:rsid w:val="00666104"/>
    <w:rsid w:val="00670C5F"/>
    <w:rsid w:val="00691D4E"/>
    <w:rsid w:val="006A3945"/>
    <w:rsid w:val="006A44FA"/>
    <w:rsid w:val="006A5127"/>
    <w:rsid w:val="006B2F44"/>
    <w:rsid w:val="006B6BAA"/>
    <w:rsid w:val="006C17CB"/>
    <w:rsid w:val="006C5820"/>
    <w:rsid w:val="006C7CFE"/>
    <w:rsid w:val="006D31DF"/>
    <w:rsid w:val="006E48CC"/>
    <w:rsid w:val="006F0110"/>
    <w:rsid w:val="006F157C"/>
    <w:rsid w:val="006F49C8"/>
    <w:rsid w:val="007202FF"/>
    <w:rsid w:val="007217A6"/>
    <w:rsid w:val="00752430"/>
    <w:rsid w:val="0079302C"/>
    <w:rsid w:val="007B69A1"/>
    <w:rsid w:val="007B7622"/>
    <w:rsid w:val="007E02B0"/>
    <w:rsid w:val="008003B3"/>
    <w:rsid w:val="00801F25"/>
    <w:rsid w:val="00826D76"/>
    <w:rsid w:val="00826D7D"/>
    <w:rsid w:val="0083129F"/>
    <w:rsid w:val="00831612"/>
    <w:rsid w:val="00831984"/>
    <w:rsid w:val="0084449A"/>
    <w:rsid w:val="008554C9"/>
    <w:rsid w:val="008573B6"/>
    <w:rsid w:val="008808BA"/>
    <w:rsid w:val="0088114D"/>
    <w:rsid w:val="0088277F"/>
    <w:rsid w:val="008869B0"/>
    <w:rsid w:val="00892144"/>
    <w:rsid w:val="0089718C"/>
    <w:rsid w:val="008A7414"/>
    <w:rsid w:val="008C5BF6"/>
    <w:rsid w:val="008D37BA"/>
    <w:rsid w:val="008E4CC4"/>
    <w:rsid w:val="008E5940"/>
    <w:rsid w:val="008F6483"/>
    <w:rsid w:val="009032E8"/>
    <w:rsid w:val="009202DE"/>
    <w:rsid w:val="00931846"/>
    <w:rsid w:val="0094218F"/>
    <w:rsid w:val="009734B4"/>
    <w:rsid w:val="009900DD"/>
    <w:rsid w:val="0099171D"/>
    <w:rsid w:val="009949A8"/>
    <w:rsid w:val="009967D1"/>
    <w:rsid w:val="009B1475"/>
    <w:rsid w:val="009B15B7"/>
    <w:rsid w:val="009C3F97"/>
    <w:rsid w:val="009C5417"/>
    <w:rsid w:val="009E5367"/>
    <w:rsid w:val="00A068E8"/>
    <w:rsid w:val="00A36925"/>
    <w:rsid w:val="00A829A0"/>
    <w:rsid w:val="00A8522C"/>
    <w:rsid w:val="00A90580"/>
    <w:rsid w:val="00A93093"/>
    <w:rsid w:val="00AA0B11"/>
    <w:rsid w:val="00AA1F70"/>
    <w:rsid w:val="00AA28D1"/>
    <w:rsid w:val="00AB7743"/>
    <w:rsid w:val="00AC46D9"/>
    <w:rsid w:val="00AC71D1"/>
    <w:rsid w:val="00AD0AC3"/>
    <w:rsid w:val="00AD72A8"/>
    <w:rsid w:val="00AF637F"/>
    <w:rsid w:val="00B103BC"/>
    <w:rsid w:val="00B13209"/>
    <w:rsid w:val="00B144B6"/>
    <w:rsid w:val="00B2285E"/>
    <w:rsid w:val="00B22862"/>
    <w:rsid w:val="00B31305"/>
    <w:rsid w:val="00B43AC1"/>
    <w:rsid w:val="00B473CB"/>
    <w:rsid w:val="00B5258C"/>
    <w:rsid w:val="00B52E7A"/>
    <w:rsid w:val="00B55F86"/>
    <w:rsid w:val="00B56BB5"/>
    <w:rsid w:val="00B646CF"/>
    <w:rsid w:val="00B808CA"/>
    <w:rsid w:val="00B820E5"/>
    <w:rsid w:val="00BA3449"/>
    <w:rsid w:val="00BC592E"/>
    <w:rsid w:val="00BD76C7"/>
    <w:rsid w:val="00BE36C2"/>
    <w:rsid w:val="00BF4CDB"/>
    <w:rsid w:val="00C00299"/>
    <w:rsid w:val="00C02A49"/>
    <w:rsid w:val="00C04A7E"/>
    <w:rsid w:val="00C06BDE"/>
    <w:rsid w:val="00C17A6B"/>
    <w:rsid w:val="00C2268A"/>
    <w:rsid w:val="00C22739"/>
    <w:rsid w:val="00C33528"/>
    <w:rsid w:val="00C377B6"/>
    <w:rsid w:val="00C40A64"/>
    <w:rsid w:val="00C60EB9"/>
    <w:rsid w:val="00C723C2"/>
    <w:rsid w:val="00C73DE2"/>
    <w:rsid w:val="00C74E10"/>
    <w:rsid w:val="00C81353"/>
    <w:rsid w:val="00CC0087"/>
    <w:rsid w:val="00CD3CEB"/>
    <w:rsid w:val="00CD4E11"/>
    <w:rsid w:val="00CD58C3"/>
    <w:rsid w:val="00CD7F7C"/>
    <w:rsid w:val="00CF02E4"/>
    <w:rsid w:val="00D033D4"/>
    <w:rsid w:val="00D13A49"/>
    <w:rsid w:val="00D16348"/>
    <w:rsid w:val="00D41816"/>
    <w:rsid w:val="00D44C08"/>
    <w:rsid w:val="00D50117"/>
    <w:rsid w:val="00D71B59"/>
    <w:rsid w:val="00D75460"/>
    <w:rsid w:val="00D7688E"/>
    <w:rsid w:val="00D86610"/>
    <w:rsid w:val="00DA4894"/>
    <w:rsid w:val="00DC3120"/>
    <w:rsid w:val="00DE30E9"/>
    <w:rsid w:val="00DE754A"/>
    <w:rsid w:val="00E13A3D"/>
    <w:rsid w:val="00E17878"/>
    <w:rsid w:val="00E26E7E"/>
    <w:rsid w:val="00E42639"/>
    <w:rsid w:val="00E45C02"/>
    <w:rsid w:val="00E5161F"/>
    <w:rsid w:val="00E55AA0"/>
    <w:rsid w:val="00E62CD8"/>
    <w:rsid w:val="00E70AAF"/>
    <w:rsid w:val="00E77E36"/>
    <w:rsid w:val="00E8255C"/>
    <w:rsid w:val="00E82D73"/>
    <w:rsid w:val="00E903A5"/>
    <w:rsid w:val="00EA2444"/>
    <w:rsid w:val="00EA7E8E"/>
    <w:rsid w:val="00ED0B97"/>
    <w:rsid w:val="00EE7590"/>
    <w:rsid w:val="00EF2584"/>
    <w:rsid w:val="00F02590"/>
    <w:rsid w:val="00F030FE"/>
    <w:rsid w:val="00F17D11"/>
    <w:rsid w:val="00F17F09"/>
    <w:rsid w:val="00F268E8"/>
    <w:rsid w:val="00F313DF"/>
    <w:rsid w:val="00F371F5"/>
    <w:rsid w:val="00F676DC"/>
    <w:rsid w:val="00F70A76"/>
    <w:rsid w:val="00F8174F"/>
    <w:rsid w:val="00F92384"/>
    <w:rsid w:val="00FB383B"/>
    <w:rsid w:val="00FB65D0"/>
    <w:rsid w:val="00FC58BA"/>
    <w:rsid w:val="00FC636F"/>
    <w:rsid w:val="00FE67BF"/>
    <w:rsid w:val="00FF3171"/>
    <w:rsid w:val="00FF3360"/>
    <w:rsid w:val="00FF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11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link w:val="FootnoteTextChar"/>
    <w:uiPriority w:val="99"/>
    <w:semiHidden/>
    <w:rsid w:val="00F030FE"/>
    <w:pPr>
      <w:tabs>
        <w:tab w:val="left" w:pos="-720"/>
      </w:tabs>
      <w:suppressAutoHyphens/>
    </w:pPr>
  </w:style>
  <w:style w:type="character" w:styleId="FootnoteReference">
    <w:name w:val="footnote reference"/>
    <w:basedOn w:val="DefaultParagraphFont"/>
    <w:uiPriority w:val="99"/>
    <w:semiHidden/>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link w:val="HeaderChar"/>
    <w:uiPriority w:val="99"/>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uiPriority w:val="99"/>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semiHidden/>
    <w:rsid w:val="007E02B0"/>
    <w:rPr>
      <w:rFonts w:ascii="Cambria" w:eastAsia="Times New Roman" w:hAnsi="Cambria" w:cs="Times New Roman"/>
      <w:b/>
      <w:bCs/>
      <w:i/>
      <w:iCs/>
      <w:sz w:val="28"/>
      <w:szCs w:val="28"/>
    </w:rPr>
  </w:style>
  <w:style w:type="paragraph" w:styleId="ListParagraph">
    <w:name w:val="List Paragraph"/>
    <w:basedOn w:val="Normal"/>
    <w:uiPriority w:val="34"/>
    <w:qFormat/>
    <w:rsid w:val="0032564D"/>
    <w:pPr>
      <w:ind w:left="720"/>
      <w:contextualSpacing/>
    </w:pPr>
  </w:style>
  <w:style w:type="paragraph" w:styleId="BodyText">
    <w:name w:val="Body Text"/>
    <w:basedOn w:val="Normal"/>
    <w:link w:val="BodyTextChar"/>
    <w:rsid w:val="00CC0087"/>
    <w:rPr>
      <w:rFonts w:ascii="Times New Roman" w:hAnsi="Times New Roman"/>
    </w:rPr>
  </w:style>
  <w:style w:type="character" w:customStyle="1" w:styleId="BodyTextChar">
    <w:name w:val="Body Text Char"/>
    <w:basedOn w:val="DefaultParagraphFont"/>
    <w:link w:val="BodyText"/>
    <w:rsid w:val="00CC0087"/>
    <w:rPr>
      <w:sz w:val="24"/>
    </w:rPr>
  </w:style>
  <w:style w:type="paragraph" w:styleId="BodyTextIndent3">
    <w:name w:val="Body Text Indent 3"/>
    <w:basedOn w:val="Normal"/>
    <w:link w:val="BodyTextIndent3Char"/>
    <w:rsid w:val="00CC0087"/>
    <w:pPr>
      <w:ind w:left="720"/>
    </w:pPr>
    <w:rPr>
      <w:rFonts w:ascii="Times New Roman" w:hAnsi="Times New Roman"/>
      <w:b/>
    </w:rPr>
  </w:style>
  <w:style w:type="character" w:customStyle="1" w:styleId="BodyTextIndent3Char">
    <w:name w:val="Body Text Indent 3 Char"/>
    <w:basedOn w:val="DefaultParagraphFont"/>
    <w:link w:val="BodyTextIndent3"/>
    <w:rsid w:val="00CC0087"/>
    <w:rPr>
      <w:b/>
      <w:sz w:val="24"/>
    </w:rPr>
  </w:style>
  <w:style w:type="table" w:styleId="TableGrid">
    <w:name w:val="Table Grid"/>
    <w:basedOn w:val="TableNormal"/>
    <w:rsid w:val="0001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49C8"/>
    <w:rPr>
      <w:rFonts w:ascii="Courier New" w:hAnsi="Courier New" w:cs="Courier New"/>
    </w:rPr>
  </w:style>
  <w:style w:type="paragraph" w:styleId="BalloonText">
    <w:name w:val="Balloon Text"/>
    <w:basedOn w:val="Normal"/>
    <w:link w:val="BalloonTextChar"/>
    <w:rsid w:val="00E45C02"/>
    <w:rPr>
      <w:rFonts w:ascii="Tahoma" w:hAnsi="Tahoma" w:cs="Tahoma"/>
      <w:sz w:val="16"/>
      <w:szCs w:val="16"/>
    </w:rPr>
  </w:style>
  <w:style w:type="character" w:customStyle="1" w:styleId="BalloonTextChar">
    <w:name w:val="Balloon Text Char"/>
    <w:basedOn w:val="DefaultParagraphFont"/>
    <w:link w:val="BalloonText"/>
    <w:rsid w:val="00E45C02"/>
    <w:rPr>
      <w:rFonts w:ascii="Tahoma" w:hAnsi="Tahoma" w:cs="Tahoma"/>
      <w:sz w:val="16"/>
      <w:szCs w:val="16"/>
    </w:rPr>
  </w:style>
  <w:style w:type="character" w:styleId="CommentReference">
    <w:name w:val="annotation reference"/>
    <w:basedOn w:val="DefaultParagraphFont"/>
    <w:rsid w:val="001F28BF"/>
    <w:rPr>
      <w:sz w:val="16"/>
      <w:szCs w:val="16"/>
    </w:rPr>
  </w:style>
  <w:style w:type="paragraph" w:styleId="CommentText">
    <w:name w:val="annotation text"/>
    <w:basedOn w:val="Normal"/>
    <w:link w:val="CommentTextChar"/>
    <w:rsid w:val="001F28BF"/>
    <w:rPr>
      <w:sz w:val="20"/>
    </w:rPr>
  </w:style>
  <w:style w:type="character" w:customStyle="1" w:styleId="CommentTextChar">
    <w:name w:val="Comment Text Char"/>
    <w:basedOn w:val="DefaultParagraphFont"/>
    <w:link w:val="CommentText"/>
    <w:rsid w:val="001F28BF"/>
    <w:rPr>
      <w:rFonts w:ascii="Courier" w:hAnsi="Courier"/>
    </w:rPr>
  </w:style>
  <w:style w:type="paragraph" w:styleId="CommentSubject">
    <w:name w:val="annotation subject"/>
    <w:basedOn w:val="CommentText"/>
    <w:next w:val="CommentText"/>
    <w:link w:val="CommentSubjectChar"/>
    <w:rsid w:val="001F28BF"/>
    <w:rPr>
      <w:b/>
      <w:bCs/>
    </w:rPr>
  </w:style>
  <w:style w:type="character" w:customStyle="1" w:styleId="CommentSubjectChar">
    <w:name w:val="Comment Subject Char"/>
    <w:basedOn w:val="CommentTextChar"/>
    <w:link w:val="CommentSubject"/>
    <w:rsid w:val="001F28BF"/>
    <w:rPr>
      <w:rFonts w:ascii="Courier" w:hAnsi="Courier"/>
      <w:b/>
      <w:bCs/>
    </w:rPr>
  </w:style>
  <w:style w:type="paragraph" w:styleId="PlainText">
    <w:name w:val="Plain Text"/>
    <w:basedOn w:val="Normal"/>
    <w:link w:val="PlainTextChar"/>
    <w:uiPriority w:val="99"/>
    <w:rsid w:val="00316275"/>
    <w:rPr>
      <w:rFonts w:ascii="Courier New" w:hAnsi="Courier New" w:cs="Courier New"/>
      <w:sz w:val="20"/>
    </w:rPr>
  </w:style>
  <w:style w:type="character" w:customStyle="1" w:styleId="PlainTextChar">
    <w:name w:val="Plain Text Char"/>
    <w:basedOn w:val="DefaultParagraphFont"/>
    <w:link w:val="PlainText"/>
    <w:uiPriority w:val="99"/>
    <w:rsid w:val="00316275"/>
    <w:rPr>
      <w:rFonts w:ascii="Courier New" w:hAnsi="Courier New" w:cs="Courier New"/>
    </w:rPr>
  </w:style>
  <w:style w:type="character" w:customStyle="1" w:styleId="HeaderChar">
    <w:name w:val="Header Char"/>
    <w:basedOn w:val="DefaultParagraphFont"/>
    <w:link w:val="Header"/>
    <w:uiPriority w:val="99"/>
    <w:locked/>
    <w:rsid w:val="00FB65D0"/>
    <w:rPr>
      <w:rFonts w:ascii="Courier" w:hAnsi="Courier"/>
      <w:sz w:val="24"/>
    </w:rPr>
  </w:style>
  <w:style w:type="character" w:customStyle="1" w:styleId="FootnoteTextChar">
    <w:name w:val="Footnote Text Char"/>
    <w:basedOn w:val="DefaultParagraphFont"/>
    <w:link w:val="FootnoteText"/>
    <w:uiPriority w:val="99"/>
    <w:semiHidden/>
    <w:locked/>
    <w:rsid w:val="00FB65D0"/>
    <w:rPr>
      <w:rFonts w:ascii="Courier" w:hAnsi="Courier"/>
      <w:sz w:val="24"/>
    </w:rPr>
  </w:style>
  <w:style w:type="character" w:styleId="Hyperlink">
    <w:name w:val="Hyperlink"/>
    <w:basedOn w:val="DefaultParagraphFont"/>
    <w:unhideWhenUsed/>
    <w:rsid w:val="00520FB8"/>
    <w:rPr>
      <w:color w:val="0000FF" w:themeColor="hyperlink"/>
      <w:u w:val="single"/>
    </w:rPr>
  </w:style>
  <w:style w:type="paragraph" w:styleId="Revision">
    <w:name w:val="Revision"/>
    <w:hidden/>
    <w:uiPriority w:val="99"/>
    <w:semiHidden/>
    <w:rsid w:val="00496A7E"/>
    <w:rPr>
      <w:rFonts w:ascii="Courier" w:hAnsi="Courier"/>
      <w:sz w:val="24"/>
    </w:rPr>
  </w:style>
  <w:style w:type="character" w:styleId="FollowedHyperlink">
    <w:name w:val="FollowedHyperlink"/>
    <w:basedOn w:val="DefaultParagraphFont"/>
    <w:semiHidden/>
    <w:unhideWhenUsed/>
    <w:rsid w:val="00AC46D9"/>
    <w:rPr>
      <w:color w:val="800080" w:themeColor="followedHyperlink"/>
      <w:u w:val="single"/>
    </w:rPr>
  </w:style>
  <w:style w:type="paragraph" w:styleId="NoSpacing">
    <w:name w:val="No Spacing"/>
    <w:uiPriority w:val="1"/>
    <w:qFormat/>
    <w:rsid w:val="0055502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link w:val="FootnoteTextChar"/>
    <w:uiPriority w:val="99"/>
    <w:semiHidden/>
    <w:rsid w:val="00F030FE"/>
    <w:pPr>
      <w:tabs>
        <w:tab w:val="left" w:pos="-720"/>
      </w:tabs>
      <w:suppressAutoHyphens/>
    </w:pPr>
  </w:style>
  <w:style w:type="character" w:styleId="FootnoteReference">
    <w:name w:val="footnote reference"/>
    <w:basedOn w:val="DefaultParagraphFont"/>
    <w:uiPriority w:val="99"/>
    <w:semiHidden/>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link w:val="HeaderChar"/>
    <w:uiPriority w:val="99"/>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uiPriority w:val="99"/>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semiHidden/>
    <w:rsid w:val="007E02B0"/>
    <w:rPr>
      <w:rFonts w:ascii="Cambria" w:eastAsia="Times New Roman" w:hAnsi="Cambria" w:cs="Times New Roman"/>
      <w:b/>
      <w:bCs/>
      <w:i/>
      <w:iCs/>
      <w:sz w:val="28"/>
      <w:szCs w:val="28"/>
    </w:rPr>
  </w:style>
  <w:style w:type="paragraph" w:styleId="ListParagraph">
    <w:name w:val="List Paragraph"/>
    <w:basedOn w:val="Normal"/>
    <w:uiPriority w:val="34"/>
    <w:qFormat/>
    <w:rsid w:val="0032564D"/>
    <w:pPr>
      <w:ind w:left="720"/>
      <w:contextualSpacing/>
    </w:pPr>
  </w:style>
  <w:style w:type="paragraph" w:styleId="BodyText">
    <w:name w:val="Body Text"/>
    <w:basedOn w:val="Normal"/>
    <w:link w:val="BodyTextChar"/>
    <w:rsid w:val="00CC0087"/>
    <w:rPr>
      <w:rFonts w:ascii="Times New Roman" w:hAnsi="Times New Roman"/>
    </w:rPr>
  </w:style>
  <w:style w:type="character" w:customStyle="1" w:styleId="BodyTextChar">
    <w:name w:val="Body Text Char"/>
    <w:basedOn w:val="DefaultParagraphFont"/>
    <w:link w:val="BodyText"/>
    <w:rsid w:val="00CC0087"/>
    <w:rPr>
      <w:sz w:val="24"/>
    </w:rPr>
  </w:style>
  <w:style w:type="paragraph" w:styleId="BodyTextIndent3">
    <w:name w:val="Body Text Indent 3"/>
    <w:basedOn w:val="Normal"/>
    <w:link w:val="BodyTextIndent3Char"/>
    <w:rsid w:val="00CC0087"/>
    <w:pPr>
      <w:ind w:left="720"/>
    </w:pPr>
    <w:rPr>
      <w:rFonts w:ascii="Times New Roman" w:hAnsi="Times New Roman"/>
      <w:b/>
    </w:rPr>
  </w:style>
  <w:style w:type="character" w:customStyle="1" w:styleId="BodyTextIndent3Char">
    <w:name w:val="Body Text Indent 3 Char"/>
    <w:basedOn w:val="DefaultParagraphFont"/>
    <w:link w:val="BodyTextIndent3"/>
    <w:rsid w:val="00CC0087"/>
    <w:rPr>
      <w:b/>
      <w:sz w:val="24"/>
    </w:rPr>
  </w:style>
  <w:style w:type="table" w:styleId="TableGrid">
    <w:name w:val="Table Grid"/>
    <w:basedOn w:val="TableNormal"/>
    <w:rsid w:val="0001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49C8"/>
    <w:rPr>
      <w:rFonts w:ascii="Courier New" w:hAnsi="Courier New" w:cs="Courier New"/>
    </w:rPr>
  </w:style>
  <w:style w:type="paragraph" w:styleId="BalloonText">
    <w:name w:val="Balloon Text"/>
    <w:basedOn w:val="Normal"/>
    <w:link w:val="BalloonTextChar"/>
    <w:rsid w:val="00E45C02"/>
    <w:rPr>
      <w:rFonts w:ascii="Tahoma" w:hAnsi="Tahoma" w:cs="Tahoma"/>
      <w:sz w:val="16"/>
      <w:szCs w:val="16"/>
    </w:rPr>
  </w:style>
  <w:style w:type="character" w:customStyle="1" w:styleId="BalloonTextChar">
    <w:name w:val="Balloon Text Char"/>
    <w:basedOn w:val="DefaultParagraphFont"/>
    <w:link w:val="BalloonText"/>
    <w:rsid w:val="00E45C02"/>
    <w:rPr>
      <w:rFonts w:ascii="Tahoma" w:hAnsi="Tahoma" w:cs="Tahoma"/>
      <w:sz w:val="16"/>
      <w:szCs w:val="16"/>
    </w:rPr>
  </w:style>
  <w:style w:type="character" w:styleId="CommentReference">
    <w:name w:val="annotation reference"/>
    <w:basedOn w:val="DefaultParagraphFont"/>
    <w:rsid w:val="001F28BF"/>
    <w:rPr>
      <w:sz w:val="16"/>
      <w:szCs w:val="16"/>
    </w:rPr>
  </w:style>
  <w:style w:type="paragraph" w:styleId="CommentText">
    <w:name w:val="annotation text"/>
    <w:basedOn w:val="Normal"/>
    <w:link w:val="CommentTextChar"/>
    <w:rsid w:val="001F28BF"/>
    <w:rPr>
      <w:sz w:val="20"/>
    </w:rPr>
  </w:style>
  <w:style w:type="character" w:customStyle="1" w:styleId="CommentTextChar">
    <w:name w:val="Comment Text Char"/>
    <w:basedOn w:val="DefaultParagraphFont"/>
    <w:link w:val="CommentText"/>
    <w:rsid w:val="001F28BF"/>
    <w:rPr>
      <w:rFonts w:ascii="Courier" w:hAnsi="Courier"/>
    </w:rPr>
  </w:style>
  <w:style w:type="paragraph" w:styleId="CommentSubject">
    <w:name w:val="annotation subject"/>
    <w:basedOn w:val="CommentText"/>
    <w:next w:val="CommentText"/>
    <w:link w:val="CommentSubjectChar"/>
    <w:rsid w:val="001F28BF"/>
    <w:rPr>
      <w:b/>
      <w:bCs/>
    </w:rPr>
  </w:style>
  <w:style w:type="character" w:customStyle="1" w:styleId="CommentSubjectChar">
    <w:name w:val="Comment Subject Char"/>
    <w:basedOn w:val="CommentTextChar"/>
    <w:link w:val="CommentSubject"/>
    <w:rsid w:val="001F28BF"/>
    <w:rPr>
      <w:rFonts w:ascii="Courier" w:hAnsi="Courier"/>
      <w:b/>
      <w:bCs/>
    </w:rPr>
  </w:style>
  <w:style w:type="paragraph" w:styleId="PlainText">
    <w:name w:val="Plain Text"/>
    <w:basedOn w:val="Normal"/>
    <w:link w:val="PlainTextChar"/>
    <w:uiPriority w:val="99"/>
    <w:rsid w:val="00316275"/>
    <w:rPr>
      <w:rFonts w:ascii="Courier New" w:hAnsi="Courier New" w:cs="Courier New"/>
      <w:sz w:val="20"/>
    </w:rPr>
  </w:style>
  <w:style w:type="character" w:customStyle="1" w:styleId="PlainTextChar">
    <w:name w:val="Plain Text Char"/>
    <w:basedOn w:val="DefaultParagraphFont"/>
    <w:link w:val="PlainText"/>
    <w:uiPriority w:val="99"/>
    <w:rsid w:val="00316275"/>
    <w:rPr>
      <w:rFonts w:ascii="Courier New" w:hAnsi="Courier New" w:cs="Courier New"/>
    </w:rPr>
  </w:style>
  <w:style w:type="character" w:customStyle="1" w:styleId="HeaderChar">
    <w:name w:val="Header Char"/>
    <w:basedOn w:val="DefaultParagraphFont"/>
    <w:link w:val="Header"/>
    <w:uiPriority w:val="99"/>
    <w:locked/>
    <w:rsid w:val="00FB65D0"/>
    <w:rPr>
      <w:rFonts w:ascii="Courier" w:hAnsi="Courier"/>
      <w:sz w:val="24"/>
    </w:rPr>
  </w:style>
  <w:style w:type="character" w:customStyle="1" w:styleId="FootnoteTextChar">
    <w:name w:val="Footnote Text Char"/>
    <w:basedOn w:val="DefaultParagraphFont"/>
    <w:link w:val="FootnoteText"/>
    <w:uiPriority w:val="99"/>
    <w:semiHidden/>
    <w:locked/>
    <w:rsid w:val="00FB65D0"/>
    <w:rPr>
      <w:rFonts w:ascii="Courier" w:hAnsi="Courier"/>
      <w:sz w:val="24"/>
    </w:rPr>
  </w:style>
  <w:style w:type="character" w:styleId="Hyperlink">
    <w:name w:val="Hyperlink"/>
    <w:basedOn w:val="DefaultParagraphFont"/>
    <w:unhideWhenUsed/>
    <w:rsid w:val="00520FB8"/>
    <w:rPr>
      <w:color w:val="0000FF" w:themeColor="hyperlink"/>
      <w:u w:val="single"/>
    </w:rPr>
  </w:style>
  <w:style w:type="paragraph" w:styleId="Revision">
    <w:name w:val="Revision"/>
    <w:hidden/>
    <w:uiPriority w:val="99"/>
    <w:semiHidden/>
    <w:rsid w:val="00496A7E"/>
    <w:rPr>
      <w:rFonts w:ascii="Courier" w:hAnsi="Courier"/>
      <w:sz w:val="24"/>
    </w:rPr>
  </w:style>
  <w:style w:type="character" w:styleId="FollowedHyperlink">
    <w:name w:val="FollowedHyperlink"/>
    <w:basedOn w:val="DefaultParagraphFont"/>
    <w:semiHidden/>
    <w:unhideWhenUsed/>
    <w:rsid w:val="00AC46D9"/>
    <w:rPr>
      <w:color w:val="800080" w:themeColor="followedHyperlink"/>
      <w:u w:val="single"/>
    </w:rPr>
  </w:style>
  <w:style w:type="paragraph" w:styleId="NoSpacing">
    <w:name w:val="No Spacing"/>
    <w:uiPriority w:val="1"/>
    <w:qFormat/>
    <w:rsid w:val="0055502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369939">
      <w:bodyDiv w:val="1"/>
      <w:marLeft w:val="0"/>
      <w:marRight w:val="0"/>
      <w:marTop w:val="0"/>
      <w:marBottom w:val="0"/>
      <w:divBdr>
        <w:top w:val="none" w:sz="0" w:space="0" w:color="auto"/>
        <w:left w:val="none" w:sz="0" w:space="0" w:color="auto"/>
        <w:bottom w:val="none" w:sz="0" w:space="0" w:color="auto"/>
        <w:right w:val="none" w:sz="0" w:space="0" w:color="auto"/>
      </w:divBdr>
    </w:div>
    <w:div w:id="1444223993">
      <w:bodyDiv w:val="1"/>
      <w:marLeft w:val="0"/>
      <w:marRight w:val="0"/>
      <w:marTop w:val="0"/>
      <w:marBottom w:val="0"/>
      <w:divBdr>
        <w:top w:val="none" w:sz="0" w:space="0" w:color="auto"/>
        <w:left w:val="none" w:sz="0" w:space="0" w:color="auto"/>
        <w:bottom w:val="none" w:sz="0" w:space="0" w:color="auto"/>
        <w:right w:val="none" w:sz="0" w:space="0" w:color="auto"/>
      </w:divBdr>
    </w:div>
    <w:div w:id="1473521210">
      <w:bodyDiv w:val="1"/>
      <w:marLeft w:val="0"/>
      <w:marRight w:val="0"/>
      <w:marTop w:val="0"/>
      <w:marBottom w:val="0"/>
      <w:divBdr>
        <w:top w:val="none" w:sz="0" w:space="0" w:color="auto"/>
        <w:left w:val="none" w:sz="0" w:space="0" w:color="auto"/>
        <w:bottom w:val="none" w:sz="0" w:space="0" w:color="auto"/>
        <w:right w:val="none" w:sz="0" w:space="0" w:color="auto"/>
      </w:divBdr>
    </w:div>
    <w:div w:id="16529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triomcnair/legisla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2019-07-02T16:32:00Z</cp:lastPrinted>
  <dcterms:created xsi:type="dcterms:W3CDTF">2019-10-25T13:39:00Z</dcterms:created>
  <dcterms:modified xsi:type="dcterms:W3CDTF">2019-10-25T13:39:00Z</dcterms:modified>
</cp:coreProperties>
</file>