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5DCC9" w14:textId="77777777" w:rsidR="007726CB" w:rsidRDefault="007726CB" w:rsidP="007726CB">
      <w:pPr>
        <w:spacing w:after="0"/>
        <w:jc w:val="center"/>
        <w:rPr>
          <w:rFonts w:cs="Times New Roman"/>
          <w:sz w:val="36"/>
          <w:szCs w:val="36"/>
        </w:rPr>
      </w:pPr>
      <w:bookmarkStart w:id="0" w:name="_GoBack"/>
      <w:bookmarkEnd w:id="0"/>
      <w:r w:rsidRPr="00DC74B7">
        <w:rPr>
          <w:rFonts w:cs="Times New Roman"/>
          <w:sz w:val="36"/>
          <w:szCs w:val="36"/>
        </w:rPr>
        <w:t>ACF Behavioral Interventions to Advance Self-Sufficiency Next Generation (BIAS-NG) Project</w:t>
      </w:r>
    </w:p>
    <w:p w14:paraId="2C93DBDE" w14:textId="77777777" w:rsidR="007726CB" w:rsidRPr="00B55610" w:rsidRDefault="007726CB" w:rsidP="007726CB">
      <w:pPr>
        <w:spacing w:after="0"/>
        <w:rPr>
          <w:rFonts w:cs="Times New Roman"/>
          <w:szCs w:val="24"/>
        </w:rPr>
      </w:pPr>
    </w:p>
    <w:p w14:paraId="3F66AD1D" w14:textId="7E8C4644" w:rsidR="007726CB" w:rsidRPr="004A0678" w:rsidRDefault="007726CB" w:rsidP="007726CB">
      <w:pPr>
        <w:spacing w:after="0"/>
        <w:jc w:val="center"/>
        <w:rPr>
          <w:rFonts w:cs="Times New Roman"/>
          <w:sz w:val="36"/>
          <w:szCs w:val="36"/>
        </w:rPr>
      </w:pPr>
      <w:r w:rsidRPr="00DC74B7">
        <w:rPr>
          <w:rFonts w:cs="Times New Roman"/>
          <w:sz w:val="36"/>
          <w:szCs w:val="36"/>
        </w:rPr>
        <w:t>Generic Data Collection (</w:t>
      </w:r>
      <w:r w:rsidRPr="004A0678">
        <w:rPr>
          <w:rFonts w:cs="Times New Roman"/>
          <w:sz w:val="36"/>
          <w:szCs w:val="36"/>
        </w:rPr>
        <w:t xml:space="preserve">OMB Number </w:t>
      </w:r>
      <w:r w:rsidR="007F213F" w:rsidRPr="00116576">
        <w:rPr>
          <w:rFonts w:cs="Times New Roman"/>
          <w:sz w:val="36"/>
          <w:szCs w:val="36"/>
        </w:rPr>
        <w:t>0970-0502</w:t>
      </w:r>
      <w:r w:rsidR="007F213F" w:rsidRPr="00116576">
        <w:rPr>
          <w:sz w:val="36"/>
          <w:szCs w:val="36"/>
        </w:rPr>
        <w:t>)</w:t>
      </w:r>
    </w:p>
    <w:p w14:paraId="610C06BA" w14:textId="0F26E744" w:rsidR="007726CB" w:rsidRPr="004A0678" w:rsidRDefault="007726CB" w:rsidP="007726CB">
      <w:pPr>
        <w:spacing w:after="0"/>
        <w:jc w:val="center"/>
        <w:rPr>
          <w:rFonts w:cs="Times New Roman"/>
          <w:sz w:val="36"/>
          <w:szCs w:val="36"/>
        </w:rPr>
      </w:pPr>
      <w:r w:rsidRPr="004A0678">
        <w:rPr>
          <w:rFonts w:cs="Times New Roman"/>
          <w:sz w:val="36"/>
          <w:szCs w:val="36"/>
        </w:rPr>
        <w:t xml:space="preserve">      </w:t>
      </w:r>
    </w:p>
    <w:p w14:paraId="256AFB91" w14:textId="77777777" w:rsidR="007726CB" w:rsidRDefault="007726CB" w:rsidP="007726CB">
      <w:pPr>
        <w:spacing w:after="0"/>
        <w:jc w:val="center"/>
        <w:rPr>
          <w:rFonts w:cs="Times New Roman"/>
          <w:b/>
          <w:sz w:val="36"/>
          <w:szCs w:val="36"/>
        </w:rPr>
      </w:pPr>
    </w:p>
    <w:p w14:paraId="1441B608" w14:textId="7CB782B3" w:rsidR="007726CB" w:rsidRPr="00DC74B7" w:rsidRDefault="007726CB" w:rsidP="007726CB">
      <w:pPr>
        <w:spacing w:after="0"/>
        <w:jc w:val="center"/>
        <w:rPr>
          <w:rFonts w:cs="Times New Roman"/>
          <w:b/>
          <w:sz w:val="36"/>
          <w:szCs w:val="36"/>
        </w:rPr>
      </w:pPr>
      <w:r w:rsidRPr="00DC74B7">
        <w:rPr>
          <w:rFonts w:cs="Times New Roman"/>
          <w:b/>
          <w:sz w:val="36"/>
          <w:szCs w:val="36"/>
        </w:rPr>
        <w:t xml:space="preserve">SUPPORTING STATEMENT PART </w:t>
      </w:r>
      <w:r w:rsidR="00F509BC">
        <w:rPr>
          <w:rFonts w:cs="Times New Roman"/>
          <w:b/>
          <w:sz w:val="36"/>
          <w:szCs w:val="36"/>
        </w:rPr>
        <w:t>B</w:t>
      </w:r>
    </w:p>
    <w:p w14:paraId="34C90F32" w14:textId="77777777" w:rsidR="007726CB" w:rsidRDefault="007726CB" w:rsidP="007726CB">
      <w:pPr>
        <w:spacing w:after="0"/>
        <w:jc w:val="center"/>
        <w:rPr>
          <w:rFonts w:cs="Times New Roman"/>
          <w:szCs w:val="24"/>
        </w:rPr>
      </w:pPr>
    </w:p>
    <w:p w14:paraId="2058C8AF" w14:textId="77777777" w:rsidR="007726CB" w:rsidRDefault="007726CB" w:rsidP="007726CB">
      <w:pPr>
        <w:spacing w:after="0"/>
        <w:jc w:val="center"/>
        <w:rPr>
          <w:rFonts w:cs="Times New Roman"/>
          <w:szCs w:val="24"/>
        </w:rPr>
      </w:pPr>
    </w:p>
    <w:p w14:paraId="09179B0C" w14:textId="1C7ADD4A" w:rsidR="007726CB" w:rsidRPr="008B74DC" w:rsidRDefault="002A075C" w:rsidP="007726CB">
      <w:pPr>
        <w:spacing w:after="0"/>
        <w:jc w:val="center"/>
        <w:rPr>
          <w:rFonts w:cs="Times New Roman"/>
          <w:szCs w:val="24"/>
        </w:rPr>
      </w:pPr>
      <w:r>
        <w:rPr>
          <w:rFonts w:cs="Times New Roman"/>
          <w:szCs w:val="24"/>
        </w:rPr>
        <w:t xml:space="preserve">Revision </w:t>
      </w:r>
      <w:r w:rsidR="00116576">
        <w:rPr>
          <w:rFonts w:cs="Times New Roman"/>
          <w:szCs w:val="24"/>
        </w:rPr>
        <w:t>June</w:t>
      </w:r>
      <w:r w:rsidR="00A00868">
        <w:rPr>
          <w:rFonts w:cs="Times New Roman"/>
          <w:szCs w:val="24"/>
        </w:rPr>
        <w:t xml:space="preserve"> </w:t>
      </w:r>
      <w:r w:rsidR="00F13A00">
        <w:rPr>
          <w:rFonts w:cs="Times New Roman"/>
          <w:szCs w:val="24"/>
        </w:rPr>
        <w:t>2019</w:t>
      </w:r>
    </w:p>
    <w:p w14:paraId="69A3DB0C" w14:textId="77777777" w:rsidR="007726CB" w:rsidRPr="008B74DC" w:rsidRDefault="007726CB" w:rsidP="007726CB">
      <w:pPr>
        <w:spacing w:after="0"/>
        <w:rPr>
          <w:rFonts w:cs="Times New Roman"/>
          <w:szCs w:val="24"/>
        </w:rPr>
      </w:pPr>
    </w:p>
    <w:p w14:paraId="4E174455" w14:textId="77777777" w:rsidR="007726CB" w:rsidRDefault="007726CB" w:rsidP="007726CB">
      <w:pPr>
        <w:rPr>
          <w:rFonts w:ascii="Arial" w:hAnsi="Arial" w:cs="Arial"/>
        </w:rPr>
      </w:pPr>
    </w:p>
    <w:p w14:paraId="45C8C0FE" w14:textId="77777777" w:rsidR="008278C2" w:rsidRPr="008C5475" w:rsidRDefault="008278C2" w:rsidP="008E27A3">
      <w:pPr>
        <w:spacing w:after="0" w:line="240" w:lineRule="auto"/>
        <w:rPr>
          <w:rFonts w:cs="Times New Roman"/>
          <w:szCs w:val="24"/>
        </w:rPr>
      </w:pPr>
    </w:p>
    <w:p w14:paraId="41A09AFA" w14:textId="77777777" w:rsidR="008278C2" w:rsidRPr="008C5475" w:rsidRDefault="008278C2" w:rsidP="008E27A3">
      <w:pPr>
        <w:spacing w:after="0" w:line="240" w:lineRule="auto"/>
        <w:rPr>
          <w:rFonts w:cs="Times New Roman"/>
          <w:szCs w:val="24"/>
        </w:rPr>
      </w:pPr>
    </w:p>
    <w:p w14:paraId="49664655" w14:textId="77777777" w:rsidR="008278C2" w:rsidRPr="008C5475" w:rsidRDefault="008278C2" w:rsidP="008E27A3">
      <w:pPr>
        <w:spacing w:after="0" w:line="240" w:lineRule="auto"/>
        <w:rPr>
          <w:rFonts w:cs="Times New Roman"/>
          <w:szCs w:val="24"/>
        </w:rPr>
      </w:pPr>
    </w:p>
    <w:p w14:paraId="73A4F8BA" w14:textId="77777777" w:rsidR="008278C2" w:rsidRPr="008C5475" w:rsidRDefault="008278C2" w:rsidP="008E27A3">
      <w:pPr>
        <w:spacing w:after="0" w:line="240" w:lineRule="auto"/>
        <w:rPr>
          <w:rFonts w:cs="Times New Roman"/>
          <w:szCs w:val="24"/>
        </w:rPr>
      </w:pPr>
    </w:p>
    <w:p w14:paraId="1AE6ED36" w14:textId="77777777" w:rsidR="008278C2" w:rsidRPr="008C5475" w:rsidRDefault="008278C2" w:rsidP="008E27A3">
      <w:pPr>
        <w:spacing w:after="0" w:line="240" w:lineRule="auto"/>
        <w:rPr>
          <w:rFonts w:cs="Times New Roman"/>
          <w:szCs w:val="24"/>
        </w:rPr>
      </w:pPr>
    </w:p>
    <w:p w14:paraId="2826EAFD" w14:textId="77777777" w:rsidR="008278C2" w:rsidRPr="008C5475" w:rsidRDefault="008278C2" w:rsidP="008E27A3">
      <w:pPr>
        <w:spacing w:after="0" w:line="240" w:lineRule="auto"/>
        <w:rPr>
          <w:rFonts w:cs="Times New Roman"/>
          <w:szCs w:val="24"/>
        </w:rPr>
      </w:pPr>
    </w:p>
    <w:p w14:paraId="7811B27D" w14:textId="77777777" w:rsidR="008278C2" w:rsidRPr="008C5475" w:rsidRDefault="008278C2" w:rsidP="008E27A3">
      <w:pPr>
        <w:spacing w:after="0" w:line="240" w:lineRule="auto"/>
        <w:rPr>
          <w:rFonts w:cs="Times New Roman"/>
          <w:szCs w:val="24"/>
        </w:rPr>
      </w:pPr>
    </w:p>
    <w:p w14:paraId="59F969A8" w14:textId="77777777" w:rsidR="008278C2" w:rsidRPr="008C5475" w:rsidRDefault="008278C2" w:rsidP="008E27A3">
      <w:pPr>
        <w:spacing w:after="0" w:line="240" w:lineRule="auto"/>
        <w:rPr>
          <w:rFonts w:cs="Times New Roman"/>
          <w:szCs w:val="24"/>
        </w:rPr>
      </w:pPr>
    </w:p>
    <w:p w14:paraId="505742CC" w14:textId="77777777" w:rsidR="008278C2" w:rsidRPr="008C5475" w:rsidRDefault="008278C2" w:rsidP="008E27A3">
      <w:pPr>
        <w:spacing w:after="0" w:line="240" w:lineRule="auto"/>
        <w:rPr>
          <w:rFonts w:cs="Times New Roman"/>
          <w:szCs w:val="24"/>
        </w:rPr>
      </w:pPr>
    </w:p>
    <w:p w14:paraId="3EAA741C" w14:textId="77777777" w:rsidR="008278C2" w:rsidRPr="008C5475" w:rsidRDefault="008278C2" w:rsidP="008E27A3">
      <w:pPr>
        <w:spacing w:after="0" w:line="240" w:lineRule="auto"/>
        <w:rPr>
          <w:rFonts w:cs="Times New Roman"/>
          <w:szCs w:val="24"/>
        </w:rPr>
      </w:pPr>
    </w:p>
    <w:p w14:paraId="2C353482" w14:textId="77777777" w:rsidR="008278C2" w:rsidRPr="008C5475" w:rsidRDefault="008278C2" w:rsidP="008E27A3">
      <w:pPr>
        <w:spacing w:after="0" w:line="240" w:lineRule="auto"/>
        <w:rPr>
          <w:rFonts w:cs="Times New Roman"/>
          <w:szCs w:val="24"/>
        </w:rPr>
      </w:pPr>
    </w:p>
    <w:p w14:paraId="102C2D01" w14:textId="77777777" w:rsidR="008278C2" w:rsidRPr="008C5475" w:rsidRDefault="008278C2" w:rsidP="008E27A3">
      <w:pPr>
        <w:spacing w:after="0" w:line="240" w:lineRule="auto"/>
        <w:rPr>
          <w:rFonts w:cs="Times New Roman"/>
          <w:szCs w:val="24"/>
        </w:rPr>
      </w:pPr>
    </w:p>
    <w:p w14:paraId="3C5E2DF6" w14:textId="77777777" w:rsidR="008278C2" w:rsidRPr="008C5475" w:rsidRDefault="008278C2" w:rsidP="008E27A3">
      <w:pPr>
        <w:spacing w:after="0" w:line="240" w:lineRule="auto"/>
        <w:rPr>
          <w:rFonts w:cs="Times New Roman"/>
          <w:szCs w:val="24"/>
        </w:rPr>
      </w:pPr>
    </w:p>
    <w:p w14:paraId="04161B26" w14:textId="77777777" w:rsidR="008278C2" w:rsidRPr="008C5475" w:rsidRDefault="008278C2" w:rsidP="008E27A3">
      <w:pPr>
        <w:spacing w:after="0" w:line="240" w:lineRule="auto"/>
        <w:rPr>
          <w:rFonts w:cs="Times New Roman"/>
          <w:szCs w:val="24"/>
        </w:rPr>
      </w:pPr>
    </w:p>
    <w:p w14:paraId="5F1C400B" w14:textId="77777777" w:rsidR="008278C2" w:rsidRPr="008C5475" w:rsidRDefault="008278C2" w:rsidP="008E27A3">
      <w:pPr>
        <w:spacing w:after="0" w:line="240" w:lineRule="auto"/>
        <w:rPr>
          <w:rFonts w:cs="Times New Roman"/>
          <w:szCs w:val="24"/>
        </w:rPr>
      </w:pPr>
    </w:p>
    <w:p w14:paraId="59D1CB86" w14:textId="77777777" w:rsidR="008278C2" w:rsidRPr="008C5475" w:rsidRDefault="008278C2" w:rsidP="008E27A3">
      <w:pPr>
        <w:spacing w:after="0" w:line="240" w:lineRule="auto"/>
        <w:rPr>
          <w:rFonts w:cs="Times New Roman"/>
          <w:szCs w:val="24"/>
        </w:rPr>
      </w:pPr>
    </w:p>
    <w:p w14:paraId="6079B23D" w14:textId="77777777" w:rsidR="008278C2" w:rsidRPr="008C5475" w:rsidRDefault="008278C2" w:rsidP="008E27A3">
      <w:pPr>
        <w:spacing w:after="0" w:line="240" w:lineRule="auto"/>
        <w:rPr>
          <w:rFonts w:cs="Times New Roman"/>
          <w:szCs w:val="24"/>
        </w:rPr>
      </w:pPr>
    </w:p>
    <w:p w14:paraId="37B7B0D7" w14:textId="77777777" w:rsidR="008278C2" w:rsidRPr="008C5475" w:rsidRDefault="008278C2" w:rsidP="00521664">
      <w:pPr>
        <w:spacing w:after="0" w:line="240" w:lineRule="auto"/>
        <w:jc w:val="center"/>
      </w:pPr>
      <w:r w:rsidRPr="008C5475">
        <w:t>Submitted By:</w:t>
      </w:r>
    </w:p>
    <w:p w14:paraId="1D080A6A" w14:textId="5F7A35AB" w:rsidR="008278C2" w:rsidRPr="008C5475" w:rsidRDefault="008278C2" w:rsidP="00521664">
      <w:pPr>
        <w:spacing w:after="0" w:line="240" w:lineRule="auto"/>
        <w:jc w:val="center"/>
      </w:pPr>
      <w:r w:rsidRPr="008C5475">
        <w:t>Office of Planning, Research</w:t>
      </w:r>
      <w:r w:rsidR="002F31BC">
        <w:t>,</w:t>
      </w:r>
      <w:r w:rsidRPr="008C5475">
        <w:t xml:space="preserve"> and Evaluation</w:t>
      </w:r>
    </w:p>
    <w:p w14:paraId="588443F9" w14:textId="77777777" w:rsidR="008278C2" w:rsidRPr="008C5475" w:rsidRDefault="008278C2" w:rsidP="00521664">
      <w:pPr>
        <w:spacing w:after="0" w:line="240" w:lineRule="auto"/>
        <w:jc w:val="center"/>
      </w:pPr>
      <w:r w:rsidRPr="008C5475">
        <w:t>Administration for Children and Families</w:t>
      </w:r>
    </w:p>
    <w:p w14:paraId="65307B86" w14:textId="77777777" w:rsidR="008278C2" w:rsidRPr="008C5475" w:rsidRDefault="008278C2" w:rsidP="00521664">
      <w:pPr>
        <w:spacing w:after="0" w:line="240" w:lineRule="auto"/>
        <w:jc w:val="center"/>
      </w:pPr>
      <w:r w:rsidRPr="008C5475">
        <w:t>U.S. Department of Health and Human Services</w:t>
      </w:r>
    </w:p>
    <w:p w14:paraId="0FFFBC3E" w14:textId="77777777" w:rsidR="008278C2" w:rsidRPr="008C5475" w:rsidRDefault="008278C2" w:rsidP="00521664">
      <w:pPr>
        <w:spacing w:after="0" w:line="240" w:lineRule="auto"/>
        <w:jc w:val="center"/>
      </w:pPr>
    </w:p>
    <w:p w14:paraId="60E553F7" w14:textId="77777777" w:rsidR="00BD5D89" w:rsidRPr="008C5475" w:rsidRDefault="00BD5D89" w:rsidP="00521664">
      <w:pPr>
        <w:spacing w:after="0" w:line="240" w:lineRule="auto"/>
        <w:jc w:val="center"/>
      </w:pPr>
      <w:r w:rsidRPr="008C5475">
        <w:t>Mary E. Switzer Building</w:t>
      </w:r>
    </w:p>
    <w:p w14:paraId="58D30278" w14:textId="77777777" w:rsidR="00BD5D89" w:rsidRPr="008C5475" w:rsidRDefault="00BD5D89" w:rsidP="00521664">
      <w:pPr>
        <w:spacing w:after="0" w:line="240" w:lineRule="auto"/>
        <w:jc w:val="center"/>
      </w:pPr>
      <w:r w:rsidRPr="008C5475">
        <w:t>330 C Street, SW</w:t>
      </w:r>
    </w:p>
    <w:p w14:paraId="111D5892" w14:textId="331580A1" w:rsidR="0007298A" w:rsidRPr="008C5475" w:rsidRDefault="00BD5D89" w:rsidP="00116576">
      <w:pPr>
        <w:spacing w:after="0" w:line="240" w:lineRule="auto"/>
        <w:jc w:val="center"/>
        <w:rPr>
          <w:rFonts w:cs="Times New Roman"/>
          <w:szCs w:val="24"/>
        </w:rPr>
      </w:pPr>
      <w:r w:rsidRPr="008C5475">
        <w:t>Washington, D.C. 20201</w:t>
      </w:r>
      <w:r w:rsidR="0007298A" w:rsidRPr="008C5475">
        <w:rPr>
          <w:rFonts w:cs="Times New Roman"/>
          <w:szCs w:val="24"/>
        </w:rPr>
        <w:br w:type="page"/>
      </w:r>
    </w:p>
    <w:p w14:paraId="2DDB9CC7" w14:textId="77777777" w:rsidR="0068690D" w:rsidRPr="008C5475" w:rsidRDefault="0068690D" w:rsidP="008E27A3">
      <w:pPr>
        <w:spacing w:line="240" w:lineRule="auto"/>
      </w:pPr>
      <w:bookmarkStart w:id="1" w:name="_Toc328472332"/>
      <w:r w:rsidRPr="008C5475">
        <w:lastRenderedPageBreak/>
        <w:t>B. COLLECTIONS OF INFORMATION EMPLOYING STATISTICAL METHODS</w:t>
      </w:r>
    </w:p>
    <w:p w14:paraId="5D1A398F" w14:textId="77777777" w:rsidR="003100F5" w:rsidRPr="008C5475" w:rsidRDefault="003100F5" w:rsidP="008E27A3">
      <w:pPr>
        <w:pBdr>
          <w:bottom w:val="single" w:sz="4" w:space="1" w:color="660000"/>
        </w:pBdr>
        <w:autoSpaceDE w:val="0"/>
        <w:autoSpaceDN w:val="0"/>
        <w:adjustRightInd w:val="0"/>
        <w:spacing w:line="240" w:lineRule="auto"/>
        <w:jc w:val="center"/>
        <w:rPr>
          <w:b/>
          <w:bCs/>
        </w:rPr>
      </w:pPr>
      <w:r w:rsidRPr="008C5475">
        <w:rPr>
          <w:b/>
          <w:bCs/>
        </w:rPr>
        <w:t>TABLE OF CONTENTS</w:t>
      </w:r>
    </w:p>
    <w:p w14:paraId="024859AE" w14:textId="3ADDF57E" w:rsidR="00045E5C" w:rsidRDefault="003100F5">
      <w:pPr>
        <w:pStyle w:val="TOC2"/>
        <w:rPr>
          <w:rFonts w:asciiTheme="minorHAnsi" w:eastAsiaTheme="minorEastAsia" w:hAnsiTheme="minorHAnsi" w:cstheme="minorBidi"/>
          <w:noProof/>
          <w:sz w:val="22"/>
          <w:szCs w:val="22"/>
        </w:rPr>
      </w:pPr>
      <w:r w:rsidRPr="00350B17">
        <w:rPr>
          <w:bCs/>
        </w:rPr>
        <w:fldChar w:fldCharType="begin"/>
      </w:r>
      <w:r w:rsidRPr="008C5475">
        <w:rPr>
          <w:bCs/>
        </w:rPr>
        <w:instrText xml:space="preserve"> TOC \o "1-3" \h \z \u </w:instrText>
      </w:r>
      <w:r w:rsidRPr="00350B17">
        <w:rPr>
          <w:bCs/>
        </w:rPr>
        <w:fldChar w:fldCharType="separate"/>
      </w:r>
      <w:hyperlink w:anchor="_Toc11078203" w:history="1">
        <w:r w:rsidR="00045E5C" w:rsidRPr="002B3031">
          <w:rPr>
            <w:rStyle w:val="Hyperlink"/>
            <w:noProof/>
          </w:rPr>
          <w:t>B1. Respondent Universe and Sampling Methods</w:t>
        </w:r>
        <w:r w:rsidR="00045E5C">
          <w:rPr>
            <w:noProof/>
            <w:webHidden/>
          </w:rPr>
          <w:tab/>
        </w:r>
        <w:r w:rsidR="00045E5C">
          <w:rPr>
            <w:noProof/>
            <w:webHidden/>
          </w:rPr>
          <w:fldChar w:fldCharType="begin"/>
        </w:r>
        <w:r w:rsidR="00045E5C">
          <w:rPr>
            <w:noProof/>
            <w:webHidden/>
          </w:rPr>
          <w:instrText xml:space="preserve"> PAGEREF _Toc11078203 \h </w:instrText>
        </w:r>
        <w:r w:rsidR="00045E5C">
          <w:rPr>
            <w:noProof/>
            <w:webHidden/>
          </w:rPr>
        </w:r>
        <w:r w:rsidR="00045E5C">
          <w:rPr>
            <w:noProof/>
            <w:webHidden/>
          </w:rPr>
          <w:fldChar w:fldCharType="separate"/>
        </w:r>
        <w:r w:rsidR="00045E5C">
          <w:rPr>
            <w:noProof/>
            <w:webHidden/>
          </w:rPr>
          <w:t>2</w:t>
        </w:r>
        <w:r w:rsidR="00045E5C">
          <w:rPr>
            <w:noProof/>
            <w:webHidden/>
          </w:rPr>
          <w:fldChar w:fldCharType="end"/>
        </w:r>
      </w:hyperlink>
    </w:p>
    <w:p w14:paraId="2CA523DB" w14:textId="2FF000E9" w:rsidR="00045E5C" w:rsidRDefault="00C445B5">
      <w:pPr>
        <w:pStyle w:val="TOC2"/>
        <w:rPr>
          <w:rFonts w:asciiTheme="minorHAnsi" w:eastAsiaTheme="minorEastAsia" w:hAnsiTheme="minorHAnsi" w:cstheme="minorBidi"/>
          <w:noProof/>
          <w:sz w:val="22"/>
          <w:szCs w:val="22"/>
        </w:rPr>
      </w:pPr>
      <w:hyperlink w:anchor="_Toc11078204" w:history="1">
        <w:r w:rsidR="00045E5C" w:rsidRPr="002B3031">
          <w:rPr>
            <w:rStyle w:val="Hyperlink"/>
            <w:noProof/>
          </w:rPr>
          <w:t>B2. Procedures for the Collection of Information</w:t>
        </w:r>
        <w:r w:rsidR="00045E5C">
          <w:rPr>
            <w:noProof/>
            <w:webHidden/>
          </w:rPr>
          <w:tab/>
        </w:r>
        <w:r w:rsidR="00045E5C">
          <w:rPr>
            <w:noProof/>
            <w:webHidden/>
          </w:rPr>
          <w:fldChar w:fldCharType="begin"/>
        </w:r>
        <w:r w:rsidR="00045E5C">
          <w:rPr>
            <w:noProof/>
            <w:webHidden/>
          </w:rPr>
          <w:instrText xml:space="preserve"> PAGEREF _Toc11078204 \h </w:instrText>
        </w:r>
        <w:r w:rsidR="00045E5C">
          <w:rPr>
            <w:noProof/>
            <w:webHidden/>
          </w:rPr>
        </w:r>
        <w:r w:rsidR="00045E5C">
          <w:rPr>
            <w:noProof/>
            <w:webHidden/>
          </w:rPr>
          <w:fldChar w:fldCharType="separate"/>
        </w:r>
        <w:r w:rsidR="00045E5C">
          <w:rPr>
            <w:noProof/>
            <w:webHidden/>
          </w:rPr>
          <w:t>7</w:t>
        </w:r>
        <w:r w:rsidR="00045E5C">
          <w:rPr>
            <w:noProof/>
            <w:webHidden/>
          </w:rPr>
          <w:fldChar w:fldCharType="end"/>
        </w:r>
      </w:hyperlink>
    </w:p>
    <w:p w14:paraId="565D5284" w14:textId="6B1C83C0" w:rsidR="00045E5C" w:rsidRDefault="00C445B5">
      <w:pPr>
        <w:pStyle w:val="TOC2"/>
        <w:rPr>
          <w:rFonts w:asciiTheme="minorHAnsi" w:eastAsiaTheme="minorEastAsia" w:hAnsiTheme="minorHAnsi" w:cstheme="minorBidi"/>
          <w:noProof/>
          <w:sz w:val="22"/>
          <w:szCs w:val="22"/>
        </w:rPr>
      </w:pPr>
      <w:hyperlink w:anchor="_Toc11078205" w:history="1">
        <w:r w:rsidR="00045E5C" w:rsidRPr="002B3031">
          <w:rPr>
            <w:rStyle w:val="Hyperlink"/>
            <w:noProof/>
          </w:rPr>
          <w:t>B3. Methods to Maximize Response Rates and Deal with Non-response</w:t>
        </w:r>
        <w:r w:rsidR="00045E5C">
          <w:rPr>
            <w:noProof/>
            <w:webHidden/>
          </w:rPr>
          <w:tab/>
        </w:r>
        <w:r w:rsidR="00045E5C">
          <w:rPr>
            <w:noProof/>
            <w:webHidden/>
          </w:rPr>
          <w:fldChar w:fldCharType="begin"/>
        </w:r>
        <w:r w:rsidR="00045E5C">
          <w:rPr>
            <w:noProof/>
            <w:webHidden/>
          </w:rPr>
          <w:instrText xml:space="preserve"> PAGEREF _Toc11078205 \h </w:instrText>
        </w:r>
        <w:r w:rsidR="00045E5C">
          <w:rPr>
            <w:noProof/>
            <w:webHidden/>
          </w:rPr>
        </w:r>
        <w:r w:rsidR="00045E5C">
          <w:rPr>
            <w:noProof/>
            <w:webHidden/>
          </w:rPr>
          <w:fldChar w:fldCharType="separate"/>
        </w:r>
        <w:r w:rsidR="00045E5C">
          <w:rPr>
            <w:noProof/>
            <w:webHidden/>
          </w:rPr>
          <w:t>8</w:t>
        </w:r>
        <w:r w:rsidR="00045E5C">
          <w:rPr>
            <w:noProof/>
            <w:webHidden/>
          </w:rPr>
          <w:fldChar w:fldCharType="end"/>
        </w:r>
      </w:hyperlink>
    </w:p>
    <w:p w14:paraId="55336725" w14:textId="5CF4F1AC" w:rsidR="00045E5C" w:rsidRDefault="00C445B5">
      <w:pPr>
        <w:pStyle w:val="TOC2"/>
        <w:rPr>
          <w:rFonts w:asciiTheme="minorHAnsi" w:eastAsiaTheme="minorEastAsia" w:hAnsiTheme="minorHAnsi" w:cstheme="minorBidi"/>
          <w:noProof/>
          <w:sz w:val="22"/>
          <w:szCs w:val="22"/>
        </w:rPr>
      </w:pPr>
      <w:hyperlink w:anchor="_Toc11078206" w:history="1">
        <w:r w:rsidR="00045E5C" w:rsidRPr="002B3031">
          <w:rPr>
            <w:rStyle w:val="Hyperlink"/>
            <w:noProof/>
          </w:rPr>
          <w:t>B4. Tests of Procedures or Methods to be Undertaken</w:t>
        </w:r>
        <w:r w:rsidR="00045E5C">
          <w:rPr>
            <w:noProof/>
            <w:webHidden/>
          </w:rPr>
          <w:tab/>
        </w:r>
        <w:r w:rsidR="00045E5C">
          <w:rPr>
            <w:noProof/>
            <w:webHidden/>
          </w:rPr>
          <w:fldChar w:fldCharType="begin"/>
        </w:r>
        <w:r w:rsidR="00045E5C">
          <w:rPr>
            <w:noProof/>
            <w:webHidden/>
          </w:rPr>
          <w:instrText xml:space="preserve"> PAGEREF _Toc11078206 \h </w:instrText>
        </w:r>
        <w:r w:rsidR="00045E5C">
          <w:rPr>
            <w:noProof/>
            <w:webHidden/>
          </w:rPr>
        </w:r>
        <w:r w:rsidR="00045E5C">
          <w:rPr>
            <w:noProof/>
            <w:webHidden/>
          </w:rPr>
          <w:fldChar w:fldCharType="separate"/>
        </w:r>
        <w:r w:rsidR="00045E5C">
          <w:rPr>
            <w:noProof/>
            <w:webHidden/>
          </w:rPr>
          <w:t>9</w:t>
        </w:r>
        <w:r w:rsidR="00045E5C">
          <w:rPr>
            <w:noProof/>
            <w:webHidden/>
          </w:rPr>
          <w:fldChar w:fldCharType="end"/>
        </w:r>
      </w:hyperlink>
    </w:p>
    <w:p w14:paraId="3008E470" w14:textId="59862E1B" w:rsidR="00045E5C" w:rsidRDefault="00C445B5">
      <w:pPr>
        <w:pStyle w:val="TOC2"/>
        <w:rPr>
          <w:rFonts w:asciiTheme="minorHAnsi" w:eastAsiaTheme="minorEastAsia" w:hAnsiTheme="minorHAnsi" w:cstheme="minorBidi"/>
          <w:noProof/>
          <w:sz w:val="22"/>
          <w:szCs w:val="22"/>
        </w:rPr>
      </w:pPr>
      <w:hyperlink w:anchor="_Toc11078207" w:history="1">
        <w:r w:rsidR="00045E5C" w:rsidRPr="002B3031">
          <w:rPr>
            <w:rStyle w:val="Hyperlink"/>
            <w:noProof/>
          </w:rPr>
          <w:t>B5. Individuals Consulted on Statistical Aspects and Individuals Collecting and/or Analyzing Data</w:t>
        </w:r>
        <w:r w:rsidR="00045E5C">
          <w:rPr>
            <w:noProof/>
            <w:webHidden/>
          </w:rPr>
          <w:tab/>
        </w:r>
        <w:r w:rsidR="00045E5C">
          <w:rPr>
            <w:noProof/>
            <w:webHidden/>
          </w:rPr>
          <w:fldChar w:fldCharType="begin"/>
        </w:r>
        <w:r w:rsidR="00045E5C">
          <w:rPr>
            <w:noProof/>
            <w:webHidden/>
          </w:rPr>
          <w:instrText xml:space="preserve"> PAGEREF _Toc11078207 \h </w:instrText>
        </w:r>
        <w:r w:rsidR="00045E5C">
          <w:rPr>
            <w:noProof/>
            <w:webHidden/>
          </w:rPr>
        </w:r>
        <w:r w:rsidR="00045E5C">
          <w:rPr>
            <w:noProof/>
            <w:webHidden/>
          </w:rPr>
          <w:fldChar w:fldCharType="separate"/>
        </w:r>
        <w:r w:rsidR="00045E5C">
          <w:rPr>
            <w:noProof/>
            <w:webHidden/>
          </w:rPr>
          <w:t>9</w:t>
        </w:r>
        <w:r w:rsidR="00045E5C">
          <w:rPr>
            <w:noProof/>
            <w:webHidden/>
          </w:rPr>
          <w:fldChar w:fldCharType="end"/>
        </w:r>
      </w:hyperlink>
    </w:p>
    <w:p w14:paraId="0D99E2A8" w14:textId="77777777" w:rsidR="003100F5" w:rsidRPr="008C5475" w:rsidRDefault="003100F5" w:rsidP="008E27A3">
      <w:pPr>
        <w:pStyle w:val="Heading2"/>
        <w:jc w:val="left"/>
      </w:pPr>
      <w:r w:rsidRPr="00350B17">
        <w:rPr>
          <w:bCs/>
        </w:rPr>
        <w:fldChar w:fldCharType="end"/>
      </w:r>
    </w:p>
    <w:p w14:paraId="0CFF11D2" w14:textId="18EE64D6" w:rsidR="002A075C" w:rsidRDefault="003100F5" w:rsidP="008E27A3">
      <w:pPr>
        <w:spacing w:line="240" w:lineRule="auto"/>
      </w:pPr>
      <w:r w:rsidRPr="00350B17">
        <w:t>The data collection</w:t>
      </w:r>
      <w:r w:rsidR="002A075C">
        <w:t>s under this umbrella generic clearance</w:t>
      </w:r>
      <w:r w:rsidRPr="00350B17">
        <w:t xml:space="preserve"> consist of a series </w:t>
      </w:r>
      <w:r w:rsidR="000B3CB9" w:rsidRPr="00350B17">
        <w:t>of mixed-methods studies to identify, develop</w:t>
      </w:r>
      <w:r w:rsidR="001C0AB7">
        <w:t>,</w:t>
      </w:r>
      <w:r w:rsidR="000B3CB9" w:rsidRPr="00350B17">
        <w:t xml:space="preserve"> and test interventions related to social service and benefit receipt</w:t>
      </w:r>
      <w:r w:rsidR="00E92430">
        <w:t xml:space="preserve"> in the program areas of Temporary Assistance for Needy Families (TANF)</w:t>
      </w:r>
      <w:r w:rsidR="00C969D0">
        <w:t xml:space="preserve"> </w:t>
      </w:r>
      <w:r w:rsidR="00B36368">
        <w:t xml:space="preserve">and </w:t>
      </w:r>
      <w:r w:rsidR="00C969D0">
        <w:t>Child Welfare</w:t>
      </w:r>
      <w:r w:rsidR="002A075C">
        <w:t>. This request for a revision is to add the program area of</w:t>
      </w:r>
      <w:r w:rsidR="00C969D0">
        <w:t xml:space="preserve"> </w:t>
      </w:r>
      <w:r w:rsidR="00B36368">
        <w:t xml:space="preserve">Early </w:t>
      </w:r>
      <w:r w:rsidR="007E206D">
        <w:t>Head Start/Head Start</w:t>
      </w:r>
      <w:r w:rsidR="00811787">
        <w:t xml:space="preserve"> (EHS/HS)</w:t>
      </w:r>
      <w:r w:rsidR="000B3CB9" w:rsidRPr="00350B17">
        <w:t xml:space="preserve">. </w:t>
      </w:r>
    </w:p>
    <w:p w14:paraId="639904B2" w14:textId="1910259D" w:rsidR="000B3CB9" w:rsidRPr="00D757F9" w:rsidRDefault="003100F5" w:rsidP="008E27A3">
      <w:pPr>
        <w:spacing w:line="240" w:lineRule="auto"/>
      </w:pPr>
      <w:r w:rsidRPr="00116576">
        <w:rPr>
          <w:szCs w:val="24"/>
        </w:rPr>
        <w:t>Behavioral Interventions to Advance Self-Sufficiency-Next Generation</w:t>
      </w:r>
      <w:r w:rsidRPr="00B36368">
        <w:rPr>
          <w:rFonts w:cs="Times New Roman"/>
          <w:szCs w:val="24"/>
        </w:rPr>
        <w:t xml:space="preserve"> </w:t>
      </w:r>
      <w:r w:rsidR="00E54789" w:rsidRPr="00B36368">
        <w:rPr>
          <w:rFonts w:cs="Times New Roman"/>
          <w:szCs w:val="24"/>
        </w:rPr>
        <w:t xml:space="preserve">(BIAS-NG) </w:t>
      </w:r>
      <w:r w:rsidRPr="00B36368">
        <w:rPr>
          <w:rFonts w:cs="Times New Roman"/>
          <w:szCs w:val="24"/>
        </w:rPr>
        <w:t>seeks</w:t>
      </w:r>
      <w:r w:rsidRPr="008C5475">
        <w:rPr>
          <w:rFonts w:cs="Times New Roman"/>
          <w:szCs w:val="24"/>
        </w:rPr>
        <w:t xml:space="preserve"> to gather information from </w:t>
      </w:r>
      <w:r w:rsidR="0068690D" w:rsidRPr="008C5475">
        <w:rPr>
          <w:rFonts w:cs="Times New Roman"/>
          <w:szCs w:val="24"/>
        </w:rPr>
        <w:t xml:space="preserve">state and </w:t>
      </w:r>
      <w:r w:rsidR="001C0AB7">
        <w:rPr>
          <w:rFonts w:cs="Times New Roman"/>
          <w:szCs w:val="24"/>
        </w:rPr>
        <w:t>local</w:t>
      </w:r>
      <w:r w:rsidR="0068690D" w:rsidRPr="008C5475">
        <w:rPr>
          <w:rFonts w:cs="Times New Roman"/>
          <w:szCs w:val="24"/>
        </w:rPr>
        <w:t xml:space="preserve"> </w:t>
      </w:r>
      <w:r w:rsidRPr="008C5475">
        <w:rPr>
          <w:rFonts w:cs="Times New Roman"/>
          <w:szCs w:val="24"/>
        </w:rPr>
        <w:t xml:space="preserve">agencies and their </w:t>
      </w:r>
      <w:r w:rsidR="001C0AB7">
        <w:rPr>
          <w:rFonts w:cs="Times New Roman"/>
          <w:szCs w:val="24"/>
        </w:rPr>
        <w:t>clients</w:t>
      </w:r>
      <w:r w:rsidR="001C0AB7" w:rsidRPr="008C5475">
        <w:rPr>
          <w:rFonts w:cs="Times New Roman"/>
          <w:szCs w:val="24"/>
        </w:rPr>
        <w:t xml:space="preserve"> </w:t>
      </w:r>
      <w:r w:rsidR="000B3CB9" w:rsidRPr="008C5475">
        <w:rPr>
          <w:rFonts w:cs="Times New Roman"/>
          <w:szCs w:val="24"/>
        </w:rPr>
        <w:t xml:space="preserve">and staff </w:t>
      </w:r>
      <w:r w:rsidRPr="008C5475">
        <w:rPr>
          <w:rFonts w:cs="Times New Roman"/>
          <w:szCs w:val="24"/>
        </w:rPr>
        <w:t xml:space="preserve">to inform intervention design </w:t>
      </w:r>
      <w:r w:rsidR="000B3CB9" w:rsidRPr="008C5475">
        <w:rPr>
          <w:rFonts w:cs="Times New Roman"/>
          <w:szCs w:val="24"/>
        </w:rPr>
        <w:t>and evaluation</w:t>
      </w:r>
      <w:r w:rsidRPr="008C5475">
        <w:rPr>
          <w:rFonts w:cs="Times New Roman"/>
          <w:szCs w:val="24"/>
        </w:rPr>
        <w:t>.</w:t>
      </w:r>
      <w:r w:rsidR="000B3CB9" w:rsidRPr="008C5475">
        <w:rPr>
          <w:rFonts w:cs="Times New Roman"/>
          <w:szCs w:val="24"/>
        </w:rPr>
        <w:t xml:space="preserve"> </w:t>
      </w:r>
      <w:r w:rsidR="000B3CB9" w:rsidRPr="00350B17">
        <w:t xml:space="preserve">Each of the proposed studies under this Information Collection </w:t>
      </w:r>
      <w:r w:rsidR="00DE5581">
        <w:t xml:space="preserve">Request (ICR) </w:t>
      </w:r>
      <w:r w:rsidR="000B3CB9" w:rsidRPr="00350B17">
        <w:t>will involve a focused scope and moderate-sized samples.</w:t>
      </w:r>
    </w:p>
    <w:p w14:paraId="00560D50" w14:textId="44514FF5" w:rsidR="0007298A" w:rsidRPr="008C5475" w:rsidRDefault="007C41E0" w:rsidP="008E27A3">
      <w:pPr>
        <w:pStyle w:val="Heading2"/>
        <w:jc w:val="left"/>
      </w:pPr>
      <w:bookmarkStart w:id="2" w:name="_Toc11078203"/>
      <w:r>
        <w:t>B</w:t>
      </w:r>
      <w:r w:rsidR="0007298A" w:rsidRPr="008C5475">
        <w:t>1. Respondent Universe and Sampling Methods</w:t>
      </w:r>
      <w:bookmarkEnd w:id="1"/>
      <w:bookmarkEnd w:id="2"/>
    </w:p>
    <w:p w14:paraId="00497814" w14:textId="6072BD9E" w:rsidR="000B3CB9" w:rsidRPr="008C5475" w:rsidRDefault="000B3CB9" w:rsidP="008E27A3">
      <w:pPr>
        <w:spacing w:after="0" w:line="240" w:lineRule="auto"/>
        <w:rPr>
          <w:rFonts w:cs="Times New Roman"/>
          <w:szCs w:val="24"/>
        </w:rPr>
      </w:pPr>
      <w:r w:rsidRPr="008C5475">
        <w:rPr>
          <w:rFonts w:cs="Times New Roman"/>
          <w:szCs w:val="24"/>
        </w:rPr>
        <w:t>Target sites for this series of studies consist of</w:t>
      </w:r>
      <w:r w:rsidR="00053DBE">
        <w:rPr>
          <w:rFonts w:cs="Times New Roman"/>
          <w:szCs w:val="24"/>
        </w:rPr>
        <w:t xml:space="preserve"> regional,</w:t>
      </w:r>
      <w:r w:rsidRPr="008C5475">
        <w:rPr>
          <w:rFonts w:cs="Times New Roman"/>
          <w:szCs w:val="24"/>
        </w:rPr>
        <w:t xml:space="preserve"> state, </w:t>
      </w:r>
      <w:r w:rsidR="001C0AB7">
        <w:rPr>
          <w:rFonts w:cs="Times New Roman"/>
          <w:szCs w:val="24"/>
        </w:rPr>
        <w:t>and local agencies</w:t>
      </w:r>
      <w:r w:rsidRPr="008C5475">
        <w:rPr>
          <w:rFonts w:cs="Times New Roman"/>
          <w:szCs w:val="24"/>
        </w:rPr>
        <w:t xml:space="preserve"> providing services under the auspices of</w:t>
      </w:r>
      <w:r w:rsidR="00DA3444">
        <w:rPr>
          <w:rFonts w:cs="Times New Roman"/>
          <w:szCs w:val="24"/>
        </w:rPr>
        <w:t xml:space="preserve"> three</w:t>
      </w:r>
      <w:r w:rsidRPr="008C5475">
        <w:rPr>
          <w:rFonts w:cs="Times New Roman"/>
          <w:szCs w:val="24"/>
        </w:rPr>
        <w:t xml:space="preserve"> </w:t>
      </w:r>
      <w:r w:rsidR="00C17239">
        <w:rPr>
          <w:rFonts w:cs="Times New Roman"/>
          <w:szCs w:val="24"/>
        </w:rPr>
        <w:t>ACF programs</w:t>
      </w:r>
      <w:r w:rsidR="00E92430">
        <w:rPr>
          <w:rFonts w:cs="Times New Roman"/>
          <w:szCs w:val="24"/>
        </w:rPr>
        <w:t>: TANF</w:t>
      </w:r>
      <w:r w:rsidR="002640BF">
        <w:rPr>
          <w:rFonts w:cs="Times New Roman"/>
          <w:szCs w:val="24"/>
        </w:rPr>
        <w:t>,</w:t>
      </w:r>
      <w:r w:rsidR="00E92430">
        <w:rPr>
          <w:rFonts w:cs="Times New Roman"/>
          <w:szCs w:val="24"/>
        </w:rPr>
        <w:t xml:space="preserve"> Child Welfare</w:t>
      </w:r>
      <w:r w:rsidR="002640BF">
        <w:rPr>
          <w:rFonts w:cs="Times New Roman"/>
          <w:szCs w:val="24"/>
        </w:rPr>
        <w:t>, and</w:t>
      </w:r>
      <w:r w:rsidR="00287070" w:rsidRPr="00287070">
        <w:t xml:space="preserve"> </w:t>
      </w:r>
      <w:r w:rsidR="00811787">
        <w:t>EHS/HS</w:t>
      </w:r>
      <w:r w:rsidR="00287070">
        <w:t>.</w:t>
      </w:r>
      <w:r w:rsidR="00287070" w:rsidRPr="008C5475">
        <w:rPr>
          <w:rFonts w:cs="Times New Roman"/>
          <w:szCs w:val="24"/>
        </w:rPr>
        <w:t xml:space="preserve"> </w:t>
      </w:r>
      <w:r w:rsidR="006C1854">
        <w:rPr>
          <w:rFonts w:cs="Times New Roman"/>
          <w:szCs w:val="24"/>
        </w:rPr>
        <w:t>P</w:t>
      </w:r>
      <w:r w:rsidRPr="008C5475">
        <w:rPr>
          <w:rFonts w:cs="Times New Roman"/>
          <w:szCs w:val="24"/>
        </w:rPr>
        <w:t xml:space="preserve">otential sites </w:t>
      </w:r>
      <w:r w:rsidR="006C1854">
        <w:rPr>
          <w:rFonts w:cs="Times New Roman"/>
          <w:szCs w:val="24"/>
        </w:rPr>
        <w:t>are</w:t>
      </w:r>
      <w:r w:rsidRPr="008C5475">
        <w:rPr>
          <w:rFonts w:cs="Times New Roman"/>
          <w:szCs w:val="24"/>
        </w:rPr>
        <w:t xml:space="preserve"> identified through two primary avenues: 1) Referrals from A</w:t>
      </w:r>
      <w:r w:rsidR="008E27A3">
        <w:rPr>
          <w:rFonts w:cs="Times New Roman"/>
          <w:szCs w:val="24"/>
        </w:rPr>
        <w:t xml:space="preserve">CF program office staff </w:t>
      </w:r>
      <w:r w:rsidRPr="008C5475">
        <w:rPr>
          <w:rFonts w:cs="Times New Roman"/>
          <w:szCs w:val="24"/>
        </w:rPr>
        <w:t>familiar with state and local human services programs</w:t>
      </w:r>
      <w:r w:rsidR="00E92430">
        <w:rPr>
          <w:rFonts w:cs="Times New Roman"/>
          <w:szCs w:val="24"/>
        </w:rPr>
        <w:t>;</w:t>
      </w:r>
      <w:r w:rsidRPr="008C5475">
        <w:rPr>
          <w:rFonts w:cs="Times New Roman"/>
          <w:szCs w:val="24"/>
        </w:rPr>
        <w:t xml:space="preserve"> 2) Interest expressed voluntarily by staff from human services programs while attending presentations on the BIAS project at public meetings and conferences. After potential sites are identified, based on referral and/or interest</w:t>
      </w:r>
      <w:r w:rsidR="001C0AB7">
        <w:rPr>
          <w:rFonts w:cs="Times New Roman"/>
          <w:szCs w:val="24"/>
        </w:rPr>
        <w:t>,</w:t>
      </w:r>
      <w:r w:rsidRPr="008C5475">
        <w:rPr>
          <w:rFonts w:cs="Times New Roman"/>
          <w:szCs w:val="24"/>
        </w:rPr>
        <w:t xml:space="preserve"> we review available information such as marketing and recruitment materials</w:t>
      </w:r>
      <w:r w:rsidR="0068690D" w:rsidRPr="008C5475">
        <w:rPr>
          <w:rFonts w:cs="Times New Roman"/>
          <w:szCs w:val="24"/>
        </w:rPr>
        <w:t>,</w:t>
      </w:r>
      <w:r w:rsidRPr="008C5475">
        <w:rPr>
          <w:rFonts w:cs="Times New Roman"/>
          <w:szCs w:val="24"/>
        </w:rPr>
        <w:t xml:space="preserve"> program manuals, and organization charts. Based on available information, the research team and ACF select</w:t>
      </w:r>
      <w:r w:rsidR="006C1854">
        <w:rPr>
          <w:rFonts w:cs="Times New Roman"/>
          <w:szCs w:val="24"/>
        </w:rPr>
        <w:t>s</w:t>
      </w:r>
      <w:r w:rsidRPr="008C5475">
        <w:rPr>
          <w:rFonts w:cs="Times New Roman"/>
          <w:szCs w:val="24"/>
        </w:rPr>
        <w:t xml:space="preserve"> organizations for fieldwork to ensure a mix of program areas, populations, locations, and service approaches. </w:t>
      </w:r>
      <w:r w:rsidR="006C1854">
        <w:rPr>
          <w:rFonts w:cs="Times New Roman"/>
          <w:szCs w:val="24"/>
        </w:rPr>
        <w:t>T</w:t>
      </w:r>
      <w:r w:rsidR="002E42AF">
        <w:rPr>
          <w:rFonts w:cs="Times New Roman"/>
          <w:szCs w:val="24"/>
        </w:rPr>
        <w:t>o date, t</w:t>
      </w:r>
      <w:r w:rsidR="006C1854">
        <w:rPr>
          <w:rFonts w:cs="Times New Roman"/>
          <w:szCs w:val="24"/>
        </w:rPr>
        <w:t xml:space="preserve">he research team and </w:t>
      </w:r>
      <w:r w:rsidR="00B36368">
        <w:rPr>
          <w:rFonts w:cs="Times New Roman"/>
          <w:szCs w:val="24"/>
        </w:rPr>
        <w:t>ACF</w:t>
      </w:r>
      <w:r w:rsidR="002E42AF">
        <w:rPr>
          <w:rFonts w:cs="Times New Roman"/>
          <w:szCs w:val="24"/>
        </w:rPr>
        <w:t xml:space="preserve"> have selected 3 TANF sites and</w:t>
      </w:r>
      <w:r w:rsidR="006C1854">
        <w:rPr>
          <w:rFonts w:cs="Times New Roman"/>
          <w:szCs w:val="24"/>
        </w:rPr>
        <w:t xml:space="preserve"> </w:t>
      </w:r>
      <w:r w:rsidR="002E42AF">
        <w:rPr>
          <w:rFonts w:cs="Times New Roman"/>
          <w:szCs w:val="24"/>
        </w:rPr>
        <w:t xml:space="preserve">2 child welfare sites, and </w:t>
      </w:r>
      <w:r w:rsidR="006C1854">
        <w:rPr>
          <w:rFonts w:cs="Times New Roman"/>
          <w:szCs w:val="24"/>
        </w:rPr>
        <w:t>anticipate selecting up to two EHS/HS organizations for participation in the study.</w:t>
      </w:r>
    </w:p>
    <w:p w14:paraId="1D904BB8" w14:textId="77777777" w:rsidR="000B3CB9" w:rsidRPr="008C5475" w:rsidRDefault="000B3CB9" w:rsidP="008E27A3">
      <w:pPr>
        <w:spacing w:after="0" w:line="240" w:lineRule="auto"/>
        <w:rPr>
          <w:rFonts w:cs="Times New Roman"/>
          <w:szCs w:val="24"/>
        </w:rPr>
      </w:pPr>
    </w:p>
    <w:p w14:paraId="43B59963" w14:textId="53A198BF" w:rsidR="003F1E7E" w:rsidRPr="008C5475" w:rsidRDefault="003F1E7E" w:rsidP="008E27A3">
      <w:pPr>
        <w:spacing w:after="0" w:line="240" w:lineRule="auto"/>
        <w:rPr>
          <w:rFonts w:cs="Times New Roman"/>
          <w:szCs w:val="24"/>
        </w:rPr>
      </w:pPr>
      <w:r w:rsidRPr="008C5475">
        <w:rPr>
          <w:rFonts w:cs="Times New Roman"/>
          <w:szCs w:val="24"/>
        </w:rPr>
        <w:t>The target respondents included in th</w:t>
      </w:r>
      <w:r w:rsidR="002A075C">
        <w:rPr>
          <w:rFonts w:cs="Times New Roman"/>
          <w:szCs w:val="24"/>
        </w:rPr>
        <w:t xml:space="preserve">ese </w:t>
      </w:r>
      <w:r w:rsidRPr="008C5475">
        <w:rPr>
          <w:rFonts w:cs="Times New Roman"/>
          <w:szCs w:val="24"/>
        </w:rPr>
        <w:t>generic information collection</w:t>
      </w:r>
      <w:r w:rsidR="002A075C">
        <w:rPr>
          <w:rFonts w:cs="Times New Roman"/>
          <w:szCs w:val="24"/>
        </w:rPr>
        <w:t>s</w:t>
      </w:r>
      <w:r w:rsidRPr="008C5475">
        <w:rPr>
          <w:rFonts w:cs="Times New Roman"/>
          <w:szCs w:val="24"/>
        </w:rPr>
        <w:t xml:space="preserve"> (</w:t>
      </w:r>
      <w:r w:rsidR="002A075C">
        <w:rPr>
          <w:rFonts w:cs="Times New Roman"/>
          <w:szCs w:val="24"/>
        </w:rPr>
        <w:t>Gen</w:t>
      </w:r>
      <w:r w:rsidRPr="008C5475">
        <w:rPr>
          <w:rFonts w:cs="Times New Roman"/>
          <w:szCs w:val="24"/>
        </w:rPr>
        <w:t>IC</w:t>
      </w:r>
      <w:r w:rsidR="002A075C">
        <w:rPr>
          <w:rFonts w:cs="Times New Roman"/>
          <w:szCs w:val="24"/>
        </w:rPr>
        <w:t>s</w:t>
      </w:r>
      <w:r w:rsidRPr="008C5475">
        <w:rPr>
          <w:rFonts w:cs="Times New Roman"/>
          <w:szCs w:val="24"/>
        </w:rPr>
        <w:t xml:space="preserve">) include but are not limited to: </w:t>
      </w:r>
    </w:p>
    <w:p w14:paraId="28CA510E" w14:textId="796DAA08" w:rsidR="00CB60C9" w:rsidRPr="008C5475" w:rsidRDefault="00CB60C9" w:rsidP="008E27A3">
      <w:pPr>
        <w:pStyle w:val="ListParagraph"/>
        <w:numPr>
          <w:ilvl w:val="0"/>
          <w:numId w:val="1"/>
        </w:numPr>
        <w:spacing w:after="0" w:line="240" w:lineRule="auto"/>
        <w:rPr>
          <w:rFonts w:cs="Times New Roman"/>
          <w:szCs w:val="24"/>
        </w:rPr>
      </w:pPr>
      <w:r w:rsidRPr="008C5475">
        <w:rPr>
          <w:rFonts w:cs="Times New Roman"/>
          <w:szCs w:val="24"/>
        </w:rPr>
        <w:t xml:space="preserve">Customers or individuals receiving services from </w:t>
      </w:r>
      <w:r w:rsidR="00302BB8">
        <w:rPr>
          <w:rFonts w:cs="Times New Roman"/>
          <w:szCs w:val="24"/>
        </w:rPr>
        <w:t>regional</w:t>
      </w:r>
      <w:r w:rsidR="006D2665">
        <w:rPr>
          <w:rFonts w:cs="Times New Roman"/>
          <w:szCs w:val="24"/>
        </w:rPr>
        <w:t>,</w:t>
      </w:r>
      <w:r w:rsidR="00302BB8">
        <w:rPr>
          <w:rFonts w:cs="Times New Roman"/>
          <w:szCs w:val="24"/>
        </w:rPr>
        <w:t xml:space="preserve"> </w:t>
      </w:r>
      <w:r w:rsidR="00FE634D" w:rsidRPr="008C5475">
        <w:rPr>
          <w:rFonts w:cs="Times New Roman"/>
          <w:szCs w:val="24"/>
        </w:rPr>
        <w:t>state</w:t>
      </w:r>
      <w:r w:rsidR="006D2665">
        <w:rPr>
          <w:rFonts w:cs="Times New Roman"/>
          <w:szCs w:val="24"/>
        </w:rPr>
        <w:t>,</w:t>
      </w:r>
      <w:r w:rsidR="00FE634D" w:rsidRPr="008C5475">
        <w:rPr>
          <w:rFonts w:cs="Times New Roman"/>
          <w:szCs w:val="24"/>
        </w:rPr>
        <w:t xml:space="preserve"> and local </w:t>
      </w:r>
      <w:r w:rsidRPr="008C5475">
        <w:rPr>
          <w:rFonts w:cs="Times New Roman"/>
          <w:szCs w:val="24"/>
        </w:rPr>
        <w:t>ACF programs in the domains of TANF</w:t>
      </w:r>
      <w:r w:rsidR="005C1659">
        <w:rPr>
          <w:rFonts w:cs="Times New Roman"/>
          <w:szCs w:val="24"/>
        </w:rPr>
        <w:t>,</w:t>
      </w:r>
      <w:r w:rsidRPr="008C5475">
        <w:rPr>
          <w:rFonts w:cs="Times New Roman"/>
          <w:szCs w:val="24"/>
        </w:rPr>
        <w:t xml:space="preserve"> Child Welfare</w:t>
      </w:r>
      <w:r w:rsidR="005C1659">
        <w:rPr>
          <w:rFonts w:cs="Times New Roman"/>
          <w:szCs w:val="24"/>
        </w:rPr>
        <w:t>, and</w:t>
      </w:r>
      <w:r w:rsidR="004751D2" w:rsidRPr="004751D2">
        <w:t xml:space="preserve"> </w:t>
      </w:r>
      <w:r w:rsidR="00302BB8">
        <w:t>EHS/HS.</w:t>
      </w:r>
    </w:p>
    <w:p w14:paraId="74945F66" w14:textId="7F20DC27" w:rsidR="00CB60C9" w:rsidRPr="008C5475" w:rsidRDefault="00CB60C9" w:rsidP="008E27A3">
      <w:pPr>
        <w:pStyle w:val="ListParagraph"/>
        <w:numPr>
          <w:ilvl w:val="0"/>
          <w:numId w:val="1"/>
        </w:numPr>
        <w:spacing w:after="0" w:line="240" w:lineRule="auto"/>
        <w:rPr>
          <w:rFonts w:cs="Times New Roman"/>
          <w:szCs w:val="24"/>
        </w:rPr>
      </w:pPr>
      <w:r w:rsidRPr="008C5475">
        <w:rPr>
          <w:rFonts w:cs="Times New Roman"/>
          <w:szCs w:val="24"/>
        </w:rPr>
        <w:t xml:space="preserve">Staff </w:t>
      </w:r>
      <w:r w:rsidR="00ED2BCB" w:rsidRPr="008C5475">
        <w:rPr>
          <w:rFonts w:cs="Times New Roman"/>
          <w:szCs w:val="24"/>
        </w:rPr>
        <w:t xml:space="preserve">working in </w:t>
      </w:r>
      <w:r w:rsidR="00690B91" w:rsidRPr="00AD2962">
        <w:rPr>
          <w:rFonts w:cs="Times New Roman"/>
          <w:szCs w:val="24"/>
        </w:rPr>
        <w:t>regional</w:t>
      </w:r>
      <w:r w:rsidR="005C6074" w:rsidRPr="00AD2962">
        <w:rPr>
          <w:rFonts w:cs="Times New Roman"/>
          <w:szCs w:val="24"/>
        </w:rPr>
        <w:t>,</w:t>
      </w:r>
      <w:r w:rsidR="00690B91" w:rsidRPr="00922EE2">
        <w:rPr>
          <w:rFonts w:cs="Times New Roman"/>
          <w:szCs w:val="24"/>
        </w:rPr>
        <w:t xml:space="preserve"> </w:t>
      </w:r>
      <w:r w:rsidR="00FE634D" w:rsidRPr="00521664">
        <w:rPr>
          <w:rFonts w:cs="Times New Roman"/>
          <w:szCs w:val="24"/>
        </w:rPr>
        <w:t>state</w:t>
      </w:r>
      <w:r w:rsidR="006D2665" w:rsidRPr="00521664">
        <w:rPr>
          <w:rFonts w:cs="Times New Roman"/>
          <w:szCs w:val="24"/>
        </w:rPr>
        <w:t>,</w:t>
      </w:r>
      <w:r w:rsidR="00FE634D" w:rsidRPr="00521664">
        <w:rPr>
          <w:rFonts w:cs="Times New Roman"/>
          <w:szCs w:val="24"/>
        </w:rPr>
        <w:t xml:space="preserve"> and</w:t>
      </w:r>
      <w:r w:rsidR="00FE634D" w:rsidRPr="00AD2962">
        <w:rPr>
          <w:rFonts w:cs="Times New Roman"/>
          <w:szCs w:val="24"/>
        </w:rPr>
        <w:t xml:space="preserve"> local </w:t>
      </w:r>
      <w:r w:rsidR="00ED2BCB" w:rsidRPr="00922EE2">
        <w:rPr>
          <w:rFonts w:cs="Times New Roman"/>
          <w:szCs w:val="24"/>
        </w:rPr>
        <w:t>programs or agencies in the domains of TANF</w:t>
      </w:r>
      <w:r w:rsidR="00055390" w:rsidRPr="00922EE2">
        <w:rPr>
          <w:rFonts w:cs="Times New Roman"/>
          <w:szCs w:val="24"/>
        </w:rPr>
        <w:t>,</w:t>
      </w:r>
      <w:r w:rsidR="00ED2BCB" w:rsidRPr="00922EE2">
        <w:rPr>
          <w:rFonts w:cs="Times New Roman"/>
          <w:szCs w:val="24"/>
        </w:rPr>
        <w:t xml:space="preserve"> </w:t>
      </w:r>
      <w:r w:rsidR="00ED2BCB" w:rsidRPr="00A76BC7">
        <w:rPr>
          <w:rFonts w:cs="Times New Roman"/>
          <w:szCs w:val="24"/>
        </w:rPr>
        <w:t>Child Welfare</w:t>
      </w:r>
      <w:r w:rsidR="00055390" w:rsidRPr="00AD2962">
        <w:rPr>
          <w:rFonts w:cs="Times New Roman"/>
          <w:szCs w:val="24"/>
        </w:rPr>
        <w:t>, and EHS/HS</w:t>
      </w:r>
      <w:r w:rsidR="000B3CB9" w:rsidRPr="00AD2962">
        <w:rPr>
          <w:rFonts w:cs="Times New Roman"/>
          <w:szCs w:val="24"/>
        </w:rPr>
        <w:t>.</w:t>
      </w:r>
    </w:p>
    <w:p w14:paraId="7B1CB9AC" w14:textId="77777777" w:rsidR="003F1E7E" w:rsidRPr="008C5475" w:rsidRDefault="003F1E7E" w:rsidP="008E27A3">
      <w:pPr>
        <w:spacing w:after="0" w:line="240" w:lineRule="auto"/>
        <w:rPr>
          <w:rFonts w:cs="Times New Roman"/>
          <w:szCs w:val="24"/>
        </w:rPr>
      </w:pPr>
    </w:p>
    <w:p w14:paraId="180BF1CD" w14:textId="2AAAD010" w:rsidR="000B3CB9" w:rsidRPr="008C5475" w:rsidRDefault="000B3CB9" w:rsidP="008E27A3">
      <w:pPr>
        <w:spacing w:after="0" w:line="240" w:lineRule="auto"/>
      </w:pPr>
      <w:r w:rsidRPr="008C5475">
        <w:t>In studies covered under this generic ICR</w:t>
      </w:r>
      <w:r w:rsidR="001B303D">
        <w:t xml:space="preserve"> at Phases 1-3</w:t>
      </w:r>
      <w:r w:rsidRPr="008C5475">
        <w:t>, obtaining probability-based samples to reach the desired subpopulations of interest (e.g., foster parents</w:t>
      </w:r>
      <w:r w:rsidR="00131D5D">
        <w:t>,</w:t>
      </w:r>
      <w:r w:rsidR="006C1854">
        <w:t xml:space="preserve"> </w:t>
      </w:r>
      <w:r w:rsidR="00E92430">
        <w:t>TANF clients</w:t>
      </w:r>
      <w:r w:rsidR="00131D5D">
        <w:t>, or EHS/HS families</w:t>
      </w:r>
      <w:r w:rsidRPr="008C5475">
        <w:t xml:space="preserve">) will be cost-prohibitive and not needed for achieving study goals. Purposeful, targeted </w:t>
      </w:r>
      <w:r w:rsidRPr="008C5475">
        <w:lastRenderedPageBreak/>
        <w:t xml:space="preserve">sampling through specific programs and other non-probability sampling designs will be used to develop a pool of potential respondents, potentially drawing from </w:t>
      </w:r>
      <w:r w:rsidR="00922EE2">
        <w:t xml:space="preserve">regional, </w:t>
      </w:r>
      <w:r w:rsidRPr="002C06ED">
        <w:t>state</w:t>
      </w:r>
      <w:r w:rsidR="00922EE2">
        <w:t>,</w:t>
      </w:r>
      <w:r w:rsidRPr="002C06ED">
        <w:t xml:space="preserve"> </w:t>
      </w:r>
      <w:r w:rsidR="00922EE2">
        <w:t>and/</w:t>
      </w:r>
      <w:r w:rsidRPr="002C06ED">
        <w:t>or</w:t>
      </w:r>
      <w:r w:rsidRPr="008C5475">
        <w:t xml:space="preserve"> county caseloads.</w:t>
      </w:r>
    </w:p>
    <w:p w14:paraId="1D47F1C2" w14:textId="77777777" w:rsidR="00910507" w:rsidRPr="008C5475" w:rsidRDefault="00910507" w:rsidP="008E27A3">
      <w:pPr>
        <w:spacing w:after="0" w:line="240" w:lineRule="auto"/>
        <w:rPr>
          <w:rFonts w:cs="Times New Roman"/>
          <w:szCs w:val="24"/>
        </w:rPr>
      </w:pPr>
    </w:p>
    <w:p w14:paraId="6C12605D" w14:textId="00877925" w:rsidR="0007298A" w:rsidRPr="008C5475" w:rsidRDefault="006056F2" w:rsidP="008E27A3">
      <w:pPr>
        <w:spacing w:after="0" w:line="240" w:lineRule="auto"/>
        <w:rPr>
          <w:rFonts w:cs="Times New Roman"/>
          <w:szCs w:val="24"/>
        </w:rPr>
      </w:pPr>
      <w:r>
        <w:rPr>
          <w:rFonts w:cs="Times New Roman"/>
          <w:szCs w:val="24"/>
        </w:rPr>
        <w:t>Approved information collections u</w:t>
      </w:r>
      <w:r w:rsidR="00E65179">
        <w:rPr>
          <w:rFonts w:cs="Times New Roman"/>
          <w:szCs w:val="24"/>
        </w:rPr>
        <w:t>nder</w:t>
      </w:r>
      <w:r w:rsidR="0079580D" w:rsidRPr="008C5475">
        <w:rPr>
          <w:rFonts w:cs="Times New Roman"/>
          <w:szCs w:val="24"/>
        </w:rPr>
        <w:t xml:space="preserve"> this clearance</w:t>
      </w:r>
      <w:r>
        <w:rPr>
          <w:rFonts w:cs="Times New Roman"/>
          <w:szCs w:val="24"/>
        </w:rPr>
        <w:t xml:space="preserve"> are underway in Allegheny County, PA (child welfare); Monroe County, NY (TANF); and Washington State (TANF).</w:t>
      </w:r>
      <w:r w:rsidR="00CA6EE2">
        <w:rPr>
          <w:rFonts w:cs="Times New Roman"/>
          <w:szCs w:val="24"/>
        </w:rPr>
        <w:t xml:space="preserve"> </w:t>
      </w:r>
      <w:r w:rsidR="00E65179">
        <w:rPr>
          <w:rFonts w:cs="Times New Roman"/>
          <w:szCs w:val="24"/>
        </w:rPr>
        <w:t>In total, o</w:t>
      </w:r>
      <w:r w:rsidR="00E65179" w:rsidRPr="008C5475">
        <w:rPr>
          <w:rFonts w:cs="Times New Roman"/>
          <w:szCs w:val="24"/>
        </w:rPr>
        <w:t>ver the 3 years this clearance covers (covering Phases 3 and 4)</w:t>
      </w:r>
      <w:r w:rsidR="000318C6">
        <w:rPr>
          <w:rFonts w:cs="Times New Roman"/>
          <w:szCs w:val="24"/>
        </w:rPr>
        <w:t>, w</w:t>
      </w:r>
      <w:r w:rsidR="00CA6EE2">
        <w:rPr>
          <w:rFonts w:cs="Times New Roman"/>
          <w:szCs w:val="24"/>
        </w:rPr>
        <w:t xml:space="preserve">e </w:t>
      </w:r>
      <w:r w:rsidR="0079580D" w:rsidRPr="008C5475">
        <w:rPr>
          <w:rFonts w:cs="Times New Roman"/>
          <w:szCs w:val="24"/>
        </w:rPr>
        <w:t>anticipate meet</w:t>
      </w:r>
      <w:r w:rsidR="008D7C59">
        <w:rPr>
          <w:rFonts w:cs="Times New Roman"/>
          <w:szCs w:val="24"/>
        </w:rPr>
        <w:t>ing</w:t>
      </w:r>
      <w:r w:rsidR="0079580D" w:rsidRPr="008C5475">
        <w:rPr>
          <w:rFonts w:cs="Times New Roman"/>
          <w:szCs w:val="24"/>
        </w:rPr>
        <w:t xml:space="preserve"> with up to </w:t>
      </w:r>
      <w:r>
        <w:rPr>
          <w:rFonts w:cs="Times New Roman"/>
          <w:szCs w:val="24"/>
        </w:rPr>
        <w:t>22</w:t>
      </w:r>
      <w:r w:rsidR="00CA6EE2">
        <w:rPr>
          <w:rFonts w:cs="Times New Roman"/>
          <w:szCs w:val="24"/>
        </w:rPr>
        <w:t>4</w:t>
      </w:r>
      <w:r w:rsidR="00800954">
        <w:rPr>
          <w:rFonts w:cs="Times New Roman"/>
          <w:szCs w:val="24"/>
        </w:rPr>
        <w:t xml:space="preserve"> </w:t>
      </w:r>
      <w:r w:rsidR="0079580D" w:rsidRPr="008C5475">
        <w:rPr>
          <w:rFonts w:cs="Times New Roman"/>
          <w:szCs w:val="24"/>
        </w:rPr>
        <w:t xml:space="preserve">administrators, </w:t>
      </w:r>
      <w:r w:rsidR="00CA6EE2">
        <w:rPr>
          <w:rFonts w:cs="Times New Roman"/>
          <w:szCs w:val="24"/>
        </w:rPr>
        <w:t>885</w:t>
      </w:r>
      <w:r w:rsidR="00DC784F" w:rsidRPr="008C5475">
        <w:rPr>
          <w:rFonts w:cs="Times New Roman"/>
          <w:szCs w:val="24"/>
        </w:rPr>
        <w:t xml:space="preserve"> </w:t>
      </w:r>
      <w:r w:rsidR="0079580D" w:rsidRPr="008C5475">
        <w:rPr>
          <w:rFonts w:cs="Times New Roman"/>
          <w:szCs w:val="24"/>
        </w:rPr>
        <w:t xml:space="preserve">frontline staff, and </w:t>
      </w:r>
      <w:r w:rsidR="00CA6EE2">
        <w:rPr>
          <w:rFonts w:cs="Times New Roman"/>
          <w:szCs w:val="24"/>
        </w:rPr>
        <w:t>885</w:t>
      </w:r>
      <w:r w:rsidR="009133FA">
        <w:rPr>
          <w:rFonts w:cs="Times New Roman"/>
          <w:szCs w:val="24"/>
        </w:rPr>
        <w:t xml:space="preserve"> </w:t>
      </w:r>
      <w:r w:rsidR="0079580D" w:rsidRPr="008C5475">
        <w:rPr>
          <w:rFonts w:cs="Times New Roman"/>
          <w:szCs w:val="24"/>
        </w:rPr>
        <w:t>clients in either interviews or focus groups. Additionally</w:t>
      </w:r>
      <w:r w:rsidR="00302BB8">
        <w:rPr>
          <w:rFonts w:cs="Times New Roman"/>
          <w:szCs w:val="24"/>
        </w:rPr>
        <w:t>,</w:t>
      </w:r>
      <w:r w:rsidR="0079580D" w:rsidRPr="008C5475">
        <w:rPr>
          <w:rFonts w:cs="Times New Roman"/>
          <w:szCs w:val="24"/>
        </w:rPr>
        <w:t xml:space="preserve"> we </w:t>
      </w:r>
      <w:r w:rsidR="0079580D" w:rsidRPr="000F6094">
        <w:rPr>
          <w:rFonts w:cs="Times New Roman"/>
          <w:szCs w:val="24"/>
        </w:rPr>
        <w:t>plan to field surveys to</w:t>
      </w:r>
      <w:r w:rsidR="00F25657" w:rsidRPr="000F6094">
        <w:rPr>
          <w:rFonts w:cs="Times New Roman"/>
          <w:szCs w:val="24"/>
        </w:rPr>
        <w:t xml:space="preserve"> </w:t>
      </w:r>
      <w:r w:rsidR="0079580D" w:rsidRPr="000F6094">
        <w:rPr>
          <w:rFonts w:cs="Times New Roman"/>
          <w:szCs w:val="24"/>
        </w:rPr>
        <w:t xml:space="preserve">up to </w:t>
      </w:r>
      <w:r w:rsidR="000F6094">
        <w:rPr>
          <w:rFonts w:cs="Times New Roman"/>
          <w:szCs w:val="24"/>
        </w:rPr>
        <w:t>5</w:t>
      </w:r>
      <w:r w:rsidR="009133FA" w:rsidRPr="000F6094">
        <w:rPr>
          <w:rFonts w:cs="Times New Roman"/>
          <w:szCs w:val="24"/>
        </w:rPr>
        <w:t>,</w:t>
      </w:r>
      <w:r w:rsidR="000F6094">
        <w:rPr>
          <w:rFonts w:cs="Times New Roman"/>
          <w:szCs w:val="24"/>
        </w:rPr>
        <w:t>1</w:t>
      </w:r>
      <w:r w:rsidR="0079580D" w:rsidRPr="000F6094">
        <w:rPr>
          <w:rFonts w:cs="Times New Roman"/>
          <w:szCs w:val="24"/>
        </w:rPr>
        <w:t>00 clients and</w:t>
      </w:r>
      <w:r w:rsidR="006E48C9" w:rsidRPr="000F6094">
        <w:rPr>
          <w:rFonts w:cs="Times New Roman"/>
          <w:szCs w:val="24"/>
        </w:rPr>
        <w:t xml:space="preserve"> </w:t>
      </w:r>
      <w:r w:rsidR="00CA6EE2" w:rsidRPr="000F6094">
        <w:rPr>
          <w:rFonts w:cs="Times New Roman"/>
          <w:szCs w:val="24"/>
        </w:rPr>
        <w:t>567</w:t>
      </w:r>
      <w:r w:rsidR="0079580D" w:rsidRPr="000F6094">
        <w:rPr>
          <w:rFonts w:cs="Times New Roman"/>
          <w:szCs w:val="24"/>
        </w:rPr>
        <w:t xml:space="preserve"> staff across </w:t>
      </w:r>
      <w:r w:rsidR="00E92430" w:rsidRPr="000F6094">
        <w:rPr>
          <w:rFonts w:cs="Times New Roman"/>
          <w:szCs w:val="24"/>
        </w:rPr>
        <w:t>the same</w:t>
      </w:r>
      <w:r w:rsidR="006E48C9" w:rsidRPr="000F6094">
        <w:rPr>
          <w:rFonts w:cs="Times New Roman"/>
          <w:szCs w:val="24"/>
        </w:rPr>
        <w:t xml:space="preserve"> sites over the course of the two phases.</w:t>
      </w:r>
      <w:r w:rsidR="0007298A" w:rsidRPr="000F6094">
        <w:rPr>
          <w:rFonts w:cs="Times New Roman"/>
          <w:szCs w:val="24"/>
        </w:rPr>
        <w:t xml:space="preserve"> The</w:t>
      </w:r>
      <w:r w:rsidR="0007298A" w:rsidRPr="008C5475">
        <w:rPr>
          <w:rFonts w:cs="Times New Roman"/>
          <w:szCs w:val="24"/>
        </w:rPr>
        <w:t xml:space="preserve"> review of marketing and recruitment materials, program manuals, and organization charts help</w:t>
      </w:r>
      <w:r w:rsidR="000F6094">
        <w:rPr>
          <w:rFonts w:cs="Times New Roman"/>
          <w:szCs w:val="24"/>
        </w:rPr>
        <w:t>s</w:t>
      </w:r>
      <w:r w:rsidR="0007298A" w:rsidRPr="008C5475">
        <w:rPr>
          <w:rFonts w:cs="Times New Roman"/>
          <w:szCs w:val="24"/>
        </w:rPr>
        <w:t xml:space="preserve"> determine the administrative staff or clients to include in focus groups or interviews. </w:t>
      </w:r>
      <w:r w:rsidR="00117B97">
        <w:rPr>
          <w:rFonts w:cs="Times New Roman"/>
          <w:szCs w:val="24"/>
        </w:rPr>
        <w:t>The research team</w:t>
      </w:r>
      <w:r w:rsidR="000F6094">
        <w:rPr>
          <w:rFonts w:cs="Times New Roman"/>
          <w:szCs w:val="24"/>
        </w:rPr>
        <w:t xml:space="preserve"> </w:t>
      </w:r>
      <w:r w:rsidR="00901D9D">
        <w:rPr>
          <w:rFonts w:cs="Times New Roman"/>
          <w:szCs w:val="24"/>
        </w:rPr>
        <w:t>aim</w:t>
      </w:r>
      <w:r w:rsidR="000F6094">
        <w:rPr>
          <w:rFonts w:cs="Times New Roman"/>
          <w:szCs w:val="24"/>
        </w:rPr>
        <w:t>s</w:t>
      </w:r>
      <w:r w:rsidR="00901D9D">
        <w:rPr>
          <w:rFonts w:cs="Times New Roman"/>
          <w:szCs w:val="24"/>
        </w:rPr>
        <w:t xml:space="preserve"> for the standard 80 percent response rate among </w:t>
      </w:r>
      <w:r w:rsidR="009B25F6">
        <w:rPr>
          <w:rFonts w:cs="Times New Roman"/>
          <w:szCs w:val="24"/>
        </w:rPr>
        <w:t xml:space="preserve">survey </w:t>
      </w:r>
      <w:r w:rsidR="00901D9D">
        <w:rPr>
          <w:rFonts w:cs="Times New Roman"/>
          <w:szCs w:val="24"/>
        </w:rPr>
        <w:t xml:space="preserve">respondents. </w:t>
      </w:r>
      <w:r w:rsidR="0007298A" w:rsidRPr="008C5475">
        <w:rPr>
          <w:rFonts w:cs="Times New Roman"/>
          <w:szCs w:val="24"/>
        </w:rPr>
        <w:t xml:space="preserve">There will be an estimated total of </w:t>
      </w:r>
      <w:r w:rsidR="009B25F6">
        <w:rPr>
          <w:rFonts w:cs="Times New Roman"/>
          <w:szCs w:val="24"/>
        </w:rPr>
        <w:t>7,506</w:t>
      </w:r>
      <w:r w:rsidR="00117B97">
        <w:rPr>
          <w:rFonts w:cs="Times New Roman"/>
          <w:szCs w:val="24"/>
        </w:rPr>
        <w:t xml:space="preserve"> respondents</w:t>
      </w:r>
      <w:r w:rsidR="000E4D07" w:rsidRPr="008C5475">
        <w:rPr>
          <w:rFonts w:cs="Times New Roman"/>
          <w:szCs w:val="24"/>
        </w:rPr>
        <w:t xml:space="preserve"> (including administrat</w:t>
      </w:r>
      <w:r w:rsidR="0054465D">
        <w:rPr>
          <w:rFonts w:cs="Times New Roman"/>
          <w:szCs w:val="24"/>
        </w:rPr>
        <w:t>or</w:t>
      </w:r>
      <w:r w:rsidR="000E4D07" w:rsidRPr="008C5475">
        <w:rPr>
          <w:rFonts w:cs="Times New Roman"/>
          <w:szCs w:val="24"/>
        </w:rPr>
        <w:t>, staff</w:t>
      </w:r>
      <w:r w:rsidR="001C0AB7">
        <w:rPr>
          <w:rFonts w:cs="Times New Roman"/>
          <w:szCs w:val="24"/>
        </w:rPr>
        <w:t>,</w:t>
      </w:r>
      <w:r w:rsidR="000E4D07" w:rsidRPr="008C5475">
        <w:rPr>
          <w:rFonts w:cs="Times New Roman"/>
          <w:szCs w:val="24"/>
        </w:rPr>
        <w:t xml:space="preserve"> and client interviews, focus groups, and surveys) over the 3 years that this clearance covers.</w:t>
      </w:r>
      <w:r w:rsidR="000B3CB9" w:rsidRPr="008C5475">
        <w:rPr>
          <w:rFonts w:cs="Times New Roman"/>
          <w:szCs w:val="24"/>
        </w:rPr>
        <w:t xml:space="preserve"> </w:t>
      </w:r>
    </w:p>
    <w:p w14:paraId="1807B52A" w14:textId="77777777" w:rsidR="007B2477" w:rsidRPr="008C5475" w:rsidRDefault="007B2477" w:rsidP="008E27A3">
      <w:pPr>
        <w:spacing w:after="0" w:line="240" w:lineRule="auto"/>
        <w:rPr>
          <w:rFonts w:cs="Times New Roman"/>
          <w:szCs w:val="24"/>
        </w:rPr>
      </w:pPr>
    </w:p>
    <w:p w14:paraId="7ABDDCF4" w14:textId="5D63A6ED" w:rsidR="001035F2" w:rsidRDefault="000B3CB9" w:rsidP="008E27A3">
      <w:pPr>
        <w:spacing w:after="0" w:line="240" w:lineRule="auto"/>
        <w:rPr>
          <w:rFonts w:cs="Times New Roman"/>
          <w:szCs w:val="24"/>
        </w:rPr>
      </w:pPr>
      <w:r w:rsidRPr="008C5475">
        <w:t xml:space="preserve">Because the </w:t>
      </w:r>
      <w:r w:rsidR="00B80172">
        <w:t xml:space="preserve">Phase 1 through 3 </w:t>
      </w:r>
      <w:r w:rsidRPr="008C5475">
        <w:t xml:space="preserve">samples are not randomly selected, they may be biased and not fully represent the entire study population. </w:t>
      </w:r>
      <w:r w:rsidR="00745C83">
        <w:t xml:space="preserve">For the first five selected sites (3 in TANF, 2 in child welfare), we have used </w:t>
      </w:r>
      <w:r w:rsidR="007B2477" w:rsidRPr="008C5475">
        <w:rPr>
          <w:rFonts w:cs="Times New Roman"/>
          <w:szCs w:val="24"/>
        </w:rPr>
        <w:t>purposive sampling to select potential participants for interviews and focus groups</w:t>
      </w:r>
      <w:r w:rsidR="00745C83">
        <w:rPr>
          <w:rFonts w:cs="Times New Roman"/>
          <w:szCs w:val="24"/>
        </w:rPr>
        <w:t>, and will continue this approach with HS/EHS</w:t>
      </w:r>
      <w:r w:rsidR="007B2477" w:rsidRPr="008C5475">
        <w:rPr>
          <w:rFonts w:cs="Times New Roman"/>
          <w:szCs w:val="24"/>
        </w:rPr>
        <w:t xml:space="preserve">. </w:t>
      </w:r>
      <w:r w:rsidR="00394496" w:rsidRPr="008C5475">
        <w:rPr>
          <w:rFonts w:cs="Times New Roman"/>
          <w:szCs w:val="24"/>
        </w:rPr>
        <w:t xml:space="preserve">At </w:t>
      </w:r>
      <w:r w:rsidRPr="008C5475">
        <w:rPr>
          <w:rFonts w:cs="Times New Roman"/>
          <w:szCs w:val="24"/>
        </w:rPr>
        <w:t>early stages</w:t>
      </w:r>
      <w:r w:rsidR="00394496" w:rsidRPr="008C5475">
        <w:rPr>
          <w:rFonts w:cs="Times New Roman"/>
          <w:szCs w:val="24"/>
        </w:rPr>
        <w:t xml:space="preserve">, interviews and focus groups </w:t>
      </w:r>
      <w:r w:rsidR="00F96D4A">
        <w:rPr>
          <w:rFonts w:cs="Times New Roman"/>
          <w:szCs w:val="24"/>
        </w:rPr>
        <w:t>are</w:t>
      </w:r>
      <w:r w:rsidR="00394496" w:rsidRPr="008C5475">
        <w:rPr>
          <w:rFonts w:cs="Times New Roman"/>
          <w:szCs w:val="24"/>
        </w:rPr>
        <w:t xml:space="preserve"> not </w:t>
      </w:r>
      <w:r w:rsidR="0036556F">
        <w:rPr>
          <w:rFonts w:cs="Times New Roman"/>
          <w:szCs w:val="24"/>
        </w:rPr>
        <w:t xml:space="preserve">being and will not </w:t>
      </w:r>
      <w:r w:rsidR="00394496" w:rsidRPr="008C5475">
        <w:rPr>
          <w:rFonts w:cs="Times New Roman"/>
          <w:szCs w:val="24"/>
        </w:rPr>
        <w:t xml:space="preserve">be used as data collection, but to inform intervention design. </w:t>
      </w:r>
    </w:p>
    <w:p w14:paraId="60D26E88" w14:textId="77777777" w:rsidR="001035F2" w:rsidRDefault="001035F2" w:rsidP="008E27A3">
      <w:pPr>
        <w:spacing w:after="0" w:line="240" w:lineRule="auto"/>
        <w:rPr>
          <w:rFonts w:cs="Times New Roman"/>
          <w:szCs w:val="24"/>
        </w:rPr>
      </w:pPr>
    </w:p>
    <w:p w14:paraId="03E734D9" w14:textId="5A92D0C8" w:rsidR="007B2477" w:rsidRDefault="00394496" w:rsidP="007C41E0">
      <w:pPr>
        <w:spacing w:line="240" w:lineRule="auto"/>
        <w:rPr>
          <w:rFonts w:cs="Times New Roman"/>
          <w:szCs w:val="24"/>
        </w:rPr>
      </w:pPr>
      <w:r w:rsidRPr="004C41E9">
        <w:rPr>
          <w:rFonts w:cs="Times New Roman"/>
          <w:szCs w:val="24"/>
        </w:rPr>
        <w:t>On</w:t>
      </w:r>
      <w:r w:rsidR="000B3CB9" w:rsidRPr="004C41E9">
        <w:rPr>
          <w:rFonts w:cs="Times New Roman"/>
          <w:szCs w:val="24"/>
        </w:rPr>
        <w:t xml:space="preserve">ce sites </w:t>
      </w:r>
      <w:r w:rsidR="001174FE" w:rsidRPr="004C41E9">
        <w:rPr>
          <w:rFonts w:cs="Times New Roman"/>
          <w:szCs w:val="24"/>
        </w:rPr>
        <w:t xml:space="preserve">have been identified </w:t>
      </w:r>
      <w:r w:rsidR="000B3CB9" w:rsidRPr="004C41E9">
        <w:rPr>
          <w:rFonts w:cs="Times New Roman"/>
          <w:szCs w:val="24"/>
        </w:rPr>
        <w:t>and intervention</w:t>
      </w:r>
      <w:r w:rsidR="00587B7D" w:rsidRPr="004C41E9">
        <w:rPr>
          <w:rFonts w:cs="Times New Roman"/>
          <w:szCs w:val="24"/>
        </w:rPr>
        <w:t>s</w:t>
      </w:r>
      <w:r w:rsidR="000B3CB9" w:rsidRPr="004C41E9">
        <w:rPr>
          <w:rFonts w:cs="Times New Roman"/>
          <w:szCs w:val="24"/>
        </w:rPr>
        <w:t xml:space="preserve"> </w:t>
      </w:r>
      <w:r w:rsidR="001174FE" w:rsidRPr="004C41E9">
        <w:rPr>
          <w:rFonts w:cs="Times New Roman"/>
          <w:szCs w:val="24"/>
        </w:rPr>
        <w:t>ha</w:t>
      </w:r>
      <w:r w:rsidR="00587B7D" w:rsidRPr="004C41E9">
        <w:rPr>
          <w:rFonts w:cs="Times New Roman"/>
          <w:szCs w:val="24"/>
        </w:rPr>
        <w:t>ve</w:t>
      </w:r>
      <w:r w:rsidR="001174FE" w:rsidRPr="004C41E9">
        <w:rPr>
          <w:rFonts w:cs="Times New Roman"/>
          <w:szCs w:val="24"/>
        </w:rPr>
        <w:t xml:space="preserve"> </w:t>
      </w:r>
      <w:r w:rsidRPr="004C41E9">
        <w:rPr>
          <w:rFonts w:cs="Times New Roman"/>
          <w:szCs w:val="24"/>
        </w:rPr>
        <w:t xml:space="preserve">been </w:t>
      </w:r>
      <w:r w:rsidR="001174FE" w:rsidRPr="004C41E9">
        <w:rPr>
          <w:rFonts w:cs="Times New Roman"/>
          <w:szCs w:val="24"/>
        </w:rPr>
        <w:t>designed</w:t>
      </w:r>
      <w:r w:rsidRPr="004C41E9">
        <w:rPr>
          <w:rFonts w:cs="Times New Roman"/>
          <w:szCs w:val="24"/>
        </w:rPr>
        <w:t xml:space="preserve">, </w:t>
      </w:r>
      <w:r w:rsidR="00841AF9">
        <w:rPr>
          <w:rFonts w:cs="Times New Roman"/>
          <w:szCs w:val="24"/>
        </w:rPr>
        <w:t xml:space="preserve">there will be </w:t>
      </w:r>
      <w:r w:rsidRPr="004C41E9">
        <w:rPr>
          <w:rFonts w:cs="Times New Roman"/>
          <w:szCs w:val="24"/>
        </w:rPr>
        <w:t>subsequent data collection</w:t>
      </w:r>
      <w:r w:rsidR="004C41E9" w:rsidRPr="004C41E9">
        <w:rPr>
          <w:rFonts w:cs="Times New Roman"/>
          <w:szCs w:val="24"/>
        </w:rPr>
        <w:t xml:space="preserve"> </w:t>
      </w:r>
      <w:r w:rsidR="00FA44B7">
        <w:rPr>
          <w:rFonts w:cs="Times New Roman"/>
          <w:szCs w:val="24"/>
        </w:rPr>
        <w:t xml:space="preserve">for </w:t>
      </w:r>
      <w:r w:rsidR="00841AF9">
        <w:rPr>
          <w:rFonts w:cs="Times New Roman"/>
          <w:szCs w:val="24"/>
        </w:rPr>
        <w:t xml:space="preserve">both </w:t>
      </w:r>
      <w:r w:rsidR="00FA44B7">
        <w:rPr>
          <w:rFonts w:cs="Times New Roman"/>
          <w:szCs w:val="24"/>
        </w:rPr>
        <w:t xml:space="preserve">the implementation </w:t>
      </w:r>
      <w:r w:rsidR="00841AF9">
        <w:rPr>
          <w:rFonts w:cs="Times New Roman"/>
          <w:szCs w:val="24"/>
        </w:rPr>
        <w:t xml:space="preserve">and the impact </w:t>
      </w:r>
      <w:r w:rsidR="00FA44B7">
        <w:rPr>
          <w:rFonts w:cs="Times New Roman"/>
          <w:szCs w:val="24"/>
        </w:rPr>
        <w:t>stud</w:t>
      </w:r>
      <w:r w:rsidR="00841AF9">
        <w:rPr>
          <w:rFonts w:cs="Times New Roman"/>
          <w:szCs w:val="24"/>
        </w:rPr>
        <w:t>ies</w:t>
      </w:r>
      <w:r w:rsidR="00FA44B7">
        <w:rPr>
          <w:rFonts w:cs="Times New Roman"/>
          <w:szCs w:val="24"/>
        </w:rPr>
        <w:t xml:space="preserve"> undertaken during </w:t>
      </w:r>
      <w:r w:rsidR="0060382D" w:rsidRPr="004C41E9">
        <w:rPr>
          <w:rFonts w:cs="Times New Roman"/>
          <w:szCs w:val="24"/>
        </w:rPr>
        <w:t>the evaluation stage, Phase 4</w:t>
      </w:r>
      <w:r w:rsidR="00841AF9">
        <w:rPr>
          <w:rFonts w:cs="Times New Roman"/>
          <w:szCs w:val="24"/>
        </w:rPr>
        <w:t>.</w:t>
      </w:r>
      <w:r w:rsidR="00800954">
        <w:rPr>
          <w:rFonts w:cs="Times New Roman"/>
          <w:szCs w:val="24"/>
        </w:rPr>
        <w:t xml:space="preserve"> Three sites (2 in TANF and 1 in child welfare) have reached Phase 4 and each one has received approval for a separate GenIC. </w:t>
      </w:r>
      <w:r w:rsidRPr="004C41E9">
        <w:rPr>
          <w:rFonts w:cs="Times New Roman"/>
          <w:szCs w:val="24"/>
        </w:rPr>
        <w:t xml:space="preserve"> </w:t>
      </w:r>
      <w:r w:rsidR="00841AF9">
        <w:rPr>
          <w:rFonts w:cs="Times New Roman"/>
          <w:szCs w:val="24"/>
        </w:rPr>
        <w:t>For the implementation stud</w:t>
      </w:r>
      <w:r w:rsidR="006864CE">
        <w:rPr>
          <w:rFonts w:cs="Times New Roman"/>
          <w:szCs w:val="24"/>
        </w:rPr>
        <w:t>ies</w:t>
      </w:r>
      <w:r w:rsidR="00841AF9">
        <w:rPr>
          <w:rFonts w:cs="Times New Roman"/>
          <w:szCs w:val="24"/>
        </w:rPr>
        <w:t>, this data collection</w:t>
      </w:r>
      <w:r w:rsidR="00800954">
        <w:rPr>
          <w:rFonts w:cs="Times New Roman"/>
          <w:szCs w:val="24"/>
        </w:rPr>
        <w:t xml:space="preserve"> </w:t>
      </w:r>
      <w:r w:rsidR="000B3CB9" w:rsidRPr="004C41E9">
        <w:rPr>
          <w:rFonts w:cs="Times New Roman"/>
          <w:szCs w:val="24"/>
        </w:rPr>
        <w:t>involve</w:t>
      </w:r>
      <w:r w:rsidR="00800954">
        <w:rPr>
          <w:rFonts w:cs="Times New Roman"/>
          <w:szCs w:val="24"/>
        </w:rPr>
        <w:t>s</w:t>
      </w:r>
      <w:r w:rsidR="000B3CB9" w:rsidRPr="004C41E9">
        <w:rPr>
          <w:rFonts w:cs="Times New Roman"/>
          <w:szCs w:val="24"/>
        </w:rPr>
        <w:t xml:space="preserve"> more formal</w:t>
      </w:r>
      <w:r w:rsidRPr="004C41E9">
        <w:rPr>
          <w:rFonts w:cs="Times New Roman"/>
          <w:szCs w:val="24"/>
        </w:rPr>
        <w:t xml:space="preserve"> interviews </w:t>
      </w:r>
      <w:r w:rsidR="006864CE">
        <w:rPr>
          <w:rFonts w:cs="Times New Roman"/>
          <w:szCs w:val="24"/>
        </w:rPr>
        <w:t>and/</w:t>
      </w:r>
      <w:r w:rsidRPr="004C41E9">
        <w:rPr>
          <w:rFonts w:cs="Times New Roman"/>
          <w:szCs w:val="24"/>
        </w:rPr>
        <w:t xml:space="preserve">or focus groups. </w:t>
      </w:r>
      <w:r w:rsidR="006864CE">
        <w:rPr>
          <w:rFonts w:cs="Times New Roman"/>
          <w:szCs w:val="24"/>
        </w:rPr>
        <w:t xml:space="preserve">The implementation studies </w:t>
      </w:r>
      <w:r w:rsidR="00800954">
        <w:rPr>
          <w:rFonts w:cs="Times New Roman"/>
          <w:szCs w:val="24"/>
        </w:rPr>
        <w:t xml:space="preserve">can </w:t>
      </w:r>
      <w:r w:rsidR="006864CE">
        <w:rPr>
          <w:rFonts w:cs="Times New Roman"/>
          <w:szCs w:val="24"/>
        </w:rPr>
        <w:t>also include s</w:t>
      </w:r>
      <w:r w:rsidR="007B2477" w:rsidRPr="004C41E9">
        <w:rPr>
          <w:rFonts w:cs="Times New Roman"/>
          <w:szCs w:val="24"/>
        </w:rPr>
        <w:t>urveys</w:t>
      </w:r>
      <w:r w:rsidR="006864CE">
        <w:rPr>
          <w:rFonts w:cs="Times New Roman"/>
          <w:szCs w:val="24"/>
        </w:rPr>
        <w:t>, which</w:t>
      </w:r>
      <w:r w:rsidR="007B2477" w:rsidRPr="004C41E9">
        <w:rPr>
          <w:rFonts w:cs="Times New Roman"/>
          <w:szCs w:val="24"/>
        </w:rPr>
        <w:t xml:space="preserve"> could use either random or purposive sampling, depending on the availability of information about the sampling frame, time</w:t>
      </w:r>
      <w:r w:rsidR="001C0AB7" w:rsidRPr="004C41E9">
        <w:rPr>
          <w:rFonts w:cs="Times New Roman"/>
          <w:szCs w:val="24"/>
        </w:rPr>
        <w:t>,</w:t>
      </w:r>
      <w:r w:rsidR="007B2477" w:rsidRPr="004C41E9">
        <w:rPr>
          <w:rFonts w:cs="Times New Roman"/>
          <w:szCs w:val="24"/>
        </w:rPr>
        <w:t xml:space="preserve"> and resources. The limitations associated with purposive or any sampling method </w:t>
      </w:r>
      <w:r w:rsidR="00800954">
        <w:rPr>
          <w:rFonts w:cs="Times New Roman"/>
          <w:szCs w:val="24"/>
        </w:rPr>
        <w:t xml:space="preserve">have been and </w:t>
      </w:r>
      <w:r w:rsidR="007B2477" w:rsidRPr="004C41E9">
        <w:rPr>
          <w:rFonts w:cs="Times New Roman"/>
          <w:szCs w:val="24"/>
        </w:rPr>
        <w:t xml:space="preserve">will </w:t>
      </w:r>
      <w:r w:rsidR="00800954">
        <w:rPr>
          <w:rFonts w:cs="Times New Roman"/>
          <w:szCs w:val="24"/>
        </w:rPr>
        <w:t xml:space="preserve">continue to </w:t>
      </w:r>
      <w:r w:rsidR="007B2477" w:rsidRPr="004C41E9">
        <w:rPr>
          <w:rFonts w:cs="Times New Roman"/>
          <w:szCs w:val="24"/>
        </w:rPr>
        <w:t xml:space="preserve">be </w:t>
      </w:r>
      <w:r w:rsidR="00B80172" w:rsidRPr="004C41E9">
        <w:rPr>
          <w:rFonts w:cs="Times New Roman"/>
          <w:szCs w:val="24"/>
        </w:rPr>
        <w:t>described in the Phase 4 submission,</w:t>
      </w:r>
      <w:r w:rsidR="00747137">
        <w:rPr>
          <w:rFonts w:cs="Times New Roman"/>
          <w:szCs w:val="24"/>
        </w:rPr>
        <w:t xml:space="preserve"> </w:t>
      </w:r>
      <w:r w:rsidR="00B80172" w:rsidRPr="004C41E9">
        <w:rPr>
          <w:rFonts w:cs="Times New Roman"/>
          <w:szCs w:val="24"/>
        </w:rPr>
        <w:t xml:space="preserve">and will be </w:t>
      </w:r>
      <w:r w:rsidR="007B2477" w:rsidRPr="004C41E9">
        <w:rPr>
          <w:rFonts w:cs="Times New Roman"/>
          <w:szCs w:val="24"/>
        </w:rPr>
        <w:t>clearly stated in any publications produced for this project.</w:t>
      </w:r>
      <w:r w:rsidRPr="008C5475">
        <w:rPr>
          <w:rFonts w:cs="Times New Roman"/>
          <w:szCs w:val="24"/>
        </w:rPr>
        <w:t xml:space="preserve"> </w:t>
      </w:r>
      <w:r w:rsidR="006864CE">
        <w:rPr>
          <w:rFonts w:cs="Times New Roman"/>
          <w:szCs w:val="24"/>
        </w:rPr>
        <w:t>For the impact study,</w:t>
      </w:r>
      <w:r w:rsidR="00841AF9">
        <w:rPr>
          <w:rFonts w:cs="Times New Roman"/>
          <w:szCs w:val="24"/>
        </w:rPr>
        <w:t xml:space="preserve"> data collection</w:t>
      </w:r>
      <w:r w:rsidR="00800954">
        <w:rPr>
          <w:rFonts w:cs="Times New Roman"/>
          <w:szCs w:val="24"/>
        </w:rPr>
        <w:t xml:space="preserve"> has relied on and</w:t>
      </w:r>
      <w:r w:rsidR="00841AF9">
        <w:rPr>
          <w:rFonts w:cs="Times New Roman"/>
          <w:szCs w:val="24"/>
        </w:rPr>
        <w:t xml:space="preserve"> will </w:t>
      </w:r>
      <w:r w:rsidR="00800954">
        <w:rPr>
          <w:rFonts w:cs="Times New Roman"/>
          <w:szCs w:val="24"/>
        </w:rPr>
        <w:t xml:space="preserve">continue to </w:t>
      </w:r>
      <w:r w:rsidR="00841AF9">
        <w:rPr>
          <w:rFonts w:cs="Times New Roman"/>
          <w:szCs w:val="24"/>
        </w:rPr>
        <w:t>rely on administrative and/or MIS data, as described below.</w:t>
      </w:r>
      <w:r w:rsidR="007B2477" w:rsidRPr="008C5475">
        <w:rPr>
          <w:rFonts w:cs="Times New Roman"/>
          <w:szCs w:val="24"/>
        </w:rPr>
        <w:t xml:space="preserve"> </w:t>
      </w:r>
    </w:p>
    <w:p w14:paraId="79940F0B" w14:textId="77777777" w:rsidR="007C41E0" w:rsidRDefault="007C41E0" w:rsidP="007C41E0">
      <w:pPr>
        <w:spacing w:after="0" w:line="240" w:lineRule="auto"/>
        <w:rPr>
          <w:rFonts w:cs="Times New Roman"/>
          <w:szCs w:val="24"/>
        </w:rPr>
      </w:pPr>
    </w:p>
    <w:p w14:paraId="57E3095A" w14:textId="77777777" w:rsidR="001035F2" w:rsidRDefault="001035F2" w:rsidP="008E27A3">
      <w:pPr>
        <w:spacing w:after="0" w:line="240" w:lineRule="auto"/>
        <w:rPr>
          <w:rFonts w:cs="Times New Roman"/>
          <w:szCs w:val="24"/>
        </w:rPr>
      </w:pPr>
    </w:p>
    <w:p w14:paraId="3BEA9517" w14:textId="77777777" w:rsidR="001035F2" w:rsidRDefault="001035F2" w:rsidP="007C41E0">
      <w:pPr>
        <w:spacing w:after="120"/>
        <w:rPr>
          <w:rFonts w:cs="Times New Roman"/>
          <w:b/>
          <w:i/>
          <w:szCs w:val="24"/>
        </w:rPr>
      </w:pPr>
      <w:r w:rsidRPr="00A965D2">
        <w:rPr>
          <w:rFonts w:cs="Times New Roman"/>
          <w:b/>
          <w:i/>
          <w:szCs w:val="24"/>
        </w:rPr>
        <w:t>Universe of Data Collection Efforts</w:t>
      </w:r>
    </w:p>
    <w:p w14:paraId="31667391" w14:textId="77777777" w:rsidR="001035F2" w:rsidRDefault="001B303D" w:rsidP="001035F2">
      <w:pPr>
        <w:pStyle w:val="NormalSS"/>
        <w:spacing w:line="276" w:lineRule="auto"/>
        <w:ind w:firstLine="0"/>
        <w:jc w:val="left"/>
        <w:rPr>
          <w:rFonts w:ascii="Times New Roman" w:hAnsi="Times New Roman"/>
        </w:rPr>
      </w:pPr>
      <w:r>
        <w:rPr>
          <w:rFonts w:ascii="Times New Roman" w:hAnsi="Times New Roman"/>
        </w:rPr>
        <w:t>D</w:t>
      </w:r>
      <w:r w:rsidR="001035F2">
        <w:rPr>
          <w:rFonts w:ascii="Times New Roman" w:hAnsi="Times New Roman"/>
        </w:rPr>
        <w:t>ata collection activities</w:t>
      </w:r>
      <w:r w:rsidR="0060382D">
        <w:rPr>
          <w:rFonts w:ascii="Times New Roman" w:hAnsi="Times New Roman"/>
        </w:rPr>
        <w:t xml:space="preserve"> at Phases 3 and 4</w:t>
      </w:r>
      <w:r w:rsidR="001035F2">
        <w:rPr>
          <w:rFonts w:ascii="Times New Roman" w:hAnsi="Times New Roman"/>
        </w:rPr>
        <w:t xml:space="preserve"> include:</w:t>
      </w:r>
    </w:p>
    <w:p w14:paraId="426C3DD8" w14:textId="2A98645A" w:rsidR="001035F2"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A</w:t>
      </w:r>
      <w:r w:rsidRPr="00A965D2">
        <w:rPr>
          <w:rFonts w:ascii="Times New Roman" w:hAnsi="Times New Roman"/>
          <w:b/>
        </w:rPr>
        <w:t xml:space="preserve">dministrator </w:t>
      </w:r>
      <w:r>
        <w:rPr>
          <w:rFonts w:ascii="Times New Roman" w:hAnsi="Times New Roman"/>
          <w:b/>
        </w:rPr>
        <w:t xml:space="preserve">interviews/focus groups: </w:t>
      </w:r>
      <w:r>
        <w:rPr>
          <w:rFonts w:ascii="Times New Roman" w:hAnsi="Times New Roman"/>
        </w:rPr>
        <w:t>In order to diagnose the problem,</w:t>
      </w:r>
      <w:r w:rsidRPr="001C1104">
        <w:rPr>
          <w:rFonts w:ascii="Times New Roman" w:hAnsi="Times New Roman"/>
        </w:rPr>
        <w:t xml:space="preserve"> </w:t>
      </w:r>
      <w:r>
        <w:rPr>
          <w:rFonts w:ascii="Times New Roman" w:hAnsi="Times New Roman"/>
        </w:rPr>
        <w:t>t</w:t>
      </w:r>
      <w:r w:rsidRPr="001C1104">
        <w:rPr>
          <w:rFonts w:ascii="Times New Roman" w:hAnsi="Times New Roman"/>
        </w:rPr>
        <w:t xml:space="preserve">he research team </w:t>
      </w:r>
      <w:r>
        <w:rPr>
          <w:rFonts w:ascii="Times New Roman" w:hAnsi="Times New Roman"/>
        </w:rPr>
        <w:t>gather</w:t>
      </w:r>
      <w:r w:rsidR="000F6094">
        <w:rPr>
          <w:rFonts w:ascii="Times New Roman" w:hAnsi="Times New Roman"/>
        </w:rPr>
        <w:t>s</w:t>
      </w:r>
      <w:r>
        <w:rPr>
          <w:rFonts w:ascii="Times New Roman" w:hAnsi="Times New Roman"/>
        </w:rPr>
        <w:t xml:space="preserve"> data during P</w:t>
      </w:r>
      <w:r w:rsidRPr="001C1104">
        <w:rPr>
          <w:rFonts w:ascii="Times New Roman" w:hAnsi="Times New Roman"/>
        </w:rPr>
        <w:t>hase 3 to better understand the barriers administrators see to full program implementation</w:t>
      </w:r>
      <w:r>
        <w:rPr>
          <w:rFonts w:ascii="Times New Roman" w:hAnsi="Times New Roman"/>
        </w:rPr>
        <w:t>. In Phase 4, the research team return</w:t>
      </w:r>
      <w:r w:rsidR="000F6094">
        <w:rPr>
          <w:rFonts w:ascii="Times New Roman" w:hAnsi="Times New Roman"/>
        </w:rPr>
        <w:t>s</w:t>
      </w:r>
      <w:r>
        <w:rPr>
          <w:rFonts w:ascii="Times New Roman" w:hAnsi="Times New Roman"/>
        </w:rPr>
        <w:t xml:space="preserve"> to interview program administrators to determine whether the intervention was administered with fidelity and to help to determine the intervention’s effect on program administrators.</w:t>
      </w:r>
    </w:p>
    <w:p w14:paraId="4D8D5BD6" w14:textId="725D3A6F" w:rsidR="001035F2"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Staff</w:t>
      </w:r>
      <w:r w:rsidRPr="00A965D2">
        <w:rPr>
          <w:rFonts w:ascii="Times New Roman" w:hAnsi="Times New Roman"/>
          <w:b/>
        </w:rPr>
        <w:t xml:space="preserve"> </w:t>
      </w:r>
      <w:r>
        <w:rPr>
          <w:rFonts w:ascii="Times New Roman" w:hAnsi="Times New Roman"/>
          <w:b/>
        </w:rPr>
        <w:t>interviews/focus groups:</w:t>
      </w:r>
      <w:r w:rsidRPr="00E96A7A">
        <w:rPr>
          <w:rFonts w:ascii="Times New Roman" w:hAnsi="Times New Roman"/>
        </w:rPr>
        <w:t xml:space="preserve"> Collecting information from program staff during Phase 3 </w:t>
      </w:r>
      <w:r>
        <w:rPr>
          <w:rFonts w:ascii="Times New Roman" w:hAnsi="Times New Roman"/>
        </w:rPr>
        <w:t>help</w:t>
      </w:r>
      <w:r w:rsidR="000F6094">
        <w:rPr>
          <w:rFonts w:ascii="Times New Roman" w:hAnsi="Times New Roman"/>
        </w:rPr>
        <w:t>s</w:t>
      </w:r>
      <w:r>
        <w:rPr>
          <w:rFonts w:ascii="Times New Roman" w:hAnsi="Times New Roman"/>
        </w:rPr>
        <w:t xml:space="preserve"> the researchers better understand how the program operates</w:t>
      </w:r>
      <w:r w:rsidR="00662D6C">
        <w:rPr>
          <w:rFonts w:ascii="Times New Roman" w:hAnsi="Times New Roman"/>
        </w:rPr>
        <w:t>,</w:t>
      </w:r>
      <w:r>
        <w:rPr>
          <w:rFonts w:ascii="Times New Roman" w:hAnsi="Times New Roman"/>
        </w:rPr>
        <w:t xml:space="preserve"> from the staff perspective and what barriers staff see to the program operating at its potential. </w:t>
      </w:r>
      <w:r w:rsidR="00A51714">
        <w:rPr>
          <w:rFonts w:ascii="Times New Roman" w:hAnsi="Times New Roman"/>
        </w:rPr>
        <w:t>Staff interviews/focus groups may incorporate prototyping activities.</w:t>
      </w:r>
      <w:r w:rsidR="004C7C79">
        <w:rPr>
          <w:rStyle w:val="FootnoteReference"/>
          <w:rFonts w:ascii="Times New Roman" w:hAnsi="Times New Roman"/>
        </w:rPr>
        <w:footnoteReference w:id="2"/>
      </w:r>
      <w:r w:rsidR="00A51714">
        <w:rPr>
          <w:rFonts w:ascii="Times New Roman" w:hAnsi="Times New Roman"/>
        </w:rPr>
        <w:t xml:space="preserve"> </w:t>
      </w:r>
      <w:r>
        <w:rPr>
          <w:rFonts w:ascii="Times New Roman" w:hAnsi="Times New Roman"/>
        </w:rPr>
        <w:t>Returning to staff during Phase 4 shed</w:t>
      </w:r>
      <w:r w:rsidR="000F6094">
        <w:rPr>
          <w:rFonts w:ascii="Times New Roman" w:hAnsi="Times New Roman"/>
        </w:rPr>
        <w:t>s</w:t>
      </w:r>
      <w:r>
        <w:rPr>
          <w:rFonts w:ascii="Times New Roman" w:hAnsi="Times New Roman"/>
        </w:rPr>
        <w:t xml:space="preserve"> light on what aspects of the intervention worked well and which didn’t work well from a staff perspective.</w:t>
      </w:r>
    </w:p>
    <w:p w14:paraId="43090ED0" w14:textId="20B702C5" w:rsidR="001035F2"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Client</w:t>
      </w:r>
      <w:r w:rsidRPr="00A965D2">
        <w:rPr>
          <w:rFonts w:ascii="Times New Roman" w:hAnsi="Times New Roman"/>
          <w:b/>
        </w:rPr>
        <w:t xml:space="preserve"> </w:t>
      </w:r>
      <w:r>
        <w:rPr>
          <w:rFonts w:ascii="Times New Roman" w:hAnsi="Times New Roman"/>
          <w:b/>
        </w:rPr>
        <w:t xml:space="preserve">interviews/focus groups: </w:t>
      </w:r>
      <w:r w:rsidRPr="00E96A7A">
        <w:rPr>
          <w:rFonts w:ascii="Times New Roman" w:hAnsi="Times New Roman"/>
        </w:rPr>
        <w:t>Interviewing clients during Phase 3 help</w:t>
      </w:r>
      <w:r w:rsidR="000F6094">
        <w:rPr>
          <w:rFonts w:ascii="Times New Roman" w:hAnsi="Times New Roman"/>
        </w:rPr>
        <w:t>s</w:t>
      </w:r>
      <w:r w:rsidRPr="00E96A7A">
        <w:rPr>
          <w:rFonts w:ascii="Times New Roman" w:hAnsi="Times New Roman"/>
        </w:rPr>
        <w:t xml:space="preserve"> researchers better understand the barriers clients face w</w:t>
      </w:r>
      <w:r>
        <w:rPr>
          <w:rFonts w:ascii="Times New Roman" w:hAnsi="Times New Roman"/>
        </w:rPr>
        <w:t xml:space="preserve">hen trying to access and interact with the program. </w:t>
      </w:r>
      <w:r w:rsidR="00A51714">
        <w:rPr>
          <w:rFonts w:ascii="Times New Roman" w:hAnsi="Times New Roman"/>
        </w:rPr>
        <w:t xml:space="preserve">Client interviews/focus groups may incorporate prototyping activities. </w:t>
      </w:r>
      <w:r>
        <w:rPr>
          <w:rFonts w:ascii="Times New Roman" w:hAnsi="Times New Roman"/>
        </w:rPr>
        <w:t>These insights help</w:t>
      </w:r>
      <w:r w:rsidR="000F6094">
        <w:rPr>
          <w:rFonts w:ascii="Times New Roman" w:hAnsi="Times New Roman"/>
        </w:rPr>
        <w:t>s</w:t>
      </w:r>
      <w:r>
        <w:rPr>
          <w:rFonts w:ascii="Times New Roman" w:hAnsi="Times New Roman"/>
        </w:rPr>
        <w:t xml:space="preserve"> inform the interventions targeted at clients. Talking with clients during Phase 4 help</w:t>
      </w:r>
      <w:r w:rsidR="000F6094">
        <w:rPr>
          <w:rFonts w:ascii="Times New Roman" w:hAnsi="Times New Roman"/>
        </w:rPr>
        <w:t>s</w:t>
      </w:r>
      <w:r>
        <w:rPr>
          <w:rFonts w:ascii="Times New Roman" w:hAnsi="Times New Roman"/>
        </w:rPr>
        <w:t xml:space="preserve"> researchers better understand from a client perspective what is, or is not working with the intervention.</w:t>
      </w:r>
    </w:p>
    <w:p w14:paraId="4D8A14E2" w14:textId="77777777" w:rsidR="001035F2" w:rsidRPr="00A27D6C"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Client survey</w:t>
      </w:r>
      <w:r w:rsidRPr="008D0D62">
        <w:rPr>
          <w:rFonts w:ascii="Times New Roman" w:hAnsi="Times New Roman"/>
          <w:b/>
        </w:rPr>
        <w:t xml:space="preserve">: </w:t>
      </w:r>
      <w:r w:rsidRPr="008D0D62">
        <w:rPr>
          <w:rFonts w:ascii="Times New Roman" w:hAnsi="Times New Roman"/>
        </w:rPr>
        <w:t xml:space="preserve">Surveying </w:t>
      </w:r>
      <w:r>
        <w:rPr>
          <w:rFonts w:ascii="Times New Roman" w:hAnsi="Times New Roman"/>
        </w:rPr>
        <w:t>clients</w:t>
      </w:r>
      <w:r w:rsidRPr="008D0D62">
        <w:rPr>
          <w:rFonts w:ascii="Times New Roman" w:hAnsi="Times New Roman"/>
        </w:rPr>
        <w:t xml:space="preserve"> can pr</w:t>
      </w:r>
      <w:r>
        <w:rPr>
          <w:rFonts w:ascii="Times New Roman" w:hAnsi="Times New Roman"/>
        </w:rPr>
        <w:t>ovide researchers with a more representative sample of client opinions as to how the program operates both before (Phase 3) and after the intervention (Phase 4).</w:t>
      </w:r>
    </w:p>
    <w:p w14:paraId="454FFB57" w14:textId="77777777" w:rsidR="001035F2" w:rsidRPr="005C080D" w:rsidRDefault="001035F2" w:rsidP="001035F2">
      <w:pPr>
        <w:pStyle w:val="NormalSS"/>
        <w:numPr>
          <w:ilvl w:val="0"/>
          <w:numId w:val="2"/>
        </w:numPr>
        <w:spacing w:line="276" w:lineRule="auto"/>
        <w:jc w:val="left"/>
        <w:rPr>
          <w:rFonts w:ascii="Times New Roman" w:hAnsi="Times New Roman"/>
          <w:b/>
        </w:rPr>
      </w:pPr>
      <w:r>
        <w:rPr>
          <w:rFonts w:ascii="Times New Roman" w:hAnsi="Times New Roman"/>
          <w:b/>
        </w:rPr>
        <w:t xml:space="preserve">Staff survey: </w:t>
      </w:r>
      <w:r w:rsidRPr="008D0D62">
        <w:rPr>
          <w:rFonts w:ascii="Times New Roman" w:hAnsi="Times New Roman"/>
        </w:rPr>
        <w:t>Surveying program staff can pr</w:t>
      </w:r>
      <w:r>
        <w:rPr>
          <w:rFonts w:ascii="Times New Roman" w:hAnsi="Times New Roman"/>
        </w:rPr>
        <w:t>ovide researchers with a more representative sample of staff opinions as to how the program operates both before (Phase 3) and after the intervention (Phase 4).</w:t>
      </w:r>
    </w:p>
    <w:p w14:paraId="09C867B3" w14:textId="08A753B9" w:rsidR="004F2AE8" w:rsidRPr="00BD53DD" w:rsidRDefault="001035F2" w:rsidP="001035F2">
      <w:pPr>
        <w:pStyle w:val="NormalSS"/>
        <w:numPr>
          <w:ilvl w:val="0"/>
          <w:numId w:val="2"/>
        </w:numPr>
        <w:spacing w:after="0" w:line="276" w:lineRule="auto"/>
        <w:jc w:val="left"/>
        <w:rPr>
          <w:rFonts w:ascii="Times New Roman" w:hAnsi="Times New Roman"/>
          <w:b/>
        </w:rPr>
      </w:pPr>
      <w:r w:rsidRPr="00B37065">
        <w:rPr>
          <w:rFonts w:ascii="Times New Roman" w:hAnsi="Times New Roman"/>
          <w:b/>
        </w:rPr>
        <w:t>Administrative data:</w:t>
      </w:r>
      <w:r w:rsidRPr="00523D7E">
        <w:rPr>
          <w:rFonts w:ascii="Times New Roman" w:hAnsi="Times New Roman"/>
        </w:rPr>
        <w:t xml:space="preserve"> </w:t>
      </w:r>
      <w:r w:rsidR="004C7C79">
        <w:rPr>
          <w:rFonts w:ascii="Times New Roman" w:hAnsi="Times New Roman"/>
        </w:rPr>
        <w:t xml:space="preserve">The research team </w:t>
      </w:r>
      <w:r w:rsidR="003E728D">
        <w:rPr>
          <w:rFonts w:ascii="Times New Roman" w:hAnsi="Times New Roman"/>
        </w:rPr>
        <w:t xml:space="preserve">has worked and </w:t>
      </w:r>
      <w:r>
        <w:rPr>
          <w:rFonts w:ascii="Times New Roman" w:hAnsi="Times New Roman"/>
        </w:rPr>
        <w:t>will</w:t>
      </w:r>
      <w:r w:rsidR="003E728D">
        <w:rPr>
          <w:rFonts w:ascii="Times New Roman" w:hAnsi="Times New Roman"/>
        </w:rPr>
        <w:t xml:space="preserve"> continue to </w:t>
      </w:r>
      <w:r>
        <w:rPr>
          <w:rFonts w:ascii="Times New Roman" w:hAnsi="Times New Roman"/>
        </w:rPr>
        <w:t xml:space="preserve">work with sites to access </w:t>
      </w:r>
      <w:r w:rsidRPr="005C080D">
        <w:rPr>
          <w:rFonts w:ascii="Times New Roman" w:hAnsi="Times New Roman"/>
        </w:rPr>
        <w:t>administrative data the agencies are already collecting</w:t>
      </w:r>
      <w:r>
        <w:rPr>
          <w:rFonts w:ascii="Times New Roman" w:hAnsi="Times New Roman"/>
        </w:rPr>
        <w:t xml:space="preserve"> in the format in which </w:t>
      </w:r>
      <w:r w:rsidR="004C7C79">
        <w:rPr>
          <w:rFonts w:ascii="Times New Roman" w:hAnsi="Times New Roman"/>
        </w:rPr>
        <w:t xml:space="preserve">the site collects it. </w:t>
      </w:r>
      <w:r w:rsidRPr="005C080D">
        <w:rPr>
          <w:rFonts w:ascii="Times New Roman" w:hAnsi="Times New Roman"/>
        </w:rPr>
        <w:t>This administrative data allow</w:t>
      </w:r>
      <w:r w:rsidR="003E728D">
        <w:rPr>
          <w:rFonts w:ascii="Times New Roman" w:hAnsi="Times New Roman"/>
        </w:rPr>
        <w:t>s</w:t>
      </w:r>
      <w:r w:rsidRPr="005C080D">
        <w:rPr>
          <w:rFonts w:ascii="Times New Roman" w:hAnsi="Times New Roman"/>
        </w:rPr>
        <w:t xml:space="preserve"> us to track proximal outcomes such as attendance at required appointments, submission of completed paperwork, or referral to additional services.</w:t>
      </w:r>
      <w:r w:rsidR="00BD53DD">
        <w:rPr>
          <w:rFonts w:ascii="Times New Roman" w:hAnsi="Times New Roman"/>
        </w:rPr>
        <w:t xml:space="preserve"> This </w:t>
      </w:r>
      <w:r w:rsidR="003E728D">
        <w:rPr>
          <w:rFonts w:ascii="Times New Roman" w:hAnsi="Times New Roman"/>
        </w:rPr>
        <w:t xml:space="preserve">does </w:t>
      </w:r>
      <w:r w:rsidR="00BD53DD">
        <w:rPr>
          <w:rFonts w:ascii="Times New Roman" w:hAnsi="Times New Roman"/>
        </w:rPr>
        <w:t>not involve any burden on staff or clients.</w:t>
      </w:r>
    </w:p>
    <w:p w14:paraId="108F3465" w14:textId="77777777" w:rsidR="00BD53DD" w:rsidRPr="00BD53DD" w:rsidRDefault="00BD53DD" w:rsidP="00BD53DD">
      <w:pPr>
        <w:pStyle w:val="NormalSS"/>
        <w:spacing w:after="0" w:line="276" w:lineRule="auto"/>
        <w:ind w:left="780" w:firstLine="0"/>
        <w:jc w:val="left"/>
        <w:rPr>
          <w:rFonts w:ascii="Times New Roman" w:hAnsi="Times New Roman"/>
          <w:b/>
        </w:rPr>
      </w:pPr>
    </w:p>
    <w:p w14:paraId="2EC6F94B" w14:textId="1BEE0900" w:rsidR="00BD53DD" w:rsidRDefault="00BD53DD" w:rsidP="00BD53DD">
      <w:pPr>
        <w:pStyle w:val="NormalSS"/>
        <w:numPr>
          <w:ilvl w:val="0"/>
          <w:numId w:val="2"/>
        </w:numPr>
        <w:spacing w:after="0" w:line="276" w:lineRule="auto"/>
        <w:jc w:val="left"/>
        <w:rPr>
          <w:rFonts w:ascii="Times New Roman" w:hAnsi="Times New Roman"/>
          <w:b/>
        </w:rPr>
      </w:pPr>
      <w:r>
        <w:rPr>
          <w:rFonts w:ascii="Times New Roman" w:hAnsi="Times New Roman"/>
          <w:b/>
        </w:rPr>
        <w:t xml:space="preserve">Direct observation: </w:t>
      </w:r>
      <w:r>
        <w:rPr>
          <w:rFonts w:ascii="Times New Roman" w:hAnsi="Times New Roman"/>
        </w:rPr>
        <w:t xml:space="preserve">The research team </w:t>
      </w:r>
      <w:r w:rsidR="003E728D">
        <w:rPr>
          <w:rFonts w:ascii="Times New Roman" w:hAnsi="Times New Roman"/>
        </w:rPr>
        <w:t>acts as</w:t>
      </w:r>
      <w:r>
        <w:rPr>
          <w:rFonts w:ascii="Times New Roman" w:hAnsi="Times New Roman"/>
        </w:rPr>
        <w:t xml:space="preserve"> a “fly on the wall,” observing staff and client interactions. This observation </w:t>
      </w:r>
      <w:r w:rsidR="003E728D">
        <w:rPr>
          <w:rFonts w:ascii="Times New Roman" w:hAnsi="Times New Roman"/>
        </w:rPr>
        <w:t>does</w:t>
      </w:r>
      <w:r>
        <w:rPr>
          <w:rFonts w:ascii="Times New Roman" w:hAnsi="Times New Roman"/>
        </w:rPr>
        <w:t xml:space="preserve"> not involve any burden on staff or clients.</w:t>
      </w:r>
    </w:p>
    <w:p w14:paraId="22568651" w14:textId="77777777" w:rsidR="00BD53DD" w:rsidRDefault="00BD53DD" w:rsidP="00BD53DD">
      <w:pPr>
        <w:pStyle w:val="NormalSS"/>
        <w:spacing w:after="0" w:line="276" w:lineRule="auto"/>
        <w:ind w:left="780" w:firstLine="0"/>
        <w:jc w:val="left"/>
        <w:rPr>
          <w:rFonts w:ascii="Times New Roman" w:hAnsi="Times New Roman"/>
          <w:b/>
        </w:rPr>
      </w:pPr>
    </w:p>
    <w:p w14:paraId="6C6BA39F" w14:textId="1D7E9DE8" w:rsidR="00BD53DD" w:rsidRDefault="00BD53DD" w:rsidP="00BD53DD">
      <w:pPr>
        <w:pStyle w:val="NormalSS"/>
        <w:numPr>
          <w:ilvl w:val="0"/>
          <w:numId w:val="2"/>
        </w:numPr>
        <w:spacing w:after="0" w:line="276" w:lineRule="auto"/>
        <w:jc w:val="left"/>
        <w:rPr>
          <w:rFonts w:ascii="Times New Roman" w:hAnsi="Times New Roman"/>
          <w:b/>
        </w:rPr>
      </w:pPr>
      <w:r>
        <w:rPr>
          <w:rFonts w:ascii="Times New Roman" w:hAnsi="Times New Roman"/>
          <w:b/>
        </w:rPr>
        <w:t xml:space="preserve">Reviewing Case Files: </w:t>
      </w:r>
      <w:r>
        <w:rPr>
          <w:rFonts w:ascii="Times New Roman" w:hAnsi="Times New Roman"/>
        </w:rPr>
        <w:t xml:space="preserve">As part of interviewing staff, </w:t>
      </w:r>
      <w:r w:rsidR="004C7C79">
        <w:rPr>
          <w:rFonts w:ascii="Times New Roman" w:hAnsi="Times New Roman"/>
        </w:rPr>
        <w:t>the research team</w:t>
      </w:r>
      <w:r>
        <w:rPr>
          <w:rFonts w:ascii="Times New Roman" w:hAnsi="Times New Roman"/>
        </w:rPr>
        <w:t xml:space="preserve"> </w:t>
      </w:r>
      <w:r w:rsidR="003E728D">
        <w:rPr>
          <w:rFonts w:ascii="Times New Roman" w:hAnsi="Times New Roman"/>
        </w:rPr>
        <w:t xml:space="preserve">has asked and </w:t>
      </w:r>
      <w:r>
        <w:rPr>
          <w:rFonts w:ascii="Times New Roman" w:hAnsi="Times New Roman"/>
        </w:rPr>
        <w:t>may</w:t>
      </w:r>
      <w:r w:rsidR="003E728D">
        <w:rPr>
          <w:rFonts w:ascii="Times New Roman" w:hAnsi="Times New Roman"/>
        </w:rPr>
        <w:t xml:space="preserve"> continue to</w:t>
      </w:r>
      <w:r>
        <w:rPr>
          <w:rFonts w:ascii="Times New Roman" w:hAnsi="Times New Roman"/>
        </w:rPr>
        <w:t xml:space="preserve"> ask staff to share </w:t>
      </w:r>
      <w:r w:rsidR="00F42EA1">
        <w:rPr>
          <w:rFonts w:ascii="Times New Roman" w:hAnsi="Times New Roman"/>
        </w:rPr>
        <w:t xml:space="preserve">de-identified </w:t>
      </w:r>
      <w:r>
        <w:rPr>
          <w:rFonts w:ascii="Times New Roman" w:hAnsi="Times New Roman"/>
        </w:rPr>
        <w:t xml:space="preserve">case files of their clients </w:t>
      </w:r>
      <w:r w:rsidR="003E728D">
        <w:rPr>
          <w:rFonts w:ascii="Times New Roman" w:hAnsi="Times New Roman"/>
        </w:rPr>
        <w:t>to</w:t>
      </w:r>
      <w:r>
        <w:rPr>
          <w:rFonts w:ascii="Times New Roman" w:hAnsi="Times New Roman"/>
        </w:rPr>
        <w:t xml:space="preserve"> better understand the needs of the clients they serve, how they document interactions, and the type of follow-up they engage in.</w:t>
      </w:r>
      <w:r w:rsidR="00DA644A">
        <w:rPr>
          <w:rFonts w:ascii="Times New Roman" w:hAnsi="Times New Roman"/>
        </w:rPr>
        <w:t xml:space="preserve"> This type of data collection </w:t>
      </w:r>
      <w:r w:rsidR="003E728D">
        <w:rPr>
          <w:rFonts w:ascii="Times New Roman" w:hAnsi="Times New Roman"/>
        </w:rPr>
        <w:t>does</w:t>
      </w:r>
      <w:r w:rsidR="00DA644A">
        <w:rPr>
          <w:rFonts w:ascii="Times New Roman" w:hAnsi="Times New Roman"/>
        </w:rPr>
        <w:t xml:space="preserve"> not impose burden because the team </w:t>
      </w:r>
      <w:r w:rsidR="003E728D">
        <w:rPr>
          <w:rFonts w:ascii="Times New Roman" w:hAnsi="Times New Roman"/>
        </w:rPr>
        <w:t xml:space="preserve">does </w:t>
      </w:r>
      <w:r w:rsidR="00DA644A">
        <w:rPr>
          <w:rFonts w:ascii="Times New Roman" w:hAnsi="Times New Roman"/>
        </w:rPr>
        <w:t>not ask for the information to be provided in a specific format other than the one in which it already exists.</w:t>
      </w:r>
    </w:p>
    <w:p w14:paraId="7870EE90" w14:textId="77777777" w:rsidR="00BD53DD" w:rsidRDefault="00BD53DD" w:rsidP="00BD53DD">
      <w:pPr>
        <w:pStyle w:val="ListParagraph"/>
        <w:spacing w:after="0"/>
        <w:rPr>
          <w:b/>
        </w:rPr>
      </w:pPr>
    </w:p>
    <w:p w14:paraId="1F7D086B" w14:textId="0DCEF40B" w:rsidR="00BD53DD" w:rsidRDefault="00BD53DD" w:rsidP="00BD53DD">
      <w:pPr>
        <w:pStyle w:val="NormalSS"/>
        <w:numPr>
          <w:ilvl w:val="0"/>
          <w:numId w:val="2"/>
        </w:numPr>
        <w:spacing w:after="0" w:line="276" w:lineRule="auto"/>
        <w:jc w:val="left"/>
        <w:rPr>
          <w:rFonts w:ascii="Times New Roman" w:hAnsi="Times New Roman"/>
        </w:rPr>
      </w:pPr>
      <w:r>
        <w:rPr>
          <w:rFonts w:ascii="Times New Roman" w:hAnsi="Times New Roman"/>
          <w:b/>
        </w:rPr>
        <w:t>MIS data collected:</w:t>
      </w:r>
      <w:r>
        <w:rPr>
          <w:rFonts w:ascii="Times New Roman" w:hAnsi="Times New Roman"/>
        </w:rPr>
        <w:t xml:space="preserve"> If a site collects client data in an MIS system, </w:t>
      </w:r>
      <w:r w:rsidR="00DA644A">
        <w:rPr>
          <w:rFonts w:ascii="Times New Roman" w:hAnsi="Times New Roman"/>
        </w:rPr>
        <w:t>the research team</w:t>
      </w:r>
      <w:r>
        <w:rPr>
          <w:rFonts w:ascii="Times New Roman" w:hAnsi="Times New Roman"/>
        </w:rPr>
        <w:t xml:space="preserve"> </w:t>
      </w:r>
      <w:r w:rsidR="003E728D">
        <w:rPr>
          <w:rFonts w:ascii="Times New Roman" w:hAnsi="Times New Roman"/>
        </w:rPr>
        <w:t>requests</w:t>
      </w:r>
      <w:r>
        <w:rPr>
          <w:rFonts w:ascii="Times New Roman" w:hAnsi="Times New Roman"/>
        </w:rPr>
        <w:t xml:space="preserve"> to obtain, with no burden to the staff, </w:t>
      </w:r>
      <w:r w:rsidR="00ED55BC">
        <w:rPr>
          <w:rFonts w:ascii="Times New Roman" w:hAnsi="Times New Roman"/>
        </w:rPr>
        <w:t>administrative</w:t>
      </w:r>
      <w:r>
        <w:rPr>
          <w:rFonts w:ascii="Times New Roman" w:hAnsi="Times New Roman"/>
        </w:rPr>
        <w:t xml:space="preserve"> data at the time of enrollment into the study (i.e., random assignment data) and tracking data in order to see implementation measures for our sample.</w:t>
      </w:r>
      <w:r w:rsidR="004C7C79">
        <w:rPr>
          <w:rFonts w:ascii="Times New Roman" w:hAnsi="Times New Roman"/>
        </w:rPr>
        <w:t xml:space="preserve"> This data </w:t>
      </w:r>
      <w:r w:rsidR="003E728D">
        <w:rPr>
          <w:rFonts w:ascii="Times New Roman" w:hAnsi="Times New Roman"/>
        </w:rPr>
        <w:t>is</w:t>
      </w:r>
      <w:r w:rsidR="004C7C79">
        <w:rPr>
          <w:rFonts w:ascii="Times New Roman" w:hAnsi="Times New Roman"/>
        </w:rPr>
        <w:t xml:space="preserve"> requested in the existing format used by the site.</w:t>
      </w:r>
    </w:p>
    <w:p w14:paraId="1AB8BF53" w14:textId="77777777" w:rsidR="00BD53DD" w:rsidRDefault="00BD53DD" w:rsidP="00BD53DD">
      <w:pPr>
        <w:pStyle w:val="NormalSS"/>
        <w:spacing w:after="0" w:line="276" w:lineRule="auto"/>
        <w:ind w:left="780" w:firstLine="0"/>
        <w:jc w:val="left"/>
        <w:rPr>
          <w:rFonts w:ascii="Times New Roman" w:hAnsi="Times New Roman"/>
        </w:rPr>
      </w:pPr>
    </w:p>
    <w:p w14:paraId="3C908D72" w14:textId="6214F85D" w:rsidR="00BD53DD" w:rsidRDefault="00BD53DD" w:rsidP="00BD53DD">
      <w:pPr>
        <w:pStyle w:val="NormalSS"/>
        <w:numPr>
          <w:ilvl w:val="0"/>
          <w:numId w:val="2"/>
        </w:numPr>
        <w:spacing w:after="0" w:line="276" w:lineRule="auto"/>
        <w:jc w:val="left"/>
        <w:rPr>
          <w:rFonts w:ascii="Times New Roman" w:hAnsi="Times New Roman"/>
        </w:rPr>
      </w:pPr>
      <w:r>
        <w:rPr>
          <w:rFonts w:ascii="Times New Roman" w:hAnsi="Times New Roman"/>
          <w:b/>
        </w:rPr>
        <w:t xml:space="preserve">Collecting site documents: </w:t>
      </w:r>
      <w:r>
        <w:rPr>
          <w:rFonts w:ascii="Times New Roman" w:hAnsi="Times New Roman"/>
        </w:rPr>
        <w:t xml:space="preserve">If site staff send written materials to clients, the research team </w:t>
      </w:r>
      <w:r w:rsidR="003E728D">
        <w:rPr>
          <w:rFonts w:ascii="Times New Roman" w:hAnsi="Times New Roman"/>
        </w:rPr>
        <w:t xml:space="preserve">has requested and </w:t>
      </w:r>
      <w:r w:rsidR="00DA644A">
        <w:rPr>
          <w:rFonts w:ascii="Times New Roman" w:hAnsi="Times New Roman"/>
        </w:rPr>
        <w:t xml:space="preserve">may </w:t>
      </w:r>
      <w:r w:rsidR="003E728D">
        <w:rPr>
          <w:rFonts w:ascii="Times New Roman" w:hAnsi="Times New Roman"/>
        </w:rPr>
        <w:t xml:space="preserve">continue to </w:t>
      </w:r>
      <w:r w:rsidR="00DA644A">
        <w:rPr>
          <w:rFonts w:ascii="Times New Roman" w:hAnsi="Times New Roman"/>
        </w:rPr>
        <w:t>request</w:t>
      </w:r>
      <w:r>
        <w:rPr>
          <w:rFonts w:ascii="Times New Roman" w:hAnsi="Times New Roman"/>
        </w:rPr>
        <w:t xml:space="preserve"> copies of these materials, at no additional burden to the staff.</w:t>
      </w:r>
    </w:p>
    <w:p w14:paraId="0A3DFAFA" w14:textId="77777777" w:rsidR="001035F2" w:rsidRDefault="001035F2" w:rsidP="008E27A3">
      <w:pPr>
        <w:spacing w:after="0" w:line="240" w:lineRule="auto"/>
        <w:rPr>
          <w:rFonts w:cs="Times New Roman"/>
          <w:szCs w:val="24"/>
        </w:rPr>
      </w:pPr>
    </w:p>
    <w:p w14:paraId="401212AE" w14:textId="77777777" w:rsidR="007C41E0" w:rsidRDefault="007C41E0" w:rsidP="006056F2">
      <w:pPr>
        <w:spacing w:after="0"/>
        <w:rPr>
          <w:rFonts w:cs="Times New Roman"/>
          <w:b/>
          <w:i/>
        </w:rPr>
      </w:pPr>
    </w:p>
    <w:p w14:paraId="06D1EDB0" w14:textId="77777777" w:rsidR="001035F2" w:rsidRDefault="001035F2" w:rsidP="001035F2">
      <w:pPr>
        <w:rPr>
          <w:rFonts w:cs="Times New Roman"/>
          <w:b/>
          <w:i/>
        </w:rPr>
      </w:pPr>
      <w:r w:rsidRPr="00BE31F8">
        <w:rPr>
          <w:rFonts w:cs="Times New Roman"/>
          <w:b/>
          <w:i/>
        </w:rPr>
        <w:t>Analysis Plan</w:t>
      </w:r>
      <w:r w:rsidR="0060382D">
        <w:rPr>
          <w:rFonts w:cs="Times New Roman"/>
          <w:b/>
          <w:i/>
        </w:rPr>
        <w:t xml:space="preserve"> – Phase 4</w:t>
      </w:r>
    </w:p>
    <w:p w14:paraId="3E983A80" w14:textId="356B7F30" w:rsidR="001035F2" w:rsidRPr="00EC78F3" w:rsidRDefault="001035F2" w:rsidP="001035F2">
      <w:pPr>
        <w:rPr>
          <w:rFonts w:cs="Times New Roman"/>
          <w:b/>
          <w:i/>
        </w:rPr>
      </w:pPr>
      <w:r w:rsidRPr="00EC78F3">
        <w:rPr>
          <w:rFonts w:cs="Times New Roman"/>
          <w:u w:val="single"/>
        </w:rPr>
        <w:t>Impact Analysis</w:t>
      </w:r>
      <w:r w:rsidRPr="00EC78F3">
        <w:rPr>
          <w:rFonts w:cs="Times New Roman"/>
        </w:rPr>
        <w:t xml:space="preserve">: </w:t>
      </w:r>
      <w:r>
        <w:rPr>
          <w:rFonts w:cs="Times New Roman"/>
        </w:rPr>
        <w:t>The collection of the administrative data from each site allow</w:t>
      </w:r>
      <w:r w:rsidR="003E728D">
        <w:rPr>
          <w:rFonts w:cs="Times New Roman"/>
        </w:rPr>
        <w:t>s</w:t>
      </w:r>
      <w:r>
        <w:rPr>
          <w:rFonts w:cs="Times New Roman"/>
        </w:rPr>
        <w:t xml:space="preserve"> us to conduct impact analysis of each intervention. </w:t>
      </w:r>
      <w:r w:rsidRPr="00EC78F3">
        <w:rPr>
          <w:rFonts w:cs="Times New Roman"/>
        </w:rPr>
        <w:t>We</w:t>
      </w:r>
      <w:r w:rsidR="003E728D">
        <w:rPr>
          <w:rFonts w:cs="Times New Roman"/>
        </w:rPr>
        <w:t xml:space="preserve"> have used and will continue</w:t>
      </w:r>
      <w:r w:rsidRPr="00EC78F3">
        <w:rPr>
          <w:rFonts w:cs="Times New Roman"/>
        </w:rPr>
        <w:t xml:space="preserve"> to use a factorial de</w:t>
      </w:r>
      <w:r>
        <w:rPr>
          <w:rFonts w:cs="Times New Roman"/>
        </w:rPr>
        <w:t>sign for our impact evaluation.</w:t>
      </w:r>
      <w:r>
        <w:rPr>
          <w:rFonts w:cs="Times New Roman"/>
          <w:b/>
          <w:i/>
        </w:rPr>
        <w:t xml:space="preserve"> </w:t>
      </w:r>
      <w:r w:rsidRPr="00EC78F3">
        <w:rPr>
          <w:rFonts w:cs="Times New Roman"/>
          <w:szCs w:val="24"/>
        </w:rPr>
        <w:t>The sample sizes required for impact studies are based on the assumptions that most tests use either a standard two group design or</w:t>
      </w:r>
      <w:r>
        <w:rPr>
          <w:rFonts w:cs="Times New Roman"/>
          <w:szCs w:val="24"/>
        </w:rPr>
        <w:t xml:space="preserve"> a 2x2 factorial design</w:t>
      </w:r>
      <w:r w:rsidRPr="00EC78F3">
        <w:rPr>
          <w:rFonts w:cs="Times New Roman"/>
          <w:szCs w:val="24"/>
        </w:rPr>
        <w:t xml:space="preserve"> and the main outcome will be binary (i.e., percentage). This design provides an optimal balance between the complexity of the hypotheses that can be tested and the interpretability of the results. The standard statistical tests in this design are for main effects and an interaction. Main effects test the impact of one variable averaging across the levels of the other</w:t>
      </w:r>
      <w:r w:rsidRPr="00EC78F3">
        <w:rPr>
          <w:rFonts w:cs="Times New Roman"/>
          <w:i/>
          <w:szCs w:val="24"/>
        </w:rPr>
        <w:t xml:space="preserve">. </w:t>
      </w:r>
      <w:r w:rsidRPr="00EC78F3">
        <w:rPr>
          <w:rFonts w:cs="Times New Roman"/>
          <w:szCs w:val="24"/>
        </w:rPr>
        <w:t xml:space="preserve">The power for these tests is determined by the overall sample size of the study. Since we do not </w:t>
      </w:r>
      <w:r>
        <w:rPr>
          <w:rFonts w:cs="Times New Roman"/>
          <w:szCs w:val="24"/>
        </w:rPr>
        <w:t xml:space="preserve">yet </w:t>
      </w:r>
      <w:r w:rsidRPr="00EC78F3">
        <w:rPr>
          <w:rFonts w:cs="Times New Roman"/>
          <w:szCs w:val="24"/>
        </w:rPr>
        <w:t xml:space="preserve">know </w:t>
      </w:r>
      <w:r>
        <w:rPr>
          <w:rFonts w:cs="Times New Roman"/>
          <w:szCs w:val="24"/>
        </w:rPr>
        <w:t>the full set of</w:t>
      </w:r>
      <w:r w:rsidRPr="00EC78F3">
        <w:rPr>
          <w:rFonts w:cs="Times New Roman"/>
          <w:szCs w:val="24"/>
        </w:rPr>
        <w:t xml:space="preserve"> </w:t>
      </w:r>
      <w:r>
        <w:rPr>
          <w:rFonts w:cs="Times New Roman"/>
          <w:szCs w:val="24"/>
        </w:rPr>
        <w:t xml:space="preserve">interventions that </w:t>
      </w:r>
      <w:r w:rsidRPr="00EC78F3">
        <w:rPr>
          <w:rFonts w:cs="Times New Roman"/>
          <w:szCs w:val="24"/>
        </w:rPr>
        <w:t xml:space="preserve">will be </w:t>
      </w:r>
      <w:r>
        <w:rPr>
          <w:rFonts w:cs="Times New Roman"/>
          <w:szCs w:val="24"/>
        </w:rPr>
        <w:t>undertaken</w:t>
      </w:r>
      <w:r w:rsidRPr="00EC78F3">
        <w:rPr>
          <w:rFonts w:cs="Times New Roman"/>
          <w:szCs w:val="24"/>
        </w:rPr>
        <w:t>, we provide power calculations that show the minimum sample size required to detect statistically significant true impacts with 80 percent likelihood.</w:t>
      </w:r>
      <w:r w:rsidRPr="00EC78F3">
        <w:rPr>
          <w:rStyle w:val="FootnoteReference"/>
          <w:rFonts w:cs="Times New Roman"/>
          <w:szCs w:val="24"/>
        </w:rPr>
        <w:footnoteReference w:id="3"/>
      </w:r>
      <w:r w:rsidRPr="00EC78F3">
        <w:rPr>
          <w:rFonts w:cs="Times New Roman"/>
          <w:szCs w:val="24"/>
        </w:rPr>
        <w:t xml:space="preserve"> </w:t>
      </w:r>
      <w:r w:rsidR="001B303D">
        <w:rPr>
          <w:rFonts w:cs="Times New Roman"/>
          <w:szCs w:val="24"/>
        </w:rPr>
        <w:t>Detailed plans for each study site will be included in Phase 4 submissions.</w:t>
      </w:r>
    </w:p>
    <w:p w14:paraId="710917DD" w14:textId="77777777" w:rsidR="001035F2" w:rsidRPr="00EC78F3" w:rsidRDefault="001035F2" w:rsidP="007566A6">
      <w:pPr>
        <w:keepNext/>
        <w:widowControl w:val="0"/>
        <w:autoSpaceDE w:val="0"/>
        <w:autoSpaceDN w:val="0"/>
        <w:adjustRightInd w:val="0"/>
        <w:spacing w:after="0"/>
        <w:rPr>
          <w:rFonts w:cs="Times New Roman"/>
          <w:b/>
          <w:szCs w:val="24"/>
        </w:rPr>
      </w:pPr>
      <w:r>
        <w:rPr>
          <w:rFonts w:cs="Times New Roman"/>
          <w:b/>
          <w:szCs w:val="24"/>
        </w:rPr>
        <w:t>Table 1</w:t>
      </w:r>
      <w:r w:rsidRPr="00EC78F3">
        <w:rPr>
          <w:rFonts w:cs="Times New Roman"/>
          <w:b/>
          <w:szCs w:val="24"/>
        </w:rPr>
        <w:t>: Sample Size Estimates for Tests of Main Effects in 2x2 Factorial Designs and Simple Two-Group Design RCT</w:t>
      </w:r>
    </w:p>
    <w:p w14:paraId="04E5718D" w14:textId="77777777" w:rsidR="001035F2" w:rsidRPr="00EC78F3" w:rsidRDefault="001035F2" w:rsidP="001035F2">
      <w:pPr>
        <w:widowControl w:val="0"/>
        <w:autoSpaceDE w:val="0"/>
        <w:autoSpaceDN w:val="0"/>
        <w:adjustRightInd w:val="0"/>
        <w:spacing w:after="0"/>
        <w:rPr>
          <w:rFonts w:cs="Times New Roman"/>
          <w:szCs w:val="24"/>
        </w:rPr>
      </w:pPr>
      <w:r w:rsidRPr="00EC78F3">
        <w:rPr>
          <w:rFonts w:cs="Times New Roman"/>
          <w:noProof/>
        </w:rPr>
        <w:drawing>
          <wp:inline distT="0" distB="0" distL="0" distR="0" wp14:anchorId="43D50E78" wp14:editId="5F98E06B">
            <wp:extent cx="4368137" cy="2057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0872" cy="2058688"/>
                    </a:xfrm>
                    <a:prstGeom prst="rect">
                      <a:avLst/>
                    </a:prstGeom>
                    <a:noFill/>
                    <a:ln>
                      <a:noFill/>
                    </a:ln>
                  </pic:spPr>
                </pic:pic>
              </a:graphicData>
            </a:graphic>
          </wp:inline>
        </w:drawing>
      </w:r>
    </w:p>
    <w:p w14:paraId="7141CFDD" w14:textId="77777777" w:rsidR="001035F2" w:rsidRPr="00EC78F3" w:rsidRDefault="001035F2" w:rsidP="001035F2">
      <w:pPr>
        <w:widowControl w:val="0"/>
        <w:autoSpaceDE w:val="0"/>
        <w:autoSpaceDN w:val="0"/>
        <w:adjustRightInd w:val="0"/>
        <w:spacing w:after="0"/>
        <w:rPr>
          <w:rFonts w:cs="Times New Roman"/>
          <w:szCs w:val="24"/>
        </w:rPr>
      </w:pPr>
      <w:r>
        <w:rPr>
          <w:rFonts w:cs="Times New Roman"/>
          <w:noProof/>
        </w:rPr>
        <mc:AlternateContent>
          <mc:Choice Requires="wps">
            <w:drawing>
              <wp:anchor distT="0" distB="0" distL="114300" distR="114300" simplePos="0" relativeHeight="251657216" behindDoc="0" locked="0" layoutInCell="1" allowOverlap="1" wp14:anchorId="06E64603" wp14:editId="4B188C19">
                <wp:simplePos x="0" y="0"/>
                <wp:positionH relativeFrom="column">
                  <wp:posOffset>121920</wp:posOffset>
                </wp:positionH>
                <wp:positionV relativeFrom="paragraph">
                  <wp:posOffset>-3810</wp:posOffset>
                </wp:positionV>
                <wp:extent cx="5705475" cy="701040"/>
                <wp:effectExtent l="0" t="0" r="9525" b="3810"/>
                <wp:wrapNone/>
                <wp:docPr id="1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70104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CA439DB" w14:textId="77777777" w:rsidR="001035F2" w:rsidRPr="00EC78F3" w:rsidRDefault="001035F2" w:rsidP="001035F2">
                            <w:pPr>
                              <w:pStyle w:val="NormalWeb"/>
                              <w:spacing w:before="0" w:beforeAutospacing="0" w:after="0" w:afterAutospacing="0"/>
                              <w:rPr>
                                <w:sz w:val="20"/>
                                <w:szCs w:val="20"/>
                              </w:rPr>
                            </w:pPr>
                            <w:r w:rsidRPr="00EC78F3">
                              <w:rPr>
                                <w:b/>
                                <w:bCs/>
                                <w:color w:val="000000" w:themeColor="dark1"/>
                                <w:sz w:val="20"/>
                                <w:szCs w:val="20"/>
                              </w:rPr>
                              <w:t>Notes</w:t>
                            </w:r>
                            <w:r w:rsidRPr="00EC78F3">
                              <w:rPr>
                                <w:color w:val="000000" w:themeColor="dark1"/>
                                <w:sz w:val="20"/>
                                <w:szCs w:val="20"/>
                              </w:rPr>
                              <w:t xml:space="preserve">: Calculations assume a two-tailed test, significance level of 10 percent, 80 percent power and equal allocation of participants to levels. Estimates are based on a binary outcome (such as using a service); minimum detectable effects are percentage point increase from baseline. Continuous outcomes require additional assumptions.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6pt;margin-top:-.3pt;width:449.2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" fillcolor="white [3201]" stroked="f">
                <v:path arrowok="t"/>
                <v:textbox>
                  <w:txbxContent>
                    <w:p w14:paraId="1CA439DB" w14:textId="77777777" w:rsidR="001035F2" w:rsidRPr="00EC78F3" w:rsidRDefault="001035F2" w:rsidP="001035F2">
                      <w:pPr>
                        <w:pStyle w:val="NormalWeb"/>
                        <w:spacing w:before="0" w:beforeAutospacing="0" w:after="0" w:afterAutospacing="0"/>
                        <w:rPr>
                          <w:sz w:val="20"/>
                          <w:szCs w:val="20"/>
                        </w:rPr>
                      </w:pPr>
                      <w:r w:rsidRPr="00EC78F3">
                        <w:rPr>
                          <w:b/>
                          <w:bCs/>
                          <w:color w:val="000000" w:themeColor="dark1"/>
                          <w:sz w:val="20"/>
                          <w:szCs w:val="20"/>
                        </w:rPr>
                        <w:t>Notes</w:t>
                      </w:r>
                      <w:r w:rsidRPr="00EC78F3">
                        <w:rPr>
                          <w:color w:val="000000" w:themeColor="dark1"/>
                          <w:sz w:val="20"/>
                          <w:szCs w:val="20"/>
                        </w:rPr>
                        <w:t xml:space="preserve">: Calculations assume a two-tailed test, significance level of 10 percent, 80 percent power and equal allocation of participants to levels. Estimates are based on a binary outcome (such as using a service); minimum detectable effects are percentage point increase from baseline. Continuous outcomes require additional assumptions. </w:t>
                      </w:r>
                    </w:p>
                  </w:txbxContent>
                </v:textbox>
              </v:shape>
            </w:pict>
          </mc:Fallback>
        </mc:AlternateContent>
      </w:r>
    </w:p>
    <w:p w14:paraId="04D0407C" w14:textId="77777777" w:rsidR="001035F2" w:rsidRDefault="001035F2" w:rsidP="001035F2">
      <w:pPr>
        <w:rPr>
          <w:rFonts w:cs="Times New Roman"/>
        </w:rPr>
      </w:pPr>
    </w:p>
    <w:p w14:paraId="44467770" w14:textId="77777777" w:rsidR="001035F2" w:rsidRDefault="001035F2" w:rsidP="001035F2">
      <w:pPr>
        <w:rPr>
          <w:rFonts w:cs="Times New Roman"/>
        </w:rPr>
      </w:pPr>
    </w:p>
    <w:p w14:paraId="5E60EBD6" w14:textId="2FB98F87" w:rsidR="001035F2" w:rsidRDefault="001035F2" w:rsidP="001035F2">
      <w:pPr>
        <w:rPr>
          <w:rFonts w:cs="Times New Roman"/>
        </w:rPr>
      </w:pPr>
      <w:r w:rsidRPr="00EC78F3">
        <w:rPr>
          <w:rFonts w:cs="Times New Roman"/>
          <w:u w:val="single"/>
        </w:rPr>
        <w:t>Implementation Analysis</w:t>
      </w:r>
      <w:r>
        <w:rPr>
          <w:rFonts w:cs="Times New Roman"/>
        </w:rPr>
        <w:t>: The collection of qualitative data from each site allow</w:t>
      </w:r>
      <w:r w:rsidR="003E728D">
        <w:rPr>
          <w:rFonts w:cs="Times New Roman"/>
        </w:rPr>
        <w:t>s</w:t>
      </w:r>
      <w:r>
        <w:rPr>
          <w:rFonts w:cs="Times New Roman"/>
        </w:rPr>
        <w:t xml:space="preserve"> us to conduct implementation analysis of each intervention. </w:t>
      </w:r>
      <w:r w:rsidRPr="00EC78F3">
        <w:rPr>
          <w:rFonts w:cs="Times New Roman"/>
        </w:rPr>
        <w:t>The implementation study</w:t>
      </w:r>
      <w:r w:rsidR="003E728D">
        <w:rPr>
          <w:rFonts w:cs="Times New Roman"/>
        </w:rPr>
        <w:t xml:space="preserve"> has described and will continue to</w:t>
      </w:r>
      <w:r w:rsidRPr="00EC78F3">
        <w:rPr>
          <w:rFonts w:cs="Times New Roman"/>
        </w:rPr>
        <w:t xml:space="preserve"> describe and document each site’s intervention, how it operate</w:t>
      </w:r>
      <w:r w:rsidR="003E728D">
        <w:rPr>
          <w:rFonts w:cs="Times New Roman"/>
        </w:rPr>
        <w:t>s</w:t>
      </w:r>
      <w:r w:rsidRPr="00EC78F3">
        <w:rPr>
          <w:rFonts w:cs="Times New Roman"/>
        </w:rPr>
        <w:t xml:space="preserve">,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t>
      </w:r>
      <w:r w:rsidR="003E728D">
        <w:rPr>
          <w:rFonts w:cs="Times New Roman"/>
        </w:rPr>
        <w:t>is</w:t>
      </w:r>
      <w:r w:rsidRPr="00EC78F3">
        <w:rPr>
          <w:rFonts w:cs="Times New Roman"/>
        </w:rPr>
        <w:t xml:space="preserve"> important for interpreting the findings of the impact study. The implementation study will result in lessons for the field about how the interventions operate, the challenges they face, and the participants’ (clients and/or staff) perspectives on whether the behavioral interventions changed their behavior. Although specific components of the implementation study depend upon the sites’ </w:t>
      </w:r>
      <w:r>
        <w:rPr>
          <w:rFonts w:cs="Times New Roman"/>
        </w:rPr>
        <w:t xml:space="preserve">specific </w:t>
      </w:r>
      <w:r w:rsidRPr="00EC78F3">
        <w:rPr>
          <w:rFonts w:cs="Times New Roman"/>
        </w:rPr>
        <w:t>behavioral interventions, our plan relies on a mixed-methods methodology, employing both qualitative and quantitative approaches.</w:t>
      </w:r>
    </w:p>
    <w:p w14:paraId="24B127FD" w14:textId="272F5A91" w:rsidR="001035F2" w:rsidRDefault="001035F2" w:rsidP="007C41E0">
      <w:pPr>
        <w:rPr>
          <w:rFonts w:cs="Times New Roman"/>
        </w:rPr>
      </w:pPr>
      <w:r w:rsidRPr="00EC78F3">
        <w:rPr>
          <w:rFonts w:cs="Times New Roman"/>
          <w:u w:val="single"/>
        </w:rPr>
        <w:t>Cost Analysis</w:t>
      </w:r>
      <w:r>
        <w:rPr>
          <w:rFonts w:cs="Times New Roman"/>
        </w:rPr>
        <w:t xml:space="preserve">: The </w:t>
      </w:r>
      <w:r w:rsidRPr="00EC78F3">
        <w:rPr>
          <w:rFonts w:cs="Times New Roman"/>
        </w:rPr>
        <w:t>BIAS-NG project will include a cost analysis for all sites. While we could conduct a benefit-cost analysis, it would</w:t>
      </w:r>
      <w:r w:rsidR="003E728D">
        <w:rPr>
          <w:rFonts w:cs="Times New Roman"/>
        </w:rPr>
        <w:t xml:space="preserve"> </w:t>
      </w:r>
      <w:r w:rsidRPr="00EC78F3">
        <w:rPr>
          <w:rFonts w:cs="Times New Roman"/>
        </w:rPr>
        <w:t>be important to have long-term follow-up for key outcome measures</w:t>
      </w:r>
      <w:r>
        <w:rPr>
          <w:rFonts w:cs="Times New Roman"/>
        </w:rPr>
        <w:t xml:space="preserve"> to monetize benefits</w:t>
      </w:r>
      <w:r w:rsidRPr="00EC78F3">
        <w:rPr>
          <w:rFonts w:cs="Times New Roman"/>
        </w:rPr>
        <w:t xml:space="preserve">. Thus, we </w:t>
      </w:r>
      <w:r w:rsidR="0055326B">
        <w:rPr>
          <w:rFonts w:cs="Times New Roman"/>
        </w:rPr>
        <w:t xml:space="preserve">will </w:t>
      </w:r>
      <w:r w:rsidRPr="00EC78F3">
        <w:rPr>
          <w:rFonts w:cs="Times New Roman"/>
        </w:rPr>
        <w:t>determine whether such an analysis is possible on a site-by-site basis. The cost analysis will estimate the per person cost of the intervention(s) over and above what is spent on the control group.</w:t>
      </w:r>
    </w:p>
    <w:p w14:paraId="52C4006E" w14:textId="77777777" w:rsidR="007C41E0" w:rsidRPr="007C41E0" w:rsidRDefault="007C41E0" w:rsidP="007C41E0">
      <w:pPr>
        <w:spacing w:after="0"/>
        <w:rPr>
          <w:rFonts w:cs="Times New Roman"/>
        </w:rPr>
      </w:pPr>
    </w:p>
    <w:p w14:paraId="3B57DDF7" w14:textId="7E75353A" w:rsidR="0007298A" w:rsidRPr="008C5475" w:rsidRDefault="007C41E0" w:rsidP="007C41E0">
      <w:pPr>
        <w:pStyle w:val="Heading2"/>
        <w:spacing w:before="0"/>
        <w:jc w:val="left"/>
      </w:pPr>
      <w:bookmarkStart w:id="3" w:name="_Toc328472333"/>
      <w:bookmarkStart w:id="4" w:name="_Toc11078204"/>
      <w:r>
        <w:t>B</w:t>
      </w:r>
      <w:r w:rsidR="0007298A" w:rsidRPr="008C5475">
        <w:t>2. Procedures for the Collection of Information</w:t>
      </w:r>
      <w:bookmarkEnd w:id="3"/>
      <w:bookmarkEnd w:id="4"/>
    </w:p>
    <w:p w14:paraId="34EB2A64" w14:textId="1B7CCDAC" w:rsidR="00606178" w:rsidRPr="00D757F9" w:rsidRDefault="00394496" w:rsidP="008E27A3">
      <w:pPr>
        <w:suppressAutoHyphens/>
        <w:spacing w:after="0" w:line="240" w:lineRule="auto"/>
        <w:rPr>
          <w:szCs w:val="24"/>
        </w:rPr>
      </w:pPr>
      <w:r w:rsidRPr="00D757F9">
        <w:rPr>
          <w:szCs w:val="24"/>
        </w:rPr>
        <w:t>To gather information and inform intervention design, s</w:t>
      </w:r>
      <w:r w:rsidR="00606178" w:rsidRPr="00D757F9">
        <w:rPr>
          <w:szCs w:val="24"/>
        </w:rPr>
        <w:t>tudy teams composed of at least two members make the telephone and in-person meeting contacts. These staff members are experienced in the process of gathering information for purposes of designing demonstration and evaluation projects.</w:t>
      </w:r>
    </w:p>
    <w:p w14:paraId="3CC61A1E" w14:textId="77777777" w:rsidR="00606178" w:rsidRPr="00D757F9" w:rsidRDefault="00606178" w:rsidP="008E27A3">
      <w:pPr>
        <w:suppressAutoHyphens/>
        <w:spacing w:after="0" w:line="240" w:lineRule="auto"/>
        <w:rPr>
          <w:szCs w:val="24"/>
        </w:rPr>
      </w:pPr>
    </w:p>
    <w:p w14:paraId="16E4B7EF" w14:textId="32378F4D" w:rsidR="00AA517C" w:rsidRPr="00D757F9" w:rsidRDefault="00606178" w:rsidP="008E27A3">
      <w:pPr>
        <w:spacing w:after="240" w:line="240" w:lineRule="auto"/>
        <w:jc w:val="both"/>
        <w:rPr>
          <w:szCs w:val="24"/>
        </w:rPr>
      </w:pPr>
      <w:r w:rsidRPr="00D757F9">
        <w:rPr>
          <w:szCs w:val="24"/>
        </w:rPr>
        <w:t>The study team send</w:t>
      </w:r>
      <w:r w:rsidR="003E728D">
        <w:rPr>
          <w:szCs w:val="24"/>
        </w:rPr>
        <w:t>s</w:t>
      </w:r>
      <w:r w:rsidRPr="00D757F9">
        <w:rPr>
          <w:szCs w:val="24"/>
        </w:rPr>
        <w:t xml:space="preserve"> each agency</w:t>
      </w:r>
      <w:r w:rsidR="006E48C9">
        <w:rPr>
          <w:szCs w:val="24"/>
        </w:rPr>
        <w:t>’s</w:t>
      </w:r>
      <w:r w:rsidRPr="00D757F9">
        <w:rPr>
          <w:szCs w:val="24"/>
        </w:rPr>
        <w:t xml:space="preserve"> program director </w:t>
      </w:r>
      <w:r w:rsidR="001371A1" w:rsidRPr="008C5475">
        <w:rPr>
          <w:szCs w:val="24"/>
        </w:rPr>
        <w:t xml:space="preserve">information about the study and </w:t>
      </w:r>
      <w:r w:rsidR="00E92430">
        <w:rPr>
          <w:szCs w:val="24"/>
        </w:rPr>
        <w:t>offer</w:t>
      </w:r>
      <w:r w:rsidR="003E728D">
        <w:rPr>
          <w:szCs w:val="24"/>
        </w:rPr>
        <w:t>s</w:t>
      </w:r>
      <w:r w:rsidR="00E92430">
        <w:rPr>
          <w:szCs w:val="24"/>
        </w:rPr>
        <w:t xml:space="preserve"> </w:t>
      </w:r>
      <w:r w:rsidR="001371A1" w:rsidRPr="008C5475">
        <w:rPr>
          <w:szCs w:val="24"/>
        </w:rPr>
        <w:t>the opportunity to speak with members of the study team</w:t>
      </w:r>
      <w:r w:rsidRPr="00D757F9">
        <w:rPr>
          <w:szCs w:val="24"/>
        </w:rPr>
        <w:t xml:space="preserve">. </w:t>
      </w:r>
      <w:r w:rsidR="00D5415F" w:rsidRPr="008C5475">
        <w:rPr>
          <w:szCs w:val="24"/>
        </w:rPr>
        <w:t>An</w:t>
      </w:r>
      <w:r w:rsidR="001371A1" w:rsidRPr="008C5475">
        <w:rPr>
          <w:szCs w:val="24"/>
        </w:rPr>
        <w:t xml:space="preserve"> overview</w:t>
      </w:r>
      <w:r w:rsidRPr="00D757F9">
        <w:rPr>
          <w:szCs w:val="24"/>
        </w:rPr>
        <w:t xml:space="preserve"> email </w:t>
      </w:r>
      <w:r w:rsidR="003E728D">
        <w:rPr>
          <w:szCs w:val="24"/>
        </w:rPr>
        <w:t>is</w:t>
      </w:r>
      <w:r w:rsidRPr="00D757F9">
        <w:rPr>
          <w:szCs w:val="24"/>
        </w:rPr>
        <w:t xml:space="preserve"> addressed to program directors</w:t>
      </w:r>
      <w:r w:rsidR="001371A1" w:rsidRPr="008C5475">
        <w:rPr>
          <w:szCs w:val="24"/>
        </w:rPr>
        <w:t>, when relevant</w:t>
      </w:r>
      <w:r w:rsidR="001C0AB7">
        <w:rPr>
          <w:szCs w:val="24"/>
        </w:rPr>
        <w:t>,</w:t>
      </w:r>
      <w:r w:rsidR="001371A1" w:rsidRPr="008C5475">
        <w:rPr>
          <w:szCs w:val="24"/>
        </w:rPr>
        <w:t xml:space="preserve"> and</w:t>
      </w:r>
      <w:r w:rsidRPr="00D757F9">
        <w:rPr>
          <w:szCs w:val="24"/>
        </w:rPr>
        <w:t xml:space="preserve"> introduce</w:t>
      </w:r>
      <w:r w:rsidR="003E728D">
        <w:rPr>
          <w:szCs w:val="24"/>
        </w:rPr>
        <w:t>s</w:t>
      </w:r>
      <w:r w:rsidRPr="00D757F9">
        <w:rPr>
          <w:szCs w:val="24"/>
        </w:rPr>
        <w:t xml:space="preserve"> the study</w:t>
      </w:r>
      <w:r w:rsidR="001C0AB7">
        <w:rPr>
          <w:szCs w:val="24"/>
        </w:rPr>
        <w:t>,</w:t>
      </w:r>
      <w:r w:rsidRPr="00D757F9">
        <w:rPr>
          <w:szCs w:val="24"/>
        </w:rPr>
        <w:t xml:space="preserve"> its goals,</w:t>
      </w:r>
      <w:r w:rsidR="001371A1" w:rsidRPr="008C5475">
        <w:rPr>
          <w:szCs w:val="24"/>
        </w:rPr>
        <w:t xml:space="preserve"> and</w:t>
      </w:r>
      <w:r w:rsidRPr="00D757F9">
        <w:rPr>
          <w:szCs w:val="24"/>
        </w:rPr>
        <w:t xml:space="preserve"> the team </w:t>
      </w:r>
      <w:r w:rsidR="0005096B" w:rsidRPr="008C5475">
        <w:rPr>
          <w:szCs w:val="24"/>
        </w:rPr>
        <w:t xml:space="preserve">executing </w:t>
      </w:r>
      <w:r w:rsidRPr="00D757F9">
        <w:rPr>
          <w:szCs w:val="24"/>
        </w:rPr>
        <w:t xml:space="preserve">the </w:t>
      </w:r>
      <w:r w:rsidR="0005096B" w:rsidRPr="008C5475">
        <w:rPr>
          <w:szCs w:val="24"/>
        </w:rPr>
        <w:t xml:space="preserve">proposed </w:t>
      </w:r>
      <w:r w:rsidRPr="00D757F9">
        <w:rPr>
          <w:szCs w:val="24"/>
        </w:rPr>
        <w:t xml:space="preserve">study on </w:t>
      </w:r>
      <w:r w:rsidR="001C0AB7">
        <w:rPr>
          <w:szCs w:val="24"/>
        </w:rPr>
        <w:t>ACF</w:t>
      </w:r>
      <w:r w:rsidR="001C0AB7" w:rsidRPr="00D757F9">
        <w:rPr>
          <w:szCs w:val="24"/>
        </w:rPr>
        <w:t>’</w:t>
      </w:r>
      <w:r w:rsidR="001C0AB7">
        <w:rPr>
          <w:szCs w:val="24"/>
        </w:rPr>
        <w:t>s</w:t>
      </w:r>
      <w:r w:rsidR="001C0AB7" w:rsidRPr="00D757F9">
        <w:rPr>
          <w:szCs w:val="24"/>
        </w:rPr>
        <w:t xml:space="preserve"> </w:t>
      </w:r>
      <w:r w:rsidRPr="00D757F9">
        <w:rPr>
          <w:szCs w:val="24"/>
        </w:rPr>
        <w:t xml:space="preserve">behalf. </w:t>
      </w:r>
      <w:r w:rsidR="00017A11" w:rsidRPr="008C5475">
        <w:rPr>
          <w:szCs w:val="24"/>
        </w:rPr>
        <w:t xml:space="preserve">Tailored emails </w:t>
      </w:r>
      <w:r w:rsidR="003E728D">
        <w:rPr>
          <w:szCs w:val="24"/>
        </w:rPr>
        <w:t xml:space="preserve">may </w:t>
      </w:r>
      <w:r w:rsidR="00017A11" w:rsidRPr="008C5475">
        <w:rPr>
          <w:szCs w:val="24"/>
        </w:rPr>
        <w:t xml:space="preserve">be included within individual generic ICRs. </w:t>
      </w:r>
      <w:r w:rsidRPr="00D757F9">
        <w:rPr>
          <w:szCs w:val="24"/>
        </w:rPr>
        <w:t xml:space="preserve">Attached to the email will be the project description. The study team </w:t>
      </w:r>
      <w:r w:rsidR="003E728D">
        <w:rPr>
          <w:szCs w:val="24"/>
        </w:rPr>
        <w:t>is</w:t>
      </w:r>
      <w:r w:rsidR="00D5415F" w:rsidRPr="008C5475">
        <w:rPr>
          <w:szCs w:val="24"/>
        </w:rPr>
        <w:t xml:space="preserve"> available to </w:t>
      </w:r>
      <w:r w:rsidRPr="00D757F9">
        <w:rPr>
          <w:szCs w:val="24"/>
        </w:rPr>
        <w:t>answer any questions about the study</w:t>
      </w:r>
      <w:r w:rsidR="00D5415F" w:rsidRPr="008C5475">
        <w:rPr>
          <w:szCs w:val="24"/>
        </w:rPr>
        <w:t>. When relevant for identifying a potential match between the study and a site, we</w:t>
      </w:r>
      <w:r w:rsidRPr="00D757F9">
        <w:rPr>
          <w:szCs w:val="24"/>
        </w:rPr>
        <w:t xml:space="preserve"> </w:t>
      </w:r>
      <w:r w:rsidR="00D5415F" w:rsidRPr="008C5475">
        <w:rPr>
          <w:szCs w:val="24"/>
        </w:rPr>
        <w:t xml:space="preserve">may </w:t>
      </w:r>
      <w:r w:rsidRPr="00D757F9">
        <w:rPr>
          <w:szCs w:val="24"/>
        </w:rPr>
        <w:t>ask for select programmatic information, such as their administrative structure, experience, target population</w:t>
      </w:r>
      <w:r w:rsidR="001C0AB7">
        <w:rPr>
          <w:szCs w:val="24"/>
        </w:rPr>
        <w:t>,</w:t>
      </w:r>
      <w:r w:rsidR="00AA517C" w:rsidRPr="00D757F9">
        <w:rPr>
          <w:szCs w:val="24"/>
        </w:rPr>
        <w:t xml:space="preserve"> and</w:t>
      </w:r>
      <w:r w:rsidRPr="00D757F9">
        <w:rPr>
          <w:szCs w:val="24"/>
        </w:rPr>
        <w:t xml:space="preserve"> size</w:t>
      </w:r>
      <w:r w:rsidR="00D5415F" w:rsidRPr="008C5475">
        <w:rPr>
          <w:szCs w:val="24"/>
        </w:rPr>
        <w:t>, when relevant</w:t>
      </w:r>
      <w:r w:rsidRPr="00D757F9">
        <w:rPr>
          <w:szCs w:val="24"/>
        </w:rPr>
        <w:t xml:space="preserve">. </w:t>
      </w:r>
      <w:r w:rsidR="001371A1" w:rsidRPr="008C5475">
        <w:rPr>
          <w:szCs w:val="24"/>
        </w:rPr>
        <w:t>We cover a set of topics relevant to the study</w:t>
      </w:r>
      <w:r w:rsidRPr="00D757F9">
        <w:rPr>
          <w:szCs w:val="24"/>
        </w:rPr>
        <w:t xml:space="preserve"> </w:t>
      </w:r>
      <w:r w:rsidR="001371A1" w:rsidRPr="008C5475">
        <w:rPr>
          <w:szCs w:val="24"/>
        </w:rPr>
        <w:t>and specific to the site</w:t>
      </w:r>
      <w:r w:rsidRPr="00D757F9">
        <w:rPr>
          <w:szCs w:val="24"/>
        </w:rPr>
        <w:t xml:space="preserve"> to allow us to understand the variation of programming in the field, the range of perspectives on the B</w:t>
      </w:r>
      <w:r w:rsidR="00AA517C" w:rsidRPr="00D757F9">
        <w:rPr>
          <w:szCs w:val="24"/>
        </w:rPr>
        <w:t>IAS-NG</w:t>
      </w:r>
      <w:r w:rsidRPr="00D757F9">
        <w:rPr>
          <w:szCs w:val="24"/>
        </w:rPr>
        <w:t xml:space="preserve"> study, and whether particular study design options </w:t>
      </w:r>
      <w:r w:rsidR="003E728D">
        <w:rPr>
          <w:szCs w:val="24"/>
        </w:rPr>
        <w:t>are</w:t>
      </w:r>
      <w:r w:rsidRPr="00D757F9">
        <w:rPr>
          <w:szCs w:val="24"/>
        </w:rPr>
        <w:t xml:space="preserve"> feasible given the structure of </w:t>
      </w:r>
      <w:r w:rsidR="00AA517C" w:rsidRPr="00D757F9">
        <w:rPr>
          <w:szCs w:val="24"/>
        </w:rPr>
        <w:t>the agencies’</w:t>
      </w:r>
      <w:r w:rsidRPr="00D757F9">
        <w:rPr>
          <w:szCs w:val="24"/>
        </w:rPr>
        <w:t xml:space="preserve"> programs. </w:t>
      </w:r>
      <w:r w:rsidR="00AA517C" w:rsidRPr="00D757F9">
        <w:rPr>
          <w:szCs w:val="24"/>
        </w:rPr>
        <w:t>With a select group of programs, the study team follow</w:t>
      </w:r>
      <w:r w:rsidR="007566A6">
        <w:rPr>
          <w:szCs w:val="24"/>
        </w:rPr>
        <w:t xml:space="preserve">s </w:t>
      </w:r>
      <w:r w:rsidR="00AA517C" w:rsidRPr="00D757F9">
        <w:rPr>
          <w:szCs w:val="24"/>
        </w:rPr>
        <w:t xml:space="preserve">up </w:t>
      </w:r>
      <w:r w:rsidR="001371A1" w:rsidRPr="008C5475">
        <w:rPr>
          <w:szCs w:val="24"/>
        </w:rPr>
        <w:t>on any initial conversations</w:t>
      </w:r>
      <w:r w:rsidR="00AA517C" w:rsidRPr="00D757F9">
        <w:rPr>
          <w:szCs w:val="24"/>
        </w:rPr>
        <w:t xml:space="preserve"> with a request for further </w:t>
      </w:r>
      <w:r w:rsidR="00017A11" w:rsidRPr="008C5475">
        <w:rPr>
          <w:szCs w:val="24"/>
        </w:rPr>
        <w:t xml:space="preserve">individualized </w:t>
      </w:r>
      <w:r w:rsidR="00AA517C" w:rsidRPr="00D757F9">
        <w:rPr>
          <w:szCs w:val="24"/>
        </w:rPr>
        <w:t>discussion</w:t>
      </w:r>
      <w:r w:rsidR="00D5415F" w:rsidRPr="008C5475">
        <w:rPr>
          <w:szCs w:val="24"/>
        </w:rPr>
        <w:t xml:space="preserve"> and data review to</w:t>
      </w:r>
      <w:r w:rsidR="00AA517C" w:rsidRPr="00D757F9">
        <w:rPr>
          <w:szCs w:val="24"/>
        </w:rPr>
        <w:t xml:space="preserve"> gain a better understanding of the program’s flow and solicit feedback about the potential interventions and study designs.</w:t>
      </w:r>
      <w:r w:rsidR="00F00B70" w:rsidRPr="00D757F9">
        <w:rPr>
          <w:szCs w:val="24"/>
        </w:rPr>
        <w:t xml:space="preserve"> Following initial analysis of these data to understand the flow of participants, the study team conduct</w:t>
      </w:r>
      <w:r w:rsidR="003E728D">
        <w:rPr>
          <w:szCs w:val="24"/>
        </w:rPr>
        <w:t>s</w:t>
      </w:r>
      <w:r w:rsidR="00AA517C" w:rsidRPr="00D757F9">
        <w:rPr>
          <w:szCs w:val="24"/>
        </w:rPr>
        <w:t xml:space="preserve"> an in-person visit to </w:t>
      </w:r>
      <w:r w:rsidR="00F00B70" w:rsidRPr="00D757F9">
        <w:rPr>
          <w:szCs w:val="24"/>
        </w:rPr>
        <w:t>select</w:t>
      </w:r>
      <w:r w:rsidR="00AA517C" w:rsidRPr="00D757F9">
        <w:rPr>
          <w:szCs w:val="24"/>
        </w:rPr>
        <w:t xml:space="preserve"> site</w:t>
      </w:r>
      <w:r w:rsidR="00F00B70" w:rsidRPr="00D757F9">
        <w:rPr>
          <w:szCs w:val="24"/>
        </w:rPr>
        <w:t>s</w:t>
      </w:r>
      <w:r w:rsidR="00AA517C" w:rsidRPr="00D757F9">
        <w:rPr>
          <w:szCs w:val="24"/>
        </w:rPr>
        <w:t xml:space="preserve">. Subsequent visits and teleconferences </w:t>
      </w:r>
      <w:r w:rsidR="003E728D">
        <w:rPr>
          <w:szCs w:val="24"/>
        </w:rPr>
        <w:t xml:space="preserve">are </w:t>
      </w:r>
      <w:r w:rsidR="00AA517C" w:rsidRPr="00D757F9">
        <w:rPr>
          <w:szCs w:val="24"/>
        </w:rPr>
        <w:t>scheduled, as needed and with a narrower pool of programs, if the study team needs additional time to gather the information.</w:t>
      </w:r>
    </w:p>
    <w:p w14:paraId="5F7106CB" w14:textId="6F34A6C6" w:rsidR="00DA13CC" w:rsidRPr="008C5475" w:rsidRDefault="00256B26" w:rsidP="008E27A3">
      <w:pPr>
        <w:suppressAutoHyphens/>
        <w:spacing w:after="0" w:line="240" w:lineRule="auto"/>
        <w:rPr>
          <w:rFonts w:cs="Times New Roman"/>
          <w:szCs w:val="24"/>
        </w:rPr>
      </w:pPr>
      <w:r w:rsidRPr="008C5475">
        <w:rPr>
          <w:rFonts w:cs="Times New Roman"/>
          <w:szCs w:val="24"/>
        </w:rPr>
        <w:t>Once sites have been selected, w</w:t>
      </w:r>
      <w:r w:rsidR="0007298A" w:rsidRPr="008C5475">
        <w:rPr>
          <w:rFonts w:cs="Times New Roman"/>
          <w:szCs w:val="24"/>
        </w:rPr>
        <w:t xml:space="preserve">e </w:t>
      </w:r>
      <w:r w:rsidR="003E728D">
        <w:rPr>
          <w:rFonts w:cs="Times New Roman"/>
          <w:szCs w:val="24"/>
        </w:rPr>
        <w:t xml:space="preserve">may </w:t>
      </w:r>
      <w:r w:rsidR="0007298A" w:rsidRPr="008C5475">
        <w:rPr>
          <w:rFonts w:cs="Times New Roman"/>
          <w:szCs w:val="24"/>
        </w:rPr>
        <w:t xml:space="preserve">conduct </w:t>
      </w:r>
      <w:r w:rsidR="0079580D" w:rsidRPr="008C5475">
        <w:rPr>
          <w:rFonts w:cs="Times New Roman"/>
          <w:szCs w:val="24"/>
        </w:rPr>
        <w:t xml:space="preserve">in-person </w:t>
      </w:r>
      <w:r w:rsidR="0007298A" w:rsidRPr="008C5475">
        <w:rPr>
          <w:rFonts w:cs="Times New Roman"/>
          <w:szCs w:val="24"/>
        </w:rPr>
        <w:t xml:space="preserve">focus groups </w:t>
      </w:r>
      <w:r w:rsidR="00AC6FB7" w:rsidRPr="008C5475">
        <w:rPr>
          <w:rFonts w:cs="Times New Roman"/>
          <w:szCs w:val="24"/>
        </w:rPr>
        <w:t xml:space="preserve">and phone </w:t>
      </w:r>
      <w:r w:rsidR="0007298A" w:rsidRPr="008C5475">
        <w:rPr>
          <w:rFonts w:cs="Times New Roman"/>
          <w:szCs w:val="24"/>
        </w:rPr>
        <w:t>interviews</w:t>
      </w:r>
      <w:r w:rsidR="00880434">
        <w:rPr>
          <w:rFonts w:cs="Times New Roman"/>
          <w:szCs w:val="24"/>
        </w:rPr>
        <w:t xml:space="preserve"> to help ensure an effective design for the</w:t>
      </w:r>
      <w:r w:rsidR="008E27A3">
        <w:rPr>
          <w:rFonts w:cs="Times New Roman"/>
          <w:szCs w:val="24"/>
        </w:rPr>
        <w:t xml:space="preserve"> </w:t>
      </w:r>
      <w:r w:rsidR="00880434">
        <w:rPr>
          <w:rFonts w:cs="Times New Roman"/>
          <w:szCs w:val="24"/>
        </w:rPr>
        <w:t>intervention</w:t>
      </w:r>
      <w:r w:rsidR="0007298A" w:rsidRPr="008C5475">
        <w:rPr>
          <w:rFonts w:cs="Times New Roman"/>
          <w:szCs w:val="24"/>
        </w:rPr>
        <w:t>. There are three separate protocols: one protocol to use for interviews and focus groups with staff</w:t>
      </w:r>
      <w:r w:rsidR="00F00B70" w:rsidRPr="008C5475">
        <w:rPr>
          <w:rFonts w:cs="Times New Roman"/>
          <w:szCs w:val="24"/>
        </w:rPr>
        <w:t xml:space="preserve"> who deliver services</w:t>
      </w:r>
      <w:r w:rsidR="0007298A" w:rsidRPr="008C5475">
        <w:rPr>
          <w:rFonts w:cs="Times New Roman"/>
          <w:szCs w:val="24"/>
        </w:rPr>
        <w:t xml:space="preserve">; one protocol to use for interviews </w:t>
      </w:r>
      <w:r w:rsidR="007B2477" w:rsidRPr="008C5475">
        <w:rPr>
          <w:rFonts w:cs="Times New Roman"/>
          <w:szCs w:val="24"/>
        </w:rPr>
        <w:t>and</w:t>
      </w:r>
      <w:r w:rsidR="0007298A" w:rsidRPr="008C5475">
        <w:rPr>
          <w:rFonts w:cs="Times New Roman"/>
          <w:szCs w:val="24"/>
        </w:rPr>
        <w:t xml:space="preserve"> focus groups with administrators; and one protocol to use for interviews and focus groups with clients. The </w:t>
      </w:r>
      <w:r w:rsidR="005C43C8" w:rsidRPr="008C5475">
        <w:rPr>
          <w:rFonts w:cs="Times New Roman"/>
          <w:szCs w:val="24"/>
        </w:rPr>
        <w:t xml:space="preserve">protocols </w:t>
      </w:r>
      <w:r w:rsidR="0007298A" w:rsidRPr="008C5475">
        <w:rPr>
          <w:rFonts w:cs="Times New Roman"/>
          <w:szCs w:val="24"/>
        </w:rPr>
        <w:t xml:space="preserve">in Appendix A provide </w:t>
      </w:r>
      <w:r w:rsidR="005C43C8" w:rsidRPr="008C5475">
        <w:rPr>
          <w:rFonts w:cs="Times New Roman"/>
          <w:szCs w:val="24"/>
        </w:rPr>
        <w:t xml:space="preserve">an outline for the basic procedures that </w:t>
      </w:r>
      <w:r w:rsidR="003E728D">
        <w:rPr>
          <w:rFonts w:cs="Times New Roman"/>
          <w:szCs w:val="24"/>
        </w:rPr>
        <w:t xml:space="preserve">may </w:t>
      </w:r>
      <w:r w:rsidR="005C43C8" w:rsidRPr="008C5475">
        <w:rPr>
          <w:rFonts w:cs="Times New Roman"/>
          <w:szCs w:val="24"/>
        </w:rPr>
        <w:t xml:space="preserve">be used for each data collection approach (i.e., focus group or individual interviews), the types of </w:t>
      </w:r>
      <w:r w:rsidR="0007298A" w:rsidRPr="008C5475">
        <w:rPr>
          <w:rFonts w:cs="Times New Roman"/>
          <w:szCs w:val="24"/>
        </w:rPr>
        <w:t xml:space="preserve">questions </w:t>
      </w:r>
      <w:r w:rsidR="005C43C8" w:rsidRPr="008C5475">
        <w:rPr>
          <w:rFonts w:cs="Times New Roman"/>
          <w:szCs w:val="24"/>
        </w:rPr>
        <w:t xml:space="preserve">that </w:t>
      </w:r>
      <w:r w:rsidR="003E728D">
        <w:rPr>
          <w:rFonts w:cs="Times New Roman"/>
          <w:szCs w:val="24"/>
        </w:rPr>
        <w:t>may</w:t>
      </w:r>
      <w:r w:rsidR="005C43C8" w:rsidRPr="008C5475">
        <w:rPr>
          <w:rFonts w:cs="Times New Roman"/>
          <w:szCs w:val="24"/>
        </w:rPr>
        <w:t xml:space="preserve"> be asked </w:t>
      </w:r>
      <w:r w:rsidR="0007298A" w:rsidRPr="008C5475">
        <w:rPr>
          <w:rFonts w:cs="Times New Roman"/>
          <w:szCs w:val="24"/>
        </w:rPr>
        <w:t xml:space="preserve">and the expected flow of </w:t>
      </w:r>
      <w:r w:rsidR="005C43C8" w:rsidRPr="008C5475">
        <w:rPr>
          <w:rFonts w:cs="Times New Roman"/>
          <w:szCs w:val="24"/>
        </w:rPr>
        <w:t xml:space="preserve">questions. </w:t>
      </w:r>
      <w:r w:rsidR="00F139A2">
        <w:rPr>
          <w:rFonts w:cs="Times New Roman"/>
          <w:szCs w:val="24"/>
        </w:rPr>
        <w:t>Once finalized, instruments tailored to individual sites will be submitted through individual IC</w:t>
      </w:r>
      <w:r w:rsidR="001C0AB7">
        <w:rPr>
          <w:rFonts w:cs="Times New Roman"/>
          <w:szCs w:val="24"/>
        </w:rPr>
        <w:t>R</w:t>
      </w:r>
      <w:r w:rsidR="00F139A2">
        <w:rPr>
          <w:rFonts w:cs="Times New Roman"/>
          <w:szCs w:val="24"/>
        </w:rPr>
        <w:t>s under this generic ICR.</w:t>
      </w:r>
    </w:p>
    <w:p w14:paraId="0E1E71B7" w14:textId="77777777" w:rsidR="00DA13CC" w:rsidRPr="008C5475" w:rsidRDefault="00DA13CC" w:rsidP="008E27A3">
      <w:pPr>
        <w:suppressAutoHyphens/>
        <w:spacing w:after="0" w:line="240" w:lineRule="auto"/>
        <w:rPr>
          <w:rFonts w:cs="Times New Roman"/>
          <w:szCs w:val="24"/>
        </w:rPr>
      </w:pPr>
    </w:p>
    <w:p w14:paraId="40FD3666" w14:textId="653D197A" w:rsidR="005C43C8" w:rsidRPr="008C5475" w:rsidRDefault="005C43C8" w:rsidP="001035F2">
      <w:pPr>
        <w:tabs>
          <w:tab w:val="left" w:pos="3510"/>
        </w:tabs>
        <w:suppressAutoHyphens/>
        <w:spacing w:after="0" w:line="240" w:lineRule="auto"/>
        <w:rPr>
          <w:rFonts w:cs="Times New Roman"/>
        </w:rPr>
      </w:pPr>
      <w:r w:rsidRPr="008C5475">
        <w:rPr>
          <w:rFonts w:cs="Times New Roman"/>
          <w:szCs w:val="24"/>
        </w:rPr>
        <w:t xml:space="preserve">Focus groups </w:t>
      </w:r>
      <w:r w:rsidR="006E1C91">
        <w:rPr>
          <w:rFonts w:cs="Times New Roman"/>
          <w:szCs w:val="24"/>
        </w:rPr>
        <w:t>are</w:t>
      </w:r>
      <w:r w:rsidRPr="008C5475">
        <w:rPr>
          <w:rFonts w:cs="Times New Roman"/>
          <w:szCs w:val="24"/>
        </w:rPr>
        <w:t xml:space="preserve"> facilitated by at least two individuals</w:t>
      </w:r>
      <w:r w:rsidR="001531D1" w:rsidRPr="008C5475">
        <w:rPr>
          <w:rFonts w:cs="Times New Roman"/>
          <w:szCs w:val="24"/>
        </w:rPr>
        <w:t xml:space="preserve">; one </w:t>
      </w:r>
      <w:r w:rsidR="002E6F57" w:rsidRPr="008C5475">
        <w:rPr>
          <w:rFonts w:cs="Times New Roman"/>
          <w:szCs w:val="24"/>
        </w:rPr>
        <w:t>individual</w:t>
      </w:r>
      <w:r w:rsidR="001531D1" w:rsidRPr="008C5475">
        <w:rPr>
          <w:rFonts w:cs="Times New Roman"/>
          <w:szCs w:val="24"/>
        </w:rPr>
        <w:t xml:space="preserve"> conduct</w:t>
      </w:r>
      <w:r w:rsidR="006E1C91">
        <w:rPr>
          <w:rFonts w:cs="Times New Roman"/>
          <w:szCs w:val="24"/>
        </w:rPr>
        <w:t>s</w:t>
      </w:r>
      <w:r w:rsidR="001531D1" w:rsidRPr="008C5475">
        <w:rPr>
          <w:rFonts w:cs="Times New Roman"/>
          <w:szCs w:val="24"/>
        </w:rPr>
        <w:t xml:space="preserve"> the </w:t>
      </w:r>
      <w:r w:rsidR="002E6F57" w:rsidRPr="008C5475">
        <w:rPr>
          <w:rFonts w:cs="Times New Roman"/>
          <w:szCs w:val="24"/>
        </w:rPr>
        <w:t xml:space="preserve">in-person </w:t>
      </w:r>
      <w:r w:rsidR="001531D1" w:rsidRPr="008C5475">
        <w:rPr>
          <w:rFonts w:cs="Times New Roman"/>
          <w:szCs w:val="24"/>
        </w:rPr>
        <w:t>interviews and surveys</w:t>
      </w:r>
      <w:r w:rsidRPr="008C5475">
        <w:rPr>
          <w:rFonts w:cs="Times New Roman"/>
          <w:szCs w:val="24"/>
        </w:rPr>
        <w:t>. Each focus group/interview begin</w:t>
      </w:r>
      <w:r w:rsidR="006E1C91">
        <w:rPr>
          <w:rFonts w:cs="Times New Roman"/>
          <w:szCs w:val="24"/>
        </w:rPr>
        <w:t>s</w:t>
      </w:r>
      <w:r w:rsidRPr="008C5475">
        <w:rPr>
          <w:rFonts w:cs="Times New Roman"/>
          <w:szCs w:val="24"/>
        </w:rPr>
        <w:t xml:space="preserve"> with an introduction</w:t>
      </w:r>
      <w:r w:rsidRPr="008C5475">
        <w:rPr>
          <w:rFonts w:eastAsia="Times New Roman" w:cs="Times New Roman"/>
          <w:b/>
          <w:bCs/>
          <w:kern w:val="1"/>
          <w:szCs w:val="24"/>
          <w:lang w:eastAsia="ar-SA"/>
        </w:rPr>
        <w:t xml:space="preserve"> </w:t>
      </w:r>
      <w:r w:rsidRPr="008C5475">
        <w:rPr>
          <w:rFonts w:eastAsia="Times New Roman" w:cs="Times New Roman"/>
          <w:kern w:val="1"/>
          <w:szCs w:val="24"/>
          <w:lang w:eastAsia="ar-SA"/>
        </w:rPr>
        <w:t xml:space="preserve">that explains the purpose and goals of the BIAS-NG project. Participants </w:t>
      </w:r>
      <w:r w:rsidR="006E1C91">
        <w:rPr>
          <w:rFonts w:eastAsia="Times New Roman" w:cs="Times New Roman"/>
          <w:kern w:val="1"/>
          <w:szCs w:val="24"/>
          <w:lang w:eastAsia="ar-SA"/>
        </w:rPr>
        <w:t>are</w:t>
      </w:r>
      <w:r w:rsidR="006E1C91" w:rsidRPr="008C5475">
        <w:rPr>
          <w:rFonts w:eastAsia="Times New Roman" w:cs="Times New Roman"/>
          <w:kern w:val="1"/>
          <w:szCs w:val="24"/>
          <w:lang w:eastAsia="ar-SA"/>
        </w:rPr>
        <w:t xml:space="preserve"> </w:t>
      </w:r>
      <w:r w:rsidRPr="008C5475">
        <w:rPr>
          <w:rFonts w:eastAsia="Times New Roman" w:cs="Times New Roman"/>
          <w:kern w:val="1"/>
          <w:szCs w:val="24"/>
          <w:lang w:eastAsia="ar-SA"/>
        </w:rPr>
        <w:t>then asked to read and sign the consent form. The facilitator inform</w:t>
      </w:r>
      <w:r w:rsidR="006E1C91">
        <w:rPr>
          <w:rFonts w:eastAsia="Times New Roman" w:cs="Times New Roman"/>
          <w:kern w:val="1"/>
          <w:szCs w:val="24"/>
          <w:lang w:eastAsia="ar-SA"/>
        </w:rPr>
        <w:t>s</w:t>
      </w:r>
      <w:r w:rsidRPr="008C5475">
        <w:rPr>
          <w:rFonts w:eastAsia="Times New Roman" w:cs="Times New Roman"/>
          <w:kern w:val="1"/>
          <w:szCs w:val="24"/>
          <w:lang w:eastAsia="ar-SA"/>
        </w:rPr>
        <w:t xml:space="preserve"> participants that the conversation will be audio-recorded but </w:t>
      </w:r>
      <w:r w:rsidR="00DA13CC" w:rsidRPr="008C5475">
        <w:rPr>
          <w:rFonts w:eastAsia="Times New Roman" w:cs="Times New Roman"/>
          <w:kern w:val="1"/>
          <w:szCs w:val="24"/>
          <w:lang w:eastAsia="ar-SA"/>
        </w:rPr>
        <w:t xml:space="preserve">that </w:t>
      </w:r>
      <w:r w:rsidRPr="008C5475">
        <w:rPr>
          <w:rFonts w:eastAsia="Times New Roman" w:cs="Times New Roman"/>
          <w:kern w:val="1"/>
          <w:szCs w:val="24"/>
          <w:lang w:eastAsia="ar-SA"/>
        </w:rPr>
        <w:t>they will be able to have any comments they do</w:t>
      </w:r>
      <w:r w:rsidR="007566A6">
        <w:rPr>
          <w:rFonts w:eastAsia="Times New Roman" w:cs="Times New Roman"/>
          <w:kern w:val="1"/>
          <w:szCs w:val="24"/>
          <w:lang w:eastAsia="ar-SA"/>
        </w:rPr>
        <w:t xml:space="preserve"> </w:t>
      </w:r>
      <w:r w:rsidRPr="008C5475">
        <w:rPr>
          <w:rFonts w:eastAsia="Times New Roman" w:cs="Times New Roman"/>
          <w:kern w:val="1"/>
          <w:szCs w:val="24"/>
          <w:lang w:eastAsia="ar-SA"/>
        </w:rPr>
        <w:t>n</w:t>
      </w:r>
      <w:r w:rsidR="007566A6">
        <w:rPr>
          <w:rFonts w:eastAsia="Times New Roman" w:cs="Times New Roman"/>
          <w:kern w:val="1"/>
          <w:szCs w:val="24"/>
          <w:lang w:eastAsia="ar-SA"/>
        </w:rPr>
        <w:t>o</w:t>
      </w:r>
      <w:r w:rsidRPr="008C5475">
        <w:rPr>
          <w:rFonts w:eastAsia="Times New Roman" w:cs="Times New Roman"/>
          <w:kern w:val="1"/>
          <w:szCs w:val="24"/>
          <w:lang w:eastAsia="ar-SA"/>
        </w:rPr>
        <w:t xml:space="preserve">t want repeated removed from the recording. </w:t>
      </w:r>
      <w:r w:rsidR="00DA13CC" w:rsidRPr="008C5475">
        <w:rPr>
          <w:rFonts w:eastAsia="Times New Roman" w:cs="Times New Roman"/>
          <w:kern w:val="1"/>
          <w:szCs w:val="24"/>
          <w:lang w:eastAsia="ar-SA"/>
        </w:rPr>
        <w:t xml:space="preserve">Lastly, the </w:t>
      </w:r>
      <w:r w:rsidRPr="008C5475">
        <w:rPr>
          <w:rFonts w:eastAsia="Times New Roman" w:cs="Times New Roman"/>
          <w:kern w:val="1"/>
          <w:szCs w:val="24"/>
          <w:lang w:eastAsia="ar-SA"/>
        </w:rPr>
        <w:t xml:space="preserve">Paperwork Reduction Act </w:t>
      </w:r>
      <w:r w:rsidR="006E1C91">
        <w:rPr>
          <w:rFonts w:eastAsia="Times New Roman" w:cs="Times New Roman"/>
          <w:kern w:val="1"/>
          <w:szCs w:val="24"/>
          <w:lang w:eastAsia="ar-SA"/>
        </w:rPr>
        <w:t>is</w:t>
      </w:r>
      <w:r w:rsidR="00DA13CC" w:rsidRPr="008C5475">
        <w:rPr>
          <w:rFonts w:eastAsia="Times New Roman" w:cs="Times New Roman"/>
          <w:kern w:val="1"/>
          <w:szCs w:val="24"/>
          <w:lang w:eastAsia="ar-SA"/>
        </w:rPr>
        <w:t xml:space="preserve"> explained</w:t>
      </w:r>
      <w:r w:rsidRPr="008C5475">
        <w:rPr>
          <w:rFonts w:cs="Times New Roman"/>
        </w:rPr>
        <w:t xml:space="preserve"> </w:t>
      </w:r>
      <w:r w:rsidR="00DA13CC" w:rsidRPr="008C5475">
        <w:rPr>
          <w:rFonts w:cs="Times New Roman"/>
        </w:rPr>
        <w:t>and t</w:t>
      </w:r>
      <w:r w:rsidRPr="008C5475">
        <w:rPr>
          <w:rFonts w:cs="Times New Roman"/>
        </w:rPr>
        <w:t xml:space="preserve">he OMB number for this collection </w:t>
      </w:r>
      <w:r w:rsidR="00DA13CC" w:rsidRPr="008C5475">
        <w:rPr>
          <w:rFonts w:cs="Times New Roman"/>
        </w:rPr>
        <w:t xml:space="preserve">and the expiration date </w:t>
      </w:r>
      <w:r w:rsidR="006E1C91">
        <w:rPr>
          <w:rFonts w:cs="Times New Roman"/>
        </w:rPr>
        <w:t>is</w:t>
      </w:r>
      <w:r w:rsidR="00DA13CC" w:rsidRPr="008C5475">
        <w:rPr>
          <w:rFonts w:cs="Times New Roman"/>
        </w:rPr>
        <w:t xml:space="preserve"> provided</w:t>
      </w:r>
      <w:r w:rsidRPr="008C5475">
        <w:rPr>
          <w:rFonts w:cs="Times New Roman"/>
        </w:rPr>
        <w:t>.</w:t>
      </w:r>
      <w:r w:rsidR="00DA13CC" w:rsidRPr="008C5475">
        <w:rPr>
          <w:rFonts w:cs="Times New Roman"/>
        </w:rPr>
        <w:t xml:space="preserve"> In the focus groups, once all participants have signed consent forms, the facilitator ask</w:t>
      </w:r>
      <w:r w:rsidR="006E1C91">
        <w:rPr>
          <w:rFonts w:cs="Times New Roman"/>
        </w:rPr>
        <w:t>s</w:t>
      </w:r>
      <w:r w:rsidR="00DA13CC" w:rsidRPr="008C5475">
        <w:rPr>
          <w:rFonts w:cs="Times New Roman"/>
        </w:rPr>
        <w:t xml:space="preserve"> each </w:t>
      </w:r>
      <w:r w:rsidR="002E6F57" w:rsidRPr="008C5475">
        <w:rPr>
          <w:rFonts w:cs="Times New Roman"/>
        </w:rPr>
        <w:t>participant</w:t>
      </w:r>
      <w:r w:rsidR="00DA13CC" w:rsidRPr="008C5475">
        <w:rPr>
          <w:rFonts w:cs="Times New Roman"/>
        </w:rPr>
        <w:t xml:space="preserve"> to introduce themselves and the</w:t>
      </w:r>
      <w:r w:rsidR="002E6F57" w:rsidRPr="008C5475">
        <w:rPr>
          <w:rFonts w:cs="Times New Roman"/>
        </w:rPr>
        <w:t>n</w:t>
      </w:r>
      <w:r w:rsidR="00DA13CC" w:rsidRPr="008C5475">
        <w:rPr>
          <w:rFonts w:cs="Times New Roman"/>
        </w:rPr>
        <w:t xml:space="preserve"> begin</w:t>
      </w:r>
      <w:r w:rsidR="007566A6">
        <w:rPr>
          <w:rFonts w:cs="Times New Roman"/>
        </w:rPr>
        <w:t>s</w:t>
      </w:r>
      <w:r w:rsidR="00DA13CC" w:rsidRPr="008C5475">
        <w:rPr>
          <w:rFonts w:cs="Times New Roman"/>
        </w:rPr>
        <w:t xml:space="preserve"> the conversation. For individual in-person </w:t>
      </w:r>
      <w:r w:rsidR="002E6F57" w:rsidRPr="008C5475">
        <w:rPr>
          <w:rFonts w:cs="Times New Roman"/>
        </w:rPr>
        <w:t xml:space="preserve">and phone </w:t>
      </w:r>
      <w:r w:rsidR="00DA13CC" w:rsidRPr="008C5475">
        <w:rPr>
          <w:rFonts w:cs="Times New Roman"/>
        </w:rPr>
        <w:t>interviews, the facilitator simply begin</w:t>
      </w:r>
      <w:r w:rsidR="006E1C91">
        <w:rPr>
          <w:rFonts w:cs="Times New Roman"/>
        </w:rPr>
        <w:t>s</w:t>
      </w:r>
      <w:r w:rsidR="00DA13CC" w:rsidRPr="008C5475">
        <w:rPr>
          <w:rFonts w:cs="Times New Roman"/>
        </w:rPr>
        <w:t xml:space="preserve"> the con</w:t>
      </w:r>
      <w:r w:rsidR="000F5EC1" w:rsidRPr="008C5475">
        <w:rPr>
          <w:rFonts w:cs="Times New Roman"/>
        </w:rPr>
        <w:t>versation with the participant</w:t>
      </w:r>
      <w:r w:rsidR="002E6F57" w:rsidRPr="008C5475">
        <w:rPr>
          <w:rFonts w:cs="Times New Roman"/>
        </w:rPr>
        <w:t xml:space="preserve"> after receiving consent</w:t>
      </w:r>
      <w:r w:rsidR="000F5EC1" w:rsidRPr="008C5475">
        <w:rPr>
          <w:rFonts w:cs="Times New Roman"/>
        </w:rPr>
        <w:t>.</w:t>
      </w:r>
      <w:r w:rsidR="003443C7" w:rsidRPr="008C5475">
        <w:rPr>
          <w:rFonts w:cs="Times New Roman"/>
        </w:rPr>
        <w:t xml:space="preserve"> At the end of the interview, </w:t>
      </w:r>
      <w:r w:rsidR="001035F2">
        <w:rPr>
          <w:rFonts w:cs="Times New Roman"/>
        </w:rPr>
        <w:t>participa</w:t>
      </w:r>
      <w:r w:rsidR="00443E6D">
        <w:rPr>
          <w:rFonts w:cs="Times New Roman"/>
        </w:rPr>
        <w:t>nts</w:t>
      </w:r>
      <w:r w:rsidR="001035F2" w:rsidRPr="008C5475">
        <w:rPr>
          <w:rFonts w:cs="Times New Roman"/>
        </w:rPr>
        <w:t xml:space="preserve"> </w:t>
      </w:r>
      <w:r w:rsidR="006E1C91">
        <w:rPr>
          <w:rFonts w:cs="Times New Roman"/>
        </w:rPr>
        <w:t>have received</w:t>
      </w:r>
      <w:r w:rsidR="007566A6">
        <w:rPr>
          <w:rFonts w:cs="Times New Roman"/>
        </w:rPr>
        <w:t xml:space="preserve"> a gift card worth up to $20. If approved</w:t>
      </w:r>
      <w:r w:rsidR="00ED55BC">
        <w:rPr>
          <w:rFonts w:cs="Times New Roman"/>
        </w:rPr>
        <w:t xml:space="preserve"> through this revision</w:t>
      </w:r>
      <w:r w:rsidR="007566A6">
        <w:rPr>
          <w:rFonts w:cs="Times New Roman"/>
        </w:rPr>
        <w:t>, moving forward they</w:t>
      </w:r>
      <w:r w:rsidR="006E1C91">
        <w:rPr>
          <w:rFonts w:cs="Times New Roman"/>
        </w:rPr>
        <w:t xml:space="preserve"> </w:t>
      </w:r>
      <w:r w:rsidR="003443C7" w:rsidRPr="008C5475">
        <w:rPr>
          <w:rFonts w:cs="Times New Roman"/>
        </w:rPr>
        <w:t>will receive a gift card worth up to $</w:t>
      </w:r>
      <w:r w:rsidR="00E9337A">
        <w:rPr>
          <w:rFonts w:cs="Times New Roman"/>
        </w:rPr>
        <w:t>40, though $20 will still be the default amount</w:t>
      </w:r>
      <w:r w:rsidR="003443C7" w:rsidRPr="008C5475">
        <w:rPr>
          <w:rFonts w:cs="Times New Roman"/>
        </w:rPr>
        <w:t xml:space="preserve">. </w:t>
      </w:r>
      <w:r w:rsidR="00D37149" w:rsidRPr="008C5475">
        <w:rPr>
          <w:rFonts w:cs="Times New Roman"/>
        </w:rPr>
        <w:t xml:space="preserve">Specific information about proposed incentives </w:t>
      </w:r>
      <w:r w:rsidR="006E1C91">
        <w:rPr>
          <w:rFonts w:cs="Times New Roman"/>
        </w:rPr>
        <w:t>has been and will continue to be</w:t>
      </w:r>
      <w:r w:rsidR="00D37149" w:rsidRPr="008C5475">
        <w:rPr>
          <w:rFonts w:cs="Times New Roman"/>
        </w:rPr>
        <w:t xml:space="preserve"> included in individual generic information collection requests</w:t>
      </w:r>
      <w:r w:rsidR="00E92430">
        <w:rPr>
          <w:rFonts w:cs="Times New Roman"/>
        </w:rPr>
        <w:t xml:space="preserve"> under this clearance</w:t>
      </w:r>
      <w:r w:rsidR="00D37149" w:rsidRPr="008C5475">
        <w:rPr>
          <w:rFonts w:cs="Times New Roman"/>
        </w:rPr>
        <w:t xml:space="preserve">. </w:t>
      </w:r>
    </w:p>
    <w:p w14:paraId="4D1CB461" w14:textId="77777777" w:rsidR="000F5EC1" w:rsidRPr="008C5475" w:rsidRDefault="000F5EC1" w:rsidP="008E27A3">
      <w:pPr>
        <w:suppressAutoHyphens/>
        <w:spacing w:after="0" w:line="240" w:lineRule="auto"/>
        <w:rPr>
          <w:rFonts w:cs="Times New Roman"/>
        </w:rPr>
      </w:pPr>
    </w:p>
    <w:p w14:paraId="0FBCFDF0" w14:textId="0F3FE362" w:rsidR="00394496" w:rsidRPr="008C5475" w:rsidRDefault="0007298A" w:rsidP="008E27A3">
      <w:pPr>
        <w:spacing w:after="0" w:line="240" w:lineRule="auto"/>
        <w:rPr>
          <w:rFonts w:cs="Times New Roman"/>
          <w:szCs w:val="24"/>
        </w:rPr>
      </w:pPr>
      <w:r w:rsidRPr="008C5475">
        <w:rPr>
          <w:rFonts w:cs="Times New Roman"/>
          <w:szCs w:val="24"/>
        </w:rPr>
        <w:t>The focus groups</w:t>
      </w:r>
      <w:r w:rsidR="00AA517C" w:rsidRPr="008C5475">
        <w:rPr>
          <w:rFonts w:cs="Times New Roman"/>
          <w:szCs w:val="24"/>
        </w:rPr>
        <w:t xml:space="preserve"> and</w:t>
      </w:r>
      <w:r w:rsidR="00843FAF" w:rsidRPr="008C5475">
        <w:rPr>
          <w:rFonts w:cs="Times New Roman"/>
          <w:szCs w:val="24"/>
        </w:rPr>
        <w:t xml:space="preserve"> interviews </w:t>
      </w:r>
      <w:r w:rsidR="00AA517C" w:rsidRPr="008C5475">
        <w:rPr>
          <w:rFonts w:cs="Times New Roman"/>
          <w:szCs w:val="24"/>
        </w:rPr>
        <w:t xml:space="preserve">in </w:t>
      </w:r>
      <w:r w:rsidR="001B303D">
        <w:rPr>
          <w:rFonts w:cs="Times New Roman"/>
          <w:szCs w:val="24"/>
        </w:rPr>
        <w:t>Phase 3</w:t>
      </w:r>
      <w:r w:rsidR="00843FAF" w:rsidRPr="008C5475">
        <w:rPr>
          <w:rFonts w:cs="Times New Roman"/>
          <w:szCs w:val="24"/>
        </w:rPr>
        <w:t xml:space="preserve"> </w:t>
      </w:r>
      <w:r w:rsidR="002E6F57" w:rsidRPr="008C5475">
        <w:rPr>
          <w:rFonts w:cs="Times New Roman"/>
          <w:szCs w:val="24"/>
        </w:rPr>
        <w:t>are designed to</w:t>
      </w:r>
      <w:r w:rsidRPr="008C5475">
        <w:rPr>
          <w:rFonts w:cs="Times New Roman"/>
          <w:szCs w:val="24"/>
        </w:rPr>
        <w:t xml:space="preserve"> be </w:t>
      </w:r>
      <w:r w:rsidR="00AA517C" w:rsidRPr="008C5475">
        <w:rPr>
          <w:rFonts w:cs="Times New Roman"/>
          <w:szCs w:val="24"/>
        </w:rPr>
        <w:t xml:space="preserve">formative and </w:t>
      </w:r>
      <w:r w:rsidRPr="008C5475">
        <w:rPr>
          <w:rFonts w:cs="Times New Roman"/>
          <w:szCs w:val="24"/>
        </w:rPr>
        <w:t xml:space="preserve">exploratory. Human services program staff and clients possess procedural and tacit knowledge that will be vital for identifying areas where behavioral insights may have a high impact. </w:t>
      </w:r>
      <w:r w:rsidR="000F3152" w:rsidRPr="008C5475">
        <w:rPr>
          <w:rFonts w:eastAsia="Times New Roman" w:cs="Times New Roman"/>
          <w:szCs w:val="24"/>
        </w:rPr>
        <w:t xml:space="preserve">We plan to spend a maximum of </w:t>
      </w:r>
      <w:r w:rsidR="0079580D" w:rsidRPr="008C5475">
        <w:rPr>
          <w:rFonts w:eastAsia="Times New Roman" w:cs="Times New Roman"/>
          <w:szCs w:val="24"/>
        </w:rPr>
        <w:t>6</w:t>
      </w:r>
      <w:r w:rsidR="000F3152" w:rsidRPr="008C5475">
        <w:rPr>
          <w:rFonts w:eastAsia="Times New Roman" w:cs="Times New Roman"/>
          <w:szCs w:val="24"/>
        </w:rPr>
        <w:t>0 minutes with each staff person during each site visit.</w:t>
      </w:r>
      <w:r w:rsidR="001B303D">
        <w:rPr>
          <w:rFonts w:eastAsia="Times New Roman" w:cs="Times New Roman"/>
          <w:szCs w:val="24"/>
        </w:rPr>
        <w:t xml:space="preserve"> </w:t>
      </w:r>
      <w:r w:rsidR="001B303D" w:rsidRPr="008C5475">
        <w:rPr>
          <w:rFonts w:cs="Times New Roman"/>
          <w:szCs w:val="24"/>
        </w:rPr>
        <w:t xml:space="preserve">This data collection </w:t>
      </w:r>
      <w:r w:rsidR="006E1C91">
        <w:rPr>
          <w:rFonts w:cs="Times New Roman"/>
          <w:szCs w:val="24"/>
        </w:rPr>
        <w:t>is</w:t>
      </w:r>
      <w:r w:rsidR="001B303D" w:rsidRPr="008C5475">
        <w:rPr>
          <w:rFonts w:cs="Times New Roman"/>
          <w:szCs w:val="24"/>
        </w:rPr>
        <w:t xml:space="preserve"> used only for descriptive purposes, not as part of</w:t>
      </w:r>
      <w:r w:rsidR="001B303D">
        <w:rPr>
          <w:rFonts w:cs="Times New Roman"/>
          <w:szCs w:val="24"/>
        </w:rPr>
        <w:t xml:space="preserve"> an</w:t>
      </w:r>
      <w:r w:rsidR="001B303D" w:rsidRPr="008C5475">
        <w:rPr>
          <w:rFonts w:cs="Times New Roman"/>
          <w:szCs w:val="24"/>
        </w:rPr>
        <w:t xml:space="preserve"> impact evaluation.</w:t>
      </w:r>
    </w:p>
    <w:p w14:paraId="60669636" w14:textId="77777777" w:rsidR="00394496" w:rsidRPr="008C5475" w:rsidRDefault="00394496" w:rsidP="008E27A3">
      <w:pPr>
        <w:spacing w:after="0" w:line="240" w:lineRule="auto"/>
        <w:rPr>
          <w:rFonts w:cs="Times New Roman"/>
          <w:szCs w:val="24"/>
        </w:rPr>
      </w:pPr>
    </w:p>
    <w:p w14:paraId="5A9D6E08" w14:textId="056B614A" w:rsidR="000F3152" w:rsidRPr="008C5475" w:rsidRDefault="00394496" w:rsidP="008E27A3">
      <w:pPr>
        <w:spacing w:after="0" w:line="240" w:lineRule="auto"/>
      </w:pPr>
      <w:r w:rsidRPr="008C5475">
        <w:rPr>
          <w:rFonts w:cs="Times New Roman"/>
          <w:szCs w:val="24"/>
        </w:rPr>
        <w:t>For subsequent data collection for implementation research</w:t>
      </w:r>
      <w:r w:rsidR="00C7214E">
        <w:rPr>
          <w:rFonts w:cs="Times New Roman"/>
          <w:szCs w:val="24"/>
        </w:rPr>
        <w:t xml:space="preserve"> to better understand how well interventions have been implemented</w:t>
      </w:r>
      <w:r w:rsidRPr="008C5475">
        <w:rPr>
          <w:rFonts w:cs="Times New Roman"/>
          <w:szCs w:val="24"/>
        </w:rPr>
        <w:t>,</w:t>
      </w:r>
      <w:r w:rsidR="001B303D">
        <w:rPr>
          <w:rFonts w:cs="Times New Roman"/>
          <w:szCs w:val="24"/>
        </w:rPr>
        <w:t xml:space="preserve"> at Phase 4,</w:t>
      </w:r>
      <w:r w:rsidRPr="008C5475">
        <w:rPr>
          <w:rFonts w:cs="Times New Roman"/>
          <w:szCs w:val="24"/>
        </w:rPr>
        <w:t xml:space="preserve"> focus groups and interviews </w:t>
      </w:r>
      <w:r w:rsidR="006E1C91">
        <w:rPr>
          <w:rFonts w:cs="Times New Roman"/>
          <w:szCs w:val="24"/>
        </w:rPr>
        <w:t xml:space="preserve">have been and </w:t>
      </w:r>
      <w:r w:rsidRPr="008C5475">
        <w:rPr>
          <w:rFonts w:cs="Times New Roman"/>
          <w:szCs w:val="24"/>
        </w:rPr>
        <w:t>will</w:t>
      </w:r>
      <w:r w:rsidR="006E1C91">
        <w:rPr>
          <w:rFonts w:cs="Times New Roman"/>
          <w:szCs w:val="24"/>
        </w:rPr>
        <w:t xml:space="preserve"> continue to</w:t>
      </w:r>
      <w:r w:rsidRPr="008C5475">
        <w:rPr>
          <w:rFonts w:cs="Times New Roman"/>
          <w:szCs w:val="24"/>
        </w:rPr>
        <w:t xml:space="preserve"> be structured. </w:t>
      </w:r>
      <w:r w:rsidR="0007298A" w:rsidRPr="008C5475">
        <w:rPr>
          <w:rFonts w:cs="Times New Roman"/>
          <w:szCs w:val="24"/>
        </w:rPr>
        <w:t xml:space="preserve">Not all questions </w:t>
      </w:r>
      <w:r w:rsidR="006E1C91">
        <w:rPr>
          <w:rFonts w:cs="Times New Roman"/>
          <w:szCs w:val="24"/>
        </w:rPr>
        <w:t>are</w:t>
      </w:r>
      <w:r w:rsidR="0007298A" w:rsidRPr="008C5475">
        <w:rPr>
          <w:rFonts w:cs="Times New Roman"/>
          <w:szCs w:val="24"/>
        </w:rPr>
        <w:t xml:space="preserve"> asked of each respondent, based on the participant’s background or experience. We reduce burden by asking only relevant questions. </w:t>
      </w:r>
      <w:r w:rsidRPr="008C5475">
        <w:rPr>
          <w:rFonts w:cs="Times New Roman"/>
          <w:szCs w:val="24"/>
        </w:rPr>
        <w:t xml:space="preserve">For descriptive or implementation research purposes, the study may field </w:t>
      </w:r>
      <w:r w:rsidR="000F3152" w:rsidRPr="008C5475">
        <w:rPr>
          <w:rFonts w:cs="Times New Roman"/>
          <w:szCs w:val="24"/>
        </w:rPr>
        <w:t>self-administered questionnaires</w:t>
      </w:r>
      <w:r w:rsidRPr="008C5475">
        <w:rPr>
          <w:rFonts w:cs="Times New Roman"/>
          <w:szCs w:val="24"/>
        </w:rPr>
        <w:t>, either online or in person</w:t>
      </w:r>
      <w:r w:rsidR="000F3152" w:rsidRPr="008C5475">
        <w:rPr>
          <w:rFonts w:cs="Times New Roman"/>
          <w:szCs w:val="24"/>
        </w:rPr>
        <w:t>, to agency or program staff</w:t>
      </w:r>
      <w:r w:rsidRPr="008C5475">
        <w:rPr>
          <w:rFonts w:cs="Times New Roman"/>
          <w:szCs w:val="24"/>
        </w:rPr>
        <w:t>.</w:t>
      </w:r>
      <w:r w:rsidR="000F3152" w:rsidRPr="008C5475">
        <w:rPr>
          <w:rFonts w:cs="Times New Roman"/>
          <w:szCs w:val="24"/>
        </w:rPr>
        <w:t xml:space="preserve"> </w:t>
      </w:r>
      <w:r w:rsidR="000F3152" w:rsidRPr="008C5475">
        <w:rPr>
          <w:szCs w:val="24"/>
        </w:rPr>
        <w:t>In a mixed-mode approach, the survey firm first attempts to survey each respondent by telephone. Field interviewers then attempt to interview respondents who cannot be contacted by telephone in person. Study participants can refuse to complete the survey,</w:t>
      </w:r>
      <w:r w:rsidR="00ED4D46">
        <w:rPr>
          <w:szCs w:val="24"/>
        </w:rPr>
        <w:t xml:space="preserve"> </w:t>
      </w:r>
      <w:r w:rsidR="000F3152" w:rsidRPr="008C5475">
        <w:rPr>
          <w:szCs w:val="24"/>
        </w:rPr>
        <w:t>or refuse to answer any of the questions on the survey, and will not be penalized in any way.</w:t>
      </w:r>
      <w:r w:rsidR="000F3152" w:rsidRPr="008C5475">
        <w:rPr>
          <w:rFonts w:cs="Times New Roman"/>
          <w:szCs w:val="24"/>
        </w:rPr>
        <w:t xml:space="preserve"> </w:t>
      </w:r>
      <w:r w:rsidR="005C43C8" w:rsidRPr="008C5475">
        <w:t xml:space="preserve"> Examples of items and instruments are provided in Appendix </w:t>
      </w:r>
      <w:r w:rsidR="00F00B70" w:rsidRPr="008C5475">
        <w:t>A</w:t>
      </w:r>
      <w:r w:rsidR="005C43C8" w:rsidRPr="008C5475">
        <w:t xml:space="preserve">; </w:t>
      </w:r>
      <w:r w:rsidR="00F26181">
        <w:t xml:space="preserve">once they are developed and prior to use in the field, </w:t>
      </w:r>
      <w:r w:rsidR="00E92430">
        <w:t xml:space="preserve">tailored, </w:t>
      </w:r>
      <w:r w:rsidR="005C43C8" w:rsidRPr="008C5475">
        <w:t>site-specific instruments</w:t>
      </w:r>
      <w:r w:rsidR="00386C4B">
        <w:t xml:space="preserve"> have </w:t>
      </w:r>
      <w:r w:rsidR="00DD0E52">
        <w:t>been</w:t>
      </w:r>
      <w:r w:rsidR="005C43C8" w:rsidRPr="008C5475">
        <w:t xml:space="preserve"> </w:t>
      </w:r>
      <w:r w:rsidR="00DD0E52">
        <w:t xml:space="preserve">and </w:t>
      </w:r>
      <w:r w:rsidR="005C43C8" w:rsidRPr="008C5475">
        <w:t>will</w:t>
      </w:r>
      <w:r w:rsidR="00DD0E52">
        <w:t xml:space="preserve"> continue to</w:t>
      </w:r>
      <w:r w:rsidR="005C43C8" w:rsidRPr="008C5475">
        <w:t xml:space="preserve"> be submitted with additional information as generic IC requests</w:t>
      </w:r>
      <w:r w:rsidR="00F26181">
        <w:t xml:space="preserve"> for each of the approximately </w:t>
      </w:r>
      <w:r w:rsidR="006E1C91">
        <w:t>9</w:t>
      </w:r>
      <w:r w:rsidR="00F26181">
        <w:t xml:space="preserve"> tests across </w:t>
      </w:r>
      <w:r w:rsidR="006E1C91">
        <w:t>up to seven</w:t>
      </w:r>
      <w:r w:rsidR="00F26181">
        <w:t xml:space="preserve"> sites</w:t>
      </w:r>
      <w:r w:rsidR="00CB0DE4">
        <w:t>, along with information about the associated intervention</w:t>
      </w:r>
      <w:r w:rsidR="005C43C8" w:rsidRPr="008C5475">
        <w:t>.</w:t>
      </w:r>
      <w:r w:rsidR="000F3152" w:rsidRPr="008C5475">
        <w:t xml:space="preserve"> </w:t>
      </w:r>
    </w:p>
    <w:p w14:paraId="64930FA2" w14:textId="77777777" w:rsidR="00DC583E" w:rsidRPr="008C5475" w:rsidRDefault="00DC583E" w:rsidP="008E27A3">
      <w:pPr>
        <w:spacing w:after="0" w:line="240" w:lineRule="auto"/>
        <w:rPr>
          <w:rFonts w:cs="Times New Roman"/>
          <w:szCs w:val="24"/>
        </w:rPr>
      </w:pPr>
    </w:p>
    <w:p w14:paraId="3518DD09" w14:textId="77777777" w:rsidR="000F3152" w:rsidRPr="008C5475" w:rsidRDefault="000F3152" w:rsidP="008E27A3">
      <w:pPr>
        <w:spacing w:after="0" w:line="240" w:lineRule="auto"/>
        <w:rPr>
          <w:rFonts w:cs="Times New Roman"/>
          <w:szCs w:val="24"/>
        </w:rPr>
      </w:pPr>
    </w:p>
    <w:p w14:paraId="15E46449" w14:textId="7188005B" w:rsidR="0007298A" w:rsidRPr="008C5475" w:rsidRDefault="007C41E0" w:rsidP="007C41E0">
      <w:pPr>
        <w:pStyle w:val="Heading2"/>
        <w:spacing w:before="0"/>
        <w:jc w:val="left"/>
      </w:pPr>
      <w:bookmarkStart w:id="5" w:name="_Toc328472334"/>
      <w:bookmarkStart w:id="6" w:name="_Toc11078205"/>
      <w:r>
        <w:t>B</w:t>
      </w:r>
      <w:r w:rsidR="0007298A" w:rsidRPr="008C5475">
        <w:t>3. Methods to Maximize Response Rates and Deal with Non-response</w:t>
      </w:r>
      <w:bookmarkEnd w:id="5"/>
      <w:bookmarkEnd w:id="6"/>
    </w:p>
    <w:p w14:paraId="75E7F8F7" w14:textId="5F5700BC" w:rsidR="000F3152" w:rsidRPr="008C5475" w:rsidRDefault="00E36F97" w:rsidP="008E27A3">
      <w:pPr>
        <w:spacing w:after="0" w:line="240" w:lineRule="auto"/>
        <w:rPr>
          <w:rFonts w:cs="Times New Roman"/>
          <w:szCs w:val="24"/>
        </w:rPr>
      </w:pPr>
      <w:r w:rsidRPr="008C5475">
        <w:rPr>
          <w:rFonts w:cs="Times New Roman"/>
          <w:szCs w:val="24"/>
        </w:rPr>
        <w:t>At this formative stage to inform intervention design and site selection, f</w:t>
      </w:r>
      <w:r w:rsidR="008C41D5" w:rsidRPr="008C5475">
        <w:rPr>
          <w:rFonts w:cs="Times New Roman"/>
          <w:szCs w:val="24"/>
        </w:rPr>
        <w:t>or focus groups and interviews</w:t>
      </w:r>
      <w:r w:rsidR="002E6F57" w:rsidRPr="008C5475">
        <w:rPr>
          <w:rFonts w:cs="Times New Roman"/>
          <w:szCs w:val="24"/>
        </w:rPr>
        <w:t>,</w:t>
      </w:r>
      <w:r w:rsidR="008C41D5" w:rsidRPr="008C5475">
        <w:rPr>
          <w:rFonts w:cs="Times New Roman"/>
          <w:szCs w:val="24"/>
        </w:rPr>
        <w:t xml:space="preserve"> we </w:t>
      </w:r>
      <w:r w:rsidR="006E1C91">
        <w:rPr>
          <w:rFonts w:cs="Times New Roman"/>
          <w:szCs w:val="24"/>
        </w:rPr>
        <w:t xml:space="preserve">have taken and </w:t>
      </w:r>
      <w:r w:rsidR="008C41D5" w:rsidRPr="008C5475">
        <w:rPr>
          <w:rFonts w:cs="Times New Roman"/>
          <w:szCs w:val="24"/>
        </w:rPr>
        <w:t>will</w:t>
      </w:r>
      <w:r w:rsidR="006E1C91">
        <w:rPr>
          <w:rFonts w:cs="Times New Roman"/>
          <w:szCs w:val="24"/>
        </w:rPr>
        <w:t xml:space="preserve"> continue to </w:t>
      </w:r>
      <w:r w:rsidR="008C41D5" w:rsidRPr="008C5475">
        <w:rPr>
          <w:rFonts w:cs="Times New Roman"/>
          <w:szCs w:val="24"/>
        </w:rPr>
        <w:t>take s</w:t>
      </w:r>
      <w:r w:rsidR="0007298A" w:rsidRPr="008C5475">
        <w:rPr>
          <w:rFonts w:cs="Times New Roman"/>
          <w:szCs w:val="24"/>
        </w:rPr>
        <w:t xml:space="preserve">everal </w:t>
      </w:r>
      <w:r w:rsidR="008C41D5" w:rsidRPr="008C5475">
        <w:rPr>
          <w:rFonts w:cs="Times New Roman"/>
          <w:szCs w:val="24"/>
        </w:rPr>
        <w:t xml:space="preserve">steps to </w:t>
      </w:r>
      <w:r w:rsidR="0007298A" w:rsidRPr="008C5475">
        <w:rPr>
          <w:rFonts w:cs="Times New Roman"/>
          <w:szCs w:val="24"/>
        </w:rPr>
        <w:t xml:space="preserve">help ensure </w:t>
      </w:r>
      <w:r w:rsidR="002E535C" w:rsidRPr="008C5475">
        <w:rPr>
          <w:rFonts w:cs="Times New Roman"/>
          <w:szCs w:val="24"/>
        </w:rPr>
        <w:t>a</w:t>
      </w:r>
      <w:r w:rsidR="0007298A" w:rsidRPr="008C5475">
        <w:rPr>
          <w:rFonts w:cs="Times New Roman"/>
          <w:szCs w:val="24"/>
        </w:rPr>
        <w:t xml:space="preserve"> high rate of cooperation among respon</w:t>
      </w:r>
      <w:r w:rsidR="00F617E0" w:rsidRPr="008C5475">
        <w:rPr>
          <w:rFonts w:cs="Times New Roman"/>
          <w:szCs w:val="24"/>
        </w:rPr>
        <w:t>dents. First, ACF federal staff has</w:t>
      </w:r>
      <w:r w:rsidR="0007298A" w:rsidRPr="008C5475">
        <w:rPr>
          <w:rFonts w:cs="Times New Roman"/>
          <w:szCs w:val="24"/>
        </w:rPr>
        <w:t xml:space="preserve"> pre-existing collaborative relationships with many program sites. </w:t>
      </w:r>
      <w:r w:rsidR="008C41D5" w:rsidRPr="008C5475">
        <w:rPr>
          <w:rFonts w:cs="Times New Roman"/>
          <w:szCs w:val="24"/>
        </w:rPr>
        <w:t xml:space="preserve">We leverage these relationships to help secure buy-in from site staff to both participate in, and aid </w:t>
      </w:r>
      <w:r w:rsidR="006A42E0" w:rsidRPr="008C5475">
        <w:rPr>
          <w:rFonts w:cs="Times New Roman"/>
          <w:szCs w:val="24"/>
        </w:rPr>
        <w:t>deployment of</w:t>
      </w:r>
      <w:r w:rsidR="008C41D5" w:rsidRPr="008C5475">
        <w:rPr>
          <w:rFonts w:cs="Times New Roman"/>
          <w:szCs w:val="24"/>
        </w:rPr>
        <w:t xml:space="preserve">, </w:t>
      </w:r>
      <w:r w:rsidR="002E6F57" w:rsidRPr="008C5475">
        <w:rPr>
          <w:rFonts w:cs="Times New Roman"/>
          <w:szCs w:val="24"/>
        </w:rPr>
        <w:t>data collection tools</w:t>
      </w:r>
      <w:r w:rsidR="008C41D5" w:rsidRPr="008C5475">
        <w:rPr>
          <w:rFonts w:cs="Times New Roman"/>
          <w:szCs w:val="24"/>
        </w:rPr>
        <w:t xml:space="preserve">. The </w:t>
      </w:r>
      <w:r w:rsidR="0007298A" w:rsidRPr="008C5475">
        <w:rPr>
          <w:rFonts w:cs="Times New Roman"/>
          <w:szCs w:val="24"/>
        </w:rPr>
        <w:t>ultimate aim of the BIAS</w:t>
      </w:r>
      <w:r w:rsidR="00F617E0" w:rsidRPr="008C5475">
        <w:rPr>
          <w:rFonts w:cs="Times New Roman"/>
          <w:szCs w:val="24"/>
        </w:rPr>
        <w:t>-NG</w:t>
      </w:r>
      <w:r w:rsidR="0007298A" w:rsidRPr="008C5475">
        <w:rPr>
          <w:rFonts w:cs="Times New Roman"/>
          <w:szCs w:val="24"/>
        </w:rPr>
        <w:t xml:space="preserve"> project </w:t>
      </w:r>
      <w:r w:rsidR="008C41D5" w:rsidRPr="008C5475">
        <w:rPr>
          <w:rFonts w:cs="Times New Roman"/>
          <w:szCs w:val="24"/>
        </w:rPr>
        <w:t xml:space="preserve">is </w:t>
      </w:r>
      <w:r w:rsidR="0007298A" w:rsidRPr="008C5475">
        <w:rPr>
          <w:rFonts w:cs="Times New Roman"/>
          <w:szCs w:val="24"/>
        </w:rPr>
        <w:t>to provide program sites with lessons to improve their on-the-ground operations</w:t>
      </w:r>
      <w:r w:rsidR="008C41D5" w:rsidRPr="008C5475">
        <w:rPr>
          <w:rFonts w:cs="Times New Roman"/>
          <w:szCs w:val="24"/>
        </w:rPr>
        <w:t xml:space="preserve">. </w:t>
      </w:r>
      <w:r w:rsidR="00D44B9A" w:rsidRPr="008C5475">
        <w:rPr>
          <w:rFonts w:cs="Times New Roman"/>
          <w:szCs w:val="24"/>
        </w:rPr>
        <w:t xml:space="preserve">Explaining to sites the </w:t>
      </w:r>
      <w:r w:rsidR="001C0AB7">
        <w:rPr>
          <w:rFonts w:cs="Times New Roman"/>
          <w:szCs w:val="24"/>
        </w:rPr>
        <w:t>benefits</w:t>
      </w:r>
      <w:r w:rsidR="00D44B9A" w:rsidRPr="008C5475">
        <w:rPr>
          <w:rFonts w:cs="Times New Roman"/>
          <w:szCs w:val="24"/>
        </w:rPr>
        <w:t xml:space="preserve"> they will receive from this project </w:t>
      </w:r>
      <w:r w:rsidR="00256B26" w:rsidRPr="008C5475">
        <w:rPr>
          <w:rFonts w:cs="Times New Roman"/>
          <w:szCs w:val="24"/>
        </w:rPr>
        <w:t>may</w:t>
      </w:r>
      <w:r w:rsidR="00D44B9A" w:rsidRPr="008C5475">
        <w:rPr>
          <w:rFonts w:cs="Times New Roman"/>
          <w:szCs w:val="24"/>
        </w:rPr>
        <w:t xml:space="preserve"> help persuade sites that their effort is worthwhile. </w:t>
      </w:r>
    </w:p>
    <w:p w14:paraId="5F4721A0" w14:textId="77777777" w:rsidR="000F3152" w:rsidRPr="008C5475" w:rsidRDefault="000F3152" w:rsidP="008E27A3">
      <w:pPr>
        <w:spacing w:after="0" w:line="240" w:lineRule="auto"/>
        <w:rPr>
          <w:rFonts w:cs="Times New Roman"/>
          <w:szCs w:val="24"/>
        </w:rPr>
      </w:pPr>
    </w:p>
    <w:p w14:paraId="46E1E7BE" w14:textId="26D8B6A1" w:rsidR="000F3152" w:rsidRPr="008C5475" w:rsidRDefault="000F3152" w:rsidP="008E27A3">
      <w:pPr>
        <w:spacing w:after="0" w:line="240" w:lineRule="auto"/>
        <w:rPr>
          <w:rFonts w:cs="Times New Roman"/>
          <w:szCs w:val="24"/>
        </w:rPr>
      </w:pPr>
      <w:r w:rsidRPr="008C5475">
        <w:rPr>
          <w:rFonts w:cs="Times New Roman"/>
          <w:szCs w:val="24"/>
        </w:rPr>
        <w:t>For subsequent data collection from selected sites, t</w:t>
      </w:r>
      <w:r w:rsidR="0007298A" w:rsidRPr="008C5475">
        <w:rPr>
          <w:rFonts w:cs="Times New Roman"/>
          <w:szCs w:val="24"/>
        </w:rPr>
        <w:t xml:space="preserve">he research team </w:t>
      </w:r>
      <w:r w:rsidR="006A42E0" w:rsidRPr="008C5475">
        <w:rPr>
          <w:rFonts w:cs="Times New Roman"/>
          <w:szCs w:val="24"/>
        </w:rPr>
        <w:t>also</w:t>
      </w:r>
      <w:r w:rsidR="006E1C91">
        <w:rPr>
          <w:rFonts w:cs="Times New Roman"/>
          <w:szCs w:val="24"/>
        </w:rPr>
        <w:t xml:space="preserve"> has worked and will continue to</w:t>
      </w:r>
      <w:r w:rsidR="006A42E0" w:rsidRPr="008C5475">
        <w:rPr>
          <w:rFonts w:cs="Times New Roman"/>
          <w:szCs w:val="24"/>
        </w:rPr>
        <w:t xml:space="preserve"> </w:t>
      </w:r>
      <w:r w:rsidR="0007298A" w:rsidRPr="008C5475">
        <w:rPr>
          <w:rFonts w:cs="Times New Roman"/>
          <w:szCs w:val="24"/>
        </w:rPr>
        <w:t xml:space="preserve">work </w:t>
      </w:r>
      <w:r w:rsidR="006A42E0" w:rsidRPr="008C5475">
        <w:rPr>
          <w:rFonts w:cs="Times New Roman"/>
          <w:szCs w:val="24"/>
        </w:rPr>
        <w:t xml:space="preserve">closely </w:t>
      </w:r>
      <w:r w:rsidR="0007298A" w:rsidRPr="008C5475">
        <w:rPr>
          <w:rFonts w:cs="Times New Roman"/>
          <w:szCs w:val="24"/>
        </w:rPr>
        <w:t xml:space="preserve">with administrators and staff </w:t>
      </w:r>
      <w:r w:rsidR="006A42E0" w:rsidRPr="008C5475">
        <w:rPr>
          <w:rFonts w:cs="Times New Roman"/>
          <w:szCs w:val="24"/>
        </w:rPr>
        <w:t xml:space="preserve">to develop </w:t>
      </w:r>
      <w:r w:rsidR="0007298A" w:rsidRPr="008C5475">
        <w:rPr>
          <w:rFonts w:cs="Times New Roman"/>
          <w:szCs w:val="24"/>
        </w:rPr>
        <w:t xml:space="preserve">recruitment strategies </w:t>
      </w:r>
      <w:r w:rsidR="006A42E0" w:rsidRPr="008C5475">
        <w:rPr>
          <w:rFonts w:cs="Times New Roman"/>
          <w:szCs w:val="24"/>
        </w:rPr>
        <w:t>for</w:t>
      </w:r>
      <w:r w:rsidR="0007298A" w:rsidRPr="008C5475">
        <w:rPr>
          <w:rFonts w:cs="Times New Roman"/>
          <w:szCs w:val="24"/>
        </w:rPr>
        <w:t xml:space="preserve"> clients </w:t>
      </w:r>
      <w:r w:rsidR="002E6F57" w:rsidRPr="008C5475">
        <w:rPr>
          <w:rFonts w:cs="Times New Roman"/>
          <w:szCs w:val="24"/>
        </w:rPr>
        <w:t>and program staff for</w:t>
      </w:r>
      <w:r w:rsidR="0007298A" w:rsidRPr="008C5475">
        <w:rPr>
          <w:rFonts w:cs="Times New Roman"/>
          <w:szCs w:val="24"/>
        </w:rPr>
        <w:t xml:space="preserve"> focus group</w:t>
      </w:r>
      <w:r w:rsidR="002E6F57" w:rsidRPr="008C5475">
        <w:rPr>
          <w:rFonts w:cs="Times New Roman"/>
          <w:szCs w:val="24"/>
        </w:rPr>
        <w:t>s and interviews</w:t>
      </w:r>
      <w:r w:rsidR="0007298A" w:rsidRPr="008C5475">
        <w:rPr>
          <w:rFonts w:cs="Times New Roman"/>
          <w:szCs w:val="24"/>
        </w:rPr>
        <w:t>, particularly to make sure we gather a group that reflects a mix of experiences.</w:t>
      </w:r>
      <w:r w:rsidRPr="008C5475">
        <w:rPr>
          <w:iCs/>
        </w:rPr>
        <w:t xml:space="preserve"> As is usually the case with focus groups, we recruit at least double the number of people for each focus group with the anticipation that half will not attend.</w:t>
      </w:r>
    </w:p>
    <w:p w14:paraId="63843E16" w14:textId="77777777" w:rsidR="00224E2B" w:rsidRPr="008C5475" w:rsidRDefault="00224E2B" w:rsidP="008E27A3">
      <w:pPr>
        <w:spacing w:after="0" w:line="240" w:lineRule="auto"/>
        <w:rPr>
          <w:rFonts w:cs="Times New Roman"/>
          <w:szCs w:val="24"/>
        </w:rPr>
      </w:pPr>
    </w:p>
    <w:p w14:paraId="634EB891" w14:textId="3A80AA25" w:rsidR="008C5475" w:rsidRDefault="000F3152" w:rsidP="008E27A3">
      <w:pPr>
        <w:spacing w:line="240" w:lineRule="auto"/>
        <w:rPr>
          <w:rFonts w:cs="Times New Roman"/>
          <w:szCs w:val="24"/>
        </w:rPr>
      </w:pPr>
      <w:r w:rsidRPr="008C5475">
        <w:t xml:space="preserve">Staff working with the program and control groups </w:t>
      </w:r>
      <w:r w:rsidR="006E1C91">
        <w:t>may</w:t>
      </w:r>
      <w:r w:rsidR="006E1C91" w:rsidRPr="008C5475">
        <w:t xml:space="preserve"> </w:t>
      </w:r>
      <w:r w:rsidRPr="008C5475">
        <w:t>be asked to complete a survey several months after the launch</w:t>
      </w:r>
      <w:r w:rsidR="00E92430">
        <w:t xml:space="preserve"> of the intervention</w:t>
      </w:r>
      <w:r w:rsidRPr="008C5475">
        <w:t xml:space="preserve">. Based on the response rates for the staff surveys in </w:t>
      </w:r>
      <w:r w:rsidR="00762853">
        <w:t xml:space="preserve">Allegheny County, </w:t>
      </w:r>
      <w:r w:rsidRPr="008C5475">
        <w:t xml:space="preserve">we expect around </w:t>
      </w:r>
      <w:r w:rsidR="00762853">
        <w:t>50</w:t>
      </w:r>
      <w:r w:rsidRPr="008C5475">
        <w:t xml:space="preserve"> percent of staff to complete the survey</w:t>
      </w:r>
      <w:r w:rsidR="00762853">
        <w:t xml:space="preserve"> if we</w:t>
      </w:r>
      <w:r w:rsidR="00111E4E">
        <w:t xml:space="preserve"> are</w:t>
      </w:r>
      <w:r w:rsidR="00762853">
        <w:t xml:space="preserve"> not </w:t>
      </w:r>
      <w:r w:rsidR="00111E4E">
        <w:t>able to offer</w:t>
      </w:r>
      <w:r w:rsidR="00762853">
        <w:t xml:space="preserve"> incentives</w:t>
      </w:r>
      <w:r w:rsidR="00111E4E">
        <w:t xml:space="preserve"> to staff</w:t>
      </w:r>
      <w:r w:rsidR="00762853">
        <w:t xml:space="preserve">, and significantly higher if we are able </w:t>
      </w:r>
      <w:r w:rsidR="00111E4E">
        <w:t>to offer such</w:t>
      </w:r>
      <w:r w:rsidR="00762853">
        <w:t xml:space="preserve"> incentives</w:t>
      </w:r>
      <w:r w:rsidRPr="008C5475">
        <w:t>.</w:t>
      </w:r>
      <w:r w:rsidRPr="008C5475">
        <w:rPr>
          <w:rFonts w:cs="Times New Roman"/>
          <w:szCs w:val="24"/>
        </w:rPr>
        <w:t xml:space="preserve"> For surveys, we </w:t>
      </w:r>
      <w:r w:rsidR="006E1C91">
        <w:rPr>
          <w:rFonts w:cs="Times New Roman"/>
          <w:szCs w:val="24"/>
        </w:rPr>
        <w:t xml:space="preserve">have </w:t>
      </w:r>
      <w:r w:rsidRPr="008C5475">
        <w:rPr>
          <w:rFonts w:cs="Times New Roman"/>
          <w:szCs w:val="24"/>
        </w:rPr>
        <w:t>use</w:t>
      </w:r>
      <w:r w:rsidR="006E1C91">
        <w:rPr>
          <w:rFonts w:cs="Times New Roman"/>
          <w:szCs w:val="24"/>
        </w:rPr>
        <w:t>d and will continue to use</w:t>
      </w:r>
      <w:r w:rsidRPr="008C5475">
        <w:rPr>
          <w:rFonts w:cs="Times New Roman"/>
          <w:szCs w:val="24"/>
        </w:rPr>
        <w:t xml:space="preserve"> established methods, such as sending reminders, setting completion deadlines, attempting to reach participants by phone after several failed attempts to obtain a response, and working closely with staff to maintain an accurate list of contact information. </w:t>
      </w:r>
    </w:p>
    <w:p w14:paraId="0715A309" w14:textId="2F4AABEF" w:rsidR="0007298A" w:rsidRDefault="000F3152" w:rsidP="004C41E9">
      <w:pPr>
        <w:spacing w:line="240" w:lineRule="auto"/>
        <w:rPr>
          <w:rFonts w:cs="Times New Roman"/>
          <w:szCs w:val="24"/>
        </w:rPr>
      </w:pPr>
      <w:r w:rsidRPr="008C5475">
        <w:rPr>
          <w:rFonts w:cs="Times New Roman"/>
          <w:szCs w:val="24"/>
        </w:rPr>
        <w:t xml:space="preserve">To further increase the likelihood of participation, we also offer </w:t>
      </w:r>
      <w:r w:rsidR="00747137">
        <w:rPr>
          <w:rFonts w:cs="Times New Roman"/>
          <w:szCs w:val="24"/>
        </w:rPr>
        <w:t xml:space="preserve">incentives to </w:t>
      </w:r>
      <w:r w:rsidRPr="008C5475">
        <w:rPr>
          <w:rFonts w:cs="Times New Roman"/>
          <w:szCs w:val="24"/>
        </w:rPr>
        <w:t>clients</w:t>
      </w:r>
      <w:r w:rsidR="004224C9">
        <w:rPr>
          <w:rFonts w:cs="Times New Roman"/>
          <w:szCs w:val="24"/>
        </w:rPr>
        <w:t xml:space="preserve"> and potentially staff</w:t>
      </w:r>
      <w:r w:rsidRPr="008C5475">
        <w:rPr>
          <w:rFonts w:cs="Times New Roman"/>
          <w:szCs w:val="24"/>
        </w:rPr>
        <w:t xml:space="preserve"> </w:t>
      </w:r>
      <w:r w:rsidR="007566A6">
        <w:rPr>
          <w:rFonts w:cs="Times New Roman"/>
          <w:szCs w:val="24"/>
        </w:rPr>
        <w:t xml:space="preserve">(if approved) </w:t>
      </w:r>
      <w:r w:rsidRPr="008C5475">
        <w:rPr>
          <w:rFonts w:cs="Times New Roman"/>
          <w:szCs w:val="24"/>
        </w:rPr>
        <w:t>participating in focus groups, interviews</w:t>
      </w:r>
      <w:r w:rsidR="00837F36">
        <w:rPr>
          <w:rFonts w:cs="Times New Roman"/>
          <w:szCs w:val="24"/>
        </w:rPr>
        <w:t>,</w:t>
      </w:r>
      <w:r w:rsidRPr="008C5475">
        <w:rPr>
          <w:rFonts w:cs="Times New Roman"/>
          <w:szCs w:val="24"/>
        </w:rPr>
        <w:t xml:space="preserve"> and</w:t>
      </w:r>
      <w:r w:rsidR="00747137">
        <w:rPr>
          <w:rFonts w:cs="Times New Roman"/>
          <w:szCs w:val="24"/>
        </w:rPr>
        <w:t>/or</w:t>
      </w:r>
      <w:r w:rsidRPr="008C5475">
        <w:rPr>
          <w:rFonts w:cs="Times New Roman"/>
          <w:szCs w:val="24"/>
        </w:rPr>
        <w:t xml:space="preserve"> survey</w:t>
      </w:r>
      <w:r w:rsidR="00747137">
        <w:rPr>
          <w:rFonts w:cs="Times New Roman"/>
          <w:szCs w:val="24"/>
        </w:rPr>
        <w:t>s</w:t>
      </w:r>
      <w:r w:rsidR="001035F2">
        <w:rPr>
          <w:rFonts w:cs="Times New Roman"/>
          <w:szCs w:val="24"/>
        </w:rPr>
        <w:t>, as discussed in Supporting Statement Part A.</w:t>
      </w:r>
    </w:p>
    <w:p w14:paraId="24BC9AB0" w14:textId="77777777" w:rsidR="007C41E0" w:rsidRPr="008C5475" w:rsidRDefault="007C41E0" w:rsidP="007C41E0">
      <w:pPr>
        <w:spacing w:after="0" w:line="240" w:lineRule="auto"/>
      </w:pPr>
    </w:p>
    <w:p w14:paraId="0F94C866" w14:textId="546E40E6" w:rsidR="007C41E0" w:rsidRPr="00045E5C" w:rsidRDefault="007C41E0" w:rsidP="00116576">
      <w:pPr>
        <w:pStyle w:val="Heading2"/>
        <w:spacing w:before="0"/>
        <w:jc w:val="left"/>
      </w:pPr>
      <w:bookmarkStart w:id="7" w:name="_Toc11078206"/>
      <w:r>
        <w:t>B4</w:t>
      </w:r>
      <w:r w:rsidRPr="00D757F9">
        <w:t xml:space="preserve">. </w:t>
      </w:r>
      <w:r>
        <w:t>Tests of Procedures or Methods to be Undertaken</w:t>
      </w:r>
      <w:bookmarkEnd w:id="7"/>
    </w:p>
    <w:p w14:paraId="641C4E15" w14:textId="59D8A7D3" w:rsidR="0048220B" w:rsidRPr="008C5475" w:rsidRDefault="00F617E0" w:rsidP="007C41E0">
      <w:pPr>
        <w:spacing w:line="240" w:lineRule="auto"/>
      </w:pPr>
      <w:r w:rsidRPr="008C5475">
        <w:rPr>
          <w:rFonts w:cs="Times New Roman"/>
          <w:szCs w:val="24"/>
        </w:rPr>
        <w:t>No pre-testing has been completed</w:t>
      </w:r>
      <w:r w:rsidR="00785954" w:rsidRPr="008C5475">
        <w:rPr>
          <w:rFonts w:cs="Times New Roman"/>
          <w:szCs w:val="24"/>
        </w:rPr>
        <w:t xml:space="preserve"> at this time and there are no plans to pretest focus group or individual interview</w:t>
      </w:r>
      <w:r w:rsidR="0048220B" w:rsidRPr="008C5475">
        <w:rPr>
          <w:rFonts w:cs="Times New Roman"/>
          <w:szCs w:val="24"/>
        </w:rPr>
        <w:t xml:space="preserve"> protocols</w:t>
      </w:r>
      <w:r w:rsidR="00785954" w:rsidRPr="008C5475">
        <w:rPr>
          <w:rFonts w:cs="Times New Roman"/>
          <w:szCs w:val="24"/>
        </w:rPr>
        <w:t>. It is possible that</w:t>
      </w:r>
      <w:r w:rsidR="00AA517C" w:rsidRPr="008C5475">
        <w:rPr>
          <w:rFonts w:cs="Times New Roman"/>
          <w:szCs w:val="24"/>
        </w:rPr>
        <w:t xml:space="preserve"> </w:t>
      </w:r>
      <w:r w:rsidR="0048220B" w:rsidRPr="008C5475">
        <w:rPr>
          <w:rFonts w:cs="Times New Roman"/>
          <w:szCs w:val="24"/>
        </w:rPr>
        <w:t xml:space="preserve">formative </w:t>
      </w:r>
      <w:r w:rsidR="00AA517C" w:rsidRPr="008C5475">
        <w:rPr>
          <w:rFonts w:cs="Times New Roman"/>
          <w:szCs w:val="24"/>
        </w:rPr>
        <w:t>focus groups and interviews may inform the development of</w:t>
      </w:r>
      <w:r w:rsidR="0048220B" w:rsidRPr="008C5475">
        <w:rPr>
          <w:rFonts w:cs="Times New Roman"/>
          <w:szCs w:val="24"/>
        </w:rPr>
        <w:t xml:space="preserve"> focus group and interview protocols for subsequent data collection and inform the development of</w:t>
      </w:r>
      <w:r w:rsidR="00AA517C" w:rsidRPr="008C5475">
        <w:rPr>
          <w:rFonts w:cs="Times New Roman"/>
          <w:szCs w:val="24"/>
        </w:rPr>
        <w:t xml:space="preserve"> </w:t>
      </w:r>
      <w:r w:rsidR="00785954" w:rsidRPr="008C5475">
        <w:rPr>
          <w:rFonts w:cs="Times New Roman"/>
          <w:szCs w:val="24"/>
        </w:rPr>
        <w:t>survey instruments</w:t>
      </w:r>
      <w:r w:rsidR="0048220B" w:rsidRPr="008C5475">
        <w:rPr>
          <w:rFonts w:cs="Times New Roman"/>
          <w:szCs w:val="24"/>
        </w:rPr>
        <w:t>. W</w:t>
      </w:r>
      <w:r w:rsidR="00AA517C" w:rsidRPr="008C5475">
        <w:rPr>
          <w:rFonts w:cs="Times New Roman"/>
          <w:szCs w:val="24"/>
        </w:rPr>
        <w:t>e may</w:t>
      </w:r>
      <w:r w:rsidR="00785954" w:rsidRPr="008C5475">
        <w:rPr>
          <w:rFonts w:cs="Times New Roman"/>
          <w:szCs w:val="24"/>
        </w:rPr>
        <w:t xml:space="preserve"> pre-test</w:t>
      </w:r>
      <w:r w:rsidR="00AA517C" w:rsidRPr="008C5475">
        <w:rPr>
          <w:rFonts w:cs="Times New Roman"/>
          <w:szCs w:val="24"/>
        </w:rPr>
        <w:t xml:space="preserve"> surveys</w:t>
      </w:r>
      <w:r w:rsidR="00785954" w:rsidRPr="008C5475">
        <w:rPr>
          <w:rFonts w:cs="Times New Roman"/>
          <w:szCs w:val="24"/>
        </w:rPr>
        <w:t>, if</w:t>
      </w:r>
      <w:r w:rsidR="003F4813" w:rsidRPr="008C5475">
        <w:rPr>
          <w:rFonts w:cs="Times New Roman"/>
          <w:szCs w:val="24"/>
        </w:rPr>
        <w:t xml:space="preserve"> it is necessary to develop novel items or instruments for the project</w:t>
      </w:r>
      <w:r w:rsidR="0048220B" w:rsidRPr="008C5475">
        <w:rPr>
          <w:rFonts w:cs="Times New Roman"/>
          <w:szCs w:val="24"/>
        </w:rPr>
        <w:t xml:space="preserve">, </w:t>
      </w:r>
      <w:r w:rsidR="0048220B" w:rsidRPr="008C5475">
        <w:t>with 9 or fewer staff from a similar program that will not be in the study.</w:t>
      </w:r>
    </w:p>
    <w:p w14:paraId="2CEC7637" w14:textId="77777777" w:rsidR="0048220B" w:rsidRPr="008C5475" w:rsidRDefault="0048220B" w:rsidP="00116576">
      <w:pPr>
        <w:spacing w:after="0" w:line="240" w:lineRule="auto"/>
        <w:contextualSpacing/>
      </w:pPr>
    </w:p>
    <w:p w14:paraId="2BFD900B" w14:textId="77777777" w:rsidR="003146D6" w:rsidRDefault="007C41E0" w:rsidP="00116576">
      <w:pPr>
        <w:pStyle w:val="Heading2"/>
        <w:spacing w:before="0" w:after="0"/>
        <w:contextualSpacing/>
        <w:jc w:val="left"/>
      </w:pPr>
      <w:bookmarkStart w:id="8" w:name="_Toc328472336"/>
      <w:bookmarkStart w:id="9" w:name="_Toc11078207"/>
      <w:r>
        <w:t>B</w:t>
      </w:r>
      <w:r w:rsidR="0007298A" w:rsidRPr="00D757F9">
        <w:t xml:space="preserve">5. Individuals Consulted on Statistical Aspects and Individuals Collecting </w:t>
      </w:r>
    </w:p>
    <w:p w14:paraId="067FD5C1" w14:textId="167D5A79" w:rsidR="0007298A" w:rsidRDefault="0007298A" w:rsidP="003146D6">
      <w:pPr>
        <w:pStyle w:val="Heading2"/>
        <w:spacing w:before="0" w:after="0"/>
        <w:contextualSpacing/>
        <w:jc w:val="left"/>
      </w:pPr>
      <w:r w:rsidRPr="00D757F9">
        <w:t>and/or Analyzing Data</w:t>
      </w:r>
      <w:bookmarkEnd w:id="8"/>
      <w:bookmarkEnd w:id="9"/>
    </w:p>
    <w:p w14:paraId="62049272" w14:textId="77777777" w:rsidR="003146D6" w:rsidRPr="00510909" w:rsidRDefault="003146D6" w:rsidP="00116576"/>
    <w:p w14:paraId="0CBD8F8E" w14:textId="77777777" w:rsidR="0007298A" w:rsidRPr="008C5475" w:rsidRDefault="00F26181" w:rsidP="008E27A3">
      <w:pPr>
        <w:spacing w:after="0" w:line="240" w:lineRule="auto"/>
        <w:rPr>
          <w:rFonts w:cs="Times New Roman"/>
          <w:szCs w:val="24"/>
        </w:rPr>
      </w:pPr>
      <w:r>
        <w:rPr>
          <w:rFonts w:cs="Times New Roman"/>
          <w:szCs w:val="24"/>
        </w:rPr>
        <w:t>Kim Clum</w:t>
      </w:r>
    </w:p>
    <w:p w14:paraId="5F3901FE" w14:textId="7DC8FDBE" w:rsidR="0007298A" w:rsidRPr="008C5475" w:rsidRDefault="00747137" w:rsidP="008E27A3">
      <w:pPr>
        <w:spacing w:after="0" w:line="240" w:lineRule="auto"/>
        <w:rPr>
          <w:rFonts w:cs="Times New Roman"/>
          <w:szCs w:val="24"/>
        </w:rPr>
      </w:pPr>
      <w:r>
        <w:rPr>
          <w:rFonts w:cs="Times New Roman"/>
          <w:szCs w:val="24"/>
        </w:rPr>
        <w:t xml:space="preserve">Senior </w:t>
      </w:r>
      <w:r w:rsidR="0007298A" w:rsidRPr="008C5475">
        <w:rPr>
          <w:rFonts w:cs="Times New Roman"/>
          <w:szCs w:val="24"/>
        </w:rPr>
        <w:t>Social Science Research Analyst</w:t>
      </w:r>
    </w:p>
    <w:p w14:paraId="290E4B16" w14:textId="77777777" w:rsidR="0007298A" w:rsidRPr="008C5475" w:rsidRDefault="0007298A" w:rsidP="008E27A3">
      <w:pPr>
        <w:spacing w:after="0" w:line="240" w:lineRule="auto"/>
        <w:rPr>
          <w:rFonts w:cs="Times New Roman"/>
          <w:szCs w:val="24"/>
        </w:rPr>
      </w:pPr>
      <w:r w:rsidRPr="008C5475">
        <w:rPr>
          <w:rFonts w:cs="Times New Roman"/>
          <w:szCs w:val="24"/>
        </w:rPr>
        <w:t>Office of Planning, Research, and Evaluation</w:t>
      </w:r>
    </w:p>
    <w:p w14:paraId="24634E5B" w14:textId="77777777" w:rsidR="0007298A" w:rsidRPr="008C5475" w:rsidRDefault="0007298A" w:rsidP="008E27A3">
      <w:pPr>
        <w:spacing w:after="0" w:line="240" w:lineRule="auto"/>
        <w:rPr>
          <w:rFonts w:cs="Times New Roman"/>
          <w:szCs w:val="24"/>
        </w:rPr>
      </w:pPr>
      <w:r w:rsidRPr="008C5475">
        <w:rPr>
          <w:rFonts w:cs="Times New Roman"/>
          <w:szCs w:val="24"/>
        </w:rPr>
        <w:t xml:space="preserve">Administration for Children and Families </w:t>
      </w:r>
    </w:p>
    <w:p w14:paraId="0C97E208" w14:textId="77777777" w:rsidR="007566A6" w:rsidRPr="00D757F9" w:rsidRDefault="007566A6" w:rsidP="007566A6">
      <w:pPr>
        <w:spacing w:after="0" w:line="240" w:lineRule="auto"/>
        <w:rPr>
          <w:rFonts w:cs="Times New Roman"/>
          <w:szCs w:val="24"/>
        </w:rPr>
      </w:pPr>
      <w:r w:rsidRPr="00D757F9">
        <w:rPr>
          <w:rFonts w:cs="Times New Roman"/>
          <w:szCs w:val="24"/>
        </w:rPr>
        <w:t>U.S. Department of Health and Human Services</w:t>
      </w:r>
    </w:p>
    <w:p w14:paraId="10C1B7DA" w14:textId="77777777" w:rsidR="00761FAA" w:rsidRPr="008C5475" w:rsidRDefault="00761FAA" w:rsidP="008E27A3">
      <w:pPr>
        <w:spacing w:after="0" w:line="240" w:lineRule="auto"/>
        <w:rPr>
          <w:rFonts w:cs="Times New Roman"/>
          <w:szCs w:val="24"/>
        </w:rPr>
      </w:pPr>
      <w:r w:rsidRPr="008C5475">
        <w:rPr>
          <w:rFonts w:cs="Times New Roman"/>
          <w:szCs w:val="24"/>
        </w:rPr>
        <w:t>330 C St. SW, 4th Floor</w:t>
      </w:r>
    </w:p>
    <w:p w14:paraId="72B6E1E9" w14:textId="77777777" w:rsidR="00761FAA" w:rsidRPr="008C5475" w:rsidRDefault="00761FAA" w:rsidP="008E27A3">
      <w:pPr>
        <w:spacing w:after="0" w:line="240" w:lineRule="auto"/>
        <w:rPr>
          <w:rFonts w:cs="Times New Roman"/>
          <w:szCs w:val="24"/>
        </w:rPr>
      </w:pPr>
      <w:r w:rsidRPr="008C5475">
        <w:rPr>
          <w:rFonts w:cs="Times New Roman"/>
          <w:szCs w:val="24"/>
        </w:rPr>
        <w:t>Washington, DC 20201</w:t>
      </w:r>
    </w:p>
    <w:p w14:paraId="6D059EEE" w14:textId="0CBF084B" w:rsidR="00761FAA" w:rsidRPr="008C5475" w:rsidRDefault="0007298A" w:rsidP="008E27A3">
      <w:pPr>
        <w:spacing w:after="0" w:line="240" w:lineRule="auto"/>
        <w:rPr>
          <w:rFonts w:cs="Times New Roman"/>
          <w:szCs w:val="24"/>
        </w:rPr>
      </w:pPr>
      <w:r w:rsidRPr="008C5475">
        <w:rPr>
          <w:rFonts w:cs="Times New Roman"/>
          <w:szCs w:val="24"/>
        </w:rPr>
        <w:t xml:space="preserve">(202) </w:t>
      </w:r>
      <w:r w:rsidR="00F26181">
        <w:rPr>
          <w:rFonts w:cs="Times New Roman"/>
          <w:szCs w:val="24"/>
        </w:rPr>
        <w:t>205-4922</w:t>
      </w:r>
    </w:p>
    <w:p w14:paraId="0BAEF0E6" w14:textId="77777777" w:rsidR="00761FAA" w:rsidRPr="008C5475" w:rsidRDefault="00761FAA" w:rsidP="008E27A3">
      <w:pPr>
        <w:spacing w:after="0" w:line="240" w:lineRule="auto"/>
        <w:rPr>
          <w:rFonts w:cs="Times New Roman"/>
          <w:szCs w:val="24"/>
        </w:rPr>
      </w:pPr>
    </w:p>
    <w:p w14:paraId="515C5257" w14:textId="77777777" w:rsidR="00761FAA" w:rsidRPr="00D757F9" w:rsidRDefault="00761FAA" w:rsidP="008E27A3">
      <w:pPr>
        <w:spacing w:after="0" w:line="240" w:lineRule="auto"/>
        <w:rPr>
          <w:rFonts w:cs="Times New Roman"/>
          <w:szCs w:val="24"/>
        </w:rPr>
      </w:pPr>
      <w:r w:rsidRPr="00D757F9">
        <w:rPr>
          <w:rFonts w:cs="Times New Roman"/>
          <w:szCs w:val="24"/>
        </w:rPr>
        <w:t>Victoria Berk Kabak</w:t>
      </w:r>
    </w:p>
    <w:p w14:paraId="5DCFA294" w14:textId="77777777" w:rsidR="00E92430" w:rsidRPr="008C5475" w:rsidRDefault="00E92430" w:rsidP="008E27A3">
      <w:pPr>
        <w:spacing w:after="0" w:line="240" w:lineRule="auto"/>
        <w:rPr>
          <w:rFonts w:cs="Times New Roman"/>
          <w:szCs w:val="24"/>
        </w:rPr>
      </w:pPr>
      <w:r w:rsidRPr="008C5475">
        <w:rPr>
          <w:rFonts w:cs="Times New Roman"/>
          <w:szCs w:val="24"/>
        </w:rPr>
        <w:t>Social Science Research Analyst</w:t>
      </w:r>
    </w:p>
    <w:p w14:paraId="019CF2D8" w14:textId="17ADE490" w:rsidR="00761FAA" w:rsidRPr="00D757F9" w:rsidRDefault="00761FAA" w:rsidP="008E27A3">
      <w:pPr>
        <w:spacing w:after="0" w:line="240" w:lineRule="auto"/>
        <w:rPr>
          <w:rFonts w:cs="Times New Roman"/>
          <w:szCs w:val="24"/>
        </w:rPr>
      </w:pPr>
      <w:r w:rsidRPr="00D757F9">
        <w:rPr>
          <w:rFonts w:cs="Times New Roman"/>
          <w:szCs w:val="24"/>
        </w:rPr>
        <w:t>Office of Planning, Research</w:t>
      </w:r>
      <w:r w:rsidR="002F31BC">
        <w:rPr>
          <w:rFonts w:cs="Times New Roman"/>
          <w:szCs w:val="24"/>
        </w:rPr>
        <w:t>, and</w:t>
      </w:r>
      <w:r w:rsidRPr="00D757F9">
        <w:rPr>
          <w:rFonts w:cs="Times New Roman"/>
          <w:szCs w:val="24"/>
        </w:rPr>
        <w:t xml:space="preserve"> Evaluation</w:t>
      </w:r>
    </w:p>
    <w:p w14:paraId="7D1CEB3B" w14:textId="77777777" w:rsidR="00761FAA" w:rsidRPr="00D757F9" w:rsidRDefault="00761FAA" w:rsidP="008E27A3">
      <w:pPr>
        <w:spacing w:after="0" w:line="240" w:lineRule="auto"/>
        <w:rPr>
          <w:rFonts w:cs="Times New Roman"/>
          <w:szCs w:val="24"/>
        </w:rPr>
      </w:pPr>
      <w:r w:rsidRPr="00D757F9">
        <w:rPr>
          <w:rFonts w:cs="Times New Roman"/>
          <w:szCs w:val="24"/>
        </w:rPr>
        <w:t>Administration for Children and Families</w:t>
      </w:r>
    </w:p>
    <w:p w14:paraId="5979416D" w14:textId="77777777" w:rsidR="00761FAA" w:rsidRPr="00D757F9" w:rsidRDefault="00761FAA" w:rsidP="008E27A3">
      <w:pPr>
        <w:spacing w:after="0" w:line="240" w:lineRule="auto"/>
        <w:rPr>
          <w:rFonts w:cs="Times New Roman"/>
          <w:szCs w:val="24"/>
        </w:rPr>
      </w:pPr>
      <w:r w:rsidRPr="00D757F9">
        <w:rPr>
          <w:rFonts w:cs="Times New Roman"/>
          <w:szCs w:val="24"/>
        </w:rPr>
        <w:t>U.S. Department of Health and Human Services</w:t>
      </w:r>
    </w:p>
    <w:p w14:paraId="1BCFD5E1" w14:textId="77777777" w:rsidR="00761FAA" w:rsidRPr="00D757F9" w:rsidRDefault="00761FAA" w:rsidP="008E27A3">
      <w:pPr>
        <w:spacing w:after="0" w:line="240" w:lineRule="auto"/>
        <w:rPr>
          <w:rFonts w:cs="Times New Roman"/>
          <w:szCs w:val="24"/>
        </w:rPr>
      </w:pPr>
      <w:r w:rsidRPr="00D757F9">
        <w:rPr>
          <w:rFonts w:cs="Times New Roman"/>
          <w:szCs w:val="24"/>
        </w:rPr>
        <w:t>330 C St. SW, 4th Floor</w:t>
      </w:r>
    </w:p>
    <w:p w14:paraId="0F4CE611" w14:textId="77777777" w:rsidR="00761FAA" w:rsidRPr="00D757F9" w:rsidRDefault="00761FAA" w:rsidP="008E27A3">
      <w:pPr>
        <w:spacing w:after="0" w:line="240" w:lineRule="auto"/>
        <w:rPr>
          <w:rFonts w:cs="Times New Roman"/>
          <w:szCs w:val="24"/>
        </w:rPr>
      </w:pPr>
      <w:r w:rsidRPr="00D757F9">
        <w:rPr>
          <w:rFonts w:cs="Times New Roman"/>
          <w:szCs w:val="24"/>
        </w:rPr>
        <w:t>Washington, DC 20201</w:t>
      </w:r>
    </w:p>
    <w:p w14:paraId="1422DF0A" w14:textId="77777777" w:rsidR="00761FAA" w:rsidRPr="008C5475" w:rsidRDefault="00761FAA" w:rsidP="008E27A3">
      <w:pPr>
        <w:spacing w:after="0" w:line="240" w:lineRule="auto"/>
        <w:rPr>
          <w:rFonts w:cs="Times New Roman"/>
          <w:szCs w:val="24"/>
        </w:rPr>
      </w:pPr>
      <w:r w:rsidRPr="00D757F9">
        <w:rPr>
          <w:rFonts w:cs="Times New Roman"/>
          <w:szCs w:val="24"/>
        </w:rPr>
        <w:t>(202) 401-5871</w:t>
      </w:r>
    </w:p>
    <w:p w14:paraId="18D33357" w14:textId="77777777" w:rsidR="00761FAA" w:rsidRPr="008C5475" w:rsidRDefault="00761FAA" w:rsidP="008E27A3">
      <w:pPr>
        <w:spacing w:after="0" w:line="240" w:lineRule="auto"/>
        <w:rPr>
          <w:rFonts w:cs="Times New Roman"/>
          <w:szCs w:val="24"/>
        </w:rPr>
      </w:pPr>
    </w:p>
    <w:p w14:paraId="796546A0" w14:textId="77777777" w:rsidR="00761FAA" w:rsidRPr="00D757F9" w:rsidRDefault="00761FAA" w:rsidP="008E27A3">
      <w:pPr>
        <w:spacing w:after="0" w:line="240" w:lineRule="auto"/>
        <w:rPr>
          <w:rFonts w:cs="Times New Roman"/>
          <w:szCs w:val="24"/>
        </w:rPr>
      </w:pPr>
    </w:p>
    <w:p w14:paraId="5BC99EE7" w14:textId="77777777" w:rsidR="00443E6D" w:rsidRPr="008C5475" w:rsidRDefault="00443E6D" w:rsidP="008E27A3">
      <w:pPr>
        <w:spacing w:line="240" w:lineRule="auto"/>
      </w:pPr>
    </w:p>
    <w:sectPr w:rsidR="00443E6D" w:rsidRPr="008C5475" w:rsidSect="00B243E1">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A9876" w16cid:durableId="20A36CEC"/>
  <w16cid:commentId w16cid:paraId="75A4F85F" w16cid:durableId="20A36CED"/>
  <w16cid:commentId w16cid:paraId="0123C704" w16cid:durableId="20AA64EF"/>
  <w16cid:commentId w16cid:paraId="32D1DFA4" w16cid:durableId="20A36CEE"/>
  <w16cid:commentId w16cid:paraId="59DCCE8D" w16cid:durableId="20A36C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31B64" w14:textId="77777777" w:rsidR="00FB3A85" w:rsidRDefault="00FB3A85" w:rsidP="001F26AE">
      <w:pPr>
        <w:spacing w:after="0" w:line="240" w:lineRule="auto"/>
      </w:pPr>
      <w:r>
        <w:separator/>
      </w:r>
    </w:p>
  </w:endnote>
  <w:endnote w:type="continuationSeparator" w:id="0">
    <w:p w14:paraId="5E74C649" w14:textId="77777777" w:rsidR="00FB3A85" w:rsidRDefault="00FB3A85" w:rsidP="001F26AE">
      <w:pPr>
        <w:spacing w:after="0" w:line="240" w:lineRule="auto"/>
      </w:pPr>
      <w:r>
        <w:continuationSeparator/>
      </w:r>
    </w:p>
  </w:endnote>
  <w:endnote w:type="continuationNotice" w:id="1">
    <w:p w14:paraId="15226CE4" w14:textId="77777777" w:rsidR="00FB3A85" w:rsidRDefault="00FB3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25579"/>
      <w:docPartObj>
        <w:docPartGallery w:val="Page Numbers (Bottom of Page)"/>
        <w:docPartUnique/>
      </w:docPartObj>
    </w:sdtPr>
    <w:sdtEndPr>
      <w:rPr>
        <w:noProof/>
      </w:rPr>
    </w:sdtEndPr>
    <w:sdtContent>
      <w:p w14:paraId="32A4EEA4" w14:textId="2F6F90E4" w:rsidR="00350B17" w:rsidRDefault="00350B17">
        <w:pPr>
          <w:pStyle w:val="Footer"/>
          <w:jc w:val="right"/>
        </w:pPr>
        <w:r>
          <w:fldChar w:fldCharType="begin"/>
        </w:r>
        <w:r>
          <w:instrText xml:space="preserve"> PAGE   \* MERGEFORMAT </w:instrText>
        </w:r>
        <w:r>
          <w:fldChar w:fldCharType="separate"/>
        </w:r>
        <w:r w:rsidR="00C445B5">
          <w:rPr>
            <w:noProof/>
          </w:rPr>
          <w:t>1</w:t>
        </w:r>
        <w:r>
          <w:rPr>
            <w:noProof/>
          </w:rPr>
          <w:fldChar w:fldCharType="end"/>
        </w:r>
      </w:p>
    </w:sdtContent>
  </w:sdt>
  <w:p w14:paraId="7C63D879" w14:textId="77777777" w:rsidR="00350B17" w:rsidRDefault="00350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A8A89" w14:textId="77777777" w:rsidR="00FB3A85" w:rsidRDefault="00FB3A85" w:rsidP="001F26AE">
      <w:pPr>
        <w:spacing w:after="0" w:line="240" w:lineRule="auto"/>
      </w:pPr>
      <w:r>
        <w:separator/>
      </w:r>
    </w:p>
  </w:footnote>
  <w:footnote w:type="continuationSeparator" w:id="0">
    <w:p w14:paraId="6BA84484" w14:textId="77777777" w:rsidR="00FB3A85" w:rsidRDefault="00FB3A85" w:rsidP="001F26AE">
      <w:pPr>
        <w:spacing w:after="0" w:line="240" w:lineRule="auto"/>
      </w:pPr>
      <w:r>
        <w:continuationSeparator/>
      </w:r>
    </w:p>
  </w:footnote>
  <w:footnote w:type="continuationNotice" w:id="1">
    <w:p w14:paraId="4F61CEB2" w14:textId="77777777" w:rsidR="00FB3A85" w:rsidRDefault="00FB3A85">
      <w:pPr>
        <w:spacing w:after="0" w:line="240" w:lineRule="auto"/>
      </w:pPr>
    </w:p>
  </w:footnote>
  <w:footnote w:id="2">
    <w:p w14:paraId="6625CAC8" w14:textId="4FD6045D" w:rsidR="004C7C79" w:rsidRDefault="004C7C79">
      <w:pPr>
        <w:pStyle w:val="FootnoteText"/>
      </w:pPr>
      <w:r w:rsidRPr="007C41E0">
        <w:rPr>
          <w:rStyle w:val="FootnoteReference"/>
        </w:rPr>
        <w:footnoteRef/>
      </w:r>
      <w:r w:rsidRPr="007C41E0">
        <w:t xml:space="preserve"> Prototyping involves showing two versions of materials to people, observing how they interact with each, and asking them to explain their reactions to each. Questions start out general and become more specific if there are particular words or phrases within the materials that the designer wants to focus on. Respondents may be asked whether they understand the program’s rules and what they are being asked to do, what aspects they do not understand, and if they have suggestions for changes to the materials.</w:t>
      </w:r>
    </w:p>
  </w:footnote>
  <w:footnote w:id="3">
    <w:p w14:paraId="6ADF3B68" w14:textId="77777777" w:rsidR="001035F2" w:rsidRPr="00EC78F3" w:rsidRDefault="001035F2" w:rsidP="001035F2">
      <w:pPr>
        <w:spacing w:after="0" w:line="240" w:lineRule="auto"/>
        <w:rPr>
          <w:rFonts w:eastAsiaTheme="minorEastAsia" w:cs="Times New Roman"/>
          <w:sz w:val="20"/>
          <w:szCs w:val="20"/>
        </w:rPr>
      </w:pPr>
      <w:r w:rsidRPr="00EC78F3">
        <w:rPr>
          <w:rStyle w:val="FootnoteReference"/>
          <w:rFonts w:cs="Times New Roman"/>
        </w:rPr>
        <w:footnoteRef/>
      </w:r>
      <w:r w:rsidRPr="00EC78F3">
        <w:rPr>
          <w:rFonts w:cs="Times New Roman"/>
        </w:rPr>
        <w:t xml:space="preserve"> </w:t>
      </w:r>
      <w:r w:rsidRPr="00EC78F3">
        <w:rPr>
          <w:rFonts w:cs="Times New Roman"/>
          <w:sz w:val="20"/>
          <w:szCs w:val="20"/>
        </w:rPr>
        <w:t xml:space="preserve">Since power calculations to determine the required sample size for a factorial design are conducted essentially the same way as in a standard two-group RCT (Somers et al, 2014), following Bloom (1995), we use </w:t>
      </w:r>
      <m:oMath>
        <m:r>
          <w:rPr>
            <w:rFonts w:ascii="Cambria Math" w:hAnsi="Cambria Math" w:cs="Times New Roman"/>
            <w:sz w:val="20"/>
            <w:szCs w:val="20"/>
          </w:rPr>
          <m:t>MDE</m:t>
        </m:r>
        <m:d>
          <m:dPr>
            <m:ctrlPr>
              <w:rPr>
                <w:rFonts w:ascii="Cambria Math" w:hAnsi="Cambria Math" w:cs="Times New Roman"/>
                <w:i/>
                <w:sz w:val="20"/>
                <w:szCs w:val="20"/>
              </w:rPr>
            </m:ctrlPr>
          </m:dPr>
          <m:e>
            <m:r>
              <w:rPr>
                <w:rFonts w:ascii="Cambria Math" w:hAnsi="Cambria Math" w:cs="Times New Roman"/>
                <w:sz w:val="20"/>
                <w:szCs w:val="20"/>
              </w:rPr>
              <m:t>β</m:t>
            </m:r>
          </m:e>
        </m:d>
        <m:r>
          <w:rPr>
            <w:rFonts w:ascii="Cambria Math" w:hAnsi="Cambria Math" w:cs="Times New Roman"/>
            <w:sz w:val="20"/>
            <w:szCs w:val="20"/>
          </w:rPr>
          <m:t>=M*</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π</m:t>
                </m:r>
                <m:d>
                  <m:dPr>
                    <m:ctrlPr>
                      <w:rPr>
                        <w:rFonts w:ascii="Cambria Math" w:hAnsi="Cambria Math" w:cs="Times New Roman"/>
                        <w:i/>
                        <w:sz w:val="20"/>
                        <w:szCs w:val="20"/>
                      </w:rPr>
                    </m:ctrlPr>
                  </m:dPr>
                  <m:e>
                    <m:r>
                      <w:rPr>
                        <w:rFonts w:ascii="Cambria Math" w:hAnsi="Cambria Math" w:cs="Times New Roman"/>
                        <w:sz w:val="20"/>
                        <w:szCs w:val="20"/>
                      </w:rPr>
                      <m:t>1-π</m:t>
                    </m:r>
                  </m:e>
                </m:d>
              </m:num>
              <m:den>
                <m:r>
                  <w:rPr>
                    <w:rFonts w:ascii="Cambria Math" w:hAnsi="Cambria Math" w:cs="Times New Roman"/>
                    <w:sz w:val="20"/>
                    <w:szCs w:val="20"/>
                  </w:rPr>
                  <m:t>n</m:t>
                </m:r>
                <m:acc>
                  <m:accPr>
                    <m:chr m:val="̅"/>
                    <m:ctrlPr>
                      <w:rPr>
                        <w:rFonts w:ascii="Cambria Math" w:hAnsi="Cambria Math" w:cs="Times New Roman"/>
                        <w:i/>
                        <w:sz w:val="20"/>
                        <w:szCs w:val="20"/>
                      </w:rPr>
                    </m:ctrlPr>
                  </m:accPr>
                  <m:e>
                    <m:r>
                      <w:rPr>
                        <w:rFonts w:ascii="Cambria Math" w:hAnsi="Cambria Math" w:cs="Times New Roman"/>
                        <w:sz w:val="20"/>
                        <w:szCs w:val="20"/>
                      </w:rPr>
                      <m:t>T</m:t>
                    </m:r>
                  </m:e>
                </m:acc>
                <m:d>
                  <m:dPr>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T</m:t>
                        </m:r>
                      </m:e>
                    </m:acc>
                  </m:e>
                </m:d>
              </m:den>
            </m:f>
          </m:e>
        </m:rad>
      </m:oMath>
      <w:r w:rsidRPr="00EC78F3">
        <w:rPr>
          <w:rFonts w:eastAsiaTheme="minorEastAsia" w:cs="Times New Roman"/>
          <w:sz w:val="20"/>
          <w:szCs w:val="20"/>
        </w:rPr>
        <w:t>, the formula to calculate the minimum detectable effect to determine the sample size for specified MDEs. We do this because we will not know the baseline outcomes (π) from which our study will be based until the Program Area Domains and problems are selected. Solving [1] for n, yields:</w:t>
      </w:r>
    </w:p>
    <w:p w14:paraId="10F7043D" w14:textId="77777777" w:rsidR="001035F2" w:rsidRPr="00EC78F3" w:rsidRDefault="001035F2" w:rsidP="001035F2">
      <w:pPr>
        <w:spacing w:after="0" w:line="240" w:lineRule="auto"/>
        <w:jc w:val="center"/>
        <w:rPr>
          <w:rFonts w:eastAsiaTheme="minorEastAsia" w:cs="Times New Roman"/>
          <w:sz w:val="20"/>
          <w:szCs w:val="20"/>
        </w:rPr>
      </w:pPr>
      <m:oMath>
        <m:r>
          <w:rPr>
            <w:rFonts w:ascii="Cambria Math" w:hAnsi="Cambria Math" w:cs="Times New Roman"/>
            <w:sz w:val="20"/>
            <w:szCs w:val="20"/>
          </w:rPr>
          <m:t>n=</m:t>
        </m:r>
        <m:f>
          <m:fPr>
            <m:ctrlPr>
              <w:rPr>
                <w:rFonts w:ascii="Cambria Math" w:hAnsi="Cambria Math" w:cs="Times New Roman"/>
                <w:i/>
                <w:iCs/>
                <w:sz w:val="20"/>
                <w:szCs w:val="20"/>
              </w:rPr>
            </m:ctrlPr>
          </m:fPr>
          <m:num>
            <m:sSup>
              <m:sSupPr>
                <m:ctrlPr>
                  <w:rPr>
                    <w:rFonts w:ascii="Cambria Math" w:hAnsi="Cambria Math" w:cs="Times New Roman"/>
                    <w:i/>
                    <w:iCs/>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num>
          <m:den>
            <m:sSup>
              <m:sSupPr>
                <m:ctrlPr>
                  <w:rPr>
                    <w:rFonts w:ascii="Cambria Math" w:hAnsi="Cambria Math" w:cs="Times New Roman"/>
                    <w:i/>
                    <w:iCs/>
                    <w:sz w:val="20"/>
                    <w:szCs w:val="20"/>
                  </w:rPr>
                </m:ctrlPr>
              </m:sSupPr>
              <m:e>
                <m:r>
                  <w:rPr>
                    <w:rFonts w:ascii="Cambria Math" w:hAnsi="Cambria Math" w:cs="Times New Roman"/>
                    <w:sz w:val="20"/>
                    <w:szCs w:val="20"/>
                  </w:rPr>
                  <m:t>MDE</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π</m:t>
            </m:r>
            <m:d>
              <m:dPr>
                <m:ctrlPr>
                  <w:rPr>
                    <w:rFonts w:ascii="Cambria Math" w:hAnsi="Cambria Math" w:cs="Times New Roman"/>
                    <w:i/>
                    <w:sz w:val="20"/>
                    <w:szCs w:val="20"/>
                  </w:rPr>
                </m:ctrlPr>
              </m:dPr>
              <m:e>
                <m:r>
                  <w:rPr>
                    <w:rFonts w:ascii="Cambria Math" w:hAnsi="Cambria Math" w:cs="Times New Roman"/>
                    <w:sz w:val="20"/>
                    <w:szCs w:val="20"/>
                  </w:rPr>
                  <m:t>1-π</m:t>
                </m:r>
              </m:e>
            </m:d>
          </m:num>
          <m:den>
            <m:acc>
              <m:accPr>
                <m:chr m:val="̅"/>
                <m:ctrlPr>
                  <w:rPr>
                    <w:rFonts w:ascii="Cambria Math" w:hAnsi="Cambria Math" w:cs="Times New Roman"/>
                    <w:i/>
                    <w:sz w:val="20"/>
                    <w:szCs w:val="20"/>
                  </w:rPr>
                </m:ctrlPr>
              </m:accPr>
              <m:e>
                <m:r>
                  <w:rPr>
                    <w:rFonts w:ascii="Cambria Math" w:hAnsi="Cambria Math" w:cs="Times New Roman"/>
                    <w:sz w:val="20"/>
                    <w:szCs w:val="20"/>
                  </w:rPr>
                  <m:t>T</m:t>
                </m:r>
              </m:e>
            </m:acc>
            <m:d>
              <m:dPr>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T</m:t>
                    </m:r>
                  </m:e>
                </m:acc>
              </m:e>
            </m:d>
          </m:den>
        </m:f>
      </m:oMath>
      <w:r w:rsidRPr="00EC78F3">
        <w:rPr>
          <w:rFonts w:eastAsiaTheme="minorEastAsia" w:cs="Times New Roman"/>
          <w:sz w:val="20"/>
          <w:szCs w:val="20"/>
        </w:rPr>
        <w:t xml:space="preserve"> </w:t>
      </w:r>
      <w:r w:rsidRPr="00EC78F3">
        <w:rPr>
          <w:rFonts w:eastAsiaTheme="minorEastAsia" w:cs="Times New Roman"/>
          <w:sz w:val="20"/>
          <w:szCs w:val="20"/>
        </w:rPr>
        <w:tab/>
        <w:t>[2]</w:t>
      </w:r>
    </w:p>
    <w:p w14:paraId="6F6A4A96" w14:textId="77777777" w:rsidR="001035F2" w:rsidRPr="00EC78F3" w:rsidRDefault="001035F2" w:rsidP="001035F2">
      <w:pPr>
        <w:spacing w:after="0" w:line="240" w:lineRule="auto"/>
        <w:rPr>
          <w:rFonts w:eastAsiaTheme="minorEastAsia" w:cs="Times New Roman"/>
          <w:sz w:val="20"/>
          <w:szCs w:val="20"/>
        </w:rPr>
      </w:pPr>
      <w:r w:rsidRPr="00EC78F3">
        <w:rPr>
          <w:rFonts w:eastAsiaTheme="minorEastAsia" w:cs="Times New Roman"/>
          <w:sz w:val="20"/>
          <w:szCs w:val="20"/>
        </w:rPr>
        <w:t xml:space="preserve">Where, </w:t>
      </w:r>
      <m:oMath>
        <m:r>
          <w:rPr>
            <w:rFonts w:ascii="Cambria Math" w:eastAsiaTheme="minorEastAsia" w:hAnsi="Cambria Math" w:cs="Times New Roman"/>
            <w:sz w:val="20"/>
            <w:szCs w:val="20"/>
          </w:rPr>
          <m:t>π</m:t>
        </m:r>
      </m:oMath>
      <w:r w:rsidRPr="00EC78F3">
        <w:rPr>
          <w:rFonts w:eastAsiaTheme="minorEastAsia" w:cs="Times New Roman"/>
          <w:sz w:val="20"/>
          <w:szCs w:val="20"/>
        </w:rPr>
        <w:t xml:space="preserve"> = the proportion of the study population that would have a value of 1 for the binary outcome in the absence of the program</w:t>
      </w:r>
    </w:p>
    <w:p w14:paraId="5BBC3FB2" w14:textId="77777777" w:rsidR="001035F2" w:rsidRPr="00EC78F3" w:rsidRDefault="001035F2" w:rsidP="001035F2">
      <w:pPr>
        <w:spacing w:after="0" w:line="240" w:lineRule="auto"/>
        <w:rPr>
          <w:rFonts w:eastAsiaTheme="minorEastAsia" w:cs="Times New Roman"/>
          <w:sz w:val="20"/>
          <w:szCs w:val="20"/>
        </w:rPr>
      </w:pPr>
      <w:r w:rsidRPr="00EC78F3">
        <w:rPr>
          <w:rFonts w:eastAsiaTheme="minorEastAsia" w:cs="Times New Roman"/>
          <w:sz w:val="20"/>
          <w:szCs w:val="20"/>
        </w:rPr>
        <w:t xml:space="preserve">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T</m:t>
            </m:r>
          </m:e>
        </m:acc>
      </m:oMath>
      <w:r w:rsidRPr="00EC78F3">
        <w:rPr>
          <w:rFonts w:eastAsiaTheme="minorEastAsia" w:cs="Times New Roman"/>
          <w:sz w:val="20"/>
          <w:szCs w:val="20"/>
        </w:rPr>
        <w:t xml:space="preserve"> </w:t>
      </w:r>
      <w:r w:rsidRPr="00EC78F3">
        <w:rPr>
          <w:rFonts w:eastAsiaTheme="minorEastAsia" w:cs="Times New Roman"/>
          <w:sz w:val="20"/>
          <w:szCs w:val="20"/>
        </w:rPr>
        <w:tab/>
        <w:t>= the proportion of the study sample that is randomly assigned to the</w:t>
      </w:r>
      <w:r w:rsidRPr="00EC78F3">
        <w:rPr>
          <w:rFonts w:eastAsiaTheme="minorEastAsia" w:cs="Times New Roman"/>
          <w:sz w:val="20"/>
          <w:szCs w:val="20"/>
        </w:rPr>
        <w:tab/>
        <w:t>treatment group</w:t>
      </w:r>
    </w:p>
    <w:p w14:paraId="5FE47C62" w14:textId="77777777" w:rsidR="001035F2" w:rsidRPr="00EC78F3" w:rsidRDefault="001035F2" w:rsidP="001035F2">
      <w:pPr>
        <w:tabs>
          <w:tab w:val="left" w:pos="1260"/>
        </w:tabs>
        <w:spacing w:after="0" w:line="240" w:lineRule="auto"/>
        <w:rPr>
          <w:rFonts w:eastAsiaTheme="minorEastAsia" w:cs="Times New Roman"/>
          <w:sz w:val="20"/>
          <w:szCs w:val="20"/>
        </w:rPr>
      </w:pPr>
      <w:r w:rsidRPr="00EC78F3">
        <w:rPr>
          <w:rFonts w:eastAsiaTheme="minorEastAsia" w:cs="Times New Roman"/>
          <w:sz w:val="20"/>
          <w:szCs w:val="20"/>
        </w:rPr>
        <w:t xml:space="preserve"> </w:t>
      </w:r>
      <m:oMath>
        <m:r>
          <w:rPr>
            <w:rFonts w:ascii="Cambria Math" w:eastAsiaTheme="minorEastAsia" w:hAnsi="Cambria Math" w:cs="Times New Roman"/>
            <w:sz w:val="20"/>
            <w:szCs w:val="20"/>
          </w:rPr>
          <m:t>MDE</m:t>
        </m:r>
      </m:oMath>
      <w:r w:rsidRPr="00EC78F3">
        <w:rPr>
          <w:rFonts w:eastAsiaTheme="minorEastAsia" w:cs="Times New Roman"/>
          <w:sz w:val="20"/>
          <w:szCs w:val="20"/>
        </w:rPr>
        <w:t xml:space="preserve"> = minimal detectable effect, which is smallest true impact that an experiment has a good chance of detecting </w:t>
      </w:r>
    </w:p>
    <w:p w14:paraId="5B84AAF2" w14:textId="77777777" w:rsidR="001035F2" w:rsidRDefault="001035F2" w:rsidP="001035F2">
      <w:pPr>
        <w:tabs>
          <w:tab w:val="left" w:pos="1260"/>
        </w:tabs>
        <w:spacing w:after="0" w:line="240" w:lineRule="auto"/>
      </w:pPr>
      <w:r w:rsidRPr="00EC78F3">
        <w:rPr>
          <w:rFonts w:eastAsiaTheme="minorEastAsia" w:cs="Times New Roman"/>
          <w:sz w:val="20"/>
          <w:szCs w:val="20"/>
        </w:rPr>
        <w:t xml:space="preserve"> </w:t>
      </w:r>
      <w:r w:rsidRPr="00EC78F3">
        <w:rPr>
          <w:rFonts w:eastAsiaTheme="minorEastAsia" w:cs="Times New Roman"/>
          <w:i/>
          <w:sz w:val="20"/>
          <w:szCs w:val="20"/>
        </w:rPr>
        <w:t>M</w:t>
      </w:r>
      <w:r w:rsidRPr="00EC78F3">
        <w:rPr>
          <w:rFonts w:eastAsiaTheme="minorEastAsia" w:cs="Times New Roman"/>
          <w:sz w:val="20"/>
          <w:szCs w:val="20"/>
        </w:rPr>
        <w:t xml:space="preserve"> = a multiplier equal to 2.49, representing the statistical significance level of 0.10 and power of 0.80.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0FD"/>
    <w:multiLevelType w:val="hybridMultilevel"/>
    <w:tmpl w:val="8BDA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BCC7B50"/>
    <w:multiLevelType w:val="hybridMultilevel"/>
    <w:tmpl w:val="43020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8A"/>
    <w:rsid w:val="00004B35"/>
    <w:rsid w:val="00016502"/>
    <w:rsid w:val="00017A11"/>
    <w:rsid w:val="000318C6"/>
    <w:rsid w:val="00036D73"/>
    <w:rsid w:val="00045E5C"/>
    <w:rsid w:val="0005096B"/>
    <w:rsid w:val="00053DBE"/>
    <w:rsid w:val="00055390"/>
    <w:rsid w:val="0007298A"/>
    <w:rsid w:val="00073B3F"/>
    <w:rsid w:val="00073B7E"/>
    <w:rsid w:val="00087C4B"/>
    <w:rsid w:val="0009480D"/>
    <w:rsid w:val="000A2DB4"/>
    <w:rsid w:val="000B0F89"/>
    <w:rsid w:val="000B3116"/>
    <w:rsid w:val="000B3CB9"/>
    <w:rsid w:val="000C5C70"/>
    <w:rsid w:val="000D6F3F"/>
    <w:rsid w:val="000E4D07"/>
    <w:rsid w:val="000E5940"/>
    <w:rsid w:val="000E6F6A"/>
    <w:rsid w:val="000F1509"/>
    <w:rsid w:val="000F3152"/>
    <w:rsid w:val="000F5EC1"/>
    <w:rsid w:val="000F6094"/>
    <w:rsid w:val="001035F2"/>
    <w:rsid w:val="00107D5B"/>
    <w:rsid w:val="00111934"/>
    <w:rsid w:val="00111E4E"/>
    <w:rsid w:val="00116576"/>
    <w:rsid w:val="001174FE"/>
    <w:rsid w:val="00117B97"/>
    <w:rsid w:val="00125494"/>
    <w:rsid w:val="00131D5D"/>
    <w:rsid w:val="001371A1"/>
    <w:rsid w:val="0014248B"/>
    <w:rsid w:val="00152121"/>
    <w:rsid w:val="001531D1"/>
    <w:rsid w:val="00166223"/>
    <w:rsid w:val="0017469B"/>
    <w:rsid w:val="0018090E"/>
    <w:rsid w:val="00180DDB"/>
    <w:rsid w:val="00181870"/>
    <w:rsid w:val="001841B6"/>
    <w:rsid w:val="0019403F"/>
    <w:rsid w:val="001972D3"/>
    <w:rsid w:val="00197DD9"/>
    <w:rsid w:val="001A03BE"/>
    <w:rsid w:val="001A7DFB"/>
    <w:rsid w:val="001B303D"/>
    <w:rsid w:val="001C0AB7"/>
    <w:rsid w:val="001C473A"/>
    <w:rsid w:val="001D17F9"/>
    <w:rsid w:val="001F26AE"/>
    <w:rsid w:val="002246ED"/>
    <w:rsid w:val="00224E2B"/>
    <w:rsid w:val="002252CD"/>
    <w:rsid w:val="0023259A"/>
    <w:rsid w:val="00232740"/>
    <w:rsid w:val="00247824"/>
    <w:rsid w:val="00251484"/>
    <w:rsid w:val="00256B26"/>
    <w:rsid w:val="00260FBC"/>
    <w:rsid w:val="002640BF"/>
    <w:rsid w:val="0027105B"/>
    <w:rsid w:val="00271717"/>
    <w:rsid w:val="002728F0"/>
    <w:rsid w:val="00275031"/>
    <w:rsid w:val="0028689E"/>
    <w:rsid w:val="00287066"/>
    <w:rsid w:val="00287070"/>
    <w:rsid w:val="00290A55"/>
    <w:rsid w:val="0029271C"/>
    <w:rsid w:val="00295358"/>
    <w:rsid w:val="002A0069"/>
    <w:rsid w:val="002A075C"/>
    <w:rsid w:val="002A5298"/>
    <w:rsid w:val="002C06ED"/>
    <w:rsid w:val="002C54E5"/>
    <w:rsid w:val="002C6C5F"/>
    <w:rsid w:val="002D607B"/>
    <w:rsid w:val="002D77BC"/>
    <w:rsid w:val="002E42AF"/>
    <w:rsid w:val="002E535C"/>
    <w:rsid w:val="002E6F57"/>
    <w:rsid w:val="002F06D8"/>
    <w:rsid w:val="002F31BC"/>
    <w:rsid w:val="00302BB8"/>
    <w:rsid w:val="003038A1"/>
    <w:rsid w:val="003100F5"/>
    <w:rsid w:val="003146D6"/>
    <w:rsid w:val="00317834"/>
    <w:rsid w:val="003203AA"/>
    <w:rsid w:val="00320762"/>
    <w:rsid w:val="003260CD"/>
    <w:rsid w:val="00332B76"/>
    <w:rsid w:val="003340B6"/>
    <w:rsid w:val="00343A7B"/>
    <w:rsid w:val="003443C7"/>
    <w:rsid w:val="00345E5C"/>
    <w:rsid w:val="00350B17"/>
    <w:rsid w:val="0036556F"/>
    <w:rsid w:val="0036734B"/>
    <w:rsid w:val="00375D4F"/>
    <w:rsid w:val="003834FC"/>
    <w:rsid w:val="00386C4B"/>
    <w:rsid w:val="00394496"/>
    <w:rsid w:val="003B0FDE"/>
    <w:rsid w:val="003B4B07"/>
    <w:rsid w:val="003B6089"/>
    <w:rsid w:val="003B60ED"/>
    <w:rsid w:val="003C2DA5"/>
    <w:rsid w:val="003C3A19"/>
    <w:rsid w:val="003D699F"/>
    <w:rsid w:val="003E0AA8"/>
    <w:rsid w:val="003E2797"/>
    <w:rsid w:val="003E728D"/>
    <w:rsid w:val="003F19D1"/>
    <w:rsid w:val="003F1E7E"/>
    <w:rsid w:val="003F37AA"/>
    <w:rsid w:val="003F4813"/>
    <w:rsid w:val="003F65A2"/>
    <w:rsid w:val="003F7BF0"/>
    <w:rsid w:val="004132F3"/>
    <w:rsid w:val="00414135"/>
    <w:rsid w:val="00416AC7"/>
    <w:rsid w:val="004224C9"/>
    <w:rsid w:val="00422FED"/>
    <w:rsid w:val="0042589F"/>
    <w:rsid w:val="00434C74"/>
    <w:rsid w:val="00442DD5"/>
    <w:rsid w:val="00443E6D"/>
    <w:rsid w:val="00446E96"/>
    <w:rsid w:val="00447D9E"/>
    <w:rsid w:val="00453A48"/>
    <w:rsid w:val="00456225"/>
    <w:rsid w:val="00460532"/>
    <w:rsid w:val="004751D2"/>
    <w:rsid w:val="0048130E"/>
    <w:rsid w:val="0048220B"/>
    <w:rsid w:val="004950B9"/>
    <w:rsid w:val="004A0678"/>
    <w:rsid w:val="004A3AA0"/>
    <w:rsid w:val="004A706D"/>
    <w:rsid w:val="004C41E9"/>
    <w:rsid w:val="004C7C79"/>
    <w:rsid w:val="004E2280"/>
    <w:rsid w:val="004F169A"/>
    <w:rsid w:val="004F2AE8"/>
    <w:rsid w:val="004F3DBF"/>
    <w:rsid w:val="00510546"/>
    <w:rsid w:val="00510909"/>
    <w:rsid w:val="00516950"/>
    <w:rsid w:val="00517837"/>
    <w:rsid w:val="00521664"/>
    <w:rsid w:val="00524840"/>
    <w:rsid w:val="005254CD"/>
    <w:rsid w:val="0052689F"/>
    <w:rsid w:val="0054465D"/>
    <w:rsid w:val="00544DAB"/>
    <w:rsid w:val="005508CD"/>
    <w:rsid w:val="0055326B"/>
    <w:rsid w:val="00555C16"/>
    <w:rsid w:val="0057416C"/>
    <w:rsid w:val="00576A03"/>
    <w:rsid w:val="005811D3"/>
    <w:rsid w:val="00587B7D"/>
    <w:rsid w:val="005902A9"/>
    <w:rsid w:val="005C1659"/>
    <w:rsid w:val="005C1764"/>
    <w:rsid w:val="005C3113"/>
    <w:rsid w:val="005C43C8"/>
    <w:rsid w:val="005C6074"/>
    <w:rsid w:val="005C63AE"/>
    <w:rsid w:val="005D62B7"/>
    <w:rsid w:val="005E091F"/>
    <w:rsid w:val="005E2D6B"/>
    <w:rsid w:val="005E5EF2"/>
    <w:rsid w:val="005E70E3"/>
    <w:rsid w:val="005F2BC9"/>
    <w:rsid w:val="005F6D6A"/>
    <w:rsid w:val="0060382D"/>
    <w:rsid w:val="006056F2"/>
    <w:rsid w:val="00606178"/>
    <w:rsid w:val="0061145E"/>
    <w:rsid w:val="006340E0"/>
    <w:rsid w:val="00653D46"/>
    <w:rsid w:val="00662D6C"/>
    <w:rsid w:val="006659E4"/>
    <w:rsid w:val="00670344"/>
    <w:rsid w:val="006706A1"/>
    <w:rsid w:val="0067596D"/>
    <w:rsid w:val="006864CE"/>
    <w:rsid w:val="0068690D"/>
    <w:rsid w:val="006905A9"/>
    <w:rsid w:val="00690B91"/>
    <w:rsid w:val="006911E4"/>
    <w:rsid w:val="006A0883"/>
    <w:rsid w:val="006A42E0"/>
    <w:rsid w:val="006A55BC"/>
    <w:rsid w:val="006A6EB3"/>
    <w:rsid w:val="006B1D77"/>
    <w:rsid w:val="006C1854"/>
    <w:rsid w:val="006C22E3"/>
    <w:rsid w:val="006D1ABA"/>
    <w:rsid w:val="006D2665"/>
    <w:rsid w:val="006E0440"/>
    <w:rsid w:val="006E1C91"/>
    <w:rsid w:val="006E48C9"/>
    <w:rsid w:val="006E59B7"/>
    <w:rsid w:val="006E7556"/>
    <w:rsid w:val="007171D4"/>
    <w:rsid w:val="00721999"/>
    <w:rsid w:val="00722603"/>
    <w:rsid w:val="007333ED"/>
    <w:rsid w:val="0074020A"/>
    <w:rsid w:val="007453BA"/>
    <w:rsid w:val="00745C83"/>
    <w:rsid w:val="00747137"/>
    <w:rsid w:val="007546B8"/>
    <w:rsid w:val="0075503D"/>
    <w:rsid w:val="007566A6"/>
    <w:rsid w:val="00761FAA"/>
    <w:rsid w:val="00762853"/>
    <w:rsid w:val="007673AC"/>
    <w:rsid w:val="00771DE2"/>
    <w:rsid w:val="007726CB"/>
    <w:rsid w:val="00774F7D"/>
    <w:rsid w:val="00777CEE"/>
    <w:rsid w:val="00785954"/>
    <w:rsid w:val="00791CF6"/>
    <w:rsid w:val="0079580D"/>
    <w:rsid w:val="007965CA"/>
    <w:rsid w:val="007A7BA6"/>
    <w:rsid w:val="007B0833"/>
    <w:rsid w:val="007B1148"/>
    <w:rsid w:val="007B1197"/>
    <w:rsid w:val="007B2477"/>
    <w:rsid w:val="007B6E45"/>
    <w:rsid w:val="007C41E0"/>
    <w:rsid w:val="007C435D"/>
    <w:rsid w:val="007E206D"/>
    <w:rsid w:val="007F213F"/>
    <w:rsid w:val="00800954"/>
    <w:rsid w:val="0080169B"/>
    <w:rsid w:val="0080198A"/>
    <w:rsid w:val="00804FD9"/>
    <w:rsid w:val="00811787"/>
    <w:rsid w:val="00820373"/>
    <w:rsid w:val="00820B92"/>
    <w:rsid w:val="008278C2"/>
    <w:rsid w:val="00830815"/>
    <w:rsid w:val="00837F36"/>
    <w:rsid w:val="00841AF9"/>
    <w:rsid w:val="00843FAF"/>
    <w:rsid w:val="008463BF"/>
    <w:rsid w:val="008478F7"/>
    <w:rsid w:val="008633B2"/>
    <w:rsid w:val="0087099C"/>
    <w:rsid w:val="00880434"/>
    <w:rsid w:val="00882B62"/>
    <w:rsid w:val="00893E6B"/>
    <w:rsid w:val="008B1510"/>
    <w:rsid w:val="008B7A94"/>
    <w:rsid w:val="008C41D5"/>
    <w:rsid w:val="008C5475"/>
    <w:rsid w:val="008D2FE2"/>
    <w:rsid w:val="008D6B72"/>
    <w:rsid w:val="008D7C59"/>
    <w:rsid w:val="008E21E2"/>
    <w:rsid w:val="008E2315"/>
    <w:rsid w:val="008E27A3"/>
    <w:rsid w:val="008E2E04"/>
    <w:rsid w:val="00901D9D"/>
    <w:rsid w:val="00903FF9"/>
    <w:rsid w:val="00910507"/>
    <w:rsid w:val="009133FA"/>
    <w:rsid w:val="00922EE2"/>
    <w:rsid w:val="00925643"/>
    <w:rsid w:val="0092713F"/>
    <w:rsid w:val="009343B5"/>
    <w:rsid w:val="00947A71"/>
    <w:rsid w:val="00954CFC"/>
    <w:rsid w:val="0095518A"/>
    <w:rsid w:val="0095558F"/>
    <w:rsid w:val="00956C63"/>
    <w:rsid w:val="0096373C"/>
    <w:rsid w:val="0099669E"/>
    <w:rsid w:val="009974C8"/>
    <w:rsid w:val="009B25F6"/>
    <w:rsid w:val="009B2DCB"/>
    <w:rsid w:val="009E3DF2"/>
    <w:rsid w:val="009F02FE"/>
    <w:rsid w:val="009F620B"/>
    <w:rsid w:val="00A00868"/>
    <w:rsid w:val="00A03999"/>
    <w:rsid w:val="00A1252E"/>
    <w:rsid w:val="00A20F38"/>
    <w:rsid w:val="00A329AA"/>
    <w:rsid w:val="00A35CA0"/>
    <w:rsid w:val="00A513B8"/>
    <w:rsid w:val="00A51714"/>
    <w:rsid w:val="00A5272F"/>
    <w:rsid w:val="00A57A7D"/>
    <w:rsid w:val="00A6010C"/>
    <w:rsid w:val="00A601B9"/>
    <w:rsid w:val="00A61C78"/>
    <w:rsid w:val="00A656BF"/>
    <w:rsid w:val="00A666E2"/>
    <w:rsid w:val="00A76BC7"/>
    <w:rsid w:val="00A847C0"/>
    <w:rsid w:val="00A8603F"/>
    <w:rsid w:val="00A976E4"/>
    <w:rsid w:val="00AA1252"/>
    <w:rsid w:val="00AA17E7"/>
    <w:rsid w:val="00AA1F98"/>
    <w:rsid w:val="00AA517C"/>
    <w:rsid w:val="00AB0E71"/>
    <w:rsid w:val="00AB3782"/>
    <w:rsid w:val="00AB6FE6"/>
    <w:rsid w:val="00AB7C30"/>
    <w:rsid w:val="00AC6FB7"/>
    <w:rsid w:val="00AD2962"/>
    <w:rsid w:val="00AD2D17"/>
    <w:rsid w:val="00AD74E0"/>
    <w:rsid w:val="00AF3AE1"/>
    <w:rsid w:val="00AF7767"/>
    <w:rsid w:val="00B0332E"/>
    <w:rsid w:val="00B06ADD"/>
    <w:rsid w:val="00B23CE4"/>
    <w:rsid w:val="00B243E1"/>
    <w:rsid w:val="00B326D3"/>
    <w:rsid w:val="00B36368"/>
    <w:rsid w:val="00B414C1"/>
    <w:rsid w:val="00B61B95"/>
    <w:rsid w:val="00B80172"/>
    <w:rsid w:val="00B85298"/>
    <w:rsid w:val="00B860BD"/>
    <w:rsid w:val="00B92854"/>
    <w:rsid w:val="00B93AF2"/>
    <w:rsid w:val="00BA2673"/>
    <w:rsid w:val="00BA637C"/>
    <w:rsid w:val="00BC00F5"/>
    <w:rsid w:val="00BC0443"/>
    <w:rsid w:val="00BC6A1E"/>
    <w:rsid w:val="00BD53DD"/>
    <w:rsid w:val="00BD5D89"/>
    <w:rsid w:val="00BD6CEB"/>
    <w:rsid w:val="00BE0667"/>
    <w:rsid w:val="00C0088C"/>
    <w:rsid w:val="00C05BC6"/>
    <w:rsid w:val="00C11FB3"/>
    <w:rsid w:val="00C13C09"/>
    <w:rsid w:val="00C17239"/>
    <w:rsid w:val="00C22D8A"/>
    <w:rsid w:val="00C30D99"/>
    <w:rsid w:val="00C30F86"/>
    <w:rsid w:val="00C315F5"/>
    <w:rsid w:val="00C33C48"/>
    <w:rsid w:val="00C40F2F"/>
    <w:rsid w:val="00C42577"/>
    <w:rsid w:val="00C445B5"/>
    <w:rsid w:val="00C52F85"/>
    <w:rsid w:val="00C56EE4"/>
    <w:rsid w:val="00C575D1"/>
    <w:rsid w:val="00C7214E"/>
    <w:rsid w:val="00C76C7B"/>
    <w:rsid w:val="00C87150"/>
    <w:rsid w:val="00C95C19"/>
    <w:rsid w:val="00C969D0"/>
    <w:rsid w:val="00CA3DDD"/>
    <w:rsid w:val="00CA6EE2"/>
    <w:rsid w:val="00CB0692"/>
    <w:rsid w:val="00CB0DE4"/>
    <w:rsid w:val="00CB60C9"/>
    <w:rsid w:val="00CD3743"/>
    <w:rsid w:val="00CE4DB8"/>
    <w:rsid w:val="00CE7620"/>
    <w:rsid w:val="00D0715F"/>
    <w:rsid w:val="00D33880"/>
    <w:rsid w:val="00D37149"/>
    <w:rsid w:val="00D3762E"/>
    <w:rsid w:val="00D44B9A"/>
    <w:rsid w:val="00D51095"/>
    <w:rsid w:val="00D5415F"/>
    <w:rsid w:val="00D63B1C"/>
    <w:rsid w:val="00D757F9"/>
    <w:rsid w:val="00D7793C"/>
    <w:rsid w:val="00DA13CC"/>
    <w:rsid w:val="00DA3444"/>
    <w:rsid w:val="00DA644A"/>
    <w:rsid w:val="00DA6675"/>
    <w:rsid w:val="00DA6E82"/>
    <w:rsid w:val="00DB3421"/>
    <w:rsid w:val="00DB3E87"/>
    <w:rsid w:val="00DB5165"/>
    <w:rsid w:val="00DB56F7"/>
    <w:rsid w:val="00DC583E"/>
    <w:rsid w:val="00DC7814"/>
    <w:rsid w:val="00DC784F"/>
    <w:rsid w:val="00DD0E52"/>
    <w:rsid w:val="00DE21D9"/>
    <w:rsid w:val="00DE5581"/>
    <w:rsid w:val="00DE58F6"/>
    <w:rsid w:val="00DF0A33"/>
    <w:rsid w:val="00DF1A10"/>
    <w:rsid w:val="00E07F04"/>
    <w:rsid w:val="00E3473C"/>
    <w:rsid w:val="00E36F97"/>
    <w:rsid w:val="00E410BB"/>
    <w:rsid w:val="00E543D8"/>
    <w:rsid w:val="00E54789"/>
    <w:rsid w:val="00E54904"/>
    <w:rsid w:val="00E556FB"/>
    <w:rsid w:val="00E61EAA"/>
    <w:rsid w:val="00E65179"/>
    <w:rsid w:val="00E73310"/>
    <w:rsid w:val="00E73602"/>
    <w:rsid w:val="00E92430"/>
    <w:rsid w:val="00E9337A"/>
    <w:rsid w:val="00EA77A5"/>
    <w:rsid w:val="00EB7809"/>
    <w:rsid w:val="00EC15D6"/>
    <w:rsid w:val="00ED2BCB"/>
    <w:rsid w:val="00ED46FE"/>
    <w:rsid w:val="00ED4D46"/>
    <w:rsid w:val="00ED55BC"/>
    <w:rsid w:val="00ED5834"/>
    <w:rsid w:val="00ED7EFE"/>
    <w:rsid w:val="00EF501A"/>
    <w:rsid w:val="00EF658C"/>
    <w:rsid w:val="00F00B70"/>
    <w:rsid w:val="00F054E3"/>
    <w:rsid w:val="00F10159"/>
    <w:rsid w:val="00F139A2"/>
    <w:rsid w:val="00F13A00"/>
    <w:rsid w:val="00F25657"/>
    <w:rsid w:val="00F26181"/>
    <w:rsid w:val="00F3720B"/>
    <w:rsid w:val="00F372E6"/>
    <w:rsid w:val="00F42EA1"/>
    <w:rsid w:val="00F509BC"/>
    <w:rsid w:val="00F617E0"/>
    <w:rsid w:val="00F66A22"/>
    <w:rsid w:val="00F7169A"/>
    <w:rsid w:val="00F74A75"/>
    <w:rsid w:val="00F96D4A"/>
    <w:rsid w:val="00FA3BFA"/>
    <w:rsid w:val="00FA44B7"/>
    <w:rsid w:val="00FA5DBA"/>
    <w:rsid w:val="00FB2CBE"/>
    <w:rsid w:val="00FB3A85"/>
    <w:rsid w:val="00FC0E98"/>
    <w:rsid w:val="00FD254E"/>
    <w:rsid w:val="00FD2DE4"/>
    <w:rsid w:val="00FD3050"/>
    <w:rsid w:val="00FD5464"/>
    <w:rsid w:val="00FE0916"/>
    <w:rsid w:val="00FE634D"/>
    <w:rsid w:val="00FF1535"/>
    <w:rsid w:val="00FF4669"/>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69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8A"/>
    <w:pPr>
      <w:spacing w:after="200"/>
    </w:pPr>
    <w:rPr>
      <w:rFonts w:ascii="Times New Roman" w:hAnsi="Times New Roman"/>
      <w:sz w:val="24"/>
    </w:rPr>
  </w:style>
  <w:style w:type="paragraph" w:styleId="Heading1">
    <w:name w:val="heading 1"/>
    <w:basedOn w:val="Normal"/>
    <w:next w:val="Normal"/>
    <w:link w:val="Heading1Char"/>
    <w:uiPriority w:val="9"/>
    <w:qFormat/>
    <w:rsid w:val="0007298A"/>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07298A"/>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8A"/>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7298A"/>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07298A"/>
    <w:rPr>
      <w:sz w:val="16"/>
      <w:szCs w:val="16"/>
    </w:rPr>
  </w:style>
  <w:style w:type="paragraph" w:styleId="CommentText">
    <w:name w:val="annotation text"/>
    <w:basedOn w:val="Normal"/>
    <w:link w:val="CommentTextChar"/>
    <w:uiPriority w:val="99"/>
    <w:unhideWhenUsed/>
    <w:rsid w:val="0007298A"/>
    <w:pPr>
      <w:spacing w:line="240" w:lineRule="auto"/>
    </w:pPr>
    <w:rPr>
      <w:sz w:val="20"/>
      <w:szCs w:val="20"/>
    </w:rPr>
  </w:style>
  <w:style w:type="character" w:customStyle="1" w:styleId="CommentTextChar">
    <w:name w:val="Comment Text Char"/>
    <w:basedOn w:val="DefaultParagraphFont"/>
    <w:link w:val="CommentText"/>
    <w:uiPriority w:val="99"/>
    <w:rsid w:val="0007298A"/>
    <w:rPr>
      <w:rFonts w:ascii="Times New Roman" w:hAnsi="Times New Roman"/>
      <w:sz w:val="20"/>
      <w:szCs w:val="20"/>
    </w:rPr>
  </w:style>
  <w:style w:type="paragraph" w:styleId="BalloonText">
    <w:name w:val="Balloon Text"/>
    <w:basedOn w:val="Normal"/>
    <w:link w:val="BalloonTextChar"/>
    <w:uiPriority w:val="99"/>
    <w:semiHidden/>
    <w:unhideWhenUsed/>
    <w:rsid w:val="0007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8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617E0"/>
    <w:rPr>
      <w:b/>
      <w:bCs/>
    </w:rPr>
  </w:style>
  <w:style w:type="character" w:customStyle="1" w:styleId="CommentSubjectChar">
    <w:name w:val="Comment Subject Char"/>
    <w:basedOn w:val="CommentTextChar"/>
    <w:link w:val="CommentSubject"/>
    <w:uiPriority w:val="99"/>
    <w:semiHidden/>
    <w:rsid w:val="00F617E0"/>
    <w:rPr>
      <w:rFonts w:ascii="Times New Roman" w:hAnsi="Times New Roman"/>
      <w:b/>
      <w:bCs/>
      <w:sz w:val="20"/>
      <w:szCs w:val="20"/>
    </w:rPr>
  </w:style>
  <w:style w:type="paragraph" w:styleId="ListParagraph">
    <w:name w:val="List Paragraph"/>
    <w:basedOn w:val="Normal"/>
    <w:uiPriority w:val="34"/>
    <w:qFormat/>
    <w:rsid w:val="00CB60C9"/>
    <w:pPr>
      <w:ind w:left="720"/>
      <w:contextualSpacing/>
    </w:pPr>
  </w:style>
  <w:style w:type="paragraph" w:styleId="Revision">
    <w:name w:val="Revision"/>
    <w:hidden/>
    <w:uiPriority w:val="99"/>
    <w:semiHidden/>
    <w:rsid w:val="00345E5C"/>
    <w:pPr>
      <w:spacing w:line="240" w:lineRule="auto"/>
    </w:pPr>
    <w:rPr>
      <w:rFonts w:ascii="Times New Roman" w:hAnsi="Times New Roman"/>
      <w:sz w:val="24"/>
    </w:rPr>
  </w:style>
  <w:style w:type="character" w:styleId="Hyperlink">
    <w:name w:val="Hyperlink"/>
    <w:uiPriority w:val="99"/>
    <w:unhideWhenUsed/>
    <w:rsid w:val="003100F5"/>
    <w:rPr>
      <w:rFonts w:ascii="Times New Roman" w:hAnsi="Times New Roman" w:cs="Times New Roman" w:hint="default"/>
      <w:color w:val="0000FF"/>
      <w:u w:val="single"/>
    </w:rPr>
  </w:style>
  <w:style w:type="paragraph" w:styleId="TOC1">
    <w:name w:val="toc 1"/>
    <w:basedOn w:val="Normal"/>
    <w:next w:val="Normal"/>
    <w:autoRedefine/>
    <w:uiPriority w:val="39"/>
    <w:semiHidden/>
    <w:unhideWhenUsed/>
    <w:rsid w:val="003100F5"/>
    <w:pPr>
      <w:tabs>
        <w:tab w:val="left" w:pos="360"/>
        <w:tab w:val="right" w:leader="dot" w:pos="9350"/>
      </w:tabs>
      <w:spacing w:after="0" w:line="240" w:lineRule="auto"/>
    </w:pPr>
    <w:rPr>
      <w:rFonts w:eastAsia="Times New Roman" w:cs="Times New Roman"/>
      <w:szCs w:val="24"/>
    </w:rPr>
  </w:style>
  <w:style w:type="paragraph" w:styleId="TOC2">
    <w:name w:val="toc 2"/>
    <w:basedOn w:val="Normal"/>
    <w:next w:val="Normal"/>
    <w:autoRedefine/>
    <w:uiPriority w:val="39"/>
    <w:unhideWhenUsed/>
    <w:rsid w:val="003100F5"/>
    <w:pPr>
      <w:tabs>
        <w:tab w:val="left" w:pos="900"/>
        <w:tab w:val="right" w:leader="dot" w:pos="9350"/>
      </w:tabs>
      <w:spacing w:after="0" w:line="240" w:lineRule="auto"/>
      <w:ind w:left="810" w:hanging="570"/>
    </w:pPr>
    <w:rPr>
      <w:rFonts w:eastAsia="Times New Roman" w:cs="Times New Roman"/>
      <w:szCs w:val="24"/>
    </w:rPr>
  </w:style>
  <w:style w:type="paragraph" w:styleId="FootnoteText">
    <w:name w:val="footnote text"/>
    <w:basedOn w:val="Normal"/>
    <w:link w:val="FootnoteTextChar"/>
    <w:uiPriority w:val="99"/>
    <w:unhideWhenUsed/>
    <w:rsid w:val="001F26AE"/>
    <w:pPr>
      <w:spacing w:after="0" w:line="240" w:lineRule="auto"/>
    </w:pPr>
    <w:rPr>
      <w:sz w:val="20"/>
      <w:szCs w:val="20"/>
    </w:rPr>
  </w:style>
  <w:style w:type="character" w:customStyle="1" w:styleId="FootnoteTextChar">
    <w:name w:val="Footnote Text Char"/>
    <w:basedOn w:val="DefaultParagraphFont"/>
    <w:link w:val="FootnoteText"/>
    <w:uiPriority w:val="99"/>
    <w:rsid w:val="001F26AE"/>
    <w:rPr>
      <w:rFonts w:ascii="Times New Roman" w:hAnsi="Times New Roman"/>
      <w:sz w:val="20"/>
      <w:szCs w:val="20"/>
    </w:rPr>
  </w:style>
  <w:style w:type="character" w:styleId="FootnoteReference">
    <w:name w:val="footnote reference"/>
    <w:basedOn w:val="DefaultParagraphFont"/>
    <w:uiPriority w:val="99"/>
    <w:semiHidden/>
    <w:unhideWhenUsed/>
    <w:rsid w:val="001F26AE"/>
    <w:rPr>
      <w:vertAlign w:val="superscript"/>
    </w:rPr>
  </w:style>
  <w:style w:type="paragraph" w:styleId="Header">
    <w:name w:val="header"/>
    <w:basedOn w:val="Normal"/>
    <w:link w:val="HeaderChar"/>
    <w:uiPriority w:val="99"/>
    <w:unhideWhenUsed/>
    <w:rsid w:val="00350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17"/>
    <w:rPr>
      <w:rFonts w:ascii="Times New Roman" w:hAnsi="Times New Roman"/>
      <w:sz w:val="24"/>
    </w:rPr>
  </w:style>
  <w:style w:type="paragraph" w:styleId="Footer">
    <w:name w:val="footer"/>
    <w:basedOn w:val="Normal"/>
    <w:link w:val="FooterChar"/>
    <w:uiPriority w:val="99"/>
    <w:unhideWhenUsed/>
    <w:rsid w:val="00350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17"/>
    <w:rPr>
      <w:rFonts w:ascii="Times New Roman" w:hAnsi="Times New Roman"/>
      <w:sz w:val="24"/>
    </w:rPr>
  </w:style>
  <w:style w:type="paragraph" w:styleId="NormalWeb">
    <w:name w:val="Normal (Web)"/>
    <w:basedOn w:val="Normal"/>
    <w:uiPriority w:val="99"/>
    <w:semiHidden/>
    <w:unhideWhenUsed/>
    <w:rsid w:val="001035F2"/>
    <w:pPr>
      <w:spacing w:before="100" w:beforeAutospacing="1" w:after="100" w:afterAutospacing="1" w:line="240" w:lineRule="auto"/>
    </w:pPr>
    <w:rPr>
      <w:rFonts w:eastAsiaTheme="minorEastAsia" w:cs="Times New Roman"/>
      <w:szCs w:val="24"/>
    </w:rPr>
  </w:style>
  <w:style w:type="paragraph" w:customStyle="1" w:styleId="NormalSS">
    <w:name w:val="NormalSS"/>
    <w:basedOn w:val="Normal"/>
    <w:link w:val="NormalSSChar"/>
    <w:qFormat/>
    <w:rsid w:val="001035F2"/>
    <w:pPr>
      <w:tabs>
        <w:tab w:val="left" w:pos="432"/>
      </w:tabs>
      <w:spacing w:after="240" w:line="240" w:lineRule="auto"/>
      <w:ind w:firstLine="432"/>
      <w:jc w:val="both"/>
    </w:pPr>
    <w:rPr>
      <w:rFonts w:ascii="Garamond" w:eastAsia="Times New Roman" w:hAnsi="Garamond" w:cs="Times New Roman"/>
      <w:szCs w:val="24"/>
    </w:rPr>
  </w:style>
  <w:style w:type="character" w:customStyle="1" w:styleId="NormalSSChar">
    <w:name w:val="NormalSS Char"/>
    <w:basedOn w:val="DefaultParagraphFont"/>
    <w:link w:val="NormalSS"/>
    <w:locked/>
    <w:rsid w:val="001035F2"/>
    <w:rPr>
      <w:rFonts w:ascii="Garamond" w:eastAsia="Times New Roman" w:hAnsi="Garamond" w:cs="Times New Roman"/>
      <w:sz w:val="24"/>
      <w:szCs w:val="24"/>
    </w:rPr>
  </w:style>
  <w:style w:type="character" w:customStyle="1" w:styleId="apple-converted-space">
    <w:name w:val="apple-converted-space"/>
    <w:basedOn w:val="DefaultParagraphFont"/>
    <w:rsid w:val="002252CD"/>
  </w:style>
  <w:style w:type="character" w:styleId="Emphasis">
    <w:name w:val="Emphasis"/>
    <w:basedOn w:val="DefaultParagraphFont"/>
    <w:uiPriority w:val="20"/>
    <w:qFormat/>
    <w:rsid w:val="002252CD"/>
    <w:rPr>
      <w:i/>
      <w:iCs/>
    </w:rPr>
  </w:style>
  <w:style w:type="paragraph" w:customStyle="1" w:styleId="tx">
    <w:name w:val="tx"/>
    <w:basedOn w:val="Normal"/>
    <w:rsid w:val="00BA2673"/>
    <w:pPr>
      <w:spacing w:before="100" w:beforeAutospacing="1" w:after="100" w:afterAutospacing="1" w:line="240" w:lineRule="auto"/>
    </w:pPr>
    <w:rPr>
      <w:rFonts w:eastAsia="Times New Roman" w:cs="Times New Roman"/>
      <w:szCs w:val="24"/>
    </w:rPr>
  </w:style>
  <w:style w:type="character" w:customStyle="1" w:styleId="catalog-subtitle">
    <w:name w:val="catalog-subtitle"/>
    <w:basedOn w:val="DefaultParagraphFont"/>
    <w:rsid w:val="00BA2673"/>
  </w:style>
  <w:style w:type="character" w:customStyle="1" w:styleId="bookyear">
    <w:name w:val="bookyear"/>
    <w:basedOn w:val="DefaultParagraphFont"/>
    <w:rsid w:val="00BA2673"/>
  </w:style>
  <w:style w:type="paragraph" w:styleId="TOCHeading">
    <w:name w:val="TOC Heading"/>
    <w:basedOn w:val="Heading1"/>
    <w:next w:val="Normal"/>
    <w:uiPriority w:val="39"/>
    <w:unhideWhenUsed/>
    <w:qFormat/>
    <w:rsid w:val="0072199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
    <w:name w:val="Unresolved Mention"/>
    <w:basedOn w:val="DefaultParagraphFont"/>
    <w:uiPriority w:val="99"/>
    <w:unhideWhenUsed/>
    <w:rsid w:val="00FE0916"/>
    <w:rPr>
      <w:color w:val="605E5C"/>
      <w:shd w:val="clear" w:color="auto" w:fill="E1DFDD"/>
    </w:rPr>
  </w:style>
  <w:style w:type="character" w:customStyle="1" w:styleId="Mention">
    <w:name w:val="Mention"/>
    <w:basedOn w:val="DefaultParagraphFont"/>
    <w:uiPriority w:val="99"/>
    <w:unhideWhenUsed/>
    <w:rsid w:val="00FE091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98A"/>
    <w:pPr>
      <w:spacing w:after="200"/>
    </w:pPr>
    <w:rPr>
      <w:rFonts w:ascii="Times New Roman" w:hAnsi="Times New Roman"/>
      <w:sz w:val="24"/>
    </w:rPr>
  </w:style>
  <w:style w:type="paragraph" w:styleId="Heading1">
    <w:name w:val="heading 1"/>
    <w:basedOn w:val="Normal"/>
    <w:next w:val="Normal"/>
    <w:link w:val="Heading1Char"/>
    <w:uiPriority w:val="9"/>
    <w:qFormat/>
    <w:rsid w:val="0007298A"/>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07298A"/>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8A"/>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7298A"/>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07298A"/>
    <w:rPr>
      <w:sz w:val="16"/>
      <w:szCs w:val="16"/>
    </w:rPr>
  </w:style>
  <w:style w:type="paragraph" w:styleId="CommentText">
    <w:name w:val="annotation text"/>
    <w:basedOn w:val="Normal"/>
    <w:link w:val="CommentTextChar"/>
    <w:uiPriority w:val="99"/>
    <w:unhideWhenUsed/>
    <w:rsid w:val="0007298A"/>
    <w:pPr>
      <w:spacing w:line="240" w:lineRule="auto"/>
    </w:pPr>
    <w:rPr>
      <w:sz w:val="20"/>
      <w:szCs w:val="20"/>
    </w:rPr>
  </w:style>
  <w:style w:type="character" w:customStyle="1" w:styleId="CommentTextChar">
    <w:name w:val="Comment Text Char"/>
    <w:basedOn w:val="DefaultParagraphFont"/>
    <w:link w:val="CommentText"/>
    <w:uiPriority w:val="99"/>
    <w:rsid w:val="0007298A"/>
    <w:rPr>
      <w:rFonts w:ascii="Times New Roman" w:hAnsi="Times New Roman"/>
      <w:sz w:val="20"/>
      <w:szCs w:val="20"/>
    </w:rPr>
  </w:style>
  <w:style w:type="paragraph" w:styleId="BalloonText">
    <w:name w:val="Balloon Text"/>
    <w:basedOn w:val="Normal"/>
    <w:link w:val="BalloonTextChar"/>
    <w:uiPriority w:val="99"/>
    <w:semiHidden/>
    <w:unhideWhenUsed/>
    <w:rsid w:val="0007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8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617E0"/>
    <w:rPr>
      <w:b/>
      <w:bCs/>
    </w:rPr>
  </w:style>
  <w:style w:type="character" w:customStyle="1" w:styleId="CommentSubjectChar">
    <w:name w:val="Comment Subject Char"/>
    <w:basedOn w:val="CommentTextChar"/>
    <w:link w:val="CommentSubject"/>
    <w:uiPriority w:val="99"/>
    <w:semiHidden/>
    <w:rsid w:val="00F617E0"/>
    <w:rPr>
      <w:rFonts w:ascii="Times New Roman" w:hAnsi="Times New Roman"/>
      <w:b/>
      <w:bCs/>
      <w:sz w:val="20"/>
      <w:szCs w:val="20"/>
    </w:rPr>
  </w:style>
  <w:style w:type="paragraph" w:styleId="ListParagraph">
    <w:name w:val="List Paragraph"/>
    <w:basedOn w:val="Normal"/>
    <w:uiPriority w:val="34"/>
    <w:qFormat/>
    <w:rsid w:val="00CB60C9"/>
    <w:pPr>
      <w:ind w:left="720"/>
      <w:contextualSpacing/>
    </w:pPr>
  </w:style>
  <w:style w:type="paragraph" w:styleId="Revision">
    <w:name w:val="Revision"/>
    <w:hidden/>
    <w:uiPriority w:val="99"/>
    <w:semiHidden/>
    <w:rsid w:val="00345E5C"/>
    <w:pPr>
      <w:spacing w:line="240" w:lineRule="auto"/>
    </w:pPr>
    <w:rPr>
      <w:rFonts w:ascii="Times New Roman" w:hAnsi="Times New Roman"/>
      <w:sz w:val="24"/>
    </w:rPr>
  </w:style>
  <w:style w:type="character" w:styleId="Hyperlink">
    <w:name w:val="Hyperlink"/>
    <w:uiPriority w:val="99"/>
    <w:unhideWhenUsed/>
    <w:rsid w:val="003100F5"/>
    <w:rPr>
      <w:rFonts w:ascii="Times New Roman" w:hAnsi="Times New Roman" w:cs="Times New Roman" w:hint="default"/>
      <w:color w:val="0000FF"/>
      <w:u w:val="single"/>
    </w:rPr>
  </w:style>
  <w:style w:type="paragraph" w:styleId="TOC1">
    <w:name w:val="toc 1"/>
    <w:basedOn w:val="Normal"/>
    <w:next w:val="Normal"/>
    <w:autoRedefine/>
    <w:uiPriority w:val="39"/>
    <w:semiHidden/>
    <w:unhideWhenUsed/>
    <w:rsid w:val="003100F5"/>
    <w:pPr>
      <w:tabs>
        <w:tab w:val="left" w:pos="360"/>
        <w:tab w:val="right" w:leader="dot" w:pos="9350"/>
      </w:tabs>
      <w:spacing w:after="0" w:line="240" w:lineRule="auto"/>
    </w:pPr>
    <w:rPr>
      <w:rFonts w:eastAsia="Times New Roman" w:cs="Times New Roman"/>
      <w:szCs w:val="24"/>
    </w:rPr>
  </w:style>
  <w:style w:type="paragraph" w:styleId="TOC2">
    <w:name w:val="toc 2"/>
    <w:basedOn w:val="Normal"/>
    <w:next w:val="Normal"/>
    <w:autoRedefine/>
    <w:uiPriority w:val="39"/>
    <w:unhideWhenUsed/>
    <w:rsid w:val="003100F5"/>
    <w:pPr>
      <w:tabs>
        <w:tab w:val="left" w:pos="900"/>
        <w:tab w:val="right" w:leader="dot" w:pos="9350"/>
      </w:tabs>
      <w:spacing w:after="0" w:line="240" w:lineRule="auto"/>
      <w:ind w:left="810" w:hanging="570"/>
    </w:pPr>
    <w:rPr>
      <w:rFonts w:eastAsia="Times New Roman" w:cs="Times New Roman"/>
      <w:szCs w:val="24"/>
    </w:rPr>
  </w:style>
  <w:style w:type="paragraph" w:styleId="FootnoteText">
    <w:name w:val="footnote text"/>
    <w:basedOn w:val="Normal"/>
    <w:link w:val="FootnoteTextChar"/>
    <w:uiPriority w:val="99"/>
    <w:unhideWhenUsed/>
    <w:rsid w:val="001F26AE"/>
    <w:pPr>
      <w:spacing w:after="0" w:line="240" w:lineRule="auto"/>
    </w:pPr>
    <w:rPr>
      <w:sz w:val="20"/>
      <w:szCs w:val="20"/>
    </w:rPr>
  </w:style>
  <w:style w:type="character" w:customStyle="1" w:styleId="FootnoteTextChar">
    <w:name w:val="Footnote Text Char"/>
    <w:basedOn w:val="DefaultParagraphFont"/>
    <w:link w:val="FootnoteText"/>
    <w:uiPriority w:val="99"/>
    <w:rsid w:val="001F26AE"/>
    <w:rPr>
      <w:rFonts w:ascii="Times New Roman" w:hAnsi="Times New Roman"/>
      <w:sz w:val="20"/>
      <w:szCs w:val="20"/>
    </w:rPr>
  </w:style>
  <w:style w:type="character" w:styleId="FootnoteReference">
    <w:name w:val="footnote reference"/>
    <w:basedOn w:val="DefaultParagraphFont"/>
    <w:uiPriority w:val="99"/>
    <w:semiHidden/>
    <w:unhideWhenUsed/>
    <w:rsid w:val="001F26AE"/>
    <w:rPr>
      <w:vertAlign w:val="superscript"/>
    </w:rPr>
  </w:style>
  <w:style w:type="paragraph" w:styleId="Header">
    <w:name w:val="header"/>
    <w:basedOn w:val="Normal"/>
    <w:link w:val="HeaderChar"/>
    <w:uiPriority w:val="99"/>
    <w:unhideWhenUsed/>
    <w:rsid w:val="00350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17"/>
    <w:rPr>
      <w:rFonts w:ascii="Times New Roman" w:hAnsi="Times New Roman"/>
      <w:sz w:val="24"/>
    </w:rPr>
  </w:style>
  <w:style w:type="paragraph" w:styleId="Footer">
    <w:name w:val="footer"/>
    <w:basedOn w:val="Normal"/>
    <w:link w:val="FooterChar"/>
    <w:uiPriority w:val="99"/>
    <w:unhideWhenUsed/>
    <w:rsid w:val="00350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17"/>
    <w:rPr>
      <w:rFonts w:ascii="Times New Roman" w:hAnsi="Times New Roman"/>
      <w:sz w:val="24"/>
    </w:rPr>
  </w:style>
  <w:style w:type="paragraph" w:styleId="NormalWeb">
    <w:name w:val="Normal (Web)"/>
    <w:basedOn w:val="Normal"/>
    <w:uiPriority w:val="99"/>
    <w:semiHidden/>
    <w:unhideWhenUsed/>
    <w:rsid w:val="001035F2"/>
    <w:pPr>
      <w:spacing w:before="100" w:beforeAutospacing="1" w:after="100" w:afterAutospacing="1" w:line="240" w:lineRule="auto"/>
    </w:pPr>
    <w:rPr>
      <w:rFonts w:eastAsiaTheme="minorEastAsia" w:cs="Times New Roman"/>
      <w:szCs w:val="24"/>
    </w:rPr>
  </w:style>
  <w:style w:type="paragraph" w:customStyle="1" w:styleId="NormalSS">
    <w:name w:val="NormalSS"/>
    <w:basedOn w:val="Normal"/>
    <w:link w:val="NormalSSChar"/>
    <w:qFormat/>
    <w:rsid w:val="001035F2"/>
    <w:pPr>
      <w:tabs>
        <w:tab w:val="left" w:pos="432"/>
      </w:tabs>
      <w:spacing w:after="240" w:line="240" w:lineRule="auto"/>
      <w:ind w:firstLine="432"/>
      <w:jc w:val="both"/>
    </w:pPr>
    <w:rPr>
      <w:rFonts w:ascii="Garamond" w:eastAsia="Times New Roman" w:hAnsi="Garamond" w:cs="Times New Roman"/>
      <w:szCs w:val="24"/>
    </w:rPr>
  </w:style>
  <w:style w:type="character" w:customStyle="1" w:styleId="NormalSSChar">
    <w:name w:val="NormalSS Char"/>
    <w:basedOn w:val="DefaultParagraphFont"/>
    <w:link w:val="NormalSS"/>
    <w:locked/>
    <w:rsid w:val="001035F2"/>
    <w:rPr>
      <w:rFonts w:ascii="Garamond" w:eastAsia="Times New Roman" w:hAnsi="Garamond" w:cs="Times New Roman"/>
      <w:sz w:val="24"/>
      <w:szCs w:val="24"/>
    </w:rPr>
  </w:style>
  <w:style w:type="character" w:customStyle="1" w:styleId="apple-converted-space">
    <w:name w:val="apple-converted-space"/>
    <w:basedOn w:val="DefaultParagraphFont"/>
    <w:rsid w:val="002252CD"/>
  </w:style>
  <w:style w:type="character" w:styleId="Emphasis">
    <w:name w:val="Emphasis"/>
    <w:basedOn w:val="DefaultParagraphFont"/>
    <w:uiPriority w:val="20"/>
    <w:qFormat/>
    <w:rsid w:val="002252CD"/>
    <w:rPr>
      <w:i/>
      <w:iCs/>
    </w:rPr>
  </w:style>
  <w:style w:type="paragraph" w:customStyle="1" w:styleId="tx">
    <w:name w:val="tx"/>
    <w:basedOn w:val="Normal"/>
    <w:rsid w:val="00BA2673"/>
    <w:pPr>
      <w:spacing w:before="100" w:beforeAutospacing="1" w:after="100" w:afterAutospacing="1" w:line="240" w:lineRule="auto"/>
    </w:pPr>
    <w:rPr>
      <w:rFonts w:eastAsia="Times New Roman" w:cs="Times New Roman"/>
      <w:szCs w:val="24"/>
    </w:rPr>
  </w:style>
  <w:style w:type="character" w:customStyle="1" w:styleId="catalog-subtitle">
    <w:name w:val="catalog-subtitle"/>
    <w:basedOn w:val="DefaultParagraphFont"/>
    <w:rsid w:val="00BA2673"/>
  </w:style>
  <w:style w:type="character" w:customStyle="1" w:styleId="bookyear">
    <w:name w:val="bookyear"/>
    <w:basedOn w:val="DefaultParagraphFont"/>
    <w:rsid w:val="00BA2673"/>
  </w:style>
  <w:style w:type="paragraph" w:styleId="TOCHeading">
    <w:name w:val="TOC Heading"/>
    <w:basedOn w:val="Heading1"/>
    <w:next w:val="Normal"/>
    <w:uiPriority w:val="39"/>
    <w:unhideWhenUsed/>
    <w:qFormat/>
    <w:rsid w:val="0072199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
    <w:name w:val="Unresolved Mention"/>
    <w:basedOn w:val="DefaultParagraphFont"/>
    <w:uiPriority w:val="99"/>
    <w:unhideWhenUsed/>
    <w:rsid w:val="00FE0916"/>
    <w:rPr>
      <w:color w:val="605E5C"/>
      <w:shd w:val="clear" w:color="auto" w:fill="E1DFDD"/>
    </w:rPr>
  </w:style>
  <w:style w:type="character" w:customStyle="1" w:styleId="Mention">
    <w:name w:val="Mention"/>
    <w:basedOn w:val="DefaultParagraphFont"/>
    <w:uiPriority w:val="99"/>
    <w:unhideWhenUsed/>
    <w:rsid w:val="00FE09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7967">
      <w:bodyDiv w:val="1"/>
      <w:marLeft w:val="0"/>
      <w:marRight w:val="0"/>
      <w:marTop w:val="0"/>
      <w:marBottom w:val="0"/>
      <w:divBdr>
        <w:top w:val="none" w:sz="0" w:space="0" w:color="auto"/>
        <w:left w:val="none" w:sz="0" w:space="0" w:color="auto"/>
        <w:bottom w:val="none" w:sz="0" w:space="0" w:color="auto"/>
        <w:right w:val="none" w:sz="0" w:space="0" w:color="auto"/>
      </w:divBdr>
    </w:div>
    <w:div w:id="469984644">
      <w:bodyDiv w:val="1"/>
      <w:marLeft w:val="0"/>
      <w:marRight w:val="0"/>
      <w:marTop w:val="0"/>
      <w:marBottom w:val="0"/>
      <w:divBdr>
        <w:top w:val="none" w:sz="0" w:space="0" w:color="auto"/>
        <w:left w:val="none" w:sz="0" w:space="0" w:color="auto"/>
        <w:bottom w:val="none" w:sz="0" w:space="0" w:color="auto"/>
        <w:right w:val="none" w:sz="0" w:space="0" w:color="auto"/>
      </w:divBdr>
    </w:div>
    <w:div w:id="585266231">
      <w:bodyDiv w:val="1"/>
      <w:marLeft w:val="0"/>
      <w:marRight w:val="0"/>
      <w:marTop w:val="0"/>
      <w:marBottom w:val="0"/>
      <w:divBdr>
        <w:top w:val="none" w:sz="0" w:space="0" w:color="auto"/>
        <w:left w:val="none" w:sz="0" w:space="0" w:color="auto"/>
        <w:bottom w:val="none" w:sz="0" w:space="0" w:color="auto"/>
        <w:right w:val="none" w:sz="0" w:space="0" w:color="auto"/>
      </w:divBdr>
    </w:div>
    <w:div w:id="647247707">
      <w:bodyDiv w:val="1"/>
      <w:marLeft w:val="0"/>
      <w:marRight w:val="0"/>
      <w:marTop w:val="0"/>
      <w:marBottom w:val="0"/>
      <w:divBdr>
        <w:top w:val="none" w:sz="0" w:space="0" w:color="auto"/>
        <w:left w:val="none" w:sz="0" w:space="0" w:color="auto"/>
        <w:bottom w:val="none" w:sz="0" w:space="0" w:color="auto"/>
        <w:right w:val="none" w:sz="0" w:space="0" w:color="auto"/>
      </w:divBdr>
    </w:div>
    <w:div w:id="957640673">
      <w:bodyDiv w:val="1"/>
      <w:marLeft w:val="0"/>
      <w:marRight w:val="0"/>
      <w:marTop w:val="0"/>
      <w:marBottom w:val="0"/>
      <w:divBdr>
        <w:top w:val="none" w:sz="0" w:space="0" w:color="auto"/>
        <w:left w:val="none" w:sz="0" w:space="0" w:color="auto"/>
        <w:bottom w:val="none" w:sz="0" w:space="0" w:color="auto"/>
        <w:right w:val="none" w:sz="0" w:space="0" w:color="auto"/>
      </w:divBdr>
    </w:div>
    <w:div w:id="997684968">
      <w:bodyDiv w:val="1"/>
      <w:marLeft w:val="0"/>
      <w:marRight w:val="0"/>
      <w:marTop w:val="0"/>
      <w:marBottom w:val="0"/>
      <w:divBdr>
        <w:top w:val="none" w:sz="0" w:space="0" w:color="auto"/>
        <w:left w:val="none" w:sz="0" w:space="0" w:color="auto"/>
        <w:bottom w:val="none" w:sz="0" w:space="0" w:color="auto"/>
        <w:right w:val="none" w:sz="0" w:space="0" w:color="auto"/>
      </w:divBdr>
    </w:div>
    <w:div w:id="15258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8" ma:contentTypeDescription="Create a new document." ma:contentTypeScope="" ma:versionID="3be15da436abfe39d03b8c7fd7333b74">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24c968b31d22a879abc64234cc85ac1a"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0963f003-5b44-4800-b4a1-640f5347aa52">
      <UserInfo>
        <DisplayName>Rebecca Schwartz</DisplayName>
        <AccountId>12</AccountId>
        <AccountType/>
      </UserInfo>
      <UserInfo>
        <DisplayName>Jean Grossman</DisplayName>
        <AccountId>37</AccountId>
        <AccountType/>
      </UserInfo>
      <UserInfo>
        <DisplayName>Ilana Brody</DisplayName>
        <AccountId>6</AccountId>
        <AccountType/>
      </UserInfo>
      <UserInfo>
        <DisplayName>Helen Lee</DisplayName>
        <AccountId>21</AccountId>
        <AccountType/>
      </UserInfo>
      <UserInfo>
        <DisplayName>Clinton Key</DisplayName>
        <AccountId>88</AccountId>
        <AccountType/>
      </UserInfo>
      <UserInfo>
        <DisplayName>Mary Bambino</DisplayName>
        <AccountId>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DB164-A45F-41BF-8E15-58225A97676D}">
  <ds:schemaRefs>
    <ds:schemaRef ds:uri="http://schemas.microsoft.com/sharepoint/v3/contenttype/forms"/>
  </ds:schemaRefs>
</ds:datastoreItem>
</file>

<file path=customXml/itemProps2.xml><?xml version="1.0" encoding="utf-8"?>
<ds:datastoreItem xmlns:ds="http://schemas.openxmlformats.org/officeDocument/2006/customXml" ds:itemID="{0D936725-74CD-437A-A36E-6D3E573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0F8ED-4487-4C5C-8775-E7E08CFC128D}">
  <ds:schemaRefs>
    <ds:schemaRef ds:uri="http://schemas.microsoft.com/office/2006/documentManagement/types"/>
    <ds:schemaRef ds:uri="48a9a164-40a6-44ad-87b1-f60fe5c502c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963f003-5b44-4800-b4a1-640f5347aa52"/>
    <ds:schemaRef ds:uri="http://www.w3.org/XML/1998/namespace"/>
    <ds:schemaRef ds:uri="http://purl.org/dc/dcmitype/"/>
  </ds:schemaRefs>
</ds:datastoreItem>
</file>

<file path=customXml/itemProps4.xml><?xml version="1.0" encoding="utf-8"?>
<ds:datastoreItem xmlns:ds="http://schemas.openxmlformats.org/officeDocument/2006/customXml" ds:itemID="{CAE04D0E-02F1-4372-8CBD-A659ED7A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21633</CharactersWithSpaces>
  <SharedDoc>false</SharedDoc>
  <HLinks>
    <vt:vector size="36" baseType="variant">
      <vt:variant>
        <vt:i4>1310777</vt:i4>
      </vt:variant>
      <vt:variant>
        <vt:i4>26</vt:i4>
      </vt:variant>
      <vt:variant>
        <vt:i4>0</vt:i4>
      </vt:variant>
      <vt:variant>
        <vt:i4>5</vt:i4>
      </vt:variant>
      <vt:variant>
        <vt:lpwstr/>
      </vt:variant>
      <vt:variant>
        <vt:lpwstr>_Toc11078207</vt:lpwstr>
      </vt:variant>
      <vt:variant>
        <vt:i4>1376313</vt:i4>
      </vt:variant>
      <vt:variant>
        <vt:i4>20</vt:i4>
      </vt:variant>
      <vt:variant>
        <vt:i4>0</vt:i4>
      </vt:variant>
      <vt:variant>
        <vt:i4>5</vt:i4>
      </vt:variant>
      <vt:variant>
        <vt:lpwstr/>
      </vt:variant>
      <vt:variant>
        <vt:lpwstr>_Toc11078206</vt:lpwstr>
      </vt:variant>
      <vt:variant>
        <vt:i4>1441849</vt:i4>
      </vt:variant>
      <vt:variant>
        <vt:i4>14</vt:i4>
      </vt:variant>
      <vt:variant>
        <vt:i4>0</vt:i4>
      </vt:variant>
      <vt:variant>
        <vt:i4>5</vt:i4>
      </vt:variant>
      <vt:variant>
        <vt:lpwstr/>
      </vt:variant>
      <vt:variant>
        <vt:lpwstr>_Toc11078205</vt:lpwstr>
      </vt:variant>
      <vt:variant>
        <vt:i4>1507385</vt:i4>
      </vt:variant>
      <vt:variant>
        <vt:i4>8</vt:i4>
      </vt:variant>
      <vt:variant>
        <vt:i4>0</vt:i4>
      </vt:variant>
      <vt:variant>
        <vt:i4>5</vt:i4>
      </vt:variant>
      <vt:variant>
        <vt:lpwstr/>
      </vt:variant>
      <vt:variant>
        <vt:lpwstr>_Toc11078204</vt:lpwstr>
      </vt:variant>
      <vt:variant>
        <vt:i4>1048633</vt:i4>
      </vt:variant>
      <vt:variant>
        <vt:i4>2</vt:i4>
      </vt:variant>
      <vt:variant>
        <vt:i4>0</vt:i4>
      </vt:variant>
      <vt:variant>
        <vt:i4>5</vt:i4>
      </vt:variant>
      <vt:variant>
        <vt:lpwstr/>
      </vt:variant>
      <vt:variant>
        <vt:lpwstr>_Toc11078203</vt:lpwstr>
      </vt:variant>
      <vt:variant>
        <vt:i4>3932248</vt:i4>
      </vt:variant>
      <vt:variant>
        <vt:i4>0</vt:i4>
      </vt:variant>
      <vt:variant>
        <vt:i4>0</vt:i4>
      </vt:variant>
      <vt:variant>
        <vt:i4>5</vt:i4>
      </vt:variant>
      <vt:variant>
        <vt:lpwstr>mailto:Ilana.Brody@mdrc.org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Kabak, Victoria (ACF)</dc:creator>
  <cp:keywords/>
  <cp:lastModifiedBy>SYSTEM</cp:lastModifiedBy>
  <cp:revision>2</cp:revision>
  <cp:lastPrinted>2019-05-10T21:10:00Z</cp:lastPrinted>
  <dcterms:created xsi:type="dcterms:W3CDTF">2019-07-11T13:59:00Z</dcterms:created>
  <dcterms:modified xsi:type="dcterms:W3CDTF">2019-07-11T13:59:00Z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y fmtid="{D5CDD505-2E9C-101B-9397-08002B2CF9AE}" pid="3" name="AuthorIds_UIVersion_3584">
    <vt:lpwstr>12</vt:lpwstr>
  </property>
</Properties>
</file>