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292" w:rsidRDefault="00E53E79">
      <w:pPr>
        <w:pStyle w:val="Heading1"/>
        <w:spacing w:before="76"/>
        <w:ind w:left="3016" w:right="3011" w:hanging="1"/>
        <w:jc w:val="center"/>
      </w:pPr>
      <w:bookmarkStart w:id="0" w:name="_GoBack"/>
      <w:bookmarkEnd w:id="0"/>
      <w:r>
        <w:rPr>
          <w:u w:val="thick"/>
        </w:rPr>
        <w:t xml:space="preserve">Supporting Statement – Part A </w:t>
      </w:r>
      <w:r>
        <w:t>Student Health Insurance</w:t>
      </w:r>
      <w:r>
        <w:rPr>
          <w:spacing w:val="-15"/>
        </w:rPr>
        <w:t xml:space="preserve"> </w:t>
      </w:r>
      <w:r>
        <w:t>Coverage</w:t>
      </w:r>
    </w:p>
    <w:p w:rsidR="00454292" w:rsidRDefault="00046BF8">
      <w:pPr>
        <w:ind w:left="2347" w:right="2345"/>
        <w:jc w:val="center"/>
        <w:rPr>
          <w:b/>
          <w:sz w:val="24"/>
        </w:rPr>
      </w:pPr>
      <w:r>
        <w:rPr>
          <w:b/>
          <w:sz w:val="24"/>
        </w:rPr>
        <w:t>(CMS-10377/OMB control n</w:t>
      </w:r>
      <w:r w:rsidR="00E53E79">
        <w:rPr>
          <w:b/>
          <w:sz w:val="24"/>
        </w:rPr>
        <w:t>umber: 0938-1157)</w:t>
      </w:r>
    </w:p>
    <w:p w:rsidR="00454292" w:rsidRDefault="00454292">
      <w:pPr>
        <w:pStyle w:val="BodyText"/>
        <w:rPr>
          <w:b/>
          <w:sz w:val="20"/>
        </w:rPr>
      </w:pPr>
    </w:p>
    <w:p w:rsidR="00454292" w:rsidRDefault="00E53E79">
      <w:pPr>
        <w:pStyle w:val="ListParagraph"/>
        <w:numPr>
          <w:ilvl w:val="0"/>
          <w:numId w:val="3"/>
        </w:numPr>
        <w:tabs>
          <w:tab w:val="left" w:pos="532"/>
        </w:tabs>
        <w:spacing w:before="90"/>
        <w:rPr>
          <w:b/>
          <w:sz w:val="24"/>
        </w:rPr>
      </w:pPr>
      <w:r>
        <w:rPr>
          <w:b/>
          <w:sz w:val="24"/>
          <w:u w:val="thick"/>
        </w:rPr>
        <w:t>Background</w:t>
      </w:r>
    </w:p>
    <w:p w:rsidR="00454292" w:rsidRDefault="00454292">
      <w:pPr>
        <w:pStyle w:val="BodyText"/>
        <w:spacing w:before="8"/>
        <w:rPr>
          <w:b/>
          <w:sz w:val="15"/>
        </w:rPr>
      </w:pPr>
    </w:p>
    <w:p w:rsidR="00454292" w:rsidRDefault="00E53E79">
      <w:pPr>
        <w:pStyle w:val="BodyText"/>
        <w:spacing w:before="90"/>
        <w:ind w:left="532" w:right="170"/>
      </w:pPr>
      <w:r>
        <w:t>The Patient Protection and Affordable Care Act, Pub. L. 111-148, was enacted on March 23, 2010; and the Health Care and Education Reconciliation Act of 2010, Pub. L. 111-152, was enacted on March 30, 2010 (collectively known as the “Affordable Care Act”). The Affordable Care Act reorganizes, amends, and adds to the provisions of part A of title XXVII of the Public Health Service Act (PHS Act) relating to group health plans and health insurance issuers in the group and individual markets.</w:t>
      </w:r>
    </w:p>
    <w:p w:rsidR="00454292" w:rsidRDefault="00454292">
      <w:pPr>
        <w:pStyle w:val="BodyText"/>
        <w:spacing w:before="9"/>
        <w:rPr>
          <w:sz w:val="20"/>
        </w:rPr>
      </w:pPr>
    </w:p>
    <w:p w:rsidR="00454292" w:rsidRDefault="00E53E79">
      <w:pPr>
        <w:pStyle w:val="BodyText"/>
        <w:spacing w:before="1"/>
        <w:ind w:left="531" w:right="131"/>
      </w:pPr>
      <w:bookmarkStart w:id="1" w:name="Under_the_student_health_insurance_cover"/>
      <w:bookmarkEnd w:id="1"/>
      <w:r>
        <w:t>Under the student health insurance coverage final regulation published March 21, 2012 (77 FR 16453), student health insurance coverage is a type of individual health insurance coverage provided pursuant to a written agreement between an institution of higher education (as defined in the Higher Education Act of 1965) and a health insurance issuer, and provided to students who are enrolled in that institution and their dependents.  In addition, student health insurance coverage must not be made available other than in connection with enrollment as a student, must not condition enrollment on any health status-related factor, and must satisfy any additional requirements that may be imposed under state law.</w:t>
      </w:r>
    </w:p>
    <w:p w:rsidR="00454292" w:rsidRDefault="00454292">
      <w:pPr>
        <w:pStyle w:val="BodyText"/>
      </w:pPr>
    </w:p>
    <w:p w:rsidR="00454292" w:rsidRDefault="00E53E79">
      <w:pPr>
        <w:pStyle w:val="BodyText"/>
        <w:ind w:left="531" w:right="131"/>
      </w:pPr>
      <w:r>
        <w:t>The Patient Protection and Affordable Care Act; HHS Notice of Benefit and Payment Parameters for 2017 final rule (2017 Payment Notice) published March 18, 2016 (81 FR 12203) provides that, for policy years beginning on or after July 1, 2016, student health insurance coverage is exempt from the actuarial value (AV) requirements under section 1302(d) of the Affordable Care Act, but must provide at least 60 percent AV. The issuer must also specify in any plan materials summarizing the terms of the coverage the AV of the coverage and metal level (or next lowest metal level) the coverage would otherwise satisfy.</w:t>
      </w:r>
    </w:p>
    <w:p w:rsidR="00454292" w:rsidRDefault="00454292">
      <w:pPr>
        <w:pStyle w:val="BodyText"/>
        <w:rPr>
          <w:sz w:val="26"/>
        </w:rPr>
      </w:pPr>
    </w:p>
    <w:p w:rsidR="00454292" w:rsidRDefault="00454292">
      <w:pPr>
        <w:pStyle w:val="BodyText"/>
        <w:spacing w:before="4"/>
        <w:rPr>
          <w:sz w:val="22"/>
        </w:rPr>
      </w:pPr>
    </w:p>
    <w:p w:rsidR="00454292" w:rsidRDefault="00E53E79">
      <w:pPr>
        <w:pStyle w:val="Heading1"/>
        <w:numPr>
          <w:ilvl w:val="0"/>
          <w:numId w:val="3"/>
        </w:numPr>
        <w:tabs>
          <w:tab w:val="left" w:pos="531"/>
          <w:tab w:val="left" w:pos="532"/>
        </w:tabs>
      </w:pPr>
      <w:r>
        <w:rPr>
          <w:u w:val="thick"/>
        </w:rPr>
        <w:t>Justification</w:t>
      </w:r>
    </w:p>
    <w:p w:rsidR="00454292" w:rsidRDefault="00454292">
      <w:pPr>
        <w:pStyle w:val="BodyText"/>
        <w:spacing w:before="8"/>
        <w:rPr>
          <w:b/>
          <w:sz w:val="15"/>
        </w:rPr>
      </w:pPr>
    </w:p>
    <w:p w:rsidR="00454292" w:rsidRDefault="00E53E79">
      <w:pPr>
        <w:pStyle w:val="BodyText"/>
        <w:spacing w:before="90"/>
        <w:ind w:left="100"/>
      </w:pPr>
      <w:r>
        <w:t xml:space="preserve">1 .   </w:t>
      </w:r>
      <w:r>
        <w:rPr>
          <w:u w:val="single"/>
        </w:rPr>
        <w:t>Need and Legal Basis</w:t>
      </w:r>
    </w:p>
    <w:p w:rsidR="00454292" w:rsidRDefault="00454292">
      <w:pPr>
        <w:pStyle w:val="BodyText"/>
        <w:spacing w:before="2"/>
        <w:rPr>
          <w:sz w:val="16"/>
        </w:rPr>
      </w:pPr>
    </w:p>
    <w:p w:rsidR="00454292" w:rsidRDefault="00E53E79">
      <w:pPr>
        <w:pStyle w:val="BodyText"/>
        <w:spacing w:before="90"/>
        <w:ind w:left="532" w:right="13"/>
      </w:pPr>
      <w:r>
        <w:t>Section 1560(c) of the Affordable Care Act provides that "Nothing in this title (or an amendment made by this title) shall be construed to prohibit an institution of higher education (as such term is defined for purposes of the Higher Education Act of 1965) from offering a student health insurance plan, to the extent that such requirement is otherwise permitted under applicable federal, state, or local law." The Department has determined that this provision of the Affordable Care Act provides HHS limited authority to exclude student health insurance</w:t>
      </w:r>
    </w:p>
    <w:p w:rsidR="00454292" w:rsidRDefault="00454292">
      <w:pPr>
        <w:sectPr w:rsidR="00454292">
          <w:footerReference w:type="default" r:id="rId8"/>
          <w:type w:val="continuous"/>
          <w:pgSz w:w="12240" w:h="15840"/>
          <w:pgMar w:top="1360" w:right="1200" w:bottom="1980" w:left="1340" w:header="720" w:footer="1790" w:gutter="0"/>
          <w:pgNumType w:start="1"/>
          <w:cols w:space="720"/>
        </w:sectPr>
      </w:pPr>
    </w:p>
    <w:p w:rsidR="00454292" w:rsidRDefault="00E53E79">
      <w:pPr>
        <w:pStyle w:val="BodyText"/>
        <w:spacing w:before="72"/>
        <w:ind w:left="532" w:right="137"/>
      </w:pPr>
      <w:r>
        <w:lastRenderedPageBreak/>
        <w:t>plans from certain requirements of the Affordable Care Act that would, as a practical matter, prohibit or inhibit the offering of such coverage.</w:t>
      </w:r>
    </w:p>
    <w:p w:rsidR="00454292" w:rsidRDefault="00454292">
      <w:pPr>
        <w:pStyle w:val="BodyText"/>
      </w:pPr>
    </w:p>
    <w:p w:rsidR="00454292" w:rsidRDefault="00E53E79">
      <w:pPr>
        <w:pStyle w:val="BodyText"/>
        <w:ind w:left="532" w:right="137"/>
      </w:pPr>
      <w:r>
        <w:t>The 2017 Payment Notice further provided that student health insurance coverage is not subject to the actuarial value requirements under section 1302(d) of the Affordable Care Act, as implemented in §§156.135 and 156.140, for policy years beginning on or after July 1, 2016, but must provide an actuarial value of at least 60 percent. The final rule also requires student health insurance issuers to specify in any plan materials summarizing the terms of the coverage the actuarial value of the coverage and the metal level (or next lowest metal level) the coverage would otherwise satisfy.</w:t>
      </w:r>
    </w:p>
    <w:p w:rsidR="00454292" w:rsidRDefault="00454292">
      <w:pPr>
        <w:pStyle w:val="BodyText"/>
        <w:spacing w:before="11"/>
        <w:rPr>
          <w:sz w:val="23"/>
        </w:rPr>
      </w:pPr>
    </w:p>
    <w:p w:rsidR="00454292" w:rsidRDefault="00E53E79">
      <w:pPr>
        <w:pStyle w:val="ListParagraph"/>
        <w:numPr>
          <w:ilvl w:val="0"/>
          <w:numId w:val="2"/>
        </w:numPr>
        <w:tabs>
          <w:tab w:val="left" w:pos="531"/>
          <w:tab w:val="left" w:pos="532"/>
        </w:tabs>
        <w:rPr>
          <w:sz w:val="24"/>
        </w:rPr>
      </w:pPr>
      <w:r>
        <w:rPr>
          <w:sz w:val="24"/>
          <w:u w:val="single"/>
        </w:rPr>
        <w:t>Information</w:t>
      </w:r>
      <w:r>
        <w:rPr>
          <w:spacing w:val="-8"/>
          <w:sz w:val="24"/>
          <w:u w:val="single"/>
        </w:rPr>
        <w:t xml:space="preserve"> </w:t>
      </w:r>
      <w:r>
        <w:rPr>
          <w:sz w:val="24"/>
          <w:u w:val="single"/>
        </w:rPr>
        <w:t>Users</w:t>
      </w:r>
    </w:p>
    <w:p w:rsidR="00454292" w:rsidRDefault="00454292">
      <w:pPr>
        <w:pStyle w:val="BodyText"/>
        <w:spacing w:before="1"/>
        <w:rPr>
          <w:sz w:val="16"/>
        </w:rPr>
      </w:pPr>
    </w:p>
    <w:p w:rsidR="00454292" w:rsidRDefault="00E53E79">
      <w:pPr>
        <w:pStyle w:val="BodyText"/>
        <w:spacing w:before="90"/>
        <w:ind w:left="531" w:right="85"/>
      </w:pPr>
      <w:r>
        <w:t>This information will allow students and their dependents to compare the generosity of the student health insurance plan with other available coverage options, such as coverage under a parent’s plan or coverage through the Exchange, and choose a plan that best meets their needs and budget. It will also enable institutions of higher education to arrange student health insurance coverage.</w:t>
      </w:r>
    </w:p>
    <w:p w:rsidR="00454292" w:rsidRDefault="00454292">
      <w:pPr>
        <w:pStyle w:val="BodyText"/>
        <w:spacing w:before="10"/>
        <w:rPr>
          <w:sz w:val="23"/>
        </w:rPr>
      </w:pPr>
    </w:p>
    <w:p w:rsidR="00454292" w:rsidRDefault="00E53E79">
      <w:pPr>
        <w:pStyle w:val="ListParagraph"/>
        <w:numPr>
          <w:ilvl w:val="0"/>
          <w:numId w:val="2"/>
        </w:numPr>
        <w:tabs>
          <w:tab w:val="left" w:pos="531"/>
          <w:tab w:val="left" w:pos="532"/>
        </w:tabs>
        <w:spacing w:before="1"/>
        <w:rPr>
          <w:sz w:val="24"/>
        </w:rPr>
      </w:pPr>
      <w:r>
        <w:rPr>
          <w:sz w:val="24"/>
          <w:u w:val="single"/>
        </w:rPr>
        <w:t>Use of Information</w:t>
      </w:r>
      <w:r>
        <w:rPr>
          <w:spacing w:val="-6"/>
          <w:sz w:val="24"/>
          <w:u w:val="single"/>
        </w:rPr>
        <w:t xml:space="preserve"> </w:t>
      </w:r>
      <w:r>
        <w:rPr>
          <w:sz w:val="24"/>
          <w:u w:val="single"/>
        </w:rPr>
        <w:t>Technology</w:t>
      </w:r>
    </w:p>
    <w:p w:rsidR="00454292" w:rsidRDefault="00454292">
      <w:pPr>
        <w:pStyle w:val="BodyText"/>
        <w:spacing w:before="2"/>
        <w:rPr>
          <w:sz w:val="16"/>
        </w:rPr>
      </w:pPr>
    </w:p>
    <w:p w:rsidR="00454292" w:rsidRDefault="00E53E79">
      <w:pPr>
        <w:pStyle w:val="BodyText"/>
        <w:spacing w:before="90"/>
        <w:ind w:left="531" w:right="304"/>
      </w:pPr>
      <w:r>
        <w:t>Issuers may use electronic technology to incorporate the required AV and metal level information into any plan materials summarizing the terms of the coverage and to distribute those documents, consistent with applicable federal and state law.</w:t>
      </w:r>
    </w:p>
    <w:p w:rsidR="00454292" w:rsidRDefault="00454292">
      <w:pPr>
        <w:pStyle w:val="BodyText"/>
        <w:spacing w:before="11"/>
        <w:rPr>
          <w:sz w:val="23"/>
        </w:rPr>
      </w:pPr>
    </w:p>
    <w:p w:rsidR="00454292" w:rsidRDefault="00E53E79">
      <w:pPr>
        <w:pStyle w:val="ListParagraph"/>
        <w:numPr>
          <w:ilvl w:val="0"/>
          <w:numId w:val="2"/>
        </w:numPr>
        <w:tabs>
          <w:tab w:val="left" w:pos="531"/>
          <w:tab w:val="left" w:pos="532"/>
        </w:tabs>
        <w:rPr>
          <w:sz w:val="24"/>
        </w:rPr>
      </w:pPr>
      <w:r>
        <w:rPr>
          <w:sz w:val="24"/>
          <w:u w:val="single"/>
        </w:rPr>
        <w:t>Duplication of</w:t>
      </w:r>
      <w:r>
        <w:rPr>
          <w:spacing w:val="-9"/>
          <w:sz w:val="24"/>
          <w:u w:val="single"/>
        </w:rPr>
        <w:t xml:space="preserve"> </w:t>
      </w:r>
      <w:r>
        <w:rPr>
          <w:sz w:val="24"/>
          <w:u w:val="single"/>
        </w:rPr>
        <w:t>Efforts</w:t>
      </w:r>
    </w:p>
    <w:p w:rsidR="00454292" w:rsidRDefault="00454292">
      <w:pPr>
        <w:pStyle w:val="BodyText"/>
        <w:spacing w:before="1"/>
        <w:rPr>
          <w:sz w:val="16"/>
        </w:rPr>
      </w:pPr>
    </w:p>
    <w:p w:rsidR="00454292" w:rsidRDefault="00E53E79">
      <w:pPr>
        <w:pStyle w:val="BodyText"/>
        <w:spacing w:before="90"/>
        <w:ind w:left="532" w:right="389"/>
      </w:pPr>
      <w:r>
        <w:t>This is the only such requirement for student health insurance issuers to disclose the plans’ actuarial value and metal level (or next lowest metal level), thus there is no duplication of effort.</w:t>
      </w:r>
    </w:p>
    <w:p w:rsidR="00454292" w:rsidRDefault="00454292">
      <w:pPr>
        <w:pStyle w:val="BodyText"/>
        <w:spacing w:before="10"/>
        <w:rPr>
          <w:sz w:val="23"/>
        </w:rPr>
      </w:pPr>
    </w:p>
    <w:p w:rsidR="00454292" w:rsidRDefault="00E53E79">
      <w:pPr>
        <w:pStyle w:val="ListParagraph"/>
        <w:numPr>
          <w:ilvl w:val="0"/>
          <w:numId w:val="2"/>
        </w:numPr>
        <w:tabs>
          <w:tab w:val="left" w:pos="531"/>
          <w:tab w:val="left" w:pos="532"/>
        </w:tabs>
        <w:spacing w:before="1"/>
        <w:rPr>
          <w:sz w:val="24"/>
        </w:rPr>
      </w:pPr>
      <w:r>
        <w:rPr>
          <w:sz w:val="24"/>
          <w:u w:val="single"/>
        </w:rPr>
        <w:t>Small</w:t>
      </w:r>
      <w:r>
        <w:rPr>
          <w:spacing w:val="-6"/>
          <w:sz w:val="24"/>
          <w:u w:val="single"/>
        </w:rPr>
        <w:t xml:space="preserve"> </w:t>
      </w:r>
      <w:r>
        <w:rPr>
          <w:sz w:val="24"/>
          <w:u w:val="single"/>
        </w:rPr>
        <w:t>Businesses</w:t>
      </w:r>
    </w:p>
    <w:p w:rsidR="00454292" w:rsidRDefault="00454292">
      <w:pPr>
        <w:pStyle w:val="BodyText"/>
        <w:spacing w:before="2"/>
        <w:rPr>
          <w:sz w:val="16"/>
        </w:rPr>
      </w:pPr>
    </w:p>
    <w:p w:rsidR="00454292" w:rsidRDefault="00E53E79">
      <w:pPr>
        <w:pStyle w:val="BodyText"/>
        <w:spacing w:before="90"/>
        <w:ind w:left="531"/>
      </w:pPr>
      <w:bookmarkStart w:id="2" w:name="Small_businesses_are_not_affected_by_thi"/>
      <w:bookmarkEnd w:id="2"/>
      <w:r>
        <w:t>Small businesses are not affected by this collection.</w:t>
      </w:r>
    </w:p>
    <w:p w:rsidR="00454292" w:rsidRDefault="00454292">
      <w:pPr>
        <w:pStyle w:val="BodyText"/>
        <w:spacing w:before="11"/>
        <w:rPr>
          <w:sz w:val="23"/>
        </w:rPr>
      </w:pPr>
    </w:p>
    <w:p w:rsidR="00454292" w:rsidRDefault="00E53E79">
      <w:pPr>
        <w:pStyle w:val="ListParagraph"/>
        <w:numPr>
          <w:ilvl w:val="0"/>
          <w:numId w:val="2"/>
        </w:numPr>
        <w:tabs>
          <w:tab w:val="left" w:pos="531"/>
          <w:tab w:val="left" w:pos="532"/>
        </w:tabs>
        <w:rPr>
          <w:sz w:val="24"/>
        </w:rPr>
      </w:pPr>
      <w:r>
        <w:rPr>
          <w:sz w:val="24"/>
          <w:u w:val="single"/>
        </w:rPr>
        <w:t>Less Frequent</w:t>
      </w:r>
      <w:r>
        <w:rPr>
          <w:spacing w:val="-8"/>
          <w:sz w:val="24"/>
          <w:u w:val="single"/>
        </w:rPr>
        <w:t xml:space="preserve"> </w:t>
      </w:r>
      <w:r>
        <w:rPr>
          <w:sz w:val="24"/>
          <w:u w:val="single"/>
        </w:rPr>
        <w:t>Collection</w:t>
      </w:r>
    </w:p>
    <w:p w:rsidR="00454292" w:rsidRDefault="00454292">
      <w:pPr>
        <w:pStyle w:val="BodyText"/>
        <w:spacing w:before="1"/>
        <w:rPr>
          <w:sz w:val="16"/>
        </w:rPr>
      </w:pPr>
    </w:p>
    <w:p w:rsidR="00454292" w:rsidRDefault="00E53E79">
      <w:pPr>
        <w:pStyle w:val="BodyText"/>
        <w:spacing w:before="90"/>
        <w:ind w:left="531" w:right="101"/>
        <w:jc w:val="both"/>
      </w:pPr>
      <w:r>
        <w:t>If this information collection is conducted on a lesser frequency, students seeking to enroll in, or required to have, student health insurance coverage would not be provided the opportunity and information needed to compare and evaluate student health insurance coverage with other available coverage options.</w:t>
      </w:r>
    </w:p>
    <w:p w:rsidR="00454292" w:rsidRDefault="00454292">
      <w:pPr>
        <w:pStyle w:val="BodyText"/>
        <w:spacing w:before="10"/>
        <w:rPr>
          <w:sz w:val="23"/>
        </w:rPr>
      </w:pPr>
    </w:p>
    <w:p w:rsidR="00454292" w:rsidRDefault="00E53E79">
      <w:pPr>
        <w:pStyle w:val="ListParagraph"/>
        <w:numPr>
          <w:ilvl w:val="0"/>
          <w:numId w:val="2"/>
        </w:numPr>
        <w:tabs>
          <w:tab w:val="left" w:pos="531"/>
          <w:tab w:val="left" w:pos="532"/>
        </w:tabs>
        <w:spacing w:before="1"/>
        <w:rPr>
          <w:sz w:val="24"/>
        </w:rPr>
      </w:pPr>
      <w:r>
        <w:rPr>
          <w:sz w:val="24"/>
          <w:u w:val="single"/>
        </w:rPr>
        <w:t>Special</w:t>
      </w:r>
      <w:r>
        <w:rPr>
          <w:spacing w:val="-10"/>
          <w:sz w:val="24"/>
          <w:u w:val="single"/>
        </w:rPr>
        <w:t xml:space="preserve"> </w:t>
      </w:r>
      <w:r>
        <w:rPr>
          <w:sz w:val="24"/>
          <w:u w:val="single"/>
        </w:rPr>
        <w:t>Circumstances</w:t>
      </w:r>
    </w:p>
    <w:p w:rsidR="00454292" w:rsidRDefault="00454292">
      <w:pPr>
        <w:rPr>
          <w:sz w:val="24"/>
        </w:rPr>
        <w:sectPr w:rsidR="00454292">
          <w:pgSz w:w="12240" w:h="15840"/>
          <w:pgMar w:top="1360" w:right="1240" w:bottom="1980" w:left="1340" w:header="0" w:footer="1790" w:gutter="0"/>
          <w:cols w:space="720"/>
        </w:sectPr>
      </w:pPr>
    </w:p>
    <w:p w:rsidR="00454292" w:rsidRDefault="00E53E79">
      <w:pPr>
        <w:pStyle w:val="BodyText"/>
        <w:spacing w:before="72"/>
        <w:ind w:left="531"/>
      </w:pPr>
      <w:r>
        <w:lastRenderedPageBreak/>
        <w:t>There are no special circumstances.</w:t>
      </w:r>
    </w:p>
    <w:p w:rsidR="00454292" w:rsidRDefault="00454292">
      <w:pPr>
        <w:pStyle w:val="BodyText"/>
      </w:pPr>
    </w:p>
    <w:p w:rsidR="00454292" w:rsidRDefault="00E53E79">
      <w:pPr>
        <w:pStyle w:val="ListParagraph"/>
        <w:numPr>
          <w:ilvl w:val="0"/>
          <w:numId w:val="2"/>
        </w:numPr>
        <w:tabs>
          <w:tab w:val="left" w:pos="531"/>
          <w:tab w:val="left" w:pos="532"/>
        </w:tabs>
        <w:rPr>
          <w:sz w:val="24"/>
        </w:rPr>
      </w:pPr>
      <w:r>
        <w:rPr>
          <w:sz w:val="24"/>
          <w:u w:val="single"/>
        </w:rPr>
        <w:t>Federal Register/Outside</w:t>
      </w:r>
      <w:r>
        <w:rPr>
          <w:spacing w:val="-10"/>
          <w:sz w:val="24"/>
          <w:u w:val="single"/>
        </w:rPr>
        <w:t xml:space="preserve"> </w:t>
      </w:r>
      <w:r>
        <w:rPr>
          <w:sz w:val="24"/>
          <w:u w:val="single"/>
        </w:rPr>
        <w:t>Consultation</w:t>
      </w:r>
    </w:p>
    <w:p w:rsidR="00454292" w:rsidRDefault="00454292">
      <w:pPr>
        <w:pStyle w:val="BodyText"/>
        <w:spacing w:before="2"/>
        <w:rPr>
          <w:sz w:val="16"/>
        </w:rPr>
      </w:pPr>
    </w:p>
    <w:p w:rsidR="00454292" w:rsidRDefault="00E53E79">
      <w:pPr>
        <w:pStyle w:val="BodyText"/>
        <w:spacing w:before="90"/>
        <w:ind w:left="531" w:right="97"/>
      </w:pPr>
      <w:r>
        <w:t>A Federal Register notice was published on December 11, 2018 (83 FR 63647), providing the public with a 60-day period to submit written comments on the information collection requirement (ICR). No comments were received.</w:t>
      </w:r>
    </w:p>
    <w:p w:rsidR="00454292" w:rsidRDefault="00454292">
      <w:pPr>
        <w:pStyle w:val="BodyText"/>
      </w:pPr>
    </w:p>
    <w:p w:rsidR="00454292" w:rsidRDefault="00E53E79">
      <w:pPr>
        <w:pStyle w:val="ListParagraph"/>
        <w:numPr>
          <w:ilvl w:val="0"/>
          <w:numId w:val="2"/>
        </w:numPr>
        <w:tabs>
          <w:tab w:val="left" w:pos="531"/>
          <w:tab w:val="left" w:pos="532"/>
        </w:tabs>
        <w:rPr>
          <w:sz w:val="24"/>
        </w:rPr>
      </w:pPr>
      <w:r>
        <w:rPr>
          <w:sz w:val="24"/>
          <w:u w:val="single"/>
        </w:rPr>
        <w:t>Payments/Gifts to</w:t>
      </w:r>
      <w:r>
        <w:rPr>
          <w:spacing w:val="-8"/>
          <w:sz w:val="24"/>
          <w:u w:val="single"/>
        </w:rPr>
        <w:t xml:space="preserve"> </w:t>
      </w:r>
      <w:r>
        <w:rPr>
          <w:sz w:val="24"/>
          <w:u w:val="single"/>
        </w:rPr>
        <w:t>Respondents</w:t>
      </w:r>
    </w:p>
    <w:p w:rsidR="00454292" w:rsidRDefault="00454292">
      <w:pPr>
        <w:pStyle w:val="BodyText"/>
        <w:spacing w:before="2"/>
        <w:rPr>
          <w:sz w:val="16"/>
        </w:rPr>
      </w:pPr>
    </w:p>
    <w:p w:rsidR="00454292" w:rsidRDefault="00E53E79">
      <w:pPr>
        <w:pStyle w:val="BodyText"/>
        <w:spacing w:before="90"/>
        <w:ind w:left="551"/>
      </w:pPr>
      <w:r>
        <w:t>No payments or gifts are associated with this ICR.</w:t>
      </w:r>
    </w:p>
    <w:p w:rsidR="00454292" w:rsidRDefault="00454292">
      <w:pPr>
        <w:pStyle w:val="BodyText"/>
      </w:pPr>
    </w:p>
    <w:p w:rsidR="00454292" w:rsidRDefault="00E53E79">
      <w:pPr>
        <w:pStyle w:val="ListParagraph"/>
        <w:numPr>
          <w:ilvl w:val="0"/>
          <w:numId w:val="2"/>
        </w:numPr>
        <w:tabs>
          <w:tab w:val="left" w:pos="532"/>
        </w:tabs>
        <w:rPr>
          <w:sz w:val="24"/>
        </w:rPr>
      </w:pPr>
      <w:r>
        <w:rPr>
          <w:sz w:val="24"/>
          <w:u w:val="single"/>
        </w:rPr>
        <w:t>Confidentiality</w:t>
      </w:r>
    </w:p>
    <w:p w:rsidR="00454292" w:rsidRDefault="00454292">
      <w:pPr>
        <w:pStyle w:val="BodyText"/>
        <w:spacing w:before="2"/>
        <w:rPr>
          <w:sz w:val="16"/>
        </w:rPr>
      </w:pPr>
    </w:p>
    <w:p w:rsidR="00454292" w:rsidRDefault="00E53E79">
      <w:pPr>
        <w:pStyle w:val="BodyText"/>
        <w:spacing w:before="90"/>
        <w:ind w:left="531"/>
      </w:pPr>
      <w:r>
        <w:t>CMS will protect the privacy of the information provided to the extent provided by law.</w:t>
      </w:r>
    </w:p>
    <w:p w:rsidR="00454292" w:rsidRDefault="00454292">
      <w:pPr>
        <w:pStyle w:val="BodyText"/>
      </w:pPr>
    </w:p>
    <w:p w:rsidR="00454292" w:rsidRDefault="00E53E79">
      <w:pPr>
        <w:pStyle w:val="ListParagraph"/>
        <w:numPr>
          <w:ilvl w:val="0"/>
          <w:numId w:val="2"/>
        </w:numPr>
        <w:tabs>
          <w:tab w:val="left" w:pos="532"/>
        </w:tabs>
        <w:rPr>
          <w:sz w:val="24"/>
        </w:rPr>
      </w:pPr>
      <w:r>
        <w:rPr>
          <w:sz w:val="24"/>
          <w:u w:val="single"/>
        </w:rPr>
        <w:t>Sensitive</w:t>
      </w:r>
      <w:r>
        <w:rPr>
          <w:spacing w:val="-5"/>
          <w:sz w:val="24"/>
          <w:u w:val="single"/>
        </w:rPr>
        <w:t xml:space="preserve"> </w:t>
      </w:r>
      <w:r>
        <w:rPr>
          <w:sz w:val="24"/>
          <w:u w:val="single"/>
        </w:rPr>
        <w:t>Questions</w:t>
      </w:r>
    </w:p>
    <w:p w:rsidR="00454292" w:rsidRDefault="00454292">
      <w:pPr>
        <w:pStyle w:val="BodyText"/>
        <w:spacing w:before="2"/>
        <w:rPr>
          <w:sz w:val="16"/>
        </w:rPr>
      </w:pPr>
    </w:p>
    <w:p w:rsidR="00454292" w:rsidRDefault="00E53E79">
      <w:pPr>
        <w:pStyle w:val="BodyText"/>
        <w:spacing w:before="90"/>
        <w:ind w:left="531"/>
      </w:pPr>
      <w:r>
        <w:t>This ICR involves no sensitive questions.</w:t>
      </w:r>
    </w:p>
    <w:p w:rsidR="00454292" w:rsidRDefault="00454292">
      <w:pPr>
        <w:pStyle w:val="BodyText"/>
      </w:pPr>
    </w:p>
    <w:p w:rsidR="00454292" w:rsidRDefault="00E53E79">
      <w:pPr>
        <w:pStyle w:val="ListParagraph"/>
        <w:numPr>
          <w:ilvl w:val="0"/>
          <w:numId w:val="2"/>
        </w:numPr>
        <w:tabs>
          <w:tab w:val="left" w:pos="532"/>
        </w:tabs>
        <w:rPr>
          <w:sz w:val="24"/>
        </w:rPr>
      </w:pPr>
      <w:r>
        <w:rPr>
          <w:sz w:val="24"/>
          <w:u w:val="single"/>
        </w:rPr>
        <w:t>Burden Estimates (Hours &amp;</w:t>
      </w:r>
      <w:r>
        <w:rPr>
          <w:spacing w:val="-11"/>
          <w:sz w:val="24"/>
          <w:u w:val="single"/>
        </w:rPr>
        <w:t xml:space="preserve"> </w:t>
      </w:r>
      <w:r>
        <w:rPr>
          <w:sz w:val="24"/>
          <w:u w:val="single"/>
        </w:rPr>
        <w:t>Wages)</w:t>
      </w:r>
    </w:p>
    <w:p w:rsidR="00454292" w:rsidRDefault="00E53E79">
      <w:pPr>
        <w:pStyle w:val="BodyText"/>
        <w:ind w:left="551" w:right="498"/>
      </w:pPr>
      <w:r>
        <w:rPr>
          <w:u w:val="single"/>
        </w:rPr>
        <w:t>Estimates of Annualized Burden Hours for the Notice Requirement (Total Hours, Wages, Printing &amp; Mailing)</w:t>
      </w:r>
    </w:p>
    <w:p w:rsidR="00454292" w:rsidRDefault="00454292">
      <w:pPr>
        <w:pStyle w:val="BodyText"/>
        <w:spacing w:before="2"/>
        <w:rPr>
          <w:sz w:val="16"/>
        </w:rPr>
      </w:pPr>
    </w:p>
    <w:p w:rsidR="00454292" w:rsidRDefault="00E53E79">
      <w:pPr>
        <w:pStyle w:val="BodyText"/>
        <w:spacing w:before="90"/>
        <w:ind w:left="531" w:right="137"/>
      </w:pPr>
      <w:r>
        <w:t>The Patient Protection and Affordable Care Act; HHS Notice of Benefit and Payment Parameters for 2017 final rule added an exemption to the requirements for student health insurance coverage, in which, for policy years beginning after July 1, 2016, student health insurance coverage will be exempt from the actuarial value (metal level) requirements under section 1302(d) of the Affordable Care Act. The rule also added a requirement that issuers of student health insurance coverage must specify in any plan materials summarizing the terms of the coverage the AV of the coverage and the metal level (or next lowest metal level) the coverage would otherwise satisfy.</w:t>
      </w:r>
    </w:p>
    <w:p w:rsidR="00454292" w:rsidRDefault="00454292">
      <w:pPr>
        <w:pStyle w:val="BodyText"/>
        <w:spacing w:before="11"/>
        <w:rPr>
          <w:sz w:val="23"/>
        </w:rPr>
      </w:pPr>
    </w:p>
    <w:p w:rsidR="00454292" w:rsidRDefault="00E53E79">
      <w:pPr>
        <w:pStyle w:val="BodyText"/>
        <w:ind w:left="532" w:right="573"/>
        <w:jc w:val="both"/>
      </w:pPr>
      <w:r>
        <w:t>We generally used data from the Bureau of Labor Statistics to derive average labor costs (multiplied by 100 percent to including fringe benefits and other costs) for estimating the burden associated with this ICR.</w:t>
      </w:r>
    </w:p>
    <w:p w:rsidR="00454292" w:rsidRDefault="00454292">
      <w:pPr>
        <w:pStyle w:val="BodyText"/>
        <w:spacing w:before="11"/>
        <w:rPr>
          <w:sz w:val="23"/>
        </w:rPr>
      </w:pPr>
    </w:p>
    <w:p w:rsidR="00454292" w:rsidRDefault="00E53E79">
      <w:pPr>
        <w:pStyle w:val="BodyText"/>
        <w:ind w:left="551"/>
      </w:pPr>
      <w:r>
        <w:rPr>
          <w:u w:val="single"/>
        </w:rPr>
        <w:t>AV and Metal Level Disclosure</w:t>
      </w:r>
    </w:p>
    <w:p w:rsidR="00454292" w:rsidRDefault="00454292">
      <w:pPr>
        <w:pStyle w:val="BodyText"/>
        <w:spacing w:before="2"/>
        <w:rPr>
          <w:sz w:val="16"/>
        </w:rPr>
      </w:pPr>
    </w:p>
    <w:p w:rsidR="00454292" w:rsidRDefault="00E53E79">
      <w:pPr>
        <w:pStyle w:val="BodyText"/>
        <w:spacing w:before="90"/>
        <w:ind w:left="551" w:right="145"/>
      </w:pPr>
      <w:r>
        <w:t>For policy years beginning on or after July 1, 2016, student health insurance issuers are required to include in any plan materials summarizing the terms of the coverage information specifying the plan’s AV and the metal level (or next lowest metal level) the coverage would otherwise satisfy.  We estimate that there are 52 issuers of student health insurance plans that</w:t>
      </w:r>
    </w:p>
    <w:p w:rsidR="00454292" w:rsidRDefault="00454292">
      <w:pPr>
        <w:sectPr w:rsidR="00454292">
          <w:pgSz w:w="12240" w:h="15840"/>
          <w:pgMar w:top="1360" w:right="1240" w:bottom="1980" w:left="1340" w:header="0" w:footer="1790" w:gutter="0"/>
          <w:cols w:space="720"/>
        </w:sectPr>
      </w:pPr>
    </w:p>
    <w:p w:rsidR="00454292" w:rsidRDefault="00E53E79">
      <w:pPr>
        <w:pStyle w:val="BodyText"/>
        <w:spacing w:before="76"/>
        <w:ind w:left="571"/>
        <w:rPr>
          <w:sz w:val="16"/>
        </w:rPr>
      </w:pPr>
      <w:r>
        <w:t>would need to provide an average of 22,620 notifications annually.</w:t>
      </w:r>
      <w:hyperlink w:anchor="_bookmark0" w:history="1">
        <w:r>
          <w:rPr>
            <w:position w:val="9"/>
            <w:sz w:val="16"/>
          </w:rPr>
          <w:t>1</w:t>
        </w:r>
      </w:hyperlink>
    </w:p>
    <w:p w:rsidR="00454292" w:rsidRDefault="00454292">
      <w:pPr>
        <w:pStyle w:val="BodyText"/>
        <w:spacing w:before="10"/>
        <w:rPr>
          <w:sz w:val="23"/>
        </w:rPr>
      </w:pPr>
    </w:p>
    <w:p w:rsidR="00454292" w:rsidRDefault="00E53E79">
      <w:pPr>
        <w:pStyle w:val="BodyText"/>
        <w:spacing w:before="1"/>
        <w:ind w:left="571" w:right="120"/>
      </w:pPr>
      <w:r>
        <w:t>Under §§ 147.150, 156.135, and 156.140, issuers offering non-grandfathered plans in the individual and small group market are required to calculate a plan’s AV and its corresponding metal level; thus there is no additional burden required for the issuers of student health insurance coverage to determine these values. This burden estimate encompasses the addition of language to specify, in plan materials, the AV of the coverage and the metal level (or next lowest metal level) the coverage would otherwise satisfy. We estimate that each student health insurance issuer will require an average of one hour for clerical staff (at a labor cost</w:t>
      </w:r>
      <w:r>
        <w:rPr>
          <w:spacing w:val="-21"/>
        </w:rPr>
        <w:t xml:space="preserve"> </w:t>
      </w:r>
      <w:r>
        <w:t>of</w:t>
      </w:r>
    </w:p>
    <w:p w:rsidR="00454292" w:rsidRDefault="00E53E79">
      <w:pPr>
        <w:pStyle w:val="BodyText"/>
        <w:spacing w:before="3" w:line="276" w:lineRule="exact"/>
        <w:ind w:left="571" w:right="284"/>
        <w:jc w:val="both"/>
      </w:pPr>
      <w:r>
        <w:t>$35.50</w:t>
      </w:r>
      <w:hyperlink w:anchor="_bookmark1" w:history="1">
        <w:r>
          <w:rPr>
            <w:position w:val="9"/>
            <w:sz w:val="16"/>
          </w:rPr>
          <w:t>2</w:t>
        </w:r>
      </w:hyperlink>
      <w:r>
        <w:t>) to insert the AV and metal level information into plan materials; resulting in a total time requirement of one hour and an associated cost of $35.50 per issuer. For the 52 issuers currently providing student health insurance, the total combined hour burden is estimated to be 52 hours with a total combined cost of approximately $1,846 annually.</w:t>
      </w:r>
    </w:p>
    <w:p w:rsidR="00454292" w:rsidRDefault="00454292">
      <w:pPr>
        <w:pStyle w:val="BodyText"/>
        <w:spacing w:before="1"/>
      </w:pPr>
    </w:p>
    <w:p w:rsidR="00454292" w:rsidRDefault="00E53E79">
      <w:pPr>
        <w:pStyle w:val="Heading1"/>
        <w:numPr>
          <w:ilvl w:val="0"/>
          <w:numId w:val="1"/>
        </w:numPr>
        <w:tabs>
          <w:tab w:val="left" w:pos="480"/>
        </w:tabs>
      </w:pPr>
      <w:r>
        <w:t>Cost Estimate: Actuarial calculation and inclusion in enrollment and plan</w:t>
      </w:r>
      <w:r>
        <w:rPr>
          <w:spacing w:val="-34"/>
        </w:rPr>
        <w:t xml:space="preserve"> </w:t>
      </w:r>
      <w:r>
        <w:t>documents</w:t>
      </w:r>
    </w:p>
    <w:p w:rsidR="00454292" w:rsidRDefault="00454292">
      <w:pPr>
        <w:pStyle w:val="BodyText"/>
        <w:spacing w:before="3"/>
        <w:rPr>
          <w:b/>
          <w:sz w:val="20"/>
        </w:rPr>
      </w:pPr>
    </w:p>
    <w:tbl>
      <w:tblPr>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9"/>
        <w:gridCol w:w="1529"/>
        <w:gridCol w:w="1416"/>
        <w:gridCol w:w="1330"/>
        <w:gridCol w:w="1351"/>
        <w:gridCol w:w="1872"/>
      </w:tblGrid>
      <w:tr w:rsidR="00454292">
        <w:trPr>
          <w:trHeight w:hRule="exact" w:val="1020"/>
        </w:trPr>
        <w:tc>
          <w:tcPr>
            <w:tcW w:w="1879" w:type="dxa"/>
          </w:tcPr>
          <w:p w:rsidR="00454292" w:rsidRDefault="00E53E79">
            <w:pPr>
              <w:pStyle w:val="TableParagraph"/>
              <w:ind w:left="376" w:right="361" w:firstLine="199"/>
              <w:rPr>
                <w:b/>
              </w:rPr>
            </w:pPr>
            <w:r>
              <w:rPr>
                <w:b/>
              </w:rPr>
              <w:t>Type of Respondent</w:t>
            </w:r>
          </w:p>
        </w:tc>
        <w:tc>
          <w:tcPr>
            <w:tcW w:w="1529" w:type="dxa"/>
          </w:tcPr>
          <w:p w:rsidR="00454292" w:rsidRDefault="00E53E79">
            <w:pPr>
              <w:pStyle w:val="TableParagraph"/>
              <w:ind w:left="160" w:right="141" w:firstLine="86"/>
              <w:rPr>
                <w:b/>
              </w:rPr>
            </w:pPr>
            <w:r>
              <w:rPr>
                <w:b/>
              </w:rPr>
              <w:t>Number of Respondents</w:t>
            </w:r>
          </w:p>
        </w:tc>
        <w:tc>
          <w:tcPr>
            <w:tcW w:w="1416" w:type="dxa"/>
          </w:tcPr>
          <w:p w:rsidR="00454292" w:rsidRDefault="00E53E79">
            <w:pPr>
              <w:pStyle w:val="TableParagraph"/>
              <w:ind w:left="146" w:right="143" w:hanging="4"/>
              <w:jc w:val="center"/>
              <w:rPr>
                <w:b/>
              </w:rPr>
            </w:pPr>
            <w:r>
              <w:rPr>
                <w:b/>
              </w:rPr>
              <w:t>Average Number of Notices per Respondent</w:t>
            </w:r>
          </w:p>
        </w:tc>
        <w:tc>
          <w:tcPr>
            <w:tcW w:w="1330" w:type="dxa"/>
          </w:tcPr>
          <w:p w:rsidR="00454292" w:rsidRDefault="00E53E79">
            <w:pPr>
              <w:pStyle w:val="TableParagraph"/>
              <w:ind w:right="100" w:hanging="4"/>
              <w:jc w:val="center"/>
              <w:rPr>
                <w:b/>
              </w:rPr>
            </w:pPr>
            <w:r>
              <w:rPr>
                <w:b/>
              </w:rPr>
              <w:t>Average Burden Hours per Respondent</w:t>
            </w:r>
          </w:p>
        </w:tc>
        <w:tc>
          <w:tcPr>
            <w:tcW w:w="1351" w:type="dxa"/>
          </w:tcPr>
          <w:p w:rsidR="00454292" w:rsidRDefault="00E53E79">
            <w:pPr>
              <w:pStyle w:val="TableParagraph"/>
              <w:ind w:left="191" w:right="192" w:hanging="1"/>
              <w:jc w:val="center"/>
              <w:rPr>
                <w:b/>
              </w:rPr>
            </w:pPr>
            <w:r>
              <w:rPr>
                <w:b/>
              </w:rPr>
              <w:t>Wage per Hour (including fringe)</w:t>
            </w:r>
          </w:p>
        </w:tc>
        <w:tc>
          <w:tcPr>
            <w:tcW w:w="1872" w:type="dxa"/>
          </w:tcPr>
          <w:p w:rsidR="00454292" w:rsidRDefault="00E53E79">
            <w:pPr>
              <w:pStyle w:val="TableParagraph"/>
              <w:ind w:left="674" w:right="342" w:hanging="317"/>
              <w:rPr>
                <w:b/>
              </w:rPr>
            </w:pPr>
            <w:r>
              <w:rPr>
                <w:b/>
              </w:rPr>
              <w:t>Total Labor Costs</w:t>
            </w:r>
          </w:p>
        </w:tc>
      </w:tr>
      <w:tr w:rsidR="00454292">
        <w:trPr>
          <w:trHeight w:hRule="exact" w:val="518"/>
        </w:trPr>
        <w:tc>
          <w:tcPr>
            <w:tcW w:w="1879" w:type="dxa"/>
          </w:tcPr>
          <w:p w:rsidR="00454292" w:rsidRDefault="00E53E79">
            <w:pPr>
              <w:pStyle w:val="TableParagraph"/>
              <w:spacing w:line="252" w:lineRule="exact"/>
              <w:ind w:right="432"/>
            </w:pPr>
            <w:r>
              <w:t>Student Health Plan Issuer</w:t>
            </w:r>
          </w:p>
        </w:tc>
        <w:tc>
          <w:tcPr>
            <w:tcW w:w="1529" w:type="dxa"/>
          </w:tcPr>
          <w:p w:rsidR="00454292" w:rsidRDefault="00E53E79">
            <w:pPr>
              <w:pStyle w:val="TableParagraph"/>
              <w:spacing w:line="249" w:lineRule="exact"/>
              <w:ind w:left="629" w:right="629"/>
              <w:jc w:val="center"/>
            </w:pPr>
            <w:r>
              <w:t>52</w:t>
            </w:r>
          </w:p>
        </w:tc>
        <w:tc>
          <w:tcPr>
            <w:tcW w:w="1416" w:type="dxa"/>
          </w:tcPr>
          <w:p w:rsidR="00454292" w:rsidRDefault="00E53E79">
            <w:pPr>
              <w:pStyle w:val="TableParagraph"/>
              <w:spacing w:line="249" w:lineRule="exact"/>
              <w:ind w:left="400"/>
            </w:pPr>
            <w:r>
              <w:t>22,620</w:t>
            </w:r>
          </w:p>
        </w:tc>
        <w:tc>
          <w:tcPr>
            <w:tcW w:w="1330" w:type="dxa"/>
          </w:tcPr>
          <w:p w:rsidR="00454292" w:rsidRDefault="00E53E79">
            <w:pPr>
              <w:pStyle w:val="TableParagraph"/>
              <w:spacing w:line="249" w:lineRule="exact"/>
              <w:ind w:left="0"/>
              <w:jc w:val="center"/>
            </w:pPr>
            <w:r>
              <w:t>1</w:t>
            </w:r>
          </w:p>
        </w:tc>
        <w:tc>
          <w:tcPr>
            <w:tcW w:w="1351" w:type="dxa"/>
          </w:tcPr>
          <w:p w:rsidR="00454292" w:rsidRDefault="00E53E79">
            <w:pPr>
              <w:pStyle w:val="TableParagraph"/>
              <w:spacing w:line="249" w:lineRule="exact"/>
              <w:ind w:left="367"/>
            </w:pPr>
            <w:r>
              <w:t>$35.50</w:t>
            </w:r>
          </w:p>
        </w:tc>
        <w:tc>
          <w:tcPr>
            <w:tcW w:w="1872" w:type="dxa"/>
          </w:tcPr>
          <w:p w:rsidR="00454292" w:rsidRDefault="00E53E79">
            <w:pPr>
              <w:pStyle w:val="TableParagraph"/>
              <w:spacing w:line="270" w:lineRule="exact"/>
              <w:ind w:left="477"/>
              <w:rPr>
                <w:sz w:val="24"/>
              </w:rPr>
            </w:pPr>
            <w:r>
              <w:rPr>
                <w:sz w:val="24"/>
              </w:rPr>
              <w:t>$1,846.00</w:t>
            </w:r>
          </w:p>
        </w:tc>
      </w:tr>
    </w:tbl>
    <w:p w:rsidR="00454292" w:rsidRDefault="00454292">
      <w:pPr>
        <w:pStyle w:val="BodyText"/>
        <w:spacing w:before="3"/>
        <w:rPr>
          <w:b/>
          <w:sz w:val="23"/>
        </w:rPr>
      </w:pPr>
    </w:p>
    <w:p w:rsidR="00454292" w:rsidRDefault="00E53E79">
      <w:pPr>
        <w:pStyle w:val="ListParagraph"/>
        <w:numPr>
          <w:ilvl w:val="0"/>
          <w:numId w:val="1"/>
        </w:numPr>
        <w:tabs>
          <w:tab w:val="left" w:pos="552"/>
        </w:tabs>
        <w:ind w:left="552" w:hanging="432"/>
        <w:rPr>
          <w:sz w:val="24"/>
        </w:rPr>
      </w:pPr>
      <w:r>
        <w:rPr>
          <w:sz w:val="24"/>
          <w:u w:val="single"/>
        </w:rPr>
        <w:t>Capital</w:t>
      </w:r>
      <w:r>
        <w:rPr>
          <w:spacing w:val="-3"/>
          <w:sz w:val="24"/>
          <w:u w:val="single"/>
        </w:rPr>
        <w:t xml:space="preserve"> </w:t>
      </w:r>
      <w:r>
        <w:rPr>
          <w:sz w:val="24"/>
          <w:u w:val="single"/>
        </w:rPr>
        <w:t>Costs</w:t>
      </w:r>
    </w:p>
    <w:p w:rsidR="00454292" w:rsidRDefault="00454292">
      <w:pPr>
        <w:pStyle w:val="BodyText"/>
        <w:spacing w:before="1"/>
        <w:rPr>
          <w:sz w:val="16"/>
        </w:rPr>
      </w:pPr>
    </w:p>
    <w:p w:rsidR="00454292" w:rsidRDefault="00E53E79">
      <w:pPr>
        <w:pStyle w:val="BodyText"/>
        <w:spacing w:before="90"/>
        <w:ind w:left="480" w:right="98"/>
      </w:pPr>
      <w:r>
        <w:t>The notification requirement requires that language be added to existing plan materials summarizing the terms of the coverage. The addition of this language is expected to be limited to one or two sentences indicating the plan’s AV and the metal level (or next lowest metal level) the coverage otherwise would satisfy, which can be done at a negligible cost.</w:t>
      </w:r>
    </w:p>
    <w:p w:rsidR="00454292" w:rsidRDefault="00E53E79">
      <w:pPr>
        <w:pStyle w:val="BodyText"/>
        <w:ind w:left="480"/>
      </w:pPr>
      <w:r>
        <w:t>Additionally, this information will be included in existing enrollment materials and plan documents so there will be no additional distribution costs. Therefore, additional capital costs are not estimated.</w:t>
      </w:r>
    </w:p>
    <w:p w:rsidR="00454292" w:rsidRDefault="00454292">
      <w:pPr>
        <w:pStyle w:val="BodyText"/>
      </w:pPr>
    </w:p>
    <w:p w:rsidR="00454292" w:rsidRDefault="00E53E79">
      <w:pPr>
        <w:pStyle w:val="ListParagraph"/>
        <w:numPr>
          <w:ilvl w:val="0"/>
          <w:numId w:val="1"/>
        </w:numPr>
        <w:tabs>
          <w:tab w:val="left" w:pos="552"/>
        </w:tabs>
        <w:ind w:left="552" w:hanging="432"/>
        <w:rPr>
          <w:sz w:val="24"/>
        </w:rPr>
      </w:pPr>
      <w:r>
        <w:rPr>
          <w:sz w:val="24"/>
          <w:u w:val="single"/>
        </w:rPr>
        <w:t>Cost to Federal</w:t>
      </w:r>
      <w:r>
        <w:rPr>
          <w:spacing w:val="-7"/>
          <w:sz w:val="24"/>
          <w:u w:val="single"/>
        </w:rPr>
        <w:t xml:space="preserve"> </w:t>
      </w:r>
      <w:r>
        <w:rPr>
          <w:sz w:val="24"/>
          <w:u w:val="single"/>
        </w:rPr>
        <w:t>Government</w:t>
      </w:r>
    </w:p>
    <w:p w:rsidR="00454292" w:rsidRDefault="00454292">
      <w:pPr>
        <w:pStyle w:val="BodyText"/>
        <w:spacing w:before="10"/>
        <w:rPr>
          <w:sz w:val="15"/>
        </w:rPr>
      </w:pPr>
    </w:p>
    <w:p w:rsidR="00454292" w:rsidRDefault="00E53E79">
      <w:pPr>
        <w:pStyle w:val="BodyText"/>
        <w:spacing w:before="90"/>
        <w:ind w:left="551"/>
      </w:pPr>
      <w:r>
        <w:t>There is no cost to the federal government.</w:t>
      </w:r>
    </w:p>
    <w:p w:rsidR="00454292" w:rsidRDefault="00454292">
      <w:pPr>
        <w:pStyle w:val="BodyText"/>
        <w:spacing w:before="11"/>
        <w:rPr>
          <w:sz w:val="23"/>
        </w:rPr>
      </w:pPr>
    </w:p>
    <w:p w:rsidR="00454292" w:rsidRDefault="00E53E79">
      <w:pPr>
        <w:pStyle w:val="ListParagraph"/>
        <w:numPr>
          <w:ilvl w:val="0"/>
          <w:numId w:val="1"/>
        </w:numPr>
        <w:tabs>
          <w:tab w:val="left" w:pos="552"/>
        </w:tabs>
        <w:ind w:left="552" w:hanging="432"/>
        <w:rPr>
          <w:sz w:val="24"/>
        </w:rPr>
      </w:pPr>
      <w:r>
        <w:rPr>
          <w:sz w:val="24"/>
          <w:u w:val="single"/>
        </w:rPr>
        <w:t>Changes to</w:t>
      </w:r>
      <w:r>
        <w:rPr>
          <w:spacing w:val="-5"/>
          <w:sz w:val="24"/>
          <w:u w:val="single"/>
        </w:rPr>
        <w:t xml:space="preserve"> </w:t>
      </w:r>
      <w:r>
        <w:rPr>
          <w:sz w:val="24"/>
          <w:u w:val="single"/>
        </w:rPr>
        <w:t>Burden</w:t>
      </w:r>
    </w:p>
    <w:p w:rsidR="00454292" w:rsidRDefault="00454292">
      <w:pPr>
        <w:pStyle w:val="BodyText"/>
        <w:spacing w:before="2"/>
        <w:rPr>
          <w:sz w:val="16"/>
        </w:rPr>
      </w:pPr>
    </w:p>
    <w:p w:rsidR="00454292" w:rsidRDefault="00E53E79">
      <w:pPr>
        <w:pStyle w:val="BodyText"/>
        <w:spacing w:before="90"/>
        <w:ind w:left="551"/>
      </w:pPr>
      <w:r>
        <w:t>The burden hours for the AV and metal level disclosure has increased by 3 hours (from 49 to</w:t>
      </w:r>
    </w:p>
    <w:p w:rsidR="00454292" w:rsidRDefault="00E53E79">
      <w:pPr>
        <w:pStyle w:val="BodyText"/>
        <w:ind w:left="551"/>
      </w:pPr>
      <w:r>
        <w:t>52) due to the increase in the estimated number of issuers offering student health coverage.</w:t>
      </w:r>
    </w:p>
    <w:p w:rsidR="00454292" w:rsidRDefault="0062478E">
      <w:pPr>
        <w:pStyle w:val="BodyText"/>
        <w:rPr>
          <w:sz w:val="16"/>
        </w:rPr>
      </w:pPr>
      <w:r>
        <w:pict>
          <v:line id="_x0000_s1026" style="position:absolute;z-index:251657728;mso-wrap-distance-left:0;mso-wrap-distance-right:0;mso-position-horizontal-relative:page" from="1in,11.45pt" to="3in,11.45pt" strokeweight=".48pt">
            <w10:wrap type="topAndBottom" anchorx="page"/>
          </v:line>
        </w:pict>
      </w:r>
    </w:p>
    <w:p w:rsidR="00454292" w:rsidRDefault="00E53E79">
      <w:pPr>
        <w:spacing w:before="50" w:line="233" w:lineRule="exact"/>
        <w:ind w:left="120"/>
        <w:rPr>
          <w:sz w:val="20"/>
        </w:rPr>
      </w:pPr>
      <w:bookmarkStart w:id="3" w:name="_bookmark0"/>
      <w:bookmarkEnd w:id="3"/>
      <w:r>
        <w:rPr>
          <w:position w:val="7"/>
          <w:sz w:val="13"/>
        </w:rPr>
        <w:t xml:space="preserve">1 </w:t>
      </w:r>
      <w:r>
        <w:rPr>
          <w:sz w:val="20"/>
        </w:rPr>
        <w:t>Estimate based on data from Medical Loss Ratio submissions for 2017 reporting year.</w:t>
      </w:r>
    </w:p>
    <w:p w:rsidR="00454292" w:rsidRDefault="00E53E79">
      <w:pPr>
        <w:ind w:left="119" w:right="98"/>
        <w:rPr>
          <w:sz w:val="20"/>
        </w:rPr>
      </w:pPr>
      <w:bookmarkStart w:id="4" w:name="_bookmark1"/>
      <w:bookmarkEnd w:id="4"/>
      <w:r>
        <w:rPr>
          <w:position w:val="7"/>
          <w:sz w:val="13"/>
        </w:rPr>
        <w:t xml:space="preserve">2 </w:t>
      </w:r>
      <w:r>
        <w:rPr>
          <w:sz w:val="20"/>
        </w:rPr>
        <w:t xml:space="preserve">Occupation code 43-6014 for Secretaries and Administrative Assistants, Except Legal, Medical, and Executive, with a mean hourly wage of $17.75. </w:t>
      </w:r>
      <w:hyperlink r:id="rId9">
        <w:r>
          <w:rPr>
            <w:color w:val="0070C0"/>
            <w:sz w:val="20"/>
            <w:u w:val="single" w:color="0070C0"/>
          </w:rPr>
          <w:t>https://www.bls.gov/oes/current/oes436014.htm</w:t>
        </w:r>
        <w:r>
          <w:rPr>
            <w:sz w:val="20"/>
          </w:rPr>
          <w:t>.</w:t>
        </w:r>
      </w:hyperlink>
    </w:p>
    <w:p w:rsidR="00454292" w:rsidRDefault="00454292">
      <w:pPr>
        <w:rPr>
          <w:sz w:val="20"/>
        </w:rPr>
        <w:sectPr w:rsidR="00454292">
          <w:pgSz w:w="12240" w:h="15840"/>
          <w:pgMar w:top="1340" w:right="1200" w:bottom="1980" w:left="1320" w:header="0" w:footer="1790" w:gutter="0"/>
          <w:cols w:space="720"/>
        </w:sectPr>
      </w:pPr>
    </w:p>
    <w:p w:rsidR="00454292" w:rsidRDefault="00454292">
      <w:pPr>
        <w:pStyle w:val="BodyText"/>
        <w:spacing w:before="3"/>
        <w:rPr>
          <w:sz w:val="10"/>
        </w:rPr>
      </w:pPr>
    </w:p>
    <w:p w:rsidR="00454292" w:rsidRDefault="00E53E79">
      <w:pPr>
        <w:pStyle w:val="ListParagraph"/>
        <w:numPr>
          <w:ilvl w:val="0"/>
          <w:numId w:val="1"/>
        </w:numPr>
        <w:tabs>
          <w:tab w:val="left" w:pos="532"/>
        </w:tabs>
        <w:spacing w:before="90"/>
        <w:ind w:left="532" w:hanging="432"/>
        <w:rPr>
          <w:sz w:val="24"/>
        </w:rPr>
      </w:pPr>
      <w:r>
        <w:rPr>
          <w:sz w:val="24"/>
          <w:u w:val="single"/>
        </w:rPr>
        <w:t>Publication/Tabulation</w:t>
      </w:r>
      <w:r>
        <w:rPr>
          <w:spacing w:val="-9"/>
          <w:sz w:val="24"/>
          <w:u w:val="single"/>
        </w:rPr>
        <w:t xml:space="preserve"> </w:t>
      </w:r>
      <w:r>
        <w:rPr>
          <w:sz w:val="24"/>
          <w:u w:val="single"/>
        </w:rPr>
        <w:t>Dates</w:t>
      </w:r>
    </w:p>
    <w:p w:rsidR="00454292" w:rsidRDefault="00454292">
      <w:pPr>
        <w:pStyle w:val="BodyText"/>
        <w:spacing w:before="2"/>
        <w:rPr>
          <w:sz w:val="16"/>
        </w:rPr>
      </w:pPr>
    </w:p>
    <w:p w:rsidR="00454292" w:rsidRDefault="00E53E79">
      <w:pPr>
        <w:pStyle w:val="BodyText"/>
        <w:spacing w:before="90"/>
        <w:ind w:left="460"/>
      </w:pPr>
      <w:r>
        <w:t>There are no plans to publish the outcome of the information collection.</w:t>
      </w:r>
    </w:p>
    <w:p w:rsidR="00454292" w:rsidRDefault="00454292">
      <w:pPr>
        <w:pStyle w:val="BodyText"/>
        <w:spacing w:before="11"/>
        <w:rPr>
          <w:sz w:val="23"/>
        </w:rPr>
      </w:pPr>
    </w:p>
    <w:p w:rsidR="00454292" w:rsidRDefault="00E53E79">
      <w:pPr>
        <w:pStyle w:val="ListParagraph"/>
        <w:numPr>
          <w:ilvl w:val="0"/>
          <w:numId w:val="1"/>
        </w:numPr>
        <w:tabs>
          <w:tab w:val="left" w:pos="532"/>
        </w:tabs>
        <w:ind w:left="532" w:hanging="432"/>
        <w:rPr>
          <w:sz w:val="24"/>
        </w:rPr>
      </w:pPr>
      <w:r>
        <w:rPr>
          <w:sz w:val="24"/>
          <w:u w:val="single"/>
        </w:rPr>
        <w:t>Expiration</w:t>
      </w:r>
      <w:r>
        <w:rPr>
          <w:spacing w:val="-4"/>
          <w:sz w:val="24"/>
          <w:u w:val="single"/>
        </w:rPr>
        <w:t xml:space="preserve"> </w:t>
      </w:r>
      <w:r>
        <w:rPr>
          <w:sz w:val="24"/>
          <w:u w:val="single"/>
        </w:rPr>
        <w:t>Date</w:t>
      </w:r>
    </w:p>
    <w:p w:rsidR="00454292" w:rsidRDefault="00454292">
      <w:pPr>
        <w:pStyle w:val="BodyText"/>
        <w:spacing w:before="1"/>
        <w:rPr>
          <w:sz w:val="16"/>
        </w:rPr>
      </w:pPr>
    </w:p>
    <w:p w:rsidR="00454292" w:rsidRDefault="00E53E79">
      <w:pPr>
        <w:pStyle w:val="BodyText"/>
        <w:spacing w:before="90"/>
        <w:ind w:left="546"/>
      </w:pPr>
      <w:bookmarkStart w:id="5" w:name="There_are_no_instruments_associated_with"/>
      <w:bookmarkEnd w:id="5"/>
      <w:r>
        <w:t>There are no instruments associated with this information collection request.</w:t>
      </w:r>
    </w:p>
    <w:sectPr w:rsidR="00454292">
      <w:pgSz w:w="12240" w:h="15840"/>
      <w:pgMar w:top="1500" w:right="1720" w:bottom="1980" w:left="1340" w:header="0" w:footer="17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E79" w:rsidRDefault="00E53E79">
      <w:r>
        <w:separator/>
      </w:r>
    </w:p>
  </w:endnote>
  <w:endnote w:type="continuationSeparator" w:id="0">
    <w:p w:rsidR="00E53E79" w:rsidRDefault="00E53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292" w:rsidRDefault="0062478E">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04.6pt;margin-top:691.5pt;width:10pt;height:15.3pt;z-index:-251658752;mso-position-horizontal-relative:page;mso-position-vertical-relative:page" filled="f" stroked="f">
          <v:textbox inset="0,0,0,0">
            <w:txbxContent>
              <w:p w:rsidR="00454292" w:rsidRDefault="00E53E79">
                <w:pPr>
                  <w:pStyle w:val="BodyText"/>
                  <w:spacing w:before="10"/>
                  <w:ind w:left="40"/>
                </w:pPr>
                <w:r>
                  <w:fldChar w:fldCharType="begin"/>
                </w:r>
                <w:r>
                  <w:instrText xml:space="preserve"> PAGE </w:instrText>
                </w:r>
                <w:r>
                  <w:fldChar w:fldCharType="separate"/>
                </w:r>
                <w:r w:rsidR="0062478E">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E79" w:rsidRDefault="00E53E79">
      <w:r>
        <w:separator/>
      </w:r>
    </w:p>
  </w:footnote>
  <w:footnote w:type="continuationSeparator" w:id="0">
    <w:p w:rsidR="00E53E79" w:rsidRDefault="00E53E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F28FE"/>
    <w:multiLevelType w:val="hybridMultilevel"/>
    <w:tmpl w:val="B464DCA8"/>
    <w:lvl w:ilvl="0" w:tplc="B138424E">
      <w:start w:val="12"/>
      <w:numFmt w:val="decimal"/>
      <w:lvlText w:val="%1."/>
      <w:lvlJc w:val="left"/>
      <w:pPr>
        <w:ind w:left="480" w:hanging="360"/>
        <w:jc w:val="left"/>
      </w:pPr>
      <w:rPr>
        <w:rFonts w:hint="default"/>
        <w:b/>
        <w:bCs/>
        <w:spacing w:val="-4"/>
        <w:w w:val="99"/>
      </w:rPr>
    </w:lvl>
    <w:lvl w:ilvl="1" w:tplc="32BA877C">
      <w:numFmt w:val="bullet"/>
      <w:lvlText w:val="•"/>
      <w:lvlJc w:val="left"/>
      <w:pPr>
        <w:ind w:left="940" w:hanging="360"/>
      </w:pPr>
      <w:rPr>
        <w:rFonts w:hint="default"/>
      </w:rPr>
    </w:lvl>
    <w:lvl w:ilvl="2" w:tplc="3342C13E">
      <w:numFmt w:val="bullet"/>
      <w:lvlText w:val="•"/>
      <w:lvlJc w:val="left"/>
      <w:pPr>
        <w:ind w:left="1915" w:hanging="360"/>
      </w:pPr>
      <w:rPr>
        <w:rFonts w:hint="default"/>
      </w:rPr>
    </w:lvl>
    <w:lvl w:ilvl="3" w:tplc="055A9F28">
      <w:numFmt w:val="bullet"/>
      <w:lvlText w:val="•"/>
      <w:lvlJc w:val="left"/>
      <w:pPr>
        <w:ind w:left="2891" w:hanging="360"/>
      </w:pPr>
      <w:rPr>
        <w:rFonts w:hint="default"/>
      </w:rPr>
    </w:lvl>
    <w:lvl w:ilvl="4" w:tplc="7108D1C6">
      <w:numFmt w:val="bullet"/>
      <w:lvlText w:val="•"/>
      <w:lvlJc w:val="left"/>
      <w:pPr>
        <w:ind w:left="3866" w:hanging="360"/>
      </w:pPr>
      <w:rPr>
        <w:rFonts w:hint="default"/>
      </w:rPr>
    </w:lvl>
    <w:lvl w:ilvl="5" w:tplc="56FA4246">
      <w:numFmt w:val="bullet"/>
      <w:lvlText w:val="•"/>
      <w:lvlJc w:val="left"/>
      <w:pPr>
        <w:ind w:left="4842" w:hanging="360"/>
      </w:pPr>
      <w:rPr>
        <w:rFonts w:hint="default"/>
      </w:rPr>
    </w:lvl>
    <w:lvl w:ilvl="6" w:tplc="EEFCEF20">
      <w:numFmt w:val="bullet"/>
      <w:lvlText w:val="•"/>
      <w:lvlJc w:val="left"/>
      <w:pPr>
        <w:ind w:left="5817" w:hanging="360"/>
      </w:pPr>
      <w:rPr>
        <w:rFonts w:hint="default"/>
      </w:rPr>
    </w:lvl>
    <w:lvl w:ilvl="7" w:tplc="3CC83A96">
      <w:numFmt w:val="bullet"/>
      <w:lvlText w:val="•"/>
      <w:lvlJc w:val="left"/>
      <w:pPr>
        <w:ind w:left="6793" w:hanging="360"/>
      </w:pPr>
      <w:rPr>
        <w:rFonts w:hint="default"/>
      </w:rPr>
    </w:lvl>
    <w:lvl w:ilvl="8" w:tplc="1A7C50A2">
      <w:numFmt w:val="bullet"/>
      <w:lvlText w:val="•"/>
      <w:lvlJc w:val="left"/>
      <w:pPr>
        <w:ind w:left="7768" w:hanging="360"/>
      </w:pPr>
      <w:rPr>
        <w:rFonts w:hint="default"/>
      </w:rPr>
    </w:lvl>
  </w:abstractNum>
  <w:abstractNum w:abstractNumId="1">
    <w:nsid w:val="48ED70A8"/>
    <w:multiLevelType w:val="hybridMultilevel"/>
    <w:tmpl w:val="49D036D2"/>
    <w:lvl w:ilvl="0" w:tplc="9A28589C">
      <w:start w:val="1"/>
      <w:numFmt w:val="upperLetter"/>
      <w:lvlText w:val="%1."/>
      <w:lvlJc w:val="left"/>
      <w:pPr>
        <w:ind w:left="532" w:hanging="432"/>
        <w:jc w:val="left"/>
      </w:pPr>
      <w:rPr>
        <w:rFonts w:hint="default"/>
        <w:spacing w:val="-1"/>
        <w:w w:val="99"/>
        <w:u w:val="thick" w:color="000000"/>
      </w:rPr>
    </w:lvl>
    <w:lvl w:ilvl="1" w:tplc="DFCA0C46">
      <w:numFmt w:val="bullet"/>
      <w:lvlText w:val="•"/>
      <w:lvlJc w:val="left"/>
      <w:pPr>
        <w:ind w:left="1456" w:hanging="432"/>
      </w:pPr>
      <w:rPr>
        <w:rFonts w:hint="default"/>
      </w:rPr>
    </w:lvl>
    <w:lvl w:ilvl="2" w:tplc="47482CB0">
      <w:numFmt w:val="bullet"/>
      <w:lvlText w:val="•"/>
      <w:lvlJc w:val="left"/>
      <w:pPr>
        <w:ind w:left="2372" w:hanging="432"/>
      </w:pPr>
      <w:rPr>
        <w:rFonts w:hint="default"/>
      </w:rPr>
    </w:lvl>
    <w:lvl w:ilvl="3" w:tplc="A2CC133A">
      <w:numFmt w:val="bullet"/>
      <w:lvlText w:val="•"/>
      <w:lvlJc w:val="left"/>
      <w:pPr>
        <w:ind w:left="3288" w:hanging="432"/>
      </w:pPr>
      <w:rPr>
        <w:rFonts w:hint="default"/>
      </w:rPr>
    </w:lvl>
    <w:lvl w:ilvl="4" w:tplc="1F88F9E8">
      <w:numFmt w:val="bullet"/>
      <w:lvlText w:val="•"/>
      <w:lvlJc w:val="left"/>
      <w:pPr>
        <w:ind w:left="4204" w:hanging="432"/>
      </w:pPr>
      <w:rPr>
        <w:rFonts w:hint="default"/>
      </w:rPr>
    </w:lvl>
    <w:lvl w:ilvl="5" w:tplc="DA1CEBB8">
      <w:numFmt w:val="bullet"/>
      <w:lvlText w:val="•"/>
      <w:lvlJc w:val="left"/>
      <w:pPr>
        <w:ind w:left="5120" w:hanging="432"/>
      </w:pPr>
      <w:rPr>
        <w:rFonts w:hint="default"/>
      </w:rPr>
    </w:lvl>
    <w:lvl w:ilvl="6" w:tplc="AB0A4120">
      <w:numFmt w:val="bullet"/>
      <w:lvlText w:val="•"/>
      <w:lvlJc w:val="left"/>
      <w:pPr>
        <w:ind w:left="6036" w:hanging="432"/>
      </w:pPr>
      <w:rPr>
        <w:rFonts w:hint="default"/>
      </w:rPr>
    </w:lvl>
    <w:lvl w:ilvl="7" w:tplc="D638B116">
      <w:numFmt w:val="bullet"/>
      <w:lvlText w:val="•"/>
      <w:lvlJc w:val="left"/>
      <w:pPr>
        <w:ind w:left="6952" w:hanging="432"/>
      </w:pPr>
      <w:rPr>
        <w:rFonts w:hint="default"/>
      </w:rPr>
    </w:lvl>
    <w:lvl w:ilvl="8" w:tplc="0890C006">
      <w:numFmt w:val="bullet"/>
      <w:lvlText w:val="•"/>
      <w:lvlJc w:val="left"/>
      <w:pPr>
        <w:ind w:left="7868" w:hanging="432"/>
      </w:pPr>
      <w:rPr>
        <w:rFonts w:hint="default"/>
      </w:rPr>
    </w:lvl>
  </w:abstractNum>
  <w:abstractNum w:abstractNumId="2">
    <w:nsid w:val="53FC30AA"/>
    <w:multiLevelType w:val="hybridMultilevel"/>
    <w:tmpl w:val="3474CCDA"/>
    <w:lvl w:ilvl="0" w:tplc="606C83BA">
      <w:start w:val="2"/>
      <w:numFmt w:val="decimal"/>
      <w:lvlText w:val="%1."/>
      <w:lvlJc w:val="left"/>
      <w:pPr>
        <w:ind w:left="532" w:hanging="432"/>
        <w:jc w:val="left"/>
      </w:pPr>
      <w:rPr>
        <w:rFonts w:ascii="Times New Roman" w:eastAsia="Times New Roman" w:hAnsi="Times New Roman" w:cs="Times New Roman" w:hint="default"/>
        <w:spacing w:val="-4"/>
        <w:w w:val="99"/>
        <w:sz w:val="24"/>
        <w:szCs w:val="24"/>
      </w:rPr>
    </w:lvl>
    <w:lvl w:ilvl="1" w:tplc="DEF88748">
      <w:numFmt w:val="bullet"/>
      <w:lvlText w:val="•"/>
      <w:lvlJc w:val="left"/>
      <w:pPr>
        <w:ind w:left="1452" w:hanging="432"/>
      </w:pPr>
      <w:rPr>
        <w:rFonts w:hint="default"/>
      </w:rPr>
    </w:lvl>
    <w:lvl w:ilvl="2" w:tplc="74D23B52">
      <w:numFmt w:val="bullet"/>
      <w:lvlText w:val="•"/>
      <w:lvlJc w:val="left"/>
      <w:pPr>
        <w:ind w:left="2364" w:hanging="432"/>
      </w:pPr>
      <w:rPr>
        <w:rFonts w:hint="default"/>
      </w:rPr>
    </w:lvl>
    <w:lvl w:ilvl="3" w:tplc="306062DA">
      <w:numFmt w:val="bullet"/>
      <w:lvlText w:val="•"/>
      <w:lvlJc w:val="left"/>
      <w:pPr>
        <w:ind w:left="3276" w:hanging="432"/>
      </w:pPr>
      <w:rPr>
        <w:rFonts w:hint="default"/>
      </w:rPr>
    </w:lvl>
    <w:lvl w:ilvl="4" w:tplc="DEE45EF2">
      <w:numFmt w:val="bullet"/>
      <w:lvlText w:val="•"/>
      <w:lvlJc w:val="left"/>
      <w:pPr>
        <w:ind w:left="4188" w:hanging="432"/>
      </w:pPr>
      <w:rPr>
        <w:rFonts w:hint="default"/>
      </w:rPr>
    </w:lvl>
    <w:lvl w:ilvl="5" w:tplc="BE4865AC">
      <w:numFmt w:val="bullet"/>
      <w:lvlText w:val="•"/>
      <w:lvlJc w:val="left"/>
      <w:pPr>
        <w:ind w:left="5100" w:hanging="432"/>
      </w:pPr>
      <w:rPr>
        <w:rFonts w:hint="default"/>
      </w:rPr>
    </w:lvl>
    <w:lvl w:ilvl="6" w:tplc="D0EA3F9E">
      <w:numFmt w:val="bullet"/>
      <w:lvlText w:val="•"/>
      <w:lvlJc w:val="left"/>
      <w:pPr>
        <w:ind w:left="6012" w:hanging="432"/>
      </w:pPr>
      <w:rPr>
        <w:rFonts w:hint="default"/>
      </w:rPr>
    </w:lvl>
    <w:lvl w:ilvl="7" w:tplc="F188B4C2">
      <w:numFmt w:val="bullet"/>
      <w:lvlText w:val="•"/>
      <w:lvlJc w:val="left"/>
      <w:pPr>
        <w:ind w:left="6924" w:hanging="432"/>
      </w:pPr>
      <w:rPr>
        <w:rFonts w:hint="default"/>
      </w:rPr>
    </w:lvl>
    <w:lvl w:ilvl="8" w:tplc="2638A006">
      <w:numFmt w:val="bullet"/>
      <w:lvlText w:val="•"/>
      <w:lvlJc w:val="left"/>
      <w:pPr>
        <w:ind w:left="7836" w:hanging="432"/>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454292"/>
    <w:rsid w:val="00046BF8"/>
    <w:rsid w:val="00454292"/>
    <w:rsid w:val="0062478E"/>
    <w:rsid w:val="009B07E0"/>
    <w:rsid w:val="00E53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32" w:hanging="43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32" w:hanging="432"/>
    </w:pPr>
  </w:style>
  <w:style w:type="paragraph" w:customStyle="1" w:styleId="TableParagraph">
    <w:name w:val="Table Paragraph"/>
    <w:basedOn w:val="Normal"/>
    <w:uiPriority w:val="1"/>
    <w:qFormat/>
    <w:pPr>
      <w:ind w:left="10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ls.gov/oes/current/oes43601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Supporting Statement – Part A</vt:lpstr>
    </vt:vector>
  </TitlesOfParts>
  <Company>CMS</Company>
  <LinksUpToDate>false</LinksUpToDate>
  <CharactersWithSpaces>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dc:title>
  <dc:subject>Student Health Insurance Coverage</dc:subject>
  <dc:creator>CMS/CCIIO</dc:creator>
  <cp:lastModifiedBy>SYSTEM</cp:lastModifiedBy>
  <cp:revision>2</cp:revision>
  <dcterms:created xsi:type="dcterms:W3CDTF">2019-07-30T19:20:00Z</dcterms:created>
  <dcterms:modified xsi:type="dcterms:W3CDTF">2019-07-30T19:20:00Z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2019-02-26T00:00:00Z</vt:filetime>
  </property>
  <property fmtid="{D5CDD505-2E9C-101B-9397-08002B2CF9AE}" pid="3" name="Creator">
    <vt:lpwstr>Acrobat PDFMaker 15 for Word</vt:lpwstr>
  </property>
  <property fmtid="{D5CDD505-2E9C-101B-9397-08002B2CF9AE}" pid="4" name="LastSaved">
    <vt:filetime>2019-07-22T00:00:00Z</vt:filetime>
  </property>
</Properties>
</file>