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646" w:rsidRDefault="00A75131">
      <w:pPr>
        <w:pStyle w:val="Heading1"/>
        <w:spacing w:before="68" w:line="292" w:lineRule="auto"/>
        <w:ind w:left="1383" w:right="1608" w:firstLine="0"/>
        <w:jc w:val="center"/>
        <w:rPr>
          <w:u w:val="none"/>
        </w:rPr>
      </w:pPr>
      <w:bookmarkStart w:id="0" w:name="Supporting_Statement_for_Paperwork_Reduc"/>
      <w:bookmarkStart w:id="1" w:name="_GoBack"/>
      <w:bookmarkEnd w:id="0"/>
      <w:bookmarkEnd w:id="1"/>
      <w:r>
        <w:rPr>
          <w:spacing w:val="-4"/>
          <w:u w:val="thick"/>
        </w:rPr>
        <w:t xml:space="preserve">Supporting </w:t>
      </w:r>
      <w:r>
        <w:rPr>
          <w:u w:val="thick"/>
        </w:rPr>
        <w:t>Stateme</w:t>
      </w:r>
      <w:r>
        <w:rPr>
          <w:spacing w:val="-3"/>
          <w:u w:val="thick"/>
        </w:rPr>
        <w:t xml:space="preserve">nt for Paperwork </w:t>
      </w:r>
      <w:r>
        <w:rPr>
          <w:u w:val="thick"/>
        </w:rPr>
        <w:t xml:space="preserve">Reduction </w:t>
      </w:r>
      <w:r>
        <w:rPr>
          <w:spacing w:val="2"/>
          <w:u w:val="thick"/>
        </w:rPr>
        <w:t xml:space="preserve">Act </w:t>
      </w:r>
      <w:r>
        <w:rPr>
          <w:u w:val="thick"/>
        </w:rPr>
        <w:t xml:space="preserve">Submission </w:t>
      </w:r>
      <w:bookmarkStart w:id="2" w:name="Rate_Increase_Disclosure_and_Review_Requ"/>
      <w:bookmarkEnd w:id="2"/>
      <w:r>
        <w:rPr>
          <w:u w:val="thick"/>
        </w:rPr>
        <w:t xml:space="preserve">Rate </w:t>
      </w:r>
      <w:r>
        <w:rPr>
          <w:spacing w:val="2"/>
          <w:u w:val="thick"/>
        </w:rPr>
        <w:t xml:space="preserve">Increase Disclosure </w:t>
      </w:r>
      <w:r>
        <w:rPr>
          <w:spacing w:val="-5"/>
          <w:u w:val="thick"/>
        </w:rPr>
        <w:t xml:space="preserve">and </w:t>
      </w:r>
      <w:r>
        <w:rPr>
          <w:spacing w:val="8"/>
          <w:u w:val="thick"/>
        </w:rPr>
        <w:t>Review</w:t>
      </w:r>
      <w:r>
        <w:rPr>
          <w:spacing w:val="73"/>
          <w:u w:val="thick"/>
        </w:rPr>
        <w:t xml:space="preserve"> </w:t>
      </w:r>
      <w:r>
        <w:rPr>
          <w:spacing w:val="2"/>
          <w:u w:val="thick"/>
        </w:rPr>
        <w:t>Requirements</w:t>
      </w:r>
      <w:r>
        <w:rPr>
          <w:spacing w:val="22"/>
          <w:u w:val="thick"/>
        </w:rPr>
        <w:t xml:space="preserve"> </w:t>
      </w:r>
    </w:p>
    <w:p w:rsidR="004F1646" w:rsidRDefault="00A75131">
      <w:pPr>
        <w:spacing w:line="262" w:lineRule="exact"/>
        <w:ind w:left="1383" w:right="1605"/>
        <w:jc w:val="center"/>
        <w:rPr>
          <w:b/>
          <w:sz w:val="24"/>
        </w:rPr>
      </w:pPr>
      <w:bookmarkStart w:id="3" w:name="(45_CFR_Part_154)"/>
      <w:bookmarkEnd w:id="3"/>
      <w:r>
        <w:rPr>
          <w:b/>
          <w:sz w:val="24"/>
          <w:u w:val="thick"/>
        </w:rPr>
        <w:t>(45 CFR Part 154)</w:t>
      </w:r>
    </w:p>
    <w:p w:rsidR="004F1646" w:rsidRDefault="00A75131">
      <w:pPr>
        <w:spacing w:before="12"/>
        <w:ind w:left="2392"/>
        <w:rPr>
          <w:b/>
          <w:sz w:val="24"/>
        </w:rPr>
      </w:pPr>
      <w:r>
        <w:rPr>
          <w:b/>
          <w:sz w:val="24"/>
        </w:rPr>
        <w:t>(CMS – 10379/OMB Control Number 0938-1141)</w:t>
      </w:r>
    </w:p>
    <w:p w:rsidR="004F1646" w:rsidRDefault="004F1646">
      <w:pPr>
        <w:pStyle w:val="BodyText"/>
        <w:spacing w:before="8"/>
        <w:rPr>
          <w:b/>
        </w:rPr>
      </w:pPr>
    </w:p>
    <w:p w:rsidR="004F1646" w:rsidRDefault="00A75131">
      <w:pPr>
        <w:pStyle w:val="ListParagraph"/>
        <w:numPr>
          <w:ilvl w:val="0"/>
          <w:numId w:val="2"/>
        </w:numPr>
        <w:tabs>
          <w:tab w:val="left" w:pos="663"/>
          <w:tab w:val="left" w:pos="664"/>
        </w:tabs>
        <w:rPr>
          <w:b/>
          <w:sz w:val="24"/>
          <w:u w:val="none"/>
        </w:rPr>
      </w:pPr>
      <w:r>
        <w:rPr>
          <w:b/>
          <w:sz w:val="24"/>
          <w:u w:val="none"/>
        </w:rPr>
        <w:t>Background</w:t>
      </w:r>
    </w:p>
    <w:p w:rsidR="004F1646" w:rsidRDefault="004F1646">
      <w:pPr>
        <w:pStyle w:val="BodyText"/>
        <w:spacing w:before="10"/>
        <w:rPr>
          <w:b/>
          <w:sz w:val="21"/>
        </w:rPr>
      </w:pPr>
    </w:p>
    <w:p w:rsidR="004F1646" w:rsidRPr="007F4063" w:rsidRDefault="00A75131" w:rsidP="007F4063">
      <w:r w:rsidRPr="007F4063">
        <w:t xml:space="preserve">The Patient </w:t>
      </w:r>
      <w:r w:rsidR="007F4063" w:rsidRPr="007F4063">
        <w:t xml:space="preserve">Protection </w:t>
      </w:r>
      <w:r w:rsidRPr="007F4063">
        <w:t xml:space="preserve">and </w:t>
      </w:r>
      <w:r w:rsidR="007F4063" w:rsidRPr="007F4063">
        <w:t xml:space="preserve">Affordable </w:t>
      </w:r>
      <w:r w:rsidRPr="007F4063">
        <w:t xml:space="preserve">Care Act (Pub. L. </w:t>
      </w:r>
      <w:r w:rsidR="007F4063" w:rsidRPr="007F4063">
        <w:t xml:space="preserve">111–148) </w:t>
      </w:r>
      <w:r w:rsidRPr="007F4063">
        <w:t xml:space="preserve">was enacted on March 23, 2010 and the Health Care and Education Reconciliation Act (Pub. L. </w:t>
      </w:r>
      <w:r w:rsidR="007F4063" w:rsidRPr="007F4063">
        <w:t xml:space="preserve">111–152) </w:t>
      </w:r>
      <w:r w:rsidRPr="007F4063">
        <w:t xml:space="preserve">was enacted on March 30, 2010 (collectively known as “the “Affordable Care Act.”). The Affordable Care Act reorganizes, amends, and adds to the provisions of Part A of </w:t>
      </w:r>
      <w:r w:rsidR="007F4063" w:rsidRPr="007F4063">
        <w:t xml:space="preserve">title XXVII </w:t>
      </w:r>
      <w:r w:rsidRPr="007F4063">
        <w:t xml:space="preserve">of the </w:t>
      </w:r>
      <w:r w:rsidR="007F4063">
        <w:t xml:space="preserve">Public </w:t>
      </w:r>
      <w:r w:rsidRPr="007F4063">
        <w:t xml:space="preserve">Health Service Act (PHS Act) relating to group health plans and health insurance issuers in the group and </w:t>
      </w:r>
      <w:r w:rsidR="007F4063" w:rsidRPr="007F4063">
        <w:t>individua</w:t>
      </w:r>
      <w:r w:rsidRPr="007F4063">
        <w:t>l markets.</w:t>
      </w:r>
    </w:p>
    <w:p w:rsidR="004F1646" w:rsidRPr="007F4063" w:rsidRDefault="004F1646" w:rsidP="007F4063"/>
    <w:p w:rsidR="004F1646" w:rsidRPr="007F4063" w:rsidRDefault="00A75131" w:rsidP="007F4063">
      <w:r w:rsidRPr="007F4063">
        <w:t xml:space="preserve">Section 1003 of the Affordable Care Act added a new section </w:t>
      </w:r>
      <w:r w:rsidR="007F4063" w:rsidRPr="007F4063">
        <w:t xml:space="preserve">2794 </w:t>
      </w:r>
      <w:r w:rsidRPr="007F4063">
        <w:t xml:space="preserve">to the PHS </w:t>
      </w:r>
      <w:r w:rsidR="007F4063" w:rsidRPr="007F4063">
        <w:t xml:space="preserve">Act </w:t>
      </w:r>
      <w:r w:rsidRPr="007F4063">
        <w:t xml:space="preserve">which directs the Secretary of the Department of Health and Human Services (the Secretary), in </w:t>
      </w:r>
      <w:r w:rsidR="007F4063">
        <w:t xml:space="preserve">conjunction </w:t>
      </w:r>
      <w:r w:rsidRPr="007F4063">
        <w:t xml:space="preserve">with the states, to </w:t>
      </w:r>
      <w:r w:rsidR="007F4063" w:rsidRPr="007F4063">
        <w:t>establish</w:t>
      </w:r>
      <w:r w:rsidRPr="007F4063">
        <w:t xml:space="preserve"> a process for the annual review of “unreasonable  increases in   premiums for health insurance coverage.” The statute provides that health insurance issuers must submit justifications for unreasonable premium increases to the Secretary and the applicable state prior to the implementation of the increases. Section 2794 also specifies that the Secretary, in </w:t>
      </w:r>
      <w:r w:rsidR="007F4063">
        <w:t xml:space="preserve">conjunction </w:t>
      </w:r>
      <w:r w:rsidRPr="007F4063">
        <w:t xml:space="preserve">with the states, </w:t>
      </w:r>
      <w:r w:rsidR="007F4063" w:rsidRPr="007F4063">
        <w:t xml:space="preserve">shall </w:t>
      </w:r>
      <w:r w:rsidR="007F4063">
        <w:t xml:space="preserve">monitor </w:t>
      </w:r>
      <w:r w:rsidR="007F4063" w:rsidRPr="007F4063">
        <w:t>premium</w:t>
      </w:r>
      <w:r w:rsidRPr="007F4063">
        <w:t xml:space="preserve"> increases </w:t>
      </w:r>
      <w:r w:rsidR="007F4063" w:rsidRPr="007F4063">
        <w:t xml:space="preserve">of health insurance </w:t>
      </w:r>
      <w:r w:rsidR="007F4063">
        <w:t xml:space="preserve">coverage through </w:t>
      </w:r>
      <w:r w:rsidRPr="007F4063">
        <w:t xml:space="preserve">an </w:t>
      </w:r>
      <w:r w:rsidR="007F4063">
        <w:t>Exchange</w:t>
      </w:r>
      <w:r w:rsidRPr="007F4063">
        <w:t xml:space="preserve"> and </w:t>
      </w:r>
      <w:r w:rsidR="007F4063">
        <w:t xml:space="preserve">outside </w:t>
      </w:r>
      <w:r w:rsidRPr="007F4063">
        <w:t>of an Exchange.</w:t>
      </w:r>
    </w:p>
    <w:p w:rsidR="004F1646" w:rsidRDefault="004F1646">
      <w:pPr>
        <w:pStyle w:val="BodyText"/>
        <w:spacing w:before="7"/>
      </w:pPr>
    </w:p>
    <w:p w:rsidR="004F1646" w:rsidRDefault="00A75131">
      <w:pPr>
        <w:pStyle w:val="Heading1"/>
        <w:numPr>
          <w:ilvl w:val="0"/>
          <w:numId w:val="2"/>
        </w:numPr>
        <w:tabs>
          <w:tab w:val="left" w:pos="663"/>
          <w:tab w:val="left" w:pos="664"/>
        </w:tabs>
        <w:rPr>
          <w:u w:val="none"/>
        </w:rPr>
      </w:pPr>
      <w:r>
        <w:rPr>
          <w:u w:val="none"/>
        </w:rPr>
        <w:t>Justification</w:t>
      </w:r>
    </w:p>
    <w:p w:rsidR="004F1646" w:rsidRDefault="004F1646">
      <w:pPr>
        <w:pStyle w:val="BodyText"/>
        <w:spacing w:before="8"/>
        <w:rPr>
          <w:b/>
        </w:rPr>
      </w:pPr>
    </w:p>
    <w:p w:rsidR="004F1646" w:rsidRDefault="00A75131">
      <w:pPr>
        <w:pStyle w:val="ListParagraph"/>
        <w:numPr>
          <w:ilvl w:val="0"/>
          <w:numId w:val="1"/>
        </w:numPr>
        <w:tabs>
          <w:tab w:val="left" w:pos="487"/>
          <w:tab w:val="left" w:pos="488"/>
        </w:tabs>
        <w:jc w:val="left"/>
        <w:rPr>
          <w:b/>
          <w:sz w:val="24"/>
          <w:u w:val="none"/>
        </w:rPr>
      </w:pPr>
      <w:r>
        <w:rPr>
          <w:b/>
          <w:spacing w:val="11"/>
          <w:sz w:val="24"/>
          <w:u w:val="thick"/>
        </w:rPr>
        <w:t>Need</w:t>
      </w:r>
      <w:r>
        <w:rPr>
          <w:b/>
          <w:spacing w:val="-18"/>
          <w:sz w:val="24"/>
          <w:u w:val="thick"/>
        </w:rPr>
        <w:t xml:space="preserve"> </w:t>
      </w:r>
      <w:r>
        <w:rPr>
          <w:b/>
          <w:spacing w:val="-5"/>
          <w:sz w:val="24"/>
          <w:u w:val="thick"/>
        </w:rPr>
        <w:t>and</w:t>
      </w:r>
      <w:r>
        <w:rPr>
          <w:b/>
          <w:spacing w:val="-18"/>
          <w:sz w:val="24"/>
          <w:u w:val="thick"/>
        </w:rPr>
        <w:t xml:space="preserve"> </w:t>
      </w:r>
      <w:r>
        <w:rPr>
          <w:b/>
          <w:spacing w:val="4"/>
          <w:sz w:val="24"/>
          <w:u w:val="thick"/>
        </w:rPr>
        <w:t>Legal</w:t>
      </w:r>
      <w:r>
        <w:rPr>
          <w:b/>
          <w:spacing w:val="-15"/>
          <w:sz w:val="24"/>
          <w:u w:val="thick"/>
        </w:rPr>
        <w:t xml:space="preserve"> </w:t>
      </w:r>
      <w:r>
        <w:rPr>
          <w:b/>
          <w:spacing w:val="4"/>
          <w:sz w:val="24"/>
          <w:u w:val="thick"/>
        </w:rPr>
        <w:t>Basis</w:t>
      </w:r>
    </w:p>
    <w:p w:rsidR="004F1646" w:rsidRDefault="004F1646">
      <w:pPr>
        <w:pStyle w:val="BodyText"/>
        <w:spacing w:before="10"/>
        <w:rPr>
          <w:b/>
          <w:sz w:val="21"/>
        </w:rPr>
      </w:pPr>
    </w:p>
    <w:p w:rsidR="004F1646" w:rsidRPr="007F4063" w:rsidRDefault="00A75131" w:rsidP="007F4063">
      <w:r w:rsidRPr="007F4063">
        <w:t xml:space="preserve">45 CFR Part 154 implements the annual review of unreasonable increases in premiums for </w:t>
      </w:r>
      <w:r w:rsidR="007F4063">
        <w:t xml:space="preserve">health insurance </w:t>
      </w:r>
      <w:r w:rsidRPr="007F4063">
        <w:t xml:space="preserve">coverage </w:t>
      </w:r>
      <w:r w:rsidR="007F4063">
        <w:t xml:space="preserve">called </w:t>
      </w:r>
      <w:r w:rsidRPr="007F4063">
        <w:t xml:space="preserve">for by section 2794. The </w:t>
      </w:r>
      <w:r w:rsidR="007F4063">
        <w:t xml:space="preserve">regulation established </w:t>
      </w:r>
      <w:r w:rsidRPr="007F4063">
        <w:t xml:space="preserve">a rate review program to ensure that all rate increases that meet or exceed an established </w:t>
      </w:r>
      <w:r w:rsidR="007F4063">
        <w:t xml:space="preserve">threshold </w:t>
      </w:r>
      <w:r w:rsidRPr="007F4063">
        <w:t xml:space="preserve">are reviewed by a state or the Centers for Medicare and Medicaid Services (CMS) to determine whether the rate increases are unreasonable. Accordingly, issuers offering non-grandfathered health insurance coverage in the </w:t>
      </w:r>
      <w:r w:rsidR="007F4063">
        <w:t>individua</w:t>
      </w:r>
      <w:r w:rsidRPr="007F4063">
        <w:t>l and/or small group markets are required to submit Rate Filing Justif</w:t>
      </w:r>
      <w:r w:rsidR="007F4063">
        <w:t xml:space="preserve">ications </w:t>
      </w:r>
      <w:r w:rsidRPr="007F4063">
        <w:t xml:space="preserve">to </w:t>
      </w:r>
      <w:r w:rsidR="007F4063">
        <w:t xml:space="preserve">CMS.  Section 154.103(b) </w:t>
      </w:r>
      <w:r w:rsidRPr="007F4063">
        <w:t xml:space="preserve">exempts grandfathered health plan coverage as defined in 45 CFR §147.140 and excepted </w:t>
      </w:r>
      <w:r w:rsidR="007F4063">
        <w:t xml:space="preserve">benefits </w:t>
      </w:r>
      <w:r w:rsidRPr="007F4063">
        <w:t xml:space="preserve">as described </w:t>
      </w:r>
      <w:r w:rsidR="007F4063">
        <w:t xml:space="preserve">in </w:t>
      </w:r>
      <w:r w:rsidRPr="007F4063">
        <w:t xml:space="preserve">section </w:t>
      </w:r>
      <w:r w:rsidR="007F4063">
        <w:t xml:space="preserve">2791(c) of the </w:t>
      </w:r>
      <w:r w:rsidRPr="007F4063">
        <w:t xml:space="preserve">PHS Act. In </w:t>
      </w:r>
      <w:r w:rsidR="007F4063">
        <w:t xml:space="preserve">the Notice </w:t>
      </w:r>
      <w:r w:rsidRPr="007F4063">
        <w:t xml:space="preserve">of Benefit and Payment Parameters for </w:t>
      </w:r>
      <w:r w:rsidR="007F4063">
        <w:t>2019</w:t>
      </w:r>
      <w:r w:rsidRPr="007F4063">
        <w:t xml:space="preserve"> </w:t>
      </w:r>
      <w:r w:rsidR="007F4063">
        <w:t xml:space="preserve">(2019 </w:t>
      </w:r>
      <w:r w:rsidRPr="007F4063">
        <w:t xml:space="preserve">Payment Notice) (83 FR 74, April 17, 2018), Section 154.103 was modified so that student health insurance coverage, as defined in §147.145, is </w:t>
      </w:r>
      <w:r w:rsidR="007F4063">
        <w:t>a</w:t>
      </w:r>
      <w:r w:rsidRPr="007F4063">
        <w:t xml:space="preserve">lso exempted from Federal rate review </w:t>
      </w:r>
      <w:r w:rsidR="007F4063">
        <w:t>requirements f</w:t>
      </w:r>
      <w:r w:rsidRPr="007F4063">
        <w:t xml:space="preserve">or </w:t>
      </w:r>
      <w:r w:rsidR="007F4063">
        <w:t xml:space="preserve">plans </w:t>
      </w:r>
      <w:r w:rsidRPr="007F4063">
        <w:t xml:space="preserve">beginning on or after </w:t>
      </w:r>
      <w:r w:rsidR="007F4063">
        <w:t xml:space="preserve">July </w:t>
      </w:r>
      <w:r w:rsidRPr="007F4063">
        <w:t>1, 2018.</w:t>
      </w:r>
    </w:p>
    <w:p w:rsidR="004F1646" w:rsidRDefault="004F1646">
      <w:pPr>
        <w:pStyle w:val="BodyText"/>
        <w:spacing w:before="3"/>
        <w:rPr>
          <w:sz w:val="23"/>
        </w:rPr>
      </w:pPr>
    </w:p>
    <w:p w:rsidR="004F1646" w:rsidRPr="007F4063" w:rsidRDefault="00A75131" w:rsidP="007F4063">
      <w:r w:rsidRPr="007F4063">
        <w:t>Section 154.200(a)(1) previously provided that a rate increase for single  risk pool  coverage beginning on or after January 1, 2017 was subject to a reasonableness review if: (1) the average increase, including premium rating factors described in §147.102, for all enrollees, weighted by premium volume for any plan within the product, meets or exceeds 10 percent; or (2) the increase exc</w:t>
      </w:r>
      <w:r w:rsidR="007F4063">
        <w:t>eeds a state-specific threshold</w:t>
      </w:r>
      <w:r w:rsidRPr="007F4063">
        <w:t xml:space="preserve"> approved by the Secretary.</w:t>
      </w:r>
    </w:p>
    <w:p w:rsidR="004F1646" w:rsidRDefault="004F1646">
      <w:pPr>
        <w:sectPr w:rsidR="004F1646">
          <w:footerReference w:type="default" r:id="rId8"/>
          <w:type w:val="continuous"/>
          <w:pgSz w:w="12240" w:h="15840"/>
          <w:pgMar w:top="1420" w:right="1280" w:bottom="1100" w:left="1320" w:header="720" w:footer="913" w:gutter="0"/>
          <w:pgNumType w:start="1"/>
          <w:cols w:space="720"/>
        </w:sectPr>
      </w:pPr>
    </w:p>
    <w:p w:rsidR="004F1646" w:rsidRPr="007F4063" w:rsidRDefault="00A75131" w:rsidP="007F4063">
      <w:r w:rsidRPr="007F4063">
        <w:lastRenderedPageBreak/>
        <w:t xml:space="preserve">In the 2019 Payment Notice, this provision was amended to establish a 15 percent federal default threshold for reasonableness review </w:t>
      </w:r>
      <w:r>
        <w:t>beginning</w:t>
      </w:r>
      <w:r w:rsidRPr="007F4063">
        <w:t xml:space="preserve"> with </w:t>
      </w:r>
      <w:r w:rsidR="007F4063">
        <w:t xml:space="preserve">single </w:t>
      </w:r>
      <w:r w:rsidRPr="007F4063">
        <w:t xml:space="preserve">risk pool rate </w:t>
      </w:r>
      <w:r w:rsidR="007F4063">
        <w:t xml:space="preserve">filings submitted by </w:t>
      </w:r>
      <w:r w:rsidRPr="007F4063">
        <w:t xml:space="preserve">issuers for plan or policy  years </w:t>
      </w:r>
      <w:r w:rsidR="007F4063">
        <w:t xml:space="preserve">beginning </w:t>
      </w:r>
      <w:r w:rsidRPr="007F4063">
        <w:t>on or after January 1,  2019.</w:t>
      </w:r>
    </w:p>
    <w:p w:rsidR="004F1646" w:rsidRPr="007F4063" w:rsidRDefault="004F1646" w:rsidP="007F4063"/>
    <w:p w:rsidR="004F1646" w:rsidRPr="007F4063" w:rsidRDefault="00A75131" w:rsidP="007F4063">
      <w:r w:rsidRPr="007F4063">
        <w:t xml:space="preserve">The Rate </w:t>
      </w:r>
      <w:r w:rsidR="007F4063">
        <w:t>Filing</w:t>
      </w:r>
      <w:r w:rsidRPr="007F4063">
        <w:t xml:space="preserve"> </w:t>
      </w:r>
      <w:r w:rsidR="007F4063">
        <w:t xml:space="preserve">Justification </w:t>
      </w:r>
      <w:r w:rsidRPr="007F4063">
        <w:t xml:space="preserve">consists of three parts.  All issuers must </w:t>
      </w:r>
      <w:r w:rsidR="007F4063">
        <w:t xml:space="preserve">continue </w:t>
      </w:r>
      <w:r w:rsidRPr="007F4063">
        <w:t xml:space="preserve">to </w:t>
      </w:r>
      <w:r w:rsidR="007F4063">
        <w:t xml:space="preserve">submit a </w:t>
      </w:r>
      <w:r w:rsidRPr="007F4063">
        <w:t xml:space="preserve">Uniform Rate Review Template (URRT) (Part I of the Rate Filing Justification) for all single risk pool </w:t>
      </w:r>
      <w:r w:rsidR="007F4063">
        <w:t xml:space="preserve">plans.  </w:t>
      </w:r>
      <w:r w:rsidRPr="007F4063">
        <w:t xml:space="preserve">Issuers that </w:t>
      </w:r>
      <w:r w:rsidR="007F4063">
        <w:t xml:space="preserve">submit </w:t>
      </w:r>
      <w:r w:rsidRPr="007F4063">
        <w:t xml:space="preserve">a rate </w:t>
      </w:r>
      <w:r w:rsidR="007F4063">
        <w:t xml:space="preserve">filing </w:t>
      </w:r>
      <w:r w:rsidRPr="007F4063">
        <w:t xml:space="preserve">that </w:t>
      </w:r>
      <w:r w:rsidR="007F4063">
        <w:t xml:space="preserve">includes </w:t>
      </w:r>
      <w:r w:rsidRPr="007F4063">
        <w:t xml:space="preserve">a plan that meets or exceeds </w:t>
      </w:r>
      <w:r w:rsidR="007F4063">
        <w:t xml:space="preserve">the </w:t>
      </w:r>
      <w:r w:rsidRPr="007F4063">
        <w:t xml:space="preserve">threshold must </w:t>
      </w:r>
      <w:r w:rsidR="007F4063">
        <w:t xml:space="preserve">include </w:t>
      </w:r>
      <w:r w:rsidRPr="007F4063">
        <w:t xml:space="preserve">a written description justifying the rate increase, also known as </w:t>
      </w:r>
      <w:r w:rsidR="007F4063">
        <w:t xml:space="preserve">the </w:t>
      </w:r>
      <w:r w:rsidRPr="007F4063">
        <w:t xml:space="preserve">consumer </w:t>
      </w:r>
      <w:r w:rsidR="007F4063">
        <w:t>justification</w:t>
      </w:r>
      <w:r w:rsidRPr="007F4063">
        <w:t xml:space="preserve"> </w:t>
      </w:r>
      <w:r w:rsidR="007F4063">
        <w:t>narrative</w:t>
      </w:r>
      <w:r w:rsidRPr="007F4063">
        <w:t xml:space="preserve"> (Part II of the Rate Filing   </w:t>
      </w:r>
      <w:r w:rsidR="007F4063">
        <w:t xml:space="preserve">Justification).  </w:t>
      </w:r>
      <w:r w:rsidRPr="007F4063">
        <w:t xml:space="preserve">We </w:t>
      </w:r>
      <w:r w:rsidR="007F4063">
        <w:t xml:space="preserve">note </w:t>
      </w:r>
      <w:r w:rsidRPr="007F4063">
        <w:t xml:space="preserve">that the threshold set by CMS </w:t>
      </w:r>
      <w:r w:rsidR="007F4063">
        <w:t xml:space="preserve">constitutes </w:t>
      </w:r>
      <w:r w:rsidRPr="007F4063">
        <w:t xml:space="preserve">a </w:t>
      </w:r>
      <w:r w:rsidR="007F4063">
        <w:t xml:space="preserve">minimum </w:t>
      </w:r>
      <w:r w:rsidRPr="007F4063">
        <w:t xml:space="preserve">standard and most states currently </w:t>
      </w:r>
      <w:r w:rsidR="007F4063">
        <w:t xml:space="preserve">employ </w:t>
      </w:r>
      <w:r w:rsidRPr="007F4063">
        <w:t xml:space="preserve">stricter rate review standards and may continue to do so. Issuers offering a QHP or any single risk pool submission containing a rate increase of any </w:t>
      </w:r>
      <w:r w:rsidR="007F4063">
        <w:t xml:space="preserve">size </w:t>
      </w:r>
      <w:r w:rsidRPr="007F4063">
        <w:t xml:space="preserve">must </w:t>
      </w:r>
      <w:r w:rsidR="007F4063">
        <w:t xml:space="preserve">continue </w:t>
      </w:r>
      <w:r w:rsidRPr="007F4063">
        <w:t xml:space="preserve">to </w:t>
      </w:r>
      <w:r w:rsidR="007F4063">
        <w:t xml:space="preserve">submit </w:t>
      </w:r>
      <w:r w:rsidRPr="007F4063">
        <w:t xml:space="preserve">an actuarial </w:t>
      </w:r>
      <w:r w:rsidR="007F4063">
        <w:t xml:space="preserve">memorandum </w:t>
      </w:r>
      <w:r w:rsidRPr="007F4063">
        <w:t>(Part III of the Rate Filing Justification).</w:t>
      </w:r>
    </w:p>
    <w:p w:rsidR="004F1646" w:rsidRPr="007F4063" w:rsidRDefault="004F1646" w:rsidP="007F4063"/>
    <w:p w:rsidR="004F1646" w:rsidRPr="007F4063" w:rsidRDefault="00A75131" w:rsidP="007F4063">
      <w:r w:rsidRPr="007F4063">
        <w:t xml:space="preserve">Part I, (the URRT), is intended to capture information needed to monitor rate increases and ensure compliance with the single risk </w:t>
      </w:r>
      <w:r w:rsidR="007F4063">
        <w:t xml:space="preserve">pool </w:t>
      </w:r>
      <w:r w:rsidRPr="007F4063">
        <w:t xml:space="preserve">methodology and other federal </w:t>
      </w:r>
      <w:r w:rsidR="007F4063">
        <w:t xml:space="preserve">rating </w:t>
      </w:r>
      <w:r w:rsidRPr="007F4063">
        <w:t xml:space="preserve">requirements.  The URRT currently in use </w:t>
      </w:r>
      <w:r w:rsidR="007F4063">
        <w:t xml:space="preserve">is </w:t>
      </w:r>
      <w:r w:rsidRPr="007F4063">
        <w:t xml:space="preserve">Version 4.3.  That </w:t>
      </w:r>
      <w:r w:rsidR="007F4063">
        <w:t xml:space="preserve">version contains </w:t>
      </w:r>
      <w:r w:rsidRPr="007F4063">
        <w:t xml:space="preserve">two worksheets: Worksheet 1 “Market Experience” and Worksheet 2 “Plan &amp; Product Information.” CMS is </w:t>
      </w:r>
      <w:r w:rsidR="007F4063">
        <w:t xml:space="preserve">proposing changes </w:t>
      </w:r>
      <w:r w:rsidRPr="007F4063">
        <w:t xml:space="preserve">to redesign the URRT in order to reduce the amount of information collected. The new URRT (Version 5.0) </w:t>
      </w:r>
      <w:r w:rsidR="007F4063">
        <w:t xml:space="preserve">will </w:t>
      </w:r>
      <w:r w:rsidRPr="007F4063">
        <w:t xml:space="preserve">be required for all plans in the </w:t>
      </w:r>
      <w:r w:rsidR="007F4063">
        <w:t xml:space="preserve">single </w:t>
      </w:r>
      <w:r w:rsidRPr="007F4063">
        <w:t xml:space="preserve">risk </w:t>
      </w:r>
      <w:r w:rsidR="007F4063">
        <w:t xml:space="preserve">pool </w:t>
      </w:r>
      <w:r w:rsidRPr="007F4063">
        <w:t>with effective   dates beginning</w:t>
      </w:r>
      <w:r w:rsidR="007F4063">
        <w:t xml:space="preserve"> </w:t>
      </w:r>
      <w:r w:rsidRPr="007F4063">
        <w:t>on or after July 1, 2019. Version 5.0 will include an additional worksheet (Worksheet 3 “Rating Areas”). Some fields will be removed from Worksheets 1 and 2, while some new fields will be added to Worksheets 1 and 2. Detailed changes to Worksheet 1 and Work</w:t>
      </w:r>
      <w:r w:rsidR="007F4063">
        <w:t xml:space="preserve">sheet 2 are listed in Appendix A to this </w:t>
      </w:r>
      <w:r w:rsidRPr="007F4063">
        <w:t>Supporting Statement.</w:t>
      </w:r>
    </w:p>
    <w:p w:rsidR="004F1646" w:rsidRDefault="004F1646">
      <w:pPr>
        <w:pStyle w:val="BodyText"/>
        <w:spacing w:before="4"/>
        <w:rPr>
          <w:sz w:val="25"/>
        </w:rPr>
      </w:pPr>
    </w:p>
    <w:p w:rsidR="004F1646" w:rsidRDefault="00A75131">
      <w:pPr>
        <w:pStyle w:val="Heading1"/>
        <w:numPr>
          <w:ilvl w:val="0"/>
          <w:numId w:val="1"/>
        </w:numPr>
        <w:tabs>
          <w:tab w:val="left" w:pos="467"/>
          <w:tab w:val="left" w:pos="468"/>
        </w:tabs>
        <w:spacing w:before="1"/>
        <w:ind w:left="467" w:hanging="367"/>
        <w:jc w:val="left"/>
        <w:rPr>
          <w:u w:val="none"/>
        </w:rPr>
      </w:pPr>
      <w:bookmarkStart w:id="4" w:name="2._Information_Users"/>
      <w:bookmarkEnd w:id="4"/>
      <w:r>
        <w:rPr>
          <w:spacing w:val="-4"/>
          <w:u w:val="thick"/>
        </w:rPr>
        <w:t xml:space="preserve">Information  </w:t>
      </w:r>
      <w:r>
        <w:rPr>
          <w:spacing w:val="6"/>
          <w:u w:val="thick"/>
        </w:rPr>
        <w:t>Use</w:t>
      </w:r>
      <w:r>
        <w:rPr>
          <w:spacing w:val="-50"/>
          <w:u w:val="thick"/>
        </w:rPr>
        <w:t xml:space="preserve"> </w:t>
      </w:r>
      <w:r>
        <w:rPr>
          <w:spacing w:val="-11"/>
          <w:u w:val="thick"/>
        </w:rPr>
        <w:t>rs</w:t>
      </w:r>
    </w:p>
    <w:p w:rsidR="004F1646" w:rsidRDefault="004F1646">
      <w:pPr>
        <w:pStyle w:val="BodyText"/>
        <w:spacing w:before="5"/>
        <w:rPr>
          <w:b/>
          <w:sz w:val="15"/>
        </w:rPr>
      </w:pPr>
    </w:p>
    <w:p w:rsidR="004F1646" w:rsidRPr="007F4063" w:rsidRDefault="00A75131" w:rsidP="007F4063">
      <w:r w:rsidRPr="007F4063">
        <w:t xml:space="preserve">CMS will post on its website the information contained in each Rate Filing Justification for each proposed rate increase. States have the option to post at least the information in the Rate Filing Justification that CMS makes available on its website or provide a hyperlink to the publically available portions posted on the CMS website. For consumer clarity, CMS will also post on its website the final </w:t>
      </w:r>
      <w:r w:rsidR="007F4063">
        <w:t xml:space="preserve">disposition </w:t>
      </w:r>
      <w:r w:rsidRPr="007F4063">
        <w:t xml:space="preserve">of each rate increase that was </w:t>
      </w:r>
      <w:r w:rsidR="007F4063">
        <w:t>subject</w:t>
      </w:r>
      <w:r w:rsidRPr="007F4063">
        <w:t xml:space="preserve"> to review under the regulation by either CMS or </w:t>
      </w:r>
      <w:r w:rsidR="007F4063">
        <w:t xml:space="preserve">a </w:t>
      </w:r>
      <w:r w:rsidRPr="007F4063">
        <w:t>state.</w:t>
      </w:r>
    </w:p>
    <w:p w:rsidR="004F1646" w:rsidRPr="007F4063" w:rsidRDefault="004F1646" w:rsidP="007F4063"/>
    <w:p w:rsidR="004F1646" w:rsidRPr="007F4063" w:rsidRDefault="007F4063" w:rsidP="007F4063">
      <w:r>
        <w:t xml:space="preserve">Previously, </w:t>
      </w:r>
      <w:r w:rsidR="00A75131" w:rsidRPr="007F4063">
        <w:t xml:space="preserve">Part II (consumer justification   narrative) was </w:t>
      </w:r>
      <w:r>
        <w:t xml:space="preserve">only required </w:t>
      </w:r>
      <w:r w:rsidR="00A75131" w:rsidRPr="007F4063">
        <w:t xml:space="preserve">when an issuer </w:t>
      </w:r>
      <w:r>
        <w:t xml:space="preserve">submitted </w:t>
      </w:r>
      <w:r w:rsidR="00A75131" w:rsidRPr="007F4063">
        <w:t xml:space="preserve">a rate increase for </w:t>
      </w:r>
      <w:r w:rsidR="0015104E">
        <w:t xml:space="preserve">single </w:t>
      </w:r>
      <w:r w:rsidR="00A75131">
        <w:t xml:space="preserve">risk </w:t>
      </w:r>
      <w:r w:rsidR="00A75131" w:rsidRPr="007F4063">
        <w:t xml:space="preserve">pool coverage and (1) the average increase, </w:t>
      </w:r>
      <w:r w:rsidR="00A75131">
        <w:t xml:space="preserve">including premium </w:t>
      </w:r>
      <w:r w:rsidR="00A75131" w:rsidRPr="007F4063">
        <w:t xml:space="preserve">rating factors described in §147.102, for all enrollees, weighted by premium volume for any plan within the product, met or exceeded 10 percent; or (2) the increase exceeded a state-specific threshold approved by the Secretary. CMS has narrowed the information collection so that Part II will now only be required for rate changes for single risk pool coverage when (1) the average increase, including premium rating factors described in §147.102, for all enrollees, weighted by premium volume for any plan within the product, meets or exceeds 15 percent; or (2) the increase exceeds a state-specific </w:t>
      </w:r>
      <w:r>
        <w:t xml:space="preserve">threshold </w:t>
      </w:r>
      <w:r w:rsidR="00A75131" w:rsidRPr="007F4063">
        <w:t>approved by the Secretary.</w:t>
      </w:r>
    </w:p>
    <w:p w:rsidR="004F1646" w:rsidRDefault="004F1646">
      <w:pPr>
        <w:pStyle w:val="BodyText"/>
        <w:spacing w:before="2"/>
        <w:rPr>
          <w:sz w:val="26"/>
        </w:rPr>
      </w:pPr>
    </w:p>
    <w:p w:rsidR="004F1646" w:rsidRDefault="00A75131">
      <w:pPr>
        <w:pStyle w:val="Heading1"/>
        <w:numPr>
          <w:ilvl w:val="0"/>
          <w:numId w:val="1"/>
        </w:numPr>
        <w:tabs>
          <w:tab w:val="left" w:pos="467"/>
          <w:tab w:val="left" w:pos="468"/>
        </w:tabs>
        <w:ind w:left="467" w:hanging="367"/>
        <w:jc w:val="left"/>
        <w:rPr>
          <w:u w:val="none"/>
        </w:rPr>
      </w:pPr>
      <w:bookmarkStart w:id="5" w:name="3._Use_of_Information_Technology"/>
      <w:bookmarkEnd w:id="5"/>
      <w:r>
        <w:rPr>
          <w:spacing w:val="6"/>
          <w:u w:val="thick"/>
        </w:rPr>
        <w:t xml:space="preserve">Use </w:t>
      </w:r>
      <w:r>
        <w:rPr>
          <w:spacing w:val="3"/>
          <w:u w:val="thick"/>
        </w:rPr>
        <w:t xml:space="preserve">of </w:t>
      </w:r>
      <w:r>
        <w:rPr>
          <w:spacing w:val="-4"/>
          <w:u w:val="thick"/>
        </w:rPr>
        <w:t>Information</w:t>
      </w:r>
      <w:r>
        <w:rPr>
          <w:spacing w:val="4"/>
          <w:u w:val="thick"/>
        </w:rPr>
        <w:t xml:space="preserve"> </w:t>
      </w:r>
      <w:r>
        <w:rPr>
          <w:spacing w:val="3"/>
          <w:u w:val="thick"/>
        </w:rPr>
        <w:t>Technology</w:t>
      </w:r>
    </w:p>
    <w:p w:rsidR="004F1646" w:rsidRDefault="004F1646">
      <w:pPr>
        <w:sectPr w:rsidR="004F1646">
          <w:pgSz w:w="12240" w:h="15840"/>
          <w:pgMar w:top="1360" w:right="1280" w:bottom="1100" w:left="1340" w:header="0" w:footer="913" w:gutter="0"/>
          <w:cols w:space="720"/>
        </w:sectPr>
      </w:pPr>
    </w:p>
    <w:p w:rsidR="004F1646" w:rsidRPr="007F4063" w:rsidRDefault="00A75131" w:rsidP="007F4063">
      <w:r w:rsidRPr="007F4063">
        <w:lastRenderedPageBreak/>
        <w:t xml:space="preserve">Health insurance issuers and states will provide rate review information via the Health Insurance Oversight System (HIOS)—a web-based data collection  system that is  already being  used by states and issuers to provide information for the healthcare.gov website (additional PRA-related information regarding HIOS is provided in the Web Portal PRA package (Health Care Reform Insurance Web Portal Requirements  45 CFR part 159,  OMB control number </w:t>
      </w:r>
      <w:r>
        <w:t xml:space="preserve">0938-1086) </w:t>
      </w:r>
      <w:r w:rsidRPr="007F4063">
        <w:t xml:space="preserve">including all current rate review submissions exceeding the review threshold since September 1, </w:t>
      </w:r>
      <w:r w:rsidR="007F4063">
        <w:t xml:space="preserve">2011. </w:t>
      </w:r>
      <w:r w:rsidRPr="007F4063">
        <w:t xml:space="preserve">All data </w:t>
      </w:r>
      <w:r w:rsidR="007F4063">
        <w:t xml:space="preserve">submissions will </w:t>
      </w:r>
      <w:r w:rsidRPr="007F4063">
        <w:t xml:space="preserve">be made </w:t>
      </w:r>
      <w:r w:rsidR="007F4063">
        <w:t xml:space="preserve">electronically </w:t>
      </w:r>
      <w:r w:rsidRPr="007F4063">
        <w:t xml:space="preserve">and no paper </w:t>
      </w:r>
      <w:r>
        <w:t xml:space="preserve">submissions </w:t>
      </w:r>
      <w:r w:rsidRPr="007F4063">
        <w:t>are permitted.</w:t>
      </w:r>
    </w:p>
    <w:p w:rsidR="004F1646" w:rsidRPr="007F4063" w:rsidRDefault="004F1646" w:rsidP="007F4063"/>
    <w:p w:rsidR="004F1646" w:rsidRPr="007F4063" w:rsidRDefault="00A75131" w:rsidP="007F4063">
      <w:r w:rsidRPr="007F4063">
        <w:t xml:space="preserve">Issuers and states will continue to use HIOS to upload their rate review </w:t>
      </w:r>
      <w:r w:rsidR="007F4063">
        <w:t xml:space="preserve">reporting </w:t>
      </w:r>
      <w:r w:rsidRPr="007F4063">
        <w:t xml:space="preserve">submissions (these submissions are described in detail below). The burden estimates </w:t>
      </w:r>
      <w:r w:rsidR="007F4063">
        <w:t xml:space="preserve">provided </w:t>
      </w:r>
      <w:r w:rsidRPr="007F4063">
        <w:t xml:space="preserve">in </w:t>
      </w:r>
      <w:r w:rsidR="007F4063">
        <w:t xml:space="preserve">this </w:t>
      </w:r>
      <w:r w:rsidRPr="007F4063">
        <w:t xml:space="preserve">Supporting Statement </w:t>
      </w:r>
      <w:r w:rsidR="007F4063">
        <w:t xml:space="preserve">include </w:t>
      </w:r>
      <w:r w:rsidRPr="007F4063">
        <w:t xml:space="preserve">the </w:t>
      </w:r>
      <w:r w:rsidR="007F4063">
        <w:t xml:space="preserve">time </w:t>
      </w:r>
      <w:r w:rsidRPr="007F4063">
        <w:t xml:space="preserve">and effort that </w:t>
      </w:r>
      <w:r w:rsidR="007F4063">
        <w:t xml:space="preserve">will </w:t>
      </w:r>
      <w:r w:rsidRPr="007F4063">
        <w:t xml:space="preserve">be dedicated to </w:t>
      </w:r>
      <w:r w:rsidR="007F4063">
        <w:t xml:space="preserve">uploading </w:t>
      </w:r>
      <w:r w:rsidRPr="007F4063">
        <w:t xml:space="preserve">information in HIOS. For </w:t>
      </w:r>
      <w:r w:rsidR="007F4063">
        <w:t xml:space="preserve">example, </w:t>
      </w:r>
      <w:r w:rsidRPr="007F4063">
        <w:t xml:space="preserve">the issuer </w:t>
      </w:r>
      <w:r w:rsidR="007F4063">
        <w:t xml:space="preserve">burden </w:t>
      </w:r>
      <w:r w:rsidRPr="007F4063">
        <w:t xml:space="preserve">estimate for </w:t>
      </w:r>
      <w:r w:rsidR="007F4063">
        <w:t xml:space="preserve">completing </w:t>
      </w:r>
      <w:r w:rsidRPr="007F4063">
        <w:t xml:space="preserve">and </w:t>
      </w:r>
      <w:r w:rsidR="007F4063">
        <w:t xml:space="preserve">submitting </w:t>
      </w:r>
      <w:r w:rsidRPr="007F4063">
        <w:t xml:space="preserve">Part I of the Rate Filing Justification (the URRT) includes the time associated </w:t>
      </w:r>
      <w:r w:rsidR="007F4063">
        <w:t xml:space="preserve">with uploading the </w:t>
      </w:r>
      <w:r w:rsidRPr="007F4063">
        <w:t>record in HIOS (2-3 minutes).</w:t>
      </w:r>
    </w:p>
    <w:p w:rsidR="004F1646" w:rsidRPr="007F4063" w:rsidRDefault="004F1646" w:rsidP="007F4063"/>
    <w:p w:rsidR="004F1646" w:rsidRPr="007F4063" w:rsidRDefault="00A75131" w:rsidP="007F4063">
      <w:r w:rsidRPr="007F4063">
        <w:t xml:space="preserve">The rate review information that is uploaded and stored in HIOS will also be used to provide </w:t>
      </w:r>
      <w:r w:rsidR="007F4063">
        <w:t xml:space="preserve">consumer-oriented information </w:t>
      </w:r>
      <w:r w:rsidRPr="007F4063">
        <w:t>about rate increases on the Healthcare.gov website.</w:t>
      </w:r>
    </w:p>
    <w:p w:rsidR="004F1646" w:rsidRDefault="004F1646">
      <w:pPr>
        <w:pStyle w:val="BodyText"/>
        <w:spacing w:before="6"/>
      </w:pPr>
    </w:p>
    <w:p w:rsidR="004F1646" w:rsidRDefault="00A75131">
      <w:pPr>
        <w:pStyle w:val="Heading1"/>
        <w:numPr>
          <w:ilvl w:val="0"/>
          <w:numId w:val="1"/>
        </w:numPr>
        <w:tabs>
          <w:tab w:val="left" w:pos="487"/>
          <w:tab w:val="left" w:pos="488"/>
        </w:tabs>
        <w:ind w:hanging="367"/>
        <w:jc w:val="left"/>
        <w:rPr>
          <w:u w:val="none"/>
        </w:rPr>
      </w:pPr>
      <w:bookmarkStart w:id="6" w:name="4._Duplication_of_Similar_Information"/>
      <w:bookmarkEnd w:id="6"/>
      <w:r>
        <w:rPr>
          <w:u w:val="thick"/>
        </w:rPr>
        <w:t xml:space="preserve">Duplication </w:t>
      </w:r>
      <w:r>
        <w:rPr>
          <w:spacing w:val="4"/>
          <w:u w:val="thick"/>
        </w:rPr>
        <w:t xml:space="preserve">of </w:t>
      </w:r>
      <w:r>
        <w:rPr>
          <w:spacing w:val="-5"/>
          <w:u w:val="thick"/>
        </w:rPr>
        <w:t>Similar</w:t>
      </w:r>
      <w:r>
        <w:rPr>
          <w:spacing w:val="21"/>
          <w:u w:val="thick"/>
        </w:rPr>
        <w:t xml:space="preserve"> </w:t>
      </w:r>
      <w:r>
        <w:rPr>
          <w:spacing w:val="-4"/>
          <w:u w:val="thick"/>
        </w:rPr>
        <w:t>Information</w:t>
      </w:r>
    </w:p>
    <w:p w:rsidR="004F1646" w:rsidRDefault="004F1646">
      <w:pPr>
        <w:pStyle w:val="BodyText"/>
        <w:spacing w:before="5"/>
        <w:rPr>
          <w:b/>
          <w:sz w:val="15"/>
        </w:rPr>
      </w:pPr>
    </w:p>
    <w:p w:rsidR="004F1646" w:rsidRPr="007F4063" w:rsidRDefault="007F4063" w:rsidP="007F4063">
      <w:r>
        <w:t xml:space="preserve">There is no duplication of information requirements in any other </w:t>
      </w:r>
      <w:r w:rsidR="00A75131" w:rsidRPr="007F4063">
        <w:t>collection.</w:t>
      </w:r>
    </w:p>
    <w:p w:rsidR="004F1646" w:rsidRDefault="004F1646">
      <w:pPr>
        <w:pStyle w:val="BodyText"/>
        <w:spacing w:before="10"/>
        <w:rPr>
          <w:sz w:val="16"/>
        </w:rPr>
      </w:pPr>
    </w:p>
    <w:p w:rsidR="004F1646" w:rsidRDefault="00A75131">
      <w:pPr>
        <w:pStyle w:val="Heading1"/>
        <w:numPr>
          <w:ilvl w:val="0"/>
          <w:numId w:val="1"/>
        </w:numPr>
        <w:tabs>
          <w:tab w:val="left" w:pos="487"/>
          <w:tab w:val="left" w:pos="488"/>
        </w:tabs>
        <w:spacing w:before="90"/>
        <w:ind w:hanging="367"/>
        <w:jc w:val="left"/>
        <w:rPr>
          <w:u w:val="none"/>
        </w:rPr>
      </w:pPr>
      <w:bookmarkStart w:id="7" w:name="5._Small_Businesses"/>
      <w:bookmarkEnd w:id="7"/>
      <w:r>
        <w:rPr>
          <w:spacing w:val="-5"/>
          <w:u w:val="thick"/>
        </w:rPr>
        <w:t>Small</w:t>
      </w:r>
      <w:r>
        <w:rPr>
          <w:spacing w:val="24"/>
          <w:u w:val="thick"/>
        </w:rPr>
        <w:t xml:space="preserve"> </w:t>
      </w:r>
      <w:r>
        <w:rPr>
          <w:spacing w:val="4"/>
          <w:u w:val="thick"/>
        </w:rPr>
        <w:t>Businesses</w:t>
      </w:r>
    </w:p>
    <w:p w:rsidR="004F1646" w:rsidRDefault="004F1646">
      <w:pPr>
        <w:pStyle w:val="BodyText"/>
        <w:spacing w:before="5"/>
        <w:rPr>
          <w:b/>
          <w:sz w:val="15"/>
        </w:rPr>
      </w:pPr>
    </w:p>
    <w:p w:rsidR="004F1646" w:rsidRPr="007F4063" w:rsidRDefault="00A75131" w:rsidP="007F4063">
      <w:r w:rsidRPr="007F4063">
        <w:t>Small businesses are not affected by this collection as health insurance issuers are generally not small businesses.</w:t>
      </w:r>
    </w:p>
    <w:p w:rsidR="004F1646" w:rsidRDefault="004F1646">
      <w:pPr>
        <w:pStyle w:val="BodyText"/>
        <w:rPr>
          <w:sz w:val="18"/>
        </w:rPr>
      </w:pPr>
    </w:p>
    <w:p w:rsidR="004F1646" w:rsidRDefault="00A75131">
      <w:pPr>
        <w:pStyle w:val="Heading1"/>
        <w:numPr>
          <w:ilvl w:val="0"/>
          <w:numId w:val="1"/>
        </w:numPr>
        <w:tabs>
          <w:tab w:val="left" w:pos="487"/>
          <w:tab w:val="left" w:pos="488"/>
        </w:tabs>
        <w:spacing w:before="90"/>
        <w:ind w:hanging="367"/>
        <w:jc w:val="left"/>
        <w:rPr>
          <w:u w:val="none"/>
        </w:rPr>
      </w:pPr>
      <w:bookmarkStart w:id="8" w:name="6._Less_Frequent_Collection"/>
      <w:bookmarkEnd w:id="8"/>
      <w:r>
        <w:rPr>
          <w:spacing w:val="9"/>
          <w:u w:val="thick"/>
        </w:rPr>
        <w:t>Less</w:t>
      </w:r>
      <w:r>
        <w:rPr>
          <w:spacing w:val="-3"/>
          <w:u w:val="thick"/>
        </w:rPr>
        <w:t xml:space="preserve"> </w:t>
      </w:r>
      <w:r>
        <w:rPr>
          <w:spacing w:val="-5"/>
          <w:u w:val="thick"/>
        </w:rPr>
        <w:t>Fre</w:t>
      </w:r>
      <w:r>
        <w:rPr>
          <w:spacing w:val="-36"/>
          <w:u w:val="thick"/>
        </w:rPr>
        <w:t xml:space="preserve"> </w:t>
      </w:r>
      <w:r>
        <w:rPr>
          <w:spacing w:val="-4"/>
          <w:u w:val="thick"/>
        </w:rPr>
        <w:t>que</w:t>
      </w:r>
      <w:r>
        <w:rPr>
          <w:spacing w:val="-36"/>
          <w:u w:val="thick"/>
        </w:rPr>
        <w:t xml:space="preserve"> </w:t>
      </w:r>
      <w:r>
        <w:rPr>
          <w:spacing w:val="-3"/>
          <w:u w:val="thick"/>
        </w:rPr>
        <w:t>nt</w:t>
      </w:r>
      <w:r>
        <w:rPr>
          <w:spacing w:val="-5"/>
          <w:u w:val="thick"/>
        </w:rPr>
        <w:t xml:space="preserve"> </w:t>
      </w:r>
      <w:r>
        <w:rPr>
          <w:u w:val="thick"/>
        </w:rPr>
        <w:t>Collection</w:t>
      </w:r>
    </w:p>
    <w:p w:rsidR="004F1646" w:rsidRDefault="004F1646">
      <w:pPr>
        <w:pStyle w:val="BodyText"/>
        <w:spacing w:before="10"/>
        <w:rPr>
          <w:b/>
          <w:sz w:val="21"/>
        </w:rPr>
      </w:pPr>
    </w:p>
    <w:p w:rsidR="004F1646" w:rsidRPr="007F4063" w:rsidRDefault="00A75131" w:rsidP="007F4063">
      <w:r w:rsidRPr="007F4063">
        <w:t xml:space="preserve">Health insurance issuers must provide the Rate Filing Justification prior to implementing any proposed rate increase and may not deviate from this </w:t>
      </w:r>
      <w:r>
        <w:t>collection</w:t>
      </w:r>
      <w:r w:rsidRPr="007F4063">
        <w:t xml:space="preserve"> </w:t>
      </w:r>
      <w:r>
        <w:t xml:space="preserve">schedule </w:t>
      </w:r>
      <w:r w:rsidRPr="007F4063">
        <w:t xml:space="preserve">or </w:t>
      </w:r>
      <w:r>
        <w:t xml:space="preserve">provide </w:t>
      </w:r>
      <w:r w:rsidRPr="007F4063">
        <w:t xml:space="preserve">the information on a less frequent basis given the time-sensitive nature of the information that is provided (the statute requires health insurance issuers to provide justifications for rate increases prior to implementation). Annual filings (and quarterly filings for products in the small group market) will be provided to CMS and states with information related to premium increases </w:t>
      </w:r>
      <w:r w:rsidR="007F4063">
        <w:t xml:space="preserve">of health insurance </w:t>
      </w:r>
      <w:r w:rsidRPr="007F4063">
        <w:t xml:space="preserve">coverage in their </w:t>
      </w:r>
      <w:r w:rsidR="007F4063">
        <w:t xml:space="preserve">Exchange </w:t>
      </w:r>
      <w:r w:rsidRPr="007F4063">
        <w:t xml:space="preserve">and outside of their </w:t>
      </w:r>
      <w:r w:rsidR="0015104E">
        <w:t xml:space="preserve">Exchange </w:t>
      </w:r>
      <w:r w:rsidRPr="007F4063">
        <w:t>as well as the</w:t>
      </w:r>
      <w:r w:rsidR="007F4063">
        <w:t xml:space="preserve"> </w:t>
      </w:r>
      <w:r w:rsidRPr="007F4063">
        <w:t xml:space="preserve">justifications for rates that meet or exceed the 15 percent federal threshold </w:t>
      </w:r>
      <w:r w:rsidR="0015104E">
        <w:t xml:space="preserve">(or a state-specific threshold </w:t>
      </w:r>
      <w:r w:rsidRPr="007F4063">
        <w:t>approved by the Secretary).</w:t>
      </w:r>
    </w:p>
    <w:p w:rsidR="004F1646" w:rsidRDefault="004F1646">
      <w:pPr>
        <w:pStyle w:val="BodyText"/>
        <w:spacing w:before="10"/>
        <w:rPr>
          <w:sz w:val="25"/>
        </w:rPr>
      </w:pPr>
    </w:p>
    <w:p w:rsidR="004F1646" w:rsidRDefault="00A75131">
      <w:pPr>
        <w:pStyle w:val="Heading1"/>
        <w:numPr>
          <w:ilvl w:val="0"/>
          <w:numId w:val="1"/>
        </w:numPr>
        <w:tabs>
          <w:tab w:val="left" w:pos="487"/>
          <w:tab w:val="left" w:pos="488"/>
        </w:tabs>
        <w:ind w:hanging="367"/>
        <w:jc w:val="left"/>
        <w:rPr>
          <w:u w:val="none"/>
        </w:rPr>
      </w:pPr>
      <w:bookmarkStart w:id="9" w:name="7._Special_Circumstances"/>
      <w:bookmarkEnd w:id="9"/>
      <w:r>
        <w:rPr>
          <w:u w:val="thick"/>
        </w:rPr>
        <w:t>Special</w:t>
      </w:r>
      <w:r>
        <w:rPr>
          <w:spacing w:val="12"/>
          <w:u w:val="thick"/>
        </w:rPr>
        <w:t xml:space="preserve"> </w:t>
      </w:r>
      <w:r>
        <w:rPr>
          <w:u w:val="thick"/>
        </w:rPr>
        <w:t>Circumstances</w:t>
      </w:r>
    </w:p>
    <w:p w:rsidR="004F1646" w:rsidRDefault="004F1646">
      <w:pPr>
        <w:pStyle w:val="BodyText"/>
        <w:spacing w:before="10"/>
        <w:rPr>
          <w:b/>
          <w:sz w:val="21"/>
        </w:rPr>
      </w:pPr>
    </w:p>
    <w:p w:rsidR="004F1646" w:rsidRPr="007F4063" w:rsidRDefault="00A75131" w:rsidP="007F4063">
      <w:r w:rsidRPr="007F4063">
        <w:t>No specia</w:t>
      </w:r>
      <w:r w:rsidR="007F4063">
        <w:t xml:space="preserve">l circumstances exist for this information </w:t>
      </w:r>
      <w:r w:rsidRPr="007F4063">
        <w:t>collection.</w:t>
      </w:r>
    </w:p>
    <w:p w:rsidR="004F1646" w:rsidRDefault="004F1646">
      <w:pPr>
        <w:pStyle w:val="BodyText"/>
        <w:rPr>
          <w:sz w:val="26"/>
        </w:rPr>
      </w:pPr>
    </w:p>
    <w:p w:rsidR="004F1646" w:rsidRDefault="00A75131">
      <w:pPr>
        <w:pStyle w:val="Heading1"/>
        <w:numPr>
          <w:ilvl w:val="0"/>
          <w:numId w:val="1"/>
        </w:numPr>
        <w:tabs>
          <w:tab w:val="left" w:pos="487"/>
          <w:tab w:val="left" w:pos="488"/>
        </w:tabs>
        <w:ind w:hanging="367"/>
        <w:jc w:val="left"/>
        <w:rPr>
          <w:u w:val="none"/>
        </w:rPr>
      </w:pPr>
      <w:bookmarkStart w:id="10" w:name="8._Federal_Register_Notice/Outside_Consu"/>
      <w:bookmarkEnd w:id="10"/>
      <w:r>
        <w:rPr>
          <w:u w:val="thick"/>
        </w:rPr>
        <w:t xml:space="preserve">Federal </w:t>
      </w:r>
      <w:r>
        <w:rPr>
          <w:spacing w:val="6"/>
          <w:u w:val="thick"/>
        </w:rPr>
        <w:t>Register</w:t>
      </w:r>
      <w:r>
        <w:rPr>
          <w:spacing w:val="-46"/>
          <w:u w:val="thick"/>
        </w:rPr>
        <w:t xml:space="preserve"> </w:t>
      </w:r>
      <w:r>
        <w:rPr>
          <w:u w:val="thick"/>
        </w:rPr>
        <w:t>Notice/Outside Consultation</w:t>
      </w:r>
    </w:p>
    <w:p w:rsidR="004F1646" w:rsidRDefault="004F1646">
      <w:pPr>
        <w:pStyle w:val="BodyText"/>
        <w:spacing w:before="10"/>
        <w:rPr>
          <w:b/>
          <w:sz w:val="21"/>
        </w:rPr>
      </w:pPr>
    </w:p>
    <w:p w:rsidR="004F1646" w:rsidRPr="007F4063" w:rsidRDefault="00A75131" w:rsidP="007F4063">
      <w:r w:rsidRPr="007F4063">
        <w:t xml:space="preserve">A Federal Register </w:t>
      </w:r>
      <w:r w:rsidR="007F4063">
        <w:t xml:space="preserve">Notice </w:t>
      </w:r>
      <w:r w:rsidR="0015104E">
        <w:t xml:space="preserve">was </w:t>
      </w:r>
      <w:r w:rsidR="007F4063">
        <w:t>published</w:t>
      </w:r>
      <w:r w:rsidR="0015104E">
        <w:t xml:space="preserve"> on January 24, 2019 (84 FR 16)</w:t>
      </w:r>
      <w:r w:rsidR="007F4063">
        <w:t xml:space="preserve">, providing </w:t>
      </w:r>
      <w:r w:rsidRPr="007F4063">
        <w:t xml:space="preserve">the </w:t>
      </w:r>
      <w:r w:rsidR="007F4063">
        <w:t xml:space="preserve">public </w:t>
      </w:r>
      <w:r w:rsidRPr="007F4063">
        <w:t xml:space="preserve">with a 60-day </w:t>
      </w:r>
      <w:r w:rsidR="007F4063">
        <w:t xml:space="preserve">period </w:t>
      </w:r>
      <w:r w:rsidRPr="007F4063">
        <w:t>to submit</w:t>
      </w:r>
      <w:r w:rsidR="0015104E">
        <w:t xml:space="preserve"> written comments on the information collection requirements </w:t>
      </w:r>
      <w:r w:rsidRPr="007F4063">
        <w:t>(ICRs).</w:t>
      </w:r>
      <w:r w:rsidR="0015104E">
        <w:t xml:space="preserve">  Two commenters submitted letters regarding the ICR and their comments resulted in changes to the instructions to complete URRT v.5. </w:t>
      </w:r>
    </w:p>
    <w:p w:rsidR="004F1646" w:rsidRDefault="004F1646">
      <w:pPr>
        <w:pStyle w:val="BodyText"/>
        <w:spacing w:before="8"/>
      </w:pPr>
    </w:p>
    <w:p w:rsidR="004F1646" w:rsidRDefault="00A75131">
      <w:pPr>
        <w:pStyle w:val="Heading1"/>
        <w:numPr>
          <w:ilvl w:val="0"/>
          <w:numId w:val="1"/>
        </w:numPr>
        <w:tabs>
          <w:tab w:val="left" w:pos="487"/>
          <w:tab w:val="left" w:pos="488"/>
        </w:tabs>
        <w:ind w:hanging="367"/>
        <w:jc w:val="left"/>
        <w:rPr>
          <w:u w:val="none"/>
        </w:rPr>
      </w:pPr>
      <w:bookmarkStart w:id="11" w:name="9._Payments/Gifts_To_Respondents"/>
      <w:bookmarkEnd w:id="11"/>
      <w:r>
        <w:rPr>
          <w:u w:val="thick"/>
        </w:rPr>
        <w:t xml:space="preserve">Payments/Gifts To </w:t>
      </w:r>
      <w:r>
        <w:rPr>
          <w:spacing w:val="3"/>
          <w:u w:val="thick"/>
        </w:rPr>
        <w:t>Responde</w:t>
      </w:r>
      <w:r>
        <w:rPr>
          <w:spacing w:val="-50"/>
          <w:u w:val="thick"/>
        </w:rPr>
        <w:t xml:space="preserve"> </w:t>
      </w:r>
      <w:r>
        <w:rPr>
          <w:u w:val="thick"/>
        </w:rPr>
        <w:t>nts</w:t>
      </w:r>
    </w:p>
    <w:p w:rsidR="004F1646" w:rsidRDefault="004F1646">
      <w:pPr>
        <w:pStyle w:val="BodyText"/>
        <w:spacing w:before="5"/>
        <w:rPr>
          <w:b/>
          <w:sz w:val="15"/>
        </w:rPr>
      </w:pPr>
    </w:p>
    <w:p w:rsidR="004F1646" w:rsidRPr="0015104E" w:rsidRDefault="0015104E" w:rsidP="0015104E">
      <w:r>
        <w:t xml:space="preserve">There will be no payments or gifts </w:t>
      </w:r>
      <w:r w:rsidR="00A75131" w:rsidRPr="0015104E">
        <w:t>to respondents.</w:t>
      </w:r>
    </w:p>
    <w:p w:rsidR="004F1646" w:rsidRDefault="004F1646">
      <w:pPr>
        <w:pStyle w:val="BodyText"/>
        <w:spacing w:before="9"/>
        <w:rPr>
          <w:sz w:val="16"/>
        </w:rPr>
      </w:pPr>
    </w:p>
    <w:p w:rsidR="004F1646" w:rsidRDefault="00A75131">
      <w:pPr>
        <w:pStyle w:val="Heading1"/>
        <w:numPr>
          <w:ilvl w:val="0"/>
          <w:numId w:val="1"/>
        </w:numPr>
        <w:tabs>
          <w:tab w:val="left" w:pos="489"/>
        </w:tabs>
        <w:spacing w:before="90"/>
        <w:ind w:left="488"/>
        <w:jc w:val="left"/>
        <w:rPr>
          <w:u w:val="none"/>
        </w:rPr>
      </w:pPr>
      <w:bookmarkStart w:id="12" w:name="10._Confidentiality"/>
      <w:bookmarkEnd w:id="12"/>
      <w:r>
        <w:rPr>
          <w:u w:val="thick"/>
        </w:rPr>
        <w:t>Confidentiality</w:t>
      </w:r>
    </w:p>
    <w:p w:rsidR="004F1646" w:rsidRDefault="004F1646">
      <w:pPr>
        <w:pStyle w:val="BodyText"/>
        <w:spacing w:before="5"/>
        <w:rPr>
          <w:b/>
          <w:sz w:val="15"/>
        </w:rPr>
      </w:pPr>
    </w:p>
    <w:p w:rsidR="004F1646" w:rsidRPr="0015104E" w:rsidRDefault="00A75131" w:rsidP="0015104E">
      <w:r w:rsidRPr="0015104E">
        <w:t xml:space="preserve">CMS will make available to the public </w:t>
      </w:r>
      <w:r w:rsidR="0015104E">
        <w:t xml:space="preserve">on its website the information contained in </w:t>
      </w:r>
      <w:r w:rsidRPr="0015104E">
        <w:t>each Rate Filing Justification that is not considered a trade secret or confidential commer</w:t>
      </w:r>
      <w:r w:rsidR="0015104E">
        <w:t xml:space="preserve">cial or financial information </w:t>
      </w:r>
      <w:r w:rsidRPr="0015104E">
        <w:t>and is approved for release under</w:t>
      </w:r>
      <w:r w:rsidR="0015104E">
        <w:t xml:space="preserve"> the Freedom of Information </w:t>
      </w:r>
      <w:r w:rsidRPr="0015104E">
        <w:t>Act.</w:t>
      </w:r>
    </w:p>
    <w:p w:rsidR="004F1646" w:rsidRDefault="004F1646">
      <w:pPr>
        <w:pStyle w:val="BodyText"/>
        <w:rPr>
          <w:sz w:val="18"/>
        </w:rPr>
      </w:pPr>
    </w:p>
    <w:p w:rsidR="004F1646" w:rsidRDefault="0015104E" w:rsidP="00A75131">
      <w:pPr>
        <w:pStyle w:val="Heading1"/>
        <w:numPr>
          <w:ilvl w:val="0"/>
          <w:numId w:val="1"/>
        </w:numPr>
        <w:tabs>
          <w:tab w:val="left" w:pos="489"/>
        </w:tabs>
        <w:spacing w:before="90"/>
        <w:ind w:left="489" w:hanging="374"/>
        <w:jc w:val="left"/>
        <w:rPr>
          <w:u w:val="none"/>
        </w:rPr>
      </w:pPr>
      <w:bookmarkStart w:id="13" w:name="11._Sensitive_Questions"/>
      <w:bookmarkEnd w:id="13"/>
      <w:r>
        <w:rPr>
          <w:spacing w:val="-3"/>
          <w:u w:val="thick"/>
        </w:rPr>
        <w:t>Se</w:t>
      </w:r>
      <w:r w:rsidR="00A75131">
        <w:rPr>
          <w:u w:val="thick"/>
        </w:rPr>
        <w:t>nsitive</w:t>
      </w:r>
      <w:r w:rsidR="00A75131">
        <w:rPr>
          <w:spacing w:val="-31"/>
          <w:u w:val="thick"/>
        </w:rPr>
        <w:t xml:space="preserve"> </w:t>
      </w:r>
      <w:r w:rsidR="00A75131">
        <w:rPr>
          <w:u w:val="thick"/>
        </w:rPr>
        <w:t>Questions</w:t>
      </w:r>
    </w:p>
    <w:p w:rsidR="004F1646" w:rsidRDefault="004F1646">
      <w:pPr>
        <w:pStyle w:val="BodyText"/>
        <w:spacing w:before="10"/>
        <w:rPr>
          <w:b/>
          <w:sz w:val="21"/>
        </w:rPr>
      </w:pPr>
    </w:p>
    <w:p w:rsidR="004F1646" w:rsidRPr="0015104E" w:rsidRDefault="00A75131" w:rsidP="0015104E">
      <w:r w:rsidRPr="0015104E">
        <w:t>There are no sensitive questions included in this collection effort. The Department of Health and Human S</w:t>
      </w:r>
      <w:r w:rsidR="0015104E">
        <w:t xml:space="preserve">ervices (HHS) does not propose to collect any private </w:t>
      </w:r>
      <w:r w:rsidRPr="0015104E">
        <w:t>information.</w:t>
      </w:r>
    </w:p>
    <w:p w:rsidR="004F1646" w:rsidRDefault="004F1646">
      <w:pPr>
        <w:pStyle w:val="BodyText"/>
        <w:spacing w:before="10"/>
        <w:rPr>
          <w:sz w:val="20"/>
        </w:rPr>
      </w:pPr>
    </w:p>
    <w:p w:rsidR="004F1646" w:rsidRPr="00A75131" w:rsidRDefault="00A75131">
      <w:pPr>
        <w:pStyle w:val="Heading1"/>
        <w:numPr>
          <w:ilvl w:val="0"/>
          <w:numId w:val="1"/>
        </w:numPr>
        <w:tabs>
          <w:tab w:val="left" w:pos="489"/>
        </w:tabs>
        <w:ind w:left="488"/>
        <w:jc w:val="left"/>
        <w:rPr>
          <w:u w:val="none"/>
        </w:rPr>
      </w:pPr>
      <w:bookmarkStart w:id="14" w:name="12._Burden_Estimates_(Hours_&amp;_Wages)"/>
      <w:bookmarkEnd w:id="14"/>
      <w:r>
        <w:rPr>
          <w:spacing w:val="2"/>
          <w:u w:val="thick"/>
        </w:rPr>
        <w:t xml:space="preserve">Burden Estimates </w:t>
      </w:r>
      <w:r>
        <w:rPr>
          <w:u w:val="thick"/>
        </w:rPr>
        <w:t>(Hours &amp;</w:t>
      </w:r>
      <w:r>
        <w:rPr>
          <w:spacing w:val="-13"/>
          <w:u w:val="thick"/>
        </w:rPr>
        <w:t xml:space="preserve"> </w:t>
      </w:r>
      <w:r>
        <w:rPr>
          <w:spacing w:val="3"/>
          <w:u w:val="thick"/>
        </w:rPr>
        <w:t>Wages)</w:t>
      </w:r>
    </w:p>
    <w:p w:rsidR="00A75131" w:rsidRDefault="00A75131" w:rsidP="00A75131">
      <w:pPr>
        <w:pStyle w:val="Heading1"/>
        <w:tabs>
          <w:tab w:val="left" w:pos="489"/>
        </w:tabs>
        <w:ind w:left="488" w:firstLine="0"/>
        <w:jc w:val="right"/>
        <w:rPr>
          <w:u w:val="none"/>
        </w:rPr>
      </w:pPr>
    </w:p>
    <w:p w:rsidR="004F1646" w:rsidRPr="0015104E" w:rsidRDefault="0015104E" w:rsidP="0015104E">
      <w:r>
        <w:t xml:space="preserve">Adjusted Hourly Wages Used in </w:t>
      </w:r>
      <w:r w:rsidR="00A75131" w:rsidRPr="0015104E">
        <w:t>Burden Estimates</w:t>
      </w:r>
    </w:p>
    <w:p w:rsidR="004F1646" w:rsidRDefault="004F1646">
      <w:pPr>
        <w:pStyle w:val="BodyText"/>
        <w:spacing w:before="10"/>
        <w:rPr>
          <w:sz w:val="21"/>
        </w:r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12"/>
        <w:gridCol w:w="1696"/>
        <w:gridCol w:w="1280"/>
        <w:gridCol w:w="1376"/>
        <w:gridCol w:w="1296"/>
      </w:tblGrid>
      <w:tr w:rsidR="004F1646">
        <w:trPr>
          <w:trHeight w:hRule="exact" w:val="1104"/>
        </w:trPr>
        <w:tc>
          <w:tcPr>
            <w:tcW w:w="3712" w:type="dxa"/>
          </w:tcPr>
          <w:p w:rsidR="004F1646" w:rsidRDefault="004F1646">
            <w:pPr>
              <w:pStyle w:val="TableParagraph"/>
              <w:spacing w:before="4"/>
              <w:rPr>
                <w:sz w:val="33"/>
              </w:rPr>
            </w:pPr>
          </w:p>
          <w:p w:rsidR="004F1646" w:rsidRDefault="00A75131">
            <w:pPr>
              <w:pStyle w:val="TableParagraph"/>
              <w:ind w:left="469" w:right="442"/>
              <w:jc w:val="center"/>
              <w:rPr>
                <w:sz w:val="24"/>
              </w:rPr>
            </w:pPr>
            <w:r>
              <w:rPr>
                <w:sz w:val="24"/>
              </w:rPr>
              <w:t>Occupation Title</w:t>
            </w:r>
          </w:p>
        </w:tc>
        <w:tc>
          <w:tcPr>
            <w:tcW w:w="1696" w:type="dxa"/>
          </w:tcPr>
          <w:p w:rsidR="004F1646" w:rsidRDefault="004F1646">
            <w:pPr>
              <w:pStyle w:val="TableParagraph"/>
              <w:spacing w:before="9"/>
              <w:rPr>
                <w:sz w:val="20"/>
              </w:rPr>
            </w:pPr>
          </w:p>
          <w:p w:rsidR="004F1646" w:rsidRDefault="00A75131">
            <w:pPr>
              <w:pStyle w:val="TableParagraph"/>
              <w:spacing w:before="1" w:line="249" w:lineRule="auto"/>
              <w:ind w:left="592" w:hanging="369"/>
              <w:rPr>
                <w:sz w:val="24"/>
              </w:rPr>
            </w:pPr>
            <w:r>
              <w:rPr>
                <w:sz w:val="24"/>
              </w:rPr>
              <w:t>Occupational Code</w:t>
            </w:r>
          </w:p>
        </w:tc>
        <w:tc>
          <w:tcPr>
            <w:tcW w:w="1280" w:type="dxa"/>
          </w:tcPr>
          <w:p w:rsidR="004F1646" w:rsidRDefault="00A75131">
            <w:pPr>
              <w:pStyle w:val="TableParagraph"/>
              <w:spacing w:line="242" w:lineRule="exact"/>
              <w:ind w:left="320" w:firstLine="48"/>
              <w:jc w:val="both"/>
              <w:rPr>
                <w:sz w:val="24"/>
              </w:rPr>
            </w:pPr>
            <w:r>
              <w:rPr>
                <w:sz w:val="24"/>
              </w:rPr>
              <w:t>Mean</w:t>
            </w:r>
          </w:p>
          <w:p w:rsidR="004F1646" w:rsidRDefault="00A75131">
            <w:pPr>
              <w:pStyle w:val="TableParagraph"/>
              <w:spacing w:line="242" w:lineRule="auto"/>
              <w:ind w:left="256" w:right="253" w:firstLine="64"/>
              <w:jc w:val="both"/>
              <w:rPr>
                <w:sz w:val="24"/>
              </w:rPr>
            </w:pPr>
            <w:r>
              <w:rPr>
                <w:spacing w:val="-6"/>
                <w:sz w:val="24"/>
              </w:rPr>
              <w:t xml:space="preserve">Hourly </w:t>
            </w:r>
            <w:r>
              <w:rPr>
                <w:sz w:val="24"/>
              </w:rPr>
              <w:t xml:space="preserve">Wage </w:t>
            </w:r>
            <w:r>
              <w:rPr>
                <w:spacing w:val="-5"/>
                <w:sz w:val="24"/>
              </w:rPr>
              <w:t>($/hour)</w:t>
            </w:r>
          </w:p>
        </w:tc>
        <w:tc>
          <w:tcPr>
            <w:tcW w:w="1376" w:type="dxa"/>
          </w:tcPr>
          <w:p w:rsidR="004F1646" w:rsidRDefault="00A75131">
            <w:pPr>
              <w:pStyle w:val="TableParagraph"/>
              <w:spacing w:line="242" w:lineRule="exact"/>
              <w:ind w:left="58" w:right="40"/>
              <w:jc w:val="center"/>
              <w:rPr>
                <w:sz w:val="24"/>
              </w:rPr>
            </w:pPr>
            <w:r>
              <w:rPr>
                <w:sz w:val="24"/>
              </w:rPr>
              <w:t>Fringe</w:t>
            </w:r>
          </w:p>
          <w:p w:rsidR="004F1646" w:rsidRDefault="00A75131">
            <w:pPr>
              <w:pStyle w:val="TableParagraph"/>
              <w:spacing w:line="242" w:lineRule="auto"/>
              <w:ind w:left="75" w:right="40"/>
              <w:jc w:val="center"/>
              <w:rPr>
                <w:sz w:val="24"/>
              </w:rPr>
            </w:pPr>
            <w:r>
              <w:rPr>
                <w:sz w:val="24"/>
              </w:rPr>
              <w:t>Benefits and Overhead ($/hour)</w:t>
            </w:r>
          </w:p>
        </w:tc>
        <w:tc>
          <w:tcPr>
            <w:tcW w:w="1296" w:type="dxa"/>
          </w:tcPr>
          <w:p w:rsidR="004F1646" w:rsidRDefault="00A75131">
            <w:pPr>
              <w:pStyle w:val="TableParagraph"/>
              <w:spacing w:line="242" w:lineRule="exact"/>
              <w:ind w:left="320" w:hanging="96"/>
              <w:jc w:val="both"/>
              <w:rPr>
                <w:sz w:val="24"/>
              </w:rPr>
            </w:pPr>
            <w:r>
              <w:rPr>
                <w:sz w:val="24"/>
              </w:rPr>
              <w:t>Adjusted</w:t>
            </w:r>
          </w:p>
          <w:p w:rsidR="004F1646" w:rsidRDefault="00A75131">
            <w:pPr>
              <w:pStyle w:val="TableParagraph"/>
              <w:spacing w:line="242" w:lineRule="auto"/>
              <w:ind w:left="255" w:right="269" w:firstLine="64"/>
              <w:jc w:val="both"/>
              <w:rPr>
                <w:sz w:val="24"/>
              </w:rPr>
            </w:pPr>
            <w:r>
              <w:rPr>
                <w:spacing w:val="-6"/>
                <w:sz w:val="24"/>
              </w:rPr>
              <w:t xml:space="preserve">Hourly </w:t>
            </w:r>
            <w:r>
              <w:rPr>
                <w:sz w:val="24"/>
              </w:rPr>
              <w:t xml:space="preserve">Wage </w:t>
            </w:r>
            <w:r>
              <w:rPr>
                <w:spacing w:val="-5"/>
                <w:sz w:val="24"/>
              </w:rPr>
              <w:t>($/hour)</w:t>
            </w:r>
          </w:p>
        </w:tc>
      </w:tr>
      <w:tr w:rsidR="004F1646">
        <w:trPr>
          <w:trHeight w:hRule="exact" w:val="288"/>
        </w:trPr>
        <w:tc>
          <w:tcPr>
            <w:tcW w:w="3712" w:type="dxa"/>
          </w:tcPr>
          <w:p w:rsidR="004F1646" w:rsidRDefault="00A75131">
            <w:pPr>
              <w:pStyle w:val="TableParagraph"/>
              <w:spacing w:line="260" w:lineRule="exact"/>
              <w:ind w:left="469" w:right="445"/>
              <w:jc w:val="center"/>
              <w:rPr>
                <w:sz w:val="24"/>
              </w:rPr>
            </w:pPr>
            <w:r>
              <w:rPr>
                <w:sz w:val="24"/>
              </w:rPr>
              <w:t>Actuary</w:t>
            </w:r>
          </w:p>
        </w:tc>
        <w:tc>
          <w:tcPr>
            <w:tcW w:w="1696" w:type="dxa"/>
          </w:tcPr>
          <w:p w:rsidR="004F1646" w:rsidRDefault="00A75131">
            <w:pPr>
              <w:pStyle w:val="TableParagraph"/>
              <w:spacing w:line="260" w:lineRule="exact"/>
              <w:ind w:left="420" w:right="420"/>
              <w:jc w:val="center"/>
              <w:rPr>
                <w:sz w:val="24"/>
              </w:rPr>
            </w:pPr>
            <w:r>
              <w:rPr>
                <w:sz w:val="24"/>
              </w:rPr>
              <w:t>15-2011</w:t>
            </w:r>
          </w:p>
        </w:tc>
        <w:tc>
          <w:tcPr>
            <w:tcW w:w="1280" w:type="dxa"/>
          </w:tcPr>
          <w:p w:rsidR="004F1646" w:rsidRDefault="00A75131">
            <w:pPr>
              <w:pStyle w:val="TableParagraph"/>
              <w:spacing w:line="260" w:lineRule="exact"/>
              <w:ind w:left="282" w:right="282"/>
              <w:jc w:val="center"/>
              <w:rPr>
                <w:sz w:val="24"/>
              </w:rPr>
            </w:pPr>
            <w:r>
              <w:rPr>
                <w:sz w:val="24"/>
              </w:rPr>
              <w:t>$55.21</w:t>
            </w:r>
          </w:p>
        </w:tc>
        <w:tc>
          <w:tcPr>
            <w:tcW w:w="1376" w:type="dxa"/>
          </w:tcPr>
          <w:p w:rsidR="004F1646" w:rsidRDefault="00A75131">
            <w:pPr>
              <w:pStyle w:val="TableParagraph"/>
              <w:spacing w:line="260" w:lineRule="exact"/>
              <w:ind w:right="365"/>
              <w:jc w:val="right"/>
              <w:rPr>
                <w:sz w:val="24"/>
              </w:rPr>
            </w:pPr>
            <w:r>
              <w:rPr>
                <w:sz w:val="24"/>
              </w:rPr>
              <w:t>$55.21</w:t>
            </w:r>
          </w:p>
        </w:tc>
        <w:tc>
          <w:tcPr>
            <w:tcW w:w="1296" w:type="dxa"/>
          </w:tcPr>
          <w:p w:rsidR="004F1646" w:rsidRDefault="00A75131">
            <w:pPr>
              <w:pStyle w:val="TableParagraph"/>
              <w:spacing w:line="260" w:lineRule="exact"/>
              <w:ind w:left="230" w:right="230"/>
              <w:jc w:val="center"/>
              <w:rPr>
                <w:sz w:val="24"/>
              </w:rPr>
            </w:pPr>
            <w:r>
              <w:rPr>
                <w:sz w:val="24"/>
              </w:rPr>
              <w:t>$110.42</w:t>
            </w:r>
          </w:p>
        </w:tc>
      </w:tr>
      <w:tr w:rsidR="004F1646">
        <w:trPr>
          <w:trHeight w:hRule="exact" w:val="272"/>
        </w:trPr>
        <w:tc>
          <w:tcPr>
            <w:tcW w:w="3712" w:type="dxa"/>
          </w:tcPr>
          <w:p w:rsidR="004F1646" w:rsidRDefault="00A75131">
            <w:pPr>
              <w:pStyle w:val="TableParagraph"/>
              <w:spacing w:line="260" w:lineRule="exact"/>
              <w:ind w:left="469" w:right="453"/>
              <w:jc w:val="center"/>
              <w:rPr>
                <w:sz w:val="24"/>
              </w:rPr>
            </w:pPr>
            <w:r>
              <w:rPr>
                <w:sz w:val="24"/>
              </w:rPr>
              <w:t>Actuary (State Government)</w:t>
            </w:r>
          </w:p>
        </w:tc>
        <w:tc>
          <w:tcPr>
            <w:tcW w:w="1696" w:type="dxa"/>
          </w:tcPr>
          <w:p w:rsidR="004F1646" w:rsidRDefault="00A75131">
            <w:pPr>
              <w:pStyle w:val="TableParagraph"/>
              <w:spacing w:line="260" w:lineRule="exact"/>
              <w:ind w:left="420" w:right="420"/>
              <w:jc w:val="center"/>
              <w:rPr>
                <w:sz w:val="24"/>
              </w:rPr>
            </w:pPr>
            <w:r>
              <w:rPr>
                <w:sz w:val="24"/>
              </w:rPr>
              <w:t>15-2011</w:t>
            </w:r>
          </w:p>
        </w:tc>
        <w:tc>
          <w:tcPr>
            <w:tcW w:w="1280" w:type="dxa"/>
          </w:tcPr>
          <w:p w:rsidR="004F1646" w:rsidRDefault="00A75131">
            <w:pPr>
              <w:pStyle w:val="TableParagraph"/>
              <w:spacing w:line="260" w:lineRule="exact"/>
              <w:ind w:left="282" w:right="282"/>
              <w:jc w:val="center"/>
              <w:rPr>
                <w:sz w:val="24"/>
              </w:rPr>
            </w:pPr>
            <w:r>
              <w:rPr>
                <w:sz w:val="24"/>
              </w:rPr>
              <w:t>$41.38</w:t>
            </w:r>
          </w:p>
        </w:tc>
        <w:tc>
          <w:tcPr>
            <w:tcW w:w="1376" w:type="dxa"/>
          </w:tcPr>
          <w:p w:rsidR="004F1646" w:rsidRDefault="00A75131">
            <w:pPr>
              <w:pStyle w:val="TableParagraph"/>
              <w:spacing w:line="260" w:lineRule="exact"/>
              <w:ind w:right="349"/>
              <w:jc w:val="right"/>
              <w:rPr>
                <w:sz w:val="24"/>
              </w:rPr>
            </w:pPr>
            <w:r>
              <w:rPr>
                <w:sz w:val="24"/>
              </w:rPr>
              <w:t>$41.38</w:t>
            </w:r>
          </w:p>
        </w:tc>
        <w:tc>
          <w:tcPr>
            <w:tcW w:w="1296" w:type="dxa"/>
          </w:tcPr>
          <w:p w:rsidR="004F1646" w:rsidRDefault="00A75131">
            <w:pPr>
              <w:pStyle w:val="TableParagraph"/>
              <w:spacing w:line="260" w:lineRule="exact"/>
              <w:ind w:left="217" w:right="230"/>
              <w:jc w:val="center"/>
              <w:rPr>
                <w:sz w:val="24"/>
              </w:rPr>
            </w:pPr>
            <w:r>
              <w:rPr>
                <w:sz w:val="24"/>
              </w:rPr>
              <w:t>$82.76</w:t>
            </w:r>
          </w:p>
        </w:tc>
      </w:tr>
    </w:tbl>
    <w:p w:rsidR="004F1646" w:rsidRDefault="004F1646">
      <w:pPr>
        <w:pStyle w:val="BodyText"/>
        <w:spacing w:before="2"/>
        <w:rPr>
          <w:sz w:val="22"/>
        </w:rPr>
      </w:pPr>
    </w:p>
    <w:p w:rsidR="004F1646" w:rsidRPr="0015104E" w:rsidRDefault="00A75131" w:rsidP="0015104E">
      <w:r w:rsidRPr="0015104E">
        <w:t>Average labor costs (doubled to include fringe benefits and other associated costs) are calculated using data available from the Bureau of Labor Statistics.</w:t>
      </w:r>
      <w:hyperlink w:anchor="_bookmark0" w:history="1">
        <w:r w:rsidRPr="0015104E">
          <w:rPr>
            <w:rStyle w:val="Hyperlink"/>
            <w:vertAlign w:val="superscript"/>
          </w:rPr>
          <w:t>1</w:t>
        </w:r>
      </w:hyperlink>
      <w:r w:rsidRPr="0015104E">
        <w:t xml:space="preserve"> As indicated, we are adjusting the employee mean hourly wage estimates by a factor of 100 percent to account for benefits and overhead.</w:t>
      </w:r>
    </w:p>
    <w:p w:rsidR="004F1646" w:rsidRDefault="004F1646">
      <w:pPr>
        <w:pStyle w:val="BodyText"/>
        <w:spacing w:before="2"/>
      </w:pPr>
    </w:p>
    <w:p w:rsidR="004F1646" w:rsidRDefault="0015104E">
      <w:pPr>
        <w:pStyle w:val="Heading1"/>
        <w:spacing w:before="1"/>
        <w:ind w:left="120" w:firstLine="0"/>
        <w:rPr>
          <w:u w:val="none"/>
        </w:rPr>
      </w:pPr>
      <w:r>
        <w:t>Part I. Stude</w:t>
      </w:r>
      <w:r w:rsidR="00A75131">
        <w:t>nt Health Insurance Coverage</w:t>
      </w:r>
    </w:p>
    <w:p w:rsidR="004F1646" w:rsidRDefault="004F1646">
      <w:pPr>
        <w:pStyle w:val="BodyText"/>
        <w:spacing w:before="5"/>
        <w:rPr>
          <w:b/>
          <w:sz w:val="15"/>
        </w:rPr>
      </w:pPr>
    </w:p>
    <w:p w:rsidR="004F1646" w:rsidRDefault="00A75131">
      <w:pPr>
        <w:spacing w:before="90"/>
        <w:ind w:left="120"/>
        <w:rPr>
          <w:b/>
          <w:sz w:val="24"/>
        </w:rPr>
      </w:pPr>
      <w:r>
        <w:rPr>
          <w:b/>
          <w:sz w:val="24"/>
          <w:u w:val="single"/>
        </w:rPr>
        <w:t>Health Insur</w:t>
      </w:r>
      <w:r w:rsidR="0015104E">
        <w:rPr>
          <w:b/>
          <w:sz w:val="24"/>
          <w:u w:val="single"/>
        </w:rPr>
        <w:t>ance Issuer Submission of Stude</w:t>
      </w:r>
      <w:r>
        <w:rPr>
          <w:b/>
          <w:sz w:val="24"/>
          <w:u w:val="single"/>
        </w:rPr>
        <w:t>nt Health Insurance Coverage Rate Filings</w:t>
      </w:r>
    </w:p>
    <w:p w:rsidR="004F1646" w:rsidRDefault="004F1646">
      <w:pPr>
        <w:pStyle w:val="BodyText"/>
        <w:spacing w:before="5"/>
        <w:rPr>
          <w:b/>
          <w:sz w:val="15"/>
        </w:rPr>
      </w:pPr>
    </w:p>
    <w:p w:rsidR="004F1646" w:rsidRDefault="00A75131" w:rsidP="0015104E">
      <w:r w:rsidRPr="0015104E">
        <w:t xml:space="preserve">Because student health insurance coverage is exempted from federal rate review requirements, we expect to </w:t>
      </w:r>
      <w:r w:rsidR="0015104E">
        <w:t xml:space="preserve">collect </w:t>
      </w:r>
      <w:r w:rsidRPr="0015104E">
        <w:t xml:space="preserve">less </w:t>
      </w:r>
      <w:r w:rsidR="0015104E">
        <w:t xml:space="preserve">information </w:t>
      </w:r>
      <w:r w:rsidRPr="0015104E">
        <w:t xml:space="preserve">than was collected </w:t>
      </w:r>
      <w:r w:rsidR="0015104E">
        <w:t xml:space="preserve">in previous </w:t>
      </w:r>
      <w:r w:rsidRPr="0015104E">
        <w:t xml:space="preserve">years.  </w:t>
      </w:r>
      <w:r w:rsidR="0015104E">
        <w:t xml:space="preserve">This will </w:t>
      </w:r>
      <w:r w:rsidRPr="0015104E">
        <w:t xml:space="preserve">reduce the burden related to the submission and review for issuers and states. We estimate that </w:t>
      </w:r>
      <w:r w:rsidR="0015104E">
        <w:t xml:space="preserve">75 student health insurance </w:t>
      </w:r>
      <w:r w:rsidRPr="0015104E">
        <w:t xml:space="preserve">issuers </w:t>
      </w:r>
      <w:r w:rsidR="0015104E">
        <w:t xml:space="preserve">will </w:t>
      </w:r>
      <w:r w:rsidRPr="0015104E">
        <w:t xml:space="preserve">no </w:t>
      </w:r>
      <w:r w:rsidR="0015104E">
        <w:t xml:space="preserve">longer be required </w:t>
      </w:r>
      <w:r w:rsidRPr="0015104E">
        <w:t xml:space="preserve">to </w:t>
      </w:r>
      <w:r w:rsidR="0015104E">
        <w:t xml:space="preserve">submit </w:t>
      </w:r>
      <w:r w:rsidRPr="0015104E">
        <w:t>rate increases to HHS for review.</w:t>
      </w:r>
    </w:p>
    <w:p w:rsidR="0015104E" w:rsidRPr="0015104E" w:rsidRDefault="0015104E" w:rsidP="0015104E"/>
    <w:p w:rsidR="004F1646" w:rsidRDefault="00A75131" w:rsidP="0015104E">
      <w:r w:rsidRPr="0015104E">
        <w:t xml:space="preserve">We estimate that each rate review submission would have taken approximately 11 hours for an actuary (at an hourly rate of $110.42) to prepare and submit the appropriate documents in HIOS, and that each issuer would  have submitted  an average of </w:t>
      </w:r>
      <w:r w:rsidR="004B301E">
        <w:t xml:space="preserve">0.53 plans (total of 40 plans </w:t>
      </w:r>
      <w:r w:rsidRPr="0015104E">
        <w:t>per year).</w:t>
      </w:r>
    </w:p>
    <w:p w:rsidR="004F1646" w:rsidRDefault="00A720A9">
      <w:pPr>
        <w:pStyle w:val="BodyText"/>
        <w:spacing w:before="3"/>
        <w:rPr>
          <w:sz w:val="25"/>
        </w:rPr>
      </w:pPr>
      <w:r>
        <w:rPr>
          <w:noProof/>
        </w:rPr>
        <mc:AlternateContent>
          <mc:Choice Requires="wps">
            <w:drawing>
              <wp:anchor distT="0" distB="0" distL="0" distR="0" simplePos="0" relativeHeight="251657216" behindDoc="0" locked="0" layoutInCell="1" allowOverlap="1" wp14:anchorId="1A0065B2" wp14:editId="1C4A2094">
                <wp:simplePos x="0" y="0"/>
                <wp:positionH relativeFrom="page">
                  <wp:posOffset>914400</wp:posOffset>
                </wp:positionH>
                <wp:positionV relativeFrom="paragraph">
                  <wp:posOffset>213995</wp:posOffset>
                </wp:positionV>
                <wp:extent cx="1828800" cy="0"/>
                <wp:effectExtent l="9525" t="5715" r="9525" b="1333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AD8603"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85pt" to="3in,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" strokeweight=".8pt">
                <w10:wrap type="topAndBottom" anchorx="page"/>
              </v:line>
            </w:pict>
          </mc:Fallback>
        </mc:AlternateContent>
      </w:r>
    </w:p>
    <w:p w:rsidR="004F1646" w:rsidRDefault="00A75131">
      <w:pPr>
        <w:spacing w:before="67"/>
        <w:ind w:left="119" w:right="297"/>
        <w:rPr>
          <w:sz w:val="20"/>
        </w:rPr>
      </w:pPr>
      <w:bookmarkStart w:id="15" w:name="_bookmark0"/>
      <w:bookmarkEnd w:id="15"/>
      <w:r>
        <w:rPr>
          <w:position w:val="8"/>
          <w:sz w:val="12"/>
        </w:rPr>
        <w:t xml:space="preserve">1 </w:t>
      </w:r>
      <w:r w:rsidRPr="00A75131">
        <w:rPr>
          <w:sz w:val="20"/>
          <w:szCs w:val="20"/>
        </w:rPr>
        <w:t>May 2017 Occupational Employment Statistics found at https://</w:t>
      </w:r>
      <w:hyperlink r:id="rId9">
        <w:r w:rsidRPr="00A75131">
          <w:rPr>
            <w:rStyle w:val="Hyperlink"/>
            <w:sz w:val="20"/>
            <w:szCs w:val="20"/>
          </w:rPr>
          <w:t>www.bls.gov/oes/current/oes_nat.htm).</w:t>
        </w:r>
      </w:hyperlink>
      <w:r w:rsidRPr="00A75131">
        <w:rPr>
          <w:sz w:val="20"/>
          <w:szCs w:val="20"/>
        </w:rPr>
        <w:t xml:space="preserve">  To account for fringe and overhead, HHS is using 100% of the mean hourly wage.</w:t>
      </w:r>
    </w:p>
    <w:p w:rsidR="004F1646" w:rsidRDefault="004F1646">
      <w:pPr>
        <w:rPr>
          <w:sz w:val="20"/>
        </w:rPr>
        <w:sectPr w:rsidR="004F1646">
          <w:pgSz w:w="12240" w:h="15840"/>
          <w:pgMar w:top="1360" w:right="1280" w:bottom="1100" w:left="1320" w:header="0" w:footer="913" w:gutter="0"/>
          <w:cols w:space="720"/>
        </w:sectPr>
      </w:pPr>
    </w:p>
    <w:p w:rsidR="004F1646" w:rsidRPr="0015104E" w:rsidRDefault="00A75131" w:rsidP="0015104E">
      <w:r w:rsidRPr="0015104E">
        <w:t>The total annual burden for all 40 submissions would have been 440 hours with an associated cost of approximately $48,585, resulting in an estimated burden of approximately 6 hours per issuer with an ass</w:t>
      </w:r>
      <w:r>
        <w:t xml:space="preserve">ociated cost of approximately </w:t>
      </w:r>
      <w:r w:rsidRPr="0015104E">
        <w:t>$648.</w:t>
      </w:r>
    </w:p>
    <w:p w:rsidR="004F1646" w:rsidRPr="0015104E" w:rsidRDefault="004F1646" w:rsidP="0015104E"/>
    <w:p w:rsidR="004F1646" w:rsidRPr="0015104E" w:rsidRDefault="00A75131" w:rsidP="0015104E">
      <w:r w:rsidRPr="0015104E">
        <w:t xml:space="preserve">We estimate that states will no longer submit rate increases for 40 student </w:t>
      </w:r>
      <w:r w:rsidR="0015104E">
        <w:t xml:space="preserve">health insurance </w:t>
      </w:r>
      <w:r w:rsidRPr="0015104E">
        <w:t xml:space="preserve">plans to HHS annually. We estimate a burden reduction for states of </w:t>
      </w:r>
      <w:r w:rsidR="0015104E">
        <w:t xml:space="preserve">one hour </w:t>
      </w:r>
      <w:r w:rsidRPr="0015104E">
        <w:t xml:space="preserve">per plan for an actuary (at an hourly rate of $82.76) to prepare and electronically submit the appropriate materials, for a total annual burden reduction of approximately 40 hours with an associated cost reduction of </w:t>
      </w:r>
      <w:r w:rsidR="0015104E">
        <w:t xml:space="preserve">approximately </w:t>
      </w:r>
      <w:r w:rsidRPr="0015104E">
        <w:t>$3,310 annually.</w:t>
      </w:r>
    </w:p>
    <w:p w:rsidR="004F1646" w:rsidRDefault="004F1646">
      <w:pPr>
        <w:pStyle w:val="BodyText"/>
        <w:spacing w:before="3"/>
        <w:rPr>
          <w:sz w:val="23"/>
        </w:rPr>
      </w:pPr>
    </w:p>
    <w:p w:rsidR="004F1646" w:rsidRDefault="0015104E">
      <w:pPr>
        <w:pStyle w:val="BodyText"/>
        <w:ind w:left="120" w:hanging="1"/>
      </w:pPr>
      <w:r>
        <w:t xml:space="preserve">Table 12.1 Estimated </w:t>
      </w:r>
      <w:r w:rsidR="00A75131">
        <w:t>Annual Total Reduction in Burden Hours and Costs for Issuers</w:t>
      </w:r>
    </w:p>
    <w:p w:rsidR="004F1646" w:rsidRDefault="004F1646">
      <w:pPr>
        <w:pStyle w:val="BodyText"/>
        <w:spacing w:before="1"/>
        <w:rPr>
          <w:sz w:val="26"/>
        </w:r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4"/>
        <w:gridCol w:w="1552"/>
        <w:gridCol w:w="1440"/>
        <w:gridCol w:w="1360"/>
        <w:gridCol w:w="1344"/>
        <w:gridCol w:w="1072"/>
        <w:gridCol w:w="1264"/>
      </w:tblGrid>
      <w:tr w:rsidR="004F1646">
        <w:trPr>
          <w:trHeight w:hRule="exact" w:val="1216"/>
        </w:trPr>
        <w:tc>
          <w:tcPr>
            <w:tcW w:w="1424" w:type="dxa"/>
          </w:tcPr>
          <w:p w:rsidR="004F1646" w:rsidRDefault="004F1646">
            <w:pPr>
              <w:pStyle w:val="TableParagraph"/>
              <w:rPr>
                <w:sz w:val="24"/>
              </w:rPr>
            </w:pPr>
          </w:p>
          <w:p w:rsidR="004F1646" w:rsidRDefault="004F1646">
            <w:pPr>
              <w:pStyle w:val="TableParagraph"/>
              <w:spacing w:before="7"/>
              <w:rPr>
                <w:sz w:val="34"/>
              </w:rPr>
            </w:pPr>
          </w:p>
          <w:p w:rsidR="004F1646" w:rsidRDefault="00A75131">
            <w:pPr>
              <w:pStyle w:val="TableParagraph"/>
              <w:spacing w:line="242" w:lineRule="auto"/>
              <w:ind w:left="351" w:right="176" w:hanging="160"/>
              <w:rPr>
                <w:b/>
              </w:rPr>
            </w:pPr>
            <w:r>
              <w:rPr>
                <w:b/>
              </w:rPr>
              <w:t>Number of Issuers</w:t>
            </w:r>
          </w:p>
        </w:tc>
        <w:tc>
          <w:tcPr>
            <w:tcW w:w="1552" w:type="dxa"/>
          </w:tcPr>
          <w:p w:rsidR="004F1646" w:rsidRDefault="004F1646">
            <w:pPr>
              <w:pStyle w:val="TableParagraph"/>
              <w:rPr>
                <w:sz w:val="24"/>
              </w:rPr>
            </w:pPr>
          </w:p>
          <w:p w:rsidR="004F1646" w:rsidRDefault="00A75131">
            <w:pPr>
              <w:pStyle w:val="TableParagraph"/>
              <w:spacing w:before="142" w:line="242" w:lineRule="auto"/>
              <w:ind w:left="176" w:right="147" w:hanging="16"/>
              <w:jc w:val="center"/>
              <w:rPr>
                <w:b/>
              </w:rPr>
            </w:pPr>
            <w:r>
              <w:rPr>
                <w:b/>
              </w:rPr>
              <w:t>Number of Submissions per Issuer</w:t>
            </w:r>
          </w:p>
        </w:tc>
        <w:tc>
          <w:tcPr>
            <w:tcW w:w="1440" w:type="dxa"/>
          </w:tcPr>
          <w:p w:rsidR="004F1646" w:rsidRDefault="004F1646">
            <w:pPr>
              <w:pStyle w:val="TableParagraph"/>
              <w:rPr>
                <w:sz w:val="24"/>
              </w:rPr>
            </w:pPr>
          </w:p>
          <w:p w:rsidR="004F1646" w:rsidRDefault="00A75131">
            <w:pPr>
              <w:pStyle w:val="TableParagraph"/>
              <w:spacing w:before="142" w:line="242" w:lineRule="auto"/>
              <w:ind w:left="111" w:firstLine="351"/>
              <w:rPr>
                <w:b/>
              </w:rPr>
            </w:pPr>
            <w:r>
              <w:rPr>
                <w:b/>
              </w:rPr>
              <w:t>Total Number of Submissions</w:t>
            </w:r>
          </w:p>
        </w:tc>
        <w:tc>
          <w:tcPr>
            <w:tcW w:w="1360" w:type="dxa"/>
          </w:tcPr>
          <w:p w:rsidR="004F1646" w:rsidRDefault="004F1646">
            <w:pPr>
              <w:pStyle w:val="TableParagraph"/>
              <w:rPr>
                <w:sz w:val="24"/>
              </w:rPr>
            </w:pPr>
          </w:p>
          <w:p w:rsidR="004F1646" w:rsidRDefault="00A75131">
            <w:pPr>
              <w:pStyle w:val="TableParagraph"/>
              <w:spacing w:before="142" w:line="242" w:lineRule="auto"/>
              <w:ind w:left="192" w:right="170" w:hanging="8"/>
              <w:jc w:val="center"/>
              <w:rPr>
                <w:b/>
              </w:rPr>
            </w:pPr>
            <w:r>
              <w:rPr>
                <w:b/>
              </w:rPr>
              <w:t>Burden Hours per Issuer</w:t>
            </w:r>
          </w:p>
        </w:tc>
        <w:tc>
          <w:tcPr>
            <w:tcW w:w="1344" w:type="dxa"/>
          </w:tcPr>
          <w:p w:rsidR="004F1646" w:rsidRDefault="004F1646">
            <w:pPr>
              <w:pStyle w:val="TableParagraph"/>
              <w:rPr>
                <w:sz w:val="24"/>
              </w:rPr>
            </w:pPr>
          </w:p>
          <w:p w:rsidR="004F1646" w:rsidRDefault="004F1646">
            <w:pPr>
              <w:pStyle w:val="TableParagraph"/>
              <w:spacing w:before="7"/>
              <w:rPr>
                <w:sz w:val="34"/>
              </w:rPr>
            </w:pPr>
          </w:p>
          <w:p w:rsidR="004F1646" w:rsidRDefault="00A75131">
            <w:pPr>
              <w:pStyle w:val="TableParagraph"/>
              <w:spacing w:line="242" w:lineRule="auto"/>
              <w:ind w:left="352" w:hanging="112"/>
              <w:rPr>
                <w:b/>
              </w:rPr>
            </w:pPr>
            <w:r>
              <w:rPr>
                <w:b/>
              </w:rPr>
              <w:t>Cost per Issuer</w:t>
            </w:r>
          </w:p>
        </w:tc>
        <w:tc>
          <w:tcPr>
            <w:tcW w:w="1072" w:type="dxa"/>
          </w:tcPr>
          <w:p w:rsidR="004F1646" w:rsidRDefault="004F1646">
            <w:pPr>
              <w:pStyle w:val="TableParagraph"/>
              <w:rPr>
                <w:sz w:val="24"/>
              </w:rPr>
            </w:pPr>
          </w:p>
          <w:p w:rsidR="004F1646" w:rsidRDefault="00A75131">
            <w:pPr>
              <w:pStyle w:val="TableParagraph"/>
              <w:spacing w:before="142" w:line="242" w:lineRule="auto"/>
              <w:ind w:left="176" w:right="161" w:firstLine="2"/>
              <w:jc w:val="center"/>
              <w:rPr>
                <w:b/>
              </w:rPr>
            </w:pPr>
            <w:r>
              <w:rPr>
                <w:b/>
              </w:rPr>
              <w:t>Total Burden Hours</w:t>
            </w:r>
          </w:p>
        </w:tc>
        <w:tc>
          <w:tcPr>
            <w:tcW w:w="1264" w:type="dxa"/>
          </w:tcPr>
          <w:p w:rsidR="004F1646" w:rsidRDefault="004F1646">
            <w:pPr>
              <w:pStyle w:val="TableParagraph"/>
              <w:rPr>
                <w:sz w:val="24"/>
              </w:rPr>
            </w:pPr>
          </w:p>
          <w:p w:rsidR="004F1646" w:rsidRDefault="004F1646">
            <w:pPr>
              <w:pStyle w:val="TableParagraph"/>
              <w:rPr>
                <w:sz w:val="24"/>
              </w:rPr>
            </w:pPr>
          </w:p>
          <w:p w:rsidR="004F1646" w:rsidRDefault="004F1646">
            <w:pPr>
              <w:pStyle w:val="TableParagraph"/>
              <w:spacing w:before="10"/>
              <w:rPr>
                <w:sz w:val="32"/>
              </w:rPr>
            </w:pPr>
          </w:p>
          <w:p w:rsidR="004F1646" w:rsidRDefault="00A75131">
            <w:pPr>
              <w:pStyle w:val="TableParagraph"/>
              <w:ind w:right="115"/>
              <w:jc w:val="right"/>
              <w:rPr>
                <w:b/>
              </w:rPr>
            </w:pPr>
            <w:r>
              <w:rPr>
                <w:b/>
              </w:rPr>
              <w:t>Total Cost</w:t>
            </w:r>
          </w:p>
        </w:tc>
      </w:tr>
      <w:tr w:rsidR="004F1646">
        <w:trPr>
          <w:trHeight w:hRule="exact" w:val="496"/>
        </w:trPr>
        <w:tc>
          <w:tcPr>
            <w:tcW w:w="1424" w:type="dxa"/>
          </w:tcPr>
          <w:p w:rsidR="004F1646" w:rsidRDefault="004F1646">
            <w:pPr>
              <w:pStyle w:val="TableParagraph"/>
              <w:spacing w:before="8"/>
              <w:rPr>
                <w:sz w:val="19"/>
              </w:rPr>
            </w:pPr>
          </w:p>
          <w:p w:rsidR="004F1646" w:rsidRDefault="00A75131">
            <w:pPr>
              <w:pStyle w:val="TableParagraph"/>
              <w:ind w:left="574" w:right="574"/>
              <w:jc w:val="center"/>
              <w:rPr>
                <w:b/>
              </w:rPr>
            </w:pPr>
            <w:r>
              <w:rPr>
                <w:b/>
              </w:rPr>
              <w:t>75</w:t>
            </w:r>
          </w:p>
        </w:tc>
        <w:tc>
          <w:tcPr>
            <w:tcW w:w="1552" w:type="dxa"/>
          </w:tcPr>
          <w:p w:rsidR="004F1646" w:rsidRDefault="004F1646">
            <w:pPr>
              <w:pStyle w:val="TableParagraph"/>
              <w:spacing w:before="8"/>
              <w:rPr>
                <w:sz w:val="19"/>
              </w:rPr>
            </w:pPr>
          </w:p>
          <w:p w:rsidR="004F1646" w:rsidRDefault="00A75131">
            <w:pPr>
              <w:pStyle w:val="TableParagraph"/>
              <w:ind w:left="595" w:right="515"/>
              <w:jc w:val="center"/>
              <w:rPr>
                <w:b/>
              </w:rPr>
            </w:pPr>
            <w:r>
              <w:rPr>
                <w:b/>
              </w:rPr>
              <w:t>0.53</w:t>
            </w:r>
          </w:p>
        </w:tc>
        <w:tc>
          <w:tcPr>
            <w:tcW w:w="1440" w:type="dxa"/>
          </w:tcPr>
          <w:p w:rsidR="004F1646" w:rsidRDefault="004F1646">
            <w:pPr>
              <w:pStyle w:val="TableParagraph"/>
              <w:spacing w:before="8"/>
              <w:rPr>
                <w:sz w:val="19"/>
              </w:rPr>
            </w:pPr>
          </w:p>
          <w:p w:rsidR="004F1646" w:rsidRDefault="00A75131">
            <w:pPr>
              <w:pStyle w:val="TableParagraph"/>
              <w:ind w:left="590" w:right="574"/>
              <w:jc w:val="center"/>
              <w:rPr>
                <w:b/>
              </w:rPr>
            </w:pPr>
            <w:r>
              <w:rPr>
                <w:b/>
              </w:rPr>
              <w:t>40</w:t>
            </w:r>
          </w:p>
        </w:tc>
        <w:tc>
          <w:tcPr>
            <w:tcW w:w="1360" w:type="dxa"/>
          </w:tcPr>
          <w:p w:rsidR="004F1646" w:rsidRDefault="004F1646">
            <w:pPr>
              <w:pStyle w:val="TableParagraph"/>
              <w:spacing w:before="8"/>
              <w:rPr>
                <w:sz w:val="19"/>
              </w:rPr>
            </w:pPr>
          </w:p>
          <w:p w:rsidR="004F1646" w:rsidRDefault="00A75131">
            <w:pPr>
              <w:pStyle w:val="TableParagraph"/>
              <w:ind w:left="467" w:right="452"/>
              <w:jc w:val="center"/>
              <w:rPr>
                <w:b/>
              </w:rPr>
            </w:pPr>
            <w:r>
              <w:rPr>
                <w:b/>
              </w:rPr>
              <w:t>5.87</w:t>
            </w:r>
          </w:p>
        </w:tc>
        <w:tc>
          <w:tcPr>
            <w:tcW w:w="1344" w:type="dxa"/>
          </w:tcPr>
          <w:p w:rsidR="004F1646" w:rsidRDefault="004F1646">
            <w:pPr>
              <w:pStyle w:val="TableParagraph"/>
              <w:spacing w:before="8"/>
              <w:rPr>
                <w:sz w:val="19"/>
              </w:rPr>
            </w:pPr>
          </w:p>
          <w:p w:rsidR="004F1646" w:rsidRDefault="00A75131">
            <w:pPr>
              <w:pStyle w:val="TableParagraph"/>
              <w:ind w:left="320"/>
              <w:rPr>
                <w:b/>
              </w:rPr>
            </w:pPr>
            <w:r>
              <w:rPr>
                <w:b/>
              </w:rPr>
              <w:t>$647.80</w:t>
            </w:r>
          </w:p>
        </w:tc>
        <w:tc>
          <w:tcPr>
            <w:tcW w:w="1072" w:type="dxa"/>
          </w:tcPr>
          <w:p w:rsidR="004F1646" w:rsidRDefault="004F1646">
            <w:pPr>
              <w:pStyle w:val="TableParagraph"/>
              <w:spacing w:before="8"/>
              <w:rPr>
                <w:sz w:val="19"/>
              </w:rPr>
            </w:pPr>
          </w:p>
          <w:p w:rsidR="004F1646" w:rsidRDefault="00A75131">
            <w:pPr>
              <w:pStyle w:val="TableParagraph"/>
              <w:ind w:left="400"/>
              <w:rPr>
                <w:b/>
              </w:rPr>
            </w:pPr>
            <w:r>
              <w:rPr>
                <w:b/>
              </w:rPr>
              <w:t>440</w:t>
            </w:r>
          </w:p>
        </w:tc>
        <w:tc>
          <w:tcPr>
            <w:tcW w:w="1264" w:type="dxa"/>
          </w:tcPr>
          <w:p w:rsidR="004F1646" w:rsidRDefault="004F1646">
            <w:pPr>
              <w:pStyle w:val="TableParagraph"/>
              <w:spacing w:before="8"/>
              <w:rPr>
                <w:sz w:val="19"/>
              </w:rPr>
            </w:pPr>
          </w:p>
          <w:p w:rsidR="004F1646" w:rsidRDefault="00A75131">
            <w:pPr>
              <w:pStyle w:val="TableParagraph"/>
              <w:ind w:right="110"/>
              <w:jc w:val="right"/>
              <w:rPr>
                <w:b/>
              </w:rPr>
            </w:pPr>
            <w:r>
              <w:rPr>
                <w:b/>
              </w:rPr>
              <w:t>$48,584.80</w:t>
            </w:r>
          </w:p>
        </w:tc>
      </w:tr>
    </w:tbl>
    <w:p w:rsidR="004F1646" w:rsidRDefault="004F1646">
      <w:pPr>
        <w:pStyle w:val="BodyText"/>
        <w:spacing w:before="7"/>
        <w:rPr>
          <w:sz w:val="23"/>
        </w:rPr>
      </w:pPr>
    </w:p>
    <w:p w:rsidR="004F1646" w:rsidRDefault="0015104E">
      <w:pPr>
        <w:pStyle w:val="BodyText"/>
        <w:ind w:left="120"/>
      </w:pPr>
      <w:r>
        <w:t>Table 12.2 Estimated Total Annual Reduction in</w:t>
      </w:r>
      <w:r w:rsidR="00A75131">
        <w:t xml:space="preserve"> Burden Hours and Costs for States</w:t>
      </w:r>
    </w:p>
    <w:p w:rsidR="004F1646" w:rsidRDefault="004F1646">
      <w:pPr>
        <w:pStyle w:val="BodyText"/>
        <w:spacing w:before="7"/>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1360"/>
        <w:gridCol w:w="1344"/>
        <w:gridCol w:w="976"/>
        <w:gridCol w:w="1360"/>
      </w:tblGrid>
      <w:tr w:rsidR="004F1646">
        <w:trPr>
          <w:trHeight w:hRule="exact" w:val="1216"/>
        </w:trPr>
        <w:tc>
          <w:tcPr>
            <w:tcW w:w="1440" w:type="dxa"/>
          </w:tcPr>
          <w:p w:rsidR="004F1646" w:rsidRDefault="004F1646">
            <w:pPr>
              <w:pStyle w:val="TableParagraph"/>
              <w:rPr>
                <w:sz w:val="24"/>
              </w:rPr>
            </w:pPr>
          </w:p>
          <w:p w:rsidR="004F1646" w:rsidRDefault="00A75131">
            <w:pPr>
              <w:pStyle w:val="TableParagraph"/>
              <w:spacing w:before="142" w:line="242" w:lineRule="auto"/>
              <w:ind w:left="111" w:firstLine="352"/>
              <w:rPr>
                <w:b/>
              </w:rPr>
            </w:pPr>
            <w:r>
              <w:rPr>
                <w:b/>
              </w:rPr>
              <w:t>Total Number of Submissions</w:t>
            </w:r>
          </w:p>
        </w:tc>
        <w:tc>
          <w:tcPr>
            <w:tcW w:w="1360" w:type="dxa"/>
          </w:tcPr>
          <w:p w:rsidR="004F1646" w:rsidRDefault="004F1646">
            <w:pPr>
              <w:pStyle w:val="TableParagraph"/>
              <w:rPr>
                <w:sz w:val="24"/>
              </w:rPr>
            </w:pPr>
          </w:p>
          <w:p w:rsidR="004F1646" w:rsidRDefault="00A75131">
            <w:pPr>
              <w:pStyle w:val="TableParagraph"/>
              <w:spacing w:before="142" w:line="242" w:lineRule="auto"/>
              <w:ind w:left="192" w:right="170" w:hanging="8"/>
              <w:jc w:val="center"/>
              <w:rPr>
                <w:b/>
              </w:rPr>
            </w:pPr>
            <w:r>
              <w:rPr>
                <w:b/>
              </w:rPr>
              <w:t>Burden Hours per State</w:t>
            </w:r>
          </w:p>
        </w:tc>
        <w:tc>
          <w:tcPr>
            <w:tcW w:w="1344" w:type="dxa"/>
          </w:tcPr>
          <w:p w:rsidR="004F1646" w:rsidRDefault="004F1646">
            <w:pPr>
              <w:pStyle w:val="TableParagraph"/>
              <w:rPr>
                <w:sz w:val="24"/>
              </w:rPr>
            </w:pPr>
          </w:p>
          <w:p w:rsidR="004F1646" w:rsidRDefault="004F1646">
            <w:pPr>
              <w:pStyle w:val="TableParagraph"/>
              <w:spacing w:before="7"/>
              <w:rPr>
                <w:sz w:val="34"/>
              </w:rPr>
            </w:pPr>
          </w:p>
          <w:p w:rsidR="004F1646" w:rsidRDefault="00A75131">
            <w:pPr>
              <w:pStyle w:val="TableParagraph"/>
              <w:spacing w:line="242" w:lineRule="auto"/>
              <w:ind w:left="96" w:firstLine="144"/>
              <w:rPr>
                <w:b/>
              </w:rPr>
            </w:pPr>
            <w:r>
              <w:rPr>
                <w:b/>
              </w:rPr>
              <w:t>Cost per Submission</w:t>
            </w:r>
          </w:p>
        </w:tc>
        <w:tc>
          <w:tcPr>
            <w:tcW w:w="976" w:type="dxa"/>
          </w:tcPr>
          <w:p w:rsidR="004F1646" w:rsidRDefault="004F1646">
            <w:pPr>
              <w:pStyle w:val="TableParagraph"/>
              <w:rPr>
                <w:sz w:val="24"/>
              </w:rPr>
            </w:pPr>
          </w:p>
          <w:p w:rsidR="004F1646" w:rsidRDefault="00A75131">
            <w:pPr>
              <w:pStyle w:val="TableParagraph"/>
              <w:spacing w:before="142" w:line="242" w:lineRule="auto"/>
              <w:ind w:left="128" w:right="113" w:firstLine="1"/>
              <w:jc w:val="center"/>
              <w:rPr>
                <w:b/>
              </w:rPr>
            </w:pPr>
            <w:r>
              <w:rPr>
                <w:b/>
              </w:rPr>
              <w:t>Total Burden Hours</w:t>
            </w:r>
          </w:p>
        </w:tc>
        <w:tc>
          <w:tcPr>
            <w:tcW w:w="1360" w:type="dxa"/>
          </w:tcPr>
          <w:p w:rsidR="004F1646" w:rsidRDefault="004F1646">
            <w:pPr>
              <w:pStyle w:val="TableParagraph"/>
              <w:rPr>
                <w:sz w:val="24"/>
              </w:rPr>
            </w:pPr>
          </w:p>
          <w:p w:rsidR="004F1646" w:rsidRDefault="004F1646">
            <w:pPr>
              <w:pStyle w:val="TableParagraph"/>
              <w:rPr>
                <w:sz w:val="24"/>
              </w:rPr>
            </w:pPr>
          </w:p>
          <w:p w:rsidR="004F1646" w:rsidRDefault="004F1646">
            <w:pPr>
              <w:pStyle w:val="TableParagraph"/>
              <w:spacing w:before="10"/>
              <w:rPr>
                <w:sz w:val="32"/>
              </w:rPr>
            </w:pPr>
          </w:p>
          <w:p w:rsidR="004F1646" w:rsidRDefault="00A75131">
            <w:pPr>
              <w:pStyle w:val="TableParagraph"/>
              <w:ind w:left="150" w:right="169"/>
              <w:jc w:val="center"/>
              <w:rPr>
                <w:b/>
              </w:rPr>
            </w:pPr>
            <w:r>
              <w:rPr>
                <w:b/>
              </w:rPr>
              <w:t>Total Cost</w:t>
            </w:r>
          </w:p>
        </w:tc>
      </w:tr>
      <w:tr w:rsidR="004F1646">
        <w:trPr>
          <w:trHeight w:hRule="exact" w:val="480"/>
        </w:trPr>
        <w:tc>
          <w:tcPr>
            <w:tcW w:w="1440" w:type="dxa"/>
          </w:tcPr>
          <w:p w:rsidR="004F1646" w:rsidRDefault="00A75131">
            <w:pPr>
              <w:pStyle w:val="TableParagraph"/>
              <w:spacing w:before="210"/>
              <w:ind w:left="590" w:right="574"/>
              <w:jc w:val="center"/>
              <w:rPr>
                <w:b/>
              </w:rPr>
            </w:pPr>
            <w:r>
              <w:rPr>
                <w:b/>
              </w:rPr>
              <w:t>40</w:t>
            </w:r>
          </w:p>
        </w:tc>
        <w:tc>
          <w:tcPr>
            <w:tcW w:w="1360" w:type="dxa"/>
          </w:tcPr>
          <w:p w:rsidR="004F1646" w:rsidRDefault="00A75131">
            <w:pPr>
              <w:pStyle w:val="TableParagraph"/>
              <w:spacing w:before="210"/>
              <w:ind w:left="16"/>
              <w:jc w:val="center"/>
              <w:rPr>
                <w:b/>
              </w:rPr>
            </w:pPr>
            <w:r>
              <w:rPr>
                <w:b/>
                <w:w w:val="101"/>
              </w:rPr>
              <w:t>1</w:t>
            </w:r>
          </w:p>
        </w:tc>
        <w:tc>
          <w:tcPr>
            <w:tcW w:w="1344" w:type="dxa"/>
          </w:tcPr>
          <w:p w:rsidR="004F1646" w:rsidRDefault="00A75131">
            <w:pPr>
              <w:pStyle w:val="TableParagraph"/>
              <w:spacing w:before="210"/>
              <w:ind w:left="351"/>
              <w:rPr>
                <w:b/>
              </w:rPr>
            </w:pPr>
            <w:r>
              <w:rPr>
                <w:b/>
              </w:rPr>
              <w:t>$82.76</w:t>
            </w:r>
          </w:p>
        </w:tc>
        <w:tc>
          <w:tcPr>
            <w:tcW w:w="976" w:type="dxa"/>
          </w:tcPr>
          <w:p w:rsidR="004F1646" w:rsidRDefault="00A75131">
            <w:pPr>
              <w:pStyle w:val="TableParagraph"/>
              <w:spacing w:before="210"/>
              <w:ind w:left="350" w:right="350"/>
              <w:jc w:val="center"/>
              <w:rPr>
                <w:b/>
              </w:rPr>
            </w:pPr>
            <w:r>
              <w:rPr>
                <w:b/>
              </w:rPr>
              <w:t>40</w:t>
            </w:r>
          </w:p>
        </w:tc>
        <w:tc>
          <w:tcPr>
            <w:tcW w:w="1360" w:type="dxa"/>
          </w:tcPr>
          <w:p w:rsidR="004F1646" w:rsidRDefault="00A75131">
            <w:pPr>
              <w:pStyle w:val="TableParagraph"/>
              <w:spacing w:before="210"/>
              <w:ind w:left="150" w:right="165"/>
              <w:jc w:val="center"/>
              <w:rPr>
                <w:b/>
              </w:rPr>
            </w:pPr>
            <w:r>
              <w:rPr>
                <w:b/>
              </w:rPr>
              <w:t>$3,310.40</w:t>
            </w:r>
          </w:p>
        </w:tc>
      </w:tr>
    </w:tbl>
    <w:p w:rsidR="004F1646" w:rsidRDefault="004F1646">
      <w:pPr>
        <w:pStyle w:val="BodyText"/>
        <w:rPr>
          <w:sz w:val="25"/>
        </w:rPr>
      </w:pPr>
    </w:p>
    <w:p w:rsidR="004F1646" w:rsidRDefault="00A75131">
      <w:pPr>
        <w:pStyle w:val="Heading1"/>
        <w:ind w:left="120" w:firstLine="0"/>
        <w:rPr>
          <w:u w:val="none"/>
        </w:rPr>
      </w:pPr>
      <w:r>
        <w:t xml:space="preserve">Part II. Single Risk Pool Rate Filings </w:t>
      </w:r>
    </w:p>
    <w:p w:rsidR="004F1646" w:rsidRDefault="004F1646">
      <w:pPr>
        <w:pStyle w:val="BodyText"/>
        <w:spacing w:before="5"/>
        <w:rPr>
          <w:b/>
          <w:sz w:val="15"/>
        </w:rPr>
      </w:pPr>
    </w:p>
    <w:p w:rsidR="004F1646" w:rsidRDefault="00A75131">
      <w:pPr>
        <w:spacing w:before="90"/>
        <w:ind w:left="120"/>
        <w:rPr>
          <w:b/>
          <w:sz w:val="24"/>
          <w:u w:val="single"/>
        </w:rPr>
      </w:pPr>
      <w:r>
        <w:rPr>
          <w:b/>
          <w:sz w:val="24"/>
          <w:u w:val="single"/>
        </w:rPr>
        <w:t xml:space="preserve">Submission of Unified Rate Review Template (Part I of Rate Filing Justification) </w:t>
      </w:r>
    </w:p>
    <w:p w:rsidR="00A75131" w:rsidRDefault="00A75131">
      <w:pPr>
        <w:spacing w:before="90"/>
        <w:ind w:left="120"/>
        <w:rPr>
          <w:b/>
          <w:sz w:val="24"/>
        </w:rPr>
      </w:pPr>
    </w:p>
    <w:p w:rsidR="004F1646" w:rsidRPr="0015104E" w:rsidRDefault="00A75131" w:rsidP="0015104E">
      <w:r w:rsidRPr="0015104E">
        <w:t>Based on the number of submissions received in the 2018 plan year, we expect to receive approximately 916 URRT submissions per year. Based</w:t>
      </w:r>
      <w:r w:rsidR="0015104E">
        <w:t xml:space="preserve"> </w:t>
      </w:r>
      <w:r w:rsidRPr="0015104E">
        <w:t xml:space="preserve">on current experience, we estimate that approximately 589 issuers will submit, on average, 1.6 filings each year. Due to the changes proposed  to the URRT and the adoption  of version  5.0, we anticipate  each submission  will  require 9 hours of work by an actuary (at an hourly  rate of $110.42)  including  minimal  time required for recordkeeping. We estimate that each issuer will incur an annual burden of approximately 14 hours with an associated cost of </w:t>
      </w:r>
      <w:r w:rsidR="0015104E">
        <w:t xml:space="preserve">approximately </w:t>
      </w:r>
      <w:r w:rsidRPr="0015104E">
        <w:t xml:space="preserve">$1,546.  Therefore, we estimate the total annual burden and costs for all 916 </w:t>
      </w:r>
      <w:r w:rsidR="0015104E">
        <w:t xml:space="preserve">submissions </w:t>
      </w:r>
      <w:r w:rsidRPr="0015104E">
        <w:t xml:space="preserve">from 589 issuers to be approximately 8,244 </w:t>
      </w:r>
      <w:r w:rsidR="0015104E">
        <w:t xml:space="preserve">hours </w:t>
      </w:r>
      <w:r w:rsidRPr="0015104E">
        <w:t xml:space="preserve">with an associated cost of </w:t>
      </w:r>
      <w:r w:rsidR="0015104E">
        <w:t>$910,302.  Using</w:t>
      </w:r>
      <w:r w:rsidRPr="0015104E">
        <w:t xml:space="preserve"> the newly adopted URRT version we</w:t>
      </w:r>
      <w:r w:rsidR="0015104E">
        <w:t xml:space="preserve"> </w:t>
      </w:r>
      <w:r w:rsidRPr="0015104E">
        <w:t>estimate that issuers will experience an average reduction of 2 hours per submissio</w:t>
      </w:r>
      <w:r w:rsidR="0015104E">
        <w:t>n, or a total burden reduction of 1</w:t>
      </w:r>
      <w:r w:rsidR="00035C5A">
        <w:t>,</w:t>
      </w:r>
      <w:r w:rsidR="0015104E">
        <w:t xml:space="preserve">832 </w:t>
      </w:r>
      <w:r w:rsidRPr="0015104E">
        <w:t>hours.</w:t>
      </w:r>
    </w:p>
    <w:p w:rsidR="004F1646" w:rsidRDefault="004F1646">
      <w:pPr>
        <w:pStyle w:val="BodyText"/>
        <w:rPr>
          <w:sz w:val="25"/>
        </w:rPr>
      </w:pPr>
    </w:p>
    <w:p w:rsidR="004F1646" w:rsidRDefault="00A75131">
      <w:pPr>
        <w:pStyle w:val="Heading1"/>
        <w:spacing w:line="272" w:lineRule="exact"/>
        <w:ind w:left="120" w:right="381" w:firstLine="0"/>
        <w:rPr>
          <w:u w:val="none"/>
        </w:rPr>
      </w:pPr>
      <w:r>
        <w:t xml:space="preserve">Submission of Written Description Justifying the Increase (Part II of Rate Filing Justification) </w:t>
      </w:r>
    </w:p>
    <w:p w:rsidR="004F1646" w:rsidRDefault="004F1646">
      <w:pPr>
        <w:spacing w:line="272" w:lineRule="exact"/>
        <w:sectPr w:rsidR="004F1646">
          <w:pgSz w:w="12240" w:h="15840"/>
          <w:pgMar w:top="1360" w:right="1220" w:bottom="1100" w:left="1320" w:header="0" w:footer="913" w:gutter="0"/>
          <w:cols w:space="720"/>
        </w:sectPr>
      </w:pPr>
    </w:p>
    <w:p w:rsidR="004F1646" w:rsidRPr="0015104E" w:rsidRDefault="00A75131" w:rsidP="0015104E">
      <w:r w:rsidRPr="0015104E">
        <w:t xml:space="preserve">Based on submission data from 2018, we estimate that the number of annual written justifications </w:t>
      </w:r>
      <w:r w:rsidR="0015104E">
        <w:t xml:space="preserve">will </w:t>
      </w:r>
      <w:r w:rsidRPr="0015104E">
        <w:t xml:space="preserve">be received </w:t>
      </w:r>
      <w:r w:rsidR="0015104E">
        <w:t xml:space="preserve">will </w:t>
      </w:r>
      <w:r w:rsidRPr="0015104E">
        <w:t xml:space="preserve">be </w:t>
      </w:r>
      <w:r w:rsidR="0015104E">
        <w:t xml:space="preserve">approximately </w:t>
      </w:r>
      <w:r w:rsidRPr="0015104E">
        <w:t xml:space="preserve">661; a decrease of </w:t>
      </w:r>
      <w:r w:rsidR="0015104E">
        <w:t>approximately</w:t>
      </w:r>
      <w:r w:rsidRPr="0015104E">
        <w:t xml:space="preserve"> 125 </w:t>
      </w:r>
      <w:r w:rsidR="0015104E">
        <w:t xml:space="preserve">submissions.  </w:t>
      </w:r>
      <w:r w:rsidRPr="0015104E">
        <w:t xml:space="preserve">In order to determine this estimate we counted the number of submissions with a product subject to review due to a premium increase between 10 percent and 15 percent. For the 2018 plan year, CMS received 786 submissions; 579 of which included a rate increase at </w:t>
      </w:r>
      <w:r w:rsidR="0015104E">
        <w:t xml:space="preserve">or above </w:t>
      </w:r>
      <w:r w:rsidRPr="0015104E">
        <w:t xml:space="preserve">10 percent; while 454 of those included a rate increase at or above 15 percent, resulting in 125 submissions </w:t>
      </w:r>
      <w:r w:rsidR="0015104E">
        <w:t xml:space="preserve">falling </w:t>
      </w:r>
      <w:r w:rsidRPr="0015104E">
        <w:t>between 10 percent and 15 percent.</w:t>
      </w:r>
    </w:p>
    <w:p w:rsidR="004F1646" w:rsidRPr="0015104E" w:rsidRDefault="004F1646" w:rsidP="0015104E"/>
    <w:p w:rsidR="004F1646" w:rsidRPr="0015104E" w:rsidRDefault="00A75131" w:rsidP="0015104E">
      <w:r w:rsidRPr="0015104E">
        <w:t xml:space="preserve">We estimate that each written justification will require 1.5 </w:t>
      </w:r>
      <w:r w:rsidR="0015104E">
        <w:t xml:space="preserve">hours </w:t>
      </w:r>
      <w:r w:rsidRPr="0015104E">
        <w:t xml:space="preserve">for an actuary (at an </w:t>
      </w:r>
      <w:r w:rsidR="0015104E">
        <w:t xml:space="preserve">hourly </w:t>
      </w:r>
      <w:r w:rsidRPr="0015104E">
        <w:t xml:space="preserve">rate of $110.42) to prepare and electronically transmit the appropriate documentation, resulting in an estimated cost per submission of approximately $166. Therefore, each issuer </w:t>
      </w:r>
      <w:r w:rsidR="0015104E">
        <w:t xml:space="preserve">would incur </w:t>
      </w:r>
      <w:r w:rsidRPr="0015104E">
        <w:t xml:space="preserve">an annual burden of approximately 1.7 </w:t>
      </w:r>
      <w:r w:rsidR="0015104E">
        <w:t xml:space="preserve">hours </w:t>
      </w:r>
      <w:r w:rsidRPr="0015104E">
        <w:t xml:space="preserve">and an associated cost of </w:t>
      </w:r>
      <w:r w:rsidR="0015104E">
        <w:t xml:space="preserve">approximately </w:t>
      </w:r>
      <w:r w:rsidRPr="0015104E">
        <w:t>$186. For all 589 issuers, we estimat</w:t>
      </w:r>
      <w:r w:rsidR="0015104E">
        <w:t xml:space="preserve">e </w:t>
      </w:r>
      <w:r w:rsidRPr="0015104E">
        <w:t xml:space="preserve">a total annual </w:t>
      </w:r>
      <w:r w:rsidR="0015104E">
        <w:t xml:space="preserve">burden </w:t>
      </w:r>
      <w:r w:rsidRPr="0015104E">
        <w:t xml:space="preserve">to prepare and </w:t>
      </w:r>
      <w:r w:rsidR="0015104E">
        <w:t xml:space="preserve">submit </w:t>
      </w:r>
      <w:r w:rsidRPr="0015104E">
        <w:t xml:space="preserve">661 Rate </w:t>
      </w:r>
      <w:r w:rsidR="0015104E">
        <w:t xml:space="preserve">Filing Justifications </w:t>
      </w:r>
      <w:r w:rsidRPr="0015104E">
        <w:t xml:space="preserve">to be </w:t>
      </w:r>
      <w:r w:rsidR="0015104E">
        <w:t xml:space="preserve">approximately </w:t>
      </w:r>
      <w:r w:rsidRPr="0015104E">
        <w:t xml:space="preserve">991.5 </w:t>
      </w:r>
      <w:r w:rsidR="0015104E">
        <w:t xml:space="preserve">hours with </w:t>
      </w:r>
      <w:r w:rsidRPr="0015104E">
        <w:t>an associated annual cost of approximately$109,481. We estimate that annual burden for all issuers will be reduced by 187.5 hours, wi</w:t>
      </w:r>
      <w:r w:rsidR="0015104E">
        <w:t xml:space="preserve">th an estimated annual savings of approximately </w:t>
      </w:r>
      <w:r w:rsidRPr="0015104E">
        <w:t>$20,704.</w:t>
      </w:r>
    </w:p>
    <w:p w:rsidR="004F1646" w:rsidRPr="0015104E" w:rsidRDefault="004F1646" w:rsidP="0015104E"/>
    <w:p w:rsidR="004F1646" w:rsidRPr="0015104E" w:rsidRDefault="00A75131" w:rsidP="0015104E">
      <w:r w:rsidRPr="0015104E">
        <w:t xml:space="preserve">As stated above, we estimate 125 fewer submissions with rate increases will be subject to review. Assuming that states adopt the Federal default threshold, we expect the number of state </w:t>
      </w:r>
      <w:r w:rsidR="0015104E">
        <w:t xml:space="preserve">reviews </w:t>
      </w:r>
      <w:r w:rsidRPr="0015104E">
        <w:t>will decrease by 123 submissions</w:t>
      </w:r>
      <w:hyperlink w:anchor="_bookmark1" w:history="1">
        <w:r w:rsidRPr="0015104E">
          <w:rPr>
            <w:rStyle w:val="Hyperlink"/>
            <w:vertAlign w:val="superscript"/>
          </w:rPr>
          <w:t>2</w:t>
        </w:r>
      </w:hyperlink>
      <w:r w:rsidRPr="0015104E">
        <w:t xml:space="preserve">. We expect 48 states will conduct 619 reviews and CMS will review 42 submissions. We estimate that each state review will require 38.5 hours of work by an actuary (at an hourly rate of $82.76) to review each submission. We estimate that each state will incur an annual burden of approximately 496.5 </w:t>
      </w:r>
      <w:r w:rsidR="0015104E">
        <w:t xml:space="preserve">hours </w:t>
      </w:r>
      <w:r w:rsidRPr="0015104E">
        <w:t xml:space="preserve">with an associated annual cost of approximately $41,090; resulting in a total annual </w:t>
      </w:r>
      <w:r w:rsidR="0015104E">
        <w:t xml:space="preserve">burden </w:t>
      </w:r>
      <w:r w:rsidRPr="0015104E">
        <w:t xml:space="preserve">for 48 states of </w:t>
      </w:r>
      <w:r w:rsidR="0015104E">
        <w:t xml:space="preserve">approximately </w:t>
      </w:r>
      <w:r>
        <w:t xml:space="preserve">23,832 </w:t>
      </w:r>
      <w:r w:rsidRPr="0015104E">
        <w:t xml:space="preserve">hours with an associated cost of </w:t>
      </w:r>
      <w:r w:rsidR="0015104E">
        <w:t xml:space="preserve">approximately </w:t>
      </w:r>
      <w:r w:rsidRPr="0015104E">
        <w:t xml:space="preserve">$1,972,295. We further estimate that  each state will realize an average annual decrease in burden of approximately 99 hours and an associated reduction in cost of approximately $8,165; resulting in a total annual reduction  in  burden for 48  states of </w:t>
      </w:r>
      <w:r w:rsidR="0015104E">
        <w:t xml:space="preserve">approximately </w:t>
      </w:r>
      <w:r w:rsidRPr="0015104E">
        <w:t>4,736  hours with  an associated annual cost savings of  approximately</w:t>
      </w:r>
      <w:r w:rsidR="0015104E">
        <w:t xml:space="preserve"> </w:t>
      </w:r>
      <w:r w:rsidRPr="0015104E">
        <w:t>$391,910.</w:t>
      </w:r>
    </w:p>
    <w:p w:rsidR="004F1646" w:rsidRDefault="004F1646">
      <w:pPr>
        <w:pStyle w:val="BodyText"/>
        <w:spacing w:before="1"/>
        <w:rPr>
          <w:sz w:val="33"/>
        </w:rPr>
      </w:pPr>
    </w:p>
    <w:p w:rsidR="004F1646" w:rsidRDefault="00A75131">
      <w:pPr>
        <w:pStyle w:val="Heading1"/>
        <w:ind w:left="120" w:firstLine="0"/>
        <w:rPr>
          <w:u w:val="none"/>
        </w:rPr>
      </w:pPr>
      <w:r>
        <w:t>Submission of Actuarial Memorandum (Part III of Rate Filing Justification)</w:t>
      </w:r>
    </w:p>
    <w:p w:rsidR="00A75131" w:rsidRDefault="00A75131" w:rsidP="00A75131"/>
    <w:p w:rsidR="004F1646" w:rsidRPr="00A75131" w:rsidRDefault="00A75131" w:rsidP="00A75131">
      <w:r w:rsidRPr="00A75131">
        <w:t xml:space="preserve">For the 2018 plan year, issuers submitted 786 actuarial memoranda. Since issuers must submit an Actuarial Memorandum for rate increases only and there are no changes to that requirement, we estimate that the number of Actuarial Memoranda that will be submitted </w:t>
      </w:r>
      <w:r>
        <w:t xml:space="preserve">during </w:t>
      </w:r>
      <w:r w:rsidRPr="00A75131">
        <w:t xml:space="preserve">2019 and beyond will not increase. We estimate that each Actuarial Memorandum requires 14 hours of work by an actuary (at an </w:t>
      </w:r>
      <w:r>
        <w:t xml:space="preserve">hourly </w:t>
      </w:r>
      <w:r w:rsidRPr="00A75131">
        <w:t xml:space="preserve">rate of </w:t>
      </w:r>
      <w:r>
        <w:t xml:space="preserve">$110.42).  </w:t>
      </w:r>
      <w:r w:rsidRPr="00A75131">
        <w:t xml:space="preserve">We </w:t>
      </w:r>
      <w:r>
        <w:t xml:space="preserve">estimate </w:t>
      </w:r>
      <w:r w:rsidRPr="00A75131">
        <w:t xml:space="preserve">that each issuer </w:t>
      </w:r>
      <w:r>
        <w:t xml:space="preserve">will </w:t>
      </w:r>
      <w:r w:rsidRPr="00A75131">
        <w:t xml:space="preserve">incur an annual burden of </w:t>
      </w:r>
      <w:r>
        <w:t xml:space="preserve">approximately </w:t>
      </w:r>
      <w:r w:rsidRPr="00A75131">
        <w:t xml:space="preserve">19 </w:t>
      </w:r>
      <w:r>
        <w:t xml:space="preserve">hours with </w:t>
      </w:r>
      <w:r w:rsidRPr="00A75131">
        <w:t xml:space="preserve">an associated annual cost of </w:t>
      </w:r>
      <w:r>
        <w:t xml:space="preserve">approximately $2,063. </w:t>
      </w:r>
      <w:r w:rsidRPr="00A75131">
        <w:t xml:space="preserve">The total annual </w:t>
      </w:r>
      <w:r>
        <w:t xml:space="preserve">burden, </w:t>
      </w:r>
      <w:r w:rsidRPr="00A75131">
        <w:t xml:space="preserve">for all issuers </w:t>
      </w:r>
      <w:r>
        <w:t xml:space="preserve">will </w:t>
      </w:r>
      <w:r w:rsidRPr="00A75131">
        <w:t xml:space="preserve">be </w:t>
      </w:r>
      <w:r>
        <w:t xml:space="preserve">approximately 11,004 hours </w:t>
      </w:r>
      <w:r w:rsidRPr="00A75131">
        <w:t xml:space="preserve">with an associated annual cost of </w:t>
      </w:r>
      <w:r>
        <w:t xml:space="preserve">approximately </w:t>
      </w:r>
      <w:r w:rsidRPr="00A75131">
        <w:t>$1,215,062.</w:t>
      </w:r>
    </w:p>
    <w:p w:rsidR="004F1646" w:rsidRDefault="004F1646">
      <w:pPr>
        <w:pStyle w:val="BodyText"/>
        <w:spacing w:before="9"/>
      </w:pPr>
    </w:p>
    <w:p w:rsidR="002174FA" w:rsidRPr="00343D58" w:rsidRDefault="002174FA" w:rsidP="002174FA">
      <w:pPr>
        <w:pStyle w:val="Heading1"/>
        <w:kinsoku w:val="0"/>
        <w:overflowPunct w:val="0"/>
        <w:ind w:left="120" w:right="1257" w:firstLine="0"/>
        <w:rPr>
          <w:b w:val="0"/>
          <w:bCs w:val="0"/>
          <w:u w:val="none"/>
        </w:rPr>
      </w:pPr>
      <w:r w:rsidRPr="00343D58">
        <w:rPr>
          <w:u w:val="thick"/>
        </w:rPr>
        <w:t>Health Insurance Issuer Submission of Final Justification for Unreasonable Rate</w:t>
      </w:r>
      <w:r w:rsidRPr="00343D58">
        <w:rPr>
          <w:spacing w:val="-33"/>
          <w:u w:val="thick"/>
        </w:rPr>
        <w:t xml:space="preserve"> </w:t>
      </w:r>
      <w:r w:rsidRPr="00343D58">
        <w:rPr>
          <w:u w:val="thick"/>
        </w:rPr>
        <w:t>Increases</w:t>
      </w:r>
    </w:p>
    <w:p w:rsidR="002174FA" w:rsidRPr="00343D58" w:rsidRDefault="002174FA" w:rsidP="002174FA">
      <w:pPr>
        <w:pStyle w:val="BodyText"/>
        <w:kinsoku w:val="0"/>
        <w:overflowPunct w:val="0"/>
        <w:spacing w:before="7"/>
        <w:rPr>
          <w:b/>
          <w:bCs/>
          <w:sz w:val="17"/>
          <w:szCs w:val="17"/>
        </w:rPr>
      </w:pPr>
    </w:p>
    <w:p w:rsidR="002174FA" w:rsidRPr="00343D58" w:rsidRDefault="002174FA" w:rsidP="002174FA">
      <w:pPr>
        <w:pStyle w:val="BodyText"/>
        <w:kinsoku w:val="0"/>
        <w:overflowPunct w:val="0"/>
        <w:spacing w:before="69"/>
        <w:ind w:right="1257"/>
      </w:pPr>
      <w:r w:rsidRPr="00343D58">
        <w:t>Pursuant to §154.230(c), if a health insurance issuer implements a rate increase that has</w:t>
      </w:r>
      <w:r w:rsidRPr="00343D58">
        <w:rPr>
          <w:spacing w:val="-15"/>
        </w:rPr>
        <w:t xml:space="preserve"> </w:t>
      </w:r>
      <w:r w:rsidRPr="00343D58">
        <w:t>been</w:t>
      </w:r>
      <w:r w:rsidRPr="00343D58">
        <w:rPr>
          <w:spacing w:val="-1"/>
        </w:rPr>
        <w:t xml:space="preserve"> </w:t>
      </w:r>
      <w:r w:rsidRPr="00343D58">
        <w:t>determined to be unreasonable, the issuer is required to submit to CMS and the relevant state</w:t>
      </w:r>
      <w:r w:rsidRPr="00343D58">
        <w:rPr>
          <w:spacing w:val="-16"/>
        </w:rPr>
        <w:t xml:space="preserve"> </w:t>
      </w:r>
      <w:r w:rsidRPr="00343D58">
        <w:t>a Final Justification and to display this information on their websites. Based on current</w:t>
      </w:r>
      <w:r w:rsidRPr="00343D58">
        <w:rPr>
          <w:spacing w:val="-22"/>
        </w:rPr>
        <w:t xml:space="preserve"> </w:t>
      </w:r>
      <w:r w:rsidRPr="00343D58">
        <w:t>experience,</w:t>
      </w:r>
      <w:r w:rsidRPr="00343D58">
        <w:rPr>
          <w:spacing w:val="-1"/>
        </w:rPr>
        <w:t xml:space="preserve"> </w:t>
      </w:r>
      <w:r w:rsidRPr="00343D58">
        <w:t>we estimate there will be approximately 3 justifications submitted and posted</w:t>
      </w:r>
      <w:r w:rsidRPr="00343D58">
        <w:rPr>
          <w:spacing w:val="-21"/>
        </w:rPr>
        <w:t xml:space="preserve"> </w:t>
      </w:r>
      <w:r w:rsidRPr="00343D58">
        <w:t>annually.</w:t>
      </w:r>
    </w:p>
    <w:p w:rsidR="002174FA" w:rsidRPr="00343D58" w:rsidRDefault="002174FA" w:rsidP="002174FA">
      <w:pPr>
        <w:pStyle w:val="BodyText"/>
        <w:kinsoku w:val="0"/>
        <w:overflowPunct w:val="0"/>
      </w:pPr>
    </w:p>
    <w:p w:rsidR="002174FA" w:rsidRPr="00343D58" w:rsidRDefault="002174FA" w:rsidP="002174FA">
      <w:pPr>
        <w:pStyle w:val="BodyText"/>
        <w:kinsoku w:val="0"/>
        <w:overflowPunct w:val="0"/>
        <w:ind w:left="551" w:right="1563"/>
      </w:pPr>
      <w:r w:rsidRPr="00343D58">
        <w:rPr>
          <w:b/>
          <w:bCs/>
        </w:rPr>
        <w:t>Total Annual Burden Hours</w:t>
      </w:r>
      <w:r w:rsidRPr="00343D58">
        <w:t>: 3 justifications x 1 hour to prepare and post = 3</w:t>
      </w:r>
      <w:r w:rsidRPr="00343D58">
        <w:rPr>
          <w:spacing w:val="-21"/>
        </w:rPr>
        <w:t xml:space="preserve"> </w:t>
      </w:r>
      <w:r w:rsidRPr="00343D58">
        <w:t>hours</w:t>
      </w:r>
    </w:p>
    <w:p w:rsidR="002174FA" w:rsidRPr="00343D58" w:rsidRDefault="002174FA" w:rsidP="002174FA">
      <w:pPr>
        <w:pStyle w:val="BodyText"/>
        <w:kinsoku w:val="0"/>
        <w:overflowPunct w:val="0"/>
        <w:ind w:left="551" w:right="1563"/>
      </w:pPr>
      <w:r w:rsidRPr="00343D58">
        <w:rPr>
          <w:b/>
          <w:bCs/>
        </w:rPr>
        <w:t>Total Annual Costs</w:t>
      </w:r>
      <w:r w:rsidRPr="00343D58">
        <w:t>: 3 hours x $110.42/hour =</w:t>
      </w:r>
      <w:r w:rsidRPr="00343D58">
        <w:rPr>
          <w:spacing w:val="-8"/>
        </w:rPr>
        <w:t xml:space="preserve"> </w:t>
      </w:r>
      <w:r w:rsidRPr="00343D58">
        <w:t>$331.26</w:t>
      </w:r>
    </w:p>
    <w:p w:rsidR="002174FA" w:rsidRPr="00343D58" w:rsidRDefault="002174FA" w:rsidP="002174FA">
      <w:pPr>
        <w:pStyle w:val="BodyText"/>
        <w:kinsoku w:val="0"/>
        <w:overflowPunct w:val="0"/>
      </w:pPr>
    </w:p>
    <w:p w:rsidR="002174FA" w:rsidRPr="00343D58" w:rsidRDefault="002174FA" w:rsidP="002174FA">
      <w:pPr>
        <w:pStyle w:val="BodyText"/>
        <w:kinsoku w:val="0"/>
        <w:overflowPunct w:val="0"/>
        <w:ind w:left="119" w:right="1563"/>
      </w:pPr>
      <w:r w:rsidRPr="00343D58">
        <w:t>If an issuer is legally permitted to implement an unreasonable rate increase and declines</w:t>
      </w:r>
      <w:r w:rsidRPr="00343D58">
        <w:rPr>
          <w:spacing w:val="-17"/>
        </w:rPr>
        <w:t xml:space="preserve"> </w:t>
      </w:r>
      <w:r w:rsidRPr="00343D58">
        <w:t>to implement the increase, the issuer will provide notice to CMS that it will not implement</w:t>
      </w:r>
      <w:r w:rsidRPr="00343D58">
        <w:rPr>
          <w:spacing w:val="-16"/>
        </w:rPr>
        <w:t xml:space="preserve"> </w:t>
      </w:r>
      <w:r w:rsidRPr="00343D58">
        <w:t>the increase. This submission will consist of a short, free response narrative that will take a</w:t>
      </w:r>
      <w:r w:rsidRPr="00343D58">
        <w:rPr>
          <w:spacing w:val="-21"/>
        </w:rPr>
        <w:t xml:space="preserve"> </w:t>
      </w:r>
      <w:r w:rsidRPr="00343D58">
        <w:t>senior actuary approximately 1 hour to prepare and post. Based on current</w:t>
      </w:r>
      <w:r w:rsidRPr="00343D58">
        <w:rPr>
          <w:spacing w:val="-20"/>
        </w:rPr>
        <w:t xml:space="preserve"> </w:t>
      </w:r>
      <w:r w:rsidRPr="00343D58">
        <w:t>experience, we estimate that there will be approximately 16 justifications submitted and posted</w:t>
      </w:r>
      <w:r w:rsidRPr="00343D58">
        <w:rPr>
          <w:spacing w:val="-23"/>
        </w:rPr>
        <w:t xml:space="preserve"> </w:t>
      </w:r>
      <w:r w:rsidRPr="00343D58">
        <w:t>annually.</w:t>
      </w:r>
    </w:p>
    <w:p w:rsidR="002174FA" w:rsidRPr="00343D58" w:rsidRDefault="002174FA" w:rsidP="002174FA">
      <w:pPr>
        <w:pStyle w:val="BodyText"/>
        <w:kinsoku w:val="0"/>
        <w:overflowPunct w:val="0"/>
      </w:pPr>
    </w:p>
    <w:p w:rsidR="002174FA" w:rsidRPr="00343D58" w:rsidRDefault="002174FA" w:rsidP="002174FA">
      <w:pPr>
        <w:pStyle w:val="BodyText"/>
        <w:kinsoku w:val="0"/>
        <w:overflowPunct w:val="0"/>
        <w:ind w:left="551" w:right="1563"/>
      </w:pPr>
      <w:r w:rsidRPr="00343D58">
        <w:rPr>
          <w:b/>
          <w:bCs/>
        </w:rPr>
        <w:t>Total Annual Burden Hours</w:t>
      </w:r>
      <w:r w:rsidRPr="00343D58">
        <w:t>: 16 justifications x 1 hour to prepare and post = 16</w:t>
      </w:r>
      <w:r w:rsidRPr="00343D58">
        <w:rPr>
          <w:spacing w:val="-20"/>
        </w:rPr>
        <w:t xml:space="preserve"> </w:t>
      </w:r>
      <w:r w:rsidRPr="00343D58">
        <w:t>hours</w:t>
      </w:r>
    </w:p>
    <w:p w:rsidR="002174FA" w:rsidRDefault="002174FA" w:rsidP="002174FA">
      <w:pPr>
        <w:pStyle w:val="BodyText"/>
        <w:kinsoku w:val="0"/>
        <w:overflowPunct w:val="0"/>
        <w:ind w:left="551" w:right="1563"/>
      </w:pPr>
      <w:r w:rsidRPr="00343D58">
        <w:rPr>
          <w:b/>
          <w:bCs/>
        </w:rPr>
        <w:t>Total Annual Costs</w:t>
      </w:r>
      <w:r w:rsidRPr="00343D58">
        <w:t>: 16 hours x $110.42 per hour =</w:t>
      </w:r>
      <w:r w:rsidRPr="00343D58">
        <w:rPr>
          <w:spacing w:val="-8"/>
        </w:rPr>
        <w:t xml:space="preserve"> </w:t>
      </w:r>
      <w:r w:rsidRPr="00343D58">
        <w:t>$</w:t>
      </w:r>
      <w:r w:rsidR="00754BA6" w:rsidRPr="00343D58">
        <w:t>1766.72</w:t>
      </w:r>
    </w:p>
    <w:p w:rsidR="00AD5485" w:rsidRDefault="00AD5485" w:rsidP="002174FA">
      <w:pPr>
        <w:pStyle w:val="BodyText"/>
        <w:kinsoku w:val="0"/>
        <w:overflowPunct w:val="0"/>
        <w:ind w:left="551" w:right="1563"/>
      </w:pPr>
    </w:p>
    <w:p w:rsidR="00AD5485" w:rsidRPr="00343D58" w:rsidRDefault="00AD5485" w:rsidP="00AD5485">
      <w:pPr>
        <w:pStyle w:val="Heading1"/>
        <w:kinsoku w:val="0"/>
        <w:overflowPunct w:val="0"/>
        <w:spacing w:before="56"/>
        <w:ind w:left="0" w:right="1007" w:firstLine="0"/>
        <w:rPr>
          <w:u w:val="thick"/>
        </w:rPr>
      </w:pPr>
      <w:r w:rsidRPr="00343D58">
        <w:rPr>
          <w:u w:val="thick"/>
        </w:rPr>
        <w:t>State Unreasonable Rate Increase</w:t>
      </w:r>
      <w:r w:rsidRPr="00343D58">
        <w:rPr>
          <w:spacing w:val="-13"/>
          <w:u w:val="thick"/>
        </w:rPr>
        <w:t xml:space="preserve"> </w:t>
      </w:r>
      <w:r w:rsidRPr="00343D58">
        <w:rPr>
          <w:u w:val="thick"/>
        </w:rPr>
        <w:t>Determinations</w:t>
      </w:r>
    </w:p>
    <w:p w:rsidR="00AD5485" w:rsidRPr="00343D58" w:rsidRDefault="00AD5485" w:rsidP="00AD5485">
      <w:pPr>
        <w:pStyle w:val="Heading1"/>
        <w:kinsoku w:val="0"/>
        <w:overflowPunct w:val="0"/>
        <w:spacing w:before="56"/>
        <w:ind w:left="120" w:right="1007" w:firstLine="0"/>
        <w:rPr>
          <w:b w:val="0"/>
          <w:bCs w:val="0"/>
          <w:sz w:val="17"/>
          <w:szCs w:val="17"/>
        </w:rPr>
      </w:pPr>
    </w:p>
    <w:p w:rsidR="00AD5485" w:rsidRPr="00343D58" w:rsidRDefault="00AD5485" w:rsidP="00AD5485">
      <w:pPr>
        <w:pStyle w:val="BodyText"/>
        <w:kinsoku w:val="0"/>
        <w:overflowPunct w:val="0"/>
        <w:ind w:right="153"/>
      </w:pPr>
      <w:r w:rsidRPr="00343D58">
        <w:t>If CMS determines that a state has satisfied specific criteria for an Effective Rate Review</w:t>
      </w:r>
      <w:r w:rsidRPr="00343D58">
        <w:rPr>
          <w:spacing w:val="-25"/>
        </w:rPr>
        <w:t xml:space="preserve"> </w:t>
      </w:r>
      <w:r w:rsidRPr="00343D58">
        <w:t>(ERR) Program, CMS will adopt the state‘s determinations regarding whether a rate increase that</w:t>
      </w:r>
      <w:r w:rsidRPr="00343D58">
        <w:rPr>
          <w:spacing w:val="-24"/>
        </w:rPr>
        <w:t xml:space="preserve"> </w:t>
      </w:r>
      <w:r w:rsidRPr="00343D58">
        <w:t>meets or exceeds the established threshold is unreasonable, providing that, for each increase at or</w:t>
      </w:r>
      <w:r w:rsidRPr="00343D58">
        <w:rPr>
          <w:spacing w:val="-18"/>
        </w:rPr>
        <w:t xml:space="preserve"> </w:t>
      </w:r>
      <w:r w:rsidRPr="00343D58">
        <w:t>above the threshold, the state reports its final determination to CMS and explains the basis of</w:t>
      </w:r>
      <w:r w:rsidRPr="00343D58">
        <w:rPr>
          <w:spacing w:val="-13"/>
        </w:rPr>
        <w:t xml:space="preserve"> </w:t>
      </w:r>
      <w:r w:rsidRPr="00343D58">
        <w:t>its determination. In those cases where a state does not have an ERR Program, CMS will make</w:t>
      </w:r>
      <w:r w:rsidRPr="00343D58">
        <w:rPr>
          <w:spacing w:val="-15"/>
        </w:rPr>
        <w:t xml:space="preserve"> </w:t>
      </w:r>
      <w:r w:rsidRPr="00343D58">
        <w:t>its own determinations regarding whether a rate increase that meets or exceeds the</w:t>
      </w:r>
      <w:r w:rsidRPr="00343D58">
        <w:rPr>
          <w:spacing w:val="-12"/>
        </w:rPr>
        <w:t xml:space="preserve"> </w:t>
      </w:r>
      <w:r w:rsidRPr="00343D58">
        <w:t>established</w:t>
      </w:r>
      <w:r w:rsidRPr="00343D58">
        <w:rPr>
          <w:spacing w:val="-1"/>
        </w:rPr>
        <w:t xml:space="preserve"> </w:t>
      </w:r>
      <w:r w:rsidRPr="00343D58">
        <w:t>threshold is unreasonable. States with ERR Programs will be required to report on their rate</w:t>
      </w:r>
      <w:r w:rsidRPr="00343D58">
        <w:rPr>
          <w:spacing w:val="-20"/>
        </w:rPr>
        <w:t xml:space="preserve"> </w:t>
      </w:r>
      <w:r w:rsidRPr="00343D58">
        <w:t>review activities to the Secretary. CMS believes that this reporting requirement will involve</w:t>
      </w:r>
      <w:r w:rsidRPr="00343D58">
        <w:rPr>
          <w:spacing w:val="-15"/>
        </w:rPr>
        <w:t xml:space="preserve"> </w:t>
      </w:r>
      <w:r w:rsidRPr="00343D58">
        <w:t>minimal cost. CMS estimates that it will take an actuary ($80 per hour) approximately 20 minutes</w:t>
      </w:r>
      <w:r w:rsidRPr="00343D58">
        <w:rPr>
          <w:spacing w:val="-17"/>
        </w:rPr>
        <w:t xml:space="preserve"> </w:t>
      </w:r>
      <w:r w:rsidRPr="00343D58">
        <w:t>to prepare and submit this information to</w:t>
      </w:r>
      <w:r w:rsidRPr="00343D58">
        <w:rPr>
          <w:spacing w:val="-7"/>
        </w:rPr>
        <w:t xml:space="preserve"> </w:t>
      </w:r>
      <w:r w:rsidRPr="00343D58">
        <w:t>CMS.</w:t>
      </w:r>
    </w:p>
    <w:p w:rsidR="00AD5485" w:rsidRPr="00343D58" w:rsidRDefault="00AD5485" w:rsidP="00AD5485">
      <w:pPr>
        <w:pStyle w:val="BodyText"/>
        <w:kinsoku w:val="0"/>
        <w:overflowPunct w:val="0"/>
      </w:pPr>
    </w:p>
    <w:p w:rsidR="00AD5485" w:rsidRPr="00343D58" w:rsidRDefault="00AD5485" w:rsidP="00AD5485">
      <w:pPr>
        <w:pStyle w:val="BodyText"/>
        <w:kinsoku w:val="0"/>
        <w:overflowPunct w:val="0"/>
        <w:ind w:right="1007"/>
      </w:pPr>
      <w:r w:rsidRPr="00343D58">
        <w:rPr>
          <w:b/>
          <w:bCs/>
        </w:rPr>
        <w:t xml:space="preserve">Total Annual Burden Hours: </w:t>
      </w:r>
      <w:r w:rsidRPr="00343D58">
        <w:t>619 determinations x .33 hours =</w:t>
      </w:r>
      <w:r w:rsidRPr="00343D58">
        <w:rPr>
          <w:spacing w:val="-13"/>
        </w:rPr>
        <w:t xml:space="preserve"> 204 </w:t>
      </w:r>
      <w:r w:rsidRPr="00343D58">
        <w:t>hours</w:t>
      </w:r>
    </w:p>
    <w:p w:rsidR="00AD5485" w:rsidRPr="00A75131" w:rsidRDefault="00AD5485" w:rsidP="00AD5485">
      <w:r w:rsidRPr="00343D58">
        <w:rPr>
          <w:b/>
          <w:bCs/>
        </w:rPr>
        <w:t xml:space="preserve">Total Annual Costs:   </w:t>
      </w:r>
      <w:r w:rsidRPr="00343D58">
        <w:t>204 hours x $82.76 per hour =</w:t>
      </w:r>
      <w:r w:rsidRPr="00343D58">
        <w:rPr>
          <w:spacing w:val="-11"/>
        </w:rPr>
        <w:t xml:space="preserve"> </w:t>
      </w:r>
      <w:r w:rsidRPr="00343D58">
        <w:t>$16,883</w:t>
      </w:r>
    </w:p>
    <w:p w:rsidR="00AD5485" w:rsidRPr="00343D58" w:rsidRDefault="00AD5485" w:rsidP="002174FA">
      <w:pPr>
        <w:pStyle w:val="BodyText"/>
        <w:kinsoku w:val="0"/>
        <w:overflowPunct w:val="0"/>
        <w:ind w:left="551" w:right="1563"/>
      </w:pPr>
    </w:p>
    <w:p w:rsidR="002174FA" w:rsidRDefault="002174FA" w:rsidP="002174FA">
      <w:pPr>
        <w:pStyle w:val="BodyText"/>
        <w:kinsoku w:val="0"/>
        <w:overflowPunct w:val="0"/>
        <w:ind w:left="551" w:right="1563"/>
        <w:rPr>
          <w:highlight w:val="yellow"/>
        </w:rPr>
      </w:pPr>
    </w:p>
    <w:p w:rsidR="00035C5A" w:rsidRDefault="00035C5A" w:rsidP="002174FA">
      <w:pPr>
        <w:pStyle w:val="BodyText"/>
        <w:kinsoku w:val="0"/>
        <w:overflowPunct w:val="0"/>
        <w:ind w:left="551" w:right="1563"/>
        <w:rPr>
          <w:highlight w:val="yellow"/>
        </w:rPr>
      </w:pPr>
    </w:p>
    <w:p w:rsidR="00035C5A" w:rsidRPr="00035C5A" w:rsidRDefault="00035C5A" w:rsidP="00035C5A">
      <w:pPr>
        <w:pStyle w:val="BodyText"/>
        <w:ind w:left="119"/>
        <w:rPr>
          <w:b/>
        </w:rPr>
      </w:pPr>
      <w:r w:rsidRPr="00035C5A">
        <w:rPr>
          <w:b/>
          <w:spacing w:val="-5"/>
          <w:u w:val="single"/>
        </w:rPr>
        <w:t xml:space="preserve">Table </w:t>
      </w:r>
      <w:r w:rsidRPr="00035C5A">
        <w:rPr>
          <w:b/>
          <w:spacing w:val="-3"/>
          <w:u w:val="single"/>
        </w:rPr>
        <w:t xml:space="preserve">12.3 Estimated </w:t>
      </w:r>
      <w:r w:rsidRPr="00035C5A">
        <w:rPr>
          <w:b/>
          <w:spacing w:val="-7"/>
          <w:u w:val="single"/>
        </w:rPr>
        <w:t xml:space="preserve">Annualized </w:t>
      </w:r>
      <w:r w:rsidRPr="00035C5A">
        <w:rPr>
          <w:b/>
          <w:spacing w:val="-2"/>
          <w:u w:val="single"/>
        </w:rPr>
        <w:t xml:space="preserve">Burden </w:t>
      </w:r>
      <w:r w:rsidRPr="00035C5A">
        <w:rPr>
          <w:b/>
          <w:spacing w:val="-3"/>
          <w:u w:val="single"/>
        </w:rPr>
        <w:t xml:space="preserve">Hours </w:t>
      </w:r>
      <w:r w:rsidRPr="00035C5A">
        <w:rPr>
          <w:b/>
          <w:u w:val="single"/>
        </w:rPr>
        <w:t xml:space="preserve">and Costs </w:t>
      </w:r>
    </w:p>
    <w:p w:rsidR="00035C5A" w:rsidRDefault="00035C5A" w:rsidP="00035C5A">
      <w:pPr>
        <w:pStyle w:val="BodyText"/>
        <w:rPr>
          <w:sz w:val="20"/>
        </w:rPr>
      </w:pPr>
    </w:p>
    <w:p w:rsidR="00035C5A" w:rsidRDefault="00035C5A" w:rsidP="00035C5A">
      <w:pPr>
        <w:pStyle w:val="BodyText"/>
        <w:spacing w:before="9"/>
        <w:rPr>
          <w:sz w:val="20"/>
        </w:rPr>
      </w:pPr>
      <w:r>
        <w:rPr>
          <w:noProof/>
        </w:rPr>
        <mc:AlternateContent>
          <mc:Choice Requires="wps">
            <w:drawing>
              <wp:anchor distT="0" distB="0" distL="0" distR="0" simplePos="0" relativeHeight="251659264" behindDoc="0" locked="0" layoutInCell="1" allowOverlap="1" wp14:anchorId="62D0891B" wp14:editId="7528CB9D">
                <wp:simplePos x="0" y="0"/>
                <wp:positionH relativeFrom="page">
                  <wp:posOffset>914400</wp:posOffset>
                </wp:positionH>
                <wp:positionV relativeFrom="paragraph">
                  <wp:posOffset>181610</wp:posOffset>
                </wp:positionV>
                <wp:extent cx="1828800" cy="0"/>
                <wp:effectExtent l="9525" t="10795" r="9525"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10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8CDB08"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3pt" to="3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" strokeweight=".8pt">
                <w10:wrap type="topAndBottom" anchorx="page"/>
              </v:line>
            </w:pict>
          </mc:Fallback>
        </mc:AlternateContent>
      </w:r>
    </w:p>
    <w:p w:rsidR="00035C5A" w:rsidRDefault="00035C5A" w:rsidP="00035C5A">
      <w:pPr>
        <w:spacing w:before="67"/>
        <w:ind w:left="120" w:right="297" w:hanging="1"/>
        <w:rPr>
          <w:sz w:val="20"/>
        </w:rPr>
      </w:pPr>
      <w:bookmarkStart w:id="16" w:name="_bookmark1"/>
      <w:bookmarkEnd w:id="16"/>
      <w:r>
        <w:rPr>
          <w:w w:val="105"/>
          <w:position w:val="8"/>
          <w:sz w:val="12"/>
        </w:rPr>
        <w:t>2</w:t>
      </w:r>
      <w:r>
        <w:rPr>
          <w:spacing w:val="-6"/>
          <w:w w:val="105"/>
          <w:position w:val="8"/>
          <w:sz w:val="12"/>
        </w:rPr>
        <w:t xml:space="preserve"> </w:t>
      </w:r>
      <w:r w:rsidRPr="00A75131">
        <w:rPr>
          <w:sz w:val="20"/>
          <w:szCs w:val="20"/>
        </w:rPr>
        <w:t>For the 2018 plan year, CMS reviewed two submissions proposing a rate increase between 10 percent and 15 percent.</w:t>
      </w:r>
    </w:p>
    <w:p w:rsidR="00035C5A" w:rsidRDefault="00035C5A" w:rsidP="00035C5A">
      <w:pPr>
        <w:rPr>
          <w:sz w:val="20"/>
        </w:rPr>
        <w:sectPr w:rsidR="00035C5A">
          <w:pgSz w:w="12240" w:h="15840"/>
          <w:pgMar w:top="1500" w:right="1280" w:bottom="1100" w:left="1320" w:header="0" w:footer="913" w:gutter="0"/>
          <w:cols w:space="720"/>
        </w:sectPr>
      </w:pPr>
    </w:p>
    <w:tbl>
      <w:tblPr>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4"/>
        <w:gridCol w:w="1296"/>
        <w:gridCol w:w="1408"/>
        <w:gridCol w:w="1392"/>
        <w:gridCol w:w="1408"/>
        <w:gridCol w:w="1232"/>
        <w:gridCol w:w="1136"/>
        <w:gridCol w:w="1536"/>
      </w:tblGrid>
      <w:tr w:rsidR="00035C5A" w:rsidTr="0027481D">
        <w:trPr>
          <w:trHeight w:hRule="exact" w:val="1136"/>
        </w:trPr>
        <w:tc>
          <w:tcPr>
            <w:tcW w:w="1674" w:type="dxa"/>
          </w:tcPr>
          <w:p w:rsidR="00035C5A" w:rsidRDefault="00035C5A" w:rsidP="0027481D"/>
        </w:tc>
        <w:tc>
          <w:tcPr>
            <w:tcW w:w="1296" w:type="dxa"/>
          </w:tcPr>
          <w:p w:rsidR="00035C5A" w:rsidRDefault="00035C5A" w:rsidP="0027481D">
            <w:pPr>
              <w:pStyle w:val="TableParagraph"/>
            </w:pPr>
          </w:p>
          <w:p w:rsidR="00035C5A" w:rsidRDefault="00035C5A" w:rsidP="0027481D">
            <w:pPr>
              <w:pStyle w:val="TableParagraph"/>
            </w:pPr>
          </w:p>
          <w:p w:rsidR="00035C5A" w:rsidRDefault="00035C5A" w:rsidP="0027481D">
            <w:pPr>
              <w:pStyle w:val="TableParagraph"/>
              <w:spacing w:before="163" w:line="224" w:lineRule="exact"/>
              <w:ind w:left="95" w:right="75" w:firstLine="80"/>
              <w:rPr>
                <w:b/>
                <w:sz w:val="20"/>
              </w:rPr>
            </w:pPr>
            <w:r>
              <w:rPr>
                <w:b/>
                <w:sz w:val="20"/>
              </w:rPr>
              <w:t>Number of Respondents</w:t>
            </w:r>
          </w:p>
        </w:tc>
        <w:tc>
          <w:tcPr>
            <w:tcW w:w="1408" w:type="dxa"/>
          </w:tcPr>
          <w:p w:rsidR="00035C5A" w:rsidRDefault="00035C5A" w:rsidP="0027481D">
            <w:pPr>
              <w:pStyle w:val="TableParagraph"/>
              <w:spacing w:before="5"/>
              <w:rPr>
                <w:sz w:val="17"/>
              </w:rPr>
            </w:pPr>
          </w:p>
          <w:p w:rsidR="00035C5A" w:rsidRDefault="00035C5A" w:rsidP="0027481D">
            <w:pPr>
              <w:pStyle w:val="TableParagraph"/>
              <w:spacing w:line="235" w:lineRule="auto"/>
              <w:ind w:left="143" w:right="141" w:firstLine="20"/>
              <w:jc w:val="center"/>
              <w:rPr>
                <w:b/>
                <w:sz w:val="20"/>
              </w:rPr>
            </w:pPr>
            <w:r>
              <w:rPr>
                <w:b/>
                <w:sz w:val="20"/>
              </w:rPr>
              <w:t>Number of Submissions per</w:t>
            </w:r>
          </w:p>
          <w:p w:rsidR="00035C5A" w:rsidRDefault="00035C5A" w:rsidP="0027481D">
            <w:pPr>
              <w:pStyle w:val="TableParagraph"/>
              <w:spacing w:line="227" w:lineRule="exact"/>
              <w:ind w:left="172" w:right="167"/>
              <w:jc w:val="center"/>
              <w:rPr>
                <w:b/>
                <w:sz w:val="20"/>
              </w:rPr>
            </w:pPr>
            <w:r>
              <w:rPr>
                <w:b/>
                <w:sz w:val="20"/>
              </w:rPr>
              <w:t>Respondent</w:t>
            </w:r>
          </w:p>
        </w:tc>
        <w:tc>
          <w:tcPr>
            <w:tcW w:w="1392" w:type="dxa"/>
          </w:tcPr>
          <w:p w:rsidR="00035C5A" w:rsidRDefault="00035C5A" w:rsidP="0027481D">
            <w:pPr>
              <w:pStyle w:val="TableParagraph"/>
            </w:pPr>
          </w:p>
          <w:p w:rsidR="00035C5A" w:rsidRDefault="00035C5A" w:rsidP="0027481D">
            <w:pPr>
              <w:pStyle w:val="TableParagraph"/>
              <w:spacing w:before="163" w:line="235" w:lineRule="auto"/>
              <w:ind w:left="144" w:right="129" w:firstLine="12"/>
              <w:jc w:val="center"/>
              <w:rPr>
                <w:b/>
                <w:sz w:val="20"/>
              </w:rPr>
            </w:pPr>
            <w:r>
              <w:rPr>
                <w:b/>
                <w:spacing w:val="-7"/>
                <w:sz w:val="20"/>
              </w:rPr>
              <w:t xml:space="preserve">Total Number </w:t>
            </w:r>
            <w:r>
              <w:rPr>
                <w:b/>
                <w:spacing w:val="-4"/>
                <w:sz w:val="20"/>
              </w:rPr>
              <w:t xml:space="preserve">of </w:t>
            </w:r>
            <w:r>
              <w:rPr>
                <w:b/>
                <w:sz w:val="20"/>
              </w:rPr>
              <w:t>Submissions</w:t>
            </w:r>
          </w:p>
        </w:tc>
        <w:tc>
          <w:tcPr>
            <w:tcW w:w="1408" w:type="dxa"/>
          </w:tcPr>
          <w:p w:rsidR="00035C5A" w:rsidRDefault="00035C5A" w:rsidP="0027481D">
            <w:pPr>
              <w:pStyle w:val="TableParagraph"/>
            </w:pPr>
          </w:p>
          <w:p w:rsidR="00035C5A" w:rsidRDefault="00035C5A" w:rsidP="0027481D">
            <w:pPr>
              <w:pStyle w:val="TableParagraph"/>
              <w:spacing w:before="163" w:line="235" w:lineRule="auto"/>
              <w:ind w:left="192" w:right="184" w:hanging="2"/>
              <w:jc w:val="center"/>
              <w:rPr>
                <w:b/>
                <w:sz w:val="20"/>
              </w:rPr>
            </w:pPr>
            <w:r>
              <w:rPr>
                <w:b/>
                <w:sz w:val="20"/>
              </w:rPr>
              <w:t>Burden Hours per Respondent</w:t>
            </w:r>
          </w:p>
        </w:tc>
        <w:tc>
          <w:tcPr>
            <w:tcW w:w="1232" w:type="dxa"/>
          </w:tcPr>
          <w:p w:rsidR="00035C5A" w:rsidRDefault="00035C5A" w:rsidP="0027481D">
            <w:pPr>
              <w:pStyle w:val="TableParagraph"/>
            </w:pPr>
          </w:p>
          <w:p w:rsidR="00035C5A" w:rsidRDefault="00035C5A" w:rsidP="0027481D">
            <w:pPr>
              <w:pStyle w:val="TableParagraph"/>
            </w:pPr>
          </w:p>
          <w:p w:rsidR="00035C5A" w:rsidRDefault="00035C5A" w:rsidP="0027481D">
            <w:pPr>
              <w:pStyle w:val="TableParagraph"/>
              <w:spacing w:before="163" w:line="224" w:lineRule="exact"/>
              <w:ind w:left="96" w:right="88" w:firstLine="144"/>
              <w:rPr>
                <w:b/>
                <w:sz w:val="20"/>
              </w:rPr>
            </w:pPr>
            <w:r>
              <w:rPr>
                <w:b/>
                <w:sz w:val="20"/>
              </w:rPr>
              <w:t>Cost per Respondent</w:t>
            </w:r>
          </w:p>
        </w:tc>
        <w:tc>
          <w:tcPr>
            <w:tcW w:w="1136" w:type="dxa"/>
          </w:tcPr>
          <w:p w:rsidR="00035C5A" w:rsidRDefault="00035C5A" w:rsidP="0027481D">
            <w:pPr>
              <w:pStyle w:val="TableParagraph"/>
            </w:pPr>
          </w:p>
          <w:p w:rsidR="00035C5A" w:rsidRDefault="00035C5A" w:rsidP="0027481D">
            <w:pPr>
              <w:pStyle w:val="TableParagraph"/>
              <w:spacing w:before="163" w:line="235" w:lineRule="auto"/>
              <w:ind w:left="224" w:right="234" w:firstLine="5"/>
              <w:jc w:val="center"/>
              <w:rPr>
                <w:b/>
                <w:sz w:val="20"/>
              </w:rPr>
            </w:pPr>
            <w:r>
              <w:rPr>
                <w:b/>
                <w:sz w:val="20"/>
              </w:rPr>
              <w:t>Total Burden Hours</w:t>
            </w:r>
          </w:p>
        </w:tc>
        <w:tc>
          <w:tcPr>
            <w:tcW w:w="1536" w:type="dxa"/>
          </w:tcPr>
          <w:p w:rsidR="00035C5A" w:rsidRDefault="00035C5A" w:rsidP="0027481D">
            <w:pPr>
              <w:pStyle w:val="TableParagraph"/>
            </w:pPr>
          </w:p>
          <w:p w:rsidR="00035C5A" w:rsidRDefault="00035C5A" w:rsidP="0027481D">
            <w:pPr>
              <w:pStyle w:val="TableParagraph"/>
            </w:pPr>
          </w:p>
          <w:p w:rsidR="00035C5A" w:rsidRDefault="00035C5A" w:rsidP="0027481D">
            <w:pPr>
              <w:pStyle w:val="TableParagraph"/>
              <w:spacing w:before="2"/>
              <w:rPr>
                <w:sz w:val="32"/>
              </w:rPr>
            </w:pPr>
          </w:p>
          <w:p w:rsidR="00035C5A" w:rsidRDefault="00035C5A" w:rsidP="0027481D">
            <w:pPr>
              <w:pStyle w:val="TableParagraph"/>
              <w:ind w:left="304"/>
              <w:rPr>
                <w:b/>
                <w:sz w:val="20"/>
              </w:rPr>
            </w:pPr>
            <w:r>
              <w:rPr>
                <w:b/>
                <w:sz w:val="20"/>
              </w:rPr>
              <w:t>Total Cost</w:t>
            </w:r>
          </w:p>
        </w:tc>
      </w:tr>
      <w:tr w:rsidR="00035C5A" w:rsidTr="0027481D">
        <w:trPr>
          <w:trHeight w:hRule="exact" w:val="928"/>
        </w:trPr>
        <w:tc>
          <w:tcPr>
            <w:tcW w:w="1674" w:type="dxa"/>
          </w:tcPr>
          <w:p w:rsidR="00035C5A" w:rsidRDefault="00035C5A" w:rsidP="0027481D">
            <w:pPr>
              <w:pStyle w:val="TableParagraph"/>
              <w:spacing w:line="217" w:lineRule="exact"/>
              <w:ind w:left="112"/>
              <w:rPr>
                <w:b/>
                <w:sz w:val="20"/>
              </w:rPr>
            </w:pPr>
            <w:r>
              <w:rPr>
                <w:b/>
                <w:sz w:val="20"/>
              </w:rPr>
              <w:t>Unified Rate</w:t>
            </w:r>
          </w:p>
          <w:p w:rsidR="00035C5A" w:rsidRDefault="00035C5A" w:rsidP="0027481D">
            <w:pPr>
              <w:pStyle w:val="TableParagraph"/>
              <w:spacing w:line="235" w:lineRule="auto"/>
              <w:ind w:left="112"/>
              <w:rPr>
                <w:b/>
                <w:sz w:val="20"/>
              </w:rPr>
            </w:pPr>
            <w:r>
              <w:rPr>
                <w:b/>
                <w:sz w:val="20"/>
              </w:rPr>
              <w:t>Review Template (Part I)</w:t>
            </w:r>
          </w:p>
        </w:tc>
        <w:tc>
          <w:tcPr>
            <w:tcW w:w="1296" w:type="dxa"/>
          </w:tcPr>
          <w:p w:rsidR="00035C5A" w:rsidRDefault="00035C5A" w:rsidP="0027481D">
            <w:pPr>
              <w:pStyle w:val="TableParagraph"/>
              <w:spacing w:line="221" w:lineRule="exact"/>
              <w:ind w:right="93"/>
              <w:jc w:val="right"/>
              <w:rPr>
                <w:sz w:val="20"/>
              </w:rPr>
            </w:pPr>
            <w:r>
              <w:rPr>
                <w:w w:val="95"/>
                <w:sz w:val="20"/>
              </w:rPr>
              <w:t>589</w:t>
            </w:r>
          </w:p>
        </w:tc>
        <w:tc>
          <w:tcPr>
            <w:tcW w:w="1408" w:type="dxa"/>
          </w:tcPr>
          <w:p w:rsidR="00035C5A" w:rsidRDefault="00035C5A" w:rsidP="0027481D">
            <w:pPr>
              <w:pStyle w:val="TableParagraph"/>
              <w:spacing w:line="221" w:lineRule="exact"/>
              <w:ind w:right="86"/>
              <w:jc w:val="right"/>
              <w:rPr>
                <w:sz w:val="20"/>
              </w:rPr>
            </w:pPr>
            <w:r>
              <w:rPr>
                <w:w w:val="95"/>
                <w:sz w:val="20"/>
              </w:rPr>
              <w:t>1.55</w:t>
            </w:r>
          </w:p>
        </w:tc>
        <w:tc>
          <w:tcPr>
            <w:tcW w:w="1392" w:type="dxa"/>
          </w:tcPr>
          <w:p w:rsidR="00035C5A" w:rsidRDefault="00035C5A" w:rsidP="0027481D">
            <w:pPr>
              <w:pStyle w:val="TableParagraph"/>
              <w:spacing w:line="221" w:lineRule="exact"/>
              <w:ind w:right="77"/>
              <w:jc w:val="right"/>
              <w:rPr>
                <w:sz w:val="20"/>
              </w:rPr>
            </w:pPr>
            <w:r>
              <w:rPr>
                <w:w w:val="95"/>
                <w:sz w:val="20"/>
              </w:rPr>
              <w:t>916</w:t>
            </w:r>
          </w:p>
        </w:tc>
        <w:tc>
          <w:tcPr>
            <w:tcW w:w="1408" w:type="dxa"/>
          </w:tcPr>
          <w:p w:rsidR="00035C5A" w:rsidRDefault="00035C5A" w:rsidP="0027481D">
            <w:pPr>
              <w:pStyle w:val="TableParagraph"/>
              <w:spacing w:line="221" w:lineRule="exact"/>
              <w:ind w:right="87"/>
              <w:jc w:val="right"/>
              <w:rPr>
                <w:sz w:val="20"/>
              </w:rPr>
            </w:pPr>
            <w:r>
              <w:rPr>
                <w:sz w:val="20"/>
              </w:rPr>
              <w:t>14</w:t>
            </w:r>
          </w:p>
        </w:tc>
        <w:tc>
          <w:tcPr>
            <w:tcW w:w="1232" w:type="dxa"/>
          </w:tcPr>
          <w:p w:rsidR="00035C5A" w:rsidRDefault="00035C5A" w:rsidP="0027481D">
            <w:pPr>
              <w:pStyle w:val="TableParagraph"/>
              <w:spacing w:line="221" w:lineRule="exact"/>
              <w:ind w:right="93"/>
              <w:jc w:val="right"/>
              <w:rPr>
                <w:sz w:val="20"/>
              </w:rPr>
            </w:pPr>
            <w:r>
              <w:rPr>
                <w:w w:val="95"/>
                <w:sz w:val="20"/>
              </w:rPr>
              <w:t>$1,546</w:t>
            </w:r>
          </w:p>
        </w:tc>
        <w:tc>
          <w:tcPr>
            <w:tcW w:w="1136" w:type="dxa"/>
          </w:tcPr>
          <w:p w:rsidR="00035C5A" w:rsidRDefault="00035C5A" w:rsidP="0027481D">
            <w:pPr>
              <w:pStyle w:val="TableParagraph"/>
              <w:spacing w:line="221" w:lineRule="exact"/>
              <w:ind w:right="93"/>
              <w:jc w:val="right"/>
              <w:rPr>
                <w:sz w:val="20"/>
              </w:rPr>
            </w:pPr>
            <w:r>
              <w:rPr>
                <w:w w:val="95"/>
                <w:sz w:val="20"/>
              </w:rPr>
              <w:t>8,244</w:t>
            </w:r>
          </w:p>
        </w:tc>
        <w:tc>
          <w:tcPr>
            <w:tcW w:w="1536" w:type="dxa"/>
          </w:tcPr>
          <w:p w:rsidR="00035C5A" w:rsidRDefault="00035C5A" w:rsidP="0027481D">
            <w:pPr>
              <w:pStyle w:val="TableParagraph"/>
              <w:spacing w:line="221" w:lineRule="exact"/>
              <w:ind w:right="93"/>
              <w:jc w:val="right"/>
              <w:rPr>
                <w:sz w:val="20"/>
              </w:rPr>
            </w:pPr>
            <w:r>
              <w:rPr>
                <w:w w:val="95"/>
                <w:sz w:val="20"/>
              </w:rPr>
              <w:t>$910,302.48</w:t>
            </w:r>
          </w:p>
        </w:tc>
      </w:tr>
      <w:tr w:rsidR="00035C5A" w:rsidTr="0027481D">
        <w:trPr>
          <w:trHeight w:hRule="exact" w:val="704"/>
        </w:trPr>
        <w:tc>
          <w:tcPr>
            <w:tcW w:w="1674" w:type="dxa"/>
          </w:tcPr>
          <w:p w:rsidR="00035C5A" w:rsidRDefault="00035C5A" w:rsidP="0027481D">
            <w:pPr>
              <w:pStyle w:val="TableParagraph"/>
              <w:spacing w:line="216" w:lineRule="exact"/>
              <w:ind w:left="112"/>
              <w:rPr>
                <w:b/>
                <w:sz w:val="20"/>
              </w:rPr>
            </w:pPr>
            <w:r>
              <w:rPr>
                <w:b/>
                <w:w w:val="105"/>
                <w:sz w:val="20"/>
              </w:rPr>
              <w:t>Written</w:t>
            </w:r>
          </w:p>
          <w:p w:rsidR="00035C5A" w:rsidRDefault="00035C5A" w:rsidP="0027481D">
            <w:pPr>
              <w:pStyle w:val="TableParagraph"/>
              <w:spacing w:line="249" w:lineRule="auto"/>
              <w:ind w:left="112"/>
              <w:rPr>
                <w:b/>
                <w:sz w:val="20"/>
              </w:rPr>
            </w:pPr>
            <w:r>
              <w:rPr>
                <w:b/>
                <w:sz w:val="20"/>
              </w:rPr>
              <w:t xml:space="preserve">Justification </w:t>
            </w:r>
            <w:r>
              <w:rPr>
                <w:b/>
                <w:w w:val="105"/>
                <w:sz w:val="20"/>
              </w:rPr>
              <w:t>(Part II)</w:t>
            </w:r>
          </w:p>
        </w:tc>
        <w:tc>
          <w:tcPr>
            <w:tcW w:w="1296" w:type="dxa"/>
          </w:tcPr>
          <w:p w:rsidR="00035C5A" w:rsidRDefault="00035C5A" w:rsidP="0027481D">
            <w:pPr>
              <w:pStyle w:val="TableParagraph"/>
              <w:spacing w:line="219" w:lineRule="exact"/>
              <w:ind w:right="93"/>
              <w:jc w:val="right"/>
              <w:rPr>
                <w:sz w:val="20"/>
              </w:rPr>
            </w:pPr>
            <w:r>
              <w:rPr>
                <w:sz w:val="20"/>
              </w:rPr>
              <w:t>589</w:t>
            </w:r>
          </w:p>
        </w:tc>
        <w:tc>
          <w:tcPr>
            <w:tcW w:w="1408" w:type="dxa"/>
          </w:tcPr>
          <w:p w:rsidR="00035C5A" w:rsidRDefault="00035C5A" w:rsidP="0027481D">
            <w:pPr>
              <w:pStyle w:val="TableParagraph"/>
              <w:spacing w:line="219" w:lineRule="exact"/>
              <w:ind w:right="87"/>
              <w:jc w:val="right"/>
              <w:rPr>
                <w:sz w:val="20"/>
              </w:rPr>
            </w:pPr>
            <w:r>
              <w:rPr>
                <w:sz w:val="20"/>
              </w:rPr>
              <w:t>1.12</w:t>
            </w:r>
          </w:p>
        </w:tc>
        <w:tc>
          <w:tcPr>
            <w:tcW w:w="1392" w:type="dxa"/>
          </w:tcPr>
          <w:p w:rsidR="00035C5A" w:rsidRDefault="00035C5A" w:rsidP="0027481D">
            <w:pPr>
              <w:pStyle w:val="TableParagraph"/>
              <w:spacing w:line="219" w:lineRule="exact"/>
              <w:ind w:right="77"/>
              <w:jc w:val="right"/>
              <w:rPr>
                <w:sz w:val="20"/>
              </w:rPr>
            </w:pPr>
            <w:r>
              <w:rPr>
                <w:sz w:val="20"/>
              </w:rPr>
              <w:t>661</w:t>
            </w:r>
          </w:p>
        </w:tc>
        <w:tc>
          <w:tcPr>
            <w:tcW w:w="1408" w:type="dxa"/>
          </w:tcPr>
          <w:p w:rsidR="00035C5A" w:rsidRDefault="00035C5A" w:rsidP="0027481D">
            <w:pPr>
              <w:pStyle w:val="TableParagraph"/>
              <w:spacing w:line="219" w:lineRule="exact"/>
              <w:ind w:right="87"/>
              <w:jc w:val="right"/>
              <w:rPr>
                <w:sz w:val="20"/>
              </w:rPr>
            </w:pPr>
            <w:r>
              <w:rPr>
                <w:sz w:val="20"/>
              </w:rPr>
              <w:t>1.7</w:t>
            </w:r>
          </w:p>
        </w:tc>
        <w:tc>
          <w:tcPr>
            <w:tcW w:w="1232" w:type="dxa"/>
          </w:tcPr>
          <w:p w:rsidR="00035C5A" w:rsidRDefault="00035C5A" w:rsidP="0027481D">
            <w:pPr>
              <w:pStyle w:val="TableParagraph"/>
              <w:spacing w:line="219" w:lineRule="exact"/>
              <w:ind w:right="93"/>
              <w:jc w:val="right"/>
              <w:rPr>
                <w:sz w:val="20"/>
              </w:rPr>
            </w:pPr>
            <w:r>
              <w:rPr>
                <w:sz w:val="20"/>
              </w:rPr>
              <w:t>$186</w:t>
            </w:r>
          </w:p>
        </w:tc>
        <w:tc>
          <w:tcPr>
            <w:tcW w:w="1136" w:type="dxa"/>
          </w:tcPr>
          <w:p w:rsidR="00035C5A" w:rsidRDefault="00035C5A" w:rsidP="0027481D">
            <w:pPr>
              <w:pStyle w:val="TableParagraph"/>
              <w:spacing w:line="219" w:lineRule="exact"/>
              <w:ind w:right="85"/>
              <w:jc w:val="right"/>
              <w:rPr>
                <w:sz w:val="20"/>
              </w:rPr>
            </w:pPr>
            <w:r>
              <w:rPr>
                <w:sz w:val="20"/>
              </w:rPr>
              <w:t>991.5</w:t>
            </w:r>
          </w:p>
        </w:tc>
        <w:tc>
          <w:tcPr>
            <w:tcW w:w="1536" w:type="dxa"/>
          </w:tcPr>
          <w:p w:rsidR="00035C5A" w:rsidRDefault="00035C5A" w:rsidP="0027481D">
            <w:pPr>
              <w:pStyle w:val="TableParagraph"/>
              <w:spacing w:line="219" w:lineRule="exact"/>
              <w:ind w:right="86"/>
              <w:jc w:val="right"/>
              <w:rPr>
                <w:sz w:val="20"/>
              </w:rPr>
            </w:pPr>
            <w:r>
              <w:rPr>
                <w:sz w:val="20"/>
              </w:rPr>
              <w:t>$109,481.43</w:t>
            </w:r>
          </w:p>
        </w:tc>
      </w:tr>
      <w:tr w:rsidR="00035C5A" w:rsidTr="0027481D">
        <w:trPr>
          <w:trHeight w:hRule="exact" w:val="896"/>
        </w:trPr>
        <w:tc>
          <w:tcPr>
            <w:tcW w:w="1674" w:type="dxa"/>
          </w:tcPr>
          <w:p w:rsidR="00035C5A" w:rsidRDefault="00035C5A" w:rsidP="0027481D">
            <w:pPr>
              <w:pStyle w:val="TableParagraph"/>
              <w:spacing w:line="235" w:lineRule="auto"/>
              <w:ind w:left="111" w:right="167"/>
              <w:rPr>
                <w:b/>
                <w:sz w:val="20"/>
              </w:rPr>
            </w:pPr>
            <w:r>
              <w:rPr>
                <w:b/>
                <w:w w:val="105"/>
                <w:sz w:val="20"/>
              </w:rPr>
              <w:t>Actuarial Memo (Part III)</w:t>
            </w:r>
          </w:p>
        </w:tc>
        <w:tc>
          <w:tcPr>
            <w:tcW w:w="1296" w:type="dxa"/>
          </w:tcPr>
          <w:p w:rsidR="00035C5A" w:rsidRDefault="00035C5A" w:rsidP="0027481D">
            <w:pPr>
              <w:pStyle w:val="TableParagraph"/>
              <w:spacing w:line="219" w:lineRule="exact"/>
              <w:ind w:right="93"/>
              <w:jc w:val="right"/>
              <w:rPr>
                <w:sz w:val="20"/>
              </w:rPr>
            </w:pPr>
            <w:r>
              <w:rPr>
                <w:sz w:val="20"/>
              </w:rPr>
              <w:t>589</w:t>
            </w:r>
          </w:p>
        </w:tc>
        <w:tc>
          <w:tcPr>
            <w:tcW w:w="1408" w:type="dxa"/>
          </w:tcPr>
          <w:p w:rsidR="00035C5A" w:rsidRDefault="00035C5A" w:rsidP="0027481D">
            <w:pPr>
              <w:pStyle w:val="TableParagraph"/>
              <w:spacing w:line="219" w:lineRule="exact"/>
              <w:ind w:right="86"/>
              <w:jc w:val="right"/>
              <w:rPr>
                <w:sz w:val="20"/>
              </w:rPr>
            </w:pPr>
            <w:r>
              <w:rPr>
                <w:sz w:val="20"/>
              </w:rPr>
              <w:t>1.33</w:t>
            </w:r>
          </w:p>
        </w:tc>
        <w:tc>
          <w:tcPr>
            <w:tcW w:w="1392" w:type="dxa"/>
          </w:tcPr>
          <w:p w:rsidR="00035C5A" w:rsidRDefault="00035C5A" w:rsidP="0027481D">
            <w:pPr>
              <w:pStyle w:val="TableParagraph"/>
              <w:spacing w:line="219" w:lineRule="exact"/>
              <w:ind w:right="77"/>
              <w:jc w:val="right"/>
              <w:rPr>
                <w:sz w:val="20"/>
              </w:rPr>
            </w:pPr>
            <w:r>
              <w:rPr>
                <w:sz w:val="20"/>
              </w:rPr>
              <w:t>786</w:t>
            </w:r>
          </w:p>
        </w:tc>
        <w:tc>
          <w:tcPr>
            <w:tcW w:w="1408" w:type="dxa"/>
          </w:tcPr>
          <w:p w:rsidR="00035C5A" w:rsidRDefault="00035C5A" w:rsidP="0027481D">
            <w:pPr>
              <w:pStyle w:val="TableParagraph"/>
              <w:spacing w:line="219" w:lineRule="exact"/>
              <w:ind w:right="87"/>
              <w:jc w:val="right"/>
              <w:rPr>
                <w:sz w:val="20"/>
              </w:rPr>
            </w:pPr>
            <w:r>
              <w:rPr>
                <w:sz w:val="20"/>
              </w:rPr>
              <w:t>19</w:t>
            </w:r>
          </w:p>
        </w:tc>
        <w:tc>
          <w:tcPr>
            <w:tcW w:w="1232" w:type="dxa"/>
          </w:tcPr>
          <w:p w:rsidR="00035C5A" w:rsidRDefault="00035C5A" w:rsidP="0027481D">
            <w:pPr>
              <w:pStyle w:val="TableParagraph"/>
              <w:spacing w:line="219" w:lineRule="exact"/>
              <w:ind w:right="87"/>
              <w:jc w:val="right"/>
              <w:rPr>
                <w:sz w:val="20"/>
              </w:rPr>
            </w:pPr>
            <w:r>
              <w:rPr>
                <w:sz w:val="20"/>
              </w:rPr>
              <w:t>$2,063</w:t>
            </w:r>
          </w:p>
        </w:tc>
        <w:tc>
          <w:tcPr>
            <w:tcW w:w="1136" w:type="dxa"/>
          </w:tcPr>
          <w:p w:rsidR="00035C5A" w:rsidRDefault="00035C5A" w:rsidP="0027481D">
            <w:pPr>
              <w:pStyle w:val="TableParagraph"/>
              <w:spacing w:line="219" w:lineRule="exact"/>
              <w:ind w:right="85"/>
              <w:jc w:val="right"/>
              <w:rPr>
                <w:sz w:val="20"/>
              </w:rPr>
            </w:pPr>
            <w:r>
              <w:rPr>
                <w:sz w:val="20"/>
              </w:rPr>
              <w:t>11,004</w:t>
            </w:r>
          </w:p>
        </w:tc>
        <w:tc>
          <w:tcPr>
            <w:tcW w:w="1536" w:type="dxa"/>
          </w:tcPr>
          <w:p w:rsidR="00035C5A" w:rsidRDefault="00035C5A" w:rsidP="0027481D">
            <w:pPr>
              <w:pStyle w:val="TableParagraph"/>
              <w:spacing w:line="219" w:lineRule="exact"/>
              <w:ind w:right="86"/>
              <w:jc w:val="right"/>
              <w:rPr>
                <w:sz w:val="20"/>
              </w:rPr>
            </w:pPr>
            <w:r>
              <w:rPr>
                <w:sz w:val="20"/>
              </w:rPr>
              <w:t>$1,215,061.68</w:t>
            </w:r>
          </w:p>
        </w:tc>
      </w:tr>
      <w:tr w:rsidR="00035C5A" w:rsidTr="0027481D">
        <w:trPr>
          <w:trHeight w:hRule="exact" w:val="945"/>
        </w:trPr>
        <w:tc>
          <w:tcPr>
            <w:tcW w:w="1674" w:type="dxa"/>
          </w:tcPr>
          <w:p w:rsidR="00035C5A" w:rsidRPr="004C168D" w:rsidRDefault="00035C5A" w:rsidP="0027481D">
            <w:pPr>
              <w:pStyle w:val="TableParagraph"/>
              <w:spacing w:line="219" w:lineRule="exact"/>
              <w:ind w:left="112"/>
              <w:rPr>
                <w:b/>
                <w:w w:val="105"/>
                <w:sz w:val="20"/>
                <w:szCs w:val="20"/>
              </w:rPr>
            </w:pPr>
            <w:r w:rsidRPr="004C168D">
              <w:rPr>
                <w:b/>
                <w:sz w:val="20"/>
                <w:szCs w:val="20"/>
              </w:rPr>
              <w:t>Final Justification for Unreasonable Rate</w:t>
            </w:r>
            <w:r w:rsidRPr="004C168D">
              <w:rPr>
                <w:b/>
                <w:spacing w:val="-33"/>
                <w:sz w:val="20"/>
                <w:szCs w:val="20"/>
              </w:rPr>
              <w:t xml:space="preserve">  </w:t>
            </w:r>
            <w:r w:rsidRPr="004C168D">
              <w:rPr>
                <w:b/>
                <w:sz w:val="20"/>
                <w:szCs w:val="20"/>
              </w:rPr>
              <w:t>Increases</w:t>
            </w:r>
          </w:p>
        </w:tc>
        <w:tc>
          <w:tcPr>
            <w:tcW w:w="1296" w:type="dxa"/>
          </w:tcPr>
          <w:p w:rsidR="00035C5A" w:rsidRDefault="00035C5A" w:rsidP="0027481D">
            <w:pPr>
              <w:pStyle w:val="TableParagraph"/>
              <w:spacing w:line="219" w:lineRule="exact"/>
              <w:ind w:right="101"/>
              <w:jc w:val="right"/>
              <w:rPr>
                <w:sz w:val="20"/>
              </w:rPr>
            </w:pPr>
            <w:r>
              <w:rPr>
                <w:sz w:val="20"/>
              </w:rPr>
              <w:t>19</w:t>
            </w:r>
          </w:p>
        </w:tc>
        <w:tc>
          <w:tcPr>
            <w:tcW w:w="1408" w:type="dxa"/>
          </w:tcPr>
          <w:p w:rsidR="00035C5A" w:rsidRDefault="00035C5A" w:rsidP="0027481D">
            <w:pPr>
              <w:pStyle w:val="TableParagraph"/>
              <w:spacing w:line="219" w:lineRule="exact"/>
              <w:ind w:right="87"/>
              <w:jc w:val="right"/>
              <w:rPr>
                <w:w w:val="103"/>
                <w:sz w:val="20"/>
              </w:rPr>
            </w:pPr>
            <w:r>
              <w:rPr>
                <w:w w:val="103"/>
                <w:sz w:val="20"/>
              </w:rPr>
              <w:t>1</w:t>
            </w:r>
          </w:p>
        </w:tc>
        <w:tc>
          <w:tcPr>
            <w:tcW w:w="1392" w:type="dxa"/>
          </w:tcPr>
          <w:p w:rsidR="00035C5A" w:rsidRDefault="00035C5A" w:rsidP="0027481D">
            <w:pPr>
              <w:pStyle w:val="TableParagraph"/>
              <w:spacing w:line="219" w:lineRule="exact"/>
              <w:ind w:right="77"/>
              <w:jc w:val="right"/>
              <w:rPr>
                <w:sz w:val="20"/>
              </w:rPr>
            </w:pPr>
            <w:r>
              <w:rPr>
                <w:sz w:val="20"/>
              </w:rPr>
              <w:t>19</w:t>
            </w:r>
          </w:p>
        </w:tc>
        <w:tc>
          <w:tcPr>
            <w:tcW w:w="1408" w:type="dxa"/>
          </w:tcPr>
          <w:p w:rsidR="00035C5A" w:rsidRDefault="00035C5A" w:rsidP="0027481D">
            <w:pPr>
              <w:pStyle w:val="TableParagraph"/>
              <w:spacing w:line="219" w:lineRule="exact"/>
              <w:ind w:right="85"/>
              <w:jc w:val="right"/>
              <w:rPr>
                <w:sz w:val="20"/>
              </w:rPr>
            </w:pPr>
            <w:r>
              <w:rPr>
                <w:sz w:val="20"/>
              </w:rPr>
              <w:t>1</w:t>
            </w:r>
          </w:p>
        </w:tc>
        <w:tc>
          <w:tcPr>
            <w:tcW w:w="1232" w:type="dxa"/>
          </w:tcPr>
          <w:p w:rsidR="00035C5A" w:rsidRDefault="00035C5A" w:rsidP="0027481D">
            <w:pPr>
              <w:pStyle w:val="TableParagraph"/>
              <w:spacing w:line="219" w:lineRule="exact"/>
              <w:ind w:right="93"/>
              <w:jc w:val="right"/>
              <w:rPr>
                <w:sz w:val="20"/>
              </w:rPr>
            </w:pPr>
            <w:r>
              <w:rPr>
                <w:sz w:val="20"/>
              </w:rPr>
              <w:t>$2,097.98</w:t>
            </w:r>
          </w:p>
        </w:tc>
        <w:tc>
          <w:tcPr>
            <w:tcW w:w="1136" w:type="dxa"/>
          </w:tcPr>
          <w:p w:rsidR="00035C5A" w:rsidRDefault="00035C5A" w:rsidP="0027481D">
            <w:pPr>
              <w:pStyle w:val="TableParagraph"/>
              <w:spacing w:line="219" w:lineRule="exact"/>
              <w:ind w:right="85"/>
              <w:jc w:val="center"/>
              <w:rPr>
                <w:sz w:val="20"/>
              </w:rPr>
            </w:pPr>
            <w:r>
              <w:rPr>
                <w:sz w:val="20"/>
              </w:rPr>
              <w:t>19</w:t>
            </w:r>
          </w:p>
        </w:tc>
        <w:tc>
          <w:tcPr>
            <w:tcW w:w="1536" w:type="dxa"/>
          </w:tcPr>
          <w:p w:rsidR="00035C5A" w:rsidRDefault="00035C5A" w:rsidP="0027481D">
            <w:pPr>
              <w:pStyle w:val="TableParagraph"/>
              <w:spacing w:line="219" w:lineRule="exact"/>
              <w:ind w:right="86"/>
              <w:jc w:val="right"/>
              <w:rPr>
                <w:sz w:val="20"/>
              </w:rPr>
            </w:pPr>
            <w:r>
              <w:rPr>
                <w:sz w:val="20"/>
              </w:rPr>
              <w:t>$</w:t>
            </w:r>
            <w:r w:rsidRPr="004C168D">
              <w:rPr>
                <w:sz w:val="20"/>
              </w:rPr>
              <w:t>39</w:t>
            </w:r>
            <w:r>
              <w:rPr>
                <w:sz w:val="20"/>
              </w:rPr>
              <w:t>,</w:t>
            </w:r>
            <w:r w:rsidRPr="004C168D">
              <w:rPr>
                <w:sz w:val="20"/>
              </w:rPr>
              <w:t>861.62</w:t>
            </w:r>
          </w:p>
        </w:tc>
      </w:tr>
      <w:tr w:rsidR="00035C5A" w:rsidTr="00035C5A">
        <w:trPr>
          <w:trHeight w:hRule="exact" w:val="810"/>
        </w:trPr>
        <w:tc>
          <w:tcPr>
            <w:tcW w:w="1674" w:type="dxa"/>
          </w:tcPr>
          <w:p w:rsidR="00035C5A" w:rsidRPr="00035C5A" w:rsidRDefault="00035C5A" w:rsidP="0027481D">
            <w:pPr>
              <w:pStyle w:val="TableParagraph"/>
              <w:spacing w:line="219" w:lineRule="exact"/>
              <w:ind w:left="112"/>
              <w:rPr>
                <w:b/>
                <w:w w:val="105"/>
                <w:sz w:val="18"/>
                <w:szCs w:val="18"/>
              </w:rPr>
            </w:pPr>
            <w:r w:rsidRPr="00035C5A">
              <w:rPr>
                <w:b/>
                <w:sz w:val="18"/>
                <w:szCs w:val="18"/>
              </w:rPr>
              <w:t>State Unreasonable Rate Increase</w:t>
            </w:r>
            <w:r w:rsidRPr="00035C5A">
              <w:rPr>
                <w:b/>
                <w:spacing w:val="-13"/>
                <w:sz w:val="18"/>
                <w:szCs w:val="18"/>
              </w:rPr>
              <w:t xml:space="preserve"> </w:t>
            </w:r>
            <w:r w:rsidRPr="00035C5A">
              <w:rPr>
                <w:b/>
                <w:sz w:val="18"/>
                <w:szCs w:val="18"/>
              </w:rPr>
              <w:t>Determinations</w:t>
            </w:r>
          </w:p>
        </w:tc>
        <w:tc>
          <w:tcPr>
            <w:tcW w:w="1296" w:type="dxa"/>
          </w:tcPr>
          <w:p w:rsidR="00035C5A" w:rsidRDefault="00035C5A" w:rsidP="0027481D">
            <w:pPr>
              <w:pStyle w:val="TableParagraph"/>
              <w:spacing w:line="219" w:lineRule="exact"/>
              <w:ind w:right="101"/>
              <w:jc w:val="right"/>
              <w:rPr>
                <w:sz w:val="20"/>
              </w:rPr>
            </w:pPr>
            <w:r>
              <w:rPr>
                <w:sz w:val="20"/>
              </w:rPr>
              <w:t>619</w:t>
            </w:r>
          </w:p>
        </w:tc>
        <w:tc>
          <w:tcPr>
            <w:tcW w:w="1408" w:type="dxa"/>
          </w:tcPr>
          <w:p w:rsidR="00035C5A" w:rsidRDefault="00035C5A" w:rsidP="0027481D">
            <w:pPr>
              <w:pStyle w:val="TableParagraph"/>
              <w:spacing w:line="219" w:lineRule="exact"/>
              <w:ind w:right="87"/>
              <w:jc w:val="right"/>
              <w:rPr>
                <w:w w:val="103"/>
                <w:sz w:val="20"/>
              </w:rPr>
            </w:pPr>
            <w:r>
              <w:rPr>
                <w:w w:val="103"/>
                <w:sz w:val="20"/>
              </w:rPr>
              <w:t>1</w:t>
            </w:r>
          </w:p>
        </w:tc>
        <w:tc>
          <w:tcPr>
            <w:tcW w:w="1392" w:type="dxa"/>
          </w:tcPr>
          <w:p w:rsidR="00035C5A" w:rsidRDefault="00035C5A" w:rsidP="0027481D">
            <w:pPr>
              <w:pStyle w:val="TableParagraph"/>
              <w:spacing w:line="219" w:lineRule="exact"/>
              <w:ind w:right="77"/>
              <w:jc w:val="right"/>
              <w:rPr>
                <w:sz w:val="20"/>
              </w:rPr>
            </w:pPr>
            <w:r>
              <w:rPr>
                <w:sz w:val="20"/>
              </w:rPr>
              <w:t>619</w:t>
            </w:r>
          </w:p>
        </w:tc>
        <w:tc>
          <w:tcPr>
            <w:tcW w:w="1408" w:type="dxa"/>
          </w:tcPr>
          <w:p w:rsidR="00035C5A" w:rsidRDefault="00035C5A" w:rsidP="0027481D">
            <w:pPr>
              <w:pStyle w:val="TableParagraph"/>
              <w:spacing w:line="219" w:lineRule="exact"/>
              <w:ind w:right="85"/>
              <w:jc w:val="right"/>
              <w:rPr>
                <w:sz w:val="20"/>
              </w:rPr>
            </w:pPr>
            <w:r>
              <w:rPr>
                <w:sz w:val="20"/>
              </w:rPr>
              <w:t>.33</w:t>
            </w:r>
          </w:p>
        </w:tc>
        <w:tc>
          <w:tcPr>
            <w:tcW w:w="1232" w:type="dxa"/>
          </w:tcPr>
          <w:p w:rsidR="00035C5A" w:rsidRDefault="00035C5A" w:rsidP="0027481D">
            <w:pPr>
              <w:pStyle w:val="TableParagraph"/>
              <w:spacing w:line="219" w:lineRule="exact"/>
              <w:ind w:right="93"/>
              <w:jc w:val="right"/>
              <w:rPr>
                <w:sz w:val="20"/>
              </w:rPr>
            </w:pPr>
            <w:r>
              <w:rPr>
                <w:sz w:val="20"/>
              </w:rPr>
              <w:t>$16,883</w:t>
            </w:r>
          </w:p>
        </w:tc>
        <w:tc>
          <w:tcPr>
            <w:tcW w:w="1136" w:type="dxa"/>
          </w:tcPr>
          <w:p w:rsidR="00035C5A" w:rsidRDefault="00035C5A" w:rsidP="0027481D">
            <w:pPr>
              <w:pStyle w:val="TableParagraph"/>
              <w:spacing w:line="219" w:lineRule="exact"/>
              <w:ind w:right="85"/>
              <w:jc w:val="center"/>
              <w:rPr>
                <w:sz w:val="20"/>
              </w:rPr>
            </w:pPr>
            <w:r>
              <w:rPr>
                <w:sz w:val="20"/>
              </w:rPr>
              <w:t>204</w:t>
            </w:r>
          </w:p>
        </w:tc>
        <w:tc>
          <w:tcPr>
            <w:tcW w:w="1536" w:type="dxa"/>
          </w:tcPr>
          <w:p w:rsidR="00035C5A" w:rsidRDefault="00035C5A" w:rsidP="00AD5485">
            <w:pPr>
              <w:pStyle w:val="TableParagraph"/>
              <w:spacing w:line="219" w:lineRule="exact"/>
              <w:ind w:right="86"/>
              <w:jc w:val="right"/>
              <w:rPr>
                <w:sz w:val="20"/>
              </w:rPr>
            </w:pPr>
            <w:r>
              <w:rPr>
                <w:sz w:val="20"/>
              </w:rPr>
              <w:t>$</w:t>
            </w:r>
            <w:r w:rsidR="00AD5485">
              <w:rPr>
                <w:sz w:val="20"/>
              </w:rPr>
              <w:t>10</w:t>
            </w:r>
            <w:r>
              <w:rPr>
                <w:sz w:val="20"/>
              </w:rPr>
              <w:t>,</w:t>
            </w:r>
            <w:r w:rsidR="00AD5485">
              <w:rPr>
                <w:sz w:val="20"/>
              </w:rPr>
              <w:t>450</w:t>
            </w:r>
            <w:r>
              <w:rPr>
                <w:sz w:val="20"/>
              </w:rPr>
              <w:t>,</w:t>
            </w:r>
            <w:r w:rsidR="00AD5485">
              <w:rPr>
                <w:sz w:val="20"/>
              </w:rPr>
              <w:t>577</w:t>
            </w:r>
          </w:p>
        </w:tc>
      </w:tr>
      <w:tr w:rsidR="00035C5A" w:rsidTr="0027481D">
        <w:trPr>
          <w:trHeight w:hRule="exact" w:val="384"/>
        </w:trPr>
        <w:tc>
          <w:tcPr>
            <w:tcW w:w="1674" w:type="dxa"/>
          </w:tcPr>
          <w:p w:rsidR="00035C5A" w:rsidRDefault="00035C5A" w:rsidP="0027481D">
            <w:pPr>
              <w:pStyle w:val="TableParagraph"/>
              <w:spacing w:line="219" w:lineRule="exact"/>
              <w:ind w:left="112"/>
              <w:rPr>
                <w:b/>
                <w:sz w:val="20"/>
              </w:rPr>
            </w:pPr>
            <w:r>
              <w:rPr>
                <w:b/>
                <w:w w:val="105"/>
                <w:sz w:val="20"/>
              </w:rPr>
              <w:t>Total</w:t>
            </w:r>
          </w:p>
        </w:tc>
        <w:tc>
          <w:tcPr>
            <w:tcW w:w="1296" w:type="dxa"/>
          </w:tcPr>
          <w:p w:rsidR="00035C5A" w:rsidRDefault="00035C5A" w:rsidP="0027481D">
            <w:pPr>
              <w:pStyle w:val="TableParagraph"/>
              <w:spacing w:line="219" w:lineRule="exact"/>
              <w:ind w:right="101"/>
              <w:jc w:val="right"/>
              <w:rPr>
                <w:sz w:val="20"/>
              </w:rPr>
            </w:pPr>
          </w:p>
        </w:tc>
        <w:tc>
          <w:tcPr>
            <w:tcW w:w="1408" w:type="dxa"/>
          </w:tcPr>
          <w:p w:rsidR="00035C5A" w:rsidRDefault="00035C5A" w:rsidP="0027481D">
            <w:pPr>
              <w:pStyle w:val="TableParagraph"/>
              <w:spacing w:line="219" w:lineRule="exact"/>
              <w:ind w:right="87"/>
              <w:jc w:val="right"/>
              <w:rPr>
                <w:sz w:val="20"/>
              </w:rPr>
            </w:pPr>
            <w:r>
              <w:rPr>
                <w:w w:val="103"/>
                <w:sz w:val="20"/>
              </w:rPr>
              <w:t>6</w:t>
            </w:r>
          </w:p>
        </w:tc>
        <w:tc>
          <w:tcPr>
            <w:tcW w:w="1392" w:type="dxa"/>
          </w:tcPr>
          <w:p w:rsidR="00035C5A" w:rsidRDefault="00035C5A" w:rsidP="0027481D">
            <w:pPr>
              <w:pStyle w:val="TableParagraph"/>
              <w:spacing w:line="219" w:lineRule="exact"/>
              <w:ind w:right="77"/>
              <w:jc w:val="right"/>
              <w:rPr>
                <w:sz w:val="20"/>
              </w:rPr>
            </w:pPr>
            <w:r>
              <w:rPr>
                <w:sz w:val="20"/>
              </w:rPr>
              <w:t>3,001</w:t>
            </w:r>
          </w:p>
        </w:tc>
        <w:tc>
          <w:tcPr>
            <w:tcW w:w="1408" w:type="dxa"/>
          </w:tcPr>
          <w:p w:rsidR="00035C5A" w:rsidRDefault="00035C5A" w:rsidP="0027481D">
            <w:pPr>
              <w:pStyle w:val="TableParagraph"/>
              <w:spacing w:line="219" w:lineRule="exact"/>
              <w:ind w:right="85"/>
              <w:jc w:val="right"/>
              <w:rPr>
                <w:sz w:val="20"/>
              </w:rPr>
            </w:pPr>
            <w:r>
              <w:rPr>
                <w:sz w:val="20"/>
              </w:rPr>
              <w:t>36</w:t>
            </w:r>
          </w:p>
        </w:tc>
        <w:tc>
          <w:tcPr>
            <w:tcW w:w="1232" w:type="dxa"/>
          </w:tcPr>
          <w:p w:rsidR="00035C5A" w:rsidRDefault="00035C5A" w:rsidP="0027481D">
            <w:pPr>
              <w:pStyle w:val="TableParagraph"/>
              <w:spacing w:line="219" w:lineRule="exact"/>
              <w:ind w:right="93"/>
              <w:jc w:val="right"/>
              <w:rPr>
                <w:sz w:val="20"/>
              </w:rPr>
            </w:pPr>
            <w:r>
              <w:rPr>
                <w:sz w:val="20"/>
              </w:rPr>
              <w:t>$22,776</w:t>
            </w:r>
          </w:p>
        </w:tc>
        <w:tc>
          <w:tcPr>
            <w:tcW w:w="1136" w:type="dxa"/>
          </w:tcPr>
          <w:p w:rsidR="00035C5A" w:rsidRDefault="00035C5A" w:rsidP="0027481D">
            <w:pPr>
              <w:pStyle w:val="TableParagraph"/>
              <w:spacing w:line="219" w:lineRule="exact"/>
              <w:ind w:right="85"/>
              <w:jc w:val="right"/>
              <w:rPr>
                <w:sz w:val="20"/>
              </w:rPr>
            </w:pPr>
            <w:r>
              <w:rPr>
                <w:sz w:val="20"/>
              </w:rPr>
              <w:t>20,462</w:t>
            </w:r>
          </w:p>
        </w:tc>
        <w:tc>
          <w:tcPr>
            <w:tcW w:w="1536" w:type="dxa"/>
          </w:tcPr>
          <w:p w:rsidR="00035C5A" w:rsidRPr="00AD5485" w:rsidRDefault="00035C5A" w:rsidP="00AD5485">
            <w:pPr>
              <w:pStyle w:val="TableParagraph"/>
              <w:spacing w:line="219" w:lineRule="exact"/>
              <w:ind w:right="86"/>
              <w:jc w:val="right"/>
              <w:rPr>
                <w:sz w:val="20"/>
                <w:szCs w:val="20"/>
              </w:rPr>
            </w:pPr>
            <w:r w:rsidRPr="00AD5485">
              <w:rPr>
                <w:sz w:val="20"/>
                <w:szCs w:val="20"/>
              </w:rPr>
              <w:t xml:space="preserve">$ </w:t>
            </w:r>
            <w:r w:rsidR="00AD5485" w:rsidRPr="00AD5485">
              <w:rPr>
                <w:sz w:val="20"/>
                <w:szCs w:val="20"/>
              </w:rPr>
              <w:t>12,725,103.59</w:t>
            </w:r>
          </w:p>
        </w:tc>
      </w:tr>
    </w:tbl>
    <w:p w:rsidR="00035C5A" w:rsidRDefault="00035C5A" w:rsidP="00035C5A"/>
    <w:p w:rsidR="00035C5A" w:rsidRPr="0000057C" w:rsidRDefault="00035C5A" w:rsidP="00035C5A">
      <w:pPr>
        <w:pStyle w:val="BodyText"/>
        <w:kinsoku w:val="0"/>
        <w:overflowPunct w:val="0"/>
        <w:ind w:left="-360" w:right="1563"/>
        <w:rPr>
          <w:highlight w:val="yellow"/>
        </w:rPr>
        <w:sectPr w:rsidR="00035C5A" w:rsidRPr="0000057C" w:rsidSect="00035C5A">
          <w:pgSz w:w="12240" w:h="15840"/>
          <w:pgMar w:top="1500" w:right="0" w:bottom="1080" w:left="900" w:header="0" w:footer="896" w:gutter="0"/>
          <w:cols w:space="720" w:equalWidth="0">
            <w:col w:w="10920"/>
          </w:cols>
          <w:noEndnote/>
        </w:sectPr>
      </w:pPr>
    </w:p>
    <w:p w:rsidR="004F1646" w:rsidRDefault="004F1646">
      <w:pPr>
        <w:pStyle w:val="BodyText"/>
        <w:spacing w:before="3"/>
        <w:rPr>
          <w:sz w:val="18"/>
        </w:rPr>
      </w:pPr>
    </w:p>
    <w:p w:rsidR="004F1646" w:rsidRPr="00A75131" w:rsidRDefault="00A75131" w:rsidP="00A720A9">
      <w:pPr>
        <w:pStyle w:val="Heading1"/>
        <w:numPr>
          <w:ilvl w:val="0"/>
          <w:numId w:val="1"/>
        </w:numPr>
        <w:tabs>
          <w:tab w:val="left" w:pos="720"/>
        </w:tabs>
        <w:spacing w:before="90"/>
        <w:ind w:left="1028" w:hanging="848"/>
        <w:jc w:val="left"/>
        <w:rPr>
          <w:u w:val="none"/>
        </w:rPr>
      </w:pPr>
      <w:bookmarkStart w:id="17" w:name="13._Capital_Costs"/>
      <w:bookmarkEnd w:id="17"/>
      <w:r>
        <w:rPr>
          <w:spacing w:val="-4"/>
          <w:u w:val="thick"/>
        </w:rPr>
        <w:t>Capital</w:t>
      </w:r>
      <w:r>
        <w:rPr>
          <w:spacing w:val="24"/>
          <w:u w:val="thick"/>
        </w:rPr>
        <w:t xml:space="preserve"> </w:t>
      </w:r>
      <w:r>
        <w:rPr>
          <w:spacing w:val="5"/>
          <w:u w:val="thick"/>
        </w:rPr>
        <w:t>Costs</w:t>
      </w:r>
    </w:p>
    <w:p w:rsidR="00A75131" w:rsidRDefault="00A75131" w:rsidP="00A75131">
      <w:pPr>
        <w:pStyle w:val="Heading1"/>
        <w:tabs>
          <w:tab w:val="left" w:pos="1029"/>
        </w:tabs>
        <w:spacing w:before="90"/>
        <w:ind w:left="1028" w:firstLine="0"/>
        <w:jc w:val="right"/>
        <w:rPr>
          <w:u w:val="none"/>
        </w:rPr>
      </w:pPr>
    </w:p>
    <w:p w:rsidR="004F1646" w:rsidRPr="00A75131" w:rsidRDefault="00A75131" w:rsidP="00A720A9">
      <w:r>
        <w:t xml:space="preserve">The industry </w:t>
      </w:r>
      <w:r w:rsidRPr="00A75131">
        <w:t>and the st</w:t>
      </w:r>
      <w:r>
        <w:t xml:space="preserve">ates are not required to incur capital costs to fulfill </w:t>
      </w:r>
      <w:r w:rsidRPr="00A75131">
        <w:t>these requirements.</w:t>
      </w:r>
    </w:p>
    <w:p w:rsidR="004F1646" w:rsidRDefault="004F1646">
      <w:pPr>
        <w:pStyle w:val="BodyText"/>
        <w:spacing w:before="3"/>
        <w:rPr>
          <w:sz w:val="18"/>
        </w:rPr>
      </w:pPr>
    </w:p>
    <w:p w:rsidR="004F1646" w:rsidRPr="00A75131" w:rsidRDefault="00A75131" w:rsidP="00A720A9">
      <w:pPr>
        <w:pStyle w:val="Heading1"/>
        <w:numPr>
          <w:ilvl w:val="0"/>
          <w:numId w:val="1"/>
        </w:numPr>
        <w:tabs>
          <w:tab w:val="left" w:pos="720"/>
        </w:tabs>
        <w:spacing w:before="90"/>
        <w:ind w:left="1028" w:hanging="848"/>
        <w:jc w:val="left"/>
        <w:rPr>
          <w:u w:val="none"/>
        </w:rPr>
      </w:pPr>
      <w:bookmarkStart w:id="18" w:name="14._Cost_to_Federal_Government"/>
      <w:bookmarkEnd w:id="18"/>
      <w:r>
        <w:rPr>
          <w:spacing w:val="6"/>
          <w:u w:val="thick"/>
        </w:rPr>
        <w:t xml:space="preserve">Cost </w:t>
      </w:r>
      <w:r>
        <w:rPr>
          <w:u w:val="thick"/>
        </w:rPr>
        <w:t>to Federal</w:t>
      </w:r>
      <w:r>
        <w:rPr>
          <w:spacing w:val="-8"/>
          <w:u w:val="thick"/>
        </w:rPr>
        <w:t xml:space="preserve"> </w:t>
      </w:r>
      <w:r>
        <w:rPr>
          <w:u w:val="thick"/>
        </w:rPr>
        <w:t>Government</w:t>
      </w:r>
    </w:p>
    <w:p w:rsidR="00A75131" w:rsidRDefault="00A75131" w:rsidP="00A75131">
      <w:pPr>
        <w:pStyle w:val="Heading1"/>
        <w:tabs>
          <w:tab w:val="left" w:pos="1029"/>
        </w:tabs>
        <w:spacing w:before="90"/>
        <w:ind w:left="1028" w:firstLine="0"/>
        <w:jc w:val="right"/>
        <w:rPr>
          <w:u w:val="none"/>
        </w:rPr>
      </w:pPr>
    </w:p>
    <w:p w:rsidR="004F1646" w:rsidRPr="00A75131" w:rsidRDefault="00A75131" w:rsidP="00A720A9">
      <w:r w:rsidRPr="00A75131">
        <w:t>If a state does not have an Effective Rate Review Program, CMS will review rate increases that meet or exceed the review threshold in those markets. This activ</w:t>
      </w:r>
      <w:r>
        <w:t>ity could be conducted with in-</w:t>
      </w:r>
      <w:r w:rsidRPr="00A75131">
        <w:t>house resources and/or with the use of contracted services. CMS estimates that it will review 42 submissions per year (2 fewer submissions than the number reviewed in p</w:t>
      </w:r>
      <w:r>
        <w:t xml:space="preserve">revious years). The following table provides </w:t>
      </w:r>
      <w:r w:rsidRPr="00A75131">
        <w:t xml:space="preserve">the </w:t>
      </w:r>
      <w:r>
        <w:t xml:space="preserve">cost and burden for completion </w:t>
      </w:r>
      <w:r w:rsidRPr="00A75131">
        <w:t>of these reviews.</w:t>
      </w:r>
    </w:p>
    <w:p w:rsidR="004F1646" w:rsidRDefault="004F1646">
      <w:pPr>
        <w:pStyle w:val="BodyText"/>
        <w:spacing w:before="3"/>
        <w:rPr>
          <w:sz w:val="23"/>
        </w:rPr>
      </w:pPr>
    </w:p>
    <w:p w:rsidR="004F1646" w:rsidRDefault="00A75131">
      <w:pPr>
        <w:pStyle w:val="BodyText"/>
        <w:spacing w:before="1"/>
        <w:ind w:left="2467"/>
      </w:pPr>
      <w:r>
        <w:rPr>
          <w:spacing w:val="-5"/>
          <w:u w:val="single"/>
        </w:rPr>
        <w:t xml:space="preserve">Table </w:t>
      </w:r>
      <w:r>
        <w:rPr>
          <w:spacing w:val="-3"/>
          <w:u w:val="single"/>
        </w:rPr>
        <w:t xml:space="preserve">14.1 Estimated </w:t>
      </w:r>
      <w:r>
        <w:rPr>
          <w:u w:val="single"/>
        </w:rPr>
        <w:t xml:space="preserve">Cost to Federal </w:t>
      </w:r>
      <w:r>
        <w:rPr>
          <w:spacing w:val="-5"/>
          <w:u w:val="single"/>
        </w:rPr>
        <w:t xml:space="preserve">Government </w:t>
      </w:r>
      <w:r>
        <w:rPr>
          <w:u w:val="single"/>
        </w:rPr>
        <w:t>per</w:t>
      </w:r>
      <w:r>
        <w:rPr>
          <w:spacing w:val="51"/>
          <w:u w:val="single"/>
        </w:rPr>
        <w:t xml:space="preserve"> </w:t>
      </w:r>
      <w:r>
        <w:rPr>
          <w:spacing w:val="-2"/>
          <w:u w:val="single"/>
        </w:rPr>
        <w:t>Review</w:t>
      </w:r>
    </w:p>
    <w:p w:rsidR="004F1646" w:rsidRDefault="004F1646">
      <w:pPr>
        <w:pStyle w:val="BodyText"/>
        <w:spacing w:before="1"/>
        <w:rPr>
          <w:sz w:val="26"/>
        </w:rPr>
      </w:pPr>
    </w:p>
    <w:tbl>
      <w:tblPr>
        <w:tblW w:w="0" w:type="auto"/>
        <w:tblInd w:w="29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20"/>
        <w:gridCol w:w="443"/>
        <w:gridCol w:w="2077"/>
      </w:tblGrid>
      <w:tr w:rsidR="004F1646" w:rsidTr="00B32203">
        <w:trPr>
          <w:trHeight w:hRule="exact" w:val="287"/>
        </w:trPr>
        <w:tc>
          <w:tcPr>
            <w:tcW w:w="5040" w:type="dxa"/>
            <w:gridSpan w:val="3"/>
            <w:tcBorders>
              <w:bottom w:val="nil"/>
            </w:tcBorders>
          </w:tcPr>
          <w:p w:rsidR="004F1646" w:rsidRDefault="00A75131">
            <w:pPr>
              <w:pStyle w:val="TableParagraph"/>
              <w:ind w:left="95"/>
              <w:rPr>
                <w:b/>
                <w:sz w:val="24"/>
              </w:rPr>
            </w:pPr>
            <w:r>
              <w:rPr>
                <w:b/>
                <w:sz w:val="24"/>
              </w:rPr>
              <w:t>Contractor Actuarial Rates and Time</w:t>
            </w:r>
          </w:p>
        </w:tc>
      </w:tr>
      <w:tr w:rsidR="004F1646" w:rsidTr="00B32203">
        <w:trPr>
          <w:trHeight w:hRule="exact" w:val="561"/>
        </w:trPr>
        <w:tc>
          <w:tcPr>
            <w:tcW w:w="2963" w:type="dxa"/>
            <w:gridSpan w:val="2"/>
            <w:tcBorders>
              <w:top w:val="nil"/>
              <w:right w:val="nil"/>
            </w:tcBorders>
          </w:tcPr>
          <w:p w:rsidR="004F1646" w:rsidRDefault="00A75131" w:rsidP="00A75131">
            <w:pPr>
              <w:pStyle w:val="TableParagraph"/>
              <w:spacing w:line="237" w:lineRule="auto"/>
              <w:ind w:left="95" w:right="2"/>
              <w:rPr>
                <w:b/>
                <w:sz w:val="24"/>
              </w:rPr>
            </w:pPr>
            <w:r>
              <w:rPr>
                <w:b/>
                <w:sz w:val="24"/>
              </w:rPr>
              <w:t>Associated with Conducting Estimated Actuarial Rates</w:t>
            </w:r>
          </w:p>
        </w:tc>
        <w:tc>
          <w:tcPr>
            <w:tcW w:w="2077" w:type="dxa"/>
            <w:tcBorders>
              <w:top w:val="nil"/>
              <w:left w:val="nil"/>
            </w:tcBorders>
          </w:tcPr>
          <w:p w:rsidR="004F1646" w:rsidRDefault="00A75131">
            <w:pPr>
              <w:pStyle w:val="TableParagraph"/>
              <w:spacing w:line="269" w:lineRule="exact"/>
              <w:ind w:left="38"/>
              <w:rPr>
                <w:b/>
                <w:sz w:val="24"/>
              </w:rPr>
            </w:pPr>
            <w:r>
              <w:rPr>
                <w:b/>
                <w:sz w:val="24"/>
              </w:rPr>
              <w:t>Rate Review</w:t>
            </w:r>
          </w:p>
        </w:tc>
      </w:tr>
      <w:tr w:rsidR="004F1646" w:rsidTr="00B32203">
        <w:trPr>
          <w:trHeight w:hRule="exact" w:val="272"/>
        </w:trPr>
        <w:tc>
          <w:tcPr>
            <w:tcW w:w="2520" w:type="dxa"/>
          </w:tcPr>
          <w:p w:rsidR="004F1646" w:rsidRDefault="00A75131">
            <w:pPr>
              <w:pStyle w:val="TableParagraph"/>
              <w:spacing w:line="244" w:lineRule="exact"/>
              <w:ind w:left="95"/>
              <w:rPr>
                <w:sz w:val="24"/>
              </w:rPr>
            </w:pPr>
            <w:r>
              <w:rPr>
                <w:sz w:val="24"/>
              </w:rPr>
              <w:t>Principal Actuaries</w:t>
            </w:r>
          </w:p>
        </w:tc>
        <w:tc>
          <w:tcPr>
            <w:tcW w:w="2520" w:type="dxa"/>
            <w:gridSpan w:val="2"/>
          </w:tcPr>
          <w:p w:rsidR="004F1646" w:rsidRDefault="00A75131">
            <w:pPr>
              <w:pStyle w:val="TableParagraph"/>
              <w:spacing w:line="244" w:lineRule="exact"/>
              <w:ind w:left="1632"/>
              <w:rPr>
                <w:sz w:val="24"/>
              </w:rPr>
            </w:pPr>
            <w:r>
              <w:rPr>
                <w:sz w:val="24"/>
              </w:rPr>
              <w:t>$350.00</w:t>
            </w:r>
          </w:p>
        </w:tc>
      </w:tr>
      <w:tr w:rsidR="004F1646" w:rsidTr="00B32203">
        <w:trPr>
          <w:trHeight w:hRule="exact" w:val="288"/>
        </w:trPr>
        <w:tc>
          <w:tcPr>
            <w:tcW w:w="2520" w:type="dxa"/>
          </w:tcPr>
          <w:p w:rsidR="004F1646" w:rsidRDefault="00A75131">
            <w:pPr>
              <w:pStyle w:val="TableParagraph"/>
              <w:spacing w:line="260" w:lineRule="exact"/>
              <w:ind w:left="95"/>
              <w:rPr>
                <w:sz w:val="24"/>
              </w:rPr>
            </w:pPr>
            <w:r>
              <w:rPr>
                <w:sz w:val="24"/>
              </w:rPr>
              <w:t>Support Actuaries</w:t>
            </w:r>
          </w:p>
        </w:tc>
        <w:tc>
          <w:tcPr>
            <w:tcW w:w="2520" w:type="dxa"/>
            <w:gridSpan w:val="2"/>
          </w:tcPr>
          <w:p w:rsidR="004F1646" w:rsidRDefault="00A75131">
            <w:pPr>
              <w:pStyle w:val="TableParagraph"/>
              <w:spacing w:line="260" w:lineRule="exact"/>
              <w:ind w:left="1632"/>
              <w:rPr>
                <w:sz w:val="24"/>
              </w:rPr>
            </w:pPr>
            <w:r>
              <w:rPr>
                <w:sz w:val="24"/>
              </w:rPr>
              <w:t>$234.00</w:t>
            </w:r>
          </w:p>
        </w:tc>
      </w:tr>
      <w:tr w:rsidR="004F1646" w:rsidTr="00B32203">
        <w:trPr>
          <w:trHeight w:hRule="exact" w:val="288"/>
        </w:trPr>
        <w:tc>
          <w:tcPr>
            <w:tcW w:w="2520" w:type="dxa"/>
          </w:tcPr>
          <w:p w:rsidR="004F1646" w:rsidRDefault="00A75131">
            <w:pPr>
              <w:pStyle w:val="TableParagraph"/>
              <w:spacing w:line="260" w:lineRule="exact"/>
              <w:ind w:left="95"/>
              <w:rPr>
                <w:sz w:val="24"/>
              </w:rPr>
            </w:pPr>
            <w:r>
              <w:rPr>
                <w:sz w:val="24"/>
              </w:rPr>
              <w:t>Actuarial Analyst</w:t>
            </w:r>
          </w:p>
        </w:tc>
        <w:tc>
          <w:tcPr>
            <w:tcW w:w="2520" w:type="dxa"/>
            <w:gridSpan w:val="2"/>
          </w:tcPr>
          <w:p w:rsidR="004F1646" w:rsidRDefault="00A75131">
            <w:pPr>
              <w:pStyle w:val="TableParagraph"/>
              <w:spacing w:line="260" w:lineRule="exact"/>
              <w:ind w:left="1632"/>
              <w:rPr>
                <w:sz w:val="24"/>
              </w:rPr>
            </w:pPr>
            <w:r>
              <w:rPr>
                <w:sz w:val="24"/>
              </w:rPr>
              <w:t>$150.00</w:t>
            </w:r>
          </w:p>
        </w:tc>
      </w:tr>
      <w:tr w:rsidR="004F1646" w:rsidTr="00B32203">
        <w:trPr>
          <w:trHeight w:hRule="exact" w:val="288"/>
        </w:trPr>
        <w:tc>
          <w:tcPr>
            <w:tcW w:w="2520" w:type="dxa"/>
          </w:tcPr>
          <w:p w:rsidR="004F1646" w:rsidRDefault="00A75131">
            <w:pPr>
              <w:pStyle w:val="TableParagraph"/>
              <w:spacing w:line="260" w:lineRule="exact"/>
              <w:ind w:left="95"/>
              <w:rPr>
                <w:sz w:val="24"/>
              </w:rPr>
            </w:pPr>
            <w:r>
              <w:rPr>
                <w:sz w:val="24"/>
              </w:rPr>
              <w:t>Administrative  Support</w:t>
            </w:r>
          </w:p>
        </w:tc>
        <w:tc>
          <w:tcPr>
            <w:tcW w:w="2520" w:type="dxa"/>
            <w:gridSpan w:val="2"/>
          </w:tcPr>
          <w:p w:rsidR="004F1646" w:rsidRDefault="00A75131">
            <w:pPr>
              <w:pStyle w:val="TableParagraph"/>
              <w:spacing w:line="260" w:lineRule="exact"/>
              <w:ind w:left="1632"/>
              <w:rPr>
                <w:sz w:val="24"/>
              </w:rPr>
            </w:pPr>
            <w:r>
              <w:rPr>
                <w:sz w:val="24"/>
              </w:rPr>
              <w:t>$100.00</w:t>
            </w:r>
          </w:p>
        </w:tc>
      </w:tr>
      <w:tr w:rsidR="004F1646" w:rsidTr="00B32203">
        <w:trPr>
          <w:trHeight w:hRule="exact" w:val="976"/>
        </w:trPr>
        <w:tc>
          <w:tcPr>
            <w:tcW w:w="2520" w:type="dxa"/>
          </w:tcPr>
          <w:p w:rsidR="004F1646" w:rsidRDefault="00A75131">
            <w:pPr>
              <w:pStyle w:val="TableParagraph"/>
              <w:spacing w:before="6" w:line="272" w:lineRule="exact"/>
              <w:ind w:left="95" w:right="459"/>
              <w:jc w:val="both"/>
              <w:rPr>
                <w:b/>
                <w:sz w:val="24"/>
              </w:rPr>
            </w:pPr>
            <w:r>
              <w:rPr>
                <w:b/>
                <w:sz w:val="24"/>
              </w:rPr>
              <w:t>Estimated Time to Complete Average Review</w:t>
            </w:r>
          </w:p>
        </w:tc>
        <w:tc>
          <w:tcPr>
            <w:tcW w:w="2520" w:type="dxa"/>
            <w:gridSpan w:val="2"/>
          </w:tcPr>
          <w:p w:rsidR="004F1646" w:rsidRDefault="00A75131">
            <w:pPr>
              <w:pStyle w:val="TableParagraph"/>
              <w:spacing w:before="6" w:line="272" w:lineRule="exact"/>
              <w:ind w:left="112" w:right="933"/>
              <w:rPr>
                <w:b/>
                <w:sz w:val="24"/>
              </w:rPr>
            </w:pPr>
            <w:r>
              <w:rPr>
                <w:b/>
                <w:sz w:val="24"/>
              </w:rPr>
              <w:t>Average Time Required</w:t>
            </w:r>
          </w:p>
        </w:tc>
      </w:tr>
      <w:tr w:rsidR="004F1646" w:rsidTr="00B32203">
        <w:trPr>
          <w:trHeight w:hRule="exact" w:val="464"/>
        </w:trPr>
        <w:tc>
          <w:tcPr>
            <w:tcW w:w="2520" w:type="dxa"/>
          </w:tcPr>
          <w:p w:rsidR="004F1646" w:rsidRDefault="00A75131">
            <w:pPr>
              <w:pStyle w:val="TableParagraph"/>
              <w:ind w:left="95"/>
              <w:rPr>
                <w:sz w:val="24"/>
              </w:rPr>
            </w:pPr>
            <w:r>
              <w:rPr>
                <w:sz w:val="24"/>
              </w:rPr>
              <w:t>Principal Actuaries</w:t>
            </w:r>
          </w:p>
        </w:tc>
        <w:tc>
          <w:tcPr>
            <w:tcW w:w="2520" w:type="dxa"/>
            <w:gridSpan w:val="2"/>
          </w:tcPr>
          <w:p w:rsidR="004F1646" w:rsidRDefault="00A75131">
            <w:pPr>
              <w:pStyle w:val="TableParagraph"/>
              <w:ind w:right="-1"/>
              <w:jc w:val="right"/>
              <w:rPr>
                <w:sz w:val="24"/>
              </w:rPr>
            </w:pPr>
            <w:r>
              <w:rPr>
                <w:sz w:val="24"/>
              </w:rPr>
              <w:t>5.50</w:t>
            </w:r>
          </w:p>
        </w:tc>
      </w:tr>
      <w:tr w:rsidR="004F1646" w:rsidTr="00B32203">
        <w:trPr>
          <w:trHeight w:hRule="exact" w:val="352"/>
        </w:trPr>
        <w:tc>
          <w:tcPr>
            <w:tcW w:w="2520" w:type="dxa"/>
          </w:tcPr>
          <w:p w:rsidR="004F1646" w:rsidRDefault="00A75131">
            <w:pPr>
              <w:pStyle w:val="TableParagraph"/>
              <w:spacing w:line="260" w:lineRule="exact"/>
              <w:ind w:left="95"/>
              <w:rPr>
                <w:sz w:val="24"/>
              </w:rPr>
            </w:pPr>
            <w:r>
              <w:rPr>
                <w:sz w:val="24"/>
              </w:rPr>
              <w:t>Support Actuaries</w:t>
            </w:r>
          </w:p>
        </w:tc>
        <w:tc>
          <w:tcPr>
            <w:tcW w:w="2520" w:type="dxa"/>
            <w:gridSpan w:val="2"/>
          </w:tcPr>
          <w:p w:rsidR="004F1646" w:rsidRDefault="00A75131">
            <w:pPr>
              <w:pStyle w:val="TableParagraph"/>
              <w:spacing w:line="260" w:lineRule="exact"/>
              <w:ind w:right="-1"/>
              <w:jc w:val="right"/>
              <w:rPr>
                <w:sz w:val="24"/>
              </w:rPr>
            </w:pPr>
            <w:r>
              <w:rPr>
                <w:sz w:val="24"/>
              </w:rPr>
              <w:t>9.50</w:t>
            </w:r>
          </w:p>
        </w:tc>
      </w:tr>
      <w:tr w:rsidR="004F1646" w:rsidTr="00B32203">
        <w:trPr>
          <w:trHeight w:hRule="exact" w:val="352"/>
        </w:trPr>
        <w:tc>
          <w:tcPr>
            <w:tcW w:w="2520" w:type="dxa"/>
          </w:tcPr>
          <w:p w:rsidR="004F1646" w:rsidRDefault="00A75131">
            <w:pPr>
              <w:pStyle w:val="TableParagraph"/>
              <w:ind w:left="95"/>
              <w:rPr>
                <w:sz w:val="24"/>
              </w:rPr>
            </w:pPr>
            <w:r>
              <w:rPr>
                <w:sz w:val="24"/>
              </w:rPr>
              <w:t>Actuarial Analyst</w:t>
            </w:r>
          </w:p>
        </w:tc>
        <w:tc>
          <w:tcPr>
            <w:tcW w:w="2520" w:type="dxa"/>
            <w:gridSpan w:val="2"/>
          </w:tcPr>
          <w:p w:rsidR="004F1646" w:rsidRDefault="00A75131">
            <w:pPr>
              <w:pStyle w:val="TableParagraph"/>
              <w:ind w:right="-1"/>
              <w:jc w:val="right"/>
              <w:rPr>
                <w:sz w:val="24"/>
              </w:rPr>
            </w:pPr>
            <w:r>
              <w:rPr>
                <w:sz w:val="24"/>
              </w:rPr>
              <w:t>14.00</w:t>
            </w:r>
          </w:p>
        </w:tc>
      </w:tr>
      <w:tr w:rsidR="004F1646" w:rsidTr="00B32203">
        <w:trPr>
          <w:trHeight w:hRule="exact" w:val="654"/>
        </w:trPr>
        <w:tc>
          <w:tcPr>
            <w:tcW w:w="2520" w:type="dxa"/>
          </w:tcPr>
          <w:p w:rsidR="004F1646" w:rsidRDefault="00A720A9">
            <w:pPr>
              <w:pStyle w:val="TableParagraph"/>
              <w:ind w:left="95"/>
              <w:rPr>
                <w:sz w:val="24"/>
              </w:rPr>
            </w:pPr>
            <w:r>
              <w:rPr>
                <w:sz w:val="24"/>
              </w:rPr>
              <w:t xml:space="preserve">Administrative </w:t>
            </w:r>
            <w:r w:rsidR="00A75131">
              <w:rPr>
                <w:sz w:val="24"/>
              </w:rPr>
              <w:t>Support</w:t>
            </w:r>
          </w:p>
        </w:tc>
        <w:tc>
          <w:tcPr>
            <w:tcW w:w="2520" w:type="dxa"/>
            <w:gridSpan w:val="2"/>
          </w:tcPr>
          <w:p w:rsidR="004F1646" w:rsidRDefault="00A75131">
            <w:pPr>
              <w:pStyle w:val="TableParagraph"/>
              <w:ind w:right="-1"/>
              <w:jc w:val="right"/>
              <w:rPr>
                <w:sz w:val="24"/>
              </w:rPr>
            </w:pPr>
            <w:r>
              <w:rPr>
                <w:sz w:val="24"/>
              </w:rPr>
              <w:t>9.50</w:t>
            </w:r>
          </w:p>
        </w:tc>
      </w:tr>
      <w:tr w:rsidR="004F1646" w:rsidTr="00B32203">
        <w:trPr>
          <w:trHeight w:hRule="exact" w:val="555"/>
        </w:trPr>
        <w:tc>
          <w:tcPr>
            <w:tcW w:w="2520" w:type="dxa"/>
          </w:tcPr>
          <w:p w:rsidR="004F1646" w:rsidRDefault="00A75131">
            <w:pPr>
              <w:pStyle w:val="TableParagraph"/>
              <w:spacing w:line="260" w:lineRule="exact"/>
              <w:ind w:left="95"/>
              <w:rPr>
                <w:sz w:val="24"/>
              </w:rPr>
            </w:pPr>
            <w:r>
              <w:rPr>
                <w:sz w:val="24"/>
              </w:rPr>
              <w:t>Actuarial Staff Hours</w:t>
            </w:r>
          </w:p>
        </w:tc>
        <w:tc>
          <w:tcPr>
            <w:tcW w:w="2520" w:type="dxa"/>
            <w:gridSpan w:val="2"/>
          </w:tcPr>
          <w:p w:rsidR="004F1646" w:rsidRDefault="00A75131">
            <w:pPr>
              <w:pStyle w:val="TableParagraph"/>
              <w:spacing w:line="260" w:lineRule="exact"/>
              <w:ind w:right="-1"/>
              <w:jc w:val="right"/>
              <w:rPr>
                <w:sz w:val="24"/>
              </w:rPr>
            </w:pPr>
            <w:r>
              <w:rPr>
                <w:sz w:val="24"/>
              </w:rPr>
              <w:t>29.00</w:t>
            </w:r>
          </w:p>
        </w:tc>
      </w:tr>
      <w:tr w:rsidR="004F1646" w:rsidTr="00B32203">
        <w:trPr>
          <w:trHeight w:hRule="exact" w:val="352"/>
        </w:trPr>
        <w:tc>
          <w:tcPr>
            <w:tcW w:w="2520" w:type="dxa"/>
          </w:tcPr>
          <w:p w:rsidR="004F1646" w:rsidRDefault="00A75131">
            <w:pPr>
              <w:pStyle w:val="TableParagraph"/>
              <w:spacing w:line="260" w:lineRule="exact"/>
              <w:ind w:left="95"/>
              <w:rPr>
                <w:sz w:val="24"/>
              </w:rPr>
            </w:pPr>
            <w:r>
              <w:rPr>
                <w:sz w:val="24"/>
              </w:rPr>
              <w:t>Total Staff Hours</w:t>
            </w:r>
          </w:p>
        </w:tc>
        <w:tc>
          <w:tcPr>
            <w:tcW w:w="2520" w:type="dxa"/>
            <w:gridSpan w:val="2"/>
          </w:tcPr>
          <w:p w:rsidR="004F1646" w:rsidRDefault="00A75131">
            <w:pPr>
              <w:pStyle w:val="TableParagraph"/>
              <w:spacing w:line="260" w:lineRule="exact"/>
              <w:ind w:right="-9"/>
              <w:jc w:val="right"/>
              <w:rPr>
                <w:sz w:val="24"/>
              </w:rPr>
            </w:pPr>
            <w:r>
              <w:rPr>
                <w:sz w:val="24"/>
              </w:rPr>
              <w:t>38.50</w:t>
            </w:r>
          </w:p>
        </w:tc>
      </w:tr>
      <w:tr w:rsidR="004F1646" w:rsidTr="00B32203">
        <w:trPr>
          <w:trHeight w:hRule="exact" w:val="717"/>
        </w:trPr>
        <w:tc>
          <w:tcPr>
            <w:tcW w:w="2520" w:type="dxa"/>
          </w:tcPr>
          <w:p w:rsidR="004F1646" w:rsidRDefault="00A75131">
            <w:pPr>
              <w:pStyle w:val="TableParagraph"/>
              <w:spacing w:before="6" w:line="272" w:lineRule="exact"/>
              <w:ind w:left="95"/>
              <w:rPr>
                <w:sz w:val="24"/>
              </w:rPr>
            </w:pPr>
            <w:r>
              <w:rPr>
                <w:sz w:val="24"/>
              </w:rPr>
              <w:t>Estimated Contractor Cost Per Review</w:t>
            </w:r>
          </w:p>
        </w:tc>
        <w:tc>
          <w:tcPr>
            <w:tcW w:w="2520" w:type="dxa"/>
            <w:gridSpan w:val="2"/>
          </w:tcPr>
          <w:p w:rsidR="004F1646" w:rsidRDefault="00A75131">
            <w:pPr>
              <w:pStyle w:val="TableParagraph"/>
              <w:ind w:right="-1"/>
              <w:jc w:val="right"/>
              <w:rPr>
                <w:sz w:val="24"/>
              </w:rPr>
            </w:pPr>
            <w:r>
              <w:rPr>
                <w:sz w:val="24"/>
              </w:rPr>
              <w:t>$7,198</w:t>
            </w:r>
          </w:p>
        </w:tc>
      </w:tr>
    </w:tbl>
    <w:p w:rsidR="004F1646" w:rsidRDefault="00A75131">
      <w:pPr>
        <w:spacing w:before="128"/>
        <w:ind w:left="680"/>
        <w:rPr>
          <w:sz w:val="24"/>
        </w:rPr>
      </w:pPr>
      <w:r>
        <w:rPr>
          <w:b/>
          <w:sz w:val="24"/>
        </w:rPr>
        <w:t xml:space="preserve">Total Annual Burden Hours: </w:t>
      </w:r>
      <w:r>
        <w:rPr>
          <w:sz w:val="24"/>
        </w:rPr>
        <w:t>42 reviews x 38.5 hours = 1,617 hours</w:t>
      </w:r>
    </w:p>
    <w:p w:rsidR="004F1646" w:rsidRDefault="00A75131">
      <w:pPr>
        <w:spacing w:before="12"/>
        <w:ind w:left="679"/>
        <w:rPr>
          <w:sz w:val="24"/>
        </w:rPr>
      </w:pPr>
      <w:r>
        <w:rPr>
          <w:b/>
          <w:sz w:val="24"/>
        </w:rPr>
        <w:t xml:space="preserve">Total Annual Costs: </w:t>
      </w:r>
      <w:r>
        <w:rPr>
          <w:sz w:val="24"/>
        </w:rPr>
        <w:t>42 reviews x $7,198 (cost per review) = $302,316</w:t>
      </w:r>
    </w:p>
    <w:p w:rsidR="004F1646" w:rsidRDefault="004F1646">
      <w:pPr>
        <w:pStyle w:val="BodyText"/>
        <w:spacing w:before="10"/>
        <w:rPr>
          <w:sz w:val="16"/>
        </w:rPr>
      </w:pPr>
    </w:p>
    <w:p w:rsidR="004F1646" w:rsidRPr="00A75131" w:rsidRDefault="00A75131" w:rsidP="00A720A9">
      <w:pPr>
        <w:pStyle w:val="Heading1"/>
        <w:numPr>
          <w:ilvl w:val="0"/>
          <w:numId w:val="1"/>
        </w:numPr>
        <w:tabs>
          <w:tab w:val="left" w:pos="489"/>
        </w:tabs>
        <w:spacing w:before="90"/>
        <w:ind w:left="489" w:hanging="374"/>
        <w:jc w:val="both"/>
        <w:rPr>
          <w:u w:val="none"/>
        </w:rPr>
      </w:pPr>
      <w:bookmarkStart w:id="19" w:name="15._Changes_to_Burden"/>
      <w:bookmarkEnd w:id="19"/>
      <w:r>
        <w:rPr>
          <w:u w:val="thick"/>
        </w:rPr>
        <w:t>Changes to</w:t>
      </w:r>
      <w:r>
        <w:rPr>
          <w:spacing w:val="13"/>
          <w:u w:val="thick"/>
        </w:rPr>
        <w:t xml:space="preserve"> </w:t>
      </w:r>
      <w:r>
        <w:rPr>
          <w:spacing w:val="2"/>
          <w:u w:val="thick"/>
        </w:rPr>
        <w:t>Burden</w:t>
      </w:r>
    </w:p>
    <w:p w:rsidR="00A75131" w:rsidRDefault="00A75131" w:rsidP="00A75131">
      <w:pPr>
        <w:pStyle w:val="Heading1"/>
        <w:tabs>
          <w:tab w:val="left" w:pos="489"/>
        </w:tabs>
        <w:spacing w:before="90"/>
        <w:ind w:left="488" w:firstLine="0"/>
        <w:jc w:val="right"/>
        <w:rPr>
          <w:u w:val="none"/>
        </w:rPr>
      </w:pPr>
    </w:p>
    <w:p w:rsidR="004F1646" w:rsidRPr="00A75131" w:rsidRDefault="00A75131" w:rsidP="00A720A9">
      <w:r>
        <w:t xml:space="preserve">There is an overall </w:t>
      </w:r>
      <w:r w:rsidRPr="00A75131">
        <w:t>decrease in</w:t>
      </w:r>
      <w:r>
        <w:t xml:space="preserve"> burden hours </w:t>
      </w:r>
      <w:r w:rsidR="0013391F">
        <w:t>from 41,213 hours to 20,462 hours.</w:t>
      </w:r>
    </w:p>
    <w:p w:rsidR="004F1646" w:rsidRPr="00A75131" w:rsidRDefault="004F1646" w:rsidP="00A75131"/>
    <w:p w:rsidR="004F1646" w:rsidRPr="00A75131" w:rsidRDefault="00A75131" w:rsidP="00A75131">
      <w:r w:rsidRPr="00A75131">
        <w:t xml:space="preserve">As a result of student health coverage being exempted from Federal rate review requirements, we expect a total reduction in the annual burden to issuers of approximately 440 hours.  We estimate that states will no longer submit rate increases for 40 student health insurance plans to CMS. We </w:t>
      </w:r>
      <w:r>
        <w:t xml:space="preserve">estimate </w:t>
      </w:r>
      <w:r w:rsidRPr="00A75131">
        <w:t xml:space="preserve">a </w:t>
      </w:r>
      <w:r>
        <w:t xml:space="preserve">reduction </w:t>
      </w:r>
      <w:r w:rsidRPr="00A75131">
        <w:t xml:space="preserve">in burden to states of </w:t>
      </w:r>
      <w:r>
        <w:t xml:space="preserve">approximately </w:t>
      </w:r>
      <w:r w:rsidRPr="00A75131">
        <w:t>40 hours annually.</w:t>
      </w:r>
    </w:p>
    <w:p w:rsidR="004F1646" w:rsidRDefault="004F1646">
      <w:pPr>
        <w:pStyle w:val="BodyText"/>
        <w:spacing w:before="7"/>
      </w:pPr>
    </w:p>
    <w:p w:rsidR="004F1646" w:rsidRPr="00A75131" w:rsidRDefault="00A75131" w:rsidP="00A75131">
      <w:r w:rsidRPr="00A75131">
        <w:t xml:space="preserve">We expect the adoption of URRT version 5.0 (Part I of the Rate Filing Justification) </w:t>
      </w:r>
      <w:r>
        <w:t xml:space="preserve">will reduce </w:t>
      </w:r>
      <w:r w:rsidRPr="00A75131">
        <w:t>the burden for issuers by 2 hours per submission. The total issuer burden will decrease by 1,832 hours annually.</w:t>
      </w:r>
    </w:p>
    <w:p w:rsidR="004F1646" w:rsidRPr="00A75131" w:rsidRDefault="004F1646" w:rsidP="00A75131"/>
    <w:p w:rsidR="004F1646" w:rsidRPr="00A75131" w:rsidRDefault="00A75131" w:rsidP="00A75131">
      <w:r w:rsidRPr="00A75131">
        <w:t xml:space="preserve">We expect the number of </w:t>
      </w:r>
      <w:r>
        <w:t xml:space="preserve">written </w:t>
      </w:r>
      <w:r w:rsidRPr="00A75131">
        <w:t>justifications (Part II of the Rate Filing Justif</w:t>
      </w:r>
      <w:r>
        <w:t xml:space="preserve">ication) </w:t>
      </w:r>
      <w:r w:rsidRPr="00A75131">
        <w:t xml:space="preserve">to decrease by 125 submissions due to the change in Federal default review threshold. The issuer burden will decrease by 187.5 </w:t>
      </w:r>
      <w:r>
        <w:t xml:space="preserve">hours annually </w:t>
      </w:r>
      <w:r w:rsidRPr="00A75131">
        <w:t xml:space="preserve">and the state burden </w:t>
      </w:r>
      <w:r>
        <w:t xml:space="preserve">will </w:t>
      </w:r>
      <w:r w:rsidRPr="00A75131">
        <w:t xml:space="preserve">decrease by </w:t>
      </w:r>
      <w:r>
        <w:t xml:space="preserve">4735.5 </w:t>
      </w:r>
      <w:r w:rsidRPr="00A75131">
        <w:t>hours annually.</w:t>
      </w:r>
    </w:p>
    <w:p w:rsidR="004F1646" w:rsidRDefault="004F1646">
      <w:pPr>
        <w:pStyle w:val="BodyText"/>
        <w:spacing w:before="8"/>
        <w:rPr>
          <w:sz w:val="16"/>
        </w:rPr>
      </w:pPr>
    </w:p>
    <w:p w:rsidR="004F1646" w:rsidRPr="00A75131" w:rsidRDefault="00A75131">
      <w:pPr>
        <w:pStyle w:val="Heading1"/>
        <w:numPr>
          <w:ilvl w:val="0"/>
          <w:numId w:val="1"/>
        </w:numPr>
        <w:tabs>
          <w:tab w:val="left" w:pos="489"/>
        </w:tabs>
        <w:spacing w:before="90"/>
        <w:ind w:left="488"/>
        <w:jc w:val="left"/>
        <w:rPr>
          <w:u w:val="none"/>
        </w:rPr>
      </w:pPr>
      <w:bookmarkStart w:id="20" w:name="16._Publication_and_Tabulation_Dates"/>
      <w:bookmarkEnd w:id="20"/>
      <w:r>
        <w:rPr>
          <w:u w:val="thick"/>
        </w:rPr>
        <w:t xml:space="preserve">Publication </w:t>
      </w:r>
      <w:r>
        <w:rPr>
          <w:spacing w:val="-5"/>
          <w:u w:val="thick"/>
        </w:rPr>
        <w:t xml:space="preserve">and </w:t>
      </w:r>
      <w:r>
        <w:rPr>
          <w:spacing w:val="-3"/>
          <w:u w:val="thick"/>
        </w:rPr>
        <w:t>Tabulation</w:t>
      </w:r>
      <w:r>
        <w:rPr>
          <w:spacing w:val="48"/>
          <w:u w:val="thick"/>
        </w:rPr>
        <w:t xml:space="preserve"> </w:t>
      </w:r>
      <w:r>
        <w:rPr>
          <w:spacing w:val="3"/>
          <w:u w:val="thick"/>
        </w:rPr>
        <w:t>Dates</w:t>
      </w:r>
    </w:p>
    <w:p w:rsidR="00A75131" w:rsidRDefault="00A75131" w:rsidP="00A75131">
      <w:pPr>
        <w:pStyle w:val="Heading1"/>
        <w:tabs>
          <w:tab w:val="left" w:pos="489"/>
        </w:tabs>
        <w:spacing w:before="90"/>
        <w:ind w:left="488" w:firstLine="0"/>
        <w:jc w:val="right"/>
        <w:rPr>
          <w:u w:val="none"/>
        </w:rPr>
      </w:pPr>
    </w:p>
    <w:p w:rsidR="004F1646" w:rsidRPr="00A75131" w:rsidRDefault="00A75131" w:rsidP="00A75131">
      <w:r w:rsidRPr="00A75131">
        <w:t xml:space="preserve">As part of consumer transparency and disclosure, information from the Rate Filing Justifications will be posted by HHS for all proposed rate increases and for all final rate changes. A final disposition of the rate review will also be posted and, if the rate change is </w:t>
      </w:r>
      <w:r>
        <w:t xml:space="preserve">identified </w:t>
      </w:r>
      <w:r w:rsidRPr="00A75131">
        <w:t xml:space="preserve">as unreasonable and implemented by the issuer, the issuer must also post a final justification </w:t>
      </w:r>
      <w:r>
        <w:t xml:space="preserve">as defined </w:t>
      </w:r>
      <w:r w:rsidRPr="00A75131">
        <w:t xml:space="preserve">in </w:t>
      </w:r>
      <w:r>
        <w:t xml:space="preserve">regulations within </w:t>
      </w:r>
      <w:r w:rsidRPr="00A75131">
        <w:t>10 business days.</w:t>
      </w:r>
    </w:p>
    <w:p w:rsidR="004F1646" w:rsidRPr="00A75131" w:rsidRDefault="004F1646" w:rsidP="00A75131"/>
    <w:p w:rsidR="004F1646" w:rsidRPr="00A75131" w:rsidRDefault="00A75131">
      <w:pPr>
        <w:pStyle w:val="Heading1"/>
        <w:numPr>
          <w:ilvl w:val="0"/>
          <w:numId w:val="1"/>
        </w:numPr>
        <w:tabs>
          <w:tab w:val="left" w:pos="489"/>
        </w:tabs>
        <w:spacing w:before="90"/>
        <w:ind w:left="488"/>
        <w:jc w:val="left"/>
        <w:rPr>
          <w:u w:val="none"/>
        </w:rPr>
      </w:pPr>
      <w:bookmarkStart w:id="21" w:name="17._Expiration_Date"/>
      <w:bookmarkEnd w:id="21"/>
      <w:r>
        <w:rPr>
          <w:u w:val="thick"/>
        </w:rPr>
        <w:t>Expiration</w:t>
      </w:r>
      <w:r>
        <w:rPr>
          <w:spacing w:val="-9"/>
          <w:u w:val="thick"/>
        </w:rPr>
        <w:t xml:space="preserve"> </w:t>
      </w:r>
      <w:r>
        <w:rPr>
          <w:u w:val="thick"/>
        </w:rPr>
        <w:t>Date</w:t>
      </w:r>
    </w:p>
    <w:p w:rsidR="00A75131" w:rsidRDefault="00A75131" w:rsidP="00A75131">
      <w:pPr>
        <w:pStyle w:val="Heading1"/>
        <w:tabs>
          <w:tab w:val="left" w:pos="489"/>
        </w:tabs>
        <w:spacing w:before="90"/>
        <w:ind w:left="488" w:firstLine="0"/>
        <w:jc w:val="right"/>
        <w:rPr>
          <w:u w:val="none"/>
        </w:rPr>
      </w:pPr>
    </w:p>
    <w:p w:rsidR="004F1646" w:rsidRPr="00A75131" w:rsidRDefault="00A75131" w:rsidP="00A75131">
      <w:r w:rsidRPr="00A75131">
        <w:t xml:space="preserve">The </w:t>
      </w:r>
      <w:r>
        <w:t xml:space="preserve">expiration </w:t>
      </w:r>
      <w:r w:rsidRPr="00A75131">
        <w:t xml:space="preserve">date </w:t>
      </w:r>
      <w:r>
        <w:t xml:space="preserve">will </w:t>
      </w:r>
      <w:r w:rsidRPr="00A75131">
        <w:t xml:space="preserve">be </w:t>
      </w:r>
      <w:r>
        <w:t xml:space="preserve">displayed </w:t>
      </w:r>
      <w:r w:rsidRPr="00A75131">
        <w:t xml:space="preserve">on each </w:t>
      </w:r>
      <w:r>
        <w:t>instrument</w:t>
      </w:r>
      <w:r w:rsidR="007042B5">
        <w:t>.</w:t>
      </w:r>
    </w:p>
    <w:sectPr w:rsidR="004F1646" w:rsidRPr="00A75131">
      <w:pgSz w:w="12240" w:h="15840"/>
      <w:pgMar w:top="1440" w:right="1280" w:bottom="1100" w:left="1320" w:header="0" w:footer="9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9AC" w:rsidRDefault="00FB39AC">
      <w:r>
        <w:separator/>
      </w:r>
    </w:p>
  </w:endnote>
  <w:endnote w:type="continuationSeparator" w:id="0">
    <w:p w:rsidR="00FB39AC" w:rsidRDefault="00FB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131" w:rsidRDefault="00A720A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5415E5C" wp14:editId="07CDA9A5">
              <wp:simplePos x="0" y="0"/>
              <wp:positionH relativeFrom="page">
                <wp:posOffset>3835400</wp:posOffset>
              </wp:positionH>
              <wp:positionV relativeFrom="page">
                <wp:posOffset>9338945</wp:posOffset>
              </wp:positionV>
              <wp:extent cx="104140" cy="172085"/>
              <wp:effectExtent l="0" t="4445"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131" w:rsidRDefault="00A75131">
                          <w:pPr>
                            <w:spacing w:before="18"/>
                            <w:ind w:left="40"/>
                            <w:rPr>
                              <w:sz w:val="20"/>
                            </w:rPr>
                          </w:pPr>
                          <w:r>
                            <w:fldChar w:fldCharType="begin"/>
                          </w:r>
                          <w:r>
                            <w:rPr>
                              <w:w w:val="83"/>
                              <w:sz w:val="20"/>
                            </w:rPr>
                            <w:instrText xml:space="preserve"> PAGE </w:instrText>
                          </w:r>
                          <w:r>
                            <w:fldChar w:fldCharType="separate"/>
                          </w:r>
                          <w:r w:rsidR="00CB61D2">
                            <w:rPr>
                              <w:noProof/>
                              <w:w w:val="83"/>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2pt;margin-top:735.35pt;width:8.2pt;height:13.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FOqQ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" filled="f" stroked="f">
              <v:textbox inset="0,0,0,0">
                <w:txbxContent>
                  <w:p w:rsidR="00A75131" w:rsidRDefault="00A75131">
                    <w:pPr>
                      <w:spacing w:before="18"/>
                      <w:ind w:left="40"/>
                      <w:rPr>
                        <w:sz w:val="20"/>
                      </w:rPr>
                    </w:pPr>
                    <w:r>
                      <w:fldChar w:fldCharType="begin"/>
                    </w:r>
                    <w:r>
                      <w:rPr>
                        <w:w w:val="83"/>
                        <w:sz w:val="20"/>
                      </w:rPr>
                      <w:instrText xml:space="preserve"> PAGE </w:instrText>
                    </w:r>
                    <w:r>
                      <w:fldChar w:fldCharType="separate"/>
                    </w:r>
                    <w:r w:rsidR="00CB61D2">
                      <w:rPr>
                        <w:noProof/>
                        <w:w w:val="83"/>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9AC" w:rsidRDefault="00FB39AC">
      <w:r>
        <w:separator/>
      </w:r>
    </w:p>
  </w:footnote>
  <w:footnote w:type="continuationSeparator" w:id="0">
    <w:p w:rsidR="00FB39AC" w:rsidRDefault="00FB3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931E4"/>
    <w:multiLevelType w:val="hybridMultilevel"/>
    <w:tmpl w:val="47948344"/>
    <w:lvl w:ilvl="0" w:tplc="714CE6F2">
      <w:start w:val="1"/>
      <w:numFmt w:val="decimal"/>
      <w:lvlText w:val="%1."/>
      <w:lvlJc w:val="left"/>
      <w:pPr>
        <w:ind w:left="487" w:hanging="368"/>
        <w:jc w:val="right"/>
      </w:pPr>
      <w:rPr>
        <w:rFonts w:hint="default"/>
        <w:spacing w:val="-8"/>
        <w:u w:val="thick" w:color="000000"/>
      </w:rPr>
    </w:lvl>
    <w:lvl w:ilvl="1" w:tplc="608C5CBC">
      <w:numFmt w:val="bullet"/>
      <w:lvlText w:val="•"/>
      <w:lvlJc w:val="left"/>
      <w:pPr>
        <w:ind w:left="1396" w:hanging="368"/>
      </w:pPr>
      <w:rPr>
        <w:rFonts w:hint="default"/>
      </w:rPr>
    </w:lvl>
    <w:lvl w:ilvl="2" w:tplc="1F542B84">
      <w:numFmt w:val="bullet"/>
      <w:lvlText w:val="•"/>
      <w:lvlJc w:val="left"/>
      <w:pPr>
        <w:ind w:left="2312" w:hanging="368"/>
      </w:pPr>
      <w:rPr>
        <w:rFonts w:hint="default"/>
      </w:rPr>
    </w:lvl>
    <w:lvl w:ilvl="3" w:tplc="EBAA6092">
      <w:numFmt w:val="bullet"/>
      <w:lvlText w:val="•"/>
      <w:lvlJc w:val="left"/>
      <w:pPr>
        <w:ind w:left="3228" w:hanging="368"/>
      </w:pPr>
      <w:rPr>
        <w:rFonts w:hint="default"/>
      </w:rPr>
    </w:lvl>
    <w:lvl w:ilvl="4" w:tplc="520876C8">
      <w:numFmt w:val="bullet"/>
      <w:lvlText w:val="•"/>
      <w:lvlJc w:val="left"/>
      <w:pPr>
        <w:ind w:left="4144" w:hanging="368"/>
      </w:pPr>
      <w:rPr>
        <w:rFonts w:hint="default"/>
      </w:rPr>
    </w:lvl>
    <w:lvl w:ilvl="5" w:tplc="4EA20C3A">
      <w:numFmt w:val="bullet"/>
      <w:lvlText w:val="•"/>
      <w:lvlJc w:val="left"/>
      <w:pPr>
        <w:ind w:left="5060" w:hanging="368"/>
      </w:pPr>
      <w:rPr>
        <w:rFonts w:hint="default"/>
      </w:rPr>
    </w:lvl>
    <w:lvl w:ilvl="6" w:tplc="6824A708">
      <w:numFmt w:val="bullet"/>
      <w:lvlText w:val="•"/>
      <w:lvlJc w:val="left"/>
      <w:pPr>
        <w:ind w:left="5976" w:hanging="368"/>
      </w:pPr>
      <w:rPr>
        <w:rFonts w:hint="default"/>
      </w:rPr>
    </w:lvl>
    <w:lvl w:ilvl="7" w:tplc="6E46CB20">
      <w:numFmt w:val="bullet"/>
      <w:lvlText w:val="•"/>
      <w:lvlJc w:val="left"/>
      <w:pPr>
        <w:ind w:left="6892" w:hanging="368"/>
      </w:pPr>
      <w:rPr>
        <w:rFonts w:hint="default"/>
      </w:rPr>
    </w:lvl>
    <w:lvl w:ilvl="8" w:tplc="0A2A27A8">
      <w:numFmt w:val="bullet"/>
      <w:lvlText w:val="•"/>
      <w:lvlJc w:val="left"/>
      <w:pPr>
        <w:ind w:left="7808" w:hanging="368"/>
      </w:pPr>
      <w:rPr>
        <w:rFonts w:hint="default"/>
      </w:rPr>
    </w:lvl>
  </w:abstractNum>
  <w:abstractNum w:abstractNumId="1">
    <w:nsid w:val="4D364522"/>
    <w:multiLevelType w:val="hybridMultilevel"/>
    <w:tmpl w:val="E6E443EA"/>
    <w:lvl w:ilvl="0" w:tplc="EDD825D6">
      <w:start w:val="1"/>
      <w:numFmt w:val="upperLetter"/>
      <w:lvlText w:val="%1."/>
      <w:lvlJc w:val="left"/>
      <w:pPr>
        <w:ind w:left="663" w:hanging="544"/>
        <w:jc w:val="left"/>
      </w:pPr>
      <w:rPr>
        <w:rFonts w:ascii="Times New Roman" w:eastAsia="Times New Roman" w:hAnsi="Times New Roman" w:cs="Times New Roman" w:hint="default"/>
        <w:b/>
        <w:bCs/>
        <w:spacing w:val="0"/>
        <w:w w:val="99"/>
        <w:sz w:val="24"/>
        <w:szCs w:val="24"/>
      </w:rPr>
    </w:lvl>
    <w:lvl w:ilvl="1" w:tplc="D7767900">
      <w:numFmt w:val="bullet"/>
      <w:lvlText w:val="•"/>
      <w:lvlJc w:val="left"/>
      <w:pPr>
        <w:ind w:left="1558" w:hanging="544"/>
      </w:pPr>
      <w:rPr>
        <w:rFonts w:hint="default"/>
      </w:rPr>
    </w:lvl>
    <w:lvl w:ilvl="2" w:tplc="884443A8">
      <w:numFmt w:val="bullet"/>
      <w:lvlText w:val="•"/>
      <w:lvlJc w:val="left"/>
      <w:pPr>
        <w:ind w:left="2456" w:hanging="544"/>
      </w:pPr>
      <w:rPr>
        <w:rFonts w:hint="default"/>
      </w:rPr>
    </w:lvl>
    <w:lvl w:ilvl="3" w:tplc="DFB84CDA">
      <w:numFmt w:val="bullet"/>
      <w:lvlText w:val="•"/>
      <w:lvlJc w:val="left"/>
      <w:pPr>
        <w:ind w:left="3354" w:hanging="544"/>
      </w:pPr>
      <w:rPr>
        <w:rFonts w:hint="default"/>
      </w:rPr>
    </w:lvl>
    <w:lvl w:ilvl="4" w:tplc="B2F6FF46">
      <w:numFmt w:val="bullet"/>
      <w:lvlText w:val="•"/>
      <w:lvlJc w:val="left"/>
      <w:pPr>
        <w:ind w:left="4252" w:hanging="544"/>
      </w:pPr>
      <w:rPr>
        <w:rFonts w:hint="default"/>
      </w:rPr>
    </w:lvl>
    <w:lvl w:ilvl="5" w:tplc="DE5C2216">
      <w:numFmt w:val="bullet"/>
      <w:lvlText w:val="•"/>
      <w:lvlJc w:val="left"/>
      <w:pPr>
        <w:ind w:left="5150" w:hanging="544"/>
      </w:pPr>
      <w:rPr>
        <w:rFonts w:hint="default"/>
      </w:rPr>
    </w:lvl>
    <w:lvl w:ilvl="6" w:tplc="21A2A292">
      <w:numFmt w:val="bullet"/>
      <w:lvlText w:val="•"/>
      <w:lvlJc w:val="left"/>
      <w:pPr>
        <w:ind w:left="6048" w:hanging="544"/>
      </w:pPr>
      <w:rPr>
        <w:rFonts w:hint="default"/>
      </w:rPr>
    </w:lvl>
    <w:lvl w:ilvl="7" w:tplc="337C7C04">
      <w:numFmt w:val="bullet"/>
      <w:lvlText w:val="•"/>
      <w:lvlJc w:val="left"/>
      <w:pPr>
        <w:ind w:left="6946" w:hanging="544"/>
      </w:pPr>
      <w:rPr>
        <w:rFonts w:hint="default"/>
      </w:rPr>
    </w:lvl>
    <w:lvl w:ilvl="8" w:tplc="035A0214">
      <w:numFmt w:val="bullet"/>
      <w:lvlText w:val="•"/>
      <w:lvlJc w:val="left"/>
      <w:pPr>
        <w:ind w:left="7844" w:hanging="54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646"/>
    <w:rsid w:val="00035C5A"/>
    <w:rsid w:val="0013391F"/>
    <w:rsid w:val="0015104E"/>
    <w:rsid w:val="002174FA"/>
    <w:rsid w:val="002857CA"/>
    <w:rsid w:val="002C596E"/>
    <w:rsid w:val="00343D58"/>
    <w:rsid w:val="00424A8F"/>
    <w:rsid w:val="004B301E"/>
    <w:rsid w:val="004C168D"/>
    <w:rsid w:val="004F1646"/>
    <w:rsid w:val="006966E6"/>
    <w:rsid w:val="006F5A78"/>
    <w:rsid w:val="007042B5"/>
    <w:rsid w:val="00754BA6"/>
    <w:rsid w:val="007D72B7"/>
    <w:rsid w:val="007F4063"/>
    <w:rsid w:val="009318A0"/>
    <w:rsid w:val="00981947"/>
    <w:rsid w:val="00A720A9"/>
    <w:rsid w:val="00A75131"/>
    <w:rsid w:val="00AA7236"/>
    <w:rsid w:val="00AD5485"/>
    <w:rsid w:val="00B32203"/>
    <w:rsid w:val="00C96C09"/>
    <w:rsid w:val="00CB61D2"/>
    <w:rsid w:val="00E81E40"/>
    <w:rsid w:val="00F03611"/>
    <w:rsid w:val="00FB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7" w:hanging="36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7" w:hanging="368"/>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104E"/>
    <w:rPr>
      <w:color w:val="0000FF" w:themeColor="hyperlink"/>
      <w:u w:val="single"/>
    </w:rPr>
  </w:style>
  <w:style w:type="character" w:styleId="CommentReference">
    <w:name w:val="annotation reference"/>
    <w:basedOn w:val="DefaultParagraphFont"/>
    <w:uiPriority w:val="99"/>
    <w:semiHidden/>
    <w:unhideWhenUsed/>
    <w:rsid w:val="00981947"/>
    <w:rPr>
      <w:sz w:val="16"/>
      <w:szCs w:val="16"/>
    </w:rPr>
  </w:style>
  <w:style w:type="paragraph" w:styleId="CommentText">
    <w:name w:val="annotation text"/>
    <w:basedOn w:val="Normal"/>
    <w:link w:val="CommentTextChar"/>
    <w:uiPriority w:val="99"/>
    <w:semiHidden/>
    <w:unhideWhenUsed/>
    <w:rsid w:val="00981947"/>
    <w:rPr>
      <w:sz w:val="20"/>
      <w:szCs w:val="20"/>
    </w:rPr>
  </w:style>
  <w:style w:type="character" w:customStyle="1" w:styleId="CommentTextChar">
    <w:name w:val="Comment Text Char"/>
    <w:basedOn w:val="DefaultParagraphFont"/>
    <w:link w:val="CommentText"/>
    <w:uiPriority w:val="99"/>
    <w:semiHidden/>
    <w:rsid w:val="0098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947"/>
    <w:rPr>
      <w:b/>
      <w:bCs/>
    </w:rPr>
  </w:style>
  <w:style w:type="character" w:customStyle="1" w:styleId="CommentSubjectChar">
    <w:name w:val="Comment Subject Char"/>
    <w:basedOn w:val="CommentTextChar"/>
    <w:link w:val="CommentSubject"/>
    <w:uiPriority w:val="99"/>
    <w:semiHidden/>
    <w:rsid w:val="009819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94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7" w:hanging="368"/>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7" w:hanging="368"/>
    </w:pPr>
    <w:rPr>
      <w:u w:val="single" w:color="000000"/>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104E"/>
    <w:rPr>
      <w:color w:val="0000FF" w:themeColor="hyperlink"/>
      <w:u w:val="single"/>
    </w:rPr>
  </w:style>
  <w:style w:type="character" w:styleId="CommentReference">
    <w:name w:val="annotation reference"/>
    <w:basedOn w:val="DefaultParagraphFont"/>
    <w:uiPriority w:val="99"/>
    <w:semiHidden/>
    <w:unhideWhenUsed/>
    <w:rsid w:val="00981947"/>
    <w:rPr>
      <w:sz w:val="16"/>
      <w:szCs w:val="16"/>
    </w:rPr>
  </w:style>
  <w:style w:type="paragraph" w:styleId="CommentText">
    <w:name w:val="annotation text"/>
    <w:basedOn w:val="Normal"/>
    <w:link w:val="CommentTextChar"/>
    <w:uiPriority w:val="99"/>
    <w:semiHidden/>
    <w:unhideWhenUsed/>
    <w:rsid w:val="00981947"/>
    <w:rPr>
      <w:sz w:val="20"/>
      <w:szCs w:val="20"/>
    </w:rPr>
  </w:style>
  <w:style w:type="character" w:customStyle="1" w:styleId="CommentTextChar">
    <w:name w:val="Comment Text Char"/>
    <w:basedOn w:val="DefaultParagraphFont"/>
    <w:link w:val="CommentText"/>
    <w:uiPriority w:val="99"/>
    <w:semiHidden/>
    <w:rsid w:val="00981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1947"/>
    <w:rPr>
      <w:b/>
      <w:bCs/>
    </w:rPr>
  </w:style>
  <w:style w:type="character" w:customStyle="1" w:styleId="CommentSubjectChar">
    <w:name w:val="Comment Subject Char"/>
    <w:basedOn w:val="CommentTextChar"/>
    <w:link w:val="CommentSubject"/>
    <w:uiPriority w:val="99"/>
    <w:semiHidden/>
    <w:rsid w:val="0098194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81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9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3405</Words>
  <Characters>19412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CMS-10379 Supporting Statement</vt:lpstr>
    </vt:vector>
  </TitlesOfParts>
  <Company>CMS</Company>
  <LinksUpToDate>false</LinksUpToDate>
  <CharactersWithSpaces>22772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CMS-10379 Supporting Statement</dc:title>
  <dc:subject>Oversight</dc:subject>
  <dc:creator>CCIIO</dc:creator>
  <cp:lastModifiedBy>SYSTEM</cp:lastModifiedBy>
  <cp:revision>2</cp:revision>
  <dcterms:created xsi:type="dcterms:W3CDTF">2019-08-29T01:28:00Z</dcterms:created>
  <dcterms:modified xsi:type="dcterms:W3CDTF">2019-08-29T01:28:00Z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Acrobat PDFMaker 15 for Word</vt:lpwstr>
  </property>
  <property fmtid="{D5CDD505-2E9C-101B-9397-08002B2CF9AE}" pid="4" name="LastSaved">
    <vt:filetime>2019-04-04T00:00:00Z</vt:filetime>
  </property>
</Properties>
</file>