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4D800" w14:textId="77777777" w:rsidR="00FC633E" w:rsidRPr="00FC633E" w:rsidRDefault="00FC633E" w:rsidP="005453AD">
      <w:pPr>
        <w:jc w:val="center"/>
        <w:rPr>
          <w:sz w:val="28"/>
          <w:szCs w:val="28"/>
        </w:rPr>
      </w:pPr>
      <w:bookmarkStart w:id="0" w:name="_GoBack"/>
      <w:bookmarkEnd w:id="0"/>
    </w:p>
    <w:p w14:paraId="777F5C53" w14:textId="77777777" w:rsidR="00FC633E" w:rsidRDefault="00FC633E" w:rsidP="005453AD">
      <w:pPr>
        <w:jc w:val="center"/>
        <w:rPr>
          <w:b/>
          <w:sz w:val="28"/>
          <w:szCs w:val="28"/>
        </w:rPr>
      </w:pPr>
    </w:p>
    <w:p w14:paraId="6C05E4AB" w14:textId="77777777" w:rsidR="005453AD" w:rsidRDefault="005453AD" w:rsidP="005453AD">
      <w:pPr>
        <w:jc w:val="center"/>
        <w:rPr>
          <w:b/>
          <w:sz w:val="28"/>
          <w:szCs w:val="28"/>
        </w:rPr>
      </w:pPr>
      <w:r w:rsidRPr="00456179">
        <w:rPr>
          <w:b/>
          <w:sz w:val="28"/>
          <w:szCs w:val="28"/>
        </w:rPr>
        <w:t>SUPPORTING STATEMENT</w:t>
      </w:r>
    </w:p>
    <w:p w14:paraId="39227287" w14:textId="77777777" w:rsidR="00FC633E" w:rsidRDefault="00FC633E" w:rsidP="005453AD">
      <w:pPr>
        <w:jc w:val="center"/>
        <w:rPr>
          <w:b/>
          <w:sz w:val="28"/>
          <w:szCs w:val="28"/>
        </w:rPr>
      </w:pPr>
    </w:p>
    <w:p w14:paraId="79906900" w14:textId="77777777" w:rsidR="005453AD" w:rsidRDefault="005453AD" w:rsidP="005453AD">
      <w:pPr>
        <w:jc w:val="center"/>
        <w:rPr>
          <w:sz w:val="28"/>
          <w:szCs w:val="28"/>
        </w:rPr>
      </w:pPr>
      <w:r>
        <w:rPr>
          <w:b/>
          <w:sz w:val="28"/>
          <w:szCs w:val="28"/>
        </w:rPr>
        <w:t>Part B</w:t>
      </w:r>
    </w:p>
    <w:p w14:paraId="34191B8A" w14:textId="77777777" w:rsidR="005453AD" w:rsidRDefault="005453AD" w:rsidP="005453AD">
      <w:pPr>
        <w:jc w:val="center"/>
        <w:rPr>
          <w:sz w:val="28"/>
          <w:szCs w:val="28"/>
        </w:rPr>
      </w:pPr>
    </w:p>
    <w:p w14:paraId="42423E65" w14:textId="77777777" w:rsidR="005453AD" w:rsidRDefault="005453AD" w:rsidP="005453AD">
      <w:pPr>
        <w:jc w:val="center"/>
        <w:rPr>
          <w:sz w:val="28"/>
          <w:szCs w:val="28"/>
        </w:rPr>
      </w:pPr>
    </w:p>
    <w:p w14:paraId="02608A8D" w14:textId="77777777" w:rsidR="005453AD" w:rsidRDefault="005453AD" w:rsidP="005453AD">
      <w:pPr>
        <w:jc w:val="center"/>
        <w:rPr>
          <w:sz w:val="28"/>
          <w:szCs w:val="28"/>
        </w:rPr>
      </w:pPr>
    </w:p>
    <w:p w14:paraId="4CAFFF3D" w14:textId="77777777" w:rsidR="005453AD" w:rsidRDefault="005453AD" w:rsidP="005453AD">
      <w:pPr>
        <w:jc w:val="center"/>
        <w:rPr>
          <w:sz w:val="28"/>
          <w:szCs w:val="28"/>
        </w:rPr>
      </w:pPr>
    </w:p>
    <w:p w14:paraId="16DFB3F6" w14:textId="77777777" w:rsidR="005453AD" w:rsidRDefault="005453AD" w:rsidP="005453AD">
      <w:pPr>
        <w:jc w:val="center"/>
        <w:rPr>
          <w:sz w:val="28"/>
          <w:szCs w:val="28"/>
        </w:rPr>
      </w:pPr>
    </w:p>
    <w:p w14:paraId="1F07A4F5" w14:textId="77777777" w:rsidR="005453AD" w:rsidRDefault="005453AD" w:rsidP="005453AD">
      <w:pPr>
        <w:jc w:val="center"/>
        <w:rPr>
          <w:sz w:val="28"/>
          <w:szCs w:val="28"/>
        </w:rPr>
      </w:pPr>
    </w:p>
    <w:p w14:paraId="03501483" w14:textId="77777777" w:rsidR="005453AD" w:rsidRDefault="00CE35CA" w:rsidP="005453AD">
      <w:pPr>
        <w:jc w:val="center"/>
        <w:rPr>
          <w:sz w:val="28"/>
          <w:szCs w:val="28"/>
        </w:rPr>
      </w:pPr>
      <w:r w:rsidRPr="00CE35CA">
        <w:rPr>
          <w:i/>
          <w:sz w:val="28"/>
          <w:szCs w:val="28"/>
        </w:rPr>
        <w:t>Evaluating and Implementing the Six Building Blocks Team Approach to Improve Opioid Management in Primary Care</w:t>
      </w:r>
    </w:p>
    <w:p w14:paraId="322FA056" w14:textId="77777777" w:rsidR="005453AD" w:rsidRDefault="005453AD" w:rsidP="005453AD">
      <w:pPr>
        <w:jc w:val="center"/>
        <w:rPr>
          <w:sz w:val="28"/>
          <w:szCs w:val="28"/>
        </w:rPr>
      </w:pPr>
    </w:p>
    <w:p w14:paraId="6826C64E" w14:textId="77777777" w:rsidR="005453AD" w:rsidRDefault="005453AD" w:rsidP="005453AD">
      <w:pPr>
        <w:jc w:val="center"/>
        <w:rPr>
          <w:sz w:val="28"/>
          <w:szCs w:val="28"/>
        </w:rPr>
      </w:pPr>
    </w:p>
    <w:p w14:paraId="32927E9F" w14:textId="77777777" w:rsidR="005453AD" w:rsidRDefault="005453AD" w:rsidP="005453AD">
      <w:pPr>
        <w:jc w:val="center"/>
        <w:rPr>
          <w:sz w:val="28"/>
          <w:szCs w:val="28"/>
        </w:rPr>
      </w:pPr>
    </w:p>
    <w:p w14:paraId="39105CE6" w14:textId="37A3DCDB" w:rsidR="00FC633E" w:rsidRPr="00C4006D" w:rsidRDefault="0075719A" w:rsidP="00FC633E">
      <w:pPr>
        <w:jc w:val="center"/>
        <w:rPr>
          <w:i/>
          <w:sz w:val="28"/>
          <w:szCs w:val="28"/>
        </w:rPr>
      </w:pPr>
      <w:r>
        <w:rPr>
          <w:i/>
          <w:sz w:val="28"/>
          <w:szCs w:val="28"/>
        </w:rPr>
        <w:t>February</w:t>
      </w:r>
      <w:r w:rsidR="00DC412D">
        <w:rPr>
          <w:i/>
          <w:sz w:val="28"/>
          <w:szCs w:val="28"/>
        </w:rPr>
        <w:t xml:space="preserve"> </w:t>
      </w:r>
      <w:r w:rsidR="002928AE">
        <w:rPr>
          <w:i/>
          <w:sz w:val="28"/>
          <w:szCs w:val="28"/>
        </w:rPr>
        <w:t>1</w:t>
      </w:r>
      <w:r w:rsidR="00CE35CA">
        <w:rPr>
          <w:i/>
          <w:sz w:val="28"/>
          <w:szCs w:val="28"/>
        </w:rPr>
        <w:t>, 2019</w:t>
      </w:r>
    </w:p>
    <w:p w14:paraId="43C8B3CE" w14:textId="77777777" w:rsidR="005453AD" w:rsidRDefault="005453AD" w:rsidP="005453AD">
      <w:pPr>
        <w:jc w:val="center"/>
        <w:rPr>
          <w:sz w:val="28"/>
          <w:szCs w:val="28"/>
        </w:rPr>
      </w:pPr>
    </w:p>
    <w:p w14:paraId="05A6ADEC" w14:textId="77777777" w:rsidR="005453AD" w:rsidRDefault="005453AD" w:rsidP="005453AD">
      <w:pPr>
        <w:jc w:val="center"/>
        <w:rPr>
          <w:sz w:val="28"/>
          <w:szCs w:val="28"/>
        </w:rPr>
      </w:pPr>
    </w:p>
    <w:p w14:paraId="666AE02B" w14:textId="77777777" w:rsidR="005453AD" w:rsidRDefault="005453AD" w:rsidP="005453AD">
      <w:pPr>
        <w:jc w:val="center"/>
        <w:rPr>
          <w:sz w:val="28"/>
          <w:szCs w:val="28"/>
        </w:rPr>
      </w:pPr>
    </w:p>
    <w:p w14:paraId="2D26BC9F" w14:textId="77777777" w:rsidR="005453AD" w:rsidRDefault="005453AD" w:rsidP="005453AD">
      <w:pPr>
        <w:jc w:val="center"/>
        <w:rPr>
          <w:sz w:val="28"/>
          <w:szCs w:val="28"/>
        </w:rPr>
      </w:pPr>
    </w:p>
    <w:p w14:paraId="421EE1EC" w14:textId="77777777" w:rsidR="005453AD" w:rsidRDefault="005453AD" w:rsidP="005453AD">
      <w:pPr>
        <w:jc w:val="center"/>
        <w:rPr>
          <w:sz w:val="28"/>
          <w:szCs w:val="28"/>
        </w:rPr>
      </w:pPr>
    </w:p>
    <w:p w14:paraId="35CE037C" w14:textId="77777777" w:rsidR="005453AD" w:rsidRDefault="005453AD" w:rsidP="005453AD">
      <w:pPr>
        <w:jc w:val="center"/>
        <w:rPr>
          <w:sz w:val="28"/>
          <w:szCs w:val="28"/>
        </w:rPr>
      </w:pPr>
    </w:p>
    <w:p w14:paraId="3B688357" w14:textId="77777777" w:rsidR="005453AD" w:rsidRDefault="005453AD" w:rsidP="005453AD">
      <w:pPr>
        <w:jc w:val="center"/>
        <w:rPr>
          <w:sz w:val="28"/>
          <w:szCs w:val="28"/>
        </w:rPr>
      </w:pPr>
    </w:p>
    <w:p w14:paraId="33836B89" w14:textId="77777777" w:rsidR="005453AD" w:rsidRDefault="005453AD" w:rsidP="005453AD">
      <w:pPr>
        <w:jc w:val="center"/>
        <w:rPr>
          <w:sz w:val="28"/>
          <w:szCs w:val="28"/>
        </w:rPr>
      </w:pPr>
    </w:p>
    <w:p w14:paraId="53C132D2" w14:textId="77777777" w:rsidR="005453AD" w:rsidRDefault="005453AD" w:rsidP="005453AD">
      <w:pPr>
        <w:jc w:val="center"/>
        <w:rPr>
          <w:sz w:val="28"/>
          <w:szCs w:val="28"/>
        </w:rPr>
      </w:pPr>
      <w:r w:rsidRPr="00677A0B">
        <w:rPr>
          <w:sz w:val="28"/>
          <w:szCs w:val="28"/>
        </w:rPr>
        <w:t>Agency of Healthcare Research and Quality (AHRQ)</w:t>
      </w:r>
    </w:p>
    <w:p w14:paraId="35C78A24" w14:textId="77777777" w:rsidR="005453AD" w:rsidRDefault="005453AD" w:rsidP="005453AD">
      <w:pPr>
        <w:rPr>
          <w:sz w:val="28"/>
          <w:szCs w:val="28"/>
        </w:rPr>
      </w:pPr>
    </w:p>
    <w:p w14:paraId="430B577A" w14:textId="77777777" w:rsidR="005453AD" w:rsidRDefault="005453AD" w:rsidP="005453AD">
      <w:pPr>
        <w:rPr>
          <w:sz w:val="28"/>
          <w:szCs w:val="28"/>
        </w:rPr>
      </w:pPr>
    </w:p>
    <w:p w14:paraId="2527B957" w14:textId="77777777" w:rsidR="005453AD" w:rsidRDefault="005453AD" w:rsidP="005453AD">
      <w:pPr>
        <w:jc w:val="center"/>
        <w:rPr>
          <w:b/>
        </w:rPr>
      </w:pPr>
      <w:r>
        <w:br w:type="page"/>
      </w:r>
      <w:r w:rsidRPr="001D0454">
        <w:rPr>
          <w:b/>
        </w:rPr>
        <w:lastRenderedPageBreak/>
        <w:t>Table of contents</w:t>
      </w:r>
    </w:p>
    <w:p w14:paraId="7FFE0629" w14:textId="77777777" w:rsidR="005453AD" w:rsidRDefault="005453AD" w:rsidP="00FC633E"/>
    <w:p w14:paraId="4F3F3EA4" w14:textId="77777777" w:rsidR="00FC633E" w:rsidRDefault="00FC633E" w:rsidP="00FC633E">
      <w:pPr>
        <w:tabs>
          <w:tab w:val="left" w:leader="dot" w:pos="8460"/>
        </w:tabs>
      </w:pPr>
      <w:r w:rsidRPr="00FC633E">
        <w:t>B. Collections of Information Employing Statistical Methods</w:t>
      </w:r>
      <w:r>
        <w:tab/>
        <w:t>3</w:t>
      </w:r>
    </w:p>
    <w:p w14:paraId="4852FB36" w14:textId="77777777" w:rsidR="00FC633E" w:rsidRDefault="00FC633E" w:rsidP="00FC633E">
      <w:pPr>
        <w:tabs>
          <w:tab w:val="left" w:pos="360"/>
          <w:tab w:val="left" w:leader="dot" w:pos="8460"/>
        </w:tabs>
      </w:pPr>
      <w:r>
        <w:tab/>
        <w:t xml:space="preserve">1. </w:t>
      </w:r>
      <w:r w:rsidRPr="00FC633E">
        <w:t>Respondent universe and sampling methods</w:t>
      </w:r>
      <w:r>
        <w:tab/>
      </w:r>
    </w:p>
    <w:p w14:paraId="327C1418" w14:textId="77777777" w:rsidR="00FC633E" w:rsidRDefault="00FC633E" w:rsidP="00FC633E">
      <w:pPr>
        <w:tabs>
          <w:tab w:val="left" w:pos="360"/>
          <w:tab w:val="left" w:leader="dot" w:pos="8460"/>
        </w:tabs>
      </w:pPr>
      <w:r>
        <w:tab/>
        <w:t xml:space="preserve">2. </w:t>
      </w:r>
      <w:r w:rsidRPr="00FC633E">
        <w:t>Information Collection Procedures</w:t>
      </w:r>
      <w:r>
        <w:tab/>
      </w:r>
    </w:p>
    <w:p w14:paraId="5D1BAF83" w14:textId="77777777" w:rsidR="00FC633E" w:rsidRDefault="00FC633E" w:rsidP="00FC633E">
      <w:pPr>
        <w:tabs>
          <w:tab w:val="left" w:pos="360"/>
          <w:tab w:val="left" w:leader="dot" w:pos="8460"/>
        </w:tabs>
      </w:pPr>
      <w:r>
        <w:tab/>
        <w:t xml:space="preserve">3. </w:t>
      </w:r>
      <w:r w:rsidRPr="00FC633E">
        <w:t>Methods to Maximize Response Rates</w:t>
      </w:r>
      <w:r>
        <w:tab/>
      </w:r>
    </w:p>
    <w:p w14:paraId="0A2929C8" w14:textId="77777777" w:rsidR="00FC633E" w:rsidRDefault="00FC633E" w:rsidP="00FC633E">
      <w:pPr>
        <w:tabs>
          <w:tab w:val="left" w:pos="360"/>
          <w:tab w:val="left" w:leader="dot" w:pos="8460"/>
        </w:tabs>
      </w:pPr>
      <w:r>
        <w:tab/>
        <w:t xml:space="preserve">4. </w:t>
      </w:r>
      <w:r w:rsidRPr="00FC633E">
        <w:t>Tests of Procedures</w:t>
      </w:r>
      <w:r>
        <w:tab/>
      </w:r>
    </w:p>
    <w:p w14:paraId="6834946D" w14:textId="77777777" w:rsidR="00FC633E" w:rsidRPr="00FC633E" w:rsidRDefault="00FC633E" w:rsidP="00FC633E">
      <w:pPr>
        <w:tabs>
          <w:tab w:val="left" w:pos="360"/>
          <w:tab w:val="left" w:leader="dot" w:pos="8460"/>
        </w:tabs>
      </w:pPr>
      <w:r>
        <w:tab/>
        <w:t xml:space="preserve">5. </w:t>
      </w:r>
      <w:r w:rsidRPr="00FC633E">
        <w:t>Statistical Consultants</w:t>
      </w:r>
      <w:r>
        <w:tab/>
      </w:r>
    </w:p>
    <w:p w14:paraId="442F1155" w14:textId="77777777" w:rsidR="00874B68" w:rsidRDefault="00874B68" w:rsidP="00874B68">
      <w:bookmarkStart w:id="1" w:name="_Toc151782198"/>
      <w:bookmarkStart w:id="2" w:name="_Toc158526234"/>
    </w:p>
    <w:p w14:paraId="5CB8CDC2" w14:textId="77777777" w:rsidR="00874B68" w:rsidRDefault="00874B68" w:rsidP="00874B68"/>
    <w:p w14:paraId="38BA6A30" w14:textId="77777777" w:rsidR="00874B68" w:rsidRDefault="00874B68" w:rsidP="00874B68"/>
    <w:p w14:paraId="62887DB1" w14:textId="77777777" w:rsidR="00874B68" w:rsidRDefault="00874B68" w:rsidP="00874B68"/>
    <w:p w14:paraId="294AC95E" w14:textId="77777777" w:rsidR="00874B68" w:rsidRDefault="00874B68" w:rsidP="00874B68"/>
    <w:p w14:paraId="351BDB5D" w14:textId="77777777" w:rsidR="00874B68" w:rsidRDefault="00874B68" w:rsidP="00874B68"/>
    <w:p w14:paraId="08BB4BD1" w14:textId="77777777" w:rsidR="00874B68" w:rsidRDefault="00874B68" w:rsidP="00874B68"/>
    <w:p w14:paraId="145839EA" w14:textId="77777777" w:rsidR="00874B68" w:rsidRDefault="00874B68" w:rsidP="00874B68"/>
    <w:p w14:paraId="17B28733" w14:textId="77777777" w:rsidR="00874B68" w:rsidRDefault="00874B68" w:rsidP="00874B68"/>
    <w:p w14:paraId="36F9640E" w14:textId="77777777" w:rsidR="00874B68" w:rsidRDefault="00874B68" w:rsidP="00874B68"/>
    <w:p w14:paraId="18802D3A" w14:textId="77777777" w:rsidR="00874B68" w:rsidRDefault="00874B68" w:rsidP="00874B68"/>
    <w:p w14:paraId="0853D022" w14:textId="77777777" w:rsidR="00874B68" w:rsidRDefault="00874B68" w:rsidP="00874B68"/>
    <w:p w14:paraId="12645576" w14:textId="77777777" w:rsidR="00874B68" w:rsidRDefault="00874B68" w:rsidP="00874B68"/>
    <w:p w14:paraId="2E2F50AE" w14:textId="77777777" w:rsidR="00874B68" w:rsidRDefault="00874B68" w:rsidP="00874B68"/>
    <w:p w14:paraId="6837019E" w14:textId="77777777" w:rsidR="00874B68" w:rsidRDefault="00874B68" w:rsidP="00874B68"/>
    <w:p w14:paraId="21460582" w14:textId="77777777" w:rsidR="00874B68" w:rsidRDefault="00874B68" w:rsidP="00874B68"/>
    <w:p w14:paraId="164E106A" w14:textId="77777777" w:rsidR="00874B68" w:rsidRDefault="00874B68" w:rsidP="00874B68"/>
    <w:p w14:paraId="4BD87139" w14:textId="77777777" w:rsidR="00874B68" w:rsidRDefault="00874B68" w:rsidP="00874B68"/>
    <w:p w14:paraId="497C72D2" w14:textId="77777777" w:rsidR="00874B68" w:rsidRDefault="00874B68" w:rsidP="00874B68"/>
    <w:p w14:paraId="464DB755" w14:textId="77777777" w:rsidR="00874B68" w:rsidRDefault="00874B68" w:rsidP="00874B68"/>
    <w:p w14:paraId="2E7F17F0" w14:textId="77777777" w:rsidR="00874B68" w:rsidRDefault="00874B68" w:rsidP="00874B68"/>
    <w:p w14:paraId="5CC626C8" w14:textId="77777777" w:rsidR="00874B68" w:rsidRDefault="00874B68" w:rsidP="00874B68"/>
    <w:p w14:paraId="38CAA345" w14:textId="77777777" w:rsidR="00874B68" w:rsidRDefault="00874B68" w:rsidP="00874B68"/>
    <w:p w14:paraId="50E65506" w14:textId="77777777" w:rsidR="00874B68" w:rsidRDefault="00874B68" w:rsidP="00874B68"/>
    <w:p w14:paraId="2F58A18B" w14:textId="77777777" w:rsidR="00874B68" w:rsidRDefault="00874B68" w:rsidP="00874B68"/>
    <w:p w14:paraId="763A2D94" w14:textId="77777777" w:rsidR="00874B68" w:rsidRDefault="00874B68" w:rsidP="00874B68"/>
    <w:p w14:paraId="30F39009" w14:textId="77777777" w:rsidR="00874B68" w:rsidRDefault="00874B68" w:rsidP="00874B68"/>
    <w:p w14:paraId="0AE97A1F" w14:textId="77777777" w:rsidR="00874B68" w:rsidRDefault="00874B68" w:rsidP="00874B68"/>
    <w:p w14:paraId="39FEAA5D" w14:textId="77777777" w:rsidR="00874B68" w:rsidRDefault="00874B68" w:rsidP="00874B68"/>
    <w:p w14:paraId="79DA86FA" w14:textId="77777777" w:rsidR="00874B68" w:rsidRDefault="00874B68" w:rsidP="00874B68"/>
    <w:p w14:paraId="4F7912D0" w14:textId="77777777" w:rsidR="00874B68" w:rsidRDefault="00874B68" w:rsidP="00874B68"/>
    <w:p w14:paraId="72D3A846" w14:textId="77777777" w:rsidR="00874B68" w:rsidRDefault="00874B68" w:rsidP="00874B68"/>
    <w:p w14:paraId="3CEB8927" w14:textId="77777777" w:rsidR="00874B68" w:rsidRDefault="00874B68" w:rsidP="00874B68"/>
    <w:p w14:paraId="32F98399" w14:textId="77777777" w:rsidR="00874B68" w:rsidRDefault="00874B68" w:rsidP="00874B68"/>
    <w:p w14:paraId="293A43AC" w14:textId="77777777" w:rsidR="00874B68" w:rsidRDefault="00874B68" w:rsidP="00874B68"/>
    <w:p w14:paraId="3B42F513" w14:textId="77777777" w:rsidR="002837E3" w:rsidRDefault="002837E3" w:rsidP="005453AD">
      <w:pPr>
        <w:pStyle w:val="Heading1"/>
        <w:rPr>
          <w:sz w:val="24"/>
          <w:szCs w:val="24"/>
        </w:rPr>
      </w:pPr>
    </w:p>
    <w:p w14:paraId="12C0C0B5" w14:textId="77777777" w:rsidR="005453AD" w:rsidRPr="00FC633E" w:rsidRDefault="005453AD" w:rsidP="005453AD">
      <w:pPr>
        <w:pStyle w:val="Heading1"/>
        <w:rPr>
          <w:sz w:val="24"/>
          <w:szCs w:val="24"/>
        </w:rPr>
      </w:pPr>
      <w:r w:rsidRPr="00FC633E">
        <w:rPr>
          <w:sz w:val="24"/>
          <w:szCs w:val="24"/>
        </w:rPr>
        <w:t>B. Collections of Information Employing Statistical Methods</w:t>
      </w:r>
      <w:bookmarkEnd w:id="1"/>
      <w:bookmarkEnd w:id="2"/>
    </w:p>
    <w:p w14:paraId="07AD9B53" w14:textId="77777777" w:rsidR="006A09B7" w:rsidRPr="00874B68" w:rsidRDefault="006A09B7" w:rsidP="00874B68"/>
    <w:p w14:paraId="2A2C8224" w14:textId="77777777" w:rsidR="005453AD" w:rsidRPr="001D0454" w:rsidRDefault="005453AD" w:rsidP="005453AD">
      <w:pPr>
        <w:pStyle w:val="Heading2"/>
        <w:spacing w:before="0" w:after="0"/>
        <w:rPr>
          <w:sz w:val="24"/>
        </w:rPr>
      </w:pPr>
      <w:bookmarkStart w:id="3" w:name="_Toc151782199"/>
      <w:bookmarkStart w:id="4" w:name="_Toc158526235"/>
      <w:r w:rsidRPr="001D0454">
        <w:rPr>
          <w:sz w:val="24"/>
        </w:rPr>
        <w:t>1. Respondent universe and sampling methods</w:t>
      </w:r>
      <w:bookmarkEnd w:id="3"/>
      <w:bookmarkEnd w:id="4"/>
    </w:p>
    <w:p w14:paraId="08896165" w14:textId="5291D5B0" w:rsidR="00CE35CA" w:rsidRDefault="00373091" w:rsidP="00CE35CA">
      <w:r>
        <w:t>Twelve</w:t>
      </w:r>
      <w:r w:rsidR="00CE35CA">
        <w:t xml:space="preserve"> health care organizations</w:t>
      </w:r>
      <w:r w:rsidR="002928AE">
        <w:t xml:space="preserve"> will be recruited to implement </w:t>
      </w:r>
      <w:r w:rsidR="002928AE" w:rsidRPr="002928AE">
        <w:t xml:space="preserve">the Six Building Blocks to Safer Opioid Management </w:t>
      </w:r>
      <w:r w:rsidR="002928AE">
        <w:t xml:space="preserve">(6BBs) </w:t>
      </w:r>
      <w:r w:rsidR="0075719A">
        <w:t xml:space="preserve">intervention </w:t>
      </w:r>
      <w:r w:rsidR="002928AE">
        <w:t xml:space="preserve">to help </w:t>
      </w:r>
      <w:r w:rsidR="002928AE" w:rsidRPr="002928AE">
        <w:t>improve the guidance for the 6BBs</w:t>
      </w:r>
      <w:r w:rsidR="002928AE">
        <w:t xml:space="preserve"> Toolkit</w:t>
      </w:r>
      <w:r w:rsidR="00076E44">
        <w:t xml:space="preserve"> and</w:t>
      </w:r>
      <w:r w:rsidR="002928AE">
        <w:t xml:space="preserve"> better</w:t>
      </w:r>
      <w:r w:rsidR="00076E44">
        <w:t xml:space="preserve"> </w:t>
      </w:r>
      <w:r w:rsidR="002928AE" w:rsidRPr="002928AE">
        <w:t xml:space="preserve">understand the facilitators and barriers to implementing </w:t>
      </w:r>
      <w:r w:rsidR="002928AE">
        <w:t>the 6BBs intervention</w:t>
      </w:r>
      <w:r w:rsidR="00CE35CA">
        <w:t xml:space="preserve"> in U.S. health care organizations</w:t>
      </w:r>
      <w:r w:rsidR="00CE35CA" w:rsidRPr="007B1E4D">
        <w:t>. The</w:t>
      </w:r>
      <w:r w:rsidR="00433655">
        <w:t>re are approximately 327,000 primary care providers in the U.S.</w:t>
      </w:r>
      <w:r w:rsidR="0075719A">
        <w:t>—about 70% of those</w:t>
      </w:r>
      <w:r w:rsidR="00433655">
        <w:t xml:space="preserve"> work in physician-owned organizations and about 26% work in organizations owned by insurers, health plans, academic entities, or community health centers.</w:t>
      </w:r>
      <w:r w:rsidR="00433655">
        <w:rPr>
          <w:rStyle w:val="FootnoteReference"/>
        </w:rPr>
        <w:footnoteReference w:id="1"/>
      </w:r>
      <w:r w:rsidR="000B3A1D">
        <w:t xml:space="preserve"> </w:t>
      </w:r>
      <w:r w:rsidR="00CE35CA" w:rsidRPr="007B1E4D">
        <w:t>Sites will be selected t</w:t>
      </w:r>
      <w:r w:rsidR="00CE35CA">
        <w:t>o maximize diversity of health care organization</w:t>
      </w:r>
      <w:r w:rsidR="00CE35CA" w:rsidRPr="007B1E4D">
        <w:t xml:space="preserve"> characteristics using a targeted, purposive recruitment approach. The purposive recruitment strategy will also </w:t>
      </w:r>
      <w:r w:rsidR="00CE35CA">
        <w:t>allow us to attract health care organizations</w:t>
      </w:r>
      <w:r w:rsidR="00CE35CA" w:rsidRPr="007B1E4D">
        <w:t xml:space="preserve"> whose leadership is already open to improving</w:t>
      </w:r>
      <w:r w:rsidR="00CE35CA">
        <w:t xml:space="preserve"> their opioid prescribing practices and processes. These health care organizations</w:t>
      </w:r>
      <w:r w:rsidR="00CE35CA" w:rsidRPr="007B1E4D">
        <w:t xml:space="preserve"> represent the </w:t>
      </w:r>
      <w:r w:rsidR="00CE35CA">
        <w:t>6BBs</w:t>
      </w:r>
      <w:r w:rsidR="00CE35CA" w:rsidRPr="007B1E4D">
        <w:t xml:space="preserve"> </w:t>
      </w:r>
      <w:r w:rsidR="00CE35CA">
        <w:t>Toolkit</w:t>
      </w:r>
      <w:r w:rsidR="00076E44">
        <w:t>’s</w:t>
      </w:r>
      <w:r w:rsidR="00CE35CA">
        <w:t xml:space="preserve"> </w:t>
      </w:r>
      <w:r w:rsidR="00CE35CA" w:rsidRPr="007B1E4D">
        <w:t>intended audience</w:t>
      </w:r>
      <w:r w:rsidR="00CE35CA">
        <w:t>, as health care organizations</w:t>
      </w:r>
      <w:r w:rsidR="00CE35CA" w:rsidRPr="007B1E4D">
        <w:t xml:space="preserve"> resistant to changing</w:t>
      </w:r>
      <w:r w:rsidR="00CE35CA">
        <w:t xml:space="preserve"> their opioid prescribing practices and</w:t>
      </w:r>
      <w:r w:rsidR="00CE35CA" w:rsidRPr="007B1E4D">
        <w:t xml:space="preserve"> processes are unlikely to use the </w:t>
      </w:r>
      <w:r w:rsidR="00CE35CA">
        <w:t>6BBs Toolkit</w:t>
      </w:r>
      <w:r w:rsidR="00CE35CA" w:rsidRPr="007B1E4D">
        <w:t>. The recruitment strategy will be conducted as follows:</w:t>
      </w:r>
    </w:p>
    <w:p w14:paraId="196A09A7" w14:textId="77777777" w:rsidR="00CE35CA" w:rsidRPr="007B1E4D" w:rsidRDefault="00CE35CA" w:rsidP="00CE35CA"/>
    <w:p w14:paraId="14011AB8" w14:textId="5EEC9C51" w:rsidR="00CE35CA" w:rsidRDefault="00CE35CA" w:rsidP="00CE35CA">
      <w:r w:rsidRPr="007B1E4D">
        <w:rPr>
          <w:b/>
        </w:rPr>
        <w:t xml:space="preserve">Step 1: </w:t>
      </w:r>
      <w:r w:rsidR="002C7633">
        <w:rPr>
          <w:b/>
        </w:rPr>
        <w:t>Inform health care systems</w:t>
      </w:r>
      <w:r w:rsidRPr="007B1E4D">
        <w:rPr>
          <w:b/>
        </w:rPr>
        <w:t xml:space="preserve"> of the opportunity to participate. </w:t>
      </w:r>
      <w:r w:rsidRPr="007B1E4D">
        <w:t>Our first strategy to achieve this goal will be to p</w:t>
      </w:r>
      <w:r w:rsidR="002C7633">
        <w:t>ost a description of the project on AHRQ’s</w:t>
      </w:r>
      <w:r w:rsidRPr="007B1E4D">
        <w:t xml:space="preserve"> website.</w:t>
      </w:r>
      <w:r w:rsidR="002C7633">
        <w:t xml:space="preserve"> AHRQ’s</w:t>
      </w:r>
      <w:r w:rsidRPr="007B1E4D">
        <w:t xml:space="preserve"> website is </w:t>
      </w:r>
      <w:r w:rsidR="002C7633">
        <w:t>accessed by hundreds of health care organization</w:t>
      </w:r>
      <w:r w:rsidRPr="007B1E4D">
        <w:t xml:space="preserve"> representatives on a weekly basis.</w:t>
      </w:r>
      <w:r>
        <w:t xml:space="preserve"> </w:t>
      </w:r>
      <w:r w:rsidR="002C7633">
        <w:t>AHRQ</w:t>
      </w:r>
      <w:r w:rsidRPr="007B1E4D">
        <w:t xml:space="preserve"> m</w:t>
      </w:r>
      <w:r w:rsidR="002C7633">
        <w:t>aintains a listserv of health care organizations</w:t>
      </w:r>
      <w:r w:rsidRPr="007B1E4D">
        <w:t xml:space="preserve"> that </w:t>
      </w:r>
      <w:r>
        <w:t>also will</w:t>
      </w:r>
      <w:r w:rsidRPr="007B1E4D">
        <w:t xml:space="preserve"> be used to post </w:t>
      </w:r>
      <w:r>
        <w:t>a</w:t>
      </w:r>
      <w:r w:rsidRPr="007B1E4D">
        <w:t xml:space="preserve"> request for participation.</w:t>
      </w:r>
      <w:r>
        <w:t xml:space="preserve"> </w:t>
      </w:r>
      <w:r w:rsidRPr="007B1E4D">
        <w:t xml:space="preserve">The website link </w:t>
      </w:r>
      <w:r>
        <w:t>and</w:t>
      </w:r>
      <w:r w:rsidRPr="007B1E4D">
        <w:t xml:space="preserve"> listserv post will include a brief description of the project, the </w:t>
      </w:r>
      <w:r w:rsidR="002C7633">
        <w:t>benefits of</w:t>
      </w:r>
      <w:r w:rsidRPr="007B1E4D">
        <w:t xml:space="preserve"> participa</w:t>
      </w:r>
      <w:r w:rsidR="00AC1733">
        <w:t>tion (e.g.</w:t>
      </w:r>
      <w:r w:rsidRPr="007B1E4D">
        <w:t>, opportun</w:t>
      </w:r>
      <w:r w:rsidR="002C7633">
        <w:t>ity to improve opioid prescribing practices and</w:t>
      </w:r>
      <w:r w:rsidRPr="007B1E4D">
        <w:t xml:space="preserve"> proces</w:t>
      </w:r>
      <w:r w:rsidR="002C7633">
        <w:t>ses), and the types of health care organizations</w:t>
      </w:r>
      <w:r w:rsidRPr="007B1E4D">
        <w:t xml:space="preserve"> we seek. Contact information will be p</w:t>
      </w:r>
      <w:r w:rsidR="002C7633">
        <w:t>rovided for interested health care organizations</w:t>
      </w:r>
      <w:r w:rsidRPr="007B1E4D">
        <w:t xml:space="preserve"> to noti</w:t>
      </w:r>
      <w:r w:rsidR="002C7633">
        <w:t xml:space="preserve">fy </w:t>
      </w:r>
      <w:r w:rsidR="00AC1733" w:rsidRPr="00AC1733">
        <w:t>Olivia Bacon at Abt Associates, Inc.</w:t>
      </w:r>
      <w:r w:rsidR="002C7633">
        <w:t xml:space="preserve"> of their</w:t>
      </w:r>
      <w:r w:rsidRPr="007B1E4D">
        <w:t xml:space="preserve"> potential interest. </w:t>
      </w:r>
      <w:r w:rsidR="002C7633">
        <w:t>Additionally, w</w:t>
      </w:r>
      <w:r w:rsidRPr="007B1E4D">
        <w:t xml:space="preserve">e will conduct active outreach through our professional </w:t>
      </w:r>
      <w:r w:rsidR="0075719A">
        <w:t>contacts and through experts on the 6BBs intervention</w:t>
      </w:r>
      <w:r w:rsidRPr="007B1E4D">
        <w:t xml:space="preserve"> listed in Supporting Statement A.</w:t>
      </w:r>
    </w:p>
    <w:p w14:paraId="096AD086" w14:textId="77777777" w:rsidR="00CE35CA" w:rsidRPr="007B1E4D" w:rsidRDefault="00CE35CA" w:rsidP="00CE35CA"/>
    <w:p w14:paraId="61CE69B0" w14:textId="77777777" w:rsidR="00CE35CA" w:rsidRDefault="00CE35CA" w:rsidP="00CE35CA">
      <w:r w:rsidRPr="007B1E4D">
        <w:rPr>
          <w:b/>
        </w:rPr>
        <w:t xml:space="preserve">Step 2: </w:t>
      </w:r>
      <w:r>
        <w:rPr>
          <w:b/>
        </w:rPr>
        <w:t>Obtain expressions of</w:t>
      </w:r>
      <w:r w:rsidRPr="007B1E4D">
        <w:rPr>
          <w:b/>
        </w:rPr>
        <w:t xml:space="preserve"> interest</w:t>
      </w:r>
      <w:r>
        <w:rPr>
          <w:b/>
        </w:rPr>
        <w:t xml:space="preserve"> from</w:t>
      </w:r>
      <w:r w:rsidR="002C7633">
        <w:rPr>
          <w:b/>
        </w:rPr>
        <w:t xml:space="preserve"> health care organization</w:t>
      </w:r>
      <w:r w:rsidRPr="007B1E4D">
        <w:rPr>
          <w:b/>
        </w:rPr>
        <w:t xml:space="preserve"> representatives </w:t>
      </w:r>
      <w:r>
        <w:t>that include willingness to meet the participation requirements described in Supporting Statement A (e.g., cooperation with data collection efforts)</w:t>
      </w:r>
      <w:r w:rsidRPr="007B1E4D">
        <w:t xml:space="preserve">. </w:t>
      </w:r>
    </w:p>
    <w:p w14:paraId="46B969F1" w14:textId="77777777" w:rsidR="00CE35CA" w:rsidRPr="007B1E4D" w:rsidRDefault="00CE35CA" w:rsidP="00CE35CA"/>
    <w:p w14:paraId="522216B2" w14:textId="06F9677E" w:rsidR="00CE35CA" w:rsidRDefault="00CE35CA" w:rsidP="00CE35CA">
      <w:pPr>
        <w:pStyle w:val="BodyText"/>
        <w:tabs>
          <w:tab w:val="left" w:pos="360"/>
        </w:tabs>
        <w:spacing w:after="0" w:line="240" w:lineRule="auto"/>
        <w:rPr>
          <w:sz w:val="24"/>
          <w:szCs w:val="24"/>
        </w:rPr>
      </w:pPr>
      <w:r w:rsidRPr="007B1E4D">
        <w:rPr>
          <w:b/>
          <w:sz w:val="24"/>
          <w:szCs w:val="24"/>
        </w:rPr>
        <w:t xml:space="preserve">Step 3: </w:t>
      </w:r>
      <w:r w:rsidR="002C7633">
        <w:rPr>
          <w:b/>
          <w:sz w:val="24"/>
          <w:szCs w:val="24"/>
        </w:rPr>
        <w:t>Exclude health care organizations</w:t>
      </w:r>
      <w:r w:rsidRPr="007B1E4D">
        <w:rPr>
          <w:b/>
          <w:sz w:val="24"/>
          <w:szCs w:val="24"/>
        </w:rPr>
        <w:t xml:space="preserve"> that do not demonstrate adequate readiness </w:t>
      </w:r>
      <w:r w:rsidRPr="007B1E4D">
        <w:rPr>
          <w:sz w:val="24"/>
          <w:szCs w:val="24"/>
        </w:rPr>
        <w:t>that would affect</w:t>
      </w:r>
      <w:r w:rsidR="002B5A77">
        <w:rPr>
          <w:sz w:val="24"/>
          <w:szCs w:val="24"/>
        </w:rPr>
        <w:t xml:space="preserve"> the likelihood they could engage</w:t>
      </w:r>
      <w:r w:rsidRPr="007B1E4D">
        <w:rPr>
          <w:sz w:val="24"/>
          <w:szCs w:val="24"/>
        </w:rPr>
        <w:t xml:space="preserve"> leaders and </w:t>
      </w:r>
      <w:r w:rsidR="002B5A77">
        <w:rPr>
          <w:sz w:val="24"/>
          <w:szCs w:val="24"/>
        </w:rPr>
        <w:t>staff to</w:t>
      </w:r>
      <w:r w:rsidRPr="007B1E4D">
        <w:rPr>
          <w:sz w:val="24"/>
          <w:szCs w:val="24"/>
        </w:rPr>
        <w:t xml:space="preserve"> implement </w:t>
      </w:r>
      <w:r w:rsidR="002B5A77">
        <w:rPr>
          <w:sz w:val="24"/>
          <w:szCs w:val="24"/>
        </w:rPr>
        <w:t>the 6BBs Toolkit and attempt changes to their opioid prescribing practices and</w:t>
      </w:r>
      <w:r w:rsidRPr="007B1E4D">
        <w:rPr>
          <w:sz w:val="24"/>
          <w:szCs w:val="24"/>
        </w:rPr>
        <w:t xml:space="preserve"> process</w:t>
      </w:r>
      <w:r w:rsidR="002B5A77">
        <w:rPr>
          <w:sz w:val="24"/>
          <w:szCs w:val="24"/>
        </w:rPr>
        <w:t>es</w:t>
      </w:r>
      <w:r w:rsidRPr="007B1E4D">
        <w:rPr>
          <w:sz w:val="24"/>
          <w:szCs w:val="24"/>
        </w:rPr>
        <w:t xml:space="preserve"> (e.g., major change happening concurrently</w:t>
      </w:r>
      <w:r w:rsidR="00AC1733">
        <w:rPr>
          <w:sz w:val="24"/>
          <w:szCs w:val="24"/>
        </w:rPr>
        <w:t>,</w:t>
      </w:r>
      <w:r w:rsidRPr="007B1E4D">
        <w:rPr>
          <w:sz w:val="24"/>
          <w:szCs w:val="24"/>
        </w:rPr>
        <w:t xml:space="preserve"> like a change in electronic health record </w:t>
      </w:r>
      <w:r>
        <w:rPr>
          <w:sz w:val="24"/>
          <w:szCs w:val="24"/>
        </w:rPr>
        <w:t>vendor</w:t>
      </w:r>
      <w:r w:rsidRPr="007B1E4D">
        <w:rPr>
          <w:sz w:val="24"/>
          <w:szCs w:val="24"/>
        </w:rPr>
        <w:t>, inability to implement changes within project time period, limited or no l</w:t>
      </w:r>
      <w:r w:rsidR="002B5A77">
        <w:rPr>
          <w:sz w:val="24"/>
          <w:szCs w:val="24"/>
        </w:rPr>
        <w:t>eadership buy-in at the health care organization or from key clinicians within the organization</w:t>
      </w:r>
      <w:r w:rsidRPr="007B1E4D">
        <w:rPr>
          <w:sz w:val="24"/>
          <w:szCs w:val="24"/>
        </w:rPr>
        <w:t xml:space="preserve">). </w:t>
      </w:r>
    </w:p>
    <w:p w14:paraId="00CD83D5" w14:textId="77777777" w:rsidR="00CE35CA" w:rsidRPr="007B1E4D" w:rsidRDefault="00CE35CA" w:rsidP="00CE35CA">
      <w:pPr>
        <w:pStyle w:val="BodyText"/>
        <w:tabs>
          <w:tab w:val="left" w:pos="360"/>
        </w:tabs>
        <w:spacing w:after="0" w:line="240" w:lineRule="auto"/>
        <w:rPr>
          <w:sz w:val="24"/>
          <w:szCs w:val="24"/>
        </w:rPr>
      </w:pPr>
    </w:p>
    <w:p w14:paraId="67473BB2" w14:textId="7EAAD82B" w:rsidR="00CE35CA" w:rsidRDefault="00CE35CA" w:rsidP="00CE35CA">
      <w:pPr>
        <w:pStyle w:val="BodyText"/>
        <w:spacing w:after="0" w:line="240" w:lineRule="auto"/>
        <w:rPr>
          <w:sz w:val="24"/>
          <w:szCs w:val="24"/>
        </w:rPr>
      </w:pPr>
      <w:r w:rsidRPr="007B1E4D">
        <w:rPr>
          <w:b/>
          <w:sz w:val="24"/>
          <w:szCs w:val="24"/>
        </w:rPr>
        <w:t>Step 4: Sel</w:t>
      </w:r>
      <w:r w:rsidR="002B5A77">
        <w:rPr>
          <w:b/>
          <w:sz w:val="24"/>
          <w:szCs w:val="24"/>
        </w:rPr>
        <w:t>ect from the remaining health care organizations</w:t>
      </w:r>
      <w:r w:rsidRPr="007B1E4D">
        <w:rPr>
          <w:b/>
          <w:sz w:val="24"/>
          <w:szCs w:val="24"/>
        </w:rPr>
        <w:t xml:space="preserve"> to ensure diversity on key characteristics. </w:t>
      </w:r>
      <w:r w:rsidRPr="007B1E4D">
        <w:rPr>
          <w:sz w:val="24"/>
          <w:szCs w:val="24"/>
        </w:rPr>
        <w:t xml:space="preserve">Selection will be made to ensure diversity on key characteristics, including: </w:t>
      </w:r>
      <w:r w:rsidR="002B5A77">
        <w:rPr>
          <w:sz w:val="24"/>
          <w:szCs w:val="24"/>
        </w:rPr>
        <w:t>health care organization</w:t>
      </w:r>
      <w:r w:rsidRPr="007B1E4D">
        <w:rPr>
          <w:sz w:val="24"/>
          <w:szCs w:val="24"/>
        </w:rPr>
        <w:t xml:space="preserve"> type (e.g., academic health center, safe</w:t>
      </w:r>
      <w:r w:rsidR="00AC1733">
        <w:rPr>
          <w:sz w:val="24"/>
          <w:szCs w:val="24"/>
        </w:rPr>
        <w:t>ty-net or</w:t>
      </w:r>
      <w:r w:rsidR="002B5A77">
        <w:rPr>
          <w:sz w:val="24"/>
          <w:szCs w:val="24"/>
        </w:rPr>
        <w:t xml:space="preserve"> community</w:t>
      </w:r>
      <w:r w:rsidR="00AC1733">
        <w:rPr>
          <w:sz w:val="24"/>
          <w:szCs w:val="24"/>
        </w:rPr>
        <w:t xml:space="preserve"> health center</w:t>
      </w:r>
      <w:r w:rsidR="002B5A77">
        <w:rPr>
          <w:sz w:val="24"/>
          <w:szCs w:val="24"/>
        </w:rPr>
        <w:t>, multi-clinic versus single clinic organization</w:t>
      </w:r>
      <w:r w:rsidRPr="007B1E4D">
        <w:rPr>
          <w:sz w:val="24"/>
          <w:szCs w:val="24"/>
        </w:rPr>
        <w:t>), size, populations served (e.g., racial/ethnic mi</w:t>
      </w:r>
      <w:r w:rsidR="00AC1733">
        <w:rPr>
          <w:sz w:val="24"/>
          <w:szCs w:val="24"/>
        </w:rPr>
        <w:t>norities, Medicaid recipients</w:t>
      </w:r>
      <w:r w:rsidR="002B5A77">
        <w:rPr>
          <w:sz w:val="24"/>
          <w:szCs w:val="24"/>
        </w:rPr>
        <w:t>), geographic region, and urban/rural location</w:t>
      </w:r>
      <w:r w:rsidRPr="007B1E4D">
        <w:rPr>
          <w:sz w:val="24"/>
          <w:szCs w:val="24"/>
        </w:rPr>
        <w:t xml:space="preserve">. </w:t>
      </w:r>
      <w:r w:rsidR="002B5A77">
        <w:rPr>
          <w:sz w:val="24"/>
          <w:szCs w:val="24"/>
        </w:rPr>
        <w:t>Each health care organization</w:t>
      </w:r>
      <w:r w:rsidRPr="007B1E4D">
        <w:rPr>
          <w:sz w:val="24"/>
          <w:szCs w:val="24"/>
        </w:rPr>
        <w:t xml:space="preserve"> will be asked to designate a staff member as a liaison to this project. We suspect an ind</w:t>
      </w:r>
      <w:r w:rsidR="002B5A77">
        <w:rPr>
          <w:sz w:val="24"/>
          <w:szCs w:val="24"/>
        </w:rPr>
        <w:t>ividual involved in the health care organization</w:t>
      </w:r>
      <w:r w:rsidRPr="007B1E4D">
        <w:rPr>
          <w:sz w:val="24"/>
          <w:szCs w:val="24"/>
        </w:rPr>
        <w:t>’</w:t>
      </w:r>
      <w:r w:rsidR="002B5A77">
        <w:rPr>
          <w:sz w:val="24"/>
          <w:szCs w:val="24"/>
        </w:rPr>
        <w:t xml:space="preserve">s </w:t>
      </w:r>
      <w:r w:rsidRPr="007B1E4D">
        <w:rPr>
          <w:sz w:val="24"/>
          <w:szCs w:val="24"/>
        </w:rPr>
        <w:t xml:space="preserve">quality improvement efforts might be best suited </w:t>
      </w:r>
      <w:r w:rsidR="002B5A77">
        <w:rPr>
          <w:sz w:val="24"/>
          <w:szCs w:val="24"/>
        </w:rPr>
        <w:t>for organizational</w:t>
      </w:r>
      <w:r w:rsidRPr="007B1E4D">
        <w:rPr>
          <w:sz w:val="24"/>
          <w:szCs w:val="24"/>
        </w:rPr>
        <w:t xml:space="preserve"> liaison; however, we</w:t>
      </w:r>
      <w:r w:rsidR="002B5A77">
        <w:rPr>
          <w:sz w:val="24"/>
          <w:szCs w:val="24"/>
        </w:rPr>
        <w:t xml:space="preserve"> will ultimately allow the organization</w:t>
      </w:r>
      <w:r w:rsidRPr="007B1E4D">
        <w:rPr>
          <w:sz w:val="24"/>
          <w:szCs w:val="24"/>
        </w:rPr>
        <w:t xml:space="preserve"> to decide</w:t>
      </w:r>
      <w:r>
        <w:rPr>
          <w:sz w:val="24"/>
          <w:szCs w:val="24"/>
        </w:rPr>
        <w:t xml:space="preserve"> who would best champion and fa</w:t>
      </w:r>
      <w:r w:rsidR="002B5A77">
        <w:rPr>
          <w:sz w:val="24"/>
          <w:szCs w:val="24"/>
        </w:rPr>
        <w:t>cilitate changes in its opioid prescribing practices and</w:t>
      </w:r>
      <w:r>
        <w:rPr>
          <w:sz w:val="24"/>
          <w:szCs w:val="24"/>
        </w:rPr>
        <w:t xml:space="preserve"> processes</w:t>
      </w:r>
      <w:r w:rsidRPr="007B1E4D">
        <w:rPr>
          <w:sz w:val="24"/>
          <w:szCs w:val="24"/>
        </w:rPr>
        <w:t>.</w:t>
      </w:r>
    </w:p>
    <w:p w14:paraId="32CA1A25" w14:textId="77777777" w:rsidR="00CE35CA" w:rsidRPr="007B1E4D" w:rsidRDefault="00CE35CA" w:rsidP="00CE35CA">
      <w:pPr>
        <w:pStyle w:val="BodyText"/>
        <w:spacing w:after="0" w:line="240" w:lineRule="auto"/>
        <w:rPr>
          <w:sz w:val="24"/>
          <w:szCs w:val="24"/>
        </w:rPr>
      </w:pPr>
      <w:r w:rsidRPr="007B1E4D">
        <w:rPr>
          <w:sz w:val="24"/>
          <w:szCs w:val="24"/>
        </w:rPr>
        <w:t xml:space="preserve"> </w:t>
      </w:r>
    </w:p>
    <w:p w14:paraId="0E59D3C3" w14:textId="65C68C79" w:rsidR="00CE35CA" w:rsidRDefault="00CE35CA" w:rsidP="00CE35CA">
      <w:pPr>
        <w:pStyle w:val="BodyText"/>
        <w:spacing w:after="0" w:line="240" w:lineRule="auto"/>
        <w:rPr>
          <w:sz w:val="24"/>
          <w:szCs w:val="24"/>
        </w:rPr>
      </w:pPr>
      <w:r w:rsidRPr="007B1E4D">
        <w:rPr>
          <w:sz w:val="24"/>
          <w:szCs w:val="24"/>
        </w:rPr>
        <w:t xml:space="preserve">We make no claim that the results from this study will be generalizable. Rather, our small sample of information-rich cases will be illustrative of the kinds of barriers, facilitators and results that </w:t>
      </w:r>
      <w:r w:rsidR="002B5A77">
        <w:rPr>
          <w:sz w:val="24"/>
          <w:szCs w:val="24"/>
        </w:rPr>
        <w:t>health care organizations</w:t>
      </w:r>
      <w:r w:rsidRPr="007B1E4D">
        <w:rPr>
          <w:sz w:val="24"/>
          <w:szCs w:val="24"/>
        </w:rPr>
        <w:t xml:space="preserve"> may experience in implementing the </w:t>
      </w:r>
      <w:r w:rsidR="002B5A77">
        <w:rPr>
          <w:sz w:val="24"/>
          <w:szCs w:val="24"/>
        </w:rPr>
        <w:t>6BBs Toolkit</w:t>
      </w:r>
      <w:r w:rsidRPr="007B1E4D">
        <w:rPr>
          <w:sz w:val="24"/>
          <w:szCs w:val="24"/>
        </w:rPr>
        <w:t xml:space="preserve">, and will generate </w:t>
      </w:r>
      <w:r w:rsidR="002B5A77">
        <w:rPr>
          <w:sz w:val="24"/>
          <w:szCs w:val="24"/>
        </w:rPr>
        <w:t>insights about needed</w:t>
      </w:r>
      <w:r w:rsidRPr="007B1E4D">
        <w:rPr>
          <w:sz w:val="24"/>
          <w:szCs w:val="24"/>
        </w:rPr>
        <w:t xml:space="preserve"> improvements.</w:t>
      </w:r>
    </w:p>
    <w:p w14:paraId="666128A3" w14:textId="77777777" w:rsidR="008A74E8" w:rsidRDefault="008A74E8" w:rsidP="00CE35CA">
      <w:pPr>
        <w:pStyle w:val="BodyText"/>
        <w:spacing w:after="0" w:line="240" w:lineRule="auto"/>
        <w:rPr>
          <w:sz w:val="24"/>
          <w:szCs w:val="24"/>
        </w:rPr>
      </w:pPr>
    </w:p>
    <w:tbl>
      <w:tblPr>
        <w:tblStyle w:val="TableGrid"/>
        <w:tblW w:w="0" w:type="auto"/>
        <w:tblLook w:val="04A0" w:firstRow="1" w:lastRow="0" w:firstColumn="1" w:lastColumn="0" w:noHBand="0" w:noVBand="1"/>
      </w:tblPr>
      <w:tblGrid>
        <w:gridCol w:w="3955"/>
        <w:gridCol w:w="3960"/>
      </w:tblGrid>
      <w:tr w:rsidR="008A74E8" w14:paraId="05BB4E82" w14:textId="77777777" w:rsidTr="008A74E8">
        <w:tc>
          <w:tcPr>
            <w:tcW w:w="3955" w:type="dxa"/>
          </w:tcPr>
          <w:p w14:paraId="1559B6AC" w14:textId="2C701826" w:rsidR="008A74E8" w:rsidRDefault="008A74E8" w:rsidP="00CE35CA">
            <w:pPr>
              <w:pStyle w:val="BodyText"/>
              <w:spacing w:after="0" w:line="240" w:lineRule="auto"/>
              <w:rPr>
                <w:sz w:val="24"/>
                <w:szCs w:val="24"/>
              </w:rPr>
            </w:pPr>
            <w:r>
              <w:rPr>
                <w:sz w:val="24"/>
                <w:szCs w:val="24"/>
              </w:rPr>
              <w:t>Health care organization characteristics</w:t>
            </w:r>
          </w:p>
        </w:tc>
        <w:tc>
          <w:tcPr>
            <w:tcW w:w="3960" w:type="dxa"/>
          </w:tcPr>
          <w:p w14:paraId="2DC1B3AF" w14:textId="635B33D5" w:rsidR="008A74E8" w:rsidRDefault="008A74E8" w:rsidP="00CE35CA">
            <w:pPr>
              <w:pStyle w:val="BodyText"/>
              <w:spacing w:after="0" w:line="240" w:lineRule="auto"/>
              <w:rPr>
                <w:sz w:val="24"/>
                <w:szCs w:val="24"/>
              </w:rPr>
            </w:pPr>
            <w:r>
              <w:rPr>
                <w:sz w:val="24"/>
                <w:szCs w:val="24"/>
              </w:rPr>
              <w:t>Number of target organizations with this characteristic</w:t>
            </w:r>
          </w:p>
        </w:tc>
      </w:tr>
      <w:tr w:rsidR="008A74E8" w14:paraId="1879B422" w14:textId="77777777" w:rsidTr="008A74E8">
        <w:tc>
          <w:tcPr>
            <w:tcW w:w="3955" w:type="dxa"/>
          </w:tcPr>
          <w:p w14:paraId="7DBF7EEE" w14:textId="10DB9113" w:rsidR="008A74E8" w:rsidRDefault="008A74E8" w:rsidP="00CE35CA">
            <w:pPr>
              <w:pStyle w:val="BodyText"/>
              <w:spacing w:after="0" w:line="240" w:lineRule="auto"/>
              <w:rPr>
                <w:sz w:val="24"/>
                <w:szCs w:val="24"/>
              </w:rPr>
            </w:pPr>
            <w:r>
              <w:rPr>
                <w:sz w:val="24"/>
                <w:szCs w:val="24"/>
              </w:rPr>
              <w:t>Academically affiliated</w:t>
            </w:r>
            <w:r w:rsidR="007B5A9A">
              <w:rPr>
                <w:sz w:val="24"/>
                <w:szCs w:val="24"/>
              </w:rPr>
              <w:t xml:space="preserve"> or teaching</w:t>
            </w:r>
          </w:p>
        </w:tc>
        <w:tc>
          <w:tcPr>
            <w:tcW w:w="3960" w:type="dxa"/>
          </w:tcPr>
          <w:p w14:paraId="36756905" w14:textId="51A2080E" w:rsidR="008A74E8" w:rsidRDefault="00516647" w:rsidP="00CE35CA">
            <w:pPr>
              <w:pStyle w:val="BodyText"/>
              <w:spacing w:after="0" w:line="240" w:lineRule="auto"/>
              <w:rPr>
                <w:sz w:val="24"/>
                <w:szCs w:val="24"/>
              </w:rPr>
            </w:pPr>
            <w:r>
              <w:rPr>
                <w:sz w:val="24"/>
                <w:szCs w:val="24"/>
              </w:rPr>
              <w:t>4</w:t>
            </w:r>
          </w:p>
        </w:tc>
      </w:tr>
      <w:tr w:rsidR="008A74E8" w14:paraId="1C1C2CE3" w14:textId="77777777" w:rsidTr="008A74E8">
        <w:tc>
          <w:tcPr>
            <w:tcW w:w="3955" w:type="dxa"/>
          </w:tcPr>
          <w:p w14:paraId="1000300E" w14:textId="3485CBEE" w:rsidR="008A74E8" w:rsidRDefault="008A74E8" w:rsidP="00CE35CA">
            <w:pPr>
              <w:pStyle w:val="BodyText"/>
              <w:spacing w:after="0" w:line="240" w:lineRule="auto"/>
              <w:rPr>
                <w:sz w:val="24"/>
                <w:szCs w:val="24"/>
              </w:rPr>
            </w:pPr>
            <w:r>
              <w:rPr>
                <w:sz w:val="24"/>
                <w:szCs w:val="24"/>
              </w:rPr>
              <w:t>Safety-net or FQHC</w:t>
            </w:r>
          </w:p>
        </w:tc>
        <w:tc>
          <w:tcPr>
            <w:tcW w:w="3960" w:type="dxa"/>
          </w:tcPr>
          <w:p w14:paraId="7240494C" w14:textId="501BE74A" w:rsidR="008A74E8" w:rsidRDefault="00516647" w:rsidP="00CE35CA">
            <w:pPr>
              <w:pStyle w:val="BodyText"/>
              <w:spacing w:after="0" w:line="240" w:lineRule="auto"/>
              <w:rPr>
                <w:sz w:val="24"/>
                <w:szCs w:val="24"/>
              </w:rPr>
            </w:pPr>
            <w:r>
              <w:rPr>
                <w:sz w:val="24"/>
                <w:szCs w:val="24"/>
              </w:rPr>
              <w:t>4</w:t>
            </w:r>
          </w:p>
        </w:tc>
      </w:tr>
      <w:tr w:rsidR="008A74E8" w14:paraId="274AF4C5" w14:textId="77777777" w:rsidTr="008A74E8">
        <w:tc>
          <w:tcPr>
            <w:tcW w:w="3955" w:type="dxa"/>
          </w:tcPr>
          <w:p w14:paraId="7FF2B4FC" w14:textId="58E75B0A" w:rsidR="008A74E8" w:rsidRDefault="008A74E8" w:rsidP="00CE35CA">
            <w:pPr>
              <w:pStyle w:val="BodyText"/>
              <w:spacing w:after="0" w:line="240" w:lineRule="auto"/>
              <w:rPr>
                <w:sz w:val="24"/>
                <w:szCs w:val="24"/>
              </w:rPr>
            </w:pPr>
            <w:r>
              <w:rPr>
                <w:sz w:val="24"/>
                <w:szCs w:val="24"/>
              </w:rPr>
              <w:t>Multi-clinic organization</w:t>
            </w:r>
          </w:p>
        </w:tc>
        <w:tc>
          <w:tcPr>
            <w:tcW w:w="3960" w:type="dxa"/>
          </w:tcPr>
          <w:p w14:paraId="1D16346A" w14:textId="5984D26E" w:rsidR="008A74E8" w:rsidRDefault="00516647" w:rsidP="00CE35CA">
            <w:pPr>
              <w:pStyle w:val="BodyText"/>
              <w:spacing w:after="0" w:line="240" w:lineRule="auto"/>
              <w:rPr>
                <w:sz w:val="24"/>
                <w:szCs w:val="24"/>
              </w:rPr>
            </w:pPr>
            <w:r>
              <w:rPr>
                <w:sz w:val="24"/>
                <w:szCs w:val="24"/>
              </w:rPr>
              <w:t>6</w:t>
            </w:r>
          </w:p>
        </w:tc>
      </w:tr>
      <w:tr w:rsidR="008A74E8" w14:paraId="241EA9FB" w14:textId="77777777" w:rsidTr="008A74E8">
        <w:tc>
          <w:tcPr>
            <w:tcW w:w="3955" w:type="dxa"/>
          </w:tcPr>
          <w:p w14:paraId="019CEF8E" w14:textId="0BED4C38" w:rsidR="008A74E8" w:rsidRDefault="008A74E8" w:rsidP="00CE35CA">
            <w:pPr>
              <w:pStyle w:val="BodyText"/>
              <w:spacing w:after="0" w:line="240" w:lineRule="auto"/>
              <w:rPr>
                <w:sz w:val="24"/>
                <w:szCs w:val="24"/>
              </w:rPr>
            </w:pPr>
            <w:r>
              <w:rPr>
                <w:sz w:val="24"/>
                <w:szCs w:val="24"/>
              </w:rPr>
              <w:t>Single clinic organization</w:t>
            </w:r>
          </w:p>
        </w:tc>
        <w:tc>
          <w:tcPr>
            <w:tcW w:w="3960" w:type="dxa"/>
          </w:tcPr>
          <w:p w14:paraId="7C9EC0B9" w14:textId="5789A9EA" w:rsidR="008A74E8" w:rsidRDefault="00516647" w:rsidP="00CE35CA">
            <w:pPr>
              <w:pStyle w:val="BodyText"/>
              <w:spacing w:after="0" w:line="240" w:lineRule="auto"/>
              <w:rPr>
                <w:sz w:val="24"/>
                <w:szCs w:val="24"/>
              </w:rPr>
            </w:pPr>
            <w:r>
              <w:rPr>
                <w:sz w:val="24"/>
                <w:szCs w:val="24"/>
              </w:rPr>
              <w:t>6</w:t>
            </w:r>
          </w:p>
        </w:tc>
      </w:tr>
      <w:tr w:rsidR="008A74E8" w14:paraId="26537D26" w14:textId="77777777" w:rsidTr="008A74E8">
        <w:tc>
          <w:tcPr>
            <w:tcW w:w="3955" w:type="dxa"/>
          </w:tcPr>
          <w:p w14:paraId="30005879" w14:textId="571A428A" w:rsidR="008A74E8" w:rsidRDefault="008A74E8" w:rsidP="00CE35CA">
            <w:pPr>
              <w:pStyle w:val="BodyText"/>
              <w:spacing w:after="0" w:line="240" w:lineRule="auto"/>
              <w:rPr>
                <w:sz w:val="24"/>
                <w:szCs w:val="24"/>
              </w:rPr>
            </w:pPr>
            <w:r>
              <w:rPr>
                <w:sz w:val="24"/>
                <w:szCs w:val="24"/>
              </w:rPr>
              <w:t>Urban</w:t>
            </w:r>
            <w:r w:rsidR="00516647">
              <w:rPr>
                <w:sz w:val="24"/>
                <w:szCs w:val="24"/>
              </w:rPr>
              <w:t xml:space="preserve"> location</w:t>
            </w:r>
          </w:p>
        </w:tc>
        <w:tc>
          <w:tcPr>
            <w:tcW w:w="3960" w:type="dxa"/>
          </w:tcPr>
          <w:p w14:paraId="184EE929" w14:textId="0B3DE8BA" w:rsidR="008A74E8" w:rsidRDefault="00104072" w:rsidP="00CE35CA">
            <w:pPr>
              <w:pStyle w:val="BodyText"/>
              <w:spacing w:after="0" w:line="240" w:lineRule="auto"/>
              <w:rPr>
                <w:sz w:val="24"/>
                <w:szCs w:val="24"/>
              </w:rPr>
            </w:pPr>
            <w:r>
              <w:rPr>
                <w:sz w:val="24"/>
                <w:szCs w:val="24"/>
              </w:rPr>
              <w:t>6</w:t>
            </w:r>
          </w:p>
        </w:tc>
      </w:tr>
      <w:tr w:rsidR="008A74E8" w14:paraId="2B8CD677" w14:textId="77777777" w:rsidTr="008A74E8">
        <w:tc>
          <w:tcPr>
            <w:tcW w:w="3955" w:type="dxa"/>
          </w:tcPr>
          <w:p w14:paraId="31721BE4" w14:textId="257799CD" w:rsidR="008A74E8" w:rsidRDefault="008A74E8" w:rsidP="00CE35CA">
            <w:pPr>
              <w:pStyle w:val="BodyText"/>
              <w:spacing w:after="0" w:line="240" w:lineRule="auto"/>
              <w:rPr>
                <w:sz w:val="24"/>
                <w:szCs w:val="24"/>
              </w:rPr>
            </w:pPr>
            <w:r>
              <w:rPr>
                <w:sz w:val="24"/>
                <w:szCs w:val="24"/>
              </w:rPr>
              <w:t>Rural</w:t>
            </w:r>
            <w:r w:rsidR="00516647">
              <w:rPr>
                <w:sz w:val="24"/>
                <w:szCs w:val="24"/>
              </w:rPr>
              <w:t xml:space="preserve"> location</w:t>
            </w:r>
          </w:p>
        </w:tc>
        <w:tc>
          <w:tcPr>
            <w:tcW w:w="3960" w:type="dxa"/>
          </w:tcPr>
          <w:p w14:paraId="01A4D505" w14:textId="6115D26D" w:rsidR="008A74E8" w:rsidRDefault="00104072" w:rsidP="00CE35CA">
            <w:pPr>
              <w:pStyle w:val="BodyText"/>
              <w:spacing w:after="0" w:line="240" w:lineRule="auto"/>
              <w:rPr>
                <w:sz w:val="24"/>
                <w:szCs w:val="24"/>
              </w:rPr>
            </w:pPr>
            <w:r>
              <w:rPr>
                <w:sz w:val="24"/>
                <w:szCs w:val="24"/>
              </w:rPr>
              <w:t>6</w:t>
            </w:r>
          </w:p>
        </w:tc>
      </w:tr>
    </w:tbl>
    <w:p w14:paraId="3860DF9D" w14:textId="77777777" w:rsidR="008A74E8" w:rsidRDefault="008A74E8" w:rsidP="00CE35CA">
      <w:pPr>
        <w:pStyle w:val="BodyText"/>
        <w:spacing w:after="0" w:line="240" w:lineRule="auto"/>
        <w:rPr>
          <w:sz w:val="24"/>
          <w:szCs w:val="24"/>
        </w:rPr>
      </w:pPr>
    </w:p>
    <w:p w14:paraId="70CADA0E" w14:textId="77777777" w:rsidR="005453AD" w:rsidRDefault="005453AD" w:rsidP="005453AD">
      <w:pPr>
        <w:jc w:val="both"/>
        <w:rPr>
          <w:b/>
          <w:bCs/>
          <w:szCs w:val="22"/>
        </w:rPr>
      </w:pPr>
    </w:p>
    <w:p w14:paraId="311C4705" w14:textId="77777777" w:rsidR="005453AD" w:rsidRPr="001D0454" w:rsidRDefault="005453AD" w:rsidP="005453AD">
      <w:pPr>
        <w:pStyle w:val="Heading2"/>
        <w:spacing w:before="0" w:after="0"/>
        <w:rPr>
          <w:sz w:val="24"/>
        </w:rPr>
      </w:pPr>
      <w:bookmarkStart w:id="5" w:name="_Toc151782200"/>
      <w:bookmarkStart w:id="6" w:name="_Toc158526236"/>
      <w:r w:rsidRPr="001D0454">
        <w:rPr>
          <w:sz w:val="24"/>
        </w:rPr>
        <w:t>2. Information Collection Procedures</w:t>
      </w:r>
      <w:bookmarkEnd w:id="5"/>
      <w:bookmarkEnd w:id="6"/>
    </w:p>
    <w:p w14:paraId="46854A84" w14:textId="77777777" w:rsidR="00F46829" w:rsidRDefault="00F46829" w:rsidP="002837E3">
      <w:pPr>
        <w:spacing w:after="240"/>
        <w:rPr>
          <w:i/>
        </w:rPr>
      </w:pPr>
    </w:p>
    <w:p w14:paraId="0D988236" w14:textId="77777777" w:rsidR="00F46829" w:rsidRDefault="00F46829" w:rsidP="00F46829">
      <w:pPr>
        <w:pStyle w:val="AbtHeadCOutlined"/>
        <w:numPr>
          <w:ilvl w:val="0"/>
          <w:numId w:val="0"/>
        </w:numPr>
      </w:pPr>
      <w:r w:rsidRPr="00585C3A">
        <w:rPr>
          <w:sz w:val="24"/>
        </w:rPr>
        <w:t>Sample Size</w:t>
      </w:r>
    </w:p>
    <w:p w14:paraId="2EC7FEE0" w14:textId="34AF31AB" w:rsidR="00F46829" w:rsidRPr="007B1E4D" w:rsidRDefault="00F46829" w:rsidP="00F46829">
      <w:pPr>
        <w:rPr>
          <w:b/>
          <w:u w:val="single"/>
        </w:rPr>
      </w:pPr>
      <w:r w:rsidRPr="007B1E4D">
        <w:rPr>
          <w:b/>
          <w:u w:val="single"/>
        </w:rPr>
        <w:t xml:space="preserve">Number of </w:t>
      </w:r>
      <w:r>
        <w:rPr>
          <w:b/>
          <w:u w:val="single"/>
        </w:rPr>
        <w:t>healt</w:t>
      </w:r>
      <w:r w:rsidR="004F12F0">
        <w:rPr>
          <w:b/>
          <w:u w:val="single"/>
        </w:rPr>
        <w:t>h care organizations</w:t>
      </w:r>
    </w:p>
    <w:p w14:paraId="4989A620" w14:textId="08B71A41" w:rsidR="00F46829" w:rsidRDefault="00F46829" w:rsidP="00F46829">
      <w:r w:rsidRPr="007B1E4D">
        <w:t>Budget constraints</w:t>
      </w:r>
      <w:r w:rsidR="006F1ED6">
        <w:t xml:space="preserve"> will limit the number of participating</w:t>
      </w:r>
      <w:r>
        <w:t xml:space="preserve"> sites to 1</w:t>
      </w:r>
      <w:r w:rsidR="00373091">
        <w:t>2</w:t>
      </w:r>
      <w:r>
        <w:t xml:space="preserve"> health care organizations with a r</w:t>
      </w:r>
      <w:r w:rsidR="004F12F0">
        <w:t>ange of between 1 and 17 primary care clinics per organization</w:t>
      </w:r>
      <w:r w:rsidRPr="007B1E4D">
        <w:t>.</w:t>
      </w:r>
      <w:r>
        <w:t xml:space="preserve"> </w:t>
      </w:r>
      <w:r w:rsidRPr="007B1E4D">
        <w:t>While it is always preferable</w:t>
      </w:r>
      <w:r w:rsidR="006F1ED6">
        <w:t xml:space="preserve"> to have a larger number of participating</w:t>
      </w:r>
      <w:r w:rsidRPr="007B1E4D">
        <w:t xml:space="preserve"> sites, we anticipate that </w:t>
      </w:r>
      <w:r w:rsidR="006F1ED6">
        <w:t>1</w:t>
      </w:r>
      <w:r w:rsidR="00373091">
        <w:t>2</w:t>
      </w:r>
      <w:r w:rsidRPr="007B1E4D">
        <w:t xml:space="preserve"> sites will provide us with sufficient information to illustrate the types of barriers, facilitators and results that may be expected with </w:t>
      </w:r>
      <w:r w:rsidR="004F12F0">
        <w:t>6BBs</w:t>
      </w:r>
      <w:r w:rsidRPr="007B1E4D">
        <w:t xml:space="preserve"> implementation, and to i</w:t>
      </w:r>
      <w:r w:rsidR="004F12F0">
        <w:t>dentify needed revisions to the 6BBs Toolkit</w:t>
      </w:r>
      <w:r w:rsidRPr="007B1E4D">
        <w:t xml:space="preserve"> content and format.</w:t>
      </w:r>
    </w:p>
    <w:p w14:paraId="39066272" w14:textId="77777777" w:rsidR="001C2F17" w:rsidRDefault="001C2F17" w:rsidP="00F46829"/>
    <w:p w14:paraId="44FB7878" w14:textId="3635A957" w:rsidR="001C2F17" w:rsidRPr="001C2F17" w:rsidRDefault="001C2F17" w:rsidP="001C2F17">
      <w:pPr>
        <w:pStyle w:val="ListParagraph"/>
        <w:numPr>
          <w:ilvl w:val="0"/>
          <w:numId w:val="17"/>
        </w:numPr>
        <w:ind w:left="720"/>
        <w:rPr>
          <w:rFonts w:ascii="Times New Roman" w:hAnsi="Times New Roman" w:cs="Times New Roman"/>
          <w:sz w:val="24"/>
          <w:szCs w:val="24"/>
        </w:rPr>
      </w:pPr>
      <w:r w:rsidRPr="001C2F17">
        <w:rPr>
          <w:rFonts w:ascii="Times New Roman" w:hAnsi="Times New Roman" w:cs="Times New Roman"/>
          <w:b/>
          <w:sz w:val="24"/>
          <w:szCs w:val="24"/>
        </w:rPr>
        <w:t>QI Measures.</w:t>
      </w:r>
      <w:r w:rsidRPr="001C2F17">
        <w:rPr>
          <w:rFonts w:ascii="Times New Roman" w:hAnsi="Times New Roman" w:cs="Times New Roman"/>
          <w:sz w:val="24"/>
          <w:szCs w:val="24"/>
        </w:rPr>
        <w:t xml:space="preserve"> Aggregate reports for 4 opioid prescribing QI measures will be collected quarterly from each of the 1</w:t>
      </w:r>
      <w:r w:rsidR="00373091">
        <w:rPr>
          <w:rFonts w:ascii="Times New Roman" w:hAnsi="Times New Roman" w:cs="Times New Roman"/>
          <w:sz w:val="24"/>
          <w:szCs w:val="24"/>
        </w:rPr>
        <w:t>2</w:t>
      </w:r>
      <w:r w:rsidRPr="001C2F17">
        <w:rPr>
          <w:rFonts w:ascii="Times New Roman" w:hAnsi="Times New Roman" w:cs="Times New Roman"/>
          <w:sz w:val="24"/>
          <w:szCs w:val="24"/>
        </w:rPr>
        <w:t xml:space="preserve"> health care organizations during 6BBs Toolkit implementation. AHRQ will collect the following 4 measures: the number of patients on long-term opioid therapy and the proportion of those who are on greater than 90 morphine milligram equivalents, co-prescribed a benzodiazepine, had the prescription drug monitoring program checked, and had a urine drug screen.</w:t>
      </w:r>
      <w:r w:rsidR="0075719A">
        <w:rPr>
          <w:rFonts w:ascii="Times New Roman" w:hAnsi="Times New Roman" w:cs="Times New Roman"/>
          <w:sz w:val="24"/>
          <w:szCs w:val="24"/>
        </w:rPr>
        <w:t xml:space="preserve"> We will ask each organization to report these measures at the clinic level. For example, if an organization has 5 primary care clinics, we will request these measures be reported for each clinic. </w:t>
      </w:r>
    </w:p>
    <w:p w14:paraId="40B6EFCB" w14:textId="77777777" w:rsidR="00F46829" w:rsidRPr="007B1E4D" w:rsidRDefault="00F46829" w:rsidP="00F46829"/>
    <w:p w14:paraId="451A143D" w14:textId="74F084F4" w:rsidR="00F46829" w:rsidRPr="007B1E4D" w:rsidRDefault="00F46829" w:rsidP="00F46829">
      <w:pPr>
        <w:rPr>
          <w:b/>
          <w:u w:val="single"/>
        </w:rPr>
      </w:pPr>
      <w:r w:rsidRPr="007B1E4D">
        <w:rPr>
          <w:b/>
          <w:u w:val="single"/>
        </w:rPr>
        <w:t>Sample sizes within each</w:t>
      </w:r>
      <w:r w:rsidR="004F12F0">
        <w:rPr>
          <w:b/>
          <w:u w:val="single"/>
        </w:rPr>
        <w:t xml:space="preserve"> health care organization</w:t>
      </w:r>
    </w:p>
    <w:p w14:paraId="14874BAB" w14:textId="77777777" w:rsidR="00F46829" w:rsidRPr="007B1E4D" w:rsidRDefault="00F46829" w:rsidP="00F46829">
      <w:pPr>
        <w:pStyle w:val="BodyText"/>
        <w:spacing w:after="0" w:line="240" w:lineRule="auto"/>
        <w:rPr>
          <w:sz w:val="24"/>
          <w:szCs w:val="24"/>
          <w:u w:val="single"/>
        </w:rPr>
      </w:pPr>
    </w:p>
    <w:p w14:paraId="256E9AFE" w14:textId="6E13689F" w:rsidR="00F46829" w:rsidRPr="007B1E4D" w:rsidRDefault="004F12F0" w:rsidP="00F46829">
      <w:pPr>
        <w:pStyle w:val="BodyText"/>
        <w:spacing w:after="0" w:line="240" w:lineRule="auto"/>
        <w:rPr>
          <w:b/>
          <w:sz w:val="24"/>
          <w:szCs w:val="24"/>
        </w:rPr>
      </w:pPr>
      <w:r>
        <w:rPr>
          <w:b/>
          <w:sz w:val="24"/>
          <w:szCs w:val="24"/>
        </w:rPr>
        <w:t>Primary care clinics</w:t>
      </w:r>
    </w:p>
    <w:p w14:paraId="1F3CBAC6" w14:textId="358D9D06" w:rsidR="00F46829" w:rsidRPr="007B1E4D" w:rsidRDefault="00F46829" w:rsidP="00F46829">
      <w:pPr>
        <w:pStyle w:val="BodyText"/>
        <w:spacing w:after="0" w:line="240" w:lineRule="auto"/>
        <w:rPr>
          <w:sz w:val="24"/>
          <w:szCs w:val="24"/>
        </w:rPr>
      </w:pPr>
      <w:r w:rsidRPr="007B1E4D">
        <w:rPr>
          <w:sz w:val="24"/>
          <w:szCs w:val="24"/>
        </w:rPr>
        <w:t>W</w:t>
      </w:r>
      <w:r w:rsidR="004F12F0">
        <w:rPr>
          <w:sz w:val="24"/>
          <w:szCs w:val="24"/>
        </w:rPr>
        <w:t>ithin selected health care organizations, organization</w:t>
      </w:r>
      <w:r w:rsidRPr="007B1E4D">
        <w:rPr>
          <w:sz w:val="24"/>
          <w:szCs w:val="24"/>
        </w:rPr>
        <w:t xml:space="preserve"> liaisons will </w:t>
      </w:r>
      <w:r w:rsidR="006F1ED6">
        <w:rPr>
          <w:sz w:val="24"/>
          <w:szCs w:val="24"/>
        </w:rPr>
        <w:t>work with the project team</w:t>
      </w:r>
      <w:r w:rsidRPr="007B1E4D">
        <w:rPr>
          <w:sz w:val="24"/>
          <w:szCs w:val="24"/>
        </w:rPr>
        <w:t xml:space="preserve"> to select </w:t>
      </w:r>
      <w:r w:rsidR="004F12F0">
        <w:rPr>
          <w:b/>
          <w:sz w:val="24"/>
          <w:szCs w:val="24"/>
        </w:rPr>
        <w:t xml:space="preserve">up to </w:t>
      </w:r>
      <w:r w:rsidR="00B3602C" w:rsidRPr="00F51CF5">
        <w:rPr>
          <w:b/>
          <w:sz w:val="24"/>
          <w:szCs w:val="24"/>
        </w:rPr>
        <w:t>3</w:t>
      </w:r>
      <w:r w:rsidR="00373091">
        <w:rPr>
          <w:b/>
          <w:sz w:val="24"/>
          <w:szCs w:val="24"/>
        </w:rPr>
        <w:t>3</w:t>
      </w:r>
      <w:r w:rsidR="00B3602C" w:rsidRPr="00F51CF5">
        <w:rPr>
          <w:b/>
          <w:sz w:val="24"/>
          <w:szCs w:val="24"/>
        </w:rPr>
        <w:t xml:space="preserve"> </w:t>
      </w:r>
      <w:r w:rsidR="004F12F0">
        <w:rPr>
          <w:b/>
          <w:sz w:val="24"/>
          <w:szCs w:val="24"/>
        </w:rPr>
        <w:t>primary care clinics</w:t>
      </w:r>
      <w:r w:rsidRPr="007B1E4D">
        <w:rPr>
          <w:sz w:val="24"/>
          <w:szCs w:val="24"/>
        </w:rPr>
        <w:t xml:space="preserve"> for </w:t>
      </w:r>
      <w:r w:rsidR="004F12F0">
        <w:rPr>
          <w:sz w:val="24"/>
          <w:szCs w:val="24"/>
        </w:rPr>
        <w:t>6BBs Toolkit implementation</w:t>
      </w:r>
      <w:r w:rsidRPr="007B1E4D">
        <w:rPr>
          <w:sz w:val="24"/>
          <w:szCs w:val="24"/>
        </w:rPr>
        <w:t xml:space="preserve">. </w:t>
      </w:r>
      <w:r w:rsidRPr="007B1E4D">
        <w:rPr>
          <w:sz w:val="24"/>
          <w:szCs w:val="24"/>
        </w:rPr>
        <w:br/>
      </w:r>
    </w:p>
    <w:p w14:paraId="77D5EFC1" w14:textId="659D55C0" w:rsidR="00F46829" w:rsidRPr="007B1E4D" w:rsidRDefault="004F12F0" w:rsidP="00F46829">
      <w:pPr>
        <w:pStyle w:val="BodyText"/>
        <w:spacing w:after="0" w:line="240" w:lineRule="auto"/>
        <w:rPr>
          <w:b/>
          <w:sz w:val="24"/>
          <w:szCs w:val="24"/>
        </w:rPr>
      </w:pPr>
      <w:r>
        <w:rPr>
          <w:b/>
          <w:sz w:val="24"/>
          <w:szCs w:val="24"/>
        </w:rPr>
        <w:t>Health care organization s</w:t>
      </w:r>
      <w:r w:rsidR="00F46829" w:rsidRPr="007B1E4D">
        <w:rPr>
          <w:b/>
          <w:sz w:val="24"/>
          <w:szCs w:val="24"/>
        </w:rPr>
        <w:t>taff</w:t>
      </w:r>
    </w:p>
    <w:p w14:paraId="655BB74C" w14:textId="34225993" w:rsidR="00F46829" w:rsidRDefault="004F12F0" w:rsidP="00F46829">
      <w:r>
        <w:t>H</w:t>
      </w:r>
      <w:r w:rsidR="00F46829">
        <w:t>ealth care professionals</w:t>
      </w:r>
      <w:r w:rsidR="00F46829" w:rsidRPr="007B1E4D">
        <w:t xml:space="preserve"> </w:t>
      </w:r>
      <w:r>
        <w:t>and staff within the selected primary care clinics</w:t>
      </w:r>
      <w:r w:rsidR="00F46829" w:rsidRPr="007B1E4D">
        <w:t xml:space="preserve"> will participate in t</w:t>
      </w:r>
      <w:r w:rsidR="006F1ED6">
        <w:t>he project</w:t>
      </w:r>
      <w:r>
        <w:t xml:space="preserve"> by participating in 6BBs Toolkit implementation</w:t>
      </w:r>
      <w:r w:rsidR="00F46829" w:rsidRPr="007B1E4D">
        <w:t xml:space="preserve">. All </w:t>
      </w:r>
      <w:r w:rsidR="00F46829">
        <w:t>health care professionals</w:t>
      </w:r>
      <w:r w:rsidR="00F46829" w:rsidRPr="007B1E4D">
        <w:t xml:space="preserve"> working in the selected </w:t>
      </w:r>
      <w:r w:rsidR="006F1ED6">
        <w:t>clinics who are involved in</w:t>
      </w:r>
      <w:r>
        <w:t xml:space="preserve"> opioid prescribing processes</w:t>
      </w:r>
      <w:r w:rsidR="00F46829">
        <w:t xml:space="preserve"> (e.g., doctors, nurse practitioners, nurses, </w:t>
      </w:r>
      <w:r>
        <w:t xml:space="preserve">analysts, social workers) </w:t>
      </w:r>
      <w:r w:rsidR="006F1ED6">
        <w:t xml:space="preserve">and/or quality improvement efforts for opioid prescribing </w:t>
      </w:r>
      <w:r>
        <w:t>will be eligible to participate</w:t>
      </w:r>
      <w:r w:rsidR="00F46829">
        <w:t xml:space="preserve">. </w:t>
      </w:r>
      <w:r>
        <w:t>The number of persons participating</w:t>
      </w:r>
      <w:r w:rsidR="00F46829">
        <w:t xml:space="preserve"> is likely to vary considerably </w:t>
      </w:r>
      <w:r>
        <w:t>across health care organizations and clinics</w:t>
      </w:r>
      <w:r w:rsidR="00F46829">
        <w:t>. Sample sizes provided below are rough estimates.</w:t>
      </w:r>
    </w:p>
    <w:p w14:paraId="0A93C5F0" w14:textId="77777777" w:rsidR="00F46829" w:rsidRDefault="00F46829" w:rsidP="00F46829"/>
    <w:p w14:paraId="7CF75F0D" w14:textId="51B69496" w:rsidR="001C2F17" w:rsidRDefault="00495FBA" w:rsidP="008A74E8">
      <w:pPr>
        <w:numPr>
          <w:ilvl w:val="0"/>
          <w:numId w:val="15"/>
        </w:numPr>
        <w:spacing w:after="240"/>
      </w:pPr>
      <w:r w:rsidRPr="00B6114A">
        <w:rPr>
          <w:b/>
        </w:rPr>
        <w:t>Clinical Staff Survey.</w:t>
      </w:r>
      <w:r w:rsidRPr="00B6114A">
        <w:t xml:space="preserve"> A brief survey will be emailed</w:t>
      </w:r>
      <w:r w:rsidR="006F1ED6">
        <w:t xml:space="preserve"> to all clinicians toward the beginning of</w:t>
      </w:r>
      <w:r w:rsidRPr="00B6114A">
        <w:t xml:space="preserve"> </w:t>
      </w:r>
      <w:r>
        <w:t>when their organization receives the Toolkit and</w:t>
      </w:r>
      <w:r w:rsidRPr="00B6114A">
        <w:t xml:space="preserve"> </w:t>
      </w:r>
      <w:r>
        <w:t>approximately 12</w:t>
      </w:r>
      <w:r w:rsidRPr="00B6114A">
        <w:t xml:space="preserve"> months </w:t>
      </w:r>
      <w:r>
        <w:t>later</w:t>
      </w:r>
      <w:r w:rsidRPr="00B6114A">
        <w:t xml:space="preserve">. We assumed </w:t>
      </w:r>
      <w:r>
        <w:t>20 clinical staff</w:t>
      </w:r>
      <w:r w:rsidRPr="00B6114A">
        <w:t xml:space="preserve"> per</w:t>
      </w:r>
      <w:r>
        <w:t xml:space="preserve"> clinical site, and</w:t>
      </w:r>
      <w:r w:rsidR="00373091">
        <w:t xml:space="preserve"> up to 33 clinical sites</w:t>
      </w:r>
      <w:r>
        <w:t>,</w:t>
      </w:r>
      <w:r w:rsidRPr="00B6114A">
        <w:t xml:space="preserve"> for a total of </w:t>
      </w:r>
      <w:r>
        <w:t>6</w:t>
      </w:r>
      <w:r w:rsidR="00373091">
        <w:t>6</w:t>
      </w:r>
      <w:r>
        <w:t>0</w:t>
      </w:r>
      <w:r w:rsidRPr="00B6114A">
        <w:t xml:space="preserve"> staff across all </w:t>
      </w:r>
      <w:r>
        <w:t>1</w:t>
      </w:r>
      <w:r w:rsidR="00373091">
        <w:t>2</w:t>
      </w:r>
      <w:r w:rsidRPr="00B6114A">
        <w:t xml:space="preserve"> </w:t>
      </w:r>
      <w:r>
        <w:t>organizations</w:t>
      </w:r>
      <w:r w:rsidRPr="00B6114A">
        <w:t xml:space="preserve">. We assumed </w:t>
      </w:r>
      <w:r w:rsidR="00DC412D">
        <w:t>4</w:t>
      </w:r>
      <w:r w:rsidR="00373091">
        <w:t>95</w:t>
      </w:r>
      <w:r w:rsidRPr="00B6114A">
        <w:t xml:space="preserve"> </w:t>
      </w:r>
      <w:r>
        <w:t>clinical</w:t>
      </w:r>
      <w:r w:rsidRPr="00B6114A">
        <w:t xml:space="preserve"> staff will complete the survey based on a </w:t>
      </w:r>
      <w:r w:rsidR="00DC412D">
        <w:t>75</w:t>
      </w:r>
      <w:r w:rsidRPr="00B6114A">
        <w:t>% respon</w:t>
      </w:r>
      <w:r w:rsidR="006F1ED6">
        <w:t>se rate. It is expected to take approximately 15</w:t>
      </w:r>
      <w:r w:rsidRPr="00B6114A">
        <w:t xml:space="preserve"> minutes to complete. </w:t>
      </w:r>
    </w:p>
    <w:p w14:paraId="27C1712C" w14:textId="77777777" w:rsidR="008A74E8" w:rsidRDefault="008A74E8" w:rsidP="008A74E8">
      <w:pPr>
        <w:spacing w:after="240"/>
        <w:ind w:left="720"/>
      </w:pPr>
    </w:p>
    <w:p w14:paraId="398521BD" w14:textId="77777777" w:rsidR="00F46829" w:rsidRDefault="00F46829" w:rsidP="00F46829">
      <w:pPr>
        <w:pStyle w:val="AbtHeadCOutlined"/>
        <w:numPr>
          <w:ilvl w:val="0"/>
          <w:numId w:val="0"/>
        </w:numPr>
      </w:pPr>
      <w:r w:rsidRPr="00585C3A">
        <w:rPr>
          <w:sz w:val="24"/>
        </w:rPr>
        <w:t>Proposed analyses and statistical power calculations</w:t>
      </w:r>
    </w:p>
    <w:p w14:paraId="436C3424" w14:textId="65E05279" w:rsidR="00F46829" w:rsidRPr="007B1E4D" w:rsidRDefault="00F46829" w:rsidP="00F46829">
      <w:r w:rsidRPr="007B1E4D">
        <w:t xml:space="preserve">As described in Summary Statement Part A, some of the data collected will be analyzed using </w:t>
      </w:r>
      <w:r w:rsidR="00B0174B">
        <w:t>quantitative</w:t>
      </w:r>
      <w:r w:rsidR="00B0174B" w:rsidRPr="007B1E4D">
        <w:t xml:space="preserve"> </w:t>
      </w:r>
      <w:r w:rsidRPr="007B1E4D">
        <w:t>methods.</w:t>
      </w:r>
      <w:r>
        <w:t xml:space="preserve"> </w:t>
      </w:r>
      <w:r w:rsidR="00B0174B">
        <w:t>These q</w:t>
      </w:r>
      <w:r w:rsidRPr="007B1E4D">
        <w:t>uantitative analyses include univariate s</w:t>
      </w:r>
      <w:r w:rsidR="00495FBA">
        <w:t>tatistics (e.g., average</w:t>
      </w:r>
      <w:r w:rsidR="0056317B">
        <w:t xml:space="preserve"> clinician self-efficacy around safe opioid prescribing</w:t>
      </w:r>
      <w:r w:rsidRPr="007B1E4D">
        <w:t xml:space="preserve">) and, where appropriate, </w:t>
      </w:r>
      <w:r w:rsidR="00634C48">
        <w:t xml:space="preserve">statistical tests to assess </w:t>
      </w:r>
      <w:r w:rsidRPr="007B1E4D">
        <w:t>differences</w:t>
      </w:r>
      <w:r w:rsidR="00634C48">
        <w:t xml:space="preserve"> in surve</w:t>
      </w:r>
      <w:r w:rsidR="008A74E8">
        <w:t>y responses</w:t>
      </w:r>
      <w:r w:rsidR="00634C48">
        <w:t xml:space="preserve"> between the beginning and end of </w:t>
      </w:r>
      <w:r w:rsidR="00495FBA">
        <w:t>6BBs Toolkit</w:t>
      </w:r>
      <w:r w:rsidR="00634C48">
        <w:t xml:space="preserve"> implementation</w:t>
      </w:r>
      <w:r w:rsidRPr="007B1E4D">
        <w:t>.</w:t>
      </w:r>
      <w:r>
        <w:t xml:space="preserve"> </w:t>
      </w:r>
    </w:p>
    <w:p w14:paraId="291912CF" w14:textId="77777777" w:rsidR="00F46829" w:rsidRPr="007B1E4D" w:rsidRDefault="00F46829" w:rsidP="00F46829"/>
    <w:p w14:paraId="29653398" w14:textId="69C8EA6F" w:rsidR="0056317B" w:rsidRDefault="0056317B" w:rsidP="0056317B">
      <w:r>
        <w:t>Most data</w:t>
      </w:r>
      <w:r w:rsidR="00F46829" w:rsidRPr="007B1E4D">
        <w:t xml:space="preserve"> will be </w:t>
      </w:r>
      <w:r>
        <w:t>analyzed at the health care organization level, and consist primarily of descriptive statistics due to the small sample size (n=1</w:t>
      </w:r>
      <w:r w:rsidR="00F43FC4">
        <w:t>2</w:t>
      </w:r>
      <w:r>
        <w:t>). The quantitative analysis approach will entail running descriptive statistics – mean, median, standard deviation, and plots of distributions for continuous variables, and frequency tables and plots for categorical variables. Likewi</w:t>
      </w:r>
      <w:r w:rsidR="00DC412D">
        <w:t>se, we will descriptively assess</w:t>
      </w:r>
      <w:r>
        <w:t xml:space="preserve"> </w:t>
      </w:r>
      <w:r w:rsidR="00634C48">
        <w:t xml:space="preserve">organizational-level </w:t>
      </w:r>
      <w:r>
        <w:t xml:space="preserve">changes in QI measures over </w:t>
      </w:r>
      <w:r w:rsidR="00634C48">
        <w:t>time</w:t>
      </w:r>
      <w:r>
        <w:t xml:space="preserve">. </w:t>
      </w:r>
    </w:p>
    <w:p w14:paraId="0527F772" w14:textId="77777777" w:rsidR="0056317B" w:rsidRDefault="0056317B" w:rsidP="0056317B"/>
    <w:p w14:paraId="3513CE88" w14:textId="2C00900B" w:rsidR="0056317B" w:rsidRDefault="0056317B" w:rsidP="0056317B">
      <w:r>
        <w:t>We ant</w:t>
      </w:r>
      <w:r w:rsidR="00DC412D">
        <w:t>icipate receiving a total of 4</w:t>
      </w:r>
      <w:r w:rsidR="00F43FC4">
        <w:t>95</w:t>
      </w:r>
      <w:r>
        <w:t xml:space="preserve"> completed clinical staff surveys across 1</w:t>
      </w:r>
      <w:r w:rsidR="00F43FC4">
        <w:t>2</w:t>
      </w:r>
      <w:r w:rsidR="00634C48">
        <w:t xml:space="preserve"> organizations at both the beginning and end</w:t>
      </w:r>
      <w:r>
        <w:t xml:space="preserve"> time points.</w:t>
      </w:r>
      <w:r w:rsidR="006E65FE">
        <w:t xml:space="preserve"> </w:t>
      </w:r>
      <w:r w:rsidR="00C9116C">
        <w:t>Survey data will be pooled across organizations to perform statistical tests. W</w:t>
      </w:r>
      <w:r>
        <w:t>e will use paired-samples t-test</w:t>
      </w:r>
      <w:r w:rsidR="00C9116C">
        <w:t>s</w:t>
      </w:r>
      <w:r>
        <w:t xml:space="preserve"> to compare </w:t>
      </w:r>
      <w:r w:rsidR="00C9116C">
        <w:t xml:space="preserve">continuous and Likert-scale outcomes, such as clinician self-efficacy and number of strategies used to manage patients on opioids, between the two time points. We will use binomial tests to compare binary outcomes, including whether or not </w:t>
      </w:r>
      <w:r w:rsidR="00AA55D7">
        <w:t>clinician</w:t>
      </w:r>
      <w:r w:rsidR="0075719A">
        <w:t>s report</w:t>
      </w:r>
      <w:r w:rsidR="00C9116C">
        <w:t xml:space="preserve"> using a patient registry and whether or not clinician</w:t>
      </w:r>
      <w:r w:rsidR="0075719A">
        <w:t>s report</w:t>
      </w:r>
      <w:r w:rsidR="00C9116C">
        <w:t xml:space="preserve"> being waivered to prescribed buprenorphine</w:t>
      </w:r>
      <w:r w:rsidR="00AA55D7">
        <w:t>,</w:t>
      </w:r>
      <w:r w:rsidR="00634C48">
        <w:t xml:space="preserve"> between the</w:t>
      </w:r>
      <w:r>
        <w:t xml:space="preserve"> two time points.</w:t>
      </w:r>
    </w:p>
    <w:p w14:paraId="308A87E5" w14:textId="77777777" w:rsidR="00F46829" w:rsidRPr="007B1E4D" w:rsidRDefault="00F46829" w:rsidP="00F46829"/>
    <w:p w14:paraId="4D8C2698" w14:textId="37DC7CFB" w:rsidR="00F46829" w:rsidRPr="007B1E4D" w:rsidRDefault="00F46829" w:rsidP="00F46829">
      <w:r w:rsidRPr="007B1E4D">
        <w:t xml:space="preserve">Exhibit 1, below, summarizes for each data source the type of variable used, statistical </w:t>
      </w:r>
      <w:r w:rsidR="00F43FC4">
        <w:t>approach,</w:t>
      </w:r>
      <w:r w:rsidRPr="007B1E4D">
        <w:t xml:space="preserve"> </w:t>
      </w:r>
      <w:r w:rsidR="00F43FC4">
        <w:t>and required</w:t>
      </w:r>
      <w:r w:rsidRPr="007B1E4D">
        <w:t xml:space="preserve"> </w:t>
      </w:r>
      <w:r w:rsidR="00F43FC4">
        <w:t xml:space="preserve">sample </w:t>
      </w:r>
      <w:r w:rsidRPr="007B1E4D">
        <w:t>sizes</w:t>
      </w:r>
      <w:r w:rsidR="00F43FC4">
        <w:t xml:space="preserve"> assuming</w:t>
      </w:r>
      <w:r w:rsidRPr="007B1E4D">
        <w:t xml:space="preserve"> 80% statistical power level</w:t>
      </w:r>
      <w:r w:rsidR="00C87F7D">
        <w:t>, significance level of 0.05, and</w:t>
      </w:r>
      <w:r w:rsidRPr="007B1E4D">
        <w:t xml:space="preserve"> explicit assumptions about the standard deviation (SD). All statistical tests will be computed in </w:t>
      </w:r>
      <w:r w:rsidR="00957F6B">
        <w:t>SAS</w:t>
      </w:r>
      <w:r w:rsidRPr="007B1E4D">
        <w:t>.</w:t>
      </w:r>
    </w:p>
    <w:p w14:paraId="14B17D39" w14:textId="77777777" w:rsidR="00F46829" w:rsidRDefault="00F46829" w:rsidP="00F46829"/>
    <w:p w14:paraId="781DABAD" w14:textId="7604A240" w:rsidR="00F46829" w:rsidRDefault="00957F6B" w:rsidP="00F46829">
      <w:pPr>
        <w:rPr>
          <w:b/>
        </w:rPr>
      </w:pPr>
      <w:r>
        <w:rPr>
          <w:b/>
        </w:rPr>
        <w:t xml:space="preserve">Exhibit 1. 6BBs </w:t>
      </w:r>
      <w:r w:rsidR="00E33325">
        <w:rPr>
          <w:b/>
        </w:rPr>
        <w:t>Evaluation</w:t>
      </w:r>
      <w:r w:rsidR="00F46829" w:rsidRPr="00207255">
        <w:rPr>
          <w:b/>
        </w:rPr>
        <w:t xml:space="preserve"> Sample Size, Statistical Tests and Power Calculations</w:t>
      </w:r>
    </w:p>
    <w:p w14:paraId="254FFFFD" w14:textId="77777777" w:rsidR="00F46829" w:rsidRDefault="00F46829" w:rsidP="00F46829">
      <w:pPr>
        <w:rPr>
          <w:b/>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3060"/>
        <w:gridCol w:w="1350"/>
        <w:gridCol w:w="1440"/>
        <w:gridCol w:w="1530"/>
      </w:tblGrid>
      <w:tr w:rsidR="00F46829" w:rsidRPr="00533730" w14:paraId="21EF7276" w14:textId="77777777" w:rsidTr="00984DBE">
        <w:tc>
          <w:tcPr>
            <w:tcW w:w="1638" w:type="dxa"/>
            <w:shd w:val="clear" w:color="auto" w:fill="4F81BD"/>
            <w:vAlign w:val="center"/>
          </w:tcPr>
          <w:p w14:paraId="091C555F" w14:textId="77777777" w:rsidR="00F46829" w:rsidRPr="00533730" w:rsidRDefault="00F46829" w:rsidP="00984DBE">
            <w:pPr>
              <w:rPr>
                <w:b/>
                <w:sz w:val="20"/>
                <w:szCs w:val="20"/>
              </w:rPr>
            </w:pPr>
            <w:r w:rsidRPr="00533730">
              <w:rPr>
                <w:b/>
                <w:bCs/>
                <w:color w:val="FFFFFF"/>
                <w:sz w:val="20"/>
                <w:szCs w:val="20"/>
              </w:rPr>
              <w:t>Instrument</w:t>
            </w:r>
          </w:p>
        </w:tc>
        <w:tc>
          <w:tcPr>
            <w:tcW w:w="3060" w:type="dxa"/>
            <w:shd w:val="clear" w:color="auto" w:fill="4F81BD"/>
            <w:vAlign w:val="center"/>
          </w:tcPr>
          <w:p w14:paraId="1F03C36E" w14:textId="77777777" w:rsidR="00F46829" w:rsidRPr="00533730" w:rsidRDefault="00F46829" w:rsidP="00984DBE">
            <w:pPr>
              <w:rPr>
                <w:b/>
                <w:sz w:val="20"/>
                <w:szCs w:val="20"/>
              </w:rPr>
            </w:pPr>
            <w:r w:rsidRPr="00533730">
              <w:rPr>
                <w:b/>
                <w:bCs/>
                <w:color w:val="FFFFFF"/>
                <w:sz w:val="20"/>
                <w:szCs w:val="20"/>
              </w:rPr>
              <w:t>Variables used</w:t>
            </w:r>
          </w:p>
        </w:tc>
        <w:tc>
          <w:tcPr>
            <w:tcW w:w="1350" w:type="dxa"/>
            <w:shd w:val="clear" w:color="auto" w:fill="4F81BD"/>
            <w:vAlign w:val="center"/>
          </w:tcPr>
          <w:p w14:paraId="6E6D02FD" w14:textId="5678A59F" w:rsidR="00F46829" w:rsidRPr="00533730" w:rsidRDefault="00F46829" w:rsidP="00984DBE">
            <w:pPr>
              <w:rPr>
                <w:b/>
                <w:sz w:val="20"/>
                <w:szCs w:val="20"/>
              </w:rPr>
            </w:pPr>
            <w:r w:rsidRPr="00533730">
              <w:rPr>
                <w:b/>
                <w:bCs/>
                <w:color w:val="FFFFFF"/>
                <w:sz w:val="20"/>
                <w:szCs w:val="20"/>
              </w:rPr>
              <w:t>Statistical test</w:t>
            </w:r>
            <w:r w:rsidR="006E65FE">
              <w:rPr>
                <w:b/>
                <w:bCs/>
                <w:color w:val="FFFFFF"/>
                <w:sz w:val="20"/>
                <w:szCs w:val="20"/>
              </w:rPr>
              <w:t>s</w:t>
            </w:r>
          </w:p>
        </w:tc>
        <w:tc>
          <w:tcPr>
            <w:tcW w:w="1440" w:type="dxa"/>
            <w:shd w:val="clear" w:color="auto" w:fill="4F81BD"/>
            <w:vAlign w:val="center"/>
          </w:tcPr>
          <w:p w14:paraId="67188E4E" w14:textId="67CE078C" w:rsidR="00F46829" w:rsidRPr="00533730" w:rsidRDefault="00F46829" w:rsidP="00984DBE">
            <w:pPr>
              <w:rPr>
                <w:b/>
                <w:sz w:val="20"/>
                <w:szCs w:val="20"/>
              </w:rPr>
            </w:pPr>
            <w:r w:rsidRPr="00533730">
              <w:rPr>
                <w:b/>
                <w:bCs/>
                <w:color w:val="FFFFFF"/>
                <w:sz w:val="20"/>
                <w:szCs w:val="20"/>
              </w:rPr>
              <w:t xml:space="preserve">Anticipated Sample </w:t>
            </w:r>
            <w:r w:rsidR="005D77A5">
              <w:rPr>
                <w:b/>
                <w:bCs/>
                <w:color w:val="FFFFFF"/>
                <w:sz w:val="20"/>
                <w:szCs w:val="20"/>
              </w:rPr>
              <w:t>size (pooled across organizations)</w:t>
            </w:r>
          </w:p>
        </w:tc>
        <w:tc>
          <w:tcPr>
            <w:tcW w:w="1530" w:type="dxa"/>
            <w:shd w:val="clear" w:color="auto" w:fill="4F81BD"/>
            <w:vAlign w:val="center"/>
          </w:tcPr>
          <w:p w14:paraId="341843D8" w14:textId="77777777" w:rsidR="00F46829" w:rsidRPr="00533730" w:rsidRDefault="00F46829" w:rsidP="00984DBE">
            <w:pPr>
              <w:rPr>
                <w:b/>
                <w:sz w:val="20"/>
                <w:szCs w:val="20"/>
              </w:rPr>
            </w:pPr>
            <w:r w:rsidRPr="00533730">
              <w:rPr>
                <w:b/>
                <w:bCs/>
                <w:color w:val="FFFFFF"/>
                <w:sz w:val="20"/>
                <w:szCs w:val="20"/>
              </w:rPr>
              <w:t>Minimum detectable effect size at</w:t>
            </w:r>
            <w:r>
              <w:rPr>
                <w:b/>
                <w:bCs/>
                <w:color w:val="FFFFFF"/>
                <w:sz w:val="20"/>
                <w:szCs w:val="20"/>
              </w:rPr>
              <w:t xml:space="preserve"> </w:t>
            </w:r>
            <w:r w:rsidRPr="00533730">
              <w:rPr>
                <w:b/>
                <w:bCs/>
                <w:color w:val="FFFFFF"/>
                <w:sz w:val="20"/>
                <w:szCs w:val="20"/>
              </w:rPr>
              <w:t xml:space="preserve">80% statistical power level and 5% alpha </w:t>
            </w:r>
          </w:p>
        </w:tc>
      </w:tr>
      <w:tr w:rsidR="00F46829" w:rsidRPr="00533730" w14:paraId="40091F83" w14:textId="77777777" w:rsidTr="00984DBE">
        <w:tc>
          <w:tcPr>
            <w:tcW w:w="1638" w:type="dxa"/>
            <w:shd w:val="clear" w:color="auto" w:fill="auto"/>
            <w:vAlign w:val="center"/>
          </w:tcPr>
          <w:p w14:paraId="00C94A63" w14:textId="2CD76D91" w:rsidR="00F46829" w:rsidRPr="00533730" w:rsidRDefault="00957F6B" w:rsidP="00984DBE">
            <w:pPr>
              <w:rPr>
                <w:b/>
                <w:sz w:val="20"/>
                <w:szCs w:val="20"/>
              </w:rPr>
            </w:pPr>
            <w:r>
              <w:rPr>
                <w:b/>
                <w:sz w:val="20"/>
                <w:szCs w:val="20"/>
              </w:rPr>
              <w:t>Clinical Staff Survey</w:t>
            </w:r>
            <w:r w:rsidR="00F46829" w:rsidRPr="00533730">
              <w:rPr>
                <w:b/>
                <w:sz w:val="20"/>
                <w:szCs w:val="20"/>
              </w:rPr>
              <w:t xml:space="preserve"> (Attachment </w:t>
            </w:r>
            <w:r w:rsidR="00634C48" w:rsidRPr="00634C48">
              <w:rPr>
                <w:b/>
                <w:sz w:val="20"/>
                <w:szCs w:val="20"/>
              </w:rPr>
              <w:t>A</w:t>
            </w:r>
            <w:r w:rsidR="00F46829" w:rsidRPr="00533730">
              <w:rPr>
                <w:b/>
                <w:sz w:val="20"/>
                <w:szCs w:val="20"/>
              </w:rPr>
              <w:t>)</w:t>
            </w:r>
          </w:p>
        </w:tc>
        <w:tc>
          <w:tcPr>
            <w:tcW w:w="3060" w:type="dxa"/>
            <w:shd w:val="clear" w:color="auto" w:fill="auto"/>
          </w:tcPr>
          <w:p w14:paraId="7DD2798E" w14:textId="77777777" w:rsidR="00203837" w:rsidRDefault="00F46829" w:rsidP="00203837">
            <w:pPr>
              <w:rPr>
                <w:sz w:val="20"/>
                <w:szCs w:val="20"/>
              </w:rPr>
            </w:pPr>
            <w:r w:rsidRPr="00203837">
              <w:rPr>
                <w:sz w:val="20"/>
                <w:szCs w:val="20"/>
              </w:rPr>
              <w:t>Average scores (0-5) for several domains:</w:t>
            </w:r>
          </w:p>
          <w:p w14:paraId="076DA67D" w14:textId="34DFBB51" w:rsidR="00203837" w:rsidRPr="00203837" w:rsidRDefault="00F46829" w:rsidP="00203837">
            <w:pPr>
              <w:pStyle w:val="ListParagraph"/>
              <w:numPr>
                <w:ilvl w:val="0"/>
                <w:numId w:val="22"/>
              </w:numPr>
              <w:ind w:left="409"/>
              <w:rPr>
                <w:rFonts w:ascii="Times New Roman" w:hAnsi="Times New Roman" w:cs="Times New Roman"/>
                <w:sz w:val="20"/>
                <w:szCs w:val="20"/>
              </w:rPr>
            </w:pPr>
            <w:r w:rsidRPr="00203837">
              <w:rPr>
                <w:rFonts w:ascii="Times New Roman" w:hAnsi="Times New Roman" w:cs="Times New Roman"/>
                <w:sz w:val="20"/>
                <w:szCs w:val="20"/>
              </w:rPr>
              <w:t>c</w:t>
            </w:r>
            <w:r w:rsidR="00203837">
              <w:rPr>
                <w:rFonts w:ascii="Times New Roman" w:hAnsi="Times New Roman" w:cs="Times New Roman"/>
                <w:sz w:val="20"/>
                <w:szCs w:val="20"/>
              </w:rPr>
              <w:t>linician</w:t>
            </w:r>
            <w:r w:rsidRPr="00203837">
              <w:rPr>
                <w:rFonts w:ascii="Times New Roman" w:hAnsi="Times New Roman" w:cs="Times New Roman"/>
                <w:sz w:val="20"/>
                <w:szCs w:val="20"/>
              </w:rPr>
              <w:t xml:space="preserve"> </w:t>
            </w:r>
            <w:r w:rsidR="008A74E8" w:rsidRPr="00203837">
              <w:rPr>
                <w:rFonts w:ascii="Times New Roman" w:hAnsi="Times New Roman" w:cs="Times New Roman"/>
                <w:sz w:val="20"/>
                <w:szCs w:val="20"/>
              </w:rPr>
              <w:t>role with opioid patients</w:t>
            </w:r>
            <w:r w:rsidR="00203837" w:rsidRPr="00203837">
              <w:rPr>
                <w:rFonts w:ascii="Times New Roman" w:hAnsi="Times New Roman" w:cs="Times New Roman"/>
                <w:sz w:val="20"/>
                <w:szCs w:val="20"/>
              </w:rPr>
              <w:t>;</w:t>
            </w:r>
          </w:p>
          <w:p w14:paraId="0F6EC685" w14:textId="13893718" w:rsidR="00203837" w:rsidRPr="00203837" w:rsidRDefault="00F46829" w:rsidP="00203837">
            <w:pPr>
              <w:pStyle w:val="ListParagraph"/>
              <w:numPr>
                <w:ilvl w:val="0"/>
                <w:numId w:val="22"/>
              </w:numPr>
              <w:ind w:left="409"/>
              <w:rPr>
                <w:rFonts w:ascii="Times New Roman" w:hAnsi="Times New Roman" w:cs="Times New Roman"/>
                <w:sz w:val="20"/>
                <w:szCs w:val="20"/>
              </w:rPr>
            </w:pPr>
            <w:r w:rsidRPr="00203837">
              <w:rPr>
                <w:rFonts w:ascii="Times New Roman" w:hAnsi="Times New Roman" w:cs="Times New Roman"/>
                <w:sz w:val="20"/>
                <w:szCs w:val="20"/>
              </w:rPr>
              <w:t>c</w:t>
            </w:r>
            <w:r w:rsidR="008A74E8" w:rsidRPr="00203837">
              <w:rPr>
                <w:rFonts w:ascii="Times New Roman" w:hAnsi="Times New Roman" w:cs="Times New Roman"/>
                <w:sz w:val="20"/>
                <w:szCs w:val="20"/>
              </w:rPr>
              <w:t>linician self-efficacy around opioid prescribing</w:t>
            </w:r>
            <w:r w:rsidRPr="00203837">
              <w:rPr>
                <w:rFonts w:ascii="Times New Roman" w:hAnsi="Times New Roman" w:cs="Times New Roman"/>
                <w:sz w:val="20"/>
                <w:szCs w:val="20"/>
              </w:rPr>
              <w:t>;</w:t>
            </w:r>
          </w:p>
          <w:p w14:paraId="1A8D5CF1" w14:textId="7901BA1D" w:rsidR="00203837" w:rsidRPr="00203837" w:rsidRDefault="00F46829" w:rsidP="00203837">
            <w:pPr>
              <w:pStyle w:val="ListParagraph"/>
              <w:numPr>
                <w:ilvl w:val="0"/>
                <w:numId w:val="22"/>
              </w:numPr>
              <w:ind w:left="409"/>
              <w:rPr>
                <w:rFonts w:ascii="Times New Roman" w:hAnsi="Times New Roman" w:cs="Times New Roman"/>
                <w:sz w:val="20"/>
                <w:szCs w:val="20"/>
              </w:rPr>
            </w:pPr>
            <w:r w:rsidRPr="00203837">
              <w:rPr>
                <w:rFonts w:ascii="Times New Roman" w:hAnsi="Times New Roman" w:cs="Times New Roman"/>
                <w:sz w:val="20"/>
                <w:szCs w:val="20"/>
              </w:rPr>
              <w:t>clinician repo</w:t>
            </w:r>
            <w:r w:rsidR="008A74E8" w:rsidRPr="00203837">
              <w:rPr>
                <w:rFonts w:ascii="Times New Roman" w:hAnsi="Times New Roman" w:cs="Times New Roman"/>
                <w:sz w:val="20"/>
                <w:szCs w:val="20"/>
              </w:rPr>
              <w:t xml:space="preserve">rt on </w:t>
            </w:r>
            <w:r w:rsidR="00203837" w:rsidRPr="00203837">
              <w:rPr>
                <w:rFonts w:ascii="Times New Roman" w:hAnsi="Times New Roman" w:cs="Times New Roman"/>
                <w:sz w:val="20"/>
                <w:szCs w:val="20"/>
              </w:rPr>
              <w:t xml:space="preserve">organization’s </w:t>
            </w:r>
            <w:r w:rsidR="008A74E8" w:rsidRPr="00203837">
              <w:rPr>
                <w:rFonts w:ascii="Times New Roman" w:hAnsi="Times New Roman" w:cs="Times New Roman"/>
                <w:sz w:val="20"/>
                <w:szCs w:val="20"/>
              </w:rPr>
              <w:t>adaptive reserve</w:t>
            </w:r>
            <w:r w:rsidR="00203837" w:rsidRPr="00203837">
              <w:rPr>
                <w:rFonts w:ascii="Times New Roman" w:hAnsi="Times New Roman" w:cs="Times New Roman"/>
                <w:sz w:val="20"/>
                <w:szCs w:val="20"/>
              </w:rPr>
              <w:t>.</w:t>
            </w:r>
          </w:p>
          <w:p w14:paraId="2D5A5372" w14:textId="6FA7FC77" w:rsidR="0072434A" w:rsidRDefault="00F46829" w:rsidP="00203837">
            <w:pPr>
              <w:ind w:left="177"/>
              <w:rPr>
                <w:sz w:val="20"/>
                <w:szCs w:val="20"/>
              </w:rPr>
            </w:pPr>
            <w:r w:rsidRPr="00533730">
              <w:rPr>
                <w:sz w:val="20"/>
                <w:szCs w:val="20"/>
              </w:rPr>
              <w:t xml:space="preserve"> </w:t>
            </w:r>
          </w:p>
          <w:p w14:paraId="3B75D4E7" w14:textId="77777777" w:rsidR="00203837" w:rsidRDefault="0072434A" w:rsidP="00203837">
            <w:pPr>
              <w:rPr>
                <w:sz w:val="20"/>
                <w:szCs w:val="20"/>
              </w:rPr>
            </w:pPr>
            <w:r>
              <w:rPr>
                <w:sz w:val="20"/>
                <w:szCs w:val="20"/>
              </w:rPr>
              <w:t xml:space="preserve">Average number of strategies: </w:t>
            </w:r>
          </w:p>
          <w:p w14:paraId="4FDC4343" w14:textId="039A275C" w:rsidR="0072434A" w:rsidRPr="00203837" w:rsidRDefault="00F46829" w:rsidP="00203837">
            <w:pPr>
              <w:pStyle w:val="ListParagraph"/>
              <w:numPr>
                <w:ilvl w:val="0"/>
                <w:numId w:val="19"/>
              </w:numPr>
              <w:rPr>
                <w:rFonts w:ascii="Times New Roman" w:hAnsi="Times New Roman" w:cs="Times New Roman"/>
                <w:sz w:val="20"/>
                <w:szCs w:val="20"/>
              </w:rPr>
            </w:pPr>
            <w:r w:rsidRPr="00203837">
              <w:rPr>
                <w:rFonts w:ascii="Times New Roman" w:hAnsi="Times New Roman" w:cs="Times New Roman"/>
                <w:sz w:val="20"/>
                <w:szCs w:val="20"/>
              </w:rPr>
              <w:t xml:space="preserve">clinician </w:t>
            </w:r>
            <w:r w:rsidR="0072434A" w:rsidRPr="00203837">
              <w:rPr>
                <w:rFonts w:ascii="Times New Roman" w:hAnsi="Times New Roman" w:cs="Times New Roman"/>
                <w:sz w:val="20"/>
                <w:szCs w:val="20"/>
              </w:rPr>
              <w:t>reports using in routine care for patients on COT</w:t>
            </w:r>
            <w:r w:rsidR="0075719A">
              <w:rPr>
                <w:rFonts w:ascii="Times New Roman" w:hAnsi="Times New Roman" w:cs="Times New Roman"/>
                <w:sz w:val="20"/>
                <w:szCs w:val="20"/>
              </w:rPr>
              <w:t>*</w:t>
            </w:r>
            <w:r w:rsidR="0072434A" w:rsidRPr="00203837">
              <w:rPr>
                <w:rFonts w:ascii="Times New Roman" w:hAnsi="Times New Roman" w:cs="Times New Roman"/>
                <w:sz w:val="20"/>
                <w:szCs w:val="20"/>
              </w:rPr>
              <w:t>;</w:t>
            </w:r>
          </w:p>
          <w:p w14:paraId="453771CF" w14:textId="6BA7462C" w:rsidR="00F46829" w:rsidRPr="00203837" w:rsidRDefault="0072434A" w:rsidP="00203837">
            <w:pPr>
              <w:pStyle w:val="ListParagraph"/>
              <w:numPr>
                <w:ilvl w:val="0"/>
                <w:numId w:val="19"/>
              </w:numPr>
              <w:rPr>
                <w:rFonts w:ascii="Times New Roman" w:hAnsi="Times New Roman" w:cs="Times New Roman"/>
                <w:sz w:val="20"/>
                <w:szCs w:val="20"/>
              </w:rPr>
            </w:pPr>
            <w:r w:rsidRPr="00203837">
              <w:rPr>
                <w:rFonts w:ascii="Times New Roman" w:hAnsi="Times New Roman" w:cs="Times New Roman"/>
                <w:sz w:val="20"/>
                <w:szCs w:val="20"/>
              </w:rPr>
              <w:t>clinician reports using a clinical dashboard to monitor;</w:t>
            </w:r>
          </w:p>
          <w:p w14:paraId="36ADB6D3" w14:textId="742327E3" w:rsidR="0072434A" w:rsidRPr="00203837" w:rsidRDefault="00203837" w:rsidP="00203837">
            <w:pPr>
              <w:pStyle w:val="ListParagraph"/>
              <w:numPr>
                <w:ilvl w:val="0"/>
                <w:numId w:val="19"/>
              </w:numPr>
              <w:rPr>
                <w:rFonts w:ascii="Times New Roman" w:hAnsi="Times New Roman" w:cs="Times New Roman"/>
                <w:sz w:val="20"/>
                <w:szCs w:val="20"/>
              </w:rPr>
            </w:pPr>
            <w:r w:rsidRPr="00203837">
              <w:rPr>
                <w:rFonts w:ascii="Times New Roman" w:hAnsi="Times New Roman" w:cs="Times New Roman"/>
                <w:sz w:val="20"/>
                <w:szCs w:val="20"/>
              </w:rPr>
              <w:t>c</w:t>
            </w:r>
            <w:r w:rsidR="0072434A" w:rsidRPr="00203837">
              <w:rPr>
                <w:rFonts w:ascii="Times New Roman" w:hAnsi="Times New Roman" w:cs="Times New Roman"/>
                <w:sz w:val="20"/>
                <w:szCs w:val="20"/>
              </w:rPr>
              <w:t>linician reports as facilitators to change prescribing practices</w:t>
            </w:r>
            <w:r w:rsidRPr="00203837">
              <w:rPr>
                <w:rFonts w:ascii="Times New Roman" w:hAnsi="Times New Roman" w:cs="Times New Roman"/>
                <w:sz w:val="20"/>
                <w:szCs w:val="20"/>
              </w:rPr>
              <w:t>;</w:t>
            </w:r>
          </w:p>
          <w:p w14:paraId="6B4B5399" w14:textId="1A745F59" w:rsidR="0072434A" w:rsidRPr="00203837" w:rsidRDefault="00203837" w:rsidP="00203837">
            <w:pPr>
              <w:pStyle w:val="ListParagraph"/>
              <w:numPr>
                <w:ilvl w:val="0"/>
                <w:numId w:val="19"/>
              </w:numPr>
              <w:rPr>
                <w:rFonts w:ascii="Times New Roman" w:hAnsi="Times New Roman" w:cs="Times New Roman"/>
                <w:sz w:val="20"/>
                <w:szCs w:val="20"/>
              </w:rPr>
            </w:pPr>
            <w:r w:rsidRPr="00203837">
              <w:rPr>
                <w:rFonts w:ascii="Times New Roman" w:hAnsi="Times New Roman" w:cs="Times New Roman"/>
                <w:sz w:val="20"/>
                <w:szCs w:val="20"/>
              </w:rPr>
              <w:t>clinician</w:t>
            </w:r>
            <w:r w:rsidR="0072434A" w:rsidRPr="00203837">
              <w:rPr>
                <w:rFonts w:ascii="Times New Roman" w:hAnsi="Times New Roman" w:cs="Times New Roman"/>
                <w:sz w:val="20"/>
                <w:szCs w:val="20"/>
              </w:rPr>
              <w:t xml:space="preserve"> reports as barriers to prescribing practices.</w:t>
            </w:r>
          </w:p>
          <w:p w14:paraId="7B15F4BA" w14:textId="77777777" w:rsidR="00F46829" w:rsidRPr="00533730" w:rsidRDefault="00F46829" w:rsidP="00984DBE">
            <w:pPr>
              <w:ind w:left="177"/>
              <w:rPr>
                <w:sz w:val="20"/>
                <w:szCs w:val="20"/>
              </w:rPr>
            </w:pPr>
          </w:p>
          <w:p w14:paraId="145A89C5" w14:textId="7B30A5CB" w:rsidR="00F46829" w:rsidRPr="00533730" w:rsidRDefault="00FF6AB2" w:rsidP="00203837">
            <w:pPr>
              <w:rPr>
                <w:sz w:val="20"/>
                <w:szCs w:val="20"/>
              </w:rPr>
            </w:pPr>
            <w:r>
              <w:rPr>
                <w:sz w:val="20"/>
                <w:szCs w:val="20"/>
              </w:rPr>
              <w:t>Binary variables</w:t>
            </w:r>
            <w:r w:rsidR="0072434A">
              <w:rPr>
                <w:sz w:val="20"/>
                <w:szCs w:val="20"/>
              </w:rPr>
              <w:t xml:space="preserve"> (</w:t>
            </w:r>
            <w:r>
              <w:rPr>
                <w:sz w:val="20"/>
                <w:szCs w:val="20"/>
              </w:rPr>
              <w:t>yes/no</w:t>
            </w:r>
            <w:r w:rsidR="00F46829" w:rsidRPr="00533730">
              <w:rPr>
                <w:sz w:val="20"/>
                <w:szCs w:val="20"/>
              </w:rPr>
              <w:t xml:space="preserve">): </w:t>
            </w:r>
          </w:p>
          <w:p w14:paraId="432214A6" w14:textId="58FA64DE" w:rsidR="0072434A" w:rsidRPr="00203837" w:rsidRDefault="00F46829" w:rsidP="00203837">
            <w:pPr>
              <w:pStyle w:val="ListParagraph"/>
              <w:numPr>
                <w:ilvl w:val="0"/>
                <w:numId w:val="20"/>
              </w:numPr>
              <w:ind w:left="319" w:hanging="270"/>
              <w:rPr>
                <w:rFonts w:ascii="Times New Roman" w:hAnsi="Times New Roman" w:cs="Times New Roman"/>
                <w:sz w:val="20"/>
                <w:szCs w:val="20"/>
              </w:rPr>
            </w:pPr>
            <w:r w:rsidRPr="00203837">
              <w:rPr>
                <w:rFonts w:ascii="Times New Roman" w:hAnsi="Times New Roman" w:cs="Times New Roman"/>
                <w:sz w:val="20"/>
                <w:szCs w:val="20"/>
              </w:rPr>
              <w:t xml:space="preserve">clinician </w:t>
            </w:r>
            <w:r w:rsidR="0072434A" w:rsidRPr="00203837">
              <w:rPr>
                <w:rFonts w:ascii="Times New Roman" w:hAnsi="Times New Roman" w:cs="Times New Roman"/>
                <w:sz w:val="20"/>
                <w:szCs w:val="20"/>
              </w:rPr>
              <w:t>is waivered to prescribe buprenorphine;</w:t>
            </w:r>
          </w:p>
          <w:p w14:paraId="33CC7F45" w14:textId="799C7DFC" w:rsidR="0072434A" w:rsidRPr="00203837" w:rsidRDefault="0075719A" w:rsidP="00203837">
            <w:pPr>
              <w:pStyle w:val="ListParagraph"/>
              <w:numPr>
                <w:ilvl w:val="0"/>
                <w:numId w:val="20"/>
              </w:numPr>
              <w:ind w:left="319" w:hanging="270"/>
              <w:rPr>
                <w:rFonts w:ascii="Times New Roman" w:hAnsi="Times New Roman" w:cs="Times New Roman"/>
                <w:sz w:val="20"/>
                <w:szCs w:val="20"/>
              </w:rPr>
            </w:pPr>
            <w:r>
              <w:rPr>
                <w:rFonts w:ascii="Times New Roman" w:hAnsi="Times New Roman" w:cs="Times New Roman"/>
                <w:sz w:val="20"/>
                <w:szCs w:val="20"/>
              </w:rPr>
              <w:t>clinician is registered</w:t>
            </w:r>
            <w:r w:rsidR="0072434A" w:rsidRPr="00203837">
              <w:rPr>
                <w:rFonts w:ascii="Times New Roman" w:hAnsi="Times New Roman" w:cs="Times New Roman"/>
                <w:sz w:val="20"/>
                <w:szCs w:val="20"/>
              </w:rPr>
              <w:t xml:space="preserve"> with the state prescription </w:t>
            </w:r>
            <w:r w:rsidR="00203837" w:rsidRPr="00203837">
              <w:rPr>
                <w:rFonts w:ascii="Times New Roman" w:hAnsi="Times New Roman" w:cs="Times New Roman"/>
                <w:sz w:val="20"/>
                <w:szCs w:val="20"/>
              </w:rPr>
              <w:t>monitoring</w:t>
            </w:r>
            <w:r w:rsidR="0072434A" w:rsidRPr="00203837">
              <w:rPr>
                <w:rFonts w:ascii="Times New Roman" w:hAnsi="Times New Roman" w:cs="Times New Roman"/>
                <w:sz w:val="20"/>
                <w:szCs w:val="20"/>
              </w:rPr>
              <w:t xml:space="preserve"> program</w:t>
            </w:r>
          </w:p>
          <w:p w14:paraId="0E015923" w14:textId="725E3E4C" w:rsidR="0072434A" w:rsidRPr="00203837" w:rsidRDefault="00203837" w:rsidP="00203837">
            <w:pPr>
              <w:pStyle w:val="ListParagraph"/>
              <w:numPr>
                <w:ilvl w:val="0"/>
                <w:numId w:val="20"/>
              </w:numPr>
              <w:ind w:left="319" w:hanging="270"/>
              <w:rPr>
                <w:rFonts w:ascii="Times New Roman" w:hAnsi="Times New Roman" w:cs="Times New Roman"/>
                <w:sz w:val="20"/>
                <w:szCs w:val="20"/>
              </w:rPr>
            </w:pPr>
            <w:r w:rsidRPr="00203837">
              <w:rPr>
                <w:rFonts w:ascii="Times New Roman" w:hAnsi="Times New Roman" w:cs="Times New Roman"/>
                <w:sz w:val="20"/>
                <w:szCs w:val="20"/>
              </w:rPr>
              <w:t>clinician</w:t>
            </w:r>
            <w:r w:rsidR="0072434A" w:rsidRPr="00203837">
              <w:rPr>
                <w:rFonts w:ascii="Times New Roman" w:hAnsi="Times New Roman" w:cs="Times New Roman"/>
                <w:sz w:val="20"/>
                <w:szCs w:val="20"/>
              </w:rPr>
              <w:t xml:space="preserve"> reports the organization has standardized guidelines to support providers providing opioids;</w:t>
            </w:r>
          </w:p>
          <w:p w14:paraId="2A93EAD0" w14:textId="4BE49CCF" w:rsidR="00F46829" w:rsidRPr="00533730" w:rsidRDefault="00203837" w:rsidP="00203837">
            <w:pPr>
              <w:pStyle w:val="ListParagraph"/>
              <w:numPr>
                <w:ilvl w:val="0"/>
                <w:numId w:val="20"/>
              </w:numPr>
              <w:ind w:left="319" w:hanging="270"/>
              <w:rPr>
                <w:b/>
                <w:sz w:val="20"/>
                <w:szCs w:val="20"/>
              </w:rPr>
            </w:pPr>
            <w:r>
              <w:rPr>
                <w:rFonts w:ascii="Times New Roman" w:hAnsi="Times New Roman" w:cs="Times New Roman"/>
                <w:sz w:val="20"/>
                <w:szCs w:val="20"/>
              </w:rPr>
              <w:t>clinician</w:t>
            </w:r>
            <w:r w:rsidRPr="00203837">
              <w:rPr>
                <w:rFonts w:ascii="Times New Roman" w:hAnsi="Times New Roman" w:cs="Times New Roman"/>
                <w:sz w:val="20"/>
                <w:szCs w:val="20"/>
              </w:rPr>
              <w:t xml:space="preserve"> report of use </w:t>
            </w:r>
            <w:r w:rsidR="0072434A" w:rsidRPr="00203837">
              <w:rPr>
                <w:rFonts w:ascii="Times New Roman" w:hAnsi="Times New Roman" w:cs="Times New Roman"/>
                <w:sz w:val="20"/>
                <w:szCs w:val="20"/>
              </w:rPr>
              <w:t>of a registry to manage patients on COT</w:t>
            </w:r>
            <w:r w:rsidR="0075719A">
              <w:rPr>
                <w:rFonts w:ascii="Times New Roman" w:hAnsi="Times New Roman" w:cs="Times New Roman"/>
                <w:sz w:val="20"/>
                <w:szCs w:val="20"/>
              </w:rPr>
              <w:t>*</w:t>
            </w:r>
            <w:r w:rsidR="0072434A" w:rsidRPr="00203837">
              <w:rPr>
                <w:rFonts w:ascii="Times New Roman" w:hAnsi="Times New Roman" w:cs="Times New Roman"/>
                <w:sz w:val="20"/>
                <w:szCs w:val="20"/>
              </w:rPr>
              <w:t xml:space="preserve"> </w:t>
            </w:r>
          </w:p>
        </w:tc>
        <w:tc>
          <w:tcPr>
            <w:tcW w:w="1350" w:type="dxa"/>
            <w:shd w:val="clear" w:color="auto" w:fill="auto"/>
          </w:tcPr>
          <w:p w14:paraId="238DAD0C" w14:textId="60CAE5CA" w:rsidR="00957F6B" w:rsidRDefault="00203837" w:rsidP="00203837">
            <w:pPr>
              <w:rPr>
                <w:sz w:val="20"/>
                <w:szCs w:val="20"/>
              </w:rPr>
            </w:pPr>
            <w:r>
              <w:rPr>
                <w:sz w:val="20"/>
                <w:szCs w:val="20"/>
              </w:rPr>
              <w:t>P</w:t>
            </w:r>
            <w:r w:rsidR="00957F6B" w:rsidRPr="00533730">
              <w:rPr>
                <w:sz w:val="20"/>
                <w:szCs w:val="20"/>
              </w:rPr>
              <w:t xml:space="preserve">aired t-tests </w:t>
            </w:r>
          </w:p>
          <w:p w14:paraId="07FABF2B" w14:textId="77777777" w:rsidR="00203837" w:rsidRDefault="00203837" w:rsidP="00203837">
            <w:pPr>
              <w:ind w:left="252"/>
              <w:rPr>
                <w:sz w:val="20"/>
                <w:szCs w:val="20"/>
              </w:rPr>
            </w:pPr>
          </w:p>
          <w:p w14:paraId="116F17DC" w14:textId="77777777" w:rsidR="006E65FE" w:rsidRDefault="006E65FE" w:rsidP="00203837">
            <w:pPr>
              <w:rPr>
                <w:sz w:val="20"/>
                <w:szCs w:val="20"/>
              </w:rPr>
            </w:pPr>
          </w:p>
          <w:p w14:paraId="6DF311DC" w14:textId="77777777" w:rsidR="006E65FE" w:rsidRDefault="006E65FE" w:rsidP="00203837">
            <w:pPr>
              <w:rPr>
                <w:sz w:val="20"/>
                <w:szCs w:val="20"/>
              </w:rPr>
            </w:pPr>
          </w:p>
          <w:p w14:paraId="210114F1" w14:textId="77777777" w:rsidR="006E65FE" w:rsidRDefault="006E65FE" w:rsidP="00203837">
            <w:pPr>
              <w:rPr>
                <w:sz w:val="20"/>
                <w:szCs w:val="20"/>
              </w:rPr>
            </w:pPr>
          </w:p>
          <w:p w14:paraId="418D2A4E" w14:textId="77777777" w:rsidR="006E65FE" w:rsidRDefault="006E65FE" w:rsidP="00203837">
            <w:pPr>
              <w:rPr>
                <w:sz w:val="20"/>
                <w:szCs w:val="20"/>
              </w:rPr>
            </w:pPr>
          </w:p>
          <w:p w14:paraId="5F9CDA7C" w14:textId="77777777" w:rsidR="006E65FE" w:rsidRDefault="006E65FE" w:rsidP="00203837">
            <w:pPr>
              <w:rPr>
                <w:sz w:val="20"/>
                <w:szCs w:val="20"/>
              </w:rPr>
            </w:pPr>
          </w:p>
          <w:p w14:paraId="1F76B352" w14:textId="77777777" w:rsidR="006E65FE" w:rsidRDefault="006E65FE" w:rsidP="00203837">
            <w:pPr>
              <w:rPr>
                <w:sz w:val="20"/>
                <w:szCs w:val="20"/>
              </w:rPr>
            </w:pPr>
          </w:p>
          <w:p w14:paraId="27CA1653" w14:textId="77777777" w:rsidR="006E65FE" w:rsidRDefault="006E65FE" w:rsidP="00203837">
            <w:pPr>
              <w:rPr>
                <w:sz w:val="20"/>
                <w:szCs w:val="20"/>
              </w:rPr>
            </w:pPr>
          </w:p>
          <w:p w14:paraId="0EC73736" w14:textId="77777777" w:rsidR="006E65FE" w:rsidRDefault="006E65FE" w:rsidP="00203837">
            <w:pPr>
              <w:rPr>
                <w:sz w:val="20"/>
                <w:szCs w:val="20"/>
              </w:rPr>
            </w:pPr>
          </w:p>
          <w:p w14:paraId="0B9DC9EB" w14:textId="77777777" w:rsidR="006E65FE" w:rsidRDefault="006E65FE" w:rsidP="00203837">
            <w:pPr>
              <w:rPr>
                <w:sz w:val="20"/>
                <w:szCs w:val="20"/>
              </w:rPr>
            </w:pPr>
          </w:p>
          <w:p w14:paraId="3F57F1CC" w14:textId="77777777" w:rsidR="006E65FE" w:rsidRDefault="006E65FE" w:rsidP="00203837">
            <w:pPr>
              <w:rPr>
                <w:sz w:val="20"/>
                <w:szCs w:val="20"/>
              </w:rPr>
            </w:pPr>
          </w:p>
          <w:p w14:paraId="2BE3E625" w14:textId="77777777" w:rsidR="006E65FE" w:rsidRDefault="006E65FE" w:rsidP="00203837">
            <w:pPr>
              <w:rPr>
                <w:sz w:val="20"/>
                <w:szCs w:val="20"/>
              </w:rPr>
            </w:pPr>
          </w:p>
          <w:p w14:paraId="6100D469" w14:textId="77777777" w:rsidR="006E65FE" w:rsidRDefault="006E65FE" w:rsidP="00203837">
            <w:pPr>
              <w:rPr>
                <w:sz w:val="20"/>
                <w:szCs w:val="20"/>
              </w:rPr>
            </w:pPr>
          </w:p>
          <w:p w14:paraId="77E1981B" w14:textId="77777777" w:rsidR="006E65FE" w:rsidRDefault="006E65FE" w:rsidP="00203837">
            <w:pPr>
              <w:rPr>
                <w:sz w:val="20"/>
                <w:szCs w:val="20"/>
              </w:rPr>
            </w:pPr>
          </w:p>
          <w:p w14:paraId="24954D74" w14:textId="77777777" w:rsidR="006E65FE" w:rsidRDefault="006E65FE" w:rsidP="00203837">
            <w:pPr>
              <w:rPr>
                <w:sz w:val="20"/>
                <w:szCs w:val="20"/>
              </w:rPr>
            </w:pPr>
          </w:p>
          <w:p w14:paraId="0EC9288B" w14:textId="77777777" w:rsidR="006E65FE" w:rsidRDefault="006E65FE" w:rsidP="00203837">
            <w:pPr>
              <w:rPr>
                <w:sz w:val="20"/>
                <w:szCs w:val="20"/>
              </w:rPr>
            </w:pPr>
          </w:p>
          <w:p w14:paraId="56252853" w14:textId="77777777" w:rsidR="006E65FE" w:rsidRDefault="006E65FE" w:rsidP="00203837">
            <w:pPr>
              <w:rPr>
                <w:sz w:val="20"/>
                <w:szCs w:val="20"/>
              </w:rPr>
            </w:pPr>
          </w:p>
          <w:p w14:paraId="6A88CB18" w14:textId="77777777" w:rsidR="006E65FE" w:rsidRDefault="006E65FE" w:rsidP="00203837">
            <w:pPr>
              <w:rPr>
                <w:sz w:val="20"/>
                <w:szCs w:val="20"/>
              </w:rPr>
            </w:pPr>
          </w:p>
          <w:p w14:paraId="1CE45AD9" w14:textId="77777777" w:rsidR="006E65FE" w:rsidRDefault="006E65FE" w:rsidP="00203837">
            <w:pPr>
              <w:rPr>
                <w:sz w:val="20"/>
                <w:szCs w:val="20"/>
              </w:rPr>
            </w:pPr>
          </w:p>
          <w:p w14:paraId="7F7DE55C" w14:textId="77777777" w:rsidR="006E65FE" w:rsidRDefault="006E65FE" w:rsidP="00203837">
            <w:pPr>
              <w:rPr>
                <w:sz w:val="20"/>
                <w:szCs w:val="20"/>
              </w:rPr>
            </w:pPr>
          </w:p>
          <w:p w14:paraId="1BD4F2E9" w14:textId="77777777" w:rsidR="006E65FE" w:rsidRDefault="006E65FE" w:rsidP="00203837">
            <w:pPr>
              <w:rPr>
                <w:sz w:val="20"/>
                <w:szCs w:val="20"/>
              </w:rPr>
            </w:pPr>
          </w:p>
          <w:p w14:paraId="6B611F4D" w14:textId="77777777" w:rsidR="00203837" w:rsidRDefault="00203837" w:rsidP="00203837">
            <w:pPr>
              <w:rPr>
                <w:sz w:val="20"/>
                <w:szCs w:val="20"/>
              </w:rPr>
            </w:pPr>
            <w:r w:rsidRPr="00533730">
              <w:rPr>
                <w:sz w:val="20"/>
                <w:szCs w:val="20"/>
              </w:rPr>
              <w:t>Binomial tests (for binary variables)</w:t>
            </w:r>
          </w:p>
          <w:p w14:paraId="0C6DCD14" w14:textId="77777777" w:rsidR="00203837" w:rsidRPr="00533730" w:rsidRDefault="00203837" w:rsidP="00203837">
            <w:pPr>
              <w:ind w:left="252"/>
              <w:rPr>
                <w:sz w:val="20"/>
                <w:szCs w:val="20"/>
              </w:rPr>
            </w:pPr>
          </w:p>
          <w:p w14:paraId="07A3EEFB" w14:textId="77777777" w:rsidR="00957F6B" w:rsidRPr="00533730" w:rsidRDefault="00957F6B" w:rsidP="00984DBE">
            <w:pPr>
              <w:rPr>
                <w:b/>
                <w:sz w:val="20"/>
                <w:szCs w:val="20"/>
              </w:rPr>
            </w:pPr>
          </w:p>
        </w:tc>
        <w:tc>
          <w:tcPr>
            <w:tcW w:w="1440" w:type="dxa"/>
            <w:shd w:val="clear" w:color="auto" w:fill="auto"/>
          </w:tcPr>
          <w:p w14:paraId="3713B640" w14:textId="2AC19DAE" w:rsidR="00F46829" w:rsidRPr="00533730" w:rsidRDefault="004750A2" w:rsidP="00DC412D">
            <w:pPr>
              <w:rPr>
                <w:sz w:val="20"/>
                <w:szCs w:val="20"/>
              </w:rPr>
            </w:pPr>
            <w:r>
              <w:rPr>
                <w:sz w:val="20"/>
                <w:szCs w:val="20"/>
              </w:rPr>
              <w:t>4</w:t>
            </w:r>
            <w:r w:rsidR="00FF6AB2">
              <w:rPr>
                <w:sz w:val="20"/>
                <w:szCs w:val="20"/>
              </w:rPr>
              <w:t>95</w:t>
            </w:r>
            <w:r w:rsidR="005D77A5">
              <w:rPr>
                <w:sz w:val="20"/>
                <w:szCs w:val="20"/>
              </w:rPr>
              <w:t xml:space="preserve"> toward start</w:t>
            </w:r>
          </w:p>
          <w:p w14:paraId="0A438F64" w14:textId="145562F2" w:rsidR="00F46829" w:rsidRPr="00533730" w:rsidRDefault="004750A2" w:rsidP="00DC412D">
            <w:pPr>
              <w:rPr>
                <w:sz w:val="20"/>
                <w:szCs w:val="20"/>
              </w:rPr>
            </w:pPr>
            <w:r>
              <w:rPr>
                <w:sz w:val="20"/>
                <w:szCs w:val="20"/>
              </w:rPr>
              <w:t>4</w:t>
            </w:r>
            <w:r w:rsidR="00FF6AB2">
              <w:rPr>
                <w:sz w:val="20"/>
                <w:szCs w:val="20"/>
              </w:rPr>
              <w:t>95</w:t>
            </w:r>
            <w:r w:rsidR="005D77A5">
              <w:rPr>
                <w:sz w:val="20"/>
                <w:szCs w:val="20"/>
              </w:rPr>
              <w:t xml:space="preserve"> toward end</w:t>
            </w:r>
          </w:p>
          <w:p w14:paraId="5CE0B682" w14:textId="77777777" w:rsidR="00F46829" w:rsidRPr="00533730" w:rsidRDefault="00F46829" w:rsidP="00984DBE">
            <w:pPr>
              <w:ind w:left="201"/>
              <w:rPr>
                <w:sz w:val="20"/>
                <w:szCs w:val="20"/>
              </w:rPr>
            </w:pPr>
          </w:p>
          <w:p w14:paraId="33C6887F" w14:textId="77777777" w:rsidR="00F46829" w:rsidRPr="00533730" w:rsidRDefault="00F46829" w:rsidP="00984DBE">
            <w:pPr>
              <w:ind w:left="201"/>
              <w:rPr>
                <w:sz w:val="20"/>
                <w:szCs w:val="20"/>
              </w:rPr>
            </w:pPr>
          </w:p>
          <w:p w14:paraId="626F3FDC" w14:textId="77777777" w:rsidR="00F46829" w:rsidRPr="00533730" w:rsidRDefault="00F46829" w:rsidP="00984DBE">
            <w:pPr>
              <w:ind w:left="201"/>
              <w:rPr>
                <w:sz w:val="20"/>
                <w:szCs w:val="20"/>
              </w:rPr>
            </w:pPr>
          </w:p>
          <w:p w14:paraId="60F1BEF3" w14:textId="77777777" w:rsidR="00F46829" w:rsidRPr="00533730" w:rsidRDefault="00F46829" w:rsidP="00984DBE">
            <w:pPr>
              <w:ind w:left="201"/>
              <w:rPr>
                <w:sz w:val="20"/>
                <w:szCs w:val="20"/>
              </w:rPr>
            </w:pPr>
          </w:p>
          <w:p w14:paraId="35375CED" w14:textId="77777777" w:rsidR="00F46829" w:rsidRPr="00533730" w:rsidRDefault="00F46829" w:rsidP="00984DBE">
            <w:pPr>
              <w:ind w:left="201"/>
              <w:rPr>
                <w:sz w:val="20"/>
                <w:szCs w:val="20"/>
              </w:rPr>
            </w:pPr>
          </w:p>
          <w:p w14:paraId="27F4B21C" w14:textId="77777777" w:rsidR="00F46829" w:rsidRPr="00533730" w:rsidRDefault="00F46829" w:rsidP="00984DBE">
            <w:pPr>
              <w:ind w:left="201"/>
              <w:rPr>
                <w:sz w:val="20"/>
                <w:szCs w:val="20"/>
              </w:rPr>
            </w:pPr>
          </w:p>
          <w:p w14:paraId="7161B6FB" w14:textId="77777777" w:rsidR="00F46829" w:rsidRPr="00533730" w:rsidRDefault="00F46829" w:rsidP="00984DBE">
            <w:pPr>
              <w:rPr>
                <w:b/>
                <w:sz w:val="20"/>
                <w:szCs w:val="20"/>
              </w:rPr>
            </w:pPr>
          </w:p>
        </w:tc>
        <w:tc>
          <w:tcPr>
            <w:tcW w:w="1530" w:type="dxa"/>
            <w:shd w:val="clear" w:color="auto" w:fill="auto"/>
          </w:tcPr>
          <w:p w14:paraId="1E24D9D4" w14:textId="77777777" w:rsidR="00C9116C" w:rsidRDefault="00FF6AB2" w:rsidP="00F51CF5">
            <w:pPr>
              <w:contextualSpacing/>
              <w:rPr>
                <w:sz w:val="20"/>
                <w:szCs w:val="20"/>
              </w:rPr>
            </w:pPr>
            <w:r>
              <w:rPr>
                <w:sz w:val="20"/>
                <w:szCs w:val="20"/>
              </w:rPr>
              <w:t>0.13 point change on all variables assuming SD=1</w:t>
            </w:r>
          </w:p>
          <w:p w14:paraId="5CF52D05" w14:textId="77777777" w:rsidR="00C9116C" w:rsidRDefault="00C9116C" w:rsidP="00F51CF5">
            <w:pPr>
              <w:contextualSpacing/>
              <w:rPr>
                <w:sz w:val="20"/>
                <w:szCs w:val="20"/>
              </w:rPr>
            </w:pPr>
          </w:p>
          <w:p w14:paraId="44CCEE3C" w14:textId="77777777" w:rsidR="00C9116C" w:rsidRDefault="00C9116C" w:rsidP="00F51CF5">
            <w:pPr>
              <w:contextualSpacing/>
              <w:rPr>
                <w:sz w:val="20"/>
                <w:szCs w:val="20"/>
              </w:rPr>
            </w:pPr>
          </w:p>
          <w:p w14:paraId="04DC5056" w14:textId="77777777" w:rsidR="00C9116C" w:rsidRDefault="00C9116C" w:rsidP="00F51CF5">
            <w:pPr>
              <w:contextualSpacing/>
              <w:rPr>
                <w:sz w:val="20"/>
                <w:szCs w:val="20"/>
              </w:rPr>
            </w:pPr>
          </w:p>
          <w:p w14:paraId="1302B33C" w14:textId="77777777" w:rsidR="00C9116C" w:rsidRDefault="00C9116C" w:rsidP="00F51CF5">
            <w:pPr>
              <w:contextualSpacing/>
              <w:rPr>
                <w:sz w:val="20"/>
                <w:szCs w:val="20"/>
              </w:rPr>
            </w:pPr>
          </w:p>
          <w:p w14:paraId="69A2BCEA" w14:textId="77777777" w:rsidR="00C9116C" w:rsidRDefault="00C9116C" w:rsidP="00F51CF5">
            <w:pPr>
              <w:contextualSpacing/>
              <w:rPr>
                <w:sz w:val="20"/>
                <w:szCs w:val="20"/>
              </w:rPr>
            </w:pPr>
          </w:p>
          <w:p w14:paraId="23365F16" w14:textId="77777777" w:rsidR="00C9116C" w:rsidRDefault="00C9116C" w:rsidP="00F51CF5">
            <w:pPr>
              <w:contextualSpacing/>
              <w:rPr>
                <w:sz w:val="20"/>
                <w:szCs w:val="20"/>
              </w:rPr>
            </w:pPr>
          </w:p>
          <w:p w14:paraId="77EA8F0E" w14:textId="77777777" w:rsidR="00C9116C" w:rsidRDefault="00C9116C" w:rsidP="00F51CF5">
            <w:pPr>
              <w:contextualSpacing/>
              <w:rPr>
                <w:sz w:val="20"/>
                <w:szCs w:val="20"/>
              </w:rPr>
            </w:pPr>
          </w:p>
          <w:p w14:paraId="7C7EF189" w14:textId="77777777" w:rsidR="00C9116C" w:rsidRDefault="00C9116C" w:rsidP="00F51CF5">
            <w:pPr>
              <w:contextualSpacing/>
              <w:rPr>
                <w:sz w:val="20"/>
                <w:szCs w:val="20"/>
              </w:rPr>
            </w:pPr>
          </w:p>
          <w:p w14:paraId="2D0512E0" w14:textId="77777777" w:rsidR="00C9116C" w:rsidRDefault="00C9116C" w:rsidP="00F51CF5">
            <w:pPr>
              <w:contextualSpacing/>
              <w:rPr>
                <w:sz w:val="20"/>
                <w:szCs w:val="20"/>
              </w:rPr>
            </w:pPr>
          </w:p>
          <w:p w14:paraId="36B1E9D3" w14:textId="77777777" w:rsidR="00C9116C" w:rsidRDefault="00C9116C" w:rsidP="00F51CF5">
            <w:pPr>
              <w:contextualSpacing/>
              <w:rPr>
                <w:sz w:val="20"/>
                <w:szCs w:val="20"/>
              </w:rPr>
            </w:pPr>
          </w:p>
          <w:p w14:paraId="6264244F" w14:textId="77777777" w:rsidR="00C9116C" w:rsidRDefault="00C9116C" w:rsidP="00F51CF5">
            <w:pPr>
              <w:contextualSpacing/>
              <w:rPr>
                <w:sz w:val="20"/>
                <w:szCs w:val="20"/>
              </w:rPr>
            </w:pPr>
          </w:p>
          <w:p w14:paraId="36D1D0AD" w14:textId="77777777" w:rsidR="00C9116C" w:rsidRDefault="00C9116C" w:rsidP="00F51CF5">
            <w:pPr>
              <w:contextualSpacing/>
              <w:rPr>
                <w:sz w:val="20"/>
                <w:szCs w:val="20"/>
              </w:rPr>
            </w:pPr>
          </w:p>
          <w:p w14:paraId="2A3F5EDB" w14:textId="77777777" w:rsidR="00C9116C" w:rsidRDefault="00C9116C" w:rsidP="00F51CF5">
            <w:pPr>
              <w:contextualSpacing/>
              <w:rPr>
                <w:sz w:val="20"/>
                <w:szCs w:val="20"/>
              </w:rPr>
            </w:pPr>
          </w:p>
          <w:p w14:paraId="5C26C183" w14:textId="77777777" w:rsidR="00C9116C" w:rsidRDefault="00C9116C" w:rsidP="00F51CF5">
            <w:pPr>
              <w:contextualSpacing/>
              <w:rPr>
                <w:sz w:val="20"/>
                <w:szCs w:val="20"/>
              </w:rPr>
            </w:pPr>
          </w:p>
          <w:p w14:paraId="55DAA325" w14:textId="77777777" w:rsidR="00C9116C" w:rsidRDefault="00C9116C" w:rsidP="00F51CF5">
            <w:pPr>
              <w:contextualSpacing/>
              <w:rPr>
                <w:sz w:val="20"/>
                <w:szCs w:val="20"/>
              </w:rPr>
            </w:pPr>
          </w:p>
          <w:p w14:paraId="3FB19324" w14:textId="77777777" w:rsidR="00C9116C" w:rsidRDefault="00C9116C" w:rsidP="00F51CF5">
            <w:pPr>
              <w:contextualSpacing/>
              <w:rPr>
                <w:sz w:val="20"/>
                <w:szCs w:val="20"/>
              </w:rPr>
            </w:pPr>
          </w:p>
          <w:p w14:paraId="1A66979C" w14:textId="77777777" w:rsidR="00C9116C" w:rsidRDefault="00C9116C" w:rsidP="00F51CF5">
            <w:pPr>
              <w:contextualSpacing/>
              <w:rPr>
                <w:sz w:val="20"/>
                <w:szCs w:val="20"/>
              </w:rPr>
            </w:pPr>
          </w:p>
          <w:p w14:paraId="6CD2F2BE" w14:textId="77777777" w:rsidR="00C9116C" w:rsidRDefault="00C9116C" w:rsidP="00F51CF5">
            <w:pPr>
              <w:contextualSpacing/>
              <w:rPr>
                <w:sz w:val="20"/>
                <w:szCs w:val="20"/>
              </w:rPr>
            </w:pPr>
          </w:p>
          <w:p w14:paraId="21D78C5B" w14:textId="7939EC15" w:rsidR="00957F6B" w:rsidRPr="00F51CF5" w:rsidRDefault="00C9116C" w:rsidP="00F51CF5">
            <w:pPr>
              <w:contextualSpacing/>
              <w:rPr>
                <w:sz w:val="20"/>
                <w:szCs w:val="20"/>
              </w:rPr>
            </w:pPr>
            <w:r>
              <w:rPr>
                <w:sz w:val="20"/>
                <w:szCs w:val="20"/>
              </w:rPr>
              <w:t>Pre-post change of 13% assuming SD=1</w:t>
            </w:r>
            <w:r w:rsidR="00957F6B" w:rsidRPr="00F51CF5">
              <w:rPr>
                <w:sz w:val="20"/>
                <w:szCs w:val="20"/>
              </w:rPr>
              <w:br/>
            </w:r>
          </w:p>
          <w:p w14:paraId="4FA675FC" w14:textId="0983A18A" w:rsidR="00F46829" w:rsidRPr="00533730" w:rsidRDefault="00F46829" w:rsidP="00957F6B">
            <w:pPr>
              <w:rPr>
                <w:b/>
                <w:sz w:val="20"/>
                <w:szCs w:val="20"/>
              </w:rPr>
            </w:pPr>
          </w:p>
        </w:tc>
      </w:tr>
      <w:tr w:rsidR="005D77A5" w:rsidRPr="00533730" w14:paraId="1B44A649" w14:textId="77777777" w:rsidTr="00984DBE">
        <w:tc>
          <w:tcPr>
            <w:tcW w:w="1638" w:type="dxa"/>
            <w:shd w:val="clear" w:color="auto" w:fill="auto"/>
            <w:vAlign w:val="center"/>
          </w:tcPr>
          <w:p w14:paraId="6307AB38" w14:textId="3C3338D5" w:rsidR="005D77A5" w:rsidRDefault="005D77A5" w:rsidP="00984DBE">
            <w:pPr>
              <w:rPr>
                <w:b/>
                <w:sz w:val="20"/>
                <w:szCs w:val="20"/>
              </w:rPr>
            </w:pPr>
            <w:r>
              <w:rPr>
                <w:b/>
                <w:sz w:val="20"/>
                <w:szCs w:val="20"/>
              </w:rPr>
              <w:t>QI Measures</w:t>
            </w:r>
          </w:p>
        </w:tc>
        <w:tc>
          <w:tcPr>
            <w:tcW w:w="3060" w:type="dxa"/>
            <w:shd w:val="clear" w:color="auto" w:fill="auto"/>
          </w:tcPr>
          <w:p w14:paraId="73C8070B" w14:textId="5BC32E93" w:rsidR="00B7499F" w:rsidRDefault="00B7499F" w:rsidP="00B7499F">
            <w:pPr>
              <w:numPr>
                <w:ilvl w:val="0"/>
                <w:numId w:val="9"/>
              </w:numPr>
              <w:ind w:left="139" w:hanging="146"/>
              <w:rPr>
                <w:sz w:val="20"/>
                <w:szCs w:val="20"/>
              </w:rPr>
            </w:pPr>
            <w:r>
              <w:rPr>
                <w:sz w:val="20"/>
                <w:szCs w:val="20"/>
              </w:rPr>
              <w:t>Number of patients on long-term opioid therapy</w:t>
            </w:r>
          </w:p>
          <w:p w14:paraId="14B01F75" w14:textId="2A5CE57D" w:rsidR="005D77A5" w:rsidRDefault="005D77A5" w:rsidP="00B7499F">
            <w:pPr>
              <w:numPr>
                <w:ilvl w:val="0"/>
                <w:numId w:val="9"/>
              </w:numPr>
              <w:ind w:left="139" w:hanging="139"/>
              <w:rPr>
                <w:sz w:val="20"/>
                <w:szCs w:val="20"/>
              </w:rPr>
            </w:pPr>
            <w:r>
              <w:rPr>
                <w:sz w:val="20"/>
                <w:szCs w:val="20"/>
              </w:rPr>
              <w:t xml:space="preserve">Proportion of </w:t>
            </w:r>
            <w:r w:rsidR="00B7499F">
              <w:rPr>
                <w:sz w:val="20"/>
                <w:szCs w:val="20"/>
              </w:rPr>
              <w:t xml:space="preserve">those </w:t>
            </w:r>
            <w:r>
              <w:rPr>
                <w:sz w:val="20"/>
                <w:szCs w:val="20"/>
              </w:rPr>
              <w:t>patients</w:t>
            </w:r>
            <w:r w:rsidR="00B7499F">
              <w:rPr>
                <w:sz w:val="20"/>
                <w:szCs w:val="20"/>
              </w:rPr>
              <w:t xml:space="preserve"> </w:t>
            </w:r>
            <w:r w:rsidR="00B7499F" w:rsidRPr="00B7499F">
              <w:rPr>
                <w:sz w:val="20"/>
                <w:szCs w:val="20"/>
              </w:rPr>
              <w:t>who are on greater than 90 morphine milligram equivalents</w:t>
            </w:r>
          </w:p>
          <w:p w14:paraId="43B3981F" w14:textId="08F82FB9" w:rsidR="005D77A5" w:rsidRDefault="005D77A5" w:rsidP="00B7499F">
            <w:pPr>
              <w:numPr>
                <w:ilvl w:val="0"/>
                <w:numId w:val="9"/>
              </w:numPr>
              <w:ind w:left="139" w:hanging="139"/>
              <w:rPr>
                <w:sz w:val="20"/>
                <w:szCs w:val="20"/>
              </w:rPr>
            </w:pPr>
            <w:r>
              <w:rPr>
                <w:sz w:val="20"/>
                <w:szCs w:val="20"/>
              </w:rPr>
              <w:t xml:space="preserve">Proportion of </w:t>
            </w:r>
            <w:r w:rsidR="00B7499F">
              <w:rPr>
                <w:sz w:val="20"/>
                <w:szCs w:val="20"/>
              </w:rPr>
              <w:t xml:space="preserve">those </w:t>
            </w:r>
            <w:r>
              <w:rPr>
                <w:sz w:val="20"/>
                <w:szCs w:val="20"/>
              </w:rPr>
              <w:t>patients</w:t>
            </w:r>
            <w:r w:rsidR="00B7499F">
              <w:rPr>
                <w:sz w:val="20"/>
                <w:szCs w:val="20"/>
              </w:rPr>
              <w:t xml:space="preserve"> who are </w:t>
            </w:r>
            <w:r w:rsidR="00B7499F" w:rsidRPr="00B7499F">
              <w:rPr>
                <w:sz w:val="20"/>
                <w:szCs w:val="20"/>
              </w:rPr>
              <w:t>co-prescribed a benzodiazepine</w:t>
            </w:r>
          </w:p>
          <w:p w14:paraId="2DC8916A" w14:textId="43CA4E90" w:rsidR="005D77A5" w:rsidRDefault="005D77A5" w:rsidP="00B7499F">
            <w:pPr>
              <w:numPr>
                <w:ilvl w:val="0"/>
                <w:numId w:val="9"/>
              </w:numPr>
              <w:ind w:left="139" w:hanging="139"/>
              <w:rPr>
                <w:sz w:val="20"/>
                <w:szCs w:val="20"/>
              </w:rPr>
            </w:pPr>
            <w:r>
              <w:rPr>
                <w:sz w:val="20"/>
                <w:szCs w:val="20"/>
              </w:rPr>
              <w:t xml:space="preserve">Proportion of </w:t>
            </w:r>
            <w:r w:rsidR="00B7499F">
              <w:rPr>
                <w:sz w:val="20"/>
                <w:szCs w:val="20"/>
              </w:rPr>
              <w:t xml:space="preserve">those </w:t>
            </w:r>
            <w:r>
              <w:rPr>
                <w:sz w:val="20"/>
                <w:szCs w:val="20"/>
              </w:rPr>
              <w:t>patients</w:t>
            </w:r>
            <w:r w:rsidR="00B7499F">
              <w:rPr>
                <w:sz w:val="20"/>
                <w:szCs w:val="20"/>
              </w:rPr>
              <w:t xml:space="preserve"> who </w:t>
            </w:r>
            <w:r w:rsidR="00B7499F" w:rsidRPr="00B7499F">
              <w:rPr>
                <w:sz w:val="20"/>
                <w:szCs w:val="20"/>
              </w:rPr>
              <w:t>had the prescription drug monitoring program checked</w:t>
            </w:r>
          </w:p>
          <w:p w14:paraId="38407FF3" w14:textId="351CF13C" w:rsidR="00B7499F" w:rsidRPr="00B7499F" w:rsidRDefault="005D77A5" w:rsidP="00B7499F">
            <w:pPr>
              <w:pStyle w:val="ListParagraph"/>
              <w:numPr>
                <w:ilvl w:val="0"/>
                <w:numId w:val="9"/>
              </w:numPr>
              <w:ind w:left="139" w:hanging="139"/>
              <w:rPr>
                <w:rFonts w:ascii="Times New Roman" w:eastAsia="Times New Roman" w:hAnsi="Times New Roman" w:cs="Times New Roman"/>
                <w:sz w:val="20"/>
                <w:szCs w:val="20"/>
              </w:rPr>
            </w:pPr>
            <w:r w:rsidRPr="00B7499F">
              <w:rPr>
                <w:rFonts w:ascii="Times New Roman" w:hAnsi="Times New Roman" w:cs="Times New Roman"/>
                <w:sz w:val="20"/>
                <w:szCs w:val="20"/>
              </w:rPr>
              <w:t xml:space="preserve">Proportion of </w:t>
            </w:r>
            <w:r w:rsidR="00B7499F" w:rsidRPr="00B7499F">
              <w:rPr>
                <w:rFonts w:ascii="Times New Roman" w:hAnsi="Times New Roman" w:cs="Times New Roman"/>
                <w:sz w:val="20"/>
                <w:szCs w:val="20"/>
              </w:rPr>
              <w:t xml:space="preserve">those </w:t>
            </w:r>
            <w:r w:rsidRPr="00B7499F">
              <w:rPr>
                <w:rFonts w:ascii="Times New Roman" w:hAnsi="Times New Roman" w:cs="Times New Roman"/>
                <w:sz w:val="20"/>
                <w:szCs w:val="20"/>
              </w:rPr>
              <w:t>patients</w:t>
            </w:r>
            <w:r w:rsidR="00B7499F" w:rsidRPr="00B7499F">
              <w:rPr>
                <w:rFonts w:ascii="Times New Roman" w:hAnsi="Times New Roman" w:cs="Times New Roman"/>
                <w:sz w:val="20"/>
                <w:szCs w:val="20"/>
              </w:rPr>
              <w:t xml:space="preserve"> who </w:t>
            </w:r>
            <w:r w:rsidR="00B7499F" w:rsidRPr="00B7499F">
              <w:rPr>
                <w:rFonts w:ascii="Times New Roman" w:eastAsia="Times New Roman" w:hAnsi="Times New Roman" w:cs="Times New Roman"/>
                <w:sz w:val="20"/>
                <w:szCs w:val="20"/>
              </w:rPr>
              <w:t>had a urine drug screen.</w:t>
            </w:r>
          </w:p>
        </w:tc>
        <w:tc>
          <w:tcPr>
            <w:tcW w:w="1350" w:type="dxa"/>
            <w:shd w:val="clear" w:color="auto" w:fill="auto"/>
          </w:tcPr>
          <w:p w14:paraId="1D7969BE" w14:textId="6BC7DCB3" w:rsidR="005D77A5" w:rsidRPr="00533730" w:rsidRDefault="005D77A5" w:rsidP="00984DBE">
            <w:pPr>
              <w:rPr>
                <w:sz w:val="20"/>
                <w:szCs w:val="20"/>
              </w:rPr>
            </w:pPr>
            <w:r>
              <w:rPr>
                <w:sz w:val="20"/>
                <w:szCs w:val="20"/>
              </w:rPr>
              <w:t>Statistics to include mean, median, standard deviation, frequencies, histograms</w:t>
            </w:r>
          </w:p>
        </w:tc>
        <w:tc>
          <w:tcPr>
            <w:tcW w:w="1440" w:type="dxa"/>
            <w:shd w:val="clear" w:color="auto" w:fill="auto"/>
          </w:tcPr>
          <w:p w14:paraId="55DA570B" w14:textId="66F02483" w:rsidR="005D77A5" w:rsidRDefault="00C87F7D">
            <w:pPr>
              <w:ind w:left="42"/>
              <w:rPr>
                <w:sz w:val="20"/>
                <w:szCs w:val="20"/>
              </w:rPr>
            </w:pPr>
            <w:r>
              <w:rPr>
                <w:sz w:val="20"/>
                <w:szCs w:val="20"/>
              </w:rPr>
              <w:t>33</w:t>
            </w:r>
          </w:p>
        </w:tc>
        <w:tc>
          <w:tcPr>
            <w:tcW w:w="1530" w:type="dxa"/>
            <w:shd w:val="clear" w:color="auto" w:fill="auto"/>
          </w:tcPr>
          <w:p w14:paraId="344A239A" w14:textId="1E327E0F" w:rsidR="005D77A5" w:rsidRPr="00533730" w:rsidRDefault="005D77A5" w:rsidP="00984DBE">
            <w:pPr>
              <w:pStyle w:val="ListParagraph"/>
              <w:ind w:left="0"/>
              <w:contextualSpacing/>
              <w:rPr>
                <w:rFonts w:ascii="Times New Roman" w:hAnsi="Times New Roman" w:cs="Times New Roman"/>
                <w:sz w:val="20"/>
                <w:szCs w:val="20"/>
              </w:rPr>
            </w:pPr>
            <w:r>
              <w:rPr>
                <w:rFonts w:ascii="Times New Roman" w:hAnsi="Times New Roman" w:cs="Times New Roman"/>
                <w:sz w:val="20"/>
                <w:szCs w:val="20"/>
              </w:rPr>
              <w:t>n/a</w:t>
            </w:r>
          </w:p>
        </w:tc>
      </w:tr>
    </w:tbl>
    <w:p w14:paraId="3107007A" w14:textId="3E35F6A4" w:rsidR="00F46829" w:rsidRDefault="0075719A" w:rsidP="00F46829">
      <w:pPr>
        <w:rPr>
          <w:i/>
        </w:rPr>
      </w:pPr>
      <w:r w:rsidRPr="0075719A">
        <w:rPr>
          <w:i/>
        </w:rPr>
        <w:t>*Chronic opioid therapy</w:t>
      </w:r>
    </w:p>
    <w:p w14:paraId="3743D515" w14:textId="77777777" w:rsidR="0075719A" w:rsidRPr="0075719A" w:rsidRDefault="0075719A" w:rsidP="00F46829">
      <w:pPr>
        <w:rPr>
          <w:i/>
        </w:rPr>
      </w:pPr>
    </w:p>
    <w:p w14:paraId="1C60875F" w14:textId="77777777" w:rsidR="0075719A" w:rsidRDefault="0075719A" w:rsidP="00F46829">
      <w:pPr>
        <w:rPr>
          <w:b/>
        </w:rPr>
      </w:pPr>
    </w:p>
    <w:p w14:paraId="74AA06A8" w14:textId="77777777" w:rsidR="00F46829" w:rsidRDefault="00F46829" w:rsidP="00F46829">
      <w:pPr>
        <w:pStyle w:val="AbtHeadCOutlined"/>
        <w:numPr>
          <w:ilvl w:val="0"/>
          <w:numId w:val="0"/>
        </w:numPr>
      </w:pPr>
      <w:r w:rsidRPr="00585C3A">
        <w:rPr>
          <w:sz w:val="24"/>
        </w:rPr>
        <w:t>Inclusion and selection criteria</w:t>
      </w:r>
    </w:p>
    <w:p w14:paraId="39CE6008" w14:textId="36752578" w:rsidR="00F46829" w:rsidRPr="007B1E4D" w:rsidRDefault="00E33325" w:rsidP="00F46829">
      <w:r>
        <w:t>Health care organizations</w:t>
      </w:r>
      <w:r w:rsidR="00F46829" w:rsidRPr="007B1E4D">
        <w:t xml:space="preserve"> will be chosen based on their willingness to participate and readiness, as described above.</w:t>
      </w:r>
      <w:r w:rsidR="00F46829">
        <w:t xml:space="preserve"> </w:t>
      </w:r>
      <w:r>
        <w:t>Since we expect that health care organization</w:t>
      </w:r>
      <w:r w:rsidR="00F46829" w:rsidRPr="007B1E4D">
        <w:t xml:space="preserve"> characteristics may impact implementation, selection will be made to ensure diversity on key characteristics, including: </w:t>
      </w:r>
      <w:r w:rsidRPr="007B1E4D">
        <w:t>academic health center, safe</w:t>
      </w:r>
      <w:r w:rsidR="00C973B1">
        <w:t>ty-net or</w:t>
      </w:r>
      <w:r>
        <w:t xml:space="preserve"> community</w:t>
      </w:r>
      <w:r w:rsidR="00C973B1">
        <w:t xml:space="preserve"> health center</w:t>
      </w:r>
      <w:r>
        <w:t>, multi-clinic versus single clinic organization</w:t>
      </w:r>
      <w:r w:rsidRPr="007B1E4D">
        <w:t>), size, populations served (e.g., racial/ethnic mi</w:t>
      </w:r>
      <w:r w:rsidR="00C973B1">
        <w:t>norities, Medicaid recipients</w:t>
      </w:r>
      <w:r>
        <w:t>), geographic region, and urban/rural location</w:t>
      </w:r>
      <w:r w:rsidR="00F46829" w:rsidRPr="007B1E4D">
        <w:t xml:space="preserve">. </w:t>
      </w:r>
    </w:p>
    <w:p w14:paraId="3D46D644" w14:textId="77777777" w:rsidR="00F46829" w:rsidRPr="007B1E4D" w:rsidRDefault="00F46829" w:rsidP="00F46829"/>
    <w:p w14:paraId="767A13CD" w14:textId="62DE5E75" w:rsidR="00B7499F" w:rsidRPr="007B1E4D" w:rsidRDefault="00E33325" w:rsidP="00F46829">
      <w:r>
        <w:t>Within each health care organization, organizational</w:t>
      </w:r>
      <w:r w:rsidR="00F46829" w:rsidRPr="007B1E4D">
        <w:t xml:space="preserve"> liaison</w:t>
      </w:r>
      <w:r>
        <w:t>s in collaboration with leadership</w:t>
      </w:r>
      <w:r w:rsidR="00F46829" w:rsidRPr="007B1E4D">
        <w:t xml:space="preserve"> will select </w:t>
      </w:r>
      <w:r>
        <w:t xml:space="preserve">up </w:t>
      </w:r>
      <w:r w:rsidRPr="00E33325">
        <w:t xml:space="preserve">to </w:t>
      </w:r>
      <w:r w:rsidR="00F205AA">
        <w:t>3</w:t>
      </w:r>
      <w:r w:rsidR="00C87F7D">
        <w:t>3</w:t>
      </w:r>
      <w:r w:rsidRPr="00E33325">
        <w:t xml:space="preserve"> primary care clinics</w:t>
      </w:r>
      <w:r w:rsidRPr="007B1E4D">
        <w:t xml:space="preserve"> for </w:t>
      </w:r>
      <w:r>
        <w:t>6BBs Toolkit implementation</w:t>
      </w:r>
      <w:r w:rsidR="00F46829" w:rsidRPr="007B1E4D">
        <w:t>.</w:t>
      </w:r>
      <w:r w:rsidR="003040B6">
        <w:t xml:space="preserve"> A</w:t>
      </w:r>
      <w:r>
        <w:t>ll clinical staff in the participating primary care clinics will be eligible to participate in the clinical staff survey</w:t>
      </w:r>
      <w:r w:rsidR="00F46829" w:rsidRPr="007B1E4D">
        <w:t>.</w:t>
      </w:r>
      <w:r>
        <w:t xml:space="preserve"> </w:t>
      </w:r>
      <w:r w:rsidR="001F2586">
        <w:t xml:space="preserve">Clinical staff will be invited to participate in the clinical staff survey by email. </w:t>
      </w:r>
      <w:r w:rsidR="001F2586" w:rsidRPr="001F2586">
        <w:t>We will obtain a list of email addresses for clinical st</w:t>
      </w:r>
      <w:r w:rsidR="001F2586">
        <w:t>aff from the organizational liaison</w:t>
      </w:r>
      <w:r w:rsidR="001F2586" w:rsidRPr="001F2586">
        <w:t xml:space="preserve">. Our survey recruitment strategy will include a 3-step email process. First, the Medical Director at each organization will email clinical staff to introduce the survey and stress the importance of completion, informing staff that a follow-up email </w:t>
      </w:r>
      <w:r w:rsidR="001F2586">
        <w:t>will be sent from a member of the project team</w:t>
      </w:r>
      <w:r w:rsidR="003040B6">
        <w:t xml:space="preserve"> and</w:t>
      </w:r>
      <w:r w:rsidR="001F2586" w:rsidRPr="001F2586">
        <w:t xml:space="preserve"> </w:t>
      </w:r>
      <w:r w:rsidR="003040B6">
        <w:t>will contain</w:t>
      </w:r>
      <w:r w:rsidR="001F2586" w:rsidRPr="001F2586">
        <w:t xml:space="preserve"> a link to the online survey. The second email will reintrodu</w:t>
      </w:r>
      <w:r w:rsidR="003040B6">
        <w:t>ce the survey and contain the</w:t>
      </w:r>
      <w:r w:rsidR="001F2586" w:rsidRPr="001F2586">
        <w:t xml:space="preserve"> </w:t>
      </w:r>
      <w:r w:rsidR="003040B6">
        <w:t>live survey link</w:t>
      </w:r>
      <w:r w:rsidR="001F2586" w:rsidRPr="001F2586">
        <w:t xml:space="preserve">. A third, reminder email will be sent to all clinical staff </w:t>
      </w:r>
      <w:r w:rsidR="00CB279B">
        <w:t xml:space="preserve">who did not respond </w:t>
      </w:r>
      <w:r w:rsidR="001F2586" w:rsidRPr="001F2586">
        <w:t xml:space="preserve">about a week after the second email reminding them to complete the survey if they have not done so, and will again contain the live </w:t>
      </w:r>
      <w:r w:rsidR="009E1127">
        <w:t>survey link</w:t>
      </w:r>
      <w:r w:rsidR="001F2586" w:rsidRPr="001F2586">
        <w:t>. The online survey is est</w:t>
      </w:r>
      <w:r w:rsidR="009E1127">
        <w:t>imated to take no longer than 15</w:t>
      </w:r>
      <w:r w:rsidR="001F2586" w:rsidRPr="001F2586">
        <w:t xml:space="preserve"> minutes to complete. </w:t>
      </w:r>
      <w:r w:rsidR="001F2586">
        <w:t xml:space="preserve">  </w:t>
      </w:r>
    </w:p>
    <w:p w14:paraId="4B600CEF" w14:textId="77777777" w:rsidR="00F46829" w:rsidRPr="007B1E4D" w:rsidRDefault="00F46829" w:rsidP="00F46829"/>
    <w:p w14:paraId="7C86C8D5" w14:textId="77777777" w:rsidR="005453AD" w:rsidRDefault="005453AD" w:rsidP="005453AD"/>
    <w:p w14:paraId="59D3886A" w14:textId="77777777" w:rsidR="005453AD" w:rsidRDefault="005453AD" w:rsidP="005453AD">
      <w:pPr>
        <w:pStyle w:val="Heading2"/>
        <w:spacing w:before="0" w:after="0"/>
        <w:rPr>
          <w:sz w:val="24"/>
        </w:rPr>
      </w:pPr>
      <w:bookmarkStart w:id="7" w:name="_Toc151782201"/>
      <w:bookmarkStart w:id="8" w:name="_Toc158526237"/>
      <w:r w:rsidRPr="001D0454">
        <w:rPr>
          <w:sz w:val="24"/>
        </w:rPr>
        <w:t>3. Methods to Maximize Response Rates</w:t>
      </w:r>
      <w:bookmarkEnd w:id="7"/>
      <w:bookmarkEnd w:id="8"/>
    </w:p>
    <w:p w14:paraId="377E1212" w14:textId="77777777" w:rsidR="00C93667" w:rsidRPr="00C93667" w:rsidRDefault="00C93667" w:rsidP="00C93667"/>
    <w:p w14:paraId="74968EC3" w14:textId="4D5E2FAA" w:rsidR="00C93667" w:rsidRDefault="00C93667" w:rsidP="00C93667">
      <w:pPr>
        <w:pStyle w:val="BodyText"/>
        <w:spacing w:after="0" w:line="240" w:lineRule="auto"/>
        <w:rPr>
          <w:sz w:val="24"/>
        </w:rPr>
      </w:pPr>
      <w:r>
        <w:rPr>
          <w:sz w:val="24"/>
        </w:rPr>
        <w:t>Health care organization leaders, for example the Medical Director and QI Lead, will be asked to encourage completion of the Clinical Staff Survey</w:t>
      </w:r>
      <w:r w:rsidRPr="001A617B">
        <w:rPr>
          <w:sz w:val="24"/>
        </w:rPr>
        <w:t xml:space="preserve">, which should help maximize the response rate. </w:t>
      </w:r>
      <w:r>
        <w:rPr>
          <w:sz w:val="24"/>
        </w:rPr>
        <w:t>A</w:t>
      </w:r>
      <w:r w:rsidRPr="001A617B">
        <w:rPr>
          <w:sz w:val="24"/>
        </w:rPr>
        <w:t>lthough clinician surveys (conducted online or using other methods) often suffer from low response rates, AHRQ expects a better t</w:t>
      </w:r>
      <w:r>
        <w:rPr>
          <w:sz w:val="24"/>
        </w:rPr>
        <w:t>han average return rate for this</w:t>
      </w:r>
      <w:r w:rsidRPr="001A617B">
        <w:rPr>
          <w:sz w:val="24"/>
        </w:rPr>
        <w:t xml:space="preserve"> </w:t>
      </w:r>
      <w:r>
        <w:rPr>
          <w:sz w:val="24"/>
        </w:rPr>
        <w:t xml:space="preserve">survey </w:t>
      </w:r>
      <w:r w:rsidRPr="001A617B">
        <w:rPr>
          <w:sz w:val="24"/>
        </w:rPr>
        <w:t>because the distribution will be targeted, u</w:t>
      </w:r>
      <w:r>
        <w:rPr>
          <w:sz w:val="24"/>
        </w:rPr>
        <w:t>sing the email addresses of clinicians working in clinics that are implementing the 6BBs Toolkit</w:t>
      </w:r>
      <w:r w:rsidRPr="001A617B">
        <w:rPr>
          <w:sz w:val="24"/>
        </w:rPr>
        <w:t xml:space="preserve">. </w:t>
      </w:r>
      <w:r w:rsidR="005B454D">
        <w:rPr>
          <w:sz w:val="24"/>
        </w:rPr>
        <w:t>Also, we will use</w:t>
      </w:r>
      <w:r>
        <w:rPr>
          <w:sz w:val="24"/>
        </w:rPr>
        <w:t xml:space="preserve"> a recommended, 3-step email approac</w:t>
      </w:r>
      <w:r w:rsidR="005B454D">
        <w:rPr>
          <w:sz w:val="24"/>
        </w:rPr>
        <w:t>h demonstrated to improve response rates.</w:t>
      </w:r>
      <w:r w:rsidR="005B454D">
        <w:rPr>
          <w:rStyle w:val="FootnoteReference"/>
          <w:sz w:val="24"/>
        </w:rPr>
        <w:footnoteReference w:id="2"/>
      </w:r>
      <w:r w:rsidR="005B454D">
        <w:rPr>
          <w:sz w:val="24"/>
        </w:rPr>
        <w:t xml:space="preserve"> </w:t>
      </w:r>
      <w:r>
        <w:rPr>
          <w:sz w:val="24"/>
        </w:rPr>
        <w:t xml:space="preserve"> </w:t>
      </w:r>
    </w:p>
    <w:p w14:paraId="414F9D6A" w14:textId="77777777" w:rsidR="00C93667" w:rsidRDefault="00C93667" w:rsidP="00C93667">
      <w:pPr>
        <w:pStyle w:val="BodyText"/>
        <w:spacing w:after="0" w:line="240" w:lineRule="auto"/>
        <w:rPr>
          <w:sz w:val="24"/>
        </w:rPr>
      </w:pPr>
    </w:p>
    <w:p w14:paraId="768C04C4" w14:textId="77777777" w:rsidR="005453AD" w:rsidRDefault="005453AD" w:rsidP="005453AD">
      <w:pPr>
        <w:jc w:val="both"/>
        <w:rPr>
          <w:highlight w:val="lightGray"/>
        </w:rPr>
      </w:pPr>
    </w:p>
    <w:p w14:paraId="749FBF9F" w14:textId="77777777" w:rsidR="005453AD" w:rsidRDefault="005453AD" w:rsidP="005453AD">
      <w:pPr>
        <w:pStyle w:val="Heading2"/>
        <w:spacing w:before="0" w:after="0"/>
        <w:rPr>
          <w:sz w:val="24"/>
        </w:rPr>
      </w:pPr>
      <w:bookmarkStart w:id="9" w:name="_Toc151782202"/>
      <w:bookmarkStart w:id="10" w:name="_Toc158526238"/>
      <w:r w:rsidRPr="001D0454">
        <w:rPr>
          <w:sz w:val="24"/>
        </w:rPr>
        <w:t>4. Tests of Procedures</w:t>
      </w:r>
      <w:bookmarkStart w:id="11" w:name="_Toc151782203"/>
      <w:bookmarkStart w:id="12" w:name="_Toc158526239"/>
      <w:bookmarkEnd w:id="9"/>
      <w:bookmarkEnd w:id="10"/>
    </w:p>
    <w:p w14:paraId="110C0CC5" w14:textId="77777777" w:rsidR="00C93667" w:rsidRPr="00C93667" w:rsidRDefault="00C93667" w:rsidP="00C93667"/>
    <w:p w14:paraId="290399B6" w14:textId="5A8D4677" w:rsidR="00C93667" w:rsidRPr="00533730" w:rsidRDefault="00C93667" w:rsidP="00C93667">
      <w:r w:rsidRPr="00533730">
        <w:t xml:space="preserve">All of the data collection protocols </w:t>
      </w:r>
      <w:r>
        <w:t>have</w:t>
      </w:r>
      <w:r w:rsidRPr="00533730">
        <w:t xml:space="preserve"> be</w:t>
      </w:r>
      <w:r>
        <w:t>en</w:t>
      </w:r>
      <w:r w:rsidRPr="00533730">
        <w:t xml:space="preserve"> reviewed by the project </w:t>
      </w:r>
      <w:r w:rsidR="00F205AA">
        <w:t>partners</w:t>
      </w:r>
      <w:r w:rsidRPr="00533730">
        <w:t xml:space="preserve"> (see: Supporting Statement A, Section 8.b. Outside Consultants) with experience obtaining, improving and stu</w:t>
      </w:r>
      <w:r w:rsidR="005B454D">
        <w:t>dying opioid prescribing practices and processes</w:t>
      </w:r>
      <w:r w:rsidRPr="00533730">
        <w:t>.</w:t>
      </w:r>
      <w:r>
        <w:t xml:space="preserve"> </w:t>
      </w:r>
      <w:r w:rsidR="00F205AA">
        <w:t>This</w:t>
      </w:r>
      <w:r w:rsidRPr="00533730">
        <w:t xml:space="preserve"> review help</w:t>
      </w:r>
      <w:r>
        <w:t>s</w:t>
      </w:r>
      <w:r w:rsidRPr="00533730">
        <w:t xml:space="preserve"> establish the face and content validity of the protocols.</w:t>
      </w:r>
      <w:r>
        <w:t xml:space="preserve"> </w:t>
      </w:r>
      <w:r w:rsidRPr="00533730">
        <w:t>Additionally, to the extent possible, the data collection protocols use or adapt existing items from previously tested and validated instruments.</w:t>
      </w:r>
    </w:p>
    <w:p w14:paraId="0A2CA8F9" w14:textId="77777777" w:rsidR="00C93667" w:rsidRPr="00533730" w:rsidRDefault="00C93667" w:rsidP="00C93667"/>
    <w:p w14:paraId="6E5B015E" w14:textId="07DA93D0" w:rsidR="00C93667" w:rsidRPr="00533730" w:rsidRDefault="00C93667" w:rsidP="00C93667">
      <w:r w:rsidRPr="00533730">
        <w:t xml:space="preserve">The </w:t>
      </w:r>
      <w:r w:rsidR="00F22A0F">
        <w:t>items for the Clinical Staff Survey</w:t>
      </w:r>
      <w:r w:rsidRPr="00533730">
        <w:t xml:space="preserve"> were developed based on the content in the </w:t>
      </w:r>
      <w:r w:rsidR="00F22A0F">
        <w:t>6BBs Toolkit</w:t>
      </w:r>
      <w:r w:rsidRPr="00533730">
        <w:t>.</w:t>
      </w:r>
      <w:r>
        <w:t xml:space="preserve"> </w:t>
      </w:r>
      <w:r w:rsidRPr="00533730">
        <w:t>These questions are similar to questions used in other training evaluations.</w:t>
      </w:r>
      <w:r>
        <w:t xml:space="preserve"> </w:t>
      </w:r>
      <w:r w:rsidR="00F22A0F">
        <w:t>The survey</w:t>
      </w:r>
      <w:r w:rsidRPr="00533730">
        <w:t xml:space="preserve"> will be pre-tested with </w:t>
      </w:r>
      <w:r w:rsidR="00C87F7D">
        <w:t>several</w:t>
      </w:r>
      <w:r w:rsidRPr="00533730">
        <w:t xml:space="preserve"> staff from </w:t>
      </w:r>
      <w:r>
        <w:t>AHRQ’s contractors (Abt Ass</w:t>
      </w:r>
      <w:r w:rsidR="00F22A0F">
        <w:t>ociates and the University of Washington</w:t>
      </w:r>
      <w:r>
        <w:t>)</w:t>
      </w:r>
      <w:r w:rsidRPr="00533730">
        <w:t xml:space="preserve"> </w:t>
      </w:r>
      <w:r w:rsidR="009C707C" w:rsidRPr="00533730">
        <w:t xml:space="preserve">who are clinicians to identify wording issues, verify the length of time needed to complete the survey, ensure the items reflect the </w:t>
      </w:r>
      <w:r w:rsidR="009C707C">
        <w:t>Toolkit</w:t>
      </w:r>
      <w:r w:rsidR="009C707C" w:rsidRPr="00533730">
        <w:t xml:space="preserve"> content</w:t>
      </w:r>
      <w:r w:rsidR="00C874E7">
        <w:t>, and identify</w:t>
      </w:r>
      <w:r w:rsidR="009C707C">
        <w:t xml:space="preserve"> response options that should be edited</w:t>
      </w:r>
      <w:r w:rsidR="009C707C" w:rsidRPr="00533730">
        <w:t xml:space="preserve">. </w:t>
      </w:r>
    </w:p>
    <w:p w14:paraId="583EE28C" w14:textId="77777777" w:rsidR="00C93667" w:rsidRPr="00533730" w:rsidRDefault="00C93667" w:rsidP="00C93667"/>
    <w:p w14:paraId="2DC0F44D" w14:textId="3822E7FF" w:rsidR="005453AD" w:rsidRDefault="005453AD" w:rsidP="00F34C93">
      <w:pPr>
        <w:pStyle w:val="Heading2"/>
        <w:rPr>
          <w:sz w:val="24"/>
        </w:rPr>
      </w:pPr>
      <w:r w:rsidRPr="001D0454">
        <w:rPr>
          <w:sz w:val="24"/>
        </w:rPr>
        <w:t>5. Statistical Consultants</w:t>
      </w:r>
      <w:bookmarkEnd w:id="11"/>
      <w:bookmarkEnd w:id="12"/>
    </w:p>
    <w:p w14:paraId="45B3E18F" w14:textId="6B6E8A72" w:rsidR="00C93667" w:rsidRDefault="00C93667" w:rsidP="00C93667">
      <w:r w:rsidRPr="00D06F24">
        <w:t>Abt Associates is the contract</w:t>
      </w:r>
      <w:r>
        <w:t>or who will facilitate health care organizations</w:t>
      </w:r>
      <w:r w:rsidRPr="00D06F24">
        <w:t>’ data collection and analysis on behalf of AHRQ.</w:t>
      </w:r>
      <w:r>
        <w:t xml:space="preserve"> </w:t>
      </w:r>
      <w:r w:rsidRPr="00D06F24">
        <w:t xml:space="preserve">The professionals from Abt Associates have over 40 years of experience providing high quality, timely and cost effective </w:t>
      </w:r>
      <w:r>
        <w:t xml:space="preserve">data collection </w:t>
      </w:r>
      <w:r w:rsidRPr="00D06F24">
        <w:t>for federal</w:t>
      </w:r>
      <w:r>
        <w:t xml:space="preserve"> agencies. </w:t>
      </w:r>
      <w:r w:rsidRPr="007B566A">
        <w:t>Abt Associates employs many statisticians, economists and experienced research methodologists. Statistician and health economist Lauren Olsho, Ph.D., from Abt Associates, was consulted and reviewed the proposed statistical analyses. Dr. Olsho has designed several rigorous, practice-based research studies for AHRQ and other federal agencies. She is available should any questions regarding the statistical analyses for this project arise.</w:t>
      </w:r>
      <w:r>
        <w:t xml:space="preserve"> </w:t>
      </w:r>
      <w:r w:rsidRPr="00305FB8">
        <w:t>The key</w:t>
      </w:r>
      <w:r w:rsidRPr="00D06F24">
        <w:t xml:space="preserve"> </w:t>
      </w:r>
      <w:r>
        <w:t xml:space="preserve">project </w:t>
      </w:r>
      <w:r w:rsidRPr="00D06F24">
        <w:t>contact at Abt Associates is</w:t>
      </w:r>
      <w:r>
        <w:t xml:space="preserve"> Sarah Shoemaker-Hunt. </w:t>
      </w:r>
    </w:p>
    <w:p w14:paraId="20E0F821" w14:textId="77777777" w:rsidR="00C93667" w:rsidRDefault="00C93667" w:rsidP="00C93667"/>
    <w:p w14:paraId="719BC0E8" w14:textId="17066572" w:rsidR="00C93667" w:rsidRDefault="00C93667" w:rsidP="00C93667">
      <w:r>
        <w:t xml:space="preserve">Key contact information for Sarah Shoemaker-Hunt is provided below: </w:t>
      </w:r>
    </w:p>
    <w:p w14:paraId="7F4489F3" w14:textId="77777777" w:rsidR="00C93667" w:rsidRDefault="00C93667" w:rsidP="00C93667"/>
    <w:p w14:paraId="036D3148" w14:textId="0AC234EC" w:rsidR="00C93667" w:rsidRDefault="00C93667" w:rsidP="00F51CF5">
      <w:pPr>
        <w:ind w:left="720"/>
      </w:pPr>
      <w:r>
        <w:t xml:space="preserve">Sarah J. Shoemaker-Hunt, PhD, PharmD, Principal Associate/Scientist </w:t>
      </w:r>
    </w:p>
    <w:p w14:paraId="0F085054" w14:textId="77777777" w:rsidR="00C93667" w:rsidRDefault="00C93667" w:rsidP="00F51CF5">
      <w:pPr>
        <w:ind w:left="720"/>
      </w:pPr>
      <w:r>
        <w:t>Abt Associates Inc.</w:t>
      </w:r>
    </w:p>
    <w:p w14:paraId="4CFE70B2" w14:textId="344E954A" w:rsidR="00C93667" w:rsidRDefault="007B566A" w:rsidP="00F51CF5">
      <w:pPr>
        <w:ind w:left="720"/>
      </w:pPr>
      <w:r>
        <w:t>10 Fawcett</w:t>
      </w:r>
      <w:r w:rsidR="00C93667">
        <w:t xml:space="preserve"> Street </w:t>
      </w:r>
    </w:p>
    <w:p w14:paraId="58362FC2" w14:textId="77777777" w:rsidR="00C93667" w:rsidRDefault="00C93667" w:rsidP="00F51CF5">
      <w:pPr>
        <w:ind w:left="720"/>
      </w:pPr>
      <w:r>
        <w:t>Cambridge, MA 02138</w:t>
      </w:r>
    </w:p>
    <w:p w14:paraId="31D3102D" w14:textId="77777777" w:rsidR="00C93667" w:rsidRDefault="00C93667" w:rsidP="00F51CF5">
      <w:pPr>
        <w:ind w:left="720"/>
      </w:pPr>
      <w:r>
        <w:t>Office:  617.349.2472</w:t>
      </w:r>
    </w:p>
    <w:p w14:paraId="6BAF9A04" w14:textId="394FE1DF" w:rsidR="00F34C93" w:rsidRPr="00F34C93" w:rsidRDefault="00C93667" w:rsidP="00F51CF5">
      <w:pPr>
        <w:ind w:left="720"/>
      </w:pPr>
      <w:r>
        <w:t xml:space="preserve">Email: </w:t>
      </w:r>
      <w:hyperlink r:id="rId9" w:history="1">
        <w:r w:rsidRPr="00305FB8">
          <w:rPr>
            <w:rStyle w:val="Hyperlink"/>
            <w:u w:val="none"/>
          </w:rPr>
          <w:t>sarah_shoemaker@abtassoc.com</w:t>
        </w:r>
      </w:hyperlink>
    </w:p>
    <w:sectPr w:rsidR="00F34C93" w:rsidRPr="00F34C93" w:rsidSect="00874B68">
      <w:footerReference w:type="even" r:id="rId10"/>
      <w:footerReference w:type="default" r:id="rId11"/>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6DCBA" w14:textId="77777777" w:rsidR="005602F4" w:rsidRDefault="005602F4">
      <w:r>
        <w:separator/>
      </w:r>
    </w:p>
  </w:endnote>
  <w:endnote w:type="continuationSeparator" w:id="0">
    <w:p w14:paraId="2C416B29" w14:textId="77777777" w:rsidR="005602F4" w:rsidRDefault="0056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B1D79" w14:textId="77777777" w:rsidR="00F34C93" w:rsidRDefault="00F34C93"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167883" w14:textId="77777777" w:rsidR="00F34C93" w:rsidRDefault="00F34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596F9" w14:textId="77777777" w:rsidR="00F34C93" w:rsidRDefault="00F34C93"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1C2">
      <w:rPr>
        <w:rStyle w:val="PageNumber"/>
        <w:noProof/>
      </w:rPr>
      <w:t>2</w:t>
    </w:r>
    <w:r>
      <w:rPr>
        <w:rStyle w:val="PageNumber"/>
      </w:rPr>
      <w:fldChar w:fldCharType="end"/>
    </w:r>
  </w:p>
  <w:p w14:paraId="1B9DD255" w14:textId="77777777" w:rsidR="00F34C93" w:rsidRDefault="00F34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C11F6" w14:textId="77777777" w:rsidR="005602F4" w:rsidRDefault="005602F4">
      <w:r>
        <w:separator/>
      </w:r>
    </w:p>
  </w:footnote>
  <w:footnote w:type="continuationSeparator" w:id="0">
    <w:p w14:paraId="12843FE9" w14:textId="77777777" w:rsidR="005602F4" w:rsidRDefault="005602F4">
      <w:r>
        <w:continuationSeparator/>
      </w:r>
    </w:p>
  </w:footnote>
  <w:footnote w:id="1">
    <w:p w14:paraId="342A2ECE" w14:textId="3A225697" w:rsidR="00433655" w:rsidRDefault="00433655" w:rsidP="00516647">
      <w:pPr>
        <w:pStyle w:val="FootnoteText"/>
      </w:pPr>
      <w:r>
        <w:rPr>
          <w:rStyle w:val="FootnoteReference"/>
        </w:rPr>
        <w:footnoteRef/>
      </w:r>
      <w:r>
        <w:t xml:space="preserve"> </w:t>
      </w:r>
      <w:r w:rsidR="00516647">
        <w:t>Petterson S, McNellis R, Klink K, Meyers D, Bazemore A. The State of Primary Care in the United States: A Chartbook of Facts and Statistics. January 2018.</w:t>
      </w:r>
      <w:r w:rsidR="00516647" w:rsidRPr="00433655">
        <w:t xml:space="preserve"> </w:t>
      </w:r>
      <w:r w:rsidR="00516647">
        <w:t xml:space="preserve">Accessed at </w:t>
      </w:r>
      <w:r w:rsidRPr="00433655">
        <w:t>https://www.graham-center.org/content/dam/rgc/documents/publications-reports/reports/PrimaryCareChartbook.pdf</w:t>
      </w:r>
    </w:p>
  </w:footnote>
  <w:footnote w:id="2">
    <w:p w14:paraId="31575D9B" w14:textId="641ACD89" w:rsidR="005B454D" w:rsidRPr="0075719A" w:rsidRDefault="005B454D" w:rsidP="005B454D">
      <w:pPr>
        <w:pStyle w:val="FootnoteText"/>
        <w:ind w:left="90" w:hanging="90"/>
      </w:pPr>
      <w:r w:rsidRPr="0075719A">
        <w:rPr>
          <w:rStyle w:val="FootnoteReference"/>
        </w:rPr>
        <w:footnoteRef/>
      </w:r>
      <w:r w:rsidRPr="0075719A">
        <w:t xml:space="preserve"> </w:t>
      </w:r>
      <w:r w:rsidRPr="0075719A">
        <w:rPr>
          <w:color w:val="222222"/>
          <w:shd w:val="clear" w:color="auto" w:fill="FFFFFF"/>
        </w:rPr>
        <w:t>Dillman, D.A., 1978. </w:t>
      </w:r>
      <w:r w:rsidRPr="0075719A">
        <w:rPr>
          <w:i/>
          <w:iCs/>
          <w:color w:val="222222"/>
          <w:shd w:val="clear" w:color="auto" w:fill="FFFFFF"/>
        </w:rPr>
        <w:t>Mail and telephone surveys: The total design method</w:t>
      </w:r>
      <w:r w:rsidRPr="0075719A">
        <w:rPr>
          <w:color w:val="222222"/>
          <w:shd w:val="clear" w:color="auto" w:fill="FFFFFF"/>
        </w:rPr>
        <w:t> (Vol. 19). New York: Wiley.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F5A"/>
    <w:multiLevelType w:val="hybridMultilevel"/>
    <w:tmpl w:val="E5C2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7421B"/>
    <w:multiLevelType w:val="hybridMultilevel"/>
    <w:tmpl w:val="7F705810"/>
    <w:lvl w:ilvl="0" w:tplc="BF98B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54C5C"/>
    <w:multiLevelType w:val="hybridMultilevel"/>
    <w:tmpl w:val="43662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FC27E6"/>
    <w:multiLevelType w:val="hybridMultilevel"/>
    <w:tmpl w:val="20FCC28A"/>
    <w:lvl w:ilvl="0" w:tplc="69903C98">
      <w:start w:val="1"/>
      <w:numFmt w:val="lowerLetter"/>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6">
    <w:nsid w:val="1B705D94"/>
    <w:multiLevelType w:val="hybridMultilevel"/>
    <w:tmpl w:val="85601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7F196C"/>
    <w:multiLevelType w:val="hybridMultilevel"/>
    <w:tmpl w:val="EB500724"/>
    <w:lvl w:ilvl="0" w:tplc="BF98B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1935F2"/>
    <w:multiLevelType w:val="hybridMultilevel"/>
    <w:tmpl w:val="BC22FB32"/>
    <w:lvl w:ilvl="0" w:tplc="535A371C">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277DC1"/>
    <w:multiLevelType w:val="hybridMultilevel"/>
    <w:tmpl w:val="6226C09C"/>
    <w:lvl w:ilvl="0" w:tplc="C2A2419A">
      <w:start w:val="1"/>
      <w:numFmt w:val="lowerLetter"/>
      <w:lvlText w:val="%1)"/>
      <w:lvlJc w:val="left"/>
      <w:pPr>
        <w:ind w:left="537" w:hanging="360"/>
      </w:pPr>
      <w:rPr>
        <w:rFonts w:ascii="Times New Roman" w:hAnsi="Times New Roman" w:cs="Times New Roman" w:hint="default"/>
        <w:b w:val="0"/>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1">
    <w:nsid w:val="414F25AB"/>
    <w:multiLevelType w:val="hybridMultilevel"/>
    <w:tmpl w:val="8090B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30C3F"/>
    <w:multiLevelType w:val="hybridMultilevel"/>
    <w:tmpl w:val="3D46F2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474298"/>
    <w:multiLevelType w:val="hybridMultilevel"/>
    <w:tmpl w:val="0902D0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697E6669"/>
    <w:multiLevelType w:val="hybridMultilevel"/>
    <w:tmpl w:val="E6D63662"/>
    <w:lvl w:ilvl="0" w:tplc="A404E078">
      <w:start w:val="1"/>
      <w:numFmt w:val="lowerLetter"/>
      <w:lvlText w:val="%1)"/>
      <w:lvlJc w:val="left"/>
      <w:pPr>
        <w:ind w:left="51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375B2"/>
    <w:multiLevelType w:val="hybridMultilevel"/>
    <w:tmpl w:val="0D7E0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0">
    <w:nsid w:val="7B9673A4"/>
    <w:multiLevelType w:val="hybridMultilevel"/>
    <w:tmpl w:val="772A00AA"/>
    <w:lvl w:ilvl="0" w:tplc="700A9DE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F3434F"/>
    <w:multiLevelType w:val="hybridMultilevel"/>
    <w:tmpl w:val="BC64C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4719A"/>
    <w:multiLevelType w:val="hybridMultilevel"/>
    <w:tmpl w:val="F8E62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14"/>
  </w:num>
  <w:num w:numId="5">
    <w:abstractNumId w:val="13"/>
  </w:num>
  <w:num w:numId="6">
    <w:abstractNumId w:val="16"/>
  </w:num>
  <w:num w:numId="7">
    <w:abstractNumId w:val="11"/>
  </w:num>
  <w:num w:numId="8">
    <w:abstractNumId w:val="15"/>
  </w:num>
  <w:num w:numId="9">
    <w:abstractNumId w:val="18"/>
  </w:num>
  <w:num w:numId="10">
    <w:abstractNumId w:val="20"/>
  </w:num>
  <w:num w:numId="11">
    <w:abstractNumId w:val="0"/>
  </w:num>
  <w:num w:numId="12">
    <w:abstractNumId w:val="2"/>
  </w:num>
  <w:num w:numId="13">
    <w:abstractNumId w:val="8"/>
  </w:num>
  <w:num w:numId="14">
    <w:abstractNumId w:val="12"/>
  </w:num>
  <w:num w:numId="15">
    <w:abstractNumId w:val="6"/>
  </w:num>
  <w:num w:numId="16">
    <w:abstractNumId w:val="19"/>
  </w:num>
  <w:num w:numId="17">
    <w:abstractNumId w:val="4"/>
  </w:num>
  <w:num w:numId="18">
    <w:abstractNumId w:val="5"/>
  </w:num>
  <w:num w:numId="19">
    <w:abstractNumId w:val="9"/>
  </w:num>
  <w:num w:numId="20">
    <w:abstractNumId w:val="10"/>
  </w:num>
  <w:num w:numId="21">
    <w:abstractNumId w:val="22"/>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28E6"/>
    <w:rsid w:val="00003726"/>
    <w:rsid w:val="00007C23"/>
    <w:rsid w:val="0001418A"/>
    <w:rsid w:val="00022B2F"/>
    <w:rsid w:val="00023905"/>
    <w:rsid w:val="0002688B"/>
    <w:rsid w:val="00027931"/>
    <w:rsid w:val="000375C3"/>
    <w:rsid w:val="00040D98"/>
    <w:rsid w:val="0004144A"/>
    <w:rsid w:val="00042F92"/>
    <w:rsid w:val="00050229"/>
    <w:rsid w:val="00053B30"/>
    <w:rsid w:val="00055A47"/>
    <w:rsid w:val="000733EB"/>
    <w:rsid w:val="00076E44"/>
    <w:rsid w:val="0008338A"/>
    <w:rsid w:val="00084D1F"/>
    <w:rsid w:val="000A3642"/>
    <w:rsid w:val="000B246F"/>
    <w:rsid w:val="000B2925"/>
    <w:rsid w:val="000B3A1D"/>
    <w:rsid w:val="000B51D2"/>
    <w:rsid w:val="000C052D"/>
    <w:rsid w:val="000C26A4"/>
    <w:rsid w:val="000C273C"/>
    <w:rsid w:val="000D68E0"/>
    <w:rsid w:val="000E5B21"/>
    <w:rsid w:val="000F1C4B"/>
    <w:rsid w:val="00104072"/>
    <w:rsid w:val="001277A0"/>
    <w:rsid w:val="00133642"/>
    <w:rsid w:val="0013418E"/>
    <w:rsid w:val="00144014"/>
    <w:rsid w:val="00160B30"/>
    <w:rsid w:val="001623B4"/>
    <w:rsid w:val="00172665"/>
    <w:rsid w:val="001731C2"/>
    <w:rsid w:val="001826BD"/>
    <w:rsid w:val="00184281"/>
    <w:rsid w:val="001914B6"/>
    <w:rsid w:val="00193D98"/>
    <w:rsid w:val="001961A5"/>
    <w:rsid w:val="001A5FF7"/>
    <w:rsid w:val="001B5D6F"/>
    <w:rsid w:val="001C2F17"/>
    <w:rsid w:val="001C3D9E"/>
    <w:rsid w:val="001C78FD"/>
    <w:rsid w:val="001F2586"/>
    <w:rsid w:val="001F5E2E"/>
    <w:rsid w:val="00202661"/>
    <w:rsid w:val="00202A26"/>
    <w:rsid w:val="00203837"/>
    <w:rsid w:val="0020740B"/>
    <w:rsid w:val="00220C60"/>
    <w:rsid w:val="00222258"/>
    <w:rsid w:val="00224620"/>
    <w:rsid w:val="002343F0"/>
    <w:rsid w:val="0023595D"/>
    <w:rsid w:val="00240615"/>
    <w:rsid w:val="00243021"/>
    <w:rsid w:val="00250F6D"/>
    <w:rsid w:val="00260A01"/>
    <w:rsid w:val="00262FCA"/>
    <w:rsid w:val="00265C70"/>
    <w:rsid w:val="00266D37"/>
    <w:rsid w:val="00274E60"/>
    <w:rsid w:val="00277CEA"/>
    <w:rsid w:val="002837E3"/>
    <w:rsid w:val="002928AE"/>
    <w:rsid w:val="002A5262"/>
    <w:rsid w:val="002B0F78"/>
    <w:rsid w:val="002B51BE"/>
    <w:rsid w:val="002B5A77"/>
    <w:rsid w:val="002C7633"/>
    <w:rsid w:val="002F344F"/>
    <w:rsid w:val="003004BA"/>
    <w:rsid w:val="003040B6"/>
    <w:rsid w:val="00307CE1"/>
    <w:rsid w:val="00314B99"/>
    <w:rsid w:val="0031502F"/>
    <w:rsid w:val="00325BC9"/>
    <w:rsid w:val="003338AE"/>
    <w:rsid w:val="00353007"/>
    <w:rsid w:val="00365067"/>
    <w:rsid w:val="00367D62"/>
    <w:rsid w:val="00373091"/>
    <w:rsid w:val="00381C57"/>
    <w:rsid w:val="00383034"/>
    <w:rsid w:val="00384745"/>
    <w:rsid w:val="00393005"/>
    <w:rsid w:val="00396B62"/>
    <w:rsid w:val="003B376A"/>
    <w:rsid w:val="003B3C70"/>
    <w:rsid w:val="003B7C56"/>
    <w:rsid w:val="003C1C77"/>
    <w:rsid w:val="003C3103"/>
    <w:rsid w:val="003C312C"/>
    <w:rsid w:val="003C6E1D"/>
    <w:rsid w:val="003C73E8"/>
    <w:rsid w:val="003D369A"/>
    <w:rsid w:val="003D3B9C"/>
    <w:rsid w:val="003D6AE8"/>
    <w:rsid w:val="003E1594"/>
    <w:rsid w:val="003E5535"/>
    <w:rsid w:val="003F223C"/>
    <w:rsid w:val="003F4F2F"/>
    <w:rsid w:val="00413710"/>
    <w:rsid w:val="00415138"/>
    <w:rsid w:val="00422B2A"/>
    <w:rsid w:val="004230CE"/>
    <w:rsid w:val="00426BAE"/>
    <w:rsid w:val="00431F3A"/>
    <w:rsid w:val="0043295B"/>
    <w:rsid w:val="00433655"/>
    <w:rsid w:val="0044095A"/>
    <w:rsid w:val="00451EBF"/>
    <w:rsid w:val="004543F7"/>
    <w:rsid w:val="004576F6"/>
    <w:rsid w:val="00460D1B"/>
    <w:rsid w:val="00461D98"/>
    <w:rsid w:val="00474DB9"/>
    <w:rsid w:val="004750A2"/>
    <w:rsid w:val="0049545C"/>
    <w:rsid w:val="00495FBA"/>
    <w:rsid w:val="00497C66"/>
    <w:rsid w:val="004A0508"/>
    <w:rsid w:val="004A111A"/>
    <w:rsid w:val="004A58E2"/>
    <w:rsid w:val="004B06E4"/>
    <w:rsid w:val="004B5BD6"/>
    <w:rsid w:val="004B64D5"/>
    <w:rsid w:val="004C7F3B"/>
    <w:rsid w:val="004D6C5F"/>
    <w:rsid w:val="004F12F0"/>
    <w:rsid w:val="004F153D"/>
    <w:rsid w:val="004F7C29"/>
    <w:rsid w:val="0050069A"/>
    <w:rsid w:val="0050472C"/>
    <w:rsid w:val="00506B7C"/>
    <w:rsid w:val="00516647"/>
    <w:rsid w:val="00520D8D"/>
    <w:rsid w:val="00536106"/>
    <w:rsid w:val="00543AF4"/>
    <w:rsid w:val="005453AD"/>
    <w:rsid w:val="00552C85"/>
    <w:rsid w:val="00555B00"/>
    <w:rsid w:val="00555B8A"/>
    <w:rsid w:val="005602F4"/>
    <w:rsid w:val="0056317B"/>
    <w:rsid w:val="005772BD"/>
    <w:rsid w:val="005B454D"/>
    <w:rsid w:val="005B7E1A"/>
    <w:rsid w:val="005C5125"/>
    <w:rsid w:val="005C5779"/>
    <w:rsid w:val="005D77A5"/>
    <w:rsid w:val="005E3686"/>
    <w:rsid w:val="005E5170"/>
    <w:rsid w:val="005F08FA"/>
    <w:rsid w:val="005F6627"/>
    <w:rsid w:val="006051E2"/>
    <w:rsid w:val="00607E4C"/>
    <w:rsid w:val="006106C1"/>
    <w:rsid w:val="00620AC7"/>
    <w:rsid w:val="00631667"/>
    <w:rsid w:val="00634C48"/>
    <w:rsid w:val="00635512"/>
    <w:rsid w:val="0063714F"/>
    <w:rsid w:val="006449DA"/>
    <w:rsid w:val="00656C4F"/>
    <w:rsid w:val="0065798D"/>
    <w:rsid w:val="0066058A"/>
    <w:rsid w:val="006616E7"/>
    <w:rsid w:val="006653E4"/>
    <w:rsid w:val="00666C20"/>
    <w:rsid w:val="006751F3"/>
    <w:rsid w:val="006804F1"/>
    <w:rsid w:val="0069068A"/>
    <w:rsid w:val="00694254"/>
    <w:rsid w:val="00697067"/>
    <w:rsid w:val="006A09B7"/>
    <w:rsid w:val="006A23A7"/>
    <w:rsid w:val="006B417B"/>
    <w:rsid w:val="006B65D6"/>
    <w:rsid w:val="006C0C47"/>
    <w:rsid w:val="006D2949"/>
    <w:rsid w:val="006D2A3E"/>
    <w:rsid w:val="006D548C"/>
    <w:rsid w:val="006E65FE"/>
    <w:rsid w:val="006F1ED6"/>
    <w:rsid w:val="007017C8"/>
    <w:rsid w:val="00701B9B"/>
    <w:rsid w:val="007033D7"/>
    <w:rsid w:val="00714C76"/>
    <w:rsid w:val="0072434A"/>
    <w:rsid w:val="007257EA"/>
    <w:rsid w:val="00726E4F"/>
    <w:rsid w:val="0072702F"/>
    <w:rsid w:val="007519A8"/>
    <w:rsid w:val="00752720"/>
    <w:rsid w:val="0075719A"/>
    <w:rsid w:val="00766ABD"/>
    <w:rsid w:val="00772E70"/>
    <w:rsid w:val="00775880"/>
    <w:rsid w:val="00777546"/>
    <w:rsid w:val="007855F5"/>
    <w:rsid w:val="00790A3B"/>
    <w:rsid w:val="00792830"/>
    <w:rsid w:val="00793E46"/>
    <w:rsid w:val="007A011B"/>
    <w:rsid w:val="007A17F0"/>
    <w:rsid w:val="007B566A"/>
    <w:rsid w:val="007B5A9A"/>
    <w:rsid w:val="007C0D40"/>
    <w:rsid w:val="007C39E4"/>
    <w:rsid w:val="007C49D3"/>
    <w:rsid w:val="007C5905"/>
    <w:rsid w:val="007D53AA"/>
    <w:rsid w:val="007F2387"/>
    <w:rsid w:val="007F2F72"/>
    <w:rsid w:val="00812673"/>
    <w:rsid w:val="00826B80"/>
    <w:rsid w:val="00834A30"/>
    <w:rsid w:val="008452A3"/>
    <w:rsid w:val="00852C36"/>
    <w:rsid w:val="00854B3A"/>
    <w:rsid w:val="00864C0A"/>
    <w:rsid w:val="00871DAE"/>
    <w:rsid w:val="00873091"/>
    <w:rsid w:val="008741AB"/>
    <w:rsid w:val="00874B68"/>
    <w:rsid w:val="00890667"/>
    <w:rsid w:val="0089215C"/>
    <w:rsid w:val="00892197"/>
    <w:rsid w:val="008933F8"/>
    <w:rsid w:val="00894559"/>
    <w:rsid w:val="00894CB3"/>
    <w:rsid w:val="00895461"/>
    <w:rsid w:val="008A1887"/>
    <w:rsid w:val="008A5586"/>
    <w:rsid w:val="008A74E8"/>
    <w:rsid w:val="008B59A2"/>
    <w:rsid w:val="008B5CFB"/>
    <w:rsid w:val="008C5771"/>
    <w:rsid w:val="008E06B8"/>
    <w:rsid w:val="008E0DFC"/>
    <w:rsid w:val="008E5F75"/>
    <w:rsid w:val="008F18CD"/>
    <w:rsid w:val="008F197F"/>
    <w:rsid w:val="008F23F5"/>
    <w:rsid w:val="008F6C41"/>
    <w:rsid w:val="008F74FC"/>
    <w:rsid w:val="0090111B"/>
    <w:rsid w:val="00915652"/>
    <w:rsid w:val="00916AA3"/>
    <w:rsid w:val="0093202A"/>
    <w:rsid w:val="00944F8E"/>
    <w:rsid w:val="00957F6B"/>
    <w:rsid w:val="009607AD"/>
    <w:rsid w:val="00962495"/>
    <w:rsid w:val="009631D2"/>
    <w:rsid w:val="009659F5"/>
    <w:rsid w:val="00986127"/>
    <w:rsid w:val="00986FB6"/>
    <w:rsid w:val="009A12A8"/>
    <w:rsid w:val="009A13F5"/>
    <w:rsid w:val="009A1506"/>
    <w:rsid w:val="009B7B44"/>
    <w:rsid w:val="009C00DB"/>
    <w:rsid w:val="009C707C"/>
    <w:rsid w:val="009D5632"/>
    <w:rsid w:val="009D5E90"/>
    <w:rsid w:val="009E070F"/>
    <w:rsid w:val="009E1127"/>
    <w:rsid w:val="009E226C"/>
    <w:rsid w:val="009E749B"/>
    <w:rsid w:val="009F0517"/>
    <w:rsid w:val="009F5807"/>
    <w:rsid w:val="00A00D79"/>
    <w:rsid w:val="00A04FB9"/>
    <w:rsid w:val="00A15B3E"/>
    <w:rsid w:val="00A15E19"/>
    <w:rsid w:val="00A175C7"/>
    <w:rsid w:val="00A35E11"/>
    <w:rsid w:val="00A400AF"/>
    <w:rsid w:val="00A433E3"/>
    <w:rsid w:val="00A4499C"/>
    <w:rsid w:val="00A51A46"/>
    <w:rsid w:val="00AA55D7"/>
    <w:rsid w:val="00AB0020"/>
    <w:rsid w:val="00AB5752"/>
    <w:rsid w:val="00AB5F7C"/>
    <w:rsid w:val="00AB72C0"/>
    <w:rsid w:val="00AC1733"/>
    <w:rsid w:val="00AC6AA6"/>
    <w:rsid w:val="00AC7A69"/>
    <w:rsid w:val="00AD7038"/>
    <w:rsid w:val="00AE5089"/>
    <w:rsid w:val="00AE6820"/>
    <w:rsid w:val="00AF135C"/>
    <w:rsid w:val="00AF4804"/>
    <w:rsid w:val="00B0174B"/>
    <w:rsid w:val="00B03A17"/>
    <w:rsid w:val="00B0771A"/>
    <w:rsid w:val="00B3602C"/>
    <w:rsid w:val="00B4384C"/>
    <w:rsid w:val="00B47BB0"/>
    <w:rsid w:val="00B50549"/>
    <w:rsid w:val="00B51988"/>
    <w:rsid w:val="00B51FC6"/>
    <w:rsid w:val="00B6413F"/>
    <w:rsid w:val="00B73EBB"/>
    <w:rsid w:val="00B7499F"/>
    <w:rsid w:val="00B75953"/>
    <w:rsid w:val="00B767FC"/>
    <w:rsid w:val="00B81108"/>
    <w:rsid w:val="00B81128"/>
    <w:rsid w:val="00B83341"/>
    <w:rsid w:val="00B91F14"/>
    <w:rsid w:val="00B9477A"/>
    <w:rsid w:val="00BA2394"/>
    <w:rsid w:val="00BA3FA4"/>
    <w:rsid w:val="00BB24C6"/>
    <w:rsid w:val="00BB46DF"/>
    <w:rsid w:val="00BE46D9"/>
    <w:rsid w:val="00BF1A3D"/>
    <w:rsid w:val="00BF1A41"/>
    <w:rsid w:val="00C21143"/>
    <w:rsid w:val="00C37D45"/>
    <w:rsid w:val="00C418BD"/>
    <w:rsid w:val="00C67B2A"/>
    <w:rsid w:val="00C76DEC"/>
    <w:rsid w:val="00C819BF"/>
    <w:rsid w:val="00C828BE"/>
    <w:rsid w:val="00C84426"/>
    <w:rsid w:val="00C874E7"/>
    <w:rsid w:val="00C87F7D"/>
    <w:rsid w:val="00C9116C"/>
    <w:rsid w:val="00C93667"/>
    <w:rsid w:val="00C94DE8"/>
    <w:rsid w:val="00C973B1"/>
    <w:rsid w:val="00CA149B"/>
    <w:rsid w:val="00CA2FB9"/>
    <w:rsid w:val="00CA6A4B"/>
    <w:rsid w:val="00CB279B"/>
    <w:rsid w:val="00CB2F8B"/>
    <w:rsid w:val="00CB660A"/>
    <w:rsid w:val="00CB7615"/>
    <w:rsid w:val="00CC3A9B"/>
    <w:rsid w:val="00CC42B4"/>
    <w:rsid w:val="00CC72ED"/>
    <w:rsid w:val="00CD03FF"/>
    <w:rsid w:val="00CD269E"/>
    <w:rsid w:val="00CE35CA"/>
    <w:rsid w:val="00CE49C8"/>
    <w:rsid w:val="00CE74B4"/>
    <w:rsid w:val="00D10174"/>
    <w:rsid w:val="00D1193F"/>
    <w:rsid w:val="00D224DD"/>
    <w:rsid w:val="00D2506E"/>
    <w:rsid w:val="00D254A2"/>
    <w:rsid w:val="00D3003B"/>
    <w:rsid w:val="00D360FA"/>
    <w:rsid w:val="00D3751D"/>
    <w:rsid w:val="00D43EDA"/>
    <w:rsid w:val="00D459FF"/>
    <w:rsid w:val="00D45ABC"/>
    <w:rsid w:val="00D47F26"/>
    <w:rsid w:val="00D67DD8"/>
    <w:rsid w:val="00D77619"/>
    <w:rsid w:val="00D83209"/>
    <w:rsid w:val="00DB042D"/>
    <w:rsid w:val="00DB4DF8"/>
    <w:rsid w:val="00DC3784"/>
    <w:rsid w:val="00DC412D"/>
    <w:rsid w:val="00DD691C"/>
    <w:rsid w:val="00DE0C8F"/>
    <w:rsid w:val="00DE0C9B"/>
    <w:rsid w:val="00DE5C7A"/>
    <w:rsid w:val="00DF2AE2"/>
    <w:rsid w:val="00E00AFB"/>
    <w:rsid w:val="00E059FC"/>
    <w:rsid w:val="00E1093E"/>
    <w:rsid w:val="00E11A8D"/>
    <w:rsid w:val="00E15D1F"/>
    <w:rsid w:val="00E24AFA"/>
    <w:rsid w:val="00E2602E"/>
    <w:rsid w:val="00E33325"/>
    <w:rsid w:val="00E33E06"/>
    <w:rsid w:val="00E35BA9"/>
    <w:rsid w:val="00E466CE"/>
    <w:rsid w:val="00E524A1"/>
    <w:rsid w:val="00E54BE4"/>
    <w:rsid w:val="00E5761E"/>
    <w:rsid w:val="00E61391"/>
    <w:rsid w:val="00E734A9"/>
    <w:rsid w:val="00E75ADF"/>
    <w:rsid w:val="00E8231E"/>
    <w:rsid w:val="00E87504"/>
    <w:rsid w:val="00E8787A"/>
    <w:rsid w:val="00E92A8D"/>
    <w:rsid w:val="00E95E30"/>
    <w:rsid w:val="00EA20B6"/>
    <w:rsid w:val="00EA5256"/>
    <w:rsid w:val="00EA73B4"/>
    <w:rsid w:val="00EB1431"/>
    <w:rsid w:val="00EB2F7F"/>
    <w:rsid w:val="00ED13F6"/>
    <w:rsid w:val="00ED15C4"/>
    <w:rsid w:val="00EE1A8B"/>
    <w:rsid w:val="00EF15A6"/>
    <w:rsid w:val="00F01D8D"/>
    <w:rsid w:val="00F102B7"/>
    <w:rsid w:val="00F205AA"/>
    <w:rsid w:val="00F2241C"/>
    <w:rsid w:val="00F22A0F"/>
    <w:rsid w:val="00F253F0"/>
    <w:rsid w:val="00F332EC"/>
    <w:rsid w:val="00F34C93"/>
    <w:rsid w:val="00F429B2"/>
    <w:rsid w:val="00F43735"/>
    <w:rsid w:val="00F43FC4"/>
    <w:rsid w:val="00F46829"/>
    <w:rsid w:val="00F47BB1"/>
    <w:rsid w:val="00F51CF5"/>
    <w:rsid w:val="00F61E26"/>
    <w:rsid w:val="00F72A6E"/>
    <w:rsid w:val="00F760C2"/>
    <w:rsid w:val="00F82E6F"/>
    <w:rsid w:val="00F877D8"/>
    <w:rsid w:val="00F91489"/>
    <w:rsid w:val="00F963FE"/>
    <w:rsid w:val="00FB13AD"/>
    <w:rsid w:val="00FB7518"/>
    <w:rsid w:val="00FC12A3"/>
    <w:rsid w:val="00FC224E"/>
    <w:rsid w:val="00FC633E"/>
    <w:rsid w:val="00FD3D7E"/>
    <w:rsid w:val="00FD5A20"/>
    <w:rsid w:val="00FE299D"/>
    <w:rsid w:val="00FE2ABC"/>
    <w:rsid w:val="00FE2F78"/>
    <w:rsid w:val="00FE3549"/>
    <w:rsid w:val="00FE5BCD"/>
    <w:rsid w:val="00FF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9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odyText">
    <w:name w:val="Body Text"/>
    <w:basedOn w:val="Normal"/>
    <w:link w:val="BodyTextChar"/>
    <w:rsid w:val="00CE35CA"/>
    <w:pPr>
      <w:spacing w:after="180" w:line="264" w:lineRule="auto"/>
    </w:pPr>
    <w:rPr>
      <w:sz w:val="22"/>
      <w:szCs w:val="20"/>
    </w:rPr>
  </w:style>
  <w:style w:type="character" w:customStyle="1" w:styleId="BodyTextChar">
    <w:name w:val="Body Text Char"/>
    <w:basedOn w:val="DefaultParagraphFont"/>
    <w:link w:val="BodyText"/>
    <w:rsid w:val="00CE35CA"/>
    <w:rPr>
      <w:sz w:val="22"/>
    </w:rPr>
  </w:style>
  <w:style w:type="character" w:styleId="CommentReference">
    <w:name w:val="annotation reference"/>
    <w:basedOn w:val="DefaultParagraphFont"/>
    <w:rsid w:val="002C7633"/>
    <w:rPr>
      <w:sz w:val="16"/>
      <w:szCs w:val="16"/>
    </w:rPr>
  </w:style>
  <w:style w:type="paragraph" w:styleId="CommentText">
    <w:name w:val="annotation text"/>
    <w:basedOn w:val="Normal"/>
    <w:link w:val="CommentTextChar"/>
    <w:rsid w:val="002C7633"/>
    <w:rPr>
      <w:sz w:val="20"/>
      <w:szCs w:val="20"/>
    </w:rPr>
  </w:style>
  <w:style w:type="character" w:customStyle="1" w:styleId="CommentTextChar">
    <w:name w:val="Comment Text Char"/>
    <w:basedOn w:val="DefaultParagraphFont"/>
    <w:link w:val="CommentText"/>
    <w:rsid w:val="002C7633"/>
  </w:style>
  <w:style w:type="paragraph" w:styleId="CommentSubject">
    <w:name w:val="annotation subject"/>
    <w:basedOn w:val="CommentText"/>
    <w:next w:val="CommentText"/>
    <w:link w:val="CommentSubjectChar"/>
    <w:rsid w:val="002C7633"/>
    <w:rPr>
      <w:b/>
      <w:bCs/>
    </w:rPr>
  </w:style>
  <w:style w:type="character" w:customStyle="1" w:styleId="CommentSubjectChar">
    <w:name w:val="Comment Subject Char"/>
    <w:basedOn w:val="CommentTextChar"/>
    <w:link w:val="CommentSubject"/>
    <w:rsid w:val="002C7633"/>
    <w:rPr>
      <w:b/>
      <w:bCs/>
    </w:rPr>
  </w:style>
  <w:style w:type="paragraph" w:styleId="BalloonText">
    <w:name w:val="Balloon Text"/>
    <w:basedOn w:val="Normal"/>
    <w:link w:val="BalloonTextChar"/>
    <w:rsid w:val="002C7633"/>
    <w:rPr>
      <w:rFonts w:ascii="Segoe UI" w:hAnsi="Segoe UI" w:cs="Segoe UI"/>
      <w:sz w:val="18"/>
      <w:szCs w:val="18"/>
    </w:rPr>
  </w:style>
  <w:style w:type="character" w:customStyle="1" w:styleId="BalloonTextChar">
    <w:name w:val="Balloon Text Char"/>
    <w:basedOn w:val="DefaultParagraphFont"/>
    <w:link w:val="BalloonText"/>
    <w:rsid w:val="002C7633"/>
    <w:rPr>
      <w:rFonts w:ascii="Segoe UI" w:hAnsi="Segoe UI" w:cs="Segoe UI"/>
      <w:sz w:val="18"/>
      <w:szCs w:val="18"/>
    </w:rPr>
  </w:style>
  <w:style w:type="paragraph" w:customStyle="1" w:styleId="AbtHeadAOutlined">
    <w:name w:val="AbtHead A Outlined"/>
    <w:basedOn w:val="Normal"/>
    <w:next w:val="BodyText"/>
    <w:rsid w:val="00F46829"/>
    <w:pPr>
      <w:keepNext/>
      <w:keepLines/>
      <w:numPr>
        <w:numId w:val="6"/>
      </w:numPr>
      <w:shd w:val="clear" w:color="auto" w:fill="607DA8"/>
      <w:tabs>
        <w:tab w:val="left" w:pos="1080"/>
        <w:tab w:val="left" w:pos="1440"/>
        <w:tab w:val="left" w:pos="1800"/>
      </w:tabs>
      <w:spacing w:after="360" w:line="264" w:lineRule="auto"/>
      <w:outlineLvl w:val="0"/>
    </w:pPr>
    <w:rPr>
      <w:rFonts w:ascii="Arial" w:hAnsi="Arial"/>
      <w:b/>
      <w:color w:val="FFFFFF"/>
      <w:sz w:val="36"/>
      <w:szCs w:val="20"/>
    </w:rPr>
  </w:style>
  <w:style w:type="paragraph" w:customStyle="1" w:styleId="AbtHeadBOutlined">
    <w:name w:val="AbtHead B Outlined"/>
    <w:basedOn w:val="Normal"/>
    <w:next w:val="BodyText"/>
    <w:rsid w:val="00F46829"/>
    <w:pPr>
      <w:keepNext/>
      <w:keepLines/>
      <w:numPr>
        <w:ilvl w:val="1"/>
        <w:numId w:val="6"/>
      </w:numPr>
      <w:shd w:val="clear" w:color="auto" w:fill="C1CCDD"/>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link w:val="AbtHeadCOutlinedChar"/>
    <w:rsid w:val="00F46829"/>
    <w:pPr>
      <w:keepNext/>
      <w:keepLines/>
      <w:numPr>
        <w:ilvl w:val="2"/>
        <w:numId w:val="6"/>
      </w:numPr>
      <w:tabs>
        <w:tab w:val="left" w:pos="1440"/>
        <w:tab w:val="left" w:pos="1800"/>
      </w:tabs>
      <w:spacing w:after="240" w:line="264" w:lineRule="auto"/>
      <w:outlineLvl w:val="2"/>
    </w:pPr>
    <w:rPr>
      <w:rFonts w:ascii="Arial" w:hAnsi="Arial"/>
      <w:b/>
      <w:sz w:val="20"/>
      <w:szCs w:val="20"/>
    </w:rPr>
  </w:style>
  <w:style w:type="character" w:customStyle="1" w:styleId="AbtHeadCOutlinedChar">
    <w:name w:val="AbtHead C Outlined Char"/>
    <w:link w:val="AbtHeadCOutlined"/>
    <w:rsid w:val="00F46829"/>
    <w:rPr>
      <w:rFonts w:ascii="Arial" w:hAnsi="Arial"/>
      <w:b/>
    </w:rPr>
  </w:style>
  <w:style w:type="paragraph" w:styleId="ListParagraph">
    <w:name w:val="List Paragraph"/>
    <w:basedOn w:val="Normal"/>
    <w:uiPriority w:val="34"/>
    <w:qFormat/>
    <w:rsid w:val="00F46829"/>
    <w:pPr>
      <w:ind w:left="720"/>
    </w:pPr>
    <w:rPr>
      <w:rFonts w:ascii="Calibri" w:eastAsia="Calibri" w:hAnsi="Calibri" w:cs="Calibri"/>
      <w:sz w:val="22"/>
      <w:szCs w:val="22"/>
    </w:rPr>
  </w:style>
  <w:style w:type="paragraph" w:customStyle="1" w:styleId="Bullets">
    <w:name w:val="Bullets"/>
    <w:basedOn w:val="BodyText"/>
    <w:rsid w:val="00C93667"/>
    <w:pPr>
      <w:numPr>
        <w:numId w:val="16"/>
      </w:numPr>
      <w:spacing w:after="120"/>
    </w:pPr>
  </w:style>
  <w:style w:type="character" w:styleId="FootnoteReference">
    <w:name w:val="footnote reference"/>
    <w:uiPriority w:val="99"/>
    <w:rsid w:val="00C93667"/>
    <w:rPr>
      <w:vertAlign w:val="superscript"/>
    </w:rPr>
  </w:style>
  <w:style w:type="paragraph" w:styleId="FootnoteText">
    <w:name w:val="footnote text"/>
    <w:basedOn w:val="Normal"/>
    <w:link w:val="FootnoteTextChar"/>
    <w:uiPriority w:val="99"/>
    <w:rsid w:val="00C93667"/>
    <w:pPr>
      <w:spacing w:after="120" w:line="264" w:lineRule="auto"/>
      <w:ind w:left="360" w:hanging="360"/>
    </w:pPr>
    <w:rPr>
      <w:sz w:val="20"/>
      <w:szCs w:val="20"/>
    </w:rPr>
  </w:style>
  <w:style w:type="character" w:customStyle="1" w:styleId="FootnoteTextChar">
    <w:name w:val="Footnote Text Char"/>
    <w:basedOn w:val="DefaultParagraphFont"/>
    <w:link w:val="FootnoteText"/>
    <w:uiPriority w:val="99"/>
    <w:rsid w:val="00C93667"/>
  </w:style>
  <w:style w:type="table" w:styleId="TableGrid">
    <w:name w:val="Table Grid"/>
    <w:basedOn w:val="TableNormal"/>
    <w:rsid w:val="008A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odyText">
    <w:name w:val="Body Text"/>
    <w:basedOn w:val="Normal"/>
    <w:link w:val="BodyTextChar"/>
    <w:rsid w:val="00CE35CA"/>
    <w:pPr>
      <w:spacing w:after="180" w:line="264" w:lineRule="auto"/>
    </w:pPr>
    <w:rPr>
      <w:sz w:val="22"/>
      <w:szCs w:val="20"/>
    </w:rPr>
  </w:style>
  <w:style w:type="character" w:customStyle="1" w:styleId="BodyTextChar">
    <w:name w:val="Body Text Char"/>
    <w:basedOn w:val="DefaultParagraphFont"/>
    <w:link w:val="BodyText"/>
    <w:rsid w:val="00CE35CA"/>
    <w:rPr>
      <w:sz w:val="22"/>
    </w:rPr>
  </w:style>
  <w:style w:type="character" w:styleId="CommentReference">
    <w:name w:val="annotation reference"/>
    <w:basedOn w:val="DefaultParagraphFont"/>
    <w:rsid w:val="002C7633"/>
    <w:rPr>
      <w:sz w:val="16"/>
      <w:szCs w:val="16"/>
    </w:rPr>
  </w:style>
  <w:style w:type="paragraph" w:styleId="CommentText">
    <w:name w:val="annotation text"/>
    <w:basedOn w:val="Normal"/>
    <w:link w:val="CommentTextChar"/>
    <w:rsid w:val="002C7633"/>
    <w:rPr>
      <w:sz w:val="20"/>
      <w:szCs w:val="20"/>
    </w:rPr>
  </w:style>
  <w:style w:type="character" w:customStyle="1" w:styleId="CommentTextChar">
    <w:name w:val="Comment Text Char"/>
    <w:basedOn w:val="DefaultParagraphFont"/>
    <w:link w:val="CommentText"/>
    <w:rsid w:val="002C7633"/>
  </w:style>
  <w:style w:type="paragraph" w:styleId="CommentSubject">
    <w:name w:val="annotation subject"/>
    <w:basedOn w:val="CommentText"/>
    <w:next w:val="CommentText"/>
    <w:link w:val="CommentSubjectChar"/>
    <w:rsid w:val="002C7633"/>
    <w:rPr>
      <w:b/>
      <w:bCs/>
    </w:rPr>
  </w:style>
  <w:style w:type="character" w:customStyle="1" w:styleId="CommentSubjectChar">
    <w:name w:val="Comment Subject Char"/>
    <w:basedOn w:val="CommentTextChar"/>
    <w:link w:val="CommentSubject"/>
    <w:rsid w:val="002C7633"/>
    <w:rPr>
      <w:b/>
      <w:bCs/>
    </w:rPr>
  </w:style>
  <w:style w:type="paragraph" w:styleId="BalloonText">
    <w:name w:val="Balloon Text"/>
    <w:basedOn w:val="Normal"/>
    <w:link w:val="BalloonTextChar"/>
    <w:rsid w:val="002C7633"/>
    <w:rPr>
      <w:rFonts w:ascii="Segoe UI" w:hAnsi="Segoe UI" w:cs="Segoe UI"/>
      <w:sz w:val="18"/>
      <w:szCs w:val="18"/>
    </w:rPr>
  </w:style>
  <w:style w:type="character" w:customStyle="1" w:styleId="BalloonTextChar">
    <w:name w:val="Balloon Text Char"/>
    <w:basedOn w:val="DefaultParagraphFont"/>
    <w:link w:val="BalloonText"/>
    <w:rsid w:val="002C7633"/>
    <w:rPr>
      <w:rFonts w:ascii="Segoe UI" w:hAnsi="Segoe UI" w:cs="Segoe UI"/>
      <w:sz w:val="18"/>
      <w:szCs w:val="18"/>
    </w:rPr>
  </w:style>
  <w:style w:type="paragraph" w:customStyle="1" w:styleId="AbtHeadAOutlined">
    <w:name w:val="AbtHead A Outlined"/>
    <w:basedOn w:val="Normal"/>
    <w:next w:val="BodyText"/>
    <w:rsid w:val="00F46829"/>
    <w:pPr>
      <w:keepNext/>
      <w:keepLines/>
      <w:numPr>
        <w:numId w:val="6"/>
      </w:numPr>
      <w:shd w:val="clear" w:color="auto" w:fill="607DA8"/>
      <w:tabs>
        <w:tab w:val="left" w:pos="1080"/>
        <w:tab w:val="left" w:pos="1440"/>
        <w:tab w:val="left" w:pos="1800"/>
      </w:tabs>
      <w:spacing w:after="360" w:line="264" w:lineRule="auto"/>
      <w:outlineLvl w:val="0"/>
    </w:pPr>
    <w:rPr>
      <w:rFonts w:ascii="Arial" w:hAnsi="Arial"/>
      <w:b/>
      <w:color w:val="FFFFFF"/>
      <w:sz w:val="36"/>
      <w:szCs w:val="20"/>
    </w:rPr>
  </w:style>
  <w:style w:type="paragraph" w:customStyle="1" w:styleId="AbtHeadBOutlined">
    <w:name w:val="AbtHead B Outlined"/>
    <w:basedOn w:val="Normal"/>
    <w:next w:val="BodyText"/>
    <w:rsid w:val="00F46829"/>
    <w:pPr>
      <w:keepNext/>
      <w:keepLines/>
      <w:numPr>
        <w:ilvl w:val="1"/>
        <w:numId w:val="6"/>
      </w:numPr>
      <w:shd w:val="clear" w:color="auto" w:fill="C1CCDD"/>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link w:val="AbtHeadCOutlinedChar"/>
    <w:rsid w:val="00F46829"/>
    <w:pPr>
      <w:keepNext/>
      <w:keepLines/>
      <w:numPr>
        <w:ilvl w:val="2"/>
        <w:numId w:val="6"/>
      </w:numPr>
      <w:tabs>
        <w:tab w:val="left" w:pos="1440"/>
        <w:tab w:val="left" w:pos="1800"/>
      </w:tabs>
      <w:spacing w:after="240" w:line="264" w:lineRule="auto"/>
      <w:outlineLvl w:val="2"/>
    </w:pPr>
    <w:rPr>
      <w:rFonts w:ascii="Arial" w:hAnsi="Arial"/>
      <w:b/>
      <w:sz w:val="20"/>
      <w:szCs w:val="20"/>
    </w:rPr>
  </w:style>
  <w:style w:type="character" w:customStyle="1" w:styleId="AbtHeadCOutlinedChar">
    <w:name w:val="AbtHead C Outlined Char"/>
    <w:link w:val="AbtHeadCOutlined"/>
    <w:rsid w:val="00F46829"/>
    <w:rPr>
      <w:rFonts w:ascii="Arial" w:hAnsi="Arial"/>
      <w:b/>
    </w:rPr>
  </w:style>
  <w:style w:type="paragraph" w:styleId="ListParagraph">
    <w:name w:val="List Paragraph"/>
    <w:basedOn w:val="Normal"/>
    <w:uiPriority w:val="34"/>
    <w:qFormat/>
    <w:rsid w:val="00F46829"/>
    <w:pPr>
      <w:ind w:left="720"/>
    </w:pPr>
    <w:rPr>
      <w:rFonts w:ascii="Calibri" w:eastAsia="Calibri" w:hAnsi="Calibri" w:cs="Calibri"/>
      <w:sz w:val="22"/>
      <w:szCs w:val="22"/>
    </w:rPr>
  </w:style>
  <w:style w:type="paragraph" w:customStyle="1" w:styleId="Bullets">
    <w:name w:val="Bullets"/>
    <w:basedOn w:val="BodyText"/>
    <w:rsid w:val="00C93667"/>
    <w:pPr>
      <w:numPr>
        <w:numId w:val="16"/>
      </w:numPr>
      <w:spacing w:after="120"/>
    </w:pPr>
  </w:style>
  <w:style w:type="character" w:styleId="FootnoteReference">
    <w:name w:val="footnote reference"/>
    <w:uiPriority w:val="99"/>
    <w:rsid w:val="00C93667"/>
    <w:rPr>
      <w:vertAlign w:val="superscript"/>
    </w:rPr>
  </w:style>
  <w:style w:type="paragraph" w:styleId="FootnoteText">
    <w:name w:val="footnote text"/>
    <w:basedOn w:val="Normal"/>
    <w:link w:val="FootnoteTextChar"/>
    <w:uiPriority w:val="99"/>
    <w:rsid w:val="00C93667"/>
    <w:pPr>
      <w:spacing w:after="120" w:line="264" w:lineRule="auto"/>
      <w:ind w:left="360" w:hanging="360"/>
    </w:pPr>
    <w:rPr>
      <w:sz w:val="20"/>
      <w:szCs w:val="20"/>
    </w:rPr>
  </w:style>
  <w:style w:type="character" w:customStyle="1" w:styleId="FootnoteTextChar">
    <w:name w:val="Footnote Text Char"/>
    <w:basedOn w:val="DefaultParagraphFont"/>
    <w:link w:val="FootnoteText"/>
    <w:uiPriority w:val="99"/>
    <w:rsid w:val="00C93667"/>
  </w:style>
  <w:style w:type="table" w:styleId="TableGrid">
    <w:name w:val="Table Grid"/>
    <w:basedOn w:val="TableNormal"/>
    <w:rsid w:val="008A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rah_shoemaker@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CFD4D-94BC-41AF-96A4-4BCF7209F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2340</Words>
  <Characters>13339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wcarroll</dc:creator>
  <cp:keywords/>
  <cp:lastModifiedBy>SYSTEM</cp:lastModifiedBy>
  <cp:revision>2</cp:revision>
  <cp:lastPrinted>2019-02-01T13:22:00Z</cp:lastPrinted>
  <dcterms:created xsi:type="dcterms:W3CDTF">2019-07-30T19:45:00Z</dcterms:created>
  <dcterms:modified xsi:type="dcterms:W3CDTF">2019-07-30T19:45:00Z</dcterms:modified>
</cp:coreProperties>
</file>