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BD63F" w14:textId="77777777" w:rsidR="009B633D" w:rsidRDefault="009B633D" w:rsidP="009B633D">
      <w:pPr>
        <w:jc w:val="center"/>
        <w:rPr>
          <w:sz w:val="28"/>
          <w:szCs w:val="28"/>
        </w:rPr>
      </w:pPr>
      <w:bookmarkStart w:id="0" w:name="_GoBack"/>
      <w:bookmarkEnd w:id="0"/>
    </w:p>
    <w:p w14:paraId="504718FC" w14:textId="77777777" w:rsidR="009B633D" w:rsidRDefault="009B633D" w:rsidP="009B633D">
      <w:pPr>
        <w:jc w:val="center"/>
        <w:rPr>
          <w:sz w:val="28"/>
          <w:szCs w:val="28"/>
        </w:rPr>
      </w:pPr>
    </w:p>
    <w:p w14:paraId="52965D2D" w14:textId="77777777" w:rsidR="009B633D" w:rsidRDefault="009B633D" w:rsidP="009B633D">
      <w:pPr>
        <w:jc w:val="center"/>
        <w:rPr>
          <w:sz w:val="28"/>
          <w:szCs w:val="28"/>
        </w:rPr>
      </w:pPr>
    </w:p>
    <w:p w14:paraId="6D817B2F" w14:textId="77777777" w:rsidR="009B633D" w:rsidRDefault="00456179" w:rsidP="009B633D">
      <w:pPr>
        <w:jc w:val="center"/>
        <w:rPr>
          <w:b/>
          <w:sz w:val="28"/>
          <w:szCs w:val="28"/>
        </w:rPr>
      </w:pPr>
      <w:r w:rsidRPr="00456179">
        <w:rPr>
          <w:b/>
          <w:sz w:val="28"/>
          <w:szCs w:val="28"/>
        </w:rPr>
        <w:t>SUPPORTING STATEMENT</w:t>
      </w:r>
    </w:p>
    <w:p w14:paraId="1B5FB33C" w14:textId="77777777" w:rsidR="00635119" w:rsidRDefault="00635119" w:rsidP="009B633D">
      <w:pPr>
        <w:jc w:val="center"/>
        <w:rPr>
          <w:b/>
          <w:sz w:val="28"/>
          <w:szCs w:val="28"/>
        </w:rPr>
      </w:pPr>
    </w:p>
    <w:p w14:paraId="416BD3B2" w14:textId="77777777" w:rsidR="009B633D" w:rsidRDefault="00456179" w:rsidP="009B633D">
      <w:pPr>
        <w:jc w:val="center"/>
        <w:rPr>
          <w:sz w:val="28"/>
          <w:szCs w:val="28"/>
        </w:rPr>
      </w:pPr>
      <w:r>
        <w:rPr>
          <w:b/>
          <w:sz w:val="28"/>
          <w:szCs w:val="28"/>
        </w:rPr>
        <w:t>Part A</w:t>
      </w:r>
    </w:p>
    <w:p w14:paraId="60A537C4" w14:textId="77777777" w:rsidR="009B633D" w:rsidRDefault="009B633D" w:rsidP="009B633D">
      <w:pPr>
        <w:jc w:val="center"/>
        <w:rPr>
          <w:sz w:val="28"/>
          <w:szCs w:val="28"/>
        </w:rPr>
      </w:pPr>
    </w:p>
    <w:p w14:paraId="3D594DD1" w14:textId="77777777" w:rsidR="009B633D" w:rsidRDefault="009B633D" w:rsidP="009B633D">
      <w:pPr>
        <w:jc w:val="center"/>
        <w:rPr>
          <w:sz w:val="28"/>
          <w:szCs w:val="28"/>
        </w:rPr>
      </w:pPr>
    </w:p>
    <w:p w14:paraId="260B2F2F" w14:textId="77777777" w:rsidR="009B633D" w:rsidRDefault="009B633D" w:rsidP="009B633D">
      <w:pPr>
        <w:jc w:val="center"/>
        <w:rPr>
          <w:sz w:val="28"/>
          <w:szCs w:val="28"/>
        </w:rPr>
      </w:pPr>
    </w:p>
    <w:p w14:paraId="161DD2E7" w14:textId="77777777" w:rsidR="009B633D" w:rsidRDefault="009B633D" w:rsidP="009B633D">
      <w:pPr>
        <w:jc w:val="center"/>
        <w:rPr>
          <w:sz w:val="28"/>
          <w:szCs w:val="28"/>
        </w:rPr>
      </w:pPr>
    </w:p>
    <w:p w14:paraId="11309D92" w14:textId="77777777" w:rsidR="009B633D" w:rsidRDefault="009B633D" w:rsidP="009B633D">
      <w:pPr>
        <w:jc w:val="center"/>
        <w:rPr>
          <w:sz w:val="28"/>
          <w:szCs w:val="28"/>
        </w:rPr>
      </w:pPr>
    </w:p>
    <w:p w14:paraId="11199F9E" w14:textId="77777777" w:rsidR="009B633D" w:rsidRDefault="009B633D" w:rsidP="009B633D">
      <w:pPr>
        <w:jc w:val="center"/>
        <w:rPr>
          <w:sz w:val="28"/>
          <w:szCs w:val="28"/>
        </w:rPr>
      </w:pPr>
    </w:p>
    <w:p w14:paraId="1F0D1F02" w14:textId="77777777" w:rsidR="009B633D" w:rsidRPr="00082047" w:rsidRDefault="00E85286" w:rsidP="009B633D">
      <w:pPr>
        <w:jc w:val="center"/>
        <w:rPr>
          <w:i/>
          <w:sz w:val="28"/>
          <w:szCs w:val="28"/>
        </w:rPr>
      </w:pPr>
      <w:r w:rsidRPr="00E85286">
        <w:rPr>
          <w:i/>
          <w:sz w:val="28"/>
          <w:szCs w:val="28"/>
        </w:rPr>
        <w:t>Evaluating and Implementing the Six Building Blocks Team Approach to Improve Opi</w:t>
      </w:r>
      <w:r w:rsidR="009B18CA">
        <w:rPr>
          <w:i/>
          <w:sz w:val="28"/>
          <w:szCs w:val="28"/>
        </w:rPr>
        <w:t>oid Management in Primary Care</w:t>
      </w:r>
    </w:p>
    <w:p w14:paraId="556B4274" w14:textId="77777777" w:rsidR="009B633D" w:rsidRDefault="009B633D" w:rsidP="009B633D">
      <w:pPr>
        <w:jc w:val="center"/>
        <w:rPr>
          <w:sz w:val="28"/>
          <w:szCs w:val="28"/>
        </w:rPr>
      </w:pPr>
    </w:p>
    <w:p w14:paraId="0EE134DC" w14:textId="77777777" w:rsidR="009B633D" w:rsidRDefault="009B633D" w:rsidP="009B633D">
      <w:pPr>
        <w:jc w:val="center"/>
        <w:rPr>
          <w:sz w:val="28"/>
          <w:szCs w:val="28"/>
        </w:rPr>
      </w:pPr>
    </w:p>
    <w:p w14:paraId="70B591CB" w14:textId="77777777" w:rsidR="009B633D" w:rsidRDefault="009B633D" w:rsidP="009B633D">
      <w:pPr>
        <w:jc w:val="center"/>
        <w:rPr>
          <w:sz w:val="28"/>
          <w:szCs w:val="28"/>
        </w:rPr>
      </w:pPr>
    </w:p>
    <w:p w14:paraId="00A70998" w14:textId="7A42822A"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BC053E">
        <w:rPr>
          <w:i/>
          <w:sz w:val="28"/>
          <w:szCs w:val="28"/>
        </w:rPr>
        <w:t>December</w:t>
      </w:r>
      <w:r w:rsidR="00C4152E">
        <w:rPr>
          <w:i/>
          <w:sz w:val="28"/>
          <w:szCs w:val="28"/>
        </w:rPr>
        <w:t xml:space="preserve"> </w:t>
      </w:r>
      <w:r w:rsidR="00BC053E">
        <w:rPr>
          <w:i/>
          <w:sz w:val="28"/>
          <w:szCs w:val="28"/>
        </w:rPr>
        <w:t>1</w:t>
      </w:r>
      <w:r w:rsidR="006135D2">
        <w:rPr>
          <w:i/>
          <w:sz w:val="28"/>
          <w:szCs w:val="28"/>
        </w:rPr>
        <w:t>2</w:t>
      </w:r>
      <w:r w:rsidR="00891699">
        <w:rPr>
          <w:i/>
          <w:sz w:val="28"/>
          <w:szCs w:val="28"/>
        </w:rPr>
        <w:t>, 2019</w:t>
      </w:r>
    </w:p>
    <w:p w14:paraId="2327AE9D" w14:textId="77777777" w:rsidR="009B633D" w:rsidRDefault="009B633D" w:rsidP="009B633D">
      <w:pPr>
        <w:jc w:val="center"/>
        <w:rPr>
          <w:i/>
          <w:sz w:val="28"/>
          <w:szCs w:val="28"/>
        </w:rPr>
      </w:pPr>
    </w:p>
    <w:p w14:paraId="44627ED3" w14:textId="77777777" w:rsidR="009B633D" w:rsidRDefault="009B633D" w:rsidP="009B633D">
      <w:pPr>
        <w:jc w:val="center"/>
        <w:rPr>
          <w:sz w:val="28"/>
          <w:szCs w:val="28"/>
        </w:rPr>
      </w:pPr>
    </w:p>
    <w:p w14:paraId="11A83611" w14:textId="77777777" w:rsidR="009B633D" w:rsidRDefault="009B633D" w:rsidP="009B633D">
      <w:pPr>
        <w:jc w:val="center"/>
        <w:rPr>
          <w:sz w:val="28"/>
          <w:szCs w:val="28"/>
        </w:rPr>
      </w:pPr>
    </w:p>
    <w:p w14:paraId="7D2ED807" w14:textId="77777777" w:rsidR="009B633D" w:rsidRDefault="009B633D" w:rsidP="009B633D">
      <w:pPr>
        <w:jc w:val="center"/>
        <w:rPr>
          <w:sz w:val="28"/>
          <w:szCs w:val="28"/>
        </w:rPr>
      </w:pPr>
    </w:p>
    <w:p w14:paraId="09228B0B" w14:textId="77777777" w:rsidR="009B633D" w:rsidRDefault="009B633D" w:rsidP="009B633D">
      <w:pPr>
        <w:jc w:val="center"/>
        <w:rPr>
          <w:sz w:val="28"/>
          <w:szCs w:val="28"/>
        </w:rPr>
      </w:pPr>
    </w:p>
    <w:p w14:paraId="0D3CDA46" w14:textId="77777777" w:rsidR="009B633D" w:rsidRDefault="009B633D" w:rsidP="009B633D">
      <w:pPr>
        <w:jc w:val="center"/>
        <w:rPr>
          <w:sz w:val="28"/>
          <w:szCs w:val="28"/>
        </w:rPr>
      </w:pPr>
    </w:p>
    <w:p w14:paraId="728E6886" w14:textId="3BA904B1" w:rsidR="009B633D" w:rsidRDefault="009B633D" w:rsidP="009B633D">
      <w:pPr>
        <w:jc w:val="center"/>
        <w:rPr>
          <w:sz w:val="28"/>
          <w:szCs w:val="28"/>
        </w:rPr>
      </w:pPr>
      <w:r w:rsidRPr="00677A0B">
        <w:rPr>
          <w:sz w:val="28"/>
          <w:szCs w:val="28"/>
        </w:rPr>
        <w:t xml:space="preserve">Agency </w:t>
      </w:r>
      <w:r w:rsidR="002A505B">
        <w:rPr>
          <w:sz w:val="28"/>
          <w:szCs w:val="28"/>
        </w:rPr>
        <w:t>for</w:t>
      </w:r>
      <w:r w:rsidR="002A505B" w:rsidRPr="00677A0B">
        <w:rPr>
          <w:sz w:val="28"/>
          <w:szCs w:val="28"/>
        </w:rPr>
        <w:t xml:space="preserve"> </w:t>
      </w:r>
      <w:r w:rsidRPr="00677A0B">
        <w:rPr>
          <w:sz w:val="28"/>
          <w:szCs w:val="28"/>
        </w:rPr>
        <w:t>Healthcare Research and Quality (AHRQ)</w:t>
      </w:r>
    </w:p>
    <w:p w14:paraId="5C4CC641" w14:textId="77777777" w:rsidR="009B633D" w:rsidRDefault="009B633D">
      <w:pPr>
        <w:rPr>
          <w:sz w:val="28"/>
          <w:szCs w:val="28"/>
        </w:rPr>
      </w:pPr>
    </w:p>
    <w:p w14:paraId="085E82E9" w14:textId="77777777" w:rsidR="009B633D" w:rsidRDefault="009B633D">
      <w:pPr>
        <w:rPr>
          <w:sz w:val="28"/>
          <w:szCs w:val="28"/>
        </w:rPr>
      </w:pPr>
    </w:p>
    <w:p w14:paraId="2CD0C936" w14:textId="77777777" w:rsidR="009B633D" w:rsidRDefault="009B633D" w:rsidP="008C580E">
      <w:pPr>
        <w:rPr>
          <w:b/>
        </w:rPr>
      </w:pPr>
      <w:r>
        <w:br w:type="page"/>
      </w:r>
      <w:r w:rsidRPr="001D0454">
        <w:rPr>
          <w:b/>
        </w:rPr>
        <w:lastRenderedPageBreak/>
        <w:t>Table of contents</w:t>
      </w:r>
    </w:p>
    <w:p w14:paraId="60C3E8AB" w14:textId="77777777" w:rsidR="00EB58F3" w:rsidRDefault="00EB58F3" w:rsidP="009B633D">
      <w:pPr>
        <w:jc w:val="center"/>
        <w:rPr>
          <w:b/>
        </w:rPr>
      </w:pPr>
    </w:p>
    <w:p w14:paraId="56C1CFF8" w14:textId="77777777" w:rsidR="00EB58F3" w:rsidRDefault="008C580E" w:rsidP="007B3A8E">
      <w:pPr>
        <w:tabs>
          <w:tab w:val="left" w:leader="dot" w:pos="8280"/>
        </w:tabs>
      </w:pPr>
      <w:r w:rsidRPr="008C580E">
        <w:t>A. Justification</w:t>
      </w:r>
      <w:r w:rsidR="007B3A8E">
        <w:tab/>
        <w:t>3</w:t>
      </w:r>
    </w:p>
    <w:p w14:paraId="645453DA"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1221CE94" w14:textId="528C515F" w:rsidR="007B3A8E" w:rsidRDefault="007B3A8E" w:rsidP="007B3A8E">
      <w:pPr>
        <w:tabs>
          <w:tab w:val="left" w:pos="360"/>
          <w:tab w:val="left" w:leader="dot" w:pos="8280"/>
        </w:tabs>
      </w:pPr>
      <w:r>
        <w:tab/>
        <w:t xml:space="preserve">2. </w:t>
      </w:r>
      <w:r w:rsidR="006014DB">
        <w:t>Purpose and use of i</w:t>
      </w:r>
      <w:r w:rsidRPr="007B3A8E">
        <w:t>nformation</w:t>
      </w:r>
      <w:r>
        <w:tab/>
      </w:r>
      <w:r w:rsidR="00BC053E">
        <w:t>10</w:t>
      </w:r>
    </w:p>
    <w:p w14:paraId="35FECB53" w14:textId="6C1A8B24" w:rsidR="007B3A8E" w:rsidRDefault="007B3A8E" w:rsidP="007B3A8E">
      <w:pPr>
        <w:tabs>
          <w:tab w:val="left" w:pos="360"/>
          <w:tab w:val="left" w:leader="dot" w:pos="8280"/>
        </w:tabs>
      </w:pPr>
      <w:r>
        <w:tab/>
        <w:t xml:space="preserve">3. </w:t>
      </w:r>
      <w:r w:rsidRPr="007B3A8E">
        <w:t>Use of Improved Information Technology</w:t>
      </w:r>
      <w:r>
        <w:tab/>
      </w:r>
      <w:r w:rsidR="00BC053E">
        <w:t>11</w:t>
      </w:r>
    </w:p>
    <w:p w14:paraId="0ACAF48A" w14:textId="5158D7EB" w:rsidR="007B3A8E" w:rsidRDefault="007B3A8E" w:rsidP="007B3A8E">
      <w:pPr>
        <w:tabs>
          <w:tab w:val="left" w:pos="360"/>
          <w:tab w:val="left" w:leader="dot" w:pos="8280"/>
        </w:tabs>
      </w:pPr>
      <w:r>
        <w:tab/>
        <w:t xml:space="preserve">4. </w:t>
      </w:r>
      <w:r w:rsidRPr="007B3A8E">
        <w:t>Efforts to Identify Duplication</w:t>
      </w:r>
      <w:r>
        <w:tab/>
      </w:r>
      <w:r w:rsidR="00BC053E">
        <w:t>11</w:t>
      </w:r>
    </w:p>
    <w:p w14:paraId="27140D41" w14:textId="58602551" w:rsidR="007B3A8E" w:rsidRDefault="007B3A8E" w:rsidP="007B3A8E">
      <w:pPr>
        <w:tabs>
          <w:tab w:val="left" w:pos="360"/>
          <w:tab w:val="left" w:leader="dot" w:pos="8280"/>
        </w:tabs>
      </w:pPr>
      <w:r>
        <w:tab/>
        <w:t xml:space="preserve">5. </w:t>
      </w:r>
      <w:r w:rsidR="00556066" w:rsidRPr="00556066">
        <w:t>Involvement of Small Entities</w:t>
      </w:r>
      <w:r w:rsidR="00556066">
        <w:tab/>
      </w:r>
      <w:r w:rsidR="00BC053E">
        <w:t>11</w:t>
      </w:r>
    </w:p>
    <w:p w14:paraId="474D3627" w14:textId="7B84712F" w:rsidR="00556066" w:rsidRDefault="00556066" w:rsidP="007B3A8E">
      <w:pPr>
        <w:tabs>
          <w:tab w:val="left" w:pos="360"/>
          <w:tab w:val="left" w:leader="dot" w:pos="8280"/>
        </w:tabs>
      </w:pPr>
      <w:r>
        <w:tab/>
        <w:t xml:space="preserve">6. </w:t>
      </w:r>
      <w:r w:rsidRPr="00556066">
        <w:t>Consequences if Information Collected Less Frequently</w:t>
      </w:r>
      <w:r>
        <w:tab/>
      </w:r>
      <w:r w:rsidR="00BC053E">
        <w:t>11</w:t>
      </w:r>
    </w:p>
    <w:p w14:paraId="78235134" w14:textId="22F71355" w:rsidR="00556066" w:rsidRDefault="00556066" w:rsidP="007B3A8E">
      <w:pPr>
        <w:tabs>
          <w:tab w:val="left" w:pos="360"/>
          <w:tab w:val="left" w:leader="dot" w:pos="8280"/>
        </w:tabs>
      </w:pPr>
      <w:r>
        <w:tab/>
        <w:t xml:space="preserve">7. </w:t>
      </w:r>
      <w:r w:rsidRPr="00556066">
        <w:t>Special Circumstances</w:t>
      </w:r>
      <w:r>
        <w:tab/>
      </w:r>
      <w:r w:rsidR="00BC053E">
        <w:t>12</w:t>
      </w:r>
    </w:p>
    <w:p w14:paraId="7DEF2C53" w14:textId="7BAD7612" w:rsidR="00556066" w:rsidRDefault="00556066" w:rsidP="007B3A8E">
      <w:pPr>
        <w:tabs>
          <w:tab w:val="left" w:pos="360"/>
          <w:tab w:val="left" w:leader="dot" w:pos="8280"/>
        </w:tabs>
      </w:pPr>
      <w:r>
        <w:tab/>
        <w:t xml:space="preserve">8. </w:t>
      </w:r>
      <w:r w:rsidRPr="00556066">
        <w:t>Consultation outside the Agency</w:t>
      </w:r>
      <w:r>
        <w:tab/>
      </w:r>
      <w:r w:rsidR="00BC053E">
        <w:t>12</w:t>
      </w:r>
    </w:p>
    <w:p w14:paraId="5B8476D8" w14:textId="48979AB5" w:rsidR="00556066" w:rsidRDefault="00556066" w:rsidP="007B3A8E">
      <w:pPr>
        <w:tabs>
          <w:tab w:val="left" w:pos="360"/>
          <w:tab w:val="left" w:leader="dot" w:pos="8280"/>
        </w:tabs>
      </w:pPr>
      <w:r>
        <w:tab/>
        <w:t xml:space="preserve">9. </w:t>
      </w:r>
      <w:r w:rsidRPr="00556066">
        <w:t>Payments/Gifts to Respondents</w:t>
      </w:r>
      <w:r>
        <w:tab/>
      </w:r>
      <w:r w:rsidR="00BC053E">
        <w:t>12</w:t>
      </w:r>
    </w:p>
    <w:p w14:paraId="03D01EB4" w14:textId="7B16E97E" w:rsidR="00556066" w:rsidRDefault="00556066" w:rsidP="007B3A8E">
      <w:pPr>
        <w:tabs>
          <w:tab w:val="left" w:pos="360"/>
          <w:tab w:val="left" w:leader="dot" w:pos="8280"/>
        </w:tabs>
      </w:pPr>
      <w:r>
        <w:tab/>
        <w:t xml:space="preserve">10. </w:t>
      </w:r>
      <w:r w:rsidRPr="00556066">
        <w:t>Assurance of Confidentiality</w:t>
      </w:r>
      <w:r>
        <w:tab/>
      </w:r>
      <w:r w:rsidR="00BC053E">
        <w:t>15</w:t>
      </w:r>
    </w:p>
    <w:p w14:paraId="623697E3" w14:textId="39087B83" w:rsidR="00556066" w:rsidRDefault="00556066" w:rsidP="007B3A8E">
      <w:pPr>
        <w:tabs>
          <w:tab w:val="left" w:pos="360"/>
          <w:tab w:val="left" w:leader="dot" w:pos="8280"/>
        </w:tabs>
      </w:pPr>
      <w:r>
        <w:tab/>
        <w:t xml:space="preserve">11. </w:t>
      </w:r>
      <w:r w:rsidRPr="00556066">
        <w:t>Questions of a Sensitive Nature</w:t>
      </w:r>
      <w:r>
        <w:tab/>
      </w:r>
      <w:r w:rsidR="00BC053E">
        <w:t>15</w:t>
      </w:r>
    </w:p>
    <w:p w14:paraId="636DB7A7" w14:textId="15772A6F" w:rsidR="00556066" w:rsidRDefault="00556066" w:rsidP="007B3A8E">
      <w:pPr>
        <w:tabs>
          <w:tab w:val="left" w:pos="360"/>
          <w:tab w:val="left" w:leader="dot" w:pos="8280"/>
        </w:tabs>
      </w:pPr>
      <w:r>
        <w:tab/>
        <w:t xml:space="preserve">12. </w:t>
      </w:r>
      <w:r w:rsidRPr="00556066">
        <w:t>Estimates of Annualized Burden Hours and Costs</w:t>
      </w:r>
      <w:r>
        <w:tab/>
      </w:r>
      <w:r w:rsidR="00BC053E">
        <w:t>15</w:t>
      </w:r>
    </w:p>
    <w:p w14:paraId="032B79DB" w14:textId="17A38FA3"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BC053E">
        <w:t>19</w:t>
      </w:r>
    </w:p>
    <w:p w14:paraId="35EE8786" w14:textId="78CA133D" w:rsidR="00556066" w:rsidRDefault="00556066" w:rsidP="007B3A8E">
      <w:pPr>
        <w:tabs>
          <w:tab w:val="left" w:pos="360"/>
          <w:tab w:val="left" w:leader="dot" w:pos="8280"/>
        </w:tabs>
      </w:pPr>
      <w:r>
        <w:tab/>
        <w:t xml:space="preserve">14. </w:t>
      </w:r>
      <w:r w:rsidRPr="00556066">
        <w:t>Estimates of Annualized Cost to the Government</w:t>
      </w:r>
      <w:r>
        <w:tab/>
      </w:r>
      <w:r w:rsidR="00BC053E">
        <w:t>19</w:t>
      </w:r>
    </w:p>
    <w:p w14:paraId="1AD1E5AB" w14:textId="7B50FFBF" w:rsidR="00556066" w:rsidRDefault="00556066" w:rsidP="007B3A8E">
      <w:pPr>
        <w:tabs>
          <w:tab w:val="left" w:pos="360"/>
          <w:tab w:val="left" w:leader="dot" w:pos="8280"/>
        </w:tabs>
      </w:pPr>
      <w:r>
        <w:tab/>
        <w:t xml:space="preserve">15. </w:t>
      </w:r>
      <w:r w:rsidRPr="00556066">
        <w:t>Changes in Hour Burden</w:t>
      </w:r>
      <w:r>
        <w:tab/>
      </w:r>
      <w:r w:rsidR="00BC053E">
        <w:t>19</w:t>
      </w:r>
    </w:p>
    <w:p w14:paraId="01648E44" w14:textId="217C24E3" w:rsidR="006014DB" w:rsidRDefault="006014DB" w:rsidP="007B3A8E">
      <w:pPr>
        <w:tabs>
          <w:tab w:val="left" w:pos="360"/>
          <w:tab w:val="left" w:leader="dot" w:pos="8280"/>
        </w:tabs>
      </w:pPr>
      <w:r>
        <w:tab/>
        <w:t xml:space="preserve">16. </w:t>
      </w:r>
      <w:r w:rsidRPr="006014DB">
        <w:t>Time Schedule, Publication and Analysis Plans</w:t>
      </w:r>
      <w:r>
        <w:tab/>
      </w:r>
      <w:r w:rsidR="00CA1417">
        <w:t>20</w:t>
      </w:r>
    </w:p>
    <w:p w14:paraId="09B28293" w14:textId="049B04EB" w:rsidR="006014DB" w:rsidRDefault="006014DB" w:rsidP="007B3A8E">
      <w:pPr>
        <w:tabs>
          <w:tab w:val="left" w:pos="360"/>
          <w:tab w:val="left" w:leader="dot" w:pos="8280"/>
        </w:tabs>
      </w:pPr>
      <w:r>
        <w:tab/>
        <w:t xml:space="preserve">17. </w:t>
      </w:r>
      <w:r w:rsidRPr="006014DB">
        <w:t>Exemption for Display of Expiration Date</w:t>
      </w:r>
      <w:r>
        <w:tab/>
      </w:r>
      <w:r w:rsidR="00BC053E">
        <w:t>22</w:t>
      </w:r>
    </w:p>
    <w:p w14:paraId="2047F9E7" w14:textId="4A186CEF" w:rsidR="00556066" w:rsidRPr="00556066" w:rsidRDefault="006014DB" w:rsidP="007B3A8E">
      <w:pPr>
        <w:tabs>
          <w:tab w:val="left" w:pos="360"/>
          <w:tab w:val="left" w:leader="dot" w:pos="8280"/>
        </w:tabs>
      </w:pPr>
      <w:r>
        <w:tab/>
      </w:r>
      <w:r w:rsidR="00904CC3">
        <w:t>List of Attachments</w:t>
      </w:r>
      <w:r w:rsidR="00904CC3">
        <w:tab/>
      </w:r>
      <w:r w:rsidR="00BC053E">
        <w:t>22</w:t>
      </w:r>
    </w:p>
    <w:p w14:paraId="044AD040" w14:textId="77777777" w:rsidR="00556066" w:rsidRPr="00556066" w:rsidRDefault="00556066" w:rsidP="007B3A8E">
      <w:pPr>
        <w:tabs>
          <w:tab w:val="left" w:pos="360"/>
          <w:tab w:val="left" w:leader="dot" w:pos="8280"/>
        </w:tabs>
      </w:pPr>
      <w:r>
        <w:tab/>
      </w:r>
    </w:p>
    <w:p w14:paraId="4523E15B" w14:textId="77777777" w:rsidR="009B633D" w:rsidRDefault="009B633D" w:rsidP="009B633D">
      <w:pPr>
        <w:jc w:val="center"/>
        <w:rPr>
          <w:b/>
        </w:rPr>
      </w:pPr>
    </w:p>
    <w:p w14:paraId="0C8947CD"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09943647" w14:textId="77777777" w:rsidR="009B633D" w:rsidRPr="001D0454" w:rsidRDefault="009B633D" w:rsidP="009B633D">
      <w:pPr>
        <w:jc w:val="center"/>
        <w:rPr>
          <w:b/>
        </w:rPr>
      </w:pPr>
      <w:r>
        <w:rPr>
          <w:b/>
        </w:rPr>
        <w:fldChar w:fldCharType="end"/>
      </w:r>
    </w:p>
    <w:p w14:paraId="15F2FB1E" w14:textId="77777777" w:rsidR="009B633D" w:rsidRPr="006014DB"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25985FA7" w14:textId="77777777" w:rsidR="009B633D" w:rsidRPr="006014DB" w:rsidRDefault="009B633D" w:rsidP="009B633D"/>
    <w:p w14:paraId="619A5485" w14:textId="77777777" w:rsidR="009B633D" w:rsidRDefault="009B633D" w:rsidP="006014DB">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78A95DC3" w14:textId="77777777" w:rsidR="006014DB" w:rsidRDefault="006014DB" w:rsidP="006014DB"/>
    <w:p w14:paraId="147EEDD1" w14:textId="59F3F1BD" w:rsidR="000A140E" w:rsidRDefault="000A140E" w:rsidP="000A140E">
      <w:r>
        <w:t xml:space="preserve">The mission of the Agency for Healthcare Research and Quality (AHRQ) set out in its authorizing legislation, The Healthcare Research and Quality Act of 1999 (see </w:t>
      </w:r>
      <w:hyperlink r:id="rId9" w:history="1">
        <w:r w:rsidR="00BC053E">
          <w:rPr>
            <w:rStyle w:val="Hyperlink"/>
          </w:rPr>
          <w:t>https://www.ahrq.gov/policymakers/hrqa99a.html</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647614A9" w14:textId="77777777" w:rsidR="006014DB" w:rsidRDefault="006014DB" w:rsidP="006014DB"/>
    <w:p w14:paraId="210377E8" w14:textId="77777777" w:rsidR="00606400" w:rsidRDefault="00606400" w:rsidP="00606400">
      <w:pPr>
        <w:tabs>
          <w:tab w:val="left" w:pos="360"/>
        </w:tabs>
      </w:pPr>
      <w:r>
        <w:tab/>
      </w:r>
    </w:p>
    <w:p w14:paraId="1D1BB0F6" w14:textId="77777777"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14:paraId="4A609140" w14:textId="77777777" w:rsidR="00325B9C" w:rsidRDefault="00325B9C" w:rsidP="00606400">
      <w:pPr>
        <w:tabs>
          <w:tab w:val="left" w:pos="360"/>
        </w:tabs>
        <w:ind w:left="360"/>
      </w:pPr>
    </w:p>
    <w:p w14:paraId="75B133D1" w14:textId="77777777"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14:paraId="2A1DC486" w14:textId="77777777" w:rsidR="00B645ED" w:rsidRDefault="00B645ED" w:rsidP="00606400">
      <w:pPr>
        <w:tabs>
          <w:tab w:val="left" w:pos="360"/>
        </w:tabs>
        <w:ind w:left="360"/>
      </w:pPr>
    </w:p>
    <w:p w14:paraId="53091C39" w14:textId="77777777" w:rsidR="00B645ED" w:rsidRDefault="00B645ED" w:rsidP="00606400">
      <w:pPr>
        <w:tabs>
          <w:tab w:val="left" w:pos="360"/>
        </w:tabs>
        <w:ind w:left="360"/>
      </w:pPr>
      <w:r>
        <w:t>3.</w:t>
      </w:r>
      <w:r>
        <w:tab/>
        <w:t>initiatives to advance private and public efforts to improve health care quality.</w:t>
      </w:r>
    </w:p>
    <w:p w14:paraId="1F8CA4DB" w14:textId="77777777" w:rsidR="00B645ED" w:rsidRDefault="00B645ED" w:rsidP="00B645ED">
      <w:pPr>
        <w:tabs>
          <w:tab w:val="left" w:pos="360"/>
        </w:tabs>
      </w:pPr>
    </w:p>
    <w:p w14:paraId="719D197B"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32E77F2B" w14:textId="77777777" w:rsidR="008450C0" w:rsidRDefault="008450C0" w:rsidP="00B645ED">
      <w:pPr>
        <w:tabs>
          <w:tab w:val="left" w:pos="360"/>
        </w:tabs>
      </w:pPr>
    </w:p>
    <w:p w14:paraId="76065548" w14:textId="77777777" w:rsidR="008628B0" w:rsidRPr="008628B0" w:rsidRDefault="008628B0" w:rsidP="008628B0">
      <w:r w:rsidRPr="008628B0">
        <w:t xml:space="preserve">The project “Evaluating and Implementing the Six Building Blocks Team Approach to Improve Opioid Management in Primary Care” fully supports AHRQ’s mission. The ultimate aim of this project is to further validate and expand the Six Building Blocks to Safer Opioid Management (6BBs) </w:t>
      </w:r>
      <w:r w:rsidR="00F405D8">
        <w:t xml:space="preserve">intervention </w:t>
      </w:r>
      <w:r w:rsidRPr="008628B0">
        <w:t xml:space="preserve">and its associated resources and guidance to support primary care providers in safer opioid prescribing. </w:t>
      </w:r>
    </w:p>
    <w:p w14:paraId="6C02A1FD" w14:textId="77777777" w:rsidR="008628B0" w:rsidRPr="008628B0" w:rsidRDefault="008628B0" w:rsidP="008628B0"/>
    <w:p w14:paraId="47D836E2" w14:textId="77777777" w:rsidR="007D749F" w:rsidRDefault="008628B0" w:rsidP="008628B0">
      <w:r w:rsidRPr="008628B0">
        <w:t>Opioid overdose deaths have in</w:t>
      </w:r>
      <w:r w:rsidR="00510D42">
        <w:t>creased dramatically since 1999</w:t>
      </w:r>
      <w:r w:rsidR="00510D42" w:rsidRPr="00267FAE">
        <w:rPr>
          <w:rStyle w:val="FootnoteReference"/>
        </w:rPr>
        <w:footnoteReference w:id="1"/>
      </w:r>
      <w:r w:rsidRPr="008628B0">
        <w:t>, and despite recent decreases in the national opioid prescribing rate, prescribing rates remai</w:t>
      </w:r>
      <w:r w:rsidR="00510D42">
        <w:t>n high in many U.S. counties</w:t>
      </w:r>
      <w:r w:rsidRPr="008628B0">
        <w:t>.</w:t>
      </w:r>
      <w:r w:rsidR="00510D42" w:rsidRPr="00267FAE">
        <w:rPr>
          <w:rStyle w:val="FootnoteReference"/>
        </w:rPr>
        <w:footnoteReference w:id="2"/>
      </w:r>
      <w:r w:rsidRPr="008628B0">
        <w:t xml:space="preserve"> Primary care providers (PCPs) are responsible for about half of all dispensed</w:t>
      </w:r>
      <w:r w:rsidR="00510D42">
        <w:t xml:space="preserve"> opioid pain relievers</w:t>
      </w:r>
      <w:r w:rsidRPr="008628B0">
        <w:t>.</w:t>
      </w:r>
      <w:r w:rsidR="00510D42" w:rsidRPr="00267FAE">
        <w:rPr>
          <w:rStyle w:val="FootnoteReference"/>
        </w:rPr>
        <w:footnoteReference w:id="3"/>
      </w:r>
      <w:r w:rsidRPr="008628B0">
        <w:t xml:space="preserve"> </w:t>
      </w:r>
    </w:p>
    <w:p w14:paraId="3EB15C2D" w14:textId="77777777" w:rsidR="007D749F" w:rsidRDefault="007D749F" w:rsidP="008628B0"/>
    <w:p w14:paraId="318462C3" w14:textId="7DBD43F4" w:rsidR="002A505B" w:rsidRDefault="008628B0" w:rsidP="00AD50D1">
      <w:r w:rsidRPr="008628B0">
        <w:t xml:space="preserve">To address the emerging opioid epidemic, the Six Building Blocks to Safer Opioid Management has been developed to support primary care providers in safer opioid prescribing, largely concordant with the Centers for Disease Control and Prevention’s Guideline for Prescribing Opioids for Chronic Pain. </w:t>
      </w:r>
      <w:r w:rsidR="00AD50D1">
        <w:t xml:space="preserve">The Six Building Blocks to Safer Opioid Management (6BBs) is an evidence-based </w:t>
      </w:r>
      <w:r w:rsidR="006923FB">
        <w:t>program that provides</w:t>
      </w:r>
      <w:r w:rsidR="00AD50D1">
        <w:t xml:space="preserve"> a roadmap for primary care clinics to redesign how they provide care to patients with chronic pain who are on long-term opioid therapy. It provides </w:t>
      </w:r>
      <w:r w:rsidR="007D749F">
        <w:t>a structured approach to help clinical</w:t>
      </w:r>
      <w:r w:rsidR="00E57F3F">
        <w:t xml:space="preserve"> quality</w:t>
      </w:r>
      <w:r w:rsidR="00AD50D1">
        <w:t xml:space="preserve"> improvement team</w:t>
      </w:r>
      <w:r w:rsidR="007D749F">
        <w:t>s</w:t>
      </w:r>
      <w:r w:rsidR="00AD50D1">
        <w:t xml:space="preserve"> revise clinical policies, patient agreements, workflows, develop tracking and monitoring systems, plan for patient-centered visits, identify resources for more complex patients, and measure progress.</w:t>
      </w:r>
      <w:r w:rsidR="007D749F">
        <w:t xml:space="preserve"> </w:t>
      </w:r>
      <w:r w:rsidR="00D21818" w:rsidRPr="00D21818">
        <w:t>The</w:t>
      </w:r>
      <w:r w:rsidR="00D21818">
        <w:t xml:space="preserve"> six</w:t>
      </w:r>
      <w:r w:rsidR="00D21818" w:rsidRPr="00D21818">
        <w:t xml:space="preserve"> building blocks are: </w:t>
      </w:r>
    </w:p>
    <w:p w14:paraId="230815C4" w14:textId="77777777" w:rsidR="002A505B" w:rsidRDefault="00D21818" w:rsidP="00BC053E">
      <w:pPr>
        <w:pStyle w:val="ListParagraph"/>
        <w:numPr>
          <w:ilvl w:val="0"/>
          <w:numId w:val="39"/>
        </w:numPr>
      </w:pPr>
      <w:r w:rsidRPr="002A505B">
        <w:rPr>
          <w:rFonts w:ascii="Times New Roman" w:hAnsi="Times New Roman" w:cs="Times New Roman"/>
        </w:rPr>
        <w:t xml:space="preserve">leadership and consensus; </w:t>
      </w:r>
    </w:p>
    <w:p w14:paraId="4978B064" w14:textId="77777777" w:rsidR="002A505B" w:rsidRDefault="00D21818" w:rsidP="00BC053E">
      <w:pPr>
        <w:pStyle w:val="ListParagraph"/>
        <w:numPr>
          <w:ilvl w:val="0"/>
          <w:numId w:val="39"/>
        </w:numPr>
      </w:pPr>
      <w:r w:rsidRPr="002A505B">
        <w:rPr>
          <w:rFonts w:ascii="Times New Roman" w:hAnsi="Times New Roman" w:cs="Times New Roman"/>
        </w:rPr>
        <w:t xml:space="preserve">policies, patient agreements and workflows; </w:t>
      </w:r>
    </w:p>
    <w:p w14:paraId="44FCE7F5" w14:textId="77777777" w:rsidR="002A505B" w:rsidRDefault="00D21818" w:rsidP="00BC053E">
      <w:pPr>
        <w:pStyle w:val="ListParagraph"/>
        <w:numPr>
          <w:ilvl w:val="0"/>
          <w:numId w:val="39"/>
        </w:numPr>
      </w:pPr>
      <w:r w:rsidRPr="002A505B">
        <w:rPr>
          <w:rFonts w:ascii="Times New Roman" w:hAnsi="Times New Roman" w:cs="Times New Roman"/>
        </w:rPr>
        <w:t xml:space="preserve">tracking and monitoring patient care; </w:t>
      </w:r>
    </w:p>
    <w:p w14:paraId="0998FBC3" w14:textId="77777777" w:rsidR="002A505B" w:rsidRDefault="00D21818" w:rsidP="00BC053E">
      <w:pPr>
        <w:pStyle w:val="ListParagraph"/>
        <w:numPr>
          <w:ilvl w:val="0"/>
          <w:numId w:val="39"/>
        </w:numPr>
      </w:pPr>
      <w:r w:rsidRPr="002A505B">
        <w:rPr>
          <w:rFonts w:ascii="Times New Roman" w:hAnsi="Times New Roman" w:cs="Times New Roman"/>
        </w:rPr>
        <w:t xml:space="preserve">planned, patient-centered visits; </w:t>
      </w:r>
    </w:p>
    <w:p w14:paraId="1FB79E43" w14:textId="627A8B56" w:rsidR="002A505B" w:rsidRDefault="00D21818" w:rsidP="00BC053E">
      <w:pPr>
        <w:pStyle w:val="ListParagraph"/>
        <w:numPr>
          <w:ilvl w:val="0"/>
          <w:numId w:val="39"/>
        </w:numPr>
      </w:pPr>
      <w:r w:rsidRPr="002A505B">
        <w:rPr>
          <w:rFonts w:ascii="Times New Roman" w:hAnsi="Times New Roman" w:cs="Times New Roman"/>
        </w:rPr>
        <w:t>caring for complex patients; and</w:t>
      </w:r>
      <w:r w:rsidR="002A505B">
        <w:rPr>
          <w:rFonts w:ascii="Times New Roman" w:hAnsi="Times New Roman" w:cs="Times New Roman"/>
        </w:rPr>
        <w:t>,</w:t>
      </w:r>
      <w:r w:rsidRPr="002A505B">
        <w:rPr>
          <w:rFonts w:ascii="Times New Roman" w:hAnsi="Times New Roman" w:cs="Times New Roman"/>
        </w:rPr>
        <w:t xml:space="preserve"> </w:t>
      </w:r>
    </w:p>
    <w:p w14:paraId="7FA3031D" w14:textId="77777777" w:rsidR="002A505B" w:rsidRDefault="00D21818" w:rsidP="00BC053E">
      <w:pPr>
        <w:pStyle w:val="ListParagraph"/>
        <w:numPr>
          <w:ilvl w:val="0"/>
          <w:numId w:val="39"/>
        </w:numPr>
      </w:pPr>
      <w:r w:rsidRPr="002A505B">
        <w:rPr>
          <w:rFonts w:ascii="Times New Roman" w:hAnsi="Times New Roman" w:cs="Times New Roman"/>
        </w:rPr>
        <w:t xml:space="preserve">measuring success. </w:t>
      </w:r>
    </w:p>
    <w:p w14:paraId="5DFE4BBC" w14:textId="77777777" w:rsidR="002A505B" w:rsidRDefault="002A505B" w:rsidP="00BC053E">
      <w:pPr>
        <w:pStyle w:val="ListParagraph"/>
      </w:pPr>
    </w:p>
    <w:p w14:paraId="624298EA" w14:textId="19EE173D" w:rsidR="00AD50D1" w:rsidRPr="002A505B" w:rsidRDefault="007D749F" w:rsidP="002A505B">
      <w:r w:rsidRPr="002A505B">
        <w:t>The developers of the 6BBs program also</w:t>
      </w:r>
      <w:r w:rsidR="00646BED" w:rsidRPr="002A505B">
        <w:t xml:space="preserve"> created an accompanying website to describe the elements of the program (</w:t>
      </w:r>
      <w:hyperlink r:id="rId10" w:history="1">
        <w:r w:rsidR="00646BED" w:rsidRPr="002A505B">
          <w:rPr>
            <w:rStyle w:val="Hyperlink"/>
          </w:rPr>
          <w:t>https://depts.washington.edu/fammed/improvingopioidcare/</w:t>
        </w:r>
      </w:hyperlink>
      <w:r w:rsidR="00D21818" w:rsidRPr="002A505B">
        <w:t>), and use of the 6BBs program is described in several publications.</w:t>
      </w:r>
      <w:r w:rsidR="00D21818" w:rsidRPr="002A505B">
        <w:rPr>
          <w:rStyle w:val="FootnoteReference"/>
        </w:rPr>
        <w:footnoteReference w:id="4"/>
      </w:r>
      <w:r w:rsidR="00AD50D1" w:rsidRPr="002A505B">
        <w:t xml:space="preserve"> </w:t>
      </w:r>
    </w:p>
    <w:p w14:paraId="55507CC6" w14:textId="77777777" w:rsidR="00AD50D1" w:rsidRDefault="00AD50D1" w:rsidP="00AD50D1"/>
    <w:p w14:paraId="522288B9" w14:textId="7C127ED3" w:rsidR="00012677" w:rsidRDefault="00AD50D1" w:rsidP="00AD50D1">
      <w:r>
        <w:t xml:space="preserve">In a prior study of the 6BBs </w:t>
      </w:r>
      <w:r w:rsidR="00646BED">
        <w:t xml:space="preserve">program </w:t>
      </w:r>
      <w:r>
        <w:t>across 20 rural clinics (see associated publication</w:t>
      </w:r>
      <w:r w:rsidR="00E57F3F">
        <w:t>:</w:t>
      </w:r>
      <w:r>
        <w:t xml:space="preserve"> Parchman et.al. Ann Fam Med 2019;17:319-325), the rate of decline in both the number of patients on long-term opioids and the proportion of patients on higher dose opioids was greater among </w:t>
      </w:r>
      <w:r w:rsidR="00E57F3F">
        <w:t xml:space="preserve">intervention </w:t>
      </w:r>
      <w:r>
        <w:t>cli</w:t>
      </w:r>
      <w:r w:rsidR="00E57F3F">
        <w:t xml:space="preserve">nics </w:t>
      </w:r>
      <w:r w:rsidR="007D749F">
        <w:t>that implemented the 6BBs program to make changes in their clinical sys</w:t>
      </w:r>
      <w:r w:rsidR="006923FB">
        <w:t>tems</w:t>
      </w:r>
      <w:r w:rsidR="007D749F">
        <w:t xml:space="preserve"> </w:t>
      </w:r>
      <w:r w:rsidR="00E57F3F">
        <w:t>compared to control clinics</w:t>
      </w:r>
      <w:r>
        <w:t>. A stre</w:t>
      </w:r>
      <w:r w:rsidR="00E57F3F">
        <w:t xml:space="preserve">ngth of this </w:t>
      </w:r>
      <w:r w:rsidR="00571C02">
        <w:t xml:space="preserve">and other </w:t>
      </w:r>
      <w:r w:rsidR="00E57F3F">
        <w:t xml:space="preserve">prior </w:t>
      </w:r>
      <w:r w:rsidR="00571C02">
        <w:t>6BBs program studies</w:t>
      </w:r>
      <w:r w:rsidR="00E57F3F">
        <w:t xml:space="preserve"> was</w:t>
      </w:r>
      <w:r>
        <w:t xml:space="preserve"> that</w:t>
      </w:r>
      <w:r w:rsidR="00571C02">
        <w:t xml:space="preserve"> they</w:t>
      </w:r>
      <w:r w:rsidR="00E57F3F">
        <w:t xml:space="preserve"> provided evidence of improvements</w:t>
      </w:r>
      <w:r>
        <w:t xml:space="preserve"> in both </w:t>
      </w:r>
      <w:r w:rsidRPr="00571C02">
        <w:t>opi</w:t>
      </w:r>
      <w:r w:rsidR="00E57F3F" w:rsidRPr="00571C02">
        <w:t>oid prescribing and</w:t>
      </w:r>
      <w:r w:rsidRPr="00571C02">
        <w:t xml:space="preserve"> </w:t>
      </w:r>
      <w:r w:rsidR="00571C02" w:rsidRPr="00571C02">
        <w:t>staff work life perception</w:t>
      </w:r>
      <w:r w:rsidR="00571C02">
        <w:t xml:space="preserve">s in </w:t>
      </w:r>
      <w:r w:rsidR="00E57F3F">
        <w:t>clinics</w:t>
      </w:r>
      <w:r w:rsidR="00571C02">
        <w:t xml:space="preserve"> that implement the program</w:t>
      </w:r>
      <w:r w:rsidR="00E57F3F">
        <w:t xml:space="preserve">. On the other hand, a weakness was that the technical assistance provided to intervention clinics-- using </w:t>
      </w:r>
      <w:r w:rsidR="004B3FEE">
        <w:t xml:space="preserve">a practice coach who </w:t>
      </w:r>
      <w:r w:rsidR="007D749F">
        <w:t>provided in-person assistance to</w:t>
      </w:r>
      <w:r w:rsidR="004B3FEE">
        <w:t xml:space="preserve"> clinics</w:t>
      </w:r>
      <w:r w:rsidR="00427F33">
        <w:t xml:space="preserve"> </w:t>
      </w:r>
      <w:r w:rsidR="007D749F">
        <w:t xml:space="preserve">to </w:t>
      </w:r>
      <w:r w:rsidR="00646BED">
        <w:t xml:space="preserve">help </w:t>
      </w:r>
      <w:r w:rsidR="00427F33">
        <w:t>implement</w:t>
      </w:r>
      <w:r w:rsidR="00E57F3F">
        <w:t xml:space="preserve"> the 6BBs program</w:t>
      </w:r>
      <w:r w:rsidR="004B3FEE">
        <w:t>—was</w:t>
      </w:r>
      <w:r>
        <w:t xml:space="preserve"> </w:t>
      </w:r>
      <w:r w:rsidR="00427F33">
        <w:t xml:space="preserve">resource-intensive and difficult to scale up. </w:t>
      </w:r>
    </w:p>
    <w:p w14:paraId="7519AAE3" w14:textId="77777777" w:rsidR="00012677" w:rsidRDefault="00012677" w:rsidP="00AD50D1"/>
    <w:p w14:paraId="3C0D6A69" w14:textId="7FB6E109" w:rsidR="008628B0" w:rsidRDefault="00427F33" w:rsidP="00AD50D1">
      <w:r>
        <w:t>Therefore,</w:t>
      </w:r>
      <w:r w:rsidR="00AD50D1">
        <w:t xml:space="preserve"> </w:t>
      </w:r>
      <w:r>
        <w:t xml:space="preserve">this current project is to develop a How-to-Guide </w:t>
      </w:r>
      <w:r w:rsidR="00646BED">
        <w:t>f</w:t>
      </w:r>
      <w:r w:rsidR="00012677">
        <w:t>or clinics</w:t>
      </w:r>
      <w:r w:rsidR="004B3FEE">
        <w:t xml:space="preserve">, </w:t>
      </w:r>
      <w:r>
        <w:t>and evaluate the How-to-Guide</w:t>
      </w:r>
      <w:r w:rsidR="00AD50D1">
        <w:t xml:space="preserve"> and </w:t>
      </w:r>
      <w:r>
        <w:t xml:space="preserve">6BBs program implementation </w:t>
      </w:r>
      <w:r w:rsidR="003A74E2">
        <w:t>in clinics that use</w:t>
      </w:r>
      <w:r w:rsidR="00012677">
        <w:t xml:space="preserve"> this Toolkit</w:t>
      </w:r>
      <w:r w:rsidR="00D52E18">
        <w:t xml:space="preserve"> without an in-person practice coach</w:t>
      </w:r>
      <w:r w:rsidR="00AD50D1">
        <w:t>.</w:t>
      </w:r>
      <w:r w:rsidR="00012677">
        <w:t xml:space="preserve"> The term “Toolkit” in this application refers to both the How-to-Guide and 6BBs program bundled together as a package. The </w:t>
      </w:r>
      <w:r w:rsidR="00012677" w:rsidRPr="00012677">
        <w:t>How-to-Guide is a step-by-step manual intended to walk clinics through implementati</w:t>
      </w:r>
      <w:r w:rsidR="00012677">
        <w:t>on of the 6BBs program</w:t>
      </w:r>
      <w:r w:rsidR="00012677" w:rsidRPr="00012677">
        <w:t xml:space="preserve"> with</w:t>
      </w:r>
      <w:r w:rsidR="006923FB">
        <w:t xml:space="preserve">out </w:t>
      </w:r>
      <w:r w:rsidR="00B01E81">
        <w:t xml:space="preserve">the </w:t>
      </w:r>
      <w:r w:rsidR="006923FB">
        <w:t xml:space="preserve">need for </w:t>
      </w:r>
      <w:r w:rsidR="00B01E81">
        <w:t xml:space="preserve">any </w:t>
      </w:r>
      <w:r w:rsidR="006923FB">
        <w:t>additional support</w:t>
      </w:r>
      <w:r w:rsidR="00012677">
        <w:t>, such as from a practice coach</w:t>
      </w:r>
      <w:r w:rsidR="00012677" w:rsidRPr="00012677">
        <w:t>.</w:t>
      </w:r>
      <w:r w:rsidR="00012677">
        <w:t xml:space="preserve"> </w:t>
      </w:r>
    </w:p>
    <w:p w14:paraId="1E12079F" w14:textId="77777777" w:rsidR="004B3FEE" w:rsidRDefault="004B3FEE" w:rsidP="00AD50D1"/>
    <w:p w14:paraId="532C9E9B" w14:textId="3CFAE1A4" w:rsidR="004B3FEE" w:rsidRPr="007D749F" w:rsidRDefault="004B3FEE" w:rsidP="004B3FEE">
      <w:pPr>
        <w:shd w:val="clear" w:color="auto" w:fill="FFFFFF"/>
        <w:spacing w:after="165"/>
        <w:rPr>
          <w:rFonts w:eastAsiaTheme="minorHAnsi"/>
        </w:rPr>
      </w:pPr>
      <w:r w:rsidRPr="00683D84">
        <w:rPr>
          <w:rFonts w:eastAsiaTheme="minorHAnsi"/>
          <w:color w:val="333333"/>
        </w:rPr>
        <w:t xml:space="preserve">Table 1 provides an overview of the similarities and differences between the prior study and the current evaluation under review by OMB.  </w:t>
      </w:r>
    </w:p>
    <w:tbl>
      <w:tblPr>
        <w:tblW w:w="9360" w:type="dxa"/>
        <w:tblCellMar>
          <w:left w:w="0" w:type="dxa"/>
          <w:right w:w="0" w:type="dxa"/>
        </w:tblCellMar>
        <w:tblLook w:val="04A0" w:firstRow="1" w:lastRow="0" w:firstColumn="1" w:lastColumn="0" w:noHBand="0" w:noVBand="1"/>
      </w:tblPr>
      <w:tblGrid>
        <w:gridCol w:w="1800"/>
        <w:gridCol w:w="3870"/>
        <w:gridCol w:w="3690"/>
      </w:tblGrid>
      <w:tr w:rsidR="004B3FEE" w:rsidRPr="004B3FEE" w14:paraId="76716BD5" w14:textId="77777777" w:rsidTr="006923FB">
        <w:trPr>
          <w:cantSplit/>
          <w:tblHeader/>
        </w:trPr>
        <w:tc>
          <w:tcPr>
            <w:tcW w:w="9360" w:type="dxa"/>
            <w:gridSpan w:val="3"/>
            <w:tcBorders>
              <w:top w:val="nil"/>
              <w:left w:val="nil"/>
              <w:bottom w:val="single" w:sz="8" w:space="0" w:color="2E74B5"/>
              <w:right w:val="nil"/>
            </w:tcBorders>
            <w:shd w:val="clear" w:color="auto" w:fill="2E74B5"/>
            <w:hideMark/>
          </w:tcPr>
          <w:p w14:paraId="71CD9246" w14:textId="4F25B332" w:rsidR="004B3FEE" w:rsidRPr="00683D84" w:rsidRDefault="00646BED" w:rsidP="004B3FEE">
            <w:pPr>
              <w:autoSpaceDE w:val="0"/>
              <w:autoSpaceDN w:val="0"/>
              <w:rPr>
                <w:rFonts w:eastAsiaTheme="minorHAnsi"/>
                <w:b/>
                <w:bCs/>
                <w:color w:val="FFFFFF"/>
                <w:sz w:val="20"/>
                <w:szCs w:val="20"/>
                <w14:numForm w14:val="lining"/>
              </w:rPr>
            </w:pPr>
            <w:r w:rsidRPr="00646BED">
              <w:rPr>
                <w:rFonts w:eastAsiaTheme="minorHAnsi"/>
                <w:b/>
                <w:bCs/>
                <w:color w:val="FFFFFF"/>
                <w:sz w:val="20"/>
                <w:szCs w:val="20"/>
                <w14:numForm w14:val="lining"/>
              </w:rPr>
              <w:t xml:space="preserve">Table 1. Overview of </w:t>
            </w:r>
            <w:r>
              <w:rPr>
                <w:rFonts w:eastAsiaTheme="minorHAnsi"/>
                <w:b/>
                <w:bCs/>
                <w:color w:val="FFFFFF"/>
                <w:sz w:val="20"/>
                <w:szCs w:val="20"/>
                <w14:numForm w14:val="lining"/>
              </w:rPr>
              <w:t xml:space="preserve">Prior </w:t>
            </w:r>
            <w:r w:rsidRPr="00646BED">
              <w:rPr>
                <w:rFonts w:eastAsiaTheme="minorHAnsi"/>
                <w:b/>
                <w:bCs/>
                <w:color w:val="FFFFFF"/>
                <w:sz w:val="20"/>
                <w:szCs w:val="20"/>
                <w14:numForm w14:val="lining"/>
              </w:rPr>
              <w:t>6BBs</w:t>
            </w:r>
            <w:r w:rsidR="004B3FEE" w:rsidRPr="00683D84">
              <w:rPr>
                <w:rFonts w:eastAsiaTheme="minorHAnsi"/>
                <w:b/>
                <w:bCs/>
                <w:color w:val="FFFFFF"/>
                <w:sz w:val="20"/>
                <w:szCs w:val="20"/>
                <w14:numForm w14:val="lining"/>
              </w:rPr>
              <w:t xml:space="preserve"> </w:t>
            </w:r>
            <w:r>
              <w:rPr>
                <w:rFonts w:eastAsiaTheme="minorHAnsi"/>
                <w:b/>
                <w:bCs/>
                <w:color w:val="FFFFFF"/>
                <w:sz w:val="20"/>
                <w:szCs w:val="20"/>
                <w14:numForm w14:val="lining"/>
              </w:rPr>
              <w:t xml:space="preserve">Study </w:t>
            </w:r>
            <w:r w:rsidR="004B3FEE" w:rsidRPr="00683D84">
              <w:rPr>
                <w:rFonts w:eastAsiaTheme="minorHAnsi"/>
                <w:b/>
                <w:bCs/>
                <w:color w:val="FFFFFF"/>
                <w:sz w:val="20"/>
                <w:szCs w:val="20"/>
                <w14:numForm w14:val="lining"/>
              </w:rPr>
              <w:t xml:space="preserve">vs. Current Evaluation </w:t>
            </w:r>
          </w:p>
        </w:tc>
      </w:tr>
      <w:tr w:rsidR="004B3FEE" w:rsidRPr="004B3FEE" w14:paraId="3B8D41F0" w14:textId="77777777" w:rsidTr="006923FB">
        <w:trPr>
          <w:cantSplit/>
        </w:trPr>
        <w:tc>
          <w:tcPr>
            <w:tcW w:w="1800" w:type="dxa"/>
            <w:tcBorders>
              <w:top w:val="nil"/>
              <w:left w:val="nil"/>
              <w:bottom w:val="single" w:sz="8" w:space="0" w:color="2E74B5"/>
              <w:right w:val="nil"/>
            </w:tcBorders>
            <w:shd w:val="clear" w:color="auto" w:fill="DEEAF6"/>
          </w:tcPr>
          <w:p w14:paraId="7842B380" w14:textId="77777777" w:rsidR="004B3FEE" w:rsidRPr="00683D84" w:rsidRDefault="004B3FEE" w:rsidP="004B3FEE">
            <w:pPr>
              <w:rPr>
                <w:rFonts w:eastAsiaTheme="minorHAnsi"/>
                <w:b/>
                <w:bCs/>
                <w:color w:val="000000"/>
                <w:sz w:val="18"/>
                <w:szCs w:val="18"/>
              </w:rPr>
            </w:pPr>
          </w:p>
        </w:tc>
        <w:tc>
          <w:tcPr>
            <w:tcW w:w="3870" w:type="dxa"/>
            <w:tcBorders>
              <w:top w:val="nil"/>
              <w:left w:val="nil"/>
              <w:bottom w:val="single" w:sz="8" w:space="0" w:color="2E74B5"/>
              <w:right w:val="nil"/>
            </w:tcBorders>
            <w:shd w:val="clear" w:color="auto" w:fill="DEEAF6"/>
            <w:tcMar>
              <w:top w:w="0" w:type="dxa"/>
              <w:left w:w="108" w:type="dxa"/>
              <w:bottom w:w="0" w:type="dxa"/>
              <w:right w:w="108" w:type="dxa"/>
            </w:tcMar>
            <w:hideMark/>
          </w:tcPr>
          <w:p w14:paraId="31ED2FB6" w14:textId="2BE6270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Six Building Blocks grant evaluation</w:t>
            </w:r>
            <w:r w:rsidR="003D1AD8">
              <w:rPr>
                <w:rFonts w:eastAsiaTheme="minorHAnsi"/>
                <w:b/>
                <w:bCs/>
                <w:color w:val="000000"/>
                <w:sz w:val="18"/>
                <w:szCs w:val="18"/>
              </w:rPr>
              <w:t>*</w:t>
            </w:r>
          </w:p>
        </w:tc>
        <w:tc>
          <w:tcPr>
            <w:tcW w:w="3690" w:type="dxa"/>
            <w:tcBorders>
              <w:top w:val="nil"/>
              <w:left w:val="nil"/>
              <w:bottom w:val="single" w:sz="8" w:space="0" w:color="2E74B5"/>
              <w:right w:val="nil"/>
            </w:tcBorders>
            <w:shd w:val="clear" w:color="auto" w:fill="DEEAF6"/>
            <w:hideMark/>
          </w:tcPr>
          <w:p w14:paraId="734C167B"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 xml:space="preserve">Evaluation of 6BBs + How-To-Guide </w:t>
            </w:r>
          </w:p>
          <w:p w14:paraId="490763D2"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(ICR Ref. No. 201907-0935-003)</w:t>
            </w:r>
          </w:p>
        </w:tc>
      </w:tr>
      <w:tr w:rsidR="004B3FEE" w:rsidRPr="004B3FEE" w14:paraId="6A69CD82" w14:textId="77777777" w:rsidTr="006923FB">
        <w:trPr>
          <w:cantSplit/>
        </w:trPr>
        <w:tc>
          <w:tcPr>
            <w:tcW w:w="1800" w:type="dxa"/>
            <w:tcBorders>
              <w:top w:val="nil"/>
              <w:left w:val="nil"/>
              <w:bottom w:val="single" w:sz="8" w:space="0" w:color="2E74B5"/>
              <w:right w:val="nil"/>
            </w:tcBorders>
            <w:hideMark/>
          </w:tcPr>
          <w:p w14:paraId="35275514"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Intervention</w:t>
            </w:r>
          </w:p>
        </w:tc>
        <w:tc>
          <w:tcPr>
            <w:tcW w:w="3870" w:type="dxa"/>
            <w:tcBorders>
              <w:top w:val="nil"/>
              <w:left w:val="nil"/>
              <w:bottom w:val="single" w:sz="8" w:space="0" w:color="2E74B5"/>
              <w:right w:val="nil"/>
            </w:tcBorders>
            <w:tcMar>
              <w:top w:w="0" w:type="dxa"/>
              <w:left w:w="108" w:type="dxa"/>
              <w:bottom w:w="0" w:type="dxa"/>
              <w:right w:w="108" w:type="dxa"/>
            </w:tcMar>
            <w:hideMark/>
          </w:tcPr>
          <w:p w14:paraId="40F79F48" w14:textId="77777777" w:rsidR="004B3FEE" w:rsidRPr="00683D84" w:rsidRDefault="004B3FEE" w:rsidP="004B3FEE">
            <w:pPr>
              <w:numPr>
                <w:ilvl w:val="0"/>
                <w:numId w:val="26"/>
              </w:numPr>
              <w:rPr>
                <w:rFonts w:eastAsiaTheme="minorHAnsi"/>
                <w:color w:val="000000"/>
                <w:sz w:val="18"/>
                <w:szCs w:val="18"/>
              </w:rPr>
            </w:pPr>
            <w:r w:rsidRPr="00683D84">
              <w:rPr>
                <w:rFonts w:eastAsiaTheme="minorHAnsi"/>
                <w:color w:val="000000"/>
                <w:sz w:val="18"/>
                <w:szCs w:val="18"/>
              </w:rPr>
              <w:t>Six Building Blocks program</w:t>
            </w:r>
          </w:p>
          <w:p w14:paraId="76A65DC7" w14:textId="77777777" w:rsidR="004B3FEE" w:rsidRPr="00683D84" w:rsidRDefault="004B3FEE" w:rsidP="004B3FEE">
            <w:pPr>
              <w:numPr>
                <w:ilvl w:val="0"/>
                <w:numId w:val="26"/>
              </w:numPr>
              <w:rPr>
                <w:rFonts w:eastAsiaTheme="minorHAnsi"/>
                <w:color w:val="000000"/>
                <w:sz w:val="18"/>
                <w:szCs w:val="18"/>
              </w:rPr>
            </w:pPr>
            <w:r w:rsidRPr="00683D84">
              <w:rPr>
                <w:rFonts w:eastAsiaTheme="minorHAnsi"/>
                <w:color w:val="000000"/>
                <w:sz w:val="18"/>
                <w:szCs w:val="18"/>
              </w:rPr>
              <w:t>Practice facilitator/coach worked with practices, in-person to implement 6BBs</w:t>
            </w:r>
          </w:p>
        </w:tc>
        <w:tc>
          <w:tcPr>
            <w:tcW w:w="3690" w:type="dxa"/>
            <w:tcBorders>
              <w:top w:val="nil"/>
              <w:left w:val="nil"/>
              <w:bottom w:val="single" w:sz="8" w:space="0" w:color="2E74B5"/>
              <w:right w:val="nil"/>
            </w:tcBorders>
            <w:hideMark/>
          </w:tcPr>
          <w:p w14:paraId="67688637" w14:textId="77777777" w:rsidR="004B3FEE" w:rsidRPr="00683D84" w:rsidRDefault="004B3FEE" w:rsidP="004B3FEE">
            <w:pPr>
              <w:numPr>
                <w:ilvl w:val="0"/>
                <w:numId w:val="27"/>
              </w:numPr>
              <w:rPr>
                <w:rFonts w:eastAsiaTheme="minorHAnsi"/>
                <w:color w:val="000000"/>
                <w:sz w:val="18"/>
                <w:szCs w:val="18"/>
              </w:rPr>
            </w:pPr>
            <w:r w:rsidRPr="00683D84">
              <w:rPr>
                <w:rFonts w:eastAsiaTheme="minorHAnsi"/>
                <w:color w:val="000000"/>
                <w:sz w:val="18"/>
                <w:szCs w:val="18"/>
              </w:rPr>
              <w:t>Six Building Blocks program</w:t>
            </w:r>
          </w:p>
          <w:p w14:paraId="2FF1CD9D" w14:textId="77777777" w:rsidR="004B3FEE" w:rsidRPr="00683D84" w:rsidRDefault="004B3FEE" w:rsidP="004B3FEE">
            <w:pPr>
              <w:numPr>
                <w:ilvl w:val="0"/>
                <w:numId w:val="27"/>
              </w:numPr>
              <w:rPr>
                <w:rFonts w:eastAsiaTheme="minorHAnsi"/>
                <w:color w:val="000000"/>
                <w:sz w:val="18"/>
                <w:szCs w:val="18"/>
              </w:rPr>
            </w:pPr>
            <w:r w:rsidRPr="00683D84">
              <w:rPr>
                <w:rFonts w:eastAsiaTheme="minorHAnsi"/>
                <w:color w:val="000000"/>
                <w:sz w:val="18"/>
                <w:szCs w:val="18"/>
              </w:rPr>
              <w:t>How-to-Guide – a PDF with hyperlinks provided to clinics (self-service model)</w:t>
            </w:r>
          </w:p>
        </w:tc>
      </w:tr>
      <w:tr w:rsidR="004B3FEE" w:rsidRPr="004B3FEE" w14:paraId="49AC8A48" w14:textId="77777777" w:rsidTr="006923FB">
        <w:trPr>
          <w:cantSplit/>
        </w:trPr>
        <w:tc>
          <w:tcPr>
            <w:tcW w:w="1800" w:type="dxa"/>
            <w:tcBorders>
              <w:top w:val="nil"/>
              <w:left w:val="nil"/>
              <w:bottom w:val="single" w:sz="8" w:space="0" w:color="2E74B5"/>
              <w:right w:val="nil"/>
            </w:tcBorders>
            <w:hideMark/>
          </w:tcPr>
          <w:p w14:paraId="77FDED62"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 xml:space="preserve">Outcomes measured </w:t>
            </w:r>
          </w:p>
        </w:tc>
        <w:tc>
          <w:tcPr>
            <w:tcW w:w="3870" w:type="dxa"/>
            <w:tcBorders>
              <w:top w:val="nil"/>
              <w:left w:val="nil"/>
              <w:bottom w:val="single" w:sz="8" w:space="0" w:color="2E74B5"/>
              <w:right w:val="nil"/>
            </w:tcBorders>
            <w:tcMar>
              <w:top w:w="0" w:type="dxa"/>
              <w:left w:w="108" w:type="dxa"/>
              <w:bottom w:w="0" w:type="dxa"/>
              <w:right w:w="108" w:type="dxa"/>
            </w:tcMar>
          </w:tcPr>
          <w:p w14:paraId="6388BDCA" w14:textId="77777777" w:rsidR="004B3FEE" w:rsidRPr="00683D84" w:rsidRDefault="004B3FEE" w:rsidP="004B3FEE">
            <w:pPr>
              <w:numPr>
                <w:ilvl w:val="0"/>
                <w:numId w:val="28"/>
              </w:numPr>
              <w:rPr>
                <w:rFonts w:eastAsiaTheme="minorHAnsi"/>
                <w:color w:val="000000"/>
                <w:sz w:val="18"/>
                <w:szCs w:val="18"/>
              </w:rPr>
            </w:pPr>
            <w:r w:rsidRPr="00683D84">
              <w:rPr>
                <w:rFonts w:eastAsiaTheme="minorHAnsi"/>
                <w:color w:val="000000"/>
                <w:sz w:val="18"/>
                <w:szCs w:val="18"/>
              </w:rPr>
              <w:t>Number of patients on long-term opioids</w:t>
            </w:r>
          </w:p>
          <w:p w14:paraId="0FE5CB86" w14:textId="77777777" w:rsidR="004B3FEE" w:rsidRPr="00683D84" w:rsidRDefault="004B3FEE" w:rsidP="004B3FEE">
            <w:pPr>
              <w:numPr>
                <w:ilvl w:val="0"/>
                <w:numId w:val="28"/>
              </w:numPr>
              <w:rPr>
                <w:rFonts w:eastAsiaTheme="minorHAnsi"/>
                <w:color w:val="000000"/>
                <w:sz w:val="18"/>
                <w:szCs w:val="18"/>
              </w:rPr>
            </w:pPr>
            <w:r w:rsidRPr="00683D84">
              <w:rPr>
                <w:rFonts w:eastAsiaTheme="minorHAnsi"/>
                <w:color w:val="000000"/>
                <w:sz w:val="18"/>
                <w:szCs w:val="18"/>
              </w:rPr>
              <w:t>Proportion of patients on high dosage opioids (MMEs)</w:t>
            </w:r>
          </w:p>
          <w:p w14:paraId="7DBD7EAF" w14:textId="77777777" w:rsidR="004B3FEE" w:rsidRPr="00683D84" w:rsidRDefault="004B3FEE" w:rsidP="004B3FEE">
            <w:pPr>
              <w:rPr>
                <w:rFonts w:eastAsiaTheme="minorHAnsi"/>
                <w:color w:val="000000"/>
                <w:sz w:val="18"/>
                <w:szCs w:val="18"/>
              </w:rPr>
            </w:pPr>
          </w:p>
        </w:tc>
        <w:tc>
          <w:tcPr>
            <w:tcW w:w="3690" w:type="dxa"/>
            <w:tcBorders>
              <w:top w:val="nil"/>
              <w:left w:val="nil"/>
              <w:bottom w:val="single" w:sz="8" w:space="0" w:color="2E74B5"/>
              <w:right w:val="nil"/>
            </w:tcBorders>
            <w:hideMark/>
          </w:tcPr>
          <w:p w14:paraId="69B209D1" w14:textId="77777777" w:rsidR="004B3FEE" w:rsidRPr="00683D84" w:rsidRDefault="004B3FEE" w:rsidP="004B3FEE">
            <w:pPr>
              <w:numPr>
                <w:ilvl w:val="0"/>
                <w:numId w:val="28"/>
              </w:numPr>
              <w:rPr>
                <w:rFonts w:eastAsiaTheme="minorHAnsi"/>
                <w:color w:val="000000"/>
                <w:sz w:val="18"/>
                <w:szCs w:val="18"/>
              </w:rPr>
            </w:pPr>
            <w:r w:rsidRPr="00683D84">
              <w:rPr>
                <w:rFonts w:eastAsiaTheme="minorHAnsi"/>
                <w:color w:val="000000"/>
                <w:sz w:val="18"/>
                <w:szCs w:val="18"/>
              </w:rPr>
              <w:t>Number of patients on long-term opioids</w:t>
            </w:r>
          </w:p>
          <w:p w14:paraId="6E2F75B5" w14:textId="77777777" w:rsidR="004B3FEE" w:rsidRPr="00683D84" w:rsidRDefault="004B3FEE" w:rsidP="004B3FEE">
            <w:pPr>
              <w:numPr>
                <w:ilvl w:val="0"/>
                <w:numId w:val="28"/>
              </w:numPr>
              <w:rPr>
                <w:rFonts w:eastAsiaTheme="minorHAnsi"/>
                <w:color w:val="000000"/>
                <w:sz w:val="18"/>
                <w:szCs w:val="18"/>
              </w:rPr>
            </w:pPr>
            <w:r w:rsidRPr="00683D84">
              <w:rPr>
                <w:rFonts w:eastAsiaTheme="minorHAnsi"/>
                <w:color w:val="000000"/>
                <w:sz w:val="18"/>
                <w:szCs w:val="18"/>
              </w:rPr>
              <w:t>Proportion of patients on high dosage opioids (MMEs)</w:t>
            </w:r>
          </w:p>
          <w:p w14:paraId="2DC39857" w14:textId="77777777" w:rsidR="004B3FEE" w:rsidRPr="00683D84" w:rsidRDefault="004B3FEE" w:rsidP="004B3FEE">
            <w:pPr>
              <w:numPr>
                <w:ilvl w:val="0"/>
                <w:numId w:val="28"/>
              </w:numPr>
              <w:rPr>
                <w:rFonts w:eastAsiaTheme="minorHAnsi"/>
                <w:color w:val="000000"/>
                <w:sz w:val="18"/>
                <w:szCs w:val="18"/>
              </w:rPr>
            </w:pPr>
            <w:r w:rsidRPr="00683D84">
              <w:rPr>
                <w:rFonts w:eastAsiaTheme="minorHAnsi"/>
                <w:color w:val="000000"/>
                <w:sz w:val="18"/>
                <w:szCs w:val="18"/>
              </w:rPr>
              <w:t xml:space="preserve">Additional QI measures: </w:t>
            </w:r>
          </w:p>
          <w:p w14:paraId="43B8178C" w14:textId="77777777" w:rsidR="004B3FEE" w:rsidRPr="00683D84" w:rsidRDefault="004B3FEE" w:rsidP="004B3FEE">
            <w:pPr>
              <w:numPr>
                <w:ilvl w:val="1"/>
                <w:numId w:val="28"/>
              </w:numPr>
              <w:rPr>
                <w:rFonts w:eastAsiaTheme="minorHAnsi"/>
                <w:color w:val="000000"/>
                <w:sz w:val="18"/>
                <w:szCs w:val="18"/>
              </w:rPr>
            </w:pPr>
            <w:r w:rsidRPr="00683D84">
              <w:rPr>
                <w:rFonts w:eastAsiaTheme="minorHAnsi"/>
                <w:color w:val="000000"/>
                <w:sz w:val="18"/>
                <w:szCs w:val="18"/>
              </w:rPr>
              <w:t xml:space="preserve">co-prescribed a benzodiazepine, </w:t>
            </w:r>
          </w:p>
          <w:p w14:paraId="086C3CD1" w14:textId="77777777" w:rsidR="004B3FEE" w:rsidRPr="00683D84" w:rsidRDefault="004B3FEE" w:rsidP="004B3FEE">
            <w:pPr>
              <w:numPr>
                <w:ilvl w:val="1"/>
                <w:numId w:val="28"/>
              </w:numPr>
              <w:rPr>
                <w:rFonts w:eastAsiaTheme="minorHAnsi"/>
                <w:color w:val="000000"/>
                <w:sz w:val="18"/>
                <w:szCs w:val="18"/>
              </w:rPr>
            </w:pPr>
            <w:r w:rsidRPr="00683D84">
              <w:rPr>
                <w:rFonts w:eastAsiaTheme="minorHAnsi"/>
                <w:color w:val="000000"/>
                <w:sz w:val="18"/>
                <w:szCs w:val="18"/>
              </w:rPr>
              <w:t xml:space="preserve">checked prescription drug monitoring program, </w:t>
            </w:r>
          </w:p>
          <w:p w14:paraId="3B65C111" w14:textId="77777777" w:rsidR="004B3FEE" w:rsidRPr="00683D84" w:rsidRDefault="004B3FEE" w:rsidP="004B3FEE">
            <w:pPr>
              <w:numPr>
                <w:ilvl w:val="1"/>
                <w:numId w:val="28"/>
              </w:numPr>
              <w:rPr>
                <w:rFonts w:eastAsiaTheme="minorHAnsi"/>
                <w:color w:val="000000"/>
                <w:sz w:val="18"/>
                <w:szCs w:val="18"/>
              </w:rPr>
            </w:pPr>
            <w:r w:rsidRPr="00683D84">
              <w:rPr>
                <w:rFonts w:eastAsiaTheme="minorHAnsi"/>
                <w:color w:val="000000"/>
                <w:sz w:val="18"/>
                <w:szCs w:val="18"/>
              </w:rPr>
              <w:t xml:space="preserve">checked urine drug screen </w:t>
            </w:r>
          </w:p>
        </w:tc>
      </w:tr>
      <w:tr w:rsidR="004B3FEE" w:rsidRPr="004B3FEE" w14:paraId="72AE42D6" w14:textId="77777777" w:rsidTr="006923FB">
        <w:trPr>
          <w:cantSplit/>
        </w:trPr>
        <w:tc>
          <w:tcPr>
            <w:tcW w:w="1800" w:type="dxa"/>
            <w:tcBorders>
              <w:top w:val="nil"/>
              <w:left w:val="nil"/>
              <w:bottom w:val="single" w:sz="8" w:space="0" w:color="2E74B5"/>
              <w:right w:val="nil"/>
            </w:tcBorders>
            <w:hideMark/>
          </w:tcPr>
          <w:p w14:paraId="7B41D594"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Study Design</w:t>
            </w:r>
          </w:p>
        </w:tc>
        <w:tc>
          <w:tcPr>
            <w:tcW w:w="3870" w:type="dxa"/>
            <w:tcBorders>
              <w:top w:val="nil"/>
              <w:left w:val="nil"/>
              <w:bottom w:val="single" w:sz="8" w:space="0" w:color="2E74B5"/>
              <w:right w:val="nil"/>
            </w:tcBorders>
            <w:tcMar>
              <w:top w:w="0" w:type="dxa"/>
              <w:left w:w="108" w:type="dxa"/>
              <w:bottom w:w="0" w:type="dxa"/>
              <w:right w:w="108" w:type="dxa"/>
            </w:tcMar>
            <w:hideMark/>
          </w:tcPr>
          <w:p w14:paraId="27AB7E69"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 xml:space="preserve">Quasi-experimental, interrupted time series </w:t>
            </w:r>
          </w:p>
          <w:p w14:paraId="791D4E7E"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Comparison group</w:t>
            </w:r>
          </w:p>
        </w:tc>
        <w:tc>
          <w:tcPr>
            <w:tcW w:w="3690" w:type="dxa"/>
            <w:tcBorders>
              <w:top w:val="nil"/>
              <w:left w:val="nil"/>
              <w:bottom w:val="single" w:sz="8" w:space="0" w:color="2E74B5"/>
              <w:right w:val="nil"/>
            </w:tcBorders>
            <w:hideMark/>
          </w:tcPr>
          <w:p w14:paraId="74593B7F"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Implementation-effectiveness design</w:t>
            </w:r>
          </w:p>
          <w:p w14:paraId="1E4C5D91" w14:textId="1FD58EC2" w:rsidR="004B3FEE" w:rsidRPr="00683D84" w:rsidRDefault="006817E9" w:rsidP="00BC053E">
            <w:pPr>
              <w:rPr>
                <w:rFonts w:eastAsiaTheme="minorHAnsi"/>
                <w:color w:val="000000"/>
                <w:sz w:val="18"/>
                <w:szCs w:val="18"/>
              </w:rPr>
            </w:pPr>
            <w:r>
              <w:rPr>
                <w:rFonts w:eastAsiaTheme="minorHAnsi"/>
                <w:color w:val="000000"/>
                <w:sz w:val="18"/>
                <w:szCs w:val="18"/>
              </w:rPr>
              <w:t>Descriptive comparison between sites</w:t>
            </w:r>
          </w:p>
        </w:tc>
      </w:tr>
      <w:tr w:rsidR="004B3FEE" w:rsidRPr="004B3FEE" w14:paraId="34D2C1C2" w14:textId="77777777" w:rsidTr="006923FB">
        <w:trPr>
          <w:cantSplit/>
        </w:trPr>
        <w:tc>
          <w:tcPr>
            <w:tcW w:w="1800" w:type="dxa"/>
            <w:tcBorders>
              <w:top w:val="nil"/>
              <w:left w:val="nil"/>
              <w:bottom w:val="single" w:sz="8" w:space="0" w:color="2E74B5"/>
              <w:right w:val="nil"/>
            </w:tcBorders>
            <w:hideMark/>
          </w:tcPr>
          <w:p w14:paraId="224710AB" w14:textId="77777777" w:rsidR="004B3FEE" w:rsidRPr="00683D84" w:rsidRDefault="004B3FEE" w:rsidP="004B3FEE">
            <w:pPr>
              <w:rPr>
                <w:rFonts w:eastAsiaTheme="minorHAnsi"/>
                <w:b/>
                <w:bCs/>
                <w:color w:val="000000"/>
                <w:sz w:val="18"/>
                <w:szCs w:val="18"/>
              </w:rPr>
            </w:pPr>
            <w:r w:rsidRPr="00683D84">
              <w:rPr>
                <w:rFonts w:eastAsiaTheme="minorHAnsi"/>
                <w:b/>
                <w:bCs/>
                <w:color w:val="000000"/>
                <w:sz w:val="18"/>
                <w:szCs w:val="18"/>
              </w:rPr>
              <w:t>Study Sites</w:t>
            </w:r>
          </w:p>
        </w:tc>
        <w:tc>
          <w:tcPr>
            <w:tcW w:w="3870" w:type="dxa"/>
            <w:tcBorders>
              <w:top w:val="nil"/>
              <w:left w:val="nil"/>
              <w:bottom w:val="single" w:sz="8" w:space="0" w:color="2E74B5"/>
              <w:right w:val="nil"/>
            </w:tcBorders>
            <w:tcMar>
              <w:top w:w="0" w:type="dxa"/>
              <w:left w:w="108" w:type="dxa"/>
              <w:bottom w:w="0" w:type="dxa"/>
              <w:right w:w="108" w:type="dxa"/>
            </w:tcMar>
            <w:hideMark/>
          </w:tcPr>
          <w:p w14:paraId="1B572C97"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6 health care organizations; 20 clinics</w:t>
            </w:r>
          </w:p>
          <w:p w14:paraId="7A5666BB"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2 states: ID, WA</w:t>
            </w:r>
          </w:p>
        </w:tc>
        <w:tc>
          <w:tcPr>
            <w:tcW w:w="3690" w:type="dxa"/>
            <w:tcBorders>
              <w:top w:val="nil"/>
              <w:left w:val="nil"/>
              <w:bottom w:val="single" w:sz="8" w:space="0" w:color="2E74B5"/>
              <w:right w:val="nil"/>
            </w:tcBorders>
            <w:hideMark/>
          </w:tcPr>
          <w:p w14:paraId="5FB017E1"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11 health care organizations; 35 clinics</w:t>
            </w:r>
          </w:p>
          <w:p w14:paraId="01910E00" w14:textId="77777777" w:rsidR="004B3FEE" w:rsidRPr="00683D84" w:rsidRDefault="004B3FEE" w:rsidP="004B3FEE">
            <w:pPr>
              <w:rPr>
                <w:rFonts w:eastAsiaTheme="minorHAnsi"/>
                <w:color w:val="000000"/>
                <w:sz w:val="18"/>
                <w:szCs w:val="18"/>
              </w:rPr>
            </w:pPr>
            <w:r w:rsidRPr="00683D84">
              <w:rPr>
                <w:rFonts w:eastAsiaTheme="minorHAnsi"/>
                <w:color w:val="000000"/>
                <w:sz w:val="18"/>
                <w:szCs w:val="18"/>
              </w:rPr>
              <w:t>9 states: WA, CA, AZ, CO, IL, MI, OH, PA, NY</w:t>
            </w:r>
          </w:p>
        </w:tc>
      </w:tr>
    </w:tbl>
    <w:p w14:paraId="59714FEC" w14:textId="6751E5F5" w:rsidR="00646BED" w:rsidRPr="00E34A39" w:rsidRDefault="003D1AD8" w:rsidP="00267FAE">
      <w:pPr>
        <w:spacing w:after="120"/>
        <w:rPr>
          <w:sz w:val="20"/>
          <w:szCs w:val="20"/>
        </w:rPr>
      </w:pPr>
      <w:r w:rsidRPr="00E34A39">
        <w:rPr>
          <w:sz w:val="20"/>
          <w:szCs w:val="20"/>
        </w:rPr>
        <w:t>* This evaluation was a research grant from AHRQ and not a contract, i.e. ICR, and as such OMB approval was not required.</w:t>
      </w:r>
    </w:p>
    <w:p w14:paraId="5283DC02" w14:textId="280222B2" w:rsidR="00267FAE" w:rsidRPr="00267FAE" w:rsidRDefault="008628B0" w:rsidP="00267FAE">
      <w:pPr>
        <w:spacing w:after="120"/>
      </w:pPr>
      <w:r w:rsidRPr="00267FAE">
        <w:t>Building upon previous work supported by AHRQ to address the opioid epidemic, this</w:t>
      </w:r>
      <w:r w:rsidR="00267FAE" w:rsidRPr="00267FAE">
        <w:t xml:space="preserve"> research has the following goals:</w:t>
      </w:r>
      <w:r w:rsidRPr="00267FAE">
        <w:t xml:space="preserve">  </w:t>
      </w:r>
    </w:p>
    <w:p w14:paraId="70377F58" w14:textId="2E39BD2E" w:rsidR="00267FAE" w:rsidRPr="00267FAE" w:rsidRDefault="00267FAE" w:rsidP="00267FAE">
      <w:pPr>
        <w:pStyle w:val="ListParagraph"/>
        <w:numPr>
          <w:ilvl w:val="0"/>
          <w:numId w:val="25"/>
        </w:numPr>
        <w:spacing w:after="120"/>
        <w:contextualSpacing w:val="0"/>
        <w:rPr>
          <w:rFonts w:ascii="Times New Roman" w:hAnsi="Times New Roman" w:cs="Times New Roman"/>
        </w:rPr>
      </w:pPr>
      <w:r w:rsidRPr="00267FAE">
        <w:rPr>
          <w:rFonts w:ascii="Times New Roman" w:hAnsi="Times New Roman" w:cs="Times New Roman"/>
        </w:rPr>
        <w:t>T</w:t>
      </w:r>
      <w:r w:rsidR="008628B0" w:rsidRPr="00267FAE">
        <w:rPr>
          <w:rFonts w:ascii="Times New Roman" w:hAnsi="Times New Roman" w:cs="Times New Roman"/>
        </w:rPr>
        <w:t>o improve the guidance for the 6BBs Toolkit</w:t>
      </w:r>
      <w:r w:rsidR="00721964">
        <w:rPr>
          <w:rFonts w:ascii="Times New Roman" w:hAnsi="Times New Roman" w:cs="Times New Roman"/>
        </w:rPr>
        <w:t xml:space="preserve"> (</w:t>
      </w:r>
      <w:r w:rsidR="00DA723F">
        <w:rPr>
          <w:rFonts w:ascii="Times New Roman" w:hAnsi="Times New Roman" w:cs="Times New Roman"/>
        </w:rPr>
        <w:t>How-to-Guide</w:t>
      </w:r>
      <w:r w:rsidR="00721964">
        <w:rPr>
          <w:rFonts w:ascii="Times New Roman" w:hAnsi="Times New Roman" w:cs="Times New Roman"/>
        </w:rPr>
        <w:t xml:space="preserve"> and 6BBs program</w:t>
      </w:r>
      <w:r w:rsidR="00DA723F">
        <w:rPr>
          <w:rFonts w:ascii="Times New Roman" w:hAnsi="Times New Roman" w:cs="Times New Roman"/>
        </w:rPr>
        <w:t>)</w:t>
      </w:r>
      <w:r w:rsidR="008628B0" w:rsidRPr="00267FAE">
        <w:rPr>
          <w:rFonts w:ascii="Times New Roman" w:hAnsi="Times New Roman" w:cs="Times New Roman"/>
        </w:rPr>
        <w:t xml:space="preserve">, </w:t>
      </w:r>
    </w:p>
    <w:p w14:paraId="5B879EC9" w14:textId="6FA7729C" w:rsidR="00267FAE" w:rsidRPr="00267FAE" w:rsidRDefault="00267FAE" w:rsidP="00267FAE">
      <w:pPr>
        <w:pStyle w:val="ListParagraph"/>
        <w:numPr>
          <w:ilvl w:val="0"/>
          <w:numId w:val="25"/>
        </w:numPr>
        <w:spacing w:after="120"/>
        <w:contextualSpacing w:val="0"/>
        <w:rPr>
          <w:rFonts w:ascii="Times New Roman" w:hAnsi="Times New Roman" w:cs="Times New Roman"/>
        </w:rPr>
      </w:pPr>
      <w:r w:rsidRPr="00267FAE">
        <w:rPr>
          <w:rFonts w:ascii="Times New Roman" w:hAnsi="Times New Roman" w:cs="Times New Roman"/>
        </w:rPr>
        <w:t xml:space="preserve">To </w:t>
      </w:r>
      <w:r w:rsidR="008628B0" w:rsidRPr="00267FAE">
        <w:rPr>
          <w:rFonts w:ascii="Times New Roman" w:hAnsi="Times New Roman" w:cs="Times New Roman"/>
        </w:rPr>
        <w:t xml:space="preserve">further implement the 6BBs </w:t>
      </w:r>
      <w:r w:rsidR="004B3FEE">
        <w:rPr>
          <w:rFonts w:ascii="Times New Roman" w:hAnsi="Times New Roman" w:cs="Times New Roman"/>
        </w:rPr>
        <w:t xml:space="preserve">program </w:t>
      </w:r>
      <w:r w:rsidR="008628B0" w:rsidRPr="00267FAE">
        <w:rPr>
          <w:rFonts w:ascii="Times New Roman" w:hAnsi="Times New Roman" w:cs="Times New Roman"/>
        </w:rPr>
        <w:t xml:space="preserve">in primary care practices, and </w:t>
      </w:r>
    </w:p>
    <w:p w14:paraId="3A8CC8C3" w14:textId="45634076" w:rsidR="00267FAE" w:rsidRDefault="00267FAE" w:rsidP="00267FAE">
      <w:pPr>
        <w:pStyle w:val="ListParagraph"/>
        <w:numPr>
          <w:ilvl w:val="0"/>
          <w:numId w:val="25"/>
        </w:numPr>
        <w:contextualSpacing w:val="0"/>
        <w:rPr>
          <w:rFonts w:ascii="Times New Roman" w:hAnsi="Times New Roman" w:cs="Times New Roman"/>
        </w:rPr>
      </w:pPr>
      <w:r w:rsidRPr="00267FAE">
        <w:rPr>
          <w:rFonts w:ascii="Times New Roman" w:hAnsi="Times New Roman" w:cs="Times New Roman"/>
        </w:rPr>
        <w:t xml:space="preserve">To </w:t>
      </w:r>
      <w:r w:rsidR="008628B0" w:rsidRPr="00267FAE">
        <w:rPr>
          <w:rFonts w:ascii="Times New Roman" w:hAnsi="Times New Roman" w:cs="Times New Roman"/>
        </w:rPr>
        <w:t xml:space="preserve">understand the facilitators and barriers to implementing the </w:t>
      </w:r>
      <w:r w:rsidR="004B3FEE">
        <w:rPr>
          <w:rFonts w:ascii="Times New Roman" w:hAnsi="Times New Roman" w:cs="Times New Roman"/>
        </w:rPr>
        <w:t>6BBs program for managing patients with chronic pain on long-term opioid therapy</w:t>
      </w:r>
      <w:r w:rsidR="008628B0" w:rsidRPr="00267FAE">
        <w:rPr>
          <w:rFonts w:ascii="Times New Roman" w:hAnsi="Times New Roman" w:cs="Times New Roman"/>
        </w:rPr>
        <w:t xml:space="preserve">. </w:t>
      </w:r>
    </w:p>
    <w:p w14:paraId="534A19FA" w14:textId="77777777" w:rsidR="008628B0" w:rsidRPr="008628B0" w:rsidRDefault="008628B0" w:rsidP="008628B0"/>
    <w:p w14:paraId="5CD37CD0" w14:textId="3E6CAA55" w:rsidR="008628B0" w:rsidRPr="008628B0" w:rsidRDefault="008628B0" w:rsidP="00650CFA">
      <w:pPr>
        <w:spacing w:after="120"/>
      </w:pPr>
      <w:r w:rsidRPr="008628B0">
        <w:t xml:space="preserve">AHRQ will evaluate the 6BBs Toolkit </w:t>
      </w:r>
      <w:r w:rsidR="00721964">
        <w:t>(</w:t>
      </w:r>
      <w:r w:rsidR="00DA723F">
        <w:t>How-to-Guide</w:t>
      </w:r>
      <w:r w:rsidR="00721964">
        <w:t xml:space="preserve"> and 6BBs program</w:t>
      </w:r>
      <w:r w:rsidR="00DA723F">
        <w:t xml:space="preserve">) </w:t>
      </w:r>
      <w:r w:rsidRPr="008628B0">
        <w:t>to assess:</w:t>
      </w:r>
    </w:p>
    <w:p w14:paraId="38680E1B" w14:textId="05DFA1E1" w:rsidR="008628B0" w:rsidRPr="00721964" w:rsidRDefault="008628B0" w:rsidP="00D849E4">
      <w:pPr>
        <w:numPr>
          <w:ilvl w:val="0"/>
          <w:numId w:val="11"/>
        </w:numPr>
        <w:spacing w:after="120"/>
        <w:ind w:left="720" w:hanging="360"/>
      </w:pPr>
      <w:r w:rsidRPr="00721964">
        <w:t>Facilitators of and barriers to implementing the Toolkit</w:t>
      </w:r>
      <w:r w:rsidR="00D54EEE">
        <w:t>.</w:t>
      </w:r>
      <w:r w:rsidRPr="00721964">
        <w:t xml:space="preserve"> </w:t>
      </w:r>
    </w:p>
    <w:p w14:paraId="0AF1F3C9" w14:textId="7F3AB24F" w:rsidR="008628B0" w:rsidRPr="008628B0" w:rsidRDefault="008628B0" w:rsidP="00F83D21">
      <w:pPr>
        <w:numPr>
          <w:ilvl w:val="0"/>
          <w:numId w:val="11"/>
        </w:numPr>
        <w:spacing w:after="120"/>
        <w:ind w:left="720" w:hanging="360"/>
      </w:pPr>
      <w:r w:rsidRPr="008628B0">
        <w:t>Effectiveness of the Toolkit</w:t>
      </w:r>
      <w:r w:rsidR="00721964">
        <w:t xml:space="preserve"> </w:t>
      </w:r>
      <w:r w:rsidRPr="008628B0">
        <w:t>in improving opioid prescribing practices and relevant outputs and outcomes</w:t>
      </w:r>
      <w:r w:rsidR="00721964">
        <w:t>.</w:t>
      </w:r>
    </w:p>
    <w:p w14:paraId="3AAC01DA" w14:textId="60B175B0" w:rsidR="00DB4768" w:rsidRDefault="00DB4768" w:rsidP="00E44D6F">
      <w:r>
        <w:t>Facilitators and barriers to implementing t</w:t>
      </w:r>
      <w:r w:rsidR="00781332">
        <w:t>he Toolkit will be assessed qualitatively</w:t>
      </w:r>
      <w:r w:rsidR="000B18C4">
        <w:t xml:space="preserve"> through staff</w:t>
      </w:r>
      <w:r w:rsidR="00952D65">
        <w:t xml:space="preserve"> interviews</w:t>
      </w:r>
      <w:r w:rsidR="005050EF">
        <w:t xml:space="preserve"> and quarterly check-in calls</w:t>
      </w:r>
      <w:r>
        <w:t>.</w:t>
      </w:r>
      <w:r w:rsidR="006923FB">
        <w:t xml:space="preserve"> </w:t>
      </w:r>
      <w:r w:rsidR="00F074E4">
        <w:t xml:space="preserve">(See Table 2.) </w:t>
      </w:r>
      <w:r w:rsidR="005050EF">
        <w:t>Qualitative data collection will be guided by domains listed in Proctor’s Outcomes for Implementation Research</w:t>
      </w:r>
      <w:r w:rsidR="005050EF">
        <w:rPr>
          <w:rStyle w:val="FootnoteReference"/>
        </w:rPr>
        <w:footnoteReference w:id="5"/>
      </w:r>
      <w:r w:rsidR="005050EF">
        <w:t xml:space="preserve"> (Proctor) and the Consolidated Framework for Implementation Research (CFIR).</w:t>
      </w:r>
      <w:r w:rsidR="005050EF">
        <w:rPr>
          <w:rStyle w:val="FootnoteReference"/>
        </w:rPr>
        <w:footnoteReference w:id="6"/>
      </w:r>
      <w:r w:rsidR="005050EF">
        <w:t xml:space="preserve"> </w:t>
      </w:r>
      <w:r w:rsidR="006923FB">
        <w:t>Regarding the How-to-Guide component of the Toolkit, qualitative data will be collected about the How-to-Guide’s ease of use and completeness of information. Regarding the 6BBs</w:t>
      </w:r>
      <w:r w:rsidR="00D54EEE">
        <w:t xml:space="preserve"> program component of the Toolkit, barriers and facilitators will be identified with respect to the domains outlined in</w:t>
      </w:r>
      <w:r w:rsidR="005050EF">
        <w:t xml:space="preserve"> CFIR</w:t>
      </w:r>
      <w:r w:rsidR="00D54EEE">
        <w:t>. These domains include organizational fact</w:t>
      </w:r>
      <w:r w:rsidR="005050EF">
        <w:t>ors such as leadership engagement</w:t>
      </w:r>
      <w:r w:rsidR="00D54EEE">
        <w:t xml:space="preserve"> and </w:t>
      </w:r>
      <w:r w:rsidR="005050EF" w:rsidRPr="00683D84">
        <w:t>a</w:t>
      </w:r>
      <w:r w:rsidR="005050EF">
        <w:t>vailable resources</w:t>
      </w:r>
      <w:r w:rsidR="00F074E4">
        <w:t>.</w:t>
      </w:r>
    </w:p>
    <w:p w14:paraId="73CFE507" w14:textId="77777777" w:rsidR="00DB4768" w:rsidRDefault="00DB4768" w:rsidP="00E44D6F"/>
    <w:p w14:paraId="711A2524" w14:textId="3EF415FB" w:rsidR="00781332" w:rsidRDefault="00DB4768" w:rsidP="00E44D6F">
      <w:r>
        <w:t xml:space="preserve">Effectiveness of the </w:t>
      </w:r>
      <w:r w:rsidR="00952D65">
        <w:t xml:space="preserve">Toolkit will be assessed in the following ways. First, effectiveness of the </w:t>
      </w:r>
      <w:r w:rsidR="00781332">
        <w:t>How-to-Guide will be determined by the extent to which clinics are able to implement the 6BBs program</w:t>
      </w:r>
      <w:r w:rsidR="00F074E4">
        <w:t>. This will be assessed</w:t>
      </w:r>
      <w:r w:rsidR="00952D65">
        <w:t xml:space="preserve"> by: 1) </w:t>
      </w:r>
      <w:r w:rsidR="00781332">
        <w:t>by the proportion of 6BBs program milestones each clinic completes at each of 3 time points throughout the project</w:t>
      </w:r>
      <w:r w:rsidR="00952D65">
        <w:t xml:space="preserve"> and 2) </w:t>
      </w:r>
      <w:r w:rsidR="005050EF">
        <w:t xml:space="preserve">implementation progress in Proctor domains assessed </w:t>
      </w:r>
      <w:r w:rsidR="00952D65">
        <w:t>q</w:t>
      </w:r>
      <w:r w:rsidR="005050EF">
        <w:t>ualitatively through staff</w:t>
      </w:r>
      <w:r w:rsidR="00952D65">
        <w:t xml:space="preserve"> interviews</w:t>
      </w:r>
      <w:r w:rsidR="005050EF">
        <w:t xml:space="preserve"> and quarterly check-in calls</w:t>
      </w:r>
      <w:r w:rsidR="00952D65">
        <w:t xml:space="preserve">. </w:t>
      </w:r>
      <w:r w:rsidR="00F074E4">
        <w:t>(See Table 2.)</w:t>
      </w:r>
    </w:p>
    <w:p w14:paraId="5EE4B933" w14:textId="77777777" w:rsidR="00781332" w:rsidRDefault="00781332" w:rsidP="00E44D6F"/>
    <w:p w14:paraId="688C9D56" w14:textId="17F682CA" w:rsidR="00DF2D2A" w:rsidRDefault="00952D65" w:rsidP="00DF2D2A">
      <w:r>
        <w:t>Second, e</w:t>
      </w:r>
      <w:r w:rsidR="008851FF">
        <w:t xml:space="preserve">ffectiveness of the 6BBs program </w:t>
      </w:r>
      <w:r w:rsidR="008851FF" w:rsidRPr="008628B0">
        <w:t>in improving opioid prescribing practices and relevant outputs and outcomes</w:t>
      </w:r>
      <w:r w:rsidR="008851FF">
        <w:t xml:space="preserve"> will be assessed by</w:t>
      </w:r>
      <w:r>
        <w:t>: 1)</w:t>
      </w:r>
      <w:r w:rsidR="008851FF">
        <w:t xml:space="preserve"> the extent to which clinical staff report </w:t>
      </w:r>
      <w:r>
        <w:t xml:space="preserve">using </w:t>
      </w:r>
      <w:r w:rsidR="008851FF">
        <w:t>recommended clinical practices for managing patients with chronic p</w:t>
      </w:r>
      <w:r>
        <w:t>ain on long-term opioid therapy</w:t>
      </w:r>
      <w:r w:rsidR="00F074E4">
        <w:t xml:space="preserve"> and </w:t>
      </w:r>
      <w:r>
        <w:t>2)</w:t>
      </w:r>
      <w:r w:rsidR="008851FF">
        <w:t xml:space="preserve"> by </w:t>
      </w:r>
      <w:r>
        <w:t xml:space="preserve">several </w:t>
      </w:r>
      <w:r w:rsidR="00DF2D2A">
        <w:t xml:space="preserve">clinic-level outcomes related to opioid prescribing: </w:t>
      </w:r>
    </w:p>
    <w:p w14:paraId="757CD15B" w14:textId="77777777" w:rsidR="00DF2D2A" w:rsidRDefault="00DF2D2A" w:rsidP="00DF2D2A"/>
    <w:p w14:paraId="507881CD" w14:textId="7FDF36B2" w:rsidR="00DF2D2A" w:rsidRPr="00DF2D2A" w:rsidRDefault="00DF2D2A" w:rsidP="00683D84">
      <w:pPr>
        <w:pStyle w:val="ListParagraph"/>
        <w:numPr>
          <w:ilvl w:val="0"/>
          <w:numId w:val="31"/>
        </w:numPr>
      </w:pPr>
      <w:r w:rsidRPr="00DF2D2A">
        <w:rPr>
          <w:rFonts w:ascii="Times New Roman" w:hAnsi="Times New Roman" w:cs="Times New Roman"/>
        </w:rPr>
        <w:t xml:space="preserve">Number of patients on long-term opioid therapy </w:t>
      </w:r>
    </w:p>
    <w:p w14:paraId="3A18651F" w14:textId="431F0991" w:rsidR="00DF2D2A" w:rsidRPr="00DF2D2A" w:rsidRDefault="00DF2D2A" w:rsidP="00683D84">
      <w:pPr>
        <w:pStyle w:val="ListParagraph"/>
        <w:numPr>
          <w:ilvl w:val="0"/>
          <w:numId w:val="31"/>
        </w:numPr>
      </w:pPr>
      <w:r w:rsidRPr="00DF2D2A">
        <w:rPr>
          <w:rFonts w:ascii="Times New Roman" w:hAnsi="Times New Roman" w:cs="Times New Roman"/>
        </w:rPr>
        <w:t xml:space="preserve">Proportion of patients on long-term opioid therapy who are on greater than 90 morphine milligram equivalents (MMEs) </w:t>
      </w:r>
    </w:p>
    <w:p w14:paraId="54EC3352" w14:textId="2A426E82" w:rsidR="00DF2D2A" w:rsidRPr="00DF2D2A" w:rsidRDefault="00DF2D2A" w:rsidP="00683D84">
      <w:pPr>
        <w:pStyle w:val="ListParagraph"/>
        <w:numPr>
          <w:ilvl w:val="0"/>
          <w:numId w:val="31"/>
        </w:numPr>
      </w:pPr>
      <w:r w:rsidRPr="00DF2D2A">
        <w:rPr>
          <w:rFonts w:ascii="Times New Roman" w:hAnsi="Times New Roman" w:cs="Times New Roman"/>
        </w:rPr>
        <w:t>Proportion of patients on long-term opioid therapy who are co-prescribed a benzodiazepine</w:t>
      </w:r>
    </w:p>
    <w:p w14:paraId="0479C18F" w14:textId="28DE8D47" w:rsidR="00DF2D2A" w:rsidRPr="00DF2D2A" w:rsidRDefault="00DF2D2A" w:rsidP="00683D84">
      <w:pPr>
        <w:pStyle w:val="ListParagraph"/>
        <w:numPr>
          <w:ilvl w:val="0"/>
          <w:numId w:val="31"/>
        </w:numPr>
      </w:pPr>
      <w:r w:rsidRPr="00DF2D2A">
        <w:rPr>
          <w:rFonts w:ascii="Times New Roman" w:hAnsi="Times New Roman" w:cs="Times New Roman"/>
        </w:rPr>
        <w:t xml:space="preserve">Proportion of patients on long-term opioid therapy who had the prescription drug monitoring program (PDMP) checked </w:t>
      </w:r>
    </w:p>
    <w:p w14:paraId="7DD7CAEA" w14:textId="5745BDD8" w:rsidR="00781332" w:rsidRPr="00DF2D2A" w:rsidRDefault="00DF2D2A" w:rsidP="00683D84">
      <w:pPr>
        <w:pStyle w:val="ListParagraph"/>
        <w:numPr>
          <w:ilvl w:val="0"/>
          <w:numId w:val="31"/>
        </w:numPr>
      </w:pPr>
      <w:r w:rsidRPr="00DF2D2A">
        <w:rPr>
          <w:rFonts w:ascii="Times New Roman" w:hAnsi="Times New Roman" w:cs="Times New Roman"/>
        </w:rPr>
        <w:t>Proportion of patients on long-term opioid therapy who have had a urine drug screen</w:t>
      </w:r>
      <w:r w:rsidR="00781332" w:rsidRPr="00DF2D2A">
        <w:rPr>
          <w:rFonts w:ascii="Times New Roman" w:hAnsi="Times New Roman" w:cs="Times New Roman"/>
        </w:rPr>
        <w:t xml:space="preserve"> </w:t>
      </w:r>
    </w:p>
    <w:p w14:paraId="6FCF30BF" w14:textId="77777777" w:rsidR="00781332" w:rsidRDefault="00781332" w:rsidP="00E44D6F"/>
    <w:p w14:paraId="67042F09" w14:textId="743511BD" w:rsidR="00F074E4" w:rsidRDefault="00F074E4" w:rsidP="006014DB">
      <w:r>
        <w:t xml:space="preserve">The extent to which clinical staff report using recommended clinical practices will be assessed through a clinical staff survey based on the </w:t>
      </w:r>
      <w:r w:rsidRPr="00DF2D2A">
        <w:t>C</w:t>
      </w:r>
      <w:r>
        <w:t xml:space="preserve">enters for Disease Control and Prevention (CDC)’s </w:t>
      </w:r>
      <w:r w:rsidRPr="00DF2D2A">
        <w:t>Guideline for Prescribing Opioids for Chronic Pain</w:t>
      </w:r>
      <w:r>
        <w:t>.</w:t>
      </w:r>
      <w:r>
        <w:rPr>
          <w:rStyle w:val="FootnoteReference"/>
        </w:rPr>
        <w:footnoteReference w:id="7"/>
      </w:r>
    </w:p>
    <w:p w14:paraId="42E44BED" w14:textId="77777777" w:rsidR="00F074E4" w:rsidRDefault="00F074E4" w:rsidP="006014DB"/>
    <w:p w14:paraId="4372D8B7" w14:textId="64ADAB87" w:rsidR="00DF2D2A" w:rsidRDefault="00F074E4" w:rsidP="006014DB">
      <w:r>
        <w:t>The</w:t>
      </w:r>
      <w:r w:rsidR="00DF2D2A" w:rsidRPr="00DF2D2A">
        <w:t xml:space="preserve"> </w:t>
      </w:r>
      <w:r>
        <w:t xml:space="preserve">selected </w:t>
      </w:r>
      <w:r w:rsidR="00952D65">
        <w:t xml:space="preserve">clinic-level </w:t>
      </w:r>
      <w:r>
        <w:t xml:space="preserve">outcomes were chosen for several reasons. </w:t>
      </w:r>
      <w:r w:rsidR="00DF2D2A" w:rsidRPr="00DF2D2A">
        <w:t>Two of these (#1 and #2) were used in the original 6BBs study</w:t>
      </w:r>
      <w:r>
        <w:t>.</w:t>
      </w:r>
      <w:r>
        <w:rPr>
          <w:rStyle w:val="FootnoteReference"/>
        </w:rPr>
        <w:footnoteReference w:id="8"/>
      </w:r>
      <w:r>
        <w:t xml:space="preserve"> </w:t>
      </w:r>
      <w:r w:rsidR="00DF2D2A" w:rsidRPr="00DF2D2A">
        <w:t xml:space="preserve">Additionally, these are measures </w:t>
      </w:r>
      <w:r>
        <w:t>released by CDC</w:t>
      </w:r>
      <w:r w:rsidR="00DF2D2A" w:rsidRPr="00DF2D2A">
        <w:t xml:space="preserve"> to support implementation of their evidence-based CDC Guideline for Prescribing Opioids for Chro</w:t>
      </w:r>
      <w:r>
        <w:t xml:space="preserve">nic Pain. </w:t>
      </w:r>
      <w:r w:rsidR="00DF2D2A" w:rsidRPr="00DF2D2A">
        <w:t xml:space="preserve">There are actually 16 QI measures from the CDC, but the ones selected above are the ones with the strong evidence (i.e., high MMEs, co-prescribed opioids and benzodiazepines) and well-established practices in the field (i.e., check PDMP and urine drug screen).  </w:t>
      </w:r>
    </w:p>
    <w:p w14:paraId="64E7910E" w14:textId="77777777" w:rsidR="0076180B" w:rsidRDefault="0076180B" w:rsidP="006014DB"/>
    <w:tbl>
      <w:tblPr>
        <w:tblW w:w="9360" w:type="dxa"/>
        <w:tblCellMar>
          <w:left w:w="0" w:type="dxa"/>
          <w:right w:w="0" w:type="dxa"/>
        </w:tblCellMar>
        <w:tblLook w:val="04A0" w:firstRow="1" w:lastRow="0" w:firstColumn="1" w:lastColumn="0" w:noHBand="0" w:noVBand="1"/>
      </w:tblPr>
      <w:tblGrid>
        <w:gridCol w:w="4410"/>
        <w:gridCol w:w="2700"/>
        <w:gridCol w:w="2250"/>
      </w:tblGrid>
      <w:tr w:rsidR="0076180B" w:rsidRPr="004B3FEE" w14:paraId="15B1D81E" w14:textId="77777777" w:rsidTr="005050EF">
        <w:trPr>
          <w:cantSplit/>
          <w:tblHeader/>
        </w:trPr>
        <w:tc>
          <w:tcPr>
            <w:tcW w:w="9360" w:type="dxa"/>
            <w:gridSpan w:val="3"/>
            <w:tcBorders>
              <w:top w:val="nil"/>
              <w:left w:val="nil"/>
              <w:bottom w:val="single" w:sz="8" w:space="0" w:color="2E74B5"/>
              <w:right w:val="nil"/>
            </w:tcBorders>
            <w:shd w:val="clear" w:color="auto" w:fill="2E74B5"/>
            <w:hideMark/>
          </w:tcPr>
          <w:p w14:paraId="06B2D569" w14:textId="41806DCF" w:rsidR="0076180B" w:rsidRPr="003E61C3" w:rsidRDefault="0076180B">
            <w:pPr>
              <w:autoSpaceDE w:val="0"/>
              <w:autoSpaceDN w:val="0"/>
              <w:rPr>
                <w:rFonts w:eastAsiaTheme="minorHAnsi"/>
                <w:b/>
                <w:bCs/>
                <w:color w:val="FFFFFF"/>
                <w:sz w:val="20"/>
                <w:szCs w:val="20"/>
                <w14:numForm w14:val="lining"/>
              </w:rPr>
            </w:pPr>
            <w:r>
              <w:rPr>
                <w:rFonts w:eastAsiaTheme="minorHAnsi"/>
                <w:b/>
                <w:bCs/>
                <w:color w:val="FFFFFF"/>
                <w:sz w:val="20"/>
                <w:szCs w:val="20"/>
                <w14:numForm w14:val="lining"/>
              </w:rPr>
              <w:t>Table 2</w:t>
            </w:r>
            <w:r w:rsidRPr="00646BED">
              <w:rPr>
                <w:rFonts w:eastAsiaTheme="minorHAnsi"/>
                <w:b/>
                <w:bCs/>
                <w:color w:val="FFFFFF"/>
                <w:sz w:val="20"/>
                <w:szCs w:val="20"/>
                <w14:numForm w14:val="lining"/>
              </w:rPr>
              <w:t xml:space="preserve">. </w:t>
            </w:r>
            <w:r>
              <w:rPr>
                <w:rFonts w:eastAsiaTheme="minorHAnsi"/>
                <w:b/>
                <w:bCs/>
                <w:color w:val="FFFFFF"/>
                <w:sz w:val="20"/>
                <w:szCs w:val="20"/>
                <w14:numForm w14:val="lining"/>
              </w:rPr>
              <w:t>Evaluation objectives, questions, domains, and data sources</w:t>
            </w:r>
            <w:r w:rsidRPr="003E61C3">
              <w:rPr>
                <w:rFonts w:eastAsiaTheme="minorHAnsi"/>
                <w:b/>
                <w:bCs/>
                <w:color w:val="FFFFFF"/>
                <w:sz w:val="20"/>
                <w:szCs w:val="20"/>
                <w14:numForm w14:val="lining"/>
              </w:rPr>
              <w:t xml:space="preserve"> </w:t>
            </w:r>
          </w:p>
        </w:tc>
      </w:tr>
      <w:tr w:rsidR="0076180B" w:rsidRPr="004B3FEE" w14:paraId="7B32FED8" w14:textId="77777777" w:rsidTr="005050EF">
        <w:trPr>
          <w:cantSplit/>
        </w:trPr>
        <w:tc>
          <w:tcPr>
            <w:tcW w:w="9360" w:type="dxa"/>
            <w:gridSpan w:val="3"/>
            <w:tcBorders>
              <w:top w:val="nil"/>
              <w:left w:val="nil"/>
              <w:bottom w:val="single" w:sz="8" w:space="0" w:color="2E74B5"/>
              <w:right w:val="nil"/>
            </w:tcBorders>
            <w:shd w:val="clear" w:color="auto" w:fill="DEEAF6"/>
          </w:tcPr>
          <w:p w14:paraId="43A3BA68" w14:textId="3948117C" w:rsidR="0076180B" w:rsidRPr="003E61C3" w:rsidRDefault="0076180B" w:rsidP="005050EF">
            <w:pPr>
              <w:rPr>
                <w:rFonts w:eastAsiaTheme="minorHAnsi"/>
                <w:b/>
                <w:bCs/>
                <w:color w:val="000000"/>
                <w:sz w:val="18"/>
                <w:szCs w:val="18"/>
              </w:rPr>
            </w:pPr>
            <w:r>
              <w:rPr>
                <w:rFonts w:eastAsiaTheme="minorHAnsi"/>
                <w:b/>
                <w:bCs/>
                <w:color w:val="000000"/>
                <w:sz w:val="18"/>
                <w:szCs w:val="18"/>
              </w:rPr>
              <w:t>Objective 1: Understand the facilitators and barriers to implementing the 6BBs Toolkit (How-to-Guide and 6BBs program</w:t>
            </w:r>
          </w:p>
        </w:tc>
      </w:tr>
      <w:tr w:rsidR="009B0CE4" w:rsidRPr="00683D84" w14:paraId="35A3DA42" w14:textId="77777777" w:rsidTr="00683D84">
        <w:trPr>
          <w:cantSplit/>
        </w:trPr>
        <w:tc>
          <w:tcPr>
            <w:tcW w:w="4410" w:type="dxa"/>
            <w:tcBorders>
              <w:top w:val="nil"/>
              <w:left w:val="nil"/>
              <w:bottom w:val="single" w:sz="8" w:space="0" w:color="2E74B5"/>
              <w:right w:val="nil"/>
            </w:tcBorders>
            <w:shd w:val="clear" w:color="auto" w:fill="E7E6E6" w:themeFill="background2"/>
          </w:tcPr>
          <w:p w14:paraId="020574C2" w14:textId="69F8F5CF" w:rsidR="009B0CE4" w:rsidRPr="00683D84" w:rsidRDefault="009B0CE4" w:rsidP="00683D84">
            <w:pPr>
              <w:jc w:val="center"/>
              <w:rPr>
                <w:rFonts w:eastAsiaTheme="minorHAnsi"/>
                <w:b/>
                <w:bCs/>
                <w:color w:val="000000"/>
                <w:sz w:val="18"/>
                <w:szCs w:val="18"/>
              </w:rPr>
            </w:pPr>
            <w:r w:rsidRPr="00683D84">
              <w:rPr>
                <w:rFonts w:eastAsiaTheme="minorHAnsi"/>
                <w:b/>
                <w:bCs/>
                <w:color w:val="000000"/>
                <w:sz w:val="18"/>
                <w:szCs w:val="18"/>
              </w:rPr>
              <w:t>Questions</w:t>
            </w:r>
          </w:p>
        </w:tc>
        <w:tc>
          <w:tcPr>
            <w:tcW w:w="2700" w:type="dxa"/>
            <w:tcBorders>
              <w:top w:val="nil"/>
              <w:left w:val="nil"/>
              <w:bottom w:val="single" w:sz="8" w:space="0" w:color="2E74B5"/>
              <w:right w:val="nil"/>
            </w:tcBorders>
            <w:shd w:val="clear" w:color="auto" w:fill="E7E6E6" w:themeFill="background2"/>
            <w:tcMar>
              <w:top w:w="0" w:type="dxa"/>
              <w:left w:w="108" w:type="dxa"/>
              <w:bottom w:w="0" w:type="dxa"/>
              <w:right w:w="108" w:type="dxa"/>
            </w:tcMar>
          </w:tcPr>
          <w:p w14:paraId="265CD845" w14:textId="0EFAEC41" w:rsidR="009B0CE4" w:rsidRPr="00683D84" w:rsidRDefault="009B0CE4" w:rsidP="00683D84">
            <w:pPr>
              <w:ind w:left="360"/>
              <w:jc w:val="center"/>
              <w:rPr>
                <w:rFonts w:eastAsiaTheme="minorHAnsi"/>
                <w:b/>
                <w:color w:val="000000"/>
                <w:sz w:val="18"/>
                <w:szCs w:val="18"/>
              </w:rPr>
            </w:pPr>
            <w:r w:rsidRPr="00683D84">
              <w:rPr>
                <w:rFonts w:eastAsiaTheme="minorHAnsi"/>
                <w:b/>
                <w:color w:val="000000"/>
                <w:sz w:val="18"/>
                <w:szCs w:val="18"/>
              </w:rPr>
              <w:t>Domains</w:t>
            </w:r>
          </w:p>
        </w:tc>
        <w:tc>
          <w:tcPr>
            <w:tcW w:w="2250" w:type="dxa"/>
            <w:tcBorders>
              <w:top w:val="nil"/>
              <w:left w:val="nil"/>
              <w:bottom w:val="single" w:sz="8" w:space="0" w:color="2E74B5"/>
              <w:right w:val="nil"/>
            </w:tcBorders>
            <w:shd w:val="clear" w:color="auto" w:fill="E7E6E6" w:themeFill="background2"/>
          </w:tcPr>
          <w:p w14:paraId="52E1A5D6" w14:textId="33C3627A" w:rsidR="009B0CE4" w:rsidRPr="00683D84" w:rsidRDefault="009B0CE4" w:rsidP="00683D84">
            <w:pPr>
              <w:ind w:left="360"/>
              <w:jc w:val="center"/>
              <w:rPr>
                <w:rFonts w:eastAsiaTheme="minorHAnsi"/>
                <w:b/>
                <w:color w:val="000000"/>
                <w:sz w:val="18"/>
                <w:szCs w:val="18"/>
              </w:rPr>
            </w:pPr>
            <w:r w:rsidRPr="00683D84">
              <w:rPr>
                <w:rFonts w:eastAsiaTheme="minorHAnsi"/>
                <w:b/>
                <w:color w:val="000000"/>
                <w:sz w:val="18"/>
                <w:szCs w:val="18"/>
              </w:rPr>
              <w:t>Data Source</w:t>
            </w:r>
            <w:r>
              <w:rPr>
                <w:rFonts w:eastAsiaTheme="minorHAnsi"/>
                <w:b/>
                <w:color w:val="000000"/>
                <w:sz w:val="18"/>
                <w:szCs w:val="18"/>
              </w:rPr>
              <w:t>s</w:t>
            </w:r>
          </w:p>
        </w:tc>
      </w:tr>
      <w:tr w:rsidR="0076180B" w:rsidRPr="004B3FEE" w14:paraId="70A7C2A1" w14:textId="77777777" w:rsidTr="00683D84">
        <w:trPr>
          <w:cantSplit/>
        </w:trPr>
        <w:tc>
          <w:tcPr>
            <w:tcW w:w="4410" w:type="dxa"/>
            <w:tcBorders>
              <w:top w:val="nil"/>
              <w:left w:val="nil"/>
              <w:bottom w:val="single" w:sz="8" w:space="0" w:color="2E74B5"/>
              <w:right w:val="nil"/>
            </w:tcBorders>
            <w:hideMark/>
          </w:tcPr>
          <w:p w14:paraId="2B41F31A" w14:textId="77777777" w:rsidR="0076180B" w:rsidRDefault="00FD727C" w:rsidP="005050EF">
            <w:pPr>
              <w:rPr>
                <w:rFonts w:eastAsiaTheme="minorHAnsi"/>
                <w:b/>
                <w:bCs/>
                <w:color w:val="000000"/>
                <w:sz w:val="18"/>
                <w:szCs w:val="18"/>
              </w:rPr>
            </w:pPr>
            <w:r>
              <w:rPr>
                <w:rFonts w:eastAsiaTheme="minorHAnsi"/>
                <w:b/>
                <w:bCs/>
                <w:color w:val="000000"/>
                <w:sz w:val="18"/>
                <w:szCs w:val="18"/>
              </w:rPr>
              <w:t>How-to-Guide:</w:t>
            </w:r>
          </w:p>
          <w:p w14:paraId="2C95E28E" w14:textId="3BBE1B86" w:rsidR="00FD727C" w:rsidRDefault="00FD727C" w:rsidP="00683D84">
            <w:pPr>
              <w:pStyle w:val="ListParagraph"/>
              <w:numPr>
                <w:ilvl w:val="0"/>
                <w:numId w:val="33"/>
              </w:numPr>
              <w:rPr>
                <w:sz w:val="18"/>
                <w:szCs w:val="18"/>
              </w:rPr>
            </w:pPr>
            <w:r w:rsidRPr="00683D84">
              <w:rPr>
                <w:rFonts w:ascii="Times New Roman" w:hAnsi="Times New Roman" w:cs="Times New Roman"/>
                <w:sz w:val="18"/>
                <w:szCs w:val="18"/>
              </w:rPr>
              <w:t>How did organizations and clinics use the How-To-Guide? What were their experiences with using the Guide?</w:t>
            </w:r>
          </w:p>
          <w:p w14:paraId="463D169D" w14:textId="77777777" w:rsidR="00E738C7" w:rsidRPr="00683D84" w:rsidRDefault="00E738C7" w:rsidP="00683D84">
            <w:pPr>
              <w:pStyle w:val="ListParagraph"/>
              <w:ind w:left="360"/>
              <w:rPr>
                <w:sz w:val="18"/>
                <w:szCs w:val="18"/>
              </w:rPr>
            </w:pPr>
          </w:p>
          <w:p w14:paraId="6E67A737" w14:textId="46A3B1B8" w:rsidR="00FD727C" w:rsidRPr="00683D84" w:rsidRDefault="00FD727C" w:rsidP="00683D84">
            <w:pPr>
              <w:pStyle w:val="ListParagraph"/>
              <w:numPr>
                <w:ilvl w:val="0"/>
                <w:numId w:val="33"/>
              </w:numPr>
              <w:rPr>
                <w:rFonts w:eastAsiaTheme="minorHAnsi"/>
                <w:b/>
                <w:bCs/>
                <w:color w:val="000000"/>
                <w:sz w:val="18"/>
                <w:szCs w:val="18"/>
              </w:rPr>
            </w:pPr>
            <w:r w:rsidRPr="00683D84">
              <w:rPr>
                <w:rFonts w:ascii="Times New Roman" w:hAnsi="Times New Roman" w:cs="Times New Roman"/>
                <w:sz w:val="18"/>
                <w:szCs w:val="18"/>
              </w:rPr>
              <w:t>What were the specific barriers and facilitators to using the Guide?</w:t>
            </w:r>
          </w:p>
        </w:tc>
        <w:tc>
          <w:tcPr>
            <w:tcW w:w="2700" w:type="dxa"/>
            <w:tcBorders>
              <w:top w:val="nil"/>
              <w:left w:val="nil"/>
              <w:bottom w:val="single" w:sz="8" w:space="0" w:color="2E74B5"/>
              <w:right w:val="nil"/>
            </w:tcBorders>
            <w:tcMar>
              <w:top w:w="0" w:type="dxa"/>
              <w:left w:w="108" w:type="dxa"/>
              <w:bottom w:w="0" w:type="dxa"/>
              <w:right w:w="108" w:type="dxa"/>
            </w:tcMar>
            <w:hideMark/>
          </w:tcPr>
          <w:p w14:paraId="5F8EBFF3" w14:textId="77777777" w:rsidR="00804ECF" w:rsidRDefault="00804ECF" w:rsidP="00683D84">
            <w:pPr>
              <w:ind w:left="360"/>
              <w:rPr>
                <w:rFonts w:eastAsiaTheme="minorHAnsi"/>
                <w:color w:val="000000"/>
                <w:sz w:val="18"/>
                <w:szCs w:val="18"/>
              </w:rPr>
            </w:pPr>
          </w:p>
          <w:p w14:paraId="1986E7D6" w14:textId="2930FAB4" w:rsidR="0076180B" w:rsidRDefault="00FD727C" w:rsidP="005050EF">
            <w:pPr>
              <w:numPr>
                <w:ilvl w:val="0"/>
                <w:numId w:val="26"/>
              </w:numPr>
              <w:rPr>
                <w:rFonts w:eastAsiaTheme="minorHAnsi"/>
                <w:color w:val="000000"/>
                <w:sz w:val="18"/>
                <w:szCs w:val="18"/>
              </w:rPr>
            </w:pPr>
            <w:r>
              <w:rPr>
                <w:rFonts w:eastAsiaTheme="minorHAnsi"/>
                <w:color w:val="000000"/>
                <w:sz w:val="18"/>
                <w:szCs w:val="18"/>
              </w:rPr>
              <w:t>CFIR domains: Adaptability, complexity, design quality and packaging, executing</w:t>
            </w:r>
          </w:p>
          <w:p w14:paraId="30995BE1" w14:textId="77777777" w:rsidR="00E738C7" w:rsidRPr="003E61C3" w:rsidRDefault="00E738C7" w:rsidP="00683D84">
            <w:pPr>
              <w:ind w:left="360"/>
              <w:rPr>
                <w:rFonts w:eastAsiaTheme="minorHAnsi"/>
                <w:color w:val="000000"/>
                <w:sz w:val="18"/>
                <w:szCs w:val="18"/>
              </w:rPr>
            </w:pPr>
          </w:p>
          <w:p w14:paraId="6778C426" w14:textId="43D006F5" w:rsidR="0076180B" w:rsidRPr="003E61C3" w:rsidRDefault="00FD727C" w:rsidP="005050EF">
            <w:pPr>
              <w:numPr>
                <w:ilvl w:val="0"/>
                <w:numId w:val="26"/>
              </w:numPr>
              <w:rPr>
                <w:rFonts w:eastAsiaTheme="minorHAnsi"/>
                <w:color w:val="000000"/>
                <w:sz w:val="18"/>
                <w:szCs w:val="18"/>
              </w:rPr>
            </w:pPr>
            <w:r>
              <w:rPr>
                <w:rFonts w:eastAsiaTheme="minorHAnsi"/>
                <w:color w:val="000000"/>
                <w:sz w:val="18"/>
                <w:szCs w:val="18"/>
              </w:rPr>
              <w:t>Proctor domains: Adoption</w:t>
            </w:r>
          </w:p>
        </w:tc>
        <w:tc>
          <w:tcPr>
            <w:tcW w:w="2250" w:type="dxa"/>
            <w:tcBorders>
              <w:top w:val="nil"/>
              <w:left w:val="nil"/>
              <w:bottom w:val="single" w:sz="8" w:space="0" w:color="2E74B5"/>
              <w:right w:val="nil"/>
            </w:tcBorders>
            <w:hideMark/>
          </w:tcPr>
          <w:p w14:paraId="0266B864" w14:textId="77777777" w:rsidR="00804ECF" w:rsidRDefault="00804ECF" w:rsidP="00683D84">
            <w:pPr>
              <w:ind w:left="360"/>
              <w:rPr>
                <w:rFonts w:eastAsiaTheme="minorHAnsi"/>
                <w:color w:val="000000"/>
                <w:sz w:val="18"/>
                <w:szCs w:val="18"/>
              </w:rPr>
            </w:pPr>
          </w:p>
          <w:p w14:paraId="0AFB8054" w14:textId="44E49AF8" w:rsidR="0076180B" w:rsidRDefault="00FD727C" w:rsidP="005050EF">
            <w:pPr>
              <w:numPr>
                <w:ilvl w:val="0"/>
                <w:numId w:val="27"/>
              </w:numPr>
              <w:rPr>
                <w:rFonts w:eastAsiaTheme="minorHAnsi"/>
                <w:color w:val="000000"/>
                <w:sz w:val="18"/>
                <w:szCs w:val="18"/>
              </w:rPr>
            </w:pPr>
            <w:r>
              <w:rPr>
                <w:rFonts w:eastAsiaTheme="minorHAnsi"/>
                <w:color w:val="000000"/>
                <w:sz w:val="18"/>
                <w:szCs w:val="18"/>
              </w:rPr>
              <w:t>Staff interviews</w:t>
            </w:r>
          </w:p>
          <w:p w14:paraId="45953CD0" w14:textId="77777777" w:rsidR="00FD727C" w:rsidRDefault="00FD727C" w:rsidP="005050EF">
            <w:pPr>
              <w:numPr>
                <w:ilvl w:val="0"/>
                <w:numId w:val="27"/>
              </w:numPr>
              <w:rPr>
                <w:rFonts w:eastAsiaTheme="minorHAnsi"/>
                <w:color w:val="000000"/>
                <w:sz w:val="18"/>
                <w:szCs w:val="18"/>
              </w:rPr>
            </w:pPr>
            <w:r>
              <w:rPr>
                <w:rFonts w:eastAsiaTheme="minorHAnsi"/>
                <w:color w:val="000000"/>
                <w:sz w:val="18"/>
                <w:szCs w:val="18"/>
              </w:rPr>
              <w:t>Quarterly check-in calls</w:t>
            </w:r>
          </w:p>
          <w:p w14:paraId="094AD620" w14:textId="77777777" w:rsidR="00E738C7" w:rsidRDefault="00E738C7" w:rsidP="00683D84">
            <w:pPr>
              <w:rPr>
                <w:rFonts w:eastAsiaTheme="minorHAnsi"/>
                <w:color w:val="000000"/>
                <w:sz w:val="18"/>
                <w:szCs w:val="18"/>
              </w:rPr>
            </w:pPr>
          </w:p>
          <w:p w14:paraId="170545F2" w14:textId="77777777" w:rsidR="00E738C7" w:rsidRDefault="00E738C7" w:rsidP="00683D84">
            <w:pPr>
              <w:rPr>
                <w:rFonts w:eastAsiaTheme="minorHAnsi"/>
                <w:color w:val="000000"/>
                <w:sz w:val="18"/>
                <w:szCs w:val="18"/>
              </w:rPr>
            </w:pPr>
          </w:p>
          <w:p w14:paraId="405910DB" w14:textId="77777777" w:rsidR="00E738C7" w:rsidRDefault="00E738C7" w:rsidP="00E738C7">
            <w:pPr>
              <w:numPr>
                <w:ilvl w:val="0"/>
                <w:numId w:val="27"/>
              </w:numPr>
              <w:rPr>
                <w:rFonts w:eastAsiaTheme="minorHAnsi"/>
                <w:color w:val="000000"/>
                <w:sz w:val="18"/>
                <w:szCs w:val="18"/>
              </w:rPr>
            </w:pPr>
            <w:r>
              <w:rPr>
                <w:rFonts w:eastAsiaTheme="minorHAnsi"/>
                <w:color w:val="000000"/>
                <w:sz w:val="18"/>
                <w:szCs w:val="18"/>
              </w:rPr>
              <w:t>Staff interviews</w:t>
            </w:r>
          </w:p>
          <w:p w14:paraId="54A247C2" w14:textId="33E88763" w:rsidR="00E738C7" w:rsidRPr="00E738C7" w:rsidRDefault="00E738C7">
            <w:pPr>
              <w:numPr>
                <w:ilvl w:val="0"/>
                <w:numId w:val="27"/>
              </w:numPr>
              <w:rPr>
                <w:rFonts w:eastAsiaTheme="minorHAnsi"/>
                <w:color w:val="000000"/>
                <w:sz w:val="18"/>
                <w:szCs w:val="18"/>
              </w:rPr>
            </w:pPr>
            <w:r w:rsidRPr="00E738C7">
              <w:rPr>
                <w:rFonts w:eastAsiaTheme="minorHAnsi"/>
                <w:color w:val="000000"/>
                <w:sz w:val="18"/>
                <w:szCs w:val="18"/>
              </w:rPr>
              <w:t>Quarterly check-in calls</w:t>
            </w:r>
          </w:p>
        </w:tc>
      </w:tr>
      <w:tr w:rsidR="00FD727C" w:rsidRPr="004B3FEE" w14:paraId="2F5C90C8" w14:textId="77777777" w:rsidTr="00683D84">
        <w:trPr>
          <w:cantSplit/>
        </w:trPr>
        <w:tc>
          <w:tcPr>
            <w:tcW w:w="4410" w:type="dxa"/>
            <w:tcBorders>
              <w:top w:val="nil"/>
              <w:left w:val="nil"/>
              <w:bottom w:val="single" w:sz="8" w:space="0" w:color="2E74B5"/>
              <w:right w:val="nil"/>
            </w:tcBorders>
          </w:tcPr>
          <w:p w14:paraId="5B11A05B" w14:textId="4E419DA6" w:rsidR="00FD727C" w:rsidRDefault="00FD727C" w:rsidP="005050EF">
            <w:pPr>
              <w:rPr>
                <w:rFonts w:eastAsiaTheme="minorHAnsi"/>
                <w:b/>
                <w:bCs/>
                <w:color w:val="000000"/>
                <w:sz w:val="18"/>
                <w:szCs w:val="18"/>
              </w:rPr>
            </w:pPr>
            <w:r>
              <w:rPr>
                <w:rFonts w:eastAsiaTheme="minorHAnsi"/>
                <w:b/>
                <w:bCs/>
                <w:color w:val="000000"/>
                <w:sz w:val="18"/>
                <w:szCs w:val="18"/>
              </w:rPr>
              <w:t xml:space="preserve">6BBs program: </w:t>
            </w:r>
          </w:p>
          <w:p w14:paraId="7744B45B" w14:textId="2BB7BEAD" w:rsidR="00FD727C" w:rsidRDefault="00FD727C" w:rsidP="00683D84">
            <w:pPr>
              <w:pStyle w:val="ListParagraph"/>
              <w:numPr>
                <w:ilvl w:val="0"/>
                <w:numId w:val="34"/>
              </w:numPr>
              <w:rPr>
                <w:sz w:val="18"/>
                <w:szCs w:val="18"/>
              </w:rPr>
            </w:pPr>
            <w:r w:rsidRPr="00683D84">
              <w:rPr>
                <w:rFonts w:ascii="Times New Roman" w:hAnsi="Times New Roman" w:cs="Times New Roman"/>
                <w:sz w:val="18"/>
                <w:szCs w:val="18"/>
              </w:rPr>
              <w:t>What were the facilitators</w:t>
            </w:r>
            <w:r w:rsidR="000B18C4" w:rsidRPr="00683D84">
              <w:rPr>
                <w:rFonts w:ascii="Times New Roman" w:hAnsi="Times New Roman" w:cs="Times New Roman"/>
                <w:sz w:val="18"/>
                <w:szCs w:val="18"/>
              </w:rPr>
              <w:t>/barriers</w:t>
            </w:r>
            <w:r w:rsidRPr="00683D84">
              <w:rPr>
                <w:rFonts w:ascii="Times New Roman" w:hAnsi="Times New Roman" w:cs="Times New Roman"/>
                <w:sz w:val="18"/>
                <w:szCs w:val="18"/>
              </w:rPr>
              <w:t xml:space="preserve"> of</w:t>
            </w:r>
            <w:r w:rsidR="00804ECF" w:rsidRPr="00683D84">
              <w:rPr>
                <w:rFonts w:ascii="Times New Roman" w:hAnsi="Times New Roman" w:cs="Times New Roman"/>
                <w:sz w:val="18"/>
                <w:szCs w:val="18"/>
              </w:rPr>
              <w:t xml:space="preserve"> 6BBs program</w:t>
            </w:r>
            <w:r w:rsidRPr="00683D84">
              <w:rPr>
                <w:rFonts w:ascii="Times New Roman" w:hAnsi="Times New Roman" w:cs="Times New Roman"/>
                <w:sz w:val="18"/>
                <w:szCs w:val="18"/>
              </w:rPr>
              <w:t xml:space="preserve"> implementation (e.g. external incentives, available resources, implementation climate)?</w:t>
            </w:r>
          </w:p>
          <w:p w14:paraId="66C8091F" w14:textId="77777777" w:rsidR="00E738C7" w:rsidRPr="00683D84" w:rsidRDefault="00E738C7" w:rsidP="00683D84">
            <w:pPr>
              <w:pStyle w:val="ListParagraph"/>
              <w:ind w:left="360"/>
              <w:rPr>
                <w:sz w:val="18"/>
                <w:szCs w:val="18"/>
              </w:rPr>
            </w:pPr>
          </w:p>
          <w:p w14:paraId="5967F377" w14:textId="21C8053B" w:rsidR="000B18C4" w:rsidRPr="00683D84" w:rsidRDefault="000B18C4" w:rsidP="00683D84">
            <w:pPr>
              <w:pStyle w:val="ListParagraph"/>
              <w:numPr>
                <w:ilvl w:val="0"/>
                <w:numId w:val="34"/>
              </w:numPr>
              <w:rPr>
                <w:rFonts w:eastAsiaTheme="minorHAnsi"/>
                <w:b/>
                <w:bCs/>
                <w:color w:val="000000"/>
                <w:sz w:val="18"/>
                <w:szCs w:val="18"/>
              </w:rPr>
            </w:pPr>
            <w:r w:rsidRPr="00683D84">
              <w:rPr>
                <w:rFonts w:ascii="Times New Roman" w:hAnsi="Times New Roman" w:cs="Times New Roman"/>
                <w:sz w:val="18"/>
                <w:szCs w:val="18"/>
              </w:rPr>
              <w:t>What were the lessons learned that would be helpful for future clinics to know?</w:t>
            </w:r>
          </w:p>
        </w:tc>
        <w:tc>
          <w:tcPr>
            <w:tcW w:w="2700" w:type="dxa"/>
            <w:tcBorders>
              <w:top w:val="nil"/>
              <w:left w:val="nil"/>
              <w:bottom w:val="single" w:sz="8" w:space="0" w:color="2E74B5"/>
              <w:right w:val="nil"/>
            </w:tcBorders>
            <w:tcMar>
              <w:top w:w="0" w:type="dxa"/>
              <w:left w:w="108" w:type="dxa"/>
              <w:bottom w:w="0" w:type="dxa"/>
              <w:right w:w="108" w:type="dxa"/>
            </w:tcMar>
          </w:tcPr>
          <w:p w14:paraId="6ABF8BEF" w14:textId="77777777" w:rsidR="00804ECF" w:rsidRDefault="00804ECF" w:rsidP="00683D84">
            <w:pPr>
              <w:pStyle w:val="ListParagraph"/>
              <w:ind w:left="360"/>
              <w:rPr>
                <w:rFonts w:eastAsiaTheme="minorHAnsi"/>
                <w:color w:val="000000"/>
                <w:sz w:val="18"/>
                <w:szCs w:val="18"/>
              </w:rPr>
            </w:pPr>
          </w:p>
          <w:p w14:paraId="05A04227" w14:textId="77777777" w:rsidR="00FD727C" w:rsidRPr="00683D84" w:rsidRDefault="00FD727C" w:rsidP="00683D84">
            <w:pPr>
              <w:pStyle w:val="ListParagraph"/>
              <w:numPr>
                <w:ilvl w:val="0"/>
                <w:numId w:val="32"/>
              </w:numPr>
              <w:rPr>
                <w:rFonts w:eastAsiaTheme="minorHAnsi"/>
                <w:color w:val="000000"/>
                <w:sz w:val="18"/>
                <w:szCs w:val="18"/>
              </w:rPr>
            </w:pPr>
            <w:r w:rsidRPr="00683D84">
              <w:rPr>
                <w:rFonts w:ascii="Times New Roman" w:eastAsiaTheme="minorHAnsi" w:hAnsi="Times New Roman" w:cs="Times New Roman"/>
                <w:color w:val="000000"/>
                <w:sz w:val="18"/>
                <w:szCs w:val="18"/>
              </w:rPr>
              <w:t>Proctor domains: sustainability</w:t>
            </w:r>
          </w:p>
          <w:p w14:paraId="6EB7247A" w14:textId="205DB3CD" w:rsidR="000B18C4" w:rsidRDefault="00FD727C" w:rsidP="00683D84">
            <w:pPr>
              <w:pStyle w:val="ListParagraph"/>
              <w:numPr>
                <w:ilvl w:val="0"/>
                <w:numId w:val="32"/>
              </w:numPr>
              <w:rPr>
                <w:rFonts w:eastAsiaTheme="minorHAnsi"/>
                <w:color w:val="000000"/>
                <w:sz w:val="18"/>
                <w:szCs w:val="18"/>
              </w:rPr>
            </w:pPr>
            <w:r w:rsidRPr="00683D84">
              <w:rPr>
                <w:rFonts w:ascii="Times New Roman" w:eastAsiaTheme="minorHAnsi" w:hAnsi="Times New Roman" w:cs="Times New Roman"/>
                <w:color w:val="000000"/>
                <w:sz w:val="18"/>
                <w:szCs w:val="18"/>
              </w:rPr>
              <w:t>CFIR domains: all</w:t>
            </w:r>
          </w:p>
          <w:p w14:paraId="45C78681" w14:textId="77777777" w:rsidR="00804ECF" w:rsidRPr="00683D84" w:rsidRDefault="00804ECF" w:rsidP="00683D84">
            <w:pPr>
              <w:pStyle w:val="ListParagraph"/>
              <w:ind w:left="360"/>
              <w:rPr>
                <w:rFonts w:eastAsiaTheme="minorHAnsi"/>
                <w:color w:val="000000"/>
                <w:sz w:val="18"/>
                <w:szCs w:val="18"/>
              </w:rPr>
            </w:pPr>
          </w:p>
          <w:p w14:paraId="03F403EF" w14:textId="369BE366" w:rsidR="000B18C4" w:rsidRPr="00804ECF" w:rsidRDefault="000B18C4" w:rsidP="00683D84">
            <w:pPr>
              <w:pStyle w:val="ListParagraph"/>
              <w:numPr>
                <w:ilvl w:val="0"/>
                <w:numId w:val="32"/>
              </w:numPr>
              <w:rPr>
                <w:rFonts w:eastAsiaTheme="minorHAnsi"/>
                <w:color w:val="000000"/>
                <w:sz w:val="18"/>
                <w:szCs w:val="18"/>
              </w:rPr>
            </w:pPr>
            <w:r w:rsidRPr="00683D84">
              <w:rPr>
                <w:rFonts w:ascii="Times New Roman" w:eastAsiaTheme="minorHAnsi" w:hAnsi="Times New Roman" w:cs="Times New Roman"/>
                <w:color w:val="000000"/>
                <w:sz w:val="18"/>
                <w:szCs w:val="18"/>
              </w:rPr>
              <w:t>Determined inductively</w:t>
            </w:r>
          </w:p>
        </w:tc>
        <w:tc>
          <w:tcPr>
            <w:tcW w:w="2250" w:type="dxa"/>
            <w:tcBorders>
              <w:top w:val="nil"/>
              <w:left w:val="nil"/>
              <w:bottom w:val="single" w:sz="8" w:space="0" w:color="2E74B5"/>
              <w:right w:val="nil"/>
            </w:tcBorders>
          </w:tcPr>
          <w:p w14:paraId="5E3C35D9" w14:textId="77777777" w:rsidR="000B18C4" w:rsidRDefault="000B18C4" w:rsidP="00683D84">
            <w:pPr>
              <w:rPr>
                <w:rFonts w:eastAsiaTheme="minorHAnsi"/>
                <w:color w:val="000000"/>
                <w:sz w:val="18"/>
                <w:szCs w:val="18"/>
              </w:rPr>
            </w:pPr>
          </w:p>
          <w:p w14:paraId="4ABD42D1" w14:textId="77777777" w:rsidR="000B18C4" w:rsidRDefault="000B18C4" w:rsidP="000B18C4">
            <w:pPr>
              <w:numPr>
                <w:ilvl w:val="0"/>
                <w:numId w:val="28"/>
              </w:numPr>
              <w:rPr>
                <w:rFonts w:eastAsiaTheme="minorHAnsi"/>
                <w:color w:val="000000"/>
                <w:sz w:val="18"/>
                <w:szCs w:val="18"/>
              </w:rPr>
            </w:pPr>
            <w:r>
              <w:rPr>
                <w:rFonts w:eastAsiaTheme="minorHAnsi"/>
                <w:color w:val="000000"/>
                <w:sz w:val="18"/>
                <w:szCs w:val="18"/>
              </w:rPr>
              <w:t>Staff interviews</w:t>
            </w:r>
          </w:p>
          <w:p w14:paraId="55D33669" w14:textId="7E96731D" w:rsidR="000B18C4" w:rsidRDefault="000B18C4">
            <w:pPr>
              <w:numPr>
                <w:ilvl w:val="0"/>
                <w:numId w:val="28"/>
              </w:numPr>
              <w:rPr>
                <w:rFonts w:eastAsiaTheme="minorHAnsi"/>
                <w:color w:val="000000"/>
                <w:sz w:val="18"/>
                <w:szCs w:val="18"/>
              </w:rPr>
            </w:pPr>
            <w:r>
              <w:rPr>
                <w:rFonts w:eastAsiaTheme="minorHAnsi"/>
                <w:color w:val="000000"/>
                <w:sz w:val="18"/>
                <w:szCs w:val="18"/>
              </w:rPr>
              <w:t>Quarterly check-in calls</w:t>
            </w:r>
          </w:p>
          <w:p w14:paraId="6CCB16F8" w14:textId="77777777" w:rsidR="00E738C7" w:rsidRPr="00E738C7" w:rsidRDefault="00E738C7" w:rsidP="00683D84">
            <w:pPr>
              <w:ind w:left="360"/>
              <w:rPr>
                <w:rFonts w:eastAsiaTheme="minorHAnsi"/>
                <w:color w:val="000000"/>
                <w:sz w:val="18"/>
                <w:szCs w:val="18"/>
              </w:rPr>
            </w:pPr>
          </w:p>
          <w:p w14:paraId="22DB4CA3" w14:textId="77777777" w:rsidR="000B18C4" w:rsidRDefault="000B18C4" w:rsidP="00683D84">
            <w:pPr>
              <w:rPr>
                <w:rFonts w:eastAsiaTheme="minorHAnsi"/>
                <w:color w:val="000000"/>
                <w:sz w:val="18"/>
                <w:szCs w:val="18"/>
              </w:rPr>
            </w:pPr>
          </w:p>
          <w:p w14:paraId="2AD9323C" w14:textId="77777777" w:rsidR="000B18C4" w:rsidRDefault="000B18C4" w:rsidP="000B18C4">
            <w:pPr>
              <w:numPr>
                <w:ilvl w:val="0"/>
                <w:numId w:val="28"/>
              </w:numPr>
              <w:rPr>
                <w:rFonts w:eastAsiaTheme="minorHAnsi"/>
                <w:color w:val="000000"/>
                <w:sz w:val="18"/>
                <w:szCs w:val="18"/>
              </w:rPr>
            </w:pPr>
            <w:r>
              <w:rPr>
                <w:rFonts w:eastAsiaTheme="minorHAnsi"/>
                <w:color w:val="000000"/>
                <w:sz w:val="18"/>
                <w:szCs w:val="18"/>
              </w:rPr>
              <w:t>Staff interviews</w:t>
            </w:r>
          </w:p>
          <w:p w14:paraId="76D37FC2" w14:textId="1BE24494" w:rsidR="000B18C4" w:rsidRPr="000B18C4" w:rsidRDefault="000B18C4">
            <w:pPr>
              <w:numPr>
                <w:ilvl w:val="0"/>
                <w:numId w:val="28"/>
              </w:numPr>
              <w:rPr>
                <w:rFonts w:eastAsiaTheme="minorHAnsi"/>
                <w:color w:val="000000"/>
                <w:sz w:val="18"/>
                <w:szCs w:val="18"/>
              </w:rPr>
            </w:pPr>
            <w:r>
              <w:rPr>
                <w:rFonts w:eastAsiaTheme="minorHAnsi"/>
                <w:color w:val="000000"/>
                <w:sz w:val="18"/>
                <w:szCs w:val="18"/>
              </w:rPr>
              <w:t>Quarterly check-in calls</w:t>
            </w:r>
          </w:p>
          <w:p w14:paraId="336F2A79" w14:textId="77777777" w:rsidR="000B18C4" w:rsidRDefault="000B18C4" w:rsidP="00683D84">
            <w:pPr>
              <w:rPr>
                <w:rFonts w:eastAsiaTheme="minorHAnsi"/>
                <w:color w:val="000000"/>
                <w:sz w:val="18"/>
                <w:szCs w:val="18"/>
              </w:rPr>
            </w:pPr>
          </w:p>
          <w:p w14:paraId="4347AA49" w14:textId="3D9C172B" w:rsidR="000B18C4" w:rsidRPr="003E61C3" w:rsidRDefault="000B18C4" w:rsidP="00683D84">
            <w:pPr>
              <w:rPr>
                <w:rFonts w:eastAsiaTheme="minorHAnsi"/>
                <w:color w:val="000000"/>
                <w:sz w:val="18"/>
                <w:szCs w:val="18"/>
              </w:rPr>
            </w:pPr>
          </w:p>
        </w:tc>
      </w:tr>
      <w:tr w:rsidR="000B18C4" w:rsidRPr="004B3FEE" w14:paraId="19AC3FF0" w14:textId="77777777" w:rsidTr="005050EF">
        <w:trPr>
          <w:cantSplit/>
        </w:trPr>
        <w:tc>
          <w:tcPr>
            <w:tcW w:w="9360" w:type="dxa"/>
            <w:gridSpan w:val="3"/>
            <w:tcBorders>
              <w:top w:val="nil"/>
              <w:left w:val="nil"/>
              <w:bottom w:val="single" w:sz="8" w:space="0" w:color="2E74B5"/>
              <w:right w:val="nil"/>
            </w:tcBorders>
            <w:shd w:val="clear" w:color="auto" w:fill="DEEAF6"/>
          </w:tcPr>
          <w:p w14:paraId="2517B5F5" w14:textId="3A8F5963" w:rsidR="000B18C4" w:rsidRPr="003E61C3" w:rsidRDefault="000B18C4">
            <w:pPr>
              <w:rPr>
                <w:rFonts w:eastAsiaTheme="minorHAnsi"/>
                <w:b/>
                <w:bCs/>
                <w:color w:val="000000"/>
                <w:sz w:val="18"/>
                <w:szCs w:val="18"/>
              </w:rPr>
            </w:pPr>
            <w:r>
              <w:rPr>
                <w:rFonts w:eastAsiaTheme="minorHAnsi"/>
                <w:b/>
                <w:bCs/>
                <w:color w:val="000000"/>
                <w:sz w:val="18"/>
                <w:szCs w:val="18"/>
              </w:rPr>
              <w:t>Objective 2: Assess the effectiveness of the Toolkit in improving opioid prescribing practices and relevant outputs and outcomes</w:t>
            </w:r>
          </w:p>
        </w:tc>
      </w:tr>
      <w:tr w:rsidR="009B0CE4" w:rsidRPr="003E61C3" w14:paraId="35E6A41F" w14:textId="77777777" w:rsidTr="005C562A">
        <w:trPr>
          <w:cantSplit/>
        </w:trPr>
        <w:tc>
          <w:tcPr>
            <w:tcW w:w="4410" w:type="dxa"/>
            <w:tcBorders>
              <w:top w:val="nil"/>
              <w:left w:val="nil"/>
              <w:bottom w:val="single" w:sz="8" w:space="0" w:color="2E74B5"/>
              <w:right w:val="nil"/>
            </w:tcBorders>
            <w:shd w:val="clear" w:color="auto" w:fill="E7E6E6" w:themeFill="background2"/>
          </w:tcPr>
          <w:p w14:paraId="26EEDC72" w14:textId="77777777" w:rsidR="009B0CE4" w:rsidRPr="003E61C3" w:rsidRDefault="009B0CE4" w:rsidP="005C562A">
            <w:pPr>
              <w:jc w:val="center"/>
              <w:rPr>
                <w:rFonts w:eastAsiaTheme="minorHAnsi"/>
                <w:b/>
                <w:bCs/>
                <w:color w:val="000000"/>
                <w:sz w:val="18"/>
                <w:szCs w:val="18"/>
              </w:rPr>
            </w:pPr>
            <w:r w:rsidRPr="003E61C3">
              <w:rPr>
                <w:rFonts w:eastAsiaTheme="minorHAnsi"/>
                <w:b/>
                <w:bCs/>
                <w:color w:val="000000"/>
                <w:sz w:val="18"/>
                <w:szCs w:val="18"/>
              </w:rPr>
              <w:t>Questions</w:t>
            </w:r>
          </w:p>
        </w:tc>
        <w:tc>
          <w:tcPr>
            <w:tcW w:w="2700" w:type="dxa"/>
            <w:tcBorders>
              <w:top w:val="nil"/>
              <w:left w:val="nil"/>
              <w:bottom w:val="single" w:sz="8" w:space="0" w:color="2E74B5"/>
              <w:right w:val="nil"/>
            </w:tcBorders>
            <w:shd w:val="clear" w:color="auto" w:fill="E7E6E6" w:themeFill="background2"/>
            <w:tcMar>
              <w:top w:w="0" w:type="dxa"/>
              <w:left w:w="108" w:type="dxa"/>
              <w:bottom w:w="0" w:type="dxa"/>
              <w:right w:w="108" w:type="dxa"/>
            </w:tcMar>
          </w:tcPr>
          <w:p w14:paraId="348BB92A" w14:textId="77777777" w:rsidR="009B0CE4" w:rsidRPr="003E61C3" w:rsidRDefault="009B0CE4" w:rsidP="005C562A">
            <w:pPr>
              <w:ind w:left="360"/>
              <w:jc w:val="center"/>
              <w:rPr>
                <w:rFonts w:eastAsiaTheme="minorHAnsi"/>
                <w:b/>
                <w:color w:val="000000"/>
                <w:sz w:val="18"/>
                <w:szCs w:val="18"/>
              </w:rPr>
            </w:pPr>
            <w:r w:rsidRPr="003E61C3">
              <w:rPr>
                <w:rFonts w:eastAsiaTheme="minorHAnsi"/>
                <w:b/>
                <w:color w:val="000000"/>
                <w:sz w:val="18"/>
                <w:szCs w:val="18"/>
              </w:rPr>
              <w:t>Domains</w:t>
            </w:r>
          </w:p>
        </w:tc>
        <w:tc>
          <w:tcPr>
            <w:tcW w:w="2250" w:type="dxa"/>
            <w:tcBorders>
              <w:top w:val="nil"/>
              <w:left w:val="nil"/>
              <w:bottom w:val="single" w:sz="8" w:space="0" w:color="2E74B5"/>
              <w:right w:val="nil"/>
            </w:tcBorders>
            <w:shd w:val="clear" w:color="auto" w:fill="E7E6E6" w:themeFill="background2"/>
          </w:tcPr>
          <w:p w14:paraId="6F4B46C3" w14:textId="77777777" w:rsidR="009B0CE4" w:rsidRPr="003E61C3" w:rsidRDefault="009B0CE4" w:rsidP="005C562A">
            <w:pPr>
              <w:ind w:left="360"/>
              <w:jc w:val="center"/>
              <w:rPr>
                <w:rFonts w:eastAsiaTheme="minorHAnsi"/>
                <w:b/>
                <w:color w:val="000000"/>
                <w:sz w:val="18"/>
                <w:szCs w:val="18"/>
              </w:rPr>
            </w:pPr>
            <w:r w:rsidRPr="003E61C3">
              <w:rPr>
                <w:rFonts w:eastAsiaTheme="minorHAnsi"/>
                <w:b/>
                <w:color w:val="000000"/>
                <w:sz w:val="18"/>
                <w:szCs w:val="18"/>
              </w:rPr>
              <w:t>Data Source</w:t>
            </w:r>
            <w:r>
              <w:rPr>
                <w:rFonts w:eastAsiaTheme="minorHAnsi"/>
                <w:b/>
                <w:color w:val="000000"/>
                <w:sz w:val="18"/>
                <w:szCs w:val="18"/>
              </w:rPr>
              <w:t>s</w:t>
            </w:r>
          </w:p>
        </w:tc>
      </w:tr>
      <w:tr w:rsidR="000B18C4" w:rsidRPr="004B3FEE" w14:paraId="517C355B" w14:textId="77777777" w:rsidTr="00683D84">
        <w:trPr>
          <w:cantSplit/>
        </w:trPr>
        <w:tc>
          <w:tcPr>
            <w:tcW w:w="4410" w:type="dxa"/>
            <w:tcBorders>
              <w:top w:val="nil"/>
              <w:left w:val="nil"/>
              <w:bottom w:val="single" w:sz="8" w:space="0" w:color="2E74B5"/>
              <w:right w:val="nil"/>
            </w:tcBorders>
          </w:tcPr>
          <w:p w14:paraId="26380942" w14:textId="77777777" w:rsidR="000B18C4" w:rsidRDefault="000B18C4" w:rsidP="005050EF">
            <w:pPr>
              <w:rPr>
                <w:rFonts w:eastAsiaTheme="minorHAnsi"/>
                <w:b/>
                <w:bCs/>
                <w:color w:val="000000"/>
                <w:sz w:val="18"/>
                <w:szCs w:val="18"/>
              </w:rPr>
            </w:pPr>
            <w:r>
              <w:rPr>
                <w:rFonts w:eastAsiaTheme="minorHAnsi"/>
                <w:b/>
                <w:bCs/>
                <w:color w:val="000000"/>
                <w:sz w:val="18"/>
                <w:szCs w:val="18"/>
              </w:rPr>
              <w:t>How-to-Guide:</w:t>
            </w:r>
          </w:p>
          <w:p w14:paraId="22D18B6F" w14:textId="1B76A4D2" w:rsidR="00804ECF" w:rsidRDefault="00804ECF" w:rsidP="00683D84">
            <w:pPr>
              <w:pStyle w:val="ListParagraph"/>
              <w:numPr>
                <w:ilvl w:val="0"/>
                <w:numId w:val="35"/>
              </w:numPr>
              <w:rPr>
                <w:rFonts w:ascii="Times New Roman" w:hAnsi="Times New Roman" w:cs="Times New Roman"/>
                <w:sz w:val="18"/>
                <w:szCs w:val="18"/>
              </w:rPr>
            </w:pPr>
            <w:r w:rsidRPr="00683D84">
              <w:rPr>
                <w:rFonts w:ascii="Times New Roman" w:hAnsi="Times New Roman" w:cs="Times New Roman"/>
                <w:sz w:val="18"/>
                <w:szCs w:val="18"/>
              </w:rPr>
              <w:t>Which Building Blocks did practices implement? To what degree? How?</w:t>
            </w:r>
          </w:p>
          <w:p w14:paraId="5821517B" w14:textId="77777777" w:rsidR="005050EF" w:rsidRDefault="005050EF" w:rsidP="00683D84">
            <w:pPr>
              <w:pStyle w:val="ListParagraph"/>
              <w:ind w:left="360"/>
              <w:rPr>
                <w:rFonts w:ascii="Times New Roman" w:hAnsi="Times New Roman" w:cs="Times New Roman"/>
                <w:sz w:val="18"/>
                <w:szCs w:val="18"/>
              </w:rPr>
            </w:pPr>
          </w:p>
          <w:p w14:paraId="2CC46D0A" w14:textId="77777777" w:rsidR="00F074E4" w:rsidRPr="00683D84" w:rsidRDefault="00F074E4" w:rsidP="00683D84">
            <w:pPr>
              <w:pStyle w:val="ListParagraph"/>
              <w:ind w:left="360"/>
              <w:rPr>
                <w:rFonts w:ascii="Times New Roman" w:hAnsi="Times New Roman" w:cs="Times New Roman"/>
                <w:sz w:val="18"/>
                <w:szCs w:val="18"/>
              </w:rPr>
            </w:pPr>
          </w:p>
          <w:p w14:paraId="672FBF7B" w14:textId="10FD9302" w:rsidR="000B18C4" w:rsidRDefault="000B18C4" w:rsidP="00683D84">
            <w:pPr>
              <w:pStyle w:val="ListParagraph"/>
              <w:numPr>
                <w:ilvl w:val="0"/>
                <w:numId w:val="35"/>
              </w:numPr>
              <w:rPr>
                <w:rFonts w:ascii="Times New Roman" w:hAnsi="Times New Roman" w:cs="Times New Roman"/>
                <w:sz w:val="18"/>
                <w:szCs w:val="18"/>
              </w:rPr>
            </w:pPr>
            <w:r w:rsidRPr="00683D84">
              <w:rPr>
                <w:rFonts w:ascii="Times New Roman" w:hAnsi="Times New Roman" w:cs="Times New Roman"/>
                <w:sz w:val="18"/>
                <w:szCs w:val="18"/>
              </w:rPr>
              <w:t>How effective was the 6BB guidance and materials in supporting implementation of the 6BBs program?</w:t>
            </w:r>
          </w:p>
          <w:p w14:paraId="113FBC92" w14:textId="77777777" w:rsidR="005050EF" w:rsidRDefault="005050EF" w:rsidP="00683D84">
            <w:pPr>
              <w:rPr>
                <w:sz w:val="18"/>
                <w:szCs w:val="18"/>
              </w:rPr>
            </w:pPr>
          </w:p>
          <w:p w14:paraId="4BD482FF" w14:textId="77777777" w:rsidR="00F074E4" w:rsidRDefault="00F074E4" w:rsidP="00683D84">
            <w:pPr>
              <w:rPr>
                <w:sz w:val="18"/>
                <w:szCs w:val="18"/>
              </w:rPr>
            </w:pPr>
          </w:p>
          <w:p w14:paraId="32B24B4D" w14:textId="77777777" w:rsidR="00F074E4" w:rsidRDefault="00F074E4" w:rsidP="00683D84">
            <w:pPr>
              <w:rPr>
                <w:sz w:val="18"/>
                <w:szCs w:val="18"/>
              </w:rPr>
            </w:pPr>
          </w:p>
          <w:p w14:paraId="7CFF9A91" w14:textId="77777777" w:rsidR="00F074E4" w:rsidRDefault="00F074E4" w:rsidP="00683D84">
            <w:pPr>
              <w:rPr>
                <w:sz w:val="18"/>
                <w:szCs w:val="18"/>
              </w:rPr>
            </w:pPr>
          </w:p>
          <w:p w14:paraId="74D9A575" w14:textId="77777777" w:rsidR="00F074E4" w:rsidRPr="00683D84" w:rsidRDefault="00F074E4" w:rsidP="00683D84">
            <w:pPr>
              <w:rPr>
                <w:sz w:val="18"/>
                <w:szCs w:val="18"/>
              </w:rPr>
            </w:pPr>
          </w:p>
          <w:p w14:paraId="51BD4C11" w14:textId="7CC447A5" w:rsidR="000B18C4" w:rsidRPr="00683D84" w:rsidRDefault="000B18C4" w:rsidP="00683D84">
            <w:pPr>
              <w:pStyle w:val="ListParagraph"/>
              <w:numPr>
                <w:ilvl w:val="0"/>
                <w:numId w:val="35"/>
              </w:numPr>
              <w:rPr>
                <w:rFonts w:eastAsiaTheme="minorHAnsi"/>
                <w:b/>
                <w:bCs/>
                <w:color w:val="000000"/>
                <w:sz w:val="18"/>
                <w:szCs w:val="18"/>
              </w:rPr>
            </w:pPr>
            <w:r w:rsidRPr="00683D84">
              <w:rPr>
                <w:rFonts w:ascii="Times New Roman" w:hAnsi="Times New Roman" w:cs="Times New Roman"/>
                <w:sz w:val="18"/>
                <w:szCs w:val="18"/>
              </w:rPr>
              <w:t>What additional support, guidance, assistance, or information was or would have been needed to support this implementation?</w:t>
            </w:r>
          </w:p>
        </w:tc>
        <w:tc>
          <w:tcPr>
            <w:tcW w:w="2700" w:type="dxa"/>
            <w:tcBorders>
              <w:top w:val="nil"/>
              <w:left w:val="nil"/>
              <w:bottom w:val="single" w:sz="8" w:space="0" w:color="2E74B5"/>
              <w:right w:val="nil"/>
            </w:tcBorders>
            <w:tcMar>
              <w:top w:w="0" w:type="dxa"/>
              <w:left w:w="108" w:type="dxa"/>
              <w:bottom w:w="0" w:type="dxa"/>
              <w:right w:w="108" w:type="dxa"/>
            </w:tcMar>
          </w:tcPr>
          <w:p w14:paraId="34FC060A" w14:textId="77777777" w:rsidR="00F074E4" w:rsidRDefault="00F074E4" w:rsidP="00683D84">
            <w:pPr>
              <w:ind w:left="360"/>
              <w:rPr>
                <w:rFonts w:eastAsiaTheme="minorHAnsi"/>
                <w:color w:val="000000"/>
                <w:sz w:val="18"/>
                <w:szCs w:val="18"/>
              </w:rPr>
            </w:pPr>
          </w:p>
          <w:p w14:paraId="3F04F8B1" w14:textId="77777777" w:rsidR="00804ECF" w:rsidRDefault="00804ECF" w:rsidP="00804ECF">
            <w:pPr>
              <w:numPr>
                <w:ilvl w:val="0"/>
                <w:numId w:val="28"/>
              </w:numPr>
              <w:rPr>
                <w:rFonts w:eastAsiaTheme="minorHAnsi"/>
                <w:color w:val="000000"/>
                <w:sz w:val="18"/>
                <w:szCs w:val="18"/>
              </w:rPr>
            </w:pPr>
            <w:r>
              <w:rPr>
                <w:rFonts w:eastAsiaTheme="minorHAnsi"/>
                <w:color w:val="000000"/>
                <w:sz w:val="18"/>
                <w:szCs w:val="18"/>
              </w:rPr>
              <w:t>Proctor domains: Adoption, penetration, fidelity</w:t>
            </w:r>
          </w:p>
          <w:p w14:paraId="62AB85EC" w14:textId="35D0B32F" w:rsidR="00804ECF" w:rsidRPr="00683D84" w:rsidRDefault="00804ECF" w:rsidP="00683D84">
            <w:pPr>
              <w:numPr>
                <w:ilvl w:val="0"/>
                <w:numId w:val="28"/>
              </w:numPr>
              <w:rPr>
                <w:rFonts w:eastAsiaTheme="minorHAnsi"/>
                <w:color w:val="000000"/>
                <w:sz w:val="18"/>
                <w:szCs w:val="18"/>
              </w:rPr>
            </w:pPr>
            <w:r>
              <w:rPr>
                <w:rFonts w:eastAsiaTheme="minorHAnsi"/>
                <w:color w:val="000000"/>
                <w:sz w:val="18"/>
                <w:szCs w:val="18"/>
              </w:rPr>
              <w:t>6BBs milestones completed</w:t>
            </w:r>
          </w:p>
          <w:p w14:paraId="693D97DB" w14:textId="77777777" w:rsidR="00804ECF" w:rsidRDefault="00804ECF" w:rsidP="00683D84">
            <w:pPr>
              <w:rPr>
                <w:rFonts w:eastAsiaTheme="minorHAnsi"/>
                <w:color w:val="000000"/>
                <w:sz w:val="18"/>
                <w:szCs w:val="18"/>
              </w:rPr>
            </w:pPr>
          </w:p>
          <w:p w14:paraId="300DFD98" w14:textId="77777777" w:rsidR="00804ECF" w:rsidRPr="00683D84" w:rsidRDefault="00804ECF"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Proctor domains: acceptability, appropriateness, feasibility, adaptability, sustainability potential</w:t>
            </w:r>
          </w:p>
          <w:p w14:paraId="3FA3E650" w14:textId="77777777" w:rsidR="00804ECF" w:rsidRDefault="00804ECF" w:rsidP="00683D84">
            <w:pPr>
              <w:rPr>
                <w:rFonts w:eastAsiaTheme="minorHAnsi"/>
                <w:color w:val="000000"/>
                <w:sz w:val="18"/>
                <w:szCs w:val="18"/>
              </w:rPr>
            </w:pPr>
          </w:p>
          <w:p w14:paraId="661C19C4" w14:textId="0DC7559F" w:rsidR="00804ECF" w:rsidRPr="00683D84" w:rsidRDefault="00804ECF"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Proctor domains: acceptability, appropriateness, feasibility, adaptability, sustainability potential</w:t>
            </w:r>
          </w:p>
        </w:tc>
        <w:tc>
          <w:tcPr>
            <w:tcW w:w="2250" w:type="dxa"/>
            <w:tcBorders>
              <w:top w:val="nil"/>
              <w:left w:val="nil"/>
              <w:bottom w:val="single" w:sz="8" w:space="0" w:color="2E74B5"/>
              <w:right w:val="nil"/>
            </w:tcBorders>
          </w:tcPr>
          <w:p w14:paraId="43808EE4" w14:textId="77777777" w:rsidR="00F074E4" w:rsidRDefault="00F074E4" w:rsidP="00683D84">
            <w:pPr>
              <w:ind w:left="360"/>
              <w:rPr>
                <w:rFonts w:eastAsiaTheme="minorHAnsi"/>
                <w:color w:val="000000"/>
                <w:sz w:val="18"/>
                <w:szCs w:val="18"/>
              </w:rPr>
            </w:pPr>
          </w:p>
          <w:p w14:paraId="61987100" w14:textId="77777777" w:rsidR="00804ECF" w:rsidRDefault="00804ECF" w:rsidP="00804ECF">
            <w:pPr>
              <w:numPr>
                <w:ilvl w:val="0"/>
                <w:numId w:val="28"/>
              </w:numPr>
              <w:rPr>
                <w:rFonts w:eastAsiaTheme="minorHAnsi"/>
                <w:color w:val="000000"/>
                <w:sz w:val="18"/>
                <w:szCs w:val="18"/>
              </w:rPr>
            </w:pPr>
            <w:r>
              <w:rPr>
                <w:rFonts w:eastAsiaTheme="minorHAnsi"/>
                <w:color w:val="000000"/>
                <w:sz w:val="18"/>
                <w:szCs w:val="18"/>
              </w:rPr>
              <w:t>Staff interviews</w:t>
            </w:r>
          </w:p>
          <w:p w14:paraId="3033F3BA" w14:textId="77777777" w:rsidR="00804ECF" w:rsidRDefault="00804ECF" w:rsidP="00804ECF">
            <w:pPr>
              <w:numPr>
                <w:ilvl w:val="0"/>
                <w:numId w:val="28"/>
              </w:numPr>
              <w:rPr>
                <w:rFonts w:eastAsiaTheme="minorHAnsi"/>
                <w:color w:val="000000"/>
                <w:sz w:val="18"/>
                <w:szCs w:val="18"/>
              </w:rPr>
            </w:pPr>
            <w:r>
              <w:rPr>
                <w:rFonts w:eastAsiaTheme="minorHAnsi"/>
                <w:color w:val="000000"/>
                <w:sz w:val="18"/>
                <w:szCs w:val="18"/>
              </w:rPr>
              <w:t>Quarterly check-in calls</w:t>
            </w:r>
          </w:p>
          <w:p w14:paraId="09C2B0FE" w14:textId="66967BBA" w:rsidR="000B18C4" w:rsidRDefault="00F074E4" w:rsidP="005050EF">
            <w:pPr>
              <w:numPr>
                <w:ilvl w:val="0"/>
                <w:numId w:val="28"/>
              </w:numPr>
              <w:rPr>
                <w:rFonts w:eastAsiaTheme="minorHAnsi"/>
                <w:color w:val="000000"/>
                <w:sz w:val="18"/>
                <w:szCs w:val="18"/>
              </w:rPr>
            </w:pPr>
            <w:r>
              <w:rPr>
                <w:rFonts w:eastAsiaTheme="minorHAnsi"/>
                <w:color w:val="000000"/>
                <w:sz w:val="18"/>
                <w:szCs w:val="18"/>
              </w:rPr>
              <w:t>Secondary data</w:t>
            </w:r>
            <w:r w:rsidR="009B0CE4">
              <w:rPr>
                <w:rFonts w:eastAsiaTheme="minorHAnsi"/>
                <w:color w:val="000000"/>
                <w:sz w:val="18"/>
                <w:szCs w:val="18"/>
              </w:rPr>
              <w:t xml:space="preserve"> – How-to-Guide worksheet</w:t>
            </w:r>
          </w:p>
          <w:p w14:paraId="399272DB" w14:textId="77777777" w:rsidR="00804ECF" w:rsidRDefault="00804ECF" w:rsidP="00683D84">
            <w:pPr>
              <w:rPr>
                <w:rFonts w:eastAsiaTheme="minorHAnsi"/>
                <w:color w:val="000000"/>
                <w:sz w:val="18"/>
                <w:szCs w:val="18"/>
              </w:rPr>
            </w:pPr>
          </w:p>
          <w:p w14:paraId="424D13E6" w14:textId="77777777" w:rsidR="00804ECF" w:rsidRPr="00683D84" w:rsidRDefault="00804ECF"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Staff interviews</w:t>
            </w:r>
          </w:p>
          <w:p w14:paraId="09EB0104" w14:textId="77777777" w:rsidR="00804ECF" w:rsidRPr="00683D84" w:rsidRDefault="00804ECF"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Quarterly check-in calls</w:t>
            </w:r>
          </w:p>
          <w:p w14:paraId="1792B1F3" w14:textId="77777777" w:rsidR="00804ECF" w:rsidRDefault="00804ECF" w:rsidP="00683D84">
            <w:pPr>
              <w:rPr>
                <w:rFonts w:eastAsiaTheme="minorHAnsi"/>
                <w:color w:val="000000"/>
                <w:sz w:val="18"/>
                <w:szCs w:val="18"/>
              </w:rPr>
            </w:pPr>
          </w:p>
          <w:p w14:paraId="71C1734B" w14:textId="77777777" w:rsidR="00804ECF" w:rsidRDefault="00804ECF" w:rsidP="00683D84">
            <w:pPr>
              <w:rPr>
                <w:rFonts w:eastAsiaTheme="minorHAnsi"/>
                <w:color w:val="000000"/>
                <w:sz w:val="18"/>
                <w:szCs w:val="18"/>
              </w:rPr>
            </w:pPr>
          </w:p>
          <w:p w14:paraId="2570F10B" w14:textId="77777777" w:rsidR="00804ECF" w:rsidRDefault="00804ECF" w:rsidP="00683D84">
            <w:pPr>
              <w:rPr>
                <w:rFonts w:eastAsiaTheme="minorHAnsi"/>
                <w:color w:val="000000"/>
                <w:sz w:val="18"/>
                <w:szCs w:val="18"/>
              </w:rPr>
            </w:pPr>
          </w:p>
          <w:p w14:paraId="0F33069B" w14:textId="77777777" w:rsidR="00F074E4" w:rsidRDefault="00F074E4" w:rsidP="00683D84">
            <w:pPr>
              <w:rPr>
                <w:rFonts w:eastAsiaTheme="minorHAnsi"/>
                <w:color w:val="000000"/>
                <w:sz w:val="18"/>
                <w:szCs w:val="18"/>
              </w:rPr>
            </w:pPr>
          </w:p>
          <w:p w14:paraId="78DC02F1" w14:textId="77777777" w:rsidR="00804ECF" w:rsidRPr="00683D84" w:rsidRDefault="00804ECF"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Staff interviews</w:t>
            </w:r>
          </w:p>
          <w:p w14:paraId="5F155C21" w14:textId="2B69D07D" w:rsidR="00804ECF" w:rsidRPr="00683D84" w:rsidRDefault="00804ECF" w:rsidP="00683D84">
            <w:pPr>
              <w:pStyle w:val="ListParagraph"/>
              <w:numPr>
                <w:ilvl w:val="0"/>
                <w:numId w:val="28"/>
              </w:numPr>
              <w:rPr>
                <w:rFonts w:eastAsiaTheme="minorHAnsi"/>
                <w:color w:val="000000"/>
                <w:sz w:val="18"/>
                <w:szCs w:val="18"/>
              </w:rPr>
            </w:pPr>
            <w:r w:rsidRPr="00683D84">
              <w:rPr>
                <w:rFonts w:ascii="Times New Roman" w:eastAsiaTheme="minorHAnsi" w:hAnsi="Times New Roman" w:cs="Times New Roman"/>
                <w:color w:val="000000"/>
                <w:sz w:val="18"/>
                <w:szCs w:val="18"/>
              </w:rPr>
              <w:t>Quarterly check-in calls</w:t>
            </w:r>
          </w:p>
        </w:tc>
      </w:tr>
      <w:tr w:rsidR="0076180B" w:rsidRPr="004B3FEE" w14:paraId="1801DD67" w14:textId="77777777" w:rsidTr="00683D84">
        <w:trPr>
          <w:cantSplit/>
        </w:trPr>
        <w:tc>
          <w:tcPr>
            <w:tcW w:w="4410" w:type="dxa"/>
            <w:tcBorders>
              <w:top w:val="nil"/>
              <w:left w:val="nil"/>
              <w:bottom w:val="single" w:sz="8" w:space="0" w:color="2E74B5"/>
              <w:right w:val="nil"/>
            </w:tcBorders>
            <w:hideMark/>
          </w:tcPr>
          <w:p w14:paraId="5C82AA7B" w14:textId="0BF2E77C" w:rsidR="00804ECF" w:rsidRDefault="00FD727C" w:rsidP="005050EF">
            <w:pPr>
              <w:rPr>
                <w:rFonts w:eastAsiaTheme="minorHAnsi"/>
                <w:b/>
                <w:bCs/>
                <w:color w:val="000000"/>
                <w:sz w:val="18"/>
                <w:szCs w:val="18"/>
              </w:rPr>
            </w:pPr>
            <w:r>
              <w:rPr>
                <w:rFonts w:eastAsiaTheme="minorHAnsi"/>
                <w:b/>
                <w:bCs/>
                <w:color w:val="000000"/>
                <w:sz w:val="18"/>
                <w:szCs w:val="18"/>
              </w:rPr>
              <w:t>6BBs program</w:t>
            </w:r>
            <w:r w:rsidR="00804ECF">
              <w:rPr>
                <w:rFonts w:eastAsiaTheme="minorHAnsi"/>
                <w:b/>
                <w:bCs/>
                <w:color w:val="000000"/>
                <w:sz w:val="18"/>
                <w:szCs w:val="18"/>
              </w:rPr>
              <w:t>:</w:t>
            </w:r>
          </w:p>
          <w:p w14:paraId="60A3D44E" w14:textId="37F47E95" w:rsidR="00E738C7" w:rsidRPr="00683D84" w:rsidRDefault="009B0CE4" w:rsidP="00683D84">
            <w:pPr>
              <w:pStyle w:val="ListParagraph"/>
              <w:numPr>
                <w:ilvl w:val="0"/>
                <w:numId w:val="36"/>
              </w:numPr>
              <w:ind w:left="360"/>
              <w:rPr>
                <w:rFonts w:ascii="Times New Roman" w:hAnsi="Times New Roman" w:cs="Times New Roman"/>
                <w:sz w:val="18"/>
                <w:szCs w:val="18"/>
              </w:rPr>
            </w:pPr>
            <w:r w:rsidRPr="00683D84">
              <w:rPr>
                <w:rFonts w:ascii="Times New Roman" w:hAnsi="Times New Roman" w:cs="Times New Roman"/>
                <w:sz w:val="18"/>
                <w:szCs w:val="18"/>
              </w:rPr>
              <w:t>What was the effect of</w:t>
            </w:r>
            <w:r w:rsidR="00804ECF" w:rsidRPr="00683D84">
              <w:rPr>
                <w:rFonts w:ascii="Times New Roman" w:hAnsi="Times New Roman" w:cs="Times New Roman"/>
                <w:sz w:val="18"/>
                <w:szCs w:val="18"/>
              </w:rPr>
              <w:t xml:space="preserve"> 6BBs program implementation on care </w:t>
            </w:r>
            <w:r w:rsidRPr="00683D84">
              <w:rPr>
                <w:rFonts w:ascii="Times New Roman" w:hAnsi="Times New Roman" w:cs="Times New Roman"/>
                <w:sz w:val="18"/>
                <w:szCs w:val="18"/>
              </w:rPr>
              <w:t>processes</w:t>
            </w:r>
            <w:r w:rsidR="00804ECF" w:rsidRPr="00683D84">
              <w:rPr>
                <w:rFonts w:ascii="Times New Roman" w:hAnsi="Times New Roman" w:cs="Times New Roman"/>
                <w:sz w:val="18"/>
                <w:szCs w:val="18"/>
              </w:rPr>
              <w:t xml:space="preserve"> for patients on chronic opioid therapy?</w:t>
            </w:r>
          </w:p>
          <w:p w14:paraId="62639765" w14:textId="0CB6CA1D" w:rsidR="0076180B" w:rsidRDefault="0076180B" w:rsidP="00683D84">
            <w:pPr>
              <w:ind w:firstLine="45"/>
              <w:rPr>
                <w:rFonts w:eastAsiaTheme="minorHAnsi"/>
                <w:b/>
                <w:bCs/>
                <w:color w:val="000000"/>
                <w:sz w:val="18"/>
                <w:szCs w:val="18"/>
              </w:rPr>
            </w:pPr>
          </w:p>
          <w:p w14:paraId="12AB7ACE" w14:textId="77777777" w:rsidR="009B0CE4" w:rsidRPr="00683D84" w:rsidRDefault="009B0CE4" w:rsidP="00683D84">
            <w:pPr>
              <w:ind w:firstLine="45"/>
              <w:rPr>
                <w:rFonts w:eastAsiaTheme="minorHAnsi"/>
                <w:b/>
                <w:bCs/>
                <w:color w:val="000000"/>
                <w:sz w:val="18"/>
                <w:szCs w:val="18"/>
              </w:rPr>
            </w:pPr>
          </w:p>
          <w:p w14:paraId="21B3DB5B" w14:textId="77777777" w:rsidR="00804ECF" w:rsidRPr="00683D84" w:rsidRDefault="00804ECF" w:rsidP="00683D84">
            <w:pPr>
              <w:pStyle w:val="ListParagraph"/>
              <w:numPr>
                <w:ilvl w:val="0"/>
                <w:numId w:val="36"/>
              </w:numPr>
              <w:ind w:left="360"/>
              <w:rPr>
                <w:rFonts w:ascii="Times New Roman" w:eastAsiaTheme="minorHAnsi" w:hAnsi="Times New Roman" w:cs="Times New Roman"/>
                <w:bCs/>
                <w:color w:val="000000"/>
                <w:sz w:val="18"/>
                <w:szCs w:val="18"/>
              </w:rPr>
            </w:pPr>
            <w:r w:rsidRPr="00683D84">
              <w:rPr>
                <w:rFonts w:ascii="Times New Roman" w:eastAsiaTheme="minorHAnsi" w:hAnsi="Times New Roman" w:cs="Times New Roman"/>
                <w:bCs/>
                <w:color w:val="000000"/>
                <w:sz w:val="18"/>
                <w:szCs w:val="18"/>
              </w:rPr>
              <w:t>What was the effect of the 6BBs program on clinical staff practices regarding managing patients with chronic pain on long-term opioid therapy?</w:t>
            </w:r>
          </w:p>
          <w:p w14:paraId="1CAC5AB8" w14:textId="77777777" w:rsidR="00E738C7" w:rsidRPr="00683D84" w:rsidRDefault="00E738C7" w:rsidP="00683D84">
            <w:pPr>
              <w:rPr>
                <w:rFonts w:eastAsiaTheme="minorHAnsi"/>
                <w:bCs/>
                <w:color w:val="000000"/>
                <w:sz w:val="18"/>
                <w:szCs w:val="18"/>
              </w:rPr>
            </w:pPr>
          </w:p>
          <w:p w14:paraId="1B20FEB1" w14:textId="77777777" w:rsidR="00E738C7" w:rsidRDefault="00E738C7" w:rsidP="00683D84">
            <w:pPr>
              <w:rPr>
                <w:rFonts w:eastAsiaTheme="minorHAnsi"/>
                <w:bCs/>
                <w:color w:val="000000"/>
                <w:sz w:val="18"/>
                <w:szCs w:val="18"/>
              </w:rPr>
            </w:pPr>
          </w:p>
          <w:p w14:paraId="576342BC" w14:textId="77777777" w:rsidR="009B0CE4" w:rsidRPr="00683D84" w:rsidRDefault="009B0CE4" w:rsidP="00683D84">
            <w:pPr>
              <w:rPr>
                <w:rFonts w:eastAsiaTheme="minorHAnsi"/>
                <w:bCs/>
                <w:color w:val="000000"/>
                <w:sz w:val="18"/>
                <w:szCs w:val="18"/>
              </w:rPr>
            </w:pPr>
          </w:p>
          <w:p w14:paraId="5BD78878" w14:textId="77777777" w:rsidR="00E738C7" w:rsidRPr="00683D84" w:rsidRDefault="00E738C7" w:rsidP="00683D84">
            <w:pPr>
              <w:rPr>
                <w:rFonts w:eastAsiaTheme="minorHAnsi"/>
                <w:bCs/>
                <w:color w:val="000000"/>
                <w:sz w:val="18"/>
                <w:szCs w:val="18"/>
              </w:rPr>
            </w:pPr>
          </w:p>
          <w:p w14:paraId="6EE27C91" w14:textId="354090F6" w:rsidR="00804ECF" w:rsidRPr="00683D84" w:rsidRDefault="00804ECF" w:rsidP="00683D84">
            <w:pPr>
              <w:pStyle w:val="ListParagraph"/>
              <w:numPr>
                <w:ilvl w:val="0"/>
                <w:numId w:val="36"/>
              </w:numPr>
              <w:ind w:left="360"/>
              <w:rPr>
                <w:rFonts w:eastAsiaTheme="minorHAnsi"/>
                <w:b/>
                <w:bCs/>
                <w:color w:val="000000"/>
                <w:sz w:val="18"/>
                <w:szCs w:val="18"/>
              </w:rPr>
            </w:pPr>
            <w:r w:rsidRPr="00683D84">
              <w:rPr>
                <w:rFonts w:ascii="Times New Roman" w:eastAsiaTheme="minorHAnsi" w:hAnsi="Times New Roman" w:cs="Times New Roman"/>
                <w:bCs/>
                <w:color w:val="000000"/>
                <w:sz w:val="18"/>
                <w:szCs w:val="18"/>
              </w:rPr>
              <w:t>What was the e</w:t>
            </w:r>
            <w:r w:rsidR="009B0CE4" w:rsidRPr="00683D84">
              <w:rPr>
                <w:rFonts w:ascii="Times New Roman" w:eastAsiaTheme="minorHAnsi" w:hAnsi="Times New Roman" w:cs="Times New Roman"/>
                <w:bCs/>
                <w:color w:val="000000"/>
                <w:sz w:val="18"/>
                <w:szCs w:val="18"/>
              </w:rPr>
              <w:t>ffect of the 6BBs program on clinic-level</w:t>
            </w:r>
            <w:r w:rsidRPr="00683D84">
              <w:rPr>
                <w:rFonts w:ascii="Times New Roman" w:eastAsiaTheme="minorHAnsi" w:hAnsi="Times New Roman" w:cs="Times New Roman"/>
                <w:bCs/>
                <w:color w:val="000000"/>
                <w:sz w:val="18"/>
                <w:szCs w:val="18"/>
              </w:rPr>
              <w:t xml:space="preserve"> opioid management outcome measures?</w:t>
            </w:r>
          </w:p>
        </w:tc>
        <w:tc>
          <w:tcPr>
            <w:tcW w:w="2700" w:type="dxa"/>
            <w:tcBorders>
              <w:top w:val="nil"/>
              <w:left w:val="nil"/>
              <w:bottom w:val="single" w:sz="8" w:space="0" w:color="2E74B5"/>
              <w:right w:val="nil"/>
            </w:tcBorders>
            <w:tcMar>
              <w:top w:w="0" w:type="dxa"/>
              <w:left w:w="108" w:type="dxa"/>
              <w:bottom w:w="0" w:type="dxa"/>
              <w:right w:w="108" w:type="dxa"/>
            </w:tcMar>
          </w:tcPr>
          <w:p w14:paraId="5383B1D6" w14:textId="77777777" w:rsidR="00E738C7" w:rsidRDefault="00E738C7" w:rsidP="00683D84">
            <w:pPr>
              <w:ind w:left="360"/>
              <w:rPr>
                <w:rFonts w:eastAsiaTheme="minorHAnsi"/>
                <w:color w:val="000000"/>
                <w:sz w:val="18"/>
                <w:szCs w:val="18"/>
              </w:rPr>
            </w:pPr>
          </w:p>
          <w:p w14:paraId="0C91F9E9" w14:textId="437D7D4A" w:rsidR="00E738C7" w:rsidRDefault="00E738C7" w:rsidP="00E738C7">
            <w:pPr>
              <w:numPr>
                <w:ilvl w:val="0"/>
                <w:numId w:val="28"/>
              </w:numPr>
              <w:rPr>
                <w:rFonts w:eastAsiaTheme="minorHAnsi"/>
                <w:color w:val="000000"/>
                <w:sz w:val="18"/>
                <w:szCs w:val="18"/>
              </w:rPr>
            </w:pPr>
            <w:r>
              <w:rPr>
                <w:rFonts w:eastAsiaTheme="minorHAnsi"/>
                <w:color w:val="000000"/>
                <w:sz w:val="18"/>
                <w:szCs w:val="18"/>
              </w:rPr>
              <w:t>Change in clinical processes: Changes in workflows, patient agreements, dashboards</w:t>
            </w:r>
            <w:r w:rsidR="009B0CE4">
              <w:rPr>
                <w:rFonts w:eastAsiaTheme="minorHAnsi"/>
                <w:color w:val="000000"/>
                <w:sz w:val="18"/>
                <w:szCs w:val="18"/>
              </w:rPr>
              <w:t>, etc</w:t>
            </w:r>
          </w:p>
          <w:p w14:paraId="39A8E0A3" w14:textId="77777777" w:rsidR="009B0CE4" w:rsidRDefault="009B0CE4" w:rsidP="00683D84">
            <w:pPr>
              <w:ind w:left="360"/>
              <w:rPr>
                <w:rFonts w:eastAsiaTheme="minorHAnsi"/>
                <w:color w:val="000000"/>
                <w:sz w:val="18"/>
                <w:szCs w:val="18"/>
              </w:rPr>
            </w:pPr>
          </w:p>
          <w:p w14:paraId="7E4A5234" w14:textId="687AB39D" w:rsidR="00E738C7" w:rsidRDefault="00E738C7" w:rsidP="00E738C7">
            <w:pPr>
              <w:numPr>
                <w:ilvl w:val="0"/>
                <w:numId w:val="28"/>
              </w:numPr>
              <w:rPr>
                <w:rFonts w:eastAsiaTheme="minorHAnsi"/>
                <w:color w:val="000000"/>
                <w:sz w:val="18"/>
                <w:szCs w:val="18"/>
              </w:rPr>
            </w:pPr>
            <w:r>
              <w:rPr>
                <w:rFonts w:eastAsiaTheme="minorHAnsi"/>
                <w:color w:val="000000"/>
                <w:sz w:val="18"/>
                <w:szCs w:val="18"/>
              </w:rPr>
              <w:t xml:space="preserve">Change in clinical staff practices in managing patients with chronic pain on long-term opioid therapy (determined </w:t>
            </w:r>
            <w:r w:rsidR="009B0CE4">
              <w:rPr>
                <w:rFonts w:eastAsiaTheme="minorHAnsi"/>
                <w:color w:val="000000"/>
                <w:sz w:val="18"/>
                <w:szCs w:val="18"/>
              </w:rPr>
              <w:t>from CDC Guideline</w:t>
            </w:r>
            <w:r>
              <w:rPr>
                <w:rFonts w:eastAsiaTheme="minorHAnsi"/>
                <w:color w:val="000000"/>
                <w:sz w:val="18"/>
                <w:szCs w:val="18"/>
              </w:rPr>
              <w:t>)</w:t>
            </w:r>
          </w:p>
          <w:p w14:paraId="3338B2CE" w14:textId="77777777" w:rsidR="009B0CE4" w:rsidRDefault="009B0CE4" w:rsidP="00683D84">
            <w:pPr>
              <w:rPr>
                <w:rFonts w:eastAsiaTheme="minorHAnsi"/>
                <w:color w:val="000000"/>
                <w:sz w:val="18"/>
                <w:szCs w:val="18"/>
              </w:rPr>
            </w:pPr>
          </w:p>
          <w:p w14:paraId="04409193" w14:textId="090602CA" w:rsidR="00E738C7" w:rsidRDefault="00E738C7" w:rsidP="00E738C7">
            <w:pPr>
              <w:numPr>
                <w:ilvl w:val="0"/>
                <w:numId w:val="28"/>
              </w:numPr>
              <w:rPr>
                <w:rFonts w:eastAsiaTheme="minorHAnsi"/>
                <w:color w:val="000000"/>
                <w:sz w:val="18"/>
                <w:szCs w:val="18"/>
              </w:rPr>
            </w:pPr>
            <w:r>
              <w:rPr>
                <w:rFonts w:eastAsiaTheme="minorHAnsi"/>
                <w:color w:val="000000"/>
                <w:sz w:val="18"/>
                <w:szCs w:val="18"/>
              </w:rPr>
              <w:t>Change in clinic-level outcomes related to opioid prescribing</w:t>
            </w:r>
            <w:r w:rsidR="009B0CE4">
              <w:rPr>
                <w:rFonts w:eastAsiaTheme="minorHAnsi"/>
                <w:color w:val="000000"/>
                <w:sz w:val="18"/>
                <w:szCs w:val="18"/>
              </w:rPr>
              <w:t>:</w:t>
            </w:r>
          </w:p>
          <w:p w14:paraId="5D1E2359" w14:textId="77777777" w:rsidR="00E738C7" w:rsidRPr="00683D84" w:rsidRDefault="00E738C7" w:rsidP="00683D84">
            <w:pPr>
              <w:pStyle w:val="ListParagraph"/>
              <w:numPr>
                <w:ilvl w:val="0"/>
                <w:numId w:val="28"/>
              </w:numPr>
              <w:rPr>
                <w:sz w:val="18"/>
                <w:szCs w:val="18"/>
              </w:rPr>
            </w:pPr>
            <w:r w:rsidRPr="00683D84">
              <w:rPr>
                <w:rFonts w:ascii="Times New Roman" w:hAnsi="Times New Roman" w:cs="Times New Roman"/>
                <w:sz w:val="18"/>
                <w:szCs w:val="18"/>
              </w:rPr>
              <w:t xml:space="preserve">Number of patients on long-term opioid therapy </w:t>
            </w:r>
          </w:p>
          <w:p w14:paraId="683EEDC3" w14:textId="77777777" w:rsidR="00E738C7" w:rsidRPr="00683D84" w:rsidRDefault="00E738C7" w:rsidP="00683D84">
            <w:pPr>
              <w:pStyle w:val="ListParagraph"/>
              <w:numPr>
                <w:ilvl w:val="0"/>
                <w:numId w:val="28"/>
              </w:numPr>
              <w:rPr>
                <w:sz w:val="18"/>
                <w:szCs w:val="18"/>
              </w:rPr>
            </w:pPr>
            <w:r w:rsidRPr="00683D84">
              <w:rPr>
                <w:rFonts w:ascii="Times New Roman" w:hAnsi="Times New Roman" w:cs="Times New Roman"/>
                <w:sz w:val="18"/>
                <w:szCs w:val="18"/>
              </w:rPr>
              <w:t xml:space="preserve">Proportion of patients on long-term opioid therapy who are on greater than 90 morphine milligram equivalents (MMEs) </w:t>
            </w:r>
          </w:p>
          <w:p w14:paraId="51344946" w14:textId="77777777" w:rsidR="00E738C7" w:rsidRPr="00683D84" w:rsidRDefault="00E738C7" w:rsidP="00683D84">
            <w:pPr>
              <w:pStyle w:val="ListParagraph"/>
              <w:numPr>
                <w:ilvl w:val="0"/>
                <w:numId w:val="28"/>
              </w:numPr>
              <w:rPr>
                <w:sz w:val="18"/>
                <w:szCs w:val="18"/>
              </w:rPr>
            </w:pPr>
            <w:r w:rsidRPr="00683D84">
              <w:rPr>
                <w:rFonts w:ascii="Times New Roman" w:hAnsi="Times New Roman" w:cs="Times New Roman"/>
                <w:sz w:val="18"/>
                <w:szCs w:val="18"/>
              </w:rPr>
              <w:t>Proportion of patients on long-term opioid therapy who are co-prescribed a benzodiazepine</w:t>
            </w:r>
          </w:p>
          <w:p w14:paraId="5DEBF0CC" w14:textId="77777777" w:rsidR="00E738C7" w:rsidRPr="00683D84" w:rsidRDefault="00E738C7" w:rsidP="00683D84">
            <w:pPr>
              <w:pStyle w:val="ListParagraph"/>
              <w:numPr>
                <w:ilvl w:val="0"/>
                <w:numId w:val="28"/>
              </w:numPr>
              <w:rPr>
                <w:sz w:val="18"/>
                <w:szCs w:val="18"/>
              </w:rPr>
            </w:pPr>
            <w:r w:rsidRPr="00683D84">
              <w:rPr>
                <w:rFonts w:ascii="Times New Roman" w:hAnsi="Times New Roman" w:cs="Times New Roman"/>
                <w:sz w:val="18"/>
                <w:szCs w:val="18"/>
              </w:rPr>
              <w:t xml:space="preserve">Proportion of patients on long-term opioid therapy who had the prescription drug monitoring program (PDMP) checked </w:t>
            </w:r>
          </w:p>
          <w:p w14:paraId="3F81B14E" w14:textId="77777777" w:rsidR="00E738C7" w:rsidRPr="00683D84" w:rsidRDefault="00E738C7" w:rsidP="00683D84">
            <w:pPr>
              <w:pStyle w:val="ListParagraph"/>
              <w:numPr>
                <w:ilvl w:val="0"/>
                <w:numId w:val="28"/>
              </w:numPr>
              <w:rPr>
                <w:sz w:val="18"/>
                <w:szCs w:val="18"/>
              </w:rPr>
            </w:pPr>
            <w:r w:rsidRPr="00683D84">
              <w:rPr>
                <w:rFonts w:ascii="Times New Roman" w:hAnsi="Times New Roman" w:cs="Times New Roman"/>
                <w:sz w:val="18"/>
                <w:szCs w:val="18"/>
              </w:rPr>
              <w:t xml:space="preserve">Proportion of patients on long-term opioid therapy who have had a urine drug screen </w:t>
            </w:r>
          </w:p>
          <w:p w14:paraId="15CAE150" w14:textId="77777777" w:rsidR="0076180B" w:rsidRPr="00E738C7" w:rsidRDefault="0076180B">
            <w:pPr>
              <w:rPr>
                <w:rFonts w:eastAsiaTheme="minorHAnsi"/>
                <w:color w:val="000000"/>
                <w:sz w:val="18"/>
                <w:szCs w:val="18"/>
              </w:rPr>
            </w:pPr>
          </w:p>
        </w:tc>
        <w:tc>
          <w:tcPr>
            <w:tcW w:w="2250" w:type="dxa"/>
            <w:tcBorders>
              <w:top w:val="nil"/>
              <w:left w:val="nil"/>
              <w:bottom w:val="single" w:sz="8" w:space="0" w:color="2E74B5"/>
              <w:right w:val="nil"/>
            </w:tcBorders>
            <w:hideMark/>
          </w:tcPr>
          <w:p w14:paraId="47B02B8A" w14:textId="77777777" w:rsidR="00E738C7" w:rsidRDefault="00E738C7" w:rsidP="00683D84">
            <w:pPr>
              <w:ind w:left="360"/>
              <w:rPr>
                <w:rFonts w:eastAsiaTheme="minorHAnsi"/>
                <w:color w:val="000000"/>
                <w:sz w:val="18"/>
                <w:szCs w:val="18"/>
              </w:rPr>
            </w:pPr>
          </w:p>
          <w:p w14:paraId="3CDA3ECD" w14:textId="40D19B4D" w:rsidR="00E738C7" w:rsidRDefault="009B0CE4" w:rsidP="005050EF">
            <w:pPr>
              <w:numPr>
                <w:ilvl w:val="0"/>
                <w:numId w:val="28"/>
              </w:numPr>
              <w:rPr>
                <w:rFonts w:eastAsiaTheme="minorHAnsi"/>
                <w:color w:val="000000"/>
                <w:sz w:val="18"/>
                <w:szCs w:val="18"/>
              </w:rPr>
            </w:pPr>
            <w:r>
              <w:rPr>
                <w:rFonts w:eastAsiaTheme="minorHAnsi"/>
                <w:color w:val="000000"/>
                <w:sz w:val="18"/>
                <w:szCs w:val="18"/>
              </w:rPr>
              <w:t>Secondary data</w:t>
            </w:r>
            <w:r w:rsidR="0016687D">
              <w:rPr>
                <w:rFonts w:eastAsiaTheme="minorHAnsi"/>
                <w:color w:val="000000"/>
                <w:sz w:val="18"/>
                <w:szCs w:val="18"/>
              </w:rPr>
              <w:t>- organizational documents</w:t>
            </w:r>
          </w:p>
          <w:p w14:paraId="355B68CD" w14:textId="77777777" w:rsidR="00E738C7" w:rsidRDefault="00E738C7" w:rsidP="00683D84">
            <w:pPr>
              <w:rPr>
                <w:rFonts w:eastAsiaTheme="minorHAnsi"/>
                <w:color w:val="000000"/>
                <w:sz w:val="18"/>
                <w:szCs w:val="18"/>
              </w:rPr>
            </w:pPr>
          </w:p>
          <w:p w14:paraId="61451B64" w14:textId="77777777" w:rsidR="009B0CE4" w:rsidRDefault="009B0CE4" w:rsidP="00683D84">
            <w:pPr>
              <w:rPr>
                <w:rFonts w:eastAsiaTheme="minorHAnsi"/>
                <w:color w:val="000000"/>
                <w:sz w:val="18"/>
                <w:szCs w:val="18"/>
              </w:rPr>
            </w:pPr>
          </w:p>
          <w:p w14:paraId="0ED04110" w14:textId="77777777" w:rsidR="00E738C7" w:rsidRDefault="00E738C7" w:rsidP="00683D84">
            <w:pPr>
              <w:rPr>
                <w:rFonts w:eastAsiaTheme="minorHAnsi"/>
                <w:color w:val="000000"/>
                <w:sz w:val="18"/>
                <w:szCs w:val="18"/>
              </w:rPr>
            </w:pPr>
          </w:p>
          <w:p w14:paraId="665CCC51" w14:textId="77777777" w:rsidR="00E738C7" w:rsidRPr="00683D84" w:rsidRDefault="00E738C7"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Clinical staff survey</w:t>
            </w:r>
          </w:p>
          <w:p w14:paraId="11172089" w14:textId="77777777" w:rsidR="00E738C7" w:rsidRDefault="00E738C7" w:rsidP="00683D84">
            <w:pPr>
              <w:rPr>
                <w:rFonts w:eastAsiaTheme="minorHAnsi"/>
                <w:color w:val="000000"/>
                <w:sz w:val="18"/>
                <w:szCs w:val="18"/>
              </w:rPr>
            </w:pPr>
          </w:p>
          <w:p w14:paraId="4508B6A9" w14:textId="77777777" w:rsidR="00E738C7" w:rsidRDefault="00E738C7" w:rsidP="00683D84">
            <w:pPr>
              <w:rPr>
                <w:rFonts w:eastAsiaTheme="minorHAnsi"/>
                <w:color w:val="000000"/>
                <w:sz w:val="18"/>
                <w:szCs w:val="18"/>
              </w:rPr>
            </w:pPr>
          </w:p>
          <w:p w14:paraId="7A543D98" w14:textId="77777777" w:rsidR="00E738C7" w:rsidRDefault="00E738C7" w:rsidP="00683D84">
            <w:pPr>
              <w:rPr>
                <w:rFonts w:eastAsiaTheme="minorHAnsi"/>
                <w:color w:val="000000"/>
                <w:sz w:val="18"/>
                <w:szCs w:val="18"/>
              </w:rPr>
            </w:pPr>
          </w:p>
          <w:p w14:paraId="0CCBE602" w14:textId="77777777" w:rsidR="00E738C7" w:rsidRDefault="00E738C7" w:rsidP="00683D84">
            <w:pPr>
              <w:rPr>
                <w:rFonts w:eastAsiaTheme="minorHAnsi"/>
                <w:color w:val="000000"/>
                <w:sz w:val="18"/>
                <w:szCs w:val="18"/>
              </w:rPr>
            </w:pPr>
          </w:p>
          <w:p w14:paraId="0543A2E3" w14:textId="77777777" w:rsidR="00E738C7" w:rsidRDefault="00E738C7" w:rsidP="00683D84">
            <w:pPr>
              <w:rPr>
                <w:rFonts w:eastAsiaTheme="minorHAnsi"/>
                <w:color w:val="000000"/>
                <w:sz w:val="18"/>
                <w:szCs w:val="18"/>
              </w:rPr>
            </w:pPr>
          </w:p>
          <w:p w14:paraId="46A5B58E" w14:textId="77777777" w:rsidR="009B0CE4" w:rsidRDefault="009B0CE4" w:rsidP="00683D84">
            <w:pPr>
              <w:rPr>
                <w:rFonts w:eastAsiaTheme="minorHAnsi"/>
                <w:color w:val="000000"/>
                <w:sz w:val="18"/>
                <w:szCs w:val="18"/>
              </w:rPr>
            </w:pPr>
          </w:p>
          <w:p w14:paraId="0ECC8EDF" w14:textId="265AFCF4" w:rsidR="00E738C7" w:rsidRPr="00683D84" w:rsidRDefault="009B0CE4" w:rsidP="00683D84">
            <w:pPr>
              <w:pStyle w:val="ListParagraph"/>
              <w:numPr>
                <w:ilvl w:val="0"/>
                <w:numId w:val="28"/>
              </w:numPr>
              <w:rPr>
                <w:rFonts w:ascii="Times New Roman" w:eastAsiaTheme="minorHAnsi" w:hAnsi="Times New Roman" w:cs="Times New Roman"/>
                <w:color w:val="000000"/>
                <w:sz w:val="18"/>
                <w:szCs w:val="18"/>
              </w:rPr>
            </w:pPr>
            <w:r w:rsidRPr="00683D84">
              <w:rPr>
                <w:rFonts w:ascii="Times New Roman" w:eastAsiaTheme="minorHAnsi" w:hAnsi="Times New Roman" w:cs="Times New Roman"/>
                <w:color w:val="000000"/>
                <w:sz w:val="18"/>
                <w:szCs w:val="18"/>
              </w:rPr>
              <w:t>Aggregate reports of QI measures</w:t>
            </w:r>
          </w:p>
          <w:p w14:paraId="1BA80CED" w14:textId="77777777" w:rsidR="00E738C7" w:rsidRDefault="00E738C7" w:rsidP="00683D84">
            <w:pPr>
              <w:ind w:left="360"/>
              <w:rPr>
                <w:rFonts w:eastAsiaTheme="minorHAnsi"/>
                <w:color w:val="000000"/>
                <w:sz w:val="18"/>
                <w:szCs w:val="18"/>
              </w:rPr>
            </w:pPr>
          </w:p>
          <w:p w14:paraId="58DFAD22" w14:textId="15749A98" w:rsidR="0076180B" w:rsidRPr="003E61C3" w:rsidRDefault="0076180B" w:rsidP="00683D84">
            <w:pPr>
              <w:rPr>
                <w:rFonts w:eastAsiaTheme="minorHAnsi"/>
                <w:color w:val="000000"/>
                <w:sz w:val="18"/>
                <w:szCs w:val="18"/>
              </w:rPr>
            </w:pPr>
            <w:r w:rsidRPr="003E61C3">
              <w:rPr>
                <w:rFonts w:eastAsiaTheme="minorHAnsi"/>
                <w:color w:val="000000"/>
                <w:sz w:val="18"/>
                <w:szCs w:val="18"/>
              </w:rPr>
              <w:t xml:space="preserve"> </w:t>
            </w:r>
          </w:p>
        </w:tc>
      </w:tr>
    </w:tbl>
    <w:p w14:paraId="22B4A1E0" w14:textId="1EBEA422" w:rsidR="0076180B" w:rsidRDefault="0076180B" w:rsidP="006014DB"/>
    <w:p w14:paraId="1BA75796" w14:textId="77777777" w:rsidR="00781332" w:rsidRDefault="00781332" w:rsidP="006014DB"/>
    <w:p w14:paraId="512D7BC8" w14:textId="4EC558FF" w:rsidR="008851FF" w:rsidRDefault="008628B0" w:rsidP="00650CFA">
      <w:pPr>
        <w:spacing w:after="120"/>
      </w:pPr>
      <w:r w:rsidRPr="008628B0">
        <w:t>Evaluation results will be used to i</w:t>
      </w:r>
      <w:r w:rsidR="009B0CE4">
        <w:t>nform revisions to</w:t>
      </w:r>
      <w:r w:rsidRPr="008628B0">
        <w:t xml:space="preserve"> </w:t>
      </w:r>
      <w:r w:rsidR="008851FF">
        <w:t>the How-to-Guide</w:t>
      </w:r>
      <w:r w:rsidRPr="008628B0">
        <w:t xml:space="preserve"> and </w:t>
      </w:r>
      <w:r w:rsidR="009B0CE4">
        <w:t>disseminate</w:t>
      </w:r>
      <w:r w:rsidR="008851FF">
        <w:t xml:space="preserve"> best practices for</w:t>
      </w:r>
      <w:r w:rsidRPr="008628B0">
        <w:t xml:space="preserve"> primary care </w:t>
      </w:r>
      <w:r w:rsidR="009B0CE4">
        <w:t>clinics</w:t>
      </w:r>
      <w:r w:rsidRPr="008628B0">
        <w:t xml:space="preserve"> considering using </w:t>
      </w:r>
      <w:r w:rsidR="008851FF">
        <w:t>the 6BBs Toolkit</w:t>
      </w:r>
      <w:r w:rsidRPr="008628B0">
        <w:t xml:space="preserve"> to improve </w:t>
      </w:r>
      <w:r w:rsidR="009B0CE4">
        <w:t>management of patients with chronic pain on long-term opioid therapy</w:t>
      </w:r>
      <w:r w:rsidRPr="008628B0">
        <w:t>.</w:t>
      </w:r>
      <w:r w:rsidR="005E79D3">
        <w:t xml:space="preserve"> Specifically, qualitative data from interviews and check-in calls</w:t>
      </w:r>
      <w:r w:rsidR="005E79D3" w:rsidRPr="005E79D3">
        <w:t xml:space="preserve"> will be analyzed using qualitative methods (coded, themes identified, etc.) to evaluate the usefulness of the How-to-Guide, what is not working, and how it could be modified. Findings will be compiled and used to inform modification of the How-to-Guid</w:t>
      </w:r>
      <w:r w:rsidR="005E79D3">
        <w:t>e and prepare it to be publicl</w:t>
      </w:r>
      <w:r w:rsidR="005E79D3" w:rsidRPr="005E79D3">
        <w:t>y-available</w:t>
      </w:r>
      <w:r w:rsidR="005E79D3">
        <w:t xml:space="preserve"> </w:t>
      </w:r>
      <w:r w:rsidR="005E79D3" w:rsidRPr="005E79D3">
        <w:t>on AHRQ’s website</w:t>
      </w:r>
    </w:p>
    <w:p w14:paraId="589541B0" w14:textId="46040A53" w:rsidR="008628B0" w:rsidRPr="008628B0" w:rsidRDefault="008628B0" w:rsidP="00650CFA">
      <w:pPr>
        <w:spacing w:after="120"/>
      </w:pPr>
      <w:r w:rsidRPr="008628B0">
        <w:t xml:space="preserve">The </w:t>
      </w:r>
      <w:r w:rsidR="009B0CE4">
        <w:t>evaluation</w:t>
      </w:r>
      <w:r w:rsidR="00F405D8">
        <w:t xml:space="preserve"> will take place in 1</w:t>
      </w:r>
      <w:r w:rsidR="00640769">
        <w:t>2</w:t>
      </w:r>
      <w:r w:rsidRPr="008628B0">
        <w:t xml:space="preserve"> health care organizations, in their </w:t>
      </w:r>
      <w:r w:rsidR="00640769">
        <w:t xml:space="preserve">35 </w:t>
      </w:r>
      <w:r w:rsidRPr="008628B0">
        <w:t>primary care clinics. Each participating organization will be asked to:</w:t>
      </w:r>
    </w:p>
    <w:p w14:paraId="7105F08D" w14:textId="77777777" w:rsidR="008628B0" w:rsidRPr="008628B0" w:rsidRDefault="008628B0" w:rsidP="00F83D21">
      <w:pPr>
        <w:numPr>
          <w:ilvl w:val="0"/>
          <w:numId w:val="9"/>
        </w:numPr>
        <w:spacing w:after="120"/>
        <w:ind w:left="720" w:hanging="360"/>
      </w:pPr>
      <w:r w:rsidRPr="008628B0">
        <w:t>Use the 6BB Toolkit to implement opioid management improvement initiatives over a period of 15 months based on information presented in the How-To-Guide.</w:t>
      </w:r>
    </w:p>
    <w:p w14:paraId="0BEA357B" w14:textId="77777777" w:rsidR="008628B0" w:rsidRPr="008628B0" w:rsidRDefault="008628B0" w:rsidP="00033CC8">
      <w:pPr>
        <w:numPr>
          <w:ilvl w:val="0"/>
          <w:numId w:val="9"/>
        </w:numPr>
        <w:spacing w:after="120"/>
        <w:ind w:left="720" w:hanging="360"/>
      </w:pPr>
      <w:r w:rsidRPr="008628B0">
        <w:t xml:space="preserve">Conduct and cooperate with assessment activities: </w:t>
      </w:r>
    </w:p>
    <w:p w14:paraId="331264A9" w14:textId="77777777" w:rsidR="008628B0" w:rsidRPr="008628B0" w:rsidRDefault="008628B0" w:rsidP="00F83D21">
      <w:pPr>
        <w:numPr>
          <w:ilvl w:val="1"/>
          <w:numId w:val="10"/>
        </w:numPr>
        <w:spacing w:after="120"/>
      </w:pPr>
      <w:r w:rsidRPr="008628B0">
        <w:t xml:space="preserve">Collect and report opioid quality measures. </w:t>
      </w:r>
    </w:p>
    <w:p w14:paraId="63AC6AFA" w14:textId="77777777" w:rsidR="008628B0" w:rsidRPr="008628B0" w:rsidRDefault="008628B0" w:rsidP="00F83D21">
      <w:pPr>
        <w:numPr>
          <w:ilvl w:val="1"/>
          <w:numId w:val="10"/>
        </w:numPr>
        <w:spacing w:after="120"/>
      </w:pPr>
      <w:r w:rsidRPr="008628B0">
        <w:t>Collect other metrics to assess the effectiveness of the How-To-Guide.</w:t>
      </w:r>
    </w:p>
    <w:p w14:paraId="6890F2E0" w14:textId="77777777" w:rsidR="008628B0" w:rsidRDefault="008628B0" w:rsidP="00F83D21">
      <w:pPr>
        <w:numPr>
          <w:ilvl w:val="1"/>
          <w:numId w:val="10"/>
        </w:numPr>
        <w:spacing w:after="120"/>
      </w:pPr>
      <w:r w:rsidRPr="008628B0">
        <w:t>Cooperate with project team in the data collection efforts described below.</w:t>
      </w:r>
    </w:p>
    <w:p w14:paraId="1BC27775" w14:textId="77777777" w:rsidR="008628B0" w:rsidRDefault="008628B0" w:rsidP="006014DB"/>
    <w:p w14:paraId="0E6D958E" w14:textId="77777777" w:rsidR="00527BBD" w:rsidRDefault="00527BBD" w:rsidP="00650CFA">
      <w:pPr>
        <w:spacing w:after="120"/>
      </w:pPr>
      <w:r>
        <w:t>To achieve the goals of this project the following data collections will be implemented:</w:t>
      </w:r>
    </w:p>
    <w:p w14:paraId="1D0F1818" w14:textId="54A2E3E0" w:rsidR="00527BBD" w:rsidRDefault="00527BBD" w:rsidP="00891699">
      <w:pPr>
        <w:tabs>
          <w:tab w:val="left" w:pos="360"/>
        </w:tabs>
        <w:spacing w:after="120"/>
        <w:ind w:left="360" w:hanging="360"/>
      </w:pPr>
      <w:r>
        <w:t>1)</w:t>
      </w:r>
      <w:r>
        <w:tab/>
      </w:r>
      <w:r w:rsidR="008628B0" w:rsidRPr="00650CFA">
        <w:rPr>
          <w:b/>
        </w:rPr>
        <w:t>Clinical Staff Survey</w:t>
      </w:r>
      <w:r w:rsidR="00650CFA" w:rsidRPr="00650CFA">
        <w:rPr>
          <w:b/>
        </w:rPr>
        <w:t xml:space="preserve"> (Attachment A)</w:t>
      </w:r>
      <w:r w:rsidR="008628B0" w:rsidRPr="00650CFA">
        <w:rPr>
          <w:b/>
        </w:rPr>
        <w:t>.</w:t>
      </w:r>
      <w:r w:rsidR="008628B0" w:rsidRPr="008628B0">
        <w:t xml:space="preserve"> A brief survey will be administered electronically to all clinical staff, including primary care physicians, nurse practitioners, physician assistants, social workers, medical assistants, registered nurses, pharmacists and behavioral hea</w:t>
      </w:r>
      <w:r w:rsidR="00854533">
        <w:t>lth workers, toward the beginning of 6BB</w:t>
      </w:r>
      <w:r w:rsidR="00F405D8">
        <w:t>s</w:t>
      </w:r>
      <w:r w:rsidR="00854533">
        <w:t xml:space="preserve"> Toolkit implementation</w:t>
      </w:r>
      <w:r w:rsidR="008628B0" w:rsidRPr="008628B0">
        <w:t xml:space="preserve"> and approxima</w:t>
      </w:r>
      <w:r w:rsidR="00854533">
        <w:t>tely 12 months later</w:t>
      </w:r>
      <w:r w:rsidR="008628B0" w:rsidRPr="008628B0">
        <w:t>. A quality improvement (QI) point person will provide email addresses for the staff who will be invited to complete the survey from each participating organization. These email addresses will be use</w:t>
      </w:r>
      <w:r w:rsidR="00854533">
        <w:t>d to send clinical staff the surveys at both time points</w:t>
      </w:r>
      <w:r w:rsidR="008628B0" w:rsidRPr="008628B0">
        <w:t>. The survey will collect information about staff’s self-reported use of evidence-based opioid prescribing practices; procedures in place around opioid prescribing management; self</w:t>
      </w:r>
      <w:r w:rsidR="00033CC8">
        <w:t>-</w:t>
      </w:r>
      <w:r w:rsidR="008628B0" w:rsidRPr="008628B0">
        <w:t xml:space="preserve">efficacy regarding safe opioid prescribing; knowledge, beliefs and attitudes regarding opioid prescribing; </w:t>
      </w:r>
      <w:r w:rsidR="00F405D8">
        <w:t xml:space="preserve">adaptive reserve; </w:t>
      </w:r>
      <w:r w:rsidR="008628B0" w:rsidRPr="008628B0">
        <w:t>self-reported burnout; and reported implementation experiences. The survey will also collect information about staffs’ background (e.g. clinic role and tenure). The survey will consist largely of closed-ended questions (e.g., scale or Likert response options) with several open-ended questions.</w:t>
      </w:r>
    </w:p>
    <w:p w14:paraId="671C0A56" w14:textId="240CF8A8" w:rsidR="008628B0" w:rsidRDefault="00F94F66" w:rsidP="00650CFA">
      <w:pPr>
        <w:tabs>
          <w:tab w:val="left" w:pos="360"/>
        </w:tabs>
        <w:spacing w:after="120"/>
        <w:ind w:left="360" w:hanging="360"/>
      </w:pPr>
      <w:r>
        <w:t>2</w:t>
      </w:r>
      <w:r w:rsidR="00527BBD">
        <w:t>)</w:t>
      </w:r>
      <w:r w:rsidR="00650CFA">
        <w:tab/>
      </w:r>
      <w:r w:rsidR="008628B0" w:rsidRPr="00650CFA">
        <w:rPr>
          <w:b/>
        </w:rPr>
        <w:t>Staff Interviews.</w:t>
      </w:r>
      <w:r w:rsidR="008628B0">
        <w:t xml:space="preserve"> Interviews will be conducte</w:t>
      </w:r>
      <w:r w:rsidR="00F405D8">
        <w:t>d with 5 staff at each of the 1</w:t>
      </w:r>
      <w:r w:rsidR="00640769">
        <w:t>2</w:t>
      </w:r>
      <w:r w:rsidR="008628B0">
        <w:t xml:space="preserve"> participating health care organizations. AHRQ will conduct 2 rounds of interviews, with the first round occurring within several months after the How-To-Guide is distributed to the organization and the second round occurring 12 months later. The evaluation team will conduct in-depth interviews with:</w:t>
      </w:r>
    </w:p>
    <w:p w14:paraId="39C5793B" w14:textId="77777777" w:rsidR="008628B0" w:rsidRDefault="008628B0" w:rsidP="00F83D21">
      <w:pPr>
        <w:numPr>
          <w:ilvl w:val="1"/>
          <w:numId w:val="12"/>
        </w:numPr>
        <w:tabs>
          <w:tab w:val="left" w:pos="360"/>
        </w:tabs>
        <w:spacing w:after="120"/>
        <w:ind w:left="720"/>
      </w:pPr>
      <w:r>
        <w:t xml:space="preserve">The quality improvement (QI) lead </w:t>
      </w:r>
      <w:r w:rsidR="001A1C0D">
        <w:t>(</w:t>
      </w:r>
      <w:r w:rsidR="001A1C0D" w:rsidRPr="00F405D8">
        <w:rPr>
          <w:b/>
        </w:rPr>
        <w:t>Attachment B</w:t>
      </w:r>
      <w:r w:rsidR="001A1C0D">
        <w:t xml:space="preserve">) </w:t>
      </w:r>
      <w:r>
        <w:t xml:space="preserve">and </w:t>
      </w:r>
    </w:p>
    <w:p w14:paraId="67C8AD2A" w14:textId="77777777" w:rsidR="008628B0" w:rsidRDefault="008628B0" w:rsidP="00F83D21">
      <w:pPr>
        <w:numPr>
          <w:ilvl w:val="1"/>
          <w:numId w:val="12"/>
        </w:numPr>
        <w:tabs>
          <w:tab w:val="left" w:pos="360"/>
        </w:tabs>
        <w:spacing w:after="120"/>
        <w:ind w:left="720"/>
      </w:pPr>
      <w:r>
        <w:t xml:space="preserve">Four additional staff </w:t>
      </w:r>
      <w:r w:rsidR="001A1C0D">
        <w:t>(</w:t>
      </w:r>
      <w:r w:rsidR="001A1C0D" w:rsidRPr="00F405D8">
        <w:rPr>
          <w:b/>
        </w:rPr>
        <w:t>Attachment C</w:t>
      </w:r>
      <w:r w:rsidR="001A1C0D">
        <w:t xml:space="preserve">) </w:t>
      </w:r>
      <w:r>
        <w:t>who are involved in 6BB</w:t>
      </w:r>
      <w:r w:rsidR="00F405D8">
        <w:t>s</w:t>
      </w:r>
      <w:r>
        <w:t xml:space="preserve"> implementation at each organization, that might include a clinician, information technology analyst, social worker, behavioral health specialist, and/or care coordinator.</w:t>
      </w:r>
    </w:p>
    <w:p w14:paraId="18A81135" w14:textId="77777777" w:rsidR="008628B0" w:rsidRDefault="008628B0" w:rsidP="00650CFA">
      <w:pPr>
        <w:tabs>
          <w:tab w:val="left" w:pos="450"/>
        </w:tabs>
        <w:spacing w:after="120"/>
        <w:ind w:left="360"/>
      </w:pPr>
      <w:r w:rsidRPr="008628B0">
        <w:t>Staff interviewees will be selected by the QI lead at each organization, who will be asked to nominate a range of staff from those who embraced changes to those who were less willing to implement changes. Interviews will capture qualitative data regarding the organization’s history with efforts to curb opioid prescribing, experiences using the How-To-Guide, implementation of the 6BB intervention and associated opioid management interventions, and lessons learned that can be shared with other health care organizations.</w:t>
      </w:r>
    </w:p>
    <w:p w14:paraId="02A8D5C8" w14:textId="77777777" w:rsidR="00D91657" w:rsidRDefault="00F94F66" w:rsidP="00650CFA">
      <w:pPr>
        <w:tabs>
          <w:tab w:val="left" w:pos="360"/>
        </w:tabs>
        <w:spacing w:after="120"/>
        <w:ind w:left="360" w:hanging="360"/>
      </w:pPr>
      <w:r>
        <w:t>3</w:t>
      </w:r>
      <w:r w:rsidR="008628B0">
        <w:t xml:space="preserve">)  </w:t>
      </w:r>
      <w:r w:rsidR="00D91657">
        <w:rPr>
          <w:b/>
        </w:rPr>
        <w:t>Virtual Launch Meeting.</w:t>
      </w:r>
      <w:r w:rsidR="00854533">
        <w:t xml:space="preserve"> </w:t>
      </w:r>
      <w:r w:rsidR="00D91657" w:rsidRPr="008628B0">
        <w:t xml:space="preserve">A </w:t>
      </w:r>
      <w:r w:rsidR="00D91657">
        <w:t xml:space="preserve">virtual launch meeting </w:t>
      </w:r>
      <w:r w:rsidR="00E363B4">
        <w:t>will be held for</w:t>
      </w:r>
      <w:r w:rsidR="00D91657" w:rsidRPr="008628B0">
        <w:t xml:space="preserve"> organization liaisons and quality improvement leaders</w:t>
      </w:r>
      <w:r w:rsidR="00D91657">
        <w:t xml:space="preserve"> participating health care organizations to launch 6BBs Toolkit implementation. The meeting will be conducted by web-conference, and will last up to 2 hours.</w:t>
      </w:r>
    </w:p>
    <w:p w14:paraId="221DFDA0" w14:textId="0DEA9D95" w:rsidR="00891699" w:rsidRDefault="00D91657" w:rsidP="00650CFA">
      <w:pPr>
        <w:tabs>
          <w:tab w:val="left" w:pos="360"/>
        </w:tabs>
        <w:spacing w:after="120"/>
        <w:ind w:left="360" w:hanging="360"/>
      </w:pPr>
      <w:r>
        <w:t xml:space="preserve">4)  </w:t>
      </w:r>
      <w:r w:rsidR="00891699" w:rsidRPr="00650CFA">
        <w:rPr>
          <w:b/>
        </w:rPr>
        <w:t>Quarterly Check-In Call</w:t>
      </w:r>
      <w:r w:rsidR="00891699">
        <w:rPr>
          <w:b/>
        </w:rPr>
        <w:t>s</w:t>
      </w:r>
      <w:r w:rsidR="00891699" w:rsidRPr="008628B0">
        <w:t xml:space="preserve">. </w:t>
      </w:r>
      <w:r>
        <w:t>A</w:t>
      </w:r>
      <w:r w:rsidR="008E1394">
        <w:t xml:space="preserve"> </w:t>
      </w:r>
      <w:r w:rsidR="00891699" w:rsidRPr="008628B0">
        <w:t>project team member</w:t>
      </w:r>
      <w:r>
        <w:t xml:space="preserve"> </w:t>
      </w:r>
      <w:r w:rsidR="00891699" w:rsidRPr="008628B0">
        <w:t>will hold a quarterly check-in call with organization liaisons and quality improvement leaders to assess the progress of implementation of the 6BB</w:t>
      </w:r>
      <w:r w:rsidR="00F94F66">
        <w:t>s</w:t>
      </w:r>
      <w:r w:rsidR="00891699" w:rsidRPr="008628B0">
        <w:t xml:space="preserve"> intervention and improvement initiatives at each organization. C</w:t>
      </w:r>
      <w:r w:rsidR="00D849E4">
        <w:t>heck-in calls will occur quarterly</w:t>
      </w:r>
      <w:r w:rsidR="00891699" w:rsidRPr="008628B0">
        <w:t xml:space="preserve"> for up to 12 months. Each call will be up to 60 minutes in duration, and notes will be taken by an evaluation team member during each call.</w:t>
      </w:r>
      <w:r w:rsidR="008628B0">
        <w:t xml:space="preserve"> </w:t>
      </w:r>
    </w:p>
    <w:p w14:paraId="73979DCB" w14:textId="77777777" w:rsidR="008628B0" w:rsidRDefault="00D91657" w:rsidP="00650CFA">
      <w:pPr>
        <w:tabs>
          <w:tab w:val="left" w:pos="360"/>
        </w:tabs>
        <w:spacing w:after="120"/>
        <w:ind w:left="360" w:hanging="360"/>
      </w:pPr>
      <w:r>
        <w:t>5</w:t>
      </w:r>
      <w:r w:rsidR="00891699" w:rsidRPr="00891699">
        <w:t>)</w:t>
      </w:r>
      <w:r w:rsidR="00891699">
        <w:rPr>
          <w:b/>
        </w:rPr>
        <w:t xml:space="preserve">  </w:t>
      </w:r>
      <w:r w:rsidR="008628B0" w:rsidRPr="00650CFA">
        <w:rPr>
          <w:b/>
        </w:rPr>
        <w:t>QI Measures</w:t>
      </w:r>
      <w:r w:rsidR="008628B0" w:rsidRPr="008628B0">
        <w:t>. Each health care organization will be asked to report quarterly on the number of patients on long-term opioid therapy and the proportion of those who are on greater than 90 morphine milligram equivalents, co-prescribed a benzodiazepine, and had the prescription drug monitoring program checked and a urine drug screen. Organizations may also select other outcome measures aligned to their own goals.</w:t>
      </w:r>
    </w:p>
    <w:p w14:paraId="1A8D6E35" w14:textId="6AC73958" w:rsidR="00650CFA" w:rsidRDefault="00D91657" w:rsidP="00454448">
      <w:pPr>
        <w:tabs>
          <w:tab w:val="left" w:pos="360"/>
        </w:tabs>
        <w:spacing w:after="120"/>
        <w:ind w:left="360" w:hanging="360"/>
      </w:pPr>
      <w:r>
        <w:t>6</w:t>
      </w:r>
      <w:r w:rsidR="008628B0">
        <w:t xml:space="preserve">)   </w:t>
      </w:r>
      <w:r w:rsidR="0016687D" w:rsidRPr="00683D84">
        <w:rPr>
          <w:b/>
        </w:rPr>
        <w:t>Secondary data – organizational documents and worksheets completed by the clinics through their use of the How-to-Guide</w:t>
      </w:r>
      <w:r w:rsidR="008628B0" w:rsidRPr="00650CFA">
        <w:rPr>
          <w:b/>
        </w:rPr>
        <w:t>.</w:t>
      </w:r>
      <w:r w:rsidR="008628B0" w:rsidRPr="008628B0">
        <w:t xml:space="preserve">  Health care organizations </w:t>
      </w:r>
      <w:r w:rsidR="0016687D">
        <w:t>will</w:t>
      </w:r>
      <w:r w:rsidR="008628B0" w:rsidRPr="008628B0">
        <w:t xml:space="preserve"> </w:t>
      </w:r>
      <w:r w:rsidR="0016687D">
        <w:t>demonstrate</w:t>
      </w:r>
      <w:r w:rsidR="008628B0" w:rsidRPr="008628B0">
        <w:t xml:space="preserve"> their progress on implementing the 6BB</w:t>
      </w:r>
      <w:r w:rsidR="0016687D">
        <w:t>s program</w:t>
      </w:r>
      <w:r w:rsidR="008628B0" w:rsidRPr="008628B0">
        <w:t xml:space="preserve"> through completion of worksheets contained in or associated with the How-To-Guide. Since these data collections involve simply submitting worksheets they complete for their own benefit while working through the How-To-Guide, they pose only minimal data collection burden to the health care organization, speci</w:t>
      </w:r>
      <w:r w:rsidR="00454448">
        <w:t xml:space="preserve">fically the person who </w:t>
      </w:r>
      <w:r w:rsidR="008628B0" w:rsidRPr="008628B0">
        <w:t>complete</w:t>
      </w:r>
      <w:r w:rsidR="00454448">
        <w:t>s</w:t>
      </w:r>
      <w:r w:rsidR="008628B0" w:rsidRPr="008628B0">
        <w:t xml:space="preserve"> the worksheets (i.e., QI lead). The project team will also obtain relevant organizational documents (e.g., opioid prescribing policies, quality improvement plans, sample patient agreements, relevant practice workflows, screen</w:t>
      </w:r>
      <w:r w:rsidR="00454448">
        <w:t xml:space="preserve"> </w:t>
      </w:r>
      <w:r w:rsidR="008628B0" w:rsidRPr="008628B0">
        <w:t>shots of data dashboards).</w:t>
      </w:r>
    </w:p>
    <w:p w14:paraId="3EC9ABAA" w14:textId="77777777" w:rsidR="00454448" w:rsidRDefault="00454448" w:rsidP="00454448">
      <w:pPr>
        <w:tabs>
          <w:tab w:val="left" w:pos="360"/>
        </w:tabs>
        <w:spacing w:after="120"/>
        <w:ind w:left="360" w:hanging="360"/>
      </w:pPr>
    </w:p>
    <w:p w14:paraId="59CB6C60" w14:textId="77777777" w:rsidR="00527BBD" w:rsidRPr="00527BBD" w:rsidRDefault="00527BBD" w:rsidP="006014DB">
      <w:r w:rsidRPr="00527BBD">
        <w:t xml:space="preserve">This study is being conducted by AHRQ through its contractor, </w:t>
      </w:r>
      <w:r w:rsidR="00650CFA" w:rsidRPr="00DF56E9">
        <w:rPr>
          <w:rStyle w:val="CommentReference"/>
          <w:sz w:val="24"/>
          <w:szCs w:val="24"/>
        </w:rPr>
        <w:t>Abt Associates Inc.</w:t>
      </w:r>
      <w:r w:rsidRPr="00527BBD">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14:paraId="6C0993FC"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467F2714" w14:textId="124504CD" w:rsidR="00C4006D" w:rsidRDefault="00204509" w:rsidP="00204509">
      <w:pPr>
        <w:spacing w:before="100" w:beforeAutospacing="1" w:after="100" w:afterAutospacing="1"/>
        <w:rPr>
          <w:color w:val="000000"/>
        </w:rPr>
      </w:pPr>
      <w:r>
        <w:t xml:space="preserve">The purpose of the proposed data collection effort is to obtain information </w:t>
      </w:r>
      <w:r>
        <w:rPr>
          <w:color w:val="000000"/>
        </w:rPr>
        <w:t xml:space="preserve">needed to modify and enhance the </w:t>
      </w:r>
      <w:r w:rsidR="00644F76">
        <w:rPr>
          <w:color w:val="000000"/>
        </w:rPr>
        <w:t>6BB</w:t>
      </w:r>
      <w:r w:rsidR="0016687D">
        <w:rPr>
          <w:color w:val="000000"/>
        </w:rPr>
        <w:t>s Toolkit (</w:t>
      </w:r>
      <w:r w:rsidR="00644F76">
        <w:t>How-To-Guide</w:t>
      </w:r>
      <w:r w:rsidR="0016687D">
        <w:t xml:space="preserve"> and 6BBs program)</w:t>
      </w:r>
      <w:r>
        <w:rPr>
          <w:color w:val="000000"/>
        </w:rPr>
        <w:t xml:space="preserve"> and to </w:t>
      </w:r>
      <w:r w:rsidR="00644F76">
        <w:rPr>
          <w:color w:val="000000"/>
        </w:rPr>
        <w:t>provide information to health care organizations</w:t>
      </w:r>
      <w:r>
        <w:rPr>
          <w:color w:val="000000"/>
        </w:rPr>
        <w:t xml:space="preserve"> considering using the </w:t>
      </w:r>
      <w:r w:rsidR="0016687D">
        <w:rPr>
          <w:color w:val="000000"/>
        </w:rPr>
        <w:t>Toolkit</w:t>
      </w:r>
      <w:r>
        <w:rPr>
          <w:color w:val="000000"/>
        </w:rPr>
        <w:t xml:space="preserve"> to improve</w:t>
      </w:r>
      <w:r w:rsidR="0016687D">
        <w:t xml:space="preserve"> their ability to manage patients with chronic pain on long-term opioid therapy</w:t>
      </w:r>
      <w:r>
        <w:rPr>
          <w:color w:val="000000"/>
        </w:rPr>
        <w:t xml:space="preserve">. </w:t>
      </w:r>
      <w:r>
        <w:t>S</w:t>
      </w:r>
      <w:r w:rsidRPr="00E433FD">
        <w:t>inc</w:t>
      </w:r>
      <w:r>
        <w:t>e this</w:t>
      </w:r>
      <w:r w:rsidR="00F405D8">
        <w:t xml:space="preserve"> is only a study conducted in 1</w:t>
      </w:r>
      <w:r w:rsidR="005C562A">
        <w:t>2</w:t>
      </w:r>
      <w:r>
        <w:t xml:space="preserve"> organizations</w:t>
      </w:r>
      <w:r w:rsidRPr="00E433FD">
        <w:t xml:space="preserve">, outcomes or </w:t>
      </w:r>
      <w:r>
        <w:t xml:space="preserve">impacts </w:t>
      </w:r>
      <w:r w:rsidRPr="00E433FD">
        <w:t xml:space="preserve">will </w:t>
      </w:r>
      <w:r>
        <w:t xml:space="preserve">not </w:t>
      </w:r>
      <w:r w:rsidRPr="00E433FD">
        <w:t>be generalizable</w:t>
      </w:r>
      <w:r>
        <w:rPr>
          <w:color w:val="000000"/>
        </w:rPr>
        <w:t xml:space="preserve">. </w:t>
      </w:r>
    </w:p>
    <w:p w14:paraId="170AFFE9" w14:textId="7CD5F872" w:rsidR="00644F76" w:rsidRPr="00C4006D" w:rsidRDefault="00AD38AF" w:rsidP="00204509">
      <w:pPr>
        <w:spacing w:before="100" w:beforeAutospacing="1" w:after="100" w:afterAutospacing="1"/>
        <w:rPr>
          <w:i/>
        </w:rPr>
      </w:pPr>
      <w:r w:rsidRPr="00AD38AF">
        <w:rPr>
          <w:color w:val="000000"/>
        </w:rPr>
        <w:t>The data collected will help the project team: 1) understand the facilitators and barriers of using the 6BB</w:t>
      </w:r>
      <w:r w:rsidR="0016687D">
        <w:rPr>
          <w:color w:val="000000"/>
        </w:rPr>
        <w:t>s</w:t>
      </w:r>
      <w:r w:rsidRPr="00AD38AF">
        <w:rPr>
          <w:color w:val="000000"/>
        </w:rPr>
        <w:t xml:space="preserve"> Toolkit </w:t>
      </w:r>
      <w:r w:rsidR="0016687D">
        <w:rPr>
          <w:color w:val="000000"/>
        </w:rPr>
        <w:t xml:space="preserve">(How-to-Guide and 6BBS program) </w:t>
      </w:r>
      <w:r w:rsidRPr="00AD38AF">
        <w:rPr>
          <w:color w:val="000000"/>
        </w:rPr>
        <w:t>and recommended improvements to processes of care and opioid prescribing practices, and 2) assess the effectiveness of using the 6BB</w:t>
      </w:r>
      <w:r w:rsidR="0016687D">
        <w:rPr>
          <w:color w:val="000000"/>
        </w:rPr>
        <w:t>s</w:t>
      </w:r>
      <w:r w:rsidRPr="00AD38AF">
        <w:rPr>
          <w:color w:val="000000"/>
        </w:rPr>
        <w:t xml:space="preserve"> Toolkit to improve processes of care and opioid prescribing practices. The data collection effort may also provide insights that could guide dissemination of the Toolkit</w:t>
      </w:r>
      <w:r w:rsidR="0016687D">
        <w:rPr>
          <w:color w:val="000000"/>
        </w:rPr>
        <w:t xml:space="preserve"> (How-to-Guide and 6BBS program)</w:t>
      </w:r>
      <w:r w:rsidRPr="00AD38AF">
        <w:rPr>
          <w:color w:val="000000"/>
        </w:rPr>
        <w:t>. For example, if it was found that a specific type of organization included in this pilot study (e.g. small, stand-alone clinic in a rural area) particularly benefitted from using the Toolkit, then AHRQ could tailor and target its dissemination of the Toolkit to similar organizations. Once revisions are made based on resu</w:t>
      </w:r>
      <w:r w:rsidR="00F405D8">
        <w:rPr>
          <w:color w:val="000000"/>
        </w:rPr>
        <w:t>lts of this evaluation</w:t>
      </w:r>
      <w:r w:rsidRPr="00AD38AF">
        <w:rPr>
          <w:color w:val="000000"/>
        </w:rPr>
        <w:t>, the How-To-Guide will be published on AHRQ’s website. A manuscript describing the pilot study and its results will also be produced for publication in a peer-reviewed journal.</w:t>
      </w:r>
    </w:p>
    <w:p w14:paraId="1C0858BA" w14:textId="77777777" w:rsidR="007E0697" w:rsidRDefault="009B633D" w:rsidP="008E1394">
      <w:pPr>
        <w:pStyle w:val="Heading2"/>
        <w:rPr>
          <w:sz w:val="24"/>
        </w:rPr>
      </w:pPr>
      <w:r w:rsidRPr="00983636">
        <w:rPr>
          <w:sz w:val="24"/>
        </w:rPr>
        <w:t xml:space="preserve">3. </w:t>
      </w:r>
      <w:bookmarkStart w:id="7" w:name="_Toc151782178"/>
      <w:bookmarkStart w:id="8" w:name="_Toc158526218"/>
      <w:r w:rsidRPr="00983636">
        <w:rPr>
          <w:sz w:val="24"/>
        </w:rPr>
        <w:t>Use of Improved Information Technology</w:t>
      </w:r>
      <w:bookmarkEnd w:id="7"/>
      <w:bookmarkEnd w:id="8"/>
    </w:p>
    <w:p w14:paraId="07408B33" w14:textId="77777777" w:rsidR="008E1394" w:rsidRPr="008E1394" w:rsidRDefault="008E1394" w:rsidP="008E1394"/>
    <w:p w14:paraId="5228DCC6" w14:textId="372A4032" w:rsidR="00454448" w:rsidRDefault="007E0697" w:rsidP="008E1394">
      <w:pPr>
        <w:jc w:val="both"/>
      </w:pPr>
      <w:r w:rsidRPr="007E0697">
        <w:t>A broad range of the data</w:t>
      </w:r>
      <w:r w:rsidR="008E1394">
        <w:t xml:space="preserve"> collected during the project</w:t>
      </w:r>
      <w:r w:rsidRPr="007E0697">
        <w:t xml:space="preserve"> will use information technology.</w:t>
      </w:r>
      <w:r w:rsidR="008E1394">
        <w:t xml:space="preserve"> The initial launch meeting for health care organizations will be conducted by web</w:t>
      </w:r>
      <w:r w:rsidR="00454448">
        <w:t>-</w:t>
      </w:r>
      <w:r w:rsidR="008E1394">
        <w:t>conference to streamline</w:t>
      </w:r>
      <w:r w:rsidR="00454448">
        <w:t xml:space="preserve"> and facilitate</w:t>
      </w:r>
      <w:r w:rsidR="008E1394">
        <w:t xml:space="preserve"> participation</w:t>
      </w:r>
      <w:r w:rsidR="00454448">
        <w:t xml:space="preserve"> among the health care organizations</w:t>
      </w:r>
      <w:r w:rsidR="008E1394">
        <w:t>.</w:t>
      </w:r>
      <w:r w:rsidRPr="007E0697">
        <w:t xml:space="preserve"> </w:t>
      </w:r>
      <w:r w:rsidR="008E1394">
        <w:t xml:space="preserve">The launch meeting will </w:t>
      </w:r>
      <w:r w:rsidR="008E1394" w:rsidRPr="007E0697">
        <w:t>introduce each</w:t>
      </w:r>
      <w:r w:rsidR="006A7F99">
        <w:t xml:space="preserve"> element of the 6BBs</w:t>
      </w:r>
      <w:r w:rsidR="0016687D">
        <w:t xml:space="preserve"> program</w:t>
      </w:r>
      <w:r w:rsidR="006A7F99">
        <w:t>, walk through the How-To-Guide</w:t>
      </w:r>
      <w:r w:rsidR="00454448">
        <w:t>, orient participants</w:t>
      </w:r>
      <w:r w:rsidR="008E1394" w:rsidRPr="007E0697">
        <w:t xml:space="preserve"> to the content, and allow </w:t>
      </w:r>
      <w:r w:rsidR="006A7F99">
        <w:t>organizations to raise questions</w:t>
      </w:r>
      <w:r w:rsidR="008E1394" w:rsidRPr="007E0697">
        <w:t xml:space="preserve">. </w:t>
      </w:r>
    </w:p>
    <w:p w14:paraId="04AA6915" w14:textId="77777777" w:rsidR="00454448" w:rsidRDefault="00454448" w:rsidP="008E1394">
      <w:pPr>
        <w:jc w:val="both"/>
      </w:pPr>
    </w:p>
    <w:p w14:paraId="188DF33E" w14:textId="37719599" w:rsidR="008E1394" w:rsidRPr="007E0697" w:rsidRDefault="006A7F99" w:rsidP="008E1394">
      <w:pPr>
        <w:jc w:val="both"/>
      </w:pPr>
      <w:r>
        <w:t>The Ho</w:t>
      </w:r>
      <w:r w:rsidR="00454448">
        <w:t>w-To-Guide will be posted on an active</w:t>
      </w:r>
      <w:r>
        <w:t xml:space="preserve"> website </w:t>
      </w:r>
      <w:r w:rsidR="00454448">
        <w:t>for the</w:t>
      </w:r>
      <w:r>
        <w:t xml:space="preserve"> 6BB</w:t>
      </w:r>
      <w:r w:rsidR="00454448">
        <w:t>s</w:t>
      </w:r>
      <w:r>
        <w:t xml:space="preserve"> intervention (</w:t>
      </w:r>
      <w:r w:rsidR="00454448" w:rsidRPr="00454448">
        <w:t>https://www.improvingopioidcare.org/</w:t>
      </w:r>
      <w:r>
        <w:t>)</w:t>
      </w:r>
      <w:r w:rsidR="00454448">
        <w:t>, which</w:t>
      </w:r>
      <w:r>
        <w:t xml:space="preserve"> </w:t>
      </w:r>
      <w:r w:rsidR="00454448">
        <w:t>participants can access for information at their convenience</w:t>
      </w:r>
      <w:r w:rsidR="00050C27">
        <w:t>.</w:t>
      </w:r>
      <w:r>
        <w:t xml:space="preserve"> The website will also contain links to relevant tools and additional resources health care organizations may find helpful with 6BB</w:t>
      </w:r>
      <w:r w:rsidR="00454448">
        <w:t>s</w:t>
      </w:r>
      <w:r>
        <w:t xml:space="preserve"> </w:t>
      </w:r>
      <w:r w:rsidR="0016687D">
        <w:t xml:space="preserve">program </w:t>
      </w:r>
      <w:r>
        <w:t xml:space="preserve">implementation. </w:t>
      </w:r>
      <w:r w:rsidR="008E1394" w:rsidRPr="007E0697">
        <w:t xml:space="preserve">This format is ideal for busy </w:t>
      </w:r>
      <w:r w:rsidR="00454448">
        <w:t>health care staff and clinicians who can</w:t>
      </w:r>
      <w:r w:rsidR="008E1394" w:rsidRPr="007E0697">
        <w:t xml:space="preserve"> access</w:t>
      </w:r>
      <w:r w:rsidR="00454448">
        <w:t xml:space="preserve"> the information as they wish.</w:t>
      </w:r>
      <w:r w:rsidR="008E1394" w:rsidRPr="007E0697">
        <w:t xml:space="preserve"> </w:t>
      </w:r>
      <w:r w:rsidR="00454448">
        <w:t xml:space="preserve">Additionally, the How-To-Guide will contain worksheets in fillable pdf format that health care organizations can use to track their 6BBs </w:t>
      </w:r>
      <w:r w:rsidR="0016687D">
        <w:t xml:space="preserve">program </w:t>
      </w:r>
      <w:r w:rsidR="00454448">
        <w:t xml:space="preserve">implementation </w:t>
      </w:r>
      <w:r w:rsidR="00050C27">
        <w:t>progress.</w:t>
      </w:r>
    </w:p>
    <w:p w14:paraId="18B9563C" w14:textId="77777777" w:rsidR="008E1394" w:rsidRDefault="008E1394" w:rsidP="007E0697">
      <w:pPr>
        <w:jc w:val="both"/>
      </w:pPr>
    </w:p>
    <w:p w14:paraId="192E04EE" w14:textId="77777777" w:rsidR="00050C27" w:rsidRPr="007E0697" w:rsidRDefault="00050C27" w:rsidP="007E0697">
      <w:pPr>
        <w:jc w:val="both"/>
      </w:pPr>
      <w:r>
        <w:t xml:space="preserve">Also, the clinician survey will </w:t>
      </w:r>
      <w:r w:rsidR="007E0697" w:rsidRPr="007E0697">
        <w:t>be conducted electronically via an online sur</w:t>
      </w:r>
      <w:r>
        <w:t>vey application. Staff interviews will be conducted by phone with video conference capability.</w:t>
      </w:r>
    </w:p>
    <w:p w14:paraId="157FDCBB" w14:textId="77777777" w:rsidR="009B633D" w:rsidRDefault="009B633D" w:rsidP="009B633D">
      <w:pPr>
        <w:pStyle w:val="Heading2"/>
        <w:rPr>
          <w:sz w:val="24"/>
        </w:rPr>
      </w:pPr>
      <w:r w:rsidRPr="00983636">
        <w:rPr>
          <w:sz w:val="24"/>
        </w:rPr>
        <w:t xml:space="preserve">4. </w:t>
      </w:r>
      <w:bookmarkStart w:id="9" w:name="_Toc151782179"/>
      <w:bookmarkStart w:id="10" w:name="_Toc158526219"/>
      <w:r w:rsidRPr="00983636">
        <w:rPr>
          <w:sz w:val="24"/>
        </w:rPr>
        <w:t>Efforts to Identify Duplication</w:t>
      </w:r>
      <w:bookmarkEnd w:id="9"/>
      <w:bookmarkEnd w:id="10"/>
    </w:p>
    <w:p w14:paraId="6543A33C" w14:textId="77777777" w:rsidR="00050C27" w:rsidRPr="00050C27" w:rsidRDefault="00050C27" w:rsidP="00050C27"/>
    <w:p w14:paraId="6EDA2290" w14:textId="77777777" w:rsidR="00DA4E5A" w:rsidRDefault="009706DB" w:rsidP="009706DB">
      <w:r>
        <w:t xml:space="preserve">The </w:t>
      </w:r>
      <w:r w:rsidRPr="008628B0">
        <w:t>6BBs Toolkit</w:t>
      </w:r>
      <w:r>
        <w:t xml:space="preserve"> builds</w:t>
      </w:r>
      <w:r w:rsidR="00DA4E5A">
        <w:t xml:space="preserve"> on a previous study supported by the Agency for Healthcare Research and Quality and the Washington State Department of Health, substantially augments the original work</w:t>
      </w:r>
      <w:r>
        <w:t>, and makes the delivery f</w:t>
      </w:r>
      <w:r w:rsidR="00DA4E5A">
        <w:t>ormat more user-friendly</w:t>
      </w:r>
      <w:r>
        <w:t xml:space="preserve">. </w:t>
      </w:r>
      <w:r w:rsidR="00DA4E5A">
        <w:t xml:space="preserve">AHRQ has sustained close contact with other organizations doing related work in an effort to identify similar existing information and has not identified any such sources. </w:t>
      </w:r>
    </w:p>
    <w:p w14:paraId="416CF27C" w14:textId="77777777" w:rsidR="00DA4E5A" w:rsidRDefault="00DA4E5A" w:rsidP="009706DB"/>
    <w:p w14:paraId="0B9F68C6"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7D8332B7" w14:textId="77777777" w:rsidR="00DA4E5A" w:rsidRPr="00993162" w:rsidRDefault="00DA4E5A" w:rsidP="00DA4E5A">
      <w:pPr>
        <w:spacing w:before="100" w:beforeAutospacing="1" w:after="100" w:afterAutospacing="1"/>
      </w:pPr>
      <w:r w:rsidRPr="00993162">
        <w:t>This project does not intend to intentionally involve nor exclude or impact any small entities. However, to the extent an identified and recruited health care organization meets the requirements for participation and is a small entity, we will involve them and expect no greater impact than on other participating health care organizations. The instruments and procedures used to collect data are designed to minimize the burden on all respondents.</w:t>
      </w:r>
    </w:p>
    <w:p w14:paraId="2D3D9EED"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3006BB19" w14:textId="37A934A9" w:rsidR="00993162" w:rsidRPr="00993162" w:rsidRDefault="00993162" w:rsidP="00993162">
      <w:pPr>
        <w:spacing w:before="100" w:beforeAutospacing="1" w:after="100" w:afterAutospacing="1"/>
      </w:pPr>
      <w:bookmarkStart w:id="15" w:name="_Toc151782182"/>
      <w:bookmarkStart w:id="16" w:name="_Toc158526222"/>
      <w:r w:rsidRPr="00993162">
        <w:t>This project is a one-time data collection effort. The data collection peri</w:t>
      </w:r>
      <w:r>
        <w:t xml:space="preserve">od will last for approximately </w:t>
      </w:r>
      <w:r w:rsidR="008015C1">
        <w:t>15</w:t>
      </w:r>
      <w:r w:rsidRPr="00993162">
        <w:t xml:space="preserve"> months at eac</w:t>
      </w:r>
      <w:r w:rsidR="00F405D8">
        <w:t>h of 1</w:t>
      </w:r>
      <w:r w:rsidR="005C562A">
        <w:t>2</w:t>
      </w:r>
      <w:r>
        <w:t xml:space="preserve"> participating health care organizations</w:t>
      </w:r>
      <w:r w:rsidRPr="00993162">
        <w:t xml:space="preserve">. </w:t>
      </w:r>
    </w:p>
    <w:p w14:paraId="0D446F20" w14:textId="77777777" w:rsidR="00993162" w:rsidRPr="00993162" w:rsidRDefault="00993162" w:rsidP="00993162">
      <w:pPr>
        <w:spacing w:before="100" w:beforeAutospacing="1" w:after="100" w:afterAutospacing="1"/>
      </w:pPr>
      <w:r w:rsidRPr="00993162">
        <w:t>Not collecting the data, or shortening the data collection period (either by decreasing the study duration or number of sites) places us at risk of not collecting adequ</w:t>
      </w:r>
      <w:r w:rsidR="00F405D8">
        <w:t xml:space="preserve">ate information for the </w:t>
      </w:r>
      <w:r>
        <w:t xml:space="preserve">testing of the </w:t>
      </w:r>
      <w:r w:rsidR="00050C27">
        <w:t xml:space="preserve">6BBs </w:t>
      </w:r>
      <w:r>
        <w:t>Toolkit</w:t>
      </w:r>
      <w:r w:rsidRPr="00993162">
        <w:t>. Should we shorten the data collection period, we might not identify potential barriers, facilitators or</w:t>
      </w:r>
      <w:r>
        <w:t xml:space="preserve"> o</w:t>
      </w:r>
      <w:r w:rsidR="00050C27">
        <w:t>utcomes of implementing the</w:t>
      </w:r>
      <w:r>
        <w:t xml:space="preserve"> Toolkit</w:t>
      </w:r>
      <w:r w:rsidRPr="00993162">
        <w:t xml:space="preserve">. This would limit the extent to </w:t>
      </w:r>
      <w:r>
        <w:t>which the final Toolkit would meet health care organization</w:t>
      </w:r>
      <w:r w:rsidRPr="00993162">
        <w:t>s’ needs related to the improveme</w:t>
      </w:r>
      <w:r>
        <w:t>nt of opioid prescribing practices</w:t>
      </w:r>
      <w:r w:rsidRPr="00993162">
        <w:t>.</w:t>
      </w:r>
    </w:p>
    <w:p w14:paraId="1567C537" w14:textId="77777777" w:rsidR="009B633D" w:rsidRDefault="009B633D" w:rsidP="009B633D">
      <w:pPr>
        <w:pStyle w:val="Heading2"/>
        <w:rPr>
          <w:sz w:val="24"/>
        </w:rPr>
      </w:pPr>
      <w:r w:rsidRPr="00412C6F">
        <w:rPr>
          <w:sz w:val="24"/>
        </w:rPr>
        <w:t>7. Special Circumstances</w:t>
      </w:r>
      <w:bookmarkEnd w:id="15"/>
      <w:bookmarkEnd w:id="16"/>
    </w:p>
    <w:p w14:paraId="4905975C" w14:textId="77777777" w:rsidR="009B633D" w:rsidRDefault="009B633D" w:rsidP="009B633D">
      <w:pPr>
        <w:spacing w:before="120"/>
      </w:pPr>
      <w:r w:rsidRPr="004F03D2">
        <w:t>This request is consistent with the general information collection guid</w:t>
      </w:r>
      <w:r>
        <w:t>elines of 5 CFR 1320.5(d)(2).  No special circumstances apply.</w:t>
      </w:r>
    </w:p>
    <w:p w14:paraId="1EF2531E" w14:textId="77777777" w:rsidR="00B47636" w:rsidRDefault="00B47636" w:rsidP="009B633D">
      <w:pPr>
        <w:spacing w:before="120"/>
      </w:pPr>
    </w:p>
    <w:p w14:paraId="768C9017"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0980C33C" w14:textId="77777777" w:rsidR="004E3A1B" w:rsidRDefault="004E3A1B" w:rsidP="004E3A1B"/>
    <w:p w14:paraId="2BCE9875"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2FBB9B2B" w14:textId="77777777" w:rsidR="007C1ECB" w:rsidRPr="007C1ECB" w:rsidRDefault="007C1ECB" w:rsidP="004E3A1B"/>
    <w:p w14:paraId="4B3C9238" w14:textId="0F4D903A" w:rsidR="004E3A1B" w:rsidRPr="004E3A1B" w:rsidRDefault="007B6854" w:rsidP="004E3A1B">
      <w:bookmarkStart w:id="19" w:name="OLE_LINK3"/>
      <w:bookmarkStart w:id="20" w:name="OLE_LINK4"/>
      <w:r>
        <w:t>As required by 5 CFR 1320.8(d), n</w:t>
      </w:r>
      <w:r w:rsidRPr="007B4120">
        <w:t>otice was published in the Federal Register on</w:t>
      </w:r>
      <w:r>
        <w:t xml:space="preserve"> April 12, 2019 on page</w:t>
      </w:r>
      <w:r w:rsidRPr="007B4120">
        <w:t xml:space="preserve"> </w:t>
      </w:r>
      <w:r w:rsidRPr="003B7273">
        <w:t xml:space="preserve">14946 </w:t>
      </w:r>
      <w:r w:rsidRPr="007B4120">
        <w:t>for 60 days</w:t>
      </w:r>
      <w:r>
        <w:t xml:space="preserve"> (</w:t>
      </w:r>
      <w:r w:rsidRPr="001A1C0D">
        <w:t xml:space="preserve">see Attachment </w:t>
      </w:r>
      <w:r>
        <w:t>D).  AHRQ received no substantive comments</w:t>
      </w:r>
      <w:r w:rsidDel="007B6854">
        <w:t xml:space="preserve"> </w:t>
      </w:r>
      <w:bookmarkEnd w:id="19"/>
      <w:bookmarkEnd w:id="20"/>
    </w:p>
    <w:p w14:paraId="6DC240C3" w14:textId="77777777" w:rsidR="009B633D" w:rsidRPr="00412C6F" w:rsidRDefault="004E3A1B" w:rsidP="009B633D">
      <w:pPr>
        <w:pStyle w:val="Heading2"/>
        <w:rPr>
          <w:sz w:val="24"/>
        </w:rPr>
      </w:pPr>
      <w:r>
        <w:rPr>
          <w:sz w:val="24"/>
        </w:rPr>
        <w:t xml:space="preserve">8.b.  </w:t>
      </w:r>
      <w:r w:rsidRPr="004E3A1B">
        <w:rPr>
          <w:sz w:val="24"/>
          <w:szCs w:val="24"/>
        </w:rPr>
        <w:t>Outside Consultations</w:t>
      </w:r>
    </w:p>
    <w:p w14:paraId="503B718C" w14:textId="77777777" w:rsidR="00E83A2B" w:rsidRPr="00E83A2B" w:rsidRDefault="00E83A2B" w:rsidP="00E83A2B">
      <w:pPr>
        <w:contextualSpacing/>
      </w:pPr>
      <w:bookmarkStart w:id="21" w:name="_Toc457285506"/>
      <w:bookmarkStart w:id="22" w:name="_Toc58725294"/>
      <w:bookmarkStart w:id="23" w:name="_Toc151782184"/>
      <w:bookmarkStart w:id="24" w:name="_Toc158526224"/>
      <w:r w:rsidRPr="00E83A2B">
        <w:t>The following experts and stakeholders were consulted to identify essential c</w:t>
      </w:r>
      <w:r>
        <w:t>ontent for the 6BBs Toolkit</w:t>
      </w:r>
      <w:r w:rsidRPr="00E83A2B">
        <w:t xml:space="preserve"> and to identify appropriate </w:t>
      </w:r>
      <w:r>
        <w:t>inclusion criteria for health care organizations</w:t>
      </w:r>
      <w:r w:rsidRPr="00E83A2B">
        <w:t xml:space="preserve"> to be included in the pilot test.</w:t>
      </w:r>
    </w:p>
    <w:p w14:paraId="137FF9AE" w14:textId="77777777" w:rsidR="00E83A2B" w:rsidRDefault="00E83A2B" w:rsidP="00E83A2B">
      <w:pPr>
        <w:contextualSpacing/>
      </w:pPr>
    </w:p>
    <w:p w14:paraId="2F9A3851" w14:textId="77777777" w:rsidR="00E83A2B" w:rsidRDefault="00E83A2B" w:rsidP="00F83D21">
      <w:pPr>
        <w:numPr>
          <w:ilvl w:val="0"/>
          <w:numId w:val="13"/>
        </w:numPr>
        <w:spacing w:after="120"/>
      </w:pPr>
      <w:r>
        <w:t xml:space="preserve">Michael Parchman, MD, MPH, the MacColl Center for Health Care Innovation at the Kaiser Permanente of Washington Research Institute </w:t>
      </w:r>
    </w:p>
    <w:p w14:paraId="4A6F466E" w14:textId="77777777" w:rsidR="00E83A2B" w:rsidRDefault="00E83A2B" w:rsidP="00F83D21">
      <w:pPr>
        <w:numPr>
          <w:ilvl w:val="0"/>
          <w:numId w:val="13"/>
        </w:numPr>
        <w:spacing w:after="120"/>
      </w:pPr>
      <w:r>
        <w:t>Laura-Mae Baldwin, MD, MPH, University of Washington</w:t>
      </w:r>
    </w:p>
    <w:p w14:paraId="29EDBCFC" w14:textId="77777777" w:rsidR="00E83A2B" w:rsidRPr="00E83A2B" w:rsidRDefault="00E83A2B" w:rsidP="00F83D21">
      <w:pPr>
        <w:numPr>
          <w:ilvl w:val="0"/>
          <w:numId w:val="13"/>
        </w:numPr>
        <w:spacing w:after="120"/>
      </w:pPr>
      <w:r>
        <w:t>Brooke Ike</w:t>
      </w:r>
      <w:r w:rsidRPr="00E83A2B">
        <w:t>,</w:t>
      </w:r>
      <w:r>
        <w:t xml:space="preserve"> </w:t>
      </w:r>
      <w:r w:rsidRPr="00E83A2B">
        <w:t xml:space="preserve">MPH, </w:t>
      </w:r>
      <w:r>
        <w:t>University of Washington</w:t>
      </w:r>
    </w:p>
    <w:p w14:paraId="2077CCEA" w14:textId="77777777" w:rsidR="00E83A2B" w:rsidRPr="00E83A2B" w:rsidRDefault="00E83A2B" w:rsidP="00E83A2B">
      <w:pPr>
        <w:contextualSpacing/>
      </w:pPr>
    </w:p>
    <w:p w14:paraId="2EFCFDC8" w14:textId="77777777" w:rsidR="0038217D" w:rsidRPr="0038217D" w:rsidRDefault="009B633D" w:rsidP="0038217D">
      <w:pPr>
        <w:pStyle w:val="Heading2"/>
        <w:rPr>
          <w:sz w:val="24"/>
        </w:rPr>
      </w:pPr>
      <w:r w:rsidRPr="00F1219D">
        <w:t>9. Payments/Gifts to Respondents</w:t>
      </w:r>
      <w:bookmarkEnd w:id="21"/>
      <w:bookmarkEnd w:id="22"/>
      <w:bookmarkEnd w:id="23"/>
      <w:bookmarkEnd w:id="24"/>
    </w:p>
    <w:p w14:paraId="3AA0B427" w14:textId="4A2DEA61" w:rsidR="00443427" w:rsidRPr="004C5ABF" w:rsidRDefault="00D91657" w:rsidP="00443427">
      <w:pPr>
        <w:pStyle w:val="BodyText"/>
      </w:pPr>
      <w:r>
        <w:t>A range of i</w:t>
      </w:r>
      <w:r w:rsidR="00443427" w:rsidRPr="004C5ABF">
        <w:t xml:space="preserve">ncentives will be offered </w:t>
      </w:r>
      <w:r w:rsidR="00987B05">
        <w:t>as remuneration for</w:t>
      </w:r>
      <w:r w:rsidR="00987B05" w:rsidRPr="004C5ABF">
        <w:t xml:space="preserve"> </w:t>
      </w:r>
      <w:r w:rsidR="00987B05">
        <w:t>clinics</w:t>
      </w:r>
      <w:r w:rsidR="003B1BB7">
        <w:t>’</w:t>
      </w:r>
      <w:r w:rsidR="00987B05">
        <w:t xml:space="preserve"> and </w:t>
      </w:r>
      <w:r w:rsidR="00443427" w:rsidRPr="004C5ABF">
        <w:t>individuals</w:t>
      </w:r>
      <w:r w:rsidR="003B1BB7">
        <w:t>’</w:t>
      </w:r>
      <w:r w:rsidR="00443427" w:rsidRPr="004C5ABF">
        <w:t xml:space="preserve"> involvement in the pilot testing of the </w:t>
      </w:r>
      <w:r w:rsidR="00AE4551">
        <w:t>6BBs Toolkit in their health care organization</w:t>
      </w:r>
      <w:r w:rsidR="00443427" w:rsidRPr="004C5ABF">
        <w:t xml:space="preserve">: </w:t>
      </w:r>
    </w:p>
    <w:p w14:paraId="422C157C" w14:textId="77777777" w:rsidR="00443427" w:rsidRDefault="00AE4551" w:rsidP="00F83D21">
      <w:pPr>
        <w:pStyle w:val="Bullets"/>
        <w:numPr>
          <w:ilvl w:val="0"/>
          <w:numId w:val="15"/>
        </w:numPr>
        <w:rPr>
          <w:sz w:val="24"/>
          <w:szCs w:val="24"/>
        </w:rPr>
      </w:pPr>
      <w:r>
        <w:rPr>
          <w:sz w:val="24"/>
          <w:szCs w:val="24"/>
        </w:rPr>
        <w:t>Access to a free, high-quality How-To-Guide on implementing change around opioid prescribing practices</w:t>
      </w:r>
      <w:r w:rsidR="00F405D8">
        <w:rPr>
          <w:sz w:val="24"/>
          <w:szCs w:val="24"/>
        </w:rPr>
        <w:t>;</w:t>
      </w:r>
    </w:p>
    <w:p w14:paraId="2AF43441" w14:textId="77777777" w:rsidR="00987B05" w:rsidRPr="004C5ABF" w:rsidRDefault="00987B05" w:rsidP="00987B05">
      <w:pPr>
        <w:pStyle w:val="Bullets"/>
        <w:numPr>
          <w:ilvl w:val="0"/>
          <w:numId w:val="15"/>
        </w:numPr>
        <w:rPr>
          <w:sz w:val="24"/>
          <w:szCs w:val="24"/>
        </w:rPr>
      </w:pPr>
      <w:r w:rsidRPr="004C5ABF">
        <w:rPr>
          <w:sz w:val="24"/>
          <w:szCs w:val="24"/>
        </w:rPr>
        <w:t>O</w:t>
      </w:r>
      <w:r>
        <w:rPr>
          <w:sz w:val="24"/>
          <w:szCs w:val="24"/>
        </w:rPr>
        <w:t>pportunity to participate in a opioid prescribing quality improvement</w:t>
      </w:r>
      <w:r w:rsidRPr="004C5ABF">
        <w:rPr>
          <w:sz w:val="24"/>
          <w:szCs w:val="24"/>
        </w:rPr>
        <w:t xml:space="preserve"> project</w:t>
      </w:r>
      <w:r>
        <w:rPr>
          <w:sz w:val="24"/>
          <w:szCs w:val="24"/>
        </w:rPr>
        <w:t>;</w:t>
      </w:r>
      <w:r w:rsidRPr="004C5ABF">
        <w:rPr>
          <w:sz w:val="24"/>
          <w:szCs w:val="24"/>
        </w:rPr>
        <w:t xml:space="preserve"> </w:t>
      </w:r>
    </w:p>
    <w:p w14:paraId="7585790D" w14:textId="16C46140" w:rsidR="00987B05" w:rsidRPr="004C5ABF" w:rsidRDefault="00987B05" w:rsidP="00987B05">
      <w:pPr>
        <w:pStyle w:val="Bullets"/>
        <w:numPr>
          <w:ilvl w:val="0"/>
          <w:numId w:val="15"/>
        </w:numPr>
        <w:rPr>
          <w:sz w:val="24"/>
          <w:szCs w:val="24"/>
        </w:rPr>
      </w:pPr>
      <w:r w:rsidRPr="004C5ABF">
        <w:rPr>
          <w:sz w:val="24"/>
          <w:szCs w:val="24"/>
        </w:rPr>
        <w:t>Opportunity to participate in a project funded by AHR</w:t>
      </w:r>
      <w:r>
        <w:rPr>
          <w:sz w:val="24"/>
          <w:szCs w:val="24"/>
        </w:rPr>
        <w:t xml:space="preserve">Q; </w:t>
      </w:r>
    </w:p>
    <w:p w14:paraId="1C81E6F4" w14:textId="77777777" w:rsidR="00987B05" w:rsidRPr="004C5ABF" w:rsidRDefault="00987B05" w:rsidP="00987B05">
      <w:pPr>
        <w:pStyle w:val="BulletsLast"/>
        <w:numPr>
          <w:ilvl w:val="0"/>
          <w:numId w:val="15"/>
        </w:numPr>
        <w:rPr>
          <w:sz w:val="24"/>
          <w:szCs w:val="24"/>
        </w:rPr>
      </w:pPr>
      <w:r>
        <w:rPr>
          <w:sz w:val="24"/>
          <w:szCs w:val="24"/>
        </w:rPr>
        <w:t>Potential to improve health care organization’s opioid prescribing practices.</w:t>
      </w:r>
      <w:r w:rsidRPr="004C5ABF">
        <w:rPr>
          <w:sz w:val="24"/>
          <w:szCs w:val="24"/>
        </w:rPr>
        <w:t xml:space="preserve"> </w:t>
      </w:r>
    </w:p>
    <w:p w14:paraId="478A82FD" w14:textId="1B4799AB" w:rsidR="00440AE7" w:rsidRDefault="00987B05" w:rsidP="001D5AA5">
      <w:pPr>
        <w:pStyle w:val="Bullets"/>
        <w:numPr>
          <w:ilvl w:val="0"/>
          <w:numId w:val="0"/>
        </w:numPr>
        <w:rPr>
          <w:sz w:val="24"/>
          <w:szCs w:val="24"/>
        </w:rPr>
      </w:pPr>
      <w:r>
        <w:rPr>
          <w:sz w:val="24"/>
          <w:szCs w:val="24"/>
        </w:rPr>
        <w:t xml:space="preserve">Besides the </w:t>
      </w:r>
      <w:r w:rsidR="00303792">
        <w:rPr>
          <w:sz w:val="24"/>
          <w:szCs w:val="24"/>
        </w:rPr>
        <w:t>above-mentioned</w:t>
      </w:r>
      <w:r>
        <w:rPr>
          <w:sz w:val="24"/>
          <w:szCs w:val="24"/>
        </w:rPr>
        <w:t xml:space="preserve"> incentives we propose to offer the following honoraria</w:t>
      </w:r>
      <w:r w:rsidR="00303792">
        <w:rPr>
          <w:sz w:val="24"/>
          <w:szCs w:val="24"/>
        </w:rPr>
        <w:t xml:space="preserve"> for clinics and individuals</w:t>
      </w:r>
      <w:r>
        <w:rPr>
          <w:sz w:val="24"/>
          <w:szCs w:val="24"/>
        </w:rPr>
        <w:t xml:space="preserve"> and explain the appropriateness for doing so:</w:t>
      </w:r>
      <w:r w:rsidR="00440AE7">
        <w:rPr>
          <w:sz w:val="24"/>
          <w:szCs w:val="24"/>
        </w:rPr>
        <w:t xml:space="preserve"> </w:t>
      </w:r>
    </w:p>
    <w:p w14:paraId="0EAE72D1" w14:textId="0370A11E" w:rsidR="00440AE7" w:rsidRDefault="00987B05" w:rsidP="001D5AA5">
      <w:pPr>
        <w:pStyle w:val="Bullets"/>
        <w:numPr>
          <w:ilvl w:val="0"/>
          <w:numId w:val="38"/>
        </w:numPr>
        <w:rPr>
          <w:sz w:val="24"/>
          <w:szCs w:val="24"/>
        </w:rPr>
      </w:pPr>
      <w:r w:rsidRPr="00987B05">
        <w:rPr>
          <w:sz w:val="24"/>
          <w:szCs w:val="24"/>
        </w:rPr>
        <w:t xml:space="preserve">An honorarium </w:t>
      </w:r>
      <w:r w:rsidR="0016255C">
        <w:rPr>
          <w:sz w:val="24"/>
          <w:szCs w:val="24"/>
        </w:rPr>
        <w:t>of $</w:t>
      </w:r>
      <w:r w:rsidR="005E79D3">
        <w:rPr>
          <w:sz w:val="24"/>
          <w:szCs w:val="24"/>
        </w:rPr>
        <w:t>1</w:t>
      </w:r>
      <w:r w:rsidR="0016255C">
        <w:rPr>
          <w:sz w:val="24"/>
          <w:szCs w:val="24"/>
        </w:rPr>
        <w:t>,</w:t>
      </w:r>
      <w:r w:rsidR="005E79D3">
        <w:rPr>
          <w:sz w:val="24"/>
          <w:szCs w:val="24"/>
        </w:rPr>
        <w:t>0</w:t>
      </w:r>
      <w:r w:rsidR="0016255C">
        <w:rPr>
          <w:sz w:val="24"/>
          <w:szCs w:val="24"/>
        </w:rPr>
        <w:t xml:space="preserve">00 per clinic </w:t>
      </w:r>
      <w:r w:rsidR="008A35A9">
        <w:rPr>
          <w:sz w:val="24"/>
          <w:szCs w:val="24"/>
        </w:rPr>
        <w:t>is critical to achieve</w:t>
      </w:r>
      <w:r w:rsidR="006E2449">
        <w:rPr>
          <w:sz w:val="24"/>
          <w:szCs w:val="24"/>
        </w:rPr>
        <w:t xml:space="preserve"> project aims</w:t>
      </w:r>
      <w:r w:rsidR="00303792">
        <w:rPr>
          <w:sz w:val="24"/>
          <w:szCs w:val="24"/>
        </w:rPr>
        <w:t xml:space="preserve">. </w:t>
      </w:r>
    </w:p>
    <w:p w14:paraId="622741A7" w14:textId="128CD8C5" w:rsidR="00440AE7" w:rsidRDefault="006E2449" w:rsidP="001D5AA5">
      <w:pPr>
        <w:pStyle w:val="Bullets"/>
        <w:numPr>
          <w:ilvl w:val="0"/>
          <w:numId w:val="0"/>
        </w:numPr>
        <w:spacing w:after="240"/>
        <w:ind w:left="720"/>
        <w:rPr>
          <w:sz w:val="24"/>
          <w:szCs w:val="24"/>
        </w:rPr>
      </w:pPr>
      <w:r>
        <w:rPr>
          <w:sz w:val="24"/>
          <w:szCs w:val="24"/>
        </w:rPr>
        <w:t xml:space="preserve">Research demonstrates that collecting </w:t>
      </w:r>
      <w:r w:rsidR="00CD7B72">
        <w:rPr>
          <w:sz w:val="24"/>
          <w:szCs w:val="24"/>
        </w:rPr>
        <w:t xml:space="preserve">opioid measure </w:t>
      </w:r>
      <w:r>
        <w:rPr>
          <w:sz w:val="24"/>
          <w:szCs w:val="24"/>
        </w:rPr>
        <w:t xml:space="preserve">data can be cumbersome for clinics, and providing an </w:t>
      </w:r>
      <w:r w:rsidR="008A35A9">
        <w:rPr>
          <w:sz w:val="24"/>
          <w:szCs w:val="24"/>
        </w:rPr>
        <w:t xml:space="preserve">honorarium </w:t>
      </w:r>
      <w:r w:rsidR="00CD7B72">
        <w:rPr>
          <w:sz w:val="24"/>
          <w:szCs w:val="24"/>
        </w:rPr>
        <w:t>incentivizes clinic participation</w:t>
      </w:r>
      <w:r>
        <w:rPr>
          <w:sz w:val="24"/>
          <w:szCs w:val="24"/>
        </w:rPr>
        <w:t>.</w:t>
      </w:r>
      <w:r w:rsidR="00303792">
        <w:rPr>
          <w:sz w:val="24"/>
          <w:szCs w:val="24"/>
        </w:rPr>
        <w:t xml:space="preserve"> As was observed in AHRQ’s EvidenceNOW initiative of nearly 1,500 primary care clinics, there are numerous challenges to pulling measures for quality improvement purposes (Cohen et al., 2018).</w:t>
      </w:r>
      <w:r w:rsidR="00303792">
        <w:rPr>
          <w:rStyle w:val="FootnoteReference"/>
          <w:sz w:val="24"/>
          <w:szCs w:val="24"/>
        </w:rPr>
        <w:footnoteReference w:id="9"/>
      </w:r>
      <w:r w:rsidR="00593643">
        <w:rPr>
          <w:sz w:val="24"/>
          <w:szCs w:val="24"/>
        </w:rPr>
        <w:t xml:space="preserve"> </w:t>
      </w:r>
      <w:r w:rsidR="00303792">
        <w:rPr>
          <w:sz w:val="24"/>
          <w:szCs w:val="24"/>
        </w:rPr>
        <w:t>CDC-funded projects working with clinics and health systems to improve</w:t>
      </w:r>
      <w:r w:rsidR="00A04AFF">
        <w:rPr>
          <w:sz w:val="24"/>
          <w:szCs w:val="24"/>
        </w:rPr>
        <w:t xml:space="preserve"> </w:t>
      </w:r>
      <w:r w:rsidR="00303792">
        <w:rPr>
          <w:sz w:val="24"/>
          <w:szCs w:val="24"/>
        </w:rPr>
        <w:t xml:space="preserve">opioid management practices using QI measures have </w:t>
      </w:r>
      <w:r w:rsidR="00593643">
        <w:rPr>
          <w:sz w:val="24"/>
          <w:szCs w:val="24"/>
        </w:rPr>
        <w:t xml:space="preserve">also </w:t>
      </w:r>
      <w:r w:rsidR="00303792">
        <w:rPr>
          <w:sz w:val="24"/>
          <w:szCs w:val="24"/>
        </w:rPr>
        <w:t xml:space="preserve">reported extensive challenges and time required to produce </w:t>
      </w:r>
      <w:r w:rsidR="008A35A9">
        <w:rPr>
          <w:sz w:val="24"/>
          <w:szCs w:val="24"/>
        </w:rPr>
        <w:t xml:space="preserve">such </w:t>
      </w:r>
      <w:r w:rsidR="00303792">
        <w:rPr>
          <w:sz w:val="24"/>
          <w:szCs w:val="24"/>
        </w:rPr>
        <w:t>measures (Shoemaker-Hunt et al., 2019).</w:t>
      </w:r>
      <w:r w:rsidR="00B8522B">
        <w:rPr>
          <w:rStyle w:val="FootnoteReference"/>
          <w:sz w:val="24"/>
          <w:szCs w:val="24"/>
        </w:rPr>
        <w:footnoteReference w:id="10"/>
      </w:r>
      <w:r w:rsidR="00B8522B">
        <w:rPr>
          <w:sz w:val="24"/>
          <w:szCs w:val="24"/>
        </w:rPr>
        <w:t xml:space="preserve"> </w:t>
      </w:r>
      <w:r w:rsidR="006C73B0">
        <w:rPr>
          <w:sz w:val="24"/>
          <w:szCs w:val="24"/>
        </w:rPr>
        <w:t>The challenges reported by these clinics and health systems included how exactly to operationalize measures (measuring days using calendar days vs. 24-hour periods); accounting for patient populat</w:t>
      </w:r>
      <w:r w:rsidR="00824FD7">
        <w:rPr>
          <w:sz w:val="24"/>
          <w:szCs w:val="24"/>
        </w:rPr>
        <w:t>ions that should be included and</w:t>
      </w:r>
      <w:r w:rsidR="006C73B0">
        <w:rPr>
          <w:sz w:val="24"/>
          <w:szCs w:val="24"/>
        </w:rPr>
        <w:t xml:space="preserve"> excluded from denominators; accounting for care/services/prescriptions received outside the health system; </w:t>
      </w:r>
      <w:r w:rsidR="00824FD7">
        <w:rPr>
          <w:sz w:val="24"/>
          <w:szCs w:val="24"/>
        </w:rPr>
        <w:t>compiling information contained in unstructured (text) rather than structured fields of the electronic medical record; needing to align measures to state regulations; lacking documentation in the medical record to report on certain measures (e.g. that the clinician counseled the patient on risks and benefits of opioid therapy); and lack of sophisticated information technology staff with the skills and time to pull measures.</w:t>
      </w:r>
      <w:r w:rsidR="006C73B0">
        <w:rPr>
          <w:sz w:val="24"/>
          <w:szCs w:val="24"/>
        </w:rPr>
        <w:t xml:space="preserve">  </w:t>
      </w:r>
      <w:r w:rsidR="00AC55D8">
        <w:rPr>
          <w:sz w:val="24"/>
          <w:szCs w:val="24"/>
        </w:rPr>
        <w:t>Furthermore, g</w:t>
      </w:r>
      <w:r w:rsidR="00AC55D8" w:rsidRPr="00903CB2">
        <w:rPr>
          <w:sz w:val="24"/>
          <w:szCs w:val="24"/>
        </w:rPr>
        <w:t>uidance on Primary Care Prac</w:t>
      </w:r>
      <w:r w:rsidR="00AC55D8">
        <w:rPr>
          <w:sz w:val="24"/>
          <w:szCs w:val="24"/>
        </w:rPr>
        <w:t>tice-Based Research Networks (</w:t>
      </w:r>
      <w:r w:rsidR="00AC55D8" w:rsidRPr="00903CB2">
        <w:rPr>
          <w:sz w:val="24"/>
          <w:szCs w:val="24"/>
        </w:rPr>
        <w:t>PBRNs</w:t>
      </w:r>
      <w:r w:rsidR="00AC55D8">
        <w:rPr>
          <w:sz w:val="24"/>
          <w:szCs w:val="24"/>
        </w:rPr>
        <w:t>)—many of which AHRQ has supported—indicates</w:t>
      </w:r>
      <w:r w:rsidR="00AC55D8" w:rsidRPr="00903CB2">
        <w:rPr>
          <w:sz w:val="24"/>
          <w:szCs w:val="24"/>
        </w:rPr>
        <w:t xml:space="preserve"> that </w:t>
      </w:r>
      <w:r w:rsidR="00CD7B72">
        <w:rPr>
          <w:sz w:val="24"/>
          <w:szCs w:val="24"/>
        </w:rPr>
        <w:t>honoraria</w:t>
      </w:r>
      <w:r w:rsidR="00AC55D8" w:rsidRPr="00903CB2">
        <w:rPr>
          <w:sz w:val="24"/>
          <w:szCs w:val="24"/>
        </w:rPr>
        <w:t xml:space="preserve"> for participating practices or clinics </w:t>
      </w:r>
      <w:r w:rsidR="00CD7B72">
        <w:rPr>
          <w:sz w:val="24"/>
          <w:szCs w:val="24"/>
        </w:rPr>
        <w:t>are</w:t>
      </w:r>
      <w:r w:rsidR="00CD7B72" w:rsidRPr="00903CB2">
        <w:rPr>
          <w:sz w:val="24"/>
          <w:szCs w:val="24"/>
        </w:rPr>
        <w:t xml:space="preserve"> </w:t>
      </w:r>
      <w:r w:rsidR="00AC55D8" w:rsidRPr="00903CB2">
        <w:rPr>
          <w:sz w:val="24"/>
          <w:szCs w:val="24"/>
        </w:rPr>
        <w:t>critical.</w:t>
      </w:r>
      <w:r w:rsidR="00AC55D8">
        <w:rPr>
          <w:rStyle w:val="FootnoteReference"/>
          <w:sz w:val="24"/>
          <w:szCs w:val="24"/>
        </w:rPr>
        <w:footnoteReference w:id="11"/>
      </w:r>
      <w:r w:rsidR="00AC55D8" w:rsidRPr="00903CB2">
        <w:rPr>
          <w:sz w:val="24"/>
          <w:szCs w:val="24"/>
        </w:rPr>
        <w:t xml:space="preserve">  </w:t>
      </w:r>
    </w:p>
    <w:p w14:paraId="53FC4016" w14:textId="6EF1AEAB" w:rsidR="00440AE7" w:rsidRDefault="00AC55D8" w:rsidP="001D5AA5">
      <w:pPr>
        <w:pStyle w:val="Bullets"/>
        <w:numPr>
          <w:ilvl w:val="0"/>
          <w:numId w:val="0"/>
        </w:numPr>
        <w:spacing w:after="240"/>
        <w:ind w:left="720"/>
        <w:rPr>
          <w:sz w:val="24"/>
          <w:szCs w:val="24"/>
        </w:rPr>
      </w:pPr>
      <w:r>
        <w:rPr>
          <w:sz w:val="24"/>
          <w:szCs w:val="24"/>
        </w:rPr>
        <w:t>Regarding the current project,</w:t>
      </w:r>
      <w:r w:rsidR="00B8522B" w:rsidRPr="00AC55D8">
        <w:rPr>
          <w:sz w:val="24"/>
          <w:szCs w:val="24"/>
        </w:rPr>
        <w:t xml:space="preserve"> clinics are asked to obtain IRB approval, provide </w:t>
      </w:r>
      <w:r w:rsidR="00B8522B" w:rsidRPr="007E362D">
        <w:rPr>
          <w:sz w:val="24"/>
          <w:szCs w:val="24"/>
        </w:rPr>
        <w:t xml:space="preserve">clinic </w:t>
      </w:r>
      <w:r w:rsidR="00B8522B" w:rsidRPr="008A35A9">
        <w:rPr>
          <w:sz w:val="24"/>
          <w:szCs w:val="24"/>
        </w:rPr>
        <w:t>documents, participate in regular check-in calls, and facilitate contacting health care staff for interviews and surveys</w:t>
      </w:r>
      <w:r>
        <w:rPr>
          <w:sz w:val="24"/>
          <w:szCs w:val="24"/>
        </w:rPr>
        <w:t xml:space="preserve"> in addition to collecting and reporting</w:t>
      </w:r>
      <w:r w:rsidRPr="008C6AF7">
        <w:rPr>
          <w:sz w:val="24"/>
          <w:szCs w:val="24"/>
        </w:rPr>
        <w:t xml:space="preserve"> the measures for this evaluation</w:t>
      </w:r>
      <w:r w:rsidR="00B8522B" w:rsidRPr="00AC55D8">
        <w:rPr>
          <w:sz w:val="24"/>
          <w:szCs w:val="24"/>
        </w:rPr>
        <w:t>. As such, $</w:t>
      </w:r>
      <w:r w:rsidR="005E79D3">
        <w:rPr>
          <w:sz w:val="24"/>
          <w:szCs w:val="24"/>
        </w:rPr>
        <w:t>1</w:t>
      </w:r>
      <w:r w:rsidR="00640769">
        <w:rPr>
          <w:sz w:val="24"/>
          <w:szCs w:val="24"/>
        </w:rPr>
        <w:t>,</w:t>
      </w:r>
      <w:r w:rsidR="005E79D3">
        <w:rPr>
          <w:sz w:val="24"/>
          <w:szCs w:val="24"/>
        </w:rPr>
        <w:t>0</w:t>
      </w:r>
      <w:r w:rsidR="00B8522B" w:rsidRPr="00AC55D8">
        <w:rPr>
          <w:sz w:val="24"/>
          <w:szCs w:val="24"/>
        </w:rPr>
        <w:t xml:space="preserve">00 was deemed </w:t>
      </w:r>
      <w:r w:rsidR="00CD7B72">
        <w:rPr>
          <w:sz w:val="24"/>
          <w:szCs w:val="24"/>
        </w:rPr>
        <w:t>the appropriate level of honoraria</w:t>
      </w:r>
      <w:r w:rsidR="00B8522B" w:rsidRPr="00AC55D8">
        <w:rPr>
          <w:sz w:val="24"/>
          <w:szCs w:val="24"/>
        </w:rPr>
        <w:t xml:space="preserve">, without undue inducement. </w:t>
      </w:r>
    </w:p>
    <w:p w14:paraId="4F2AF09A" w14:textId="2068009C" w:rsidR="00440AE7" w:rsidRPr="00440AE7" w:rsidRDefault="00440AE7" w:rsidP="001D5AA5">
      <w:pPr>
        <w:pStyle w:val="Bullets"/>
        <w:numPr>
          <w:ilvl w:val="0"/>
          <w:numId w:val="0"/>
        </w:numPr>
        <w:spacing w:before="120" w:after="240"/>
        <w:ind w:left="720"/>
        <w:rPr>
          <w:sz w:val="24"/>
          <w:szCs w:val="24"/>
        </w:rPr>
      </w:pPr>
      <w:r w:rsidRPr="00440AE7">
        <w:rPr>
          <w:sz w:val="24"/>
          <w:szCs w:val="24"/>
        </w:rPr>
        <w:t>While participating clinics as well as future clinic</w:t>
      </w:r>
      <w:r>
        <w:rPr>
          <w:sz w:val="24"/>
          <w:szCs w:val="24"/>
        </w:rPr>
        <w:t xml:space="preserve">s will need to use resources to </w:t>
      </w:r>
      <w:r w:rsidRPr="00440AE7">
        <w:rPr>
          <w:sz w:val="24"/>
          <w:szCs w:val="24"/>
        </w:rPr>
        <w:t>imp</w:t>
      </w:r>
      <w:r>
        <w:rPr>
          <w:sz w:val="24"/>
          <w:szCs w:val="24"/>
        </w:rPr>
        <w:t>lement the 6BBs</w:t>
      </w:r>
      <w:r w:rsidRPr="00440AE7">
        <w:rPr>
          <w:sz w:val="24"/>
          <w:szCs w:val="24"/>
        </w:rPr>
        <w:t xml:space="preserve"> program, there are several requests of practices participating in this study that are necessary for the purposes of evaluation, but not necessarily borne by future clinics who wish to use the 6BBs.  These requests are described below: </w:t>
      </w:r>
    </w:p>
    <w:p w14:paraId="3D5D2487" w14:textId="401C05B7" w:rsidR="00440AE7" w:rsidRPr="00440AE7" w:rsidRDefault="00440AE7" w:rsidP="001D5AA5">
      <w:pPr>
        <w:pStyle w:val="Bullets"/>
        <w:spacing w:before="120"/>
        <w:ind w:left="1080"/>
        <w:rPr>
          <w:sz w:val="24"/>
          <w:szCs w:val="24"/>
        </w:rPr>
      </w:pPr>
      <w:r w:rsidRPr="00440AE7">
        <w:rPr>
          <w:sz w:val="24"/>
          <w:szCs w:val="24"/>
        </w:rPr>
        <w:t xml:space="preserve">The </w:t>
      </w:r>
      <w:r w:rsidRPr="001D5AA5">
        <w:rPr>
          <w:b/>
          <w:sz w:val="24"/>
          <w:szCs w:val="24"/>
        </w:rPr>
        <w:t>secondary data</w:t>
      </w:r>
      <w:r w:rsidRPr="00440AE7">
        <w:rPr>
          <w:sz w:val="24"/>
          <w:szCs w:val="24"/>
        </w:rPr>
        <w:t xml:space="preserve"> refers to health care organizations’ documents that report on their progress implementing the 6BBs </w:t>
      </w:r>
      <w:r>
        <w:rPr>
          <w:sz w:val="24"/>
          <w:szCs w:val="24"/>
        </w:rPr>
        <w:t>program and their use of the How-to-G</w:t>
      </w:r>
      <w:r w:rsidRPr="00440AE7">
        <w:rPr>
          <w:sz w:val="24"/>
          <w:szCs w:val="24"/>
        </w:rPr>
        <w:t xml:space="preserve">uide for the evaluation. This could include their QI action plan, meeting notes, new policies or workflows, etc.  This also includes, for example, tracking and reporting back on their milestones for each of the building blocks to help the evaluation team understand the extent to which they implemented the 6BBs program. </w:t>
      </w:r>
    </w:p>
    <w:p w14:paraId="394F2E0E" w14:textId="62088244" w:rsidR="00440AE7" w:rsidRPr="00440AE7" w:rsidRDefault="00440AE7" w:rsidP="001D5AA5">
      <w:pPr>
        <w:pStyle w:val="Bullets"/>
        <w:spacing w:before="120"/>
        <w:ind w:left="1080"/>
        <w:rPr>
          <w:sz w:val="24"/>
          <w:szCs w:val="24"/>
        </w:rPr>
      </w:pPr>
      <w:r w:rsidRPr="00440AE7">
        <w:rPr>
          <w:sz w:val="24"/>
          <w:szCs w:val="24"/>
        </w:rPr>
        <w:t xml:space="preserve">The </w:t>
      </w:r>
      <w:r w:rsidRPr="001D5AA5">
        <w:rPr>
          <w:b/>
          <w:sz w:val="24"/>
          <w:szCs w:val="24"/>
        </w:rPr>
        <w:t>quarterly check-in calls</w:t>
      </w:r>
      <w:r w:rsidRPr="00440AE7">
        <w:rPr>
          <w:sz w:val="24"/>
          <w:szCs w:val="24"/>
        </w:rPr>
        <w:t xml:space="preserve"> are meant to be quarterly check-in calls with organization liaisons and quality improvement (QI) leaders to assess the progress of implementation of the 6BBs intervention and improvement initiatives at each organization using the How-To-Guide. </w:t>
      </w:r>
    </w:p>
    <w:p w14:paraId="69C30AC6" w14:textId="1C45CB7B" w:rsidR="00440AE7" w:rsidRPr="00440AE7" w:rsidRDefault="00440AE7" w:rsidP="001D5AA5">
      <w:pPr>
        <w:pStyle w:val="Bullets"/>
        <w:spacing w:before="120"/>
        <w:ind w:left="1080"/>
        <w:rPr>
          <w:sz w:val="24"/>
          <w:szCs w:val="24"/>
        </w:rPr>
      </w:pPr>
      <w:r w:rsidRPr="001D5AA5">
        <w:rPr>
          <w:b/>
          <w:sz w:val="24"/>
          <w:szCs w:val="24"/>
        </w:rPr>
        <w:t>QI measures</w:t>
      </w:r>
      <w:r w:rsidRPr="00440AE7">
        <w:rPr>
          <w:sz w:val="24"/>
          <w:szCs w:val="24"/>
        </w:rPr>
        <w:t xml:space="preserve">. While future clinics should ideally use QI measures to monitor their improvements in opioid prescribing over time, the participating practices in this study are asked to build or produce 5 different QI measures in a short period of time in service of the outcome evaluation component.  For future clinics, they would likely not prioritize this many measures at one time given the complexity of producing these with electronic health record (EHR) data.   </w:t>
      </w:r>
    </w:p>
    <w:p w14:paraId="496D68CE" w14:textId="74996379" w:rsidR="00B8522B" w:rsidRPr="008A35A9" w:rsidRDefault="00440AE7" w:rsidP="001D5AA5">
      <w:pPr>
        <w:pStyle w:val="Bullets"/>
        <w:numPr>
          <w:ilvl w:val="0"/>
          <w:numId w:val="0"/>
        </w:numPr>
        <w:spacing w:before="120" w:after="240"/>
        <w:ind w:left="720"/>
        <w:rPr>
          <w:sz w:val="24"/>
          <w:szCs w:val="24"/>
        </w:rPr>
      </w:pPr>
      <w:r w:rsidRPr="00440AE7">
        <w:rPr>
          <w:sz w:val="24"/>
          <w:szCs w:val="24"/>
        </w:rPr>
        <w:t xml:space="preserve">Given these informational needs from participating clinics to support the evaluation, we believe that a $1,000 honorarium per clinic is appropriate, while still requiring time that clinics should bear given the benefits they might accrue from implementing the 6BBs program with guidance from the How-to-Guide. </w:t>
      </w:r>
    </w:p>
    <w:p w14:paraId="1A0C697F" w14:textId="4F289CA0" w:rsidR="00C134BF" w:rsidRPr="001D5AA5" w:rsidRDefault="00C134BF" w:rsidP="001D5AA5">
      <w:pPr>
        <w:pStyle w:val="ListParagraph"/>
        <w:numPr>
          <w:ilvl w:val="0"/>
          <w:numId w:val="38"/>
        </w:numPr>
        <w:spacing w:after="240"/>
        <w:contextualSpacing w:val="0"/>
        <w:rPr>
          <w:rFonts w:ascii="Times New Roman" w:hAnsi="Times New Roman" w:cs="Times New Roman"/>
        </w:rPr>
      </w:pPr>
      <w:r w:rsidRPr="001D5AA5">
        <w:rPr>
          <w:rFonts w:ascii="Times New Roman" w:hAnsi="Times New Roman" w:cs="Times New Roman"/>
        </w:rPr>
        <w:t>Honorari</w:t>
      </w:r>
      <w:r w:rsidR="00A1373C" w:rsidRPr="001D5AA5">
        <w:rPr>
          <w:rFonts w:ascii="Times New Roman" w:hAnsi="Times New Roman" w:cs="Times New Roman"/>
        </w:rPr>
        <w:t>a</w:t>
      </w:r>
      <w:r w:rsidR="00A04AFF" w:rsidRPr="001D5AA5">
        <w:rPr>
          <w:rFonts w:ascii="Times New Roman" w:hAnsi="Times New Roman" w:cs="Times New Roman"/>
        </w:rPr>
        <w:t xml:space="preserve"> </w:t>
      </w:r>
      <w:r w:rsidRPr="001D5AA5">
        <w:rPr>
          <w:rFonts w:ascii="Times New Roman" w:hAnsi="Times New Roman" w:cs="Times New Roman"/>
        </w:rPr>
        <w:t>for each inter</w:t>
      </w:r>
      <w:r w:rsidR="00896548" w:rsidRPr="001D5AA5">
        <w:rPr>
          <w:rFonts w:ascii="Times New Roman" w:hAnsi="Times New Roman" w:cs="Times New Roman"/>
        </w:rPr>
        <w:t>view ($50 each for n=</w:t>
      </w:r>
      <w:r w:rsidR="005C562A" w:rsidRPr="001D5AA5">
        <w:rPr>
          <w:rFonts w:ascii="Times New Roman" w:hAnsi="Times New Roman" w:cs="Times New Roman"/>
        </w:rPr>
        <w:t>60</w:t>
      </w:r>
      <w:r w:rsidR="00812F09" w:rsidRPr="001D5AA5">
        <w:rPr>
          <w:rFonts w:ascii="Times New Roman" w:hAnsi="Times New Roman" w:cs="Times New Roman"/>
        </w:rPr>
        <w:t>, 2 time points</w:t>
      </w:r>
      <w:r w:rsidRPr="001D5AA5">
        <w:rPr>
          <w:rFonts w:ascii="Times New Roman" w:hAnsi="Times New Roman" w:cs="Times New Roman"/>
        </w:rPr>
        <w:t>)</w:t>
      </w:r>
      <w:r w:rsidR="00A1373C" w:rsidRPr="001D5AA5">
        <w:rPr>
          <w:rFonts w:ascii="Times New Roman" w:hAnsi="Times New Roman" w:cs="Times New Roman"/>
        </w:rPr>
        <w:t xml:space="preserve">, and </w:t>
      </w:r>
      <w:r w:rsidRPr="001D5AA5">
        <w:rPr>
          <w:rFonts w:ascii="Times New Roman" w:hAnsi="Times New Roman" w:cs="Times New Roman"/>
        </w:rPr>
        <w:t>each survey ($20 each for n=</w:t>
      </w:r>
      <w:r w:rsidR="005C562A" w:rsidRPr="001D5AA5">
        <w:rPr>
          <w:rFonts w:ascii="Times New Roman" w:hAnsi="Times New Roman" w:cs="Times New Roman"/>
        </w:rPr>
        <w:t>525</w:t>
      </w:r>
      <w:r w:rsidR="00812F09" w:rsidRPr="001D5AA5">
        <w:rPr>
          <w:rFonts w:ascii="Times New Roman" w:hAnsi="Times New Roman" w:cs="Times New Roman"/>
        </w:rPr>
        <w:t>, 2 time points</w:t>
      </w:r>
      <w:r w:rsidRPr="001D5AA5">
        <w:rPr>
          <w:rFonts w:ascii="Times New Roman" w:hAnsi="Times New Roman" w:cs="Times New Roman"/>
        </w:rPr>
        <w:t>)</w:t>
      </w:r>
      <w:r w:rsidR="00A1373C" w:rsidRPr="001D5AA5">
        <w:rPr>
          <w:rFonts w:ascii="Times New Roman" w:hAnsi="Times New Roman" w:cs="Times New Roman"/>
        </w:rPr>
        <w:t xml:space="preserve"> ensure target response rates and appropriate incentive for busy, clinical staff to take the time to complete the interviews and surveys.  The honoraria amount are comparable to those used in similar studies.  </w:t>
      </w:r>
    </w:p>
    <w:p w14:paraId="1D7B8D5D" w14:textId="04F4CE0C" w:rsidR="00443427" w:rsidRDefault="00443427" w:rsidP="00443427">
      <w:pPr>
        <w:pStyle w:val="BodyText"/>
      </w:pPr>
      <w:r w:rsidRPr="004C5ABF">
        <w:t>The</w:t>
      </w:r>
      <w:r w:rsidR="00732422">
        <w:t xml:space="preserve"> team’s belief is that health care organizations</w:t>
      </w:r>
      <w:r w:rsidRPr="004C5ABF">
        <w:t xml:space="preserve"> and clinicians will be motivated to participate </w:t>
      </w:r>
      <w:r w:rsidR="00812F09">
        <w:t xml:space="preserve">primarily </w:t>
      </w:r>
      <w:r w:rsidRPr="004C5ABF">
        <w:t xml:space="preserve">because of their interest in improving </w:t>
      </w:r>
      <w:r w:rsidR="00732422">
        <w:t>their opioid prescribing practices</w:t>
      </w:r>
      <w:r w:rsidRPr="004C5ABF">
        <w:t xml:space="preserve"> or because of the opportunity to participate in a</w:t>
      </w:r>
      <w:r w:rsidR="00732422">
        <w:t xml:space="preserve"> research project with AHRQ</w:t>
      </w:r>
      <w:r w:rsidRPr="004C5ABF">
        <w:t>, not because of monetary incentives.</w:t>
      </w:r>
      <w:r>
        <w:t xml:space="preserve">  </w:t>
      </w:r>
    </w:p>
    <w:p w14:paraId="073ABA3E" w14:textId="78E41AF4" w:rsidR="003759DB" w:rsidRPr="004C5ABF" w:rsidRDefault="003759DB" w:rsidP="00443427">
      <w:pPr>
        <w:pStyle w:val="BodyText"/>
      </w:pPr>
      <w:r>
        <w:t>Still, participation in this project and associated data collection activities will place a burden on health care organizations</w:t>
      </w:r>
      <w:r w:rsidR="00812F09">
        <w:t xml:space="preserve"> and individuals</w:t>
      </w:r>
      <w:r>
        <w:t>, and research demonstrates that incentives that compensate for the added burden and costs associated with participation are viewed favorably and are seen as affirming participants’ value and the importance of their participation</w:t>
      </w:r>
      <w:r w:rsidR="00F42706">
        <w:t xml:space="preserve"> in research</w:t>
      </w:r>
      <w:r>
        <w:t>.</w:t>
      </w:r>
      <w:r w:rsidR="00F42706" w:rsidRPr="00267FAE">
        <w:rPr>
          <w:rStyle w:val="FootnoteReference"/>
        </w:rPr>
        <w:footnoteReference w:id="12"/>
      </w:r>
      <w:r w:rsidR="00F42706" w:rsidRPr="00F42706">
        <w:rPr>
          <w:vertAlign w:val="superscript"/>
        </w:rPr>
        <w:t>,</w:t>
      </w:r>
      <w:r w:rsidR="00F42706" w:rsidRPr="00267FAE">
        <w:rPr>
          <w:rStyle w:val="FootnoteReference"/>
        </w:rPr>
        <w:footnoteReference w:id="13"/>
      </w:r>
      <w:r>
        <w:t xml:space="preserve"> </w:t>
      </w:r>
    </w:p>
    <w:p w14:paraId="27EADF43" w14:textId="77777777" w:rsidR="00B915F1" w:rsidRPr="00825DA9" w:rsidRDefault="00B915F1" w:rsidP="009B633D">
      <w:pPr>
        <w:jc w:val="both"/>
        <w:rPr>
          <w:i/>
        </w:rPr>
      </w:pPr>
    </w:p>
    <w:p w14:paraId="7883C2D6" w14:textId="77777777" w:rsidR="009B633D" w:rsidRPr="00412C6F" w:rsidRDefault="009B633D" w:rsidP="009B633D">
      <w:pPr>
        <w:pStyle w:val="Heading2"/>
        <w:rPr>
          <w:sz w:val="24"/>
        </w:rPr>
      </w:pPr>
      <w:bookmarkStart w:id="25" w:name="_Toc151782185"/>
      <w:bookmarkStart w:id="26" w:name="_Toc158526225"/>
      <w:r w:rsidRPr="00412C6F">
        <w:rPr>
          <w:sz w:val="24"/>
        </w:rPr>
        <w:t>10. Assurance of Confidentiality</w:t>
      </w:r>
      <w:bookmarkEnd w:id="25"/>
      <w:bookmarkEnd w:id="26"/>
    </w:p>
    <w:p w14:paraId="71D6801A" w14:textId="77777777" w:rsidR="008F0B8B" w:rsidRDefault="00012921" w:rsidP="008F0B8B">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rsidR="008F0B8B">
        <w:t xml:space="preserve"> </w:t>
      </w:r>
    </w:p>
    <w:p w14:paraId="4CFD6918" w14:textId="77777777" w:rsidR="007208E0" w:rsidRPr="005B2955" w:rsidRDefault="007208E0" w:rsidP="007208E0">
      <w:pPr>
        <w:spacing w:before="100" w:beforeAutospacing="1" w:after="100" w:afterAutospacing="1"/>
        <w:rPr>
          <w:i/>
        </w:rPr>
      </w:pPr>
    </w:p>
    <w:p w14:paraId="30B59D1B" w14:textId="77777777" w:rsidR="009B633D" w:rsidRPr="00412C6F" w:rsidRDefault="009B633D" w:rsidP="009B633D">
      <w:pPr>
        <w:pStyle w:val="Heading2"/>
        <w:rPr>
          <w:sz w:val="24"/>
        </w:rPr>
      </w:pPr>
      <w:bookmarkStart w:id="27" w:name="_Toc151782186"/>
      <w:bookmarkStart w:id="28" w:name="_Toc158526226"/>
      <w:r w:rsidRPr="00412C6F">
        <w:rPr>
          <w:sz w:val="24"/>
        </w:rPr>
        <w:t>11. Questions of a Sensitive Nature</w:t>
      </w:r>
      <w:bookmarkEnd w:id="27"/>
      <w:bookmarkEnd w:id="28"/>
    </w:p>
    <w:p w14:paraId="4258D10D" w14:textId="77777777" w:rsidR="0089365B" w:rsidRPr="004457B6" w:rsidRDefault="0089365B" w:rsidP="0089365B">
      <w:pPr>
        <w:rPr>
          <w:spacing w:val="4"/>
        </w:rPr>
      </w:pPr>
      <w:r>
        <w:rPr>
          <w:spacing w:val="6"/>
        </w:rPr>
        <w:t xml:space="preserve">The data collection protocols do not contain any questions concerning political affiliations and attitudes; respondents’ mental or psychological problems; illegal, antisocial, self-incriminating or demeaning behavior; critical appraisals of other individuals with whom respondents have close relationships; </w:t>
      </w:r>
      <w:r w:rsidR="0033343C">
        <w:rPr>
          <w:spacing w:val="6"/>
        </w:rPr>
        <w:t>legally privileged relationships; or records describing how an individual exercises First Amendment rights. Nor do they contain questions related to</w:t>
      </w:r>
      <w:r>
        <w:rPr>
          <w:spacing w:val="6"/>
        </w:rPr>
        <w:t xml:space="preserve"> sexual behavior and </w:t>
      </w:r>
      <w:r>
        <w:rPr>
          <w:spacing w:val="4"/>
        </w:rPr>
        <w:t>attitudes, religious beliefs, income or proprietary business information. However, surveys may elicit sensitive information that reflects</w:t>
      </w:r>
      <w:r w:rsidR="0033343C">
        <w:rPr>
          <w:spacing w:val="4"/>
        </w:rPr>
        <w:t xml:space="preserve"> negatively on staff or health care organization</w:t>
      </w:r>
      <w:r>
        <w:rPr>
          <w:spacing w:val="4"/>
        </w:rPr>
        <w:t xml:space="preserve"> </w:t>
      </w:r>
      <w:r w:rsidR="0033343C">
        <w:rPr>
          <w:spacing w:val="4"/>
        </w:rPr>
        <w:t>performance related to opioid prescribing</w:t>
      </w:r>
      <w:r>
        <w:rPr>
          <w:spacing w:val="4"/>
        </w:rPr>
        <w:t xml:space="preserve">. </w:t>
      </w:r>
      <w:r>
        <w:rPr>
          <w:spacing w:val="6"/>
        </w:rPr>
        <w:t xml:space="preserve">Respondents to the survey will be explicitly informed that their participation is </w:t>
      </w:r>
      <w:r>
        <w:rPr>
          <w:spacing w:val="4"/>
        </w:rPr>
        <w:t>voluntary, information they provide is confidential to the extent provided by law, and they may choose to withdraw from the study or not respond to specific items without penalty. We will also remo</w:t>
      </w:r>
      <w:r w:rsidR="0033343C">
        <w:rPr>
          <w:spacing w:val="4"/>
        </w:rPr>
        <w:t>ve individual staff and health care organization</w:t>
      </w:r>
      <w:r>
        <w:rPr>
          <w:spacing w:val="4"/>
        </w:rPr>
        <w:t xml:space="preserve"> names from written interview records and reports to maintain respondent confidentiality.</w:t>
      </w:r>
    </w:p>
    <w:p w14:paraId="6458BB0F" w14:textId="77777777" w:rsidR="00BB7136" w:rsidRDefault="00BB7136" w:rsidP="00ED0EBB">
      <w:pPr>
        <w:rPr>
          <w:i/>
        </w:rPr>
      </w:pPr>
    </w:p>
    <w:p w14:paraId="3B0D1866" w14:textId="77777777" w:rsidR="009B633D" w:rsidRPr="00412C6F" w:rsidRDefault="009B633D" w:rsidP="009B633D">
      <w:pPr>
        <w:pStyle w:val="Heading2"/>
        <w:rPr>
          <w:sz w:val="24"/>
        </w:rPr>
      </w:pPr>
      <w:bookmarkStart w:id="29" w:name="_Toc151782187"/>
      <w:bookmarkStart w:id="30" w:name="_Toc158526227"/>
      <w:r w:rsidRPr="000C4626">
        <w:rPr>
          <w:sz w:val="24"/>
        </w:rPr>
        <w:t>12. Estimates of Annualized Burden Hours and Costs</w:t>
      </w:r>
      <w:bookmarkEnd w:id="29"/>
      <w:bookmarkEnd w:id="30"/>
    </w:p>
    <w:p w14:paraId="006DD4C1" w14:textId="77777777" w:rsidR="0033343C" w:rsidRPr="00B6114A" w:rsidRDefault="0033343C" w:rsidP="00F94F66">
      <w:pPr>
        <w:rPr>
          <w:bCs/>
        </w:rPr>
      </w:pPr>
      <w:r w:rsidRPr="00B6114A">
        <w:t xml:space="preserve">Exhibit 1 presents estimates of the reporting burden hours for the data collection efforts. </w:t>
      </w:r>
      <w:r w:rsidRPr="00B6114A">
        <w:rPr>
          <w:spacing w:val="6"/>
        </w:rPr>
        <w:t xml:space="preserve">Time estimates are based on </w:t>
      </w:r>
      <w:r w:rsidRPr="00B6114A">
        <w:t>prior experience</w:t>
      </w:r>
      <w:r>
        <w:t>s</w:t>
      </w:r>
      <w:r w:rsidRPr="00B6114A">
        <w:t xml:space="preserve"> and what can reasonably be requested of participating h</w:t>
      </w:r>
      <w:r>
        <w:t>ealth care organizations</w:t>
      </w:r>
      <w:r w:rsidRPr="00B6114A">
        <w:t>.</w:t>
      </w:r>
      <w:r w:rsidRPr="00B6114A">
        <w:rPr>
          <w:spacing w:val="6"/>
        </w:rPr>
        <w:t xml:space="preserve"> The number of respondents listed in column A, Exhibit 1 reflects a projected </w:t>
      </w:r>
      <w:r w:rsidR="00F405D8" w:rsidRPr="00F405D8">
        <w:rPr>
          <w:spacing w:val="6"/>
        </w:rPr>
        <w:t>75</w:t>
      </w:r>
      <w:r w:rsidRPr="00F405D8">
        <w:rPr>
          <w:spacing w:val="6"/>
        </w:rPr>
        <w:t>% response rate</w:t>
      </w:r>
      <w:r w:rsidRPr="00B6114A">
        <w:rPr>
          <w:spacing w:val="6"/>
        </w:rPr>
        <w:t xml:space="preserve"> for data collection efforts 2a</w:t>
      </w:r>
      <w:r>
        <w:rPr>
          <w:spacing w:val="6"/>
        </w:rPr>
        <w:t xml:space="preserve"> and</w:t>
      </w:r>
      <w:r w:rsidRPr="00B6114A">
        <w:rPr>
          <w:spacing w:val="6"/>
        </w:rPr>
        <w:t xml:space="preserve"> 2b below.</w:t>
      </w:r>
      <w:r w:rsidRPr="00B6114A">
        <w:rPr>
          <w:spacing w:val="6"/>
        </w:rPr>
        <w:br/>
      </w:r>
    </w:p>
    <w:p w14:paraId="10879F79" w14:textId="715B7D47" w:rsidR="0033343C" w:rsidRPr="00B6114A" w:rsidRDefault="0033343C" w:rsidP="0033343C">
      <w:pPr>
        <w:numPr>
          <w:ilvl w:val="0"/>
          <w:numId w:val="16"/>
        </w:numPr>
        <w:spacing w:after="240"/>
      </w:pPr>
      <w:r w:rsidRPr="00B6114A">
        <w:rPr>
          <w:b/>
        </w:rPr>
        <w:t>Clinical Staff Survey</w:t>
      </w:r>
      <w:r>
        <w:rPr>
          <w:b/>
        </w:rPr>
        <w:t xml:space="preserve"> (</w:t>
      </w:r>
      <w:r w:rsidRPr="00F94F66">
        <w:rPr>
          <w:b/>
        </w:rPr>
        <w:t>Attachment A</w:t>
      </w:r>
      <w:r>
        <w:rPr>
          <w:b/>
        </w:rPr>
        <w:t>)</w:t>
      </w:r>
      <w:r w:rsidRPr="00B6114A">
        <w:rPr>
          <w:b/>
        </w:rPr>
        <w:t>.</w:t>
      </w:r>
      <w:r w:rsidRPr="00B6114A">
        <w:t xml:space="preserve"> A brief survey will be emailed to all clinicians both </w:t>
      </w:r>
      <w:r w:rsidR="00F94F66">
        <w:t>toward the beginning of 6BB</w:t>
      </w:r>
      <w:r w:rsidR="00F405D8">
        <w:t>s</w:t>
      </w:r>
      <w:r w:rsidR="00F94F66">
        <w:t xml:space="preserve"> Toolkit implementation</w:t>
      </w:r>
      <w:r w:rsidR="00F94F66" w:rsidRPr="008628B0">
        <w:t xml:space="preserve"> and approxima</w:t>
      </w:r>
      <w:r w:rsidR="00F94F66">
        <w:t>tely 12 months later</w:t>
      </w:r>
      <w:r w:rsidRPr="00B6114A">
        <w:t xml:space="preserve">. We assumed </w:t>
      </w:r>
      <w:r>
        <w:t>20 clinical staff</w:t>
      </w:r>
      <w:r w:rsidRPr="00B6114A">
        <w:t xml:space="preserve"> per</w:t>
      </w:r>
      <w:r>
        <w:t xml:space="preserve"> clinical site, and</w:t>
      </w:r>
      <w:r w:rsidR="00F405D8">
        <w:t xml:space="preserve"> </w:t>
      </w:r>
      <w:r w:rsidR="005C562A">
        <w:t>35</w:t>
      </w:r>
      <w:r w:rsidR="00F405D8">
        <w:t xml:space="preserve"> clinical sites overall</w:t>
      </w:r>
      <w:r>
        <w:t xml:space="preserve"> (with a range from 1 clinic to </w:t>
      </w:r>
      <w:r w:rsidRPr="008F28ED">
        <w:t>17</w:t>
      </w:r>
      <w:r>
        <w:t xml:space="preserve"> per organization),</w:t>
      </w:r>
      <w:r w:rsidRPr="00B6114A">
        <w:t xml:space="preserve"> for a total of </w:t>
      </w:r>
      <w:r w:rsidR="005C562A">
        <w:t>7</w:t>
      </w:r>
      <w:r w:rsidR="00CA6762">
        <w:t>00</w:t>
      </w:r>
      <w:r w:rsidRPr="00B6114A">
        <w:t xml:space="preserve"> staff across all </w:t>
      </w:r>
      <w:r w:rsidR="00F405D8">
        <w:t>1</w:t>
      </w:r>
      <w:r w:rsidR="005C562A">
        <w:t>2</w:t>
      </w:r>
      <w:r w:rsidRPr="00B6114A">
        <w:t xml:space="preserve"> </w:t>
      </w:r>
      <w:r>
        <w:t>organizations</w:t>
      </w:r>
      <w:r w:rsidRPr="00B6114A">
        <w:t xml:space="preserve">. We assumed </w:t>
      </w:r>
      <w:r w:rsidR="005C562A">
        <w:t>525</w:t>
      </w:r>
      <w:r w:rsidRPr="00B6114A">
        <w:t xml:space="preserve"> </w:t>
      </w:r>
      <w:r>
        <w:t>clinical</w:t>
      </w:r>
      <w:r w:rsidRPr="00B6114A">
        <w:t xml:space="preserve"> staff will complete the survey based on a </w:t>
      </w:r>
      <w:r w:rsidR="00F405D8">
        <w:t>75</w:t>
      </w:r>
      <w:r w:rsidRPr="00B6114A">
        <w:t xml:space="preserve">% response rate. It is expected to take </w:t>
      </w:r>
      <w:r>
        <w:t xml:space="preserve">up to </w:t>
      </w:r>
      <w:r w:rsidR="00F94F66" w:rsidRPr="00F94F66">
        <w:t>15</w:t>
      </w:r>
      <w:r w:rsidRPr="00B6114A">
        <w:t xml:space="preserve"> minutes to complete. </w:t>
      </w:r>
    </w:p>
    <w:p w14:paraId="3DFD90A4" w14:textId="5DE1F877" w:rsidR="0033343C" w:rsidRPr="00B6114A" w:rsidRDefault="0033343C" w:rsidP="0033343C">
      <w:pPr>
        <w:numPr>
          <w:ilvl w:val="0"/>
          <w:numId w:val="16"/>
        </w:numPr>
        <w:spacing w:after="120"/>
      </w:pPr>
      <w:r>
        <w:rPr>
          <w:b/>
        </w:rPr>
        <w:t>Staff Interviews</w:t>
      </w:r>
      <w:r w:rsidRPr="00B6114A">
        <w:t xml:space="preserve">. </w:t>
      </w:r>
      <w:r>
        <w:t>In-depth interviews</w:t>
      </w:r>
      <w:r w:rsidRPr="00B6114A">
        <w:t xml:space="preserve"> will occur </w:t>
      </w:r>
      <w:r>
        <w:t xml:space="preserve">with 5 staff at each health care organization, for a total of up to </w:t>
      </w:r>
      <w:r w:rsidR="005C562A">
        <w:t>60</w:t>
      </w:r>
      <w:r>
        <w:t xml:space="preserve"> individuals. The evaluation team will conduct these interviews, each lasting up to 1-hour</w:t>
      </w:r>
      <w:r w:rsidRPr="00B6114A">
        <w:t xml:space="preserve">, </w:t>
      </w:r>
      <w:r>
        <w:t xml:space="preserve">at 2 points in time </w:t>
      </w:r>
      <w:r w:rsidRPr="00B6114A">
        <w:t xml:space="preserve">with: </w:t>
      </w:r>
    </w:p>
    <w:p w14:paraId="43A2C4F3" w14:textId="77777777" w:rsidR="0033343C" w:rsidRPr="00B6114A" w:rsidRDefault="0033343C" w:rsidP="0033343C">
      <w:pPr>
        <w:numPr>
          <w:ilvl w:val="1"/>
          <w:numId w:val="16"/>
        </w:numPr>
        <w:spacing w:after="120"/>
      </w:pPr>
      <w:r>
        <w:t>One</w:t>
      </w:r>
      <w:r w:rsidRPr="00B6114A">
        <w:t xml:space="preserve"> </w:t>
      </w:r>
      <w:r>
        <w:t>QI</w:t>
      </w:r>
      <w:r w:rsidRPr="00B6114A">
        <w:t xml:space="preserve"> lead </w:t>
      </w:r>
      <w:r w:rsidR="00F94F66">
        <w:t xml:space="preserve">per organization (toward the start of and at the </w:t>
      </w:r>
      <w:r>
        <w:t>end of the project). (</w:t>
      </w:r>
      <w:r w:rsidRPr="00F405D8">
        <w:rPr>
          <w:b/>
        </w:rPr>
        <w:t>Attachment B</w:t>
      </w:r>
      <w:r>
        <w:t>)</w:t>
      </w:r>
    </w:p>
    <w:p w14:paraId="0DE54295" w14:textId="4105C7D2" w:rsidR="00440AE7" w:rsidRDefault="0033343C" w:rsidP="001D5AA5">
      <w:pPr>
        <w:spacing w:after="120"/>
        <w:ind w:left="1800"/>
      </w:pPr>
      <w:r>
        <w:t>Four</w:t>
      </w:r>
      <w:r w:rsidRPr="00B6114A">
        <w:t xml:space="preserve"> </w:t>
      </w:r>
      <w:r>
        <w:t>additional staff (e.g. clinician, information technology analyst, social worker) per organization (midway through and at the end of the project)</w:t>
      </w:r>
      <w:r w:rsidRPr="00B6114A">
        <w:t xml:space="preserve">. </w:t>
      </w:r>
      <w:r>
        <w:t>(</w:t>
      </w:r>
      <w:r w:rsidRPr="00F405D8">
        <w:rPr>
          <w:b/>
        </w:rPr>
        <w:t>Attachment C</w:t>
      </w:r>
      <w:r>
        <w:t>)</w:t>
      </w:r>
    </w:p>
    <w:p w14:paraId="4AEB66F6" w14:textId="77777777" w:rsidR="00F94F66" w:rsidRPr="00B6114A" w:rsidRDefault="00F94F66" w:rsidP="00440AE7">
      <w:pPr>
        <w:spacing w:after="120"/>
        <w:ind w:left="1800"/>
      </w:pPr>
    </w:p>
    <w:p w14:paraId="43D9CE1F" w14:textId="77777777" w:rsidR="00E363B4" w:rsidRDefault="00E363B4" w:rsidP="0033343C">
      <w:pPr>
        <w:numPr>
          <w:ilvl w:val="0"/>
          <w:numId w:val="16"/>
        </w:numPr>
        <w:spacing w:after="240"/>
      </w:pPr>
      <w:r>
        <w:rPr>
          <w:b/>
        </w:rPr>
        <w:t xml:space="preserve">Virtual Launch Meeting. </w:t>
      </w:r>
      <w:r>
        <w:t xml:space="preserve">The meeting will occur with the quality improvement </w:t>
      </w:r>
      <w:r w:rsidR="00F405D8">
        <w:t xml:space="preserve">(QI) </w:t>
      </w:r>
      <w:r>
        <w:t>leads at participating health care organizations to launch 6BBs Toolkit implementation. The meeting will be conducted by web-conference, and will last up to 2 hours.</w:t>
      </w:r>
    </w:p>
    <w:p w14:paraId="15C5648A" w14:textId="15CF8DEC" w:rsidR="00F94F66" w:rsidRPr="00225F13" w:rsidRDefault="00F94F66" w:rsidP="0033343C">
      <w:pPr>
        <w:numPr>
          <w:ilvl w:val="0"/>
          <w:numId w:val="16"/>
        </w:numPr>
        <w:spacing w:after="240"/>
      </w:pPr>
      <w:r w:rsidRPr="00650CFA">
        <w:rPr>
          <w:b/>
        </w:rPr>
        <w:t>Quarterly Check-In Call</w:t>
      </w:r>
      <w:r>
        <w:rPr>
          <w:b/>
        </w:rPr>
        <w:t>s</w:t>
      </w:r>
      <w:r w:rsidRPr="008628B0">
        <w:t>.</w:t>
      </w:r>
      <w:r>
        <w:t xml:space="preserve"> </w:t>
      </w:r>
      <w:r w:rsidR="00E363B4">
        <w:rPr>
          <w:bCs/>
        </w:rPr>
        <w:t>C</w:t>
      </w:r>
      <w:r>
        <w:rPr>
          <w:bCs/>
        </w:rPr>
        <w:t>alls w</w:t>
      </w:r>
      <w:r w:rsidRPr="00B6114A">
        <w:rPr>
          <w:bCs/>
        </w:rPr>
        <w:t xml:space="preserve">ill occur with </w:t>
      </w:r>
      <w:r>
        <w:rPr>
          <w:bCs/>
        </w:rPr>
        <w:t>QI leads, clinical champions, and other relevant staff the QI lead identifies,</w:t>
      </w:r>
      <w:r w:rsidRPr="00B6114A">
        <w:rPr>
          <w:bCs/>
        </w:rPr>
        <w:t xml:space="preserve"> for a total of </w:t>
      </w:r>
      <w:r>
        <w:rPr>
          <w:bCs/>
        </w:rPr>
        <w:t xml:space="preserve">no more than </w:t>
      </w:r>
      <w:r w:rsidR="00225F13">
        <w:rPr>
          <w:bCs/>
        </w:rPr>
        <w:t>3</w:t>
      </w:r>
      <w:r w:rsidRPr="00B6114A">
        <w:rPr>
          <w:bCs/>
        </w:rPr>
        <w:t xml:space="preserve"> individuals per </w:t>
      </w:r>
      <w:r w:rsidR="00E363B4">
        <w:rPr>
          <w:bCs/>
        </w:rPr>
        <w:t>organization. These</w:t>
      </w:r>
      <w:r>
        <w:rPr>
          <w:bCs/>
        </w:rPr>
        <w:t xml:space="preserve"> calls will</w:t>
      </w:r>
      <w:r w:rsidRPr="00B6114A">
        <w:rPr>
          <w:bCs/>
        </w:rPr>
        <w:t xml:space="preserve"> assess progress </w:t>
      </w:r>
      <w:r>
        <w:rPr>
          <w:bCs/>
        </w:rPr>
        <w:t>with the organization’s use of the Toolkit and</w:t>
      </w:r>
      <w:r w:rsidRPr="00B6114A">
        <w:rPr>
          <w:bCs/>
        </w:rPr>
        <w:t xml:space="preserve"> implementation</w:t>
      </w:r>
      <w:r>
        <w:rPr>
          <w:bCs/>
        </w:rPr>
        <w:t xml:space="preserve"> of associated practice changes, and </w:t>
      </w:r>
      <w:r w:rsidRPr="00B6114A">
        <w:rPr>
          <w:bCs/>
        </w:rPr>
        <w:t xml:space="preserve">will occur </w:t>
      </w:r>
      <w:r>
        <w:rPr>
          <w:bCs/>
        </w:rPr>
        <w:t>quarterly</w:t>
      </w:r>
      <w:r w:rsidRPr="00B6114A">
        <w:rPr>
          <w:bCs/>
        </w:rPr>
        <w:t xml:space="preserve"> </w:t>
      </w:r>
      <w:r>
        <w:rPr>
          <w:bCs/>
        </w:rPr>
        <w:t>over</w:t>
      </w:r>
      <w:r w:rsidRPr="00B6114A">
        <w:rPr>
          <w:bCs/>
        </w:rPr>
        <w:t xml:space="preserve"> </w:t>
      </w:r>
      <w:r>
        <w:rPr>
          <w:bCs/>
        </w:rPr>
        <w:t>15</w:t>
      </w:r>
      <w:r w:rsidRPr="00B6114A">
        <w:rPr>
          <w:bCs/>
        </w:rPr>
        <w:t xml:space="preserve"> months</w:t>
      </w:r>
      <w:r>
        <w:rPr>
          <w:bCs/>
        </w:rPr>
        <w:t>, for a total of 5 quarterly check-in calls. Each</w:t>
      </w:r>
      <w:r w:rsidRPr="00B6114A">
        <w:rPr>
          <w:bCs/>
        </w:rPr>
        <w:t xml:space="preserve"> </w:t>
      </w:r>
      <w:r>
        <w:rPr>
          <w:bCs/>
        </w:rPr>
        <w:t xml:space="preserve">call will </w:t>
      </w:r>
      <w:r w:rsidRPr="00B6114A">
        <w:rPr>
          <w:bCs/>
        </w:rPr>
        <w:t xml:space="preserve">take </w:t>
      </w:r>
      <w:r>
        <w:rPr>
          <w:bCs/>
        </w:rPr>
        <w:t>up to 6</w:t>
      </w:r>
      <w:r w:rsidRPr="00B6114A">
        <w:rPr>
          <w:bCs/>
        </w:rPr>
        <w:t>0 minutes.</w:t>
      </w:r>
    </w:p>
    <w:p w14:paraId="40FF163C" w14:textId="66AC7C15" w:rsidR="000C4626" w:rsidRDefault="0033343C" w:rsidP="000C4626">
      <w:pPr>
        <w:numPr>
          <w:ilvl w:val="0"/>
          <w:numId w:val="16"/>
        </w:numPr>
        <w:spacing w:after="240"/>
      </w:pPr>
      <w:r w:rsidRPr="008F28ED">
        <w:rPr>
          <w:b/>
        </w:rPr>
        <w:t>QI Measures</w:t>
      </w:r>
      <w:r>
        <w:t xml:space="preserve">. Aggregate reports of the specified quality measures </w:t>
      </w:r>
      <w:r w:rsidR="007E384A">
        <w:t>will be provided</w:t>
      </w:r>
      <w:r>
        <w:t xml:space="preserve"> on a quarterly basis over the course of an 18-month period by a data analyst at each</w:t>
      </w:r>
      <w:r w:rsidR="00F405D8">
        <w:t xml:space="preserve"> organization, for a total of 1</w:t>
      </w:r>
      <w:r w:rsidR="00161A18">
        <w:t>2</w:t>
      </w:r>
      <w:r w:rsidR="00F405D8">
        <w:t xml:space="preserve"> individuals across all 1</w:t>
      </w:r>
      <w:r w:rsidR="00161A18">
        <w:t>2</w:t>
      </w:r>
      <w:r>
        <w:t xml:space="preserve"> organizations. We assume 40 hours total for each data analyst to collect and provide these data. </w:t>
      </w:r>
      <w:r w:rsidR="000C4626">
        <w:t>The QI measures are measures of opioid prescribing that are critical for understanding the potential improvements in opioid prescribing in implementing the 6BBs program using the How-to-Guide. The prioritized measures to monitor improvements in recommended prescribing practices include:</w:t>
      </w:r>
    </w:p>
    <w:p w14:paraId="1504C5E7" w14:textId="77777777" w:rsidR="000C4626" w:rsidRDefault="000C4626" w:rsidP="001D5AA5">
      <w:pPr>
        <w:numPr>
          <w:ilvl w:val="0"/>
          <w:numId w:val="37"/>
        </w:numPr>
        <w:spacing w:after="120"/>
      </w:pPr>
      <w:r>
        <w:t xml:space="preserve">Number of patients on long-term opioid therapy </w:t>
      </w:r>
    </w:p>
    <w:p w14:paraId="7328FB0B" w14:textId="77777777" w:rsidR="000C4626" w:rsidRDefault="000C4626" w:rsidP="001D5AA5">
      <w:pPr>
        <w:numPr>
          <w:ilvl w:val="0"/>
          <w:numId w:val="37"/>
        </w:numPr>
        <w:spacing w:after="120"/>
      </w:pPr>
      <w:r>
        <w:t>Proportion of patients on long-term opioid therapy who are on greater than 90 morphine milligram equivalents</w:t>
      </w:r>
    </w:p>
    <w:p w14:paraId="0633C3D2" w14:textId="77777777" w:rsidR="000C4626" w:rsidRDefault="000C4626" w:rsidP="001D5AA5">
      <w:pPr>
        <w:numPr>
          <w:ilvl w:val="0"/>
          <w:numId w:val="37"/>
        </w:numPr>
        <w:spacing w:after="120"/>
      </w:pPr>
      <w:r>
        <w:t>Proportion of patients on long-term opioid therapy who are co-prescribed a benzodiazepine</w:t>
      </w:r>
    </w:p>
    <w:p w14:paraId="0AEBF548" w14:textId="77777777" w:rsidR="000C4626" w:rsidRDefault="000C4626" w:rsidP="001D5AA5">
      <w:pPr>
        <w:numPr>
          <w:ilvl w:val="0"/>
          <w:numId w:val="37"/>
        </w:numPr>
        <w:spacing w:after="120"/>
      </w:pPr>
      <w:r>
        <w:t xml:space="preserve">Proportion of patients on long-term opioid therapy who had the prescription drug monitoring program (PDMP) checked </w:t>
      </w:r>
    </w:p>
    <w:p w14:paraId="01E6F873" w14:textId="0BFCA911" w:rsidR="000C4626" w:rsidRDefault="000C4626" w:rsidP="001D5AA5">
      <w:pPr>
        <w:numPr>
          <w:ilvl w:val="0"/>
          <w:numId w:val="37"/>
        </w:numPr>
        <w:spacing w:after="120"/>
      </w:pPr>
      <w:r>
        <w:t>Proportion of patients on long-term opioid therapy who have had a urine drug screen</w:t>
      </w:r>
    </w:p>
    <w:p w14:paraId="50AEBD7A" w14:textId="6D8055A5" w:rsidR="0033343C" w:rsidRPr="0002213F" w:rsidRDefault="000C4626" w:rsidP="001D5AA5">
      <w:pPr>
        <w:spacing w:after="240"/>
        <w:ind w:left="1080"/>
      </w:pPr>
      <w:r>
        <w:t xml:space="preserve">Each health care organization is asked to report quarterly on the QI measures.   Clinics may obtain these measures from electronic health record (EHR) data, or they may not have the sophistication or capacity to do that and may track these measures using Excel files or other methods. </w:t>
      </w:r>
      <w:r w:rsidR="00225F13">
        <w:t xml:space="preserve">The method of pulling these measures will vary by clinic, and we will charge clinics will developing a system for collecting these measures that works best for them. </w:t>
      </w:r>
      <w:r w:rsidR="009D729A">
        <w:t xml:space="preserve">We assume it will take each clinic up to 20 total hours to develop a system for pulling these measures, and then subsequently 5 hours to pull and submit these reports each quarter. This would result in a total of 40 hours over the course of the project. </w:t>
      </w:r>
    </w:p>
    <w:p w14:paraId="217CB7A9" w14:textId="5B1A7DB7" w:rsidR="00225F13" w:rsidRDefault="005C562A" w:rsidP="00225F13">
      <w:pPr>
        <w:numPr>
          <w:ilvl w:val="0"/>
          <w:numId w:val="16"/>
        </w:numPr>
        <w:spacing w:after="240"/>
      </w:pPr>
      <w:r w:rsidRPr="005C562A">
        <w:rPr>
          <w:b/>
        </w:rPr>
        <w:t>Secondary data – organizational documents and worksheets completed by the clinics through their use of the How-to-Guide.</w:t>
      </w:r>
      <w:r w:rsidR="0033343C" w:rsidRPr="00AB768E">
        <w:rPr>
          <w:b/>
        </w:rPr>
        <w:t xml:space="preserve"> </w:t>
      </w:r>
      <w:r w:rsidR="0033343C" w:rsidRPr="00B6114A">
        <w:t xml:space="preserve">These secondary data will be provided by </w:t>
      </w:r>
      <w:r w:rsidR="0033343C">
        <w:t>the QI lead at each</w:t>
      </w:r>
      <w:r w:rsidR="00F405D8">
        <w:t xml:space="preserve"> organization, for a total of 1</w:t>
      </w:r>
      <w:r w:rsidR="00225F13">
        <w:t>2</w:t>
      </w:r>
      <w:r w:rsidR="00F405D8">
        <w:t xml:space="preserve"> individuals across all 1</w:t>
      </w:r>
      <w:r w:rsidR="00225F13">
        <w:t>2</w:t>
      </w:r>
      <w:r w:rsidR="0033343C">
        <w:t xml:space="preserve"> organizations</w:t>
      </w:r>
      <w:r w:rsidR="0033343C" w:rsidRPr="00B6114A">
        <w:t xml:space="preserve">. We assume </w:t>
      </w:r>
      <w:r w:rsidR="00225F13">
        <w:t>1</w:t>
      </w:r>
      <w:r w:rsidR="0033343C" w:rsidRPr="00B6114A">
        <w:t xml:space="preserve"> hour</w:t>
      </w:r>
      <w:r w:rsidR="0033343C">
        <w:t xml:space="preserve"> per month for 12 months for a total of </w:t>
      </w:r>
      <w:r w:rsidR="00225F13">
        <w:t>12</w:t>
      </w:r>
      <w:r w:rsidR="0033343C">
        <w:t xml:space="preserve"> hours</w:t>
      </w:r>
      <w:r w:rsidR="0033343C" w:rsidRPr="00B6114A">
        <w:t xml:space="preserve"> for each</w:t>
      </w:r>
      <w:r w:rsidR="0033343C">
        <w:t xml:space="preserve"> QI lead</w:t>
      </w:r>
      <w:r w:rsidR="0033343C" w:rsidRPr="00B6114A">
        <w:t xml:space="preserve"> to collect and provide these data. </w:t>
      </w:r>
      <w:r w:rsidR="00225F13" w:rsidRPr="00225F13">
        <w:t>The secondary data refers to health care organizations’ documents that report on their progre</w:t>
      </w:r>
      <w:r w:rsidR="00225F13">
        <w:t>ss implementing the 6BBs Toolkit (How-to-Guide and 6BBs program) in service of the evaluation (see description on pg. 10).</w:t>
      </w:r>
      <w:r w:rsidR="00225F13" w:rsidRPr="00225F13">
        <w:t xml:space="preserve"> </w:t>
      </w:r>
    </w:p>
    <w:p w14:paraId="41598CF0" w14:textId="77777777" w:rsidR="004A4612" w:rsidRPr="00B6114A" w:rsidRDefault="004A4612" w:rsidP="004A4612">
      <w:r w:rsidRPr="00B6114A">
        <w:rPr>
          <w:b/>
          <w:bCs/>
          <w:color w:val="000000"/>
        </w:rPr>
        <w:t>Exhibit 1. Estimated annualized burden hours</w:t>
      </w:r>
    </w:p>
    <w:tbl>
      <w:tblPr>
        <w:tblW w:w="9360" w:type="dxa"/>
        <w:tblInd w:w="108" w:type="dxa"/>
        <w:tblLayout w:type="fixed"/>
        <w:tblCellMar>
          <w:left w:w="0" w:type="dxa"/>
          <w:right w:w="0" w:type="dxa"/>
        </w:tblCellMar>
        <w:tblLook w:val="0000" w:firstRow="0" w:lastRow="0" w:firstColumn="0" w:lastColumn="0" w:noHBand="0" w:noVBand="0"/>
      </w:tblPr>
      <w:tblGrid>
        <w:gridCol w:w="3842"/>
        <w:gridCol w:w="1530"/>
        <w:gridCol w:w="1620"/>
        <w:gridCol w:w="1170"/>
        <w:gridCol w:w="1198"/>
      </w:tblGrid>
      <w:tr w:rsidR="00E363B4" w:rsidRPr="00B6114A" w14:paraId="59DF5BD0" w14:textId="77777777" w:rsidTr="001D5AA5">
        <w:trPr>
          <w:trHeight w:val="1420"/>
        </w:trPr>
        <w:tc>
          <w:tcPr>
            <w:tcW w:w="38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80ACE1" w14:textId="77777777" w:rsidR="004A4612" w:rsidRPr="00A5413E" w:rsidRDefault="004A4612" w:rsidP="00375E6A">
            <w:pPr>
              <w:jc w:val="center"/>
              <w:rPr>
                <w:b/>
              </w:rPr>
            </w:pPr>
            <w:r w:rsidRPr="00A5413E">
              <w:rPr>
                <w:b/>
              </w:rPr>
              <w:t>Data Collection Method or Project Activity</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74F77A" w14:textId="77777777" w:rsidR="004A4612" w:rsidRPr="00A5413E" w:rsidRDefault="004A4612" w:rsidP="00375E6A">
            <w:pPr>
              <w:jc w:val="center"/>
              <w:rPr>
                <w:b/>
                <w:color w:val="000000"/>
              </w:rPr>
            </w:pPr>
            <w:r w:rsidRPr="00A5413E">
              <w:rPr>
                <w:b/>
                <w:color w:val="000000"/>
              </w:rPr>
              <w:t>A.</w:t>
            </w:r>
          </w:p>
          <w:p w14:paraId="1446BE97" w14:textId="77777777" w:rsidR="004A4612" w:rsidRPr="00A5413E" w:rsidRDefault="004A4612" w:rsidP="00375E6A">
            <w:pPr>
              <w:jc w:val="center"/>
              <w:rPr>
                <w:b/>
              </w:rPr>
            </w:pPr>
            <w:r w:rsidRPr="00A5413E">
              <w:rPr>
                <w:b/>
                <w:color w:val="000000"/>
              </w:rPr>
              <w:t>Number of respondents</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0A7454" w14:textId="77777777" w:rsidR="004A4612" w:rsidRPr="00A5413E" w:rsidRDefault="004A4612" w:rsidP="00375E6A">
            <w:pPr>
              <w:jc w:val="center"/>
              <w:rPr>
                <w:b/>
              </w:rPr>
            </w:pPr>
          </w:p>
          <w:p w14:paraId="211DB3AD" w14:textId="77777777" w:rsidR="004A4612" w:rsidRPr="00A5413E" w:rsidRDefault="004A4612" w:rsidP="00375E6A">
            <w:pPr>
              <w:jc w:val="center"/>
              <w:rPr>
                <w:b/>
              </w:rPr>
            </w:pPr>
            <w:r w:rsidRPr="00A5413E">
              <w:rPr>
                <w:b/>
              </w:rPr>
              <w:t>B.</w:t>
            </w:r>
          </w:p>
          <w:p w14:paraId="0B82C2C0" w14:textId="77777777" w:rsidR="004A4612" w:rsidRPr="00A5413E" w:rsidRDefault="004A4612" w:rsidP="00375E6A">
            <w:pPr>
              <w:jc w:val="center"/>
              <w:rPr>
                <w:b/>
              </w:rPr>
            </w:pPr>
            <w:r w:rsidRPr="00A5413E">
              <w:rPr>
                <w:b/>
              </w:rPr>
              <w:t>Number of responses per respondent</w:t>
            </w:r>
          </w:p>
        </w:tc>
        <w:tc>
          <w:tcPr>
            <w:tcW w:w="1170" w:type="dxa"/>
            <w:tcBorders>
              <w:top w:val="single" w:sz="8" w:space="0" w:color="auto"/>
              <w:left w:val="nil"/>
              <w:bottom w:val="single" w:sz="8" w:space="0" w:color="auto"/>
              <w:right w:val="single" w:sz="8" w:space="0" w:color="auto"/>
            </w:tcBorders>
            <w:vAlign w:val="center"/>
          </w:tcPr>
          <w:p w14:paraId="3275FD7E" w14:textId="77777777" w:rsidR="004A4612" w:rsidRPr="00A5413E" w:rsidRDefault="004A4612" w:rsidP="00375E6A">
            <w:pPr>
              <w:jc w:val="center"/>
              <w:rPr>
                <w:b/>
                <w:color w:val="000000"/>
              </w:rPr>
            </w:pPr>
            <w:r w:rsidRPr="00A5413E">
              <w:rPr>
                <w:b/>
                <w:color w:val="000000"/>
              </w:rPr>
              <w:t>C.</w:t>
            </w:r>
          </w:p>
          <w:p w14:paraId="738A9806" w14:textId="77777777" w:rsidR="004A4612" w:rsidRPr="00A5413E" w:rsidRDefault="004A4612" w:rsidP="00375E6A">
            <w:pPr>
              <w:jc w:val="center"/>
              <w:rPr>
                <w:b/>
              </w:rPr>
            </w:pPr>
            <w:r w:rsidRPr="00A5413E">
              <w:rPr>
                <w:b/>
                <w:color w:val="000000"/>
              </w:rPr>
              <w:t>Hours per response</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F70270" w14:textId="77777777" w:rsidR="004A4612" w:rsidRPr="00A5413E" w:rsidRDefault="004A4612" w:rsidP="00375E6A">
            <w:pPr>
              <w:jc w:val="center"/>
              <w:rPr>
                <w:b/>
                <w:color w:val="000000"/>
              </w:rPr>
            </w:pPr>
          </w:p>
          <w:p w14:paraId="6D2537A9" w14:textId="77777777" w:rsidR="004A4612" w:rsidRPr="00A5413E" w:rsidRDefault="004A4612" w:rsidP="00375E6A">
            <w:pPr>
              <w:jc w:val="center"/>
              <w:rPr>
                <w:b/>
                <w:color w:val="000000"/>
              </w:rPr>
            </w:pPr>
            <w:r w:rsidRPr="00A5413E">
              <w:rPr>
                <w:b/>
                <w:color w:val="000000"/>
              </w:rPr>
              <w:t>D.</w:t>
            </w:r>
          </w:p>
          <w:p w14:paraId="47D53858" w14:textId="77777777" w:rsidR="004A4612" w:rsidRPr="00A5413E" w:rsidRDefault="004A4612" w:rsidP="00375E6A">
            <w:pPr>
              <w:jc w:val="center"/>
              <w:rPr>
                <w:b/>
              </w:rPr>
            </w:pPr>
            <w:r w:rsidRPr="00A5413E">
              <w:rPr>
                <w:b/>
                <w:color w:val="000000"/>
              </w:rPr>
              <w:t>Total burden hours</w:t>
            </w:r>
          </w:p>
        </w:tc>
      </w:tr>
      <w:tr w:rsidR="00CA6762" w:rsidRPr="00B6114A" w14:paraId="402AB91B" w14:textId="77777777" w:rsidTr="001D5AA5">
        <w:trPr>
          <w:trHeight w:val="232"/>
        </w:trPr>
        <w:tc>
          <w:tcPr>
            <w:tcW w:w="3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D21E37" w14:textId="77777777" w:rsidR="00CA6762" w:rsidRPr="00A5413E" w:rsidRDefault="00CA6762" w:rsidP="00CA6762">
            <w:r>
              <w:t>1</w:t>
            </w:r>
            <w:r w:rsidRPr="00A5413E">
              <w:t>. Clinical Staff Survey*</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DE1426" w14:textId="5219481D" w:rsidR="00CA6762" w:rsidRPr="00A5413E" w:rsidRDefault="00161A18" w:rsidP="00CA6762">
            <w:r>
              <w:t>525</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B7CC6B" w14:textId="77777777" w:rsidR="00CA6762" w:rsidRPr="00A5413E" w:rsidRDefault="00CA6762" w:rsidP="00CA6762">
            <w:r>
              <w:t>2</w:t>
            </w:r>
          </w:p>
        </w:tc>
        <w:tc>
          <w:tcPr>
            <w:tcW w:w="1170" w:type="dxa"/>
            <w:tcBorders>
              <w:top w:val="nil"/>
              <w:left w:val="nil"/>
              <w:bottom w:val="single" w:sz="8" w:space="0" w:color="auto"/>
              <w:right w:val="single" w:sz="8" w:space="0" w:color="auto"/>
            </w:tcBorders>
          </w:tcPr>
          <w:p w14:paraId="572A242C" w14:textId="77777777" w:rsidR="00CA6762" w:rsidRPr="00A5413E" w:rsidRDefault="00CA6762" w:rsidP="00CA6762">
            <w:r>
              <w:t>15</w:t>
            </w:r>
            <w:r w:rsidRPr="00A5413E">
              <w:t>/60</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BA9D21" w14:textId="2EF07008" w:rsidR="00CA6762" w:rsidRPr="00A5413E" w:rsidRDefault="00161A18" w:rsidP="00CA6762">
            <w:r>
              <w:t>263</w:t>
            </w:r>
          </w:p>
        </w:tc>
      </w:tr>
      <w:tr w:rsidR="00CA6762" w:rsidRPr="00B6114A" w14:paraId="5B1457CC" w14:textId="77777777" w:rsidTr="001D5AA5">
        <w:tc>
          <w:tcPr>
            <w:tcW w:w="3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0C0A8A" w14:textId="77777777" w:rsidR="00CA6762" w:rsidRPr="00A5413E" w:rsidRDefault="00CA6762" w:rsidP="00CA6762">
            <w:r>
              <w:t>2</w:t>
            </w:r>
            <w:r w:rsidRPr="00A5413E">
              <w:t xml:space="preserve">a. </w:t>
            </w:r>
            <w:r>
              <w:t xml:space="preserve">Staff </w:t>
            </w:r>
            <w:r w:rsidRPr="00A5413E">
              <w:t xml:space="preserve">Interview – </w:t>
            </w:r>
            <w:r>
              <w:t>QI Lead</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FD1FC8" w14:textId="5906A12C" w:rsidR="00CA6762" w:rsidRPr="00A5413E" w:rsidRDefault="00CA6762" w:rsidP="00CA6762">
            <w:r w:rsidRPr="00CF35E7">
              <w:t>1</w:t>
            </w:r>
            <w:r w:rsidR="00161A18">
              <w:t>2</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B918B8" w14:textId="77777777" w:rsidR="00CA6762" w:rsidRPr="00A5413E" w:rsidRDefault="00CA6762" w:rsidP="00CA6762">
            <w:r>
              <w:t>2</w:t>
            </w:r>
          </w:p>
        </w:tc>
        <w:tc>
          <w:tcPr>
            <w:tcW w:w="1170" w:type="dxa"/>
            <w:tcBorders>
              <w:top w:val="nil"/>
              <w:left w:val="nil"/>
              <w:bottom w:val="single" w:sz="8" w:space="0" w:color="auto"/>
              <w:right w:val="single" w:sz="8" w:space="0" w:color="auto"/>
            </w:tcBorders>
          </w:tcPr>
          <w:p w14:paraId="0EF61540" w14:textId="77777777" w:rsidR="00CA6762" w:rsidRPr="00A5413E" w:rsidRDefault="00CA6762" w:rsidP="00CA6762">
            <w:r>
              <w:t>1</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99F9E4" w14:textId="6E61ECA6" w:rsidR="00CA6762" w:rsidRPr="00A5413E" w:rsidRDefault="00161A18" w:rsidP="00CA6762">
            <w:r>
              <w:t>24</w:t>
            </w:r>
          </w:p>
        </w:tc>
      </w:tr>
      <w:tr w:rsidR="00CA6762" w:rsidRPr="00B6114A" w14:paraId="5CE19421" w14:textId="77777777" w:rsidTr="001D5AA5">
        <w:tc>
          <w:tcPr>
            <w:tcW w:w="3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792140" w14:textId="77777777" w:rsidR="00CA6762" w:rsidRPr="00A5413E" w:rsidRDefault="00CA6762" w:rsidP="00CA6762">
            <w:pPr>
              <w:rPr>
                <w:bCs/>
                <w:color w:val="000000"/>
              </w:rPr>
            </w:pPr>
            <w:r>
              <w:rPr>
                <w:bCs/>
                <w:color w:val="000000"/>
              </w:rPr>
              <w:t>2</w:t>
            </w:r>
            <w:r w:rsidRPr="00A5413E">
              <w:rPr>
                <w:bCs/>
                <w:color w:val="000000"/>
              </w:rPr>
              <w:t xml:space="preserve">b. </w:t>
            </w:r>
            <w:r>
              <w:rPr>
                <w:bCs/>
                <w:color w:val="000000"/>
              </w:rPr>
              <w:t xml:space="preserve">Staff </w:t>
            </w:r>
            <w:r w:rsidRPr="00A5413E">
              <w:rPr>
                <w:bCs/>
                <w:color w:val="000000"/>
              </w:rPr>
              <w:t xml:space="preserve">Interview – </w:t>
            </w:r>
            <w:r>
              <w:rPr>
                <w:bCs/>
                <w:color w:val="000000"/>
              </w:rPr>
              <w:t>Additional Staff</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FD5C8E" w14:textId="3DC08A13" w:rsidR="00CA6762" w:rsidRPr="00A5413E" w:rsidRDefault="00161A18" w:rsidP="00CA6762">
            <w:r>
              <w:t>48</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D4984B" w14:textId="77777777" w:rsidR="00CA6762" w:rsidRPr="00A5413E" w:rsidRDefault="00CA6762" w:rsidP="00CA6762">
            <w:r>
              <w:t>2</w:t>
            </w:r>
          </w:p>
        </w:tc>
        <w:tc>
          <w:tcPr>
            <w:tcW w:w="1170" w:type="dxa"/>
            <w:tcBorders>
              <w:top w:val="nil"/>
              <w:left w:val="nil"/>
              <w:bottom w:val="single" w:sz="8" w:space="0" w:color="auto"/>
              <w:right w:val="single" w:sz="8" w:space="0" w:color="auto"/>
            </w:tcBorders>
          </w:tcPr>
          <w:p w14:paraId="17E32D85" w14:textId="77777777" w:rsidR="00CA6762" w:rsidRPr="00A5413E" w:rsidRDefault="00CA6762" w:rsidP="00CA6762">
            <w:r w:rsidRPr="00A5413E">
              <w:t>1</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560A9B" w14:textId="1E7DD8CA" w:rsidR="00CA6762" w:rsidRPr="00A5413E" w:rsidRDefault="00161A18" w:rsidP="00CA6762">
            <w:r>
              <w:t>96</w:t>
            </w:r>
          </w:p>
        </w:tc>
      </w:tr>
      <w:tr w:rsidR="00CA6762" w:rsidRPr="00B6114A" w14:paraId="29350D2F" w14:textId="77777777" w:rsidTr="001D5AA5">
        <w:tc>
          <w:tcPr>
            <w:tcW w:w="3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FC9C31" w14:textId="77777777" w:rsidR="00CA6762" w:rsidRDefault="00CA6762" w:rsidP="00CA6762">
            <w:pPr>
              <w:numPr>
                <w:ilvl w:val="0"/>
                <w:numId w:val="11"/>
              </w:numPr>
              <w:ind w:left="252" w:hanging="270"/>
              <w:rPr>
                <w:bCs/>
                <w:color w:val="000000"/>
              </w:rPr>
            </w:pPr>
            <w:r>
              <w:rPr>
                <w:bCs/>
                <w:color w:val="000000"/>
              </w:rPr>
              <w:t>Virtual Launch Meeting</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00DFCF" w14:textId="5CF287B6" w:rsidR="00CA6762" w:rsidRDefault="00CA6762" w:rsidP="00CA6762">
            <w:r w:rsidRPr="00CF35E7">
              <w:t>1</w:t>
            </w:r>
            <w:r w:rsidR="00161A18">
              <w:t>2</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970A81" w14:textId="77777777" w:rsidR="00CA6762" w:rsidRDefault="00CA6762" w:rsidP="00CA6762">
            <w:r>
              <w:t>1</w:t>
            </w:r>
          </w:p>
        </w:tc>
        <w:tc>
          <w:tcPr>
            <w:tcW w:w="1170" w:type="dxa"/>
            <w:tcBorders>
              <w:top w:val="nil"/>
              <w:left w:val="nil"/>
              <w:bottom w:val="single" w:sz="8" w:space="0" w:color="auto"/>
              <w:right w:val="single" w:sz="8" w:space="0" w:color="auto"/>
            </w:tcBorders>
          </w:tcPr>
          <w:p w14:paraId="537AA58B" w14:textId="77777777" w:rsidR="00CA6762" w:rsidRPr="00A5413E" w:rsidRDefault="00CA6762" w:rsidP="00CA6762">
            <w:r>
              <w:t>2</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2DA58E" w14:textId="5F4D3226" w:rsidR="00CA6762" w:rsidRDefault="00161A18" w:rsidP="00CA6762">
            <w:r>
              <w:t>24</w:t>
            </w:r>
          </w:p>
        </w:tc>
      </w:tr>
      <w:tr w:rsidR="00CA6762" w:rsidRPr="00B6114A" w14:paraId="1B40EA06" w14:textId="77777777" w:rsidTr="001D5AA5">
        <w:tc>
          <w:tcPr>
            <w:tcW w:w="38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477A52" w14:textId="787B7089" w:rsidR="00CA6762" w:rsidRDefault="00CA6762" w:rsidP="00CA6762">
            <w:pPr>
              <w:numPr>
                <w:ilvl w:val="0"/>
                <w:numId w:val="11"/>
              </w:numPr>
              <w:ind w:left="252" w:hanging="270"/>
              <w:rPr>
                <w:bCs/>
                <w:color w:val="000000"/>
              </w:rPr>
            </w:pPr>
            <w:r>
              <w:rPr>
                <w:bCs/>
                <w:color w:val="000000"/>
              </w:rPr>
              <w:t>Quarterly Check-In Calls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2C891D" w14:textId="2F89BE43" w:rsidR="00CA6762" w:rsidRPr="00A5413E" w:rsidRDefault="00161A18" w:rsidP="00CA6762">
            <w:r>
              <w:t>36</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94D19B" w14:textId="77777777" w:rsidR="00CA6762" w:rsidRPr="00A5413E" w:rsidRDefault="00CA6762" w:rsidP="00CA6762">
            <w:r>
              <w:t>5</w:t>
            </w:r>
          </w:p>
        </w:tc>
        <w:tc>
          <w:tcPr>
            <w:tcW w:w="1170" w:type="dxa"/>
            <w:tcBorders>
              <w:top w:val="nil"/>
              <w:left w:val="nil"/>
              <w:bottom w:val="single" w:sz="8" w:space="0" w:color="auto"/>
              <w:right w:val="single" w:sz="8" w:space="0" w:color="auto"/>
            </w:tcBorders>
          </w:tcPr>
          <w:p w14:paraId="0B3A30BB" w14:textId="77777777" w:rsidR="00CA6762" w:rsidRPr="00A5413E" w:rsidRDefault="00CA6762" w:rsidP="00CA6762">
            <w:r>
              <w:t>1</w:t>
            </w:r>
          </w:p>
        </w:tc>
        <w:tc>
          <w:tcPr>
            <w:tcW w:w="11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6C2E81" w14:textId="1CCB8DDA" w:rsidR="00CA6762" w:rsidRPr="00A5413E" w:rsidRDefault="00161A18" w:rsidP="00CA6762">
            <w:r>
              <w:t>180</w:t>
            </w:r>
          </w:p>
        </w:tc>
      </w:tr>
      <w:tr w:rsidR="00CA6762" w:rsidRPr="00B6114A" w14:paraId="7346A887" w14:textId="77777777" w:rsidTr="001D5AA5">
        <w:tc>
          <w:tcPr>
            <w:tcW w:w="384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5EB5E2" w14:textId="4AAD37C6" w:rsidR="00161A18" w:rsidRPr="00A5413E" w:rsidRDefault="00CA6762" w:rsidP="00CA6762">
            <w:pPr>
              <w:rPr>
                <w:bCs/>
                <w:color w:val="000000"/>
              </w:rPr>
            </w:pPr>
            <w:r>
              <w:rPr>
                <w:bCs/>
                <w:color w:val="000000"/>
              </w:rPr>
              <w:t>5</w:t>
            </w:r>
            <w:r w:rsidRPr="00A5413E">
              <w:rPr>
                <w:bCs/>
                <w:color w:val="000000"/>
              </w:rPr>
              <w:t xml:space="preserve">. </w:t>
            </w:r>
            <w:r>
              <w:rPr>
                <w:bCs/>
                <w:color w:val="000000"/>
              </w:rPr>
              <w:t>QI Measures</w:t>
            </w:r>
            <w:r w:rsidR="00161A18">
              <w:rPr>
                <w:bCs/>
                <w:color w:val="000000"/>
              </w:rPr>
              <w:t xml:space="preserve"> – develop system</w:t>
            </w:r>
          </w:p>
        </w:tc>
        <w:tc>
          <w:tcPr>
            <w:tcW w:w="15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0746070" w14:textId="480DB724" w:rsidR="00CA6762" w:rsidRPr="00A5413E" w:rsidRDefault="00CA6762" w:rsidP="00CA6762">
            <w:r w:rsidRPr="00CF35E7">
              <w:t>1</w:t>
            </w:r>
            <w:r w:rsidR="00161A18">
              <w:t>2</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BA49183" w14:textId="5137BCD7" w:rsidR="00CA6762" w:rsidRPr="00A5413E" w:rsidRDefault="00161A18" w:rsidP="00CA6762">
            <w:r>
              <w:t>1</w:t>
            </w:r>
          </w:p>
        </w:tc>
        <w:tc>
          <w:tcPr>
            <w:tcW w:w="1170" w:type="dxa"/>
            <w:tcBorders>
              <w:top w:val="single" w:sz="8" w:space="0" w:color="auto"/>
              <w:left w:val="nil"/>
              <w:bottom w:val="single" w:sz="4" w:space="0" w:color="auto"/>
              <w:right w:val="single" w:sz="8" w:space="0" w:color="auto"/>
            </w:tcBorders>
          </w:tcPr>
          <w:p w14:paraId="236F2CDA" w14:textId="625458FF" w:rsidR="00CA6762" w:rsidRPr="00A5413E" w:rsidRDefault="00161A18" w:rsidP="00CA6762">
            <w:r>
              <w:t>20</w:t>
            </w:r>
          </w:p>
        </w:tc>
        <w:tc>
          <w:tcPr>
            <w:tcW w:w="119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B186E26" w14:textId="58E7271F" w:rsidR="00CA6762" w:rsidRPr="00A5413E" w:rsidRDefault="00161A18" w:rsidP="00CA6762">
            <w:r>
              <w:t>240</w:t>
            </w:r>
          </w:p>
        </w:tc>
      </w:tr>
      <w:tr w:rsidR="00161A18" w:rsidRPr="00B6114A" w14:paraId="399785C1" w14:textId="77777777" w:rsidTr="001D5AA5">
        <w:tc>
          <w:tcPr>
            <w:tcW w:w="384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7C9F81A" w14:textId="2A5E78D3" w:rsidR="00161A18" w:rsidRDefault="00161A18" w:rsidP="00CA6762">
            <w:pPr>
              <w:rPr>
                <w:bCs/>
                <w:color w:val="000000"/>
              </w:rPr>
            </w:pPr>
            <w:r>
              <w:rPr>
                <w:bCs/>
                <w:color w:val="000000"/>
              </w:rPr>
              <w:t>5</w:t>
            </w:r>
            <w:r w:rsidRPr="00A5413E">
              <w:rPr>
                <w:bCs/>
                <w:color w:val="000000"/>
              </w:rPr>
              <w:t xml:space="preserve">. </w:t>
            </w:r>
            <w:r>
              <w:rPr>
                <w:bCs/>
                <w:color w:val="000000"/>
              </w:rPr>
              <w:t>QI Measures – pull reports</w:t>
            </w:r>
          </w:p>
        </w:tc>
        <w:tc>
          <w:tcPr>
            <w:tcW w:w="15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A3FE5D2" w14:textId="64A9B636" w:rsidR="00161A18" w:rsidRPr="00CF35E7" w:rsidRDefault="00161A18" w:rsidP="00CA6762">
            <w:r>
              <w:t>12</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0608419" w14:textId="736B6A03" w:rsidR="00161A18" w:rsidRDefault="00161A18" w:rsidP="00CA6762">
            <w:r>
              <w:t>4</w:t>
            </w:r>
          </w:p>
        </w:tc>
        <w:tc>
          <w:tcPr>
            <w:tcW w:w="1170" w:type="dxa"/>
            <w:tcBorders>
              <w:top w:val="single" w:sz="8" w:space="0" w:color="auto"/>
              <w:left w:val="nil"/>
              <w:bottom w:val="single" w:sz="4" w:space="0" w:color="auto"/>
              <w:right w:val="single" w:sz="8" w:space="0" w:color="auto"/>
            </w:tcBorders>
          </w:tcPr>
          <w:p w14:paraId="41B8B8FB" w14:textId="3F7D39F4" w:rsidR="00161A18" w:rsidRDefault="00161A18" w:rsidP="00CA6762">
            <w:r>
              <w:t>5</w:t>
            </w:r>
          </w:p>
        </w:tc>
        <w:tc>
          <w:tcPr>
            <w:tcW w:w="119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69D3F6F" w14:textId="1B9BB458" w:rsidR="00161A18" w:rsidRDefault="00161A18" w:rsidP="00CA6762">
            <w:r>
              <w:t>240</w:t>
            </w:r>
          </w:p>
        </w:tc>
      </w:tr>
      <w:tr w:rsidR="00CA6762" w:rsidRPr="00B6114A" w14:paraId="2F8FFEFC" w14:textId="77777777" w:rsidTr="001D5AA5">
        <w:tc>
          <w:tcPr>
            <w:tcW w:w="384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8BC45A4" w14:textId="77777777" w:rsidR="00CA6762" w:rsidRPr="008F28ED" w:rsidRDefault="00CA6762" w:rsidP="00CA6762">
            <w:pPr>
              <w:rPr>
                <w:bCs/>
                <w:color w:val="000000"/>
              </w:rPr>
            </w:pPr>
            <w:r>
              <w:rPr>
                <w:bCs/>
                <w:color w:val="000000"/>
              </w:rPr>
              <w:t xml:space="preserve">6. </w:t>
            </w:r>
            <w:r w:rsidRPr="008F28ED">
              <w:rPr>
                <w:bCs/>
                <w:color w:val="000000"/>
              </w:rPr>
              <w:t>Secondary data</w:t>
            </w:r>
          </w:p>
        </w:tc>
        <w:tc>
          <w:tcPr>
            <w:tcW w:w="15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69C8957E" w14:textId="36D4AD19" w:rsidR="00CA6762" w:rsidRDefault="00CA6762" w:rsidP="00CA6762">
            <w:r w:rsidRPr="00CF35E7">
              <w:t>1</w:t>
            </w:r>
            <w:r w:rsidR="00225F13">
              <w:t>2</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4F1BF8C9" w14:textId="77777777" w:rsidR="00CA6762" w:rsidRPr="00A5413E" w:rsidRDefault="00CA6762" w:rsidP="00CA6762">
            <w:r>
              <w:t>12</w:t>
            </w:r>
          </w:p>
        </w:tc>
        <w:tc>
          <w:tcPr>
            <w:tcW w:w="1170" w:type="dxa"/>
            <w:tcBorders>
              <w:top w:val="single" w:sz="8" w:space="0" w:color="auto"/>
              <w:left w:val="nil"/>
              <w:bottom w:val="single" w:sz="4" w:space="0" w:color="auto"/>
              <w:right w:val="single" w:sz="8" w:space="0" w:color="auto"/>
            </w:tcBorders>
          </w:tcPr>
          <w:p w14:paraId="7F241414" w14:textId="180173F2" w:rsidR="00CA6762" w:rsidRPr="00A5413E" w:rsidRDefault="00225F13" w:rsidP="00CA6762">
            <w:r>
              <w:t>1</w:t>
            </w:r>
          </w:p>
        </w:tc>
        <w:tc>
          <w:tcPr>
            <w:tcW w:w="1198"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26233409" w14:textId="0AC9D8EB" w:rsidR="00CA6762" w:rsidRDefault="00225F13" w:rsidP="00CA6762">
            <w:r>
              <w:t>144</w:t>
            </w:r>
          </w:p>
        </w:tc>
      </w:tr>
      <w:tr w:rsidR="00CA6762" w:rsidRPr="00B6114A" w14:paraId="651E583E" w14:textId="77777777" w:rsidTr="001D5AA5">
        <w:tc>
          <w:tcPr>
            <w:tcW w:w="384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35C87D" w14:textId="77777777" w:rsidR="00CA6762" w:rsidRPr="00A5413E" w:rsidRDefault="00CA6762" w:rsidP="00CA6762">
            <w:pPr>
              <w:rPr>
                <w:bCs/>
                <w:color w:val="000000"/>
              </w:rPr>
            </w:pPr>
            <w:r w:rsidRPr="00A5413E">
              <w:rPr>
                <w:bCs/>
                <w:color w:val="000000"/>
              </w:rPr>
              <w:t>TOTAL</w:t>
            </w:r>
          </w:p>
        </w:tc>
        <w:tc>
          <w:tcPr>
            <w:tcW w:w="15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592D11" w14:textId="7C936637" w:rsidR="00CA6762" w:rsidRPr="00A5413E" w:rsidRDefault="00161A18" w:rsidP="00CA6762">
            <w:r>
              <w:t>669</w:t>
            </w:r>
          </w:p>
        </w:tc>
        <w:tc>
          <w:tcPr>
            <w:tcW w:w="1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22ADDC" w14:textId="1E9B81EB" w:rsidR="00CA6762" w:rsidRPr="00A5413E" w:rsidRDefault="00CA6762" w:rsidP="00CA6762">
            <w:r w:rsidRPr="00A5413E">
              <w:t>n</w:t>
            </w:r>
            <w:r>
              <w:t>/</w:t>
            </w:r>
            <w:r w:rsidRPr="00A5413E">
              <w:t>a</w:t>
            </w:r>
          </w:p>
        </w:tc>
        <w:tc>
          <w:tcPr>
            <w:tcW w:w="1170" w:type="dxa"/>
            <w:tcBorders>
              <w:top w:val="single" w:sz="4" w:space="0" w:color="auto"/>
              <w:left w:val="nil"/>
              <w:bottom w:val="single" w:sz="8" w:space="0" w:color="auto"/>
              <w:right w:val="single" w:sz="8" w:space="0" w:color="auto"/>
            </w:tcBorders>
          </w:tcPr>
          <w:p w14:paraId="29748BBE" w14:textId="479CBA19" w:rsidR="00CA6762" w:rsidRPr="00A5413E" w:rsidRDefault="00CA6762" w:rsidP="00CA6762">
            <w:r>
              <w:t>n/</w:t>
            </w:r>
            <w:r w:rsidRPr="00A5413E">
              <w:t>a</w:t>
            </w:r>
          </w:p>
        </w:tc>
        <w:tc>
          <w:tcPr>
            <w:tcW w:w="11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21C20D" w14:textId="54CEFB68" w:rsidR="00CA6762" w:rsidRPr="00A5413E" w:rsidRDefault="00161A18" w:rsidP="00CA6762">
            <w:r>
              <w:t>1</w:t>
            </w:r>
            <w:r w:rsidR="00CA6762">
              <w:t>,2</w:t>
            </w:r>
            <w:r>
              <w:t>11</w:t>
            </w:r>
          </w:p>
        </w:tc>
      </w:tr>
    </w:tbl>
    <w:p w14:paraId="582C358A" w14:textId="77777777" w:rsidR="004A4612" w:rsidRPr="00A5413E" w:rsidRDefault="004A4612" w:rsidP="004A4612">
      <w:pPr>
        <w:ind w:left="90"/>
      </w:pPr>
      <w:r w:rsidRPr="00A5413E">
        <w:t xml:space="preserve">*Number of respondents (Column A) reflects a sample size assuming a </w:t>
      </w:r>
      <w:r w:rsidR="00754AF7">
        <w:t>75</w:t>
      </w:r>
      <w:r w:rsidRPr="00A5413E">
        <w:t>% response rate for th</w:t>
      </w:r>
      <w:r>
        <w:t>is</w:t>
      </w:r>
      <w:r w:rsidRPr="00A5413E">
        <w:t xml:space="preserve"> data collection effort.</w:t>
      </w:r>
    </w:p>
    <w:p w14:paraId="330EC201" w14:textId="77777777" w:rsidR="004A4612" w:rsidRDefault="004A4612" w:rsidP="004A4612">
      <w:pPr>
        <w:rPr>
          <w:spacing w:val="6"/>
        </w:rPr>
      </w:pPr>
    </w:p>
    <w:p w14:paraId="58357628" w14:textId="4A2F2E02" w:rsidR="004A4612" w:rsidRDefault="004A4612" w:rsidP="004A4612">
      <w:pPr>
        <w:tabs>
          <w:tab w:val="left" w:pos="90"/>
        </w:tabs>
        <w:ind w:left="90"/>
      </w:pPr>
      <w:r w:rsidRPr="00B6114A">
        <w:rPr>
          <w:spacing w:val="6"/>
        </w:rPr>
        <w:t xml:space="preserve">Exhibit 2, below, presents the estimated annualized cost burden associated with the respondents’ time to participate in this research. </w:t>
      </w:r>
      <w:r w:rsidRPr="00B6114A">
        <w:t>The total cost burden is estimated to be about $</w:t>
      </w:r>
      <w:r w:rsidR="00CA1417">
        <w:t>88</w:t>
      </w:r>
      <w:r w:rsidR="00747205">
        <w:t>,</w:t>
      </w:r>
      <w:r w:rsidR="00CA1417">
        <w:t>857</w:t>
      </w:r>
      <w:r w:rsidRPr="00B6114A">
        <w:t xml:space="preserve">. </w:t>
      </w:r>
    </w:p>
    <w:p w14:paraId="28D2C16B" w14:textId="77777777" w:rsidR="00E34A39" w:rsidRDefault="00E34A39" w:rsidP="004A4612">
      <w:pPr>
        <w:tabs>
          <w:tab w:val="left" w:pos="90"/>
        </w:tabs>
        <w:ind w:left="90"/>
      </w:pPr>
    </w:p>
    <w:p w14:paraId="3852DFA4" w14:textId="77777777" w:rsidR="00E34A39" w:rsidRDefault="00E34A39" w:rsidP="004A4612">
      <w:pPr>
        <w:tabs>
          <w:tab w:val="left" w:pos="90"/>
        </w:tabs>
        <w:ind w:left="90"/>
      </w:pPr>
    </w:p>
    <w:p w14:paraId="5E5A7224" w14:textId="77777777" w:rsidR="00E34A39" w:rsidRPr="00B6114A" w:rsidRDefault="00E34A39" w:rsidP="004A4612">
      <w:pPr>
        <w:tabs>
          <w:tab w:val="left" w:pos="90"/>
        </w:tabs>
        <w:ind w:left="90"/>
        <w:rPr>
          <w:spacing w:val="6"/>
        </w:rPr>
      </w:pPr>
    </w:p>
    <w:p w14:paraId="1602B58D" w14:textId="77777777" w:rsidR="004A4612" w:rsidRPr="00B6114A" w:rsidRDefault="004A4612" w:rsidP="004A4612">
      <w:pPr>
        <w:tabs>
          <w:tab w:val="left" w:pos="90"/>
        </w:tabs>
        <w:ind w:left="90"/>
      </w:pPr>
    </w:p>
    <w:p w14:paraId="00FB8D9C" w14:textId="77777777" w:rsidR="004A4612" w:rsidRPr="00B6114A" w:rsidRDefault="004A4612" w:rsidP="004A4612">
      <w:pPr>
        <w:tabs>
          <w:tab w:val="left" w:pos="90"/>
        </w:tabs>
        <w:ind w:left="90"/>
        <w:rPr>
          <w:b/>
        </w:rPr>
      </w:pPr>
      <w:r w:rsidRPr="00B6114A">
        <w:rPr>
          <w:b/>
        </w:rPr>
        <w:t>Exhibit 2. Estimated annualized cost burden</w:t>
      </w:r>
    </w:p>
    <w:tbl>
      <w:tblPr>
        <w:tblW w:w="10080" w:type="dxa"/>
        <w:tblInd w:w="108" w:type="dxa"/>
        <w:tblLayout w:type="fixed"/>
        <w:tblCellMar>
          <w:left w:w="0" w:type="dxa"/>
          <w:right w:w="0" w:type="dxa"/>
        </w:tblCellMar>
        <w:tblLook w:val="0000" w:firstRow="0" w:lastRow="0" w:firstColumn="0" w:lastColumn="0" w:noHBand="0" w:noVBand="0"/>
      </w:tblPr>
      <w:tblGrid>
        <w:gridCol w:w="3979"/>
        <w:gridCol w:w="1457"/>
        <w:gridCol w:w="1758"/>
        <w:gridCol w:w="1418"/>
        <w:gridCol w:w="1468"/>
      </w:tblGrid>
      <w:tr w:rsidR="004A4612" w:rsidRPr="00A5413E" w14:paraId="27526D5E" w14:textId="77777777" w:rsidTr="001D5AA5">
        <w:tc>
          <w:tcPr>
            <w:tcW w:w="39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7453AA" w14:textId="77777777" w:rsidR="004A4612" w:rsidRPr="00A5413E" w:rsidRDefault="004A4612" w:rsidP="00375E6A">
            <w:pPr>
              <w:jc w:val="center"/>
              <w:rPr>
                <w:b/>
              </w:rPr>
            </w:pPr>
            <w:r w:rsidRPr="00A5413E">
              <w:rPr>
                <w:b/>
              </w:rPr>
              <w:t>Data Collection Method or Project Activity</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BA913B" w14:textId="77777777" w:rsidR="004A4612" w:rsidRPr="00A5413E" w:rsidRDefault="004A4612" w:rsidP="00375E6A">
            <w:pPr>
              <w:jc w:val="center"/>
              <w:rPr>
                <w:b/>
              </w:rPr>
            </w:pPr>
            <w:r w:rsidRPr="00A5413E">
              <w:rPr>
                <w:b/>
                <w:color w:val="000000"/>
              </w:rPr>
              <w:t>Number of respondents</w:t>
            </w:r>
          </w:p>
        </w:tc>
        <w:tc>
          <w:tcPr>
            <w:tcW w:w="17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6235A9" w14:textId="77777777" w:rsidR="004A4612" w:rsidRPr="00A5413E" w:rsidRDefault="004A4612" w:rsidP="00375E6A">
            <w:pPr>
              <w:jc w:val="center"/>
              <w:rPr>
                <w:b/>
              </w:rPr>
            </w:pPr>
            <w:r w:rsidRPr="00A5413E">
              <w:rPr>
                <w:b/>
                <w:color w:val="000000"/>
              </w:rPr>
              <w:t>Total burden hours</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B17B33" w14:textId="77777777" w:rsidR="004A4612" w:rsidRPr="00A5413E" w:rsidRDefault="004A4612" w:rsidP="00375E6A">
            <w:pPr>
              <w:jc w:val="center"/>
              <w:rPr>
                <w:b/>
              </w:rPr>
            </w:pPr>
            <w:r w:rsidRPr="00A5413E">
              <w:rPr>
                <w:b/>
                <w:color w:val="000000"/>
              </w:rPr>
              <w:t>Average hourly wage rate*</w:t>
            </w:r>
          </w:p>
        </w:tc>
        <w:tc>
          <w:tcPr>
            <w:tcW w:w="14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D0261A" w14:textId="77777777" w:rsidR="004A4612" w:rsidRPr="00A5413E" w:rsidRDefault="004A4612" w:rsidP="00375E6A">
            <w:pPr>
              <w:jc w:val="center"/>
              <w:rPr>
                <w:b/>
              </w:rPr>
            </w:pPr>
            <w:r w:rsidRPr="00A5413E">
              <w:rPr>
                <w:b/>
                <w:color w:val="000000"/>
              </w:rPr>
              <w:t>Total cost burden</w:t>
            </w:r>
          </w:p>
        </w:tc>
      </w:tr>
      <w:tr w:rsidR="000927EA" w:rsidRPr="00A5413E" w14:paraId="34A3163B"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3A7249" w14:textId="77777777" w:rsidR="000927EA" w:rsidRPr="00A5413E" w:rsidRDefault="000927EA" w:rsidP="000927EA">
            <w:r>
              <w:t>1</w:t>
            </w:r>
            <w:r w:rsidRPr="00A5413E">
              <w:t>. Clinical Staff Survey</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3F2AC4" w14:textId="238FAAD6" w:rsidR="000927EA" w:rsidRPr="00A5413E" w:rsidRDefault="000927EA" w:rsidP="000927EA">
            <w:r>
              <w:t>525</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588FA5" w14:textId="5999965A" w:rsidR="000927EA" w:rsidRPr="00A5413E" w:rsidRDefault="000927EA" w:rsidP="000927EA">
            <w:r>
              <w:t>263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8BA342" w14:textId="469D2EB9" w:rsidR="000927EA" w:rsidRPr="00A5413E" w:rsidRDefault="000927EA" w:rsidP="000927EA">
            <w:r w:rsidRPr="00A5413E">
              <w:t>$</w:t>
            </w:r>
            <w:r w:rsidR="00671BFD">
              <w:t>9</w:t>
            </w:r>
            <w:r>
              <w:t>8</w:t>
            </w:r>
            <w:r w:rsidRPr="00A5413E">
              <w:t>.</w:t>
            </w:r>
            <w:r w:rsidR="00671BFD">
              <w:t>04</w:t>
            </w:r>
            <w:r w:rsidRPr="00A5413E">
              <w:t xml:space="preserve">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02C742" w14:textId="4FF92D3D" w:rsidR="000927EA" w:rsidRPr="00A5413E" w:rsidRDefault="000927EA" w:rsidP="000927EA">
            <w:r w:rsidRPr="00CF35E7">
              <w:t>$</w:t>
            </w:r>
            <w:r w:rsidR="00CA1417">
              <w:t>25</w:t>
            </w:r>
            <w:r>
              <w:t>,7</w:t>
            </w:r>
            <w:r w:rsidR="00CA1417">
              <w:t>85</w:t>
            </w:r>
          </w:p>
        </w:tc>
      </w:tr>
      <w:tr w:rsidR="000927EA" w:rsidRPr="00A5413E" w14:paraId="0E6AF657"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F989498" w14:textId="77777777" w:rsidR="000927EA" w:rsidRPr="00A5413E" w:rsidRDefault="000927EA" w:rsidP="000927EA">
            <w:pPr>
              <w:ind w:left="-18"/>
              <w:jc w:val="both"/>
              <w:rPr>
                <w:bCs/>
                <w:color w:val="000000"/>
              </w:rPr>
            </w:pPr>
            <w:r>
              <w:t>2</w:t>
            </w:r>
            <w:r w:rsidRPr="00A5413E">
              <w:t xml:space="preserve">a. </w:t>
            </w:r>
            <w:r>
              <w:t xml:space="preserve">Staff </w:t>
            </w:r>
            <w:r w:rsidRPr="00A5413E">
              <w:t xml:space="preserve">Interview – </w:t>
            </w:r>
            <w:r>
              <w:t>QI Lead</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899024" w14:textId="0A000BD4" w:rsidR="000927EA" w:rsidRPr="00A5413E" w:rsidRDefault="000927EA" w:rsidP="000927EA">
            <w:r w:rsidRPr="00CF35E7">
              <w:t>1</w:t>
            </w:r>
            <w:r>
              <w:t>2</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6B97E8" w14:textId="3ED278D7" w:rsidR="000927EA" w:rsidRPr="00A5413E" w:rsidRDefault="000927EA" w:rsidP="000927EA">
            <w:r>
              <w:t>24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AF8F85" w14:textId="5D4F289A" w:rsidR="000927EA" w:rsidRPr="00A5413E" w:rsidRDefault="000927EA" w:rsidP="000927EA">
            <w:r w:rsidRPr="00A5413E">
              <w:t>$</w:t>
            </w:r>
            <w:r w:rsidR="00671BFD">
              <w:t>109</w:t>
            </w:r>
            <w:r w:rsidRPr="00A5413E">
              <w:t>.</w:t>
            </w:r>
            <w:r w:rsidR="00671BFD">
              <w:t>36</w:t>
            </w:r>
            <w:r w:rsidRPr="00A5413E">
              <w:t xml:space="preserve">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21E56A" w14:textId="40D58897" w:rsidR="000927EA" w:rsidRPr="00A5413E" w:rsidRDefault="000927EA" w:rsidP="000927EA">
            <w:r w:rsidRPr="00CF35E7">
              <w:t>$</w:t>
            </w:r>
            <w:r w:rsidR="00CA1417">
              <w:t>2,625</w:t>
            </w:r>
          </w:p>
        </w:tc>
      </w:tr>
      <w:tr w:rsidR="000927EA" w:rsidRPr="00A5413E" w14:paraId="2A79DB61"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79318F" w14:textId="77777777" w:rsidR="000927EA" w:rsidRPr="00A5413E" w:rsidRDefault="000927EA" w:rsidP="000927EA">
            <w:r>
              <w:rPr>
                <w:bCs/>
                <w:color w:val="000000"/>
              </w:rPr>
              <w:t>2</w:t>
            </w:r>
            <w:r w:rsidRPr="00A5413E">
              <w:rPr>
                <w:bCs/>
                <w:color w:val="000000"/>
              </w:rPr>
              <w:t xml:space="preserve">b. </w:t>
            </w:r>
            <w:r>
              <w:rPr>
                <w:bCs/>
                <w:color w:val="000000"/>
              </w:rPr>
              <w:t xml:space="preserve">Staff </w:t>
            </w:r>
            <w:r w:rsidRPr="00A5413E">
              <w:rPr>
                <w:bCs/>
                <w:color w:val="000000"/>
              </w:rPr>
              <w:t xml:space="preserve">Interview – </w:t>
            </w:r>
            <w:r>
              <w:rPr>
                <w:bCs/>
                <w:color w:val="000000"/>
              </w:rPr>
              <w:t>Additional Staff</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6F1F81" w14:textId="6941D6D5" w:rsidR="000927EA" w:rsidRPr="00A5413E" w:rsidRDefault="000927EA" w:rsidP="000927EA">
            <w:r>
              <w:t>48</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18688F" w14:textId="1DDBA4B7" w:rsidR="000927EA" w:rsidRPr="00A5413E" w:rsidRDefault="000927EA" w:rsidP="000927EA">
            <w:r>
              <w:t>96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7027D7" w14:textId="42643F3F" w:rsidR="000927EA" w:rsidRPr="00A5413E" w:rsidRDefault="000927EA" w:rsidP="000927EA">
            <w:r w:rsidRPr="00A5413E">
              <w:t>$</w:t>
            </w:r>
            <w:r w:rsidR="00CA1417">
              <w:t>78</w:t>
            </w:r>
            <w:r w:rsidRPr="00A5413E">
              <w:t>.</w:t>
            </w:r>
            <w:r>
              <w:t>8</w:t>
            </w:r>
            <w:r w:rsidR="00CA1417">
              <w:t>4</w:t>
            </w:r>
            <w:r w:rsidRPr="00A5413E">
              <w:t xml:space="preserve">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B5408B" w14:textId="66508069" w:rsidR="000927EA" w:rsidRPr="00A5413E" w:rsidRDefault="000927EA" w:rsidP="000927EA">
            <w:r w:rsidRPr="00CF35E7">
              <w:t>$</w:t>
            </w:r>
            <w:r w:rsidR="00CA1417">
              <w:t>7</w:t>
            </w:r>
            <w:r>
              <w:t>,</w:t>
            </w:r>
            <w:r w:rsidR="00CA1417">
              <w:t>569</w:t>
            </w:r>
            <w:r w:rsidRPr="00CF35E7">
              <w:t xml:space="preserve"> </w:t>
            </w:r>
          </w:p>
        </w:tc>
      </w:tr>
      <w:tr w:rsidR="000927EA" w:rsidRPr="00A5413E" w14:paraId="1A8D4792"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E1EBA3" w14:textId="77777777" w:rsidR="000927EA" w:rsidRDefault="000927EA" w:rsidP="000927EA">
            <w:pPr>
              <w:rPr>
                <w:bCs/>
                <w:color w:val="000000"/>
              </w:rPr>
            </w:pPr>
            <w:r>
              <w:rPr>
                <w:bCs/>
                <w:color w:val="000000"/>
              </w:rPr>
              <w:t>3. Virtual Launch Meeting</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19860F" w14:textId="282E055C" w:rsidR="000927EA" w:rsidRDefault="000927EA" w:rsidP="000927EA">
            <w:r w:rsidRPr="00CF35E7">
              <w:t>1</w:t>
            </w:r>
            <w:r>
              <w:t>2</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38CFFB" w14:textId="0890632E" w:rsidR="000927EA" w:rsidRDefault="000927EA" w:rsidP="000927EA">
            <w:r>
              <w:t>24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8FA48D" w14:textId="38AA6998" w:rsidR="000927EA" w:rsidRPr="00A5413E" w:rsidRDefault="000927EA" w:rsidP="000927EA">
            <w:r w:rsidRPr="00A5413E">
              <w:t>$</w:t>
            </w:r>
            <w:r w:rsidR="00671BFD">
              <w:t>109</w:t>
            </w:r>
            <w:r w:rsidRPr="00A5413E">
              <w:t>.</w:t>
            </w:r>
            <w:r w:rsidR="00671BFD">
              <w:t>36</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A8A34C" w14:textId="642F8B04" w:rsidR="000927EA" w:rsidRPr="00A5413E" w:rsidRDefault="000927EA" w:rsidP="000927EA">
            <w:r w:rsidRPr="00CF35E7">
              <w:t>$</w:t>
            </w:r>
            <w:r w:rsidR="00CA1417">
              <w:t>2</w:t>
            </w:r>
            <w:r>
              <w:t>,</w:t>
            </w:r>
            <w:r w:rsidR="00CA1417">
              <w:t>625</w:t>
            </w:r>
          </w:p>
        </w:tc>
      </w:tr>
      <w:tr w:rsidR="000927EA" w:rsidRPr="00A5413E" w14:paraId="4B54813D"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FF5EEB" w14:textId="32993D98" w:rsidR="000927EA" w:rsidRDefault="000927EA" w:rsidP="000927EA">
            <w:pPr>
              <w:rPr>
                <w:bCs/>
                <w:color w:val="000000"/>
              </w:rPr>
            </w:pPr>
            <w:r>
              <w:rPr>
                <w:bCs/>
                <w:color w:val="000000"/>
              </w:rPr>
              <w:t>4. Quarterly Check-In Calls</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E934AA" w14:textId="0B5BFD69" w:rsidR="000927EA" w:rsidRPr="00A5413E" w:rsidRDefault="000927EA" w:rsidP="000927EA">
            <w:r>
              <w:t>36</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89628B1" w14:textId="47AA5E44" w:rsidR="000927EA" w:rsidRPr="00A5413E" w:rsidRDefault="000927EA" w:rsidP="000927EA">
            <w:r>
              <w:t>180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A3B3FE" w14:textId="6B07BEFA" w:rsidR="000927EA" w:rsidRPr="00A5413E" w:rsidRDefault="000927EA" w:rsidP="000927EA">
            <w:r w:rsidRPr="00A5413E">
              <w:t>$</w:t>
            </w:r>
            <w:r w:rsidR="00CA1417">
              <w:t>78</w:t>
            </w:r>
            <w:r w:rsidRPr="00A5413E">
              <w:t>.</w:t>
            </w:r>
            <w:r w:rsidR="00CA1417">
              <w:t>84</w:t>
            </w:r>
            <w:r w:rsidRPr="00A5413E">
              <w:t xml:space="preserve">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3CD8C3" w14:textId="7B9DE9FA" w:rsidR="000927EA" w:rsidRPr="00A5413E" w:rsidRDefault="000927EA" w:rsidP="000927EA">
            <w:r>
              <w:t>$</w:t>
            </w:r>
            <w:r w:rsidR="00CA1417">
              <w:t>14</w:t>
            </w:r>
            <w:r>
              <w:t>,</w:t>
            </w:r>
            <w:r w:rsidR="00CA1417">
              <w:t>191</w:t>
            </w:r>
          </w:p>
        </w:tc>
      </w:tr>
      <w:tr w:rsidR="000927EA" w:rsidRPr="00A5413E" w14:paraId="347E338F"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EED72F" w14:textId="3C542EE3" w:rsidR="000927EA" w:rsidRPr="008F28ED" w:rsidRDefault="000927EA" w:rsidP="000927EA">
            <w:pPr>
              <w:rPr>
                <w:bCs/>
                <w:color w:val="000000"/>
              </w:rPr>
            </w:pPr>
            <w:r>
              <w:rPr>
                <w:bCs/>
                <w:color w:val="000000"/>
              </w:rPr>
              <w:t>5</w:t>
            </w:r>
            <w:r w:rsidRPr="00A5413E">
              <w:rPr>
                <w:bCs/>
                <w:color w:val="000000"/>
              </w:rPr>
              <w:t xml:space="preserve">. </w:t>
            </w:r>
            <w:r>
              <w:rPr>
                <w:bCs/>
                <w:color w:val="000000"/>
              </w:rPr>
              <w:t>QI Measures – develop system</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C1C744" w14:textId="4799D511" w:rsidR="000927EA" w:rsidRPr="00A5413E" w:rsidRDefault="000927EA" w:rsidP="000927EA">
            <w:r w:rsidRPr="00CF35E7">
              <w:t>1</w:t>
            </w:r>
            <w:r>
              <w:t>2</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066774" w14:textId="738FC3CA" w:rsidR="000927EA" w:rsidRPr="00A5413E" w:rsidRDefault="000927EA" w:rsidP="000927EA">
            <w:r>
              <w:t>240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BB8868" w14:textId="7344D869" w:rsidR="000927EA" w:rsidRPr="00A5413E" w:rsidRDefault="000927EA" w:rsidP="000927EA">
            <w:r>
              <w:t>$</w:t>
            </w:r>
            <w:r w:rsidR="00CA1417">
              <w:t>42</w:t>
            </w:r>
            <w:r>
              <w:t>.</w:t>
            </w:r>
            <w:r w:rsidR="00CA1417">
              <w:t>32</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6CF19E" w14:textId="355F876D" w:rsidR="000927EA" w:rsidRPr="00A5413E" w:rsidRDefault="000927EA" w:rsidP="000927EA">
            <w:r>
              <w:t>$</w:t>
            </w:r>
            <w:r w:rsidR="00CA1417">
              <w:t>10</w:t>
            </w:r>
            <w:r>
              <w:t>,</w:t>
            </w:r>
            <w:r w:rsidR="00CA1417">
              <w:t>157</w:t>
            </w:r>
          </w:p>
        </w:tc>
      </w:tr>
      <w:tr w:rsidR="000927EA" w:rsidRPr="00A5413E" w14:paraId="317FD738"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C27FDC" w14:textId="3AE5DC71" w:rsidR="000927EA" w:rsidRDefault="000927EA" w:rsidP="000927EA">
            <w:pPr>
              <w:rPr>
                <w:bCs/>
                <w:color w:val="000000"/>
              </w:rPr>
            </w:pPr>
            <w:r>
              <w:rPr>
                <w:bCs/>
                <w:color w:val="000000"/>
              </w:rPr>
              <w:t>5</w:t>
            </w:r>
            <w:r w:rsidRPr="00A5413E">
              <w:rPr>
                <w:bCs/>
                <w:color w:val="000000"/>
              </w:rPr>
              <w:t xml:space="preserve">. </w:t>
            </w:r>
            <w:r>
              <w:rPr>
                <w:bCs/>
                <w:color w:val="000000"/>
              </w:rPr>
              <w:t>QI Measures – pull reports</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AFE76D" w14:textId="47BED0D9" w:rsidR="000927EA" w:rsidRPr="00CF35E7" w:rsidRDefault="000927EA" w:rsidP="000927EA">
            <w:r>
              <w:t>12</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4E0588" w14:textId="06B48D7B" w:rsidR="000927EA" w:rsidRDefault="000927EA" w:rsidP="000927EA">
            <w:r>
              <w:t>240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371072" w14:textId="6D5B7A87" w:rsidR="000927EA" w:rsidRDefault="000927EA" w:rsidP="000927EA">
            <w:r>
              <w:t>$</w:t>
            </w:r>
            <w:r w:rsidR="00CA1417">
              <w:t>42</w:t>
            </w:r>
            <w:r>
              <w:t>.</w:t>
            </w:r>
            <w:r w:rsidR="00CA1417">
              <w:t>32</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7E9751" w14:textId="4D010766" w:rsidR="000927EA" w:rsidRPr="00CF35E7" w:rsidRDefault="000927EA" w:rsidP="000927EA">
            <w:r>
              <w:t>$</w:t>
            </w:r>
            <w:r w:rsidR="00CA1417">
              <w:t>10</w:t>
            </w:r>
            <w:r>
              <w:t>,</w:t>
            </w:r>
            <w:r w:rsidR="00CA1417">
              <w:t>157</w:t>
            </w:r>
          </w:p>
        </w:tc>
      </w:tr>
      <w:tr w:rsidR="000927EA" w:rsidRPr="00A5413E" w14:paraId="0AD3FF91"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CC3D9" w14:textId="77777777" w:rsidR="000927EA" w:rsidRPr="00A5413E" w:rsidRDefault="000927EA" w:rsidP="000927EA">
            <w:r>
              <w:rPr>
                <w:bCs/>
                <w:color w:val="000000"/>
              </w:rPr>
              <w:t>6</w:t>
            </w:r>
            <w:r w:rsidRPr="00A5413E">
              <w:rPr>
                <w:bCs/>
                <w:color w:val="000000"/>
              </w:rPr>
              <w:t>. Secondary data</w:t>
            </w:r>
            <w:r>
              <w:rPr>
                <w:bCs/>
                <w:color w:val="000000"/>
              </w:rPr>
              <w:t xml:space="preserve">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423FEF" w14:textId="658D81DB" w:rsidR="000927EA" w:rsidRDefault="000927EA" w:rsidP="000927EA">
            <w:r w:rsidRPr="00CF35E7">
              <w:t>1</w:t>
            </w:r>
            <w:r>
              <w:t>2</w:t>
            </w:r>
          </w:p>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9BA770" w14:textId="00BBA0D4" w:rsidR="000927EA" w:rsidRDefault="000927EA" w:rsidP="000927EA">
            <w:r>
              <w:t>144</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735804" w14:textId="14C00119" w:rsidR="000927EA" w:rsidRPr="00A5413E" w:rsidRDefault="000927EA" w:rsidP="000927EA">
            <w:r w:rsidRPr="00A5413E">
              <w:t>$</w:t>
            </w:r>
            <w:r w:rsidR="00671BFD">
              <w:t>109</w:t>
            </w:r>
            <w:r>
              <w:t>.</w:t>
            </w:r>
            <w:r w:rsidR="00671BFD">
              <w:t>36</w:t>
            </w:r>
            <w:r w:rsidRPr="00A5413E">
              <w:t xml:space="preserve">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04739D" w14:textId="2A18630C" w:rsidR="000927EA" w:rsidRPr="00A5413E" w:rsidRDefault="000927EA" w:rsidP="000927EA">
            <w:r>
              <w:t>$</w:t>
            </w:r>
            <w:r w:rsidR="00CA1417">
              <w:t>15</w:t>
            </w:r>
            <w:r>
              <w:t>,7</w:t>
            </w:r>
            <w:r w:rsidR="00CA1417">
              <w:t>48</w:t>
            </w:r>
          </w:p>
        </w:tc>
      </w:tr>
      <w:tr w:rsidR="00747205" w:rsidRPr="00A5413E" w14:paraId="67261674" w14:textId="77777777" w:rsidTr="001D5AA5">
        <w:tc>
          <w:tcPr>
            <w:tcW w:w="3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0013A1" w14:textId="77777777" w:rsidR="00747205" w:rsidRPr="00A5413E" w:rsidRDefault="00747205" w:rsidP="00747205">
            <w:r w:rsidRPr="00A5413E">
              <w:rPr>
                <w:b/>
                <w:bCs/>
                <w:color w:val="000000"/>
              </w:rPr>
              <w:t>Total</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FDB292" w14:textId="77777777" w:rsidR="00747205" w:rsidRPr="00A5413E" w:rsidRDefault="00747205" w:rsidP="00747205"/>
        </w:tc>
        <w:tc>
          <w:tcPr>
            <w:tcW w:w="175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B875E4" w14:textId="77777777" w:rsidR="00747205" w:rsidRPr="00A5413E" w:rsidRDefault="00747205" w:rsidP="00747205"/>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8F770E" w14:textId="77777777" w:rsidR="00747205" w:rsidRPr="00A5413E" w:rsidRDefault="00747205" w:rsidP="00747205"/>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D73C04" w14:textId="052837A5" w:rsidR="00747205" w:rsidRPr="00A5413E" w:rsidRDefault="000927EA" w:rsidP="00747205">
            <w:r>
              <w:t>$</w:t>
            </w:r>
            <w:r w:rsidR="00CA1417">
              <w:t>88</w:t>
            </w:r>
            <w:r>
              <w:t>,</w:t>
            </w:r>
            <w:r w:rsidR="00CA1417">
              <w:t>857</w:t>
            </w:r>
          </w:p>
        </w:tc>
      </w:tr>
    </w:tbl>
    <w:p w14:paraId="3B385867" w14:textId="1CC70E70" w:rsidR="004A4612" w:rsidRDefault="004A4612" w:rsidP="004A4612">
      <w:pPr>
        <w:tabs>
          <w:tab w:val="left" w:pos="180"/>
        </w:tabs>
        <w:ind w:left="180" w:hanging="180"/>
        <w:rPr>
          <w:color w:val="000000"/>
        </w:rPr>
      </w:pPr>
      <w:r w:rsidRPr="00A5413E">
        <w:rPr>
          <w:color w:val="000000"/>
        </w:rPr>
        <w:t xml:space="preserve"> </w:t>
      </w:r>
      <w:r w:rsidRPr="00A5413E">
        <w:rPr>
          <w:color w:val="000000"/>
        </w:rPr>
        <w:br/>
        <w:t>The average hourly rate of $</w:t>
      </w:r>
      <w:r w:rsidR="00671BFD">
        <w:rPr>
          <w:color w:val="000000"/>
        </w:rPr>
        <w:t>98</w:t>
      </w:r>
      <w:r w:rsidRPr="00A5413E">
        <w:rPr>
          <w:color w:val="000000"/>
        </w:rPr>
        <w:t>.</w:t>
      </w:r>
      <w:r w:rsidR="00671BFD">
        <w:rPr>
          <w:color w:val="000000"/>
        </w:rPr>
        <w:t>04</w:t>
      </w:r>
      <w:r w:rsidRPr="00A5413E">
        <w:rPr>
          <w:color w:val="000000"/>
        </w:rPr>
        <w:t xml:space="preserve"> </w:t>
      </w:r>
      <w:r>
        <w:rPr>
          <w:color w:val="000000"/>
        </w:rPr>
        <w:t>for the clinical staff survey</w:t>
      </w:r>
      <w:r w:rsidRPr="00A5413E">
        <w:rPr>
          <w:color w:val="000000"/>
        </w:rPr>
        <w:t xml:space="preserve"> was calculated based on the 201</w:t>
      </w:r>
      <w:r w:rsidR="00671BFD">
        <w:rPr>
          <w:color w:val="000000"/>
        </w:rPr>
        <w:t>8</w:t>
      </w:r>
      <w:r w:rsidRPr="00A5413E">
        <w:rPr>
          <w:color w:val="000000"/>
        </w:rPr>
        <w:t xml:space="preserve"> mean hourly wage rate for health</w:t>
      </w:r>
      <w:r>
        <w:rPr>
          <w:color w:val="000000"/>
        </w:rPr>
        <w:t xml:space="preserve"> diagnosing and treating practitioners</w:t>
      </w:r>
      <w:r w:rsidRPr="00A5413E">
        <w:rPr>
          <w:color w:val="000000"/>
        </w:rPr>
        <w:t>, $</w:t>
      </w:r>
      <w:r>
        <w:rPr>
          <w:color w:val="000000"/>
        </w:rPr>
        <w:t>4</w:t>
      </w:r>
      <w:r w:rsidR="00671BFD">
        <w:rPr>
          <w:color w:val="000000"/>
        </w:rPr>
        <w:t>9</w:t>
      </w:r>
      <w:r w:rsidRPr="00A5413E">
        <w:rPr>
          <w:color w:val="000000"/>
        </w:rPr>
        <w:t>.</w:t>
      </w:r>
      <w:r w:rsidR="00671BFD">
        <w:rPr>
          <w:color w:val="000000"/>
        </w:rPr>
        <w:t>02</w:t>
      </w:r>
      <w:r>
        <w:rPr>
          <w:color w:val="000000"/>
        </w:rPr>
        <w:t xml:space="preserve"> (occupation code 29-1000)</w:t>
      </w:r>
      <w:r w:rsidR="00671BFD">
        <w:rPr>
          <w:color w:val="000000"/>
        </w:rPr>
        <w:t>, doubled to account for employer overhead and fringe benefits</w:t>
      </w:r>
      <w:r w:rsidRPr="00A5413E">
        <w:rPr>
          <w:color w:val="000000"/>
        </w:rPr>
        <w:t xml:space="preserve">. </w:t>
      </w:r>
      <w:r w:rsidRPr="00A5413E">
        <w:rPr>
          <w:color w:val="000000"/>
        </w:rPr>
        <w:br/>
      </w:r>
      <w:r w:rsidRPr="00A5413E">
        <w:rPr>
          <w:color w:val="000000"/>
        </w:rPr>
        <w:br/>
        <w:t>The average hourly rate of $</w:t>
      </w:r>
      <w:r w:rsidR="00671BFD">
        <w:rPr>
          <w:color w:val="000000"/>
        </w:rPr>
        <w:t>109</w:t>
      </w:r>
      <w:r w:rsidRPr="00A5413E">
        <w:rPr>
          <w:color w:val="000000"/>
        </w:rPr>
        <w:t>.</w:t>
      </w:r>
      <w:r w:rsidR="00671BFD">
        <w:rPr>
          <w:color w:val="000000"/>
        </w:rPr>
        <w:t>36</w:t>
      </w:r>
      <w:r w:rsidRPr="00A5413E">
        <w:rPr>
          <w:color w:val="000000"/>
        </w:rPr>
        <w:t xml:space="preserve"> for </w:t>
      </w:r>
      <w:r>
        <w:rPr>
          <w:color w:val="000000"/>
        </w:rPr>
        <w:t>QI</w:t>
      </w:r>
      <w:r w:rsidRPr="00A5413E">
        <w:rPr>
          <w:color w:val="000000"/>
        </w:rPr>
        <w:t xml:space="preserve"> lead</w:t>
      </w:r>
      <w:r>
        <w:rPr>
          <w:color w:val="000000"/>
        </w:rPr>
        <w:t xml:space="preserve"> </w:t>
      </w:r>
      <w:r w:rsidRPr="00A5413E">
        <w:rPr>
          <w:color w:val="000000"/>
        </w:rPr>
        <w:t>i</w:t>
      </w:r>
      <w:r>
        <w:rPr>
          <w:color w:val="000000"/>
        </w:rPr>
        <w:t>nterviews</w:t>
      </w:r>
      <w:r w:rsidRPr="00A5413E">
        <w:rPr>
          <w:color w:val="000000"/>
        </w:rPr>
        <w:t xml:space="preserve"> was calculated based on the 201</w:t>
      </w:r>
      <w:r w:rsidR="00671BFD">
        <w:rPr>
          <w:color w:val="000000"/>
        </w:rPr>
        <w:t>8</w:t>
      </w:r>
      <w:r w:rsidRPr="00A5413E">
        <w:rPr>
          <w:color w:val="000000"/>
        </w:rPr>
        <w:t xml:space="preserve"> mean hourly wage rate for medical and health services managers, $5</w:t>
      </w:r>
      <w:r w:rsidR="00671BFD">
        <w:rPr>
          <w:color w:val="000000"/>
        </w:rPr>
        <w:t>4</w:t>
      </w:r>
      <w:r w:rsidRPr="00A5413E">
        <w:rPr>
          <w:color w:val="000000"/>
        </w:rPr>
        <w:t>.</w:t>
      </w:r>
      <w:r>
        <w:rPr>
          <w:color w:val="000000"/>
        </w:rPr>
        <w:t>6</w:t>
      </w:r>
      <w:r w:rsidR="00671BFD">
        <w:rPr>
          <w:color w:val="000000"/>
        </w:rPr>
        <w:t>8</w:t>
      </w:r>
      <w:r>
        <w:rPr>
          <w:color w:val="000000"/>
        </w:rPr>
        <w:t xml:space="preserve"> (occupation code 11-9111)</w:t>
      </w:r>
      <w:r w:rsidR="00CA1417">
        <w:rPr>
          <w:color w:val="000000"/>
        </w:rPr>
        <w:t>, doubled to account for employer overhead and fringe benefits</w:t>
      </w:r>
      <w:r w:rsidRPr="00A5413E">
        <w:rPr>
          <w:color w:val="000000"/>
        </w:rPr>
        <w:t xml:space="preserve">. </w:t>
      </w:r>
      <w:r>
        <w:rPr>
          <w:color w:val="000000"/>
        </w:rPr>
        <w:t>The average hourly rate of $</w:t>
      </w:r>
      <w:r w:rsidR="00CA1417">
        <w:rPr>
          <w:color w:val="000000"/>
        </w:rPr>
        <w:t>78.84</w:t>
      </w:r>
      <w:r>
        <w:rPr>
          <w:color w:val="000000"/>
        </w:rPr>
        <w:t xml:space="preserve"> for staff interviews was calculated based on the 201</w:t>
      </w:r>
      <w:r w:rsidR="00671BFD">
        <w:rPr>
          <w:color w:val="000000"/>
        </w:rPr>
        <w:t>8</w:t>
      </w:r>
      <w:r>
        <w:rPr>
          <w:color w:val="000000"/>
        </w:rPr>
        <w:t xml:space="preserve"> mean hourly wage rate for </w:t>
      </w:r>
      <w:r w:rsidRPr="00A5413E">
        <w:rPr>
          <w:color w:val="000000"/>
        </w:rPr>
        <w:t xml:space="preserve">healthcare practitioners and </w:t>
      </w:r>
      <w:r>
        <w:rPr>
          <w:color w:val="000000"/>
        </w:rPr>
        <w:t>technical</w:t>
      </w:r>
      <w:r w:rsidRPr="00A5413E">
        <w:rPr>
          <w:color w:val="000000"/>
        </w:rPr>
        <w:t xml:space="preserve"> occupations</w:t>
      </w:r>
      <w:r>
        <w:rPr>
          <w:color w:val="000000"/>
        </w:rPr>
        <w:t>, $3</w:t>
      </w:r>
      <w:r w:rsidR="00671BFD">
        <w:rPr>
          <w:color w:val="000000"/>
        </w:rPr>
        <w:t>9</w:t>
      </w:r>
      <w:r>
        <w:rPr>
          <w:color w:val="000000"/>
        </w:rPr>
        <w:t>.</w:t>
      </w:r>
      <w:r w:rsidR="00671BFD">
        <w:rPr>
          <w:color w:val="000000"/>
        </w:rPr>
        <w:t>42</w:t>
      </w:r>
      <w:r>
        <w:rPr>
          <w:color w:val="000000"/>
        </w:rPr>
        <w:t xml:space="preserve"> (occupation code 29-0000)</w:t>
      </w:r>
      <w:r w:rsidR="00CA1417">
        <w:rPr>
          <w:color w:val="000000"/>
        </w:rPr>
        <w:t>, doubled to account for employer overhead and fringe benefits</w:t>
      </w:r>
      <w:r>
        <w:rPr>
          <w:color w:val="000000"/>
        </w:rPr>
        <w:t>.</w:t>
      </w:r>
    </w:p>
    <w:p w14:paraId="7BA42F59" w14:textId="77777777" w:rsidR="004A4612" w:rsidRDefault="004A4612" w:rsidP="004A4612">
      <w:pPr>
        <w:tabs>
          <w:tab w:val="left" w:pos="180"/>
        </w:tabs>
        <w:ind w:left="180" w:hanging="180"/>
        <w:rPr>
          <w:color w:val="000000"/>
        </w:rPr>
      </w:pPr>
    </w:p>
    <w:p w14:paraId="64B9518E" w14:textId="501A985C" w:rsidR="00CC6736" w:rsidRDefault="00CC6736" w:rsidP="004A4612">
      <w:pPr>
        <w:tabs>
          <w:tab w:val="left" w:pos="180"/>
        </w:tabs>
        <w:ind w:left="180"/>
        <w:rPr>
          <w:color w:val="000000"/>
        </w:rPr>
      </w:pPr>
      <w:r>
        <w:rPr>
          <w:color w:val="000000"/>
        </w:rPr>
        <w:t xml:space="preserve">The average hourly rate </w:t>
      </w:r>
      <w:r w:rsidRPr="00A5413E">
        <w:rPr>
          <w:color w:val="000000"/>
        </w:rPr>
        <w:t>of $</w:t>
      </w:r>
      <w:r w:rsidR="00CA1417">
        <w:rPr>
          <w:color w:val="000000"/>
        </w:rPr>
        <w:t>109</w:t>
      </w:r>
      <w:r w:rsidRPr="00A5413E">
        <w:rPr>
          <w:color w:val="000000"/>
        </w:rPr>
        <w:t>.</w:t>
      </w:r>
      <w:r w:rsidR="00CA1417">
        <w:rPr>
          <w:color w:val="000000"/>
        </w:rPr>
        <w:t>36</w:t>
      </w:r>
      <w:r w:rsidRPr="00A5413E">
        <w:rPr>
          <w:color w:val="000000"/>
        </w:rPr>
        <w:t xml:space="preserve"> for </w:t>
      </w:r>
      <w:r>
        <w:rPr>
          <w:color w:val="000000"/>
        </w:rPr>
        <w:t>the virtual launch meeting</w:t>
      </w:r>
      <w:r w:rsidRPr="00A5413E">
        <w:rPr>
          <w:color w:val="000000"/>
        </w:rPr>
        <w:t xml:space="preserve"> was calculated based on the 201</w:t>
      </w:r>
      <w:r w:rsidR="00671BFD">
        <w:rPr>
          <w:color w:val="000000"/>
        </w:rPr>
        <w:t>8</w:t>
      </w:r>
      <w:r w:rsidRPr="00A5413E">
        <w:rPr>
          <w:color w:val="000000"/>
        </w:rPr>
        <w:t xml:space="preserve"> mean hourly wage rate for medical and health services managers, $5</w:t>
      </w:r>
      <w:r w:rsidR="00671BFD">
        <w:rPr>
          <w:color w:val="000000"/>
        </w:rPr>
        <w:t>4</w:t>
      </w:r>
      <w:r w:rsidRPr="00A5413E">
        <w:rPr>
          <w:color w:val="000000"/>
        </w:rPr>
        <w:t>.</w:t>
      </w:r>
      <w:r>
        <w:rPr>
          <w:color w:val="000000"/>
        </w:rPr>
        <w:t>6</w:t>
      </w:r>
      <w:r w:rsidR="00671BFD">
        <w:rPr>
          <w:color w:val="000000"/>
        </w:rPr>
        <w:t>8</w:t>
      </w:r>
      <w:r>
        <w:rPr>
          <w:color w:val="000000"/>
        </w:rPr>
        <w:t xml:space="preserve"> (occupation code 11-9111)</w:t>
      </w:r>
      <w:r w:rsidR="00CA1417">
        <w:rPr>
          <w:color w:val="000000"/>
        </w:rPr>
        <w:t>, doubled to account for employer overhead and fringe benefits</w:t>
      </w:r>
      <w:r w:rsidRPr="00A5413E">
        <w:rPr>
          <w:color w:val="000000"/>
        </w:rPr>
        <w:t>.</w:t>
      </w:r>
    </w:p>
    <w:p w14:paraId="347AA7E7" w14:textId="77777777" w:rsidR="00CC6736" w:rsidRDefault="00CC6736" w:rsidP="004A4612">
      <w:pPr>
        <w:tabs>
          <w:tab w:val="left" w:pos="180"/>
        </w:tabs>
        <w:ind w:left="180"/>
        <w:rPr>
          <w:color w:val="000000"/>
        </w:rPr>
      </w:pPr>
    </w:p>
    <w:p w14:paraId="6088114C" w14:textId="398BC319" w:rsidR="00CC6736" w:rsidRDefault="00CC6736" w:rsidP="004A4612">
      <w:pPr>
        <w:tabs>
          <w:tab w:val="left" w:pos="180"/>
        </w:tabs>
        <w:ind w:left="180"/>
        <w:rPr>
          <w:color w:val="000000"/>
        </w:rPr>
      </w:pPr>
      <w:r w:rsidRPr="00A5413E">
        <w:rPr>
          <w:color w:val="000000"/>
        </w:rPr>
        <w:t>The average hourly wage rate of $</w:t>
      </w:r>
      <w:r w:rsidR="00CA1417">
        <w:rPr>
          <w:color w:val="000000"/>
        </w:rPr>
        <w:t>78</w:t>
      </w:r>
      <w:r>
        <w:rPr>
          <w:color w:val="000000"/>
        </w:rPr>
        <w:t>.</w:t>
      </w:r>
      <w:r w:rsidR="00CA1417">
        <w:rPr>
          <w:color w:val="000000"/>
        </w:rPr>
        <w:t>84</w:t>
      </w:r>
      <w:r w:rsidRPr="00A5413E">
        <w:rPr>
          <w:color w:val="000000"/>
        </w:rPr>
        <w:t xml:space="preserve"> for </w:t>
      </w:r>
      <w:r>
        <w:rPr>
          <w:color w:val="000000"/>
        </w:rPr>
        <w:t xml:space="preserve">quarterly check-in calls </w:t>
      </w:r>
      <w:r w:rsidRPr="00A5413E">
        <w:rPr>
          <w:color w:val="000000"/>
        </w:rPr>
        <w:t>was calculated based on the 201</w:t>
      </w:r>
      <w:r w:rsidR="00671BFD">
        <w:rPr>
          <w:color w:val="000000"/>
        </w:rPr>
        <w:t>8</w:t>
      </w:r>
      <w:r w:rsidRPr="00A5413E">
        <w:rPr>
          <w:color w:val="000000"/>
        </w:rPr>
        <w:t xml:space="preserve"> mean hourly wage rate for healthcare practitioners and </w:t>
      </w:r>
      <w:r>
        <w:rPr>
          <w:color w:val="000000"/>
        </w:rPr>
        <w:t>technical</w:t>
      </w:r>
      <w:r w:rsidRPr="00A5413E">
        <w:rPr>
          <w:color w:val="000000"/>
        </w:rPr>
        <w:t xml:space="preserve"> occupations</w:t>
      </w:r>
      <w:r>
        <w:rPr>
          <w:color w:val="000000"/>
        </w:rPr>
        <w:t>, $3</w:t>
      </w:r>
      <w:r w:rsidR="00671BFD">
        <w:rPr>
          <w:color w:val="000000"/>
        </w:rPr>
        <w:t>9</w:t>
      </w:r>
      <w:r>
        <w:rPr>
          <w:color w:val="000000"/>
        </w:rPr>
        <w:t>.</w:t>
      </w:r>
      <w:r w:rsidR="00671BFD">
        <w:rPr>
          <w:color w:val="000000"/>
        </w:rPr>
        <w:t>42</w:t>
      </w:r>
      <w:r>
        <w:rPr>
          <w:color w:val="000000"/>
        </w:rPr>
        <w:t xml:space="preserve"> (occupation code 29-0000)</w:t>
      </w:r>
      <w:r w:rsidR="00CA1417">
        <w:rPr>
          <w:color w:val="000000"/>
        </w:rPr>
        <w:t>, doubled to account for employer overhead and fringe benefits</w:t>
      </w:r>
      <w:r w:rsidRPr="00A5413E">
        <w:rPr>
          <w:color w:val="000000"/>
        </w:rPr>
        <w:t>.</w:t>
      </w:r>
    </w:p>
    <w:p w14:paraId="5F0C7C48" w14:textId="77777777" w:rsidR="00CC6736" w:rsidRDefault="00CC6736" w:rsidP="004A4612">
      <w:pPr>
        <w:tabs>
          <w:tab w:val="left" w:pos="180"/>
        </w:tabs>
        <w:ind w:left="180"/>
        <w:rPr>
          <w:color w:val="000000"/>
        </w:rPr>
      </w:pPr>
    </w:p>
    <w:p w14:paraId="7D08B0AB" w14:textId="63539C58" w:rsidR="004A4612" w:rsidRDefault="004A4612" w:rsidP="004A4612">
      <w:pPr>
        <w:tabs>
          <w:tab w:val="left" w:pos="180"/>
        </w:tabs>
        <w:ind w:left="180"/>
        <w:rPr>
          <w:color w:val="000000"/>
        </w:rPr>
      </w:pPr>
      <w:r>
        <w:rPr>
          <w:color w:val="000000"/>
        </w:rPr>
        <w:t>The average hourly rate of $</w:t>
      </w:r>
      <w:r w:rsidR="00CA1417">
        <w:rPr>
          <w:color w:val="000000"/>
        </w:rPr>
        <w:t>42.32</w:t>
      </w:r>
      <w:r>
        <w:rPr>
          <w:color w:val="000000"/>
        </w:rPr>
        <w:t xml:space="preserve"> for QI measures was calculated based on the 201</w:t>
      </w:r>
      <w:r w:rsidR="00671BFD">
        <w:rPr>
          <w:color w:val="000000"/>
        </w:rPr>
        <w:t>8</w:t>
      </w:r>
      <w:r>
        <w:rPr>
          <w:color w:val="000000"/>
        </w:rPr>
        <w:t xml:space="preserve"> mean hourly wage rate for medical records and health information technicians, $2</w:t>
      </w:r>
      <w:r w:rsidR="00671BFD">
        <w:rPr>
          <w:color w:val="000000"/>
        </w:rPr>
        <w:t>1</w:t>
      </w:r>
      <w:r>
        <w:rPr>
          <w:color w:val="000000"/>
        </w:rPr>
        <w:t>.</w:t>
      </w:r>
      <w:r w:rsidR="00671BFD">
        <w:rPr>
          <w:color w:val="000000"/>
        </w:rPr>
        <w:t>16</w:t>
      </w:r>
      <w:r>
        <w:rPr>
          <w:color w:val="000000"/>
        </w:rPr>
        <w:t xml:space="preserve"> (occupation code 29-2071)</w:t>
      </w:r>
      <w:r w:rsidR="00CA1417">
        <w:rPr>
          <w:color w:val="000000"/>
        </w:rPr>
        <w:t>, doubled to account for employer overhead and fringe benefits</w:t>
      </w:r>
      <w:r>
        <w:rPr>
          <w:color w:val="000000"/>
        </w:rPr>
        <w:t xml:space="preserve">. </w:t>
      </w:r>
    </w:p>
    <w:p w14:paraId="516E7A25" w14:textId="77777777" w:rsidR="004A4612" w:rsidRDefault="004A4612" w:rsidP="004A4612">
      <w:pPr>
        <w:tabs>
          <w:tab w:val="left" w:pos="180"/>
        </w:tabs>
        <w:ind w:left="180"/>
        <w:rPr>
          <w:color w:val="000000"/>
        </w:rPr>
      </w:pPr>
    </w:p>
    <w:p w14:paraId="1650B82F" w14:textId="42C403B0" w:rsidR="004A4612" w:rsidRPr="00A5413E" w:rsidRDefault="004A4612" w:rsidP="004A4612">
      <w:pPr>
        <w:tabs>
          <w:tab w:val="left" w:pos="180"/>
        </w:tabs>
        <w:ind w:left="180"/>
        <w:rPr>
          <w:color w:val="000000"/>
        </w:rPr>
      </w:pPr>
      <w:r>
        <w:rPr>
          <w:color w:val="000000"/>
        </w:rPr>
        <w:t>The average hourly rate of $</w:t>
      </w:r>
      <w:r w:rsidR="00CA1417">
        <w:rPr>
          <w:color w:val="000000"/>
        </w:rPr>
        <w:t>109</w:t>
      </w:r>
      <w:r>
        <w:rPr>
          <w:color w:val="000000"/>
        </w:rPr>
        <w:t>.</w:t>
      </w:r>
      <w:r w:rsidR="00CA1417">
        <w:rPr>
          <w:color w:val="000000"/>
        </w:rPr>
        <w:t>36</w:t>
      </w:r>
      <w:r>
        <w:rPr>
          <w:color w:val="000000"/>
        </w:rPr>
        <w:t xml:space="preserve"> for secondary data was calculated based on the 201</w:t>
      </w:r>
      <w:r w:rsidR="00671BFD">
        <w:rPr>
          <w:color w:val="000000"/>
        </w:rPr>
        <w:t>8</w:t>
      </w:r>
      <w:r>
        <w:rPr>
          <w:color w:val="000000"/>
        </w:rPr>
        <w:t xml:space="preserve"> mean hourly wage rate for medical and health services managers, $5</w:t>
      </w:r>
      <w:r w:rsidR="00671BFD">
        <w:rPr>
          <w:color w:val="000000"/>
        </w:rPr>
        <w:t>4</w:t>
      </w:r>
      <w:r>
        <w:rPr>
          <w:color w:val="000000"/>
        </w:rPr>
        <w:t>.6</w:t>
      </w:r>
      <w:r w:rsidR="00671BFD">
        <w:rPr>
          <w:color w:val="000000"/>
        </w:rPr>
        <w:t>8</w:t>
      </w:r>
      <w:r>
        <w:rPr>
          <w:color w:val="000000"/>
        </w:rPr>
        <w:t xml:space="preserve"> (occupation code 11-9111)</w:t>
      </w:r>
      <w:r w:rsidR="00CA1417">
        <w:rPr>
          <w:color w:val="000000"/>
        </w:rPr>
        <w:t>, doubled to account for employer overhead and fringe benefits</w:t>
      </w:r>
      <w:r>
        <w:rPr>
          <w:color w:val="000000"/>
        </w:rPr>
        <w:t>.</w:t>
      </w:r>
    </w:p>
    <w:p w14:paraId="31B69547" w14:textId="74CE48FB" w:rsidR="004A4612" w:rsidRPr="00A5413E" w:rsidRDefault="004A4612" w:rsidP="004A4612">
      <w:pPr>
        <w:ind w:left="180" w:firstLine="540"/>
        <w:outlineLvl w:val="0"/>
        <w:rPr>
          <w:b/>
          <w:bCs/>
        </w:rPr>
      </w:pPr>
      <w:r w:rsidRPr="00A5413E">
        <w:rPr>
          <w:color w:val="000000"/>
        </w:rPr>
        <w:br/>
      </w:r>
      <w:r w:rsidRPr="00A5413E">
        <w:t>Mean hourly wage rates for these groups of occupations were obtained from the Bureau of Labor &amp; Statistics on “Occupational Employment and Wages, May 201</w:t>
      </w:r>
      <w:r w:rsidR="00671BFD">
        <w:t>8</w:t>
      </w:r>
      <w:r w:rsidRPr="00A5413E">
        <w:t xml:space="preserve">” found at the following URL: </w:t>
      </w:r>
      <w:hyperlink r:id="rId11" w:anchor="b29-0000.htm" w:history="1">
        <w:r w:rsidRPr="00A5413E">
          <w:rPr>
            <w:color w:val="0000FF"/>
            <w:u w:val="single"/>
          </w:rPr>
          <w:t>http://www.bls.gov/oes/current/oes_nat.htm#b29-0000.htm</w:t>
        </w:r>
      </w:hyperlink>
    </w:p>
    <w:p w14:paraId="44899318" w14:textId="77777777" w:rsidR="00AA788A" w:rsidRPr="004A4612" w:rsidRDefault="0033343C" w:rsidP="004A4612">
      <w:pPr>
        <w:spacing w:after="240"/>
        <w:rPr>
          <w:rStyle w:val="Strong"/>
          <w:b w:val="0"/>
          <w:bCs w:val="0"/>
        </w:rPr>
      </w:pPr>
      <w:r>
        <w:t xml:space="preserve"> </w:t>
      </w:r>
    </w:p>
    <w:p w14:paraId="6CDCD270" w14:textId="77777777" w:rsidR="009B633D" w:rsidRPr="00412C6F" w:rsidRDefault="009B633D" w:rsidP="00E42494">
      <w:pPr>
        <w:pStyle w:val="Heading2"/>
        <w:rPr>
          <w:sz w:val="24"/>
        </w:rPr>
      </w:pPr>
      <w:bookmarkStart w:id="31" w:name="_Toc151782188"/>
      <w:bookmarkStart w:id="32" w:name="_Toc158526228"/>
      <w:r w:rsidRPr="00412C6F">
        <w:rPr>
          <w:sz w:val="24"/>
        </w:rPr>
        <w:t>13. Estimates of Annualized Respondent Capital and Maintenance Costs</w:t>
      </w:r>
      <w:bookmarkEnd w:id="31"/>
      <w:bookmarkEnd w:id="32"/>
    </w:p>
    <w:p w14:paraId="6E8200E8" w14:textId="77777777" w:rsidR="00E14FC3" w:rsidRDefault="00B762E0" w:rsidP="00C205C8">
      <w:pPr>
        <w:spacing w:before="120"/>
      </w:pPr>
      <w:r w:rsidRPr="006C45D0">
        <w:t xml:space="preserve">Capital and maintenance costs include the purchase of </w:t>
      </w:r>
      <w:r w:rsidR="00C205C8" w:rsidRPr="006C45D0">
        <w:t xml:space="preserve">equipment, </w:t>
      </w:r>
      <w:r w:rsidRPr="006C45D0">
        <w:t>computer</w:t>
      </w:r>
      <w:r w:rsidR="00C205C8" w:rsidRPr="006C45D0">
        <w:t>s or computer software or services, or storage facilities for records, as a result of complying with this data collection.</w:t>
      </w:r>
      <w:r w:rsidR="00FF6D85">
        <w:rPr>
          <w:i/>
        </w:rPr>
        <w:t xml:space="preserve"> </w:t>
      </w:r>
      <w:r w:rsidR="00C205C8">
        <w:t>T</w:t>
      </w:r>
      <w:r w:rsidR="0080612B">
        <w:t>here are no direct costs to respondents other than their time to participate in the study.</w:t>
      </w:r>
    </w:p>
    <w:p w14:paraId="0C69A59E" w14:textId="77777777" w:rsidR="00E14FC3" w:rsidRDefault="00E14FC3" w:rsidP="009B633D">
      <w:pPr>
        <w:spacing w:before="120"/>
        <w:jc w:val="both"/>
      </w:pPr>
    </w:p>
    <w:p w14:paraId="4C035013" w14:textId="77777777" w:rsidR="009B633D" w:rsidRDefault="009B633D" w:rsidP="009B633D">
      <w:pPr>
        <w:pStyle w:val="Heading2"/>
        <w:rPr>
          <w:sz w:val="24"/>
        </w:rPr>
      </w:pPr>
      <w:bookmarkStart w:id="33" w:name="_Toc58725299"/>
      <w:bookmarkStart w:id="34" w:name="_Toc151782189"/>
      <w:bookmarkStart w:id="35" w:name="_Toc158526229"/>
      <w:r w:rsidRPr="00412C6F">
        <w:rPr>
          <w:sz w:val="24"/>
        </w:rPr>
        <w:t>14. Estimates of Annualized Cost to the Government</w:t>
      </w:r>
      <w:bookmarkEnd w:id="33"/>
      <w:bookmarkEnd w:id="34"/>
      <w:bookmarkEnd w:id="35"/>
    </w:p>
    <w:p w14:paraId="3623D327" w14:textId="77777777" w:rsidR="003428CE" w:rsidRPr="003428CE" w:rsidRDefault="003428CE" w:rsidP="003428CE"/>
    <w:p w14:paraId="17684860" w14:textId="77777777" w:rsidR="00012FB9" w:rsidRDefault="00012FB9" w:rsidP="00012FB9">
      <w:bookmarkStart w:id="36" w:name="_Toc151782190"/>
      <w:bookmarkStart w:id="37" w:name="_Toc158526230"/>
      <w:r>
        <w:rPr>
          <w:b/>
          <w:bCs/>
          <w:color w:val="000000"/>
        </w:rPr>
        <w:t>Exhibit 3.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012FB9" w14:paraId="4A1A036A" w14:textId="77777777" w:rsidTr="00350E4E">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6AD501D" w14:textId="77777777" w:rsidR="00012FB9" w:rsidRPr="00012FB9" w:rsidRDefault="00012FB9" w:rsidP="00012FB9">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E715B8" w14:textId="77777777"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38FB9F" w14:textId="77777777" w:rsidR="00012FB9" w:rsidRPr="00012FB9" w:rsidRDefault="00012FB9" w:rsidP="001A28C0">
            <w:pPr>
              <w:jc w:val="center"/>
              <w:rPr>
                <w:b/>
              </w:rPr>
            </w:pPr>
            <w:r w:rsidRPr="00012FB9">
              <w:rPr>
                <w:b/>
              </w:rPr>
              <w:t>Annualized Cost</w:t>
            </w:r>
          </w:p>
        </w:tc>
      </w:tr>
      <w:tr w:rsidR="007E384A" w14:paraId="40E72790"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01CEA0" w14:textId="77777777" w:rsidR="007E384A" w:rsidRDefault="007E384A" w:rsidP="007E384A">
            <w:r>
              <w:t>Toolkit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60B726" w14:textId="77777777" w:rsidR="007E384A" w:rsidRPr="00CA01E6" w:rsidRDefault="007E384A" w:rsidP="007E384A">
            <w:pPr>
              <w:jc w:val="right"/>
            </w:pPr>
            <w:r>
              <w:t>$</w:t>
            </w:r>
            <w:r w:rsidRPr="00CA01E6">
              <w:t>381</w:t>
            </w:r>
            <w:r>
              <w:t>,</w:t>
            </w:r>
            <w:r w:rsidRPr="00CA01E6">
              <w:t>656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5F23A4" w14:textId="77777777" w:rsidR="007E384A" w:rsidRDefault="007E384A" w:rsidP="007E384A">
            <w:pPr>
              <w:jc w:val="right"/>
            </w:pPr>
            <w:r>
              <w:t>$</w:t>
            </w:r>
            <w:r w:rsidRPr="00CA01E6">
              <w:t>190</w:t>
            </w:r>
            <w:r>
              <w:t>,</w:t>
            </w:r>
            <w:r w:rsidRPr="00CA01E6">
              <w:t>828</w:t>
            </w:r>
          </w:p>
        </w:tc>
      </w:tr>
      <w:tr w:rsidR="007E384A" w14:paraId="7DF64C6B"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E5A91C" w14:textId="77777777" w:rsidR="007E384A" w:rsidRDefault="007E384A" w:rsidP="007E384A">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95834B" w14:textId="77777777" w:rsidR="007E384A" w:rsidRPr="00F05A8B" w:rsidRDefault="007E384A" w:rsidP="007E384A">
            <w:pPr>
              <w:jc w:val="right"/>
            </w:pPr>
            <w:r>
              <w:t>$</w:t>
            </w:r>
            <w:r w:rsidRPr="00F05A8B">
              <w:t>137</w:t>
            </w:r>
            <w:r>
              <w:t>,</w:t>
            </w:r>
            <w:r w:rsidRPr="00F05A8B">
              <w:t>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DAB248" w14:textId="77777777" w:rsidR="007E384A" w:rsidRDefault="007E384A" w:rsidP="007E384A">
            <w:pPr>
              <w:jc w:val="right"/>
            </w:pPr>
            <w:r>
              <w:t>$</w:t>
            </w:r>
            <w:r w:rsidRPr="00F05A8B">
              <w:t>68</w:t>
            </w:r>
            <w:r>
              <w:t>,</w:t>
            </w:r>
            <w:r w:rsidRPr="00F05A8B">
              <w:t>500</w:t>
            </w:r>
          </w:p>
        </w:tc>
      </w:tr>
      <w:tr w:rsidR="007E384A" w14:paraId="1A4333E5"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DEA406" w14:textId="77777777" w:rsidR="007E384A" w:rsidRDefault="007E384A" w:rsidP="007E384A">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475D76" w14:textId="77777777" w:rsidR="007E384A" w:rsidRPr="005E3B64" w:rsidRDefault="007E384A" w:rsidP="007E384A">
            <w:pPr>
              <w:jc w:val="right"/>
            </w:pPr>
            <w:r>
              <w:t>$</w:t>
            </w:r>
            <w:r w:rsidRPr="005E3B64">
              <w:t>137</w:t>
            </w:r>
            <w:r>
              <w:t>,</w:t>
            </w:r>
            <w:r w:rsidRPr="005E3B64">
              <w:t>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D94545" w14:textId="77777777" w:rsidR="007E384A" w:rsidRDefault="007E384A" w:rsidP="007E384A">
            <w:pPr>
              <w:jc w:val="right"/>
            </w:pPr>
            <w:r>
              <w:t>$</w:t>
            </w:r>
            <w:r w:rsidRPr="005E3B64">
              <w:t>68</w:t>
            </w:r>
            <w:r>
              <w:t>,</w:t>
            </w:r>
            <w:r w:rsidRPr="005E3B64">
              <w:t>500</w:t>
            </w:r>
          </w:p>
        </w:tc>
      </w:tr>
      <w:tr w:rsidR="007E384A" w14:paraId="3A44231A"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2AAB24" w14:textId="77777777" w:rsidR="007E384A" w:rsidRDefault="007E384A" w:rsidP="007E384A">
            <w: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F43A7A" w14:textId="77777777" w:rsidR="007E384A" w:rsidRPr="00CD134A" w:rsidRDefault="007E384A" w:rsidP="007E384A">
            <w:pPr>
              <w:jc w:val="right"/>
            </w:pPr>
            <w:r>
              <w:t>$</w:t>
            </w:r>
            <w:r w:rsidRPr="00CD134A">
              <w:t>87</w:t>
            </w:r>
            <w:r>
              <w:t>,</w:t>
            </w:r>
            <w:r w:rsidRPr="00CD134A">
              <w:t>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742F37" w14:textId="77777777" w:rsidR="007E384A" w:rsidRDefault="007E384A" w:rsidP="007E384A">
            <w:pPr>
              <w:jc w:val="right"/>
            </w:pPr>
            <w:r>
              <w:t>$</w:t>
            </w:r>
            <w:r w:rsidRPr="00CD134A">
              <w:t>43</w:t>
            </w:r>
            <w:r>
              <w:t>,</w:t>
            </w:r>
            <w:r w:rsidRPr="00CD134A">
              <w:t>500</w:t>
            </w:r>
          </w:p>
        </w:tc>
      </w:tr>
      <w:tr w:rsidR="007E384A" w14:paraId="67BF1B22"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037948" w14:textId="77777777" w:rsidR="007E384A" w:rsidRDefault="007E384A" w:rsidP="007E384A">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509B05" w14:textId="77777777" w:rsidR="007E384A" w:rsidRPr="00AF0EC4" w:rsidRDefault="007E384A" w:rsidP="007E384A">
            <w:pPr>
              <w:jc w:val="right"/>
            </w:pPr>
            <w:r>
              <w:t>$</w:t>
            </w:r>
            <w:r w:rsidRPr="00AF0EC4">
              <w:t>294</w:t>
            </w:r>
            <w:r>
              <w:t>,</w:t>
            </w:r>
            <w:r w:rsidRPr="00AF0EC4">
              <w:t>221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57DCD2" w14:textId="77777777" w:rsidR="007E384A" w:rsidRDefault="007E384A" w:rsidP="007E384A">
            <w:pPr>
              <w:jc w:val="right"/>
            </w:pPr>
            <w:r>
              <w:t>$</w:t>
            </w:r>
            <w:r w:rsidRPr="00AF0EC4">
              <w:t>147</w:t>
            </w:r>
            <w:r>
              <w:t>,</w:t>
            </w:r>
            <w:r w:rsidRPr="00AF0EC4">
              <w:t>111</w:t>
            </w:r>
          </w:p>
        </w:tc>
      </w:tr>
      <w:tr w:rsidR="007E384A" w14:paraId="1AAC6D52" w14:textId="77777777" w:rsidTr="0060706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80E60F" w14:textId="77777777" w:rsidR="007E384A" w:rsidRPr="006D1C5E" w:rsidRDefault="007E384A" w:rsidP="007E384A">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0686D8" w14:textId="77777777" w:rsidR="007E384A" w:rsidRPr="008451A8" w:rsidRDefault="007E384A" w:rsidP="007E384A">
            <w:pPr>
              <w:jc w:val="right"/>
            </w:pPr>
            <w:r>
              <w:t>$</w:t>
            </w:r>
            <w:r w:rsidRPr="008451A8">
              <w:t>1</w:t>
            </w:r>
            <w:r>
              <w:t>,</w:t>
            </w:r>
            <w:r w:rsidRPr="008451A8">
              <w:t>036</w:t>
            </w:r>
            <w:r>
              <w:t>,</w:t>
            </w:r>
            <w:r w:rsidRPr="008451A8">
              <w:t>877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6FEB8F" w14:textId="77777777" w:rsidR="007E384A" w:rsidRDefault="007E384A" w:rsidP="007E384A">
            <w:pPr>
              <w:jc w:val="right"/>
            </w:pPr>
            <w:r>
              <w:t>$</w:t>
            </w:r>
            <w:r w:rsidRPr="008451A8">
              <w:t>518</w:t>
            </w:r>
            <w:r>
              <w:t>,</w:t>
            </w:r>
            <w:r w:rsidRPr="008451A8">
              <w:t>439</w:t>
            </w:r>
          </w:p>
        </w:tc>
      </w:tr>
    </w:tbl>
    <w:p w14:paraId="63EAA840" w14:textId="77777777" w:rsidR="00E42494" w:rsidRDefault="00E42494" w:rsidP="00E42494">
      <w:pPr>
        <w:rPr>
          <w:b/>
          <w:bCs/>
        </w:rPr>
      </w:pPr>
    </w:p>
    <w:p w14:paraId="3C457857" w14:textId="77777777" w:rsidR="00E42494" w:rsidRPr="00BE4CC6" w:rsidRDefault="00E42494" w:rsidP="00E42494">
      <w:pPr>
        <w:rPr>
          <w:b/>
          <w:bCs/>
        </w:rPr>
      </w:pPr>
      <w:r w:rsidRPr="00BE4CC6">
        <w:rPr>
          <w:b/>
          <w:bCs/>
        </w:rPr>
        <w:t>Exhibit 4.  Government Personnel Cost</w:t>
      </w:r>
    </w:p>
    <w:tbl>
      <w:tblPr>
        <w:tblpPr w:leftFromText="180" w:rightFromText="180" w:vertAnchor="text" w:horzAnchor="margin" w:tblpXSpec="center" w:tblpY="150"/>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1530"/>
        <w:gridCol w:w="990"/>
        <w:gridCol w:w="990"/>
      </w:tblGrid>
      <w:tr w:rsidR="00E42494" w:rsidRPr="00444ADE" w14:paraId="7F4315F9" w14:textId="77777777" w:rsidTr="006C58B4">
        <w:trPr>
          <w:trHeight w:val="257"/>
        </w:trPr>
        <w:tc>
          <w:tcPr>
            <w:tcW w:w="5094" w:type="dxa"/>
            <w:vAlign w:val="center"/>
          </w:tcPr>
          <w:p w14:paraId="50267A52" w14:textId="77777777" w:rsidR="00E42494" w:rsidRPr="00444ADE" w:rsidRDefault="00E42494" w:rsidP="006C58B4">
            <w:pPr>
              <w:pStyle w:val="P1-StandPara"/>
              <w:spacing w:line="240" w:lineRule="auto"/>
              <w:ind w:firstLine="0"/>
              <w:rPr>
                <w:b/>
                <w:bCs/>
                <w:sz w:val="24"/>
                <w:szCs w:val="24"/>
              </w:rPr>
            </w:pPr>
            <w:r w:rsidRPr="00444ADE">
              <w:rPr>
                <w:b/>
                <w:bCs/>
                <w:sz w:val="24"/>
                <w:szCs w:val="24"/>
              </w:rPr>
              <w:t>Tasks/Personnel</w:t>
            </w:r>
          </w:p>
        </w:tc>
        <w:tc>
          <w:tcPr>
            <w:tcW w:w="1530" w:type="dxa"/>
            <w:vAlign w:val="center"/>
          </w:tcPr>
          <w:p w14:paraId="6F2F7806" w14:textId="77777777" w:rsidR="00E42494" w:rsidRPr="00444ADE" w:rsidRDefault="00E42494" w:rsidP="006C58B4">
            <w:pPr>
              <w:pStyle w:val="P1-StandPara"/>
              <w:spacing w:line="240" w:lineRule="auto"/>
              <w:ind w:firstLine="0"/>
              <w:jc w:val="center"/>
              <w:rPr>
                <w:b/>
                <w:bCs/>
                <w:sz w:val="24"/>
                <w:szCs w:val="24"/>
              </w:rPr>
            </w:pPr>
            <w:r w:rsidRPr="00444ADE">
              <w:rPr>
                <w:b/>
                <w:bCs/>
                <w:sz w:val="24"/>
                <w:szCs w:val="24"/>
              </w:rPr>
              <w:t>Annual Salary</w:t>
            </w:r>
          </w:p>
        </w:tc>
        <w:tc>
          <w:tcPr>
            <w:tcW w:w="990" w:type="dxa"/>
            <w:vAlign w:val="center"/>
          </w:tcPr>
          <w:p w14:paraId="0B1C6F06" w14:textId="77777777" w:rsidR="00E42494" w:rsidRPr="00444ADE" w:rsidRDefault="00E42494" w:rsidP="006C58B4">
            <w:pPr>
              <w:pStyle w:val="P1-StandPara"/>
              <w:spacing w:line="240" w:lineRule="auto"/>
              <w:ind w:firstLine="0"/>
              <w:jc w:val="center"/>
              <w:rPr>
                <w:b/>
                <w:bCs/>
                <w:sz w:val="24"/>
                <w:szCs w:val="24"/>
              </w:rPr>
            </w:pPr>
            <w:r w:rsidRPr="00444ADE">
              <w:rPr>
                <w:b/>
                <w:bCs/>
                <w:sz w:val="24"/>
                <w:szCs w:val="24"/>
              </w:rPr>
              <w:t>% of Time</w:t>
            </w:r>
          </w:p>
        </w:tc>
        <w:tc>
          <w:tcPr>
            <w:tcW w:w="990" w:type="dxa"/>
            <w:vAlign w:val="center"/>
          </w:tcPr>
          <w:p w14:paraId="5CDC01EF" w14:textId="77777777" w:rsidR="00E42494" w:rsidRPr="00444ADE" w:rsidRDefault="00E42494" w:rsidP="006C58B4">
            <w:pPr>
              <w:pStyle w:val="P1-StandPara"/>
              <w:spacing w:line="240" w:lineRule="auto"/>
              <w:ind w:firstLine="0"/>
              <w:jc w:val="center"/>
              <w:rPr>
                <w:b/>
                <w:bCs/>
                <w:sz w:val="24"/>
                <w:szCs w:val="24"/>
              </w:rPr>
            </w:pPr>
            <w:r w:rsidRPr="00444ADE">
              <w:rPr>
                <w:b/>
                <w:bCs/>
                <w:sz w:val="24"/>
                <w:szCs w:val="24"/>
              </w:rPr>
              <w:t>Cost</w:t>
            </w:r>
          </w:p>
        </w:tc>
      </w:tr>
      <w:tr w:rsidR="00E42494" w:rsidRPr="00BE4CC6" w14:paraId="0E7D148C" w14:textId="77777777" w:rsidTr="006C58B4">
        <w:trPr>
          <w:trHeight w:val="257"/>
        </w:trPr>
        <w:tc>
          <w:tcPr>
            <w:tcW w:w="8604" w:type="dxa"/>
            <w:gridSpan w:val="4"/>
            <w:vAlign w:val="center"/>
          </w:tcPr>
          <w:p w14:paraId="4BAEDDBA" w14:textId="77777777" w:rsidR="00E42494" w:rsidRPr="00BE4CC6" w:rsidRDefault="00E42494" w:rsidP="006C58B4">
            <w:pPr>
              <w:pStyle w:val="P1-StandPara"/>
              <w:spacing w:line="240" w:lineRule="auto"/>
              <w:ind w:firstLine="0"/>
              <w:rPr>
                <w:bCs/>
                <w:sz w:val="24"/>
                <w:szCs w:val="24"/>
              </w:rPr>
            </w:pPr>
            <w:r w:rsidRPr="00CE3972">
              <w:rPr>
                <w:bCs/>
                <w:sz w:val="24"/>
                <w:szCs w:val="24"/>
              </w:rPr>
              <w:t>PRE OMB Approval Costs</w:t>
            </w:r>
            <w:r w:rsidRPr="00BE4CC6">
              <w:rPr>
                <w:bCs/>
                <w:sz w:val="24"/>
                <w:szCs w:val="24"/>
              </w:rPr>
              <w:t xml:space="preserve"> </w:t>
            </w:r>
          </w:p>
        </w:tc>
      </w:tr>
      <w:tr w:rsidR="00E42494" w:rsidRPr="00BE4CC6" w14:paraId="18AA0FDC" w14:textId="77777777" w:rsidTr="006C58B4">
        <w:trPr>
          <w:trHeight w:val="239"/>
        </w:trPr>
        <w:tc>
          <w:tcPr>
            <w:tcW w:w="8604" w:type="dxa"/>
            <w:gridSpan w:val="4"/>
            <w:shd w:val="clear" w:color="auto" w:fill="D9D9D9"/>
            <w:vAlign w:val="center"/>
          </w:tcPr>
          <w:p w14:paraId="6F89E884" w14:textId="77777777" w:rsidR="00E42494" w:rsidRPr="00BE4CC6" w:rsidRDefault="00E42494" w:rsidP="006C58B4">
            <w:pPr>
              <w:pStyle w:val="P1-StandPara"/>
              <w:spacing w:line="240" w:lineRule="auto"/>
              <w:ind w:firstLine="0"/>
              <w:jc w:val="center"/>
              <w:rPr>
                <w:bCs/>
                <w:sz w:val="24"/>
                <w:szCs w:val="24"/>
              </w:rPr>
            </w:pPr>
            <w:r>
              <w:rPr>
                <w:bCs/>
                <w:sz w:val="24"/>
                <w:szCs w:val="24"/>
              </w:rPr>
              <w:t>Government Personnel Costs</w:t>
            </w:r>
          </w:p>
        </w:tc>
      </w:tr>
      <w:tr w:rsidR="00E42494" w:rsidRPr="00BE4CC6" w14:paraId="1EE215C8" w14:textId="77777777" w:rsidTr="006C58B4">
        <w:trPr>
          <w:trHeight w:val="302"/>
        </w:trPr>
        <w:tc>
          <w:tcPr>
            <w:tcW w:w="5094" w:type="dxa"/>
            <w:vAlign w:val="center"/>
          </w:tcPr>
          <w:p w14:paraId="4F2F20CB" w14:textId="77777777" w:rsidR="00E42494" w:rsidRPr="0073709E" w:rsidRDefault="00E42494" w:rsidP="006C58B4">
            <w:pPr>
              <w:pStyle w:val="P1-StandPara"/>
              <w:spacing w:line="240" w:lineRule="auto"/>
              <w:ind w:firstLine="0"/>
              <w:rPr>
                <w:bCs/>
                <w:sz w:val="24"/>
                <w:szCs w:val="24"/>
              </w:rPr>
            </w:pPr>
            <w:r>
              <w:rPr>
                <w:sz w:val="24"/>
                <w:szCs w:val="24"/>
              </w:rPr>
              <w:t xml:space="preserve">Social </w:t>
            </w:r>
            <w:r w:rsidRPr="0073709E">
              <w:rPr>
                <w:sz w:val="24"/>
                <w:szCs w:val="24"/>
              </w:rPr>
              <w:t xml:space="preserve">Science Analyst </w:t>
            </w:r>
            <w:r w:rsidRPr="0073709E">
              <w:rPr>
                <w:bCs/>
                <w:sz w:val="24"/>
                <w:szCs w:val="24"/>
              </w:rPr>
              <w:t>– GS15</w:t>
            </w:r>
            <w:r>
              <w:rPr>
                <w:bCs/>
                <w:sz w:val="24"/>
                <w:szCs w:val="24"/>
              </w:rPr>
              <w:t>*</w:t>
            </w:r>
            <w:r w:rsidRPr="0073709E">
              <w:rPr>
                <w:bCs/>
                <w:sz w:val="24"/>
                <w:szCs w:val="24"/>
              </w:rPr>
              <w:t>, Step 9</w:t>
            </w:r>
          </w:p>
        </w:tc>
        <w:tc>
          <w:tcPr>
            <w:tcW w:w="1530" w:type="dxa"/>
            <w:vAlign w:val="center"/>
          </w:tcPr>
          <w:p w14:paraId="5E09FC96" w14:textId="77777777" w:rsidR="00E42494" w:rsidRPr="00BE4CC6" w:rsidRDefault="00E42494" w:rsidP="006C58B4">
            <w:pPr>
              <w:pStyle w:val="P1-StandPara"/>
              <w:spacing w:line="240" w:lineRule="auto"/>
              <w:ind w:firstLine="0"/>
              <w:rPr>
                <w:bCs/>
                <w:sz w:val="24"/>
                <w:szCs w:val="24"/>
              </w:rPr>
            </w:pPr>
            <w:r>
              <w:rPr>
                <w:bCs/>
                <w:sz w:val="24"/>
                <w:szCs w:val="24"/>
              </w:rPr>
              <w:t>$164,2</w:t>
            </w:r>
            <w:r w:rsidRPr="00BE4CC6">
              <w:rPr>
                <w:bCs/>
                <w:sz w:val="24"/>
                <w:szCs w:val="24"/>
              </w:rPr>
              <w:t>00</w:t>
            </w:r>
          </w:p>
        </w:tc>
        <w:tc>
          <w:tcPr>
            <w:tcW w:w="990" w:type="dxa"/>
            <w:vAlign w:val="center"/>
          </w:tcPr>
          <w:p w14:paraId="402BF576" w14:textId="77777777" w:rsidR="00E42494" w:rsidRPr="00BE4CC6" w:rsidRDefault="00E42494" w:rsidP="006C58B4">
            <w:pPr>
              <w:pStyle w:val="P1-StandPara"/>
              <w:spacing w:line="240" w:lineRule="auto"/>
              <w:ind w:firstLine="0"/>
              <w:rPr>
                <w:bCs/>
                <w:sz w:val="24"/>
                <w:szCs w:val="24"/>
              </w:rPr>
            </w:pPr>
            <w:r w:rsidRPr="00BE4CC6">
              <w:rPr>
                <w:bCs/>
                <w:sz w:val="24"/>
                <w:szCs w:val="24"/>
              </w:rPr>
              <w:t>1%</w:t>
            </w:r>
          </w:p>
        </w:tc>
        <w:tc>
          <w:tcPr>
            <w:tcW w:w="990" w:type="dxa"/>
            <w:vAlign w:val="center"/>
          </w:tcPr>
          <w:p w14:paraId="71748A14" w14:textId="77777777" w:rsidR="00E42494" w:rsidRPr="00BE4CC6" w:rsidRDefault="00E42494" w:rsidP="006C58B4">
            <w:pPr>
              <w:pStyle w:val="P1-StandPara"/>
              <w:spacing w:line="240" w:lineRule="auto"/>
              <w:ind w:firstLine="0"/>
              <w:rPr>
                <w:bCs/>
                <w:sz w:val="24"/>
                <w:szCs w:val="24"/>
              </w:rPr>
            </w:pPr>
            <w:r w:rsidRPr="00BE4CC6">
              <w:rPr>
                <w:bCs/>
                <w:sz w:val="24"/>
                <w:szCs w:val="24"/>
              </w:rPr>
              <w:t>$1,</w:t>
            </w:r>
            <w:r>
              <w:rPr>
                <w:bCs/>
                <w:sz w:val="24"/>
                <w:szCs w:val="24"/>
              </w:rPr>
              <w:t>642</w:t>
            </w:r>
          </w:p>
        </w:tc>
      </w:tr>
      <w:tr w:rsidR="00E42494" w:rsidRPr="0073709E" w14:paraId="25B8C506" w14:textId="77777777" w:rsidTr="006C58B4">
        <w:trPr>
          <w:trHeight w:val="257"/>
        </w:trPr>
        <w:tc>
          <w:tcPr>
            <w:tcW w:w="8604" w:type="dxa"/>
            <w:gridSpan w:val="4"/>
            <w:vAlign w:val="center"/>
          </w:tcPr>
          <w:p w14:paraId="626A5E83" w14:textId="77777777" w:rsidR="00E42494" w:rsidRPr="0073709E" w:rsidRDefault="00E42494" w:rsidP="006C58B4">
            <w:pPr>
              <w:pStyle w:val="P1-StandPara"/>
              <w:spacing w:line="240" w:lineRule="auto"/>
              <w:ind w:firstLine="0"/>
              <w:rPr>
                <w:bCs/>
                <w:sz w:val="24"/>
                <w:szCs w:val="24"/>
                <w:highlight w:val="yellow"/>
              </w:rPr>
            </w:pPr>
            <w:r w:rsidRPr="00CE3972">
              <w:rPr>
                <w:bCs/>
                <w:sz w:val="24"/>
                <w:szCs w:val="24"/>
              </w:rPr>
              <w:t>POST OMB Approval Costs</w:t>
            </w:r>
          </w:p>
        </w:tc>
      </w:tr>
      <w:tr w:rsidR="00E42494" w:rsidRPr="00BE4CC6" w14:paraId="76B1FC4E" w14:textId="77777777" w:rsidTr="006C58B4">
        <w:trPr>
          <w:trHeight w:val="275"/>
        </w:trPr>
        <w:tc>
          <w:tcPr>
            <w:tcW w:w="8604" w:type="dxa"/>
            <w:gridSpan w:val="4"/>
            <w:shd w:val="clear" w:color="auto" w:fill="D9D9D9"/>
            <w:vAlign w:val="center"/>
          </w:tcPr>
          <w:p w14:paraId="3C6B2D34" w14:textId="77777777" w:rsidR="00E42494" w:rsidRPr="0073709E" w:rsidRDefault="00E42494" w:rsidP="006C58B4">
            <w:pPr>
              <w:pStyle w:val="P1-StandPara"/>
              <w:spacing w:line="240" w:lineRule="auto"/>
              <w:ind w:firstLine="0"/>
              <w:jc w:val="center"/>
              <w:rPr>
                <w:bCs/>
                <w:sz w:val="24"/>
                <w:szCs w:val="24"/>
              </w:rPr>
            </w:pPr>
            <w:r>
              <w:rPr>
                <w:bCs/>
                <w:sz w:val="24"/>
                <w:szCs w:val="24"/>
              </w:rPr>
              <w:t>Government Personnel Costs</w:t>
            </w:r>
          </w:p>
        </w:tc>
      </w:tr>
      <w:tr w:rsidR="00E42494" w:rsidRPr="00BE4CC6" w14:paraId="0A48881C" w14:textId="77777777" w:rsidTr="006C58B4">
        <w:trPr>
          <w:trHeight w:val="311"/>
        </w:trPr>
        <w:tc>
          <w:tcPr>
            <w:tcW w:w="5094" w:type="dxa"/>
            <w:vAlign w:val="center"/>
          </w:tcPr>
          <w:p w14:paraId="25292311" w14:textId="77777777" w:rsidR="00E42494" w:rsidRPr="0073709E" w:rsidRDefault="00E42494" w:rsidP="006C58B4">
            <w:pPr>
              <w:pStyle w:val="P1-StandPara"/>
              <w:spacing w:line="240" w:lineRule="auto"/>
              <w:ind w:firstLine="0"/>
              <w:rPr>
                <w:bCs/>
                <w:sz w:val="24"/>
                <w:szCs w:val="24"/>
              </w:rPr>
            </w:pPr>
            <w:r w:rsidRPr="0073709E">
              <w:rPr>
                <w:sz w:val="24"/>
                <w:szCs w:val="24"/>
              </w:rPr>
              <w:t xml:space="preserve">Social Science Analyst </w:t>
            </w:r>
            <w:r w:rsidRPr="0073709E">
              <w:rPr>
                <w:bCs/>
                <w:sz w:val="24"/>
                <w:szCs w:val="24"/>
              </w:rPr>
              <w:t>– GS15</w:t>
            </w:r>
            <w:r>
              <w:rPr>
                <w:bCs/>
                <w:sz w:val="24"/>
                <w:szCs w:val="24"/>
              </w:rPr>
              <w:t>*</w:t>
            </w:r>
            <w:r w:rsidRPr="0073709E">
              <w:rPr>
                <w:bCs/>
                <w:sz w:val="24"/>
                <w:szCs w:val="24"/>
              </w:rPr>
              <w:t>, Step 9</w:t>
            </w:r>
          </w:p>
        </w:tc>
        <w:tc>
          <w:tcPr>
            <w:tcW w:w="1530" w:type="dxa"/>
            <w:vAlign w:val="center"/>
          </w:tcPr>
          <w:p w14:paraId="3632F7DA" w14:textId="77777777" w:rsidR="00E42494" w:rsidRPr="00BE4CC6" w:rsidRDefault="00E42494" w:rsidP="006C58B4">
            <w:pPr>
              <w:pStyle w:val="P1-StandPara"/>
              <w:spacing w:line="240" w:lineRule="auto"/>
              <w:ind w:firstLine="0"/>
              <w:rPr>
                <w:bCs/>
                <w:sz w:val="24"/>
                <w:szCs w:val="24"/>
              </w:rPr>
            </w:pPr>
            <w:r w:rsidRPr="0073709E">
              <w:rPr>
                <w:bCs/>
                <w:sz w:val="24"/>
                <w:szCs w:val="24"/>
              </w:rPr>
              <w:t>$1</w:t>
            </w:r>
            <w:r>
              <w:rPr>
                <w:bCs/>
                <w:sz w:val="24"/>
                <w:szCs w:val="24"/>
              </w:rPr>
              <w:t>64,2</w:t>
            </w:r>
            <w:r w:rsidRPr="00BE4CC6">
              <w:rPr>
                <w:bCs/>
                <w:sz w:val="24"/>
                <w:szCs w:val="24"/>
              </w:rPr>
              <w:t>00</w:t>
            </w:r>
          </w:p>
        </w:tc>
        <w:tc>
          <w:tcPr>
            <w:tcW w:w="990" w:type="dxa"/>
            <w:vAlign w:val="center"/>
          </w:tcPr>
          <w:p w14:paraId="5C5B3445" w14:textId="77777777" w:rsidR="00E42494" w:rsidRPr="00BE4CC6" w:rsidRDefault="00E42494" w:rsidP="006C58B4">
            <w:pPr>
              <w:pStyle w:val="P1-StandPara"/>
              <w:spacing w:line="240" w:lineRule="auto"/>
              <w:ind w:firstLine="0"/>
              <w:rPr>
                <w:bCs/>
                <w:sz w:val="24"/>
                <w:szCs w:val="24"/>
              </w:rPr>
            </w:pPr>
            <w:r w:rsidRPr="00BE4CC6">
              <w:rPr>
                <w:bCs/>
                <w:sz w:val="24"/>
                <w:szCs w:val="24"/>
              </w:rPr>
              <w:t>2%</w:t>
            </w:r>
          </w:p>
        </w:tc>
        <w:tc>
          <w:tcPr>
            <w:tcW w:w="990" w:type="dxa"/>
            <w:vAlign w:val="center"/>
          </w:tcPr>
          <w:p w14:paraId="31F11F3F" w14:textId="77777777" w:rsidR="00E42494" w:rsidRPr="00BE4CC6" w:rsidRDefault="00E42494" w:rsidP="006C58B4">
            <w:pPr>
              <w:pStyle w:val="P1-StandPara"/>
              <w:spacing w:line="240" w:lineRule="auto"/>
              <w:ind w:firstLine="0"/>
              <w:rPr>
                <w:bCs/>
                <w:sz w:val="24"/>
                <w:szCs w:val="24"/>
              </w:rPr>
            </w:pPr>
            <w:r>
              <w:rPr>
                <w:bCs/>
                <w:sz w:val="24"/>
                <w:szCs w:val="24"/>
              </w:rPr>
              <w:t>$3,284</w:t>
            </w:r>
          </w:p>
        </w:tc>
      </w:tr>
      <w:tr w:rsidR="00E42494" w:rsidRPr="00444ADE" w14:paraId="03122839" w14:textId="77777777" w:rsidTr="006C58B4">
        <w:trPr>
          <w:trHeight w:val="320"/>
        </w:trPr>
        <w:tc>
          <w:tcPr>
            <w:tcW w:w="5094" w:type="dxa"/>
            <w:vAlign w:val="center"/>
          </w:tcPr>
          <w:p w14:paraId="1B9A53F2" w14:textId="77777777" w:rsidR="00E42494" w:rsidRPr="00444ADE" w:rsidRDefault="00E42494" w:rsidP="006C58B4">
            <w:pPr>
              <w:pStyle w:val="P1-StandPara"/>
              <w:spacing w:line="240" w:lineRule="auto"/>
              <w:ind w:firstLine="0"/>
              <w:rPr>
                <w:b/>
                <w:bCs/>
                <w:sz w:val="24"/>
                <w:szCs w:val="24"/>
              </w:rPr>
            </w:pPr>
            <w:r w:rsidRPr="00444ADE">
              <w:rPr>
                <w:b/>
                <w:bCs/>
                <w:sz w:val="24"/>
                <w:szCs w:val="24"/>
              </w:rPr>
              <w:t>Grand Total</w:t>
            </w:r>
          </w:p>
        </w:tc>
        <w:tc>
          <w:tcPr>
            <w:tcW w:w="1530" w:type="dxa"/>
          </w:tcPr>
          <w:p w14:paraId="0A93201E" w14:textId="77777777" w:rsidR="00E42494" w:rsidRPr="00444ADE" w:rsidRDefault="00E42494" w:rsidP="006C58B4">
            <w:pPr>
              <w:pStyle w:val="P1-StandPara"/>
              <w:spacing w:line="240" w:lineRule="auto"/>
              <w:ind w:firstLine="0"/>
              <w:rPr>
                <w:b/>
                <w:bCs/>
                <w:sz w:val="24"/>
                <w:szCs w:val="24"/>
              </w:rPr>
            </w:pPr>
          </w:p>
        </w:tc>
        <w:tc>
          <w:tcPr>
            <w:tcW w:w="990" w:type="dxa"/>
          </w:tcPr>
          <w:p w14:paraId="4943D106" w14:textId="77777777" w:rsidR="00E42494" w:rsidRPr="00444ADE" w:rsidRDefault="00E42494" w:rsidP="006C58B4">
            <w:pPr>
              <w:pStyle w:val="P1-StandPara"/>
              <w:spacing w:line="240" w:lineRule="auto"/>
              <w:ind w:firstLine="0"/>
              <w:rPr>
                <w:b/>
                <w:bCs/>
                <w:sz w:val="24"/>
                <w:szCs w:val="24"/>
              </w:rPr>
            </w:pPr>
          </w:p>
        </w:tc>
        <w:tc>
          <w:tcPr>
            <w:tcW w:w="990" w:type="dxa"/>
            <w:vAlign w:val="center"/>
          </w:tcPr>
          <w:p w14:paraId="49B6C0E0" w14:textId="77777777" w:rsidR="00E42494" w:rsidRPr="00444ADE" w:rsidRDefault="00E42494" w:rsidP="006C58B4">
            <w:pPr>
              <w:pStyle w:val="P1-StandPara"/>
              <w:spacing w:line="240" w:lineRule="auto"/>
              <w:ind w:firstLine="0"/>
              <w:rPr>
                <w:b/>
                <w:bCs/>
                <w:sz w:val="24"/>
                <w:szCs w:val="24"/>
                <w:highlight w:val="yellow"/>
              </w:rPr>
            </w:pPr>
            <w:r>
              <w:rPr>
                <w:b/>
                <w:bCs/>
                <w:sz w:val="24"/>
                <w:szCs w:val="24"/>
              </w:rPr>
              <w:t>$4,926</w:t>
            </w:r>
          </w:p>
        </w:tc>
      </w:tr>
    </w:tbl>
    <w:p w14:paraId="6A9DB3D3" w14:textId="77777777" w:rsidR="00E42494" w:rsidRPr="00E42494" w:rsidRDefault="00E42494" w:rsidP="00E42494">
      <w:pPr>
        <w:pStyle w:val="Heading2"/>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*Based on 2019</w:t>
      </w:r>
      <w:r w:rsidRPr="00444ADE">
        <w:rPr>
          <w:rFonts w:ascii="Times New Roman" w:hAnsi="Times New Roman" w:cs="Times New Roman"/>
          <w:b w:val="0"/>
          <w:i w:val="0"/>
          <w:sz w:val="20"/>
          <w:szCs w:val="20"/>
        </w:rPr>
        <w:t xml:space="preserve"> OPM Pay Schedule for Washington/DC area:  </w:t>
      </w:r>
      <w:r w:rsidRPr="00E42494">
        <w:rPr>
          <w:rFonts w:ascii="Times New Roman" w:hAnsi="Times New Roman" w:cs="Times New Roman"/>
          <w:b w:val="0"/>
          <w:i w:val="0"/>
          <w:sz w:val="20"/>
          <w:szCs w:val="20"/>
        </w:rPr>
        <w:t>https://www.opm.gov/policy-data-oversight/pay-leave/salaries-wages/2019/general-schedule/</w:t>
      </w:r>
    </w:p>
    <w:p w14:paraId="3F088A6F" w14:textId="77777777" w:rsidR="009B633D" w:rsidRDefault="009B633D" w:rsidP="00E42494">
      <w:pPr>
        <w:pStyle w:val="Heading2"/>
        <w:rPr>
          <w:sz w:val="24"/>
        </w:rPr>
      </w:pPr>
      <w:r w:rsidRPr="00412C6F">
        <w:rPr>
          <w:sz w:val="24"/>
        </w:rPr>
        <w:t>15. Changes in Hour Burden</w:t>
      </w:r>
      <w:bookmarkEnd w:id="36"/>
      <w:bookmarkEnd w:id="37"/>
    </w:p>
    <w:p w14:paraId="45B39A91" w14:textId="77777777" w:rsidR="00E42494" w:rsidRPr="00795654" w:rsidRDefault="00E42494" w:rsidP="00E42494">
      <w:bookmarkStart w:id="38" w:name="_Toc267696114"/>
      <w:bookmarkStart w:id="39" w:name="_Toc267696539"/>
      <w:r>
        <w:t>T</w:t>
      </w:r>
      <w:r w:rsidRPr="00D40F34">
        <w:t>his is a new inform</w:t>
      </w:r>
      <w:r>
        <w:t>ation collection.</w:t>
      </w:r>
      <w:bookmarkEnd w:id="38"/>
      <w:bookmarkEnd w:id="39"/>
    </w:p>
    <w:p w14:paraId="163D8924" w14:textId="77777777" w:rsidR="00E42494" w:rsidRDefault="00E42494" w:rsidP="00E42494"/>
    <w:p w14:paraId="516B6836" w14:textId="77777777" w:rsidR="00B47636" w:rsidRDefault="00B47636" w:rsidP="00E42494"/>
    <w:p w14:paraId="023F02A1" w14:textId="77777777" w:rsidR="00B47636" w:rsidRPr="00E42494" w:rsidRDefault="00B47636" w:rsidP="00E42494"/>
    <w:p w14:paraId="51C2E319" w14:textId="77777777" w:rsidR="009B633D" w:rsidRPr="00412C6F" w:rsidRDefault="009B633D" w:rsidP="009B633D">
      <w:pPr>
        <w:pStyle w:val="Heading2"/>
        <w:rPr>
          <w:sz w:val="24"/>
        </w:rPr>
      </w:pPr>
      <w:bookmarkStart w:id="40" w:name="_Toc151782191"/>
      <w:bookmarkStart w:id="41" w:name="_Toc158526231"/>
      <w:r w:rsidRPr="00412C6F">
        <w:rPr>
          <w:sz w:val="24"/>
        </w:rPr>
        <w:t>16. Time Schedule, Publication and Analysis Plans</w:t>
      </w:r>
      <w:bookmarkEnd w:id="40"/>
      <w:bookmarkEnd w:id="41"/>
    </w:p>
    <w:p w14:paraId="3C8F18B0" w14:textId="77777777" w:rsidR="0013447B" w:rsidRPr="00820D22" w:rsidRDefault="0013447B" w:rsidP="0013447B">
      <w:pPr>
        <w:spacing w:before="120"/>
      </w:pPr>
      <w:bookmarkStart w:id="42" w:name="_Toc151782196"/>
      <w:bookmarkStart w:id="43" w:name="_Toc158526232"/>
    </w:p>
    <w:p w14:paraId="58B2F346" w14:textId="77777777" w:rsidR="0013447B" w:rsidRPr="00234B2A" w:rsidRDefault="0013447B" w:rsidP="0013447B">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Exhibit 5</w:t>
      </w:r>
      <w:r w:rsidRPr="00234B2A">
        <w:rPr>
          <w:rFonts w:ascii="Arial" w:hAnsi="Arial" w:cs="Arial"/>
          <w:b/>
          <w:bCs/>
          <w:spacing w:val="8"/>
          <w:sz w:val="22"/>
          <w:szCs w:val="22"/>
        </w:rPr>
        <w:tab/>
        <w:t>Project Timeline</w:t>
      </w:r>
    </w:p>
    <w:tbl>
      <w:tblPr>
        <w:tblW w:w="8460" w:type="dxa"/>
        <w:tblInd w:w="19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860"/>
        <w:gridCol w:w="3600"/>
      </w:tblGrid>
      <w:tr w:rsidR="0013447B" w:rsidRPr="00234B2A" w14:paraId="3B8AB08B" w14:textId="77777777" w:rsidTr="007E384A">
        <w:tc>
          <w:tcPr>
            <w:tcW w:w="4860" w:type="dxa"/>
            <w:tcBorders>
              <w:top w:val="nil"/>
              <w:left w:val="nil"/>
              <w:bottom w:val="nil"/>
              <w:right w:val="nil"/>
            </w:tcBorders>
          </w:tcPr>
          <w:p w14:paraId="642BAE60" w14:textId="77777777" w:rsidR="0013447B" w:rsidRPr="00234B2A" w:rsidRDefault="0013447B" w:rsidP="006C58B4">
            <w:pPr>
              <w:spacing w:before="40" w:after="40"/>
            </w:pPr>
          </w:p>
        </w:tc>
        <w:tc>
          <w:tcPr>
            <w:tcW w:w="3600" w:type="dxa"/>
            <w:tcBorders>
              <w:top w:val="nil"/>
              <w:left w:val="nil"/>
              <w:bottom w:val="nil"/>
              <w:right w:val="nil"/>
            </w:tcBorders>
          </w:tcPr>
          <w:p w14:paraId="7ACD92EE" w14:textId="77777777" w:rsidR="0013447B" w:rsidRPr="00234B2A" w:rsidRDefault="0013447B" w:rsidP="006C58B4">
            <w:pPr>
              <w:spacing w:before="40" w:after="40"/>
            </w:pPr>
          </w:p>
        </w:tc>
      </w:tr>
      <w:tr w:rsidR="0013447B" w:rsidRPr="00234B2A" w14:paraId="4105AE89" w14:textId="77777777" w:rsidTr="007E384A">
        <w:trPr>
          <w:trHeight w:val="596"/>
        </w:trPr>
        <w:tc>
          <w:tcPr>
            <w:tcW w:w="4860" w:type="dxa"/>
            <w:tcBorders>
              <w:left w:val="nil"/>
            </w:tcBorders>
            <w:vAlign w:val="bottom"/>
          </w:tcPr>
          <w:p w14:paraId="52A3968B" w14:textId="77777777" w:rsidR="0013447B" w:rsidRPr="00234B2A" w:rsidRDefault="0013447B" w:rsidP="006C58B4">
            <w:pPr>
              <w:jc w:val="center"/>
              <w:rPr>
                <w:b/>
                <w:bCs/>
              </w:rPr>
            </w:pPr>
            <w:r w:rsidRPr="00234B2A">
              <w:rPr>
                <w:b/>
                <w:bCs/>
              </w:rPr>
              <w:t>Description</w:t>
            </w:r>
          </w:p>
          <w:p w14:paraId="68D3285D" w14:textId="77777777" w:rsidR="0013447B" w:rsidRPr="00234B2A" w:rsidRDefault="0013447B" w:rsidP="006C58B4">
            <w:pPr>
              <w:pStyle w:val="TOC1"/>
              <w:tabs>
                <w:tab w:val="left" w:pos="720"/>
                <w:tab w:val="left" w:pos="1080"/>
                <w:tab w:val="left" w:pos="1440"/>
                <w:tab w:val="left" w:pos="1800"/>
              </w:tabs>
              <w:jc w:val="center"/>
            </w:pPr>
            <w:r w:rsidRPr="00234B2A">
              <w:t>(in chronological order)</w:t>
            </w:r>
          </w:p>
        </w:tc>
        <w:tc>
          <w:tcPr>
            <w:tcW w:w="3600" w:type="dxa"/>
            <w:tcBorders>
              <w:right w:val="nil"/>
            </w:tcBorders>
            <w:vAlign w:val="bottom"/>
          </w:tcPr>
          <w:p w14:paraId="07C057C6" w14:textId="77777777" w:rsidR="0013447B" w:rsidRPr="00234B2A" w:rsidRDefault="0013447B" w:rsidP="006C58B4">
            <w:pPr>
              <w:jc w:val="center"/>
              <w:rPr>
                <w:b/>
                <w:bCs/>
              </w:rPr>
            </w:pPr>
            <w:r w:rsidRPr="00234B2A">
              <w:rPr>
                <w:b/>
                <w:bCs/>
              </w:rPr>
              <w:t>Due Date</w:t>
            </w:r>
          </w:p>
          <w:p w14:paraId="78F3EE30" w14:textId="77777777" w:rsidR="0013447B" w:rsidRPr="00234B2A" w:rsidRDefault="0013447B" w:rsidP="006C58B4">
            <w:pPr>
              <w:jc w:val="center"/>
              <w:rPr>
                <w:b/>
                <w:bCs/>
              </w:rPr>
            </w:pPr>
          </w:p>
        </w:tc>
      </w:tr>
      <w:tr w:rsidR="0013447B" w:rsidRPr="00234B2A" w14:paraId="0020DE5A" w14:textId="77777777" w:rsidTr="007E384A">
        <w:tc>
          <w:tcPr>
            <w:tcW w:w="4860" w:type="dxa"/>
            <w:tcBorders>
              <w:top w:val="nil"/>
              <w:left w:val="nil"/>
              <w:bottom w:val="nil"/>
            </w:tcBorders>
            <w:vAlign w:val="center"/>
          </w:tcPr>
          <w:p w14:paraId="1205846E" w14:textId="77777777" w:rsidR="0013447B" w:rsidRDefault="00070096" w:rsidP="00FB10DA">
            <w:pPr>
              <w:ind w:left="72"/>
              <w:rPr>
                <w:sz w:val="22"/>
              </w:rPr>
            </w:pPr>
            <w:r>
              <w:rPr>
                <w:sz w:val="22"/>
              </w:rPr>
              <w:t xml:space="preserve">Identify potential </w:t>
            </w:r>
            <w:r w:rsidR="00B76532">
              <w:rPr>
                <w:sz w:val="22"/>
              </w:rPr>
              <w:t>health care organizations</w:t>
            </w:r>
          </w:p>
        </w:tc>
        <w:tc>
          <w:tcPr>
            <w:tcW w:w="3600" w:type="dxa"/>
            <w:tcBorders>
              <w:top w:val="nil"/>
              <w:bottom w:val="nil"/>
              <w:right w:val="nil"/>
            </w:tcBorders>
          </w:tcPr>
          <w:p w14:paraId="78B62E73" w14:textId="77777777" w:rsidR="0013447B" w:rsidRDefault="0013447B" w:rsidP="006C58B4">
            <w:pPr>
              <w:spacing w:before="40" w:after="40"/>
              <w:rPr>
                <w:sz w:val="22"/>
              </w:rPr>
            </w:pPr>
            <w:r>
              <w:rPr>
                <w:sz w:val="22"/>
              </w:rPr>
              <w:t>November</w:t>
            </w:r>
            <w:r w:rsidR="00B76532">
              <w:rPr>
                <w:sz w:val="22"/>
              </w:rPr>
              <w:t>-January 2019</w:t>
            </w:r>
          </w:p>
        </w:tc>
      </w:tr>
      <w:tr w:rsidR="00564A89" w:rsidRPr="00234B2A" w14:paraId="57EB70A5" w14:textId="77777777" w:rsidTr="007E384A">
        <w:tc>
          <w:tcPr>
            <w:tcW w:w="4860" w:type="dxa"/>
            <w:tcBorders>
              <w:top w:val="nil"/>
              <w:left w:val="nil"/>
              <w:bottom w:val="nil"/>
            </w:tcBorders>
            <w:vAlign w:val="center"/>
          </w:tcPr>
          <w:p w14:paraId="07FEDDD1" w14:textId="77777777" w:rsidR="00564A89" w:rsidRDefault="00564A89" w:rsidP="00FB10DA">
            <w:pPr>
              <w:ind w:left="72"/>
              <w:rPr>
                <w:sz w:val="22"/>
              </w:rPr>
            </w:pPr>
            <w:r>
              <w:rPr>
                <w:sz w:val="22"/>
              </w:rPr>
              <w:t>Final list of recommended health care organizations</w:t>
            </w:r>
          </w:p>
        </w:tc>
        <w:tc>
          <w:tcPr>
            <w:tcW w:w="3600" w:type="dxa"/>
            <w:tcBorders>
              <w:top w:val="nil"/>
              <w:bottom w:val="nil"/>
              <w:right w:val="nil"/>
            </w:tcBorders>
          </w:tcPr>
          <w:p w14:paraId="57905A77" w14:textId="77777777" w:rsidR="00564A89" w:rsidRDefault="00564A89" w:rsidP="00564A89">
            <w:pPr>
              <w:spacing w:before="40" w:after="40"/>
              <w:rPr>
                <w:sz w:val="22"/>
              </w:rPr>
            </w:pPr>
            <w:r>
              <w:rPr>
                <w:sz w:val="22"/>
              </w:rPr>
              <w:t>January 2019</w:t>
            </w:r>
          </w:p>
        </w:tc>
      </w:tr>
      <w:tr w:rsidR="00564A89" w:rsidRPr="00234B2A" w14:paraId="7FAF6977" w14:textId="77777777" w:rsidTr="007E384A">
        <w:tc>
          <w:tcPr>
            <w:tcW w:w="4860" w:type="dxa"/>
            <w:tcBorders>
              <w:top w:val="nil"/>
              <w:left w:val="nil"/>
              <w:bottom w:val="nil"/>
            </w:tcBorders>
            <w:vAlign w:val="center"/>
          </w:tcPr>
          <w:p w14:paraId="7E4D4A4C" w14:textId="77777777" w:rsidR="00564A89" w:rsidRDefault="00564A89" w:rsidP="00FB10DA">
            <w:pPr>
              <w:ind w:left="72"/>
              <w:rPr>
                <w:sz w:val="22"/>
              </w:rPr>
            </w:pPr>
            <w:r>
              <w:rPr>
                <w:sz w:val="22"/>
              </w:rPr>
              <w:t>Final</w:t>
            </w:r>
            <w:r w:rsidR="00F45CD2">
              <w:rPr>
                <w:sz w:val="22"/>
              </w:rPr>
              <w:t>ize</w:t>
            </w:r>
            <w:r>
              <w:rPr>
                <w:sz w:val="22"/>
              </w:rPr>
              <w:t xml:space="preserve"> 6BBs How-To-Guide</w:t>
            </w:r>
          </w:p>
        </w:tc>
        <w:tc>
          <w:tcPr>
            <w:tcW w:w="3600" w:type="dxa"/>
            <w:tcBorders>
              <w:top w:val="nil"/>
              <w:bottom w:val="nil"/>
              <w:right w:val="nil"/>
            </w:tcBorders>
          </w:tcPr>
          <w:p w14:paraId="76283613" w14:textId="77777777" w:rsidR="00564A89" w:rsidRPr="00FF57EF" w:rsidRDefault="00564A89" w:rsidP="00564A89">
            <w:pPr>
              <w:spacing w:before="40" w:after="40"/>
              <w:rPr>
                <w:sz w:val="22"/>
              </w:rPr>
            </w:pPr>
            <w:r>
              <w:rPr>
                <w:sz w:val="22"/>
              </w:rPr>
              <w:t>March 2019</w:t>
            </w:r>
          </w:p>
        </w:tc>
      </w:tr>
      <w:tr w:rsidR="00B76CD5" w:rsidRPr="00234B2A" w14:paraId="6EF0EBFC" w14:textId="77777777" w:rsidTr="007E384A">
        <w:tc>
          <w:tcPr>
            <w:tcW w:w="4860" w:type="dxa"/>
            <w:tcBorders>
              <w:top w:val="nil"/>
              <w:left w:val="nil"/>
              <w:bottom w:val="nil"/>
            </w:tcBorders>
            <w:vAlign w:val="center"/>
          </w:tcPr>
          <w:p w14:paraId="076DF019" w14:textId="77777777" w:rsidR="00B76CD5" w:rsidRDefault="007E384A" w:rsidP="00FB10DA">
            <w:pPr>
              <w:ind w:left="72"/>
              <w:rPr>
                <w:sz w:val="22"/>
              </w:rPr>
            </w:pPr>
            <w:r>
              <w:rPr>
                <w:sz w:val="22"/>
              </w:rPr>
              <w:t>Practices implement 6BBs Toolkit</w:t>
            </w:r>
          </w:p>
        </w:tc>
        <w:tc>
          <w:tcPr>
            <w:tcW w:w="3600" w:type="dxa"/>
            <w:tcBorders>
              <w:top w:val="nil"/>
              <w:bottom w:val="nil"/>
              <w:right w:val="nil"/>
            </w:tcBorders>
          </w:tcPr>
          <w:p w14:paraId="1FA097EC" w14:textId="77777777" w:rsidR="00B76CD5" w:rsidRDefault="00B76CD5" w:rsidP="00B76CD5">
            <w:pPr>
              <w:spacing w:before="40" w:after="40"/>
              <w:rPr>
                <w:sz w:val="22"/>
              </w:rPr>
            </w:pPr>
            <w:r>
              <w:rPr>
                <w:sz w:val="22"/>
              </w:rPr>
              <w:t xml:space="preserve">March 2019 – September 2020 </w:t>
            </w:r>
          </w:p>
        </w:tc>
      </w:tr>
      <w:tr w:rsidR="00B76CD5" w:rsidRPr="00234B2A" w14:paraId="680BF7EA" w14:textId="77777777" w:rsidTr="007E384A">
        <w:trPr>
          <w:trHeight w:val="468"/>
        </w:trPr>
        <w:tc>
          <w:tcPr>
            <w:tcW w:w="4860" w:type="dxa"/>
            <w:tcBorders>
              <w:top w:val="nil"/>
              <w:left w:val="nil"/>
              <w:bottom w:val="nil"/>
            </w:tcBorders>
            <w:vAlign w:val="center"/>
          </w:tcPr>
          <w:p w14:paraId="2B9A05AE" w14:textId="77777777" w:rsidR="00B76CD5" w:rsidRDefault="00FB10DA" w:rsidP="00FB10DA">
            <w:pPr>
              <w:ind w:left="72"/>
              <w:rPr>
                <w:sz w:val="22"/>
              </w:rPr>
            </w:pPr>
            <w:r>
              <w:rPr>
                <w:sz w:val="22"/>
              </w:rPr>
              <w:t>Virtual launch meeting</w:t>
            </w:r>
            <w:r w:rsidR="00B76CD5">
              <w:rPr>
                <w:sz w:val="22"/>
              </w:rPr>
              <w:t xml:space="preserve"> </w:t>
            </w:r>
          </w:p>
        </w:tc>
        <w:tc>
          <w:tcPr>
            <w:tcW w:w="3600" w:type="dxa"/>
            <w:tcBorders>
              <w:top w:val="nil"/>
              <w:bottom w:val="nil"/>
              <w:right w:val="nil"/>
            </w:tcBorders>
          </w:tcPr>
          <w:p w14:paraId="4ED8A3AD" w14:textId="77777777" w:rsidR="00B76CD5" w:rsidRDefault="00FB10DA" w:rsidP="00B76CD5">
            <w:pPr>
              <w:spacing w:before="40" w:after="40"/>
              <w:rPr>
                <w:sz w:val="22"/>
              </w:rPr>
            </w:pPr>
            <w:r>
              <w:rPr>
                <w:sz w:val="22"/>
              </w:rPr>
              <w:t>April 2019</w:t>
            </w:r>
          </w:p>
        </w:tc>
      </w:tr>
      <w:tr w:rsidR="00FB10DA" w:rsidRPr="00234B2A" w14:paraId="16B6906D" w14:textId="77777777" w:rsidTr="007E384A">
        <w:tc>
          <w:tcPr>
            <w:tcW w:w="4860" w:type="dxa"/>
            <w:tcBorders>
              <w:top w:val="nil"/>
              <w:left w:val="nil"/>
              <w:bottom w:val="nil"/>
            </w:tcBorders>
            <w:vAlign w:val="center"/>
          </w:tcPr>
          <w:p w14:paraId="2E32C492" w14:textId="3BDCB394" w:rsidR="00FB10DA" w:rsidRDefault="00FB10DA" w:rsidP="00FB10DA">
            <w:pPr>
              <w:ind w:left="72"/>
              <w:rPr>
                <w:sz w:val="22"/>
              </w:rPr>
            </w:pPr>
            <w:r>
              <w:rPr>
                <w:sz w:val="22"/>
              </w:rPr>
              <w:t xml:space="preserve">Quarterly check-in calls </w:t>
            </w:r>
          </w:p>
        </w:tc>
        <w:tc>
          <w:tcPr>
            <w:tcW w:w="3600" w:type="dxa"/>
            <w:tcBorders>
              <w:top w:val="nil"/>
              <w:bottom w:val="nil"/>
              <w:right w:val="nil"/>
            </w:tcBorders>
          </w:tcPr>
          <w:p w14:paraId="6CABD27A" w14:textId="77777777" w:rsidR="00FB10DA" w:rsidRDefault="00FB10DA" w:rsidP="00B76CD5">
            <w:pPr>
              <w:spacing w:before="40" w:after="40"/>
              <w:rPr>
                <w:sz w:val="22"/>
              </w:rPr>
            </w:pPr>
            <w:r>
              <w:rPr>
                <w:sz w:val="22"/>
              </w:rPr>
              <w:t>April 2019 – June 2020</w:t>
            </w:r>
          </w:p>
        </w:tc>
      </w:tr>
      <w:tr w:rsidR="007E384A" w:rsidRPr="00234B2A" w14:paraId="08966C96" w14:textId="77777777" w:rsidTr="007E384A">
        <w:tc>
          <w:tcPr>
            <w:tcW w:w="4860" w:type="dxa"/>
            <w:tcBorders>
              <w:top w:val="nil"/>
              <w:left w:val="nil"/>
              <w:bottom w:val="nil"/>
            </w:tcBorders>
            <w:vAlign w:val="center"/>
          </w:tcPr>
          <w:p w14:paraId="74CF740B" w14:textId="77777777" w:rsidR="007E384A" w:rsidRDefault="007E384A" w:rsidP="007E384A">
            <w:pPr>
              <w:ind w:left="72"/>
              <w:rPr>
                <w:sz w:val="22"/>
              </w:rPr>
            </w:pPr>
            <w:r>
              <w:rPr>
                <w:sz w:val="22"/>
              </w:rPr>
              <w:t>Secondary data collection</w:t>
            </w:r>
          </w:p>
        </w:tc>
        <w:tc>
          <w:tcPr>
            <w:tcW w:w="3600" w:type="dxa"/>
            <w:tcBorders>
              <w:top w:val="nil"/>
              <w:bottom w:val="nil"/>
              <w:right w:val="nil"/>
            </w:tcBorders>
          </w:tcPr>
          <w:p w14:paraId="55A3D104" w14:textId="77777777" w:rsidR="007E384A" w:rsidRDefault="007E384A" w:rsidP="007E384A">
            <w:pPr>
              <w:spacing w:before="40" w:after="40"/>
              <w:rPr>
                <w:sz w:val="22"/>
              </w:rPr>
            </w:pPr>
            <w:r>
              <w:rPr>
                <w:sz w:val="22"/>
              </w:rPr>
              <w:t>June 2019 (upon OMB approval) – March 2020</w:t>
            </w:r>
          </w:p>
        </w:tc>
      </w:tr>
      <w:tr w:rsidR="007E384A" w:rsidRPr="00234B2A" w14:paraId="7B0C1651" w14:textId="77777777" w:rsidTr="007E384A">
        <w:tc>
          <w:tcPr>
            <w:tcW w:w="4860" w:type="dxa"/>
            <w:tcBorders>
              <w:top w:val="nil"/>
              <w:left w:val="nil"/>
              <w:bottom w:val="nil"/>
            </w:tcBorders>
            <w:vAlign w:val="center"/>
          </w:tcPr>
          <w:p w14:paraId="0DD059B6" w14:textId="77777777" w:rsidR="007E384A" w:rsidRDefault="007E384A" w:rsidP="007E384A">
            <w:pPr>
              <w:ind w:left="72"/>
              <w:rPr>
                <w:sz w:val="22"/>
              </w:rPr>
            </w:pPr>
            <w:r>
              <w:rPr>
                <w:sz w:val="22"/>
              </w:rPr>
              <w:t>Organizations report QI measures quarterly</w:t>
            </w:r>
          </w:p>
        </w:tc>
        <w:tc>
          <w:tcPr>
            <w:tcW w:w="3600" w:type="dxa"/>
            <w:tcBorders>
              <w:top w:val="nil"/>
              <w:bottom w:val="nil"/>
              <w:right w:val="nil"/>
            </w:tcBorders>
          </w:tcPr>
          <w:p w14:paraId="0D0E5CD5" w14:textId="77777777" w:rsidR="007E384A" w:rsidRDefault="007E384A" w:rsidP="007E384A">
            <w:pPr>
              <w:spacing w:before="40" w:after="40"/>
              <w:rPr>
                <w:sz w:val="22"/>
              </w:rPr>
            </w:pPr>
            <w:r>
              <w:rPr>
                <w:sz w:val="22"/>
              </w:rPr>
              <w:t>June 2019 (upon OMB approval) – March 2020</w:t>
            </w:r>
          </w:p>
        </w:tc>
      </w:tr>
      <w:tr w:rsidR="007E384A" w:rsidRPr="00234B2A" w14:paraId="550458C5" w14:textId="77777777" w:rsidTr="007E384A">
        <w:tc>
          <w:tcPr>
            <w:tcW w:w="4860" w:type="dxa"/>
            <w:tcBorders>
              <w:top w:val="nil"/>
              <w:left w:val="nil"/>
              <w:bottom w:val="nil"/>
            </w:tcBorders>
            <w:vAlign w:val="center"/>
          </w:tcPr>
          <w:p w14:paraId="19C11172" w14:textId="77777777" w:rsidR="007E384A" w:rsidRPr="00BD3A68" w:rsidRDefault="007E384A" w:rsidP="007E384A">
            <w:pPr>
              <w:ind w:left="72"/>
              <w:rPr>
                <w:sz w:val="22"/>
              </w:rPr>
            </w:pPr>
            <w:r>
              <w:rPr>
                <w:sz w:val="22"/>
              </w:rPr>
              <w:t>First round of clinical staff surveys</w:t>
            </w:r>
          </w:p>
        </w:tc>
        <w:tc>
          <w:tcPr>
            <w:tcW w:w="3600" w:type="dxa"/>
            <w:tcBorders>
              <w:top w:val="nil"/>
              <w:bottom w:val="nil"/>
              <w:right w:val="nil"/>
            </w:tcBorders>
          </w:tcPr>
          <w:p w14:paraId="1EC70B2C" w14:textId="77777777" w:rsidR="007E384A" w:rsidRPr="00FF57EF" w:rsidRDefault="007E384A" w:rsidP="007E384A">
            <w:pPr>
              <w:spacing w:before="40" w:after="40"/>
              <w:rPr>
                <w:sz w:val="22"/>
              </w:rPr>
            </w:pPr>
            <w:r>
              <w:rPr>
                <w:sz w:val="22"/>
              </w:rPr>
              <w:t>June 2019</w:t>
            </w:r>
            <w:r w:rsidR="009F4779">
              <w:rPr>
                <w:sz w:val="22"/>
              </w:rPr>
              <w:t xml:space="preserve"> (upon OMB approval)</w:t>
            </w:r>
          </w:p>
        </w:tc>
      </w:tr>
      <w:tr w:rsidR="007E384A" w:rsidRPr="00234B2A" w14:paraId="36A0B6A2" w14:textId="77777777" w:rsidTr="007E384A">
        <w:tc>
          <w:tcPr>
            <w:tcW w:w="4860" w:type="dxa"/>
            <w:tcBorders>
              <w:top w:val="nil"/>
              <w:left w:val="nil"/>
              <w:bottom w:val="nil"/>
            </w:tcBorders>
            <w:vAlign w:val="center"/>
          </w:tcPr>
          <w:p w14:paraId="22CE69D7" w14:textId="77777777" w:rsidR="007E384A" w:rsidRDefault="007E384A" w:rsidP="007E384A">
            <w:pPr>
              <w:ind w:left="72"/>
              <w:rPr>
                <w:sz w:val="22"/>
              </w:rPr>
            </w:pPr>
            <w:r>
              <w:rPr>
                <w:sz w:val="22"/>
              </w:rPr>
              <w:t>First round of interviews with QI leads</w:t>
            </w:r>
          </w:p>
        </w:tc>
        <w:tc>
          <w:tcPr>
            <w:tcW w:w="3600" w:type="dxa"/>
            <w:tcBorders>
              <w:top w:val="nil"/>
              <w:bottom w:val="nil"/>
              <w:right w:val="nil"/>
            </w:tcBorders>
          </w:tcPr>
          <w:p w14:paraId="63BF22A3" w14:textId="77777777" w:rsidR="007E384A" w:rsidRDefault="007E384A" w:rsidP="007E384A">
            <w:pPr>
              <w:spacing w:before="40" w:after="40"/>
              <w:rPr>
                <w:sz w:val="22"/>
              </w:rPr>
            </w:pPr>
            <w:r>
              <w:rPr>
                <w:sz w:val="22"/>
              </w:rPr>
              <w:t>June 2019</w:t>
            </w:r>
            <w:r w:rsidR="009F4779">
              <w:rPr>
                <w:sz w:val="22"/>
              </w:rPr>
              <w:t xml:space="preserve"> (upon OMB approval)</w:t>
            </w:r>
          </w:p>
        </w:tc>
      </w:tr>
      <w:tr w:rsidR="007E384A" w:rsidRPr="00234B2A" w14:paraId="01878B46" w14:textId="77777777" w:rsidTr="007E384A">
        <w:tc>
          <w:tcPr>
            <w:tcW w:w="4860" w:type="dxa"/>
            <w:tcBorders>
              <w:top w:val="nil"/>
              <w:left w:val="nil"/>
              <w:bottom w:val="nil"/>
            </w:tcBorders>
            <w:vAlign w:val="center"/>
          </w:tcPr>
          <w:p w14:paraId="4E8B4283" w14:textId="77777777" w:rsidR="007E384A" w:rsidRPr="00BD3A68" w:rsidRDefault="007E384A" w:rsidP="007E384A">
            <w:pPr>
              <w:ind w:left="72"/>
              <w:rPr>
                <w:sz w:val="22"/>
              </w:rPr>
            </w:pPr>
            <w:r>
              <w:rPr>
                <w:sz w:val="22"/>
              </w:rPr>
              <w:t xml:space="preserve">First round of interviews with additional staff  </w:t>
            </w:r>
          </w:p>
        </w:tc>
        <w:tc>
          <w:tcPr>
            <w:tcW w:w="3600" w:type="dxa"/>
            <w:tcBorders>
              <w:top w:val="nil"/>
              <w:bottom w:val="nil"/>
              <w:right w:val="nil"/>
            </w:tcBorders>
          </w:tcPr>
          <w:p w14:paraId="4F837760" w14:textId="77777777" w:rsidR="007E384A" w:rsidRPr="00FF57EF" w:rsidRDefault="007E384A" w:rsidP="007E384A">
            <w:pPr>
              <w:spacing w:before="40" w:after="40"/>
              <w:rPr>
                <w:sz w:val="22"/>
              </w:rPr>
            </w:pPr>
            <w:r>
              <w:rPr>
                <w:sz w:val="22"/>
              </w:rPr>
              <w:t>December 2019</w:t>
            </w:r>
          </w:p>
        </w:tc>
      </w:tr>
      <w:tr w:rsidR="007E384A" w:rsidRPr="00234B2A" w14:paraId="4FFC5A8F" w14:textId="77777777" w:rsidTr="007E384A">
        <w:tc>
          <w:tcPr>
            <w:tcW w:w="4860" w:type="dxa"/>
            <w:tcBorders>
              <w:top w:val="nil"/>
              <w:left w:val="nil"/>
              <w:bottom w:val="nil"/>
            </w:tcBorders>
            <w:vAlign w:val="center"/>
          </w:tcPr>
          <w:p w14:paraId="47F6B766" w14:textId="77777777" w:rsidR="007E384A" w:rsidRPr="00BD3A68" w:rsidRDefault="007E384A" w:rsidP="007E384A">
            <w:pPr>
              <w:ind w:left="72"/>
              <w:rPr>
                <w:sz w:val="22"/>
              </w:rPr>
            </w:pPr>
            <w:r>
              <w:rPr>
                <w:sz w:val="22"/>
              </w:rPr>
              <w:t>Second round of clinical staff surveys</w:t>
            </w:r>
          </w:p>
        </w:tc>
        <w:tc>
          <w:tcPr>
            <w:tcW w:w="3600" w:type="dxa"/>
            <w:tcBorders>
              <w:top w:val="nil"/>
              <w:bottom w:val="nil"/>
              <w:right w:val="nil"/>
            </w:tcBorders>
          </w:tcPr>
          <w:p w14:paraId="5EE69C05" w14:textId="77777777" w:rsidR="007E384A" w:rsidRPr="00FF57EF" w:rsidRDefault="007E384A" w:rsidP="007E384A">
            <w:pPr>
              <w:spacing w:before="40" w:after="40"/>
              <w:rPr>
                <w:sz w:val="22"/>
              </w:rPr>
            </w:pPr>
            <w:r>
              <w:rPr>
                <w:sz w:val="22"/>
              </w:rPr>
              <w:t>May 2020</w:t>
            </w:r>
          </w:p>
        </w:tc>
      </w:tr>
      <w:tr w:rsidR="007E384A" w:rsidRPr="00234B2A" w14:paraId="5E294074" w14:textId="77777777" w:rsidTr="007E384A">
        <w:tc>
          <w:tcPr>
            <w:tcW w:w="4860" w:type="dxa"/>
            <w:tcBorders>
              <w:top w:val="nil"/>
              <w:left w:val="nil"/>
              <w:bottom w:val="nil"/>
            </w:tcBorders>
            <w:vAlign w:val="center"/>
          </w:tcPr>
          <w:p w14:paraId="1F2B0BA0" w14:textId="77777777" w:rsidR="007E384A" w:rsidRDefault="007E384A" w:rsidP="007E384A">
            <w:pPr>
              <w:ind w:left="72"/>
              <w:rPr>
                <w:sz w:val="22"/>
              </w:rPr>
            </w:pPr>
            <w:r>
              <w:rPr>
                <w:sz w:val="22"/>
              </w:rPr>
              <w:t>Second round of interviews with QI leads and additional staff</w:t>
            </w:r>
          </w:p>
        </w:tc>
        <w:tc>
          <w:tcPr>
            <w:tcW w:w="3600" w:type="dxa"/>
            <w:tcBorders>
              <w:top w:val="nil"/>
              <w:bottom w:val="nil"/>
              <w:right w:val="nil"/>
            </w:tcBorders>
          </w:tcPr>
          <w:p w14:paraId="5169AD46" w14:textId="77777777" w:rsidR="007E384A" w:rsidRDefault="009F4779" w:rsidP="007E384A">
            <w:pPr>
              <w:spacing w:before="40" w:after="40"/>
              <w:rPr>
                <w:sz w:val="22"/>
              </w:rPr>
            </w:pPr>
            <w:r>
              <w:rPr>
                <w:sz w:val="22"/>
              </w:rPr>
              <w:t>May</w:t>
            </w:r>
            <w:r w:rsidR="007E384A">
              <w:rPr>
                <w:sz w:val="22"/>
              </w:rPr>
              <w:t xml:space="preserve"> 2020</w:t>
            </w:r>
          </w:p>
        </w:tc>
      </w:tr>
      <w:tr w:rsidR="007E384A" w:rsidRPr="00234B2A" w14:paraId="27F3C0D2" w14:textId="77777777" w:rsidTr="007E384A">
        <w:tc>
          <w:tcPr>
            <w:tcW w:w="4860" w:type="dxa"/>
            <w:tcBorders>
              <w:top w:val="nil"/>
              <w:left w:val="nil"/>
              <w:bottom w:val="nil"/>
            </w:tcBorders>
          </w:tcPr>
          <w:p w14:paraId="6F9A7CCD" w14:textId="77777777" w:rsidR="007E384A" w:rsidRPr="008C5ABD" w:rsidRDefault="007E384A" w:rsidP="007E384A">
            <w:pPr>
              <w:spacing w:before="40" w:after="40"/>
              <w:ind w:left="72"/>
              <w:rPr>
                <w:sz w:val="22"/>
                <w:szCs w:val="22"/>
              </w:rPr>
            </w:pPr>
            <w:r w:rsidRPr="008C5ABD">
              <w:rPr>
                <w:sz w:val="22"/>
                <w:szCs w:val="22"/>
              </w:rPr>
              <w:t>Complete analysis</w:t>
            </w:r>
          </w:p>
        </w:tc>
        <w:tc>
          <w:tcPr>
            <w:tcW w:w="3600" w:type="dxa"/>
            <w:tcBorders>
              <w:top w:val="nil"/>
              <w:bottom w:val="nil"/>
              <w:right w:val="nil"/>
            </w:tcBorders>
          </w:tcPr>
          <w:p w14:paraId="14B2BC70" w14:textId="77777777" w:rsidR="007E384A" w:rsidRPr="00FF57EF" w:rsidRDefault="009F4779" w:rsidP="007E384A">
            <w:pPr>
              <w:spacing w:before="40" w:after="40"/>
              <w:rPr>
                <w:b/>
                <w:sz w:val="22"/>
              </w:rPr>
            </w:pPr>
            <w:r>
              <w:rPr>
                <w:sz w:val="22"/>
              </w:rPr>
              <w:t>June 2020 - July</w:t>
            </w:r>
            <w:r w:rsidR="007E384A">
              <w:rPr>
                <w:sz w:val="22"/>
              </w:rPr>
              <w:t xml:space="preserve"> 2020</w:t>
            </w:r>
          </w:p>
        </w:tc>
      </w:tr>
      <w:tr w:rsidR="007E384A" w:rsidRPr="00234B2A" w14:paraId="41B8408D" w14:textId="77777777" w:rsidTr="007E384A">
        <w:tc>
          <w:tcPr>
            <w:tcW w:w="4860" w:type="dxa"/>
            <w:tcBorders>
              <w:top w:val="nil"/>
              <w:left w:val="nil"/>
              <w:bottom w:val="nil"/>
            </w:tcBorders>
          </w:tcPr>
          <w:p w14:paraId="4D39119A" w14:textId="77777777" w:rsidR="007E384A" w:rsidRPr="008C5ABD" w:rsidRDefault="007E384A" w:rsidP="007E384A">
            <w:pPr>
              <w:spacing w:before="40" w:after="40"/>
              <w:ind w:left="72"/>
              <w:rPr>
                <w:sz w:val="22"/>
                <w:szCs w:val="22"/>
              </w:rPr>
            </w:pPr>
            <w:r>
              <w:rPr>
                <w:sz w:val="22"/>
                <w:szCs w:val="22"/>
              </w:rPr>
              <w:t>Draft</w:t>
            </w:r>
            <w:r w:rsidRPr="008C5ABD">
              <w:rPr>
                <w:sz w:val="22"/>
                <w:szCs w:val="22"/>
              </w:rPr>
              <w:t xml:space="preserve"> report</w:t>
            </w:r>
          </w:p>
        </w:tc>
        <w:tc>
          <w:tcPr>
            <w:tcW w:w="3600" w:type="dxa"/>
            <w:tcBorders>
              <w:top w:val="nil"/>
              <w:bottom w:val="nil"/>
              <w:right w:val="nil"/>
            </w:tcBorders>
          </w:tcPr>
          <w:p w14:paraId="21652E91" w14:textId="77777777" w:rsidR="007E384A" w:rsidRPr="00FF57EF" w:rsidRDefault="009F4779" w:rsidP="007E384A">
            <w:pPr>
              <w:spacing w:before="40" w:after="40"/>
              <w:rPr>
                <w:sz w:val="22"/>
              </w:rPr>
            </w:pPr>
            <w:r>
              <w:rPr>
                <w:sz w:val="22"/>
              </w:rPr>
              <w:t>August</w:t>
            </w:r>
            <w:r w:rsidR="007E384A">
              <w:rPr>
                <w:sz w:val="22"/>
              </w:rPr>
              <w:t xml:space="preserve"> </w:t>
            </w:r>
            <w:r w:rsidR="007E384A" w:rsidRPr="00FF57EF">
              <w:rPr>
                <w:sz w:val="22"/>
              </w:rPr>
              <w:t>20</w:t>
            </w:r>
            <w:r w:rsidR="007E384A">
              <w:rPr>
                <w:sz w:val="22"/>
              </w:rPr>
              <w:t>20</w:t>
            </w:r>
          </w:p>
        </w:tc>
      </w:tr>
      <w:tr w:rsidR="007E384A" w:rsidRPr="00234B2A" w14:paraId="7D242535" w14:textId="77777777" w:rsidTr="007E384A">
        <w:tc>
          <w:tcPr>
            <w:tcW w:w="4860" w:type="dxa"/>
            <w:tcBorders>
              <w:top w:val="nil"/>
              <w:left w:val="nil"/>
              <w:bottom w:val="nil"/>
            </w:tcBorders>
          </w:tcPr>
          <w:p w14:paraId="54912CD3" w14:textId="77777777" w:rsidR="007E384A" w:rsidRPr="008C5ABD" w:rsidRDefault="007E384A" w:rsidP="007E384A">
            <w:pPr>
              <w:spacing w:before="40" w:after="40"/>
              <w:ind w:left="72"/>
              <w:rPr>
                <w:sz w:val="22"/>
                <w:szCs w:val="22"/>
              </w:rPr>
            </w:pPr>
            <w:r w:rsidRPr="008C5ABD">
              <w:rPr>
                <w:sz w:val="22"/>
                <w:szCs w:val="22"/>
              </w:rPr>
              <w:t xml:space="preserve">Revised </w:t>
            </w:r>
            <w:r>
              <w:rPr>
                <w:sz w:val="22"/>
                <w:szCs w:val="22"/>
              </w:rPr>
              <w:t>6BBs Toolkit</w:t>
            </w:r>
          </w:p>
        </w:tc>
        <w:tc>
          <w:tcPr>
            <w:tcW w:w="3600" w:type="dxa"/>
            <w:tcBorders>
              <w:top w:val="nil"/>
              <w:bottom w:val="nil"/>
              <w:right w:val="nil"/>
            </w:tcBorders>
          </w:tcPr>
          <w:p w14:paraId="60717F0E" w14:textId="77777777" w:rsidR="007E384A" w:rsidRPr="00FF57EF" w:rsidRDefault="009F4779" w:rsidP="007E384A">
            <w:pPr>
              <w:spacing w:before="40" w:after="40"/>
              <w:rPr>
                <w:sz w:val="22"/>
              </w:rPr>
            </w:pPr>
            <w:r>
              <w:rPr>
                <w:sz w:val="22"/>
              </w:rPr>
              <w:t>August</w:t>
            </w:r>
            <w:r w:rsidR="007E384A">
              <w:rPr>
                <w:sz w:val="22"/>
              </w:rPr>
              <w:t xml:space="preserve"> 2020</w:t>
            </w:r>
          </w:p>
        </w:tc>
      </w:tr>
      <w:tr w:rsidR="007E384A" w:rsidRPr="00234B2A" w14:paraId="482F7A69" w14:textId="77777777" w:rsidTr="007E384A">
        <w:tc>
          <w:tcPr>
            <w:tcW w:w="4860" w:type="dxa"/>
            <w:tcBorders>
              <w:top w:val="nil"/>
              <w:left w:val="nil"/>
              <w:bottom w:val="nil"/>
            </w:tcBorders>
          </w:tcPr>
          <w:p w14:paraId="6EB45C62" w14:textId="77777777" w:rsidR="007E384A" w:rsidRPr="008C5ABD" w:rsidRDefault="007E384A" w:rsidP="007E384A">
            <w:pPr>
              <w:spacing w:before="40" w:after="40"/>
              <w:ind w:left="72"/>
              <w:rPr>
                <w:sz w:val="22"/>
                <w:szCs w:val="22"/>
              </w:rPr>
            </w:pPr>
            <w:r w:rsidRPr="008C5ABD">
              <w:rPr>
                <w:sz w:val="22"/>
                <w:szCs w:val="22"/>
              </w:rPr>
              <w:t>Final report</w:t>
            </w:r>
          </w:p>
        </w:tc>
        <w:tc>
          <w:tcPr>
            <w:tcW w:w="3600" w:type="dxa"/>
            <w:tcBorders>
              <w:top w:val="nil"/>
              <w:bottom w:val="nil"/>
              <w:right w:val="nil"/>
            </w:tcBorders>
          </w:tcPr>
          <w:p w14:paraId="18491ECE" w14:textId="77777777" w:rsidR="007E384A" w:rsidRPr="00FF57EF" w:rsidRDefault="009F4779" w:rsidP="007E384A">
            <w:pPr>
              <w:spacing w:before="40" w:after="40"/>
              <w:rPr>
                <w:sz w:val="22"/>
              </w:rPr>
            </w:pPr>
            <w:r>
              <w:rPr>
                <w:sz w:val="22"/>
              </w:rPr>
              <w:t>September</w:t>
            </w:r>
            <w:r w:rsidR="007E384A">
              <w:rPr>
                <w:sz w:val="22"/>
              </w:rPr>
              <w:t xml:space="preserve"> 2020</w:t>
            </w:r>
          </w:p>
        </w:tc>
      </w:tr>
      <w:tr w:rsidR="007E384A" w:rsidRPr="00234B2A" w14:paraId="1B61DAD8" w14:textId="77777777" w:rsidTr="007E384A">
        <w:tc>
          <w:tcPr>
            <w:tcW w:w="4860" w:type="dxa"/>
            <w:tcBorders>
              <w:top w:val="nil"/>
              <w:left w:val="nil"/>
              <w:bottom w:val="single" w:sz="4" w:space="0" w:color="auto"/>
            </w:tcBorders>
          </w:tcPr>
          <w:p w14:paraId="6077E31D" w14:textId="77777777" w:rsidR="007E384A" w:rsidRPr="008C5ABD" w:rsidRDefault="007E384A" w:rsidP="007E384A">
            <w:pPr>
              <w:spacing w:before="40" w:after="40"/>
              <w:ind w:left="72"/>
              <w:rPr>
                <w:sz w:val="22"/>
                <w:szCs w:val="22"/>
              </w:rPr>
            </w:pPr>
            <w:r w:rsidRPr="008C5ABD">
              <w:rPr>
                <w:sz w:val="22"/>
                <w:szCs w:val="22"/>
              </w:rPr>
              <w:t xml:space="preserve">Final </w:t>
            </w:r>
            <w:r>
              <w:rPr>
                <w:sz w:val="22"/>
                <w:szCs w:val="22"/>
              </w:rPr>
              <w:t>6BBs Toolkit</w:t>
            </w:r>
          </w:p>
        </w:tc>
        <w:tc>
          <w:tcPr>
            <w:tcW w:w="3600" w:type="dxa"/>
            <w:tcBorders>
              <w:top w:val="nil"/>
              <w:bottom w:val="single" w:sz="4" w:space="0" w:color="auto"/>
              <w:right w:val="nil"/>
            </w:tcBorders>
          </w:tcPr>
          <w:p w14:paraId="7250A89F" w14:textId="77777777" w:rsidR="007E384A" w:rsidRPr="00FF57EF" w:rsidRDefault="009F4779" w:rsidP="007E384A">
            <w:pPr>
              <w:spacing w:before="40" w:after="40"/>
              <w:rPr>
                <w:sz w:val="22"/>
              </w:rPr>
            </w:pPr>
            <w:r>
              <w:rPr>
                <w:sz w:val="22"/>
              </w:rPr>
              <w:t>September</w:t>
            </w:r>
            <w:r w:rsidR="007E384A">
              <w:rPr>
                <w:sz w:val="22"/>
              </w:rPr>
              <w:t xml:space="preserve"> 2020</w:t>
            </w:r>
          </w:p>
        </w:tc>
      </w:tr>
    </w:tbl>
    <w:p w14:paraId="14154658" w14:textId="77777777" w:rsidR="0013447B" w:rsidRDefault="0013447B" w:rsidP="0013447B">
      <w:pPr>
        <w:spacing w:before="120"/>
      </w:pPr>
    </w:p>
    <w:p w14:paraId="0F386873" w14:textId="77777777" w:rsidR="0013447B" w:rsidRPr="009547ED" w:rsidRDefault="0013447B" w:rsidP="0013447B">
      <w:pPr>
        <w:rPr>
          <w:b/>
          <w:color w:val="000000"/>
        </w:rPr>
      </w:pPr>
      <w:r w:rsidRPr="009547ED">
        <w:rPr>
          <w:b/>
          <w:color w:val="000000"/>
        </w:rPr>
        <w:t>Publication Plan:</w:t>
      </w:r>
    </w:p>
    <w:p w14:paraId="020BCC63" w14:textId="77777777" w:rsidR="0013447B" w:rsidRDefault="0013447B" w:rsidP="0013447B">
      <w:pPr>
        <w:adjustRightInd w:val="0"/>
      </w:pPr>
      <w:r>
        <w:t xml:space="preserve">Study results </w:t>
      </w:r>
      <w:r w:rsidRPr="008B4ED2">
        <w:t>will be disseminated through a peer-reviewed publication</w:t>
      </w:r>
      <w:r>
        <w:t xml:space="preserve">. The final </w:t>
      </w:r>
      <w:r w:rsidR="00B76CD5">
        <w:t>How-To-Guide</w:t>
      </w:r>
      <w:r>
        <w:t xml:space="preserve"> will be </w:t>
      </w:r>
      <w:r w:rsidRPr="008B4ED2">
        <w:t>posted on the</w:t>
      </w:r>
      <w:r>
        <w:t xml:space="preserve"> appropriate section of the AHRQ </w:t>
      </w:r>
      <w:r w:rsidRPr="008B4ED2">
        <w:t>web site</w:t>
      </w:r>
      <w:r>
        <w:t xml:space="preserve"> and disseminated via </w:t>
      </w:r>
      <w:r w:rsidRPr="008B4ED2">
        <w:t>AHRQ’s Office of Commun</w:t>
      </w:r>
      <w:r>
        <w:t xml:space="preserve">ication and Knowledge Transfer (e.g., </w:t>
      </w:r>
      <w:r w:rsidRPr="008B4ED2">
        <w:t xml:space="preserve">e-mails to relevant professional associations and </w:t>
      </w:r>
      <w:r>
        <w:t>postings on listservs)</w:t>
      </w:r>
      <w:r w:rsidRPr="008B4ED2">
        <w:t xml:space="preserve">. </w:t>
      </w:r>
      <w:r>
        <w:br/>
      </w:r>
    </w:p>
    <w:p w14:paraId="19ACA5D1" w14:textId="77777777" w:rsidR="0013447B" w:rsidRPr="0008203B" w:rsidRDefault="0013447B" w:rsidP="0013447B">
      <w:r w:rsidRPr="00CA7909">
        <w:rPr>
          <w:b/>
          <w:color w:val="000000"/>
        </w:rPr>
        <w:t>Analysis Plan:</w:t>
      </w:r>
      <w:r>
        <w:rPr>
          <w:b/>
          <w:color w:val="000000"/>
        </w:rPr>
        <w:br/>
      </w:r>
      <w:r>
        <w:t xml:space="preserve">As described above, the purpose of this data collection is twofold: </w:t>
      </w:r>
      <w:r w:rsidR="001864C2">
        <w:rPr>
          <w:color w:val="000000"/>
        </w:rPr>
        <w:t>1) U</w:t>
      </w:r>
      <w:r w:rsidR="001864C2" w:rsidRPr="00AD38AF">
        <w:rPr>
          <w:color w:val="000000"/>
        </w:rPr>
        <w:t>nderstand the facilitators and barriers of using the 6BB</w:t>
      </w:r>
      <w:r w:rsidR="001864C2">
        <w:rPr>
          <w:color w:val="000000"/>
        </w:rPr>
        <w:t>s</w:t>
      </w:r>
      <w:r w:rsidR="001864C2" w:rsidRPr="00AD38AF">
        <w:rPr>
          <w:color w:val="000000"/>
        </w:rPr>
        <w:t xml:space="preserve"> Toolkit and recommended improvements to processes of care and opioid</w:t>
      </w:r>
      <w:r w:rsidR="001864C2">
        <w:rPr>
          <w:color w:val="000000"/>
        </w:rPr>
        <w:t xml:space="preserve"> prescribing practices, and 2) A</w:t>
      </w:r>
      <w:r w:rsidR="001864C2" w:rsidRPr="00AD38AF">
        <w:rPr>
          <w:color w:val="000000"/>
        </w:rPr>
        <w:t>ssess the effectiveness of using the 6BB</w:t>
      </w:r>
      <w:r w:rsidR="001864C2">
        <w:rPr>
          <w:color w:val="000000"/>
        </w:rPr>
        <w:t>s</w:t>
      </w:r>
      <w:r w:rsidR="001864C2" w:rsidRPr="00AD38AF">
        <w:rPr>
          <w:color w:val="000000"/>
        </w:rPr>
        <w:t xml:space="preserve"> Toolkit to improve processes of care and opioid prescribing practices. </w:t>
      </w:r>
      <w:r w:rsidRPr="001A617B">
        <w:t>AHRQ has proposed to use multiple data sources</w:t>
      </w:r>
      <w:r>
        <w:t xml:space="preserve"> </w:t>
      </w:r>
      <w:r w:rsidRPr="001A617B">
        <w:t xml:space="preserve">to triangulate findings to </w:t>
      </w:r>
      <w:r>
        <w:t xml:space="preserve">meet both of these goals. </w:t>
      </w:r>
    </w:p>
    <w:p w14:paraId="0F621115" w14:textId="77777777" w:rsidR="0013447B" w:rsidRDefault="0013447B" w:rsidP="0013447B"/>
    <w:p w14:paraId="4036080E" w14:textId="77777777" w:rsidR="0013447B" w:rsidRDefault="0013447B" w:rsidP="0013447B">
      <w:r>
        <w:t>The data analysis strategies therefore differ, each of which are described below:</w:t>
      </w:r>
    </w:p>
    <w:p w14:paraId="73DFC81D" w14:textId="77777777" w:rsidR="0013447B" w:rsidRDefault="0013447B" w:rsidP="0013447B">
      <w:pPr>
        <w:spacing w:before="120"/>
      </w:pPr>
    </w:p>
    <w:p w14:paraId="6B0D083A" w14:textId="77777777" w:rsidR="0013447B" w:rsidRPr="00E2278C" w:rsidRDefault="0013447B" w:rsidP="0013447B">
      <w:pPr>
        <w:ind w:left="2880" w:hanging="2880"/>
        <w:rPr>
          <w:b/>
        </w:rPr>
      </w:pPr>
      <w:r w:rsidRPr="00E2278C">
        <w:rPr>
          <w:b/>
        </w:rPr>
        <w:t xml:space="preserve">Goal </w:t>
      </w:r>
      <w:r>
        <w:rPr>
          <w:b/>
        </w:rPr>
        <w:t>1</w:t>
      </w:r>
      <w:r w:rsidRPr="00E2278C">
        <w:rPr>
          <w:b/>
        </w:rPr>
        <w:t xml:space="preserve">: </w:t>
      </w:r>
      <w:r>
        <w:rPr>
          <w:b/>
        </w:rPr>
        <w:tab/>
      </w:r>
      <w:r w:rsidR="001864C2">
        <w:rPr>
          <w:color w:val="000000"/>
        </w:rPr>
        <w:t>U</w:t>
      </w:r>
      <w:r w:rsidR="001864C2" w:rsidRPr="00AD38AF">
        <w:rPr>
          <w:color w:val="000000"/>
        </w:rPr>
        <w:t>nderstand the facilitators and barriers of using the 6BB</w:t>
      </w:r>
      <w:r w:rsidR="001864C2">
        <w:rPr>
          <w:color w:val="000000"/>
        </w:rPr>
        <w:t>s</w:t>
      </w:r>
      <w:r w:rsidR="001864C2" w:rsidRPr="00AD38AF">
        <w:rPr>
          <w:color w:val="000000"/>
        </w:rPr>
        <w:t xml:space="preserve"> Toolkit and recommended improvements to processes of care and opioid</w:t>
      </w:r>
      <w:r w:rsidR="001864C2">
        <w:rPr>
          <w:color w:val="000000"/>
        </w:rPr>
        <w:t xml:space="preserve"> prescribing practices.</w:t>
      </w:r>
    </w:p>
    <w:p w14:paraId="6E019779" w14:textId="77777777" w:rsidR="0013447B" w:rsidRPr="009B1AE4" w:rsidRDefault="0013447B" w:rsidP="0013447B">
      <w:pPr>
        <w:ind w:left="2880" w:hanging="2880"/>
      </w:pPr>
      <w:r w:rsidRPr="00E2278C">
        <w:rPr>
          <w:b/>
        </w:rPr>
        <w:t xml:space="preserve">Data collection strategy: </w:t>
      </w:r>
      <w:r w:rsidRPr="00E2278C">
        <w:rPr>
          <w:b/>
        </w:rPr>
        <w:tab/>
      </w:r>
      <w:r w:rsidR="00B65556">
        <w:t>S</w:t>
      </w:r>
      <w:r w:rsidR="00403C04">
        <w:t xml:space="preserve">taff interviews, </w:t>
      </w:r>
      <w:r w:rsidR="001864C2">
        <w:t>quarterly check-in calls</w:t>
      </w:r>
      <w:r w:rsidR="00403C04">
        <w:t>, secondary data</w:t>
      </w:r>
      <w:r w:rsidR="00754AF7">
        <w:t>.</w:t>
      </w:r>
    </w:p>
    <w:p w14:paraId="4E1CE748" w14:textId="77777777" w:rsidR="0013447B" w:rsidRDefault="0013447B" w:rsidP="00B65556">
      <w:pPr>
        <w:ind w:left="2880" w:hanging="2880"/>
      </w:pPr>
      <w:r w:rsidRPr="00E2278C">
        <w:rPr>
          <w:b/>
        </w:rPr>
        <w:t xml:space="preserve">Data analysis strategy: </w:t>
      </w:r>
      <w:r w:rsidRPr="00E2278C">
        <w:rPr>
          <w:b/>
        </w:rPr>
        <w:tab/>
      </w:r>
      <w:r>
        <w:t>Qualitative synthesis</w:t>
      </w:r>
      <w:r w:rsidR="00403C04">
        <w:t xml:space="preserve"> complemented with quantitative data</w:t>
      </w:r>
      <w:r w:rsidR="00B65556">
        <w:t xml:space="preserve"> from clinical staff surveys</w:t>
      </w:r>
      <w:r w:rsidR="00754AF7">
        <w:t>.</w:t>
      </w:r>
    </w:p>
    <w:p w14:paraId="45E18568" w14:textId="77777777" w:rsidR="0013447B" w:rsidRDefault="0013447B" w:rsidP="0013447B"/>
    <w:p w14:paraId="77C7AEDC" w14:textId="77777777" w:rsidR="0013447B" w:rsidRPr="00CA7909" w:rsidRDefault="0013447B" w:rsidP="0013447B">
      <w:r>
        <w:t xml:space="preserve">Data will </w:t>
      </w:r>
      <w:r w:rsidR="00403C04">
        <w:t>be primarily analyzed qualitatively</w:t>
      </w:r>
      <w:r>
        <w:t>, identifying themes of facilitators and barriers to i</w:t>
      </w:r>
      <w:r w:rsidR="00403C04">
        <w:t>mplementing the 6BBs Toolkit</w:t>
      </w:r>
      <w:r>
        <w:t xml:space="preserve"> and impr</w:t>
      </w:r>
      <w:r w:rsidR="00403C04">
        <w:t>ovements to health care organizations’ processes of care and opioid prescribing practices</w:t>
      </w:r>
      <w:r>
        <w:t>. Qualitative analysis software (NVivo) will be used to synthesize and analyze the data as well as to allow for qualitative comparisons and synthesis by eac</w:t>
      </w:r>
      <w:r w:rsidR="00403C04">
        <w:t>h organization, organization type (e.g., single versus multi-clinic organization</w:t>
      </w:r>
      <w:r>
        <w:t xml:space="preserve">), staff type (e.g., </w:t>
      </w:r>
      <w:r w:rsidR="00403C04">
        <w:t>QI lead, clinical provider), geographic location</w:t>
      </w:r>
      <w:r>
        <w:t>, and in aggregate. Qualitative compariso</w:t>
      </w:r>
      <w:r w:rsidR="00403C04">
        <w:t xml:space="preserve">ns of </w:t>
      </w:r>
      <w:r w:rsidR="006823A7">
        <w:t xml:space="preserve">data </w:t>
      </w:r>
      <w:r w:rsidR="00403C04">
        <w:t>from the first to the second round</w:t>
      </w:r>
      <w:r>
        <w:t xml:space="preserve"> assessment</w:t>
      </w:r>
      <w:r w:rsidR="006823A7">
        <w:t>s of opioid prescribing</w:t>
      </w:r>
      <w:r>
        <w:t xml:space="preserve"> processes will be similarly analyzed. The insights regarding facilitators and barriers to implementation will be us</w:t>
      </w:r>
      <w:r w:rsidR="006823A7">
        <w:t>ed in the final 6BBs Toolkit to describe how other health care organizations might</w:t>
      </w:r>
      <w:r>
        <w:t xml:space="preserve"> implement changes</w:t>
      </w:r>
      <w:r w:rsidR="006823A7">
        <w:t xml:space="preserve"> more smoothly</w:t>
      </w:r>
      <w:r>
        <w:t>, and may also</w:t>
      </w:r>
      <w:r w:rsidR="006823A7">
        <w:t xml:space="preserve"> inform How-To-Guide content</w:t>
      </w:r>
      <w:r>
        <w:t xml:space="preserve"> (e.g., ho</w:t>
      </w:r>
      <w:r w:rsidR="006823A7">
        <w:t>w to obtain buy-in from</w:t>
      </w:r>
      <w:r>
        <w:t xml:space="preserve"> leadership). </w:t>
      </w:r>
    </w:p>
    <w:p w14:paraId="428C2415" w14:textId="77777777" w:rsidR="0013447B" w:rsidRDefault="0013447B" w:rsidP="0013447B">
      <w:pPr>
        <w:rPr>
          <w:b/>
        </w:rPr>
      </w:pPr>
    </w:p>
    <w:p w14:paraId="155124B4" w14:textId="77777777" w:rsidR="0013447B" w:rsidRPr="00E2278C" w:rsidRDefault="0013447B" w:rsidP="0013447B">
      <w:pPr>
        <w:ind w:left="2880" w:hanging="2880"/>
        <w:rPr>
          <w:b/>
        </w:rPr>
      </w:pPr>
      <w:r w:rsidRPr="00E2278C">
        <w:rPr>
          <w:b/>
        </w:rPr>
        <w:t xml:space="preserve">Goal </w:t>
      </w:r>
      <w:r>
        <w:rPr>
          <w:b/>
        </w:rPr>
        <w:t>2</w:t>
      </w:r>
      <w:r w:rsidRPr="00E2278C">
        <w:rPr>
          <w:b/>
        </w:rPr>
        <w:t xml:space="preserve">: </w:t>
      </w:r>
      <w:r>
        <w:rPr>
          <w:b/>
        </w:rPr>
        <w:tab/>
      </w:r>
      <w:r w:rsidR="001864C2">
        <w:rPr>
          <w:color w:val="000000"/>
        </w:rPr>
        <w:t>A</w:t>
      </w:r>
      <w:r w:rsidR="001864C2" w:rsidRPr="00AD38AF">
        <w:rPr>
          <w:color w:val="000000"/>
        </w:rPr>
        <w:t>ssess the effectiveness of using the 6BB</w:t>
      </w:r>
      <w:r w:rsidR="001864C2">
        <w:rPr>
          <w:color w:val="000000"/>
        </w:rPr>
        <w:t>s</w:t>
      </w:r>
      <w:r w:rsidR="001864C2" w:rsidRPr="00AD38AF">
        <w:rPr>
          <w:color w:val="000000"/>
        </w:rPr>
        <w:t xml:space="preserve"> Toolkit to improve processes of care and opioid prescribing practices.</w:t>
      </w:r>
    </w:p>
    <w:p w14:paraId="64F9D685" w14:textId="77777777" w:rsidR="0013447B" w:rsidRPr="009B1AE4" w:rsidRDefault="0013447B" w:rsidP="0013447B">
      <w:pPr>
        <w:ind w:left="2880" w:hanging="2880"/>
      </w:pPr>
      <w:r w:rsidRPr="00E2278C">
        <w:rPr>
          <w:b/>
        </w:rPr>
        <w:t xml:space="preserve">Data collection strategy: </w:t>
      </w:r>
      <w:r w:rsidRPr="00E2278C">
        <w:rPr>
          <w:b/>
        </w:rPr>
        <w:tab/>
      </w:r>
      <w:r w:rsidR="006823A7">
        <w:t>Clinical staff survey</w:t>
      </w:r>
      <w:r>
        <w:t>,</w:t>
      </w:r>
      <w:r w:rsidR="00B65556">
        <w:t xml:space="preserve"> </w:t>
      </w:r>
      <w:r w:rsidR="006823A7">
        <w:t>QI measures, secondary data</w:t>
      </w:r>
      <w:r w:rsidR="00754AF7">
        <w:t>.</w:t>
      </w:r>
      <w:r>
        <w:t xml:space="preserve"> </w:t>
      </w:r>
    </w:p>
    <w:p w14:paraId="5FA790F2" w14:textId="77777777" w:rsidR="0013447B" w:rsidRDefault="0013447B" w:rsidP="00B65556">
      <w:pPr>
        <w:ind w:left="2880" w:hanging="2880"/>
      </w:pPr>
      <w:r w:rsidRPr="00E2278C">
        <w:rPr>
          <w:b/>
        </w:rPr>
        <w:t xml:space="preserve">Data analysis strategy: </w:t>
      </w:r>
      <w:r w:rsidRPr="00E2278C">
        <w:rPr>
          <w:b/>
        </w:rPr>
        <w:tab/>
      </w:r>
      <w:r>
        <w:t>Quantitative analyses</w:t>
      </w:r>
      <w:r w:rsidR="006823A7">
        <w:t xml:space="preserve"> complemented with qualitative data</w:t>
      </w:r>
      <w:r w:rsidR="00B65556">
        <w:t xml:space="preserve"> from staff interviews</w:t>
      </w:r>
      <w:r w:rsidR="00754AF7">
        <w:t>.</w:t>
      </w:r>
    </w:p>
    <w:p w14:paraId="3A706B95" w14:textId="77777777" w:rsidR="0013447B" w:rsidRPr="00E2278C" w:rsidRDefault="0013447B" w:rsidP="0013447B">
      <w:pPr>
        <w:rPr>
          <w:b/>
        </w:rPr>
      </w:pPr>
    </w:p>
    <w:p w14:paraId="05DBFA8A" w14:textId="77777777" w:rsidR="0013447B" w:rsidRDefault="0013447B" w:rsidP="00303366">
      <w:r>
        <w:t>Quantitative data will be collected thr</w:t>
      </w:r>
      <w:r w:rsidR="006823A7">
        <w:t>ough two rounds of the clinical</w:t>
      </w:r>
      <w:r w:rsidR="00303366">
        <w:t xml:space="preserve"> staff survey,</w:t>
      </w:r>
      <w:r w:rsidR="006823A7">
        <w:t xml:space="preserve"> QI measures</w:t>
      </w:r>
      <w:r w:rsidR="00303366">
        <w:t>, and</w:t>
      </w:r>
      <w:r w:rsidR="006823A7">
        <w:t xml:space="preserve"> </w:t>
      </w:r>
      <w:r>
        <w:t>second</w:t>
      </w:r>
      <w:r w:rsidR="006823A7">
        <w:t>ary</w:t>
      </w:r>
      <w:r>
        <w:t xml:space="preserve"> data</w:t>
      </w:r>
      <w:r w:rsidR="00303366">
        <w:t xml:space="preserve"> sources describing the extent of 6BBs implementation</w:t>
      </w:r>
      <w:r>
        <w:t>. AHRQ will analyze the</w:t>
      </w:r>
      <w:r w:rsidR="00303366">
        <w:t xml:space="preserve">se </w:t>
      </w:r>
      <w:r>
        <w:t>data using descriptive statistics (i.e.,</w:t>
      </w:r>
      <w:r w:rsidR="006823A7">
        <w:t xml:space="preserve"> frequencies, average</w:t>
      </w:r>
      <w:r w:rsidR="00303366">
        <w:t>s) by</w:t>
      </w:r>
      <w:r w:rsidR="006823A7">
        <w:t xml:space="preserve"> health care organization a</w:t>
      </w:r>
      <w:r w:rsidR="00303366">
        <w:t>nd health care organization type</w:t>
      </w:r>
      <w:r>
        <w:t xml:space="preserve"> to allow </w:t>
      </w:r>
      <w:r w:rsidR="00303366">
        <w:t>for comparisons</w:t>
      </w:r>
      <w:r>
        <w:t>. Additional analysis will include co</w:t>
      </w:r>
      <w:r w:rsidR="00303366">
        <w:t>mparisons of survey data, QI measures, and extent of 6BBs implementation</w:t>
      </w:r>
      <w:r>
        <w:t xml:space="preserve"> to measure changes</w:t>
      </w:r>
      <w:r w:rsidR="00303366">
        <w:t xml:space="preserve"> over time</w:t>
      </w:r>
      <w:r>
        <w:t>. Analysis sub-goals for each set of instruments and analysis plans are summarized in Exhibit 6, below.</w:t>
      </w:r>
    </w:p>
    <w:p w14:paraId="63273794" w14:textId="77777777" w:rsidR="00303366" w:rsidRPr="00303366" w:rsidRDefault="00303366" w:rsidP="00303366"/>
    <w:p w14:paraId="728C127D" w14:textId="77777777" w:rsidR="0013447B" w:rsidRDefault="00303366" w:rsidP="0013447B">
      <w:pPr>
        <w:spacing w:before="120"/>
      </w:pPr>
      <w:r>
        <w:rPr>
          <w:b/>
        </w:rPr>
        <w:t>Exhibit 6. 6BBs Toolkit Implementation</w:t>
      </w:r>
      <w:r w:rsidR="0013447B">
        <w:rPr>
          <w:b/>
        </w:rPr>
        <w:t xml:space="preserve"> Data Collection and Analysis Plans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164"/>
        <w:gridCol w:w="2031"/>
        <w:gridCol w:w="2692"/>
      </w:tblGrid>
      <w:tr w:rsidR="0013447B" w:rsidRPr="0065564A" w14:paraId="59FB933D" w14:textId="77777777" w:rsidTr="006C58B4">
        <w:tc>
          <w:tcPr>
            <w:tcW w:w="2329" w:type="dxa"/>
            <w:shd w:val="clear" w:color="auto" w:fill="auto"/>
            <w:vAlign w:val="center"/>
          </w:tcPr>
          <w:p w14:paraId="02AE2A91" w14:textId="77777777" w:rsidR="0013447B" w:rsidRPr="0065564A" w:rsidRDefault="0013447B" w:rsidP="006C58B4">
            <w:pPr>
              <w:rPr>
                <w:b/>
              </w:rPr>
            </w:pPr>
            <w:r w:rsidRPr="0065564A">
              <w:rPr>
                <w:b/>
              </w:rPr>
              <w:t>Instrument</w:t>
            </w:r>
          </w:p>
        </w:tc>
        <w:tc>
          <w:tcPr>
            <w:tcW w:w="2164" w:type="dxa"/>
            <w:shd w:val="clear" w:color="auto" w:fill="auto"/>
            <w:vAlign w:val="center"/>
          </w:tcPr>
          <w:p w14:paraId="6EA3B88A" w14:textId="77777777" w:rsidR="0013447B" w:rsidRPr="0065564A" w:rsidRDefault="0013447B" w:rsidP="006C58B4">
            <w:pPr>
              <w:rPr>
                <w:b/>
              </w:rPr>
            </w:pPr>
            <w:r>
              <w:rPr>
                <w:b/>
              </w:rPr>
              <w:t>When administered and to whom</w:t>
            </w:r>
          </w:p>
        </w:tc>
        <w:tc>
          <w:tcPr>
            <w:tcW w:w="2031" w:type="dxa"/>
            <w:shd w:val="clear" w:color="auto" w:fill="auto"/>
            <w:vAlign w:val="center"/>
          </w:tcPr>
          <w:p w14:paraId="19EB8B5C" w14:textId="77777777" w:rsidR="0013447B" w:rsidRPr="0065564A" w:rsidRDefault="0013447B" w:rsidP="006C58B4">
            <w:pPr>
              <w:rPr>
                <w:b/>
              </w:rPr>
            </w:pPr>
            <w:r w:rsidRPr="0065564A">
              <w:rPr>
                <w:b/>
              </w:rPr>
              <w:t>Analysis sub-goal</w:t>
            </w:r>
          </w:p>
        </w:tc>
        <w:tc>
          <w:tcPr>
            <w:tcW w:w="2692" w:type="dxa"/>
            <w:shd w:val="clear" w:color="auto" w:fill="auto"/>
            <w:vAlign w:val="center"/>
          </w:tcPr>
          <w:p w14:paraId="7C4E1153" w14:textId="77777777" w:rsidR="0013447B" w:rsidRPr="0065564A" w:rsidRDefault="0013447B" w:rsidP="006C58B4">
            <w:pPr>
              <w:rPr>
                <w:b/>
              </w:rPr>
            </w:pPr>
            <w:r w:rsidRPr="0065564A">
              <w:rPr>
                <w:b/>
              </w:rPr>
              <w:t>Analysis Plan</w:t>
            </w:r>
          </w:p>
        </w:tc>
      </w:tr>
      <w:tr w:rsidR="0013447B" w14:paraId="6A284654" w14:textId="77777777" w:rsidTr="006C58B4">
        <w:tc>
          <w:tcPr>
            <w:tcW w:w="2329" w:type="dxa"/>
            <w:shd w:val="clear" w:color="auto" w:fill="auto"/>
          </w:tcPr>
          <w:p w14:paraId="234C6F31" w14:textId="77777777" w:rsidR="0013447B" w:rsidRPr="003B5B80" w:rsidRDefault="00303366" w:rsidP="006C58B4">
            <w:pPr>
              <w:rPr>
                <w:b/>
                <w:sz w:val="22"/>
              </w:rPr>
            </w:pPr>
            <w:r>
              <w:rPr>
                <w:b/>
                <w:sz w:val="22"/>
              </w:rPr>
              <w:t>Clinical Staff Survey</w:t>
            </w:r>
            <w:r w:rsidR="0013447B" w:rsidRPr="003B5B80">
              <w:rPr>
                <w:b/>
                <w:sz w:val="22"/>
              </w:rPr>
              <w:t xml:space="preserve"> </w:t>
            </w:r>
          </w:p>
          <w:p w14:paraId="46527115" w14:textId="77777777" w:rsidR="0013447B" w:rsidRPr="003B5B80" w:rsidRDefault="00303366" w:rsidP="006C58B4">
            <w:pPr>
              <w:rPr>
                <w:b/>
              </w:rPr>
            </w:pPr>
            <w:r>
              <w:rPr>
                <w:b/>
                <w:sz w:val="22"/>
              </w:rPr>
              <w:t>(Attachment A</w:t>
            </w:r>
            <w:r w:rsidR="0013447B" w:rsidRPr="003B5B80">
              <w:rPr>
                <w:b/>
                <w:sz w:val="22"/>
              </w:rPr>
              <w:t>)</w:t>
            </w:r>
          </w:p>
        </w:tc>
        <w:tc>
          <w:tcPr>
            <w:tcW w:w="2164" w:type="dxa"/>
            <w:shd w:val="clear" w:color="auto" w:fill="auto"/>
          </w:tcPr>
          <w:p w14:paraId="63C91B01" w14:textId="77777777" w:rsidR="0013447B" w:rsidRDefault="00303366" w:rsidP="0013447B">
            <w:pPr>
              <w:numPr>
                <w:ilvl w:val="0"/>
                <w:numId w:val="18"/>
              </w:numPr>
              <w:ind w:left="176" w:hanging="180"/>
              <w:rPr>
                <w:sz w:val="22"/>
              </w:rPr>
            </w:pPr>
            <w:r>
              <w:rPr>
                <w:sz w:val="22"/>
              </w:rPr>
              <w:t>Toward the beginning of implementation and 12 months after</w:t>
            </w:r>
          </w:p>
          <w:p w14:paraId="351DD02D" w14:textId="77777777" w:rsidR="0013447B" w:rsidRPr="00623B69" w:rsidRDefault="00303366" w:rsidP="0013447B">
            <w:pPr>
              <w:numPr>
                <w:ilvl w:val="0"/>
                <w:numId w:val="18"/>
              </w:numPr>
              <w:ind w:left="176" w:hanging="180"/>
              <w:rPr>
                <w:sz w:val="22"/>
              </w:rPr>
            </w:pPr>
            <w:r>
              <w:rPr>
                <w:sz w:val="22"/>
              </w:rPr>
              <w:t>Clinical staff</w:t>
            </w:r>
          </w:p>
          <w:p w14:paraId="53C82DE1" w14:textId="77777777" w:rsidR="0013447B" w:rsidRPr="00623B69" w:rsidRDefault="0013447B" w:rsidP="006C58B4">
            <w:pPr>
              <w:rPr>
                <w:sz w:val="22"/>
              </w:rPr>
            </w:pPr>
          </w:p>
        </w:tc>
        <w:tc>
          <w:tcPr>
            <w:tcW w:w="2031" w:type="dxa"/>
            <w:shd w:val="clear" w:color="auto" w:fill="auto"/>
          </w:tcPr>
          <w:p w14:paraId="41950148" w14:textId="77777777" w:rsidR="0013447B" w:rsidRPr="00623B69" w:rsidRDefault="00303366" w:rsidP="006C58B4">
            <w:pPr>
              <w:rPr>
                <w:sz w:val="22"/>
              </w:rPr>
            </w:pPr>
            <w:r>
              <w:rPr>
                <w:sz w:val="22"/>
              </w:rPr>
              <w:t>Assess opioid prescribing practices and readiness to change</w:t>
            </w:r>
            <w:r w:rsidR="0013447B">
              <w:rPr>
                <w:sz w:val="22"/>
              </w:rPr>
              <w:t>; reactions to and eva</w:t>
            </w:r>
            <w:r>
              <w:rPr>
                <w:sz w:val="22"/>
              </w:rPr>
              <w:t>luation of 6BBs Toolkit</w:t>
            </w:r>
            <w:r w:rsidR="0013447B">
              <w:rPr>
                <w:sz w:val="22"/>
              </w:rPr>
              <w:t xml:space="preserve"> (post only)</w:t>
            </w:r>
          </w:p>
        </w:tc>
        <w:tc>
          <w:tcPr>
            <w:tcW w:w="2692" w:type="dxa"/>
            <w:shd w:val="clear" w:color="auto" w:fill="auto"/>
          </w:tcPr>
          <w:p w14:paraId="0C5EFA41" w14:textId="77777777" w:rsidR="0013447B" w:rsidRPr="003F571C" w:rsidRDefault="0013447B" w:rsidP="0013447B">
            <w:pPr>
              <w:numPr>
                <w:ilvl w:val="0"/>
                <w:numId w:val="17"/>
              </w:numPr>
              <w:ind w:left="201" w:hanging="180"/>
              <w:rPr>
                <w:sz w:val="22"/>
              </w:rPr>
            </w:pPr>
            <w:r w:rsidRPr="003F571C">
              <w:rPr>
                <w:sz w:val="22"/>
              </w:rPr>
              <w:t xml:space="preserve">Descriptive statistics (i.e., frequencies, </w:t>
            </w:r>
            <w:r>
              <w:t>average)</w:t>
            </w:r>
          </w:p>
          <w:p w14:paraId="32B353F3" w14:textId="77777777" w:rsidR="0013447B" w:rsidRPr="00303366" w:rsidRDefault="0013447B" w:rsidP="00303366">
            <w:pPr>
              <w:numPr>
                <w:ilvl w:val="0"/>
                <w:numId w:val="17"/>
              </w:numPr>
              <w:ind w:left="182" w:hanging="161"/>
              <w:rPr>
                <w:sz w:val="22"/>
              </w:rPr>
            </w:pPr>
            <w:r w:rsidRPr="00783E69">
              <w:rPr>
                <w:sz w:val="22"/>
              </w:rPr>
              <w:t>Qualitatively analyze open-ended comments</w:t>
            </w:r>
          </w:p>
          <w:p w14:paraId="24A85DEE" w14:textId="77777777" w:rsidR="0013447B" w:rsidRPr="00C949B5" w:rsidRDefault="0013447B" w:rsidP="0013447B">
            <w:pPr>
              <w:numPr>
                <w:ilvl w:val="0"/>
                <w:numId w:val="17"/>
              </w:numPr>
              <w:ind w:left="182" w:hanging="161"/>
              <w:rPr>
                <w:sz w:val="22"/>
              </w:rPr>
            </w:pPr>
            <w:r w:rsidRPr="00C949B5">
              <w:rPr>
                <w:sz w:val="22"/>
              </w:rPr>
              <w:t>Paired t-te</w:t>
            </w:r>
            <w:r w:rsidR="00303366">
              <w:rPr>
                <w:sz w:val="22"/>
              </w:rPr>
              <w:t>st to compare rates of favorable prescribing practices from round 1 to round 2</w:t>
            </w:r>
            <w:r w:rsidRPr="00C949B5">
              <w:rPr>
                <w:sz w:val="22"/>
              </w:rPr>
              <w:t>.</w:t>
            </w:r>
          </w:p>
        </w:tc>
      </w:tr>
      <w:tr w:rsidR="0013447B" w14:paraId="0BA1DEA8" w14:textId="77777777" w:rsidTr="006C58B4">
        <w:tc>
          <w:tcPr>
            <w:tcW w:w="2329" w:type="dxa"/>
            <w:shd w:val="clear" w:color="auto" w:fill="auto"/>
          </w:tcPr>
          <w:p w14:paraId="261F00AC" w14:textId="77777777" w:rsidR="0013447B" w:rsidRPr="00B65556" w:rsidRDefault="00B65556" w:rsidP="006C58B4">
            <w:pPr>
              <w:rPr>
                <w:b/>
                <w:sz w:val="22"/>
              </w:rPr>
            </w:pPr>
            <w:r>
              <w:rPr>
                <w:b/>
                <w:sz w:val="22"/>
              </w:rPr>
              <w:t>QI measures</w:t>
            </w:r>
          </w:p>
        </w:tc>
        <w:tc>
          <w:tcPr>
            <w:tcW w:w="2164" w:type="dxa"/>
            <w:shd w:val="clear" w:color="auto" w:fill="auto"/>
          </w:tcPr>
          <w:p w14:paraId="0E699F81" w14:textId="77777777" w:rsidR="0013447B" w:rsidRDefault="00B65556" w:rsidP="0013447B">
            <w:pPr>
              <w:numPr>
                <w:ilvl w:val="0"/>
                <w:numId w:val="18"/>
              </w:numPr>
              <w:ind w:left="176" w:hanging="180"/>
              <w:rPr>
                <w:sz w:val="22"/>
              </w:rPr>
            </w:pPr>
            <w:r>
              <w:rPr>
                <w:sz w:val="22"/>
              </w:rPr>
              <w:t>Collected quarterly throughout implementation</w:t>
            </w:r>
          </w:p>
          <w:p w14:paraId="0518C340" w14:textId="77777777" w:rsidR="0013447B" w:rsidRPr="00623B69" w:rsidRDefault="00B65556" w:rsidP="0013447B">
            <w:pPr>
              <w:numPr>
                <w:ilvl w:val="0"/>
                <w:numId w:val="18"/>
              </w:numPr>
              <w:ind w:left="176" w:hanging="180"/>
              <w:rPr>
                <w:sz w:val="22"/>
              </w:rPr>
            </w:pPr>
            <w:r>
              <w:rPr>
                <w:sz w:val="22"/>
              </w:rPr>
              <w:t>QI leads/data analysts</w:t>
            </w:r>
          </w:p>
          <w:p w14:paraId="2207283F" w14:textId="77777777" w:rsidR="0013447B" w:rsidRPr="00623B69" w:rsidRDefault="0013447B" w:rsidP="006C58B4">
            <w:pPr>
              <w:rPr>
                <w:sz w:val="22"/>
              </w:rPr>
            </w:pPr>
          </w:p>
        </w:tc>
        <w:tc>
          <w:tcPr>
            <w:tcW w:w="2031" w:type="dxa"/>
            <w:shd w:val="clear" w:color="auto" w:fill="auto"/>
          </w:tcPr>
          <w:p w14:paraId="079FC2FF" w14:textId="77777777" w:rsidR="0013447B" w:rsidRPr="00623B69" w:rsidRDefault="00B65556" w:rsidP="006C58B4">
            <w:pPr>
              <w:rPr>
                <w:sz w:val="22"/>
              </w:rPr>
            </w:pPr>
            <w:r>
              <w:rPr>
                <w:sz w:val="22"/>
              </w:rPr>
              <w:t>Assess change in opioid prescribing practices and processes of care</w:t>
            </w:r>
          </w:p>
        </w:tc>
        <w:tc>
          <w:tcPr>
            <w:tcW w:w="2692" w:type="dxa"/>
            <w:shd w:val="clear" w:color="auto" w:fill="auto"/>
          </w:tcPr>
          <w:p w14:paraId="17085667" w14:textId="77777777" w:rsidR="0013447B" w:rsidRPr="003F571C" w:rsidRDefault="0013447B" w:rsidP="0013447B">
            <w:pPr>
              <w:numPr>
                <w:ilvl w:val="0"/>
                <w:numId w:val="17"/>
              </w:numPr>
              <w:ind w:left="201" w:hanging="180"/>
              <w:rPr>
                <w:sz w:val="22"/>
              </w:rPr>
            </w:pPr>
            <w:r w:rsidRPr="003F571C">
              <w:rPr>
                <w:sz w:val="22"/>
              </w:rPr>
              <w:t xml:space="preserve">Descriptive statistics (i.e., frequencies, </w:t>
            </w:r>
            <w:r>
              <w:t>average)</w:t>
            </w:r>
          </w:p>
          <w:p w14:paraId="35E775E0" w14:textId="77777777" w:rsidR="0013447B" w:rsidRPr="00B65556" w:rsidRDefault="00B65556" w:rsidP="00B65556">
            <w:pPr>
              <w:numPr>
                <w:ilvl w:val="0"/>
                <w:numId w:val="17"/>
              </w:numPr>
              <w:ind w:left="182" w:hanging="161"/>
              <w:rPr>
                <w:sz w:val="22"/>
              </w:rPr>
            </w:pPr>
            <w:r>
              <w:rPr>
                <w:sz w:val="22"/>
              </w:rPr>
              <w:t>Scatterplot of measures over time by organization and overall</w:t>
            </w:r>
          </w:p>
        </w:tc>
      </w:tr>
      <w:tr w:rsidR="0013447B" w14:paraId="5FD0B9DB" w14:textId="77777777" w:rsidTr="00B65556">
        <w:trPr>
          <w:trHeight w:val="2195"/>
        </w:trPr>
        <w:tc>
          <w:tcPr>
            <w:tcW w:w="2329" w:type="dxa"/>
            <w:shd w:val="clear" w:color="auto" w:fill="auto"/>
          </w:tcPr>
          <w:p w14:paraId="5BE7830F" w14:textId="77777777" w:rsidR="0013447B" w:rsidRDefault="0013447B" w:rsidP="006C58B4">
            <w:pPr>
              <w:rPr>
                <w:sz w:val="22"/>
              </w:rPr>
            </w:pPr>
            <w:r>
              <w:rPr>
                <w:sz w:val="22"/>
              </w:rPr>
              <w:t>Secondary data and other outcome data (e.g., surgical cancellation and delay rates)</w:t>
            </w:r>
          </w:p>
        </w:tc>
        <w:tc>
          <w:tcPr>
            <w:tcW w:w="2164" w:type="dxa"/>
            <w:shd w:val="clear" w:color="auto" w:fill="auto"/>
          </w:tcPr>
          <w:p w14:paraId="5B9BC0D9" w14:textId="77777777" w:rsidR="0013447B" w:rsidRDefault="00B65556" w:rsidP="00754AF7">
            <w:pPr>
              <w:numPr>
                <w:ilvl w:val="0"/>
                <w:numId w:val="23"/>
              </w:numPr>
              <w:ind w:left="191" w:hanging="191"/>
              <w:rPr>
                <w:sz w:val="22"/>
              </w:rPr>
            </w:pPr>
            <w:r>
              <w:rPr>
                <w:sz w:val="22"/>
              </w:rPr>
              <w:t>Toward the start, middle, and end of</w:t>
            </w:r>
            <w:r w:rsidR="0013447B">
              <w:rPr>
                <w:sz w:val="22"/>
              </w:rPr>
              <w:t xml:space="preserve"> implementation</w:t>
            </w:r>
          </w:p>
        </w:tc>
        <w:tc>
          <w:tcPr>
            <w:tcW w:w="2031" w:type="dxa"/>
            <w:shd w:val="clear" w:color="auto" w:fill="auto"/>
          </w:tcPr>
          <w:p w14:paraId="01421BFA" w14:textId="77777777" w:rsidR="0013447B" w:rsidRPr="00B65556" w:rsidDel="00C23C04" w:rsidRDefault="0013447B" w:rsidP="00754AF7">
            <w:pPr>
              <w:numPr>
                <w:ilvl w:val="0"/>
                <w:numId w:val="24"/>
              </w:numPr>
              <w:ind w:left="97" w:hanging="180"/>
              <w:rPr>
                <w:sz w:val="22"/>
              </w:rPr>
            </w:pPr>
            <w:r>
              <w:rPr>
                <w:sz w:val="22"/>
              </w:rPr>
              <w:t xml:space="preserve">Assess </w:t>
            </w:r>
            <w:r w:rsidR="00B65556">
              <w:rPr>
                <w:sz w:val="22"/>
              </w:rPr>
              <w:t xml:space="preserve">extent of 6BBs implementation </w:t>
            </w:r>
          </w:p>
        </w:tc>
        <w:tc>
          <w:tcPr>
            <w:tcW w:w="2692" w:type="dxa"/>
            <w:shd w:val="clear" w:color="auto" w:fill="auto"/>
          </w:tcPr>
          <w:p w14:paraId="603802CF" w14:textId="77777777" w:rsidR="0013447B" w:rsidRPr="00B65556" w:rsidRDefault="0013447B" w:rsidP="00B65556">
            <w:pPr>
              <w:numPr>
                <w:ilvl w:val="0"/>
                <w:numId w:val="17"/>
              </w:numPr>
              <w:ind w:left="182" w:hanging="161"/>
              <w:rPr>
                <w:sz w:val="22"/>
              </w:rPr>
            </w:pPr>
            <w:r w:rsidRPr="00B65556">
              <w:rPr>
                <w:sz w:val="22"/>
              </w:rPr>
              <w:t>Descriptive statistics (counts, fr</w:t>
            </w:r>
            <w:r w:rsidR="00B65556">
              <w:rPr>
                <w:sz w:val="22"/>
              </w:rPr>
              <w:t>equencies, averages); comparison of implementation milestones completed at each time point by organization and average across all organizations</w:t>
            </w:r>
          </w:p>
        </w:tc>
      </w:tr>
    </w:tbl>
    <w:p w14:paraId="6576F91F" w14:textId="77777777" w:rsidR="0013447B" w:rsidRDefault="0013447B" w:rsidP="009B633D">
      <w:pPr>
        <w:pStyle w:val="Heading2"/>
        <w:rPr>
          <w:sz w:val="24"/>
        </w:rPr>
      </w:pPr>
    </w:p>
    <w:p w14:paraId="2040100D" w14:textId="77777777" w:rsidR="009B633D" w:rsidRPr="00424E6E" w:rsidRDefault="009B633D" w:rsidP="009B633D">
      <w:pPr>
        <w:pStyle w:val="Heading2"/>
        <w:rPr>
          <w:sz w:val="24"/>
        </w:rPr>
      </w:pPr>
      <w:r w:rsidRPr="00424E6E">
        <w:rPr>
          <w:sz w:val="24"/>
        </w:rPr>
        <w:t>17. Exemption for Display of Expiration Date</w:t>
      </w:r>
      <w:bookmarkEnd w:id="42"/>
      <w:bookmarkEnd w:id="43"/>
    </w:p>
    <w:p w14:paraId="54B48AE1" w14:textId="77777777" w:rsidR="009B633D" w:rsidRDefault="009B633D" w:rsidP="009B633D">
      <w:r w:rsidRPr="004F03D2">
        <w:t>AHRQ does not seek this exemption</w:t>
      </w:r>
      <w:r>
        <w:t>.</w:t>
      </w:r>
    </w:p>
    <w:p w14:paraId="2D40B082" w14:textId="77777777"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25C02BBE" w14:textId="77777777" w:rsidR="008573ED" w:rsidRDefault="008573ED" w:rsidP="008573ED">
      <w:r>
        <w:t>Attachment</w:t>
      </w:r>
      <w:r w:rsidR="003428CE">
        <w:t xml:space="preserve"> A</w:t>
      </w:r>
      <w:r>
        <w:t xml:space="preserve"> </w:t>
      </w:r>
      <w:r w:rsidR="008E4FC9">
        <w:t xml:space="preserve"> --</w:t>
      </w:r>
      <w:r w:rsidR="003428CE">
        <w:t xml:space="preserve">  Clinical Staff Survey</w:t>
      </w:r>
    </w:p>
    <w:p w14:paraId="585ADA8F" w14:textId="77777777" w:rsidR="003428CE" w:rsidRDefault="003428CE" w:rsidP="008573ED"/>
    <w:p w14:paraId="307F852E" w14:textId="77777777" w:rsidR="003428CE" w:rsidRDefault="003428CE" w:rsidP="008573ED">
      <w:r>
        <w:t xml:space="preserve">Attachment B  --  </w:t>
      </w:r>
      <w:r w:rsidR="00F257B0">
        <w:t xml:space="preserve">Staff </w:t>
      </w:r>
      <w:r>
        <w:t xml:space="preserve">Interview </w:t>
      </w:r>
      <w:r w:rsidR="00F257B0">
        <w:t xml:space="preserve">Guide </w:t>
      </w:r>
      <w:r>
        <w:t>– QI Lead</w:t>
      </w:r>
    </w:p>
    <w:p w14:paraId="2724F866" w14:textId="77777777" w:rsidR="003428CE" w:rsidRDefault="003428CE" w:rsidP="008573ED"/>
    <w:p w14:paraId="505A2DDB" w14:textId="77777777" w:rsidR="003428CE" w:rsidRDefault="003428CE" w:rsidP="008573ED">
      <w:r>
        <w:t xml:space="preserve">Attachment C  --  </w:t>
      </w:r>
      <w:r w:rsidR="00F257B0">
        <w:t xml:space="preserve">Staff Interview </w:t>
      </w:r>
      <w:r w:rsidR="00E2421B">
        <w:t>Guide</w:t>
      </w:r>
      <w:r>
        <w:t xml:space="preserve"> </w:t>
      </w:r>
      <w:r w:rsidR="00E2421B">
        <w:t>–</w:t>
      </w:r>
      <w:r>
        <w:t xml:space="preserve"> </w:t>
      </w:r>
      <w:r w:rsidR="00E2421B">
        <w:t xml:space="preserve">Additional </w:t>
      </w:r>
      <w:r>
        <w:t xml:space="preserve">Staff </w:t>
      </w:r>
    </w:p>
    <w:p w14:paraId="2E9E0B5E" w14:textId="77777777" w:rsidR="00016560" w:rsidRDefault="00016560" w:rsidP="007208E0"/>
    <w:p w14:paraId="0026E2B4" w14:textId="77777777" w:rsidR="00A15D49" w:rsidRDefault="003428CE" w:rsidP="007208E0">
      <w:r>
        <w:t>Attachment D</w:t>
      </w:r>
      <w:r w:rsidR="008E4FC9">
        <w:t xml:space="preserve"> </w:t>
      </w:r>
      <w:r>
        <w:t xml:space="preserve"> </w:t>
      </w:r>
      <w:r w:rsidR="008E4FC9">
        <w:t>--</w:t>
      </w:r>
      <w:r w:rsidR="008573ED">
        <w:t xml:space="preserve">  </w:t>
      </w:r>
      <w:r>
        <w:t xml:space="preserve">60-Day </w:t>
      </w:r>
      <w:r w:rsidR="00A15D49">
        <w:t>Federal Register Notice</w:t>
      </w:r>
    </w:p>
    <w:p w14:paraId="6ED3C6CA" w14:textId="77777777" w:rsidR="00955553" w:rsidRDefault="00955553" w:rsidP="007208E0"/>
    <w:p w14:paraId="438604C6" w14:textId="77777777" w:rsidR="00C933ED" w:rsidRPr="00C933ED" w:rsidRDefault="00C933ED" w:rsidP="0070072D">
      <w:pPr>
        <w:pStyle w:val="NormalWeb"/>
        <w:tabs>
          <w:tab w:val="left" w:pos="360"/>
          <w:tab w:val="left" w:pos="720"/>
        </w:tabs>
      </w:pPr>
    </w:p>
    <w:p w14:paraId="4D9971FD" w14:textId="77777777" w:rsidR="00535B56" w:rsidRPr="00535B56" w:rsidRDefault="00535B56" w:rsidP="00F94B00">
      <w:pPr>
        <w:pStyle w:val="EndnoteText"/>
        <w:tabs>
          <w:tab w:val="left" w:pos="360"/>
          <w:tab w:val="left" w:pos="720"/>
          <w:tab w:val="left" w:pos="1080"/>
          <w:tab w:val="left" w:pos="4680"/>
          <w:tab w:val="left" w:pos="5940"/>
        </w:tabs>
        <w:rPr>
          <w:sz w:val="24"/>
          <w:szCs w:val="24"/>
        </w:rPr>
      </w:pPr>
    </w:p>
    <w:sectPr w:rsidR="00535B56" w:rsidRPr="00535B56" w:rsidSect="009B633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9AC77" w14:textId="77777777" w:rsidR="006C73B0" w:rsidRDefault="006C73B0">
      <w:r>
        <w:separator/>
      </w:r>
    </w:p>
  </w:endnote>
  <w:endnote w:type="continuationSeparator" w:id="0">
    <w:p w14:paraId="00D0AAEB" w14:textId="77777777" w:rsidR="006C73B0" w:rsidRDefault="006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3F23" w14:textId="77777777" w:rsidR="006C73B0" w:rsidRDefault="006C73B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ACCCA5" w14:textId="77777777" w:rsidR="006C73B0" w:rsidRDefault="006C7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0F5D0" w14:textId="1D5D7B89" w:rsidR="006C73B0" w:rsidRDefault="006C73B0"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97B">
      <w:rPr>
        <w:rStyle w:val="PageNumber"/>
        <w:noProof/>
      </w:rPr>
      <w:t>- 2 -</w:t>
    </w:r>
    <w:r>
      <w:rPr>
        <w:rStyle w:val="PageNumber"/>
      </w:rPr>
      <w:fldChar w:fldCharType="end"/>
    </w:r>
  </w:p>
  <w:p w14:paraId="2A82F672" w14:textId="77777777" w:rsidR="006C73B0" w:rsidRDefault="006C7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29F0" w14:textId="77777777" w:rsidR="006C73B0" w:rsidRDefault="006C7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02C2C" w14:textId="77777777" w:rsidR="006C73B0" w:rsidRDefault="006C73B0">
      <w:r>
        <w:separator/>
      </w:r>
    </w:p>
  </w:footnote>
  <w:footnote w:type="continuationSeparator" w:id="0">
    <w:p w14:paraId="50F5242B" w14:textId="77777777" w:rsidR="006C73B0" w:rsidRDefault="006C73B0">
      <w:r>
        <w:continuationSeparator/>
      </w:r>
    </w:p>
  </w:footnote>
  <w:footnote w:id="1">
    <w:p w14:paraId="6423186C" w14:textId="77777777" w:rsidR="006C73B0" w:rsidRDefault="006C73B0">
      <w:pPr>
        <w:pStyle w:val="FootnoteText"/>
      </w:pPr>
      <w:r w:rsidRPr="003C20AA">
        <w:rPr>
          <w:rStyle w:val="FootnoteReference"/>
        </w:rPr>
        <w:t>1</w:t>
      </w:r>
      <w:r>
        <w:t xml:space="preserve"> </w:t>
      </w:r>
      <w:r w:rsidRPr="00510D42">
        <w:t>Seth P, Scholl L, Rudd RA, Bacon S. Increases and Geographic Variations in Overdose Deaths Involving Opioids, Cocaine, and Psychostimulants with Abuse Potential – United States, 2015-2016. MMWR Morb Mortal Wkly Rep. ePub: 29 March 2018.</w:t>
      </w:r>
    </w:p>
  </w:footnote>
  <w:footnote w:id="2">
    <w:p w14:paraId="316CC845" w14:textId="77777777" w:rsidR="006C73B0" w:rsidRDefault="006C73B0">
      <w:pPr>
        <w:pStyle w:val="FootnoteText"/>
      </w:pPr>
      <w:r w:rsidRPr="003C20AA">
        <w:rPr>
          <w:rStyle w:val="FootnoteReference"/>
        </w:rPr>
        <w:t>2</w:t>
      </w:r>
      <w:r w:rsidRPr="00510D42">
        <w:t>.</w:t>
      </w:r>
      <w:r w:rsidRPr="00510D42">
        <w:tab/>
      </w:r>
      <w:r w:rsidRPr="00510D42">
        <w:rPr>
          <w:vertAlign w:val="superscript"/>
        </w:rPr>
        <w:t>2</w:t>
      </w:r>
      <w:r>
        <w:t xml:space="preserve"> </w:t>
      </w:r>
      <w:r w:rsidRPr="00510D42">
        <w:t xml:space="preserve">Centers for Disease Control and Prevention. U.S. County Prescribing Rates, 2017. https://www.cdc.gov/drugoverdose/maps/rxcounty2017.html Published July 2017. Accessed December 14, 2018. </w:t>
      </w:r>
    </w:p>
  </w:footnote>
  <w:footnote w:id="3">
    <w:p w14:paraId="3557E14C" w14:textId="5D83A41B" w:rsidR="006C73B0" w:rsidRDefault="006C73B0" w:rsidP="00571C02">
      <w:pPr>
        <w:pStyle w:val="ListParagraph"/>
        <w:widowControl/>
        <w:spacing w:after="120"/>
        <w:ind w:left="0"/>
        <w:contextualSpacing w:val="0"/>
      </w:pPr>
      <w:r w:rsidRPr="00267FAE">
        <w:rPr>
          <w:rStyle w:val="FootnoteReference"/>
        </w:rPr>
        <w:footnoteRef/>
      </w:r>
      <w:r>
        <w:t xml:space="preserve"> </w:t>
      </w:r>
      <w:r w:rsidRPr="00510D42">
        <w:rPr>
          <w:rFonts w:ascii="Times New Roman" w:hAnsi="Times New Roman" w:cs="Times New Roman"/>
          <w:sz w:val="20"/>
        </w:rPr>
        <w:t xml:space="preserve">Daubresse M, Chang HY, Yu Y, Viswanathan S, Shah ND, Stafford RS, Kruszewski SP, Alexander GC. Ambulatory diagnosis and treatment of non-malignant pain in the United States, 2000–2010. </w:t>
      </w:r>
      <w:r w:rsidRPr="00510D42">
        <w:rPr>
          <w:rFonts w:ascii="Times New Roman" w:hAnsi="Times New Roman" w:cs="Times New Roman"/>
          <w:i/>
          <w:sz w:val="20"/>
        </w:rPr>
        <w:t>Medical care</w:t>
      </w:r>
      <w:r w:rsidRPr="00510D42">
        <w:rPr>
          <w:rFonts w:ascii="Times New Roman" w:hAnsi="Times New Roman" w:cs="Times New Roman"/>
          <w:sz w:val="20"/>
        </w:rPr>
        <w:t>. 2013 Oct;51(10).</w:t>
      </w:r>
    </w:p>
  </w:footnote>
  <w:footnote w:id="4">
    <w:p w14:paraId="3C8D2CDE" w14:textId="77C0EBF5" w:rsidR="006C73B0" w:rsidRPr="00571C02" w:rsidRDefault="006C73B0">
      <w:pPr>
        <w:pStyle w:val="FootnoteText"/>
      </w:pPr>
      <w:r w:rsidRPr="00571C02">
        <w:rPr>
          <w:rStyle w:val="FootnoteReference"/>
        </w:rPr>
        <w:footnoteRef/>
      </w:r>
      <w:r w:rsidRPr="00571C02">
        <w:t xml:space="preserve"> </w:t>
      </w:r>
      <w:r w:rsidRPr="00571C02">
        <w:rPr>
          <w:color w:val="222222"/>
          <w:shd w:val="clear" w:color="auto" w:fill="FFFFFF"/>
        </w:rPr>
        <w:t>Parchman ML, Von Korff M, Baldwin LM, Stephens M, Ike B, Cromp D, Hsu C, Wagner EH. Primary care clinic re-design for prescription opioid management. The Journal of the American Board of Family Medicine. 2017 Jan 1;30(1):44-51.; Parchman ML, Penfold RB, Ike B, Tauben D, Von Korff M, Stephens M, Stephens KA, Baldwin LM. Team-Based Clinic Redesign of Opioid Medication Management in Primary Care: Effect on Opioid Prescribing. The Annals of Family Medicine. 2019 Jul 1;17(4):319-25.; Ike B, Baldwin LM, Sutton S, Van Borkulo N, Packer C, Parchman ML. Staff and Clinician Work-Life Perceptions after Implementing Systems-Based Improvements to Opioid Management. The Journal of the American Board of Family Medicine. 2019 Sep 1;32(5):715-23.</w:t>
      </w:r>
    </w:p>
  </w:footnote>
  <w:footnote w:id="5">
    <w:p w14:paraId="206E897D" w14:textId="34AD7AC2" w:rsidR="006C73B0" w:rsidRPr="00683D84" w:rsidRDefault="006C73B0">
      <w:pPr>
        <w:pStyle w:val="FootnoteText"/>
      </w:pPr>
      <w:r w:rsidRPr="005050EF">
        <w:rPr>
          <w:rStyle w:val="FootnoteReference"/>
        </w:rPr>
        <w:footnoteRef/>
      </w:r>
      <w:r w:rsidRPr="00683D84">
        <w:t xml:space="preserve"> Proctor, Enola, Hiie Silmere, Ramesh Raghavan, Peter Hovmand, Greg Aarons, Alicia Bunger, Richard Griffey, and Melissa Hensley. "Outcomes for implementation research: conceptual distinctions, measurement challenges, and research agenda." </w:t>
      </w:r>
      <w:r w:rsidRPr="00683D84">
        <w:rPr>
          <w:i/>
        </w:rPr>
        <w:t>Administration and Policy in Mental Health and Mental Health Services Research</w:t>
      </w:r>
      <w:r w:rsidRPr="00683D84">
        <w:t xml:space="preserve"> 38, no. 2 (2011): 65-76.</w:t>
      </w:r>
    </w:p>
  </w:footnote>
  <w:footnote w:id="6">
    <w:p w14:paraId="24248352" w14:textId="104E557E" w:rsidR="006C73B0" w:rsidRDefault="006C73B0">
      <w:pPr>
        <w:pStyle w:val="FootnoteText"/>
      </w:pPr>
      <w:r w:rsidRPr="00683D84">
        <w:rPr>
          <w:rStyle w:val="FootnoteReference"/>
        </w:rPr>
        <w:footnoteRef/>
      </w:r>
      <w:r w:rsidRPr="00683D84">
        <w:t xml:space="preserve"> Damschroder, Laura J., David C. Aron, Rosalind E. Keith, Susan R. Kirsh, Jeffery A. Alexander, and Julie C. Lowery. "Fostering implementation of health services research findings into practice: a consolidated framework for advancing implementation science." </w:t>
      </w:r>
      <w:r w:rsidRPr="00683D84">
        <w:rPr>
          <w:i/>
        </w:rPr>
        <w:t>Implementation science</w:t>
      </w:r>
      <w:r w:rsidRPr="00683D84">
        <w:t xml:space="preserve"> 4, no. 1 (2009): 50.</w:t>
      </w:r>
    </w:p>
  </w:footnote>
  <w:footnote w:id="7">
    <w:p w14:paraId="5F84BB26" w14:textId="1DE4C154" w:rsidR="006C73B0" w:rsidRDefault="006C73B0">
      <w:pPr>
        <w:pStyle w:val="FootnoteText"/>
      </w:pPr>
      <w:r>
        <w:rPr>
          <w:rStyle w:val="FootnoteReference"/>
        </w:rPr>
        <w:footnoteRef/>
      </w:r>
      <w:r>
        <w:t xml:space="preserve"> Available at: </w:t>
      </w:r>
      <w:r w:rsidRPr="00DF2D2A">
        <w:t>https://www.cdc.gov/drugoverdose/pdf/prescribing/CDC-DUIP-FactSheet-At-A-Glance_Opioid-Measures-508.pdf</w:t>
      </w:r>
    </w:p>
  </w:footnote>
  <w:footnote w:id="8">
    <w:p w14:paraId="7BC2238E" w14:textId="131EF537" w:rsidR="006C73B0" w:rsidRDefault="006C73B0">
      <w:pPr>
        <w:pStyle w:val="FootnoteText"/>
      </w:pPr>
      <w:r>
        <w:rPr>
          <w:rStyle w:val="FootnoteReference"/>
        </w:rPr>
        <w:footnoteRef/>
      </w:r>
      <w:r>
        <w:t xml:space="preserve"> </w:t>
      </w:r>
      <w:r w:rsidRPr="00DF2D2A">
        <w:t>Parchman et.al. Ann Fam Med 2019;17:319-325</w:t>
      </w:r>
    </w:p>
  </w:footnote>
  <w:footnote w:id="9">
    <w:p w14:paraId="34B1BF8B" w14:textId="05EB2118" w:rsidR="006C73B0" w:rsidRDefault="006C73B0">
      <w:pPr>
        <w:pStyle w:val="FootnoteText"/>
      </w:pPr>
      <w:r>
        <w:rPr>
          <w:rStyle w:val="FootnoteReference"/>
        </w:rPr>
        <w:footnoteRef/>
      </w:r>
      <w:r>
        <w:t xml:space="preserve"> </w:t>
      </w:r>
      <w:r w:rsidRPr="00303792">
        <w:t>Cohen DJ, Dorr DA, Knierim K, DuBard CA, Hemler JR, Hall JD, Marino M, Solberg LI, McConnell KJ, Nichols LM, Nease Jr DE. Primary care practices’ abilities and challenges in using electronic health record data for quality improvement. Health Affairs. 2018 Apr 1;37(4):635-43.</w:t>
      </w:r>
    </w:p>
  </w:footnote>
  <w:footnote w:id="10">
    <w:p w14:paraId="39201030" w14:textId="11A7C9C7" w:rsidR="006C73B0" w:rsidRDefault="006C73B0">
      <w:pPr>
        <w:pStyle w:val="FootnoteText"/>
      </w:pPr>
      <w:r>
        <w:rPr>
          <w:rStyle w:val="FootnoteReference"/>
        </w:rPr>
        <w:footnoteRef/>
      </w:r>
      <w:r>
        <w:t xml:space="preserve"> Shoemaker-Hunt, SJ. (June 2, 2019). </w:t>
      </w:r>
      <w:r w:rsidRPr="00B8522B">
        <w:t>Observations from a QI Collaborative of Healthcare Systems Implementing the Opioid QI Measures for Improvement Purposes</w:t>
      </w:r>
      <w:r>
        <w:t xml:space="preserve">. Podium presentation as part of the panel session on: </w:t>
      </w:r>
      <w:r w:rsidRPr="00B8522B">
        <w:t>Opioid Measurement for Improving Care: Findings from the CDC Opioid Quality Improvement Collaborative</w:t>
      </w:r>
      <w:r>
        <w:t xml:space="preserve">. AcademyHealth Annual Research Meeting.  Washington, DC. </w:t>
      </w:r>
    </w:p>
  </w:footnote>
  <w:footnote w:id="11">
    <w:p w14:paraId="547F2FD3" w14:textId="762082DF" w:rsidR="006C73B0" w:rsidRDefault="006C73B0">
      <w:pPr>
        <w:pStyle w:val="FootnoteText"/>
      </w:pPr>
      <w:r>
        <w:rPr>
          <w:rStyle w:val="FootnoteReference"/>
        </w:rPr>
        <w:footnoteRef/>
      </w:r>
      <w:r>
        <w:t xml:space="preserve"> </w:t>
      </w:r>
      <w:r w:rsidRPr="00AC55D8">
        <w:t xml:space="preserve">Please see Tables 2 &amp; 3 in Dolor, Schmit &amp; Baldwin et al (2014) Guidance for Researchers Developing and Conducting Clinical Trials in Practice-based Research Networks (PBRNs) available at: </w:t>
      </w:r>
      <w:hyperlink r:id="rId1" w:anchor="!po=41.6667" w:history="1">
        <w:r w:rsidRPr="008D3665">
          <w:rPr>
            <w:rStyle w:val="Hyperlink"/>
          </w:rPr>
          <w:t>https://www.ncbi.nlm.nih.gov/pmc/articles/PMC4297606/#!po=41.6667</w:t>
        </w:r>
      </w:hyperlink>
      <w:r>
        <w:t xml:space="preserve"> </w:t>
      </w:r>
    </w:p>
  </w:footnote>
  <w:footnote w:id="12">
    <w:p w14:paraId="478A75F7" w14:textId="4C71CD58" w:rsidR="006C73B0" w:rsidRDefault="006C73B0">
      <w:pPr>
        <w:pStyle w:val="FootnoteText"/>
      </w:pPr>
      <w:r w:rsidRPr="00267FAE">
        <w:rPr>
          <w:rStyle w:val="FootnoteReference"/>
        </w:rPr>
        <w:footnoteRef/>
      </w:r>
      <w:r>
        <w:t xml:space="preserve"> </w:t>
      </w:r>
      <w:r w:rsidRPr="00F42706">
        <w:rPr>
          <w:color w:val="222222"/>
          <w:shd w:val="clear" w:color="auto" w:fill="FFFFFF"/>
        </w:rPr>
        <w:t>Russell, M.L., Moralejo, D.G. and Burgess, E.D., 2000. Paying research subjects: participants' perspectives. </w:t>
      </w:r>
      <w:r w:rsidRPr="00F42706">
        <w:rPr>
          <w:i/>
          <w:iCs/>
          <w:color w:val="222222"/>
          <w:shd w:val="clear" w:color="auto" w:fill="FFFFFF"/>
        </w:rPr>
        <w:t>Journal of medical ethics</w:t>
      </w:r>
      <w:r w:rsidRPr="00F42706">
        <w:rPr>
          <w:color w:val="222222"/>
          <w:shd w:val="clear" w:color="auto" w:fill="FFFFFF"/>
        </w:rPr>
        <w:t>, </w:t>
      </w:r>
      <w:r w:rsidRPr="00F42706">
        <w:rPr>
          <w:i/>
          <w:iCs/>
          <w:color w:val="222222"/>
          <w:shd w:val="clear" w:color="auto" w:fill="FFFFFF"/>
        </w:rPr>
        <w:t>26</w:t>
      </w:r>
      <w:r w:rsidRPr="00F42706">
        <w:rPr>
          <w:color w:val="222222"/>
          <w:shd w:val="clear" w:color="auto" w:fill="FFFFFF"/>
        </w:rPr>
        <w:t>(2), pp.126-130.</w:t>
      </w:r>
    </w:p>
  </w:footnote>
  <w:footnote w:id="13">
    <w:p w14:paraId="237CFD8A" w14:textId="795FE28D" w:rsidR="006C73B0" w:rsidRDefault="006C73B0">
      <w:pPr>
        <w:pStyle w:val="FootnoteText"/>
      </w:pPr>
      <w:r w:rsidRPr="00267FAE">
        <w:rPr>
          <w:rStyle w:val="FootnoteReference"/>
        </w:rPr>
        <w:footnoteRef/>
      </w:r>
      <w:r>
        <w:t xml:space="preserve"> </w:t>
      </w:r>
      <w:r w:rsidRPr="00F42706">
        <w:rPr>
          <w:color w:val="222222"/>
          <w:shd w:val="clear" w:color="auto" w:fill="FFFFFF"/>
        </w:rPr>
        <w:t>Groth, S.W., 2010. Honorarium or coercion: use of incentives for participants in clinical research. </w:t>
      </w:r>
      <w:r w:rsidRPr="00F42706">
        <w:rPr>
          <w:i/>
          <w:iCs/>
          <w:color w:val="222222"/>
          <w:shd w:val="clear" w:color="auto" w:fill="FFFFFF"/>
        </w:rPr>
        <w:t>The Journal of the New York State Nurses' Association</w:t>
      </w:r>
      <w:r w:rsidRPr="00F42706">
        <w:rPr>
          <w:color w:val="222222"/>
          <w:shd w:val="clear" w:color="auto" w:fill="FFFFFF"/>
        </w:rPr>
        <w:t>, </w:t>
      </w:r>
      <w:r w:rsidRPr="00F42706">
        <w:rPr>
          <w:i/>
          <w:iCs/>
          <w:color w:val="222222"/>
          <w:shd w:val="clear" w:color="auto" w:fill="FFFFFF"/>
        </w:rPr>
        <w:t>41</w:t>
      </w:r>
      <w:r w:rsidRPr="00F42706">
        <w:rPr>
          <w:color w:val="222222"/>
          <w:shd w:val="clear" w:color="auto" w:fill="FFFFFF"/>
        </w:rPr>
        <w:t>(1), p.11.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43CC" w14:textId="77777777" w:rsidR="006C73B0" w:rsidRDefault="006C7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21FA7" w14:textId="77777777" w:rsidR="006C73B0" w:rsidRDefault="006C7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26323" w14:textId="77777777" w:rsidR="006C73B0" w:rsidRDefault="006C7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7E35"/>
    <w:multiLevelType w:val="hybridMultilevel"/>
    <w:tmpl w:val="CA1405DE"/>
    <w:lvl w:ilvl="0" w:tplc="9638587E">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834"/>
    <w:multiLevelType w:val="hybridMultilevel"/>
    <w:tmpl w:val="7B7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F4F61"/>
    <w:multiLevelType w:val="hybridMultilevel"/>
    <w:tmpl w:val="07EE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E81199"/>
    <w:multiLevelType w:val="hybridMultilevel"/>
    <w:tmpl w:val="3676C40E"/>
    <w:lvl w:ilvl="0" w:tplc="97869B4A">
      <w:numFmt w:val="bullet"/>
      <w:lvlText w:val="•"/>
      <w:lvlJc w:val="left"/>
      <w:pPr>
        <w:ind w:left="1080" w:hanging="720"/>
      </w:pPr>
      <w:rPr>
        <w:rFonts w:ascii="Times New Roman" w:eastAsia="Times New Roman" w:hAnsi="Times New Roman" w:cs="Times New Roman"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F2637"/>
    <w:multiLevelType w:val="hybridMultilevel"/>
    <w:tmpl w:val="8A22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77376E"/>
    <w:multiLevelType w:val="hybridMultilevel"/>
    <w:tmpl w:val="74404166"/>
    <w:lvl w:ilvl="0" w:tplc="97869B4A">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115B3"/>
    <w:multiLevelType w:val="hybridMultilevel"/>
    <w:tmpl w:val="6F663D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D97AAC"/>
    <w:multiLevelType w:val="hybridMultilevel"/>
    <w:tmpl w:val="F918B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0767A2"/>
    <w:multiLevelType w:val="hybridMultilevel"/>
    <w:tmpl w:val="E5F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154FC"/>
    <w:multiLevelType w:val="hybridMultilevel"/>
    <w:tmpl w:val="25F0BAAE"/>
    <w:lvl w:ilvl="0" w:tplc="E14239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E7561D"/>
    <w:multiLevelType w:val="hybridMultilevel"/>
    <w:tmpl w:val="A88A4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BC1195"/>
    <w:multiLevelType w:val="hybridMultilevel"/>
    <w:tmpl w:val="7714B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1E4241"/>
    <w:multiLevelType w:val="hybridMultilevel"/>
    <w:tmpl w:val="ECBA1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5862C8"/>
    <w:multiLevelType w:val="hybridMultilevel"/>
    <w:tmpl w:val="CFD25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332D8F"/>
    <w:multiLevelType w:val="hybridMultilevel"/>
    <w:tmpl w:val="F40C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C2467"/>
    <w:multiLevelType w:val="hybridMultilevel"/>
    <w:tmpl w:val="8938941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BA092B"/>
    <w:multiLevelType w:val="hybridMultilevel"/>
    <w:tmpl w:val="C9E855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330C3F"/>
    <w:multiLevelType w:val="hybridMultilevel"/>
    <w:tmpl w:val="3D46F2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A54EBF"/>
    <w:multiLevelType w:val="hybridMultilevel"/>
    <w:tmpl w:val="0464DA46"/>
    <w:lvl w:ilvl="0" w:tplc="C93A4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554160"/>
    <w:multiLevelType w:val="hybridMultilevel"/>
    <w:tmpl w:val="9C281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6D4802"/>
    <w:multiLevelType w:val="hybridMultilevel"/>
    <w:tmpl w:val="A9885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EB6E0B"/>
    <w:multiLevelType w:val="hybridMultilevel"/>
    <w:tmpl w:val="BFBE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68BD5704"/>
    <w:multiLevelType w:val="hybridMultilevel"/>
    <w:tmpl w:val="EB26C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327CBA"/>
    <w:multiLevelType w:val="hybridMultilevel"/>
    <w:tmpl w:val="8F3E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A07F56"/>
    <w:multiLevelType w:val="hybridMultilevel"/>
    <w:tmpl w:val="A41EA77C"/>
    <w:lvl w:ilvl="0" w:tplc="04090005">
      <w:start w:val="1"/>
      <w:numFmt w:val="bullet"/>
      <w:lvlText w:val=""/>
      <w:lvlJc w:val="left"/>
      <w:pPr>
        <w:ind w:left="381" w:hanging="360"/>
      </w:pPr>
      <w:rPr>
        <w:rFonts w:ascii="Wingdings" w:hAnsi="Wingdings"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32">
    <w:nsid w:val="73B00657"/>
    <w:multiLevelType w:val="hybridMultilevel"/>
    <w:tmpl w:val="73669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FF79CA"/>
    <w:multiLevelType w:val="hybridMultilevel"/>
    <w:tmpl w:val="BC64C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8B875B0"/>
    <w:multiLevelType w:val="hybridMultilevel"/>
    <w:tmpl w:val="58682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AD63DA6"/>
    <w:multiLevelType w:val="singleLevel"/>
    <w:tmpl w:val="362ED368"/>
    <w:lvl w:ilvl="0">
      <w:start w:val="1"/>
      <w:numFmt w:val="bullet"/>
      <w:pStyle w:val="Bullets"/>
      <w:lvlText w:val=""/>
      <w:lvlJc w:val="left"/>
      <w:pPr>
        <w:ind w:left="360" w:hanging="360"/>
      </w:pPr>
      <w:rPr>
        <w:rFonts w:ascii="Symbol" w:hAnsi="Symbol" w:hint="default"/>
        <w:color w:val="auto"/>
        <w:sz w:val="22"/>
      </w:rPr>
    </w:lvl>
  </w:abstractNum>
  <w:abstractNum w:abstractNumId="36">
    <w:nsid w:val="7BA831E4"/>
    <w:multiLevelType w:val="hybridMultilevel"/>
    <w:tmpl w:val="1E9472AC"/>
    <w:lvl w:ilvl="0" w:tplc="0409000F">
      <w:start w:val="1"/>
      <w:numFmt w:val="decimal"/>
      <w:lvlText w:val="%1."/>
      <w:lvlJc w:val="left"/>
      <w:pPr>
        <w:ind w:left="1080" w:hanging="720"/>
      </w:pPr>
      <w:rPr>
        <w:rFonts w:hint="default"/>
      </w:rPr>
    </w:lvl>
    <w:lvl w:ilvl="1" w:tplc="BE287F3C">
      <w:numFmt w:val="bullet"/>
      <w:lvlText w:val=""/>
      <w:lvlJc w:val="left"/>
      <w:pPr>
        <w:ind w:left="1800" w:hanging="72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BA8627A8">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4961FD"/>
    <w:multiLevelType w:val="hybridMultilevel"/>
    <w:tmpl w:val="B8F2C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8"/>
  </w:num>
  <w:num w:numId="2">
    <w:abstractNumId w:val="27"/>
  </w:num>
  <w:num w:numId="3">
    <w:abstractNumId w:val="25"/>
  </w:num>
  <w:num w:numId="4">
    <w:abstractNumId w:val="23"/>
  </w:num>
  <w:num w:numId="5">
    <w:abstractNumId w:val="2"/>
  </w:num>
  <w:num w:numId="6">
    <w:abstractNumId w:val="5"/>
  </w:num>
  <w:num w:numId="7">
    <w:abstractNumId w:val="20"/>
  </w:num>
  <w:num w:numId="8">
    <w:abstractNumId w:val="30"/>
  </w:num>
  <w:num w:numId="9">
    <w:abstractNumId w:val="4"/>
  </w:num>
  <w:num w:numId="10">
    <w:abstractNumId w:val="7"/>
  </w:num>
  <w:num w:numId="11">
    <w:abstractNumId w:val="36"/>
  </w:num>
  <w:num w:numId="12">
    <w:abstractNumId w:val="28"/>
  </w:num>
  <w:num w:numId="13">
    <w:abstractNumId w:val="26"/>
  </w:num>
  <w:num w:numId="14">
    <w:abstractNumId w:val="35"/>
  </w:num>
  <w:num w:numId="15">
    <w:abstractNumId w:val="6"/>
  </w:num>
  <w:num w:numId="16">
    <w:abstractNumId w:val="19"/>
  </w:num>
  <w:num w:numId="17">
    <w:abstractNumId w:val="31"/>
  </w:num>
  <w:num w:numId="18">
    <w:abstractNumId w:val="37"/>
  </w:num>
  <w:num w:numId="19">
    <w:abstractNumId w:val="14"/>
  </w:num>
  <w:num w:numId="20">
    <w:abstractNumId w:val="12"/>
  </w:num>
  <w:num w:numId="21">
    <w:abstractNumId w:val="15"/>
  </w:num>
  <w:num w:numId="22">
    <w:abstractNumId w:val="24"/>
  </w:num>
  <w:num w:numId="23">
    <w:abstractNumId w:val="18"/>
  </w:num>
  <w:num w:numId="24">
    <w:abstractNumId w:val="8"/>
  </w:num>
  <w:num w:numId="25">
    <w:abstractNumId w:val="1"/>
  </w:num>
  <w:num w:numId="26">
    <w:abstractNumId w:val="22"/>
  </w:num>
  <w:num w:numId="27">
    <w:abstractNumId w:val="34"/>
  </w:num>
  <w:num w:numId="28">
    <w:abstractNumId w:val="33"/>
  </w:num>
  <w:num w:numId="29">
    <w:abstractNumId w:val="10"/>
  </w:num>
  <w:num w:numId="30">
    <w:abstractNumId w:val="11"/>
  </w:num>
  <w:num w:numId="31">
    <w:abstractNumId w:val="0"/>
  </w:num>
  <w:num w:numId="32">
    <w:abstractNumId w:val="32"/>
  </w:num>
  <w:num w:numId="33">
    <w:abstractNumId w:val="3"/>
  </w:num>
  <w:num w:numId="34">
    <w:abstractNumId w:val="13"/>
  </w:num>
  <w:num w:numId="35">
    <w:abstractNumId w:val="9"/>
  </w:num>
  <w:num w:numId="36">
    <w:abstractNumId w:val="29"/>
  </w:num>
  <w:num w:numId="37">
    <w:abstractNumId w:val="17"/>
  </w:num>
  <w:num w:numId="38">
    <w:abstractNumId w:val="21"/>
  </w:num>
  <w:num w:numId="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677"/>
    <w:rsid w:val="00012921"/>
    <w:rsid w:val="00012FB9"/>
    <w:rsid w:val="000136ED"/>
    <w:rsid w:val="00015AAF"/>
    <w:rsid w:val="00016560"/>
    <w:rsid w:val="00024FEE"/>
    <w:rsid w:val="00033301"/>
    <w:rsid w:val="00033CC8"/>
    <w:rsid w:val="00037998"/>
    <w:rsid w:val="00043473"/>
    <w:rsid w:val="00045959"/>
    <w:rsid w:val="00046359"/>
    <w:rsid w:val="00050C27"/>
    <w:rsid w:val="0006207D"/>
    <w:rsid w:val="00070096"/>
    <w:rsid w:val="000769F7"/>
    <w:rsid w:val="000779A9"/>
    <w:rsid w:val="00082047"/>
    <w:rsid w:val="000927EA"/>
    <w:rsid w:val="00094648"/>
    <w:rsid w:val="000A0975"/>
    <w:rsid w:val="000A140E"/>
    <w:rsid w:val="000A3475"/>
    <w:rsid w:val="000B18C4"/>
    <w:rsid w:val="000B78CB"/>
    <w:rsid w:val="000C4626"/>
    <w:rsid w:val="000D429E"/>
    <w:rsid w:val="000E01D1"/>
    <w:rsid w:val="000E4300"/>
    <w:rsid w:val="000F1328"/>
    <w:rsid w:val="000F2B59"/>
    <w:rsid w:val="00112DF2"/>
    <w:rsid w:val="00120A0C"/>
    <w:rsid w:val="00120F3F"/>
    <w:rsid w:val="00124007"/>
    <w:rsid w:val="00124917"/>
    <w:rsid w:val="001301AA"/>
    <w:rsid w:val="00131443"/>
    <w:rsid w:val="0013447B"/>
    <w:rsid w:val="00161A18"/>
    <w:rsid w:val="0016255C"/>
    <w:rsid w:val="0016687D"/>
    <w:rsid w:val="00166A69"/>
    <w:rsid w:val="001864C2"/>
    <w:rsid w:val="001868E0"/>
    <w:rsid w:val="00187A50"/>
    <w:rsid w:val="001A0694"/>
    <w:rsid w:val="001A1C0D"/>
    <w:rsid w:val="001A28C0"/>
    <w:rsid w:val="001A6DAD"/>
    <w:rsid w:val="001B1C61"/>
    <w:rsid w:val="001C59E4"/>
    <w:rsid w:val="001D5AA5"/>
    <w:rsid w:val="001E63C6"/>
    <w:rsid w:val="001F7349"/>
    <w:rsid w:val="0020029A"/>
    <w:rsid w:val="00204509"/>
    <w:rsid w:val="00211E70"/>
    <w:rsid w:val="0022366A"/>
    <w:rsid w:val="00225F13"/>
    <w:rsid w:val="00261E03"/>
    <w:rsid w:val="0026424E"/>
    <w:rsid w:val="00267FAE"/>
    <w:rsid w:val="00272E29"/>
    <w:rsid w:val="00291B73"/>
    <w:rsid w:val="0029734C"/>
    <w:rsid w:val="002A505B"/>
    <w:rsid w:val="002B382B"/>
    <w:rsid w:val="002B7635"/>
    <w:rsid w:val="002E54EF"/>
    <w:rsid w:val="002F49EC"/>
    <w:rsid w:val="002F4DE8"/>
    <w:rsid w:val="003022D3"/>
    <w:rsid w:val="00303366"/>
    <w:rsid w:val="00303792"/>
    <w:rsid w:val="00321BF6"/>
    <w:rsid w:val="00321CCD"/>
    <w:rsid w:val="00323D9E"/>
    <w:rsid w:val="00325B9C"/>
    <w:rsid w:val="003270FA"/>
    <w:rsid w:val="0033343C"/>
    <w:rsid w:val="00340D97"/>
    <w:rsid w:val="003428CE"/>
    <w:rsid w:val="0034325D"/>
    <w:rsid w:val="00350E4E"/>
    <w:rsid w:val="00361F52"/>
    <w:rsid w:val="00365B7B"/>
    <w:rsid w:val="0037254D"/>
    <w:rsid w:val="0037427A"/>
    <w:rsid w:val="003759DB"/>
    <w:rsid w:val="00375E6A"/>
    <w:rsid w:val="00377301"/>
    <w:rsid w:val="0037771B"/>
    <w:rsid w:val="0038217D"/>
    <w:rsid w:val="00384B88"/>
    <w:rsid w:val="00390DE5"/>
    <w:rsid w:val="003A0672"/>
    <w:rsid w:val="003A74E2"/>
    <w:rsid w:val="003B1BB7"/>
    <w:rsid w:val="003B2951"/>
    <w:rsid w:val="003B497B"/>
    <w:rsid w:val="003B5859"/>
    <w:rsid w:val="003B6B41"/>
    <w:rsid w:val="003C20AA"/>
    <w:rsid w:val="003C60BD"/>
    <w:rsid w:val="003D1AD8"/>
    <w:rsid w:val="003D21A7"/>
    <w:rsid w:val="003D3937"/>
    <w:rsid w:val="003D5B1E"/>
    <w:rsid w:val="003D73D8"/>
    <w:rsid w:val="003E2801"/>
    <w:rsid w:val="003E3B22"/>
    <w:rsid w:val="003F5921"/>
    <w:rsid w:val="00403C04"/>
    <w:rsid w:val="00414C80"/>
    <w:rsid w:val="004155E1"/>
    <w:rsid w:val="00425974"/>
    <w:rsid w:val="00427F33"/>
    <w:rsid w:val="0043596B"/>
    <w:rsid w:val="00440AE7"/>
    <w:rsid w:val="00443427"/>
    <w:rsid w:val="0044769A"/>
    <w:rsid w:val="00450538"/>
    <w:rsid w:val="00452268"/>
    <w:rsid w:val="00454448"/>
    <w:rsid w:val="00456179"/>
    <w:rsid w:val="004670C2"/>
    <w:rsid w:val="00467163"/>
    <w:rsid w:val="0047504D"/>
    <w:rsid w:val="00480523"/>
    <w:rsid w:val="004811AD"/>
    <w:rsid w:val="00490AA7"/>
    <w:rsid w:val="00491842"/>
    <w:rsid w:val="00494C9F"/>
    <w:rsid w:val="004A4612"/>
    <w:rsid w:val="004A624D"/>
    <w:rsid w:val="004B3FEE"/>
    <w:rsid w:val="004C3BA7"/>
    <w:rsid w:val="004C4A74"/>
    <w:rsid w:val="004E16F6"/>
    <w:rsid w:val="004E3A1B"/>
    <w:rsid w:val="00501308"/>
    <w:rsid w:val="00502316"/>
    <w:rsid w:val="005050EF"/>
    <w:rsid w:val="00510909"/>
    <w:rsid w:val="00510D42"/>
    <w:rsid w:val="00520CE0"/>
    <w:rsid w:val="00527BBD"/>
    <w:rsid w:val="00531857"/>
    <w:rsid w:val="00535B56"/>
    <w:rsid w:val="00537291"/>
    <w:rsid w:val="00556066"/>
    <w:rsid w:val="00556E63"/>
    <w:rsid w:val="0056238F"/>
    <w:rsid w:val="00564A89"/>
    <w:rsid w:val="00571C02"/>
    <w:rsid w:val="00581FD2"/>
    <w:rsid w:val="00593643"/>
    <w:rsid w:val="00593E67"/>
    <w:rsid w:val="005A2425"/>
    <w:rsid w:val="005B032B"/>
    <w:rsid w:val="005B2955"/>
    <w:rsid w:val="005B3C01"/>
    <w:rsid w:val="005B62CF"/>
    <w:rsid w:val="005B6FAA"/>
    <w:rsid w:val="005B715B"/>
    <w:rsid w:val="005C562A"/>
    <w:rsid w:val="005D2974"/>
    <w:rsid w:val="005E49B8"/>
    <w:rsid w:val="005E5F75"/>
    <w:rsid w:val="005E79D3"/>
    <w:rsid w:val="005F4B12"/>
    <w:rsid w:val="005F716D"/>
    <w:rsid w:val="0060047D"/>
    <w:rsid w:val="006014DB"/>
    <w:rsid w:val="00604437"/>
    <w:rsid w:val="00606400"/>
    <w:rsid w:val="00607068"/>
    <w:rsid w:val="006135D2"/>
    <w:rsid w:val="00613C05"/>
    <w:rsid w:val="00620B93"/>
    <w:rsid w:val="00625C1B"/>
    <w:rsid w:val="00626D1D"/>
    <w:rsid w:val="00631C81"/>
    <w:rsid w:val="00635119"/>
    <w:rsid w:val="00636A0C"/>
    <w:rsid w:val="00640769"/>
    <w:rsid w:val="00644F76"/>
    <w:rsid w:val="00646BED"/>
    <w:rsid w:val="00650CFA"/>
    <w:rsid w:val="00655A17"/>
    <w:rsid w:val="00671BFD"/>
    <w:rsid w:val="00673146"/>
    <w:rsid w:val="00673643"/>
    <w:rsid w:val="006817E9"/>
    <w:rsid w:val="006823A7"/>
    <w:rsid w:val="00683D84"/>
    <w:rsid w:val="006923FB"/>
    <w:rsid w:val="006A28E1"/>
    <w:rsid w:val="006A4752"/>
    <w:rsid w:val="006A4D4E"/>
    <w:rsid w:val="006A7F99"/>
    <w:rsid w:val="006C45D0"/>
    <w:rsid w:val="006C58B4"/>
    <w:rsid w:val="006C73B0"/>
    <w:rsid w:val="006D0EB5"/>
    <w:rsid w:val="006D1C5E"/>
    <w:rsid w:val="006E2449"/>
    <w:rsid w:val="0070072D"/>
    <w:rsid w:val="00703573"/>
    <w:rsid w:val="00704586"/>
    <w:rsid w:val="007109B1"/>
    <w:rsid w:val="00710C91"/>
    <w:rsid w:val="007208E0"/>
    <w:rsid w:val="00721964"/>
    <w:rsid w:val="00723075"/>
    <w:rsid w:val="00727792"/>
    <w:rsid w:val="00732422"/>
    <w:rsid w:val="00744D19"/>
    <w:rsid w:val="00747205"/>
    <w:rsid w:val="00747A7E"/>
    <w:rsid w:val="00747D2F"/>
    <w:rsid w:val="00752EA8"/>
    <w:rsid w:val="00754AF7"/>
    <w:rsid w:val="00760D73"/>
    <w:rsid w:val="0076180B"/>
    <w:rsid w:val="00764112"/>
    <w:rsid w:val="00765D1A"/>
    <w:rsid w:val="007700A7"/>
    <w:rsid w:val="007721F3"/>
    <w:rsid w:val="00776654"/>
    <w:rsid w:val="00781332"/>
    <w:rsid w:val="00787248"/>
    <w:rsid w:val="00793E88"/>
    <w:rsid w:val="007A265C"/>
    <w:rsid w:val="007A45B4"/>
    <w:rsid w:val="007B07FD"/>
    <w:rsid w:val="007B0CF3"/>
    <w:rsid w:val="007B3A8E"/>
    <w:rsid w:val="007B6854"/>
    <w:rsid w:val="007C1ECB"/>
    <w:rsid w:val="007C3C01"/>
    <w:rsid w:val="007D466E"/>
    <w:rsid w:val="007D4F9F"/>
    <w:rsid w:val="007D749F"/>
    <w:rsid w:val="007E0697"/>
    <w:rsid w:val="007E362D"/>
    <w:rsid w:val="007E384A"/>
    <w:rsid w:val="007E4359"/>
    <w:rsid w:val="007F2A23"/>
    <w:rsid w:val="008015C1"/>
    <w:rsid w:val="00801FCA"/>
    <w:rsid w:val="00804ECF"/>
    <w:rsid w:val="0080612B"/>
    <w:rsid w:val="00811735"/>
    <w:rsid w:val="00812F09"/>
    <w:rsid w:val="00817DA0"/>
    <w:rsid w:val="00821288"/>
    <w:rsid w:val="00824FD7"/>
    <w:rsid w:val="00825DA9"/>
    <w:rsid w:val="0083145C"/>
    <w:rsid w:val="00841047"/>
    <w:rsid w:val="008450C0"/>
    <w:rsid w:val="00854533"/>
    <w:rsid w:val="008573ED"/>
    <w:rsid w:val="00861E61"/>
    <w:rsid w:val="008628B0"/>
    <w:rsid w:val="00866DDD"/>
    <w:rsid w:val="00873F74"/>
    <w:rsid w:val="00880DFE"/>
    <w:rsid w:val="008851FF"/>
    <w:rsid w:val="00887F65"/>
    <w:rsid w:val="00891699"/>
    <w:rsid w:val="00892655"/>
    <w:rsid w:val="0089365B"/>
    <w:rsid w:val="00896548"/>
    <w:rsid w:val="008A20F7"/>
    <w:rsid w:val="008A30B9"/>
    <w:rsid w:val="008A35A9"/>
    <w:rsid w:val="008B593F"/>
    <w:rsid w:val="008B7D8C"/>
    <w:rsid w:val="008C580E"/>
    <w:rsid w:val="008D028E"/>
    <w:rsid w:val="008D798B"/>
    <w:rsid w:val="008E1394"/>
    <w:rsid w:val="008E4FC9"/>
    <w:rsid w:val="008E567E"/>
    <w:rsid w:val="008F0B8B"/>
    <w:rsid w:val="00903CB2"/>
    <w:rsid w:val="00904CC3"/>
    <w:rsid w:val="009374DF"/>
    <w:rsid w:val="00941295"/>
    <w:rsid w:val="00952D65"/>
    <w:rsid w:val="00955553"/>
    <w:rsid w:val="009706DB"/>
    <w:rsid w:val="009746A1"/>
    <w:rsid w:val="00987B05"/>
    <w:rsid w:val="00993162"/>
    <w:rsid w:val="009943E2"/>
    <w:rsid w:val="009943E4"/>
    <w:rsid w:val="00994C16"/>
    <w:rsid w:val="0099646C"/>
    <w:rsid w:val="009A237A"/>
    <w:rsid w:val="009A49A7"/>
    <w:rsid w:val="009B0CE4"/>
    <w:rsid w:val="009B0D52"/>
    <w:rsid w:val="009B18CA"/>
    <w:rsid w:val="009B3622"/>
    <w:rsid w:val="009B633D"/>
    <w:rsid w:val="009C3531"/>
    <w:rsid w:val="009C4881"/>
    <w:rsid w:val="009D3DBB"/>
    <w:rsid w:val="009D729A"/>
    <w:rsid w:val="009E2CBB"/>
    <w:rsid w:val="009F299E"/>
    <w:rsid w:val="009F43EA"/>
    <w:rsid w:val="009F4779"/>
    <w:rsid w:val="009F597D"/>
    <w:rsid w:val="00A04AFF"/>
    <w:rsid w:val="00A129CF"/>
    <w:rsid w:val="00A1373C"/>
    <w:rsid w:val="00A13D8D"/>
    <w:rsid w:val="00A15D49"/>
    <w:rsid w:val="00A30D9A"/>
    <w:rsid w:val="00A44855"/>
    <w:rsid w:val="00A4694A"/>
    <w:rsid w:val="00A64E80"/>
    <w:rsid w:val="00A65884"/>
    <w:rsid w:val="00A777E1"/>
    <w:rsid w:val="00A835E4"/>
    <w:rsid w:val="00A905D8"/>
    <w:rsid w:val="00A94219"/>
    <w:rsid w:val="00AA0B6B"/>
    <w:rsid w:val="00AA1DDC"/>
    <w:rsid w:val="00AA3F0B"/>
    <w:rsid w:val="00AA788A"/>
    <w:rsid w:val="00AB1EB8"/>
    <w:rsid w:val="00AC55D8"/>
    <w:rsid w:val="00AD38AF"/>
    <w:rsid w:val="00AD50D1"/>
    <w:rsid w:val="00AD6516"/>
    <w:rsid w:val="00AE4551"/>
    <w:rsid w:val="00AE4702"/>
    <w:rsid w:val="00B01E81"/>
    <w:rsid w:val="00B22714"/>
    <w:rsid w:val="00B238AD"/>
    <w:rsid w:val="00B257FE"/>
    <w:rsid w:val="00B440F4"/>
    <w:rsid w:val="00B47636"/>
    <w:rsid w:val="00B51B73"/>
    <w:rsid w:val="00B52533"/>
    <w:rsid w:val="00B61FEB"/>
    <w:rsid w:val="00B645ED"/>
    <w:rsid w:val="00B65556"/>
    <w:rsid w:val="00B720EC"/>
    <w:rsid w:val="00B762E0"/>
    <w:rsid w:val="00B76532"/>
    <w:rsid w:val="00B76CD5"/>
    <w:rsid w:val="00B825D0"/>
    <w:rsid w:val="00B83929"/>
    <w:rsid w:val="00B8522B"/>
    <w:rsid w:val="00B915F1"/>
    <w:rsid w:val="00B94AEC"/>
    <w:rsid w:val="00BA7DEC"/>
    <w:rsid w:val="00BB1C2F"/>
    <w:rsid w:val="00BB2479"/>
    <w:rsid w:val="00BB7136"/>
    <w:rsid w:val="00BC053E"/>
    <w:rsid w:val="00BC2E2E"/>
    <w:rsid w:val="00BD357C"/>
    <w:rsid w:val="00BE0430"/>
    <w:rsid w:val="00BE7A61"/>
    <w:rsid w:val="00BF735E"/>
    <w:rsid w:val="00C05A1F"/>
    <w:rsid w:val="00C0644C"/>
    <w:rsid w:val="00C134BF"/>
    <w:rsid w:val="00C163C6"/>
    <w:rsid w:val="00C205C8"/>
    <w:rsid w:val="00C27DCF"/>
    <w:rsid w:val="00C4006D"/>
    <w:rsid w:val="00C4152E"/>
    <w:rsid w:val="00C65B05"/>
    <w:rsid w:val="00C73F08"/>
    <w:rsid w:val="00C77433"/>
    <w:rsid w:val="00C84911"/>
    <w:rsid w:val="00C929D4"/>
    <w:rsid w:val="00C933ED"/>
    <w:rsid w:val="00CA136B"/>
    <w:rsid w:val="00CA1417"/>
    <w:rsid w:val="00CA6762"/>
    <w:rsid w:val="00CA7470"/>
    <w:rsid w:val="00CB512A"/>
    <w:rsid w:val="00CC2FEA"/>
    <w:rsid w:val="00CC6330"/>
    <w:rsid w:val="00CC6736"/>
    <w:rsid w:val="00CD655B"/>
    <w:rsid w:val="00CD7B72"/>
    <w:rsid w:val="00CE014E"/>
    <w:rsid w:val="00CF3861"/>
    <w:rsid w:val="00D02283"/>
    <w:rsid w:val="00D0660C"/>
    <w:rsid w:val="00D11271"/>
    <w:rsid w:val="00D150A9"/>
    <w:rsid w:val="00D21818"/>
    <w:rsid w:val="00D2521F"/>
    <w:rsid w:val="00D27D52"/>
    <w:rsid w:val="00D40AE8"/>
    <w:rsid w:val="00D44D4E"/>
    <w:rsid w:val="00D474B5"/>
    <w:rsid w:val="00D52E18"/>
    <w:rsid w:val="00D543D5"/>
    <w:rsid w:val="00D54EEE"/>
    <w:rsid w:val="00D618E1"/>
    <w:rsid w:val="00D66E74"/>
    <w:rsid w:val="00D71264"/>
    <w:rsid w:val="00D849E4"/>
    <w:rsid w:val="00D852D2"/>
    <w:rsid w:val="00D91657"/>
    <w:rsid w:val="00D97671"/>
    <w:rsid w:val="00DA097F"/>
    <w:rsid w:val="00DA3E7C"/>
    <w:rsid w:val="00DA4E5A"/>
    <w:rsid w:val="00DA723F"/>
    <w:rsid w:val="00DA73A3"/>
    <w:rsid w:val="00DB3948"/>
    <w:rsid w:val="00DB4768"/>
    <w:rsid w:val="00DB49A0"/>
    <w:rsid w:val="00DC57EF"/>
    <w:rsid w:val="00DD0A49"/>
    <w:rsid w:val="00DF2D2A"/>
    <w:rsid w:val="00DF4F3C"/>
    <w:rsid w:val="00DF4F6F"/>
    <w:rsid w:val="00E076A3"/>
    <w:rsid w:val="00E14FC3"/>
    <w:rsid w:val="00E2421B"/>
    <w:rsid w:val="00E2592B"/>
    <w:rsid w:val="00E31A67"/>
    <w:rsid w:val="00E329EE"/>
    <w:rsid w:val="00E34A39"/>
    <w:rsid w:val="00E363B4"/>
    <w:rsid w:val="00E42494"/>
    <w:rsid w:val="00E435CE"/>
    <w:rsid w:val="00E44D6F"/>
    <w:rsid w:val="00E47851"/>
    <w:rsid w:val="00E52235"/>
    <w:rsid w:val="00E56716"/>
    <w:rsid w:val="00E57F3F"/>
    <w:rsid w:val="00E706B3"/>
    <w:rsid w:val="00E738C7"/>
    <w:rsid w:val="00E7422B"/>
    <w:rsid w:val="00E83A2B"/>
    <w:rsid w:val="00E85286"/>
    <w:rsid w:val="00E97584"/>
    <w:rsid w:val="00EB58F3"/>
    <w:rsid w:val="00EC1659"/>
    <w:rsid w:val="00ED0EBB"/>
    <w:rsid w:val="00EE2296"/>
    <w:rsid w:val="00EE4455"/>
    <w:rsid w:val="00F00EF3"/>
    <w:rsid w:val="00F04055"/>
    <w:rsid w:val="00F074E4"/>
    <w:rsid w:val="00F1219D"/>
    <w:rsid w:val="00F122B9"/>
    <w:rsid w:val="00F21CD9"/>
    <w:rsid w:val="00F22750"/>
    <w:rsid w:val="00F257B0"/>
    <w:rsid w:val="00F3207F"/>
    <w:rsid w:val="00F3541A"/>
    <w:rsid w:val="00F405D8"/>
    <w:rsid w:val="00F42706"/>
    <w:rsid w:val="00F45AA1"/>
    <w:rsid w:val="00F45CD2"/>
    <w:rsid w:val="00F46275"/>
    <w:rsid w:val="00F512A6"/>
    <w:rsid w:val="00F5665F"/>
    <w:rsid w:val="00F60488"/>
    <w:rsid w:val="00F631B6"/>
    <w:rsid w:val="00F63BC0"/>
    <w:rsid w:val="00F640FB"/>
    <w:rsid w:val="00F70715"/>
    <w:rsid w:val="00F719B8"/>
    <w:rsid w:val="00F83D21"/>
    <w:rsid w:val="00F94B00"/>
    <w:rsid w:val="00F94F66"/>
    <w:rsid w:val="00FA03AD"/>
    <w:rsid w:val="00FA2E89"/>
    <w:rsid w:val="00FB10DA"/>
    <w:rsid w:val="00FB4BFF"/>
    <w:rsid w:val="00FB6500"/>
    <w:rsid w:val="00FC430C"/>
    <w:rsid w:val="00FC7332"/>
    <w:rsid w:val="00FD1D9C"/>
    <w:rsid w:val="00FD727C"/>
    <w:rsid w:val="00FE0D9B"/>
    <w:rsid w:val="00FF35B1"/>
    <w:rsid w:val="00FF42BD"/>
    <w:rsid w:val="00FF6D85"/>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1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E83A2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character" w:customStyle="1" w:styleId="Heading5Char">
    <w:name w:val="Heading 5 Char"/>
    <w:link w:val="Heading5"/>
    <w:semiHidden/>
    <w:rsid w:val="00E83A2B"/>
    <w:rPr>
      <w:rFonts w:ascii="Calibri" w:eastAsia="Times New Roman" w:hAnsi="Calibri" w:cs="Times New Roman"/>
      <w:b/>
      <w:bCs/>
      <w:i/>
      <w:iCs/>
      <w:sz w:val="26"/>
      <w:szCs w:val="26"/>
    </w:rPr>
  </w:style>
  <w:style w:type="paragraph" w:styleId="BodyText">
    <w:name w:val="Body Text"/>
    <w:aliases w:val="Char, Char Char"/>
    <w:basedOn w:val="Normal"/>
    <w:link w:val="BodyTextChar"/>
    <w:rsid w:val="00443427"/>
    <w:pPr>
      <w:spacing w:after="120"/>
    </w:pPr>
  </w:style>
  <w:style w:type="character" w:customStyle="1" w:styleId="BodyTextChar">
    <w:name w:val="Body Text Char"/>
    <w:aliases w:val="Char Char, Char Char Char"/>
    <w:link w:val="BodyText"/>
    <w:rsid w:val="00443427"/>
    <w:rPr>
      <w:sz w:val="24"/>
      <w:szCs w:val="24"/>
    </w:rPr>
  </w:style>
  <w:style w:type="paragraph" w:customStyle="1" w:styleId="BulletsLast">
    <w:name w:val="BulletsLast"/>
    <w:basedOn w:val="Bullets"/>
    <w:rsid w:val="00443427"/>
    <w:pPr>
      <w:spacing w:after="180"/>
    </w:pPr>
  </w:style>
  <w:style w:type="paragraph" w:customStyle="1" w:styleId="Bullets">
    <w:name w:val="Bullets"/>
    <w:basedOn w:val="BodyText"/>
    <w:rsid w:val="00443427"/>
    <w:pPr>
      <w:numPr>
        <w:numId w:val="14"/>
      </w:numPr>
      <w:spacing w:after="60" w:line="264" w:lineRule="auto"/>
    </w:pPr>
    <w:rPr>
      <w:sz w:val="22"/>
      <w:szCs w:val="20"/>
    </w:rPr>
  </w:style>
  <w:style w:type="character" w:customStyle="1" w:styleId="FootnoteTextChar">
    <w:name w:val="Footnote Text Char"/>
    <w:link w:val="FootnoteText"/>
    <w:rsid w:val="00443427"/>
    <w:rPr>
      <w:lang w:bidi="ar-QA"/>
    </w:rPr>
  </w:style>
  <w:style w:type="paragraph" w:customStyle="1" w:styleId="P1-StandPara">
    <w:name w:val="P1-Stand Para"/>
    <w:link w:val="P1-StandParaChar"/>
    <w:rsid w:val="00E42494"/>
    <w:pPr>
      <w:spacing w:line="480" w:lineRule="auto"/>
      <w:ind w:firstLine="720"/>
    </w:pPr>
    <w:rPr>
      <w:sz w:val="22"/>
    </w:rPr>
  </w:style>
  <w:style w:type="character" w:customStyle="1" w:styleId="P1-StandParaChar">
    <w:name w:val="P1-Stand Para Char"/>
    <w:link w:val="P1-StandPara"/>
    <w:rsid w:val="00E42494"/>
    <w:rPr>
      <w:sz w:val="22"/>
    </w:rPr>
  </w:style>
  <w:style w:type="paragraph" w:styleId="ListParagraph">
    <w:name w:val="List Paragraph"/>
    <w:basedOn w:val="Normal"/>
    <w:uiPriority w:val="34"/>
    <w:qFormat/>
    <w:rsid w:val="00510D42"/>
    <w:pPr>
      <w:widowControl w:val="0"/>
      <w:autoSpaceDE w:val="0"/>
      <w:autoSpaceDN w:val="0"/>
      <w:adjustRightInd w:val="0"/>
      <w:ind w:left="720"/>
      <w:contextualSpacing/>
    </w:pPr>
    <w:rPr>
      <w:rFonts w:ascii="Courier" w:hAnsi="Courier" w:cs="Courier"/>
    </w:rPr>
  </w:style>
  <w:style w:type="paragraph" w:styleId="Revision">
    <w:name w:val="Revision"/>
    <w:hidden/>
    <w:uiPriority w:val="99"/>
    <w:semiHidden/>
    <w:rsid w:val="00683D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E83A2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character" w:customStyle="1" w:styleId="Heading5Char">
    <w:name w:val="Heading 5 Char"/>
    <w:link w:val="Heading5"/>
    <w:semiHidden/>
    <w:rsid w:val="00E83A2B"/>
    <w:rPr>
      <w:rFonts w:ascii="Calibri" w:eastAsia="Times New Roman" w:hAnsi="Calibri" w:cs="Times New Roman"/>
      <w:b/>
      <w:bCs/>
      <w:i/>
      <w:iCs/>
      <w:sz w:val="26"/>
      <w:szCs w:val="26"/>
    </w:rPr>
  </w:style>
  <w:style w:type="paragraph" w:styleId="BodyText">
    <w:name w:val="Body Text"/>
    <w:aliases w:val="Char, Char Char"/>
    <w:basedOn w:val="Normal"/>
    <w:link w:val="BodyTextChar"/>
    <w:rsid w:val="00443427"/>
    <w:pPr>
      <w:spacing w:after="120"/>
    </w:pPr>
  </w:style>
  <w:style w:type="character" w:customStyle="1" w:styleId="BodyTextChar">
    <w:name w:val="Body Text Char"/>
    <w:aliases w:val="Char Char, Char Char Char"/>
    <w:link w:val="BodyText"/>
    <w:rsid w:val="00443427"/>
    <w:rPr>
      <w:sz w:val="24"/>
      <w:szCs w:val="24"/>
    </w:rPr>
  </w:style>
  <w:style w:type="paragraph" w:customStyle="1" w:styleId="BulletsLast">
    <w:name w:val="BulletsLast"/>
    <w:basedOn w:val="Bullets"/>
    <w:rsid w:val="00443427"/>
    <w:pPr>
      <w:spacing w:after="180"/>
    </w:pPr>
  </w:style>
  <w:style w:type="paragraph" w:customStyle="1" w:styleId="Bullets">
    <w:name w:val="Bullets"/>
    <w:basedOn w:val="BodyText"/>
    <w:rsid w:val="00443427"/>
    <w:pPr>
      <w:numPr>
        <w:numId w:val="14"/>
      </w:numPr>
      <w:spacing w:after="60" w:line="264" w:lineRule="auto"/>
    </w:pPr>
    <w:rPr>
      <w:sz w:val="22"/>
      <w:szCs w:val="20"/>
    </w:rPr>
  </w:style>
  <w:style w:type="character" w:customStyle="1" w:styleId="FootnoteTextChar">
    <w:name w:val="Footnote Text Char"/>
    <w:link w:val="FootnoteText"/>
    <w:rsid w:val="00443427"/>
    <w:rPr>
      <w:lang w:bidi="ar-QA"/>
    </w:rPr>
  </w:style>
  <w:style w:type="paragraph" w:customStyle="1" w:styleId="P1-StandPara">
    <w:name w:val="P1-Stand Para"/>
    <w:link w:val="P1-StandParaChar"/>
    <w:rsid w:val="00E42494"/>
    <w:pPr>
      <w:spacing w:line="480" w:lineRule="auto"/>
      <w:ind w:firstLine="720"/>
    </w:pPr>
    <w:rPr>
      <w:sz w:val="22"/>
    </w:rPr>
  </w:style>
  <w:style w:type="character" w:customStyle="1" w:styleId="P1-StandParaChar">
    <w:name w:val="P1-Stand Para Char"/>
    <w:link w:val="P1-StandPara"/>
    <w:rsid w:val="00E42494"/>
    <w:rPr>
      <w:sz w:val="22"/>
    </w:rPr>
  </w:style>
  <w:style w:type="paragraph" w:styleId="ListParagraph">
    <w:name w:val="List Paragraph"/>
    <w:basedOn w:val="Normal"/>
    <w:uiPriority w:val="34"/>
    <w:qFormat/>
    <w:rsid w:val="00510D42"/>
    <w:pPr>
      <w:widowControl w:val="0"/>
      <w:autoSpaceDE w:val="0"/>
      <w:autoSpaceDN w:val="0"/>
      <w:adjustRightInd w:val="0"/>
      <w:ind w:left="720"/>
      <w:contextualSpacing/>
    </w:pPr>
    <w:rPr>
      <w:rFonts w:ascii="Courier" w:hAnsi="Courier" w:cs="Courier"/>
    </w:rPr>
  </w:style>
  <w:style w:type="paragraph" w:styleId="Revision">
    <w:name w:val="Revision"/>
    <w:hidden/>
    <w:uiPriority w:val="99"/>
    <w:semiHidden/>
    <w:rsid w:val="00683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61840116">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epts.washington.edu/fammed/improvingopioidcar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hrq.gov/policymakers/hrqa99a.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297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9888-0AF2-4B0C-A89A-D0C6FFA0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7123</Words>
  <Characters>40606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47634</CharactersWithSpaces>
  <SharedDoc>false</SharedDoc>
  <HLinks>
    <vt:vector size="6" baseType="variant">
      <vt:variant>
        <vt:i4>3014750</vt:i4>
      </vt:variant>
      <vt:variant>
        <vt:i4>3</vt:i4>
      </vt:variant>
      <vt:variant>
        <vt:i4>0</vt:i4>
      </vt:variant>
      <vt:variant>
        <vt:i4>5</vt:i4>
      </vt:variant>
      <vt:variant>
        <vt:lpwstr>http://www.bls.gov/oes/current/oes_nat.htm</vt:lpwstr>
      </vt:variant>
      <vt:variant>
        <vt:lpwstr>b29-0000.htm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SYSTEM</cp:lastModifiedBy>
  <cp:revision>2</cp:revision>
  <cp:lastPrinted>2019-02-01T13:22:00Z</cp:lastPrinted>
  <dcterms:created xsi:type="dcterms:W3CDTF">2020-01-08T21:14:00Z</dcterms:created>
  <dcterms:modified xsi:type="dcterms:W3CDTF">2020-01-08T21:14:00Z</dcterms:modified>
</cp:coreProperties>
</file>