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7B11D7" w14:textId="77777777" w:rsidR="009B633D" w:rsidRDefault="009B633D" w:rsidP="009B633D">
      <w:pPr>
        <w:jc w:val="center"/>
        <w:rPr>
          <w:sz w:val="28"/>
          <w:szCs w:val="28"/>
        </w:rPr>
      </w:pPr>
      <w:bookmarkStart w:id="0" w:name="_GoBack"/>
      <w:bookmarkEnd w:id="0"/>
    </w:p>
    <w:p w14:paraId="72683341" w14:textId="77777777" w:rsidR="009B633D" w:rsidRDefault="009B633D" w:rsidP="009B633D">
      <w:pPr>
        <w:jc w:val="center"/>
        <w:rPr>
          <w:sz w:val="28"/>
          <w:szCs w:val="28"/>
        </w:rPr>
      </w:pPr>
    </w:p>
    <w:p w14:paraId="22832FC3" w14:textId="77777777" w:rsidR="009B633D" w:rsidRDefault="009B633D" w:rsidP="009B633D">
      <w:pPr>
        <w:jc w:val="center"/>
        <w:rPr>
          <w:sz w:val="28"/>
          <w:szCs w:val="28"/>
        </w:rPr>
      </w:pPr>
    </w:p>
    <w:p w14:paraId="1DCC1C17" w14:textId="77777777" w:rsidR="009B633D" w:rsidRDefault="00456179" w:rsidP="009B633D">
      <w:pPr>
        <w:jc w:val="center"/>
        <w:rPr>
          <w:b/>
          <w:sz w:val="28"/>
          <w:szCs w:val="28"/>
        </w:rPr>
      </w:pPr>
      <w:r w:rsidRPr="00456179">
        <w:rPr>
          <w:b/>
          <w:sz w:val="28"/>
          <w:szCs w:val="28"/>
        </w:rPr>
        <w:t>SUPPORTING STATEMENT</w:t>
      </w:r>
    </w:p>
    <w:p w14:paraId="3A5E6670" w14:textId="77777777" w:rsidR="00635119" w:rsidRDefault="00635119" w:rsidP="009B633D">
      <w:pPr>
        <w:jc w:val="center"/>
        <w:rPr>
          <w:b/>
          <w:sz w:val="28"/>
          <w:szCs w:val="28"/>
        </w:rPr>
      </w:pPr>
    </w:p>
    <w:p w14:paraId="528CA67C" w14:textId="77777777" w:rsidR="009B633D" w:rsidRDefault="00456179" w:rsidP="009B633D">
      <w:pPr>
        <w:jc w:val="center"/>
        <w:rPr>
          <w:sz w:val="28"/>
          <w:szCs w:val="28"/>
        </w:rPr>
      </w:pPr>
      <w:r>
        <w:rPr>
          <w:b/>
          <w:sz w:val="28"/>
          <w:szCs w:val="28"/>
        </w:rPr>
        <w:t>Part A</w:t>
      </w:r>
    </w:p>
    <w:p w14:paraId="78DBCE0B" w14:textId="77777777" w:rsidR="009B633D" w:rsidRDefault="009B633D" w:rsidP="009B633D">
      <w:pPr>
        <w:jc w:val="center"/>
        <w:rPr>
          <w:sz w:val="28"/>
          <w:szCs w:val="28"/>
        </w:rPr>
      </w:pPr>
    </w:p>
    <w:p w14:paraId="237C6486" w14:textId="77777777" w:rsidR="009B633D" w:rsidRDefault="009B633D" w:rsidP="009B633D">
      <w:pPr>
        <w:jc w:val="center"/>
        <w:rPr>
          <w:sz w:val="28"/>
          <w:szCs w:val="28"/>
        </w:rPr>
      </w:pPr>
    </w:p>
    <w:p w14:paraId="76292B23" w14:textId="77777777" w:rsidR="009B633D" w:rsidRDefault="009B633D" w:rsidP="009B633D">
      <w:pPr>
        <w:jc w:val="center"/>
        <w:rPr>
          <w:sz w:val="28"/>
          <w:szCs w:val="28"/>
        </w:rPr>
      </w:pPr>
    </w:p>
    <w:p w14:paraId="2468E257" w14:textId="77777777" w:rsidR="009B633D" w:rsidRDefault="009B633D" w:rsidP="009B633D">
      <w:pPr>
        <w:jc w:val="center"/>
        <w:rPr>
          <w:sz w:val="28"/>
          <w:szCs w:val="28"/>
        </w:rPr>
      </w:pPr>
    </w:p>
    <w:p w14:paraId="66BFEA8F" w14:textId="77777777" w:rsidR="009B633D" w:rsidRDefault="009B633D" w:rsidP="009B633D">
      <w:pPr>
        <w:jc w:val="center"/>
        <w:rPr>
          <w:sz w:val="28"/>
          <w:szCs w:val="28"/>
        </w:rPr>
      </w:pPr>
    </w:p>
    <w:p w14:paraId="6B9670AC" w14:textId="77777777" w:rsidR="009B633D" w:rsidRPr="001B1E51" w:rsidRDefault="001B1E51" w:rsidP="009B633D">
      <w:pPr>
        <w:jc w:val="center"/>
        <w:rPr>
          <w:sz w:val="28"/>
          <w:szCs w:val="28"/>
        </w:rPr>
      </w:pPr>
      <w:r>
        <w:rPr>
          <w:sz w:val="28"/>
          <w:szCs w:val="28"/>
        </w:rPr>
        <w:t xml:space="preserve">Medical Expenditure Panel Survey (MEPS) </w:t>
      </w:r>
      <w:r w:rsidR="00D5775A">
        <w:rPr>
          <w:sz w:val="28"/>
          <w:szCs w:val="28"/>
        </w:rPr>
        <w:t xml:space="preserve">Household Component </w:t>
      </w:r>
      <w:r>
        <w:rPr>
          <w:sz w:val="28"/>
          <w:szCs w:val="28"/>
        </w:rPr>
        <w:t>and the MEPS Medical Provider Component</w:t>
      </w:r>
    </w:p>
    <w:p w14:paraId="056D78F0" w14:textId="77777777" w:rsidR="009B633D" w:rsidRPr="00082047" w:rsidRDefault="009B633D" w:rsidP="009B633D">
      <w:pPr>
        <w:jc w:val="center"/>
        <w:rPr>
          <w:i/>
          <w:sz w:val="28"/>
          <w:szCs w:val="28"/>
        </w:rPr>
      </w:pPr>
    </w:p>
    <w:p w14:paraId="53C54BCE" w14:textId="77777777" w:rsidR="009B633D" w:rsidRDefault="009B633D" w:rsidP="009B633D">
      <w:pPr>
        <w:jc w:val="center"/>
        <w:rPr>
          <w:sz w:val="28"/>
          <w:szCs w:val="28"/>
        </w:rPr>
      </w:pPr>
    </w:p>
    <w:p w14:paraId="52F9F5A7" w14:textId="77777777" w:rsidR="009B633D" w:rsidRDefault="009B633D" w:rsidP="009B633D">
      <w:pPr>
        <w:jc w:val="center"/>
        <w:rPr>
          <w:sz w:val="28"/>
          <w:szCs w:val="28"/>
        </w:rPr>
      </w:pPr>
    </w:p>
    <w:p w14:paraId="5A51DD03" w14:textId="77777777" w:rsidR="009B633D" w:rsidRDefault="009B633D" w:rsidP="009B633D">
      <w:pPr>
        <w:jc w:val="center"/>
        <w:rPr>
          <w:sz w:val="28"/>
          <w:szCs w:val="28"/>
        </w:rPr>
      </w:pPr>
    </w:p>
    <w:p w14:paraId="119891A9" w14:textId="611722A0" w:rsidR="009B633D" w:rsidRDefault="00BB1C2F" w:rsidP="009B633D">
      <w:pPr>
        <w:jc w:val="center"/>
        <w:rPr>
          <w:sz w:val="28"/>
          <w:szCs w:val="28"/>
        </w:rPr>
      </w:pPr>
      <w:r>
        <w:rPr>
          <w:b/>
          <w:sz w:val="28"/>
          <w:szCs w:val="28"/>
        </w:rPr>
        <w:t>Version</w:t>
      </w:r>
      <w:r w:rsidR="00B6382C">
        <w:rPr>
          <w:b/>
          <w:sz w:val="28"/>
          <w:szCs w:val="28"/>
        </w:rPr>
        <w:t>:</w:t>
      </w:r>
      <w:r w:rsidR="00E121B5">
        <w:rPr>
          <w:sz w:val="28"/>
          <w:szCs w:val="28"/>
        </w:rPr>
        <w:t xml:space="preserve"> </w:t>
      </w:r>
      <w:r w:rsidR="0098334D" w:rsidRPr="00B22D8D">
        <w:rPr>
          <w:sz w:val="28"/>
          <w:szCs w:val="28"/>
        </w:rPr>
        <w:t>June</w:t>
      </w:r>
      <w:r w:rsidR="002348C1">
        <w:rPr>
          <w:sz w:val="28"/>
          <w:szCs w:val="28"/>
        </w:rPr>
        <w:t xml:space="preserve">, </w:t>
      </w:r>
      <w:r w:rsidR="00585BBA" w:rsidRPr="004F24C9">
        <w:rPr>
          <w:sz w:val="28"/>
        </w:rPr>
        <w:t>2019</w:t>
      </w:r>
    </w:p>
    <w:p w14:paraId="395BC814" w14:textId="11177964" w:rsidR="00585BBA" w:rsidRDefault="00585BBA" w:rsidP="009B633D">
      <w:pPr>
        <w:jc w:val="center"/>
        <w:rPr>
          <w:sz w:val="28"/>
          <w:szCs w:val="28"/>
        </w:rPr>
      </w:pPr>
    </w:p>
    <w:p w14:paraId="4C98A7CD" w14:textId="3FBB3031" w:rsidR="00585BBA" w:rsidRPr="00397BB6" w:rsidRDefault="00585BBA" w:rsidP="009B633D">
      <w:pPr>
        <w:jc w:val="center"/>
        <w:rPr>
          <w:i/>
          <w:sz w:val="28"/>
          <w:szCs w:val="28"/>
        </w:rPr>
      </w:pPr>
      <w:r w:rsidRPr="00FD5D3B">
        <w:rPr>
          <w:sz w:val="28"/>
          <w:szCs w:val="28"/>
        </w:rPr>
        <w:t>Revision of Previously Approved OMB #0935-0118, November 2018; expiration date 11/30/21</w:t>
      </w:r>
    </w:p>
    <w:p w14:paraId="2518C482" w14:textId="77777777" w:rsidR="009B633D" w:rsidRDefault="009B633D" w:rsidP="009B633D">
      <w:pPr>
        <w:jc w:val="center"/>
        <w:rPr>
          <w:sz w:val="28"/>
          <w:szCs w:val="28"/>
        </w:rPr>
      </w:pPr>
    </w:p>
    <w:p w14:paraId="423766F9" w14:textId="77777777" w:rsidR="009B633D" w:rsidRDefault="009B633D" w:rsidP="009B633D">
      <w:pPr>
        <w:jc w:val="center"/>
        <w:rPr>
          <w:sz w:val="28"/>
          <w:szCs w:val="28"/>
        </w:rPr>
      </w:pPr>
    </w:p>
    <w:p w14:paraId="62763DB0" w14:textId="77777777" w:rsidR="009B633D" w:rsidRDefault="009B633D" w:rsidP="009B633D">
      <w:pPr>
        <w:jc w:val="center"/>
        <w:rPr>
          <w:sz w:val="28"/>
          <w:szCs w:val="28"/>
        </w:rPr>
      </w:pPr>
    </w:p>
    <w:p w14:paraId="6D2983F8" w14:textId="77777777" w:rsidR="009B633D" w:rsidRDefault="009B633D" w:rsidP="009B633D">
      <w:pPr>
        <w:jc w:val="center"/>
        <w:rPr>
          <w:sz w:val="28"/>
          <w:szCs w:val="28"/>
        </w:rPr>
      </w:pPr>
    </w:p>
    <w:p w14:paraId="6CB8A4AC" w14:textId="77777777" w:rsidR="009B633D" w:rsidRDefault="009B633D" w:rsidP="009B633D">
      <w:pPr>
        <w:jc w:val="center"/>
        <w:rPr>
          <w:sz w:val="28"/>
          <w:szCs w:val="28"/>
        </w:rPr>
      </w:pPr>
    </w:p>
    <w:p w14:paraId="029243C3" w14:textId="77777777" w:rsidR="009B633D" w:rsidRDefault="009B633D" w:rsidP="009B633D">
      <w:pPr>
        <w:jc w:val="center"/>
        <w:rPr>
          <w:sz w:val="28"/>
          <w:szCs w:val="28"/>
        </w:rPr>
      </w:pPr>
      <w:r w:rsidRPr="00677A0B">
        <w:rPr>
          <w:sz w:val="28"/>
          <w:szCs w:val="28"/>
        </w:rPr>
        <w:t>Agency of Healthcare Research and Quality (AHRQ)</w:t>
      </w:r>
    </w:p>
    <w:p w14:paraId="403E4B42" w14:textId="77777777" w:rsidR="009B633D" w:rsidRDefault="009B633D">
      <w:pPr>
        <w:rPr>
          <w:sz w:val="28"/>
          <w:szCs w:val="28"/>
        </w:rPr>
      </w:pPr>
    </w:p>
    <w:p w14:paraId="30D9FE65" w14:textId="77777777" w:rsidR="009B633D" w:rsidRDefault="009B633D">
      <w:pPr>
        <w:rPr>
          <w:sz w:val="28"/>
          <w:szCs w:val="28"/>
        </w:rPr>
      </w:pPr>
    </w:p>
    <w:p w14:paraId="360123E3" w14:textId="77777777" w:rsidR="009B633D" w:rsidRDefault="009B633D" w:rsidP="008C580E">
      <w:pPr>
        <w:rPr>
          <w:b/>
        </w:rPr>
      </w:pPr>
      <w:r>
        <w:br w:type="page"/>
      </w:r>
      <w:r w:rsidR="001D684D">
        <w:rPr>
          <w:b/>
        </w:rPr>
        <w:lastRenderedPageBreak/>
        <w:t>Table of C</w:t>
      </w:r>
      <w:r w:rsidRPr="001D0454">
        <w:rPr>
          <w:b/>
        </w:rPr>
        <w:t>ontents</w:t>
      </w:r>
    </w:p>
    <w:p w14:paraId="64CA81F8" w14:textId="77777777" w:rsidR="00EB58F3" w:rsidRDefault="00EB58F3" w:rsidP="009B633D">
      <w:pPr>
        <w:jc w:val="center"/>
        <w:rPr>
          <w:b/>
        </w:rPr>
      </w:pPr>
    </w:p>
    <w:p w14:paraId="47E90460" w14:textId="77777777" w:rsidR="00EB58F3" w:rsidRDefault="008C580E" w:rsidP="007B3A8E">
      <w:pPr>
        <w:tabs>
          <w:tab w:val="left" w:leader="dot" w:pos="8280"/>
        </w:tabs>
      </w:pPr>
      <w:r w:rsidRPr="008C580E">
        <w:t>A. Justification</w:t>
      </w:r>
      <w:r w:rsidR="007B3A8E">
        <w:tab/>
        <w:t>3</w:t>
      </w:r>
    </w:p>
    <w:p w14:paraId="5159A553" w14:textId="77777777" w:rsidR="007B3A8E" w:rsidRDefault="007B3A8E" w:rsidP="007B3A8E">
      <w:pPr>
        <w:tabs>
          <w:tab w:val="left" w:pos="360"/>
          <w:tab w:val="left" w:leader="dot" w:pos="8280"/>
        </w:tabs>
      </w:pPr>
      <w:r>
        <w:tab/>
        <w:t xml:space="preserve">1. </w:t>
      </w:r>
      <w:r w:rsidR="006014DB">
        <w:t>Circumstances that make the collection of information necessary</w:t>
      </w:r>
      <w:r>
        <w:tab/>
      </w:r>
      <w:r w:rsidR="00094648">
        <w:t>3</w:t>
      </w:r>
    </w:p>
    <w:p w14:paraId="772841CF" w14:textId="77777777" w:rsidR="007B3A8E" w:rsidRDefault="007B3A8E" w:rsidP="007B3A8E">
      <w:pPr>
        <w:tabs>
          <w:tab w:val="left" w:pos="360"/>
          <w:tab w:val="left" w:leader="dot" w:pos="8280"/>
        </w:tabs>
      </w:pPr>
      <w:r>
        <w:tab/>
        <w:t xml:space="preserve">2. </w:t>
      </w:r>
      <w:r w:rsidR="006014DB">
        <w:t>Purpose and use of i</w:t>
      </w:r>
      <w:r w:rsidRPr="007B3A8E">
        <w:t>nformation</w:t>
      </w:r>
      <w:r>
        <w:tab/>
      </w:r>
      <w:r w:rsidR="00C66038">
        <w:t>4</w:t>
      </w:r>
    </w:p>
    <w:p w14:paraId="5E71882D" w14:textId="77777777" w:rsidR="007B3A8E" w:rsidRDefault="007B3A8E" w:rsidP="007B3A8E">
      <w:pPr>
        <w:tabs>
          <w:tab w:val="left" w:pos="360"/>
          <w:tab w:val="left" w:leader="dot" w:pos="8280"/>
        </w:tabs>
      </w:pPr>
      <w:r>
        <w:tab/>
        <w:t xml:space="preserve">3. </w:t>
      </w:r>
      <w:r w:rsidRPr="007B3A8E">
        <w:t>Use of Improved Information Technology</w:t>
      </w:r>
      <w:r>
        <w:tab/>
      </w:r>
      <w:r w:rsidR="0003207A">
        <w:t>10</w:t>
      </w:r>
    </w:p>
    <w:p w14:paraId="4482086E" w14:textId="77777777" w:rsidR="007B3A8E" w:rsidRDefault="007B3A8E" w:rsidP="007B3A8E">
      <w:pPr>
        <w:tabs>
          <w:tab w:val="left" w:pos="360"/>
          <w:tab w:val="left" w:leader="dot" w:pos="8280"/>
        </w:tabs>
      </w:pPr>
      <w:r>
        <w:tab/>
        <w:t xml:space="preserve">4. </w:t>
      </w:r>
      <w:r w:rsidRPr="007B3A8E">
        <w:t>Efforts to Identify Duplication</w:t>
      </w:r>
      <w:r>
        <w:tab/>
      </w:r>
      <w:r w:rsidR="002D662B">
        <w:t>10</w:t>
      </w:r>
    </w:p>
    <w:p w14:paraId="4B8A34E2" w14:textId="77777777" w:rsidR="007B3A8E" w:rsidRDefault="007B3A8E" w:rsidP="007B3A8E">
      <w:pPr>
        <w:tabs>
          <w:tab w:val="left" w:pos="360"/>
          <w:tab w:val="left" w:leader="dot" w:pos="8280"/>
        </w:tabs>
      </w:pPr>
      <w:r>
        <w:tab/>
        <w:t xml:space="preserve">5. </w:t>
      </w:r>
      <w:r w:rsidR="00556066" w:rsidRPr="00556066">
        <w:t>Involvement of Small Entities</w:t>
      </w:r>
      <w:r w:rsidR="00556066">
        <w:tab/>
      </w:r>
      <w:r w:rsidR="002D662B">
        <w:t>10</w:t>
      </w:r>
    </w:p>
    <w:p w14:paraId="101BA28A" w14:textId="77777777" w:rsidR="00556066" w:rsidRDefault="00556066" w:rsidP="007B3A8E">
      <w:pPr>
        <w:tabs>
          <w:tab w:val="left" w:pos="360"/>
          <w:tab w:val="left" w:leader="dot" w:pos="8280"/>
        </w:tabs>
      </w:pPr>
      <w:r>
        <w:tab/>
        <w:t xml:space="preserve">6. </w:t>
      </w:r>
      <w:r w:rsidRPr="00556066">
        <w:t>Consequences if Information Collected Less Frequently</w:t>
      </w:r>
      <w:r>
        <w:tab/>
      </w:r>
      <w:r w:rsidR="0015450F">
        <w:t>10</w:t>
      </w:r>
    </w:p>
    <w:p w14:paraId="0F3732D8" w14:textId="77777777" w:rsidR="00556066" w:rsidRDefault="00556066" w:rsidP="007B3A8E">
      <w:pPr>
        <w:tabs>
          <w:tab w:val="left" w:pos="360"/>
          <w:tab w:val="left" w:leader="dot" w:pos="8280"/>
        </w:tabs>
      </w:pPr>
      <w:r>
        <w:tab/>
        <w:t xml:space="preserve">7. </w:t>
      </w:r>
      <w:r w:rsidRPr="00556066">
        <w:t>Special Circumstances</w:t>
      </w:r>
      <w:r>
        <w:tab/>
      </w:r>
      <w:r w:rsidR="002D662B">
        <w:t>1</w:t>
      </w:r>
      <w:r w:rsidR="0003207A">
        <w:t>1</w:t>
      </w:r>
    </w:p>
    <w:p w14:paraId="53A65079" w14:textId="77777777" w:rsidR="00556066" w:rsidRDefault="00556066" w:rsidP="007B3A8E">
      <w:pPr>
        <w:tabs>
          <w:tab w:val="left" w:pos="360"/>
          <w:tab w:val="left" w:leader="dot" w:pos="8280"/>
        </w:tabs>
      </w:pPr>
      <w:r>
        <w:tab/>
        <w:t xml:space="preserve">8. </w:t>
      </w:r>
      <w:r w:rsidR="006E11AA">
        <w:t>Federal Reg</w:t>
      </w:r>
      <w:r w:rsidR="00D5775A">
        <w:t xml:space="preserve">ister and Outside </w:t>
      </w:r>
      <w:r w:rsidRPr="00556066">
        <w:t>Consultation</w:t>
      </w:r>
      <w:r w:rsidR="00D5775A">
        <w:t>s</w:t>
      </w:r>
      <w:r>
        <w:tab/>
      </w:r>
      <w:r w:rsidR="002D662B">
        <w:t>1</w:t>
      </w:r>
      <w:r w:rsidR="0003207A">
        <w:t>1</w:t>
      </w:r>
    </w:p>
    <w:p w14:paraId="2E6A2127" w14:textId="77777777" w:rsidR="00556066" w:rsidRDefault="00556066" w:rsidP="007B3A8E">
      <w:pPr>
        <w:tabs>
          <w:tab w:val="left" w:pos="360"/>
          <w:tab w:val="left" w:leader="dot" w:pos="8280"/>
        </w:tabs>
      </w:pPr>
      <w:r>
        <w:tab/>
        <w:t xml:space="preserve">9. </w:t>
      </w:r>
      <w:r w:rsidRPr="00556066">
        <w:t>Gifts</w:t>
      </w:r>
      <w:r w:rsidR="001D684D">
        <w:t>/Payments</w:t>
      </w:r>
      <w:r w:rsidRPr="00556066">
        <w:t xml:space="preserve"> to Respondents</w:t>
      </w:r>
      <w:r>
        <w:tab/>
      </w:r>
      <w:r w:rsidR="002D662B">
        <w:t>11</w:t>
      </w:r>
    </w:p>
    <w:p w14:paraId="38869DED" w14:textId="77777777" w:rsidR="00556066" w:rsidRDefault="00556066" w:rsidP="007B3A8E">
      <w:pPr>
        <w:tabs>
          <w:tab w:val="left" w:pos="360"/>
          <w:tab w:val="left" w:leader="dot" w:pos="8280"/>
        </w:tabs>
      </w:pPr>
      <w:r>
        <w:tab/>
        <w:t xml:space="preserve">10. </w:t>
      </w:r>
      <w:r w:rsidRPr="00556066">
        <w:t>Assurance of Confidentiality</w:t>
      </w:r>
      <w:r>
        <w:tab/>
      </w:r>
      <w:r w:rsidR="00C66038">
        <w:t>11</w:t>
      </w:r>
    </w:p>
    <w:p w14:paraId="1F654EE3" w14:textId="77777777" w:rsidR="00556066" w:rsidRDefault="00556066" w:rsidP="007B3A8E">
      <w:pPr>
        <w:tabs>
          <w:tab w:val="left" w:pos="360"/>
          <w:tab w:val="left" w:leader="dot" w:pos="8280"/>
        </w:tabs>
      </w:pPr>
      <w:r>
        <w:tab/>
        <w:t xml:space="preserve">11. </w:t>
      </w:r>
      <w:r w:rsidRPr="00556066">
        <w:t>Questions of a Sensitive Nature</w:t>
      </w:r>
      <w:r>
        <w:tab/>
      </w:r>
      <w:r w:rsidR="00C66038">
        <w:t>1</w:t>
      </w:r>
      <w:r w:rsidR="0003207A">
        <w:t>2</w:t>
      </w:r>
    </w:p>
    <w:p w14:paraId="0C902060" w14:textId="77777777" w:rsidR="00556066" w:rsidRDefault="00556066" w:rsidP="007B3A8E">
      <w:pPr>
        <w:tabs>
          <w:tab w:val="left" w:pos="360"/>
          <w:tab w:val="left" w:leader="dot" w:pos="8280"/>
        </w:tabs>
      </w:pPr>
      <w:r>
        <w:tab/>
        <w:t xml:space="preserve">12. </w:t>
      </w:r>
      <w:r w:rsidRPr="00556066">
        <w:t>Estimates of Annualized Burden Hours and Costs</w:t>
      </w:r>
      <w:r>
        <w:tab/>
      </w:r>
      <w:r w:rsidR="00C66038">
        <w:t>1</w:t>
      </w:r>
      <w:r w:rsidR="0003207A">
        <w:t>2</w:t>
      </w:r>
    </w:p>
    <w:p w14:paraId="1036C869" w14:textId="77777777" w:rsidR="00556066" w:rsidRDefault="00556066" w:rsidP="007B3A8E">
      <w:pPr>
        <w:tabs>
          <w:tab w:val="left" w:pos="360"/>
          <w:tab w:val="left" w:leader="dot" w:pos="8280"/>
        </w:tabs>
      </w:pPr>
      <w:r>
        <w:tab/>
        <w:t xml:space="preserve">13. </w:t>
      </w:r>
      <w:r w:rsidRPr="00556066">
        <w:t>Estimates of Annualized Respondent Capital and Maintenance Costs</w:t>
      </w:r>
      <w:r>
        <w:tab/>
      </w:r>
      <w:r w:rsidR="00C66038">
        <w:t>1</w:t>
      </w:r>
      <w:r w:rsidR="0003207A">
        <w:t>5</w:t>
      </w:r>
    </w:p>
    <w:p w14:paraId="20B32D34" w14:textId="77777777" w:rsidR="00556066" w:rsidRDefault="00556066" w:rsidP="007B3A8E">
      <w:pPr>
        <w:tabs>
          <w:tab w:val="left" w:pos="360"/>
          <w:tab w:val="left" w:leader="dot" w:pos="8280"/>
        </w:tabs>
      </w:pPr>
      <w:r>
        <w:tab/>
        <w:t xml:space="preserve">14. </w:t>
      </w:r>
      <w:r w:rsidRPr="00556066">
        <w:t>Estimates of Annualized Cost to the Government</w:t>
      </w:r>
      <w:r>
        <w:tab/>
      </w:r>
      <w:r w:rsidR="00C66038">
        <w:t>1</w:t>
      </w:r>
      <w:r w:rsidR="0003207A">
        <w:t>5</w:t>
      </w:r>
    </w:p>
    <w:p w14:paraId="14D9DB31" w14:textId="77777777" w:rsidR="00556066" w:rsidRDefault="00556066" w:rsidP="007B3A8E">
      <w:pPr>
        <w:tabs>
          <w:tab w:val="left" w:pos="360"/>
          <w:tab w:val="left" w:leader="dot" w:pos="8280"/>
        </w:tabs>
      </w:pPr>
      <w:r>
        <w:tab/>
        <w:t xml:space="preserve">15. </w:t>
      </w:r>
      <w:r w:rsidRPr="00556066">
        <w:t>Changes in Hour Burden</w:t>
      </w:r>
      <w:r>
        <w:tab/>
      </w:r>
      <w:r w:rsidR="00C66038">
        <w:t>1</w:t>
      </w:r>
      <w:r w:rsidR="0003207A">
        <w:t>6</w:t>
      </w:r>
    </w:p>
    <w:p w14:paraId="04BA9C3B" w14:textId="77777777" w:rsidR="006014DB" w:rsidRDefault="006014DB" w:rsidP="007B3A8E">
      <w:pPr>
        <w:tabs>
          <w:tab w:val="left" w:pos="360"/>
          <w:tab w:val="left" w:leader="dot" w:pos="8280"/>
        </w:tabs>
      </w:pPr>
      <w:r>
        <w:tab/>
        <w:t xml:space="preserve">16. </w:t>
      </w:r>
      <w:r w:rsidRPr="006014DB">
        <w:t>Time Schedule, Publication and Analysis Plans</w:t>
      </w:r>
      <w:r>
        <w:tab/>
      </w:r>
      <w:r w:rsidR="00C66038">
        <w:t>1</w:t>
      </w:r>
      <w:r w:rsidR="0003207A">
        <w:t>6</w:t>
      </w:r>
    </w:p>
    <w:p w14:paraId="0608241B" w14:textId="77777777" w:rsidR="001D684D" w:rsidRDefault="001D684D" w:rsidP="007B3A8E">
      <w:pPr>
        <w:tabs>
          <w:tab w:val="left" w:pos="360"/>
          <w:tab w:val="left" w:leader="dot" w:pos="8280"/>
        </w:tabs>
      </w:pPr>
      <w:r>
        <w:tab/>
        <w:t>17. Schedule for Data Collection……………………………………………………16</w:t>
      </w:r>
    </w:p>
    <w:p w14:paraId="015DDAC8" w14:textId="77777777" w:rsidR="006014DB" w:rsidRDefault="006014DB" w:rsidP="007B3A8E">
      <w:pPr>
        <w:tabs>
          <w:tab w:val="left" w:pos="360"/>
          <w:tab w:val="left" w:leader="dot" w:pos="8280"/>
        </w:tabs>
      </w:pPr>
      <w:r>
        <w:tab/>
        <w:t>1</w:t>
      </w:r>
      <w:r w:rsidR="001D684D">
        <w:t>8</w:t>
      </w:r>
      <w:r>
        <w:t xml:space="preserve">. </w:t>
      </w:r>
      <w:r w:rsidRPr="006014DB">
        <w:t>Exemption for Display of Expiration Date</w:t>
      </w:r>
      <w:r>
        <w:tab/>
      </w:r>
      <w:r w:rsidR="00F32E41">
        <w:t>1</w:t>
      </w:r>
      <w:r w:rsidR="0003207A">
        <w:t>7</w:t>
      </w:r>
    </w:p>
    <w:p w14:paraId="089EDC43" w14:textId="77777777" w:rsidR="006E11AA" w:rsidRDefault="006E11AA" w:rsidP="007B3A8E">
      <w:pPr>
        <w:tabs>
          <w:tab w:val="left" w:pos="360"/>
          <w:tab w:val="left" w:leader="dot" w:pos="8280"/>
        </w:tabs>
      </w:pPr>
      <w:r>
        <w:tab/>
        <w:t>List of Attachments</w:t>
      </w:r>
      <w:r>
        <w:tab/>
      </w:r>
      <w:r w:rsidR="00F32E41">
        <w:t>17</w:t>
      </w:r>
    </w:p>
    <w:p w14:paraId="5174B342" w14:textId="77777777" w:rsidR="00556066" w:rsidRPr="00556066" w:rsidRDefault="006014DB" w:rsidP="007B3A8E">
      <w:pPr>
        <w:tabs>
          <w:tab w:val="left" w:pos="360"/>
          <w:tab w:val="left" w:leader="dot" w:pos="8280"/>
        </w:tabs>
      </w:pPr>
      <w:r>
        <w:tab/>
      </w:r>
    </w:p>
    <w:p w14:paraId="050DC3CF" w14:textId="77777777" w:rsidR="00556066" w:rsidRPr="00556066" w:rsidRDefault="00556066" w:rsidP="007B3A8E">
      <w:pPr>
        <w:tabs>
          <w:tab w:val="left" w:pos="360"/>
          <w:tab w:val="left" w:leader="dot" w:pos="8280"/>
        </w:tabs>
      </w:pPr>
      <w:r>
        <w:tab/>
      </w:r>
    </w:p>
    <w:p w14:paraId="7C1D894D" w14:textId="77777777" w:rsidR="009B633D" w:rsidRDefault="009B633D" w:rsidP="009B633D">
      <w:pPr>
        <w:jc w:val="center"/>
        <w:rPr>
          <w:b/>
        </w:rPr>
      </w:pPr>
    </w:p>
    <w:p w14:paraId="14295C84" w14:textId="77777777" w:rsidR="009B633D" w:rsidRDefault="00CE5D3D">
      <w:pPr>
        <w:pStyle w:val="TOC2"/>
        <w:tabs>
          <w:tab w:val="right" w:leader="dot" w:pos="8630"/>
        </w:tabs>
        <w:rPr>
          <w:noProof/>
        </w:rPr>
      </w:pPr>
      <w:r>
        <w:rPr>
          <w:b/>
        </w:rPr>
        <w:fldChar w:fldCharType="begin"/>
      </w:r>
      <w:r w:rsidR="009B633D">
        <w:rPr>
          <w:b/>
        </w:rPr>
        <w:instrText xml:space="preserve"> TOC \o "1-3" \h \z \u </w:instrText>
      </w:r>
      <w:r>
        <w:rPr>
          <w:b/>
        </w:rPr>
        <w:fldChar w:fldCharType="separate"/>
      </w:r>
    </w:p>
    <w:p w14:paraId="11CEEC14" w14:textId="77777777" w:rsidR="009B633D" w:rsidRPr="001D0454" w:rsidRDefault="00CE5D3D" w:rsidP="009B633D">
      <w:pPr>
        <w:jc w:val="center"/>
        <w:rPr>
          <w:b/>
        </w:rPr>
      </w:pPr>
      <w:r>
        <w:rPr>
          <w:b/>
        </w:rPr>
        <w:fldChar w:fldCharType="end"/>
      </w:r>
    </w:p>
    <w:p w14:paraId="4A43709D" w14:textId="77777777" w:rsidR="009B633D" w:rsidRDefault="009B633D" w:rsidP="009B633D">
      <w:pPr>
        <w:pStyle w:val="Heading1"/>
        <w:rPr>
          <w:sz w:val="24"/>
          <w:szCs w:val="24"/>
        </w:rPr>
      </w:pPr>
      <w:r>
        <w:br w:type="page"/>
      </w:r>
      <w:bookmarkStart w:id="1" w:name="_Toc151782175"/>
      <w:bookmarkStart w:id="2" w:name="_Toc158526215"/>
      <w:r w:rsidRPr="006014DB">
        <w:rPr>
          <w:sz w:val="24"/>
          <w:szCs w:val="24"/>
        </w:rPr>
        <w:lastRenderedPageBreak/>
        <w:t>A. Justification</w:t>
      </w:r>
      <w:bookmarkEnd w:id="1"/>
      <w:bookmarkEnd w:id="2"/>
    </w:p>
    <w:p w14:paraId="18441D77" w14:textId="7133CB4B" w:rsidR="00EE2184" w:rsidRPr="000C4742" w:rsidRDefault="0087571B" w:rsidP="00EE2184">
      <w:pPr>
        <w:rPr>
          <w:i/>
        </w:rPr>
      </w:pPr>
      <w:r w:rsidRPr="0087571B">
        <w:t xml:space="preserve">This request is for </w:t>
      </w:r>
      <w:r w:rsidR="00AA627A">
        <w:t xml:space="preserve">an update to previously submitted OMB supporting </w:t>
      </w:r>
      <w:r w:rsidR="001835E7">
        <w:t>statements</w:t>
      </w:r>
      <w:r w:rsidR="00AA627A">
        <w:t xml:space="preserve"> for the </w:t>
      </w:r>
      <w:r w:rsidR="004B5A1A">
        <w:t xml:space="preserve">renewal of the OMB </w:t>
      </w:r>
      <w:r w:rsidRPr="0087571B">
        <w:t xml:space="preserve">clearance </w:t>
      </w:r>
      <w:r w:rsidR="004B5A1A">
        <w:t xml:space="preserve">for the </w:t>
      </w:r>
      <w:r w:rsidRPr="0087571B">
        <w:t xml:space="preserve">data collections </w:t>
      </w:r>
      <w:r w:rsidR="004B5A1A">
        <w:t>of</w:t>
      </w:r>
      <w:r w:rsidRPr="0087571B">
        <w:t xml:space="preserve"> the Household and Medical Provider Components of the Medical Expenditure Panel Survey (MEPS)</w:t>
      </w:r>
      <w:r w:rsidR="00AA627A">
        <w:t xml:space="preserve"> which was approved in November 2018 and has an expiration date of </w:t>
      </w:r>
      <w:r w:rsidR="00CE00DD">
        <w:t>November 30, 2020</w:t>
      </w:r>
      <w:r w:rsidRPr="0087571B">
        <w:t>.  The MEPS Household Component (MEPS-HC) and Medical Provider Component (MEPS-MPC) are two of three components of the MEPS.</w:t>
      </w:r>
      <w:r w:rsidR="00EE2184">
        <w:t xml:space="preserve">  </w:t>
      </w:r>
    </w:p>
    <w:p w14:paraId="082B1D53" w14:textId="77777777" w:rsidR="0087571B" w:rsidRPr="0087571B" w:rsidRDefault="0087571B" w:rsidP="0087571B"/>
    <w:p w14:paraId="7910AA61" w14:textId="266AAE81" w:rsidR="0087571B" w:rsidRPr="0087571B" w:rsidRDefault="0087571B" w:rsidP="00D65011">
      <w:pPr>
        <w:numPr>
          <w:ilvl w:val="0"/>
          <w:numId w:val="18"/>
        </w:numPr>
        <w:ind w:left="450" w:hanging="450"/>
      </w:pPr>
      <w:r w:rsidRPr="0087571B">
        <w:t xml:space="preserve">Household Component: A sample of households participating in the National Health Interview Survey (NHIS) in the prior calendar year are interviewed 5 times over a 2 and </w:t>
      </w:r>
      <w:r w:rsidR="00D11931">
        <w:t>one half (2.5)</w:t>
      </w:r>
      <w:r w:rsidRPr="0087571B">
        <w:t xml:space="preserve"> year period.  These 5 interviews yield two years of information on use of</w:t>
      </w:r>
      <w:r w:rsidR="009F5AD7">
        <w:t>,</w:t>
      </w:r>
      <w:r w:rsidRPr="0087571B">
        <w:t xml:space="preserve"> and expenditures for</w:t>
      </w:r>
      <w:r w:rsidR="009F5AD7">
        <w:t>,</w:t>
      </w:r>
      <w:r w:rsidRPr="0087571B">
        <w:t xml:space="preserve"> health care, sources of payment for that health care, insurance status, employment, health status and health care quality.</w:t>
      </w:r>
    </w:p>
    <w:p w14:paraId="0F65320B" w14:textId="77777777" w:rsidR="0087571B" w:rsidRPr="0087571B" w:rsidRDefault="008435BE" w:rsidP="003945AB">
      <w:pPr>
        <w:numPr>
          <w:ilvl w:val="0"/>
          <w:numId w:val="18"/>
        </w:numPr>
        <w:ind w:left="450" w:hanging="450"/>
      </w:pPr>
      <w:r w:rsidRPr="0087571B">
        <w:t>Medical Provider Component: The MEPS-MPC collects information from medical and financial records maintained by hospitals, physicians, pharmacies and home health agencies named as sources of care by household respondents.</w:t>
      </w:r>
      <w:r>
        <w:t xml:space="preserve">  </w:t>
      </w:r>
    </w:p>
    <w:p w14:paraId="383D8B91" w14:textId="77777777" w:rsidR="0087571B" w:rsidRPr="0087571B" w:rsidRDefault="0087571B" w:rsidP="0069524A">
      <w:pPr>
        <w:numPr>
          <w:ilvl w:val="0"/>
          <w:numId w:val="18"/>
        </w:numPr>
        <w:ind w:left="450" w:hanging="450"/>
      </w:pPr>
      <w:r w:rsidRPr="0087571B">
        <w:t>Insurance Component (MEPS-IC): The MEPS-IC collects information on establishment characteristics, insurance offerings and premiums from employers.  The MEPS-IC is conducted by the Census Bureau for AHRQ and is cleared separately.</w:t>
      </w:r>
    </w:p>
    <w:p w14:paraId="6B042ADC" w14:textId="77777777" w:rsidR="00581B39" w:rsidRDefault="00581B39" w:rsidP="009B633D"/>
    <w:p w14:paraId="7DDD64E9" w14:textId="429CF306" w:rsidR="005567CB" w:rsidRPr="000C4742" w:rsidRDefault="005567CB" w:rsidP="005567CB">
      <w:pPr>
        <w:rPr>
          <w:i/>
        </w:rPr>
      </w:pPr>
      <w:r w:rsidRPr="005622E0">
        <w:t>The previous OMB clearance request for the MEPS was approved November, 2018 with an expiration date of November 30, 2021.  We propose updating the MEPS –HC by 1) adding a section to the 2020 self-administered questionnaire (SAQ</w:t>
      </w:r>
      <w:r w:rsidR="0070136D" w:rsidRPr="005622E0">
        <w:t>, Male/Female</w:t>
      </w:r>
      <w:r w:rsidRPr="005622E0">
        <w:t xml:space="preserve">) that will include questions on mental health, 2) collecting a health insurance cost-sharing document and 3) implementing a pilot study to evaluate the potential effectiveness of including a sample of NHIS nonrespondents in future MEPS panels as a strategy to improve the overall MEPS response rate. The total estimated annual burden hours for the MEPS will increase from 77,666 hours in the previous clearance to </w:t>
      </w:r>
      <w:r w:rsidRPr="005622E0">
        <w:rPr>
          <w:bCs/>
        </w:rPr>
        <w:t>84,930</w:t>
      </w:r>
      <w:r w:rsidRPr="005622E0">
        <w:t xml:space="preserve"> hours in this clearance request, an increase of 7,264 hours.  </w:t>
      </w:r>
      <w:r w:rsidR="00B326AB" w:rsidRPr="005622E0">
        <w:rPr>
          <w:rFonts w:ascii="Calibri" w:hAnsi="Calibri" w:cs="Calibri"/>
          <w:sz w:val="22"/>
          <w:szCs w:val="22"/>
        </w:rPr>
        <w:t>These are one time additions due to available funding in FY2019.  If additional funds are available in 2020 (or futures years), response rates and data quality, as well as competing funding priorities will be the metrics used to determine if similar activities should be funded.</w:t>
      </w:r>
    </w:p>
    <w:p w14:paraId="6D66C1C9" w14:textId="77777777" w:rsidR="005567CB" w:rsidRDefault="005567CB" w:rsidP="009B633D">
      <w:pPr>
        <w:rPr>
          <w:highlight w:val="yellow"/>
        </w:rPr>
      </w:pPr>
    </w:p>
    <w:p w14:paraId="22BD6DBE" w14:textId="50C1266A" w:rsidR="009B633D" w:rsidRDefault="009B633D" w:rsidP="00D65011">
      <w:pPr>
        <w:pStyle w:val="Heading2"/>
        <w:rPr>
          <w:sz w:val="24"/>
          <w:szCs w:val="24"/>
        </w:rPr>
      </w:pPr>
      <w:bookmarkStart w:id="3" w:name="_Toc151782176"/>
      <w:bookmarkStart w:id="4" w:name="_Toc158526216"/>
      <w:r w:rsidRPr="006014DB">
        <w:rPr>
          <w:sz w:val="24"/>
          <w:szCs w:val="24"/>
        </w:rPr>
        <w:t xml:space="preserve">1. </w:t>
      </w:r>
      <w:bookmarkEnd w:id="3"/>
      <w:bookmarkEnd w:id="4"/>
      <w:r w:rsidR="006014DB" w:rsidRPr="006014DB">
        <w:rPr>
          <w:sz w:val="24"/>
          <w:szCs w:val="24"/>
        </w:rPr>
        <w:t>Circumstances that make the collection of information necessary</w:t>
      </w:r>
    </w:p>
    <w:p w14:paraId="5827D04A" w14:textId="77777777" w:rsidR="00861BFC" w:rsidRDefault="000A140E">
      <w:r w:rsidRPr="003945AB">
        <w:t>The mission of the Agency for Healthcare Research and Quality (AHRQ)</w:t>
      </w:r>
      <w:r w:rsidR="006C014A" w:rsidRPr="003945AB">
        <w:t xml:space="preserve"> </w:t>
      </w:r>
      <w:r w:rsidR="007D79E5" w:rsidRPr="003945AB">
        <w:t>is</w:t>
      </w:r>
      <w:r w:rsidR="00861BFC">
        <w:t xml:space="preserve"> to produce evidence to make health care safer, higher quality, more accessible, equitable and affordable, and to work within the U.S. Department of Health and Human Services and with other partners to make sure that the evidence is understood and used.</w:t>
      </w:r>
    </w:p>
    <w:p w14:paraId="0A6E7E8D" w14:textId="77777777" w:rsidR="003945AB" w:rsidRDefault="003945AB" w:rsidP="000A140E"/>
    <w:p w14:paraId="4BF9AEA1" w14:textId="77777777" w:rsidR="006014DB" w:rsidRDefault="000A140E" w:rsidP="006014DB">
      <w:r>
        <w:t>AHRQ shall promote health care quality improvement by:</w:t>
      </w:r>
    </w:p>
    <w:p w14:paraId="44AD344C" w14:textId="77777777" w:rsidR="00606400" w:rsidRDefault="00606400" w:rsidP="00606400">
      <w:pPr>
        <w:tabs>
          <w:tab w:val="left" w:pos="360"/>
        </w:tabs>
      </w:pPr>
      <w:r>
        <w:tab/>
      </w:r>
    </w:p>
    <w:p w14:paraId="43BC3155" w14:textId="77777777" w:rsidR="00606400" w:rsidRDefault="00606400" w:rsidP="00FD06B3">
      <w:pPr>
        <w:tabs>
          <w:tab w:val="left" w:pos="360"/>
        </w:tabs>
        <w:ind w:left="720" w:hanging="360"/>
      </w:pPr>
      <w:r>
        <w:t>1.</w:t>
      </w:r>
      <w:r>
        <w:tab/>
      </w:r>
      <w:r w:rsidR="00561D99">
        <w:t>collecting data on and producing measures of the quality, safety, effectiveness, and efficiency of American health care and health care systems</w:t>
      </w:r>
      <w:r w:rsidR="00325B9C">
        <w:t>;</w:t>
      </w:r>
      <w:r w:rsidR="00B645ED">
        <w:t xml:space="preserve"> and</w:t>
      </w:r>
    </w:p>
    <w:p w14:paraId="25BD6F09" w14:textId="77777777" w:rsidR="00325B9C" w:rsidRDefault="00325B9C" w:rsidP="00606400">
      <w:pPr>
        <w:tabs>
          <w:tab w:val="left" w:pos="360"/>
        </w:tabs>
        <w:ind w:left="360"/>
      </w:pPr>
    </w:p>
    <w:p w14:paraId="6F5967FC" w14:textId="77777777" w:rsidR="00325B9C" w:rsidRDefault="00325B9C" w:rsidP="00FD06B3">
      <w:pPr>
        <w:tabs>
          <w:tab w:val="left" w:pos="360"/>
        </w:tabs>
        <w:ind w:left="720" w:hanging="360"/>
      </w:pPr>
      <w:r>
        <w:t>2.</w:t>
      </w:r>
      <w:r>
        <w:tab/>
      </w:r>
      <w:r w:rsidR="00561D99">
        <w:t>fostering the development of knowledge about improving health care, health care systems, and capacity</w:t>
      </w:r>
      <w:r w:rsidR="00B645ED">
        <w:t>; and</w:t>
      </w:r>
    </w:p>
    <w:p w14:paraId="53F725D5" w14:textId="77777777" w:rsidR="00B645ED" w:rsidRDefault="00B645ED" w:rsidP="00606400">
      <w:pPr>
        <w:tabs>
          <w:tab w:val="left" w:pos="360"/>
        </w:tabs>
        <w:ind w:left="360"/>
      </w:pPr>
    </w:p>
    <w:p w14:paraId="4B733CD0" w14:textId="77777777" w:rsidR="00B645ED" w:rsidRDefault="00B645ED" w:rsidP="00606400">
      <w:pPr>
        <w:tabs>
          <w:tab w:val="left" w:pos="360"/>
        </w:tabs>
        <w:ind w:left="360"/>
      </w:pPr>
      <w:r>
        <w:t>3.</w:t>
      </w:r>
      <w:r>
        <w:tab/>
      </w:r>
      <w:r w:rsidR="00A4371F">
        <w:t>partnering with stakeholders to implement proven strategies for health care improvement</w:t>
      </w:r>
      <w:r>
        <w:t>.</w:t>
      </w:r>
    </w:p>
    <w:p w14:paraId="1EF0C8A3" w14:textId="77777777" w:rsidR="00B645ED" w:rsidRDefault="00B645ED" w:rsidP="00B645ED">
      <w:pPr>
        <w:tabs>
          <w:tab w:val="left" w:pos="360"/>
        </w:tabs>
      </w:pPr>
    </w:p>
    <w:p w14:paraId="164DDD39" w14:textId="77777777" w:rsidR="008450C0" w:rsidRDefault="008450C0" w:rsidP="00B645ED">
      <w:pPr>
        <w:tabs>
          <w:tab w:val="left" w:pos="360"/>
        </w:tabs>
      </w:pPr>
      <w: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14:paraId="442C9C8A" w14:textId="77777777" w:rsidR="009B633D" w:rsidRPr="00983636" w:rsidRDefault="009B633D" w:rsidP="009B633D">
      <w:pPr>
        <w:pStyle w:val="Heading2"/>
        <w:rPr>
          <w:sz w:val="24"/>
        </w:rPr>
      </w:pPr>
      <w:bookmarkStart w:id="5" w:name="_Toc151782177"/>
      <w:bookmarkStart w:id="6" w:name="_Toc158526217"/>
      <w:r w:rsidRPr="00983636">
        <w:rPr>
          <w:sz w:val="24"/>
        </w:rPr>
        <w:t>2. Purpose and Use of Information</w:t>
      </w:r>
      <w:bookmarkEnd w:id="5"/>
      <w:bookmarkEnd w:id="6"/>
    </w:p>
    <w:p w14:paraId="7E7E22E2" w14:textId="77777777" w:rsidR="00E70976" w:rsidRPr="00093245" w:rsidRDefault="00E70976" w:rsidP="00E70976">
      <w:pPr>
        <w:tabs>
          <w:tab w:val="left" w:pos="0"/>
        </w:tabs>
        <w:rPr>
          <w:bCs/>
        </w:rPr>
      </w:pPr>
      <w:bookmarkStart w:id="7" w:name="_Toc151782178"/>
      <w:bookmarkStart w:id="8" w:name="_Toc158526218"/>
      <w:r w:rsidRPr="00093245">
        <w:rPr>
          <w:bCs/>
        </w:rPr>
        <w:t>The MEPS is a multi-purpose survey.  In addition to collecting data to yield annual estimates for a variety of measures related to health care use and expenditures, MEPS also provides estimates of measures related to health status, consumer assessment of health care, health insurance coverage, demographic characteristics, employment and access to health care indicators.   Estimates can be provided for individuals, families and population subgroups of interest.  Data obtained in this study are used to provide, among others, the following national estimates:</w:t>
      </w:r>
    </w:p>
    <w:p w14:paraId="480D469D" w14:textId="77777777" w:rsidR="00E70976" w:rsidRPr="00093245" w:rsidRDefault="00E70976" w:rsidP="00E70976">
      <w:pPr>
        <w:tabs>
          <w:tab w:val="left" w:pos="0"/>
        </w:tabs>
        <w:rPr>
          <w:bCs/>
        </w:rPr>
      </w:pPr>
    </w:p>
    <w:p w14:paraId="405AE175" w14:textId="77777777" w:rsidR="00E70976" w:rsidRPr="00093245" w:rsidRDefault="00E70976" w:rsidP="00E70976">
      <w:pPr>
        <w:numPr>
          <w:ilvl w:val="0"/>
          <w:numId w:val="7"/>
        </w:numPr>
        <w:tabs>
          <w:tab w:val="left" w:pos="0"/>
        </w:tabs>
        <w:autoSpaceDE w:val="0"/>
        <w:autoSpaceDN w:val="0"/>
        <w:adjustRightInd w:val="0"/>
        <w:rPr>
          <w:bCs/>
        </w:rPr>
      </w:pPr>
      <w:r w:rsidRPr="00093245">
        <w:rPr>
          <w:bCs/>
        </w:rPr>
        <w:t>annual estimates of health care use and expenditures for persons and families</w:t>
      </w:r>
    </w:p>
    <w:p w14:paraId="798818F9" w14:textId="77777777" w:rsidR="00E70976" w:rsidRPr="00093245" w:rsidRDefault="00E70976" w:rsidP="00E70976">
      <w:pPr>
        <w:numPr>
          <w:ilvl w:val="0"/>
          <w:numId w:val="7"/>
        </w:numPr>
        <w:tabs>
          <w:tab w:val="left" w:pos="0"/>
        </w:tabs>
        <w:autoSpaceDE w:val="0"/>
        <w:autoSpaceDN w:val="0"/>
        <w:adjustRightInd w:val="0"/>
        <w:rPr>
          <w:bCs/>
        </w:rPr>
      </w:pPr>
      <w:r w:rsidRPr="00093245">
        <w:rPr>
          <w:bCs/>
        </w:rPr>
        <w:t>annual estimates of sources of payment for health care utilizations, including public programs such as Medicare and Medicaid, private insurance, and out of pocket payments</w:t>
      </w:r>
    </w:p>
    <w:p w14:paraId="7532EFA1" w14:textId="77777777" w:rsidR="00E70976" w:rsidRPr="00093245" w:rsidRDefault="00E70976" w:rsidP="00E70976">
      <w:pPr>
        <w:numPr>
          <w:ilvl w:val="0"/>
          <w:numId w:val="7"/>
        </w:numPr>
        <w:tabs>
          <w:tab w:val="left" w:pos="0"/>
        </w:tabs>
        <w:autoSpaceDE w:val="0"/>
        <w:autoSpaceDN w:val="0"/>
        <w:adjustRightInd w:val="0"/>
        <w:rPr>
          <w:bCs/>
        </w:rPr>
      </w:pPr>
      <w:r w:rsidRPr="00093245">
        <w:rPr>
          <w:bCs/>
        </w:rPr>
        <w:t>annual estimates of health care use, expenditures and sources of payment of persons and families by type of utilization including inpatient stay, ambulatory care, home health, dental care and prescribed medications</w:t>
      </w:r>
    </w:p>
    <w:p w14:paraId="3E1FF856" w14:textId="77777777" w:rsidR="00E70976" w:rsidRPr="00093245" w:rsidRDefault="00E70976" w:rsidP="00E70976">
      <w:pPr>
        <w:numPr>
          <w:ilvl w:val="0"/>
          <w:numId w:val="7"/>
        </w:numPr>
        <w:tabs>
          <w:tab w:val="left" w:pos="0"/>
        </w:tabs>
        <w:autoSpaceDE w:val="0"/>
        <w:autoSpaceDN w:val="0"/>
        <w:adjustRightInd w:val="0"/>
        <w:rPr>
          <w:bCs/>
        </w:rPr>
      </w:pPr>
      <w:r w:rsidRPr="00093245">
        <w:rPr>
          <w:bCs/>
        </w:rPr>
        <w:t>the number and characteristics of the population eligible for public programs including the use of services and expenditures of the population(s) eligible for benefits under Medicare and Medicaid</w:t>
      </w:r>
    </w:p>
    <w:p w14:paraId="6B86D707" w14:textId="77777777" w:rsidR="00E70976" w:rsidRPr="00093245" w:rsidRDefault="00E70976" w:rsidP="00E70976">
      <w:pPr>
        <w:numPr>
          <w:ilvl w:val="0"/>
          <w:numId w:val="7"/>
        </w:numPr>
        <w:tabs>
          <w:tab w:val="left" w:pos="0"/>
        </w:tabs>
        <w:autoSpaceDE w:val="0"/>
        <w:autoSpaceDN w:val="0"/>
        <w:adjustRightInd w:val="0"/>
        <w:rPr>
          <w:bCs/>
        </w:rPr>
      </w:pPr>
      <w:r w:rsidRPr="00093245">
        <w:rPr>
          <w:bCs/>
        </w:rPr>
        <w:t>the number, characteristics, and use of services and expenditures of persons and families with various forms of insurance</w:t>
      </w:r>
    </w:p>
    <w:p w14:paraId="2EF414F1" w14:textId="77777777" w:rsidR="00E70976" w:rsidRPr="00093245" w:rsidRDefault="00E70976" w:rsidP="00E70976">
      <w:pPr>
        <w:numPr>
          <w:ilvl w:val="0"/>
          <w:numId w:val="7"/>
        </w:numPr>
        <w:tabs>
          <w:tab w:val="left" w:pos="0"/>
        </w:tabs>
        <w:autoSpaceDE w:val="0"/>
        <w:autoSpaceDN w:val="0"/>
        <w:adjustRightInd w:val="0"/>
        <w:rPr>
          <w:bCs/>
        </w:rPr>
      </w:pPr>
      <w:r w:rsidRPr="00093245">
        <w:rPr>
          <w:bCs/>
        </w:rPr>
        <w:t>annual estimates of consumer satisfaction with health care, and indicators of health care quality for key conditions</w:t>
      </w:r>
    </w:p>
    <w:p w14:paraId="64D41C84" w14:textId="77777777" w:rsidR="00E70976" w:rsidRPr="00093245" w:rsidRDefault="00E70976" w:rsidP="00E70976">
      <w:pPr>
        <w:numPr>
          <w:ilvl w:val="0"/>
          <w:numId w:val="7"/>
        </w:numPr>
        <w:tabs>
          <w:tab w:val="left" w:pos="0"/>
        </w:tabs>
        <w:autoSpaceDE w:val="0"/>
        <w:autoSpaceDN w:val="0"/>
        <w:adjustRightInd w:val="0"/>
        <w:rPr>
          <w:bCs/>
        </w:rPr>
      </w:pPr>
      <w:r w:rsidRPr="00093245">
        <w:rPr>
          <w:bCs/>
        </w:rPr>
        <w:t>annual estimates to track disparities in health care use and access</w:t>
      </w:r>
    </w:p>
    <w:p w14:paraId="3856F248" w14:textId="77777777" w:rsidR="00E70976" w:rsidRPr="00093245" w:rsidRDefault="00E70976" w:rsidP="00E70976">
      <w:pPr>
        <w:tabs>
          <w:tab w:val="left" w:pos="0"/>
        </w:tabs>
        <w:rPr>
          <w:bCs/>
        </w:rPr>
      </w:pPr>
    </w:p>
    <w:p w14:paraId="7A99976F" w14:textId="77777777" w:rsidR="00E70976" w:rsidRPr="00093245" w:rsidRDefault="00E70976" w:rsidP="00E70976">
      <w:pPr>
        <w:tabs>
          <w:tab w:val="left" w:pos="0"/>
        </w:tabs>
        <w:rPr>
          <w:bCs/>
        </w:rPr>
      </w:pPr>
      <w:r w:rsidRPr="00093245">
        <w:rPr>
          <w:bCs/>
        </w:rPr>
        <w:t>In addition to national estimates, data collected in this ongoing longitudinal study are used to study the determinants of the use of services and expenditures, and changes in the access to and the provision of health care in relation to:</w:t>
      </w:r>
    </w:p>
    <w:p w14:paraId="71537103" w14:textId="77777777" w:rsidR="00E70976" w:rsidRPr="00093245" w:rsidRDefault="00E70976" w:rsidP="00E70976">
      <w:pPr>
        <w:tabs>
          <w:tab w:val="left" w:pos="0"/>
        </w:tabs>
        <w:rPr>
          <w:bCs/>
        </w:rPr>
      </w:pPr>
    </w:p>
    <w:p w14:paraId="29236B50" w14:textId="77777777" w:rsidR="00E70976" w:rsidRPr="00093245" w:rsidRDefault="00E70976" w:rsidP="00E70976">
      <w:pPr>
        <w:numPr>
          <w:ilvl w:val="0"/>
          <w:numId w:val="8"/>
        </w:numPr>
        <w:tabs>
          <w:tab w:val="left" w:pos="0"/>
        </w:tabs>
        <w:autoSpaceDE w:val="0"/>
        <w:autoSpaceDN w:val="0"/>
        <w:adjustRightInd w:val="0"/>
        <w:rPr>
          <w:bCs/>
        </w:rPr>
      </w:pPr>
      <w:r w:rsidRPr="00093245">
        <w:rPr>
          <w:bCs/>
        </w:rPr>
        <w:t>socio-economic and demographic factors such as employment or income</w:t>
      </w:r>
    </w:p>
    <w:p w14:paraId="4ED8B334" w14:textId="77777777" w:rsidR="00E70976" w:rsidRPr="00093245" w:rsidRDefault="00E70976" w:rsidP="00E70976">
      <w:pPr>
        <w:numPr>
          <w:ilvl w:val="0"/>
          <w:numId w:val="8"/>
        </w:numPr>
        <w:tabs>
          <w:tab w:val="left" w:pos="0"/>
        </w:tabs>
        <w:autoSpaceDE w:val="0"/>
        <w:autoSpaceDN w:val="0"/>
        <w:adjustRightInd w:val="0"/>
        <w:rPr>
          <w:bCs/>
        </w:rPr>
      </w:pPr>
      <w:r w:rsidRPr="00093245">
        <w:rPr>
          <w:bCs/>
        </w:rPr>
        <w:t>the health status and satisfaction with health care of individuals and families</w:t>
      </w:r>
    </w:p>
    <w:p w14:paraId="6A5FB53E" w14:textId="77777777" w:rsidR="00E70976" w:rsidRPr="00093245" w:rsidRDefault="00E70976" w:rsidP="00E70976">
      <w:pPr>
        <w:numPr>
          <w:ilvl w:val="0"/>
          <w:numId w:val="8"/>
        </w:numPr>
        <w:tabs>
          <w:tab w:val="left" w:pos="0"/>
        </w:tabs>
        <w:autoSpaceDE w:val="0"/>
        <w:autoSpaceDN w:val="0"/>
        <w:adjustRightInd w:val="0"/>
        <w:rPr>
          <w:bCs/>
        </w:rPr>
      </w:pPr>
      <w:r w:rsidRPr="00093245">
        <w:rPr>
          <w:bCs/>
        </w:rPr>
        <w:t>the health needs and circumstances of specific subpopulation groups such as the elderly and children</w:t>
      </w:r>
    </w:p>
    <w:p w14:paraId="74B9062E" w14:textId="77777777" w:rsidR="00E70976" w:rsidRPr="00093245" w:rsidRDefault="00E70976" w:rsidP="00E70976">
      <w:pPr>
        <w:tabs>
          <w:tab w:val="left" w:pos="0"/>
        </w:tabs>
        <w:rPr>
          <w:bCs/>
        </w:rPr>
      </w:pPr>
    </w:p>
    <w:p w14:paraId="792EF9CF" w14:textId="77777777" w:rsidR="00E70976" w:rsidRPr="00093245" w:rsidRDefault="00E70976" w:rsidP="00E70976">
      <w:pPr>
        <w:tabs>
          <w:tab w:val="left" w:pos="0"/>
        </w:tabs>
        <w:rPr>
          <w:bCs/>
        </w:rPr>
      </w:pPr>
      <w:r w:rsidRPr="00093245">
        <w:rPr>
          <w:bCs/>
        </w:rPr>
        <w:t>To meet the need for national data on health</w:t>
      </w:r>
      <w:r w:rsidR="00A55C94">
        <w:rPr>
          <w:bCs/>
        </w:rPr>
        <w:t xml:space="preserve"> </w:t>
      </w:r>
      <w:r w:rsidRPr="00093245">
        <w:rPr>
          <w:bCs/>
        </w:rPr>
        <w:t>care use, access, cost and quality, MEPS-HC collects information on:</w:t>
      </w:r>
    </w:p>
    <w:p w14:paraId="1A327802" w14:textId="77777777" w:rsidR="00E70976" w:rsidRPr="00093245" w:rsidRDefault="00E70976" w:rsidP="00E70976">
      <w:pPr>
        <w:tabs>
          <w:tab w:val="left" w:pos="0"/>
        </w:tabs>
        <w:rPr>
          <w:bCs/>
        </w:rPr>
      </w:pPr>
    </w:p>
    <w:p w14:paraId="1D32974E" w14:textId="77777777" w:rsidR="00E70976" w:rsidRPr="00093245" w:rsidRDefault="00E70976" w:rsidP="00E70976">
      <w:pPr>
        <w:numPr>
          <w:ilvl w:val="0"/>
          <w:numId w:val="9"/>
        </w:numPr>
        <w:tabs>
          <w:tab w:val="left" w:pos="0"/>
        </w:tabs>
        <w:autoSpaceDE w:val="0"/>
        <w:autoSpaceDN w:val="0"/>
        <w:adjustRightInd w:val="0"/>
        <w:rPr>
          <w:bCs/>
        </w:rPr>
      </w:pPr>
      <w:r w:rsidRPr="00093245">
        <w:rPr>
          <w:bCs/>
        </w:rPr>
        <w:t>access to care and barriers to receiving needed care</w:t>
      </w:r>
    </w:p>
    <w:p w14:paraId="38E3561D" w14:textId="77777777" w:rsidR="00E70976" w:rsidRPr="00093245" w:rsidRDefault="00E70976" w:rsidP="00E70976">
      <w:pPr>
        <w:numPr>
          <w:ilvl w:val="0"/>
          <w:numId w:val="9"/>
        </w:numPr>
        <w:tabs>
          <w:tab w:val="left" w:pos="0"/>
        </w:tabs>
        <w:autoSpaceDE w:val="0"/>
        <w:autoSpaceDN w:val="0"/>
        <w:adjustRightInd w:val="0"/>
        <w:rPr>
          <w:bCs/>
        </w:rPr>
      </w:pPr>
      <w:r w:rsidRPr="00093245">
        <w:rPr>
          <w:bCs/>
        </w:rPr>
        <w:t>satisfaction with usual providers</w:t>
      </w:r>
    </w:p>
    <w:p w14:paraId="046B7B05" w14:textId="77777777" w:rsidR="00E70976" w:rsidRPr="00093245" w:rsidRDefault="00E70976" w:rsidP="00E70976">
      <w:pPr>
        <w:numPr>
          <w:ilvl w:val="0"/>
          <w:numId w:val="9"/>
        </w:numPr>
        <w:tabs>
          <w:tab w:val="left" w:pos="0"/>
        </w:tabs>
        <w:autoSpaceDE w:val="0"/>
        <w:autoSpaceDN w:val="0"/>
        <w:adjustRightInd w:val="0"/>
        <w:rPr>
          <w:bCs/>
        </w:rPr>
      </w:pPr>
      <w:r w:rsidRPr="00093245">
        <w:rPr>
          <w:bCs/>
        </w:rPr>
        <w:t>health status and limitations in activities</w:t>
      </w:r>
    </w:p>
    <w:p w14:paraId="2A5B122F" w14:textId="77777777" w:rsidR="00E70976" w:rsidRPr="00093245" w:rsidRDefault="00E70976" w:rsidP="00E70976">
      <w:pPr>
        <w:numPr>
          <w:ilvl w:val="0"/>
          <w:numId w:val="9"/>
        </w:numPr>
        <w:tabs>
          <w:tab w:val="left" w:pos="0"/>
        </w:tabs>
        <w:autoSpaceDE w:val="0"/>
        <w:autoSpaceDN w:val="0"/>
        <w:adjustRightInd w:val="0"/>
        <w:rPr>
          <w:bCs/>
        </w:rPr>
      </w:pPr>
      <w:r w:rsidRPr="00093245">
        <w:rPr>
          <w:bCs/>
        </w:rPr>
        <w:t>medical conditions for which health care was used</w:t>
      </w:r>
    </w:p>
    <w:p w14:paraId="02D564BA" w14:textId="77777777" w:rsidR="00E70976" w:rsidRPr="00093245" w:rsidRDefault="00E70976" w:rsidP="00E70976">
      <w:pPr>
        <w:numPr>
          <w:ilvl w:val="0"/>
          <w:numId w:val="9"/>
        </w:numPr>
        <w:tabs>
          <w:tab w:val="left" w:pos="0"/>
        </w:tabs>
        <w:autoSpaceDE w:val="0"/>
        <w:autoSpaceDN w:val="0"/>
        <w:adjustRightInd w:val="0"/>
        <w:rPr>
          <w:bCs/>
        </w:rPr>
      </w:pPr>
      <w:r w:rsidRPr="00093245">
        <w:rPr>
          <w:bCs/>
        </w:rPr>
        <w:t>use, expense and payment (as well as insurance status of person receiving care) for health services</w:t>
      </w:r>
    </w:p>
    <w:p w14:paraId="4F85EA44" w14:textId="77777777" w:rsidR="00E70976" w:rsidRPr="00093245" w:rsidRDefault="00E70976" w:rsidP="00E70976">
      <w:pPr>
        <w:tabs>
          <w:tab w:val="left" w:pos="0"/>
        </w:tabs>
        <w:rPr>
          <w:bCs/>
        </w:rPr>
      </w:pPr>
    </w:p>
    <w:p w14:paraId="5F792379" w14:textId="77777777" w:rsidR="00E70976" w:rsidRPr="00093245" w:rsidRDefault="00E70976" w:rsidP="00E70976">
      <w:pPr>
        <w:tabs>
          <w:tab w:val="left" w:pos="0"/>
        </w:tabs>
        <w:rPr>
          <w:bCs/>
        </w:rPr>
      </w:pPr>
      <w:r w:rsidRPr="00093245">
        <w:rPr>
          <w:bCs/>
        </w:rPr>
        <w:t>Given the twin problems of nonresponse and response error of some household reported data, information is collected directly from medical providers in the MEPS-MPC to improve the accuracy of expenditure estimates derived from the MEPS-HC.  Because of their greater level of precision and detail, we also use MEPS-MPC data as the main source of imputations of missing expenditure data. Thus, the MEPS-MPC is designed to satisfy the following analytical objectives:</w:t>
      </w:r>
    </w:p>
    <w:p w14:paraId="4552B199" w14:textId="77777777" w:rsidR="00E70976" w:rsidRPr="00093245" w:rsidRDefault="00E70976" w:rsidP="00E70976">
      <w:pPr>
        <w:tabs>
          <w:tab w:val="left" w:pos="0"/>
        </w:tabs>
        <w:rPr>
          <w:bCs/>
        </w:rPr>
      </w:pPr>
    </w:p>
    <w:p w14:paraId="10740FDB" w14:textId="77777777" w:rsidR="00E70976" w:rsidRPr="00093245" w:rsidRDefault="00E70976" w:rsidP="00E70976">
      <w:pPr>
        <w:numPr>
          <w:ilvl w:val="0"/>
          <w:numId w:val="6"/>
        </w:numPr>
        <w:tabs>
          <w:tab w:val="left" w:pos="0"/>
        </w:tabs>
        <w:autoSpaceDE w:val="0"/>
        <w:autoSpaceDN w:val="0"/>
        <w:adjustRightInd w:val="0"/>
        <w:rPr>
          <w:bCs/>
        </w:rPr>
      </w:pPr>
      <w:r w:rsidRPr="00093245">
        <w:rPr>
          <w:bCs/>
        </w:rPr>
        <w:t>Serve as source data for household reported events with missing expenditure information</w:t>
      </w:r>
    </w:p>
    <w:p w14:paraId="4F90ECCB" w14:textId="77777777" w:rsidR="00E70976" w:rsidRPr="00093245" w:rsidRDefault="00E70976" w:rsidP="00E70976">
      <w:pPr>
        <w:numPr>
          <w:ilvl w:val="0"/>
          <w:numId w:val="6"/>
        </w:numPr>
        <w:tabs>
          <w:tab w:val="left" w:pos="0"/>
        </w:tabs>
        <w:autoSpaceDE w:val="0"/>
        <w:autoSpaceDN w:val="0"/>
        <w:adjustRightInd w:val="0"/>
        <w:rPr>
          <w:bCs/>
        </w:rPr>
      </w:pPr>
      <w:r w:rsidRPr="00093245">
        <w:rPr>
          <w:bCs/>
        </w:rPr>
        <w:t>Serve as an imputation source to reduce the level of bias in survey estimates of medical expenditures due to item nonresponse and less complete and less accurate household data</w:t>
      </w:r>
    </w:p>
    <w:p w14:paraId="05D91658" w14:textId="77777777" w:rsidR="00E70976" w:rsidRPr="00093245" w:rsidRDefault="00E70976" w:rsidP="00E70976">
      <w:pPr>
        <w:numPr>
          <w:ilvl w:val="0"/>
          <w:numId w:val="6"/>
        </w:numPr>
        <w:tabs>
          <w:tab w:val="left" w:pos="0"/>
        </w:tabs>
        <w:autoSpaceDE w:val="0"/>
        <w:autoSpaceDN w:val="0"/>
        <w:adjustRightInd w:val="0"/>
        <w:rPr>
          <w:bCs/>
        </w:rPr>
      </w:pPr>
      <w:r w:rsidRPr="00093245">
        <w:rPr>
          <w:bCs/>
        </w:rPr>
        <w:t>Serve as the primary data source for expenditure estimates of medical care provided by separately billing doctors in hospitals, emergency rooms, and outpatient departments, Medicaid recipients and expenditure estimates for pharmacies</w:t>
      </w:r>
    </w:p>
    <w:p w14:paraId="743AE557" w14:textId="77777777" w:rsidR="00E70976" w:rsidRPr="00093245" w:rsidRDefault="00E70976" w:rsidP="00E70976">
      <w:pPr>
        <w:numPr>
          <w:ilvl w:val="0"/>
          <w:numId w:val="6"/>
        </w:numPr>
        <w:tabs>
          <w:tab w:val="left" w:pos="0"/>
        </w:tabs>
        <w:autoSpaceDE w:val="0"/>
        <w:autoSpaceDN w:val="0"/>
        <w:adjustRightInd w:val="0"/>
        <w:rPr>
          <w:bCs/>
        </w:rPr>
      </w:pPr>
      <w:r w:rsidRPr="00093245">
        <w:rPr>
          <w:bCs/>
        </w:rPr>
        <w:t>Allow for an examination of the level of agreement in reported expenditures from household respondents and medical providers</w:t>
      </w:r>
    </w:p>
    <w:p w14:paraId="127D1D5D" w14:textId="77777777" w:rsidR="00E70976" w:rsidRPr="00093245" w:rsidRDefault="00E70976" w:rsidP="00E70976">
      <w:pPr>
        <w:tabs>
          <w:tab w:val="left" w:pos="0"/>
        </w:tabs>
        <w:rPr>
          <w:bCs/>
        </w:rPr>
      </w:pPr>
    </w:p>
    <w:p w14:paraId="64DC3BD8" w14:textId="77777777" w:rsidR="00863CEE" w:rsidRPr="00687072" w:rsidRDefault="00E70976" w:rsidP="00863CEE">
      <w:r w:rsidRPr="00093245">
        <w:rPr>
          <w:bCs/>
        </w:rPr>
        <w:t xml:space="preserve">Data from the MEPS, both the HC and MPC components, are intended for a number of annual reports produced by AHRQ, including the </w:t>
      </w:r>
      <w:r w:rsidR="00863CEE" w:rsidRPr="00687072">
        <w:t xml:space="preserve">National Healthcare Quality </w:t>
      </w:r>
      <w:r w:rsidR="00863CEE">
        <w:t>and</w:t>
      </w:r>
      <w:r w:rsidR="00863CEE" w:rsidRPr="00687072">
        <w:t xml:space="preserve"> Disparities Report</w:t>
      </w:r>
      <w:r w:rsidR="00863CEE">
        <w:t>.</w:t>
      </w:r>
    </w:p>
    <w:p w14:paraId="6FF0BD1C" w14:textId="77777777" w:rsidR="00E70976" w:rsidRDefault="00E70976" w:rsidP="00E70976">
      <w:pPr>
        <w:tabs>
          <w:tab w:val="left" w:pos="0"/>
        </w:tabs>
        <w:rPr>
          <w:bCs/>
        </w:rPr>
      </w:pPr>
    </w:p>
    <w:p w14:paraId="0193CDBE" w14:textId="77777777" w:rsidR="00EA18F9" w:rsidRPr="00EB3953" w:rsidRDefault="00EA18F9" w:rsidP="00EA18F9">
      <w:pPr>
        <w:outlineLvl w:val="0"/>
        <w:rPr>
          <w:b/>
          <w:bCs/>
          <w:i/>
          <w:iCs/>
        </w:rPr>
      </w:pPr>
      <w:r w:rsidRPr="00EB3953">
        <w:rPr>
          <w:b/>
          <w:bCs/>
          <w:i/>
          <w:iCs/>
        </w:rPr>
        <w:t>Medical Expenditure Panel Survey (MEPS) Household Component (HC)</w:t>
      </w:r>
    </w:p>
    <w:p w14:paraId="1E489B29" w14:textId="4F63B371" w:rsidR="00EA18F9" w:rsidRPr="00EB3953" w:rsidRDefault="00EA18F9" w:rsidP="00EA18F9">
      <w:pPr>
        <w:spacing w:after="200"/>
        <w:outlineLvl w:val="0"/>
        <w:rPr>
          <w:b/>
          <w:bCs/>
          <w:i/>
          <w:iCs/>
        </w:rPr>
      </w:pPr>
      <w:r w:rsidRPr="00EB3953">
        <w:rPr>
          <w:bCs/>
        </w:rPr>
        <w:t>For over thirty years, results from the MEPS and its predecessor surveys have been used by OMB, DHHS, Congress and a wide number of health services researchers to analyze health care use, expenses and health policy.</w:t>
      </w:r>
    </w:p>
    <w:p w14:paraId="62754305" w14:textId="5EF3E5EE" w:rsidR="00EA18F9" w:rsidRPr="00EB3953" w:rsidRDefault="00EA18F9" w:rsidP="00EA18F9">
      <w:pPr>
        <w:spacing w:after="200"/>
        <w:rPr>
          <w:bCs/>
        </w:rPr>
      </w:pPr>
      <w:r w:rsidRPr="00EB3953">
        <w:rPr>
          <w:bCs/>
        </w:rPr>
        <w:t>The MEPS is needed to provide information about the current state of the health care system as well as to track changes over time.  The MEPS permits annual estimates of use of health care and expenditures and sources of payment for that health care.  It also permits tracking individual change in employment, income, health insurance and health status over two years.  The use of the NHIS as a sampling frame expands the MEPS analytic capacity by providing another data point for comparisons over time.</w:t>
      </w:r>
    </w:p>
    <w:p w14:paraId="4798F4F7" w14:textId="77777777" w:rsidR="00EA18F9" w:rsidRPr="00EB3953" w:rsidRDefault="00EA18F9" w:rsidP="00EA18F9">
      <w:pPr>
        <w:rPr>
          <w:bCs/>
        </w:rPr>
      </w:pPr>
      <w:r w:rsidRPr="00EB3953">
        <w:rPr>
          <w:bCs/>
        </w:rPr>
        <w:t xml:space="preserve">Households selected for participation in the MEPS-HC are interviewed five times in person.  These rounds of interviewing are spaced about 5 months apart.  The interview will take place with a family respondent who will report for him/herself and for other family members.  </w:t>
      </w:r>
    </w:p>
    <w:p w14:paraId="51FA774E" w14:textId="77777777" w:rsidR="00EA18F9" w:rsidRDefault="00EA18F9" w:rsidP="00EA18F9">
      <w:pPr>
        <w:rPr>
          <w:bCs/>
        </w:rPr>
      </w:pPr>
    </w:p>
    <w:p w14:paraId="10BFC16F" w14:textId="77777777" w:rsidR="00EA18F9" w:rsidRDefault="00EA18F9" w:rsidP="00EA18F9">
      <w:pPr>
        <w:rPr>
          <w:bCs/>
        </w:rPr>
      </w:pPr>
      <w:r w:rsidRPr="00EB3953">
        <w:rPr>
          <w:bCs/>
        </w:rPr>
        <w:t>The MEPS-HC has the following goal:</w:t>
      </w:r>
    </w:p>
    <w:p w14:paraId="276C677D" w14:textId="77777777" w:rsidR="00EA18F9" w:rsidRPr="00EB3953" w:rsidRDefault="00EA18F9" w:rsidP="00EA18F9">
      <w:pPr>
        <w:rPr>
          <w:bCs/>
        </w:rPr>
      </w:pPr>
    </w:p>
    <w:p w14:paraId="04CAE7AD" w14:textId="77777777" w:rsidR="00EA18F9" w:rsidRPr="00EB3953" w:rsidRDefault="00EA18F9" w:rsidP="00EA18F9">
      <w:pPr>
        <w:numPr>
          <w:ilvl w:val="0"/>
          <w:numId w:val="12"/>
        </w:numPr>
        <w:spacing w:after="200"/>
        <w:rPr>
          <w:bCs/>
        </w:rPr>
      </w:pPr>
      <w:r w:rsidRPr="00EB3953">
        <w:rPr>
          <w:bCs/>
        </w:rPr>
        <w:t>To provide nationally representative estimates for the U.S. civilian noninstitutionalized population for:</w:t>
      </w:r>
    </w:p>
    <w:p w14:paraId="77269356" w14:textId="77777777" w:rsidR="00EA18F9" w:rsidRPr="00EB3953" w:rsidRDefault="00EA18F9" w:rsidP="00EA18F9">
      <w:pPr>
        <w:numPr>
          <w:ilvl w:val="0"/>
          <w:numId w:val="20"/>
        </w:numPr>
        <w:spacing w:after="200"/>
        <w:rPr>
          <w:bCs/>
        </w:rPr>
      </w:pPr>
      <w:r w:rsidRPr="00EB3953">
        <w:rPr>
          <w:bCs/>
        </w:rPr>
        <w:t xml:space="preserve"> health care use, expenditures, sources of payment </w:t>
      </w:r>
    </w:p>
    <w:p w14:paraId="32ABC62C" w14:textId="523A0E99" w:rsidR="006532B8" w:rsidRDefault="00EA18F9" w:rsidP="00EA18F9">
      <w:pPr>
        <w:numPr>
          <w:ilvl w:val="0"/>
          <w:numId w:val="20"/>
        </w:numPr>
        <w:spacing w:after="200"/>
        <w:rPr>
          <w:bCs/>
        </w:rPr>
      </w:pPr>
      <w:r w:rsidRPr="00EB3953">
        <w:rPr>
          <w:bCs/>
        </w:rPr>
        <w:t xml:space="preserve"> health insurance coverage</w:t>
      </w:r>
      <w:r w:rsidR="00E142CB">
        <w:rPr>
          <w:bCs/>
        </w:rPr>
        <w:t xml:space="preserve"> (annual only)</w:t>
      </w:r>
      <w:r w:rsidR="006532B8">
        <w:rPr>
          <w:bCs/>
        </w:rPr>
        <w:t xml:space="preserve"> </w:t>
      </w:r>
    </w:p>
    <w:p w14:paraId="656D2838" w14:textId="1B29461D" w:rsidR="006532B8" w:rsidRDefault="006532B8" w:rsidP="001651B7">
      <w:pPr>
        <w:numPr>
          <w:ilvl w:val="1"/>
          <w:numId w:val="20"/>
        </w:numPr>
        <w:spacing w:after="200"/>
        <w:rPr>
          <w:bCs/>
        </w:rPr>
      </w:pPr>
      <w:r>
        <w:rPr>
          <w:bCs/>
        </w:rPr>
        <w:t>annual health insurance estimates are the only published MEPS health insurance estimates currently; MEPS point in time health insurance estimates were last published with 2014 MEPS data</w:t>
      </w:r>
      <w:r w:rsidR="00484D84">
        <w:rPr>
          <w:rStyle w:val="FootnoteReference"/>
          <w:bCs/>
        </w:rPr>
        <w:footnoteReference w:id="2"/>
      </w:r>
    </w:p>
    <w:p w14:paraId="1DEF52FD" w14:textId="5BA8C15D" w:rsidR="00EA18F9" w:rsidRPr="00EB3953" w:rsidRDefault="006532B8" w:rsidP="001651B7">
      <w:pPr>
        <w:numPr>
          <w:ilvl w:val="1"/>
          <w:numId w:val="20"/>
        </w:numPr>
        <w:spacing w:after="200"/>
        <w:rPr>
          <w:bCs/>
        </w:rPr>
      </w:pPr>
      <w:r>
        <w:rPr>
          <w:bCs/>
        </w:rPr>
        <w:t xml:space="preserve">MEPS plans to add new health insurance verification questions based on CPS health insurance verification questions.  These questions were cognitive tested in 2017.  </w:t>
      </w:r>
    </w:p>
    <w:p w14:paraId="014F7A6C" w14:textId="2FD4A27C" w:rsidR="0085480A" w:rsidRDefault="0085480A" w:rsidP="0085480A">
      <w:r w:rsidRPr="00EB3953">
        <w:t>To achieve the goals of the MEPS-HC the following data collections are implemented:</w:t>
      </w:r>
    </w:p>
    <w:p w14:paraId="611831C9" w14:textId="77777777" w:rsidR="0085480A" w:rsidRPr="00EB3953" w:rsidRDefault="0085480A" w:rsidP="0085480A"/>
    <w:p w14:paraId="783AE0D5" w14:textId="77777777" w:rsidR="0085480A" w:rsidRPr="00BF7DAF" w:rsidRDefault="0085480A" w:rsidP="0085480A">
      <w:pPr>
        <w:numPr>
          <w:ilvl w:val="0"/>
          <w:numId w:val="13"/>
        </w:numPr>
        <w:spacing w:after="200"/>
      </w:pPr>
      <w:r w:rsidRPr="00EB3953">
        <w:rPr>
          <w:b/>
          <w:bCs/>
        </w:rPr>
        <w:t xml:space="preserve">Household Component Core Instrument. </w:t>
      </w:r>
      <w:r w:rsidRPr="00EB3953">
        <w:t xml:space="preserve">The core instrument collects data about persons in sample households. Topical areas asked in each round of interviewing include priority condition enumeration, health status, health care utilization including prescribed medicines, expenses and payments, employment, and health insurance.  Other topical areas that are asked only once a year include access to care, income, assets, satisfaction with providers, and children's health.  While many of the questions are asked about the entire reporting unit (RU), which is typically a family, </w:t>
      </w:r>
      <w:r w:rsidRPr="00BF7DAF">
        <w:t xml:space="preserve">only one person normally provides this information.  All sections of the current core instrument are available on the AHRQ website at </w:t>
      </w:r>
      <w:hyperlink r:id="rId9" w:history="1">
        <w:r w:rsidRPr="00BF7DAF">
          <w:rPr>
            <w:rStyle w:val="Hyperlink"/>
          </w:rPr>
          <w:t>http://meps.ahrq.gov/mepsweb/survey_comp/survey_questionnaires.jsp</w:t>
        </w:r>
      </w:hyperlink>
      <w:r w:rsidR="00995E1B" w:rsidRPr="00BF7DAF">
        <w:rPr>
          <w:rStyle w:val="Hyperlink"/>
        </w:rPr>
        <w:t xml:space="preserve"> (Attachments 29 to 71)</w:t>
      </w:r>
      <w:r w:rsidRPr="00BF7DAF">
        <w:t xml:space="preserve">.    </w:t>
      </w:r>
    </w:p>
    <w:p w14:paraId="0BF5DB3F" w14:textId="7D76EC2C" w:rsidR="00B326AB" w:rsidRPr="005622E0" w:rsidRDefault="0085480A" w:rsidP="00B326AB">
      <w:pPr>
        <w:rPr>
          <w:rFonts w:ascii="Calibri" w:hAnsi="Calibri" w:cs="Calibri"/>
          <w:sz w:val="22"/>
          <w:szCs w:val="22"/>
        </w:rPr>
      </w:pPr>
      <w:r w:rsidRPr="00FE6CF8">
        <w:rPr>
          <w:b/>
          <w:bCs/>
        </w:rPr>
        <w:t>Adult Self-Administered Questionnaire</w:t>
      </w:r>
      <w:r w:rsidRPr="00FE6CF8">
        <w:t>.  A brief self-administered questionnaire (SAQ) will be used to collect self-reported (rather than through household proxy) on health opinions and satisfaction with health care, and information on health status, preventive care and health care quality measures for adults 18</w:t>
      </w:r>
      <w:r w:rsidR="00691EED" w:rsidRPr="00FE6CF8">
        <w:t xml:space="preserve"> and older</w:t>
      </w:r>
      <w:r w:rsidRPr="00FE6CF8">
        <w:t xml:space="preserve">.  </w:t>
      </w:r>
      <w:r w:rsidR="00DC1DA7">
        <w:t xml:space="preserve">The Adult Female SAQ/Adult Male SAQ (PSAQ) </w:t>
      </w:r>
      <w:r w:rsidR="00AE4864">
        <w:t xml:space="preserve">(Attachment 19 and 20) </w:t>
      </w:r>
      <w:r w:rsidR="00DC1DA7">
        <w:t xml:space="preserve">was not included in the previous OMB clearance package for the MEPS Household Component and Medical Provider Component but received clearance on May 9, 2018 in a subsequent OMB submission.  </w:t>
      </w:r>
      <w:r w:rsidR="00C00549" w:rsidRPr="00FE6CF8">
        <w:t>The Adult SAQ (</w:t>
      </w:r>
      <w:r w:rsidR="007B0AD5">
        <w:t>SAQ)</w:t>
      </w:r>
      <w:r w:rsidR="00C00549" w:rsidRPr="00FE6CF8">
        <w:t xml:space="preserve"> has not changed from the previous MEPS Household Component and Medical P</w:t>
      </w:r>
      <w:r w:rsidR="00BF7DAF">
        <w:t xml:space="preserve">rovider </w:t>
      </w:r>
      <w:r w:rsidR="00C00549" w:rsidRPr="00FE6CF8">
        <w:t>Component OMB submission</w:t>
      </w:r>
      <w:r w:rsidR="00BF7DAF" w:rsidRPr="00FE6CF8">
        <w:t xml:space="preserve"> that received clearance on </w:t>
      </w:r>
      <w:r w:rsidR="00D272EA">
        <w:t>December 15, 2015.</w:t>
      </w:r>
      <w:r w:rsidR="00C00549" w:rsidRPr="00FE6CF8">
        <w:t xml:space="preserve"> </w:t>
      </w:r>
      <w:r w:rsidR="00471D3E" w:rsidRPr="005622E0">
        <w:rPr>
          <w:rFonts w:ascii="Calibri" w:hAnsi="Calibri" w:cs="Calibri"/>
          <w:sz w:val="22"/>
          <w:szCs w:val="22"/>
        </w:rPr>
        <w:t>Gender does get collected but only as a byproduct of verification that respondent has gotten the correct SAQ.  Question 1 is ensuring the respondent receives the correct SAQ.  For example, if a male receives the female SAQ by mistake, they would call Alex Scott so they could receive the correct SAQ.  However, if a person gets the right SAQ for their gender, they skip past calling Alex Scott and would move onto the next question in the SAQ.</w:t>
      </w:r>
      <w:r w:rsidR="00B326AB" w:rsidRPr="005622E0">
        <w:rPr>
          <w:rFonts w:ascii="Calibri" w:hAnsi="Calibri" w:cs="Calibri"/>
          <w:sz w:val="22"/>
          <w:szCs w:val="22"/>
        </w:rPr>
        <w:t>MEPS male/female data is preloaded data from the NHIS survey (which is the survey from which MEPS obtains its sample frame) which asks, “Are you male or female?”  The MEPS interviewer verifies this preloaded information with the respondent if it is not obvious to the interviewer.  If the interviewer does need to ask the “Are you male or female?” question during the CAPI and the respondent refuses to answer or answers don’t know, female is selected as default because a value of male or female is needed for the capi interview to continue.  In 2018, 6 people refused to answer the capi question, “Are you male or female?” NHIS functions in a similar way as MEPS in terms of this question except they do not have preloaded information from another survey and have to ask the question. “Neither” is not a valid response to this question in MEPS or NHIS.      </w:t>
      </w:r>
    </w:p>
    <w:p w14:paraId="71E8BDA0" w14:textId="77777777" w:rsidR="00B326AB" w:rsidRPr="005622E0" w:rsidRDefault="00B326AB" w:rsidP="00B326AB">
      <w:r w:rsidRPr="005622E0">
        <w:rPr>
          <w:rFonts w:ascii="Calibri" w:hAnsi="Calibri" w:cs="Calibri"/>
          <w:sz w:val="22"/>
          <w:szCs w:val="22"/>
        </w:rPr>
        <w:t>   </w:t>
      </w:r>
    </w:p>
    <w:p w14:paraId="08BF96BE" w14:textId="77777777" w:rsidR="00B326AB" w:rsidRDefault="00B326AB" w:rsidP="00B326AB">
      <w:pPr>
        <w:rPr>
          <w:rFonts w:ascii="Calibri" w:hAnsi="Calibri" w:cs="Calibri"/>
          <w:sz w:val="22"/>
          <w:szCs w:val="22"/>
          <w:shd w:val="clear" w:color="auto" w:fill="FFFFFF"/>
        </w:rPr>
      </w:pPr>
      <w:r w:rsidRPr="005622E0">
        <w:rPr>
          <w:rFonts w:ascii="Calibri" w:hAnsi="Calibri" w:cs="Calibri"/>
          <w:sz w:val="22"/>
          <w:szCs w:val="22"/>
        </w:rPr>
        <w:t>The PSAQ is administered based off of the preloaded or corrected reported Male/Female CAPI information and the first question of the PSAQ is “Are you Male or Female?” to ensure the respondent received the correct PSAQ and includes prompts on next steps depending on their answer.  In 2018, 74 respondents had a reported capi gender different than the gender reported for the PSAQ they filled out but we are unable to tease the reason for the discrepancy (e.g., if a person received the wrong PSAQ or if a person identifies differently than with the reported capi gender).</w:t>
      </w:r>
      <w:r w:rsidRPr="005622E0">
        <w:rPr>
          <w:rFonts w:ascii="Calibri" w:hAnsi="Calibri" w:cs="Calibri"/>
          <w:color w:val="1F497D"/>
          <w:sz w:val="22"/>
          <w:szCs w:val="22"/>
        </w:rPr>
        <w:t xml:space="preserve"> </w:t>
      </w:r>
    </w:p>
    <w:p w14:paraId="05D03781" w14:textId="77777777" w:rsidR="0085480A" w:rsidRPr="00FE6CF8" w:rsidRDefault="0085480A" w:rsidP="00B22D8D">
      <w:pPr>
        <w:spacing w:after="200"/>
        <w:ind w:left="720"/>
      </w:pPr>
    </w:p>
    <w:p w14:paraId="298861E6" w14:textId="77777777" w:rsidR="0085480A" w:rsidRPr="00EB3953" w:rsidRDefault="0085480A" w:rsidP="00361FB9">
      <w:pPr>
        <w:spacing w:after="200"/>
        <w:ind w:left="720"/>
      </w:pPr>
    </w:p>
    <w:p w14:paraId="70206CF9" w14:textId="77777777" w:rsidR="0085480A" w:rsidRPr="007A098A" w:rsidRDefault="0085480A" w:rsidP="0085480A">
      <w:pPr>
        <w:numPr>
          <w:ilvl w:val="0"/>
          <w:numId w:val="13"/>
        </w:numPr>
        <w:spacing w:after="200"/>
      </w:pPr>
      <w:r w:rsidRPr="00435C19">
        <w:rPr>
          <w:b/>
        </w:rPr>
        <w:t>Diabetes Care SAQ</w:t>
      </w:r>
      <w:r w:rsidRPr="00EB3953">
        <w:t xml:space="preserve">.  </w:t>
      </w:r>
      <w:r w:rsidR="00691EED">
        <w:t xml:space="preserve">There are no change in this instrument.  </w:t>
      </w:r>
      <w:r w:rsidRPr="00EB3953">
        <w:t xml:space="preserve">A brief self-administered paper-and-pencil questionnaire on the quality of diabetes care is administered once a year (during rounds 3 and 5) to persons identified as having diabetes. </w:t>
      </w:r>
      <w:r w:rsidRPr="007A098A">
        <w:t>Included are questions about the number of times the respondent reported having a hemoglobin A1c blood test, whether the respondent reported having his or her feet checked for sores or irritations, whether the respondent reported having an eye exam in which the pupils were dilated, the last time the respondent had his or her blood cholesterol checked and whether the diabetes has caused kidney or eye problems.  Respondents are also asked if their diabetes is being treated with diet, oral medications or insulin. This questionnaire is unchanged from the previous OMB clearance</w:t>
      </w:r>
      <w:r w:rsidR="007A7AA9" w:rsidRPr="007A098A">
        <w:t xml:space="preserve"> (Attachments 22 and 23)</w:t>
      </w:r>
      <w:r w:rsidRPr="007A098A">
        <w:t xml:space="preserve">.  </w:t>
      </w:r>
    </w:p>
    <w:p w14:paraId="2701840B" w14:textId="77777777" w:rsidR="0085480A" w:rsidRPr="007A098A" w:rsidRDefault="0085480A" w:rsidP="0085480A">
      <w:pPr>
        <w:numPr>
          <w:ilvl w:val="0"/>
          <w:numId w:val="13"/>
        </w:numPr>
        <w:spacing w:after="200"/>
      </w:pPr>
      <w:r w:rsidRPr="007A098A">
        <w:rPr>
          <w:b/>
          <w:bCs/>
        </w:rPr>
        <w:t>Authorization forms for the MEPS-MPC Provider and Pharmacy Survey</w:t>
      </w:r>
      <w:r w:rsidRPr="007A098A">
        <w:rPr>
          <w:bCs/>
        </w:rPr>
        <w:t>.</w:t>
      </w:r>
      <w:r w:rsidRPr="007A098A">
        <w:t xml:space="preserve">  </w:t>
      </w:r>
      <w:r w:rsidR="00691EED" w:rsidRPr="007A098A">
        <w:t xml:space="preserve">There is no change in this instrument.  </w:t>
      </w:r>
      <w:r w:rsidRPr="007A098A">
        <w:t xml:space="preserve">As in previous panels of the MEPS, we will ask respondents for </w:t>
      </w:r>
      <w:r w:rsidRPr="007A098A">
        <w:rPr>
          <w:bCs/>
        </w:rPr>
        <w:t>authorization</w:t>
      </w:r>
      <w:r w:rsidRPr="007A098A">
        <w:t xml:space="preserve"> to obtain supplemental information from their medical providers (hospitals, physicians, home health agencies and institutions) and pharmacies</w:t>
      </w:r>
      <w:r w:rsidR="007A7AA9" w:rsidRPr="007A098A">
        <w:t xml:space="preserve"> (Attachments 24 and 25)</w:t>
      </w:r>
      <w:r w:rsidRPr="007A098A">
        <w:t xml:space="preserve">.  </w:t>
      </w:r>
    </w:p>
    <w:p w14:paraId="00336FF1" w14:textId="7B7D408F" w:rsidR="0085480A" w:rsidRPr="00735862" w:rsidRDefault="0085480A" w:rsidP="0085480A">
      <w:pPr>
        <w:numPr>
          <w:ilvl w:val="0"/>
          <w:numId w:val="13"/>
        </w:numPr>
        <w:spacing w:after="200"/>
      </w:pPr>
      <w:r w:rsidRPr="007A098A">
        <w:rPr>
          <w:b/>
          <w:bCs/>
        </w:rPr>
        <w:t>MEPS Validation Interview</w:t>
      </w:r>
      <w:r w:rsidRPr="007A098A">
        <w:rPr>
          <w:bCs/>
        </w:rPr>
        <w:t xml:space="preserve">.  </w:t>
      </w:r>
      <w:r w:rsidR="00691EED" w:rsidRPr="007A098A">
        <w:rPr>
          <w:bCs/>
        </w:rPr>
        <w:t xml:space="preserve">There is no change in this instrument.  </w:t>
      </w:r>
      <w:r w:rsidRPr="007A098A">
        <w:rPr>
          <w:bCs/>
        </w:rPr>
        <w:t>Each interviewer is required to have at least 15 percent of his/her caseload validated to insure that the computer assisted personal interview (CAPI) questionnaire content was asked appropriately and procedures followed, for example</w:t>
      </w:r>
      <w:r w:rsidR="00CE00DD">
        <w:rPr>
          <w:bCs/>
        </w:rPr>
        <w:t>,</w:t>
      </w:r>
      <w:r w:rsidRPr="007A098A">
        <w:rPr>
          <w:bCs/>
        </w:rPr>
        <w:t xml:space="preserve"> the use of show cards.  Validation flags are set programmatically for cases pre-selected by data processing staff before each round of interviewing.  Home office and field management may also request that other cases be validated throughout the field period.  When an interviewer fails a validation their work is subject to 100 percent validation. Additionally, any case completed in less than 30 minutes is validated. A validation abstract form containing selected data collected in the CAPI interview is generated and used by the validator to guide the validation interview</w:t>
      </w:r>
      <w:r w:rsidR="007A7AA9" w:rsidRPr="007A098A">
        <w:rPr>
          <w:bCs/>
        </w:rPr>
        <w:t xml:space="preserve"> (Attachment 26). </w:t>
      </w:r>
    </w:p>
    <w:p w14:paraId="1A0E007B" w14:textId="77777777" w:rsidR="00B326AB" w:rsidRPr="005622E0" w:rsidRDefault="00735862" w:rsidP="00B326AB">
      <w:pPr>
        <w:rPr>
          <w:rFonts w:ascii="Calibri" w:hAnsi="Calibri" w:cs="Calibri"/>
          <w:sz w:val="22"/>
          <w:szCs w:val="22"/>
          <w:shd w:val="clear" w:color="auto" w:fill="FFFFFF"/>
        </w:rPr>
      </w:pPr>
      <w:r>
        <w:t xml:space="preserve"> </w:t>
      </w:r>
      <w:r w:rsidR="002D40E3" w:rsidRPr="005622E0">
        <w:rPr>
          <w:b/>
        </w:rPr>
        <w:t xml:space="preserve">Mental Health </w:t>
      </w:r>
      <w:r w:rsidR="00453E90" w:rsidRPr="005622E0">
        <w:rPr>
          <w:b/>
        </w:rPr>
        <w:t xml:space="preserve">Questions Added to </w:t>
      </w:r>
      <w:r w:rsidR="002D40E3" w:rsidRPr="005622E0">
        <w:rPr>
          <w:b/>
        </w:rPr>
        <w:t>SAQ</w:t>
      </w:r>
      <w:r w:rsidR="0070136D" w:rsidRPr="005622E0">
        <w:rPr>
          <w:b/>
        </w:rPr>
        <w:t xml:space="preserve"> (</w:t>
      </w:r>
      <w:r w:rsidR="00F139BA" w:rsidRPr="005622E0">
        <w:rPr>
          <w:b/>
        </w:rPr>
        <w:t>Male/Female)</w:t>
      </w:r>
      <w:r w:rsidR="002D40E3" w:rsidRPr="005622E0">
        <w:t>. MEPS will include</w:t>
      </w:r>
      <w:r w:rsidR="00A17DBC" w:rsidRPr="005622E0">
        <w:t xml:space="preserve"> </w:t>
      </w:r>
      <w:r w:rsidR="00453E90" w:rsidRPr="005622E0">
        <w:t xml:space="preserve">questions addressing issues in regards to an individual’s mental health and mental health treatment including mental health status, access to care, barriers to care, experiences with care, and use of peer support and other services to the SAQ for </w:t>
      </w:r>
      <w:r w:rsidR="00465589" w:rsidRPr="005622E0">
        <w:t xml:space="preserve">administration  during </w:t>
      </w:r>
      <w:r w:rsidR="00453E90" w:rsidRPr="005622E0">
        <w:t xml:space="preserve">the </w:t>
      </w:r>
      <w:r w:rsidR="00634BA6" w:rsidRPr="005622E0">
        <w:t xml:space="preserve">summer </w:t>
      </w:r>
      <w:r w:rsidR="00453E90" w:rsidRPr="005622E0">
        <w:t>of 2020</w:t>
      </w:r>
      <w:r w:rsidR="0098334D" w:rsidRPr="005622E0">
        <w:t xml:space="preserve"> with</w:t>
      </w:r>
      <w:r w:rsidR="00A17DBC" w:rsidRPr="005622E0">
        <w:t xml:space="preserve"> </w:t>
      </w:r>
      <w:r w:rsidR="002D40E3" w:rsidRPr="005622E0">
        <w:t>data collection targeting the adult (age 18 and over) population. AHRQ worked with several experts in the mental health field to develop th</w:t>
      </w:r>
      <w:r w:rsidR="00453E90" w:rsidRPr="005622E0">
        <w:t xml:space="preserve">ese questions </w:t>
      </w:r>
      <w:r w:rsidR="002D40E3" w:rsidRPr="005622E0">
        <w:t xml:space="preserve">and used their expertise to take advantage of already tested and widely accepted measures </w:t>
      </w:r>
      <w:r w:rsidR="00DB433B" w:rsidRPr="005622E0">
        <w:t>(</w:t>
      </w:r>
      <w:r w:rsidR="007C039F" w:rsidRPr="005622E0">
        <w:t>Attachment</w:t>
      </w:r>
      <w:r w:rsidR="00DB433B" w:rsidRPr="005622E0">
        <w:t xml:space="preserve"> 106</w:t>
      </w:r>
      <w:r w:rsidR="0015675F" w:rsidRPr="005622E0">
        <w:t xml:space="preserve"> a and 106b</w:t>
      </w:r>
      <w:r w:rsidR="00DB433B" w:rsidRPr="005622E0">
        <w:t>)</w:t>
      </w:r>
      <w:r w:rsidR="002D40E3" w:rsidRPr="005622E0">
        <w:t xml:space="preserve">.  </w:t>
      </w:r>
      <w:r w:rsidR="00B326AB" w:rsidRPr="005622E0">
        <w:rPr>
          <w:rFonts w:ascii="Calibri" w:hAnsi="Calibri" w:cs="Calibri"/>
          <w:sz w:val="22"/>
          <w:szCs w:val="22"/>
        </w:rPr>
        <w:t>All mental health questions are either from Federal surveys or from instruments either recommended or developed by federal agencies.  For the cases in which we do not use NSDUH items, it’s because the NSDUH questions are too detailed and interconnected with other NSDUH items which we cannot replicate due to space constraints.  Especially for the substance use questions, the chosen scales are the best available to replace the much lengthier and detailed NSDUH questions given the space constraints.  </w:t>
      </w:r>
    </w:p>
    <w:p w14:paraId="6A0B7781" w14:textId="58B0B934" w:rsidR="00735862" w:rsidRPr="005622E0" w:rsidRDefault="00735862" w:rsidP="00B22D8D">
      <w:pPr>
        <w:spacing w:after="200"/>
        <w:ind w:left="720"/>
      </w:pPr>
    </w:p>
    <w:p w14:paraId="39662713" w14:textId="3108D04F" w:rsidR="007B5DC6" w:rsidRPr="005622E0" w:rsidRDefault="007B5DC6" w:rsidP="00FD5D3B">
      <w:pPr>
        <w:pStyle w:val="ListParagraph"/>
        <w:rPr>
          <w:b/>
        </w:rPr>
      </w:pPr>
      <w:r w:rsidRPr="005622E0">
        <w:rPr>
          <w:b/>
        </w:rPr>
        <w:t>Mental Health SAQ Consultants</w:t>
      </w:r>
    </w:p>
    <w:tbl>
      <w:tblPr>
        <w:tblW w:w="7398"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4500"/>
      </w:tblGrid>
      <w:tr w:rsidR="007B5DC6" w:rsidRPr="005622E0" w14:paraId="7BE21DF4" w14:textId="77777777" w:rsidTr="000E6111">
        <w:tc>
          <w:tcPr>
            <w:tcW w:w="2898" w:type="dxa"/>
          </w:tcPr>
          <w:p w14:paraId="1EF5D4E7" w14:textId="77777777" w:rsidR="007B5DC6" w:rsidRPr="005622E0" w:rsidRDefault="007B5DC6" w:rsidP="000E6111">
            <w:pPr>
              <w:rPr>
                <w:b/>
              </w:rPr>
            </w:pPr>
            <w:r w:rsidRPr="005622E0">
              <w:rPr>
                <w:b/>
              </w:rPr>
              <w:t>Name</w:t>
            </w:r>
          </w:p>
        </w:tc>
        <w:tc>
          <w:tcPr>
            <w:tcW w:w="4500" w:type="dxa"/>
          </w:tcPr>
          <w:p w14:paraId="57F562F4" w14:textId="77777777" w:rsidR="007B5DC6" w:rsidRPr="005622E0" w:rsidRDefault="007B5DC6" w:rsidP="000E6111">
            <w:pPr>
              <w:rPr>
                <w:b/>
              </w:rPr>
            </w:pPr>
            <w:r w:rsidRPr="005622E0">
              <w:rPr>
                <w:b/>
              </w:rPr>
              <w:t>Affiliation</w:t>
            </w:r>
          </w:p>
        </w:tc>
      </w:tr>
      <w:tr w:rsidR="007B5DC6" w:rsidRPr="005622E0" w14:paraId="2BD8AEB0" w14:textId="77777777" w:rsidTr="000E6111">
        <w:tc>
          <w:tcPr>
            <w:tcW w:w="2898" w:type="dxa"/>
          </w:tcPr>
          <w:p w14:paraId="2CA40863" w14:textId="28EF1D01" w:rsidR="007B5DC6" w:rsidRPr="005622E0" w:rsidRDefault="007B5DC6" w:rsidP="000E6111">
            <w:r w:rsidRPr="005622E0">
              <w:rPr>
                <w:color w:val="1F497D"/>
              </w:rPr>
              <w:t>Jonaki Bose</w:t>
            </w:r>
          </w:p>
        </w:tc>
        <w:tc>
          <w:tcPr>
            <w:tcW w:w="4500" w:type="dxa"/>
          </w:tcPr>
          <w:p w14:paraId="2BE2836D" w14:textId="2ACDB9D2" w:rsidR="007B5DC6" w:rsidRPr="005622E0" w:rsidRDefault="007B5DC6" w:rsidP="000E6111">
            <w:pPr>
              <w:pStyle w:val="PlainText"/>
            </w:pPr>
            <w:r w:rsidRPr="005622E0">
              <w:rPr>
                <w:color w:val="1F497D"/>
              </w:rPr>
              <w:t>SAMHSA</w:t>
            </w:r>
          </w:p>
        </w:tc>
      </w:tr>
      <w:tr w:rsidR="007B5DC6" w:rsidRPr="005622E0" w14:paraId="45414B83" w14:textId="77777777" w:rsidTr="000E6111">
        <w:tc>
          <w:tcPr>
            <w:tcW w:w="2898" w:type="dxa"/>
          </w:tcPr>
          <w:p w14:paraId="32B2515B" w14:textId="5852D2C3" w:rsidR="007B5DC6" w:rsidRPr="005622E0" w:rsidRDefault="007B5DC6" w:rsidP="000E6111">
            <w:r w:rsidRPr="005622E0">
              <w:rPr>
                <w:color w:val="1F497D"/>
              </w:rPr>
              <w:t>Marguerite Burns</w:t>
            </w:r>
          </w:p>
        </w:tc>
        <w:tc>
          <w:tcPr>
            <w:tcW w:w="4500" w:type="dxa"/>
          </w:tcPr>
          <w:p w14:paraId="7DE7EB78" w14:textId="61913B73" w:rsidR="007B5DC6" w:rsidRPr="005622E0" w:rsidRDefault="007B5DC6" w:rsidP="000E6111">
            <w:pPr>
              <w:pStyle w:val="PlainText"/>
            </w:pPr>
            <w:r w:rsidRPr="005622E0">
              <w:rPr>
                <w:color w:val="1F497D"/>
              </w:rPr>
              <w:t>University of Wisconsin</w:t>
            </w:r>
          </w:p>
        </w:tc>
      </w:tr>
      <w:tr w:rsidR="007B5DC6" w:rsidRPr="005622E0" w14:paraId="72FDE242" w14:textId="77777777" w:rsidTr="000E6111">
        <w:tc>
          <w:tcPr>
            <w:tcW w:w="2898" w:type="dxa"/>
          </w:tcPr>
          <w:p w14:paraId="74FAB03C" w14:textId="5C3DA70C" w:rsidR="007B5DC6" w:rsidRPr="005622E0" w:rsidRDefault="007B5DC6" w:rsidP="007B5DC6">
            <w:pPr>
              <w:pStyle w:val="PlainText"/>
            </w:pPr>
            <w:r w:rsidRPr="005622E0">
              <w:rPr>
                <w:color w:val="1F497D"/>
              </w:rPr>
              <w:t>Benjamin Cook</w:t>
            </w:r>
          </w:p>
        </w:tc>
        <w:tc>
          <w:tcPr>
            <w:tcW w:w="4500" w:type="dxa"/>
          </w:tcPr>
          <w:p w14:paraId="5047F138" w14:textId="27DB21D9" w:rsidR="007B5DC6" w:rsidRPr="005622E0" w:rsidRDefault="007B5DC6" w:rsidP="000E6111">
            <w:pPr>
              <w:pStyle w:val="PlainText"/>
            </w:pPr>
            <w:r w:rsidRPr="005622E0">
              <w:rPr>
                <w:color w:val="1F497D"/>
              </w:rPr>
              <w:t>Harvard University</w:t>
            </w:r>
          </w:p>
        </w:tc>
      </w:tr>
      <w:tr w:rsidR="007B5DC6" w:rsidRPr="005622E0" w14:paraId="7F7229B5" w14:textId="77777777" w:rsidTr="000E6111">
        <w:tc>
          <w:tcPr>
            <w:tcW w:w="2898" w:type="dxa"/>
          </w:tcPr>
          <w:p w14:paraId="10DDF3EB" w14:textId="35429FF4" w:rsidR="007B5DC6" w:rsidRPr="005622E0" w:rsidRDefault="007B5DC6" w:rsidP="000E6111">
            <w:r w:rsidRPr="005622E0">
              <w:rPr>
                <w:color w:val="1F497D"/>
              </w:rPr>
              <w:t>Daniel Eisenberg</w:t>
            </w:r>
          </w:p>
        </w:tc>
        <w:tc>
          <w:tcPr>
            <w:tcW w:w="4500" w:type="dxa"/>
          </w:tcPr>
          <w:p w14:paraId="2DE32E40" w14:textId="372F9E64" w:rsidR="007B5DC6" w:rsidRPr="005622E0" w:rsidRDefault="007B5DC6" w:rsidP="000E6111">
            <w:pPr>
              <w:pStyle w:val="PlainText"/>
            </w:pPr>
            <w:r w:rsidRPr="005622E0">
              <w:rPr>
                <w:color w:val="1F497D"/>
              </w:rPr>
              <w:t>University of Michigan</w:t>
            </w:r>
          </w:p>
        </w:tc>
      </w:tr>
      <w:tr w:rsidR="007B5DC6" w:rsidRPr="005622E0" w14:paraId="4158CE04" w14:textId="77777777" w:rsidTr="000E6111">
        <w:tc>
          <w:tcPr>
            <w:tcW w:w="2898" w:type="dxa"/>
          </w:tcPr>
          <w:p w14:paraId="59B70A80" w14:textId="64710A00" w:rsidR="007B5DC6" w:rsidRPr="005622E0" w:rsidRDefault="007B5DC6" w:rsidP="000E6111">
            <w:r w:rsidRPr="005622E0">
              <w:rPr>
                <w:color w:val="1F497D"/>
              </w:rPr>
              <w:t>Rachel Garfield</w:t>
            </w:r>
          </w:p>
        </w:tc>
        <w:tc>
          <w:tcPr>
            <w:tcW w:w="4500" w:type="dxa"/>
          </w:tcPr>
          <w:p w14:paraId="5E1AB32E" w14:textId="3CB82EE6" w:rsidR="007B5DC6" w:rsidRPr="005622E0" w:rsidRDefault="007B5DC6" w:rsidP="000E6111">
            <w:r w:rsidRPr="005622E0">
              <w:rPr>
                <w:color w:val="1F497D"/>
              </w:rPr>
              <w:t>Kaiser Family Foundation</w:t>
            </w:r>
          </w:p>
        </w:tc>
      </w:tr>
      <w:tr w:rsidR="007B5DC6" w:rsidRPr="005622E0" w14:paraId="5B25A644" w14:textId="77777777" w:rsidTr="000E6111">
        <w:tc>
          <w:tcPr>
            <w:tcW w:w="2898" w:type="dxa"/>
          </w:tcPr>
          <w:p w14:paraId="06E45549" w14:textId="131F05AD" w:rsidR="007B5DC6" w:rsidRPr="005622E0" w:rsidRDefault="007B5DC6" w:rsidP="000E6111">
            <w:r w:rsidRPr="005622E0">
              <w:rPr>
                <w:color w:val="1F497D"/>
              </w:rPr>
              <w:t>Dominic Hodgkin</w:t>
            </w:r>
          </w:p>
        </w:tc>
        <w:tc>
          <w:tcPr>
            <w:tcW w:w="4500" w:type="dxa"/>
          </w:tcPr>
          <w:p w14:paraId="00A87F3B" w14:textId="7C75316A" w:rsidR="007B5DC6" w:rsidRPr="005622E0" w:rsidRDefault="007B5DC6" w:rsidP="007B5DC6">
            <w:r w:rsidRPr="005622E0">
              <w:rPr>
                <w:color w:val="1F497D"/>
              </w:rPr>
              <w:t>Brandeis University</w:t>
            </w:r>
          </w:p>
        </w:tc>
      </w:tr>
      <w:tr w:rsidR="007B5DC6" w:rsidRPr="005622E0" w14:paraId="022280B0" w14:textId="77777777" w:rsidTr="000E6111">
        <w:tc>
          <w:tcPr>
            <w:tcW w:w="2898" w:type="dxa"/>
          </w:tcPr>
          <w:p w14:paraId="4E686282" w14:textId="6DBF5098" w:rsidR="007B5DC6" w:rsidRPr="005622E0" w:rsidRDefault="007B5DC6" w:rsidP="000E6111">
            <w:r w:rsidRPr="005622E0">
              <w:rPr>
                <w:color w:val="1F497D"/>
              </w:rPr>
              <w:t>Mark Olfson</w:t>
            </w:r>
          </w:p>
        </w:tc>
        <w:tc>
          <w:tcPr>
            <w:tcW w:w="4500" w:type="dxa"/>
          </w:tcPr>
          <w:p w14:paraId="1597F86F" w14:textId="44274157" w:rsidR="007B5DC6" w:rsidRPr="005622E0" w:rsidRDefault="007B5DC6" w:rsidP="000E6111">
            <w:pPr>
              <w:rPr>
                <w:color w:val="1F497D"/>
                <w:sz w:val="22"/>
              </w:rPr>
            </w:pPr>
            <w:r w:rsidRPr="005622E0">
              <w:rPr>
                <w:color w:val="1F497D"/>
              </w:rPr>
              <w:t>Columbia University</w:t>
            </w:r>
          </w:p>
        </w:tc>
      </w:tr>
      <w:tr w:rsidR="007B5DC6" w:rsidRPr="005622E0" w14:paraId="6E09F93F" w14:textId="77777777" w:rsidTr="000E6111">
        <w:tc>
          <w:tcPr>
            <w:tcW w:w="2898" w:type="dxa"/>
          </w:tcPr>
          <w:p w14:paraId="5E8562A8" w14:textId="75730824" w:rsidR="007B5DC6" w:rsidRPr="005622E0" w:rsidRDefault="007B5DC6" w:rsidP="000E6111">
            <w:pPr>
              <w:rPr>
                <w:color w:val="1F497D"/>
              </w:rPr>
            </w:pPr>
            <w:r w:rsidRPr="005622E0">
              <w:rPr>
                <w:color w:val="1F497D"/>
              </w:rPr>
              <w:t>Brendan Saloner</w:t>
            </w:r>
          </w:p>
        </w:tc>
        <w:tc>
          <w:tcPr>
            <w:tcW w:w="4500" w:type="dxa"/>
          </w:tcPr>
          <w:p w14:paraId="3E26B567" w14:textId="0EBDD756" w:rsidR="007B5DC6" w:rsidRPr="005622E0" w:rsidRDefault="007B5DC6" w:rsidP="000E6111">
            <w:pPr>
              <w:rPr>
                <w:color w:val="1F497D"/>
              </w:rPr>
            </w:pPr>
            <w:r w:rsidRPr="005622E0">
              <w:rPr>
                <w:color w:val="1F497D"/>
              </w:rPr>
              <w:t xml:space="preserve">Johns Hopkins </w:t>
            </w:r>
            <w:r w:rsidR="00663CD3" w:rsidRPr="005622E0">
              <w:rPr>
                <w:color w:val="1F497D"/>
              </w:rPr>
              <w:t>University</w:t>
            </w:r>
          </w:p>
        </w:tc>
      </w:tr>
    </w:tbl>
    <w:p w14:paraId="04D7DE19" w14:textId="77777777" w:rsidR="007B5DC6" w:rsidRPr="005622E0" w:rsidRDefault="007B5DC6" w:rsidP="00FD5D3B">
      <w:pPr>
        <w:spacing w:after="200"/>
        <w:ind w:left="720"/>
      </w:pPr>
    </w:p>
    <w:p w14:paraId="505A3123" w14:textId="07BC1503" w:rsidR="0085480A" w:rsidRPr="005622E0" w:rsidRDefault="006231E1" w:rsidP="006231E1">
      <w:pPr>
        <w:pStyle w:val="ListParagraph"/>
        <w:numPr>
          <w:ilvl w:val="0"/>
          <w:numId w:val="13"/>
        </w:numPr>
        <w:rPr>
          <w:b/>
        </w:rPr>
      </w:pPr>
      <w:r w:rsidRPr="005622E0">
        <w:rPr>
          <w:b/>
        </w:rPr>
        <w:t>Health Insurance Cost Sharing</w:t>
      </w:r>
      <w:r w:rsidR="00C26FDD" w:rsidRPr="005622E0">
        <w:rPr>
          <w:b/>
        </w:rPr>
        <w:t xml:space="preserve"> Collection</w:t>
      </w:r>
      <w:r w:rsidRPr="005622E0">
        <w:rPr>
          <w:b/>
        </w:rPr>
        <w:t>.</w:t>
      </w:r>
      <w:r w:rsidR="00BC3A00" w:rsidRPr="005622E0">
        <w:rPr>
          <w:b/>
        </w:rPr>
        <w:t xml:space="preserve"> </w:t>
      </w:r>
    </w:p>
    <w:p w14:paraId="20967735" w14:textId="43B38D2E" w:rsidR="00BC3A00" w:rsidRPr="005622E0" w:rsidRDefault="00BC3A00" w:rsidP="00FD5D3B"/>
    <w:p w14:paraId="6D990521" w14:textId="50763593" w:rsidR="00BC3A00" w:rsidRPr="005622E0" w:rsidRDefault="00BC3A00" w:rsidP="00BC3A00">
      <w:r w:rsidRPr="005622E0">
        <w:t>AHRQ is seeking to enhance data collection practices in the 2020 fielding of the MEPS</w:t>
      </w:r>
      <w:r w:rsidR="009F5AD7" w:rsidRPr="005622E0">
        <w:t>-HC</w:t>
      </w:r>
      <w:r w:rsidRPr="005622E0">
        <w:t xml:space="preserve"> to collect more detailed health insurance cost-sharing information from respondents with </w:t>
      </w:r>
      <w:r w:rsidR="00857F47" w:rsidRPr="005622E0">
        <w:t xml:space="preserve">current </w:t>
      </w:r>
      <w:r w:rsidRPr="005622E0">
        <w:t>private insurance</w:t>
      </w:r>
      <w:r w:rsidR="00992CBF" w:rsidRPr="005622E0">
        <w:t xml:space="preserve">, Medicare Advantage, </w:t>
      </w:r>
      <w:r w:rsidR="00857F47" w:rsidRPr="005622E0">
        <w:t xml:space="preserve">or </w:t>
      </w:r>
      <w:r w:rsidR="00992CBF" w:rsidRPr="005622E0">
        <w:t>Medicare Part D Prescription Drug plans</w:t>
      </w:r>
      <w:r w:rsidRPr="005622E0">
        <w:t>. Specifically, we w</w:t>
      </w:r>
      <w:r w:rsidR="009F5AD7" w:rsidRPr="005622E0">
        <w:t>ill</w:t>
      </w:r>
      <w:r w:rsidRPr="005622E0">
        <w:t xml:space="preserve"> ask respondents to provide a document for themselves and family members that includes information on plan deductibles, out-of-pocket maximums and other cost sharing details for specific services. An example of the type of document we are </w:t>
      </w:r>
      <w:r w:rsidR="009F5AD7" w:rsidRPr="005622E0">
        <w:t xml:space="preserve">proposing </w:t>
      </w:r>
      <w:r w:rsidRPr="005622E0">
        <w:t xml:space="preserve">to collect is the Summary of Benefits and Coverage (SBC). AHRQ worked with experts on a feasibility study to identify the best methods for collecting these types of documents in a way that would minimize respondent burden (OMB approval </w:t>
      </w:r>
      <w:r w:rsidR="00992CBF" w:rsidRPr="005622E0">
        <w:t>0935-0124</w:t>
      </w:r>
      <w:r w:rsidRPr="005622E0">
        <w:t xml:space="preserve">).  AHRQ proposes to provide informational materials to respondents to help them identify the documents and also proposes to provide respondents with </w:t>
      </w:r>
      <w:r w:rsidR="00A17DBC" w:rsidRPr="005622E0">
        <w:t xml:space="preserve">a </w:t>
      </w:r>
      <w:r w:rsidR="00405A22" w:rsidRPr="005622E0">
        <w:t>$30</w:t>
      </w:r>
      <w:r w:rsidRPr="005622E0">
        <w:t xml:space="preserve"> </w:t>
      </w:r>
      <w:r w:rsidR="00992CBF" w:rsidRPr="005622E0">
        <w:t>per plan</w:t>
      </w:r>
      <w:r w:rsidR="0098334D" w:rsidRPr="005622E0">
        <w:t>,</w:t>
      </w:r>
      <w:r w:rsidR="00992CBF" w:rsidRPr="005622E0">
        <w:t xml:space="preserve"> </w:t>
      </w:r>
      <w:r w:rsidR="00405A22" w:rsidRPr="005622E0">
        <w:t>post-collection</w:t>
      </w:r>
      <w:r w:rsidRPr="005622E0">
        <w:t xml:space="preserve"> incentive to facilitate response </w:t>
      </w:r>
      <w:r w:rsidR="00405A22" w:rsidRPr="005622E0">
        <w:t>and mitigate perceived additional burden</w:t>
      </w:r>
      <w:r w:rsidRPr="005622E0">
        <w:t xml:space="preserve"> (Attachment </w:t>
      </w:r>
      <w:r w:rsidR="00EE2789" w:rsidRPr="005622E0">
        <w:t>107</w:t>
      </w:r>
      <w:r w:rsidR="001A2BEF" w:rsidRPr="005622E0">
        <w:t>a, 107b, 107c, and 107d</w:t>
      </w:r>
      <w:r w:rsidRPr="005622E0">
        <w:t xml:space="preserve">). </w:t>
      </w:r>
    </w:p>
    <w:p w14:paraId="533ECE2F" w14:textId="77777777" w:rsidR="00E15120" w:rsidRPr="005622E0" w:rsidRDefault="00E15120" w:rsidP="00BC3A00"/>
    <w:p w14:paraId="2266A8E5" w14:textId="018A9371" w:rsidR="00BC3A00" w:rsidRPr="005622E0" w:rsidRDefault="00BC3A00" w:rsidP="00BC3A00">
      <w:r w:rsidRPr="005622E0">
        <w:t>Health insurance cost sharing data collection experts</w:t>
      </w:r>
    </w:p>
    <w:tbl>
      <w:tblPr>
        <w:tblStyle w:val="TableGrid"/>
        <w:tblW w:w="0" w:type="auto"/>
        <w:tblLook w:val="04A0" w:firstRow="1" w:lastRow="0" w:firstColumn="1" w:lastColumn="0" w:noHBand="0" w:noVBand="1"/>
      </w:tblPr>
      <w:tblGrid>
        <w:gridCol w:w="4675"/>
        <w:gridCol w:w="4675"/>
      </w:tblGrid>
      <w:tr w:rsidR="00BC3A00" w:rsidRPr="005622E0" w14:paraId="726E5C62" w14:textId="77777777" w:rsidTr="000E6111">
        <w:tc>
          <w:tcPr>
            <w:tcW w:w="4675" w:type="dxa"/>
          </w:tcPr>
          <w:p w14:paraId="576A0DDD" w14:textId="77777777" w:rsidR="00BC3A00" w:rsidRPr="005622E0" w:rsidRDefault="00BC3A00" w:rsidP="000E6111">
            <w:pPr>
              <w:rPr>
                <w:b/>
              </w:rPr>
            </w:pPr>
            <w:r w:rsidRPr="005622E0">
              <w:rPr>
                <w:b/>
              </w:rPr>
              <w:t>Name</w:t>
            </w:r>
          </w:p>
        </w:tc>
        <w:tc>
          <w:tcPr>
            <w:tcW w:w="4675" w:type="dxa"/>
          </w:tcPr>
          <w:p w14:paraId="1AA2CBBA" w14:textId="77777777" w:rsidR="00BC3A00" w:rsidRPr="005622E0" w:rsidRDefault="00BC3A00" w:rsidP="000E6111">
            <w:pPr>
              <w:rPr>
                <w:b/>
              </w:rPr>
            </w:pPr>
            <w:r w:rsidRPr="005622E0">
              <w:rPr>
                <w:b/>
              </w:rPr>
              <w:t>Affiliation</w:t>
            </w:r>
          </w:p>
        </w:tc>
      </w:tr>
      <w:tr w:rsidR="00BC3A00" w:rsidRPr="005622E0" w14:paraId="397571D1" w14:textId="77777777" w:rsidTr="000E6111">
        <w:tc>
          <w:tcPr>
            <w:tcW w:w="4675" w:type="dxa"/>
          </w:tcPr>
          <w:p w14:paraId="0EDB1630" w14:textId="77777777" w:rsidR="00BC3A00" w:rsidRPr="005622E0" w:rsidRDefault="00BC3A00" w:rsidP="000E6111">
            <w:r w:rsidRPr="005622E0">
              <w:t>Angie Kistler</w:t>
            </w:r>
          </w:p>
        </w:tc>
        <w:tc>
          <w:tcPr>
            <w:tcW w:w="4675" w:type="dxa"/>
          </w:tcPr>
          <w:p w14:paraId="05EEE936" w14:textId="77777777" w:rsidR="00BC3A00" w:rsidRPr="005622E0" w:rsidRDefault="00BC3A00" w:rsidP="000E6111">
            <w:r w:rsidRPr="005622E0">
              <w:t>Westat</w:t>
            </w:r>
          </w:p>
        </w:tc>
      </w:tr>
      <w:tr w:rsidR="00BC3A00" w:rsidRPr="005622E0" w14:paraId="04AE60BD" w14:textId="77777777" w:rsidTr="000E6111">
        <w:tc>
          <w:tcPr>
            <w:tcW w:w="4675" w:type="dxa"/>
          </w:tcPr>
          <w:p w14:paraId="699C376A" w14:textId="77777777" w:rsidR="00BC3A00" w:rsidRPr="005622E0" w:rsidRDefault="00BC3A00" w:rsidP="000E6111">
            <w:r w:rsidRPr="005622E0">
              <w:t>Ryan Hubbard</w:t>
            </w:r>
          </w:p>
        </w:tc>
        <w:tc>
          <w:tcPr>
            <w:tcW w:w="4675" w:type="dxa"/>
          </w:tcPr>
          <w:p w14:paraId="2906CB34" w14:textId="77777777" w:rsidR="00BC3A00" w:rsidRPr="005622E0" w:rsidRDefault="00BC3A00" w:rsidP="000E6111">
            <w:r w:rsidRPr="005622E0">
              <w:t>Westat</w:t>
            </w:r>
          </w:p>
        </w:tc>
      </w:tr>
      <w:tr w:rsidR="00BC3A00" w:rsidRPr="005622E0" w14:paraId="1EB3BE25" w14:textId="77777777" w:rsidTr="000E6111">
        <w:tc>
          <w:tcPr>
            <w:tcW w:w="4675" w:type="dxa"/>
          </w:tcPr>
          <w:p w14:paraId="30C1D3C8" w14:textId="77777777" w:rsidR="00BC3A00" w:rsidRPr="005622E0" w:rsidRDefault="00BC3A00" w:rsidP="000E6111">
            <w:r w:rsidRPr="005622E0">
              <w:t>Kristen Corey</w:t>
            </w:r>
          </w:p>
        </w:tc>
        <w:tc>
          <w:tcPr>
            <w:tcW w:w="4675" w:type="dxa"/>
          </w:tcPr>
          <w:p w14:paraId="16E65E13" w14:textId="77777777" w:rsidR="00BC3A00" w:rsidRPr="005622E0" w:rsidRDefault="00BC3A00" w:rsidP="000E6111">
            <w:r w:rsidRPr="005622E0">
              <w:t>Econometrica</w:t>
            </w:r>
          </w:p>
        </w:tc>
      </w:tr>
      <w:tr w:rsidR="00BC3A00" w:rsidRPr="005622E0" w14:paraId="6ACBAF7A" w14:textId="77777777" w:rsidTr="000E6111">
        <w:tc>
          <w:tcPr>
            <w:tcW w:w="4675" w:type="dxa"/>
          </w:tcPr>
          <w:p w14:paraId="7092509A" w14:textId="77777777" w:rsidR="00BC3A00" w:rsidRPr="005622E0" w:rsidRDefault="00BC3A00" w:rsidP="000E6111">
            <w:r w:rsidRPr="005622E0">
              <w:t>Jill Simmerman</w:t>
            </w:r>
          </w:p>
        </w:tc>
        <w:tc>
          <w:tcPr>
            <w:tcW w:w="4675" w:type="dxa"/>
          </w:tcPr>
          <w:p w14:paraId="382B28DE" w14:textId="77777777" w:rsidR="00BC3A00" w:rsidRPr="005622E0" w:rsidRDefault="00BC3A00" w:rsidP="000E6111">
            <w:r w:rsidRPr="005622E0">
              <w:t>Econometrica</w:t>
            </w:r>
          </w:p>
        </w:tc>
      </w:tr>
    </w:tbl>
    <w:p w14:paraId="2317CB91" w14:textId="77777777" w:rsidR="00BC3A00" w:rsidRPr="005622E0" w:rsidRDefault="00BC3A00" w:rsidP="00BC3A00"/>
    <w:p w14:paraId="2DC6514E" w14:textId="77777777" w:rsidR="00105BD3" w:rsidRPr="005622E0" w:rsidRDefault="00105BD3" w:rsidP="00FD5D3B"/>
    <w:p w14:paraId="5BDBEAAE" w14:textId="77777777" w:rsidR="00406B19" w:rsidRPr="005622E0" w:rsidRDefault="00406B19" w:rsidP="00FD5D3B"/>
    <w:p w14:paraId="3F49B32E" w14:textId="10829C52" w:rsidR="00E33E6A" w:rsidRPr="005622E0" w:rsidRDefault="00105BD3" w:rsidP="00E33E6A">
      <w:pPr>
        <w:rPr>
          <w:rFonts w:ascii="Calibri" w:hAnsi="Calibri" w:cs="Calibri"/>
          <w:sz w:val="22"/>
          <w:szCs w:val="22"/>
        </w:rPr>
      </w:pPr>
      <w:r w:rsidRPr="005622E0">
        <w:rPr>
          <w:b/>
        </w:rPr>
        <w:t>Pilot Test on Sampling NHIS Nonrespondents</w:t>
      </w:r>
      <w:r w:rsidRPr="005622E0">
        <w:t xml:space="preserve">. This test will be conducted on </w:t>
      </w:r>
      <w:r w:rsidR="0098334D" w:rsidRPr="005622E0">
        <w:t>400 sampled addresses</w:t>
      </w:r>
      <w:r w:rsidRPr="005622E0">
        <w:t xml:space="preserve"> in a </w:t>
      </w:r>
      <w:r w:rsidR="0098334D" w:rsidRPr="005622E0">
        <w:t>6-8</w:t>
      </w:r>
      <w:r w:rsidRPr="005622E0">
        <w:t xml:space="preserve"> selected </w:t>
      </w:r>
      <w:r w:rsidR="0098334D" w:rsidRPr="005622E0">
        <w:t xml:space="preserve">MEPS </w:t>
      </w:r>
      <w:r w:rsidR="009F5AD7" w:rsidRPr="005622E0">
        <w:t>primary sampling units (</w:t>
      </w:r>
      <w:r w:rsidRPr="005622E0">
        <w:t>PSUs</w:t>
      </w:r>
      <w:r w:rsidR="009F5AD7" w:rsidRPr="005622E0">
        <w:t>)</w:t>
      </w:r>
      <w:r w:rsidRPr="005622E0">
        <w:t xml:space="preserve"> in the 2020 spring data collection cycle. The sample households for this test will be drawn from nonrespondents to the 2019 NHIS (which are not currently part of the MEPS frame)</w:t>
      </w:r>
      <w:r w:rsidR="0098334D" w:rsidRPr="005622E0">
        <w:t>,</w:t>
      </w:r>
      <w:r w:rsidRPr="005622E0">
        <w:t xml:space="preserve"> and only the MEPS Round 1 interview will be administered. The purpose of the test is to evaluate the potential effectiveness of including a sample of NHIS nonrespondents in future MEPS panels to mitigate the impact of declining NHIS response rates on the overall MEPS response rate. The general trend of declining response rates for household surveys is problematic and this evaluation is designed to explore an avenue to stop further declines and potentially improve the overall MEPS response rate</w:t>
      </w:r>
      <w:r w:rsidR="00A17DBC" w:rsidRPr="005622E0">
        <w:t>.</w:t>
      </w:r>
      <w:r w:rsidR="00E33E6A" w:rsidRPr="005622E0">
        <w:t xml:space="preserve"> </w:t>
      </w:r>
      <w:r w:rsidR="00E33E6A" w:rsidRPr="005622E0">
        <w:rPr>
          <w:rFonts w:ascii="Calibri" w:hAnsi="Calibri" w:cs="Calibri"/>
          <w:sz w:val="22"/>
          <w:szCs w:val="22"/>
        </w:rPr>
        <w:t>The following items are key results from the pilot study of Evidence of Coverage/Summary of Benefits/Cost Sharing that were implemented on the proposed Health Policy Booklet Collection:</w:t>
      </w:r>
    </w:p>
    <w:p w14:paraId="096BB2AC" w14:textId="77777777" w:rsidR="00E33E6A" w:rsidRPr="005622E0" w:rsidRDefault="00E33E6A" w:rsidP="00E33E6A">
      <w:pPr>
        <w:rPr>
          <w:rFonts w:ascii="Calibri" w:hAnsi="Calibri" w:cs="Calibri"/>
          <w:color w:val="1F497D"/>
          <w:sz w:val="22"/>
          <w:szCs w:val="22"/>
        </w:rPr>
      </w:pPr>
    </w:p>
    <w:p w14:paraId="03B2247D" w14:textId="77777777" w:rsidR="00E33E6A" w:rsidRPr="005622E0" w:rsidRDefault="00E33E6A" w:rsidP="00E33E6A">
      <w:pPr>
        <w:pStyle w:val="ListParagraph"/>
        <w:numPr>
          <w:ilvl w:val="0"/>
          <w:numId w:val="24"/>
        </w:numPr>
        <w:spacing w:after="160" w:line="252" w:lineRule="auto"/>
        <w:contextualSpacing/>
        <w:rPr>
          <w:rFonts w:ascii="Calibri" w:hAnsi="Calibri" w:cs="Calibri"/>
          <w:sz w:val="22"/>
          <w:szCs w:val="22"/>
        </w:rPr>
      </w:pPr>
      <w:r w:rsidRPr="005622E0">
        <w:rPr>
          <w:rFonts w:ascii="Calibri" w:hAnsi="Calibri" w:cs="Calibri"/>
          <w:sz w:val="22"/>
          <w:szCs w:val="22"/>
        </w:rPr>
        <w:t>Across insurance types, respondents said the image of the SBC provided in the instructions was helpful.</w:t>
      </w:r>
    </w:p>
    <w:p w14:paraId="642E8522" w14:textId="77777777" w:rsidR="00E33E6A" w:rsidRPr="005622E0" w:rsidRDefault="00E33E6A" w:rsidP="00E33E6A">
      <w:pPr>
        <w:pStyle w:val="ListParagraph"/>
        <w:numPr>
          <w:ilvl w:val="0"/>
          <w:numId w:val="24"/>
        </w:numPr>
        <w:spacing w:after="160" w:line="252" w:lineRule="auto"/>
        <w:contextualSpacing/>
        <w:rPr>
          <w:rFonts w:ascii="Calibri" w:hAnsi="Calibri" w:cs="Calibri"/>
          <w:sz w:val="22"/>
          <w:szCs w:val="22"/>
        </w:rPr>
      </w:pPr>
      <w:r w:rsidRPr="005622E0">
        <w:rPr>
          <w:rFonts w:ascii="Calibri" w:hAnsi="Calibri" w:cs="Calibri"/>
          <w:sz w:val="22"/>
          <w:szCs w:val="22"/>
        </w:rPr>
        <w:t>Most “employer” respondents found documents online through insurer or employer portals.</w:t>
      </w:r>
    </w:p>
    <w:p w14:paraId="67B64C41" w14:textId="77777777" w:rsidR="00E33E6A" w:rsidRPr="005622E0" w:rsidRDefault="00E33E6A" w:rsidP="00E33E6A">
      <w:pPr>
        <w:pStyle w:val="ListParagraph"/>
        <w:numPr>
          <w:ilvl w:val="0"/>
          <w:numId w:val="24"/>
        </w:numPr>
        <w:spacing w:after="160" w:line="252" w:lineRule="auto"/>
        <w:contextualSpacing/>
        <w:rPr>
          <w:rFonts w:ascii="Calibri" w:hAnsi="Calibri" w:cs="Calibri"/>
          <w:sz w:val="22"/>
          <w:szCs w:val="22"/>
        </w:rPr>
      </w:pPr>
      <w:r w:rsidRPr="005622E0">
        <w:rPr>
          <w:rFonts w:ascii="Calibri" w:hAnsi="Calibri" w:cs="Calibri"/>
          <w:sz w:val="22"/>
          <w:szCs w:val="22"/>
        </w:rPr>
        <w:t xml:space="preserve">Given online availability of state and federal employer SBCs, it would be useful to include a special search instruction for state and federal employees. </w:t>
      </w:r>
    </w:p>
    <w:p w14:paraId="579850D3" w14:textId="77777777" w:rsidR="00E33E6A" w:rsidRPr="005622E0" w:rsidRDefault="00E33E6A" w:rsidP="00E33E6A">
      <w:pPr>
        <w:pStyle w:val="ListParagraph"/>
        <w:numPr>
          <w:ilvl w:val="0"/>
          <w:numId w:val="24"/>
        </w:numPr>
        <w:spacing w:after="160" w:line="252" w:lineRule="auto"/>
        <w:contextualSpacing/>
        <w:rPr>
          <w:rFonts w:ascii="Calibri" w:hAnsi="Calibri" w:cs="Calibri"/>
          <w:sz w:val="22"/>
          <w:szCs w:val="22"/>
        </w:rPr>
      </w:pPr>
      <w:r w:rsidRPr="005622E0">
        <w:rPr>
          <w:rFonts w:ascii="Calibri" w:hAnsi="Calibri" w:cs="Calibri"/>
          <w:sz w:val="22"/>
          <w:szCs w:val="22"/>
        </w:rPr>
        <w:t xml:space="preserve">Focusing the request and instructions on finding specific documents (SBC, evidence of coverage) instead of making a more general request may enhance response.  </w:t>
      </w:r>
    </w:p>
    <w:p w14:paraId="21D8C78A" w14:textId="0961881F" w:rsidR="00105BD3" w:rsidRPr="005622E0" w:rsidRDefault="00E33E6A" w:rsidP="00E33E6A">
      <w:pPr>
        <w:pStyle w:val="ListParagraph"/>
        <w:numPr>
          <w:ilvl w:val="0"/>
          <w:numId w:val="13"/>
        </w:numPr>
      </w:pPr>
      <w:r w:rsidRPr="005622E0">
        <w:rPr>
          <w:rFonts w:ascii="Calibri" w:hAnsi="Calibri" w:cs="Calibri"/>
          <w:sz w:val="22"/>
          <w:szCs w:val="22"/>
        </w:rPr>
        <w:t>Providing an incentive would be in keeping with the feasibility study design and is likely to enhance response.</w:t>
      </w:r>
    </w:p>
    <w:p w14:paraId="5A3BF7A0" w14:textId="77777777" w:rsidR="00BC3A00" w:rsidRDefault="00BC3A00" w:rsidP="00FD5D3B"/>
    <w:p w14:paraId="2F1BFB96" w14:textId="77777777" w:rsidR="0085480A" w:rsidRPr="007A098A" w:rsidRDefault="0085480A" w:rsidP="0085480A">
      <w:pPr>
        <w:rPr>
          <w:b/>
          <w:bCs/>
          <w:i/>
          <w:iCs/>
        </w:rPr>
      </w:pPr>
      <w:r w:rsidRPr="007A098A">
        <w:rPr>
          <w:b/>
          <w:bCs/>
          <w:i/>
          <w:iCs/>
        </w:rPr>
        <w:t>Medical Expenditure Panel Survey (MEPS) Medical Provider Component (MPC)</w:t>
      </w:r>
    </w:p>
    <w:p w14:paraId="5F8F729F" w14:textId="5E34E578" w:rsidR="0085480A" w:rsidRPr="00EB3953" w:rsidRDefault="0085480A" w:rsidP="0085480A">
      <w:pPr>
        <w:rPr>
          <w:bCs/>
          <w:iCs/>
        </w:rPr>
      </w:pPr>
      <w:r w:rsidRPr="007A098A">
        <w:rPr>
          <w:bCs/>
          <w:iCs/>
        </w:rPr>
        <w:t>The MEPS-MPC will contact medical providers (hospitals, physicians, home health agencies</w:t>
      </w:r>
      <w:r w:rsidRPr="00EB3953">
        <w:rPr>
          <w:bCs/>
          <w:iCs/>
        </w:rPr>
        <w:t xml:space="preserve"> and institutions) identified by household respondents in the MEPS</w:t>
      </w:r>
      <w:r w:rsidRPr="00EB3953">
        <w:rPr>
          <w:bCs/>
          <w:iCs/>
        </w:rPr>
        <w:noBreakHyphen/>
        <w:t xml:space="preserve">HC as sources of medical care for the time period covered by the interview, and all pharmacies providing prescription drugs to household members during the covered time period.  The MEPS-MPC is not designed to yield national estimates as a stand-alone survey.  The sample is designed to target the types of individuals and providers for whom household reported expenditure data was expected to be insufficient.  </w:t>
      </w:r>
    </w:p>
    <w:p w14:paraId="1D2D2265" w14:textId="77777777" w:rsidR="0085480A" w:rsidRPr="00EB3953" w:rsidRDefault="0085480A" w:rsidP="0085480A">
      <w:pPr>
        <w:rPr>
          <w:bCs/>
          <w:iCs/>
        </w:rPr>
      </w:pPr>
    </w:p>
    <w:p w14:paraId="678D2DFE" w14:textId="77777777" w:rsidR="0085480A" w:rsidRPr="00EB3953" w:rsidRDefault="0085480A" w:rsidP="0085480A">
      <w:pPr>
        <w:rPr>
          <w:bCs/>
          <w:iCs/>
        </w:rPr>
      </w:pPr>
      <w:r w:rsidRPr="00EB3953">
        <w:rPr>
          <w:bCs/>
          <w:iCs/>
        </w:rPr>
        <w:t>The MEPS-MPC collects event level data about medical care received by sampled persons during the relevant time period.  The data collected from medical providers include:</w:t>
      </w:r>
    </w:p>
    <w:p w14:paraId="2E2A570B" w14:textId="77777777" w:rsidR="0085480A" w:rsidRPr="00EB3953" w:rsidRDefault="0085480A" w:rsidP="0085480A">
      <w:pPr>
        <w:rPr>
          <w:bCs/>
          <w:iCs/>
        </w:rPr>
      </w:pPr>
    </w:p>
    <w:p w14:paraId="295A1ECF" w14:textId="77777777" w:rsidR="0085480A" w:rsidRPr="00EB3953" w:rsidRDefault="0085480A" w:rsidP="0085480A">
      <w:pPr>
        <w:numPr>
          <w:ilvl w:val="0"/>
          <w:numId w:val="14"/>
        </w:numPr>
        <w:autoSpaceDE w:val="0"/>
        <w:autoSpaceDN w:val="0"/>
        <w:adjustRightInd w:val="0"/>
        <w:rPr>
          <w:bCs/>
          <w:iCs/>
        </w:rPr>
      </w:pPr>
      <w:r w:rsidRPr="00EB3953">
        <w:rPr>
          <w:bCs/>
          <w:iCs/>
        </w:rPr>
        <w:t>Dates on which medical encounters during the reference period occurred</w:t>
      </w:r>
    </w:p>
    <w:p w14:paraId="015CAE90" w14:textId="77777777" w:rsidR="0085480A" w:rsidRPr="00EB3953" w:rsidRDefault="0085480A" w:rsidP="0085480A">
      <w:pPr>
        <w:numPr>
          <w:ilvl w:val="0"/>
          <w:numId w:val="14"/>
        </w:numPr>
        <w:autoSpaceDE w:val="0"/>
        <w:autoSpaceDN w:val="0"/>
        <w:adjustRightInd w:val="0"/>
        <w:rPr>
          <w:bCs/>
          <w:iCs/>
        </w:rPr>
      </w:pPr>
      <w:r w:rsidRPr="00EB3953">
        <w:rPr>
          <w:bCs/>
          <w:iCs/>
        </w:rPr>
        <w:t>Data on the medical content of each encounter, including ICD</w:t>
      </w:r>
      <w:r w:rsidRPr="00EB3953">
        <w:rPr>
          <w:bCs/>
          <w:iCs/>
        </w:rPr>
        <w:noBreakHyphen/>
      </w:r>
      <w:r>
        <w:rPr>
          <w:bCs/>
          <w:iCs/>
        </w:rPr>
        <w:t>10</w:t>
      </w:r>
      <w:r w:rsidRPr="00EB3953">
        <w:rPr>
          <w:bCs/>
          <w:iCs/>
        </w:rPr>
        <w:t xml:space="preserve"> codes</w:t>
      </w:r>
    </w:p>
    <w:p w14:paraId="5BA1891A" w14:textId="77777777" w:rsidR="0085480A" w:rsidRPr="00EB3953" w:rsidRDefault="0085480A" w:rsidP="0085480A">
      <w:pPr>
        <w:numPr>
          <w:ilvl w:val="0"/>
          <w:numId w:val="14"/>
        </w:numPr>
        <w:autoSpaceDE w:val="0"/>
        <w:autoSpaceDN w:val="0"/>
        <w:adjustRightInd w:val="0"/>
        <w:rPr>
          <w:bCs/>
          <w:iCs/>
        </w:rPr>
      </w:pPr>
      <w:r w:rsidRPr="00EB3953">
        <w:rPr>
          <w:bCs/>
          <w:iCs/>
        </w:rPr>
        <w:t>Data on the charges associated with each encounter, the sources paying for the medical care</w:t>
      </w:r>
      <w:r w:rsidRPr="00EB3953">
        <w:rPr>
          <w:bCs/>
          <w:iCs/>
        </w:rPr>
        <w:noBreakHyphen/>
        <w:t>including the patient/family, public sources, and private insurance, and amounts paid by each source</w:t>
      </w:r>
    </w:p>
    <w:p w14:paraId="5F158C87" w14:textId="77777777" w:rsidR="0085480A" w:rsidRPr="00EB3953" w:rsidRDefault="0085480A" w:rsidP="0085480A">
      <w:pPr>
        <w:rPr>
          <w:bCs/>
          <w:iCs/>
        </w:rPr>
      </w:pPr>
    </w:p>
    <w:p w14:paraId="58BCF36E" w14:textId="77777777" w:rsidR="0085480A" w:rsidRPr="00EB3953" w:rsidRDefault="0085480A" w:rsidP="0085480A">
      <w:pPr>
        <w:rPr>
          <w:bCs/>
          <w:iCs/>
        </w:rPr>
      </w:pPr>
      <w:r w:rsidRPr="00EB3953">
        <w:rPr>
          <w:bCs/>
          <w:iCs/>
        </w:rPr>
        <w:tab/>
        <w:t>Data collected from pharmacies include:</w:t>
      </w:r>
    </w:p>
    <w:p w14:paraId="63D39B60" w14:textId="77777777" w:rsidR="0085480A" w:rsidRPr="00EB3953" w:rsidRDefault="0085480A" w:rsidP="0085480A">
      <w:pPr>
        <w:rPr>
          <w:bCs/>
          <w:iCs/>
        </w:rPr>
      </w:pPr>
    </w:p>
    <w:p w14:paraId="47FC989A" w14:textId="77777777" w:rsidR="0085480A" w:rsidRPr="00EB3953" w:rsidRDefault="0085480A" w:rsidP="0085480A">
      <w:pPr>
        <w:numPr>
          <w:ilvl w:val="0"/>
          <w:numId w:val="15"/>
        </w:numPr>
        <w:autoSpaceDE w:val="0"/>
        <w:autoSpaceDN w:val="0"/>
        <w:adjustRightInd w:val="0"/>
        <w:ind w:left="1440"/>
        <w:rPr>
          <w:bCs/>
          <w:iCs/>
        </w:rPr>
      </w:pPr>
      <w:r w:rsidRPr="00EB3953">
        <w:rPr>
          <w:bCs/>
          <w:iCs/>
        </w:rPr>
        <w:t>Date of prescription fill</w:t>
      </w:r>
    </w:p>
    <w:p w14:paraId="407726E9" w14:textId="77777777" w:rsidR="0085480A" w:rsidRPr="00EB3953" w:rsidRDefault="0085480A" w:rsidP="0085480A">
      <w:pPr>
        <w:numPr>
          <w:ilvl w:val="0"/>
          <w:numId w:val="15"/>
        </w:numPr>
        <w:autoSpaceDE w:val="0"/>
        <w:autoSpaceDN w:val="0"/>
        <w:adjustRightInd w:val="0"/>
        <w:ind w:left="1440"/>
        <w:rPr>
          <w:bCs/>
          <w:iCs/>
        </w:rPr>
      </w:pPr>
      <w:r w:rsidRPr="00EB3953">
        <w:rPr>
          <w:bCs/>
          <w:iCs/>
        </w:rPr>
        <w:t>National drug code (NDC) or prescription name, strength and form</w:t>
      </w:r>
    </w:p>
    <w:p w14:paraId="361C7FC1" w14:textId="77777777" w:rsidR="0085480A" w:rsidRPr="00EB3953" w:rsidRDefault="0085480A" w:rsidP="0085480A">
      <w:pPr>
        <w:numPr>
          <w:ilvl w:val="0"/>
          <w:numId w:val="15"/>
        </w:numPr>
        <w:autoSpaceDE w:val="0"/>
        <w:autoSpaceDN w:val="0"/>
        <w:adjustRightInd w:val="0"/>
        <w:ind w:left="1440"/>
        <w:rPr>
          <w:bCs/>
          <w:iCs/>
        </w:rPr>
      </w:pPr>
      <w:r w:rsidRPr="00EB3953">
        <w:rPr>
          <w:bCs/>
          <w:iCs/>
        </w:rPr>
        <w:t>Quantity</w:t>
      </w:r>
    </w:p>
    <w:p w14:paraId="7E5DD10C" w14:textId="77777777" w:rsidR="0085480A" w:rsidRPr="00EB3953" w:rsidRDefault="0085480A" w:rsidP="0085480A">
      <w:pPr>
        <w:numPr>
          <w:ilvl w:val="0"/>
          <w:numId w:val="15"/>
        </w:numPr>
        <w:autoSpaceDE w:val="0"/>
        <w:autoSpaceDN w:val="0"/>
        <w:adjustRightInd w:val="0"/>
        <w:ind w:left="1440"/>
        <w:rPr>
          <w:bCs/>
          <w:iCs/>
        </w:rPr>
      </w:pPr>
      <w:r w:rsidRPr="00EB3953">
        <w:rPr>
          <w:bCs/>
          <w:iCs/>
        </w:rPr>
        <w:t>Payments, by source</w:t>
      </w:r>
    </w:p>
    <w:p w14:paraId="7029B391" w14:textId="77777777" w:rsidR="0085480A" w:rsidRPr="00EB3953" w:rsidRDefault="0085480A" w:rsidP="0085480A">
      <w:pPr>
        <w:rPr>
          <w:bCs/>
          <w:iCs/>
        </w:rPr>
      </w:pPr>
    </w:p>
    <w:p w14:paraId="0ADAA569" w14:textId="77777777" w:rsidR="0085480A" w:rsidRPr="00EB3953" w:rsidRDefault="0085480A" w:rsidP="0085480A">
      <w:pPr>
        <w:rPr>
          <w:bCs/>
          <w:iCs/>
        </w:rPr>
      </w:pPr>
      <w:r w:rsidRPr="00EB3953">
        <w:rPr>
          <w:bCs/>
          <w:iCs/>
        </w:rPr>
        <w:t>The MEPS-MPC has the following goal:</w:t>
      </w:r>
    </w:p>
    <w:p w14:paraId="010857A2" w14:textId="77777777" w:rsidR="0085480A" w:rsidRPr="00EB3953" w:rsidRDefault="0085480A" w:rsidP="0085480A">
      <w:pPr>
        <w:rPr>
          <w:bCs/>
          <w:iCs/>
        </w:rPr>
      </w:pPr>
    </w:p>
    <w:p w14:paraId="381694F4" w14:textId="752A3228" w:rsidR="0085480A" w:rsidRPr="00EB3953" w:rsidRDefault="0085480A" w:rsidP="0085480A">
      <w:pPr>
        <w:numPr>
          <w:ilvl w:val="0"/>
          <w:numId w:val="16"/>
        </w:numPr>
        <w:autoSpaceDE w:val="0"/>
        <w:autoSpaceDN w:val="0"/>
        <w:adjustRightInd w:val="0"/>
        <w:rPr>
          <w:bCs/>
          <w:iCs/>
        </w:rPr>
      </w:pPr>
      <w:r w:rsidRPr="00EB3953">
        <w:rPr>
          <w:bCs/>
          <w:iCs/>
        </w:rPr>
        <w:t xml:space="preserve">To serve as an imputation source for and to supplement/replace household reported expenditure and source of payment information.  </w:t>
      </w:r>
    </w:p>
    <w:p w14:paraId="555D29D6" w14:textId="77777777" w:rsidR="0085480A" w:rsidRDefault="0085480A" w:rsidP="0085480A">
      <w:pPr>
        <w:rPr>
          <w:bCs/>
          <w:iCs/>
        </w:rPr>
      </w:pPr>
    </w:p>
    <w:p w14:paraId="7C4A18B3" w14:textId="4E511ACC" w:rsidR="0085480A" w:rsidRDefault="0085480A" w:rsidP="0085480A">
      <w:r w:rsidRPr="00F00DDD">
        <w:t>To achieve the goal of the MEPS-MPC the following data collections are implemented</w:t>
      </w:r>
      <w:r w:rsidR="009F5AD7">
        <w:t xml:space="preserve">. No updates to the MEPS –MPC are being requested. </w:t>
      </w:r>
    </w:p>
    <w:p w14:paraId="41A28443" w14:textId="77777777" w:rsidR="0085480A" w:rsidRPr="00F00DDD" w:rsidRDefault="0085480A" w:rsidP="0085480A"/>
    <w:p w14:paraId="12B8D449" w14:textId="77777777" w:rsidR="0085480A" w:rsidRPr="007A098A" w:rsidRDefault="0085480A" w:rsidP="0085480A">
      <w:pPr>
        <w:numPr>
          <w:ilvl w:val="0"/>
          <w:numId w:val="17"/>
        </w:numPr>
        <w:spacing w:after="200"/>
      </w:pPr>
      <w:r w:rsidRPr="00F00DDD">
        <w:rPr>
          <w:b/>
          <w:bCs/>
        </w:rPr>
        <w:t xml:space="preserve">MPC Contact Guide/Screening Call.  </w:t>
      </w:r>
      <w:r w:rsidR="00356D86">
        <w:rPr>
          <w:bCs/>
        </w:rPr>
        <w:t xml:space="preserve">There is no change in this instrument.  </w:t>
      </w:r>
      <w:r w:rsidRPr="00F00DDD">
        <w:t xml:space="preserve">An initial screening call is placed to determine the type of facility, whether the practice or facility is in scope for the MEPS-MPC, the appropriate MEPS-MPC respondent and some details about the organization and availability of medical records and </w:t>
      </w:r>
      <w:r w:rsidRPr="007A098A">
        <w:t>billing at the practice/facility.  All hospitals, physician offices, home health agencies, institutions and pharmacies are screened by telephone.  A unique screening instrument is used for each of these seven provider types in the MEPS-MPC, except for the two home care provider types which use the same screening form</w:t>
      </w:r>
      <w:r w:rsidR="00995E1B" w:rsidRPr="007A098A">
        <w:t xml:space="preserve"> (Attachment</w:t>
      </w:r>
      <w:r w:rsidR="00E176DD" w:rsidRPr="007A098A">
        <w:t>s</w:t>
      </w:r>
      <w:r w:rsidR="00995E1B" w:rsidRPr="007A098A">
        <w:t xml:space="preserve"> 72</w:t>
      </w:r>
      <w:r w:rsidR="00E176DD" w:rsidRPr="007A098A">
        <w:t xml:space="preserve"> to 77</w:t>
      </w:r>
      <w:r w:rsidR="00995E1B" w:rsidRPr="007A098A">
        <w:t>).</w:t>
      </w:r>
    </w:p>
    <w:p w14:paraId="57B4B51B" w14:textId="77777777" w:rsidR="0085480A" w:rsidRPr="007A098A" w:rsidRDefault="0085480A" w:rsidP="0085480A">
      <w:pPr>
        <w:numPr>
          <w:ilvl w:val="0"/>
          <w:numId w:val="17"/>
        </w:numPr>
        <w:spacing w:after="200"/>
      </w:pPr>
      <w:r w:rsidRPr="007A098A">
        <w:rPr>
          <w:b/>
          <w:bCs/>
        </w:rPr>
        <w:t>Home Care Provider Questionnaire for Health Care Providers.</w:t>
      </w:r>
      <w:r w:rsidRPr="007A098A">
        <w:t xml:space="preserve">  </w:t>
      </w:r>
      <w:r w:rsidR="00356D86" w:rsidRPr="007A098A">
        <w:rPr>
          <w:bCs/>
        </w:rPr>
        <w:t xml:space="preserve">There is no change in this instrument.  </w:t>
      </w:r>
      <w:r w:rsidRPr="007A098A">
        <w:t>This questionnaire is used to collect data from home health care agencies which provide medical care services to household respondents.  Information collected includes type of personnel providing care, hours or visits provided per month, and the charges and payments for services received.  Some HMOs may be included in this provider type</w:t>
      </w:r>
      <w:r w:rsidR="00995E1B" w:rsidRPr="007A098A">
        <w:t xml:space="preserve"> </w:t>
      </w:r>
      <w:r w:rsidR="00E176DD" w:rsidRPr="007A098A">
        <w:t>(Attachment 78</w:t>
      </w:r>
      <w:r w:rsidR="00995E1B" w:rsidRPr="007A098A">
        <w:t>)</w:t>
      </w:r>
      <w:r w:rsidRPr="007A098A">
        <w:t xml:space="preserve">.  </w:t>
      </w:r>
    </w:p>
    <w:p w14:paraId="4A94BCAD" w14:textId="77777777" w:rsidR="0085480A" w:rsidRPr="007A098A" w:rsidRDefault="0085480A" w:rsidP="0085480A">
      <w:pPr>
        <w:numPr>
          <w:ilvl w:val="0"/>
          <w:numId w:val="17"/>
        </w:numPr>
        <w:spacing w:after="200"/>
      </w:pPr>
      <w:r w:rsidRPr="007A098A">
        <w:rPr>
          <w:b/>
          <w:bCs/>
        </w:rPr>
        <w:t>Home Care Provider Questionnaire for Non</w:t>
      </w:r>
      <w:r w:rsidRPr="007A098A">
        <w:rPr>
          <w:b/>
          <w:bCs/>
        </w:rPr>
        <w:noBreakHyphen/>
        <w:t xml:space="preserve">Health Care Providers.  </w:t>
      </w:r>
      <w:r w:rsidR="00356D86" w:rsidRPr="007A098A">
        <w:rPr>
          <w:bCs/>
        </w:rPr>
        <w:t xml:space="preserve">There is no change in this instrument.  </w:t>
      </w:r>
      <w:r w:rsidRPr="007A098A">
        <w:t>This questionnaire is used to collect information about services provided in the home by non</w:t>
      </w:r>
      <w:r w:rsidRPr="007A098A">
        <w:noBreakHyphen/>
        <w:t>health care workers to household respondents because of a medical condition; for example, cleaning or yard work, transportation, shopping, or child care</w:t>
      </w:r>
      <w:r w:rsidR="00995E1B" w:rsidRPr="007A098A">
        <w:t xml:space="preserve"> (Attachment </w:t>
      </w:r>
      <w:r w:rsidR="00B476E2" w:rsidRPr="007A098A">
        <w:t>82</w:t>
      </w:r>
      <w:r w:rsidR="00995E1B" w:rsidRPr="007A098A">
        <w:t>)</w:t>
      </w:r>
      <w:r w:rsidRPr="007A098A">
        <w:t xml:space="preserve">.  </w:t>
      </w:r>
    </w:p>
    <w:p w14:paraId="471719F4" w14:textId="77777777" w:rsidR="0085480A" w:rsidRPr="007A098A" w:rsidRDefault="0085480A" w:rsidP="0085480A">
      <w:pPr>
        <w:numPr>
          <w:ilvl w:val="0"/>
          <w:numId w:val="17"/>
        </w:numPr>
        <w:spacing w:after="200"/>
      </w:pPr>
      <w:r w:rsidRPr="007A098A">
        <w:rPr>
          <w:b/>
          <w:bCs/>
        </w:rPr>
        <w:t>Medical Event Questionnaire for Office</w:t>
      </w:r>
      <w:r w:rsidRPr="007A098A">
        <w:rPr>
          <w:b/>
          <w:bCs/>
        </w:rPr>
        <w:noBreakHyphen/>
        <w:t>Based Providers.</w:t>
      </w:r>
      <w:r w:rsidRPr="007A098A">
        <w:t xml:space="preserve">  </w:t>
      </w:r>
      <w:r w:rsidR="00356D86" w:rsidRPr="007A098A">
        <w:rPr>
          <w:bCs/>
        </w:rPr>
        <w:t xml:space="preserve">There is no change in this instrument.  </w:t>
      </w:r>
      <w:r w:rsidRPr="007A098A">
        <w:t>This questionnaire is for office</w:t>
      </w:r>
      <w:r w:rsidRPr="007A098A">
        <w:noBreakHyphen/>
        <w:t>based physicians, including doctors of medicine (MDs) and osteopathy (DOs), as well as providers practicing under the direction or supervision of an MD or DO (e.g., physician assistants and nurse practitioners working in clinics).  Providers of care in private offices as well as staff model HMOs are included</w:t>
      </w:r>
      <w:r w:rsidR="00E176DD" w:rsidRPr="007A098A">
        <w:t xml:space="preserve"> (Attachment 83)</w:t>
      </w:r>
      <w:r w:rsidRPr="007A098A">
        <w:t xml:space="preserve">.  </w:t>
      </w:r>
    </w:p>
    <w:p w14:paraId="5C4B8F10" w14:textId="77777777" w:rsidR="0085480A" w:rsidRPr="007A098A" w:rsidRDefault="0085480A" w:rsidP="0085480A">
      <w:pPr>
        <w:numPr>
          <w:ilvl w:val="0"/>
          <w:numId w:val="17"/>
        </w:numPr>
        <w:spacing w:after="200"/>
      </w:pPr>
      <w:r w:rsidRPr="007A098A">
        <w:rPr>
          <w:b/>
          <w:bCs/>
        </w:rPr>
        <w:t>Medical Event Questionnaire for Separately Billing Doctors.</w:t>
      </w:r>
      <w:r w:rsidRPr="007A098A">
        <w:t xml:space="preserve">  </w:t>
      </w:r>
      <w:r w:rsidR="00356D86" w:rsidRPr="007A098A">
        <w:rPr>
          <w:bCs/>
        </w:rPr>
        <w:t xml:space="preserve">There is no change in this instrument.  </w:t>
      </w:r>
      <w:r w:rsidRPr="007A098A">
        <w:t>This questionnaire collects information from physicians identified by hospitals (during the Hospital Event data collection) as providing care to sampled persons during the course of inpatient, outpatient department or emergency room care, but who bill separately from the hospital</w:t>
      </w:r>
      <w:r w:rsidR="002F3016" w:rsidRPr="007A098A">
        <w:t xml:space="preserve"> (Attachment 87)</w:t>
      </w:r>
      <w:r w:rsidRPr="007A098A">
        <w:t xml:space="preserve">.  </w:t>
      </w:r>
    </w:p>
    <w:p w14:paraId="59BC4874" w14:textId="77777777" w:rsidR="0085480A" w:rsidRPr="007A098A" w:rsidRDefault="0085480A" w:rsidP="0085480A">
      <w:pPr>
        <w:numPr>
          <w:ilvl w:val="0"/>
          <w:numId w:val="17"/>
        </w:numPr>
        <w:spacing w:after="200"/>
      </w:pPr>
      <w:r w:rsidRPr="007A098A">
        <w:rPr>
          <w:b/>
          <w:bCs/>
        </w:rPr>
        <w:t>Hospital Event Questionnaire.</w:t>
      </w:r>
      <w:r w:rsidRPr="007A098A">
        <w:t xml:space="preserve">  </w:t>
      </w:r>
      <w:r w:rsidR="00356D86" w:rsidRPr="007A098A">
        <w:rPr>
          <w:bCs/>
        </w:rPr>
        <w:t xml:space="preserve">There is no change in this instrument.  </w:t>
      </w:r>
      <w:r w:rsidRPr="007A098A">
        <w:t>This questionnaire is used to collect information about hospital events, including inpatient stays, outpatient department, and emergency room visits.  Hospital data are collected not only from the billing department, but from medical records and administrative records departments as well.  Medical records departments are contacted to determine the names of all the doctors who treated the patient during a stay or visit.  In many cases, the hospital administrative office also has to be contacted to determine whether the doctors identified by medical records billed separately from the hospital; doctors that do bill separately from the hospital will be contacted as part of the Medical Event Questionnaire for Separately Billing Doctors.  HMOs are included in this provider type</w:t>
      </w:r>
      <w:r w:rsidR="002F3016" w:rsidRPr="007A098A">
        <w:t xml:space="preserve"> (Attachment 91)</w:t>
      </w:r>
      <w:r w:rsidRPr="007A098A">
        <w:t xml:space="preserve">.  </w:t>
      </w:r>
    </w:p>
    <w:p w14:paraId="27347CB5" w14:textId="77777777" w:rsidR="0085480A" w:rsidRPr="007A098A" w:rsidRDefault="0085480A" w:rsidP="0085480A">
      <w:pPr>
        <w:numPr>
          <w:ilvl w:val="0"/>
          <w:numId w:val="17"/>
        </w:numPr>
        <w:spacing w:after="200"/>
      </w:pPr>
      <w:r w:rsidRPr="007A098A">
        <w:rPr>
          <w:b/>
          <w:bCs/>
        </w:rPr>
        <w:t>Institutions Event Questionnaire.</w:t>
      </w:r>
      <w:r w:rsidRPr="007A098A">
        <w:t xml:space="preserve">  </w:t>
      </w:r>
      <w:r w:rsidR="00356D86" w:rsidRPr="007A098A">
        <w:rPr>
          <w:bCs/>
        </w:rPr>
        <w:t xml:space="preserve">There is no change in this instrument.  </w:t>
      </w:r>
      <w:r w:rsidRPr="007A098A">
        <w:t>This questionnaire is used to collect information about institution events, including nursing homes, rehabilitation facilities and skilled nursing facilities.  Institution data are collected not only from the billing department, but from medical records and administrative records departments as well.  Medical records departments are contacted to determine the names of all the doctors who treated the patient during a stay.  In many cases, the institution’s administrative office also has to be contacted to determine whether the doctors identified by medical records billed separately from the institution itself.  Some HMOs may be included in this provider type</w:t>
      </w:r>
      <w:r w:rsidR="002F3016" w:rsidRPr="007A098A">
        <w:t xml:space="preserve"> (Attachment 96)</w:t>
      </w:r>
      <w:r w:rsidRPr="007A098A">
        <w:t>.</w:t>
      </w:r>
    </w:p>
    <w:p w14:paraId="23A0FB2E" w14:textId="11B06513" w:rsidR="0085480A" w:rsidRPr="007A098A" w:rsidRDefault="0085480A" w:rsidP="0085480A">
      <w:pPr>
        <w:pStyle w:val="ListParagraph"/>
        <w:numPr>
          <w:ilvl w:val="0"/>
          <w:numId w:val="17"/>
        </w:numPr>
        <w:tabs>
          <w:tab w:val="left" w:pos="0"/>
        </w:tabs>
        <w:spacing w:after="200"/>
        <w:contextualSpacing/>
        <w:rPr>
          <w:bCs/>
        </w:rPr>
      </w:pPr>
      <w:r w:rsidRPr="007A098A">
        <w:rPr>
          <w:b/>
          <w:bCs/>
        </w:rPr>
        <w:t>Pharmacy Data Collection Questionnaire.</w:t>
      </w:r>
      <w:r w:rsidRPr="007A098A">
        <w:t xml:space="preserve">  </w:t>
      </w:r>
      <w:r w:rsidR="00356D86" w:rsidRPr="007A098A">
        <w:rPr>
          <w:bCs/>
        </w:rPr>
        <w:t xml:space="preserve">There is no change in this instrument.  </w:t>
      </w:r>
      <w:r w:rsidRPr="007A098A">
        <w:t>This</w:t>
      </w:r>
      <w:r w:rsidRPr="00283FB9">
        <w:t xml:space="preserve"> questionnaire requests the </w:t>
      </w:r>
      <w:r w:rsidR="009F5AD7">
        <w:t>National Drug Code (</w:t>
      </w:r>
      <w:r w:rsidRPr="00283FB9">
        <w:t>NDC</w:t>
      </w:r>
      <w:r w:rsidR="009F5AD7">
        <w:t>)</w:t>
      </w:r>
      <w:r w:rsidRPr="00283FB9">
        <w:t xml:space="preserve"> and when that is not available the prescription name, strength and form as well as the date prescription was filled, payments by source, the quantity, and person for whom the prescription was filled.  When the NDC is available, we do not ask for prescription name, strength or form because that information is embedded in the NDC; this reduces burden on the respondent. Most pharmacies have the requested information </w:t>
      </w:r>
      <w:r w:rsidRPr="007A098A">
        <w:t>available in electronic format and respond by providing a computer generated printout of the patient’s prescription information.  If the computerized form is unavailable, the pharmacy can report their data to a telephone interviewer.  Pharmacies are also able to provide a CD-ROM with the requested information if that is preferred.  HMOs are included in this provider type</w:t>
      </w:r>
      <w:r w:rsidR="002F3016" w:rsidRPr="007A098A">
        <w:t xml:space="preserve"> (Attachment 98)</w:t>
      </w:r>
      <w:r w:rsidRPr="007A098A">
        <w:t xml:space="preserve">.  </w:t>
      </w:r>
    </w:p>
    <w:p w14:paraId="71D0DBDD" w14:textId="77777777" w:rsidR="0085480A" w:rsidRPr="007A098A" w:rsidRDefault="0085480A" w:rsidP="0085480A">
      <w:pPr>
        <w:tabs>
          <w:tab w:val="left" w:pos="0"/>
        </w:tabs>
        <w:rPr>
          <w:bCs/>
        </w:rPr>
      </w:pPr>
      <w:r w:rsidRPr="007A098A">
        <w:rPr>
          <w:bCs/>
        </w:rPr>
        <w:t>Dentists, optometrists, psychologists, podiatrists, chiropractors, and others not providing care under the supervision of a MD or DO are considered out of scope for the MEPS-MPC.</w:t>
      </w:r>
    </w:p>
    <w:p w14:paraId="748FAA6A" w14:textId="77777777" w:rsidR="0085480A" w:rsidRPr="007A098A" w:rsidRDefault="0085480A" w:rsidP="0085480A">
      <w:pPr>
        <w:tabs>
          <w:tab w:val="left" w:pos="0"/>
        </w:tabs>
        <w:rPr>
          <w:bCs/>
        </w:rPr>
      </w:pPr>
    </w:p>
    <w:p w14:paraId="46898B89" w14:textId="77777777" w:rsidR="0085480A" w:rsidRPr="007A098A" w:rsidRDefault="0085480A" w:rsidP="0085480A">
      <w:pPr>
        <w:rPr>
          <w:bCs/>
        </w:rPr>
      </w:pPr>
      <w:r w:rsidRPr="007A098A">
        <w:rPr>
          <w:bCs/>
        </w:rPr>
        <w:t>This study is being conducted by AHRQ through its contractors, Westat and RTI International, pursuant to AHRQ’s statutory authority to conduct and support research on healthcare and on systems for the delivery of such care, including activities with respect to the cost and use of health care services and with respect to health statistics and surveys.  42 U.S.C. 299a(a)(3) and (8); 42 U.S.C. 299b-2.</w:t>
      </w:r>
    </w:p>
    <w:p w14:paraId="25BAD752" w14:textId="77777777" w:rsidR="0085480A" w:rsidRPr="007A098A" w:rsidRDefault="0085480A" w:rsidP="00E70976">
      <w:pPr>
        <w:tabs>
          <w:tab w:val="left" w:pos="0"/>
        </w:tabs>
        <w:rPr>
          <w:bCs/>
        </w:rPr>
      </w:pPr>
    </w:p>
    <w:p w14:paraId="0BE32262" w14:textId="2EA62EA7" w:rsidR="009B633D" w:rsidRPr="007A098A" w:rsidRDefault="009B633D" w:rsidP="009B633D">
      <w:pPr>
        <w:pStyle w:val="Heading2"/>
        <w:rPr>
          <w:sz w:val="24"/>
        </w:rPr>
      </w:pPr>
      <w:r w:rsidRPr="007A098A">
        <w:rPr>
          <w:sz w:val="24"/>
        </w:rPr>
        <w:t>3. Use of Improved Information Technology</w:t>
      </w:r>
      <w:bookmarkEnd w:id="7"/>
      <w:bookmarkEnd w:id="8"/>
    </w:p>
    <w:p w14:paraId="23AAC8EB" w14:textId="77777777" w:rsidR="009B633D" w:rsidRPr="00B0110C" w:rsidRDefault="0072401E" w:rsidP="0072401E">
      <w:pPr>
        <w:rPr>
          <w:i/>
        </w:rPr>
      </w:pPr>
      <w:r w:rsidRPr="007A098A">
        <w:t>As in previous panels of the MEPS-HC, a CAPI instrument will be used (except the SAQs). Beginning in 2018, a new, modernized CAPI instrument was used for data collection</w:t>
      </w:r>
      <w:r w:rsidR="00276074" w:rsidRPr="007A098A">
        <w:t xml:space="preserve">. </w:t>
      </w:r>
      <w:r w:rsidRPr="007A098A">
        <w:t xml:space="preserve">Programmed in Version 4.8 of Blaise </w:t>
      </w:r>
      <w:r w:rsidR="003369EB" w:rsidRPr="007A098A">
        <w:t>commercial off the shelf (</w:t>
      </w:r>
      <w:r w:rsidRPr="007A098A">
        <w:t>COTS</w:t>
      </w:r>
      <w:r w:rsidR="003369EB" w:rsidRPr="007A098A">
        <w:t>)</w:t>
      </w:r>
      <w:r w:rsidRPr="007A098A">
        <w:t>, the new instrument is designed to streamline administration of the CAPI interview, simplify the response task for both the respondent and interviewer, and increase respondent reporting while maintaining or reducing costs</w:t>
      </w:r>
      <w:r w:rsidR="00276074" w:rsidRPr="007A098A">
        <w:t xml:space="preserve"> (Attachment 1).</w:t>
      </w:r>
      <w:r w:rsidRPr="007A098A">
        <w:t xml:space="preserve">   The mode of administration for the MEPS-MPC (including the pharmacy component) varies based on the</w:t>
      </w:r>
      <w:r w:rsidRPr="00B0110C">
        <w:t xml:space="preserve"> preferences of the provider and includes phone interviews, mail and electronic submission of information.   Starting with the 2009 MEPS-MPC data collection, a computer-assisted system was developed for both interviewing and record abstraction. This Integrated Data Collection System (IDCS) supported the effort to recruit providers by telephone and to interview medical records and billing staff of medical facilities. For providers that prefer to send hard copy records, the IDCS is used to abstract information from medical records and patient accounts.  The IDCS consists of two main systems: 1) a Web component in ASP.Net in which the MEPS-MPC forms (Contact Guides and Event Forms) are programmed for either data entry either during telephone calls or record abstraction and 2) a Case Management System (CMS) that manages the medical providers and associated forms for call scheduling, contact information, appointment times, and event/status information.   More recently, to reduce burden for providers the MPC has begun offering data transfer options such as downloading record files through secure File Transfer Protocol (FTP), and </w:t>
      </w:r>
      <w:r w:rsidR="00353103">
        <w:t>has implemented</w:t>
      </w:r>
      <w:r w:rsidRPr="00B0110C">
        <w:t xml:space="preserve"> a secure email process for encrypted record files.  </w:t>
      </w:r>
      <w:r w:rsidR="00802EAB">
        <w:t xml:space="preserve">A </w:t>
      </w:r>
      <w:r w:rsidR="00353103">
        <w:t>secure web portal for submission of authorization forms to</w:t>
      </w:r>
      <w:r w:rsidR="003369EB">
        <w:t xml:space="preserve"> point of contact (</w:t>
      </w:r>
      <w:r w:rsidR="00353103">
        <w:t>POCs</w:t>
      </w:r>
      <w:r w:rsidR="003369EB">
        <w:t>)</w:t>
      </w:r>
      <w:r w:rsidR="00353103">
        <w:t xml:space="preserve"> and for POCs to provide records back to data collectors</w:t>
      </w:r>
      <w:r w:rsidR="00802EAB">
        <w:t xml:space="preserve"> has also been developed</w:t>
      </w:r>
      <w:r w:rsidR="00353103">
        <w:t>.</w:t>
      </w:r>
    </w:p>
    <w:p w14:paraId="69EAA580" w14:textId="77777777" w:rsidR="009B633D" w:rsidRDefault="009B633D" w:rsidP="009B633D">
      <w:pPr>
        <w:pStyle w:val="Heading2"/>
        <w:rPr>
          <w:sz w:val="24"/>
        </w:rPr>
      </w:pPr>
      <w:bookmarkStart w:id="9" w:name="_Toc151782179"/>
      <w:bookmarkStart w:id="10" w:name="_Toc158526219"/>
      <w:r w:rsidRPr="00983636">
        <w:rPr>
          <w:sz w:val="24"/>
        </w:rPr>
        <w:t>4. Efforts to Identify Duplication</w:t>
      </w:r>
      <w:bookmarkEnd w:id="9"/>
      <w:bookmarkEnd w:id="10"/>
    </w:p>
    <w:p w14:paraId="69DC204D" w14:textId="77777777" w:rsidR="007E4359" w:rsidRDefault="0000058B" w:rsidP="00D65011">
      <w:r w:rsidRPr="00825B3C">
        <w:t>There is no</w:t>
      </w:r>
      <w:r w:rsidR="007366C4">
        <w:t xml:space="preserve"> other</w:t>
      </w:r>
      <w:r w:rsidRPr="00825B3C">
        <w:t xml:space="preserve"> survey that is now or has been recently conducted that will meet all of the objectives of the MEPS.  Some federal surveys do collect health insurance information from households (</w:t>
      </w:r>
      <w:r w:rsidR="003369EB">
        <w:t>Survey of Income and Program Participation</w:t>
      </w:r>
      <w:r w:rsidRPr="00825B3C">
        <w:t>, NHIS); however these surveys do not collect the depth of information on health care use and expense</w:t>
      </w:r>
      <w:r>
        <w:t>s</w:t>
      </w:r>
      <w:r w:rsidRPr="00825B3C">
        <w:t xml:space="preserve"> available in the MEPS</w:t>
      </w:r>
      <w:r w:rsidR="00802EAB">
        <w:t>.</w:t>
      </w:r>
    </w:p>
    <w:p w14:paraId="3CD00D07" w14:textId="77777777" w:rsidR="009B633D" w:rsidRPr="00983636" w:rsidRDefault="009B633D" w:rsidP="009B633D">
      <w:pPr>
        <w:pStyle w:val="Heading2"/>
        <w:rPr>
          <w:sz w:val="24"/>
        </w:rPr>
      </w:pPr>
      <w:bookmarkStart w:id="11" w:name="_Toc151782180"/>
      <w:bookmarkStart w:id="12" w:name="_Toc158526220"/>
      <w:r w:rsidRPr="00983636">
        <w:rPr>
          <w:sz w:val="24"/>
        </w:rPr>
        <w:t>5. Involvement of Small Entities</w:t>
      </w:r>
      <w:bookmarkEnd w:id="11"/>
      <w:bookmarkEnd w:id="12"/>
    </w:p>
    <w:p w14:paraId="1490A455" w14:textId="77777777" w:rsidR="00F60488" w:rsidRPr="00F60488" w:rsidRDefault="0000058B" w:rsidP="00D65011">
      <w:pPr>
        <w:rPr>
          <w:i/>
        </w:rPr>
      </w:pPr>
      <w:r w:rsidRPr="00825B3C">
        <w:t xml:space="preserve">The MEPS-HC collects information only from households. The MEPS-MPC will survey medical facilities, physicians, and pharmacies. Some of the MPC respondents may be small businesses. The </w:t>
      </w:r>
      <w:r w:rsidR="007366C4">
        <w:t>MEPS-</w:t>
      </w:r>
      <w:r w:rsidRPr="00825B3C">
        <w:t>MPC instrument and procedures used to collect data are designed to minimize the burden on all respondents.</w:t>
      </w:r>
    </w:p>
    <w:p w14:paraId="0BFCFBBE" w14:textId="77777777" w:rsidR="009B633D" w:rsidRPr="00983636" w:rsidRDefault="009B633D" w:rsidP="009B633D">
      <w:pPr>
        <w:pStyle w:val="Heading2"/>
        <w:rPr>
          <w:sz w:val="24"/>
        </w:rPr>
      </w:pPr>
      <w:bookmarkStart w:id="13" w:name="_Toc151782181"/>
      <w:bookmarkStart w:id="14" w:name="_Toc158526221"/>
      <w:r w:rsidRPr="00983636">
        <w:rPr>
          <w:sz w:val="24"/>
        </w:rPr>
        <w:t>6. Consequences if Information Collected Less Frequently</w:t>
      </w:r>
      <w:bookmarkEnd w:id="13"/>
      <w:bookmarkEnd w:id="14"/>
    </w:p>
    <w:p w14:paraId="0352579B" w14:textId="77777777" w:rsidR="0000058B" w:rsidRPr="00825B3C" w:rsidRDefault="0000058B" w:rsidP="0000058B">
      <w:bookmarkStart w:id="15" w:name="_Toc151782182"/>
      <w:bookmarkStart w:id="16" w:name="_Toc158526222"/>
      <w:r w:rsidRPr="00825B3C">
        <w:t>The design of the MEPS</w:t>
      </w:r>
      <w:r w:rsidR="007366C4">
        <w:t>-HC</w:t>
      </w:r>
      <w:r w:rsidRPr="00825B3C">
        <w:t xml:space="preserve"> in which households are contacted 5 times over the course of 2 years enables the gathering of medical use data at the event level and permits the estimation of expenditures and payments for persons by event type.  Reducing the number of rounds in which the data are collected would hamper the availability and quality of information due to long recall periods.</w:t>
      </w:r>
      <w:r w:rsidR="00AA2E55">
        <w:t xml:space="preserve">  </w:t>
      </w:r>
      <w:r w:rsidR="007366C4" w:rsidRPr="00D133AE">
        <w:t>MEPS-</w:t>
      </w:r>
      <w:r w:rsidRPr="00D133AE">
        <w:t xml:space="preserve">MPC respondents </w:t>
      </w:r>
      <w:r w:rsidRPr="00A47876">
        <w:t xml:space="preserve">are contacted </w:t>
      </w:r>
      <w:r w:rsidR="00E7392F" w:rsidRPr="00A47876">
        <w:t xml:space="preserve">at least </w:t>
      </w:r>
      <w:r w:rsidRPr="00A47876">
        <w:t xml:space="preserve">once during the calendar year for the preceding data collection year. </w:t>
      </w:r>
      <w:r w:rsidR="007D15FE" w:rsidRPr="00A47876">
        <w:t xml:space="preserve"> </w:t>
      </w:r>
      <w:r w:rsidR="00E7392F" w:rsidRPr="00A47876">
        <w:t>Sometimes a follow up contact is necessary to clarify ambiguous or collect missing information.</w:t>
      </w:r>
      <w:r w:rsidR="00E7392F">
        <w:t xml:space="preserve">  </w:t>
      </w:r>
      <w:r w:rsidRPr="00825B3C">
        <w:t xml:space="preserve">Contacts on a less frequent basis than the envisioned timetable jeopardizes the access of the study to information from records that could otherwise be destroyed or archived. </w:t>
      </w:r>
    </w:p>
    <w:p w14:paraId="08F795E7" w14:textId="77777777" w:rsidR="009B633D" w:rsidRDefault="009B633D" w:rsidP="009B633D">
      <w:pPr>
        <w:pStyle w:val="Heading2"/>
        <w:rPr>
          <w:sz w:val="24"/>
        </w:rPr>
      </w:pPr>
      <w:r w:rsidRPr="00412C6F">
        <w:rPr>
          <w:sz w:val="24"/>
        </w:rPr>
        <w:t>7. Special Circumstances</w:t>
      </w:r>
      <w:bookmarkEnd w:id="15"/>
      <w:bookmarkEnd w:id="16"/>
    </w:p>
    <w:p w14:paraId="1D3E6210" w14:textId="77777777" w:rsidR="0000058B" w:rsidRPr="00825B3C" w:rsidRDefault="0000058B" w:rsidP="0000058B">
      <w:r w:rsidRPr="00825B3C">
        <w:t>Aside from offering compensation to respondents, the MEPS</w:t>
      </w:r>
      <w:r w:rsidR="007366C4">
        <w:t>-</w:t>
      </w:r>
      <w:r w:rsidRPr="00825B3C">
        <w:t xml:space="preserve">HC and MPC will fully comply with 5 CFR 1320.6.  </w:t>
      </w:r>
    </w:p>
    <w:p w14:paraId="7D44D18C" w14:textId="77777777" w:rsidR="0000058B" w:rsidRPr="00825B3C" w:rsidRDefault="0000058B" w:rsidP="0000058B"/>
    <w:p w14:paraId="5427DF55" w14:textId="77777777" w:rsidR="004E3A1B" w:rsidRDefault="009B633D" w:rsidP="004E3A1B">
      <w:pPr>
        <w:pStyle w:val="Heading2"/>
        <w:rPr>
          <w:sz w:val="24"/>
          <w:szCs w:val="24"/>
        </w:rPr>
      </w:pPr>
      <w:bookmarkStart w:id="17" w:name="_Toc151782183"/>
      <w:bookmarkStart w:id="18" w:name="_Toc158526223"/>
      <w:r w:rsidRPr="00412C6F">
        <w:rPr>
          <w:sz w:val="24"/>
        </w:rPr>
        <w:t>8.</w:t>
      </w:r>
      <w:r w:rsidRPr="004E3A1B">
        <w:rPr>
          <w:sz w:val="24"/>
          <w:szCs w:val="24"/>
        </w:rPr>
        <w:t xml:space="preserve"> </w:t>
      </w:r>
      <w:bookmarkEnd w:id="17"/>
      <w:bookmarkEnd w:id="18"/>
      <w:r w:rsidR="004E3A1B" w:rsidRPr="004E3A1B">
        <w:rPr>
          <w:sz w:val="24"/>
          <w:szCs w:val="24"/>
        </w:rPr>
        <w:t>Federal Register Notice and Outside Consultations</w:t>
      </w:r>
    </w:p>
    <w:p w14:paraId="18AF9EAA" w14:textId="77777777" w:rsidR="004E3A1B" w:rsidRDefault="004E3A1B" w:rsidP="004E3A1B"/>
    <w:p w14:paraId="2466B0FB" w14:textId="77777777" w:rsidR="00131443" w:rsidRDefault="004E3A1B" w:rsidP="004E3A1B">
      <w:pPr>
        <w:rPr>
          <w:rFonts w:ascii="Arial" w:hAnsi="Arial" w:cs="Arial"/>
          <w:b/>
          <w:bCs/>
          <w:i/>
          <w:iCs/>
        </w:rPr>
      </w:pPr>
      <w:r w:rsidRPr="004E3A1B">
        <w:rPr>
          <w:rFonts w:ascii="Arial" w:hAnsi="Arial" w:cs="Arial"/>
          <w:b/>
          <w:i/>
        </w:rPr>
        <w:t>8.a.</w:t>
      </w:r>
      <w:r>
        <w:t xml:space="preserve"> </w:t>
      </w:r>
      <w:r w:rsidRPr="004E3A1B">
        <w:rPr>
          <w:rFonts w:ascii="Arial" w:hAnsi="Arial" w:cs="Arial"/>
          <w:b/>
          <w:bCs/>
          <w:i/>
          <w:iCs/>
        </w:rPr>
        <w:t>Federal Register Notice</w:t>
      </w:r>
    </w:p>
    <w:p w14:paraId="12A06321" w14:textId="77777777" w:rsidR="007C1ECB" w:rsidRPr="007C1ECB" w:rsidRDefault="007C1ECB" w:rsidP="004E3A1B"/>
    <w:p w14:paraId="2E07A994" w14:textId="77777777" w:rsidR="004E3A1B" w:rsidRPr="004E3A1B" w:rsidRDefault="00A30D9A" w:rsidP="004E3A1B">
      <w:r>
        <w:t xml:space="preserve">As required by </w:t>
      </w:r>
      <w:r w:rsidR="0037771B">
        <w:t xml:space="preserve">5 CFR 1320.8(d), </w:t>
      </w:r>
      <w:r w:rsidR="00572FCE">
        <w:t>n</w:t>
      </w:r>
      <w:r w:rsidR="00572FCE" w:rsidRPr="007B4120">
        <w:t xml:space="preserve">otices were published in the Federal Register on </w:t>
      </w:r>
      <w:r w:rsidR="008C3039">
        <w:t>June 4</w:t>
      </w:r>
      <w:r w:rsidR="008C3039" w:rsidRPr="008C3039">
        <w:rPr>
          <w:vertAlign w:val="superscript"/>
        </w:rPr>
        <w:t>th</w:t>
      </w:r>
      <w:r w:rsidR="008C3039" w:rsidRPr="008C3039">
        <w:t>,</w:t>
      </w:r>
      <w:r w:rsidR="00572FCE" w:rsidRPr="008C3039">
        <w:t xml:space="preserve"> 201</w:t>
      </w:r>
      <w:r w:rsidR="004A30F5" w:rsidRPr="008C3039">
        <w:t>8</w:t>
      </w:r>
      <w:r w:rsidR="00572FCE" w:rsidRPr="007B4120">
        <w:t xml:space="preserve">, for 60 </w:t>
      </w:r>
      <w:r w:rsidR="00572FCE" w:rsidRPr="007A098A">
        <w:t xml:space="preserve">days </w:t>
      </w:r>
      <w:r w:rsidR="00DC58DC" w:rsidRPr="007A098A">
        <w:t>(see Attachment 105)</w:t>
      </w:r>
      <w:r w:rsidR="00DC58DC">
        <w:t xml:space="preserve"> </w:t>
      </w:r>
      <w:r w:rsidR="00572FCE" w:rsidRPr="007A098A">
        <w:t xml:space="preserve">and again </w:t>
      </w:r>
      <w:r w:rsidR="00BA156E">
        <w:t>September 4</w:t>
      </w:r>
      <w:r w:rsidR="00BA156E" w:rsidRPr="00FD150A">
        <w:rPr>
          <w:vertAlign w:val="superscript"/>
        </w:rPr>
        <w:t>th</w:t>
      </w:r>
      <w:r w:rsidR="00BA156E">
        <w:t xml:space="preserve">, 2018 on page </w:t>
      </w:r>
      <w:r w:rsidR="00BA156E" w:rsidRPr="00DA56AE">
        <w:t>44877</w:t>
      </w:r>
      <w:r w:rsidR="00BA156E" w:rsidRPr="007A098A">
        <w:t xml:space="preserve"> for 30 days</w:t>
      </w:r>
      <w:r w:rsidR="009374DF" w:rsidRPr="007A098A">
        <w:t xml:space="preserve">. </w:t>
      </w:r>
      <w:r w:rsidR="001C6AE4" w:rsidRPr="007A098A">
        <w:t xml:space="preserve"> No </w:t>
      </w:r>
      <w:r w:rsidR="00721B18" w:rsidRPr="007A098A">
        <w:t xml:space="preserve">substantive </w:t>
      </w:r>
      <w:r w:rsidR="001C6AE4" w:rsidRPr="007A098A">
        <w:t>comments</w:t>
      </w:r>
      <w:r w:rsidR="001C6AE4">
        <w:t xml:space="preserve"> were received.</w:t>
      </w:r>
    </w:p>
    <w:p w14:paraId="77015C44" w14:textId="77777777" w:rsidR="009B633D" w:rsidRPr="00EA1141" w:rsidRDefault="004E3A1B" w:rsidP="009B633D">
      <w:pPr>
        <w:pStyle w:val="Heading2"/>
        <w:rPr>
          <w:sz w:val="24"/>
        </w:rPr>
      </w:pPr>
      <w:r w:rsidRPr="00EA1141">
        <w:rPr>
          <w:sz w:val="24"/>
        </w:rPr>
        <w:t xml:space="preserve">8.b.  </w:t>
      </w:r>
      <w:r w:rsidRPr="00EA1141">
        <w:rPr>
          <w:sz w:val="24"/>
          <w:szCs w:val="24"/>
        </w:rPr>
        <w:t>Outside Consultations</w:t>
      </w:r>
    </w:p>
    <w:p w14:paraId="0A3DA42D" w14:textId="77777777" w:rsidR="00471F01" w:rsidRDefault="00471F01" w:rsidP="00471F01">
      <w:bookmarkStart w:id="19" w:name="_Toc457285506"/>
      <w:bookmarkStart w:id="20" w:name="_Toc58725294"/>
      <w:bookmarkStart w:id="21" w:name="_Toc151782184"/>
      <w:bookmarkStart w:id="22" w:name="_Toc158526224"/>
      <w:r w:rsidRPr="00EA1141">
        <w:t>Individuals or groups outside the Agency consulted about the MEPS project over the last several years are listed below</w:t>
      </w:r>
      <w:r w:rsidR="00823D4A" w:rsidRPr="00EA1141">
        <w:t>:</w:t>
      </w:r>
    </w:p>
    <w:p w14:paraId="79D01568" w14:textId="77777777" w:rsidR="00755754" w:rsidRPr="00755754" w:rsidRDefault="00755754" w:rsidP="00471F01">
      <w:pPr>
        <w:rPr>
          <w:b/>
        </w:rPr>
      </w:pPr>
      <w:r w:rsidRPr="00755754">
        <w:rPr>
          <w:b/>
        </w:rPr>
        <w:t>Table 1.  MEPS Consultants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5647"/>
      </w:tblGrid>
      <w:tr w:rsidR="001921D4" w14:paraId="1ABA1AA4" w14:textId="77777777" w:rsidTr="00D65011">
        <w:tc>
          <w:tcPr>
            <w:tcW w:w="3330" w:type="dxa"/>
          </w:tcPr>
          <w:p w14:paraId="3ED2266D" w14:textId="77777777" w:rsidR="001921D4" w:rsidRPr="003E3355" w:rsidRDefault="001921D4" w:rsidP="00471F01">
            <w:pPr>
              <w:rPr>
                <w:b/>
              </w:rPr>
            </w:pPr>
            <w:r w:rsidRPr="003E3355">
              <w:rPr>
                <w:b/>
              </w:rPr>
              <w:t>Name</w:t>
            </w:r>
          </w:p>
        </w:tc>
        <w:tc>
          <w:tcPr>
            <w:tcW w:w="5647" w:type="dxa"/>
          </w:tcPr>
          <w:p w14:paraId="1F18EFF4" w14:textId="77777777" w:rsidR="001921D4" w:rsidRPr="003E3355" w:rsidRDefault="001921D4" w:rsidP="00471F01">
            <w:pPr>
              <w:rPr>
                <w:b/>
              </w:rPr>
            </w:pPr>
            <w:r w:rsidRPr="003E3355">
              <w:rPr>
                <w:b/>
              </w:rPr>
              <w:t>Affiliation</w:t>
            </w:r>
          </w:p>
        </w:tc>
      </w:tr>
      <w:tr w:rsidR="00BB5292" w14:paraId="4E9BD8B7" w14:textId="77777777" w:rsidTr="00D65011">
        <w:tc>
          <w:tcPr>
            <w:tcW w:w="3330" w:type="dxa"/>
          </w:tcPr>
          <w:p w14:paraId="709CC57D" w14:textId="77777777" w:rsidR="00BB5292" w:rsidRPr="001921D4" w:rsidRDefault="00BB5292" w:rsidP="00BB5292">
            <w:r>
              <w:t>Stephen Blumberg, Ph.D.</w:t>
            </w:r>
          </w:p>
        </w:tc>
        <w:tc>
          <w:tcPr>
            <w:tcW w:w="5647" w:type="dxa"/>
          </w:tcPr>
          <w:p w14:paraId="49514A4A" w14:textId="77777777" w:rsidR="00BB5292" w:rsidRPr="001921D4" w:rsidRDefault="00BB5292" w:rsidP="00BB5292">
            <w:pPr>
              <w:pStyle w:val="PlainText"/>
            </w:pPr>
            <w:r>
              <w:t>National Center for Health Statistics, Division of Health Interview Statistics</w:t>
            </w:r>
          </w:p>
        </w:tc>
      </w:tr>
      <w:tr w:rsidR="00BB5292" w14:paraId="7E2CF16E" w14:textId="77777777" w:rsidTr="00D65011">
        <w:tc>
          <w:tcPr>
            <w:tcW w:w="3330" w:type="dxa"/>
          </w:tcPr>
          <w:p w14:paraId="4BD5CA88" w14:textId="77777777" w:rsidR="00BB5292" w:rsidRDefault="00BB5292" w:rsidP="00BB5292">
            <w:r>
              <w:t>J. Michael Brick, Ph.D.</w:t>
            </w:r>
          </w:p>
        </w:tc>
        <w:tc>
          <w:tcPr>
            <w:tcW w:w="5647" w:type="dxa"/>
          </w:tcPr>
          <w:p w14:paraId="63C7AC61" w14:textId="77777777" w:rsidR="00BB5292" w:rsidRDefault="00BB5292" w:rsidP="00BB5292">
            <w:pPr>
              <w:pStyle w:val="PlainText"/>
            </w:pPr>
            <w:r>
              <w:t>Westat</w:t>
            </w:r>
          </w:p>
        </w:tc>
      </w:tr>
      <w:tr w:rsidR="00BB5292" w14:paraId="50DCD88A" w14:textId="77777777" w:rsidTr="00D65011">
        <w:tc>
          <w:tcPr>
            <w:tcW w:w="3330" w:type="dxa"/>
          </w:tcPr>
          <w:p w14:paraId="1D371441" w14:textId="77777777" w:rsidR="00BB5292" w:rsidRDefault="00BB5292" w:rsidP="00BB5292">
            <w:pPr>
              <w:pStyle w:val="PlainText"/>
            </w:pPr>
            <w:r>
              <w:t>Ralph DiGaetano, Ph.D.</w:t>
            </w:r>
          </w:p>
        </w:tc>
        <w:tc>
          <w:tcPr>
            <w:tcW w:w="5647" w:type="dxa"/>
          </w:tcPr>
          <w:p w14:paraId="6510CEDD" w14:textId="77777777" w:rsidR="00BB5292" w:rsidRDefault="00BB5292" w:rsidP="00BB5292">
            <w:pPr>
              <w:pStyle w:val="PlainText"/>
            </w:pPr>
            <w:r>
              <w:t>Westat</w:t>
            </w:r>
          </w:p>
        </w:tc>
      </w:tr>
      <w:tr w:rsidR="00BB5292" w14:paraId="1A55CE6A" w14:textId="77777777" w:rsidTr="00D65011">
        <w:tc>
          <w:tcPr>
            <w:tcW w:w="3330" w:type="dxa"/>
          </w:tcPr>
          <w:p w14:paraId="436C0152" w14:textId="77777777" w:rsidR="00BB5292" w:rsidRDefault="00BB5292" w:rsidP="00BB5292">
            <w:r>
              <w:t>Hongji Liu, Ph.D.</w:t>
            </w:r>
          </w:p>
        </w:tc>
        <w:tc>
          <w:tcPr>
            <w:tcW w:w="5647" w:type="dxa"/>
          </w:tcPr>
          <w:p w14:paraId="217B82CE" w14:textId="77777777" w:rsidR="00BB5292" w:rsidRDefault="00BB5292" w:rsidP="00BB5292">
            <w:pPr>
              <w:pStyle w:val="PlainText"/>
            </w:pPr>
            <w:r>
              <w:t>Westat</w:t>
            </w:r>
          </w:p>
        </w:tc>
      </w:tr>
      <w:tr w:rsidR="00BB5292" w14:paraId="63C17ED7" w14:textId="77777777" w:rsidTr="00D65011">
        <w:tc>
          <w:tcPr>
            <w:tcW w:w="3330" w:type="dxa"/>
          </w:tcPr>
          <w:p w14:paraId="68DC671C" w14:textId="77777777" w:rsidR="00BB5292" w:rsidRPr="00755754" w:rsidRDefault="00BB5292" w:rsidP="00BB5292">
            <w:r>
              <w:t>Roger Tourangeau, Ph.D.</w:t>
            </w:r>
          </w:p>
        </w:tc>
        <w:tc>
          <w:tcPr>
            <w:tcW w:w="5647" w:type="dxa"/>
          </w:tcPr>
          <w:p w14:paraId="6A6C9C9F" w14:textId="77777777" w:rsidR="00BB5292" w:rsidRDefault="00BB5292" w:rsidP="00BB5292">
            <w:r>
              <w:t>Westat</w:t>
            </w:r>
          </w:p>
        </w:tc>
      </w:tr>
      <w:tr w:rsidR="00BB5292" w14:paraId="500A0062" w14:textId="77777777" w:rsidTr="00D65011">
        <w:tc>
          <w:tcPr>
            <w:tcW w:w="3330" w:type="dxa"/>
          </w:tcPr>
          <w:p w14:paraId="112BDA58" w14:textId="77777777" w:rsidR="00BB5292" w:rsidRDefault="00356074" w:rsidP="00BB5292">
            <w:hyperlink r:id="rId10" w:tooltip="mailto:duffys@nida.nih.gov" w:history="1">
              <w:r w:rsidR="00BB5292" w:rsidRPr="00DC58DC">
                <w:rPr>
                  <w:rStyle w:val="Hyperlink"/>
                  <w:color w:val="000000"/>
                  <w:u w:val="none"/>
                </w:rPr>
                <w:t>Ting</w:t>
              </w:r>
            </w:hyperlink>
            <w:r w:rsidR="00BB5292" w:rsidRPr="00DC58DC">
              <w:t xml:space="preserve"> </w:t>
            </w:r>
            <w:r w:rsidR="00BB5292">
              <w:t>Yan, Ph.D.</w:t>
            </w:r>
          </w:p>
        </w:tc>
        <w:tc>
          <w:tcPr>
            <w:tcW w:w="5647" w:type="dxa"/>
          </w:tcPr>
          <w:p w14:paraId="5A642C72" w14:textId="77777777" w:rsidR="00BB5292" w:rsidRDefault="00BB5292" w:rsidP="00BB5292">
            <w:r>
              <w:t>Westat</w:t>
            </w:r>
          </w:p>
        </w:tc>
      </w:tr>
    </w:tbl>
    <w:p w14:paraId="2ABD89D1" w14:textId="77777777" w:rsidR="001921D4" w:rsidRPr="00EA1141" w:rsidRDefault="001921D4" w:rsidP="00471F01"/>
    <w:p w14:paraId="445CE513" w14:textId="77777777" w:rsidR="0038217D" w:rsidRPr="00D65011" w:rsidRDefault="009B633D" w:rsidP="0038217D">
      <w:pPr>
        <w:pStyle w:val="Heading2"/>
        <w:rPr>
          <w:sz w:val="24"/>
          <w:szCs w:val="24"/>
        </w:rPr>
      </w:pPr>
      <w:r w:rsidRPr="00D65011">
        <w:rPr>
          <w:sz w:val="24"/>
          <w:szCs w:val="24"/>
        </w:rPr>
        <w:t>9. Gifts</w:t>
      </w:r>
      <w:r w:rsidR="00CD6CB9" w:rsidRPr="00D65011">
        <w:rPr>
          <w:sz w:val="24"/>
          <w:szCs w:val="24"/>
        </w:rPr>
        <w:t>/Payments</w:t>
      </w:r>
      <w:r w:rsidRPr="00D65011">
        <w:rPr>
          <w:sz w:val="24"/>
          <w:szCs w:val="24"/>
        </w:rPr>
        <w:t xml:space="preserve"> to Respondents</w:t>
      </w:r>
      <w:bookmarkEnd w:id="19"/>
      <w:bookmarkEnd w:id="20"/>
      <w:bookmarkEnd w:id="21"/>
      <w:bookmarkEnd w:id="22"/>
    </w:p>
    <w:p w14:paraId="3ACCF50D" w14:textId="245B9CC1" w:rsidR="00B333DF" w:rsidRPr="0072401E" w:rsidRDefault="00B333DF" w:rsidP="00B333DF">
      <w:r w:rsidRPr="0072401E">
        <w:t xml:space="preserve">MEPS-HC respondents will be offered a monetary </w:t>
      </w:r>
      <w:r w:rsidR="004500B0">
        <w:t>incentive</w:t>
      </w:r>
      <w:r w:rsidRPr="0072401E">
        <w:t xml:space="preserve"> as a token of appreciation for their participation in the MEPS. A</w:t>
      </w:r>
      <w:r w:rsidR="004500B0">
        <w:t>n incentive</w:t>
      </w:r>
      <w:r w:rsidRPr="0072401E">
        <w:t xml:space="preserve"> has been offered to respondents at the end of each round since the inception of MEPS in 1996; the current amount of $50 per round has been in place since 2011 (OMB approval obtained January 26, 2010 version 1).  For household respondents, participation includes not only time being interviewed, but also keeping track of their medical events and expenditures between interviews.  Household respondents will be informed of the </w:t>
      </w:r>
      <w:r w:rsidR="004500B0">
        <w:t>incentive</w:t>
      </w:r>
      <w:r w:rsidRPr="0072401E">
        <w:t xml:space="preserve"> at the first in-person contact and all eligible respondents will be given the same amount</w:t>
      </w:r>
      <w:r w:rsidRPr="00FE6CF8">
        <w:t>.  No</w:t>
      </w:r>
      <w:r w:rsidR="004500B0">
        <w:t xml:space="preserve"> incentive</w:t>
      </w:r>
      <w:r w:rsidRPr="00FE6CF8">
        <w:t xml:space="preserve"> will be offered to respondents </w:t>
      </w:r>
      <w:r w:rsidR="003B18AE">
        <w:t xml:space="preserve">for all versions of </w:t>
      </w:r>
      <w:r w:rsidRPr="00FE6CF8">
        <w:t>the Adult SAQ</w:t>
      </w:r>
      <w:r w:rsidRPr="00BF7DAF">
        <w:t>,</w:t>
      </w:r>
      <w:r w:rsidRPr="0072401E">
        <w:t xml:space="preserve"> </w:t>
      </w:r>
      <w:r w:rsidR="003B18AE">
        <w:t xml:space="preserve">the </w:t>
      </w:r>
      <w:r w:rsidRPr="0072401E">
        <w:t>Diabetes Care SAQ</w:t>
      </w:r>
      <w:r>
        <w:t xml:space="preserve">, </w:t>
      </w:r>
      <w:r w:rsidR="00397BB6">
        <w:t xml:space="preserve">or </w:t>
      </w:r>
      <w:r w:rsidR="00647A32">
        <w:t xml:space="preserve">the </w:t>
      </w:r>
      <w:r w:rsidR="00634BA6">
        <w:t xml:space="preserve">Adult </w:t>
      </w:r>
      <w:r w:rsidR="00647A32">
        <w:t>SAQ that includes m</w:t>
      </w:r>
      <w:r w:rsidR="00397BB6">
        <w:t xml:space="preserve">ental </w:t>
      </w:r>
      <w:r w:rsidR="00647A32">
        <w:t>h</w:t>
      </w:r>
      <w:r w:rsidR="00397BB6">
        <w:t xml:space="preserve">ealth </w:t>
      </w:r>
      <w:r w:rsidR="00647A32">
        <w:t>questions</w:t>
      </w:r>
      <w:r w:rsidRPr="0072401E">
        <w:t>.</w:t>
      </w:r>
      <w:r w:rsidR="008D5CE4">
        <w:t xml:space="preserve">  </w:t>
      </w:r>
      <w:r w:rsidR="00857F47" w:rsidRPr="005622E0">
        <w:t>T</w:t>
      </w:r>
      <w:r w:rsidR="0024663B" w:rsidRPr="005622E0">
        <w:t xml:space="preserve">he cost-sharing documentation collection protocol includes a </w:t>
      </w:r>
      <w:r w:rsidR="00857F47" w:rsidRPr="005622E0">
        <w:t>$</w:t>
      </w:r>
      <w:r w:rsidR="002924A5" w:rsidRPr="005622E0">
        <w:t>30</w:t>
      </w:r>
      <w:r w:rsidR="00857F47" w:rsidRPr="005622E0">
        <w:t xml:space="preserve"> per</w:t>
      </w:r>
      <w:r w:rsidR="0024663B" w:rsidRPr="005622E0">
        <w:t>-</w:t>
      </w:r>
      <w:r w:rsidR="00857F47" w:rsidRPr="005622E0">
        <w:t>eligible</w:t>
      </w:r>
      <w:r w:rsidR="0024663B" w:rsidRPr="005622E0">
        <w:t>-</w:t>
      </w:r>
      <w:r w:rsidR="00857F47" w:rsidRPr="005622E0">
        <w:t xml:space="preserve">plan incentive to promote higher levels of response for cost-sharing </w:t>
      </w:r>
      <w:r w:rsidR="006A0383" w:rsidRPr="005622E0">
        <w:t xml:space="preserve">documentation </w:t>
      </w:r>
      <w:r w:rsidR="00857F47" w:rsidRPr="005622E0">
        <w:t xml:space="preserve">related to each </w:t>
      </w:r>
      <w:r w:rsidR="0024663B" w:rsidRPr="005622E0">
        <w:t>current</w:t>
      </w:r>
      <w:r w:rsidR="00857F47" w:rsidRPr="005622E0">
        <w:t xml:space="preserve"> plan included in the cost sharing collection activity.</w:t>
      </w:r>
      <w:r w:rsidR="006A0383" w:rsidRPr="005622E0">
        <w:t xml:space="preserve"> </w:t>
      </w:r>
      <w:r w:rsidR="0024663B" w:rsidRPr="005622E0">
        <w:t>Successful completion of the cost-sharing collection</w:t>
      </w:r>
      <w:r w:rsidR="006A0383" w:rsidRPr="005622E0">
        <w:t xml:space="preserve"> activity will require respondents to locate and submit cost-sharing documentation for eligible</w:t>
      </w:r>
      <w:r w:rsidR="0024663B" w:rsidRPr="005622E0">
        <w:t>, current</w:t>
      </w:r>
      <w:r w:rsidR="006A0383" w:rsidRPr="005622E0">
        <w:t xml:space="preserve"> plans.</w:t>
      </w:r>
      <w:r w:rsidR="0024663B" w:rsidRPr="005622E0">
        <w:t xml:space="preserve">  The activity may require web searches or contact with insurers </w:t>
      </w:r>
      <w:r w:rsidR="002924A5" w:rsidRPr="005622E0">
        <w:t xml:space="preserve">or human resource departments </w:t>
      </w:r>
      <w:r w:rsidR="0024663B" w:rsidRPr="005622E0">
        <w:t>to procure proper documentation</w:t>
      </w:r>
      <w:r w:rsidR="00C92B20" w:rsidRPr="005622E0">
        <w:t xml:space="preserve">. </w:t>
      </w:r>
      <w:r w:rsidR="0024663B" w:rsidRPr="005622E0">
        <w:t>Given the added complexity of locating insurance documentation, this incentive protocol is intended to help offset additional burden and promote higher levels of response</w:t>
      </w:r>
      <w:r w:rsidR="00D377A4" w:rsidRPr="005622E0">
        <w:t xml:space="preserve"> to achieve analytically viable data</w:t>
      </w:r>
      <w:r w:rsidR="0024663B" w:rsidRPr="005622E0">
        <w:t>.</w:t>
      </w:r>
    </w:p>
    <w:p w14:paraId="63E1C3D2" w14:textId="77777777" w:rsidR="001C31D2" w:rsidRPr="00E33EDB" w:rsidRDefault="009B633D" w:rsidP="00E33EDB">
      <w:pPr>
        <w:pStyle w:val="Heading2"/>
        <w:rPr>
          <w:sz w:val="24"/>
        </w:rPr>
      </w:pPr>
      <w:bookmarkStart w:id="23" w:name="_Toc151782185"/>
      <w:bookmarkStart w:id="24" w:name="_Toc158526225"/>
      <w:r w:rsidRPr="00412C6F">
        <w:rPr>
          <w:sz w:val="24"/>
        </w:rPr>
        <w:t>10. Assurance of Confidentiality</w:t>
      </w:r>
      <w:bookmarkEnd w:id="23"/>
      <w:bookmarkEnd w:id="24"/>
    </w:p>
    <w:p w14:paraId="67222FCB" w14:textId="77777777" w:rsidR="001B1673" w:rsidRDefault="001B1673" w:rsidP="00E33EDB">
      <w:pPr>
        <w:autoSpaceDE w:val="0"/>
        <w:autoSpaceDN w:val="0"/>
      </w:pPr>
      <w:r>
        <w:t xml:space="preserve">Confidentiality is protected by </w:t>
      </w:r>
      <w:r w:rsidR="001C31D2">
        <w:t xml:space="preserve">Sections 944(c) and 308(d) of the Public Health Service Act (42 U.S.C. 299c-3(c) and 42 U.S.C. 242m(d)).  </w:t>
      </w:r>
      <w:r>
        <w:t xml:space="preserve"> This research project will be carried out in compliance with th</w:t>
      </w:r>
      <w:r w:rsidR="001C31D2">
        <w:t>ese confidentiality</w:t>
      </w:r>
      <w:r>
        <w:t xml:space="preserve"> statute</w:t>
      </w:r>
      <w:r w:rsidR="001C31D2">
        <w:t>s</w:t>
      </w:r>
      <w:r>
        <w:t>.</w:t>
      </w:r>
      <w:r w:rsidR="001C31D2">
        <w:t xml:space="preserve">  Respondents will be told the purposes for which the information is being collected, that the confidentiality of their responses will be maintained, and that no information that could identify an individual or establishment will be disclosed unless that individual or establishment has consented to such disclosure.</w:t>
      </w:r>
    </w:p>
    <w:p w14:paraId="25907D27" w14:textId="77777777" w:rsidR="009B633D" w:rsidRPr="00412C6F" w:rsidRDefault="009B633D" w:rsidP="009B633D">
      <w:pPr>
        <w:pStyle w:val="Heading2"/>
        <w:rPr>
          <w:sz w:val="24"/>
        </w:rPr>
      </w:pPr>
      <w:bookmarkStart w:id="25" w:name="_Toc151782186"/>
      <w:bookmarkStart w:id="26" w:name="_Toc158526226"/>
      <w:r w:rsidRPr="00412C6F">
        <w:rPr>
          <w:sz w:val="24"/>
        </w:rPr>
        <w:t>11. Questions of a Sensitive Nature</w:t>
      </w:r>
      <w:bookmarkEnd w:id="25"/>
      <w:bookmarkEnd w:id="26"/>
    </w:p>
    <w:p w14:paraId="331E050E" w14:textId="2D2B2D5C" w:rsidR="00BB7136" w:rsidRDefault="003B2C9B" w:rsidP="00ED0EBB">
      <w:pPr>
        <w:rPr>
          <w:i/>
        </w:rPr>
      </w:pPr>
      <w:r w:rsidRPr="00825B3C">
        <w:t>The MEPS questionnaires for the Household Component include questions on income and medical conditions that some respondents may perceive as sensitive.</w:t>
      </w:r>
      <w:r w:rsidR="00397BB6">
        <w:t xml:space="preserve">  </w:t>
      </w:r>
      <w:r w:rsidR="00397BB6" w:rsidRPr="005622E0">
        <w:t xml:space="preserve">The Mental Health </w:t>
      </w:r>
      <w:r w:rsidR="00453E90" w:rsidRPr="005622E0">
        <w:t xml:space="preserve">questions included in the </w:t>
      </w:r>
      <w:r w:rsidR="003B18AE" w:rsidRPr="005622E0">
        <w:t xml:space="preserve">Adult </w:t>
      </w:r>
      <w:r w:rsidR="00397BB6" w:rsidRPr="005622E0">
        <w:t>SAQ</w:t>
      </w:r>
      <w:r w:rsidR="003B18AE" w:rsidRPr="005622E0">
        <w:t xml:space="preserve"> (Male/Female)</w:t>
      </w:r>
      <w:r w:rsidR="003F035C" w:rsidRPr="005622E0">
        <w:t>,</w:t>
      </w:r>
      <w:r w:rsidR="003B18AE" w:rsidRPr="005622E0">
        <w:t xml:space="preserve"> </w:t>
      </w:r>
      <w:r w:rsidR="003F035C" w:rsidRPr="005622E0">
        <w:t xml:space="preserve">administered </w:t>
      </w:r>
      <w:r w:rsidR="003B18AE" w:rsidRPr="005622E0">
        <w:t>in 2020 only</w:t>
      </w:r>
      <w:r w:rsidR="003F035C" w:rsidRPr="005622E0">
        <w:t>,</w:t>
      </w:r>
      <w:r w:rsidR="003B18AE" w:rsidRPr="005622E0">
        <w:t xml:space="preserve"> </w:t>
      </w:r>
      <w:r w:rsidR="00397BB6" w:rsidRPr="005622E0">
        <w:t xml:space="preserve">may </w:t>
      </w:r>
      <w:r w:rsidR="00453E90" w:rsidRPr="005622E0">
        <w:t xml:space="preserve">be perceived as </w:t>
      </w:r>
      <w:r w:rsidR="00397BB6" w:rsidRPr="005622E0">
        <w:t>sensitive</w:t>
      </w:r>
      <w:r w:rsidR="00453E90" w:rsidRPr="005622E0">
        <w:t xml:space="preserve"> by some respondents</w:t>
      </w:r>
      <w:r w:rsidR="00397BB6" w:rsidRPr="005622E0">
        <w:t>.</w:t>
      </w:r>
      <w:r w:rsidR="00397BB6">
        <w:t xml:space="preserve">  </w:t>
      </w:r>
    </w:p>
    <w:p w14:paraId="7257727F" w14:textId="77777777" w:rsidR="00DB433B" w:rsidRPr="003B2C9B" w:rsidRDefault="00DB433B" w:rsidP="00DB433B">
      <w:pPr>
        <w:pStyle w:val="Heading2"/>
        <w:rPr>
          <w:rStyle w:val="Strong"/>
          <w:b/>
          <w:bCs/>
          <w:sz w:val="24"/>
          <w:szCs w:val="24"/>
        </w:rPr>
      </w:pPr>
      <w:bookmarkStart w:id="27" w:name="_Toc151782187"/>
      <w:bookmarkStart w:id="28" w:name="_Toc158526227"/>
      <w:r w:rsidRPr="003B2C9B">
        <w:rPr>
          <w:sz w:val="24"/>
          <w:szCs w:val="24"/>
        </w:rPr>
        <w:t>12. Estimates of Annualized Burden Hours and Costs</w:t>
      </w:r>
    </w:p>
    <w:p w14:paraId="1FD064EE" w14:textId="77777777" w:rsidR="00DB433B" w:rsidRDefault="00DB433B" w:rsidP="00DB433B">
      <w:pPr>
        <w:tabs>
          <w:tab w:val="left" w:pos="0"/>
        </w:tabs>
        <w:rPr>
          <w:bCs/>
        </w:rPr>
      </w:pPr>
      <w:r w:rsidRPr="00442DD5">
        <w:rPr>
          <w:bCs/>
        </w:rPr>
        <w:t>Exhibit 1 shows the estimated annualized burden hours for the respondents' time to participate in the MEPS-HC and the MEPS-MPC</w:t>
      </w:r>
      <w:r>
        <w:rPr>
          <w:bCs/>
        </w:rPr>
        <w:t>.</w:t>
      </w:r>
    </w:p>
    <w:p w14:paraId="18BCBC6E" w14:textId="77777777" w:rsidR="00DB433B" w:rsidRDefault="00DB433B" w:rsidP="00DB433B">
      <w:pPr>
        <w:tabs>
          <w:tab w:val="left" w:pos="0"/>
        </w:tabs>
        <w:rPr>
          <w:bCs/>
        </w:rPr>
      </w:pPr>
    </w:p>
    <w:p w14:paraId="1B9583C2" w14:textId="7038AAAB" w:rsidR="00DB433B" w:rsidRPr="00594E6C" w:rsidRDefault="00DB433B" w:rsidP="00DB433B">
      <w:pPr>
        <w:tabs>
          <w:tab w:val="left" w:pos="0"/>
        </w:tabs>
        <w:rPr>
          <w:bCs/>
        </w:rPr>
      </w:pPr>
      <w:r w:rsidRPr="00594E6C">
        <w:rPr>
          <w:bCs/>
        </w:rPr>
        <w:t xml:space="preserve">The MEPS-HC Core </w:t>
      </w:r>
      <w:r w:rsidRPr="007A098A">
        <w:rPr>
          <w:bCs/>
        </w:rPr>
        <w:t>Interview will be completed by 13,338</w:t>
      </w:r>
      <w:r w:rsidRPr="007A098A">
        <w:rPr>
          <w:bCs/>
          <w:vertAlign w:val="superscript"/>
        </w:rPr>
        <w:t>*</w:t>
      </w:r>
      <w:r w:rsidRPr="007A098A">
        <w:rPr>
          <w:bCs/>
        </w:rPr>
        <w:t xml:space="preserve"> (see note below Exhibit 1) "family level" respondents, also referred to as RU respondents.  Since the MEPS-HC consists of 5 rounds of interviewing covering a full two years of data, the annual average number of responses per respondent is 2.5 responses per year.  The MEPS-HC core requires an average response time of 92 minutes to administer.  </w:t>
      </w:r>
      <w:r w:rsidRPr="00FE6CF8">
        <w:rPr>
          <w:bCs/>
        </w:rPr>
        <w:t>The Adult Female SAQ</w:t>
      </w:r>
      <w:r>
        <w:rPr>
          <w:bCs/>
        </w:rPr>
        <w:t xml:space="preserve"> (PSAQ) </w:t>
      </w:r>
      <w:r w:rsidRPr="00FE6CF8">
        <w:rPr>
          <w:bCs/>
        </w:rPr>
        <w:t>and Adult SAQ (</w:t>
      </w:r>
      <w:r>
        <w:rPr>
          <w:bCs/>
        </w:rPr>
        <w:t>SAQ)</w:t>
      </w:r>
      <w:r w:rsidRPr="00FE6CF8">
        <w:rPr>
          <w:bCs/>
        </w:rPr>
        <w:t xml:space="preserve"> will be completed once a </w:t>
      </w:r>
      <w:r>
        <w:rPr>
          <w:bCs/>
        </w:rPr>
        <w:t>year</w:t>
      </w:r>
      <w:r w:rsidRPr="00FE6CF8">
        <w:rPr>
          <w:bCs/>
        </w:rPr>
        <w:t xml:space="preserve"> by each female person in the RU that is 18 years old and older, an estimated 12,984 persons (Attachment 20</w:t>
      </w:r>
      <w:r>
        <w:rPr>
          <w:bCs/>
        </w:rPr>
        <w:t xml:space="preserve"> and Attachment 18</w:t>
      </w:r>
      <w:r w:rsidRPr="00FE6CF8">
        <w:rPr>
          <w:bCs/>
        </w:rPr>
        <w:t xml:space="preserve">).  The Adult Male SAQ </w:t>
      </w:r>
      <w:r>
        <w:rPr>
          <w:bCs/>
        </w:rPr>
        <w:t xml:space="preserve">(PSAQ) </w:t>
      </w:r>
      <w:r w:rsidRPr="00FE6CF8">
        <w:rPr>
          <w:bCs/>
        </w:rPr>
        <w:t>and Adult SAQ (</w:t>
      </w:r>
      <w:r>
        <w:rPr>
          <w:bCs/>
        </w:rPr>
        <w:t>SAQ)</w:t>
      </w:r>
      <w:r w:rsidRPr="00FE6CF8">
        <w:rPr>
          <w:bCs/>
        </w:rPr>
        <w:t xml:space="preserve"> will be completed once a </w:t>
      </w:r>
      <w:r>
        <w:rPr>
          <w:bCs/>
        </w:rPr>
        <w:t>year</w:t>
      </w:r>
      <w:r w:rsidRPr="00FE6CF8">
        <w:rPr>
          <w:bCs/>
        </w:rPr>
        <w:t xml:space="preserve"> by each male person in the RU that is 18 years old and older, an estimated 11,985 persons (Attachment 19</w:t>
      </w:r>
      <w:r>
        <w:rPr>
          <w:bCs/>
        </w:rPr>
        <w:t xml:space="preserve"> and Attachment 18</w:t>
      </w:r>
      <w:r w:rsidRPr="00FE6CF8">
        <w:rPr>
          <w:bCs/>
        </w:rPr>
        <w:t>).  The Adult SAQs each require an average of 7 minutes to complete.</w:t>
      </w:r>
      <w:r w:rsidRPr="007A098A">
        <w:rPr>
          <w:bCs/>
        </w:rPr>
        <w:t xml:space="preserve">  </w:t>
      </w:r>
      <w:r>
        <w:rPr>
          <w:bCs/>
        </w:rPr>
        <w:t xml:space="preserve">The Mental Health </w:t>
      </w:r>
      <w:r w:rsidR="00B2258A">
        <w:rPr>
          <w:bCs/>
        </w:rPr>
        <w:t xml:space="preserve">Questions in the </w:t>
      </w:r>
      <w:r w:rsidR="003F035C">
        <w:rPr>
          <w:bCs/>
        </w:rPr>
        <w:t xml:space="preserve">Adult </w:t>
      </w:r>
      <w:r w:rsidR="00B2258A">
        <w:rPr>
          <w:bCs/>
        </w:rPr>
        <w:t xml:space="preserve">SAQ </w:t>
      </w:r>
      <w:r w:rsidR="003F035C">
        <w:rPr>
          <w:bCs/>
        </w:rPr>
        <w:t xml:space="preserve">(Male/Female) </w:t>
      </w:r>
      <w:r>
        <w:rPr>
          <w:bCs/>
        </w:rPr>
        <w:t xml:space="preserve">will be completed during Round </w:t>
      </w:r>
      <w:r w:rsidR="00B2258A">
        <w:rPr>
          <w:bCs/>
        </w:rPr>
        <w:t>2</w:t>
      </w:r>
      <w:r>
        <w:rPr>
          <w:bCs/>
        </w:rPr>
        <w:t xml:space="preserve">, Panel 25; Round </w:t>
      </w:r>
      <w:r w:rsidR="00B2258A">
        <w:rPr>
          <w:bCs/>
        </w:rPr>
        <w:t>4</w:t>
      </w:r>
      <w:r>
        <w:rPr>
          <w:bCs/>
        </w:rPr>
        <w:t xml:space="preserve">, Panel 24 by each person in the RU that is 18 years old and older, an estimated </w:t>
      </w:r>
      <w:r w:rsidR="00062555" w:rsidRPr="004B194B">
        <w:t>20,</w:t>
      </w:r>
      <w:r w:rsidR="00062555" w:rsidRPr="000A3ADA">
        <w:t>47</w:t>
      </w:r>
      <w:r w:rsidR="00062555" w:rsidRPr="004B194B">
        <w:t>6</w:t>
      </w:r>
      <w:r>
        <w:rPr>
          <w:bCs/>
        </w:rPr>
        <w:t xml:space="preserve"> persons, and takes about </w:t>
      </w:r>
      <w:r w:rsidR="00B2258A">
        <w:rPr>
          <w:bCs/>
        </w:rPr>
        <w:t>3.5</w:t>
      </w:r>
      <w:r>
        <w:rPr>
          <w:bCs/>
        </w:rPr>
        <w:t xml:space="preserve"> minutes to complete. </w:t>
      </w:r>
      <w:r w:rsidRPr="007A098A">
        <w:rPr>
          <w:bCs/>
        </w:rPr>
        <w:t xml:space="preserve">The Diabetes care SAQ will be completed once a year by each </w:t>
      </w:r>
      <w:r w:rsidR="003A33E1">
        <w:rPr>
          <w:bCs/>
        </w:rPr>
        <w:t>adult</w:t>
      </w:r>
      <w:r w:rsidRPr="007A098A">
        <w:rPr>
          <w:bCs/>
        </w:rPr>
        <w:t xml:space="preserve"> person in the RU identified as having diabetes, an estimated 2,072 persons, and takes about 3 minutes to complete.  </w:t>
      </w:r>
      <w:r w:rsidRPr="00594E6C">
        <w:rPr>
          <w:bCs/>
        </w:rPr>
        <w:t xml:space="preserve">The 12,804 RUs in the MEPS-HC will complete an average of 5.4 forms, which require about 3 minutes each to complete.  The authorization form for the MEPS-MPC Pharmacy Survey will be completed once for each pharmacy for any RU member who has obtained a prescription medication.  RUs will complete an average of 3.1 forms, which take about 3 minutes to complete.  </w:t>
      </w:r>
      <w:r w:rsidR="00FE557A">
        <w:rPr>
          <w:bCs/>
        </w:rPr>
        <w:t>The Health Insurance Cost Sharing collection</w:t>
      </w:r>
      <w:r w:rsidR="00FE557A" w:rsidRPr="00594E6C">
        <w:rPr>
          <w:bCs/>
        </w:rPr>
        <w:t xml:space="preserve"> </w:t>
      </w:r>
      <w:r w:rsidR="00FE557A">
        <w:rPr>
          <w:bCs/>
        </w:rPr>
        <w:t xml:space="preserve">will be completed during Round 1, Panel 25 and Round 3, Panel 24 by each RU with a </w:t>
      </w:r>
      <w:r w:rsidR="00BE6617">
        <w:rPr>
          <w:bCs/>
        </w:rPr>
        <w:t xml:space="preserve">current </w:t>
      </w:r>
      <w:r w:rsidR="00FE557A">
        <w:rPr>
          <w:bCs/>
        </w:rPr>
        <w:t xml:space="preserve">private health insurance plan, a Medicare Advantage plan, or a Medicare Part D plan.  An estimated </w:t>
      </w:r>
      <w:r w:rsidR="00C94EB0">
        <w:rPr>
          <w:bCs/>
        </w:rPr>
        <w:t>6,258</w:t>
      </w:r>
      <w:r w:rsidR="00FE557A">
        <w:rPr>
          <w:bCs/>
        </w:rPr>
        <w:t xml:space="preserve"> respondents will locate and provide cost-sharing documentation for an average of 1.</w:t>
      </w:r>
      <w:r w:rsidR="00BE6617">
        <w:rPr>
          <w:bCs/>
        </w:rPr>
        <w:t>3</w:t>
      </w:r>
      <w:r w:rsidR="00FE557A">
        <w:rPr>
          <w:bCs/>
        </w:rPr>
        <w:t xml:space="preserve"> plans per eligible RU.   This activity will require 45 minutes to complete for each plan.  </w:t>
      </w:r>
      <w:r w:rsidRPr="00594E6C">
        <w:rPr>
          <w:bCs/>
        </w:rPr>
        <w:t xml:space="preserve">About one third of all interviewed RUs will complete a validation interview as part of the MEPS-HC quality control, which takes an average of 5 minutes to complete. </w:t>
      </w:r>
      <w:r w:rsidR="009935CB" w:rsidRPr="00594E6C">
        <w:rPr>
          <w:bCs/>
        </w:rPr>
        <w:t xml:space="preserve">The </w:t>
      </w:r>
      <w:r w:rsidR="009935CB">
        <w:rPr>
          <w:bCs/>
        </w:rPr>
        <w:t xml:space="preserve">Pilot Test Sampling NHIS Nonrespondents </w:t>
      </w:r>
      <w:r w:rsidR="009935CB" w:rsidRPr="007A098A">
        <w:rPr>
          <w:bCs/>
        </w:rPr>
        <w:t xml:space="preserve">will be completed by </w:t>
      </w:r>
      <w:r w:rsidR="009935CB">
        <w:rPr>
          <w:bCs/>
        </w:rPr>
        <w:t>200</w:t>
      </w:r>
      <w:r w:rsidR="009935CB" w:rsidRPr="007A098A">
        <w:rPr>
          <w:bCs/>
          <w:vertAlign w:val="superscript"/>
        </w:rPr>
        <w:t>*</w:t>
      </w:r>
      <w:r w:rsidR="009935CB" w:rsidRPr="007A098A">
        <w:rPr>
          <w:bCs/>
        </w:rPr>
        <w:t xml:space="preserve"> (see note below Exhibit 1) "family level" respondents, also referred to as RU respondents.  The </w:t>
      </w:r>
      <w:r w:rsidR="009935CB">
        <w:rPr>
          <w:bCs/>
        </w:rPr>
        <w:t xml:space="preserve">Pilot </w:t>
      </w:r>
      <w:r w:rsidR="009935CB" w:rsidRPr="007A098A">
        <w:rPr>
          <w:bCs/>
        </w:rPr>
        <w:t>MEPS-HC core requires an average response time of 92 minutes to administer</w:t>
      </w:r>
      <w:r w:rsidR="009935CB" w:rsidRPr="009935CB">
        <w:rPr>
          <w:bCs/>
        </w:rPr>
        <w:t xml:space="preserve">.  </w:t>
      </w:r>
      <w:r w:rsidRPr="00594E6C">
        <w:rPr>
          <w:bCs/>
        </w:rPr>
        <w:t xml:space="preserve"> The total annual burden hours for the MEPS-HC are estimated to be </w:t>
      </w:r>
      <w:r w:rsidR="009935CB" w:rsidRPr="009935CB">
        <w:rPr>
          <w:bCs/>
        </w:rPr>
        <w:t xml:space="preserve">67,542 </w:t>
      </w:r>
      <w:r w:rsidRPr="00594E6C">
        <w:rPr>
          <w:bCs/>
        </w:rPr>
        <w:t xml:space="preserve"> hours.</w:t>
      </w:r>
    </w:p>
    <w:p w14:paraId="51EC5B01" w14:textId="77777777" w:rsidR="00DB433B" w:rsidRPr="00442DD5" w:rsidRDefault="00DB433B" w:rsidP="00DB433B">
      <w:pPr>
        <w:tabs>
          <w:tab w:val="left" w:pos="0"/>
        </w:tabs>
        <w:rPr>
          <w:bCs/>
        </w:rPr>
      </w:pPr>
    </w:p>
    <w:p w14:paraId="736C11AC" w14:textId="17625F47" w:rsidR="00DB433B" w:rsidRPr="00442DD5" w:rsidRDefault="00DB433B" w:rsidP="00DB433B">
      <w:pPr>
        <w:tabs>
          <w:tab w:val="left" w:pos="0"/>
        </w:tabs>
        <w:rPr>
          <w:bCs/>
        </w:rPr>
      </w:pPr>
      <w:r w:rsidRPr="00442DD5">
        <w:rPr>
          <w:bCs/>
        </w:rPr>
        <w:t>All medical providers and pharmacies included in the MEPS-MPC will receive a screening call and the MEPS-MPC uses 7 different questionnaires; 6 for medical providers and 1 for pharmacies.  Each questionnaire is relatively short and requires 2 to 1</w:t>
      </w:r>
      <w:r w:rsidR="000546A9">
        <w:rPr>
          <w:bCs/>
        </w:rPr>
        <w:t>3</w:t>
      </w:r>
      <w:r w:rsidRPr="00442DD5">
        <w:rPr>
          <w:bCs/>
        </w:rPr>
        <w:t xml:space="preserve"> minutes to complete.  The total annual burden hours for the MEPS-MPC are estimated to be </w:t>
      </w:r>
      <w:r>
        <w:rPr>
          <w:bCs/>
        </w:rPr>
        <w:t>17,388</w:t>
      </w:r>
      <w:r w:rsidRPr="00442DD5">
        <w:rPr>
          <w:bCs/>
        </w:rPr>
        <w:t xml:space="preserve"> hours.  The total annual burden for the MEPS-HC and MPC is estimated to be </w:t>
      </w:r>
      <w:r w:rsidRPr="008D66C6">
        <w:rPr>
          <w:bCs/>
        </w:rPr>
        <w:t>8</w:t>
      </w:r>
      <w:r w:rsidR="00817671">
        <w:rPr>
          <w:bCs/>
        </w:rPr>
        <w:t>6,</w:t>
      </w:r>
      <w:r w:rsidR="00AE6BFC">
        <w:rPr>
          <w:bCs/>
        </w:rPr>
        <w:t>160</w:t>
      </w:r>
      <w:r w:rsidR="00E2119E">
        <w:rPr>
          <w:bCs/>
        </w:rPr>
        <w:t xml:space="preserve"> </w:t>
      </w:r>
      <w:r w:rsidRPr="00442DD5">
        <w:rPr>
          <w:bCs/>
        </w:rPr>
        <w:t>hours.</w:t>
      </w:r>
    </w:p>
    <w:p w14:paraId="13EEEB4C" w14:textId="77777777" w:rsidR="00DB433B" w:rsidRDefault="00DB433B" w:rsidP="00DB433B"/>
    <w:p w14:paraId="4FC5872B" w14:textId="33EDE8BB" w:rsidR="00DB433B" w:rsidRPr="00442DD5" w:rsidRDefault="00DB433B" w:rsidP="00DB433B">
      <w:pPr>
        <w:tabs>
          <w:tab w:val="left" w:pos="0"/>
        </w:tabs>
        <w:rPr>
          <w:bCs/>
        </w:rPr>
      </w:pPr>
      <w:r w:rsidRPr="00165FC9">
        <w:rPr>
          <w:bCs/>
        </w:rPr>
        <w:t xml:space="preserve">Exhibit 2 shows the estimated annual cost burden associated with the respondents' time to participate in this information collection.  The annual cost burden for the MEPS-HC is estimated to be </w:t>
      </w:r>
      <w:r w:rsidRPr="006E615C">
        <w:rPr>
          <w:bCs/>
        </w:rPr>
        <w:t>$1,</w:t>
      </w:r>
      <w:r w:rsidR="00BF3EE1">
        <w:rPr>
          <w:bCs/>
        </w:rPr>
        <w:t>67</w:t>
      </w:r>
      <w:r w:rsidR="00207198">
        <w:rPr>
          <w:bCs/>
        </w:rPr>
        <w:t>3</w:t>
      </w:r>
      <w:r w:rsidR="00BF3EE1">
        <w:rPr>
          <w:bCs/>
        </w:rPr>
        <w:t>,</w:t>
      </w:r>
      <w:r w:rsidR="00207198">
        <w:rPr>
          <w:bCs/>
        </w:rPr>
        <w:t>909</w:t>
      </w:r>
      <w:r w:rsidRPr="00A83DD7">
        <w:rPr>
          <w:bCs/>
        </w:rPr>
        <w:t>;</w:t>
      </w:r>
      <w:r w:rsidRPr="00442DD5">
        <w:rPr>
          <w:bCs/>
        </w:rPr>
        <w:t xml:space="preserve"> the annual cost burden for the MEPS-MPC is estimated to be $</w:t>
      </w:r>
      <w:r>
        <w:rPr>
          <w:bCs/>
        </w:rPr>
        <w:t>298,580.</w:t>
      </w:r>
      <w:r w:rsidRPr="00442DD5">
        <w:rPr>
          <w:bCs/>
        </w:rPr>
        <w:t xml:space="preserve">  The total annual cost burden for the MEPS-HC and MPC is estimated to be </w:t>
      </w:r>
      <w:r>
        <w:rPr>
          <w:bCs/>
        </w:rPr>
        <w:t>$</w:t>
      </w:r>
      <w:r w:rsidRPr="006E615C">
        <w:rPr>
          <w:bCs/>
        </w:rPr>
        <w:t>1</w:t>
      </w:r>
      <w:r>
        <w:rPr>
          <w:bCs/>
        </w:rPr>
        <w:t>,</w:t>
      </w:r>
      <w:r w:rsidR="00BF3EE1">
        <w:rPr>
          <w:bCs/>
        </w:rPr>
        <w:t>97</w:t>
      </w:r>
      <w:r w:rsidR="00207198">
        <w:rPr>
          <w:bCs/>
        </w:rPr>
        <w:t>2</w:t>
      </w:r>
      <w:r w:rsidR="00BF3EE1">
        <w:rPr>
          <w:bCs/>
        </w:rPr>
        <w:t>,</w:t>
      </w:r>
      <w:r w:rsidR="00207198">
        <w:rPr>
          <w:bCs/>
        </w:rPr>
        <w:t>489</w:t>
      </w:r>
      <w:r w:rsidRPr="00442DD5">
        <w:rPr>
          <w:bCs/>
        </w:rPr>
        <w:t>.</w:t>
      </w:r>
    </w:p>
    <w:p w14:paraId="67DF5E2D" w14:textId="77777777" w:rsidR="00DB433B" w:rsidRDefault="00DB433B" w:rsidP="00DB433B"/>
    <w:p w14:paraId="7F2CD137" w14:textId="77777777" w:rsidR="00DB433B" w:rsidRDefault="00DB433B" w:rsidP="00DB433B">
      <w:r>
        <w:t>T</w:t>
      </w:r>
      <w:r w:rsidRPr="00825B3C">
        <w:t xml:space="preserve">he </w:t>
      </w:r>
      <w:r>
        <w:t>MEPS-</w:t>
      </w:r>
      <w:r w:rsidRPr="00825B3C">
        <w:t>MPC interviewer will be authorized to offer remuneration to providers who present cost as a salient objection to responding</w:t>
      </w:r>
      <w:r>
        <w:t xml:space="preserve"> or if a flat fee is applied to any request for medical or billing records</w:t>
      </w:r>
      <w:r w:rsidRPr="00825B3C">
        <w:t xml:space="preserve">. </w:t>
      </w:r>
      <w:r>
        <w:t xml:space="preserve"> Based on the </w:t>
      </w:r>
      <w:r w:rsidRPr="009530E6">
        <w:t>pas</w:t>
      </w:r>
      <w:r>
        <w:t>t cycle of data collection</w:t>
      </w:r>
      <w:r w:rsidRPr="009530E6">
        <w:t xml:space="preserve"> fewer than </w:t>
      </w:r>
      <w:r>
        <w:t xml:space="preserve">one third of providers will </w:t>
      </w:r>
      <w:r w:rsidRPr="00825B3C">
        <w:t>request remuneration.</w:t>
      </w:r>
      <w:r>
        <w:t xml:space="preserve">  Exhibit 3 </w:t>
      </w:r>
      <w:r w:rsidRPr="0072401E">
        <w:t>shows the total and average per record remuneration by provider type, based on the</w:t>
      </w:r>
      <w:r>
        <w:t xml:space="preserve"> 2016</w:t>
      </w:r>
      <w:r w:rsidRPr="00030C3F">
        <w:t xml:space="preserve"> data collection, the most recent year for which data is available.  For those providers that required remuneration the average payment per medical record was </w:t>
      </w:r>
      <w:r>
        <w:t xml:space="preserve">$37.80, this compares to $32.98 in 2010.  </w:t>
      </w:r>
    </w:p>
    <w:p w14:paraId="75632842" w14:textId="77777777" w:rsidR="00DB433B" w:rsidRPr="00442DD5" w:rsidRDefault="008972FD" w:rsidP="004F24C9">
      <w:pPr>
        <w:rPr>
          <w:bCs/>
        </w:rPr>
      </w:pPr>
      <w:r>
        <w:rPr>
          <w:bCs/>
        </w:rPr>
        <w:br w:type="page"/>
      </w:r>
    </w:p>
    <w:p w14:paraId="780C60C9" w14:textId="1DFACF2F" w:rsidR="00DB433B" w:rsidRPr="00442DD5" w:rsidRDefault="00DB433B" w:rsidP="00DB433B">
      <w:pPr>
        <w:tabs>
          <w:tab w:val="left" w:pos="0"/>
        </w:tabs>
        <w:rPr>
          <w:bCs/>
        </w:rPr>
      </w:pPr>
      <w:r w:rsidRPr="00442DD5">
        <w:rPr>
          <w:b/>
          <w:bCs/>
        </w:rPr>
        <w:t>Exhibit 1.  Estimated annualized burden hours</w:t>
      </w:r>
      <w:r w:rsidR="00B63E24">
        <w:rPr>
          <w:b/>
          <w:bCs/>
        </w:rPr>
        <w:t xml:space="preserve"> </w:t>
      </w:r>
      <w:r w:rsidR="00B63E24" w:rsidRPr="00EC1289">
        <w:rPr>
          <w:b/>
        </w:rPr>
        <w:t>for 2019 to 2021</w:t>
      </w:r>
    </w:p>
    <w:tbl>
      <w:tblPr>
        <w:tblW w:w="0" w:type="auto"/>
        <w:tblLayout w:type="fixed"/>
        <w:tblCellMar>
          <w:left w:w="0" w:type="dxa"/>
          <w:right w:w="0" w:type="dxa"/>
        </w:tblCellMar>
        <w:tblLook w:val="0000" w:firstRow="0" w:lastRow="0" w:firstColumn="0" w:lastColumn="0" w:noHBand="0" w:noVBand="0"/>
      </w:tblPr>
      <w:tblGrid>
        <w:gridCol w:w="4068"/>
        <w:gridCol w:w="1260"/>
        <w:gridCol w:w="1440"/>
        <w:gridCol w:w="900"/>
        <w:gridCol w:w="990"/>
      </w:tblGrid>
      <w:tr w:rsidR="00DB433B" w:rsidRPr="00442DD5" w14:paraId="1389FB8A" w14:textId="77777777" w:rsidTr="007C039F">
        <w:tc>
          <w:tcPr>
            <w:tcW w:w="406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DEA061E" w14:textId="77777777" w:rsidR="00DB433B" w:rsidRPr="00442DD5" w:rsidRDefault="00DB433B" w:rsidP="007C039F">
            <w:pPr>
              <w:tabs>
                <w:tab w:val="left" w:pos="0"/>
              </w:tabs>
              <w:rPr>
                <w:bCs/>
              </w:rPr>
            </w:pPr>
            <w:r w:rsidRPr="00442DD5">
              <w:rPr>
                <w:bCs/>
              </w:rPr>
              <w:t>Form Name</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5F9738E" w14:textId="77777777" w:rsidR="00DB433B" w:rsidRPr="00442DD5" w:rsidRDefault="00DB433B" w:rsidP="007C039F">
            <w:pPr>
              <w:tabs>
                <w:tab w:val="left" w:pos="0"/>
              </w:tabs>
              <w:rPr>
                <w:bCs/>
              </w:rPr>
            </w:pPr>
            <w:r w:rsidRPr="00442DD5">
              <w:rPr>
                <w:bCs/>
              </w:rPr>
              <w:t>Number of Respondents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DD2F371" w14:textId="77777777" w:rsidR="00DB433B" w:rsidRPr="00442DD5" w:rsidRDefault="00DB433B" w:rsidP="007C039F">
            <w:pPr>
              <w:tabs>
                <w:tab w:val="left" w:pos="0"/>
              </w:tabs>
              <w:rPr>
                <w:bCs/>
              </w:rPr>
            </w:pPr>
            <w:r w:rsidRPr="00442DD5">
              <w:rPr>
                <w:bCs/>
              </w:rPr>
              <w:t>Number of responses per respondent</w:t>
            </w:r>
          </w:p>
        </w:tc>
        <w:tc>
          <w:tcPr>
            <w:tcW w:w="900" w:type="dxa"/>
            <w:tcBorders>
              <w:top w:val="single" w:sz="8" w:space="0" w:color="auto"/>
              <w:left w:val="nil"/>
              <w:bottom w:val="single" w:sz="8" w:space="0" w:color="auto"/>
              <w:right w:val="single" w:sz="8" w:space="0" w:color="auto"/>
            </w:tcBorders>
            <w:vAlign w:val="center"/>
          </w:tcPr>
          <w:p w14:paraId="10D1FC43" w14:textId="77777777" w:rsidR="00DB433B" w:rsidRPr="00442DD5" w:rsidRDefault="00DB433B" w:rsidP="007C039F">
            <w:pPr>
              <w:tabs>
                <w:tab w:val="left" w:pos="0"/>
              </w:tabs>
              <w:rPr>
                <w:bCs/>
              </w:rPr>
            </w:pPr>
            <w:r w:rsidRPr="00442DD5">
              <w:rPr>
                <w:bCs/>
              </w:rPr>
              <w:t>Hours per response</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2C75162" w14:textId="77777777" w:rsidR="00DB433B" w:rsidRPr="00442DD5" w:rsidRDefault="00DB433B" w:rsidP="007C039F">
            <w:pPr>
              <w:tabs>
                <w:tab w:val="left" w:pos="0"/>
              </w:tabs>
              <w:rPr>
                <w:bCs/>
              </w:rPr>
            </w:pPr>
            <w:r w:rsidRPr="00442DD5">
              <w:rPr>
                <w:bCs/>
              </w:rPr>
              <w:t>Total Burden hours</w:t>
            </w:r>
          </w:p>
        </w:tc>
      </w:tr>
      <w:tr w:rsidR="00DB433B" w:rsidRPr="00442DD5" w14:paraId="661B9929" w14:textId="77777777" w:rsidTr="007C039F">
        <w:tc>
          <w:tcPr>
            <w:tcW w:w="8658" w:type="dxa"/>
            <w:gridSpan w:val="5"/>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tcPr>
          <w:p w14:paraId="2F8395EE" w14:textId="77777777" w:rsidR="00DB433B" w:rsidRPr="00442DD5" w:rsidRDefault="00DB433B" w:rsidP="007C039F">
            <w:pPr>
              <w:tabs>
                <w:tab w:val="left" w:pos="0"/>
              </w:tabs>
              <w:rPr>
                <w:bCs/>
              </w:rPr>
            </w:pPr>
            <w:r w:rsidRPr="00442DD5">
              <w:rPr>
                <w:b/>
                <w:bCs/>
              </w:rPr>
              <w:t>MEPS-HC</w:t>
            </w:r>
          </w:p>
        </w:tc>
      </w:tr>
      <w:tr w:rsidR="00DB433B" w:rsidRPr="00442DD5" w14:paraId="5140F7AC" w14:textId="77777777" w:rsidTr="007C039F">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BCFA198" w14:textId="77777777" w:rsidR="00DB433B" w:rsidRPr="00442DD5" w:rsidRDefault="00DB433B" w:rsidP="007C039F">
            <w:pPr>
              <w:tabs>
                <w:tab w:val="left" w:pos="0"/>
              </w:tabs>
              <w:rPr>
                <w:bCs/>
              </w:rPr>
            </w:pPr>
            <w:r w:rsidRPr="00442DD5">
              <w:rPr>
                <w:bCs/>
              </w:rPr>
              <w:t>MEPS-HC Core Interview</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7772D0A" w14:textId="77777777" w:rsidR="00DB433B" w:rsidRPr="00323FF0" w:rsidRDefault="00DB433B" w:rsidP="007C039F">
            <w:pPr>
              <w:tabs>
                <w:tab w:val="left" w:pos="0"/>
              </w:tabs>
              <w:jc w:val="right"/>
              <w:rPr>
                <w:bCs/>
                <w:vertAlign w:val="superscript"/>
              </w:rPr>
            </w:pPr>
            <w:r w:rsidRPr="00594E6C">
              <w:rPr>
                <w:bCs/>
              </w:rPr>
              <w:t>13,338</w:t>
            </w:r>
            <w:r w:rsidRPr="00594E6C">
              <w:rPr>
                <w:bCs/>
                <w:vertAlign w:val="superscript"/>
              </w:rPr>
              <w: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207DD42" w14:textId="77777777" w:rsidR="00DB433B" w:rsidRPr="00323FF0" w:rsidRDefault="00DB433B" w:rsidP="007C039F">
            <w:pPr>
              <w:tabs>
                <w:tab w:val="left" w:pos="0"/>
              </w:tabs>
              <w:jc w:val="right"/>
              <w:rPr>
                <w:bCs/>
              </w:rPr>
            </w:pPr>
            <w:r w:rsidRPr="00594E6C">
              <w:rPr>
                <w:bCs/>
              </w:rPr>
              <w:t>2.5</w:t>
            </w:r>
          </w:p>
        </w:tc>
        <w:tc>
          <w:tcPr>
            <w:tcW w:w="900" w:type="dxa"/>
            <w:tcBorders>
              <w:top w:val="nil"/>
              <w:left w:val="nil"/>
              <w:bottom w:val="single" w:sz="8" w:space="0" w:color="auto"/>
              <w:right w:val="single" w:sz="8" w:space="0" w:color="auto"/>
            </w:tcBorders>
            <w:vAlign w:val="center"/>
          </w:tcPr>
          <w:p w14:paraId="72BFF3EE" w14:textId="77777777" w:rsidR="00DB433B" w:rsidRPr="00323FF0" w:rsidRDefault="00DB433B" w:rsidP="007C039F">
            <w:pPr>
              <w:tabs>
                <w:tab w:val="left" w:pos="0"/>
              </w:tabs>
              <w:jc w:val="right"/>
              <w:rPr>
                <w:bCs/>
              </w:rPr>
            </w:pPr>
            <w:r w:rsidRPr="00594E6C">
              <w:rPr>
                <w:bCs/>
              </w:rPr>
              <w:t>92/60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8FDF230" w14:textId="77777777" w:rsidR="00DB433B" w:rsidRPr="004D2F15" w:rsidRDefault="00DB433B" w:rsidP="007C039F">
            <w:pPr>
              <w:tabs>
                <w:tab w:val="left" w:pos="0"/>
              </w:tabs>
              <w:jc w:val="right"/>
              <w:rPr>
                <w:bCs/>
                <w:highlight w:val="green"/>
                <w:vertAlign w:val="superscript"/>
              </w:rPr>
            </w:pPr>
            <w:r w:rsidRPr="00594E6C">
              <w:rPr>
                <w:bCs/>
              </w:rPr>
              <w:t>51,129</w:t>
            </w:r>
          </w:p>
        </w:tc>
      </w:tr>
      <w:tr w:rsidR="00DB433B" w:rsidRPr="00442DD5" w14:paraId="46EFB11F" w14:textId="77777777" w:rsidTr="007C039F">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46A7254" w14:textId="77777777" w:rsidR="00DB433B" w:rsidRPr="00FE6CF8" w:rsidRDefault="00DB433B" w:rsidP="007C039F">
            <w:pPr>
              <w:tabs>
                <w:tab w:val="left" w:pos="0"/>
              </w:tabs>
              <w:rPr>
                <w:bCs/>
              </w:rPr>
            </w:pPr>
            <w:r w:rsidRPr="00FE6CF8">
              <w:rPr>
                <w:bCs/>
              </w:rPr>
              <w:t xml:space="preserve">Adult Female SAQ </w:t>
            </w:r>
            <w:r>
              <w:rPr>
                <w:bCs/>
              </w:rPr>
              <w:t xml:space="preserve">(PSAQ) - </w:t>
            </w:r>
            <w:r w:rsidRPr="00FE6CF8">
              <w:rPr>
                <w:bCs/>
              </w:rPr>
              <w:t xml:space="preserve">Years 2019 and 2021; Adult SAQ </w:t>
            </w:r>
            <w:r>
              <w:rPr>
                <w:bCs/>
              </w:rPr>
              <w:t xml:space="preserve">(SAQ) - </w:t>
            </w:r>
            <w:r w:rsidRPr="00FE6CF8">
              <w:rPr>
                <w:bCs/>
              </w:rPr>
              <w:t>Year 2020</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2B0C91F" w14:textId="77777777" w:rsidR="00DB433B" w:rsidRPr="00FE6CF8" w:rsidRDefault="00DB433B" w:rsidP="007C039F">
            <w:pPr>
              <w:tabs>
                <w:tab w:val="left" w:pos="0"/>
              </w:tabs>
              <w:jc w:val="right"/>
              <w:rPr>
                <w:bCs/>
              </w:rPr>
            </w:pPr>
            <w:r w:rsidRPr="00FE6CF8">
              <w:rPr>
                <w:bCs/>
              </w:rPr>
              <w:t>12,984</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320847A" w14:textId="77777777" w:rsidR="00DB433B" w:rsidRPr="00FE6CF8" w:rsidRDefault="00DB433B" w:rsidP="007C039F">
            <w:pPr>
              <w:tabs>
                <w:tab w:val="left" w:pos="0"/>
              </w:tabs>
              <w:jc w:val="right"/>
              <w:rPr>
                <w:bCs/>
              </w:rPr>
            </w:pPr>
            <w:r w:rsidRPr="00FE6CF8">
              <w:rPr>
                <w:bCs/>
              </w:rPr>
              <w:t>1</w:t>
            </w:r>
          </w:p>
        </w:tc>
        <w:tc>
          <w:tcPr>
            <w:tcW w:w="900" w:type="dxa"/>
            <w:tcBorders>
              <w:top w:val="nil"/>
              <w:left w:val="nil"/>
              <w:bottom w:val="single" w:sz="8" w:space="0" w:color="auto"/>
              <w:right w:val="single" w:sz="8" w:space="0" w:color="auto"/>
            </w:tcBorders>
            <w:vAlign w:val="center"/>
          </w:tcPr>
          <w:p w14:paraId="61870A78" w14:textId="77777777" w:rsidR="00DB433B" w:rsidRPr="00FE6CF8" w:rsidRDefault="00DB433B" w:rsidP="007C039F">
            <w:pPr>
              <w:tabs>
                <w:tab w:val="left" w:pos="0"/>
              </w:tabs>
              <w:jc w:val="right"/>
              <w:rPr>
                <w:bCs/>
              </w:rPr>
            </w:pPr>
            <w:r w:rsidRPr="00FE6CF8">
              <w:rPr>
                <w:bCs/>
              </w:rPr>
              <w:t>7/60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4A988BF" w14:textId="77777777" w:rsidR="00DB433B" w:rsidRPr="00FE6CF8" w:rsidRDefault="00DB433B" w:rsidP="007C039F">
            <w:pPr>
              <w:tabs>
                <w:tab w:val="left" w:pos="0"/>
              </w:tabs>
              <w:jc w:val="right"/>
              <w:rPr>
                <w:bCs/>
              </w:rPr>
            </w:pPr>
            <w:r w:rsidRPr="00FE6CF8">
              <w:rPr>
                <w:bCs/>
              </w:rPr>
              <w:t>1,515</w:t>
            </w:r>
          </w:p>
        </w:tc>
      </w:tr>
      <w:tr w:rsidR="00DB433B" w:rsidRPr="00442DD5" w14:paraId="14A393F4" w14:textId="77777777" w:rsidTr="007C039F">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46AD2C4" w14:textId="77777777" w:rsidR="00DB433B" w:rsidRPr="00FE6CF8" w:rsidRDefault="00DB433B" w:rsidP="007C039F">
            <w:pPr>
              <w:tabs>
                <w:tab w:val="left" w:pos="0"/>
              </w:tabs>
              <w:rPr>
                <w:bCs/>
              </w:rPr>
            </w:pPr>
            <w:r w:rsidRPr="00FE6CF8">
              <w:rPr>
                <w:bCs/>
              </w:rPr>
              <w:t xml:space="preserve">Adult Male SAQ </w:t>
            </w:r>
            <w:r>
              <w:rPr>
                <w:bCs/>
              </w:rPr>
              <w:t xml:space="preserve">(PSAQ) - </w:t>
            </w:r>
            <w:r w:rsidRPr="00FE6CF8">
              <w:rPr>
                <w:bCs/>
              </w:rPr>
              <w:t xml:space="preserve">Years 2019 and 2021; Adult SAQ </w:t>
            </w:r>
            <w:r>
              <w:rPr>
                <w:bCs/>
              </w:rPr>
              <w:t>(SAQ) -</w:t>
            </w:r>
            <w:r w:rsidRPr="00FE6CF8">
              <w:rPr>
                <w:bCs/>
              </w:rPr>
              <w:t>Year 2020</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124A79B" w14:textId="77777777" w:rsidR="00DB433B" w:rsidRPr="00FE6CF8" w:rsidRDefault="00DB433B" w:rsidP="007C039F">
            <w:pPr>
              <w:tabs>
                <w:tab w:val="left" w:pos="0"/>
              </w:tabs>
              <w:jc w:val="right"/>
              <w:rPr>
                <w:bCs/>
              </w:rPr>
            </w:pPr>
            <w:r w:rsidRPr="00FE6CF8">
              <w:rPr>
                <w:bCs/>
              </w:rPr>
              <w:t>11,985</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63ECFA2" w14:textId="77777777" w:rsidR="00DB433B" w:rsidRPr="00FE6CF8" w:rsidRDefault="00DB433B" w:rsidP="007C039F">
            <w:pPr>
              <w:tabs>
                <w:tab w:val="left" w:pos="0"/>
              </w:tabs>
              <w:jc w:val="right"/>
              <w:rPr>
                <w:bCs/>
              </w:rPr>
            </w:pPr>
            <w:r w:rsidRPr="00FE6CF8">
              <w:rPr>
                <w:bCs/>
              </w:rPr>
              <w:t>1</w:t>
            </w:r>
          </w:p>
        </w:tc>
        <w:tc>
          <w:tcPr>
            <w:tcW w:w="900" w:type="dxa"/>
            <w:tcBorders>
              <w:top w:val="nil"/>
              <w:left w:val="nil"/>
              <w:bottom w:val="single" w:sz="8" w:space="0" w:color="auto"/>
              <w:right w:val="single" w:sz="8" w:space="0" w:color="auto"/>
            </w:tcBorders>
            <w:vAlign w:val="center"/>
          </w:tcPr>
          <w:p w14:paraId="22B04A07" w14:textId="77777777" w:rsidR="00DB433B" w:rsidRPr="00FE6CF8" w:rsidRDefault="00DB433B" w:rsidP="007C039F">
            <w:pPr>
              <w:tabs>
                <w:tab w:val="left" w:pos="0"/>
              </w:tabs>
              <w:jc w:val="right"/>
              <w:rPr>
                <w:bCs/>
              </w:rPr>
            </w:pPr>
            <w:r w:rsidRPr="00FE6CF8">
              <w:rPr>
                <w:bCs/>
              </w:rPr>
              <w:t>7/60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014AFA7" w14:textId="77777777" w:rsidR="00DB433B" w:rsidRPr="00FE6CF8" w:rsidRDefault="00DB433B" w:rsidP="007C039F">
            <w:pPr>
              <w:tabs>
                <w:tab w:val="left" w:pos="0"/>
              </w:tabs>
              <w:jc w:val="right"/>
              <w:rPr>
                <w:bCs/>
              </w:rPr>
            </w:pPr>
            <w:r w:rsidRPr="00FE6CF8">
              <w:rPr>
                <w:bCs/>
              </w:rPr>
              <w:t>1,398</w:t>
            </w:r>
          </w:p>
        </w:tc>
      </w:tr>
      <w:tr w:rsidR="00DB433B" w:rsidRPr="00442DD5" w14:paraId="348C5CB6" w14:textId="77777777" w:rsidTr="007C039F">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26FBBE6" w14:textId="77777777" w:rsidR="00DB433B" w:rsidRDefault="00DB433B" w:rsidP="007C039F">
            <w:pPr>
              <w:tabs>
                <w:tab w:val="left" w:pos="0"/>
              </w:tabs>
              <w:rPr>
                <w:bCs/>
              </w:rPr>
            </w:pPr>
            <w:r>
              <w:rPr>
                <w:bCs/>
              </w:rPr>
              <w:t>Diabetes care SAQ</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3885299" w14:textId="77777777" w:rsidR="00DB433B" w:rsidRDefault="00DB433B" w:rsidP="007C039F">
            <w:pPr>
              <w:tabs>
                <w:tab w:val="left" w:pos="0"/>
              </w:tabs>
              <w:jc w:val="right"/>
              <w:rPr>
                <w:bCs/>
              </w:rPr>
            </w:pPr>
            <w:r>
              <w:rPr>
                <w:bCs/>
              </w:rPr>
              <w:t>2,072</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FD5B4F0" w14:textId="77777777" w:rsidR="00DB433B" w:rsidRDefault="00DB433B" w:rsidP="007C039F">
            <w:pPr>
              <w:tabs>
                <w:tab w:val="left" w:pos="0"/>
              </w:tabs>
              <w:jc w:val="right"/>
              <w:rPr>
                <w:bCs/>
              </w:rPr>
            </w:pPr>
            <w:r>
              <w:rPr>
                <w:bCs/>
              </w:rPr>
              <w:t>1</w:t>
            </w:r>
          </w:p>
        </w:tc>
        <w:tc>
          <w:tcPr>
            <w:tcW w:w="900" w:type="dxa"/>
            <w:tcBorders>
              <w:top w:val="nil"/>
              <w:left w:val="nil"/>
              <w:bottom w:val="single" w:sz="8" w:space="0" w:color="auto"/>
              <w:right w:val="single" w:sz="8" w:space="0" w:color="auto"/>
            </w:tcBorders>
            <w:vAlign w:val="center"/>
          </w:tcPr>
          <w:p w14:paraId="548B30AE" w14:textId="77777777" w:rsidR="00DB433B" w:rsidRDefault="00DB433B" w:rsidP="007C039F">
            <w:pPr>
              <w:tabs>
                <w:tab w:val="left" w:pos="0"/>
              </w:tabs>
              <w:jc w:val="right"/>
              <w:rPr>
                <w:bCs/>
              </w:rPr>
            </w:pPr>
            <w:r>
              <w:rPr>
                <w:bCs/>
              </w:rPr>
              <w:t>3/60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AD766B6" w14:textId="77777777" w:rsidR="00DB433B" w:rsidRDefault="00DB433B" w:rsidP="007C039F">
            <w:pPr>
              <w:tabs>
                <w:tab w:val="left" w:pos="0"/>
              </w:tabs>
              <w:jc w:val="right"/>
              <w:rPr>
                <w:bCs/>
              </w:rPr>
            </w:pPr>
            <w:r>
              <w:rPr>
                <w:bCs/>
              </w:rPr>
              <w:t>104</w:t>
            </w:r>
          </w:p>
        </w:tc>
      </w:tr>
      <w:tr w:rsidR="00DB433B" w:rsidRPr="00442DD5" w14:paraId="3A656C22" w14:textId="77777777" w:rsidTr="007C039F">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7B51DE1" w14:textId="23242B51" w:rsidR="00DB433B" w:rsidRPr="005622E0" w:rsidRDefault="00DB433B" w:rsidP="003D2297">
            <w:pPr>
              <w:tabs>
                <w:tab w:val="left" w:pos="0"/>
              </w:tabs>
            </w:pPr>
            <w:r w:rsidRPr="005622E0">
              <w:t>M</w:t>
            </w:r>
            <w:r w:rsidR="00E2119E" w:rsidRPr="005622E0">
              <w:t xml:space="preserve">ental Health </w:t>
            </w:r>
            <w:r w:rsidR="00453E90" w:rsidRPr="005622E0">
              <w:t xml:space="preserve">Questions </w:t>
            </w:r>
            <w:r w:rsidR="003D2297" w:rsidRPr="005622E0">
              <w:t>I</w:t>
            </w:r>
            <w:r w:rsidR="00453E90" w:rsidRPr="005622E0">
              <w:t xml:space="preserve">ncluded in  </w:t>
            </w:r>
            <w:r w:rsidR="005A295E" w:rsidRPr="005622E0">
              <w:t xml:space="preserve">Adult </w:t>
            </w:r>
            <w:r w:rsidRPr="005622E0">
              <w:rPr>
                <w:bCs/>
              </w:rPr>
              <w:t>SAQ</w:t>
            </w:r>
            <w:r w:rsidRPr="005622E0">
              <w:t xml:space="preserve"> </w:t>
            </w:r>
            <w:r w:rsidR="005A295E" w:rsidRPr="005622E0">
              <w:t>(Male/Female)</w:t>
            </w:r>
            <w:r w:rsidRPr="005622E0">
              <w:t>– Year 2020</w:t>
            </w:r>
            <w:r w:rsidR="00B326AB" w:rsidRPr="005622E0">
              <w:t>***</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A4809A5" w14:textId="0C90F048" w:rsidR="00DB433B" w:rsidRPr="005622E0" w:rsidRDefault="008972FD" w:rsidP="007C039F">
            <w:pPr>
              <w:tabs>
                <w:tab w:val="left" w:pos="0"/>
              </w:tabs>
              <w:jc w:val="right"/>
            </w:pPr>
            <w:r w:rsidRPr="005622E0">
              <w:rPr>
                <w:bCs/>
              </w:rPr>
              <w:t>20,476</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8A6CEAA" w14:textId="77777777" w:rsidR="00DB433B" w:rsidRPr="005622E0" w:rsidRDefault="00DB433B" w:rsidP="007C039F">
            <w:pPr>
              <w:tabs>
                <w:tab w:val="left" w:pos="0"/>
              </w:tabs>
              <w:jc w:val="right"/>
            </w:pPr>
            <w:r w:rsidRPr="005622E0">
              <w:t>1</w:t>
            </w:r>
          </w:p>
        </w:tc>
        <w:tc>
          <w:tcPr>
            <w:tcW w:w="900" w:type="dxa"/>
            <w:tcBorders>
              <w:top w:val="nil"/>
              <w:left w:val="nil"/>
              <w:bottom w:val="single" w:sz="8" w:space="0" w:color="auto"/>
              <w:right w:val="single" w:sz="8" w:space="0" w:color="auto"/>
            </w:tcBorders>
            <w:vAlign w:val="center"/>
          </w:tcPr>
          <w:p w14:paraId="125333CA" w14:textId="2F5EBA39" w:rsidR="00DB433B" w:rsidRPr="005622E0" w:rsidRDefault="00062555" w:rsidP="007C039F">
            <w:pPr>
              <w:tabs>
                <w:tab w:val="left" w:pos="0"/>
              </w:tabs>
              <w:jc w:val="right"/>
            </w:pPr>
            <w:r w:rsidRPr="005622E0">
              <w:rPr>
                <w:bCs/>
              </w:rPr>
              <w:t>3.5</w:t>
            </w:r>
            <w:r w:rsidR="00DB433B" w:rsidRPr="005622E0">
              <w:t>/60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CF692AB" w14:textId="601ADBCC" w:rsidR="00DB433B" w:rsidRPr="005622E0" w:rsidRDefault="00062555" w:rsidP="007C039F">
            <w:pPr>
              <w:tabs>
                <w:tab w:val="left" w:pos="0"/>
              </w:tabs>
              <w:jc w:val="right"/>
            </w:pPr>
            <w:r w:rsidRPr="005622E0">
              <w:rPr>
                <w:bCs/>
              </w:rPr>
              <w:t>1,194</w:t>
            </w:r>
          </w:p>
        </w:tc>
      </w:tr>
      <w:tr w:rsidR="00DB433B" w:rsidRPr="00442DD5" w14:paraId="0DFEFA1A" w14:textId="77777777" w:rsidTr="007C039F">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FF22F2A" w14:textId="77777777" w:rsidR="00DB433B" w:rsidRPr="005622E0" w:rsidRDefault="00DB433B" w:rsidP="007C039F">
            <w:pPr>
              <w:tabs>
                <w:tab w:val="left" w:pos="0"/>
              </w:tabs>
              <w:rPr>
                <w:bCs/>
              </w:rPr>
            </w:pPr>
            <w:r w:rsidRPr="005622E0">
              <w:rPr>
                <w:bCs/>
              </w:rPr>
              <w:t>Authorization form for the MEPS-MPC Provider Survey</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9083DCA" w14:textId="77777777" w:rsidR="00DB433B" w:rsidRPr="005622E0" w:rsidRDefault="00DB433B" w:rsidP="007C039F">
            <w:pPr>
              <w:tabs>
                <w:tab w:val="left" w:pos="0"/>
              </w:tabs>
              <w:jc w:val="right"/>
              <w:rPr>
                <w:bCs/>
              </w:rPr>
            </w:pPr>
            <w:r w:rsidRPr="005622E0">
              <w:rPr>
                <w:bCs/>
              </w:rPr>
              <w:t>12,804</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C375EEC" w14:textId="77777777" w:rsidR="00DB433B" w:rsidRPr="005622E0" w:rsidRDefault="00DB433B" w:rsidP="007C039F">
            <w:pPr>
              <w:tabs>
                <w:tab w:val="left" w:pos="0"/>
              </w:tabs>
              <w:jc w:val="right"/>
              <w:rPr>
                <w:bCs/>
              </w:rPr>
            </w:pPr>
            <w:r w:rsidRPr="005622E0">
              <w:rPr>
                <w:bCs/>
              </w:rPr>
              <w:t>5.4</w:t>
            </w:r>
          </w:p>
        </w:tc>
        <w:tc>
          <w:tcPr>
            <w:tcW w:w="900" w:type="dxa"/>
            <w:tcBorders>
              <w:top w:val="nil"/>
              <w:left w:val="nil"/>
              <w:bottom w:val="single" w:sz="8" w:space="0" w:color="auto"/>
              <w:right w:val="single" w:sz="8" w:space="0" w:color="auto"/>
            </w:tcBorders>
            <w:vAlign w:val="center"/>
          </w:tcPr>
          <w:p w14:paraId="73417D31" w14:textId="77777777" w:rsidR="00DB433B" w:rsidRPr="005622E0" w:rsidRDefault="00DB433B" w:rsidP="007C039F">
            <w:pPr>
              <w:tabs>
                <w:tab w:val="left" w:pos="0"/>
              </w:tabs>
              <w:jc w:val="right"/>
              <w:rPr>
                <w:bCs/>
              </w:rPr>
            </w:pPr>
            <w:r w:rsidRPr="005622E0">
              <w:rPr>
                <w:bCs/>
              </w:rPr>
              <w:t>3/60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26CAB93" w14:textId="77777777" w:rsidR="00DB433B" w:rsidRPr="005622E0" w:rsidRDefault="00DB433B" w:rsidP="007C039F">
            <w:pPr>
              <w:tabs>
                <w:tab w:val="left" w:pos="0"/>
              </w:tabs>
              <w:jc w:val="right"/>
            </w:pPr>
            <w:r w:rsidRPr="005622E0">
              <w:rPr>
                <w:bCs/>
              </w:rPr>
              <w:t>3,457</w:t>
            </w:r>
          </w:p>
        </w:tc>
      </w:tr>
      <w:tr w:rsidR="00DB433B" w:rsidRPr="00442DD5" w14:paraId="557CE1A2" w14:textId="77777777" w:rsidTr="007C039F">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9CD66CE" w14:textId="77777777" w:rsidR="00DB433B" w:rsidRPr="005622E0" w:rsidRDefault="00DB433B" w:rsidP="007C039F">
            <w:pPr>
              <w:tabs>
                <w:tab w:val="left" w:pos="0"/>
              </w:tabs>
              <w:rPr>
                <w:bCs/>
              </w:rPr>
            </w:pPr>
            <w:r w:rsidRPr="005622E0">
              <w:rPr>
                <w:bCs/>
              </w:rPr>
              <w:t>Authorization form for the MEPS-MPC Pharmacy Survey</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7ED9885" w14:textId="77777777" w:rsidR="00DB433B" w:rsidRPr="005622E0" w:rsidRDefault="00DB433B" w:rsidP="007C039F">
            <w:pPr>
              <w:tabs>
                <w:tab w:val="left" w:pos="0"/>
              </w:tabs>
              <w:jc w:val="right"/>
              <w:rPr>
                <w:bCs/>
              </w:rPr>
            </w:pPr>
            <w:r w:rsidRPr="005622E0">
              <w:rPr>
                <w:bCs/>
              </w:rPr>
              <w:t>12,804</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100FC2F" w14:textId="77777777" w:rsidR="00DB433B" w:rsidRPr="005622E0" w:rsidRDefault="00DB433B" w:rsidP="007C039F">
            <w:pPr>
              <w:tabs>
                <w:tab w:val="left" w:pos="0"/>
              </w:tabs>
              <w:jc w:val="right"/>
              <w:rPr>
                <w:bCs/>
              </w:rPr>
            </w:pPr>
            <w:r w:rsidRPr="005622E0">
              <w:rPr>
                <w:bCs/>
              </w:rPr>
              <w:t>3.1</w:t>
            </w:r>
          </w:p>
        </w:tc>
        <w:tc>
          <w:tcPr>
            <w:tcW w:w="900" w:type="dxa"/>
            <w:tcBorders>
              <w:top w:val="nil"/>
              <w:left w:val="nil"/>
              <w:bottom w:val="single" w:sz="8" w:space="0" w:color="auto"/>
              <w:right w:val="single" w:sz="8" w:space="0" w:color="auto"/>
            </w:tcBorders>
            <w:vAlign w:val="center"/>
          </w:tcPr>
          <w:p w14:paraId="7DD7770E" w14:textId="77777777" w:rsidR="00DB433B" w:rsidRPr="005622E0" w:rsidRDefault="00DB433B" w:rsidP="007C039F">
            <w:pPr>
              <w:tabs>
                <w:tab w:val="left" w:pos="0"/>
              </w:tabs>
              <w:jc w:val="right"/>
              <w:rPr>
                <w:bCs/>
              </w:rPr>
            </w:pPr>
            <w:r w:rsidRPr="005622E0">
              <w:rPr>
                <w:bCs/>
              </w:rPr>
              <w:t>3/60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DFF4813" w14:textId="77777777" w:rsidR="00DB433B" w:rsidRPr="005622E0" w:rsidRDefault="00DB433B" w:rsidP="007C039F">
            <w:pPr>
              <w:tabs>
                <w:tab w:val="left" w:pos="0"/>
              </w:tabs>
              <w:jc w:val="right"/>
            </w:pPr>
            <w:r w:rsidRPr="005622E0">
              <w:rPr>
                <w:bCs/>
              </w:rPr>
              <w:t>1,985</w:t>
            </w:r>
          </w:p>
        </w:tc>
      </w:tr>
      <w:tr w:rsidR="00857F47" w:rsidRPr="00442DD5" w14:paraId="1A241991" w14:textId="77777777" w:rsidTr="007C039F">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A7BCF73" w14:textId="749ADEE6" w:rsidR="00857F47" w:rsidRPr="005622E0" w:rsidRDefault="00857F47" w:rsidP="007C039F">
            <w:pPr>
              <w:tabs>
                <w:tab w:val="left" w:pos="0"/>
              </w:tabs>
            </w:pPr>
            <w:r w:rsidRPr="005622E0">
              <w:t>Health Insurance Cost Sharing Collection</w:t>
            </w:r>
            <w:r w:rsidR="00FA1417" w:rsidRPr="005622E0">
              <w:t>- 2020</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AD24998" w14:textId="016EF8B4" w:rsidR="00857F47" w:rsidRPr="005622E0" w:rsidRDefault="002924A5" w:rsidP="007C039F">
            <w:pPr>
              <w:tabs>
                <w:tab w:val="left" w:pos="0"/>
              </w:tabs>
              <w:jc w:val="right"/>
            </w:pPr>
            <w:r w:rsidRPr="005622E0">
              <w:t>6,258</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05E0564" w14:textId="16E7F412" w:rsidR="00857F47" w:rsidRPr="005622E0" w:rsidRDefault="00BE6617" w:rsidP="007C039F">
            <w:pPr>
              <w:tabs>
                <w:tab w:val="left" w:pos="0"/>
              </w:tabs>
              <w:jc w:val="right"/>
            </w:pPr>
            <w:r w:rsidRPr="005622E0">
              <w:t>1.3</w:t>
            </w:r>
          </w:p>
        </w:tc>
        <w:tc>
          <w:tcPr>
            <w:tcW w:w="900" w:type="dxa"/>
            <w:tcBorders>
              <w:top w:val="nil"/>
              <w:left w:val="nil"/>
              <w:bottom w:val="single" w:sz="8" w:space="0" w:color="auto"/>
              <w:right w:val="single" w:sz="8" w:space="0" w:color="auto"/>
            </w:tcBorders>
            <w:vAlign w:val="center"/>
          </w:tcPr>
          <w:p w14:paraId="72019781" w14:textId="1A2A5E31" w:rsidR="00857F47" w:rsidRPr="005622E0" w:rsidRDefault="00486D32" w:rsidP="00FE557A">
            <w:pPr>
              <w:tabs>
                <w:tab w:val="left" w:pos="0"/>
              </w:tabs>
              <w:jc w:val="right"/>
            </w:pPr>
            <w:r w:rsidRPr="005622E0">
              <w:t>4</w:t>
            </w:r>
            <w:r w:rsidR="001770BC" w:rsidRPr="005622E0">
              <w:t>5/</w:t>
            </w:r>
            <w:r w:rsidR="00857F47" w:rsidRPr="005622E0">
              <w:t>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21E2952" w14:textId="1947D1D5" w:rsidR="00857F47" w:rsidRPr="005622E0" w:rsidRDefault="002924A5" w:rsidP="007C039F">
            <w:pPr>
              <w:tabs>
                <w:tab w:val="left" w:pos="0"/>
              </w:tabs>
              <w:jc w:val="right"/>
            </w:pPr>
            <w:r w:rsidRPr="005622E0">
              <w:rPr>
                <w:bCs/>
              </w:rPr>
              <w:t>6,101</w:t>
            </w:r>
          </w:p>
        </w:tc>
      </w:tr>
      <w:tr w:rsidR="00DB433B" w:rsidRPr="00442DD5" w14:paraId="3EECB2E2" w14:textId="77777777" w:rsidTr="007C039F">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2E8F0CC" w14:textId="77777777" w:rsidR="00DB433B" w:rsidRPr="005622E0" w:rsidRDefault="00DB433B" w:rsidP="007C039F">
            <w:pPr>
              <w:tabs>
                <w:tab w:val="left" w:pos="0"/>
              </w:tabs>
              <w:rPr>
                <w:bCs/>
              </w:rPr>
            </w:pPr>
            <w:r w:rsidRPr="005622E0">
              <w:rPr>
                <w:bCs/>
              </w:rPr>
              <w:t>MEPS-HC Validation Interview</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D6A9FFF" w14:textId="77777777" w:rsidR="00DB433B" w:rsidRPr="005622E0" w:rsidRDefault="00DB433B" w:rsidP="007C039F">
            <w:pPr>
              <w:tabs>
                <w:tab w:val="left" w:pos="0"/>
              </w:tabs>
              <w:jc w:val="right"/>
              <w:rPr>
                <w:bCs/>
              </w:rPr>
            </w:pPr>
            <w:r w:rsidRPr="005622E0">
              <w:rPr>
                <w:bCs/>
              </w:rPr>
              <w:t>4,225</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E88C3F7" w14:textId="77777777" w:rsidR="00DB433B" w:rsidRPr="005622E0" w:rsidRDefault="00DB433B" w:rsidP="007C039F">
            <w:pPr>
              <w:tabs>
                <w:tab w:val="left" w:pos="0"/>
              </w:tabs>
              <w:jc w:val="right"/>
              <w:rPr>
                <w:bCs/>
              </w:rPr>
            </w:pPr>
            <w:r w:rsidRPr="005622E0">
              <w:rPr>
                <w:bCs/>
              </w:rPr>
              <w:t>1</w:t>
            </w:r>
          </w:p>
        </w:tc>
        <w:tc>
          <w:tcPr>
            <w:tcW w:w="900" w:type="dxa"/>
            <w:tcBorders>
              <w:top w:val="nil"/>
              <w:left w:val="nil"/>
              <w:bottom w:val="single" w:sz="8" w:space="0" w:color="auto"/>
              <w:right w:val="single" w:sz="8" w:space="0" w:color="auto"/>
            </w:tcBorders>
            <w:vAlign w:val="center"/>
          </w:tcPr>
          <w:p w14:paraId="0FD2BBC4" w14:textId="77777777" w:rsidR="00DB433B" w:rsidRPr="005622E0" w:rsidRDefault="00DB433B" w:rsidP="007C039F">
            <w:pPr>
              <w:tabs>
                <w:tab w:val="left" w:pos="0"/>
              </w:tabs>
              <w:jc w:val="right"/>
              <w:rPr>
                <w:bCs/>
              </w:rPr>
            </w:pPr>
            <w:r w:rsidRPr="005622E0">
              <w:rPr>
                <w:bCs/>
              </w:rPr>
              <w:t>5/60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27A0A5F" w14:textId="77777777" w:rsidR="00DB433B" w:rsidRPr="005622E0" w:rsidRDefault="00DB433B" w:rsidP="007C039F">
            <w:pPr>
              <w:tabs>
                <w:tab w:val="left" w:pos="0"/>
              </w:tabs>
              <w:jc w:val="right"/>
            </w:pPr>
            <w:r w:rsidRPr="005622E0">
              <w:rPr>
                <w:bCs/>
              </w:rPr>
              <w:t>352</w:t>
            </w:r>
          </w:p>
        </w:tc>
      </w:tr>
      <w:tr w:rsidR="005A6F57" w:rsidRPr="00442DD5" w14:paraId="44122761" w14:textId="77777777" w:rsidTr="007C039F">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5C430D3" w14:textId="439BB80F" w:rsidR="005A6F57" w:rsidRPr="005622E0" w:rsidRDefault="005A6F57">
            <w:pPr>
              <w:tabs>
                <w:tab w:val="left" w:pos="0"/>
              </w:tabs>
            </w:pPr>
            <w:r w:rsidRPr="005622E0">
              <w:t>Pilot Test on Sampling NHIS Nonrespondents</w:t>
            </w:r>
            <w:r w:rsidR="00FA1417" w:rsidRPr="005622E0">
              <w:t xml:space="preserve"> </w:t>
            </w:r>
            <w:r w:rsidR="001A3827" w:rsidRPr="005622E0">
              <w:t>–</w:t>
            </w:r>
            <w:r w:rsidR="00FA1417" w:rsidRPr="005622E0">
              <w:t xml:space="preserve"> 2020</w:t>
            </w:r>
            <w:r w:rsidR="001A3827" w:rsidRPr="005622E0">
              <w:t>, R1 only of MEPS Core</w:t>
            </w:r>
            <w:r w:rsidR="000D56C2" w:rsidRPr="005622E0">
              <w:t>****</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291E499" w14:textId="68BD9FC3" w:rsidR="005A6F57" w:rsidRPr="005622E0" w:rsidRDefault="00C94EB0" w:rsidP="007C039F">
            <w:pPr>
              <w:tabs>
                <w:tab w:val="left" w:pos="0"/>
              </w:tabs>
              <w:jc w:val="right"/>
            </w:pPr>
            <w:r w:rsidRPr="005622E0">
              <w:rPr>
                <w:bCs/>
              </w:rPr>
              <w:t>200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1FB822D" w14:textId="30EF30FF" w:rsidR="005A6F57" w:rsidRPr="005622E0" w:rsidRDefault="005A6F57" w:rsidP="007C039F">
            <w:pPr>
              <w:tabs>
                <w:tab w:val="left" w:pos="0"/>
              </w:tabs>
              <w:jc w:val="right"/>
            </w:pPr>
            <w:r w:rsidRPr="005622E0">
              <w:t>1</w:t>
            </w:r>
          </w:p>
        </w:tc>
        <w:tc>
          <w:tcPr>
            <w:tcW w:w="900" w:type="dxa"/>
            <w:tcBorders>
              <w:top w:val="nil"/>
              <w:left w:val="nil"/>
              <w:bottom w:val="single" w:sz="8" w:space="0" w:color="auto"/>
              <w:right w:val="single" w:sz="8" w:space="0" w:color="auto"/>
            </w:tcBorders>
            <w:vAlign w:val="center"/>
          </w:tcPr>
          <w:p w14:paraId="28BD9B7E" w14:textId="2BBD5410" w:rsidR="005A6F57" w:rsidRPr="005622E0" w:rsidRDefault="005A6F57" w:rsidP="007C039F">
            <w:pPr>
              <w:tabs>
                <w:tab w:val="left" w:pos="0"/>
              </w:tabs>
              <w:jc w:val="right"/>
            </w:pPr>
            <w:r w:rsidRPr="005622E0">
              <w:t>92/60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D02EB86" w14:textId="4DA6F333" w:rsidR="005A6F57" w:rsidRPr="005622E0" w:rsidRDefault="00FA0741" w:rsidP="007C039F">
            <w:pPr>
              <w:tabs>
                <w:tab w:val="left" w:pos="0"/>
              </w:tabs>
              <w:jc w:val="right"/>
            </w:pPr>
            <w:r w:rsidRPr="005622E0">
              <w:rPr>
                <w:bCs/>
              </w:rPr>
              <w:t>307</w:t>
            </w:r>
          </w:p>
        </w:tc>
      </w:tr>
      <w:tr w:rsidR="00DB433B" w:rsidRPr="00442DD5" w14:paraId="0C915DC4" w14:textId="77777777" w:rsidTr="007C039F">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9974FD0" w14:textId="77777777" w:rsidR="00DB433B" w:rsidRPr="00442DD5" w:rsidRDefault="00DB433B" w:rsidP="007C039F">
            <w:pPr>
              <w:tabs>
                <w:tab w:val="left" w:pos="0"/>
              </w:tabs>
              <w:rPr>
                <w:bCs/>
              </w:rPr>
            </w:pPr>
            <w:r w:rsidRPr="00442DD5">
              <w:rPr>
                <w:bCs/>
              </w:rPr>
              <w:t>Subtotal for the MEPS-HC</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CDD8B85" w14:textId="490621C7" w:rsidR="00DB433B" w:rsidRPr="00323FF0" w:rsidRDefault="00BE6617" w:rsidP="00BE6617">
            <w:pPr>
              <w:tabs>
                <w:tab w:val="left" w:pos="0"/>
              </w:tabs>
              <w:jc w:val="right"/>
              <w:rPr>
                <w:bCs/>
              </w:rPr>
            </w:pPr>
            <w:r>
              <w:rPr>
                <w:bCs/>
              </w:rPr>
              <w:t>102,366</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A3E468F" w14:textId="77777777" w:rsidR="00DB433B" w:rsidRPr="00323FF0" w:rsidRDefault="00DB433B" w:rsidP="007C039F">
            <w:pPr>
              <w:tabs>
                <w:tab w:val="left" w:pos="0"/>
              </w:tabs>
              <w:jc w:val="right"/>
              <w:rPr>
                <w:bCs/>
              </w:rPr>
            </w:pPr>
            <w:r w:rsidRPr="00323FF0">
              <w:rPr>
                <w:bCs/>
              </w:rPr>
              <w:t>na</w:t>
            </w:r>
          </w:p>
        </w:tc>
        <w:tc>
          <w:tcPr>
            <w:tcW w:w="900" w:type="dxa"/>
            <w:tcBorders>
              <w:top w:val="nil"/>
              <w:left w:val="nil"/>
              <w:bottom w:val="single" w:sz="8" w:space="0" w:color="auto"/>
              <w:right w:val="single" w:sz="8" w:space="0" w:color="auto"/>
            </w:tcBorders>
            <w:vAlign w:val="center"/>
          </w:tcPr>
          <w:p w14:paraId="02259C3E" w14:textId="77777777" w:rsidR="00DB433B" w:rsidRPr="00323FF0" w:rsidRDefault="00DB433B" w:rsidP="007C039F">
            <w:pPr>
              <w:tabs>
                <w:tab w:val="left" w:pos="0"/>
              </w:tabs>
              <w:jc w:val="right"/>
              <w:rPr>
                <w:bCs/>
              </w:rPr>
            </w:pPr>
            <w:r w:rsidRPr="00323FF0">
              <w:rPr>
                <w:bCs/>
              </w:rPr>
              <w:t>na</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7E7A427" w14:textId="04C4C16B" w:rsidR="00DB433B" w:rsidRPr="004F24C9" w:rsidRDefault="00BE6617" w:rsidP="00834832">
            <w:pPr>
              <w:tabs>
                <w:tab w:val="left" w:pos="0"/>
              </w:tabs>
              <w:jc w:val="right"/>
            </w:pPr>
            <w:r w:rsidRPr="00FA0741">
              <w:rPr>
                <w:bCs/>
              </w:rPr>
              <w:t>6</w:t>
            </w:r>
            <w:r w:rsidR="00062555" w:rsidRPr="00FA0741">
              <w:rPr>
                <w:bCs/>
              </w:rPr>
              <w:t>7</w:t>
            </w:r>
            <w:r w:rsidRPr="00FA0741">
              <w:rPr>
                <w:bCs/>
              </w:rPr>
              <w:t>,</w:t>
            </w:r>
            <w:r w:rsidR="00FA0741" w:rsidRPr="00FA0741">
              <w:rPr>
                <w:bCs/>
              </w:rPr>
              <w:t>542</w:t>
            </w:r>
          </w:p>
        </w:tc>
      </w:tr>
      <w:tr w:rsidR="00DB433B" w:rsidRPr="00442DD5" w14:paraId="4AB875F4" w14:textId="77777777" w:rsidTr="007C039F">
        <w:tc>
          <w:tcPr>
            <w:tcW w:w="8658" w:type="dxa"/>
            <w:gridSpan w:val="5"/>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tcPr>
          <w:p w14:paraId="3FC6DA7B" w14:textId="77777777" w:rsidR="00DB433B" w:rsidRPr="00442DD5" w:rsidRDefault="00DB433B" w:rsidP="007C039F">
            <w:pPr>
              <w:tabs>
                <w:tab w:val="left" w:pos="0"/>
              </w:tabs>
              <w:rPr>
                <w:bCs/>
              </w:rPr>
            </w:pPr>
            <w:r w:rsidRPr="000E5C05">
              <w:rPr>
                <w:b/>
                <w:bCs/>
              </w:rPr>
              <w:t>MEPS-MPC</w:t>
            </w:r>
          </w:p>
        </w:tc>
      </w:tr>
      <w:tr w:rsidR="00DB433B" w:rsidRPr="00442DD5" w14:paraId="65567FCC" w14:textId="77777777" w:rsidTr="007C039F">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191E03E" w14:textId="77777777" w:rsidR="00DB433B" w:rsidRPr="00442DD5" w:rsidRDefault="00DB433B" w:rsidP="007C039F">
            <w:pPr>
              <w:tabs>
                <w:tab w:val="left" w:pos="0"/>
              </w:tabs>
              <w:rPr>
                <w:bCs/>
                <w:vertAlign w:val="superscript"/>
              </w:rPr>
            </w:pPr>
            <w:r w:rsidRPr="00442DD5">
              <w:rPr>
                <w:bCs/>
              </w:rPr>
              <w:t>MPC Contact Guide/Screening Call</w:t>
            </w:r>
            <w:r w:rsidRPr="00442DD5">
              <w:rPr>
                <w:bCs/>
                <w:vertAlign w:val="superscript"/>
              </w:rPr>
              <w:t>**</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45472C0" w14:textId="77777777" w:rsidR="00DB433B" w:rsidRPr="00442DD5" w:rsidDel="007867A2" w:rsidRDefault="00DB433B" w:rsidP="007C039F">
            <w:pPr>
              <w:tabs>
                <w:tab w:val="left" w:pos="0"/>
              </w:tabs>
              <w:jc w:val="right"/>
              <w:rPr>
                <w:bCs/>
              </w:rPr>
            </w:pPr>
            <w:r>
              <w:rPr>
                <w:bCs/>
              </w:rPr>
              <w:t xml:space="preserve"> 36,598</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6C333D9" w14:textId="77777777" w:rsidR="00DB433B" w:rsidRPr="00442DD5" w:rsidRDefault="00DB433B" w:rsidP="007C039F">
            <w:pPr>
              <w:tabs>
                <w:tab w:val="left" w:pos="0"/>
              </w:tabs>
              <w:jc w:val="right"/>
              <w:rPr>
                <w:bCs/>
              </w:rPr>
            </w:pPr>
            <w:r w:rsidRPr="00442DD5">
              <w:rPr>
                <w:bCs/>
              </w:rPr>
              <w:t>1</w:t>
            </w:r>
          </w:p>
        </w:tc>
        <w:tc>
          <w:tcPr>
            <w:tcW w:w="900" w:type="dxa"/>
            <w:tcBorders>
              <w:top w:val="nil"/>
              <w:left w:val="nil"/>
              <w:bottom w:val="single" w:sz="8" w:space="0" w:color="auto"/>
              <w:right w:val="single" w:sz="8" w:space="0" w:color="auto"/>
            </w:tcBorders>
            <w:vAlign w:val="center"/>
          </w:tcPr>
          <w:p w14:paraId="69A8EEA9" w14:textId="77777777" w:rsidR="00DB433B" w:rsidRPr="00442DD5" w:rsidRDefault="00DB433B" w:rsidP="007C039F">
            <w:pPr>
              <w:tabs>
                <w:tab w:val="left" w:pos="0"/>
              </w:tabs>
              <w:jc w:val="right"/>
              <w:rPr>
                <w:bCs/>
              </w:rPr>
            </w:pPr>
            <w:r>
              <w:rPr>
                <w:bCs/>
              </w:rPr>
              <w:t>2/60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0D8B9A4" w14:textId="77777777" w:rsidR="00DB433B" w:rsidRPr="00442DD5" w:rsidRDefault="00DB433B" w:rsidP="007C039F">
            <w:pPr>
              <w:tabs>
                <w:tab w:val="left" w:pos="0"/>
              </w:tabs>
              <w:jc w:val="right"/>
              <w:rPr>
                <w:bCs/>
              </w:rPr>
            </w:pPr>
            <w:r>
              <w:rPr>
                <w:bCs/>
              </w:rPr>
              <w:t xml:space="preserve"> 1,220</w:t>
            </w:r>
          </w:p>
        </w:tc>
      </w:tr>
      <w:tr w:rsidR="00DB433B" w:rsidRPr="00442DD5" w14:paraId="7B66ED34" w14:textId="77777777" w:rsidTr="007C039F">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271B04B" w14:textId="77777777" w:rsidR="00DB433B" w:rsidRPr="00442DD5" w:rsidRDefault="00DB433B" w:rsidP="007C039F">
            <w:pPr>
              <w:tabs>
                <w:tab w:val="left" w:pos="0"/>
              </w:tabs>
              <w:rPr>
                <w:bCs/>
              </w:rPr>
            </w:pPr>
            <w:r w:rsidRPr="00442DD5">
              <w:rPr>
                <w:bCs/>
              </w:rPr>
              <w:t>Home care for health care providers questionnaire</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E84F867" w14:textId="77777777" w:rsidR="00DB433B" w:rsidRPr="00442DD5" w:rsidRDefault="00DB433B" w:rsidP="007C039F">
            <w:pPr>
              <w:tabs>
                <w:tab w:val="left" w:pos="0"/>
              </w:tabs>
              <w:jc w:val="right"/>
              <w:rPr>
                <w:bCs/>
              </w:rPr>
            </w:pPr>
            <w:r>
              <w:rPr>
                <w:bCs/>
              </w:rPr>
              <w:t xml:space="preserve"> 635</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E3A4202" w14:textId="77777777" w:rsidR="00DB433B" w:rsidRPr="00442DD5" w:rsidRDefault="00DB433B" w:rsidP="007C039F">
            <w:pPr>
              <w:tabs>
                <w:tab w:val="left" w:pos="0"/>
              </w:tabs>
              <w:jc w:val="right"/>
              <w:rPr>
                <w:bCs/>
              </w:rPr>
            </w:pPr>
            <w:r>
              <w:rPr>
                <w:bCs/>
              </w:rPr>
              <w:t xml:space="preserve"> 1.53</w:t>
            </w:r>
          </w:p>
        </w:tc>
        <w:tc>
          <w:tcPr>
            <w:tcW w:w="900" w:type="dxa"/>
            <w:tcBorders>
              <w:top w:val="nil"/>
              <w:left w:val="nil"/>
              <w:bottom w:val="single" w:sz="8" w:space="0" w:color="auto"/>
              <w:right w:val="single" w:sz="8" w:space="0" w:color="auto"/>
            </w:tcBorders>
            <w:vAlign w:val="center"/>
          </w:tcPr>
          <w:p w14:paraId="4C034894" w14:textId="77777777" w:rsidR="00DB433B" w:rsidRPr="00442DD5" w:rsidRDefault="00DB433B" w:rsidP="007C039F">
            <w:pPr>
              <w:tabs>
                <w:tab w:val="left" w:pos="0"/>
              </w:tabs>
              <w:jc w:val="right"/>
              <w:rPr>
                <w:bCs/>
              </w:rPr>
            </w:pPr>
            <w:r>
              <w:rPr>
                <w:bCs/>
              </w:rPr>
              <w:t>9/60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504275D" w14:textId="77777777" w:rsidR="00DB433B" w:rsidRPr="00442DD5" w:rsidRDefault="00DB433B" w:rsidP="007C039F">
            <w:pPr>
              <w:tabs>
                <w:tab w:val="left" w:pos="0"/>
              </w:tabs>
              <w:jc w:val="right"/>
              <w:rPr>
                <w:bCs/>
              </w:rPr>
            </w:pPr>
            <w:r>
              <w:rPr>
                <w:bCs/>
              </w:rPr>
              <w:t xml:space="preserve"> 146</w:t>
            </w:r>
          </w:p>
        </w:tc>
      </w:tr>
      <w:tr w:rsidR="00DB433B" w:rsidRPr="00442DD5" w14:paraId="645D73F2" w14:textId="77777777" w:rsidTr="007C039F">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6A6DC9A" w14:textId="77777777" w:rsidR="00DB433B" w:rsidRPr="00442DD5" w:rsidRDefault="00DB433B" w:rsidP="007C039F">
            <w:pPr>
              <w:tabs>
                <w:tab w:val="left" w:pos="0"/>
              </w:tabs>
              <w:rPr>
                <w:bCs/>
              </w:rPr>
            </w:pPr>
            <w:r w:rsidRPr="00442DD5">
              <w:rPr>
                <w:bCs/>
              </w:rPr>
              <w:t>Home care for non</w:t>
            </w:r>
            <w:r w:rsidRPr="00442DD5">
              <w:rPr>
                <w:bCs/>
              </w:rPr>
              <w:noBreakHyphen/>
              <w:t>health care providers questionnaire</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A69CB66" w14:textId="77777777" w:rsidR="00DB433B" w:rsidRPr="00442DD5" w:rsidRDefault="00DB433B" w:rsidP="007C039F">
            <w:pPr>
              <w:tabs>
                <w:tab w:val="left" w:pos="0"/>
              </w:tabs>
              <w:jc w:val="right"/>
              <w:rPr>
                <w:bCs/>
              </w:rPr>
            </w:pPr>
            <w:r>
              <w:rPr>
                <w:bCs/>
              </w:rPr>
              <w:t xml:space="preserve"> 11</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7ACDE87" w14:textId="77777777" w:rsidR="00DB433B" w:rsidRPr="00442DD5" w:rsidRDefault="00DB433B" w:rsidP="007C039F">
            <w:pPr>
              <w:tabs>
                <w:tab w:val="left" w:pos="0"/>
              </w:tabs>
              <w:jc w:val="right"/>
              <w:rPr>
                <w:bCs/>
              </w:rPr>
            </w:pPr>
            <w:r w:rsidRPr="00442DD5">
              <w:rPr>
                <w:bCs/>
              </w:rPr>
              <w:t>1</w:t>
            </w:r>
          </w:p>
        </w:tc>
        <w:tc>
          <w:tcPr>
            <w:tcW w:w="900" w:type="dxa"/>
            <w:tcBorders>
              <w:top w:val="nil"/>
              <w:left w:val="nil"/>
              <w:bottom w:val="single" w:sz="8" w:space="0" w:color="auto"/>
              <w:right w:val="single" w:sz="8" w:space="0" w:color="auto"/>
            </w:tcBorders>
            <w:vAlign w:val="center"/>
          </w:tcPr>
          <w:p w14:paraId="0DE185B0" w14:textId="77777777" w:rsidR="00DB433B" w:rsidRPr="00442DD5" w:rsidRDefault="00DB433B" w:rsidP="007C039F">
            <w:pPr>
              <w:tabs>
                <w:tab w:val="left" w:pos="0"/>
              </w:tabs>
              <w:jc w:val="right"/>
              <w:rPr>
                <w:bCs/>
              </w:rPr>
            </w:pPr>
            <w:r>
              <w:rPr>
                <w:bCs/>
              </w:rPr>
              <w:t>11/60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FD25D99" w14:textId="77777777" w:rsidR="00DB433B" w:rsidRPr="00442DD5" w:rsidRDefault="00DB433B" w:rsidP="007C039F">
            <w:pPr>
              <w:tabs>
                <w:tab w:val="left" w:pos="0"/>
              </w:tabs>
              <w:jc w:val="right"/>
              <w:rPr>
                <w:bCs/>
              </w:rPr>
            </w:pPr>
            <w:r>
              <w:rPr>
                <w:bCs/>
              </w:rPr>
              <w:t xml:space="preserve"> 2</w:t>
            </w:r>
          </w:p>
        </w:tc>
      </w:tr>
      <w:tr w:rsidR="00DB433B" w:rsidRPr="00442DD5" w14:paraId="66E8F84D" w14:textId="77777777" w:rsidTr="007C039F">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036020C" w14:textId="77777777" w:rsidR="00DB433B" w:rsidRPr="00442DD5" w:rsidRDefault="00DB433B" w:rsidP="007C039F">
            <w:pPr>
              <w:tabs>
                <w:tab w:val="left" w:pos="0"/>
              </w:tabs>
              <w:rPr>
                <w:bCs/>
              </w:rPr>
            </w:pPr>
            <w:r w:rsidRPr="00442DD5">
              <w:rPr>
                <w:bCs/>
              </w:rPr>
              <w:t>Office</w:t>
            </w:r>
            <w:r w:rsidRPr="00442DD5">
              <w:rPr>
                <w:bCs/>
              </w:rPr>
              <w:noBreakHyphen/>
              <w:t>based providers questionnaire</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2F97F38" w14:textId="77777777" w:rsidR="00DB433B" w:rsidRPr="00442DD5" w:rsidRDefault="00DB433B" w:rsidP="007C039F">
            <w:pPr>
              <w:tabs>
                <w:tab w:val="left" w:pos="0"/>
              </w:tabs>
              <w:jc w:val="right"/>
              <w:rPr>
                <w:bCs/>
              </w:rPr>
            </w:pPr>
            <w:r>
              <w:rPr>
                <w:bCs/>
              </w:rPr>
              <w:t xml:space="preserve"> 11,210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89260BC" w14:textId="77777777" w:rsidR="00DB433B" w:rsidRPr="00442DD5" w:rsidRDefault="00DB433B" w:rsidP="007C039F">
            <w:pPr>
              <w:tabs>
                <w:tab w:val="left" w:pos="0"/>
              </w:tabs>
              <w:jc w:val="right"/>
              <w:rPr>
                <w:bCs/>
              </w:rPr>
            </w:pPr>
            <w:r>
              <w:rPr>
                <w:bCs/>
              </w:rPr>
              <w:t xml:space="preserve"> 1.65</w:t>
            </w:r>
          </w:p>
        </w:tc>
        <w:tc>
          <w:tcPr>
            <w:tcW w:w="900" w:type="dxa"/>
            <w:tcBorders>
              <w:top w:val="nil"/>
              <w:left w:val="nil"/>
              <w:bottom w:val="single" w:sz="8" w:space="0" w:color="auto"/>
              <w:right w:val="single" w:sz="8" w:space="0" w:color="auto"/>
            </w:tcBorders>
            <w:vAlign w:val="center"/>
          </w:tcPr>
          <w:p w14:paraId="4295DA86" w14:textId="77777777" w:rsidR="00DB433B" w:rsidRPr="00442DD5" w:rsidRDefault="00DB433B" w:rsidP="007C039F">
            <w:pPr>
              <w:tabs>
                <w:tab w:val="left" w:pos="0"/>
              </w:tabs>
              <w:jc w:val="right"/>
              <w:rPr>
                <w:bCs/>
              </w:rPr>
            </w:pPr>
            <w:r>
              <w:rPr>
                <w:bCs/>
              </w:rPr>
              <w:t>10/60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9ED1270" w14:textId="77777777" w:rsidR="00DB433B" w:rsidRPr="00442DD5" w:rsidRDefault="00DB433B" w:rsidP="007C039F">
            <w:pPr>
              <w:tabs>
                <w:tab w:val="left" w:pos="0"/>
              </w:tabs>
              <w:jc w:val="right"/>
              <w:rPr>
                <w:bCs/>
              </w:rPr>
            </w:pPr>
            <w:r>
              <w:rPr>
                <w:bCs/>
              </w:rPr>
              <w:t xml:space="preserve"> 3,083</w:t>
            </w:r>
          </w:p>
        </w:tc>
      </w:tr>
      <w:tr w:rsidR="00DB433B" w:rsidRPr="00442DD5" w14:paraId="4769E5C6" w14:textId="77777777" w:rsidTr="007C039F">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28A82DC" w14:textId="77777777" w:rsidR="00DB433B" w:rsidRPr="00442DD5" w:rsidRDefault="00DB433B" w:rsidP="007C039F">
            <w:pPr>
              <w:tabs>
                <w:tab w:val="left" w:pos="0"/>
              </w:tabs>
              <w:rPr>
                <w:bCs/>
              </w:rPr>
            </w:pPr>
            <w:r w:rsidRPr="00442DD5">
              <w:rPr>
                <w:bCs/>
              </w:rPr>
              <w:t>Separately billing doctors questionnaire</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6CAE013" w14:textId="77777777" w:rsidR="00DB433B" w:rsidRPr="00442DD5" w:rsidRDefault="00DB433B" w:rsidP="007C039F">
            <w:pPr>
              <w:tabs>
                <w:tab w:val="left" w:pos="0"/>
              </w:tabs>
              <w:jc w:val="right"/>
              <w:rPr>
                <w:bCs/>
              </w:rPr>
            </w:pPr>
            <w:r>
              <w:rPr>
                <w:bCs/>
              </w:rPr>
              <w:t xml:space="preserve"> 12,397</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00334E9" w14:textId="77777777" w:rsidR="00DB433B" w:rsidRPr="00442DD5" w:rsidRDefault="00DB433B" w:rsidP="007C039F">
            <w:pPr>
              <w:tabs>
                <w:tab w:val="left" w:pos="0"/>
              </w:tabs>
              <w:jc w:val="right"/>
              <w:rPr>
                <w:bCs/>
              </w:rPr>
            </w:pPr>
            <w:r>
              <w:rPr>
                <w:bCs/>
              </w:rPr>
              <w:t xml:space="preserve"> 3.46</w:t>
            </w:r>
          </w:p>
        </w:tc>
        <w:tc>
          <w:tcPr>
            <w:tcW w:w="900" w:type="dxa"/>
            <w:tcBorders>
              <w:top w:val="nil"/>
              <w:left w:val="nil"/>
              <w:bottom w:val="single" w:sz="8" w:space="0" w:color="auto"/>
              <w:right w:val="single" w:sz="8" w:space="0" w:color="auto"/>
            </w:tcBorders>
            <w:vAlign w:val="center"/>
          </w:tcPr>
          <w:p w14:paraId="661199B8" w14:textId="77777777" w:rsidR="00DB433B" w:rsidRPr="00442DD5" w:rsidRDefault="00DB433B" w:rsidP="007C039F">
            <w:pPr>
              <w:tabs>
                <w:tab w:val="left" w:pos="0"/>
              </w:tabs>
              <w:jc w:val="right"/>
              <w:rPr>
                <w:bCs/>
              </w:rPr>
            </w:pPr>
            <w:r>
              <w:rPr>
                <w:bCs/>
              </w:rPr>
              <w:t>13/60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C432832" w14:textId="77777777" w:rsidR="00DB433B" w:rsidRPr="00442DD5" w:rsidRDefault="00DB433B" w:rsidP="007C039F">
            <w:pPr>
              <w:tabs>
                <w:tab w:val="left" w:pos="0"/>
              </w:tabs>
              <w:jc w:val="right"/>
              <w:rPr>
                <w:bCs/>
              </w:rPr>
            </w:pPr>
            <w:r>
              <w:rPr>
                <w:bCs/>
              </w:rPr>
              <w:t xml:space="preserve"> 9,294</w:t>
            </w:r>
          </w:p>
        </w:tc>
      </w:tr>
      <w:tr w:rsidR="00DB433B" w:rsidRPr="00442DD5" w14:paraId="5CED843C" w14:textId="77777777" w:rsidTr="007C039F">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4A0AE14" w14:textId="77777777" w:rsidR="00DB433B" w:rsidRPr="00442DD5" w:rsidRDefault="00DB433B" w:rsidP="007C039F">
            <w:pPr>
              <w:tabs>
                <w:tab w:val="left" w:pos="0"/>
              </w:tabs>
              <w:rPr>
                <w:bCs/>
              </w:rPr>
            </w:pPr>
            <w:r w:rsidRPr="00442DD5">
              <w:rPr>
                <w:bCs/>
              </w:rPr>
              <w:t xml:space="preserve">Hospitals questionnaire </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343043D" w14:textId="77777777" w:rsidR="00DB433B" w:rsidRPr="00442DD5" w:rsidRDefault="00DB433B" w:rsidP="007C039F">
            <w:pPr>
              <w:tabs>
                <w:tab w:val="left" w:pos="0"/>
              </w:tabs>
              <w:jc w:val="right"/>
              <w:rPr>
                <w:bCs/>
              </w:rPr>
            </w:pPr>
            <w:r>
              <w:rPr>
                <w:bCs/>
              </w:rPr>
              <w:t xml:space="preserve"> 5,310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D06833C" w14:textId="77777777" w:rsidR="00DB433B" w:rsidRPr="00442DD5" w:rsidRDefault="00DB433B" w:rsidP="007C039F">
            <w:pPr>
              <w:tabs>
                <w:tab w:val="left" w:pos="0"/>
              </w:tabs>
              <w:jc w:val="right"/>
              <w:rPr>
                <w:bCs/>
              </w:rPr>
            </w:pPr>
            <w:r>
              <w:rPr>
                <w:bCs/>
              </w:rPr>
              <w:t xml:space="preserve"> 3.26</w:t>
            </w:r>
          </w:p>
        </w:tc>
        <w:tc>
          <w:tcPr>
            <w:tcW w:w="900" w:type="dxa"/>
            <w:tcBorders>
              <w:top w:val="nil"/>
              <w:left w:val="nil"/>
              <w:bottom w:val="single" w:sz="8" w:space="0" w:color="auto"/>
              <w:right w:val="single" w:sz="8" w:space="0" w:color="auto"/>
            </w:tcBorders>
            <w:vAlign w:val="center"/>
          </w:tcPr>
          <w:p w14:paraId="1DE55DEE" w14:textId="77777777" w:rsidR="00DB433B" w:rsidRPr="00442DD5" w:rsidRDefault="00DB433B" w:rsidP="007C039F">
            <w:pPr>
              <w:tabs>
                <w:tab w:val="left" w:pos="0"/>
              </w:tabs>
              <w:jc w:val="right"/>
              <w:rPr>
                <w:bCs/>
              </w:rPr>
            </w:pPr>
            <w:r>
              <w:rPr>
                <w:bCs/>
              </w:rPr>
              <w:t>9/60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35131BB" w14:textId="77777777" w:rsidR="00DB433B" w:rsidRPr="00442DD5" w:rsidRDefault="00DB433B" w:rsidP="007C039F">
            <w:pPr>
              <w:tabs>
                <w:tab w:val="left" w:pos="0"/>
              </w:tabs>
              <w:jc w:val="right"/>
              <w:rPr>
                <w:bCs/>
              </w:rPr>
            </w:pPr>
            <w:r>
              <w:rPr>
                <w:bCs/>
              </w:rPr>
              <w:t xml:space="preserve"> 2,597</w:t>
            </w:r>
          </w:p>
        </w:tc>
      </w:tr>
      <w:tr w:rsidR="00DB433B" w:rsidRPr="00442DD5" w14:paraId="1ADCCE16" w14:textId="77777777" w:rsidTr="007C039F">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EF6DF92" w14:textId="77777777" w:rsidR="00DB433B" w:rsidRPr="00442DD5" w:rsidRDefault="00DB433B" w:rsidP="007C039F">
            <w:pPr>
              <w:tabs>
                <w:tab w:val="left" w:pos="0"/>
              </w:tabs>
              <w:rPr>
                <w:bCs/>
              </w:rPr>
            </w:pPr>
            <w:r w:rsidRPr="00442DD5">
              <w:rPr>
                <w:bCs/>
              </w:rPr>
              <w:t xml:space="preserve">Institutions (non-hospital) questionnaire </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FEBB27C" w14:textId="77777777" w:rsidR="00DB433B" w:rsidRPr="00442DD5" w:rsidRDefault="00DB433B" w:rsidP="007C039F">
            <w:pPr>
              <w:tabs>
                <w:tab w:val="left" w:pos="0"/>
              </w:tabs>
              <w:jc w:val="right"/>
              <w:rPr>
                <w:bCs/>
              </w:rPr>
            </w:pPr>
            <w:r>
              <w:rPr>
                <w:bCs/>
              </w:rPr>
              <w:t xml:space="preserve"> 116</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02B4612" w14:textId="77777777" w:rsidR="00DB433B" w:rsidRPr="00442DD5" w:rsidRDefault="00DB433B" w:rsidP="007C039F">
            <w:pPr>
              <w:tabs>
                <w:tab w:val="left" w:pos="0"/>
              </w:tabs>
              <w:jc w:val="right"/>
              <w:rPr>
                <w:bCs/>
              </w:rPr>
            </w:pPr>
            <w:r>
              <w:rPr>
                <w:bCs/>
              </w:rPr>
              <w:t xml:space="preserve"> 2.05</w:t>
            </w:r>
          </w:p>
        </w:tc>
        <w:tc>
          <w:tcPr>
            <w:tcW w:w="900" w:type="dxa"/>
            <w:tcBorders>
              <w:top w:val="nil"/>
              <w:left w:val="nil"/>
              <w:bottom w:val="single" w:sz="8" w:space="0" w:color="auto"/>
              <w:right w:val="single" w:sz="8" w:space="0" w:color="auto"/>
            </w:tcBorders>
            <w:vAlign w:val="center"/>
          </w:tcPr>
          <w:p w14:paraId="672BE04D" w14:textId="77777777" w:rsidR="00DB433B" w:rsidRPr="00442DD5" w:rsidRDefault="00DB433B" w:rsidP="007C039F">
            <w:pPr>
              <w:tabs>
                <w:tab w:val="left" w:pos="0"/>
              </w:tabs>
              <w:jc w:val="right"/>
              <w:rPr>
                <w:bCs/>
              </w:rPr>
            </w:pPr>
            <w:r>
              <w:rPr>
                <w:bCs/>
              </w:rPr>
              <w:t>9/60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948D9EB" w14:textId="77777777" w:rsidR="00DB433B" w:rsidRPr="00442DD5" w:rsidRDefault="00DB433B" w:rsidP="007C039F">
            <w:pPr>
              <w:tabs>
                <w:tab w:val="left" w:pos="0"/>
              </w:tabs>
              <w:jc w:val="right"/>
              <w:rPr>
                <w:bCs/>
              </w:rPr>
            </w:pPr>
            <w:r w:rsidRPr="00442DD5">
              <w:rPr>
                <w:bCs/>
              </w:rPr>
              <w:t>36</w:t>
            </w:r>
          </w:p>
        </w:tc>
      </w:tr>
      <w:tr w:rsidR="00DB433B" w:rsidRPr="00442DD5" w14:paraId="1865B1C9" w14:textId="77777777" w:rsidTr="007C039F">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3DAE0EF" w14:textId="77777777" w:rsidR="00DB433B" w:rsidRPr="00442DD5" w:rsidRDefault="00DB433B" w:rsidP="007C039F">
            <w:pPr>
              <w:tabs>
                <w:tab w:val="left" w:pos="0"/>
              </w:tabs>
              <w:rPr>
                <w:bCs/>
              </w:rPr>
            </w:pPr>
            <w:r w:rsidRPr="00442DD5">
              <w:rPr>
                <w:bCs/>
              </w:rPr>
              <w:t>Pharmacies questionnaire</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EF3FA7B" w14:textId="77777777" w:rsidR="00DB433B" w:rsidRPr="00442DD5" w:rsidRDefault="00DB433B" w:rsidP="007C039F">
            <w:pPr>
              <w:tabs>
                <w:tab w:val="left" w:pos="0"/>
              </w:tabs>
              <w:jc w:val="right"/>
              <w:rPr>
                <w:bCs/>
              </w:rPr>
            </w:pPr>
            <w:r>
              <w:rPr>
                <w:bCs/>
              </w:rPr>
              <w:t xml:space="preserve"> 6,919</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0DD095E" w14:textId="77777777" w:rsidR="00DB433B" w:rsidRPr="00442DD5" w:rsidRDefault="00DB433B" w:rsidP="007C039F">
            <w:pPr>
              <w:tabs>
                <w:tab w:val="left" w:pos="0"/>
              </w:tabs>
              <w:jc w:val="right"/>
              <w:rPr>
                <w:bCs/>
              </w:rPr>
            </w:pPr>
            <w:r>
              <w:rPr>
                <w:bCs/>
              </w:rPr>
              <w:t xml:space="preserve"> 2.92</w:t>
            </w:r>
          </w:p>
        </w:tc>
        <w:tc>
          <w:tcPr>
            <w:tcW w:w="900" w:type="dxa"/>
            <w:tcBorders>
              <w:top w:val="nil"/>
              <w:left w:val="nil"/>
              <w:bottom w:val="single" w:sz="8" w:space="0" w:color="auto"/>
              <w:right w:val="single" w:sz="8" w:space="0" w:color="auto"/>
            </w:tcBorders>
            <w:vAlign w:val="center"/>
          </w:tcPr>
          <w:p w14:paraId="0ABD15F9" w14:textId="77777777" w:rsidR="00DB433B" w:rsidRPr="00442DD5" w:rsidRDefault="00DB433B" w:rsidP="007C039F">
            <w:pPr>
              <w:tabs>
                <w:tab w:val="left" w:pos="0"/>
              </w:tabs>
              <w:jc w:val="right"/>
              <w:rPr>
                <w:bCs/>
              </w:rPr>
            </w:pPr>
            <w:r>
              <w:rPr>
                <w:bCs/>
              </w:rPr>
              <w:t>3/60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3009520" w14:textId="77777777" w:rsidR="00DB433B" w:rsidRPr="00442DD5" w:rsidRDefault="00DB433B" w:rsidP="007C039F">
            <w:pPr>
              <w:tabs>
                <w:tab w:val="left" w:pos="0"/>
              </w:tabs>
              <w:jc w:val="right"/>
              <w:rPr>
                <w:bCs/>
              </w:rPr>
            </w:pPr>
            <w:r>
              <w:rPr>
                <w:bCs/>
              </w:rPr>
              <w:t xml:space="preserve"> 1,010</w:t>
            </w:r>
          </w:p>
        </w:tc>
      </w:tr>
      <w:tr w:rsidR="00DB433B" w:rsidRPr="00442DD5" w14:paraId="7C7ACF1B" w14:textId="77777777" w:rsidTr="007C039F">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0623899" w14:textId="77777777" w:rsidR="00DB433B" w:rsidRPr="00442DD5" w:rsidRDefault="00DB433B" w:rsidP="007C039F">
            <w:pPr>
              <w:tabs>
                <w:tab w:val="left" w:pos="0"/>
              </w:tabs>
              <w:rPr>
                <w:bCs/>
              </w:rPr>
            </w:pPr>
            <w:r w:rsidRPr="00442DD5">
              <w:rPr>
                <w:bCs/>
              </w:rPr>
              <w:t>Subtotal for the MEPS-MPC</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322117D" w14:textId="77777777" w:rsidR="00DB433B" w:rsidRPr="00442DD5" w:rsidRDefault="00DB433B" w:rsidP="007C039F">
            <w:pPr>
              <w:tabs>
                <w:tab w:val="left" w:pos="0"/>
              </w:tabs>
              <w:jc w:val="right"/>
              <w:rPr>
                <w:bCs/>
              </w:rPr>
            </w:pPr>
            <w:r>
              <w:rPr>
                <w:bCs/>
              </w:rPr>
              <w:t xml:space="preserve"> 73,196</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D059BF5" w14:textId="77777777" w:rsidR="00DB433B" w:rsidRPr="00442DD5" w:rsidRDefault="00DB433B" w:rsidP="007C039F">
            <w:pPr>
              <w:tabs>
                <w:tab w:val="left" w:pos="0"/>
              </w:tabs>
              <w:jc w:val="right"/>
              <w:rPr>
                <w:bCs/>
              </w:rPr>
            </w:pPr>
            <w:r w:rsidRPr="00442DD5">
              <w:rPr>
                <w:bCs/>
              </w:rPr>
              <w:t>na</w:t>
            </w:r>
            <w:r w:rsidRPr="00442DD5" w:rsidDel="000C1024">
              <w:rPr>
                <w:bCs/>
              </w:rPr>
              <w:t xml:space="preserve"> </w:t>
            </w:r>
          </w:p>
        </w:tc>
        <w:tc>
          <w:tcPr>
            <w:tcW w:w="900" w:type="dxa"/>
            <w:tcBorders>
              <w:top w:val="nil"/>
              <w:left w:val="nil"/>
              <w:bottom w:val="single" w:sz="8" w:space="0" w:color="auto"/>
              <w:right w:val="single" w:sz="8" w:space="0" w:color="auto"/>
            </w:tcBorders>
            <w:vAlign w:val="center"/>
          </w:tcPr>
          <w:p w14:paraId="0B3D0503" w14:textId="77777777" w:rsidR="00DB433B" w:rsidRPr="00442DD5" w:rsidRDefault="00DB433B" w:rsidP="007C039F">
            <w:pPr>
              <w:tabs>
                <w:tab w:val="left" w:pos="0"/>
              </w:tabs>
              <w:jc w:val="right"/>
              <w:rPr>
                <w:bCs/>
              </w:rPr>
            </w:pPr>
            <w:r w:rsidRPr="00442DD5">
              <w:rPr>
                <w:bCs/>
              </w:rPr>
              <w:t>na</w:t>
            </w:r>
            <w:r w:rsidRPr="00442DD5" w:rsidDel="000C1024">
              <w:rPr>
                <w:bCs/>
              </w:rPr>
              <w:t xml:space="preserve"> </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EF5F312" w14:textId="77777777" w:rsidR="00DB433B" w:rsidRPr="00442DD5" w:rsidRDefault="00DB433B" w:rsidP="007C039F">
            <w:pPr>
              <w:tabs>
                <w:tab w:val="left" w:pos="0"/>
              </w:tabs>
              <w:jc w:val="right"/>
              <w:rPr>
                <w:bCs/>
              </w:rPr>
            </w:pPr>
            <w:r>
              <w:rPr>
                <w:bCs/>
              </w:rPr>
              <w:t>17,388</w:t>
            </w:r>
          </w:p>
        </w:tc>
      </w:tr>
      <w:tr w:rsidR="00DB433B" w:rsidRPr="00442DD5" w14:paraId="5BF78B48" w14:textId="77777777" w:rsidTr="007C039F">
        <w:tc>
          <w:tcPr>
            <w:tcW w:w="40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E682949" w14:textId="77777777" w:rsidR="00DB433B" w:rsidRPr="00442DD5" w:rsidRDefault="00DB433B" w:rsidP="007C039F">
            <w:pPr>
              <w:tabs>
                <w:tab w:val="left" w:pos="0"/>
              </w:tabs>
              <w:rPr>
                <w:bCs/>
              </w:rPr>
            </w:pPr>
            <w:r w:rsidRPr="00442DD5">
              <w:rPr>
                <w:b/>
                <w:bCs/>
              </w:rPr>
              <w:t>Grand Total</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D048D57" w14:textId="61D180CC" w:rsidR="00DB433B" w:rsidRPr="00442DD5" w:rsidRDefault="00BE6617" w:rsidP="00BE6617">
            <w:pPr>
              <w:tabs>
                <w:tab w:val="left" w:pos="0"/>
              </w:tabs>
              <w:jc w:val="right"/>
              <w:rPr>
                <w:bCs/>
              </w:rPr>
            </w:pPr>
            <w:r>
              <w:rPr>
                <w:bCs/>
              </w:rPr>
              <w:t>175, 562</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2AF28CF" w14:textId="77777777" w:rsidR="00DB433B" w:rsidRPr="00442DD5" w:rsidRDefault="00DB433B" w:rsidP="007C039F">
            <w:pPr>
              <w:tabs>
                <w:tab w:val="left" w:pos="0"/>
              </w:tabs>
              <w:jc w:val="right"/>
              <w:rPr>
                <w:bCs/>
              </w:rPr>
            </w:pPr>
            <w:r w:rsidRPr="00442DD5">
              <w:rPr>
                <w:bCs/>
              </w:rPr>
              <w:t>na</w:t>
            </w:r>
            <w:r w:rsidRPr="00442DD5" w:rsidDel="000C1024">
              <w:rPr>
                <w:bCs/>
              </w:rPr>
              <w:t xml:space="preserve"> </w:t>
            </w:r>
          </w:p>
        </w:tc>
        <w:tc>
          <w:tcPr>
            <w:tcW w:w="900" w:type="dxa"/>
            <w:tcBorders>
              <w:top w:val="nil"/>
              <w:left w:val="nil"/>
              <w:bottom w:val="single" w:sz="8" w:space="0" w:color="auto"/>
              <w:right w:val="single" w:sz="8" w:space="0" w:color="auto"/>
            </w:tcBorders>
          </w:tcPr>
          <w:p w14:paraId="54BD5DBF" w14:textId="77777777" w:rsidR="00DB433B" w:rsidRPr="00442DD5" w:rsidRDefault="00DB433B" w:rsidP="007C039F">
            <w:pPr>
              <w:tabs>
                <w:tab w:val="left" w:pos="0"/>
              </w:tabs>
              <w:jc w:val="right"/>
              <w:rPr>
                <w:bCs/>
              </w:rPr>
            </w:pPr>
            <w:r w:rsidRPr="00442DD5">
              <w:rPr>
                <w:bCs/>
              </w:rPr>
              <w:t>na</w:t>
            </w:r>
            <w:r w:rsidRPr="00442DD5" w:rsidDel="000C1024">
              <w:rPr>
                <w:bCs/>
              </w:rPr>
              <w:t xml:space="preserve"> </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FC24C56" w14:textId="35CD3B23" w:rsidR="00DB433B" w:rsidRPr="00442DD5" w:rsidRDefault="00062555" w:rsidP="00834832">
            <w:pPr>
              <w:tabs>
                <w:tab w:val="left" w:pos="0"/>
              </w:tabs>
              <w:jc w:val="right"/>
              <w:rPr>
                <w:bCs/>
              </w:rPr>
            </w:pPr>
            <w:r>
              <w:rPr>
                <w:bCs/>
              </w:rPr>
              <w:t>84,</w:t>
            </w:r>
            <w:r w:rsidR="00FA0741">
              <w:rPr>
                <w:bCs/>
              </w:rPr>
              <w:t>930</w:t>
            </w:r>
          </w:p>
        </w:tc>
      </w:tr>
    </w:tbl>
    <w:p w14:paraId="42A735BA" w14:textId="77777777" w:rsidR="00DB433B" w:rsidRPr="004D2F15" w:rsidRDefault="00DB433B" w:rsidP="00DB433B">
      <w:pPr>
        <w:tabs>
          <w:tab w:val="left" w:pos="0"/>
        </w:tabs>
        <w:rPr>
          <w:b/>
          <w:bCs/>
          <w:vertAlign w:val="superscript"/>
        </w:rPr>
      </w:pPr>
      <w:r w:rsidRPr="004D2F15">
        <w:rPr>
          <w:bCs/>
          <w:vertAlign w:val="superscript"/>
        </w:rPr>
        <w:t xml:space="preserve">* </w:t>
      </w:r>
      <w:r w:rsidRPr="004D2F15">
        <w:rPr>
          <w:bCs/>
        </w:rPr>
        <w:t xml:space="preserve">While the expected number of responding units for the annual estimates is </w:t>
      </w:r>
      <w:r>
        <w:rPr>
          <w:bCs/>
        </w:rPr>
        <w:t>12,804</w:t>
      </w:r>
      <w:r w:rsidRPr="004D2F15">
        <w:rPr>
          <w:bCs/>
        </w:rPr>
        <w:t>, it is necessary to adjust for survey attrition of initial respondents by a factor of 0.96 (</w:t>
      </w:r>
      <w:r>
        <w:rPr>
          <w:bCs/>
        </w:rPr>
        <w:t>13,338=12,804/0.96</w:t>
      </w:r>
      <w:r w:rsidRPr="004D2F15">
        <w:rPr>
          <w:bCs/>
        </w:rPr>
        <w:t>).</w:t>
      </w:r>
    </w:p>
    <w:p w14:paraId="23C501FB" w14:textId="72A14D88" w:rsidR="00DB433B" w:rsidRDefault="00DB433B" w:rsidP="00DB433B">
      <w:pPr>
        <w:tabs>
          <w:tab w:val="left" w:pos="0"/>
        </w:tabs>
        <w:rPr>
          <w:bCs/>
        </w:rPr>
      </w:pPr>
      <w:r w:rsidRPr="00442DD5">
        <w:rPr>
          <w:b/>
          <w:bCs/>
          <w:vertAlign w:val="superscript"/>
        </w:rPr>
        <w:t>*</w:t>
      </w:r>
      <w:r w:rsidRPr="00442DD5">
        <w:rPr>
          <w:bCs/>
          <w:vertAlign w:val="superscript"/>
        </w:rPr>
        <w:t>*</w:t>
      </w:r>
      <w:r w:rsidRPr="00442DD5">
        <w:rPr>
          <w:b/>
          <w:bCs/>
          <w:vertAlign w:val="superscript"/>
        </w:rPr>
        <w:t xml:space="preserve"> </w:t>
      </w:r>
      <w:r w:rsidRPr="00442DD5">
        <w:rPr>
          <w:bCs/>
        </w:rPr>
        <w:t>There are 6 different contact guides; one for office based, separately billing doctor, hospital, institution, and pharmacy provider types, and the two home care provider types</w:t>
      </w:r>
      <w:r w:rsidR="00B86503">
        <w:rPr>
          <w:bCs/>
        </w:rPr>
        <w:t xml:space="preserve">, which </w:t>
      </w:r>
      <w:r w:rsidRPr="00442DD5">
        <w:rPr>
          <w:bCs/>
        </w:rPr>
        <w:t>use the same contact guide.</w:t>
      </w:r>
    </w:p>
    <w:p w14:paraId="16ACCE56" w14:textId="7D0D008D" w:rsidR="00B326AB" w:rsidRPr="005622E0" w:rsidRDefault="00B326AB" w:rsidP="00B326AB">
      <w:pPr>
        <w:rPr>
          <w:rFonts w:ascii="Calibri" w:hAnsi="Calibri" w:cs="Calibri"/>
          <w:sz w:val="22"/>
          <w:szCs w:val="22"/>
        </w:rPr>
      </w:pPr>
      <w:r w:rsidRPr="005622E0">
        <w:rPr>
          <w:bCs/>
        </w:rPr>
        <w:t>***</w:t>
      </w:r>
      <w:r w:rsidRPr="005622E0">
        <w:rPr>
          <w:rFonts w:ascii="Calibri" w:hAnsi="Calibri" w:cs="Calibri"/>
          <w:sz w:val="22"/>
          <w:szCs w:val="22"/>
        </w:rPr>
        <w:t>The main SAQ estimate, longstanding based on length, experience, and respondent feedback is 7 minutes on average.  The mental health SAQ questions are a brief add-on question set to be administered at the time of the main SAQ.  These are much shorter in length and the estimate represents only the additional time to complete this item set.  Given the brevity and the fact that these items are appended to the SAQ task – to be completed at the same time - the estimate of 3.5 minutes is an accurate reflection of the addition burden for the mental health items. The MSAQ items will be completed by each adult individually while the CORE has a household respondent.  The main SAQ counts appear lower, or more in line with the core; however, these counts are split by gender.  The cumulative count for the main SAQ questionnaire for both men and women is close to 25,000 respondents – in line with the mental health SAQ respondent count.  Hard-copy collection tends to be by person while the main CAPI study has a household reporter – the hard-copy option facilitates by-person collection.</w:t>
      </w:r>
    </w:p>
    <w:p w14:paraId="312850B8" w14:textId="61F4D70B" w:rsidR="00B326AB" w:rsidRPr="005622E0" w:rsidRDefault="00B326AB" w:rsidP="00DB433B">
      <w:pPr>
        <w:tabs>
          <w:tab w:val="left" w:pos="0"/>
        </w:tabs>
        <w:rPr>
          <w:rFonts w:ascii="Calibri" w:hAnsi="Calibri" w:cs="Calibri"/>
          <w:sz w:val="22"/>
          <w:szCs w:val="22"/>
        </w:rPr>
      </w:pPr>
      <w:r w:rsidRPr="005622E0">
        <w:rPr>
          <w:bCs/>
        </w:rPr>
        <w:t>-</w:t>
      </w:r>
      <w:r w:rsidRPr="005622E0">
        <w:rPr>
          <w:rFonts w:ascii="Calibri" w:hAnsi="Calibri" w:cs="Calibri"/>
          <w:sz w:val="22"/>
          <w:szCs w:val="22"/>
        </w:rPr>
        <w:t>Initially, Supporting Statement A was completed by using one set of assumptions (based on interviews) and Supporting Statement B was completed using a different set of assumptions (based on respondents).  In the attached Supporting Statement B, Table 1 was revised using the same assumptions as in Exhibit 1 in Supporting Statement A to maintain consistency and to avoid any additional confusion. </w:t>
      </w:r>
    </w:p>
    <w:p w14:paraId="7C29FDE8" w14:textId="5849CD7B" w:rsidR="000D56C2" w:rsidRPr="005622E0" w:rsidRDefault="000D56C2" w:rsidP="000D56C2">
      <w:pPr>
        <w:pStyle w:val="ListParagraph"/>
        <w:ind w:left="0"/>
        <w:rPr>
          <w:rFonts w:ascii="Calibri" w:hAnsi="Calibri" w:cs="Calibri"/>
          <w:sz w:val="22"/>
          <w:szCs w:val="22"/>
        </w:rPr>
      </w:pPr>
      <w:r w:rsidRPr="005622E0">
        <w:rPr>
          <w:rFonts w:ascii="Calibri" w:hAnsi="Calibri" w:cs="Calibri"/>
          <w:sz w:val="22"/>
          <w:szCs w:val="22"/>
        </w:rPr>
        <w:t>**** The response rate estimate and incentive for the cost-sharing collection is based chiefly on the pilot work on this topic completed last year under separate contract.  This work explored cost-sharing collection with a convenience sample of roughly 100 respondents with insurance from a variety of private sources.  The pilot included cognitive interviews, focus groups and in-home interviews.  The pilot provided an incentive for participation at a rate of $65; however, this included travel to a survey facility and participation in an interview specific to the task.  Task compliance was moderate at these levels.  The results indicated a fairly significant burden level would be added by the inclusion of this task, and that burden may be experienced by someone other than the main HC survey respondent.  To offset that burden and protect the main HC response rate the pilot suggested a per-plan incentive to promote response, particularly given the other burden elements in the MEPS HC with regard to hard-copy collection.  Historical incentives for less burdensome tasks such as the SAQ also helped to inform the incentive level.  Additionally, response rate estimate are based on pilot results, historical response rates for other hard-copy form collection on the MEPS HC including authorization forms and SAQs, and current trends in the MEPS HC.</w:t>
      </w:r>
    </w:p>
    <w:p w14:paraId="71FE9E32" w14:textId="63690803" w:rsidR="000D56C2" w:rsidRPr="005622E0" w:rsidRDefault="000D56C2" w:rsidP="000D56C2">
      <w:pPr>
        <w:rPr>
          <w:rFonts w:ascii="Calibri" w:hAnsi="Calibri" w:cs="Calibri"/>
          <w:sz w:val="22"/>
          <w:szCs w:val="22"/>
        </w:rPr>
      </w:pPr>
    </w:p>
    <w:p w14:paraId="5007DA2D" w14:textId="77777777" w:rsidR="000D56C2" w:rsidRPr="005622E0" w:rsidRDefault="000D56C2" w:rsidP="000D56C2">
      <w:pPr>
        <w:rPr>
          <w:rFonts w:ascii="Calibri" w:hAnsi="Calibri" w:cs="Calibri"/>
          <w:sz w:val="22"/>
          <w:szCs w:val="22"/>
        </w:rPr>
      </w:pPr>
      <w:r w:rsidRPr="005622E0">
        <w:rPr>
          <w:rFonts w:ascii="Calibri" w:hAnsi="Calibri" w:cs="Calibri"/>
          <w:sz w:val="22"/>
          <w:szCs w:val="22"/>
        </w:rPr>
        <w:t>Multiple responses per person indicates a form or questionnaire is estimated to be completed more than one time for a percentage of respondents.  For instance, the cost-sharing task is plan based, not person based and may be completed by any covered person.  It is estimated a certain percentage of households have more than one eligible plan and the respondent or policyholder of both will complete multiple tasks.  While this is not the most common insurance arrangement, it significant enough to enumerate and provides the best estimate of burden for the average person responding.  In the case of other hard-copy forms listed, such as authorization forms, there are multiple forms per person on average.  These, specifically, are collected at the provider-person pair level, meaning a form for each medical provider seen by a given household member.  On average, multiple forms are collected during a given interview cycle to allow for MEPS MPC follow-up.  Where decimals exist, there are averages and the number of forms or questionnaires collected varies by person based on specific circumstances.</w:t>
      </w:r>
    </w:p>
    <w:p w14:paraId="08EAAD92" w14:textId="78A1B937" w:rsidR="000D56C2" w:rsidRPr="005622E0" w:rsidRDefault="000D56C2" w:rsidP="00DB433B">
      <w:pPr>
        <w:tabs>
          <w:tab w:val="left" w:pos="0"/>
        </w:tabs>
        <w:rPr>
          <w:bCs/>
        </w:rPr>
      </w:pPr>
    </w:p>
    <w:p w14:paraId="57E9B2C1" w14:textId="77777777" w:rsidR="00DB433B" w:rsidRPr="005622E0" w:rsidRDefault="00DB433B" w:rsidP="00DB433B">
      <w:pPr>
        <w:tabs>
          <w:tab w:val="left" w:pos="0"/>
        </w:tabs>
        <w:rPr>
          <w:bCs/>
        </w:rPr>
      </w:pPr>
    </w:p>
    <w:p w14:paraId="3B7B7546" w14:textId="34B29C6F" w:rsidR="00DB433B" w:rsidRPr="005622E0" w:rsidRDefault="00DB433B" w:rsidP="00DB433B">
      <w:r w:rsidRPr="005622E0">
        <w:t xml:space="preserve">The total estimated annual burden hours for the MEPS has </w:t>
      </w:r>
      <w:r w:rsidR="00E2119E" w:rsidRPr="005622E0">
        <w:t xml:space="preserve">increased </w:t>
      </w:r>
      <w:r w:rsidRPr="005622E0">
        <w:t xml:space="preserve">from </w:t>
      </w:r>
      <w:r w:rsidR="00E2119E" w:rsidRPr="005622E0">
        <w:t>77,666</w:t>
      </w:r>
      <w:r w:rsidRPr="005622E0">
        <w:t xml:space="preserve"> hours in the previous clearance to </w:t>
      </w:r>
      <w:r w:rsidR="00062555" w:rsidRPr="005622E0">
        <w:rPr>
          <w:bCs/>
        </w:rPr>
        <w:t>84,</w:t>
      </w:r>
      <w:r w:rsidR="009935CB" w:rsidRPr="005622E0">
        <w:rPr>
          <w:bCs/>
        </w:rPr>
        <w:t>930</w:t>
      </w:r>
      <w:r w:rsidRPr="005622E0">
        <w:t xml:space="preserve"> hours in this clearance request, </w:t>
      </w:r>
      <w:r w:rsidR="009935CB" w:rsidRPr="005622E0">
        <w:t>a difference</w:t>
      </w:r>
      <w:r w:rsidR="00E2119E" w:rsidRPr="005622E0">
        <w:t xml:space="preserve"> of </w:t>
      </w:r>
      <w:r w:rsidR="009935CB" w:rsidRPr="005622E0">
        <w:t>7,264</w:t>
      </w:r>
      <w:r w:rsidR="00E2119E" w:rsidRPr="005622E0">
        <w:t xml:space="preserve"> </w:t>
      </w:r>
      <w:r w:rsidRPr="005622E0">
        <w:t>hours</w:t>
      </w:r>
      <w:r w:rsidR="009935CB" w:rsidRPr="005622E0">
        <w:t>.  Th</w:t>
      </w:r>
      <w:r w:rsidR="00E2119E" w:rsidRPr="005622E0">
        <w:t xml:space="preserve">e addition of </w:t>
      </w:r>
      <w:r w:rsidR="009C66D9" w:rsidRPr="005622E0">
        <w:t xml:space="preserve">1,194 hours due to the addition of </w:t>
      </w:r>
      <w:r w:rsidR="00E2119E" w:rsidRPr="005622E0">
        <w:t xml:space="preserve">Mental Health </w:t>
      </w:r>
      <w:r w:rsidR="009C66D9" w:rsidRPr="005622E0">
        <w:t xml:space="preserve">questions to the Adult </w:t>
      </w:r>
      <w:r w:rsidR="00E2119E" w:rsidRPr="005622E0">
        <w:t>SAQ</w:t>
      </w:r>
      <w:r w:rsidR="009C66D9" w:rsidRPr="005622E0">
        <w:t xml:space="preserve"> (Male/Female)</w:t>
      </w:r>
      <w:r w:rsidR="00207198" w:rsidRPr="005622E0">
        <w:t xml:space="preserve">, </w:t>
      </w:r>
      <w:r w:rsidR="001304D4" w:rsidRPr="005622E0">
        <w:t>6,101</w:t>
      </w:r>
      <w:r w:rsidR="001E5F59" w:rsidRPr="005622E0">
        <w:t xml:space="preserve"> </w:t>
      </w:r>
      <w:r w:rsidR="009935CB" w:rsidRPr="005622E0">
        <w:t>additional</w:t>
      </w:r>
      <w:r w:rsidR="001E5F59" w:rsidRPr="005622E0">
        <w:t xml:space="preserve"> hours due to the health insurance cost sharing </w:t>
      </w:r>
      <w:r w:rsidR="00207198" w:rsidRPr="005622E0">
        <w:t>c</w:t>
      </w:r>
      <w:r w:rsidR="001E5F59" w:rsidRPr="005622E0">
        <w:t>ollection</w:t>
      </w:r>
      <w:r w:rsidR="00207198" w:rsidRPr="005622E0">
        <w:t xml:space="preserve">, and </w:t>
      </w:r>
      <w:r w:rsidR="009935CB" w:rsidRPr="005622E0">
        <w:t>307</w:t>
      </w:r>
      <w:r w:rsidR="00207198" w:rsidRPr="005622E0">
        <w:t xml:space="preserve"> </w:t>
      </w:r>
      <w:r w:rsidR="009935CB" w:rsidRPr="005622E0">
        <w:t>additional</w:t>
      </w:r>
      <w:r w:rsidR="00207198" w:rsidRPr="005622E0">
        <w:t xml:space="preserve"> hours due to the pilot test on sampling NHIS nonrespondents</w:t>
      </w:r>
      <w:r w:rsidR="009935CB" w:rsidRPr="005622E0">
        <w:t xml:space="preserve"> account for the difference</w:t>
      </w:r>
      <w:r w:rsidR="00E2119E" w:rsidRPr="005622E0">
        <w:t>.</w:t>
      </w:r>
      <w:r w:rsidRPr="005622E0">
        <w:t xml:space="preserve">   </w:t>
      </w:r>
      <w:r w:rsidR="000B615C" w:rsidRPr="005622E0">
        <w:t>While the burden associated with these added tasks totals 7,602 hours, reductions in other burden estimates leave a net difference of 7,264 hours overall.</w:t>
      </w:r>
    </w:p>
    <w:p w14:paraId="0A4ECC22" w14:textId="77777777" w:rsidR="00DB433B" w:rsidRPr="005622E0" w:rsidRDefault="00DB433B" w:rsidP="00DB433B">
      <w:pPr>
        <w:tabs>
          <w:tab w:val="left" w:pos="0"/>
        </w:tabs>
        <w:rPr>
          <w:bCs/>
        </w:rPr>
      </w:pPr>
    </w:p>
    <w:p w14:paraId="0BF9F5B1" w14:textId="77777777" w:rsidR="00DB433B" w:rsidRPr="005622E0" w:rsidRDefault="00DB433B" w:rsidP="00DB433B">
      <w:pPr>
        <w:tabs>
          <w:tab w:val="left" w:pos="0"/>
        </w:tabs>
        <w:rPr>
          <w:b/>
          <w:bCs/>
        </w:rPr>
      </w:pPr>
    </w:p>
    <w:p w14:paraId="0F5349C4" w14:textId="77777777" w:rsidR="00DB433B" w:rsidRPr="005622E0" w:rsidRDefault="00DB433B" w:rsidP="00DB433B">
      <w:pPr>
        <w:tabs>
          <w:tab w:val="left" w:pos="0"/>
        </w:tabs>
        <w:rPr>
          <w:b/>
          <w:bCs/>
        </w:rPr>
      </w:pPr>
      <w:r w:rsidRPr="005622E0">
        <w:rPr>
          <w:b/>
          <w:bCs/>
        </w:rPr>
        <w:t>Exhibit 2.  Estimated annualized cost burden</w:t>
      </w:r>
    </w:p>
    <w:tbl>
      <w:tblPr>
        <w:tblW w:w="0" w:type="auto"/>
        <w:tblCellMar>
          <w:left w:w="0" w:type="dxa"/>
          <w:right w:w="0" w:type="dxa"/>
        </w:tblCellMar>
        <w:tblLook w:val="0000" w:firstRow="0" w:lastRow="0" w:firstColumn="0" w:lastColumn="0" w:noHBand="0" w:noVBand="0"/>
      </w:tblPr>
      <w:tblGrid>
        <w:gridCol w:w="3179"/>
        <w:gridCol w:w="1656"/>
        <w:gridCol w:w="1536"/>
        <w:gridCol w:w="1493"/>
        <w:gridCol w:w="2196"/>
      </w:tblGrid>
      <w:tr w:rsidR="00DB433B" w:rsidRPr="005622E0" w14:paraId="104EAB94" w14:textId="77777777" w:rsidTr="00FD5D3B">
        <w:tc>
          <w:tcPr>
            <w:tcW w:w="317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9419C1A" w14:textId="77777777" w:rsidR="00DB433B" w:rsidRPr="005622E0" w:rsidRDefault="00DB433B" w:rsidP="007C039F">
            <w:pPr>
              <w:tabs>
                <w:tab w:val="left" w:pos="0"/>
              </w:tabs>
              <w:rPr>
                <w:bCs/>
              </w:rPr>
            </w:pPr>
            <w:r w:rsidRPr="005622E0">
              <w:rPr>
                <w:bCs/>
              </w:rPr>
              <w:t>Form Name</w:t>
            </w:r>
          </w:p>
        </w:tc>
        <w:tc>
          <w:tcPr>
            <w:tcW w:w="165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50E5841" w14:textId="77777777" w:rsidR="00DB433B" w:rsidRPr="005622E0" w:rsidRDefault="00DB433B" w:rsidP="007C039F">
            <w:pPr>
              <w:tabs>
                <w:tab w:val="left" w:pos="0"/>
              </w:tabs>
              <w:rPr>
                <w:bCs/>
              </w:rPr>
            </w:pPr>
            <w:r w:rsidRPr="005622E0">
              <w:rPr>
                <w:bCs/>
              </w:rPr>
              <w:t>Number of Respondents</w:t>
            </w:r>
          </w:p>
        </w:tc>
        <w:tc>
          <w:tcPr>
            <w:tcW w:w="15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25C820B" w14:textId="77777777" w:rsidR="00DB433B" w:rsidRPr="005622E0" w:rsidRDefault="00DB433B" w:rsidP="007C039F">
            <w:pPr>
              <w:tabs>
                <w:tab w:val="left" w:pos="0"/>
              </w:tabs>
              <w:rPr>
                <w:bCs/>
              </w:rPr>
            </w:pPr>
            <w:r w:rsidRPr="005622E0">
              <w:rPr>
                <w:bCs/>
              </w:rPr>
              <w:t>Total Burden hours</w:t>
            </w:r>
          </w:p>
        </w:tc>
        <w:tc>
          <w:tcPr>
            <w:tcW w:w="149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1F59DF7" w14:textId="77777777" w:rsidR="00DB433B" w:rsidRPr="005622E0" w:rsidRDefault="00DB433B" w:rsidP="007C039F">
            <w:pPr>
              <w:tabs>
                <w:tab w:val="left" w:pos="0"/>
              </w:tabs>
              <w:rPr>
                <w:bCs/>
              </w:rPr>
            </w:pPr>
            <w:r w:rsidRPr="005622E0">
              <w:rPr>
                <w:bCs/>
              </w:rPr>
              <w:t>Average Hourly Wage Rate</w:t>
            </w:r>
          </w:p>
        </w:tc>
        <w:tc>
          <w:tcPr>
            <w:tcW w:w="21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6B9C887" w14:textId="77777777" w:rsidR="00DB433B" w:rsidRPr="005622E0" w:rsidRDefault="00DB433B" w:rsidP="007C039F">
            <w:pPr>
              <w:tabs>
                <w:tab w:val="left" w:pos="0"/>
              </w:tabs>
              <w:rPr>
                <w:bCs/>
              </w:rPr>
            </w:pPr>
            <w:r w:rsidRPr="005622E0">
              <w:rPr>
                <w:bCs/>
              </w:rPr>
              <w:t>Total  Cost Burden</w:t>
            </w:r>
          </w:p>
        </w:tc>
      </w:tr>
      <w:tr w:rsidR="00DB433B" w:rsidRPr="005622E0" w14:paraId="1A2E2794" w14:textId="77777777" w:rsidTr="00FD5D3B">
        <w:tc>
          <w:tcPr>
            <w:tcW w:w="10060" w:type="dxa"/>
            <w:gridSpan w:val="5"/>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tcPr>
          <w:p w14:paraId="3518F9A6" w14:textId="77777777" w:rsidR="00DB433B" w:rsidRPr="005622E0" w:rsidRDefault="00DB433B" w:rsidP="007C039F">
            <w:pPr>
              <w:tabs>
                <w:tab w:val="left" w:pos="0"/>
              </w:tabs>
              <w:rPr>
                <w:bCs/>
              </w:rPr>
            </w:pPr>
            <w:r w:rsidRPr="005622E0">
              <w:rPr>
                <w:b/>
                <w:bCs/>
              </w:rPr>
              <w:t>MEPS-HC</w:t>
            </w:r>
          </w:p>
        </w:tc>
      </w:tr>
      <w:tr w:rsidR="00DB433B" w:rsidRPr="005622E0" w14:paraId="2BACE343" w14:textId="77777777" w:rsidTr="004F24C9">
        <w:tc>
          <w:tcPr>
            <w:tcW w:w="31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7B11D2C" w14:textId="77777777" w:rsidR="00DB433B" w:rsidRPr="005622E0" w:rsidRDefault="00DB433B" w:rsidP="007C039F">
            <w:pPr>
              <w:tabs>
                <w:tab w:val="left" w:pos="0"/>
              </w:tabs>
              <w:rPr>
                <w:bCs/>
              </w:rPr>
            </w:pPr>
            <w:r w:rsidRPr="005622E0">
              <w:rPr>
                <w:bCs/>
              </w:rPr>
              <w:t>MEPS-HC Core Interview</w:t>
            </w:r>
          </w:p>
        </w:tc>
        <w:tc>
          <w:tcPr>
            <w:tcW w:w="1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0B91AF7" w14:textId="77777777" w:rsidR="00DB433B" w:rsidRPr="005622E0" w:rsidRDefault="00DB433B" w:rsidP="007C039F">
            <w:pPr>
              <w:tabs>
                <w:tab w:val="left" w:pos="0"/>
              </w:tabs>
              <w:jc w:val="right"/>
              <w:rPr>
                <w:bCs/>
              </w:rPr>
            </w:pPr>
            <w:r w:rsidRPr="005622E0">
              <w:rPr>
                <w:bCs/>
              </w:rPr>
              <w:t>13,338</w:t>
            </w:r>
            <w:r w:rsidR="00FA0741" w:rsidRPr="005622E0">
              <w:rPr>
                <w:bCs/>
                <w:vertAlign w:val="superscript"/>
              </w:rPr>
              <w:t>*</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84C6AD8" w14:textId="77777777" w:rsidR="00DB433B" w:rsidRPr="005622E0" w:rsidRDefault="00DB433B" w:rsidP="007C039F">
            <w:pPr>
              <w:tabs>
                <w:tab w:val="left" w:pos="0"/>
              </w:tabs>
              <w:jc w:val="right"/>
              <w:rPr>
                <w:bCs/>
              </w:rPr>
            </w:pPr>
            <w:r w:rsidRPr="005622E0">
              <w:rPr>
                <w:bCs/>
              </w:rPr>
              <w:t>51,129</w:t>
            </w:r>
          </w:p>
        </w:tc>
        <w:tc>
          <w:tcPr>
            <w:tcW w:w="14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6ABB6A2" w14:textId="77777777" w:rsidR="00DB433B" w:rsidRPr="005622E0" w:rsidRDefault="00DB433B" w:rsidP="007C039F">
            <w:pPr>
              <w:tabs>
                <w:tab w:val="left" w:pos="0"/>
              </w:tabs>
              <w:jc w:val="right"/>
              <w:rPr>
                <w:bCs/>
                <w:vertAlign w:val="superscript"/>
              </w:rPr>
            </w:pPr>
            <w:r w:rsidRPr="005622E0">
              <w:rPr>
                <w:bCs/>
              </w:rPr>
              <w:t>$24.34*</w:t>
            </w:r>
          </w:p>
        </w:tc>
        <w:tc>
          <w:tcPr>
            <w:tcW w:w="21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48A60B5" w14:textId="4328173B" w:rsidR="00DB433B" w:rsidRPr="005622E0" w:rsidRDefault="00DB433B" w:rsidP="007C039F">
            <w:pPr>
              <w:tabs>
                <w:tab w:val="left" w:pos="0"/>
              </w:tabs>
              <w:jc w:val="right"/>
              <w:rPr>
                <w:bCs/>
              </w:rPr>
            </w:pPr>
            <w:r w:rsidRPr="005622E0">
              <w:rPr>
                <w:bCs/>
              </w:rPr>
              <w:t>$</w:t>
            </w:r>
            <w:r w:rsidRPr="005622E0">
              <w:t>1,244,</w:t>
            </w:r>
            <w:r w:rsidR="00FA0741" w:rsidRPr="005622E0">
              <w:t>479</w:t>
            </w:r>
          </w:p>
        </w:tc>
      </w:tr>
      <w:tr w:rsidR="00DB433B" w:rsidRPr="005622E0" w14:paraId="11EC9C04" w14:textId="77777777" w:rsidTr="00FD5D3B">
        <w:tc>
          <w:tcPr>
            <w:tcW w:w="31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2973D36" w14:textId="77777777" w:rsidR="00DB433B" w:rsidRPr="005622E0" w:rsidRDefault="00DB433B" w:rsidP="007C039F">
            <w:pPr>
              <w:tabs>
                <w:tab w:val="left" w:pos="0"/>
              </w:tabs>
              <w:rPr>
                <w:bCs/>
              </w:rPr>
            </w:pPr>
            <w:r w:rsidRPr="005622E0">
              <w:rPr>
                <w:bCs/>
              </w:rPr>
              <w:t>Adult Female SAQ (PSAQ) - Years 2019 and 2021; Adult SAQ (SAQ) - Year 2020</w:t>
            </w:r>
          </w:p>
        </w:tc>
        <w:tc>
          <w:tcPr>
            <w:tcW w:w="165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F13F91E" w14:textId="77777777" w:rsidR="00DB433B" w:rsidRPr="005622E0" w:rsidRDefault="00DB433B" w:rsidP="007C039F">
            <w:pPr>
              <w:tabs>
                <w:tab w:val="left" w:pos="0"/>
              </w:tabs>
              <w:jc w:val="right"/>
              <w:rPr>
                <w:bCs/>
              </w:rPr>
            </w:pPr>
            <w:r w:rsidRPr="005622E0">
              <w:rPr>
                <w:bCs/>
              </w:rPr>
              <w:t>12,984</w:t>
            </w:r>
          </w:p>
        </w:tc>
        <w:tc>
          <w:tcPr>
            <w:tcW w:w="15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C48A5B9" w14:textId="77777777" w:rsidR="00DB433B" w:rsidRPr="005622E0" w:rsidRDefault="00DB433B" w:rsidP="007C039F">
            <w:pPr>
              <w:tabs>
                <w:tab w:val="left" w:pos="0"/>
              </w:tabs>
              <w:jc w:val="right"/>
              <w:rPr>
                <w:bCs/>
              </w:rPr>
            </w:pPr>
            <w:r w:rsidRPr="005622E0">
              <w:rPr>
                <w:bCs/>
              </w:rPr>
              <w:t>1,515</w:t>
            </w:r>
          </w:p>
        </w:tc>
        <w:tc>
          <w:tcPr>
            <w:tcW w:w="149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A0AA264" w14:textId="77777777" w:rsidR="00DB433B" w:rsidRPr="005622E0" w:rsidRDefault="00DB433B" w:rsidP="007C039F">
            <w:pPr>
              <w:jc w:val="right"/>
            </w:pPr>
            <w:r w:rsidRPr="005622E0">
              <w:rPr>
                <w:bCs/>
              </w:rPr>
              <w:t>$24.34*</w:t>
            </w:r>
          </w:p>
        </w:tc>
        <w:tc>
          <w:tcPr>
            <w:tcW w:w="21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504BDA8" w14:textId="77777777" w:rsidR="00DB433B" w:rsidRPr="005622E0" w:rsidRDefault="00DB433B" w:rsidP="007C039F">
            <w:pPr>
              <w:tabs>
                <w:tab w:val="left" w:pos="0"/>
              </w:tabs>
              <w:jc w:val="right"/>
              <w:rPr>
                <w:bCs/>
              </w:rPr>
            </w:pPr>
            <w:r w:rsidRPr="005622E0">
              <w:t>$36,875</w:t>
            </w:r>
          </w:p>
        </w:tc>
      </w:tr>
      <w:tr w:rsidR="00DB433B" w:rsidRPr="005622E0" w14:paraId="65357C2A" w14:textId="77777777" w:rsidTr="004F24C9">
        <w:tc>
          <w:tcPr>
            <w:tcW w:w="31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2A11F5" w14:textId="77777777" w:rsidR="00DB433B" w:rsidRPr="005622E0" w:rsidRDefault="00DB433B" w:rsidP="007C039F">
            <w:pPr>
              <w:tabs>
                <w:tab w:val="left" w:pos="0"/>
              </w:tabs>
              <w:rPr>
                <w:bCs/>
              </w:rPr>
            </w:pPr>
            <w:r w:rsidRPr="005622E0">
              <w:rPr>
                <w:bCs/>
              </w:rPr>
              <w:t>Adult Male SAQ (PSAQ) - Years 2019 and 2021; Adult SAQ (SAQ) -Year 2020</w:t>
            </w:r>
          </w:p>
        </w:tc>
        <w:tc>
          <w:tcPr>
            <w:tcW w:w="165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1FFA8F1" w14:textId="77777777" w:rsidR="00DB433B" w:rsidRPr="005622E0" w:rsidRDefault="00DB433B" w:rsidP="007C039F">
            <w:pPr>
              <w:tabs>
                <w:tab w:val="left" w:pos="0"/>
              </w:tabs>
              <w:jc w:val="right"/>
              <w:rPr>
                <w:bCs/>
              </w:rPr>
            </w:pPr>
            <w:r w:rsidRPr="005622E0">
              <w:rPr>
                <w:bCs/>
              </w:rPr>
              <w:t>11,985</w:t>
            </w:r>
          </w:p>
        </w:tc>
        <w:tc>
          <w:tcPr>
            <w:tcW w:w="15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800DD3A" w14:textId="77777777" w:rsidR="00DB433B" w:rsidRPr="005622E0" w:rsidRDefault="00DB433B" w:rsidP="007C039F">
            <w:pPr>
              <w:tabs>
                <w:tab w:val="left" w:pos="0"/>
              </w:tabs>
              <w:jc w:val="right"/>
              <w:rPr>
                <w:bCs/>
              </w:rPr>
            </w:pPr>
            <w:r w:rsidRPr="005622E0">
              <w:rPr>
                <w:bCs/>
              </w:rPr>
              <w:t>1,398</w:t>
            </w:r>
          </w:p>
        </w:tc>
        <w:tc>
          <w:tcPr>
            <w:tcW w:w="149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433ABF8" w14:textId="77777777" w:rsidR="00DB433B" w:rsidRPr="005622E0" w:rsidRDefault="00DB433B" w:rsidP="007C039F">
            <w:pPr>
              <w:jc w:val="right"/>
              <w:rPr>
                <w:bCs/>
              </w:rPr>
            </w:pPr>
            <w:r w:rsidRPr="005622E0">
              <w:rPr>
                <w:bCs/>
              </w:rPr>
              <w:t>$24.34*</w:t>
            </w:r>
          </w:p>
        </w:tc>
        <w:tc>
          <w:tcPr>
            <w:tcW w:w="21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D59483E" w14:textId="77777777" w:rsidR="00DB433B" w:rsidRPr="005622E0" w:rsidRDefault="00DB433B" w:rsidP="007C039F">
            <w:pPr>
              <w:tabs>
                <w:tab w:val="left" w:pos="0"/>
              </w:tabs>
              <w:jc w:val="right"/>
              <w:rPr>
                <w:bCs/>
              </w:rPr>
            </w:pPr>
            <w:r w:rsidRPr="005622E0">
              <w:rPr>
                <w:bCs/>
              </w:rPr>
              <w:t>$34,027</w:t>
            </w:r>
          </w:p>
        </w:tc>
      </w:tr>
      <w:tr w:rsidR="00DB433B" w:rsidRPr="005622E0" w14:paraId="2A8132C7" w14:textId="77777777" w:rsidTr="004F24C9">
        <w:tc>
          <w:tcPr>
            <w:tcW w:w="31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FE94B05" w14:textId="77777777" w:rsidR="00DB433B" w:rsidRPr="005622E0" w:rsidRDefault="00DB433B" w:rsidP="007C039F">
            <w:pPr>
              <w:tabs>
                <w:tab w:val="left" w:pos="0"/>
              </w:tabs>
              <w:rPr>
                <w:bCs/>
              </w:rPr>
            </w:pPr>
            <w:r w:rsidRPr="005622E0">
              <w:rPr>
                <w:bCs/>
              </w:rPr>
              <w:t>Diabetes care SAQ</w:t>
            </w:r>
          </w:p>
        </w:tc>
        <w:tc>
          <w:tcPr>
            <w:tcW w:w="1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3EFF102" w14:textId="77777777" w:rsidR="00DB433B" w:rsidRPr="005622E0" w:rsidRDefault="00DB433B" w:rsidP="007C039F">
            <w:pPr>
              <w:tabs>
                <w:tab w:val="left" w:pos="0"/>
              </w:tabs>
              <w:jc w:val="right"/>
              <w:rPr>
                <w:bCs/>
              </w:rPr>
            </w:pPr>
            <w:r w:rsidRPr="005622E0">
              <w:rPr>
                <w:bCs/>
              </w:rPr>
              <w:t>2,072</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6FDACAC" w14:textId="77777777" w:rsidR="00DB433B" w:rsidRPr="005622E0" w:rsidRDefault="00DB433B" w:rsidP="007C039F">
            <w:pPr>
              <w:tabs>
                <w:tab w:val="left" w:pos="0"/>
              </w:tabs>
              <w:jc w:val="right"/>
              <w:rPr>
                <w:bCs/>
              </w:rPr>
            </w:pPr>
            <w:r w:rsidRPr="005622E0">
              <w:rPr>
                <w:bCs/>
              </w:rPr>
              <w:t>104</w:t>
            </w:r>
          </w:p>
        </w:tc>
        <w:tc>
          <w:tcPr>
            <w:tcW w:w="149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CD61F3F" w14:textId="77777777" w:rsidR="00DB433B" w:rsidRPr="005622E0" w:rsidRDefault="00DB433B" w:rsidP="007C039F">
            <w:pPr>
              <w:jc w:val="right"/>
            </w:pPr>
            <w:r w:rsidRPr="005622E0">
              <w:rPr>
                <w:bCs/>
              </w:rPr>
              <w:t>$24.34*</w:t>
            </w:r>
          </w:p>
        </w:tc>
        <w:tc>
          <w:tcPr>
            <w:tcW w:w="21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D7988C8" w14:textId="77777777" w:rsidR="00DB433B" w:rsidRPr="005622E0" w:rsidRDefault="00DB433B" w:rsidP="007C039F">
            <w:pPr>
              <w:tabs>
                <w:tab w:val="left" w:pos="0"/>
              </w:tabs>
              <w:jc w:val="right"/>
              <w:rPr>
                <w:bCs/>
              </w:rPr>
            </w:pPr>
            <w:r w:rsidRPr="005622E0">
              <w:rPr>
                <w:bCs/>
              </w:rPr>
              <w:t>$2,531</w:t>
            </w:r>
          </w:p>
        </w:tc>
      </w:tr>
      <w:tr w:rsidR="00DB433B" w:rsidRPr="005622E0" w14:paraId="646466C4" w14:textId="77777777" w:rsidTr="004F24C9">
        <w:tc>
          <w:tcPr>
            <w:tcW w:w="31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AC897E6" w14:textId="252F9C90" w:rsidR="00DB433B" w:rsidRPr="005622E0" w:rsidRDefault="00DB433B" w:rsidP="003E5BBA">
            <w:pPr>
              <w:tabs>
                <w:tab w:val="left" w:pos="0"/>
              </w:tabs>
            </w:pPr>
            <w:r w:rsidRPr="005622E0">
              <w:t>M</w:t>
            </w:r>
            <w:r w:rsidR="00E2119E" w:rsidRPr="005622E0">
              <w:t xml:space="preserve">ental Health </w:t>
            </w:r>
            <w:r w:rsidR="00453E90" w:rsidRPr="005622E0">
              <w:t xml:space="preserve">Questions </w:t>
            </w:r>
            <w:r w:rsidR="00654D06" w:rsidRPr="005622E0">
              <w:t>Included</w:t>
            </w:r>
            <w:r w:rsidR="00453E90" w:rsidRPr="005622E0">
              <w:t xml:space="preserve"> in </w:t>
            </w:r>
            <w:r w:rsidR="005A295E" w:rsidRPr="005622E0">
              <w:t xml:space="preserve">Adult </w:t>
            </w:r>
            <w:r w:rsidR="00FA0741" w:rsidRPr="005622E0">
              <w:rPr>
                <w:bCs/>
              </w:rPr>
              <w:t>SAQ</w:t>
            </w:r>
            <w:r w:rsidR="003E5BBA" w:rsidRPr="005622E0">
              <w:rPr>
                <w:bCs/>
              </w:rPr>
              <w:t xml:space="preserve"> </w:t>
            </w:r>
            <w:r w:rsidR="00C67BCD" w:rsidRPr="005622E0">
              <w:rPr>
                <w:bCs/>
              </w:rPr>
              <w:t>(</w:t>
            </w:r>
            <w:r w:rsidR="003E5BBA" w:rsidRPr="005622E0">
              <w:rPr>
                <w:bCs/>
              </w:rPr>
              <w:t>Male/Female)</w:t>
            </w:r>
            <w:r w:rsidRPr="005622E0">
              <w:t xml:space="preserve"> – Year 2020</w:t>
            </w:r>
          </w:p>
        </w:tc>
        <w:tc>
          <w:tcPr>
            <w:tcW w:w="1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C7800DD" w14:textId="2E9606AC" w:rsidR="00DB433B" w:rsidRPr="005622E0" w:rsidRDefault="00FA0741" w:rsidP="007C039F">
            <w:pPr>
              <w:tabs>
                <w:tab w:val="left" w:pos="0"/>
              </w:tabs>
              <w:jc w:val="right"/>
            </w:pPr>
            <w:r w:rsidRPr="005622E0">
              <w:rPr>
                <w:bCs/>
              </w:rPr>
              <w:t>20,476</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2C5DB80" w14:textId="4C8ABD77" w:rsidR="00DB433B" w:rsidRPr="005622E0" w:rsidRDefault="00FA0741" w:rsidP="007C039F">
            <w:pPr>
              <w:tabs>
                <w:tab w:val="left" w:pos="0"/>
              </w:tabs>
              <w:jc w:val="right"/>
            </w:pPr>
            <w:r w:rsidRPr="005622E0">
              <w:rPr>
                <w:bCs/>
              </w:rPr>
              <w:t>1,194</w:t>
            </w:r>
          </w:p>
        </w:tc>
        <w:tc>
          <w:tcPr>
            <w:tcW w:w="149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B82A6B3" w14:textId="77777777" w:rsidR="00DB433B" w:rsidRPr="005622E0" w:rsidRDefault="00DB433B" w:rsidP="007C039F">
            <w:pPr>
              <w:jc w:val="right"/>
            </w:pPr>
            <w:r w:rsidRPr="005622E0">
              <w:t>$24.34*</w:t>
            </w:r>
          </w:p>
        </w:tc>
        <w:tc>
          <w:tcPr>
            <w:tcW w:w="21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E41FBC5" w14:textId="019354ED" w:rsidR="00DB433B" w:rsidRPr="005622E0" w:rsidRDefault="00DB433B" w:rsidP="007C039F">
            <w:pPr>
              <w:tabs>
                <w:tab w:val="left" w:pos="0"/>
              </w:tabs>
              <w:jc w:val="right"/>
            </w:pPr>
            <w:r w:rsidRPr="005622E0">
              <w:t>$</w:t>
            </w:r>
            <w:r w:rsidR="00FA0741" w:rsidRPr="005622E0">
              <w:t>29,062</w:t>
            </w:r>
          </w:p>
        </w:tc>
      </w:tr>
      <w:tr w:rsidR="00DB433B" w:rsidRPr="005622E0" w14:paraId="33805EB2" w14:textId="77777777" w:rsidTr="004F24C9">
        <w:tc>
          <w:tcPr>
            <w:tcW w:w="31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AC761DD" w14:textId="77777777" w:rsidR="00DB433B" w:rsidRPr="005622E0" w:rsidRDefault="00DB433B" w:rsidP="007C039F">
            <w:pPr>
              <w:tabs>
                <w:tab w:val="left" w:pos="0"/>
              </w:tabs>
              <w:rPr>
                <w:bCs/>
              </w:rPr>
            </w:pPr>
            <w:r w:rsidRPr="005622E0">
              <w:rPr>
                <w:bCs/>
              </w:rPr>
              <w:t>Authorization forms for the MEPS-MPC Provider Survey</w:t>
            </w:r>
          </w:p>
        </w:tc>
        <w:tc>
          <w:tcPr>
            <w:tcW w:w="1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E02545E" w14:textId="77777777" w:rsidR="00DB433B" w:rsidRPr="005622E0" w:rsidRDefault="00DB433B" w:rsidP="007C039F">
            <w:pPr>
              <w:tabs>
                <w:tab w:val="left" w:pos="0"/>
              </w:tabs>
              <w:jc w:val="right"/>
              <w:rPr>
                <w:bCs/>
              </w:rPr>
            </w:pPr>
            <w:r w:rsidRPr="005622E0">
              <w:rPr>
                <w:bCs/>
              </w:rPr>
              <w:t>12,804</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A6B885E" w14:textId="77777777" w:rsidR="00DB433B" w:rsidRPr="005622E0" w:rsidRDefault="00DB433B" w:rsidP="007C039F">
            <w:pPr>
              <w:tabs>
                <w:tab w:val="left" w:pos="0"/>
              </w:tabs>
              <w:jc w:val="right"/>
              <w:rPr>
                <w:bCs/>
              </w:rPr>
            </w:pPr>
            <w:r w:rsidRPr="005622E0">
              <w:rPr>
                <w:bCs/>
              </w:rPr>
              <w:t>3,457</w:t>
            </w:r>
          </w:p>
        </w:tc>
        <w:tc>
          <w:tcPr>
            <w:tcW w:w="149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A5B5F68" w14:textId="77777777" w:rsidR="00DB433B" w:rsidRPr="005622E0" w:rsidRDefault="00DB433B" w:rsidP="007C039F">
            <w:pPr>
              <w:jc w:val="right"/>
            </w:pPr>
            <w:r w:rsidRPr="005622E0">
              <w:rPr>
                <w:bCs/>
              </w:rPr>
              <w:t>$24.34*</w:t>
            </w:r>
          </w:p>
        </w:tc>
        <w:tc>
          <w:tcPr>
            <w:tcW w:w="21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E67E9C7" w14:textId="77777777" w:rsidR="00DB433B" w:rsidRPr="005622E0" w:rsidRDefault="00DB433B" w:rsidP="007C039F">
            <w:pPr>
              <w:tabs>
                <w:tab w:val="left" w:pos="0"/>
              </w:tabs>
              <w:jc w:val="right"/>
              <w:rPr>
                <w:bCs/>
              </w:rPr>
            </w:pPr>
            <w:r w:rsidRPr="005622E0">
              <w:rPr>
                <w:bCs/>
              </w:rPr>
              <w:t>$84,143</w:t>
            </w:r>
          </w:p>
        </w:tc>
      </w:tr>
      <w:tr w:rsidR="00DB433B" w:rsidRPr="005622E0" w14:paraId="399C7086" w14:textId="77777777" w:rsidTr="004F24C9">
        <w:tc>
          <w:tcPr>
            <w:tcW w:w="31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EBD9F9D" w14:textId="77777777" w:rsidR="00DB433B" w:rsidRPr="005622E0" w:rsidRDefault="00DB433B" w:rsidP="007C039F">
            <w:pPr>
              <w:tabs>
                <w:tab w:val="left" w:pos="0"/>
              </w:tabs>
              <w:rPr>
                <w:bCs/>
              </w:rPr>
            </w:pPr>
            <w:r w:rsidRPr="005622E0">
              <w:rPr>
                <w:bCs/>
              </w:rPr>
              <w:t>Authorization form for the MEPS-MPC Pharmacy Survey</w:t>
            </w:r>
          </w:p>
        </w:tc>
        <w:tc>
          <w:tcPr>
            <w:tcW w:w="1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BA138C8" w14:textId="77777777" w:rsidR="00DB433B" w:rsidRPr="005622E0" w:rsidRDefault="00DB433B" w:rsidP="007C039F">
            <w:pPr>
              <w:tabs>
                <w:tab w:val="left" w:pos="0"/>
              </w:tabs>
              <w:jc w:val="right"/>
              <w:rPr>
                <w:bCs/>
              </w:rPr>
            </w:pPr>
            <w:r w:rsidRPr="005622E0">
              <w:rPr>
                <w:bCs/>
              </w:rPr>
              <w:t>12,804</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30C15F7" w14:textId="77777777" w:rsidR="00DB433B" w:rsidRPr="005622E0" w:rsidRDefault="00DB433B" w:rsidP="007C039F">
            <w:pPr>
              <w:tabs>
                <w:tab w:val="left" w:pos="0"/>
              </w:tabs>
              <w:jc w:val="right"/>
              <w:rPr>
                <w:bCs/>
              </w:rPr>
            </w:pPr>
            <w:r w:rsidRPr="005622E0">
              <w:rPr>
                <w:bCs/>
              </w:rPr>
              <w:t>1,985</w:t>
            </w:r>
          </w:p>
        </w:tc>
        <w:tc>
          <w:tcPr>
            <w:tcW w:w="149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1B37F3E" w14:textId="77777777" w:rsidR="00DB433B" w:rsidRPr="005622E0" w:rsidRDefault="00DB433B" w:rsidP="007C039F">
            <w:pPr>
              <w:jc w:val="right"/>
            </w:pPr>
            <w:r w:rsidRPr="005622E0">
              <w:rPr>
                <w:bCs/>
              </w:rPr>
              <w:t>$24.34*</w:t>
            </w:r>
          </w:p>
        </w:tc>
        <w:tc>
          <w:tcPr>
            <w:tcW w:w="21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E25578C" w14:textId="0C2DC1A5" w:rsidR="00DB433B" w:rsidRPr="005622E0" w:rsidRDefault="00DB433B" w:rsidP="007C039F">
            <w:pPr>
              <w:tabs>
                <w:tab w:val="left" w:pos="0"/>
              </w:tabs>
              <w:jc w:val="right"/>
              <w:rPr>
                <w:bCs/>
              </w:rPr>
            </w:pPr>
            <w:r w:rsidRPr="005622E0">
              <w:rPr>
                <w:bCs/>
              </w:rPr>
              <w:t>$</w:t>
            </w:r>
            <w:r w:rsidRPr="005622E0">
              <w:t>48,</w:t>
            </w:r>
            <w:r w:rsidR="00FA0741" w:rsidRPr="005622E0">
              <w:t>314</w:t>
            </w:r>
          </w:p>
        </w:tc>
      </w:tr>
      <w:tr w:rsidR="00486D32" w:rsidRPr="005622E0" w14:paraId="54145A0C" w14:textId="77777777" w:rsidTr="004F24C9">
        <w:trPr>
          <w:trHeight w:val="60"/>
        </w:trPr>
        <w:tc>
          <w:tcPr>
            <w:tcW w:w="31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94A51D8" w14:textId="13455371" w:rsidR="00486D32" w:rsidRPr="005622E0" w:rsidRDefault="00486D32" w:rsidP="00486D32">
            <w:pPr>
              <w:tabs>
                <w:tab w:val="left" w:pos="0"/>
              </w:tabs>
            </w:pPr>
            <w:r w:rsidRPr="005622E0">
              <w:t>Health Insurance Cost Sharing Collection</w:t>
            </w:r>
            <w:r w:rsidR="00354785" w:rsidRPr="005622E0">
              <w:t xml:space="preserve"> - 2020</w:t>
            </w:r>
          </w:p>
        </w:tc>
        <w:tc>
          <w:tcPr>
            <w:tcW w:w="1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3329D24" w14:textId="526A9D99" w:rsidR="00486D32" w:rsidRPr="005622E0" w:rsidRDefault="00FA0741" w:rsidP="00486D32">
            <w:pPr>
              <w:tabs>
                <w:tab w:val="left" w:pos="0"/>
              </w:tabs>
              <w:jc w:val="right"/>
            </w:pPr>
            <w:r w:rsidRPr="005622E0">
              <w:t>6,258</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7C34777" w14:textId="5F2CE6EF" w:rsidR="00486D32" w:rsidRPr="005622E0" w:rsidRDefault="00FA0741" w:rsidP="00486D32">
            <w:pPr>
              <w:tabs>
                <w:tab w:val="left" w:pos="0"/>
              </w:tabs>
              <w:jc w:val="right"/>
            </w:pPr>
            <w:r w:rsidRPr="005622E0">
              <w:rPr>
                <w:bCs/>
              </w:rPr>
              <w:t>6,101</w:t>
            </w:r>
          </w:p>
        </w:tc>
        <w:tc>
          <w:tcPr>
            <w:tcW w:w="14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99994D1" w14:textId="2BA6C676" w:rsidR="00486D32" w:rsidRPr="005622E0" w:rsidRDefault="00486D32" w:rsidP="00486D32">
            <w:pPr>
              <w:jc w:val="right"/>
            </w:pPr>
            <w:r w:rsidRPr="005622E0">
              <w:t>$24.34*</w:t>
            </w:r>
          </w:p>
        </w:tc>
        <w:tc>
          <w:tcPr>
            <w:tcW w:w="21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3EF080B" w14:textId="456C9127" w:rsidR="00486D32" w:rsidRPr="005622E0" w:rsidRDefault="00486D32" w:rsidP="00775CA9">
            <w:pPr>
              <w:tabs>
                <w:tab w:val="left" w:pos="0"/>
              </w:tabs>
              <w:jc w:val="right"/>
            </w:pPr>
            <w:r w:rsidRPr="005622E0">
              <w:t>$</w:t>
            </w:r>
            <w:r w:rsidR="00FA0741" w:rsidRPr="005622E0">
              <w:t>148,498</w:t>
            </w:r>
          </w:p>
        </w:tc>
      </w:tr>
      <w:tr w:rsidR="00486D32" w:rsidRPr="005622E0" w14:paraId="5CBEA280" w14:textId="77777777" w:rsidTr="004F24C9">
        <w:trPr>
          <w:trHeight w:val="60"/>
        </w:trPr>
        <w:tc>
          <w:tcPr>
            <w:tcW w:w="31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1959647" w14:textId="77777777" w:rsidR="00486D32" w:rsidRPr="005622E0" w:rsidRDefault="00486D32" w:rsidP="00486D32">
            <w:pPr>
              <w:tabs>
                <w:tab w:val="left" w:pos="0"/>
              </w:tabs>
              <w:rPr>
                <w:bCs/>
              </w:rPr>
            </w:pPr>
            <w:r w:rsidRPr="005622E0">
              <w:rPr>
                <w:bCs/>
              </w:rPr>
              <w:t>MEPS-HC Validation Interview</w:t>
            </w:r>
          </w:p>
        </w:tc>
        <w:tc>
          <w:tcPr>
            <w:tcW w:w="1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2B2F437" w14:textId="77777777" w:rsidR="00486D32" w:rsidRPr="005622E0" w:rsidRDefault="00486D32" w:rsidP="00486D32">
            <w:pPr>
              <w:tabs>
                <w:tab w:val="left" w:pos="0"/>
              </w:tabs>
              <w:jc w:val="right"/>
              <w:rPr>
                <w:bCs/>
              </w:rPr>
            </w:pPr>
            <w:r w:rsidRPr="005622E0">
              <w:rPr>
                <w:bCs/>
              </w:rPr>
              <w:t>4,225</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64FB454" w14:textId="77777777" w:rsidR="00486D32" w:rsidRPr="005622E0" w:rsidRDefault="00486D32" w:rsidP="00486D32">
            <w:pPr>
              <w:tabs>
                <w:tab w:val="left" w:pos="0"/>
              </w:tabs>
              <w:jc w:val="right"/>
              <w:rPr>
                <w:bCs/>
              </w:rPr>
            </w:pPr>
            <w:r w:rsidRPr="005622E0">
              <w:rPr>
                <w:bCs/>
              </w:rPr>
              <w:t>352</w:t>
            </w:r>
          </w:p>
        </w:tc>
        <w:tc>
          <w:tcPr>
            <w:tcW w:w="149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AC5C5E4" w14:textId="77777777" w:rsidR="00486D32" w:rsidRPr="005622E0" w:rsidRDefault="00486D32" w:rsidP="00486D32">
            <w:pPr>
              <w:jc w:val="right"/>
            </w:pPr>
            <w:r w:rsidRPr="005622E0">
              <w:rPr>
                <w:bCs/>
              </w:rPr>
              <w:t>$24.34*</w:t>
            </w:r>
          </w:p>
        </w:tc>
        <w:tc>
          <w:tcPr>
            <w:tcW w:w="21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045B1B2" w14:textId="710956C3" w:rsidR="00486D32" w:rsidRPr="005622E0" w:rsidRDefault="00486D32" w:rsidP="00486D32">
            <w:pPr>
              <w:tabs>
                <w:tab w:val="left" w:pos="0"/>
              </w:tabs>
              <w:jc w:val="right"/>
              <w:rPr>
                <w:bCs/>
              </w:rPr>
            </w:pPr>
            <w:r w:rsidRPr="005622E0">
              <w:rPr>
                <w:bCs/>
              </w:rPr>
              <w:t>$</w:t>
            </w:r>
            <w:r w:rsidRPr="005622E0">
              <w:t>8,</w:t>
            </w:r>
            <w:r w:rsidR="00FA0741" w:rsidRPr="005622E0">
              <w:t>567</w:t>
            </w:r>
          </w:p>
        </w:tc>
      </w:tr>
      <w:tr w:rsidR="005A6F57" w:rsidRPr="005622E0" w14:paraId="0E6C8E09" w14:textId="77777777" w:rsidTr="004F24C9">
        <w:trPr>
          <w:trHeight w:val="60"/>
        </w:trPr>
        <w:tc>
          <w:tcPr>
            <w:tcW w:w="31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2DFA906" w14:textId="0E526FA1" w:rsidR="005A6F57" w:rsidRPr="005622E0" w:rsidRDefault="005A6F57" w:rsidP="00486D32">
            <w:pPr>
              <w:tabs>
                <w:tab w:val="left" w:pos="0"/>
              </w:tabs>
            </w:pPr>
            <w:r w:rsidRPr="005622E0">
              <w:t>Pilot Test on Sampling NHIS Nonrespondents</w:t>
            </w:r>
            <w:r w:rsidR="00354785" w:rsidRPr="005622E0">
              <w:t xml:space="preserve"> </w:t>
            </w:r>
            <w:r w:rsidR="001A3827" w:rsidRPr="005622E0">
              <w:t>–</w:t>
            </w:r>
            <w:r w:rsidR="00354785" w:rsidRPr="005622E0">
              <w:t xml:space="preserve"> 2020</w:t>
            </w:r>
            <w:r w:rsidR="001A3827" w:rsidRPr="005622E0">
              <w:t>, R1 only of MEPS Core</w:t>
            </w:r>
          </w:p>
        </w:tc>
        <w:tc>
          <w:tcPr>
            <w:tcW w:w="1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964156F" w14:textId="0B911F7A" w:rsidR="005A6F57" w:rsidRPr="005622E0" w:rsidRDefault="00FA0741" w:rsidP="00486D32">
            <w:pPr>
              <w:tabs>
                <w:tab w:val="left" w:pos="0"/>
              </w:tabs>
              <w:jc w:val="right"/>
            </w:pPr>
            <w:r w:rsidRPr="005622E0">
              <w:rPr>
                <w:bCs/>
              </w:rPr>
              <w:t>200</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F971D64" w14:textId="59713055" w:rsidR="005A6F57" w:rsidRPr="005622E0" w:rsidRDefault="00FA0741" w:rsidP="00486D32">
            <w:pPr>
              <w:tabs>
                <w:tab w:val="left" w:pos="0"/>
              </w:tabs>
              <w:jc w:val="right"/>
            </w:pPr>
            <w:r w:rsidRPr="005622E0">
              <w:rPr>
                <w:bCs/>
              </w:rPr>
              <w:t>307</w:t>
            </w:r>
          </w:p>
        </w:tc>
        <w:tc>
          <w:tcPr>
            <w:tcW w:w="14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34F458C" w14:textId="37F02BB0" w:rsidR="005A6F57" w:rsidRPr="005622E0" w:rsidRDefault="005A6F57" w:rsidP="00AD7C92">
            <w:pPr>
              <w:jc w:val="right"/>
            </w:pPr>
            <w:r w:rsidRPr="005622E0">
              <w:t>$24.34*</w:t>
            </w:r>
          </w:p>
        </w:tc>
        <w:tc>
          <w:tcPr>
            <w:tcW w:w="21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32BB287" w14:textId="665822BD" w:rsidR="005A6F57" w:rsidRPr="005622E0" w:rsidRDefault="005A6F57" w:rsidP="00486D32">
            <w:pPr>
              <w:tabs>
                <w:tab w:val="left" w:pos="0"/>
              </w:tabs>
              <w:jc w:val="right"/>
            </w:pPr>
            <w:r w:rsidRPr="005622E0">
              <w:t>$</w:t>
            </w:r>
            <w:r w:rsidR="00FA0741" w:rsidRPr="005622E0">
              <w:t>7,472</w:t>
            </w:r>
          </w:p>
        </w:tc>
      </w:tr>
      <w:tr w:rsidR="00486D32" w:rsidRPr="005622E0" w14:paraId="05509AD5" w14:textId="77777777" w:rsidTr="004F24C9">
        <w:tc>
          <w:tcPr>
            <w:tcW w:w="31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86CE21E" w14:textId="77777777" w:rsidR="00486D32" w:rsidRPr="005622E0" w:rsidRDefault="00486D32" w:rsidP="00486D32">
            <w:pPr>
              <w:tabs>
                <w:tab w:val="left" w:pos="0"/>
              </w:tabs>
              <w:rPr>
                <w:bCs/>
              </w:rPr>
            </w:pPr>
            <w:r w:rsidRPr="005622E0">
              <w:rPr>
                <w:bCs/>
              </w:rPr>
              <w:t>Subtotal for the MEPS-HC</w:t>
            </w:r>
          </w:p>
        </w:tc>
        <w:tc>
          <w:tcPr>
            <w:tcW w:w="1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42B55AB" w14:textId="11CDD56D" w:rsidR="00486D32" w:rsidRPr="005622E0" w:rsidRDefault="006A0383" w:rsidP="00775CA9">
            <w:pPr>
              <w:tabs>
                <w:tab w:val="left" w:pos="0"/>
              </w:tabs>
              <w:jc w:val="right"/>
              <w:rPr>
                <w:bCs/>
              </w:rPr>
            </w:pPr>
            <w:r w:rsidRPr="005622E0">
              <w:rPr>
                <w:bCs/>
              </w:rPr>
              <w:t>102,366</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D824083" w14:textId="5E39A225" w:rsidR="00486D32" w:rsidRPr="005622E0" w:rsidRDefault="00FA0741" w:rsidP="00FE557A">
            <w:pPr>
              <w:tabs>
                <w:tab w:val="left" w:pos="0"/>
              </w:tabs>
              <w:jc w:val="right"/>
              <w:rPr>
                <w:bCs/>
              </w:rPr>
            </w:pPr>
            <w:r w:rsidRPr="005622E0">
              <w:rPr>
                <w:bCs/>
              </w:rPr>
              <w:t>67,542</w:t>
            </w:r>
          </w:p>
        </w:tc>
        <w:tc>
          <w:tcPr>
            <w:tcW w:w="14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8F1AEB0" w14:textId="77777777" w:rsidR="00486D32" w:rsidRPr="005622E0" w:rsidRDefault="00486D32" w:rsidP="00486D32">
            <w:pPr>
              <w:tabs>
                <w:tab w:val="left" w:pos="0"/>
              </w:tabs>
              <w:jc w:val="right"/>
              <w:rPr>
                <w:bCs/>
              </w:rPr>
            </w:pPr>
            <w:r w:rsidRPr="005622E0">
              <w:rPr>
                <w:bCs/>
              </w:rPr>
              <w:t>na</w:t>
            </w:r>
          </w:p>
        </w:tc>
        <w:tc>
          <w:tcPr>
            <w:tcW w:w="21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AC7929E" w14:textId="1DC9E9FC" w:rsidR="00486D32" w:rsidRPr="005622E0" w:rsidRDefault="00486D32" w:rsidP="002F2511">
            <w:pPr>
              <w:tabs>
                <w:tab w:val="left" w:pos="0"/>
              </w:tabs>
              <w:jc w:val="right"/>
              <w:rPr>
                <w:bCs/>
              </w:rPr>
            </w:pPr>
            <w:r w:rsidRPr="005622E0">
              <w:rPr>
                <w:bCs/>
              </w:rPr>
              <w:t>$1,</w:t>
            </w:r>
            <w:r w:rsidR="00FA0741" w:rsidRPr="005622E0">
              <w:t>643,9</w:t>
            </w:r>
            <w:r w:rsidR="002F2511" w:rsidRPr="005622E0">
              <w:t>68</w:t>
            </w:r>
          </w:p>
        </w:tc>
      </w:tr>
      <w:tr w:rsidR="00486D32" w:rsidRPr="005622E0" w14:paraId="2E0B70A5" w14:textId="77777777" w:rsidTr="00FD5D3B">
        <w:tc>
          <w:tcPr>
            <w:tcW w:w="10060" w:type="dxa"/>
            <w:gridSpan w:val="5"/>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tcPr>
          <w:p w14:paraId="0050925C" w14:textId="77777777" w:rsidR="00486D32" w:rsidRPr="005622E0" w:rsidRDefault="00486D32" w:rsidP="00486D32">
            <w:pPr>
              <w:tabs>
                <w:tab w:val="left" w:pos="0"/>
              </w:tabs>
              <w:rPr>
                <w:bCs/>
              </w:rPr>
            </w:pPr>
            <w:r w:rsidRPr="005622E0">
              <w:rPr>
                <w:b/>
                <w:bCs/>
              </w:rPr>
              <w:t>MEPS-MPC</w:t>
            </w:r>
          </w:p>
        </w:tc>
      </w:tr>
      <w:tr w:rsidR="00486D32" w:rsidRPr="005622E0" w14:paraId="139AADAF" w14:textId="77777777" w:rsidTr="00FD5D3B">
        <w:tc>
          <w:tcPr>
            <w:tcW w:w="31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7ED3DA4" w14:textId="77777777" w:rsidR="00486D32" w:rsidRPr="005622E0" w:rsidRDefault="00486D32" w:rsidP="00486D32">
            <w:pPr>
              <w:tabs>
                <w:tab w:val="left" w:pos="0"/>
              </w:tabs>
              <w:rPr>
                <w:bCs/>
              </w:rPr>
            </w:pPr>
            <w:r w:rsidRPr="005622E0">
              <w:rPr>
                <w:bCs/>
              </w:rPr>
              <w:t>MPC Contact Guide/Screening Call</w:t>
            </w:r>
          </w:p>
        </w:tc>
        <w:tc>
          <w:tcPr>
            <w:tcW w:w="1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3627A52" w14:textId="77777777" w:rsidR="00486D32" w:rsidRPr="005622E0" w:rsidRDefault="00486D32" w:rsidP="00486D32">
            <w:pPr>
              <w:tabs>
                <w:tab w:val="left" w:pos="0"/>
              </w:tabs>
              <w:jc w:val="right"/>
              <w:rPr>
                <w:bCs/>
              </w:rPr>
            </w:pPr>
            <w:r w:rsidRPr="005622E0">
              <w:rPr>
                <w:bCs/>
              </w:rPr>
              <w:t xml:space="preserve"> 36,598</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3FB690A" w14:textId="77777777" w:rsidR="00486D32" w:rsidRPr="005622E0" w:rsidRDefault="00486D32" w:rsidP="00486D32">
            <w:pPr>
              <w:tabs>
                <w:tab w:val="left" w:pos="0"/>
              </w:tabs>
              <w:jc w:val="right"/>
              <w:rPr>
                <w:bCs/>
              </w:rPr>
            </w:pPr>
            <w:r w:rsidRPr="005622E0">
              <w:rPr>
                <w:bCs/>
              </w:rPr>
              <w:t xml:space="preserve"> 1,220</w:t>
            </w:r>
          </w:p>
        </w:tc>
        <w:tc>
          <w:tcPr>
            <w:tcW w:w="14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EF988E3" w14:textId="77777777" w:rsidR="00486D32" w:rsidRPr="005622E0" w:rsidRDefault="00486D32" w:rsidP="00486D32">
            <w:pPr>
              <w:tabs>
                <w:tab w:val="left" w:pos="0"/>
              </w:tabs>
              <w:jc w:val="right"/>
              <w:rPr>
                <w:bCs/>
                <w:vertAlign w:val="superscript"/>
              </w:rPr>
            </w:pPr>
            <w:r w:rsidRPr="005622E0">
              <w:rPr>
                <w:bCs/>
              </w:rPr>
              <w:t>$ 17.25**</w:t>
            </w:r>
          </w:p>
        </w:tc>
        <w:tc>
          <w:tcPr>
            <w:tcW w:w="21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60547A8" w14:textId="77777777" w:rsidR="00486D32" w:rsidRPr="005622E0" w:rsidRDefault="00486D32" w:rsidP="00486D32">
            <w:pPr>
              <w:tabs>
                <w:tab w:val="left" w:pos="0"/>
              </w:tabs>
              <w:jc w:val="right"/>
              <w:rPr>
                <w:bCs/>
              </w:rPr>
            </w:pPr>
            <w:r w:rsidRPr="005622E0">
              <w:rPr>
                <w:bCs/>
              </w:rPr>
              <w:t>$ 21,045</w:t>
            </w:r>
          </w:p>
        </w:tc>
      </w:tr>
      <w:tr w:rsidR="00486D32" w:rsidRPr="005622E0" w14:paraId="652B2C7E" w14:textId="77777777" w:rsidTr="00FD5D3B">
        <w:tc>
          <w:tcPr>
            <w:tcW w:w="31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005C826" w14:textId="77777777" w:rsidR="00486D32" w:rsidRPr="005622E0" w:rsidRDefault="00486D32" w:rsidP="00486D32">
            <w:pPr>
              <w:tabs>
                <w:tab w:val="left" w:pos="0"/>
              </w:tabs>
              <w:rPr>
                <w:bCs/>
              </w:rPr>
            </w:pPr>
            <w:r w:rsidRPr="005622E0">
              <w:rPr>
                <w:bCs/>
              </w:rPr>
              <w:t>Home care for health care providers questionnaire</w:t>
            </w:r>
          </w:p>
        </w:tc>
        <w:tc>
          <w:tcPr>
            <w:tcW w:w="1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8DC2EC5" w14:textId="77777777" w:rsidR="00486D32" w:rsidRPr="005622E0" w:rsidRDefault="00486D32" w:rsidP="00486D32">
            <w:pPr>
              <w:tabs>
                <w:tab w:val="left" w:pos="0"/>
              </w:tabs>
              <w:jc w:val="right"/>
              <w:rPr>
                <w:bCs/>
              </w:rPr>
            </w:pPr>
            <w:r w:rsidRPr="005622E0">
              <w:rPr>
                <w:bCs/>
              </w:rPr>
              <w:t xml:space="preserve"> 635</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1FB3B05" w14:textId="77777777" w:rsidR="00486D32" w:rsidRPr="005622E0" w:rsidRDefault="00486D32" w:rsidP="00486D32">
            <w:pPr>
              <w:tabs>
                <w:tab w:val="left" w:pos="0"/>
              </w:tabs>
              <w:jc w:val="right"/>
              <w:rPr>
                <w:bCs/>
              </w:rPr>
            </w:pPr>
            <w:r w:rsidRPr="005622E0">
              <w:rPr>
                <w:bCs/>
              </w:rPr>
              <w:t xml:space="preserve"> 146</w:t>
            </w:r>
          </w:p>
        </w:tc>
        <w:tc>
          <w:tcPr>
            <w:tcW w:w="149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E140787" w14:textId="77777777" w:rsidR="00486D32" w:rsidRPr="005622E0" w:rsidRDefault="00486D32" w:rsidP="00486D32">
            <w:pPr>
              <w:tabs>
                <w:tab w:val="left" w:pos="0"/>
              </w:tabs>
              <w:jc w:val="right"/>
              <w:rPr>
                <w:bCs/>
              </w:rPr>
            </w:pPr>
            <w:r w:rsidRPr="005622E0">
              <w:rPr>
                <w:bCs/>
              </w:rPr>
              <w:t>$ 17.25**</w:t>
            </w:r>
          </w:p>
        </w:tc>
        <w:tc>
          <w:tcPr>
            <w:tcW w:w="21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171C8A4" w14:textId="77777777" w:rsidR="00486D32" w:rsidRPr="005622E0" w:rsidRDefault="00486D32" w:rsidP="00486D32">
            <w:pPr>
              <w:tabs>
                <w:tab w:val="left" w:pos="0"/>
              </w:tabs>
              <w:jc w:val="right"/>
              <w:rPr>
                <w:bCs/>
              </w:rPr>
            </w:pPr>
            <w:r w:rsidRPr="005622E0">
              <w:rPr>
                <w:bCs/>
              </w:rPr>
              <w:t>$ 2,519</w:t>
            </w:r>
          </w:p>
        </w:tc>
      </w:tr>
      <w:tr w:rsidR="00486D32" w:rsidRPr="005622E0" w14:paraId="07FD3F6C" w14:textId="77777777" w:rsidTr="00FD5D3B">
        <w:tc>
          <w:tcPr>
            <w:tcW w:w="31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456D3B6" w14:textId="77777777" w:rsidR="00486D32" w:rsidRPr="005622E0" w:rsidRDefault="00486D32" w:rsidP="00486D32">
            <w:pPr>
              <w:tabs>
                <w:tab w:val="left" w:pos="0"/>
              </w:tabs>
              <w:rPr>
                <w:bCs/>
              </w:rPr>
            </w:pPr>
            <w:r w:rsidRPr="005622E0">
              <w:rPr>
                <w:bCs/>
              </w:rPr>
              <w:t>Home care for non</w:t>
            </w:r>
            <w:r w:rsidRPr="005622E0">
              <w:rPr>
                <w:bCs/>
              </w:rPr>
              <w:noBreakHyphen/>
              <w:t>health care providers questionnaire</w:t>
            </w:r>
          </w:p>
        </w:tc>
        <w:tc>
          <w:tcPr>
            <w:tcW w:w="1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204C336" w14:textId="77777777" w:rsidR="00486D32" w:rsidRPr="005622E0" w:rsidRDefault="00486D32" w:rsidP="00486D32">
            <w:pPr>
              <w:tabs>
                <w:tab w:val="left" w:pos="0"/>
              </w:tabs>
              <w:jc w:val="right"/>
              <w:rPr>
                <w:bCs/>
              </w:rPr>
            </w:pPr>
            <w:r w:rsidRPr="005622E0">
              <w:rPr>
                <w:bCs/>
              </w:rPr>
              <w:t xml:space="preserve"> 11</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BC1BD25" w14:textId="77777777" w:rsidR="00486D32" w:rsidRPr="005622E0" w:rsidRDefault="00486D32" w:rsidP="00486D32">
            <w:pPr>
              <w:tabs>
                <w:tab w:val="left" w:pos="0"/>
              </w:tabs>
              <w:jc w:val="right"/>
              <w:rPr>
                <w:bCs/>
              </w:rPr>
            </w:pPr>
            <w:r w:rsidRPr="005622E0">
              <w:rPr>
                <w:bCs/>
              </w:rPr>
              <w:t xml:space="preserve"> 2</w:t>
            </w:r>
          </w:p>
        </w:tc>
        <w:tc>
          <w:tcPr>
            <w:tcW w:w="149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281F5B4" w14:textId="77777777" w:rsidR="00486D32" w:rsidRPr="005622E0" w:rsidRDefault="00486D32" w:rsidP="00486D32">
            <w:pPr>
              <w:tabs>
                <w:tab w:val="left" w:pos="0"/>
              </w:tabs>
              <w:jc w:val="right"/>
              <w:rPr>
                <w:bCs/>
              </w:rPr>
            </w:pPr>
            <w:r w:rsidRPr="005622E0">
              <w:rPr>
                <w:bCs/>
              </w:rPr>
              <w:t>$ 17.25**</w:t>
            </w:r>
          </w:p>
        </w:tc>
        <w:tc>
          <w:tcPr>
            <w:tcW w:w="21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EBBDC3E" w14:textId="77777777" w:rsidR="00486D32" w:rsidRPr="005622E0" w:rsidRDefault="00486D32" w:rsidP="00486D32">
            <w:pPr>
              <w:tabs>
                <w:tab w:val="left" w:pos="0"/>
              </w:tabs>
              <w:jc w:val="right"/>
              <w:rPr>
                <w:bCs/>
              </w:rPr>
            </w:pPr>
            <w:r w:rsidRPr="005622E0">
              <w:rPr>
                <w:bCs/>
              </w:rPr>
              <w:t>$ 35</w:t>
            </w:r>
          </w:p>
        </w:tc>
      </w:tr>
      <w:tr w:rsidR="00486D32" w:rsidRPr="005622E0" w14:paraId="52BA3F1F" w14:textId="77777777" w:rsidTr="00FD5D3B">
        <w:tc>
          <w:tcPr>
            <w:tcW w:w="31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976C051" w14:textId="77777777" w:rsidR="00486D32" w:rsidRPr="005622E0" w:rsidRDefault="00486D32" w:rsidP="00486D32">
            <w:pPr>
              <w:tabs>
                <w:tab w:val="left" w:pos="0"/>
              </w:tabs>
              <w:rPr>
                <w:bCs/>
              </w:rPr>
            </w:pPr>
            <w:r w:rsidRPr="005622E0">
              <w:rPr>
                <w:bCs/>
              </w:rPr>
              <w:t>Office</w:t>
            </w:r>
            <w:r w:rsidRPr="005622E0">
              <w:rPr>
                <w:bCs/>
              </w:rPr>
              <w:noBreakHyphen/>
              <w:t>based providers questionnaire</w:t>
            </w:r>
          </w:p>
        </w:tc>
        <w:tc>
          <w:tcPr>
            <w:tcW w:w="1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BBCB219" w14:textId="77777777" w:rsidR="00486D32" w:rsidRPr="005622E0" w:rsidRDefault="00486D32" w:rsidP="00486D32">
            <w:pPr>
              <w:tabs>
                <w:tab w:val="left" w:pos="0"/>
              </w:tabs>
              <w:jc w:val="right"/>
              <w:rPr>
                <w:bCs/>
              </w:rPr>
            </w:pPr>
            <w:r w:rsidRPr="005622E0">
              <w:rPr>
                <w:bCs/>
              </w:rPr>
              <w:t xml:space="preserve"> 11,210</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1095EA6" w14:textId="77777777" w:rsidR="00486D32" w:rsidRPr="005622E0" w:rsidRDefault="00486D32" w:rsidP="00486D32">
            <w:pPr>
              <w:tabs>
                <w:tab w:val="left" w:pos="0"/>
              </w:tabs>
              <w:jc w:val="right"/>
              <w:rPr>
                <w:bCs/>
              </w:rPr>
            </w:pPr>
            <w:r w:rsidRPr="005622E0">
              <w:rPr>
                <w:bCs/>
              </w:rPr>
              <w:t xml:space="preserve"> 3,083</w:t>
            </w:r>
          </w:p>
        </w:tc>
        <w:tc>
          <w:tcPr>
            <w:tcW w:w="149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F80B9A2" w14:textId="77777777" w:rsidR="00486D32" w:rsidRPr="005622E0" w:rsidRDefault="00486D32" w:rsidP="00486D32">
            <w:pPr>
              <w:tabs>
                <w:tab w:val="left" w:pos="0"/>
              </w:tabs>
              <w:jc w:val="right"/>
              <w:rPr>
                <w:bCs/>
              </w:rPr>
            </w:pPr>
            <w:r w:rsidRPr="005622E0">
              <w:rPr>
                <w:bCs/>
              </w:rPr>
              <w:t>$ 17.25**</w:t>
            </w:r>
          </w:p>
        </w:tc>
        <w:tc>
          <w:tcPr>
            <w:tcW w:w="21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85E3F95" w14:textId="77777777" w:rsidR="00486D32" w:rsidRPr="005622E0" w:rsidRDefault="00486D32" w:rsidP="00486D32">
            <w:pPr>
              <w:tabs>
                <w:tab w:val="left" w:pos="0"/>
              </w:tabs>
              <w:jc w:val="right"/>
              <w:rPr>
                <w:bCs/>
              </w:rPr>
            </w:pPr>
            <w:r w:rsidRPr="005622E0">
              <w:rPr>
                <w:bCs/>
              </w:rPr>
              <w:t>$ 53,182</w:t>
            </w:r>
          </w:p>
        </w:tc>
      </w:tr>
      <w:tr w:rsidR="00486D32" w:rsidRPr="005622E0" w14:paraId="54674AD0" w14:textId="77777777" w:rsidTr="00FD5D3B">
        <w:tc>
          <w:tcPr>
            <w:tcW w:w="31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E147C2D" w14:textId="77777777" w:rsidR="00486D32" w:rsidRPr="005622E0" w:rsidRDefault="00486D32" w:rsidP="00486D32">
            <w:pPr>
              <w:tabs>
                <w:tab w:val="left" w:pos="0"/>
              </w:tabs>
              <w:rPr>
                <w:bCs/>
              </w:rPr>
            </w:pPr>
            <w:r w:rsidRPr="005622E0">
              <w:rPr>
                <w:bCs/>
              </w:rPr>
              <w:t>Separately billing doctors questionnaire</w:t>
            </w:r>
          </w:p>
        </w:tc>
        <w:tc>
          <w:tcPr>
            <w:tcW w:w="1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2ECA41E" w14:textId="77777777" w:rsidR="00486D32" w:rsidRPr="005622E0" w:rsidRDefault="00486D32" w:rsidP="00486D32">
            <w:pPr>
              <w:tabs>
                <w:tab w:val="left" w:pos="0"/>
              </w:tabs>
              <w:jc w:val="right"/>
              <w:rPr>
                <w:bCs/>
              </w:rPr>
            </w:pPr>
            <w:r w:rsidRPr="005622E0">
              <w:rPr>
                <w:bCs/>
              </w:rPr>
              <w:t xml:space="preserve"> 12,397</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B60B73D" w14:textId="77777777" w:rsidR="00486D32" w:rsidRPr="005622E0" w:rsidRDefault="00486D32" w:rsidP="00486D32">
            <w:pPr>
              <w:tabs>
                <w:tab w:val="left" w:pos="0"/>
              </w:tabs>
              <w:jc w:val="right"/>
              <w:rPr>
                <w:bCs/>
              </w:rPr>
            </w:pPr>
            <w:r w:rsidRPr="005622E0">
              <w:rPr>
                <w:bCs/>
              </w:rPr>
              <w:t xml:space="preserve"> 9,294</w:t>
            </w:r>
          </w:p>
        </w:tc>
        <w:tc>
          <w:tcPr>
            <w:tcW w:w="149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8627CAC" w14:textId="77777777" w:rsidR="00486D32" w:rsidRPr="005622E0" w:rsidRDefault="00486D32" w:rsidP="00486D32">
            <w:pPr>
              <w:tabs>
                <w:tab w:val="left" w:pos="0"/>
              </w:tabs>
              <w:jc w:val="right"/>
              <w:rPr>
                <w:bCs/>
              </w:rPr>
            </w:pPr>
            <w:r w:rsidRPr="005622E0">
              <w:rPr>
                <w:bCs/>
              </w:rPr>
              <w:t>$ 17.25**</w:t>
            </w:r>
          </w:p>
        </w:tc>
        <w:tc>
          <w:tcPr>
            <w:tcW w:w="21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555B756" w14:textId="77777777" w:rsidR="00486D32" w:rsidRPr="005622E0" w:rsidRDefault="00486D32" w:rsidP="00486D32">
            <w:pPr>
              <w:tabs>
                <w:tab w:val="left" w:pos="0"/>
              </w:tabs>
              <w:jc w:val="right"/>
              <w:rPr>
                <w:bCs/>
              </w:rPr>
            </w:pPr>
            <w:r w:rsidRPr="005622E0">
              <w:rPr>
                <w:bCs/>
              </w:rPr>
              <w:t>$ 160,322</w:t>
            </w:r>
          </w:p>
        </w:tc>
      </w:tr>
      <w:tr w:rsidR="00486D32" w:rsidRPr="005622E0" w14:paraId="58A538E9" w14:textId="77777777" w:rsidTr="00FD5D3B">
        <w:tc>
          <w:tcPr>
            <w:tcW w:w="31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9ADEEF9" w14:textId="77777777" w:rsidR="00486D32" w:rsidRPr="005622E0" w:rsidRDefault="00486D32" w:rsidP="00486D32">
            <w:pPr>
              <w:tabs>
                <w:tab w:val="left" w:pos="0"/>
              </w:tabs>
              <w:rPr>
                <w:bCs/>
              </w:rPr>
            </w:pPr>
            <w:r w:rsidRPr="005622E0">
              <w:rPr>
                <w:bCs/>
              </w:rPr>
              <w:t xml:space="preserve">Hospitals questionnaire </w:t>
            </w:r>
          </w:p>
        </w:tc>
        <w:tc>
          <w:tcPr>
            <w:tcW w:w="1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0B57F07" w14:textId="77777777" w:rsidR="00486D32" w:rsidRPr="005622E0" w:rsidRDefault="00486D32" w:rsidP="00486D32">
            <w:pPr>
              <w:tabs>
                <w:tab w:val="left" w:pos="0"/>
              </w:tabs>
              <w:jc w:val="right"/>
              <w:rPr>
                <w:bCs/>
              </w:rPr>
            </w:pPr>
            <w:r w:rsidRPr="005622E0">
              <w:rPr>
                <w:bCs/>
              </w:rPr>
              <w:t xml:space="preserve"> 5,310</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DD70EB5" w14:textId="77777777" w:rsidR="00486D32" w:rsidRPr="005622E0" w:rsidRDefault="00486D32" w:rsidP="00486D32">
            <w:pPr>
              <w:tabs>
                <w:tab w:val="left" w:pos="0"/>
              </w:tabs>
              <w:jc w:val="right"/>
              <w:rPr>
                <w:bCs/>
              </w:rPr>
            </w:pPr>
            <w:r w:rsidRPr="005622E0">
              <w:rPr>
                <w:bCs/>
              </w:rPr>
              <w:t>2,597</w:t>
            </w:r>
          </w:p>
        </w:tc>
        <w:tc>
          <w:tcPr>
            <w:tcW w:w="149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E5BDD18" w14:textId="77777777" w:rsidR="00486D32" w:rsidRPr="005622E0" w:rsidRDefault="00486D32" w:rsidP="00486D32">
            <w:pPr>
              <w:tabs>
                <w:tab w:val="left" w:pos="0"/>
              </w:tabs>
              <w:jc w:val="right"/>
              <w:rPr>
                <w:bCs/>
              </w:rPr>
            </w:pPr>
            <w:r w:rsidRPr="005622E0">
              <w:rPr>
                <w:bCs/>
              </w:rPr>
              <w:t>$ 17.25**</w:t>
            </w:r>
          </w:p>
        </w:tc>
        <w:tc>
          <w:tcPr>
            <w:tcW w:w="21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53DA30E" w14:textId="77777777" w:rsidR="00486D32" w:rsidRPr="005622E0" w:rsidRDefault="00486D32" w:rsidP="00486D32">
            <w:pPr>
              <w:tabs>
                <w:tab w:val="left" w:pos="0"/>
              </w:tabs>
              <w:jc w:val="right"/>
              <w:rPr>
                <w:bCs/>
              </w:rPr>
            </w:pPr>
            <w:r w:rsidRPr="005622E0">
              <w:rPr>
                <w:bCs/>
              </w:rPr>
              <w:t>$ 44,798</w:t>
            </w:r>
          </w:p>
        </w:tc>
      </w:tr>
      <w:tr w:rsidR="00486D32" w:rsidRPr="005622E0" w14:paraId="09087C15" w14:textId="77777777" w:rsidTr="00FD5D3B">
        <w:tc>
          <w:tcPr>
            <w:tcW w:w="31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58520FA" w14:textId="77777777" w:rsidR="00486D32" w:rsidRPr="005622E0" w:rsidRDefault="00486D32" w:rsidP="00486D32">
            <w:pPr>
              <w:tabs>
                <w:tab w:val="left" w:pos="0"/>
              </w:tabs>
              <w:rPr>
                <w:bCs/>
              </w:rPr>
            </w:pPr>
            <w:r w:rsidRPr="005622E0">
              <w:rPr>
                <w:bCs/>
              </w:rPr>
              <w:t xml:space="preserve">Institutions (non-hospital) questionnaire </w:t>
            </w:r>
          </w:p>
        </w:tc>
        <w:tc>
          <w:tcPr>
            <w:tcW w:w="1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F4F0AF5" w14:textId="77777777" w:rsidR="00486D32" w:rsidRPr="005622E0" w:rsidRDefault="00486D32" w:rsidP="00486D32">
            <w:pPr>
              <w:tabs>
                <w:tab w:val="left" w:pos="0"/>
              </w:tabs>
              <w:jc w:val="right"/>
              <w:rPr>
                <w:bCs/>
              </w:rPr>
            </w:pPr>
            <w:r w:rsidRPr="005622E0">
              <w:rPr>
                <w:bCs/>
              </w:rPr>
              <w:t xml:space="preserve"> 116</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66447AC" w14:textId="77777777" w:rsidR="00486D32" w:rsidRPr="005622E0" w:rsidRDefault="00486D32" w:rsidP="00486D32">
            <w:pPr>
              <w:tabs>
                <w:tab w:val="left" w:pos="0"/>
              </w:tabs>
              <w:jc w:val="right"/>
              <w:rPr>
                <w:bCs/>
              </w:rPr>
            </w:pPr>
            <w:r w:rsidRPr="005622E0">
              <w:rPr>
                <w:bCs/>
              </w:rPr>
              <w:t>36</w:t>
            </w:r>
          </w:p>
        </w:tc>
        <w:tc>
          <w:tcPr>
            <w:tcW w:w="149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01E7644" w14:textId="77777777" w:rsidR="00486D32" w:rsidRPr="005622E0" w:rsidRDefault="00486D32" w:rsidP="00486D32">
            <w:pPr>
              <w:tabs>
                <w:tab w:val="left" w:pos="0"/>
              </w:tabs>
              <w:jc w:val="right"/>
              <w:rPr>
                <w:bCs/>
              </w:rPr>
            </w:pPr>
            <w:r w:rsidRPr="005622E0">
              <w:rPr>
                <w:bCs/>
              </w:rPr>
              <w:t>$ 17.25**</w:t>
            </w:r>
          </w:p>
        </w:tc>
        <w:tc>
          <w:tcPr>
            <w:tcW w:w="21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BABCDF0" w14:textId="77777777" w:rsidR="00486D32" w:rsidRPr="005622E0" w:rsidRDefault="00486D32" w:rsidP="00486D32">
            <w:pPr>
              <w:tabs>
                <w:tab w:val="left" w:pos="0"/>
              </w:tabs>
              <w:jc w:val="right"/>
              <w:rPr>
                <w:bCs/>
              </w:rPr>
            </w:pPr>
            <w:r w:rsidRPr="005622E0">
              <w:rPr>
                <w:bCs/>
              </w:rPr>
              <w:t>$ 621</w:t>
            </w:r>
          </w:p>
        </w:tc>
      </w:tr>
      <w:tr w:rsidR="00486D32" w:rsidRPr="005622E0" w14:paraId="45F69D03" w14:textId="77777777" w:rsidTr="00FD5D3B">
        <w:tc>
          <w:tcPr>
            <w:tcW w:w="31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58CE9E7" w14:textId="77777777" w:rsidR="00486D32" w:rsidRPr="005622E0" w:rsidRDefault="00486D32" w:rsidP="00486D32">
            <w:pPr>
              <w:tabs>
                <w:tab w:val="left" w:pos="0"/>
              </w:tabs>
              <w:rPr>
                <w:bCs/>
              </w:rPr>
            </w:pPr>
            <w:r w:rsidRPr="005622E0">
              <w:rPr>
                <w:bCs/>
              </w:rPr>
              <w:t>Pharmacies questionnaire</w:t>
            </w:r>
          </w:p>
        </w:tc>
        <w:tc>
          <w:tcPr>
            <w:tcW w:w="1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9F60635" w14:textId="77777777" w:rsidR="00486D32" w:rsidRPr="005622E0" w:rsidRDefault="00486D32" w:rsidP="00486D32">
            <w:pPr>
              <w:tabs>
                <w:tab w:val="left" w:pos="0"/>
              </w:tabs>
              <w:jc w:val="right"/>
              <w:rPr>
                <w:bCs/>
              </w:rPr>
            </w:pPr>
            <w:r w:rsidRPr="005622E0">
              <w:rPr>
                <w:bCs/>
              </w:rPr>
              <w:t xml:space="preserve"> 6,919</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E58D713" w14:textId="77777777" w:rsidR="00486D32" w:rsidRPr="005622E0" w:rsidRDefault="00486D32" w:rsidP="00486D32">
            <w:pPr>
              <w:tabs>
                <w:tab w:val="left" w:pos="0"/>
              </w:tabs>
              <w:jc w:val="right"/>
              <w:rPr>
                <w:bCs/>
              </w:rPr>
            </w:pPr>
            <w:r w:rsidRPr="005622E0">
              <w:rPr>
                <w:bCs/>
              </w:rPr>
              <w:t xml:space="preserve"> 1,010</w:t>
            </w:r>
          </w:p>
        </w:tc>
        <w:tc>
          <w:tcPr>
            <w:tcW w:w="14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13FDA1C" w14:textId="77777777" w:rsidR="00486D32" w:rsidRPr="005622E0" w:rsidRDefault="00486D32" w:rsidP="00486D32">
            <w:pPr>
              <w:tabs>
                <w:tab w:val="left" w:pos="0"/>
              </w:tabs>
              <w:jc w:val="right"/>
              <w:rPr>
                <w:bCs/>
                <w:vertAlign w:val="superscript"/>
              </w:rPr>
            </w:pPr>
            <w:r w:rsidRPr="005622E0">
              <w:rPr>
                <w:bCs/>
              </w:rPr>
              <w:t>$ 15.90***</w:t>
            </w:r>
          </w:p>
        </w:tc>
        <w:tc>
          <w:tcPr>
            <w:tcW w:w="21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99F0E5B" w14:textId="77777777" w:rsidR="00486D32" w:rsidRPr="005622E0" w:rsidRDefault="00486D32" w:rsidP="00486D32">
            <w:pPr>
              <w:tabs>
                <w:tab w:val="left" w:pos="0"/>
              </w:tabs>
              <w:jc w:val="right"/>
              <w:rPr>
                <w:bCs/>
              </w:rPr>
            </w:pPr>
            <w:r w:rsidRPr="005622E0">
              <w:rPr>
                <w:bCs/>
              </w:rPr>
              <w:t>$ 16,059</w:t>
            </w:r>
          </w:p>
        </w:tc>
      </w:tr>
      <w:tr w:rsidR="00486D32" w:rsidRPr="005622E0" w14:paraId="59B7554C" w14:textId="77777777" w:rsidTr="00FD5D3B">
        <w:tc>
          <w:tcPr>
            <w:tcW w:w="31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0F261C5" w14:textId="77777777" w:rsidR="00486D32" w:rsidRPr="005622E0" w:rsidRDefault="00486D32" w:rsidP="00486D32">
            <w:pPr>
              <w:tabs>
                <w:tab w:val="left" w:pos="0"/>
              </w:tabs>
              <w:rPr>
                <w:bCs/>
              </w:rPr>
            </w:pPr>
            <w:r w:rsidRPr="005622E0">
              <w:rPr>
                <w:bCs/>
              </w:rPr>
              <w:t>Subtotal for the MEPS-MPC</w:t>
            </w:r>
          </w:p>
        </w:tc>
        <w:tc>
          <w:tcPr>
            <w:tcW w:w="1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D9D88B4" w14:textId="77777777" w:rsidR="00486D32" w:rsidRPr="005622E0" w:rsidRDefault="00486D32" w:rsidP="00486D32">
            <w:pPr>
              <w:tabs>
                <w:tab w:val="left" w:pos="0"/>
              </w:tabs>
              <w:jc w:val="right"/>
              <w:rPr>
                <w:bCs/>
              </w:rPr>
            </w:pPr>
            <w:r w:rsidRPr="005622E0">
              <w:rPr>
                <w:bCs/>
              </w:rPr>
              <w:t xml:space="preserve"> 73,196</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F921577" w14:textId="77777777" w:rsidR="00486D32" w:rsidRPr="005622E0" w:rsidRDefault="00486D32" w:rsidP="00486D32">
            <w:pPr>
              <w:tabs>
                <w:tab w:val="left" w:pos="0"/>
              </w:tabs>
              <w:jc w:val="right"/>
              <w:rPr>
                <w:bCs/>
              </w:rPr>
            </w:pPr>
            <w:r w:rsidRPr="005622E0">
              <w:rPr>
                <w:bCs/>
              </w:rPr>
              <w:t xml:space="preserve"> 17,388</w:t>
            </w:r>
          </w:p>
        </w:tc>
        <w:tc>
          <w:tcPr>
            <w:tcW w:w="14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24E5949" w14:textId="77777777" w:rsidR="00486D32" w:rsidRPr="005622E0" w:rsidRDefault="00486D32" w:rsidP="00486D32">
            <w:pPr>
              <w:tabs>
                <w:tab w:val="left" w:pos="0"/>
              </w:tabs>
              <w:jc w:val="right"/>
              <w:rPr>
                <w:b/>
                <w:bCs/>
              </w:rPr>
            </w:pPr>
            <w:r w:rsidRPr="005622E0">
              <w:rPr>
                <w:bCs/>
              </w:rPr>
              <w:t>na</w:t>
            </w:r>
            <w:r w:rsidRPr="005622E0" w:rsidDel="000C1024">
              <w:rPr>
                <w:b/>
                <w:bCs/>
              </w:rPr>
              <w:t xml:space="preserve"> </w:t>
            </w:r>
          </w:p>
        </w:tc>
        <w:tc>
          <w:tcPr>
            <w:tcW w:w="21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2C42475" w14:textId="77777777" w:rsidR="00486D32" w:rsidRPr="005622E0" w:rsidRDefault="00486D32" w:rsidP="00486D32">
            <w:pPr>
              <w:tabs>
                <w:tab w:val="left" w:pos="0"/>
              </w:tabs>
              <w:jc w:val="right"/>
              <w:rPr>
                <w:bCs/>
              </w:rPr>
            </w:pPr>
            <w:r w:rsidRPr="005622E0">
              <w:rPr>
                <w:bCs/>
              </w:rPr>
              <w:t>$298,580</w:t>
            </w:r>
          </w:p>
        </w:tc>
      </w:tr>
      <w:tr w:rsidR="00486D32" w:rsidRPr="005622E0" w14:paraId="13DE12CD" w14:textId="77777777" w:rsidTr="00FD5D3B">
        <w:tc>
          <w:tcPr>
            <w:tcW w:w="31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95038AC" w14:textId="77777777" w:rsidR="00486D32" w:rsidRPr="005622E0" w:rsidRDefault="00486D32" w:rsidP="00486D32">
            <w:pPr>
              <w:tabs>
                <w:tab w:val="left" w:pos="0"/>
              </w:tabs>
              <w:rPr>
                <w:bCs/>
              </w:rPr>
            </w:pPr>
            <w:r w:rsidRPr="005622E0">
              <w:rPr>
                <w:b/>
                <w:bCs/>
              </w:rPr>
              <w:t>Grand Total</w:t>
            </w:r>
          </w:p>
        </w:tc>
        <w:tc>
          <w:tcPr>
            <w:tcW w:w="16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59B062F" w14:textId="413382F8" w:rsidR="00486D32" w:rsidRPr="005622E0" w:rsidRDefault="00D84D26" w:rsidP="00D84D26">
            <w:pPr>
              <w:tabs>
                <w:tab w:val="left" w:pos="0"/>
              </w:tabs>
              <w:jc w:val="right"/>
              <w:rPr>
                <w:bCs/>
              </w:rPr>
            </w:pPr>
            <w:r w:rsidRPr="005622E0">
              <w:rPr>
                <w:bCs/>
              </w:rPr>
              <w:t>175, 562</w:t>
            </w:r>
          </w:p>
        </w:tc>
        <w:tc>
          <w:tcPr>
            <w:tcW w:w="15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74921E6" w14:textId="70342EDF" w:rsidR="00486D32" w:rsidRPr="005622E0" w:rsidRDefault="00486D32" w:rsidP="00486D32">
            <w:pPr>
              <w:tabs>
                <w:tab w:val="left" w:pos="0"/>
              </w:tabs>
              <w:jc w:val="right"/>
              <w:rPr>
                <w:bCs/>
              </w:rPr>
            </w:pPr>
          </w:p>
        </w:tc>
        <w:tc>
          <w:tcPr>
            <w:tcW w:w="14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BA652D0" w14:textId="77777777" w:rsidR="00486D32" w:rsidRPr="005622E0" w:rsidRDefault="00486D32" w:rsidP="00486D32">
            <w:pPr>
              <w:tabs>
                <w:tab w:val="left" w:pos="0"/>
              </w:tabs>
              <w:jc w:val="right"/>
              <w:rPr>
                <w:bCs/>
              </w:rPr>
            </w:pPr>
            <w:r w:rsidRPr="005622E0">
              <w:rPr>
                <w:bCs/>
              </w:rPr>
              <w:t>na</w:t>
            </w:r>
            <w:r w:rsidRPr="005622E0" w:rsidDel="000C1024">
              <w:rPr>
                <w:bCs/>
              </w:rPr>
              <w:t xml:space="preserve"> </w:t>
            </w:r>
          </w:p>
        </w:tc>
        <w:tc>
          <w:tcPr>
            <w:tcW w:w="21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6C3E2BC" w14:textId="79EA4099" w:rsidR="00486D32" w:rsidRPr="005622E0" w:rsidRDefault="00486D32">
            <w:pPr>
              <w:tabs>
                <w:tab w:val="left" w:pos="0"/>
              </w:tabs>
              <w:jc w:val="right"/>
              <w:rPr>
                <w:bCs/>
              </w:rPr>
            </w:pPr>
            <w:r w:rsidRPr="005622E0">
              <w:rPr>
                <w:bCs/>
              </w:rPr>
              <w:t>$1,</w:t>
            </w:r>
            <w:r w:rsidR="00FA0741" w:rsidRPr="005622E0">
              <w:rPr>
                <w:bCs/>
              </w:rPr>
              <w:t>942</w:t>
            </w:r>
            <w:r w:rsidR="00062555" w:rsidRPr="005622E0">
              <w:rPr>
                <w:bCs/>
              </w:rPr>
              <w:t>,</w:t>
            </w:r>
            <w:r w:rsidR="00FA0741" w:rsidRPr="005622E0">
              <w:rPr>
                <w:bCs/>
              </w:rPr>
              <w:t>5</w:t>
            </w:r>
            <w:r w:rsidR="00C67BCD" w:rsidRPr="005622E0">
              <w:rPr>
                <w:bCs/>
              </w:rPr>
              <w:t>48</w:t>
            </w:r>
          </w:p>
        </w:tc>
      </w:tr>
    </w:tbl>
    <w:p w14:paraId="49840768" w14:textId="77777777" w:rsidR="00DB433B" w:rsidRPr="005622E0" w:rsidRDefault="00DB433B" w:rsidP="00DB433B">
      <w:pPr>
        <w:tabs>
          <w:tab w:val="left" w:pos="0"/>
        </w:tabs>
        <w:rPr>
          <w:bCs/>
        </w:rPr>
      </w:pPr>
      <w:r w:rsidRPr="005622E0">
        <w:rPr>
          <w:bCs/>
          <w:vertAlign w:val="superscript"/>
        </w:rPr>
        <w:t>*</w:t>
      </w:r>
      <w:r w:rsidRPr="005622E0">
        <w:rPr>
          <w:bCs/>
        </w:rPr>
        <w:t xml:space="preserve"> Mean hourly wage for All Occupations (00-0000)</w:t>
      </w:r>
    </w:p>
    <w:p w14:paraId="691CFED0" w14:textId="77777777" w:rsidR="00DB433B" w:rsidRPr="005622E0" w:rsidRDefault="00DB433B" w:rsidP="00DB433B">
      <w:pPr>
        <w:tabs>
          <w:tab w:val="left" w:pos="0"/>
        </w:tabs>
        <w:rPr>
          <w:bCs/>
        </w:rPr>
      </w:pPr>
      <w:r w:rsidRPr="005622E0">
        <w:rPr>
          <w:bCs/>
          <w:vertAlign w:val="superscript"/>
        </w:rPr>
        <w:t>**</w:t>
      </w:r>
      <w:r w:rsidRPr="005622E0">
        <w:rPr>
          <w:bCs/>
        </w:rPr>
        <w:t xml:space="preserve"> Mean hourly wage for Medical Secretaries (43-6013)</w:t>
      </w:r>
    </w:p>
    <w:p w14:paraId="18687032" w14:textId="77777777" w:rsidR="00DB433B" w:rsidRPr="005622E0" w:rsidRDefault="00DB433B" w:rsidP="00DB433B">
      <w:pPr>
        <w:tabs>
          <w:tab w:val="left" w:pos="0"/>
        </w:tabs>
        <w:rPr>
          <w:bCs/>
        </w:rPr>
      </w:pPr>
      <w:r w:rsidRPr="005622E0">
        <w:rPr>
          <w:bCs/>
          <w:vertAlign w:val="superscript"/>
        </w:rPr>
        <w:t xml:space="preserve">*** </w:t>
      </w:r>
      <w:r w:rsidRPr="005622E0">
        <w:rPr>
          <w:bCs/>
        </w:rPr>
        <w:t>Mean hourly wage for Pharmacy Technicians (29-2052)</w:t>
      </w:r>
    </w:p>
    <w:p w14:paraId="79A4E096" w14:textId="77777777" w:rsidR="00DB433B" w:rsidRPr="005622E0" w:rsidRDefault="00DB433B" w:rsidP="00DB433B">
      <w:pPr>
        <w:pStyle w:val="Heading2"/>
        <w:spacing w:before="0" w:after="0"/>
        <w:rPr>
          <w:rFonts w:ascii="Times New Roman" w:hAnsi="Times New Roman" w:cs="Times New Roman"/>
          <w:b w:val="0"/>
          <w:i w:val="0"/>
          <w:sz w:val="24"/>
          <w:szCs w:val="24"/>
        </w:rPr>
      </w:pPr>
      <w:r w:rsidRPr="005622E0">
        <w:rPr>
          <w:rFonts w:ascii="Times New Roman" w:hAnsi="Times New Roman" w:cs="Times New Roman"/>
          <w:b w:val="0"/>
          <w:i w:val="0"/>
          <w:sz w:val="24"/>
          <w:szCs w:val="24"/>
        </w:rPr>
        <w:t xml:space="preserve">Occupational Employment Statistics, May 2017 National Occupational Employment and Wage Estimates United States, U.S. Department of Labor, Bureau of Labor Statistics. </w:t>
      </w:r>
    </w:p>
    <w:p w14:paraId="4548E40F" w14:textId="17C0486A" w:rsidR="00DB433B" w:rsidRPr="005622E0" w:rsidRDefault="00DB433B" w:rsidP="00DB433B"/>
    <w:p w14:paraId="7047D7B3" w14:textId="77777777" w:rsidR="00356D86" w:rsidRPr="005622E0" w:rsidRDefault="00356D86" w:rsidP="00B507E5">
      <w:bookmarkStart w:id="29" w:name="_Toc151782188"/>
      <w:bookmarkStart w:id="30" w:name="_Toc158526228"/>
      <w:bookmarkEnd w:id="27"/>
      <w:bookmarkEnd w:id="28"/>
    </w:p>
    <w:p w14:paraId="0F2AEF0F" w14:textId="77777777" w:rsidR="00356D86" w:rsidRPr="005622E0" w:rsidRDefault="00356D86" w:rsidP="00356D86">
      <w:pPr>
        <w:rPr>
          <w:b/>
        </w:rPr>
      </w:pPr>
      <w:r w:rsidRPr="005622E0">
        <w:rPr>
          <w:b/>
        </w:rPr>
        <w:t>Exhibit 3.  Total and Average Remuneration by Provider Type for the MEPS-MPC</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3"/>
        <w:gridCol w:w="1530"/>
        <w:gridCol w:w="1080"/>
        <w:gridCol w:w="1620"/>
      </w:tblGrid>
      <w:tr w:rsidR="00356D86" w:rsidRPr="005622E0" w14:paraId="5C5B381D" w14:textId="77777777" w:rsidTr="00361FB9">
        <w:tc>
          <w:tcPr>
            <w:tcW w:w="4793" w:type="dxa"/>
            <w:vAlign w:val="center"/>
          </w:tcPr>
          <w:p w14:paraId="7D21BDD4" w14:textId="77777777" w:rsidR="00356D86" w:rsidRPr="005622E0" w:rsidRDefault="00356D86" w:rsidP="00802EAB">
            <w:r w:rsidRPr="005622E0">
              <w:t>Provider Type</w:t>
            </w:r>
          </w:p>
        </w:tc>
        <w:tc>
          <w:tcPr>
            <w:tcW w:w="1530" w:type="dxa"/>
          </w:tcPr>
          <w:p w14:paraId="127C74BD" w14:textId="77777777" w:rsidR="00356D86" w:rsidRPr="005622E0" w:rsidRDefault="00356D86" w:rsidP="00802EAB">
            <w:pPr>
              <w:jc w:val="center"/>
            </w:pPr>
            <w:r w:rsidRPr="005622E0">
              <w:t>Number of Records with Payment</w:t>
            </w:r>
          </w:p>
        </w:tc>
        <w:tc>
          <w:tcPr>
            <w:tcW w:w="1080" w:type="dxa"/>
          </w:tcPr>
          <w:p w14:paraId="4B9740EA" w14:textId="77777777" w:rsidR="00356D86" w:rsidRPr="005622E0" w:rsidRDefault="00356D86" w:rsidP="00802EAB">
            <w:pPr>
              <w:jc w:val="center"/>
            </w:pPr>
            <w:r w:rsidRPr="005622E0">
              <w:t>Average Payment</w:t>
            </w:r>
          </w:p>
        </w:tc>
        <w:tc>
          <w:tcPr>
            <w:tcW w:w="1620" w:type="dxa"/>
          </w:tcPr>
          <w:p w14:paraId="04A22B13" w14:textId="77777777" w:rsidR="00356D86" w:rsidRPr="005622E0" w:rsidRDefault="00356D86" w:rsidP="00802EAB">
            <w:pPr>
              <w:jc w:val="center"/>
            </w:pPr>
            <w:r w:rsidRPr="005622E0">
              <w:t>Total Remuneration</w:t>
            </w:r>
          </w:p>
        </w:tc>
      </w:tr>
      <w:tr w:rsidR="00356D86" w:rsidRPr="005622E0" w14:paraId="0274C7E8" w14:textId="77777777" w:rsidTr="00361FB9">
        <w:tc>
          <w:tcPr>
            <w:tcW w:w="4793" w:type="dxa"/>
            <w:vAlign w:val="center"/>
          </w:tcPr>
          <w:p w14:paraId="3284A3ED" w14:textId="77777777" w:rsidR="00356D86" w:rsidRPr="005622E0" w:rsidRDefault="00356D86" w:rsidP="00802EAB">
            <w:r w:rsidRPr="005622E0">
              <w:t>Hospital</w:t>
            </w:r>
          </w:p>
        </w:tc>
        <w:tc>
          <w:tcPr>
            <w:tcW w:w="1530" w:type="dxa"/>
          </w:tcPr>
          <w:p w14:paraId="25918A73" w14:textId="77777777" w:rsidR="00356D86" w:rsidRPr="005622E0" w:rsidRDefault="00356D86" w:rsidP="00802EAB">
            <w:pPr>
              <w:jc w:val="right"/>
            </w:pPr>
            <w:r w:rsidRPr="005622E0">
              <w:t xml:space="preserve"> 1,718</w:t>
            </w:r>
          </w:p>
        </w:tc>
        <w:tc>
          <w:tcPr>
            <w:tcW w:w="1080" w:type="dxa"/>
          </w:tcPr>
          <w:p w14:paraId="5B791EF7" w14:textId="77777777" w:rsidR="00356D86" w:rsidRPr="005622E0" w:rsidRDefault="00356D86" w:rsidP="00802EAB">
            <w:pPr>
              <w:jc w:val="right"/>
            </w:pPr>
            <w:r w:rsidRPr="005622E0">
              <w:t>$ 43.99</w:t>
            </w:r>
          </w:p>
        </w:tc>
        <w:tc>
          <w:tcPr>
            <w:tcW w:w="1620" w:type="dxa"/>
          </w:tcPr>
          <w:p w14:paraId="50A5C49E" w14:textId="77777777" w:rsidR="00356D86" w:rsidRPr="005622E0" w:rsidRDefault="00356D86" w:rsidP="00802EAB">
            <w:pPr>
              <w:jc w:val="right"/>
            </w:pPr>
            <w:r w:rsidRPr="005622E0">
              <w:t>$ 75,575</w:t>
            </w:r>
          </w:p>
        </w:tc>
      </w:tr>
      <w:tr w:rsidR="00356D86" w:rsidRPr="005622E0" w14:paraId="2757402D" w14:textId="77777777" w:rsidTr="00361FB9">
        <w:tc>
          <w:tcPr>
            <w:tcW w:w="4793" w:type="dxa"/>
          </w:tcPr>
          <w:p w14:paraId="5525AEFA" w14:textId="77777777" w:rsidR="00356D86" w:rsidRPr="005622E0" w:rsidRDefault="00356D86" w:rsidP="00802EAB">
            <w:r w:rsidRPr="005622E0">
              <w:t>Office Based Providers</w:t>
            </w:r>
          </w:p>
        </w:tc>
        <w:tc>
          <w:tcPr>
            <w:tcW w:w="1530" w:type="dxa"/>
          </w:tcPr>
          <w:p w14:paraId="21B6804C" w14:textId="77777777" w:rsidR="00356D86" w:rsidRPr="005622E0" w:rsidRDefault="00356D86" w:rsidP="00802EAB">
            <w:pPr>
              <w:jc w:val="right"/>
            </w:pPr>
            <w:r w:rsidRPr="005622E0">
              <w:t xml:space="preserve"> 678</w:t>
            </w:r>
          </w:p>
        </w:tc>
        <w:tc>
          <w:tcPr>
            <w:tcW w:w="1080" w:type="dxa"/>
          </w:tcPr>
          <w:p w14:paraId="7164950F" w14:textId="77777777" w:rsidR="00356D86" w:rsidRPr="005622E0" w:rsidRDefault="00356D86" w:rsidP="00802EAB">
            <w:pPr>
              <w:jc w:val="right"/>
            </w:pPr>
            <w:r w:rsidRPr="005622E0">
              <w:t>$ 33.88</w:t>
            </w:r>
          </w:p>
        </w:tc>
        <w:tc>
          <w:tcPr>
            <w:tcW w:w="1620" w:type="dxa"/>
          </w:tcPr>
          <w:p w14:paraId="3AB75C28" w14:textId="77777777" w:rsidR="00356D86" w:rsidRPr="005622E0" w:rsidRDefault="00356D86" w:rsidP="00802EAB">
            <w:pPr>
              <w:jc w:val="right"/>
            </w:pPr>
            <w:r w:rsidRPr="005622E0">
              <w:t>$ 22,971</w:t>
            </w:r>
          </w:p>
        </w:tc>
      </w:tr>
      <w:tr w:rsidR="00356D86" w:rsidRPr="005622E0" w14:paraId="208F6232" w14:textId="77777777" w:rsidTr="00361FB9">
        <w:tc>
          <w:tcPr>
            <w:tcW w:w="4793" w:type="dxa"/>
          </w:tcPr>
          <w:p w14:paraId="5945C96D" w14:textId="77777777" w:rsidR="00356D86" w:rsidRPr="005622E0" w:rsidRDefault="00356D86" w:rsidP="00802EAB">
            <w:r w:rsidRPr="005622E0">
              <w:t>Institutions</w:t>
            </w:r>
          </w:p>
        </w:tc>
        <w:tc>
          <w:tcPr>
            <w:tcW w:w="1530" w:type="dxa"/>
          </w:tcPr>
          <w:p w14:paraId="654D3496" w14:textId="77777777" w:rsidR="00356D86" w:rsidRPr="005622E0" w:rsidRDefault="00356D86" w:rsidP="00802EAB">
            <w:pPr>
              <w:jc w:val="right"/>
            </w:pPr>
            <w:r w:rsidRPr="005622E0">
              <w:t xml:space="preserve"> 1</w:t>
            </w:r>
          </w:p>
        </w:tc>
        <w:tc>
          <w:tcPr>
            <w:tcW w:w="1080" w:type="dxa"/>
          </w:tcPr>
          <w:p w14:paraId="5DE73E19" w14:textId="77777777" w:rsidR="00356D86" w:rsidRPr="005622E0" w:rsidRDefault="00356D86" w:rsidP="00802EAB">
            <w:pPr>
              <w:jc w:val="right"/>
            </w:pPr>
            <w:r w:rsidRPr="005622E0">
              <w:t>$ 63.71</w:t>
            </w:r>
          </w:p>
        </w:tc>
        <w:tc>
          <w:tcPr>
            <w:tcW w:w="1620" w:type="dxa"/>
          </w:tcPr>
          <w:p w14:paraId="0B463C99" w14:textId="77777777" w:rsidR="00356D86" w:rsidRPr="005622E0" w:rsidRDefault="00356D86" w:rsidP="00802EAB">
            <w:pPr>
              <w:jc w:val="right"/>
            </w:pPr>
            <w:r w:rsidRPr="005622E0">
              <w:t>$ 64</w:t>
            </w:r>
          </w:p>
        </w:tc>
      </w:tr>
      <w:tr w:rsidR="00356D86" w:rsidRPr="005622E0" w14:paraId="4383EA54" w14:textId="77777777" w:rsidTr="00361FB9">
        <w:tc>
          <w:tcPr>
            <w:tcW w:w="4793" w:type="dxa"/>
          </w:tcPr>
          <w:p w14:paraId="37B6DCE0" w14:textId="77777777" w:rsidR="00356D86" w:rsidRPr="005622E0" w:rsidRDefault="00356D86" w:rsidP="00802EAB">
            <w:r w:rsidRPr="005622E0">
              <w:rPr>
                <w:bCs/>
              </w:rPr>
              <w:t>Home Care Provider (Health Care Providers)</w:t>
            </w:r>
          </w:p>
        </w:tc>
        <w:tc>
          <w:tcPr>
            <w:tcW w:w="1530" w:type="dxa"/>
            <w:vAlign w:val="center"/>
          </w:tcPr>
          <w:p w14:paraId="7D444680" w14:textId="77777777" w:rsidR="00356D86" w:rsidRPr="005622E0" w:rsidRDefault="00356D86" w:rsidP="00802EAB">
            <w:pPr>
              <w:jc w:val="right"/>
            </w:pPr>
            <w:r w:rsidRPr="005622E0">
              <w:t xml:space="preserve"> 4</w:t>
            </w:r>
          </w:p>
        </w:tc>
        <w:tc>
          <w:tcPr>
            <w:tcW w:w="1080" w:type="dxa"/>
            <w:vAlign w:val="center"/>
          </w:tcPr>
          <w:p w14:paraId="3F51A77E" w14:textId="77777777" w:rsidR="00356D86" w:rsidRPr="005622E0" w:rsidRDefault="00356D86" w:rsidP="00802EAB">
            <w:pPr>
              <w:jc w:val="right"/>
            </w:pPr>
            <w:r w:rsidRPr="005622E0">
              <w:t>$ 78.50</w:t>
            </w:r>
          </w:p>
        </w:tc>
        <w:tc>
          <w:tcPr>
            <w:tcW w:w="1620" w:type="dxa"/>
            <w:vAlign w:val="center"/>
          </w:tcPr>
          <w:p w14:paraId="3A936484" w14:textId="77777777" w:rsidR="00356D86" w:rsidRPr="005622E0" w:rsidRDefault="00356D86" w:rsidP="00802EAB">
            <w:pPr>
              <w:jc w:val="right"/>
            </w:pPr>
            <w:r w:rsidRPr="005622E0">
              <w:t>$ 314</w:t>
            </w:r>
          </w:p>
        </w:tc>
      </w:tr>
      <w:tr w:rsidR="00356D86" w:rsidRPr="005622E0" w14:paraId="1CE39941" w14:textId="77777777" w:rsidTr="00361FB9">
        <w:tc>
          <w:tcPr>
            <w:tcW w:w="4793" w:type="dxa"/>
          </w:tcPr>
          <w:p w14:paraId="36C17235" w14:textId="77777777" w:rsidR="00356D86" w:rsidRPr="005622E0" w:rsidRDefault="00356D86" w:rsidP="00802EAB">
            <w:r w:rsidRPr="005622E0">
              <w:rPr>
                <w:bCs/>
              </w:rPr>
              <w:t>Home Care Provider (Non-Health Care Providers)</w:t>
            </w:r>
          </w:p>
        </w:tc>
        <w:tc>
          <w:tcPr>
            <w:tcW w:w="1530" w:type="dxa"/>
            <w:vAlign w:val="center"/>
          </w:tcPr>
          <w:p w14:paraId="36471EFD" w14:textId="77777777" w:rsidR="00356D86" w:rsidRPr="005622E0" w:rsidRDefault="00356D86" w:rsidP="00802EAB">
            <w:pPr>
              <w:jc w:val="right"/>
            </w:pPr>
            <w:r w:rsidRPr="005622E0">
              <w:t>0</w:t>
            </w:r>
          </w:p>
        </w:tc>
        <w:tc>
          <w:tcPr>
            <w:tcW w:w="1080" w:type="dxa"/>
            <w:vAlign w:val="center"/>
          </w:tcPr>
          <w:p w14:paraId="617CB18A" w14:textId="77777777" w:rsidR="00356D86" w:rsidRPr="005622E0" w:rsidRDefault="00356D86" w:rsidP="00802EAB">
            <w:pPr>
              <w:jc w:val="right"/>
            </w:pPr>
            <w:r w:rsidRPr="005622E0">
              <w:t>$0</w:t>
            </w:r>
          </w:p>
        </w:tc>
        <w:tc>
          <w:tcPr>
            <w:tcW w:w="1620" w:type="dxa"/>
            <w:vAlign w:val="center"/>
          </w:tcPr>
          <w:p w14:paraId="07B3EEFA" w14:textId="77777777" w:rsidR="00356D86" w:rsidRPr="005622E0" w:rsidRDefault="00356D86" w:rsidP="00802EAB">
            <w:pPr>
              <w:jc w:val="right"/>
            </w:pPr>
            <w:r w:rsidRPr="005622E0">
              <w:t>$0</w:t>
            </w:r>
          </w:p>
        </w:tc>
      </w:tr>
      <w:tr w:rsidR="00356D86" w:rsidRPr="005622E0" w14:paraId="6FEA9A28" w14:textId="77777777" w:rsidTr="00361FB9">
        <w:tc>
          <w:tcPr>
            <w:tcW w:w="4793" w:type="dxa"/>
          </w:tcPr>
          <w:p w14:paraId="627B2170" w14:textId="77777777" w:rsidR="00356D86" w:rsidRPr="005622E0" w:rsidRDefault="00356D86" w:rsidP="00802EAB">
            <w:r w:rsidRPr="005622E0">
              <w:t>Pharmacy</w:t>
            </w:r>
          </w:p>
        </w:tc>
        <w:tc>
          <w:tcPr>
            <w:tcW w:w="1530" w:type="dxa"/>
          </w:tcPr>
          <w:p w14:paraId="28BEA2D3" w14:textId="77777777" w:rsidR="00356D86" w:rsidRPr="005622E0" w:rsidRDefault="00356D86" w:rsidP="00802EAB">
            <w:pPr>
              <w:jc w:val="right"/>
            </w:pPr>
            <w:r w:rsidRPr="005622E0">
              <w:t xml:space="preserve"> 10,305</w:t>
            </w:r>
          </w:p>
        </w:tc>
        <w:tc>
          <w:tcPr>
            <w:tcW w:w="1080" w:type="dxa"/>
          </w:tcPr>
          <w:p w14:paraId="34794A07" w14:textId="77777777" w:rsidR="00356D86" w:rsidRPr="005622E0" w:rsidRDefault="00356D86" w:rsidP="00802EAB">
            <w:pPr>
              <w:jc w:val="right"/>
            </w:pPr>
            <w:r w:rsidRPr="005622E0">
              <w:t>$ 35.69</w:t>
            </w:r>
          </w:p>
        </w:tc>
        <w:tc>
          <w:tcPr>
            <w:tcW w:w="1620" w:type="dxa"/>
          </w:tcPr>
          <w:p w14:paraId="2C19AC10" w14:textId="77777777" w:rsidR="00356D86" w:rsidRPr="005622E0" w:rsidRDefault="00356D86" w:rsidP="00802EAB">
            <w:pPr>
              <w:jc w:val="right"/>
            </w:pPr>
            <w:r w:rsidRPr="005622E0">
              <w:t>$ 367,785</w:t>
            </w:r>
          </w:p>
        </w:tc>
      </w:tr>
      <w:tr w:rsidR="00356D86" w:rsidRPr="005622E0" w14:paraId="66B9CFA2" w14:textId="77777777" w:rsidTr="00361FB9">
        <w:tc>
          <w:tcPr>
            <w:tcW w:w="4793" w:type="dxa"/>
          </w:tcPr>
          <w:p w14:paraId="1628E127" w14:textId="77777777" w:rsidR="00356D86" w:rsidRPr="005622E0" w:rsidRDefault="00356D86" w:rsidP="00802EAB">
            <w:r w:rsidRPr="005622E0">
              <w:rPr>
                <w:bCs/>
              </w:rPr>
              <w:t>Separately Billing Doctors</w:t>
            </w:r>
          </w:p>
        </w:tc>
        <w:tc>
          <w:tcPr>
            <w:tcW w:w="1530" w:type="dxa"/>
          </w:tcPr>
          <w:p w14:paraId="395248F2" w14:textId="77777777" w:rsidR="00356D86" w:rsidRPr="005622E0" w:rsidRDefault="00356D86" w:rsidP="00802EAB">
            <w:pPr>
              <w:jc w:val="right"/>
            </w:pPr>
            <w:r w:rsidRPr="005622E0">
              <w:t xml:space="preserve"> 412</w:t>
            </w:r>
          </w:p>
        </w:tc>
        <w:tc>
          <w:tcPr>
            <w:tcW w:w="1080" w:type="dxa"/>
          </w:tcPr>
          <w:p w14:paraId="24C53319" w14:textId="77777777" w:rsidR="00356D86" w:rsidRPr="005622E0" w:rsidRDefault="00356D86" w:rsidP="00802EAB">
            <w:pPr>
              <w:jc w:val="right"/>
            </w:pPr>
            <w:r w:rsidRPr="005622E0">
              <w:t>$ 70.60</w:t>
            </w:r>
          </w:p>
        </w:tc>
        <w:tc>
          <w:tcPr>
            <w:tcW w:w="1620" w:type="dxa"/>
          </w:tcPr>
          <w:p w14:paraId="3C460EFD" w14:textId="77777777" w:rsidR="00356D86" w:rsidRPr="005622E0" w:rsidRDefault="00356D86" w:rsidP="00802EAB">
            <w:pPr>
              <w:jc w:val="right"/>
            </w:pPr>
            <w:r w:rsidRPr="005622E0">
              <w:t>$ 29,087</w:t>
            </w:r>
          </w:p>
        </w:tc>
      </w:tr>
      <w:tr w:rsidR="00356D86" w:rsidRPr="005622E0" w14:paraId="079E0F9A" w14:textId="77777777" w:rsidTr="00361FB9">
        <w:tc>
          <w:tcPr>
            <w:tcW w:w="4793" w:type="dxa"/>
          </w:tcPr>
          <w:p w14:paraId="015F5DE3" w14:textId="77777777" w:rsidR="00356D86" w:rsidRPr="005622E0" w:rsidRDefault="00356D86" w:rsidP="00802EAB">
            <w:r w:rsidRPr="005622E0">
              <w:t xml:space="preserve">Total MPC </w:t>
            </w:r>
          </w:p>
        </w:tc>
        <w:tc>
          <w:tcPr>
            <w:tcW w:w="1530" w:type="dxa"/>
          </w:tcPr>
          <w:p w14:paraId="42A16D62" w14:textId="77777777" w:rsidR="00356D86" w:rsidRPr="005622E0" w:rsidRDefault="00356D86" w:rsidP="00802EAB">
            <w:pPr>
              <w:jc w:val="right"/>
            </w:pPr>
            <w:r w:rsidRPr="005622E0">
              <w:t xml:space="preserve"> 13,118</w:t>
            </w:r>
          </w:p>
        </w:tc>
        <w:tc>
          <w:tcPr>
            <w:tcW w:w="1080" w:type="dxa"/>
          </w:tcPr>
          <w:p w14:paraId="45EE30FA" w14:textId="77777777" w:rsidR="00356D86" w:rsidRPr="005622E0" w:rsidRDefault="00356D86" w:rsidP="00802EAB">
            <w:pPr>
              <w:jc w:val="right"/>
            </w:pPr>
          </w:p>
        </w:tc>
        <w:tc>
          <w:tcPr>
            <w:tcW w:w="1620" w:type="dxa"/>
          </w:tcPr>
          <w:p w14:paraId="5DD9CD19" w14:textId="77777777" w:rsidR="00356D86" w:rsidRPr="005622E0" w:rsidRDefault="00356D86" w:rsidP="00802EAB">
            <w:pPr>
              <w:jc w:val="right"/>
            </w:pPr>
            <w:r w:rsidRPr="005622E0">
              <w:t>$ 495,796</w:t>
            </w:r>
          </w:p>
        </w:tc>
      </w:tr>
    </w:tbl>
    <w:p w14:paraId="55C9406A" w14:textId="462A2CD7" w:rsidR="009B633D" w:rsidRPr="005622E0" w:rsidRDefault="009B633D" w:rsidP="00CE1235">
      <w:pPr>
        <w:pStyle w:val="Heading2"/>
        <w:rPr>
          <w:sz w:val="24"/>
        </w:rPr>
      </w:pPr>
      <w:r w:rsidRPr="005622E0">
        <w:rPr>
          <w:sz w:val="24"/>
        </w:rPr>
        <w:t>13. Estimates of Annualized Respondent Capital and Maintenance Costs</w:t>
      </w:r>
      <w:bookmarkEnd w:id="29"/>
      <w:bookmarkEnd w:id="30"/>
    </w:p>
    <w:p w14:paraId="24B90890" w14:textId="77777777" w:rsidR="00E14FC3" w:rsidRPr="005622E0" w:rsidRDefault="00B762E0" w:rsidP="00C205C8">
      <w:pPr>
        <w:spacing w:before="120"/>
      </w:pPr>
      <w:r w:rsidRPr="005622E0">
        <w:t xml:space="preserve">Capital and maintenance costs include the purchase of </w:t>
      </w:r>
      <w:r w:rsidR="00C205C8" w:rsidRPr="005622E0">
        <w:t xml:space="preserve">equipment, </w:t>
      </w:r>
      <w:r w:rsidRPr="005622E0">
        <w:t>computer</w:t>
      </w:r>
      <w:r w:rsidR="00C205C8" w:rsidRPr="005622E0">
        <w:t>s or computer software or services, or storage facilities for records, as a result of complying with this data collection.  T</w:t>
      </w:r>
      <w:r w:rsidR="0080612B" w:rsidRPr="005622E0">
        <w:t>here are no direct costs to respondents other than</w:t>
      </w:r>
      <w:r w:rsidR="00260E5F" w:rsidRPr="005622E0">
        <w:t xml:space="preserve"> </w:t>
      </w:r>
      <w:r w:rsidR="0080612B" w:rsidRPr="005622E0">
        <w:t>their time to participate in the study.</w:t>
      </w:r>
    </w:p>
    <w:p w14:paraId="698A3EEC" w14:textId="77777777" w:rsidR="009B633D" w:rsidRPr="005622E0" w:rsidRDefault="009B633D" w:rsidP="009B633D">
      <w:pPr>
        <w:pStyle w:val="Heading2"/>
        <w:rPr>
          <w:sz w:val="24"/>
        </w:rPr>
      </w:pPr>
      <w:bookmarkStart w:id="31" w:name="_Toc58725299"/>
      <w:bookmarkStart w:id="32" w:name="_Toc151782189"/>
      <w:bookmarkStart w:id="33" w:name="_Toc158526229"/>
      <w:r w:rsidRPr="005622E0">
        <w:rPr>
          <w:sz w:val="24"/>
        </w:rPr>
        <w:t>14. Estimates of Annualized Cost to the Government</w:t>
      </w:r>
      <w:bookmarkEnd w:id="31"/>
      <w:bookmarkEnd w:id="32"/>
      <w:bookmarkEnd w:id="33"/>
    </w:p>
    <w:p w14:paraId="779CCFEE" w14:textId="77777777" w:rsidR="00707CEE" w:rsidRPr="005622E0" w:rsidRDefault="00707CEE" w:rsidP="00707CEE">
      <w:bookmarkStart w:id="34" w:name="_Toc151782190"/>
      <w:bookmarkStart w:id="35" w:name="_Toc158526230"/>
      <w:r w:rsidRPr="005622E0">
        <w:t xml:space="preserve">Exhibit </w:t>
      </w:r>
      <w:r w:rsidR="00541E05" w:rsidRPr="005622E0">
        <w:t>4</w:t>
      </w:r>
      <w:r w:rsidRPr="005622E0">
        <w:t xml:space="preserve"> shows the total and annualized cost of this information collection.  The cost associated with the design and data collection of the MEPS-HC and MEPS-MPC is estimated to be $</w:t>
      </w:r>
      <w:r w:rsidR="005556EF" w:rsidRPr="005622E0">
        <w:t>51</w:t>
      </w:r>
      <w:r w:rsidR="003A613F" w:rsidRPr="005622E0">
        <w:t>,</w:t>
      </w:r>
      <w:r w:rsidR="005556EF" w:rsidRPr="005622E0">
        <w:t>382</w:t>
      </w:r>
      <w:r w:rsidR="003A613F" w:rsidRPr="005622E0">
        <w:t>,</w:t>
      </w:r>
      <w:r w:rsidR="005556EF" w:rsidRPr="005622E0">
        <w:t>086</w:t>
      </w:r>
      <w:r w:rsidRPr="005622E0">
        <w:t xml:space="preserve"> in each of the three years covered by this information collection request.</w:t>
      </w:r>
      <w:r w:rsidR="00055499" w:rsidRPr="005622E0">
        <w:t xml:space="preserve">  Exhibits </w:t>
      </w:r>
      <w:r w:rsidR="00541E05" w:rsidRPr="005622E0">
        <w:t>5</w:t>
      </w:r>
      <w:r w:rsidR="00055499" w:rsidRPr="005622E0">
        <w:t xml:space="preserve"> and </w:t>
      </w:r>
      <w:r w:rsidR="00541E05" w:rsidRPr="005622E0">
        <w:t>6</w:t>
      </w:r>
      <w:r w:rsidR="00055499" w:rsidRPr="005622E0">
        <w:t xml:space="preserve"> show the total and annualized cost of MEPS-HC and MEPS-MPC oversight, respectively.</w:t>
      </w:r>
    </w:p>
    <w:p w14:paraId="55E1C263" w14:textId="77777777" w:rsidR="00707CEE" w:rsidRPr="005622E0" w:rsidRDefault="00707CEE" w:rsidP="00707CEE">
      <w:pPr>
        <w:rPr>
          <w:b/>
          <w:bCs/>
          <w:color w:val="000000"/>
        </w:rPr>
      </w:pPr>
    </w:p>
    <w:p w14:paraId="50EB4394" w14:textId="77777777" w:rsidR="00707CEE" w:rsidRPr="005622E0" w:rsidRDefault="00707CEE" w:rsidP="00707CEE">
      <w:r w:rsidRPr="005622E0">
        <w:rPr>
          <w:b/>
          <w:bCs/>
          <w:color w:val="000000"/>
        </w:rPr>
        <w:t xml:space="preserve">Exhibit </w:t>
      </w:r>
      <w:r w:rsidR="00541E05" w:rsidRPr="005622E0">
        <w:rPr>
          <w:b/>
          <w:bCs/>
          <w:color w:val="000000"/>
        </w:rPr>
        <w:t>4</w:t>
      </w:r>
      <w:r w:rsidRPr="005622E0">
        <w:rPr>
          <w:b/>
          <w:bCs/>
          <w:color w:val="000000"/>
        </w:rPr>
        <w:t>.  Estimated Total and Annualized Cost</w:t>
      </w:r>
    </w:p>
    <w:tbl>
      <w:tblPr>
        <w:tblW w:w="0" w:type="auto"/>
        <w:tblInd w:w="-10" w:type="dxa"/>
        <w:tblCellMar>
          <w:left w:w="0" w:type="dxa"/>
          <w:right w:w="0" w:type="dxa"/>
        </w:tblCellMar>
        <w:tblLook w:val="0000" w:firstRow="0" w:lastRow="0" w:firstColumn="0" w:lastColumn="0" w:noHBand="0" w:noVBand="0"/>
      </w:tblPr>
      <w:tblGrid>
        <w:gridCol w:w="3280"/>
        <w:gridCol w:w="1536"/>
        <w:gridCol w:w="3216"/>
      </w:tblGrid>
      <w:tr w:rsidR="00707CEE" w:rsidRPr="005622E0" w14:paraId="270798AF" w14:textId="77777777" w:rsidTr="00D65011">
        <w:tc>
          <w:tcPr>
            <w:tcW w:w="328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6C8C6904" w14:textId="77777777" w:rsidR="00707CEE" w:rsidRPr="005622E0" w:rsidRDefault="00707CEE" w:rsidP="00CE520D">
            <w:pPr>
              <w:rPr>
                <w:b/>
              </w:rPr>
            </w:pPr>
            <w:r w:rsidRPr="005622E0">
              <w:rPr>
                <w:b/>
                <w:color w:val="000000"/>
              </w:rPr>
              <w:t xml:space="preserve">Cost Component </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1A5C001" w14:textId="77777777" w:rsidR="00707CEE" w:rsidRPr="005622E0" w:rsidRDefault="00707CEE" w:rsidP="00CE520D">
            <w:pPr>
              <w:jc w:val="center"/>
              <w:rPr>
                <w:b/>
              </w:rPr>
            </w:pPr>
            <w:r w:rsidRPr="005622E0">
              <w:rPr>
                <w:b/>
              </w:rPr>
              <w:t>Total Cost</w:t>
            </w:r>
          </w:p>
        </w:tc>
        <w:tc>
          <w:tcPr>
            <w:tcW w:w="321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EC3C274" w14:textId="77777777" w:rsidR="00707CEE" w:rsidRPr="005622E0" w:rsidRDefault="00707CEE" w:rsidP="00CE520D">
            <w:pPr>
              <w:jc w:val="center"/>
              <w:rPr>
                <w:b/>
              </w:rPr>
            </w:pPr>
            <w:r w:rsidRPr="005622E0">
              <w:rPr>
                <w:b/>
              </w:rPr>
              <w:t>Annualized Cost</w:t>
            </w:r>
          </w:p>
        </w:tc>
      </w:tr>
      <w:tr w:rsidR="00707CEE" w:rsidRPr="005622E0" w14:paraId="3D0EEC6A" w14:textId="77777777" w:rsidTr="00D65011">
        <w:tc>
          <w:tcPr>
            <w:tcW w:w="32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979426B" w14:textId="77777777" w:rsidR="00707CEE" w:rsidRPr="005622E0" w:rsidRDefault="00707CEE" w:rsidP="00CE520D">
            <w:r w:rsidRPr="005622E0">
              <w:t>Sampling Activities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BF602B2" w14:textId="77777777" w:rsidR="00707CEE" w:rsidRPr="005622E0" w:rsidRDefault="00707CEE" w:rsidP="00D220B5">
            <w:pPr>
              <w:jc w:val="right"/>
            </w:pPr>
            <w:r w:rsidRPr="005622E0">
              <w:t>$</w:t>
            </w:r>
            <w:r w:rsidR="00D220B5" w:rsidRPr="005622E0">
              <w:t>2,393,808</w:t>
            </w:r>
          </w:p>
        </w:tc>
        <w:tc>
          <w:tcPr>
            <w:tcW w:w="3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7D26238" w14:textId="77777777" w:rsidR="00707CEE" w:rsidRPr="005622E0" w:rsidRDefault="00707CEE" w:rsidP="00C8796F">
            <w:pPr>
              <w:jc w:val="right"/>
            </w:pPr>
            <w:r w:rsidRPr="005622E0">
              <w:t>$</w:t>
            </w:r>
            <w:r w:rsidR="00C8796F" w:rsidRPr="005622E0">
              <w:t xml:space="preserve"> </w:t>
            </w:r>
            <w:r w:rsidR="00D220B5" w:rsidRPr="005622E0">
              <w:t>797,936</w:t>
            </w:r>
          </w:p>
        </w:tc>
      </w:tr>
      <w:tr w:rsidR="00707CEE" w:rsidRPr="005622E0" w14:paraId="7570E729" w14:textId="77777777" w:rsidTr="00D65011">
        <w:tc>
          <w:tcPr>
            <w:tcW w:w="32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09071D5" w14:textId="77777777" w:rsidR="00707CEE" w:rsidRPr="005622E0" w:rsidRDefault="00707CEE" w:rsidP="00CE520D">
            <w:r w:rsidRPr="005622E0">
              <w:t>Interviewer Recruitment and Training</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06BAB41" w14:textId="77777777" w:rsidR="00707CEE" w:rsidRPr="005622E0" w:rsidRDefault="00707CEE" w:rsidP="00D220B5">
            <w:pPr>
              <w:jc w:val="right"/>
            </w:pPr>
            <w:r w:rsidRPr="005622E0">
              <w:t>$</w:t>
            </w:r>
            <w:r w:rsidR="00D220B5" w:rsidRPr="005622E0">
              <w:t>9,338,400</w:t>
            </w:r>
          </w:p>
        </w:tc>
        <w:tc>
          <w:tcPr>
            <w:tcW w:w="3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D95C343" w14:textId="77777777" w:rsidR="00707CEE" w:rsidRPr="005622E0" w:rsidRDefault="00707CEE" w:rsidP="00B9326A">
            <w:pPr>
              <w:jc w:val="right"/>
            </w:pPr>
            <w:r w:rsidRPr="005622E0">
              <w:t>$</w:t>
            </w:r>
            <w:r w:rsidR="00D220B5" w:rsidRPr="005622E0">
              <w:t>3,112,800</w:t>
            </w:r>
          </w:p>
        </w:tc>
      </w:tr>
      <w:tr w:rsidR="00707CEE" w:rsidRPr="005622E0" w14:paraId="51198126" w14:textId="77777777" w:rsidTr="00D65011">
        <w:tc>
          <w:tcPr>
            <w:tcW w:w="32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760F99F" w14:textId="77777777" w:rsidR="00707CEE" w:rsidRPr="005622E0" w:rsidRDefault="00707CEE" w:rsidP="00CE520D">
            <w:r w:rsidRPr="005622E0">
              <w:t>Data Collection Activities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E5507A1" w14:textId="77777777" w:rsidR="00707CEE" w:rsidRPr="005622E0" w:rsidRDefault="00707CEE" w:rsidP="00D220B5">
            <w:pPr>
              <w:jc w:val="right"/>
            </w:pPr>
            <w:r w:rsidRPr="005622E0">
              <w:t>$</w:t>
            </w:r>
            <w:r w:rsidR="00D220B5" w:rsidRPr="005622E0">
              <w:t>103,713,948</w:t>
            </w:r>
          </w:p>
        </w:tc>
        <w:tc>
          <w:tcPr>
            <w:tcW w:w="3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F126E2E" w14:textId="77777777" w:rsidR="00707CEE" w:rsidRPr="005622E0" w:rsidRDefault="00707CEE" w:rsidP="00B9326A">
            <w:pPr>
              <w:jc w:val="right"/>
            </w:pPr>
            <w:r w:rsidRPr="005622E0">
              <w:t>$</w:t>
            </w:r>
            <w:r w:rsidR="00D220B5" w:rsidRPr="005622E0">
              <w:t>34,571,316</w:t>
            </w:r>
          </w:p>
        </w:tc>
      </w:tr>
      <w:tr w:rsidR="00707CEE" w:rsidRPr="005622E0" w14:paraId="7B1451D4" w14:textId="77777777" w:rsidTr="00D65011">
        <w:tc>
          <w:tcPr>
            <w:tcW w:w="32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A7C6F9C" w14:textId="77777777" w:rsidR="00707CEE" w:rsidRPr="005622E0" w:rsidRDefault="00707CEE" w:rsidP="00CE520D">
            <w:r w:rsidRPr="005622E0">
              <w:t>Data Processing</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2D2A795" w14:textId="77777777" w:rsidR="00707CEE" w:rsidRPr="005622E0" w:rsidRDefault="00707CEE" w:rsidP="00D220B5">
            <w:pPr>
              <w:jc w:val="right"/>
            </w:pPr>
            <w:r w:rsidRPr="005622E0">
              <w:t>$</w:t>
            </w:r>
            <w:r w:rsidR="00D220B5" w:rsidRPr="005622E0">
              <w:t>13,621,824</w:t>
            </w:r>
          </w:p>
        </w:tc>
        <w:tc>
          <w:tcPr>
            <w:tcW w:w="3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673FF42" w14:textId="77777777" w:rsidR="00707CEE" w:rsidRPr="005622E0" w:rsidRDefault="00707CEE" w:rsidP="00D220B5">
            <w:pPr>
              <w:jc w:val="right"/>
            </w:pPr>
            <w:r w:rsidRPr="005622E0">
              <w:t>$</w:t>
            </w:r>
            <w:r w:rsidR="00D220B5" w:rsidRPr="005622E0">
              <w:t>4,540,608</w:t>
            </w:r>
          </w:p>
        </w:tc>
      </w:tr>
      <w:tr w:rsidR="00707CEE" w:rsidRPr="005622E0" w14:paraId="18700250" w14:textId="77777777" w:rsidTr="00D65011">
        <w:tc>
          <w:tcPr>
            <w:tcW w:w="32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5941D76" w14:textId="77777777" w:rsidR="00707CEE" w:rsidRPr="005622E0" w:rsidRDefault="00707CEE" w:rsidP="00CE520D">
            <w:r w:rsidRPr="005622E0">
              <w:t>Production of Public Use Data Files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E3B23FD" w14:textId="77777777" w:rsidR="00707CEE" w:rsidRPr="005622E0" w:rsidRDefault="00707CEE" w:rsidP="004A30F5">
            <w:pPr>
              <w:jc w:val="right"/>
            </w:pPr>
            <w:r w:rsidRPr="005622E0">
              <w:t>$</w:t>
            </w:r>
            <w:r w:rsidR="004A30F5" w:rsidRPr="005622E0">
              <w:t>14,353,020</w:t>
            </w:r>
          </w:p>
        </w:tc>
        <w:tc>
          <w:tcPr>
            <w:tcW w:w="3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DE07EDF" w14:textId="77777777" w:rsidR="00707CEE" w:rsidRPr="005622E0" w:rsidRDefault="00707CEE" w:rsidP="004A30F5">
            <w:pPr>
              <w:jc w:val="right"/>
            </w:pPr>
            <w:r w:rsidRPr="005622E0">
              <w:t>$</w:t>
            </w:r>
            <w:r w:rsidR="004A30F5" w:rsidRPr="005622E0">
              <w:t>4,784,340</w:t>
            </w:r>
          </w:p>
        </w:tc>
      </w:tr>
      <w:tr w:rsidR="00707CEE" w:rsidRPr="005622E0" w14:paraId="6CCAF8C2" w14:textId="77777777" w:rsidTr="00D65011">
        <w:tc>
          <w:tcPr>
            <w:tcW w:w="32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C156D9D" w14:textId="77777777" w:rsidR="00707CEE" w:rsidRPr="005622E0" w:rsidRDefault="00707CEE" w:rsidP="00CE520D">
            <w:r w:rsidRPr="005622E0">
              <w:t>Project Management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D1ADC80" w14:textId="77777777" w:rsidR="00707CEE" w:rsidRPr="005622E0" w:rsidRDefault="00707CEE" w:rsidP="00CE520D">
            <w:pPr>
              <w:jc w:val="right"/>
            </w:pPr>
            <w:r w:rsidRPr="005622E0">
              <w:t>$</w:t>
            </w:r>
            <w:r w:rsidR="00D220B5" w:rsidRPr="005622E0">
              <w:t>10,725,258</w:t>
            </w:r>
          </w:p>
        </w:tc>
        <w:tc>
          <w:tcPr>
            <w:tcW w:w="3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A8A0ABF" w14:textId="77777777" w:rsidR="00707CEE" w:rsidRPr="005622E0" w:rsidRDefault="00707CEE" w:rsidP="00B9326A">
            <w:pPr>
              <w:jc w:val="right"/>
            </w:pPr>
            <w:r w:rsidRPr="005622E0">
              <w:t>$</w:t>
            </w:r>
            <w:r w:rsidR="00D220B5" w:rsidRPr="005622E0">
              <w:t>3,575,086</w:t>
            </w:r>
          </w:p>
        </w:tc>
      </w:tr>
      <w:tr w:rsidR="00707CEE" w:rsidRPr="005622E0" w14:paraId="11E3B519" w14:textId="77777777" w:rsidTr="00D65011">
        <w:tc>
          <w:tcPr>
            <w:tcW w:w="32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1B60D3B" w14:textId="77777777" w:rsidR="00707CEE" w:rsidRPr="005622E0" w:rsidRDefault="00707CEE" w:rsidP="00CE520D">
            <w:r w:rsidRPr="005622E0">
              <w:rPr>
                <w:b/>
                <w:bCs/>
                <w:color w:val="000000"/>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02679DD" w14:textId="77777777" w:rsidR="00707CEE" w:rsidRPr="005622E0" w:rsidRDefault="00707CEE" w:rsidP="005556EF">
            <w:pPr>
              <w:jc w:val="right"/>
            </w:pPr>
            <w:r w:rsidRPr="005622E0">
              <w:t>$</w:t>
            </w:r>
            <w:r w:rsidR="003A613F" w:rsidRPr="005622E0">
              <w:t>1</w:t>
            </w:r>
            <w:r w:rsidR="005556EF" w:rsidRPr="005622E0">
              <w:t>54</w:t>
            </w:r>
            <w:r w:rsidR="003A613F" w:rsidRPr="005622E0">
              <w:t>,</w:t>
            </w:r>
            <w:r w:rsidR="005556EF" w:rsidRPr="005622E0">
              <w:t>146</w:t>
            </w:r>
            <w:r w:rsidR="003A613F" w:rsidRPr="005622E0">
              <w:t>,</w:t>
            </w:r>
            <w:r w:rsidR="005556EF" w:rsidRPr="005622E0">
              <w:t>258</w:t>
            </w:r>
          </w:p>
        </w:tc>
        <w:tc>
          <w:tcPr>
            <w:tcW w:w="3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F1DB633" w14:textId="77777777" w:rsidR="00707CEE" w:rsidRPr="005622E0" w:rsidRDefault="00707CEE" w:rsidP="005556EF">
            <w:pPr>
              <w:jc w:val="right"/>
            </w:pPr>
            <w:r w:rsidRPr="005622E0">
              <w:t>$</w:t>
            </w:r>
            <w:r w:rsidR="005556EF" w:rsidRPr="005622E0">
              <w:t>51</w:t>
            </w:r>
            <w:r w:rsidR="003A613F" w:rsidRPr="005622E0">
              <w:t>,</w:t>
            </w:r>
            <w:r w:rsidR="005556EF" w:rsidRPr="005622E0">
              <w:t>382</w:t>
            </w:r>
            <w:r w:rsidR="003A613F" w:rsidRPr="005622E0">
              <w:t>,</w:t>
            </w:r>
            <w:r w:rsidR="005556EF" w:rsidRPr="005622E0">
              <w:t>086</w:t>
            </w:r>
          </w:p>
        </w:tc>
      </w:tr>
    </w:tbl>
    <w:p w14:paraId="67A73787" w14:textId="77777777" w:rsidR="00707CEE" w:rsidRPr="005622E0" w:rsidRDefault="00707CEE" w:rsidP="00707CEE">
      <w:pPr>
        <w:rPr>
          <w:b/>
        </w:rPr>
      </w:pPr>
    </w:p>
    <w:p w14:paraId="150A1FC5" w14:textId="77777777" w:rsidR="00C66038" w:rsidRPr="005622E0" w:rsidRDefault="00C66038" w:rsidP="00707CEE">
      <w:pPr>
        <w:rPr>
          <w:b/>
        </w:rPr>
      </w:pPr>
    </w:p>
    <w:p w14:paraId="4071875B" w14:textId="77777777" w:rsidR="00C66038" w:rsidRPr="005622E0" w:rsidRDefault="00C66038" w:rsidP="00707CEE">
      <w:pPr>
        <w:rPr>
          <w:b/>
        </w:rPr>
      </w:pPr>
    </w:p>
    <w:p w14:paraId="5E629023" w14:textId="77777777" w:rsidR="00707CEE" w:rsidRPr="005622E0" w:rsidRDefault="00707CEE" w:rsidP="00707CEE">
      <w:r w:rsidRPr="005622E0">
        <w:rPr>
          <w:b/>
        </w:rPr>
        <w:t xml:space="preserve">Exhibit </w:t>
      </w:r>
      <w:r w:rsidR="00541E05" w:rsidRPr="005622E0">
        <w:rPr>
          <w:b/>
        </w:rPr>
        <w:t>5</w:t>
      </w:r>
      <w:r w:rsidRPr="005622E0">
        <w:rPr>
          <w:b/>
        </w:rPr>
        <w:t>: Annual Cost to AHRQ for MEPS-HC Oversight</w:t>
      </w:r>
    </w:p>
    <w:tbl>
      <w:tblPr>
        <w:tblW w:w="7380" w:type="dxa"/>
        <w:tblInd w:w="-10" w:type="dxa"/>
        <w:tblLayout w:type="fixed"/>
        <w:tblCellMar>
          <w:left w:w="0" w:type="dxa"/>
          <w:right w:w="0" w:type="dxa"/>
        </w:tblCellMar>
        <w:tblLook w:val="04A0" w:firstRow="1" w:lastRow="0" w:firstColumn="1" w:lastColumn="0" w:noHBand="0" w:noVBand="1"/>
      </w:tblPr>
      <w:tblGrid>
        <w:gridCol w:w="2428"/>
        <w:gridCol w:w="651"/>
        <w:gridCol w:w="791"/>
        <w:gridCol w:w="1170"/>
        <w:gridCol w:w="900"/>
        <w:gridCol w:w="1440"/>
      </w:tblGrid>
      <w:tr w:rsidR="00707CEE" w:rsidRPr="005622E0" w14:paraId="25D20BFB" w14:textId="77777777" w:rsidTr="00D65011">
        <w:tc>
          <w:tcPr>
            <w:tcW w:w="2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6408601" w14:textId="77777777" w:rsidR="00707CEE" w:rsidRPr="005622E0" w:rsidRDefault="00707CEE" w:rsidP="00CE520D">
            <w:pPr>
              <w:rPr>
                <w:rFonts w:ascii="Calibri" w:eastAsia="Calibri" w:hAnsi="Calibri"/>
                <w:b/>
                <w:bCs/>
              </w:rPr>
            </w:pPr>
            <w:r w:rsidRPr="005622E0">
              <w:rPr>
                <w:b/>
                <w:bCs/>
                <w:color w:val="000000"/>
              </w:rPr>
              <w:t>Tasks/Personnel</w:t>
            </w:r>
          </w:p>
        </w:tc>
        <w:tc>
          <w:tcPr>
            <w:tcW w:w="651" w:type="dxa"/>
            <w:tcBorders>
              <w:top w:val="single" w:sz="8" w:space="0" w:color="auto"/>
              <w:left w:val="nil"/>
              <w:bottom w:val="single" w:sz="8" w:space="0" w:color="auto"/>
              <w:right w:val="nil"/>
            </w:tcBorders>
            <w:hideMark/>
          </w:tcPr>
          <w:p w14:paraId="74618E6E" w14:textId="77777777" w:rsidR="00707CEE" w:rsidRPr="005622E0" w:rsidRDefault="00707CEE" w:rsidP="00CE520D">
            <w:pPr>
              <w:jc w:val="center"/>
              <w:rPr>
                <w:rFonts w:ascii="Calibri" w:eastAsia="Calibri" w:hAnsi="Calibri"/>
                <w:b/>
                <w:bCs/>
              </w:rPr>
            </w:pPr>
            <w:r w:rsidRPr="005622E0">
              <w:rPr>
                <w:b/>
                <w:bCs/>
              </w:rPr>
              <w:t>Staff</w:t>
            </w:r>
          </w:p>
          <w:p w14:paraId="5DA20965" w14:textId="77777777" w:rsidR="00707CEE" w:rsidRPr="005622E0" w:rsidRDefault="00707CEE" w:rsidP="00CE520D">
            <w:pPr>
              <w:jc w:val="center"/>
              <w:rPr>
                <w:rFonts w:ascii="Calibri" w:eastAsia="Calibri" w:hAnsi="Calibri"/>
                <w:b/>
                <w:bCs/>
              </w:rPr>
            </w:pPr>
            <w:r w:rsidRPr="005622E0">
              <w:rPr>
                <w:b/>
                <w:bCs/>
              </w:rPr>
              <w:t>Count</w:t>
            </w:r>
          </w:p>
        </w:tc>
        <w:tc>
          <w:tcPr>
            <w:tcW w:w="791" w:type="dxa"/>
            <w:tcBorders>
              <w:top w:val="single" w:sz="8" w:space="0" w:color="auto"/>
              <w:left w:val="nil"/>
              <w:bottom w:val="single" w:sz="8" w:space="0" w:color="auto"/>
              <w:right w:val="single" w:sz="8" w:space="0" w:color="auto"/>
            </w:tcBorders>
          </w:tcPr>
          <w:p w14:paraId="2C4F5636" w14:textId="77777777" w:rsidR="00707CEE" w:rsidRPr="005622E0" w:rsidRDefault="00707CEE" w:rsidP="00CE520D">
            <w:pPr>
              <w:rPr>
                <w:rFonts w:ascii="Calibri" w:eastAsia="Calibri" w:hAnsi="Calibri"/>
                <w:b/>
                <w:bCs/>
              </w:rPr>
            </w:pP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AAB2C62" w14:textId="77777777" w:rsidR="00707CEE" w:rsidRPr="005622E0" w:rsidRDefault="00707CEE" w:rsidP="00CE520D">
            <w:pPr>
              <w:jc w:val="center"/>
              <w:rPr>
                <w:rFonts w:ascii="Calibri" w:eastAsia="Calibri" w:hAnsi="Calibri"/>
                <w:b/>
                <w:bCs/>
              </w:rPr>
            </w:pPr>
            <w:r w:rsidRPr="005622E0">
              <w:rPr>
                <w:b/>
                <w:bCs/>
              </w:rPr>
              <w:t>Annual Salary</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D2927B" w14:textId="77777777" w:rsidR="00707CEE" w:rsidRPr="005622E0" w:rsidRDefault="00707CEE" w:rsidP="00CE520D">
            <w:pPr>
              <w:jc w:val="center"/>
              <w:rPr>
                <w:rFonts w:ascii="Calibri" w:eastAsia="Calibri" w:hAnsi="Calibri"/>
                <w:b/>
                <w:bCs/>
              </w:rPr>
            </w:pPr>
            <w:r w:rsidRPr="005622E0">
              <w:rPr>
                <w:b/>
                <w:bCs/>
              </w:rPr>
              <w:t>% of Time</w:t>
            </w:r>
          </w:p>
        </w:tc>
        <w:tc>
          <w:tcPr>
            <w:tcW w:w="1440" w:type="dxa"/>
            <w:tcBorders>
              <w:top w:val="single" w:sz="8" w:space="0" w:color="auto"/>
              <w:left w:val="nil"/>
              <w:bottom w:val="single" w:sz="8" w:space="0" w:color="auto"/>
              <w:right w:val="single" w:sz="8" w:space="0" w:color="auto"/>
            </w:tcBorders>
          </w:tcPr>
          <w:p w14:paraId="104A3B4C" w14:textId="77777777" w:rsidR="00707CEE" w:rsidRPr="005622E0" w:rsidRDefault="00707CEE" w:rsidP="00CE520D">
            <w:pPr>
              <w:jc w:val="center"/>
              <w:rPr>
                <w:rFonts w:ascii="Calibri" w:eastAsia="Calibri" w:hAnsi="Calibri"/>
                <w:b/>
                <w:bCs/>
              </w:rPr>
            </w:pPr>
          </w:p>
          <w:p w14:paraId="0AD19872" w14:textId="77777777" w:rsidR="00707CEE" w:rsidRPr="005622E0" w:rsidRDefault="00707CEE" w:rsidP="00CE520D">
            <w:pPr>
              <w:jc w:val="center"/>
              <w:rPr>
                <w:rFonts w:ascii="Calibri" w:eastAsia="Calibri" w:hAnsi="Calibri"/>
                <w:b/>
                <w:bCs/>
              </w:rPr>
            </w:pPr>
            <w:r w:rsidRPr="005622E0">
              <w:rPr>
                <w:b/>
                <w:bCs/>
              </w:rPr>
              <w:t>Cost</w:t>
            </w:r>
          </w:p>
        </w:tc>
      </w:tr>
      <w:tr w:rsidR="00707CEE" w:rsidRPr="005622E0" w14:paraId="1BD0F21A" w14:textId="77777777" w:rsidTr="00D65011">
        <w:trPr>
          <w:trHeight w:val="250"/>
        </w:trPr>
        <w:tc>
          <w:tcPr>
            <w:tcW w:w="24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22695D" w14:textId="77777777" w:rsidR="00707CEE" w:rsidRPr="005622E0" w:rsidRDefault="00707CEE" w:rsidP="00CE520D">
            <w:pPr>
              <w:rPr>
                <w:rFonts w:eastAsia="Calibri"/>
              </w:rPr>
            </w:pPr>
            <w:r w:rsidRPr="005622E0">
              <w:t>Management Support: GS-15, Step 5 average</w:t>
            </w:r>
          </w:p>
        </w:tc>
        <w:tc>
          <w:tcPr>
            <w:tcW w:w="651" w:type="dxa"/>
            <w:tcBorders>
              <w:top w:val="nil"/>
              <w:left w:val="nil"/>
              <w:bottom w:val="single" w:sz="8" w:space="0" w:color="auto"/>
              <w:right w:val="nil"/>
            </w:tcBorders>
          </w:tcPr>
          <w:p w14:paraId="7130CBB4" w14:textId="77777777" w:rsidR="00707CEE" w:rsidRPr="005622E0" w:rsidRDefault="00707CEE" w:rsidP="00CE520D">
            <w:pPr>
              <w:jc w:val="right"/>
              <w:rPr>
                <w:rFonts w:eastAsia="Calibri"/>
              </w:rPr>
            </w:pPr>
          </w:p>
          <w:p w14:paraId="7803BE0F" w14:textId="77777777" w:rsidR="00707CEE" w:rsidRPr="005622E0" w:rsidRDefault="00707CEE" w:rsidP="00CE520D">
            <w:pPr>
              <w:jc w:val="right"/>
              <w:rPr>
                <w:rFonts w:eastAsia="Calibri"/>
              </w:rPr>
            </w:pPr>
            <w:r w:rsidRPr="005622E0">
              <w:t>2</w:t>
            </w:r>
          </w:p>
        </w:tc>
        <w:tc>
          <w:tcPr>
            <w:tcW w:w="791" w:type="dxa"/>
            <w:tcBorders>
              <w:top w:val="nil"/>
              <w:left w:val="nil"/>
              <w:bottom w:val="single" w:sz="8" w:space="0" w:color="auto"/>
              <w:right w:val="single" w:sz="8" w:space="0" w:color="auto"/>
            </w:tcBorders>
          </w:tcPr>
          <w:p w14:paraId="429F4773" w14:textId="77777777" w:rsidR="00707CEE" w:rsidRPr="005622E0" w:rsidRDefault="00707CEE" w:rsidP="00CE520D">
            <w:pPr>
              <w:jc w:val="right"/>
              <w:rPr>
                <w:rFonts w:eastAsia="Calibr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384E64F" w14:textId="77777777" w:rsidR="00707CEE" w:rsidRPr="005622E0" w:rsidRDefault="00707CEE" w:rsidP="00CE520D">
            <w:pPr>
              <w:jc w:val="right"/>
              <w:rPr>
                <w:rFonts w:eastAsia="Calibri"/>
              </w:rPr>
            </w:pPr>
          </w:p>
          <w:p w14:paraId="4C84553E" w14:textId="65C85B92" w:rsidR="00707CEE" w:rsidRPr="005622E0" w:rsidRDefault="00707CEE" w:rsidP="004E066E">
            <w:pPr>
              <w:jc w:val="right"/>
              <w:rPr>
                <w:rFonts w:eastAsia="Calibri"/>
              </w:rPr>
            </w:pPr>
            <w:r w:rsidRPr="005622E0">
              <w:t>$1</w:t>
            </w:r>
            <w:r w:rsidR="00030C3F" w:rsidRPr="005622E0">
              <w:t>5</w:t>
            </w:r>
            <w:r w:rsidR="004E066E" w:rsidRPr="005622E0">
              <w:t>6</w:t>
            </w:r>
            <w:r w:rsidR="00030C3F" w:rsidRPr="005622E0">
              <w:t>,</w:t>
            </w:r>
            <w:r w:rsidR="004E066E" w:rsidRPr="005622E0">
              <w:t>228</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0BC6FEC6" w14:textId="77777777" w:rsidR="00707CEE" w:rsidRPr="005622E0" w:rsidRDefault="00707CEE" w:rsidP="00CE520D">
            <w:pPr>
              <w:jc w:val="right"/>
              <w:rPr>
                <w:rFonts w:eastAsia="Calibri"/>
              </w:rPr>
            </w:pPr>
          </w:p>
          <w:p w14:paraId="6C289DD6" w14:textId="77777777" w:rsidR="00707CEE" w:rsidRPr="005622E0" w:rsidRDefault="00707CEE" w:rsidP="00CE520D">
            <w:pPr>
              <w:jc w:val="right"/>
              <w:rPr>
                <w:rFonts w:eastAsia="Calibri"/>
              </w:rPr>
            </w:pPr>
            <w:r w:rsidRPr="005622E0">
              <w:t>50.0%</w:t>
            </w:r>
          </w:p>
        </w:tc>
        <w:tc>
          <w:tcPr>
            <w:tcW w:w="1440" w:type="dxa"/>
            <w:tcBorders>
              <w:top w:val="nil"/>
              <w:left w:val="nil"/>
              <w:bottom w:val="single" w:sz="8" w:space="0" w:color="auto"/>
              <w:right w:val="single" w:sz="8" w:space="0" w:color="auto"/>
            </w:tcBorders>
          </w:tcPr>
          <w:p w14:paraId="6D3C0583" w14:textId="77777777" w:rsidR="00707CEE" w:rsidRPr="005622E0" w:rsidRDefault="00707CEE" w:rsidP="00CE520D">
            <w:pPr>
              <w:jc w:val="right"/>
              <w:rPr>
                <w:rFonts w:eastAsia="Calibri"/>
              </w:rPr>
            </w:pPr>
          </w:p>
          <w:p w14:paraId="32AC6CA6" w14:textId="5A2E3FAA" w:rsidR="00707CEE" w:rsidRPr="005622E0" w:rsidRDefault="00707CEE" w:rsidP="004E066E">
            <w:pPr>
              <w:jc w:val="right"/>
              <w:rPr>
                <w:rFonts w:eastAsia="Calibri"/>
              </w:rPr>
            </w:pPr>
            <w:r w:rsidRPr="005622E0">
              <w:t>$1</w:t>
            </w:r>
            <w:r w:rsidR="00030C3F" w:rsidRPr="005622E0">
              <w:t>5</w:t>
            </w:r>
            <w:r w:rsidR="004E066E" w:rsidRPr="005622E0">
              <w:t>6</w:t>
            </w:r>
            <w:r w:rsidR="00030C3F" w:rsidRPr="005622E0">
              <w:t>,</w:t>
            </w:r>
            <w:r w:rsidR="004E066E" w:rsidRPr="005622E0">
              <w:t>228</w:t>
            </w:r>
            <w:r w:rsidRPr="005622E0">
              <w:t xml:space="preserve">  </w:t>
            </w:r>
          </w:p>
        </w:tc>
      </w:tr>
      <w:tr w:rsidR="00707CEE" w:rsidRPr="005622E0" w14:paraId="1F8CC4F7" w14:textId="77777777" w:rsidTr="00D65011">
        <w:trPr>
          <w:trHeight w:val="376"/>
        </w:trPr>
        <w:tc>
          <w:tcPr>
            <w:tcW w:w="24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E48219" w14:textId="77777777" w:rsidR="00707CEE" w:rsidRPr="005622E0" w:rsidRDefault="00707CEE" w:rsidP="00CE520D">
            <w:pPr>
              <w:rPr>
                <w:rFonts w:eastAsia="Calibri"/>
              </w:rPr>
            </w:pPr>
            <w:r w:rsidRPr="005622E0">
              <w:t>Survey/Statistical Support: GS-14, Step 5 average</w:t>
            </w:r>
          </w:p>
        </w:tc>
        <w:tc>
          <w:tcPr>
            <w:tcW w:w="651" w:type="dxa"/>
            <w:tcBorders>
              <w:top w:val="nil"/>
              <w:left w:val="nil"/>
              <w:bottom w:val="single" w:sz="8" w:space="0" w:color="auto"/>
              <w:right w:val="nil"/>
            </w:tcBorders>
          </w:tcPr>
          <w:p w14:paraId="0E5FCAD5" w14:textId="77777777" w:rsidR="00707CEE" w:rsidRPr="005622E0" w:rsidRDefault="00707CEE" w:rsidP="00CE520D">
            <w:pPr>
              <w:jc w:val="right"/>
              <w:rPr>
                <w:rFonts w:eastAsia="Calibri"/>
              </w:rPr>
            </w:pPr>
          </w:p>
          <w:p w14:paraId="0BF50760" w14:textId="77777777" w:rsidR="00707CEE" w:rsidRPr="005622E0" w:rsidRDefault="00707CEE" w:rsidP="00CE520D">
            <w:pPr>
              <w:jc w:val="right"/>
              <w:rPr>
                <w:rFonts w:eastAsia="Calibri"/>
              </w:rPr>
            </w:pPr>
            <w:r w:rsidRPr="005622E0">
              <w:t>3</w:t>
            </w:r>
          </w:p>
        </w:tc>
        <w:tc>
          <w:tcPr>
            <w:tcW w:w="791" w:type="dxa"/>
            <w:tcBorders>
              <w:top w:val="nil"/>
              <w:left w:val="nil"/>
              <w:bottom w:val="single" w:sz="8" w:space="0" w:color="auto"/>
              <w:right w:val="single" w:sz="8" w:space="0" w:color="auto"/>
            </w:tcBorders>
          </w:tcPr>
          <w:p w14:paraId="5228B7FA" w14:textId="77777777" w:rsidR="00707CEE" w:rsidRPr="005622E0" w:rsidRDefault="00707CEE" w:rsidP="00CE520D">
            <w:pPr>
              <w:jc w:val="right"/>
              <w:rPr>
                <w:rFonts w:eastAsia="Calibr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F26E44F" w14:textId="2078AC1D" w:rsidR="00707CEE" w:rsidRPr="005622E0" w:rsidRDefault="00707CEE" w:rsidP="004E066E">
            <w:pPr>
              <w:jc w:val="right"/>
              <w:rPr>
                <w:rFonts w:eastAsia="Calibri"/>
              </w:rPr>
            </w:pPr>
            <w:r w:rsidRPr="005622E0">
              <w:t>$1</w:t>
            </w:r>
            <w:r w:rsidR="004E066E" w:rsidRPr="005622E0">
              <w:t>32</w:t>
            </w:r>
            <w:r w:rsidR="00030C3F" w:rsidRPr="005622E0">
              <w:t>,</w:t>
            </w:r>
            <w:r w:rsidR="004E066E" w:rsidRPr="005622E0">
              <w:t>818</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2119985" w14:textId="77777777" w:rsidR="00707CEE" w:rsidRPr="005622E0" w:rsidRDefault="00707CEE" w:rsidP="00CE520D">
            <w:pPr>
              <w:jc w:val="right"/>
              <w:rPr>
                <w:rFonts w:eastAsia="Calibri"/>
              </w:rPr>
            </w:pPr>
            <w:r w:rsidRPr="005622E0">
              <w:t>33.3%</w:t>
            </w:r>
          </w:p>
        </w:tc>
        <w:tc>
          <w:tcPr>
            <w:tcW w:w="1440" w:type="dxa"/>
            <w:tcBorders>
              <w:top w:val="nil"/>
              <w:left w:val="nil"/>
              <w:bottom w:val="single" w:sz="8" w:space="0" w:color="auto"/>
              <w:right w:val="single" w:sz="8" w:space="0" w:color="auto"/>
            </w:tcBorders>
          </w:tcPr>
          <w:p w14:paraId="483B4FAB" w14:textId="77777777" w:rsidR="00707CEE" w:rsidRPr="005622E0" w:rsidRDefault="00707CEE" w:rsidP="00CE520D">
            <w:pPr>
              <w:jc w:val="right"/>
              <w:rPr>
                <w:rFonts w:eastAsia="Calibri"/>
              </w:rPr>
            </w:pPr>
          </w:p>
          <w:p w14:paraId="266C307C" w14:textId="69B520D3" w:rsidR="00707CEE" w:rsidRPr="005622E0" w:rsidRDefault="00707CEE" w:rsidP="004E066E">
            <w:pPr>
              <w:jc w:val="right"/>
              <w:rPr>
                <w:rFonts w:eastAsia="Calibri"/>
              </w:rPr>
            </w:pPr>
            <w:r w:rsidRPr="005622E0">
              <w:t>$1</w:t>
            </w:r>
            <w:r w:rsidR="004E066E" w:rsidRPr="005622E0">
              <w:t>32</w:t>
            </w:r>
            <w:r w:rsidR="00030C3F" w:rsidRPr="005622E0">
              <w:t>,8</w:t>
            </w:r>
            <w:r w:rsidR="004E066E" w:rsidRPr="005622E0">
              <w:t>18</w:t>
            </w:r>
          </w:p>
        </w:tc>
      </w:tr>
      <w:tr w:rsidR="00707CEE" w:rsidRPr="005622E0" w14:paraId="3633110E" w14:textId="77777777" w:rsidTr="00D65011">
        <w:trPr>
          <w:trHeight w:val="376"/>
        </w:trPr>
        <w:tc>
          <w:tcPr>
            <w:tcW w:w="24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6CE8E1" w14:textId="77777777" w:rsidR="00707CEE" w:rsidRPr="005622E0" w:rsidRDefault="00707CEE" w:rsidP="00CE520D">
            <w:pPr>
              <w:rPr>
                <w:rFonts w:eastAsia="Calibri"/>
              </w:rPr>
            </w:pPr>
            <w:r w:rsidRPr="005622E0">
              <w:t>Research Support: GS-13, Step 5 average</w:t>
            </w:r>
          </w:p>
        </w:tc>
        <w:tc>
          <w:tcPr>
            <w:tcW w:w="651" w:type="dxa"/>
            <w:tcBorders>
              <w:top w:val="nil"/>
              <w:left w:val="nil"/>
              <w:bottom w:val="single" w:sz="8" w:space="0" w:color="auto"/>
              <w:right w:val="nil"/>
            </w:tcBorders>
          </w:tcPr>
          <w:p w14:paraId="4B2F05EF" w14:textId="77777777" w:rsidR="002674A5" w:rsidRPr="005622E0" w:rsidRDefault="002674A5" w:rsidP="00CE520D">
            <w:pPr>
              <w:jc w:val="right"/>
              <w:rPr>
                <w:rFonts w:eastAsia="Calibri"/>
              </w:rPr>
            </w:pPr>
          </w:p>
          <w:p w14:paraId="660387F3" w14:textId="77777777" w:rsidR="00707CEE" w:rsidRPr="005622E0" w:rsidRDefault="00707CEE" w:rsidP="00CE520D">
            <w:pPr>
              <w:jc w:val="right"/>
              <w:rPr>
                <w:rFonts w:eastAsia="Calibri"/>
              </w:rPr>
            </w:pPr>
            <w:r w:rsidRPr="005622E0">
              <w:rPr>
                <w:rFonts w:eastAsia="Calibri"/>
              </w:rPr>
              <w:t>4</w:t>
            </w:r>
          </w:p>
        </w:tc>
        <w:tc>
          <w:tcPr>
            <w:tcW w:w="791" w:type="dxa"/>
            <w:tcBorders>
              <w:top w:val="nil"/>
              <w:left w:val="nil"/>
              <w:bottom w:val="single" w:sz="8" w:space="0" w:color="auto"/>
              <w:right w:val="single" w:sz="8" w:space="0" w:color="auto"/>
            </w:tcBorders>
          </w:tcPr>
          <w:p w14:paraId="30836539" w14:textId="77777777" w:rsidR="00707CEE" w:rsidRPr="005622E0" w:rsidRDefault="00707CEE" w:rsidP="00CE520D">
            <w:pPr>
              <w:jc w:val="right"/>
              <w:rPr>
                <w:rFonts w:eastAsia="Calibr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BCEFD6B" w14:textId="77777777" w:rsidR="00707CEE" w:rsidRPr="005622E0" w:rsidRDefault="00707CEE" w:rsidP="00CE520D">
            <w:pPr>
              <w:jc w:val="right"/>
              <w:rPr>
                <w:rFonts w:eastAsia="Calibri"/>
              </w:rPr>
            </w:pPr>
          </w:p>
          <w:p w14:paraId="0EDCD72D" w14:textId="43E38DBC" w:rsidR="00707CEE" w:rsidRPr="005622E0" w:rsidRDefault="00707CEE" w:rsidP="004E066E">
            <w:pPr>
              <w:jc w:val="right"/>
              <w:rPr>
                <w:rFonts w:eastAsia="Calibri"/>
              </w:rPr>
            </w:pPr>
            <w:r w:rsidRPr="005622E0">
              <w:t>$1</w:t>
            </w:r>
            <w:r w:rsidR="004E066E" w:rsidRPr="005622E0">
              <w:t>12</w:t>
            </w:r>
            <w:r w:rsidR="00030C3F" w:rsidRPr="005622E0">
              <w:t>,</w:t>
            </w:r>
            <w:r w:rsidR="004E066E" w:rsidRPr="005622E0">
              <w:t>393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4937A300" w14:textId="77777777" w:rsidR="00707CEE" w:rsidRPr="005622E0" w:rsidRDefault="00707CEE" w:rsidP="00CE520D">
            <w:pPr>
              <w:jc w:val="right"/>
              <w:rPr>
                <w:rFonts w:eastAsia="Calibri"/>
              </w:rPr>
            </w:pPr>
          </w:p>
          <w:p w14:paraId="7675260A" w14:textId="77777777" w:rsidR="00707CEE" w:rsidRPr="005622E0" w:rsidRDefault="00707CEE" w:rsidP="00CE520D">
            <w:pPr>
              <w:jc w:val="right"/>
              <w:rPr>
                <w:rFonts w:eastAsia="Calibri"/>
              </w:rPr>
            </w:pPr>
            <w:r w:rsidRPr="005622E0">
              <w:t>50.0%</w:t>
            </w:r>
          </w:p>
        </w:tc>
        <w:tc>
          <w:tcPr>
            <w:tcW w:w="1440" w:type="dxa"/>
            <w:tcBorders>
              <w:top w:val="nil"/>
              <w:left w:val="nil"/>
              <w:bottom w:val="single" w:sz="8" w:space="0" w:color="auto"/>
              <w:right w:val="single" w:sz="8" w:space="0" w:color="auto"/>
            </w:tcBorders>
          </w:tcPr>
          <w:p w14:paraId="0741552F" w14:textId="77777777" w:rsidR="00707CEE" w:rsidRPr="005622E0" w:rsidRDefault="00707CEE" w:rsidP="00CE520D">
            <w:pPr>
              <w:jc w:val="right"/>
              <w:rPr>
                <w:rFonts w:eastAsia="Calibri"/>
              </w:rPr>
            </w:pPr>
          </w:p>
          <w:p w14:paraId="706D8FD0" w14:textId="11D35A0B" w:rsidR="00707CEE" w:rsidRPr="005622E0" w:rsidRDefault="00707CEE" w:rsidP="004E066E">
            <w:pPr>
              <w:jc w:val="right"/>
              <w:rPr>
                <w:rFonts w:eastAsia="Calibri"/>
              </w:rPr>
            </w:pPr>
            <w:r w:rsidRPr="005622E0">
              <w:t>$2</w:t>
            </w:r>
            <w:r w:rsidR="004E066E" w:rsidRPr="005622E0">
              <w:t>24</w:t>
            </w:r>
            <w:r w:rsidR="00030C3F" w:rsidRPr="005622E0">
              <w:t>,</w:t>
            </w:r>
            <w:r w:rsidR="004E066E" w:rsidRPr="005622E0">
              <w:t>786</w:t>
            </w:r>
          </w:p>
        </w:tc>
      </w:tr>
      <w:tr w:rsidR="00707CEE" w:rsidRPr="005622E0" w14:paraId="4261C7B5" w14:textId="77777777" w:rsidTr="00D65011">
        <w:tc>
          <w:tcPr>
            <w:tcW w:w="24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220E8A" w14:textId="77777777" w:rsidR="00707CEE" w:rsidRPr="005622E0" w:rsidRDefault="00707CEE" w:rsidP="00CE520D">
            <w:pPr>
              <w:rPr>
                <w:b/>
                <w:bCs/>
                <w:color w:val="000000"/>
              </w:rPr>
            </w:pPr>
            <w:r w:rsidRPr="005622E0">
              <w:t>Research Support: GS-12, Step 5 average</w:t>
            </w:r>
          </w:p>
        </w:tc>
        <w:tc>
          <w:tcPr>
            <w:tcW w:w="651" w:type="dxa"/>
            <w:tcBorders>
              <w:top w:val="nil"/>
              <w:left w:val="nil"/>
              <w:bottom w:val="single" w:sz="8" w:space="0" w:color="auto"/>
              <w:right w:val="nil"/>
            </w:tcBorders>
          </w:tcPr>
          <w:p w14:paraId="1594B6C7" w14:textId="77777777" w:rsidR="002674A5" w:rsidRPr="005622E0" w:rsidRDefault="00707CEE" w:rsidP="00CE520D">
            <w:pPr>
              <w:tabs>
                <w:tab w:val="left" w:pos="504"/>
              </w:tabs>
              <w:rPr>
                <w:rFonts w:eastAsia="Calibri"/>
              </w:rPr>
            </w:pPr>
            <w:r w:rsidRPr="005622E0">
              <w:rPr>
                <w:rFonts w:eastAsia="Calibri"/>
              </w:rPr>
              <w:tab/>
            </w:r>
          </w:p>
          <w:p w14:paraId="0534A053" w14:textId="77777777" w:rsidR="00707CEE" w:rsidRPr="005622E0" w:rsidRDefault="002674A5" w:rsidP="00D65011">
            <w:pPr>
              <w:tabs>
                <w:tab w:val="left" w:pos="504"/>
              </w:tabs>
              <w:jc w:val="center"/>
              <w:rPr>
                <w:rFonts w:eastAsia="Calibri"/>
              </w:rPr>
            </w:pPr>
            <w:r w:rsidRPr="005622E0">
              <w:rPr>
                <w:rFonts w:eastAsia="Calibri"/>
              </w:rPr>
              <w:t xml:space="preserve">        </w:t>
            </w:r>
            <w:r w:rsidR="00707CEE" w:rsidRPr="005622E0">
              <w:rPr>
                <w:rFonts w:eastAsia="Calibri"/>
              </w:rPr>
              <w:t>2</w:t>
            </w:r>
          </w:p>
        </w:tc>
        <w:tc>
          <w:tcPr>
            <w:tcW w:w="791" w:type="dxa"/>
            <w:tcBorders>
              <w:top w:val="nil"/>
              <w:left w:val="nil"/>
              <w:bottom w:val="single" w:sz="8" w:space="0" w:color="auto"/>
              <w:right w:val="single" w:sz="8" w:space="0" w:color="auto"/>
            </w:tcBorders>
          </w:tcPr>
          <w:p w14:paraId="4EF75430" w14:textId="77777777" w:rsidR="00707CEE" w:rsidRPr="005622E0" w:rsidRDefault="00707CEE" w:rsidP="00CE520D">
            <w:pPr>
              <w:jc w:val="right"/>
              <w:rPr>
                <w:rFonts w:eastAsia="Calibr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1658C95" w14:textId="77777777" w:rsidR="002674A5" w:rsidRPr="005622E0" w:rsidRDefault="002674A5" w:rsidP="00030C3F">
            <w:pPr>
              <w:jc w:val="right"/>
              <w:rPr>
                <w:rFonts w:eastAsia="Calibri"/>
              </w:rPr>
            </w:pPr>
          </w:p>
          <w:p w14:paraId="2FCEED1F" w14:textId="3E8D3707" w:rsidR="00707CEE" w:rsidRPr="005622E0" w:rsidRDefault="00707CEE" w:rsidP="004E066E">
            <w:pPr>
              <w:jc w:val="right"/>
              <w:rPr>
                <w:rFonts w:eastAsia="Calibri"/>
              </w:rPr>
            </w:pPr>
            <w:r w:rsidRPr="005622E0">
              <w:rPr>
                <w:rFonts w:eastAsia="Calibri"/>
              </w:rPr>
              <w:t>$</w:t>
            </w:r>
            <w:r w:rsidR="00030C3F" w:rsidRPr="005622E0">
              <w:rPr>
                <w:rFonts w:eastAsia="Calibri"/>
              </w:rPr>
              <w:t>9</w:t>
            </w:r>
            <w:r w:rsidR="004E066E" w:rsidRPr="005622E0">
              <w:rPr>
                <w:rFonts w:eastAsia="Calibri"/>
              </w:rPr>
              <w:t>4</w:t>
            </w:r>
            <w:r w:rsidR="00030C3F" w:rsidRPr="005622E0">
              <w:rPr>
                <w:rFonts w:eastAsia="Calibri"/>
              </w:rPr>
              <w:t>,</w:t>
            </w:r>
            <w:r w:rsidR="004E066E" w:rsidRPr="005622E0">
              <w:rPr>
                <w:rFonts w:eastAsia="Calibri"/>
              </w:rPr>
              <w:t>520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306B928F" w14:textId="77777777" w:rsidR="002674A5" w:rsidRPr="005622E0" w:rsidRDefault="00E150B2" w:rsidP="00CE520D">
            <w:pPr>
              <w:rPr>
                <w:rFonts w:eastAsia="Calibri"/>
              </w:rPr>
            </w:pPr>
            <w:r w:rsidRPr="005622E0">
              <w:rPr>
                <w:rFonts w:eastAsia="Calibri"/>
              </w:rPr>
              <w:t xml:space="preserve"> </w:t>
            </w:r>
          </w:p>
          <w:p w14:paraId="29E24431" w14:textId="77777777" w:rsidR="00707CEE" w:rsidRPr="005622E0" w:rsidRDefault="002674A5" w:rsidP="00CE520D">
            <w:pPr>
              <w:rPr>
                <w:rFonts w:eastAsia="Calibri"/>
              </w:rPr>
            </w:pPr>
            <w:r w:rsidRPr="005622E0">
              <w:rPr>
                <w:rFonts w:eastAsia="Calibri"/>
              </w:rPr>
              <w:t xml:space="preserve"> </w:t>
            </w:r>
            <w:r w:rsidR="00707CEE" w:rsidRPr="005622E0">
              <w:rPr>
                <w:rFonts w:eastAsia="Calibri"/>
              </w:rPr>
              <w:t>75.0%</w:t>
            </w:r>
          </w:p>
        </w:tc>
        <w:tc>
          <w:tcPr>
            <w:tcW w:w="1440" w:type="dxa"/>
            <w:tcBorders>
              <w:top w:val="nil"/>
              <w:left w:val="nil"/>
              <w:bottom w:val="single" w:sz="8" w:space="0" w:color="auto"/>
              <w:right w:val="single" w:sz="8" w:space="0" w:color="auto"/>
            </w:tcBorders>
          </w:tcPr>
          <w:p w14:paraId="685ECB86" w14:textId="77777777" w:rsidR="00707CEE" w:rsidRPr="005622E0" w:rsidRDefault="00707CEE" w:rsidP="00CE520D"/>
          <w:p w14:paraId="17B2D353" w14:textId="64B65611" w:rsidR="00707CEE" w:rsidRPr="005622E0" w:rsidRDefault="00707CEE" w:rsidP="004E066E">
            <w:pPr>
              <w:jc w:val="right"/>
            </w:pPr>
            <w:r w:rsidRPr="005622E0">
              <w:t>$</w:t>
            </w:r>
            <w:r w:rsidR="00030C3F" w:rsidRPr="005622E0">
              <w:t>1</w:t>
            </w:r>
            <w:r w:rsidR="004E066E" w:rsidRPr="005622E0">
              <w:t>41</w:t>
            </w:r>
            <w:r w:rsidR="00030C3F" w:rsidRPr="005622E0">
              <w:t>,</w:t>
            </w:r>
            <w:r w:rsidR="004E066E" w:rsidRPr="005622E0">
              <w:t>780</w:t>
            </w:r>
          </w:p>
        </w:tc>
      </w:tr>
      <w:tr w:rsidR="00707CEE" w:rsidRPr="005622E0" w14:paraId="239A239D" w14:textId="77777777" w:rsidTr="00D65011">
        <w:tc>
          <w:tcPr>
            <w:tcW w:w="24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373934" w14:textId="77777777" w:rsidR="00707CEE" w:rsidRPr="005622E0" w:rsidRDefault="00707CEE" w:rsidP="00CE520D">
            <w:pPr>
              <w:rPr>
                <w:rFonts w:eastAsia="Calibri"/>
              </w:rPr>
            </w:pPr>
            <w:r w:rsidRPr="005622E0">
              <w:rPr>
                <w:b/>
                <w:bCs/>
                <w:color w:val="000000"/>
              </w:rPr>
              <w:t>Total</w:t>
            </w:r>
          </w:p>
        </w:tc>
        <w:tc>
          <w:tcPr>
            <w:tcW w:w="651" w:type="dxa"/>
            <w:tcBorders>
              <w:top w:val="nil"/>
              <w:left w:val="nil"/>
              <w:bottom w:val="single" w:sz="8" w:space="0" w:color="auto"/>
              <w:right w:val="nil"/>
            </w:tcBorders>
          </w:tcPr>
          <w:p w14:paraId="2D9A608D" w14:textId="77777777" w:rsidR="00707CEE" w:rsidRPr="005622E0" w:rsidRDefault="00707CEE" w:rsidP="00CE520D">
            <w:pPr>
              <w:jc w:val="right"/>
              <w:rPr>
                <w:rFonts w:eastAsia="Calibri"/>
              </w:rPr>
            </w:pPr>
          </w:p>
        </w:tc>
        <w:tc>
          <w:tcPr>
            <w:tcW w:w="791" w:type="dxa"/>
            <w:tcBorders>
              <w:top w:val="nil"/>
              <w:left w:val="nil"/>
              <w:bottom w:val="single" w:sz="8" w:space="0" w:color="auto"/>
              <w:right w:val="single" w:sz="8" w:space="0" w:color="auto"/>
            </w:tcBorders>
          </w:tcPr>
          <w:p w14:paraId="1676C0D7" w14:textId="77777777" w:rsidR="00707CEE" w:rsidRPr="005622E0" w:rsidRDefault="00707CEE" w:rsidP="00CE520D">
            <w:pPr>
              <w:jc w:val="right"/>
              <w:rPr>
                <w:rFonts w:eastAsia="Calibr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4D0B3BF" w14:textId="77777777" w:rsidR="00707CEE" w:rsidRPr="005622E0" w:rsidRDefault="00707CEE" w:rsidP="00CE520D">
            <w:pPr>
              <w:jc w:val="right"/>
              <w:rPr>
                <w:rFonts w:eastAsia="Calibri"/>
              </w:rPr>
            </w:pP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358C96B5" w14:textId="77777777" w:rsidR="00707CEE" w:rsidRPr="005622E0" w:rsidRDefault="00707CEE" w:rsidP="00CE520D">
            <w:pPr>
              <w:jc w:val="right"/>
              <w:rPr>
                <w:rFonts w:eastAsia="Calibri"/>
              </w:rPr>
            </w:pPr>
          </w:p>
        </w:tc>
        <w:tc>
          <w:tcPr>
            <w:tcW w:w="1440" w:type="dxa"/>
            <w:tcBorders>
              <w:top w:val="nil"/>
              <w:left w:val="nil"/>
              <w:bottom w:val="single" w:sz="8" w:space="0" w:color="auto"/>
              <w:right w:val="single" w:sz="8" w:space="0" w:color="auto"/>
            </w:tcBorders>
            <w:hideMark/>
          </w:tcPr>
          <w:p w14:paraId="6D7E5BF1" w14:textId="3723F1D0" w:rsidR="00707CEE" w:rsidRPr="005622E0" w:rsidRDefault="00707CEE" w:rsidP="008375FE">
            <w:pPr>
              <w:jc w:val="right"/>
              <w:rPr>
                <w:rFonts w:eastAsia="Calibri"/>
              </w:rPr>
            </w:pPr>
            <w:r w:rsidRPr="005622E0">
              <w:t>$6</w:t>
            </w:r>
            <w:r w:rsidR="004E066E" w:rsidRPr="005622E0">
              <w:t>55</w:t>
            </w:r>
            <w:r w:rsidR="00030C3F" w:rsidRPr="005622E0">
              <w:t>,</w:t>
            </w:r>
            <w:r w:rsidR="004E066E" w:rsidRPr="005622E0">
              <w:t>612</w:t>
            </w:r>
          </w:p>
        </w:tc>
      </w:tr>
    </w:tbl>
    <w:p w14:paraId="6B5509A3" w14:textId="77777777" w:rsidR="00707CEE" w:rsidRPr="005622E0" w:rsidRDefault="00707CEE" w:rsidP="00707CEE">
      <w:pPr>
        <w:rPr>
          <w:rFonts w:ascii="Calibri" w:eastAsia="Calibri" w:hAnsi="Calibri"/>
          <w:sz w:val="22"/>
          <w:szCs w:val="22"/>
        </w:rPr>
      </w:pPr>
    </w:p>
    <w:p w14:paraId="385F969F" w14:textId="77777777" w:rsidR="00707CEE" w:rsidRPr="005622E0" w:rsidRDefault="00707CEE" w:rsidP="00707CEE">
      <w:r w:rsidRPr="005622E0">
        <w:rPr>
          <w:b/>
        </w:rPr>
        <w:t xml:space="preserve">Exhibit </w:t>
      </w:r>
      <w:r w:rsidR="00541E05" w:rsidRPr="005622E0">
        <w:rPr>
          <w:b/>
        </w:rPr>
        <w:t>6</w:t>
      </w:r>
      <w:r w:rsidRPr="005622E0">
        <w:rPr>
          <w:b/>
        </w:rPr>
        <w:t>: Annual Cost to AHRQ for MEPS-MPC Oversight</w:t>
      </w:r>
    </w:p>
    <w:tbl>
      <w:tblPr>
        <w:tblW w:w="7380" w:type="dxa"/>
        <w:tblInd w:w="-10" w:type="dxa"/>
        <w:tblLayout w:type="fixed"/>
        <w:tblCellMar>
          <w:left w:w="0" w:type="dxa"/>
          <w:right w:w="0" w:type="dxa"/>
        </w:tblCellMar>
        <w:tblLook w:val="04A0" w:firstRow="1" w:lastRow="0" w:firstColumn="1" w:lastColumn="0" w:noHBand="0" w:noVBand="1"/>
      </w:tblPr>
      <w:tblGrid>
        <w:gridCol w:w="2428"/>
        <w:gridCol w:w="651"/>
        <w:gridCol w:w="791"/>
        <w:gridCol w:w="1170"/>
        <w:gridCol w:w="900"/>
        <w:gridCol w:w="1440"/>
      </w:tblGrid>
      <w:tr w:rsidR="00707CEE" w:rsidRPr="005622E0" w14:paraId="5D17A68B" w14:textId="77777777" w:rsidTr="005556EF">
        <w:tc>
          <w:tcPr>
            <w:tcW w:w="2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6221486" w14:textId="77777777" w:rsidR="00707CEE" w:rsidRPr="005622E0" w:rsidRDefault="00707CEE" w:rsidP="00CE520D">
            <w:pPr>
              <w:rPr>
                <w:rFonts w:ascii="Calibri" w:eastAsia="Calibri" w:hAnsi="Calibri"/>
                <w:b/>
                <w:bCs/>
              </w:rPr>
            </w:pPr>
            <w:r w:rsidRPr="005622E0">
              <w:rPr>
                <w:b/>
                <w:bCs/>
                <w:color w:val="000000"/>
              </w:rPr>
              <w:t>Tasks/Personnel</w:t>
            </w:r>
          </w:p>
        </w:tc>
        <w:tc>
          <w:tcPr>
            <w:tcW w:w="651" w:type="dxa"/>
            <w:tcBorders>
              <w:top w:val="single" w:sz="8" w:space="0" w:color="auto"/>
              <w:left w:val="nil"/>
              <w:bottom w:val="single" w:sz="8" w:space="0" w:color="auto"/>
              <w:right w:val="nil"/>
            </w:tcBorders>
            <w:hideMark/>
          </w:tcPr>
          <w:p w14:paraId="247A2C74" w14:textId="77777777" w:rsidR="00707CEE" w:rsidRPr="005622E0" w:rsidRDefault="00707CEE" w:rsidP="00CE520D">
            <w:pPr>
              <w:jc w:val="center"/>
              <w:rPr>
                <w:rFonts w:ascii="Calibri" w:eastAsia="Calibri" w:hAnsi="Calibri"/>
                <w:b/>
                <w:bCs/>
              </w:rPr>
            </w:pPr>
            <w:r w:rsidRPr="005622E0">
              <w:rPr>
                <w:b/>
                <w:bCs/>
              </w:rPr>
              <w:t>Staff</w:t>
            </w:r>
          </w:p>
          <w:p w14:paraId="7E081476" w14:textId="77777777" w:rsidR="00707CEE" w:rsidRPr="005622E0" w:rsidRDefault="00707CEE" w:rsidP="00CE520D">
            <w:pPr>
              <w:jc w:val="center"/>
              <w:rPr>
                <w:rFonts w:ascii="Calibri" w:eastAsia="Calibri" w:hAnsi="Calibri"/>
                <w:b/>
                <w:bCs/>
              </w:rPr>
            </w:pPr>
            <w:r w:rsidRPr="005622E0">
              <w:rPr>
                <w:b/>
                <w:bCs/>
              </w:rPr>
              <w:t>Count</w:t>
            </w:r>
          </w:p>
        </w:tc>
        <w:tc>
          <w:tcPr>
            <w:tcW w:w="791" w:type="dxa"/>
            <w:tcBorders>
              <w:top w:val="single" w:sz="8" w:space="0" w:color="auto"/>
              <w:left w:val="nil"/>
              <w:bottom w:val="single" w:sz="8" w:space="0" w:color="auto"/>
              <w:right w:val="single" w:sz="8" w:space="0" w:color="auto"/>
            </w:tcBorders>
          </w:tcPr>
          <w:p w14:paraId="1705E729" w14:textId="77777777" w:rsidR="00707CEE" w:rsidRPr="005622E0" w:rsidRDefault="00707CEE" w:rsidP="00CE520D">
            <w:pPr>
              <w:rPr>
                <w:rFonts w:ascii="Calibri" w:eastAsia="Calibri" w:hAnsi="Calibri"/>
                <w:b/>
                <w:bCs/>
              </w:rPr>
            </w:pP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881BFC6" w14:textId="77777777" w:rsidR="00707CEE" w:rsidRPr="005622E0" w:rsidRDefault="00707CEE" w:rsidP="00CE520D">
            <w:pPr>
              <w:jc w:val="center"/>
              <w:rPr>
                <w:rFonts w:ascii="Calibri" w:eastAsia="Calibri" w:hAnsi="Calibri"/>
                <w:b/>
                <w:bCs/>
              </w:rPr>
            </w:pPr>
            <w:r w:rsidRPr="005622E0">
              <w:rPr>
                <w:b/>
                <w:bCs/>
              </w:rPr>
              <w:t>Annual Salary</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4A6EB65" w14:textId="77777777" w:rsidR="00707CEE" w:rsidRPr="005622E0" w:rsidRDefault="00707CEE" w:rsidP="00CE520D">
            <w:pPr>
              <w:jc w:val="center"/>
              <w:rPr>
                <w:rFonts w:ascii="Calibri" w:eastAsia="Calibri" w:hAnsi="Calibri"/>
                <w:b/>
                <w:bCs/>
              </w:rPr>
            </w:pPr>
            <w:r w:rsidRPr="005622E0">
              <w:rPr>
                <w:b/>
                <w:bCs/>
              </w:rPr>
              <w:t>% of Time</w:t>
            </w:r>
          </w:p>
        </w:tc>
        <w:tc>
          <w:tcPr>
            <w:tcW w:w="1440" w:type="dxa"/>
            <w:tcBorders>
              <w:top w:val="single" w:sz="8" w:space="0" w:color="auto"/>
              <w:left w:val="nil"/>
              <w:bottom w:val="single" w:sz="8" w:space="0" w:color="auto"/>
              <w:right w:val="single" w:sz="8" w:space="0" w:color="auto"/>
            </w:tcBorders>
          </w:tcPr>
          <w:p w14:paraId="12A13AB7" w14:textId="77777777" w:rsidR="00707CEE" w:rsidRPr="005622E0" w:rsidRDefault="00707CEE" w:rsidP="00CE520D">
            <w:pPr>
              <w:jc w:val="center"/>
              <w:rPr>
                <w:rFonts w:ascii="Calibri" w:eastAsia="Calibri" w:hAnsi="Calibri"/>
                <w:b/>
                <w:bCs/>
              </w:rPr>
            </w:pPr>
          </w:p>
          <w:p w14:paraId="4E563AB9" w14:textId="77777777" w:rsidR="00707CEE" w:rsidRPr="005622E0" w:rsidRDefault="00707CEE" w:rsidP="00CE520D">
            <w:pPr>
              <w:jc w:val="center"/>
              <w:rPr>
                <w:rFonts w:ascii="Calibri" w:eastAsia="Calibri" w:hAnsi="Calibri"/>
                <w:b/>
                <w:bCs/>
              </w:rPr>
            </w:pPr>
            <w:r w:rsidRPr="005622E0">
              <w:rPr>
                <w:b/>
                <w:bCs/>
              </w:rPr>
              <w:t>Cost</w:t>
            </w:r>
          </w:p>
        </w:tc>
      </w:tr>
      <w:tr w:rsidR="00707CEE" w:rsidRPr="005622E0" w14:paraId="673F5522" w14:textId="77777777" w:rsidTr="005556EF">
        <w:trPr>
          <w:trHeight w:val="250"/>
        </w:trPr>
        <w:tc>
          <w:tcPr>
            <w:tcW w:w="24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5D0C71" w14:textId="77777777" w:rsidR="00707CEE" w:rsidRPr="005622E0" w:rsidRDefault="00707CEE" w:rsidP="00CE520D">
            <w:pPr>
              <w:rPr>
                <w:rFonts w:eastAsia="Calibri"/>
              </w:rPr>
            </w:pPr>
            <w:r w:rsidRPr="005622E0">
              <w:t>Management Support: GS-15, Step 5 average</w:t>
            </w:r>
          </w:p>
        </w:tc>
        <w:tc>
          <w:tcPr>
            <w:tcW w:w="651" w:type="dxa"/>
            <w:tcBorders>
              <w:top w:val="nil"/>
              <w:left w:val="nil"/>
              <w:bottom w:val="single" w:sz="8" w:space="0" w:color="auto"/>
              <w:right w:val="nil"/>
            </w:tcBorders>
          </w:tcPr>
          <w:p w14:paraId="5FB3451B" w14:textId="77777777" w:rsidR="00707CEE" w:rsidRPr="005622E0" w:rsidRDefault="00707CEE" w:rsidP="00CE520D">
            <w:pPr>
              <w:jc w:val="right"/>
              <w:rPr>
                <w:rFonts w:eastAsia="Calibri"/>
              </w:rPr>
            </w:pPr>
          </w:p>
          <w:p w14:paraId="7B6F18F6" w14:textId="77777777" w:rsidR="00707CEE" w:rsidRPr="005622E0" w:rsidRDefault="00707CEE" w:rsidP="00CE520D">
            <w:pPr>
              <w:jc w:val="right"/>
              <w:rPr>
                <w:rFonts w:eastAsia="Calibri"/>
              </w:rPr>
            </w:pPr>
            <w:r w:rsidRPr="005622E0">
              <w:rPr>
                <w:rFonts w:eastAsia="Calibri"/>
              </w:rPr>
              <w:t>2</w:t>
            </w:r>
          </w:p>
        </w:tc>
        <w:tc>
          <w:tcPr>
            <w:tcW w:w="791" w:type="dxa"/>
            <w:tcBorders>
              <w:top w:val="nil"/>
              <w:left w:val="nil"/>
              <w:bottom w:val="single" w:sz="8" w:space="0" w:color="auto"/>
              <w:right w:val="single" w:sz="8" w:space="0" w:color="auto"/>
            </w:tcBorders>
          </w:tcPr>
          <w:p w14:paraId="701D94BE" w14:textId="77777777" w:rsidR="00707CEE" w:rsidRPr="005622E0" w:rsidRDefault="00707CEE" w:rsidP="00CE520D">
            <w:pPr>
              <w:jc w:val="right"/>
              <w:rPr>
                <w:rFonts w:eastAsia="Calibr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9E03522" w14:textId="77777777" w:rsidR="00707CEE" w:rsidRPr="005622E0" w:rsidRDefault="00707CEE" w:rsidP="00CE520D">
            <w:pPr>
              <w:jc w:val="right"/>
              <w:rPr>
                <w:rFonts w:eastAsia="Calibri"/>
              </w:rPr>
            </w:pPr>
          </w:p>
          <w:p w14:paraId="696339C8" w14:textId="22EC8E66" w:rsidR="00707CEE" w:rsidRPr="005622E0" w:rsidRDefault="00707CEE" w:rsidP="008375FE">
            <w:pPr>
              <w:jc w:val="right"/>
              <w:rPr>
                <w:rFonts w:eastAsia="Calibri"/>
              </w:rPr>
            </w:pPr>
            <w:r w:rsidRPr="005622E0">
              <w:t>$1</w:t>
            </w:r>
            <w:r w:rsidR="004E066E" w:rsidRPr="005622E0">
              <w:t>56</w:t>
            </w:r>
            <w:r w:rsidR="00CF2F73" w:rsidRPr="005622E0">
              <w:t>,</w:t>
            </w:r>
            <w:r w:rsidR="004E066E" w:rsidRPr="005622E0">
              <w:t>228</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EACA518" w14:textId="77777777" w:rsidR="00707CEE" w:rsidRPr="005622E0" w:rsidRDefault="00707CEE" w:rsidP="00CE520D">
            <w:pPr>
              <w:jc w:val="right"/>
              <w:rPr>
                <w:rFonts w:eastAsia="Calibri"/>
              </w:rPr>
            </w:pPr>
          </w:p>
          <w:p w14:paraId="604651B9" w14:textId="77777777" w:rsidR="00707CEE" w:rsidRPr="005622E0" w:rsidRDefault="00707CEE" w:rsidP="00CE520D">
            <w:pPr>
              <w:jc w:val="right"/>
              <w:rPr>
                <w:rFonts w:eastAsia="Calibri"/>
              </w:rPr>
            </w:pPr>
            <w:r w:rsidRPr="005622E0">
              <w:t>33.3%</w:t>
            </w:r>
          </w:p>
        </w:tc>
        <w:tc>
          <w:tcPr>
            <w:tcW w:w="1440" w:type="dxa"/>
            <w:tcBorders>
              <w:top w:val="nil"/>
              <w:left w:val="nil"/>
              <w:bottom w:val="single" w:sz="8" w:space="0" w:color="auto"/>
              <w:right w:val="single" w:sz="8" w:space="0" w:color="auto"/>
            </w:tcBorders>
          </w:tcPr>
          <w:p w14:paraId="04BA1568" w14:textId="77777777" w:rsidR="00707CEE" w:rsidRPr="005622E0" w:rsidRDefault="00707CEE" w:rsidP="00CE520D">
            <w:pPr>
              <w:jc w:val="right"/>
              <w:rPr>
                <w:rFonts w:eastAsia="Calibri"/>
              </w:rPr>
            </w:pPr>
          </w:p>
          <w:p w14:paraId="71D3D92C" w14:textId="2016E821" w:rsidR="00707CEE" w:rsidRPr="005622E0" w:rsidRDefault="00707CEE" w:rsidP="008375FE">
            <w:pPr>
              <w:jc w:val="right"/>
              <w:rPr>
                <w:rFonts w:eastAsia="Calibri"/>
              </w:rPr>
            </w:pPr>
            <w:r w:rsidRPr="005622E0">
              <w:t>$</w:t>
            </w:r>
            <w:r w:rsidR="001610E0" w:rsidRPr="005622E0">
              <w:t>10</w:t>
            </w:r>
            <w:r w:rsidR="004E066E" w:rsidRPr="005622E0">
              <w:t>4</w:t>
            </w:r>
            <w:r w:rsidRPr="005622E0">
              <w:t>,</w:t>
            </w:r>
            <w:r w:rsidR="004E066E" w:rsidRPr="005622E0">
              <w:t>048</w:t>
            </w:r>
            <w:r w:rsidRPr="005622E0">
              <w:t xml:space="preserve">  </w:t>
            </w:r>
          </w:p>
        </w:tc>
      </w:tr>
      <w:tr w:rsidR="00707CEE" w:rsidRPr="005622E0" w14:paraId="401C6BF9" w14:textId="77777777" w:rsidTr="005556EF">
        <w:trPr>
          <w:trHeight w:val="376"/>
        </w:trPr>
        <w:tc>
          <w:tcPr>
            <w:tcW w:w="24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B1E5C7" w14:textId="77777777" w:rsidR="00707CEE" w:rsidRPr="005622E0" w:rsidRDefault="00707CEE" w:rsidP="00CE520D">
            <w:pPr>
              <w:rPr>
                <w:rFonts w:eastAsia="Calibri"/>
              </w:rPr>
            </w:pPr>
            <w:r w:rsidRPr="005622E0">
              <w:t>Survey/Statistical Support: GS-14, Step 5 average</w:t>
            </w:r>
          </w:p>
        </w:tc>
        <w:tc>
          <w:tcPr>
            <w:tcW w:w="651" w:type="dxa"/>
            <w:tcBorders>
              <w:top w:val="nil"/>
              <w:left w:val="nil"/>
              <w:bottom w:val="single" w:sz="8" w:space="0" w:color="auto"/>
              <w:right w:val="nil"/>
            </w:tcBorders>
          </w:tcPr>
          <w:p w14:paraId="5AC8B066" w14:textId="77777777" w:rsidR="00707CEE" w:rsidRPr="005622E0" w:rsidRDefault="00707CEE" w:rsidP="00CE520D">
            <w:pPr>
              <w:jc w:val="right"/>
              <w:rPr>
                <w:rFonts w:eastAsia="Calibri"/>
              </w:rPr>
            </w:pPr>
          </w:p>
          <w:p w14:paraId="6024203B" w14:textId="77777777" w:rsidR="00707CEE" w:rsidRPr="005622E0" w:rsidRDefault="00707CEE" w:rsidP="00CE520D">
            <w:pPr>
              <w:jc w:val="right"/>
              <w:rPr>
                <w:rFonts w:eastAsia="Calibri"/>
              </w:rPr>
            </w:pPr>
            <w:r w:rsidRPr="005622E0">
              <w:rPr>
                <w:rFonts w:eastAsia="Calibri"/>
              </w:rPr>
              <w:t>2</w:t>
            </w:r>
          </w:p>
        </w:tc>
        <w:tc>
          <w:tcPr>
            <w:tcW w:w="791" w:type="dxa"/>
            <w:tcBorders>
              <w:top w:val="nil"/>
              <w:left w:val="nil"/>
              <w:bottom w:val="single" w:sz="8" w:space="0" w:color="auto"/>
              <w:right w:val="single" w:sz="8" w:space="0" w:color="auto"/>
            </w:tcBorders>
          </w:tcPr>
          <w:p w14:paraId="64F555D7" w14:textId="77777777" w:rsidR="00707CEE" w:rsidRPr="005622E0" w:rsidRDefault="00707CEE" w:rsidP="00CE520D">
            <w:pPr>
              <w:jc w:val="right"/>
              <w:rPr>
                <w:rFonts w:eastAsia="Calibr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2EB1437" w14:textId="61C0708C" w:rsidR="00707CEE" w:rsidRPr="005622E0" w:rsidRDefault="00707CEE" w:rsidP="008375FE">
            <w:pPr>
              <w:jc w:val="right"/>
              <w:rPr>
                <w:rFonts w:eastAsia="Calibri"/>
              </w:rPr>
            </w:pPr>
            <w:r w:rsidRPr="005622E0">
              <w:t>$1</w:t>
            </w:r>
            <w:r w:rsidR="004E066E" w:rsidRPr="005622E0">
              <w:t>32</w:t>
            </w:r>
            <w:r w:rsidRPr="005622E0">
              <w:t>,</w:t>
            </w:r>
            <w:r w:rsidR="004E066E" w:rsidRPr="005622E0">
              <w:t>818</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F734629" w14:textId="77777777" w:rsidR="00707CEE" w:rsidRPr="005622E0" w:rsidRDefault="00707CEE" w:rsidP="00CE520D">
            <w:pPr>
              <w:jc w:val="right"/>
              <w:rPr>
                <w:rFonts w:eastAsia="Calibri"/>
              </w:rPr>
            </w:pPr>
            <w:r w:rsidRPr="005622E0">
              <w:t>50.0%</w:t>
            </w:r>
          </w:p>
        </w:tc>
        <w:tc>
          <w:tcPr>
            <w:tcW w:w="1440" w:type="dxa"/>
            <w:tcBorders>
              <w:top w:val="nil"/>
              <w:left w:val="nil"/>
              <w:bottom w:val="single" w:sz="8" w:space="0" w:color="auto"/>
              <w:right w:val="single" w:sz="8" w:space="0" w:color="auto"/>
            </w:tcBorders>
          </w:tcPr>
          <w:p w14:paraId="04579E57" w14:textId="77777777" w:rsidR="00707CEE" w:rsidRPr="005622E0" w:rsidRDefault="00707CEE" w:rsidP="00CE520D">
            <w:pPr>
              <w:jc w:val="right"/>
              <w:rPr>
                <w:rFonts w:eastAsia="Calibri"/>
              </w:rPr>
            </w:pPr>
          </w:p>
          <w:p w14:paraId="3062246E" w14:textId="41888E7B" w:rsidR="00707CEE" w:rsidRPr="005622E0" w:rsidRDefault="00707CEE" w:rsidP="008375FE">
            <w:pPr>
              <w:jc w:val="right"/>
              <w:rPr>
                <w:rFonts w:eastAsia="Calibri"/>
              </w:rPr>
            </w:pPr>
            <w:r w:rsidRPr="005622E0">
              <w:t>$1</w:t>
            </w:r>
            <w:r w:rsidR="004E066E" w:rsidRPr="005622E0">
              <w:t>32</w:t>
            </w:r>
            <w:r w:rsidRPr="005622E0">
              <w:t>,</w:t>
            </w:r>
            <w:r w:rsidR="004E066E" w:rsidRPr="005622E0">
              <w:t>818</w:t>
            </w:r>
          </w:p>
        </w:tc>
      </w:tr>
      <w:tr w:rsidR="00707CEE" w:rsidRPr="005622E0" w14:paraId="24DD3E2A" w14:textId="77777777" w:rsidTr="005556EF">
        <w:trPr>
          <w:trHeight w:val="376"/>
        </w:trPr>
        <w:tc>
          <w:tcPr>
            <w:tcW w:w="24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670B65" w14:textId="77777777" w:rsidR="00707CEE" w:rsidRPr="005622E0" w:rsidRDefault="00707CEE" w:rsidP="00CE520D">
            <w:pPr>
              <w:rPr>
                <w:rFonts w:eastAsia="Calibri"/>
              </w:rPr>
            </w:pPr>
            <w:r w:rsidRPr="005622E0">
              <w:t>Research Support: GS-13, Step 5 average</w:t>
            </w:r>
          </w:p>
        </w:tc>
        <w:tc>
          <w:tcPr>
            <w:tcW w:w="651" w:type="dxa"/>
            <w:tcBorders>
              <w:top w:val="nil"/>
              <w:left w:val="nil"/>
              <w:bottom w:val="single" w:sz="8" w:space="0" w:color="auto"/>
              <w:right w:val="nil"/>
            </w:tcBorders>
          </w:tcPr>
          <w:p w14:paraId="152CF6AA" w14:textId="77777777" w:rsidR="002674A5" w:rsidRPr="005622E0" w:rsidRDefault="002674A5" w:rsidP="00CE520D">
            <w:pPr>
              <w:jc w:val="right"/>
              <w:rPr>
                <w:rFonts w:eastAsia="Calibri"/>
              </w:rPr>
            </w:pPr>
          </w:p>
          <w:p w14:paraId="78FF8A7B" w14:textId="77777777" w:rsidR="00707CEE" w:rsidRPr="005622E0" w:rsidRDefault="00707CEE" w:rsidP="00CE520D">
            <w:pPr>
              <w:jc w:val="right"/>
              <w:rPr>
                <w:rFonts w:eastAsia="Calibri"/>
              </w:rPr>
            </w:pPr>
            <w:r w:rsidRPr="005622E0">
              <w:rPr>
                <w:rFonts w:eastAsia="Calibri"/>
              </w:rPr>
              <w:t>1</w:t>
            </w:r>
          </w:p>
        </w:tc>
        <w:tc>
          <w:tcPr>
            <w:tcW w:w="791" w:type="dxa"/>
            <w:tcBorders>
              <w:top w:val="nil"/>
              <w:left w:val="nil"/>
              <w:bottom w:val="single" w:sz="8" w:space="0" w:color="auto"/>
              <w:right w:val="single" w:sz="8" w:space="0" w:color="auto"/>
            </w:tcBorders>
          </w:tcPr>
          <w:p w14:paraId="7E708FC2" w14:textId="77777777" w:rsidR="00707CEE" w:rsidRPr="005622E0" w:rsidRDefault="00707CEE" w:rsidP="00CE520D">
            <w:pPr>
              <w:jc w:val="right"/>
              <w:rPr>
                <w:rFonts w:eastAsia="Calibr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F480814" w14:textId="77777777" w:rsidR="00707CEE" w:rsidRPr="005622E0" w:rsidRDefault="00707CEE" w:rsidP="00CE520D">
            <w:pPr>
              <w:jc w:val="right"/>
              <w:rPr>
                <w:rFonts w:eastAsia="Calibri"/>
              </w:rPr>
            </w:pPr>
          </w:p>
          <w:p w14:paraId="496AB1D2" w14:textId="45889060" w:rsidR="00707CEE" w:rsidRPr="005622E0" w:rsidRDefault="00707CEE" w:rsidP="008375FE">
            <w:pPr>
              <w:jc w:val="right"/>
              <w:rPr>
                <w:rFonts w:eastAsia="Calibri"/>
              </w:rPr>
            </w:pPr>
            <w:r w:rsidRPr="005622E0">
              <w:t>$1</w:t>
            </w:r>
            <w:r w:rsidR="004E066E" w:rsidRPr="005622E0">
              <w:t>12</w:t>
            </w:r>
            <w:r w:rsidR="00CF2F73" w:rsidRPr="005622E0">
              <w:t>,</w:t>
            </w:r>
            <w:r w:rsidR="004E066E" w:rsidRPr="005622E0">
              <w:t>393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D3494DE" w14:textId="77777777" w:rsidR="00707CEE" w:rsidRPr="005622E0" w:rsidRDefault="00707CEE" w:rsidP="00CE520D">
            <w:pPr>
              <w:jc w:val="right"/>
              <w:rPr>
                <w:rFonts w:eastAsia="Calibri"/>
              </w:rPr>
            </w:pPr>
          </w:p>
          <w:p w14:paraId="053FB862" w14:textId="77777777" w:rsidR="00707CEE" w:rsidRPr="005622E0" w:rsidRDefault="00707CEE" w:rsidP="00CE520D">
            <w:pPr>
              <w:jc w:val="right"/>
              <w:rPr>
                <w:rFonts w:eastAsia="Calibri"/>
              </w:rPr>
            </w:pPr>
            <w:r w:rsidRPr="005622E0">
              <w:t>50.0%</w:t>
            </w:r>
          </w:p>
        </w:tc>
        <w:tc>
          <w:tcPr>
            <w:tcW w:w="1440" w:type="dxa"/>
            <w:tcBorders>
              <w:top w:val="nil"/>
              <w:left w:val="nil"/>
              <w:bottom w:val="single" w:sz="8" w:space="0" w:color="auto"/>
              <w:right w:val="single" w:sz="8" w:space="0" w:color="auto"/>
            </w:tcBorders>
          </w:tcPr>
          <w:p w14:paraId="78912FC3" w14:textId="77777777" w:rsidR="00707CEE" w:rsidRPr="005622E0" w:rsidRDefault="00707CEE" w:rsidP="00CE520D">
            <w:pPr>
              <w:jc w:val="right"/>
              <w:rPr>
                <w:rFonts w:eastAsia="Calibri"/>
              </w:rPr>
            </w:pPr>
          </w:p>
          <w:p w14:paraId="74E23376" w14:textId="5AE28A1D" w:rsidR="00707CEE" w:rsidRPr="005622E0" w:rsidRDefault="00707CEE" w:rsidP="008375FE">
            <w:pPr>
              <w:jc w:val="right"/>
              <w:rPr>
                <w:rFonts w:eastAsia="Calibri"/>
              </w:rPr>
            </w:pPr>
            <w:r w:rsidRPr="005622E0">
              <w:t>$5</w:t>
            </w:r>
            <w:r w:rsidR="004E066E" w:rsidRPr="005622E0">
              <w:t>6</w:t>
            </w:r>
            <w:r w:rsidRPr="005622E0">
              <w:t>,</w:t>
            </w:r>
            <w:r w:rsidR="004E066E" w:rsidRPr="005622E0">
              <w:t>197</w:t>
            </w:r>
          </w:p>
        </w:tc>
      </w:tr>
      <w:tr w:rsidR="00707CEE" w:rsidRPr="005622E0" w14:paraId="0446813A" w14:textId="77777777" w:rsidTr="005556EF">
        <w:tc>
          <w:tcPr>
            <w:tcW w:w="24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6A69451" w14:textId="77777777" w:rsidR="00707CEE" w:rsidRPr="005622E0" w:rsidRDefault="00707CEE" w:rsidP="00CE520D">
            <w:pPr>
              <w:rPr>
                <w:b/>
                <w:bCs/>
                <w:color w:val="000000"/>
              </w:rPr>
            </w:pPr>
            <w:r w:rsidRPr="005622E0">
              <w:t>Research Support: GS-12, Step 5 average</w:t>
            </w:r>
          </w:p>
        </w:tc>
        <w:tc>
          <w:tcPr>
            <w:tcW w:w="651" w:type="dxa"/>
            <w:tcBorders>
              <w:top w:val="nil"/>
              <w:left w:val="nil"/>
              <w:bottom w:val="single" w:sz="8" w:space="0" w:color="auto"/>
              <w:right w:val="nil"/>
            </w:tcBorders>
          </w:tcPr>
          <w:p w14:paraId="4F94D711" w14:textId="77777777" w:rsidR="002674A5" w:rsidRPr="005622E0" w:rsidRDefault="00707CEE" w:rsidP="00CE520D">
            <w:pPr>
              <w:tabs>
                <w:tab w:val="left" w:pos="504"/>
              </w:tabs>
              <w:rPr>
                <w:rFonts w:eastAsia="Calibri"/>
              </w:rPr>
            </w:pPr>
            <w:r w:rsidRPr="005622E0">
              <w:rPr>
                <w:rFonts w:eastAsia="Calibri"/>
              </w:rPr>
              <w:tab/>
            </w:r>
          </w:p>
          <w:p w14:paraId="1C0B99BE" w14:textId="77777777" w:rsidR="00707CEE" w:rsidRPr="005622E0" w:rsidRDefault="002674A5" w:rsidP="005556EF">
            <w:pPr>
              <w:tabs>
                <w:tab w:val="left" w:pos="504"/>
              </w:tabs>
              <w:jc w:val="center"/>
              <w:rPr>
                <w:rFonts w:eastAsia="Calibri"/>
              </w:rPr>
            </w:pPr>
            <w:r w:rsidRPr="005622E0">
              <w:rPr>
                <w:rFonts w:eastAsia="Calibri"/>
              </w:rPr>
              <w:t xml:space="preserve">        </w:t>
            </w:r>
            <w:r w:rsidR="00707CEE" w:rsidRPr="005622E0">
              <w:rPr>
                <w:rFonts w:eastAsia="Calibri"/>
              </w:rPr>
              <w:t>1</w:t>
            </w:r>
          </w:p>
        </w:tc>
        <w:tc>
          <w:tcPr>
            <w:tcW w:w="791" w:type="dxa"/>
            <w:tcBorders>
              <w:top w:val="nil"/>
              <w:left w:val="nil"/>
              <w:bottom w:val="single" w:sz="8" w:space="0" w:color="auto"/>
              <w:right w:val="single" w:sz="8" w:space="0" w:color="auto"/>
            </w:tcBorders>
          </w:tcPr>
          <w:p w14:paraId="0415DD74" w14:textId="77777777" w:rsidR="00707CEE" w:rsidRPr="005622E0" w:rsidRDefault="00707CEE" w:rsidP="00CE520D">
            <w:pPr>
              <w:jc w:val="right"/>
              <w:rPr>
                <w:rFonts w:eastAsia="Calibr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5DD4CEF" w14:textId="77777777" w:rsidR="002674A5" w:rsidRPr="005622E0" w:rsidRDefault="002674A5" w:rsidP="00CE520D">
            <w:pPr>
              <w:jc w:val="right"/>
              <w:rPr>
                <w:rFonts w:eastAsia="Calibri"/>
              </w:rPr>
            </w:pPr>
          </w:p>
          <w:p w14:paraId="25DD4398" w14:textId="135DCC52" w:rsidR="00707CEE" w:rsidRPr="005622E0" w:rsidRDefault="00CF2F73" w:rsidP="008375FE">
            <w:pPr>
              <w:jc w:val="right"/>
              <w:rPr>
                <w:rFonts w:eastAsia="Calibri"/>
              </w:rPr>
            </w:pPr>
            <w:r w:rsidRPr="005622E0">
              <w:rPr>
                <w:rFonts w:eastAsia="Calibri"/>
              </w:rPr>
              <w:t>$9</w:t>
            </w:r>
            <w:r w:rsidR="004E066E" w:rsidRPr="005622E0">
              <w:rPr>
                <w:rFonts w:eastAsia="Calibri"/>
              </w:rPr>
              <w:t>4</w:t>
            </w:r>
            <w:r w:rsidRPr="005622E0">
              <w:rPr>
                <w:rFonts w:eastAsia="Calibri"/>
              </w:rPr>
              <w:t>,</w:t>
            </w:r>
            <w:r w:rsidR="004E066E" w:rsidRPr="005622E0">
              <w:rPr>
                <w:rFonts w:eastAsia="Calibri"/>
              </w:rPr>
              <w:t>520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3476DEBC" w14:textId="77777777" w:rsidR="002674A5" w:rsidRPr="005622E0" w:rsidRDefault="00E150B2" w:rsidP="001610E0">
            <w:pPr>
              <w:rPr>
                <w:rFonts w:eastAsia="Calibri"/>
              </w:rPr>
            </w:pPr>
            <w:r w:rsidRPr="005622E0">
              <w:rPr>
                <w:rFonts w:eastAsia="Calibri"/>
              </w:rPr>
              <w:t xml:space="preserve"> </w:t>
            </w:r>
          </w:p>
          <w:p w14:paraId="4F4B94D5" w14:textId="77777777" w:rsidR="00707CEE" w:rsidRPr="005622E0" w:rsidRDefault="00707CEE" w:rsidP="001610E0">
            <w:pPr>
              <w:rPr>
                <w:rFonts w:eastAsia="Calibri"/>
              </w:rPr>
            </w:pPr>
            <w:r w:rsidRPr="005622E0">
              <w:rPr>
                <w:rFonts w:eastAsia="Calibri"/>
              </w:rPr>
              <w:t>33.</w:t>
            </w:r>
            <w:r w:rsidR="001610E0" w:rsidRPr="005622E0">
              <w:rPr>
                <w:rFonts w:eastAsia="Calibri"/>
              </w:rPr>
              <w:t>3</w:t>
            </w:r>
            <w:r w:rsidRPr="005622E0">
              <w:rPr>
                <w:rFonts w:eastAsia="Calibri"/>
              </w:rPr>
              <w:t>%</w:t>
            </w:r>
          </w:p>
        </w:tc>
        <w:tc>
          <w:tcPr>
            <w:tcW w:w="1440" w:type="dxa"/>
            <w:tcBorders>
              <w:top w:val="nil"/>
              <w:left w:val="nil"/>
              <w:bottom w:val="single" w:sz="8" w:space="0" w:color="auto"/>
              <w:right w:val="single" w:sz="8" w:space="0" w:color="auto"/>
            </w:tcBorders>
          </w:tcPr>
          <w:p w14:paraId="2199949C" w14:textId="77777777" w:rsidR="00707CEE" w:rsidRPr="005622E0" w:rsidRDefault="00707CEE" w:rsidP="00CE520D"/>
          <w:p w14:paraId="1BE6E75C" w14:textId="48948945" w:rsidR="00707CEE" w:rsidRPr="005622E0" w:rsidRDefault="00707CEE" w:rsidP="008375FE">
            <w:pPr>
              <w:jc w:val="right"/>
            </w:pPr>
            <w:r w:rsidRPr="005622E0">
              <w:t>$</w:t>
            </w:r>
            <w:r w:rsidR="001610E0" w:rsidRPr="005622E0">
              <w:t>3</w:t>
            </w:r>
            <w:r w:rsidR="004E066E" w:rsidRPr="005622E0">
              <w:t>1</w:t>
            </w:r>
            <w:r w:rsidR="001610E0" w:rsidRPr="005622E0">
              <w:t>,</w:t>
            </w:r>
            <w:r w:rsidR="004E066E" w:rsidRPr="005622E0">
              <w:t>475</w:t>
            </w:r>
          </w:p>
        </w:tc>
      </w:tr>
      <w:tr w:rsidR="00707CEE" w:rsidRPr="005622E0" w14:paraId="5178FD48" w14:textId="77777777" w:rsidTr="005556EF">
        <w:tc>
          <w:tcPr>
            <w:tcW w:w="24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D84884" w14:textId="77777777" w:rsidR="00707CEE" w:rsidRPr="005622E0" w:rsidRDefault="00707CEE" w:rsidP="00CE520D">
            <w:pPr>
              <w:rPr>
                <w:rFonts w:eastAsia="Calibri"/>
              </w:rPr>
            </w:pPr>
            <w:r w:rsidRPr="005622E0">
              <w:rPr>
                <w:b/>
                <w:bCs/>
                <w:color w:val="000000"/>
              </w:rPr>
              <w:t>Total</w:t>
            </w:r>
          </w:p>
        </w:tc>
        <w:tc>
          <w:tcPr>
            <w:tcW w:w="651" w:type="dxa"/>
            <w:tcBorders>
              <w:top w:val="nil"/>
              <w:left w:val="nil"/>
              <w:bottom w:val="single" w:sz="8" w:space="0" w:color="auto"/>
              <w:right w:val="nil"/>
            </w:tcBorders>
          </w:tcPr>
          <w:p w14:paraId="4762BD81" w14:textId="77777777" w:rsidR="00707CEE" w:rsidRPr="005622E0" w:rsidRDefault="00707CEE" w:rsidP="00CE520D">
            <w:pPr>
              <w:jc w:val="right"/>
              <w:rPr>
                <w:rFonts w:eastAsia="Calibri"/>
              </w:rPr>
            </w:pPr>
          </w:p>
        </w:tc>
        <w:tc>
          <w:tcPr>
            <w:tcW w:w="791" w:type="dxa"/>
            <w:tcBorders>
              <w:top w:val="nil"/>
              <w:left w:val="nil"/>
              <w:bottom w:val="single" w:sz="8" w:space="0" w:color="auto"/>
              <w:right w:val="single" w:sz="8" w:space="0" w:color="auto"/>
            </w:tcBorders>
          </w:tcPr>
          <w:p w14:paraId="320CD7A1" w14:textId="77777777" w:rsidR="00707CEE" w:rsidRPr="005622E0" w:rsidRDefault="00707CEE" w:rsidP="00CE520D">
            <w:pPr>
              <w:jc w:val="right"/>
              <w:rPr>
                <w:rFonts w:eastAsia="Calibri"/>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1B90631" w14:textId="77777777" w:rsidR="00707CEE" w:rsidRPr="005622E0" w:rsidRDefault="00707CEE" w:rsidP="00CE520D">
            <w:pPr>
              <w:jc w:val="right"/>
              <w:rPr>
                <w:rFonts w:eastAsia="Calibri"/>
              </w:rPr>
            </w:pP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22F6350" w14:textId="77777777" w:rsidR="00707CEE" w:rsidRPr="005622E0" w:rsidRDefault="00707CEE" w:rsidP="00CE520D">
            <w:pPr>
              <w:jc w:val="right"/>
              <w:rPr>
                <w:rFonts w:eastAsia="Calibri"/>
              </w:rPr>
            </w:pPr>
          </w:p>
        </w:tc>
        <w:tc>
          <w:tcPr>
            <w:tcW w:w="1440" w:type="dxa"/>
            <w:tcBorders>
              <w:top w:val="nil"/>
              <w:left w:val="nil"/>
              <w:bottom w:val="single" w:sz="8" w:space="0" w:color="auto"/>
              <w:right w:val="single" w:sz="8" w:space="0" w:color="auto"/>
            </w:tcBorders>
            <w:hideMark/>
          </w:tcPr>
          <w:p w14:paraId="0F01C1EB" w14:textId="7EBEBCFB" w:rsidR="00707CEE" w:rsidRPr="005622E0" w:rsidRDefault="00707CEE" w:rsidP="008375FE">
            <w:pPr>
              <w:jc w:val="right"/>
              <w:rPr>
                <w:rFonts w:eastAsia="Calibri"/>
              </w:rPr>
            </w:pPr>
            <w:r w:rsidRPr="005622E0">
              <w:t>$</w:t>
            </w:r>
            <w:r w:rsidR="001610E0" w:rsidRPr="005622E0">
              <w:t>3</w:t>
            </w:r>
            <w:r w:rsidR="004E066E" w:rsidRPr="005622E0">
              <w:t>24</w:t>
            </w:r>
            <w:r w:rsidRPr="005622E0">
              <w:t>,</w:t>
            </w:r>
            <w:r w:rsidR="004E066E" w:rsidRPr="005622E0">
              <w:t>538</w:t>
            </w:r>
          </w:p>
        </w:tc>
      </w:tr>
    </w:tbl>
    <w:p w14:paraId="299993BE" w14:textId="77777777" w:rsidR="00707CEE" w:rsidRPr="005622E0" w:rsidRDefault="00707CEE" w:rsidP="00707CEE">
      <w:pPr>
        <w:rPr>
          <w:rFonts w:ascii="Calibri" w:eastAsia="Calibri" w:hAnsi="Calibri"/>
          <w:sz w:val="22"/>
          <w:szCs w:val="22"/>
        </w:rPr>
      </w:pPr>
    </w:p>
    <w:p w14:paraId="03C598AC" w14:textId="7664D3A7" w:rsidR="009D6C40" w:rsidRPr="005622E0" w:rsidRDefault="00707CEE" w:rsidP="00707CEE">
      <w:r w:rsidRPr="005622E0">
        <w:rPr>
          <w:color w:val="000000"/>
        </w:rPr>
        <w:t>Annual salaries based on 201</w:t>
      </w:r>
      <w:r w:rsidR="00354785" w:rsidRPr="005622E0">
        <w:rPr>
          <w:color w:val="000000"/>
        </w:rPr>
        <w:t>9</w:t>
      </w:r>
      <w:r w:rsidRPr="005622E0">
        <w:rPr>
          <w:color w:val="000000"/>
        </w:rPr>
        <w:t xml:space="preserve"> OPM Pay Schedule for Washington/DC area:</w:t>
      </w:r>
      <w:r w:rsidRPr="005622E0">
        <w:t xml:space="preserve"> </w:t>
      </w:r>
    </w:p>
    <w:p w14:paraId="6F5566D4" w14:textId="77DC6E9B" w:rsidR="00273065" w:rsidRPr="005622E0" w:rsidRDefault="00356074" w:rsidP="00707CEE">
      <w:hyperlink w:history="1"/>
      <w:r w:rsidR="008375FE" w:rsidRPr="005622E0">
        <w:t>https://www.opm.gov/policy-data-oversight/pay-leave/salaries-wages/salary-tables/pdf/2019/DCB.pdf</w:t>
      </w:r>
    </w:p>
    <w:p w14:paraId="161FD1D7" w14:textId="77777777" w:rsidR="009900E6" w:rsidRPr="005622E0" w:rsidRDefault="009900E6" w:rsidP="009B633D">
      <w:pPr>
        <w:pStyle w:val="Heading2"/>
        <w:rPr>
          <w:sz w:val="24"/>
        </w:rPr>
      </w:pPr>
    </w:p>
    <w:p w14:paraId="3A56BB17" w14:textId="48D7B3F6" w:rsidR="009B633D" w:rsidRPr="005622E0" w:rsidRDefault="009B633D" w:rsidP="009B633D">
      <w:pPr>
        <w:pStyle w:val="Heading2"/>
        <w:rPr>
          <w:sz w:val="24"/>
        </w:rPr>
      </w:pPr>
      <w:r w:rsidRPr="005622E0">
        <w:rPr>
          <w:sz w:val="24"/>
        </w:rPr>
        <w:t>15. Changes in Hour Burden</w:t>
      </w:r>
      <w:bookmarkEnd w:id="34"/>
      <w:bookmarkEnd w:id="35"/>
    </w:p>
    <w:p w14:paraId="2160750D" w14:textId="5F257CAC" w:rsidR="00BA2E38" w:rsidRPr="005622E0" w:rsidRDefault="00707CEE" w:rsidP="00BA2E38">
      <w:bookmarkStart w:id="36" w:name="_Toc151782191"/>
      <w:bookmarkStart w:id="37" w:name="_Toc158526231"/>
      <w:r w:rsidRPr="005622E0">
        <w:t>The total estimated annual burden hours for the MEPS ha</w:t>
      </w:r>
      <w:r w:rsidR="00EE6CFB" w:rsidRPr="005622E0">
        <w:t xml:space="preserve">s increased </w:t>
      </w:r>
      <w:r w:rsidR="00BC4482" w:rsidRPr="005622E0">
        <w:t>f</w:t>
      </w:r>
      <w:r w:rsidRPr="005622E0">
        <w:t xml:space="preserve">rom </w:t>
      </w:r>
      <w:r w:rsidR="00EE6CFB" w:rsidRPr="005622E0">
        <w:t>77,666</w:t>
      </w:r>
      <w:r w:rsidRPr="005622E0">
        <w:t xml:space="preserve"> hours in the previous clearance to </w:t>
      </w:r>
      <w:r w:rsidR="008E78CC" w:rsidRPr="005622E0">
        <w:rPr>
          <w:bCs/>
        </w:rPr>
        <w:t>84,</w:t>
      </w:r>
      <w:r w:rsidR="009935CB" w:rsidRPr="005622E0">
        <w:rPr>
          <w:bCs/>
        </w:rPr>
        <w:t>93</w:t>
      </w:r>
      <w:r w:rsidR="00207198" w:rsidRPr="005622E0">
        <w:rPr>
          <w:bCs/>
        </w:rPr>
        <w:t>0</w:t>
      </w:r>
      <w:r w:rsidR="002929E9" w:rsidRPr="005622E0">
        <w:rPr>
          <w:bCs/>
        </w:rPr>
        <w:t xml:space="preserve"> </w:t>
      </w:r>
      <w:r w:rsidRPr="005622E0">
        <w:t xml:space="preserve">hours in this clearance request, </w:t>
      </w:r>
      <w:r w:rsidR="00EE6CFB" w:rsidRPr="005622E0">
        <w:t xml:space="preserve">an increase </w:t>
      </w:r>
      <w:r w:rsidRPr="005622E0">
        <w:t xml:space="preserve">of </w:t>
      </w:r>
      <w:r w:rsidR="008E78CC" w:rsidRPr="005622E0">
        <w:t>7,</w:t>
      </w:r>
      <w:r w:rsidR="009935CB" w:rsidRPr="005622E0">
        <w:t>264</w:t>
      </w:r>
      <w:r w:rsidRPr="005622E0">
        <w:t xml:space="preserve"> hours.  </w:t>
      </w:r>
      <w:r w:rsidR="00BA2E38" w:rsidRPr="005622E0">
        <w:t xml:space="preserve">This burden </w:t>
      </w:r>
      <w:r w:rsidR="00EE6CFB" w:rsidRPr="005622E0">
        <w:t xml:space="preserve">increase is </w:t>
      </w:r>
      <w:r w:rsidR="00BA2E38" w:rsidRPr="005622E0">
        <w:t xml:space="preserve">due to </w:t>
      </w:r>
      <w:r w:rsidR="00EE6CFB" w:rsidRPr="005622E0">
        <w:t>the addition of a Mental Health SAQ</w:t>
      </w:r>
      <w:r w:rsidR="00FE557A" w:rsidRPr="005622E0">
        <w:t xml:space="preserve">, estimated at </w:t>
      </w:r>
      <w:r w:rsidR="008E78CC" w:rsidRPr="005622E0">
        <w:t>1,194</w:t>
      </w:r>
      <w:r w:rsidR="00FE557A" w:rsidRPr="005622E0">
        <w:t xml:space="preserve"> hours, and the </w:t>
      </w:r>
      <w:r w:rsidR="00207198" w:rsidRPr="005622E0">
        <w:t>h</w:t>
      </w:r>
      <w:r w:rsidR="00FE557A" w:rsidRPr="005622E0">
        <w:t xml:space="preserve">ealth </w:t>
      </w:r>
      <w:r w:rsidR="00207198" w:rsidRPr="005622E0">
        <w:t>i</w:t>
      </w:r>
      <w:r w:rsidR="00FE557A" w:rsidRPr="005622E0">
        <w:t xml:space="preserve">nsurance </w:t>
      </w:r>
      <w:r w:rsidR="00207198" w:rsidRPr="005622E0">
        <w:t>c</w:t>
      </w:r>
      <w:r w:rsidR="00FE557A" w:rsidRPr="005622E0">
        <w:t xml:space="preserve">ost </w:t>
      </w:r>
      <w:r w:rsidR="00207198" w:rsidRPr="005622E0">
        <w:t>s</w:t>
      </w:r>
      <w:r w:rsidR="00FE557A" w:rsidRPr="005622E0">
        <w:t xml:space="preserve">haring </w:t>
      </w:r>
      <w:r w:rsidR="00207198" w:rsidRPr="005622E0">
        <w:t>c</w:t>
      </w:r>
      <w:r w:rsidR="00FE557A" w:rsidRPr="005622E0">
        <w:t xml:space="preserve">ollection, estimated at </w:t>
      </w:r>
      <w:r w:rsidR="008E78CC" w:rsidRPr="005622E0">
        <w:t>6,101</w:t>
      </w:r>
      <w:r w:rsidR="00FE557A" w:rsidRPr="005622E0">
        <w:t xml:space="preserve"> in hours of burden</w:t>
      </w:r>
      <w:r w:rsidR="00207198" w:rsidRPr="005622E0">
        <w:t xml:space="preserve">, and the pilot test on sampling NHIS nonrespondents, estimated at </w:t>
      </w:r>
      <w:r w:rsidR="009935CB" w:rsidRPr="005622E0">
        <w:t>307</w:t>
      </w:r>
      <w:r w:rsidR="00207198" w:rsidRPr="005622E0">
        <w:t xml:space="preserve"> hours of burden</w:t>
      </w:r>
      <w:r w:rsidR="00EE6CFB" w:rsidRPr="005622E0">
        <w:t xml:space="preserve">. </w:t>
      </w:r>
      <w:r w:rsidR="00BA2E38" w:rsidRPr="005622E0">
        <w:t xml:space="preserve"> </w:t>
      </w:r>
      <w:r w:rsidR="009935CB" w:rsidRPr="005622E0">
        <w:t>While the burden associated with these added tasks totals 7,</w:t>
      </w:r>
      <w:r w:rsidR="000B615C" w:rsidRPr="005622E0">
        <w:t>602</w:t>
      </w:r>
      <w:r w:rsidR="009935CB" w:rsidRPr="005622E0">
        <w:t xml:space="preserve"> hours, </w:t>
      </w:r>
      <w:r w:rsidR="000B615C" w:rsidRPr="005622E0">
        <w:t>reductions in other burden estimates leave a net difference of 7,264 hours overall.</w:t>
      </w:r>
    </w:p>
    <w:p w14:paraId="2C5446BC" w14:textId="77777777" w:rsidR="00707CEE" w:rsidRPr="005622E0" w:rsidRDefault="00707CEE" w:rsidP="005556EF">
      <w:pPr>
        <w:rPr>
          <w:i/>
        </w:rPr>
      </w:pPr>
    </w:p>
    <w:p w14:paraId="382A6AEC" w14:textId="368F14F4" w:rsidR="009B633D" w:rsidRPr="005622E0" w:rsidRDefault="009B633D" w:rsidP="009B633D">
      <w:pPr>
        <w:pStyle w:val="Heading2"/>
        <w:rPr>
          <w:sz w:val="24"/>
        </w:rPr>
      </w:pPr>
      <w:r w:rsidRPr="005622E0">
        <w:rPr>
          <w:sz w:val="24"/>
        </w:rPr>
        <w:t>16. Time Schedule, Publication and Analysis Plans</w:t>
      </w:r>
      <w:bookmarkEnd w:id="36"/>
      <w:bookmarkEnd w:id="37"/>
    </w:p>
    <w:p w14:paraId="4E54A44B" w14:textId="77777777" w:rsidR="009A6F5A" w:rsidRPr="005622E0" w:rsidRDefault="009A6F5A" w:rsidP="009A6F5A">
      <w:bookmarkStart w:id="38" w:name="_Toc151782192"/>
      <w:r w:rsidRPr="005622E0">
        <w:t>Data collected from the MEPS will be used in a variety of descriptive analys</w:t>
      </w:r>
      <w:r w:rsidR="00E90C74" w:rsidRPr="005622E0">
        <w:t>e</w:t>
      </w:r>
      <w:r w:rsidRPr="005622E0">
        <w:t xml:space="preserve">s.  Our website </w:t>
      </w:r>
      <w:hyperlink r:id="rId11" w:history="1">
        <w:r w:rsidRPr="005622E0">
          <w:rPr>
            <w:rStyle w:val="Hyperlink"/>
          </w:rPr>
          <w:t>www.meps.ahrq.gov</w:t>
        </w:r>
      </w:hyperlink>
      <w:r w:rsidRPr="005622E0">
        <w:t xml:space="preserve"> contains examples of publications.  Those publications include statistical briefs, research findings, chartbooks, and journal articles.   In addition, tabular data is presented on the website, as interactive tables, and through an interactive tool – MEPS</w:t>
      </w:r>
      <w:r w:rsidR="00BB12A6" w:rsidRPr="005622E0">
        <w:t>net</w:t>
      </w:r>
      <w:r w:rsidRPr="005622E0">
        <w:t>. Special analytic reports will be issued on an ad-hoc basis, and other analyses will be presented at annual meetings of professional associations and in professional journals.</w:t>
      </w:r>
    </w:p>
    <w:p w14:paraId="202FB2CE" w14:textId="77777777" w:rsidR="009A6F5A" w:rsidRPr="005622E0" w:rsidRDefault="009A6F5A" w:rsidP="009A6F5A"/>
    <w:p w14:paraId="60EB4F57" w14:textId="77777777" w:rsidR="009A6F5A" w:rsidRPr="005622E0" w:rsidRDefault="009A6F5A" w:rsidP="009A6F5A">
      <w:r w:rsidRPr="005622E0">
        <w:t xml:space="preserve">To the extent possible we have endeavored to release public use files from this project as soon as possible.    </w:t>
      </w:r>
    </w:p>
    <w:p w14:paraId="3E4FB9E3" w14:textId="77777777" w:rsidR="00042815" w:rsidRPr="005622E0" w:rsidRDefault="00042815" w:rsidP="009A6F5A"/>
    <w:p w14:paraId="139B07EB" w14:textId="77777777" w:rsidR="009A6F5A" w:rsidRPr="005622E0" w:rsidRDefault="009A6F5A" w:rsidP="009A6F5A">
      <w:pPr>
        <w:rPr>
          <w:rFonts w:ascii="Arial" w:hAnsi="Arial" w:cs="Arial"/>
          <w:b/>
          <w:i/>
        </w:rPr>
      </w:pPr>
      <w:r w:rsidRPr="005622E0">
        <w:rPr>
          <w:rFonts w:ascii="Arial" w:hAnsi="Arial" w:cs="Arial"/>
          <w:b/>
          <w:i/>
        </w:rPr>
        <w:t>1</w:t>
      </w:r>
      <w:r w:rsidR="001D684D" w:rsidRPr="005622E0">
        <w:rPr>
          <w:rFonts w:ascii="Arial" w:hAnsi="Arial" w:cs="Arial"/>
          <w:b/>
          <w:i/>
        </w:rPr>
        <w:t>7</w:t>
      </w:r>
      <w:r w:rsidRPr="005622E0">
        <w:rPr>
          <w:rFonts w:ascii="Arial" w:hAnsi="Arial" w:cs="Arial"/>
          <w:b/>
          <w:i/>
        </w:rPr>
        <w:t>. Schedule for Data Collection</w:t>
      </w:r>
    </w:p>
    <w:p w14:paraId="3D8B7CAA" w14:textId="7F544BB1" w:rsidR="000C4742" w:rsidRPr="005622E0" w:rsidRDefault="009A6F5A" w:rsidP="009A6F5A">
      <w:pPr>
        <w:spacing w:before="120"/>
      </w:pPr>
      <w:r w:rsidRPr="005622E0">
        <w:t xml:space="preserve">Data collection for the MEPS under this request begins in </w:t>
      </w:r>
      <w:r w:rsidR="00CD4176" w:rsidRPr="005622E0">
        <w:t xml:space="preserve">early </w:t>
      </w:r>
      <w:r w:rsidRPr="005622E0">
        <w:t>January 20</w:t>
      </w:r>
      <w:r w:rsidR="00A6627C" w:rsidRPr="005622E0">
        <w:t>1</w:t>
      </w:r>
      <w:r w:rsidR="00E32493" w:rsidRPr="005622E0">
        <w:t>9</w:t>
      </w:r>
      <w:r w:rsidRPr="005622E0">
        <w:t>.  Rounds 1, 3, and 5</w:t>
      </w:r>
      <w:r w:rsidR="00DD31B2" w:rsidRPr="005622E0">
        <w:t xml:space="preserve"> of the MEPS-HC</w:t>
      </w:r>
      <w:r w:rsidRPr="005622E0">
        <w:t xml:space="preserve"> start in January and continue through </w:t>
      </w:r>
      <w:r w:rsidR="00DB640F" w:rsidRPr="005622E0">
        <w:t>mid-July</w:t>
      </w:r>
      <w:r w:rsidRPr="005622E0">
        <w:t xml:space="preserve">.  Rounds 2 and 4 begin in July of each year and continue through early December.  </w:t>
      </w:r>
      <w:r w:rsidR="00DD31B2" w:rsidRPr="005622E0">
        <w:t>Data collection for the MEPS-MPC will begin in February 20</w:t>
      </w:r>
      <w:r w:rsidR="00E32493" w:rsidRPr="005622E0">
        <w:t>19</w:t>
      </w:r>
      <w:r w:rsidR="00DD31B2" w:rsidRPr="005622E0">
        <w:t>.</w:t>
      </w:r>
      <w:r w:rsidR="009700BA" w:rsidRPr="005622E0">
        <w:t xml:space="preserve">  Data collection for the</w:t>
      </w:r>
      <w:r w:rsidR="00C762DE" w:rsidRPr="005622E0">
        <w:t xml:space="preserve"> </w:t>
      </w:r>
      <w:r w:rsidR="005E3EE3" w:rsidRPr="005622E0">
        <w:t xml:space="preserve">health insurance cost sharing documents </w:t>
      </w:r>
      <w:r w:rsidR="009700BA" w:rsidRPr="005622E0">
        <w:t>will begin in January 2020</w:t>
      </w:r>
      <w:r w:rsidR="00634BA6" w:rsidRPr="005622E0">
        <w:t xml:space="preserve"> and data collection for the </w:t>
      </w:r>
      <w:r w:rsidR="00C762DE" w:rsidRPr="005622E0">
        <w:t xml:space="preserve">Adult </w:t>
      </w:r>
      <w:r w:rsidR="00634BA6" w:rsidRPr="005622E0">
        <w:t xml:space="preserve">SAQ </w:t>
      </w:r>
      <w:r w:rsidR="00C762DE" w:rsidRPr="005622E0">
        <w:t xml:space="preserve">(Male/Female) </w:t>
      </w:r>
      <w:r w:rsidR="00634BA6" w:rsidRPr="005622E0">
        <w:t>that includes mental health questions will begin in July 2020</w:t>
      </w:r>
      <w:r w:rsidR="009700BA" w:rsidRPr="005622E0">
        <w:t>.</w:t>
      </w:r>
    </w:p>
    <w:p w14:paraId="2B3A6BBD" w14:textId="77777777" w:rsidR="009B633D" w:rsidRPr="005622E0" w:rsidRDefault="00273065" w:rsidP="009A6F5A">
      <w:pPr>
        <w:spacing w:before="120"/>
        <w:rPr>
          <w:b/>
          <w:i/>
        </w:rPr>
      </w:pPr>
      <w:r w:rsidRPr="005622E0">
        <w:t xml:space="preserve"> </w:t>
      </w:r>
    </w:p>
    <w:p w14:paraId="7B43ED4D" w14:textId="3A59FDC9" w:rsidR="009B633D" w:rsidRPr="005622E0" w:rsidRDefault="001D684D" w:rsidP="00D65011">
      <w:pPr>
        <w:pStyle w:val="Heading2"/>
        <w:spacing w:before="0" w:after="0"/>
        <w:rPr>
          <w:sz w:val="24"/>
        </w:rPr>
      </w:pPr>
      <w:bookmarkStart w:id="39" w:name="_Toc151782196"/>
      <w:bookmarkStart w:id="40" w:name="_Toc158526232"/>
      <w:bookmarkEnd w:id="38"/>
      <w:r w:rsidRPr="005622E0">
        <w:rPr>
          <w:sz w:val="24"/>
        </w:rPr>
        <w:t>18</w:t>
      </w:r>
      <w:r w:rsidR="009B633D" w:rsidRPr="005622E0">
        <w:rPr>
          <w:sz w:val="24"/>
        </w:rPr>
        <w:t>. Exemption for Display of Expiration Date</w:t>
      </w:r>
      <w:bookmarkEnd w:id="39"/>
      <w:bookmarkEnd w:id="40"/>
    </w:p>
    <w:p w14:paraId="77F39349" w14:textId="77777777" w:rsidR="0003207A" w:rsidRPr="005622E0" w:rsidRDefault="009B633D" w:rsidP="0003207A">
      <w:pPr>
        <w:rPr>
          <w:rFonts w:ascii="Arial" w:hAnsi="Arial" w:cs="Arial"/>
          <w:b/>
        </w:rPr>
      </w:pPr>
      <w:r w:rsidRPr="005622E0">
        <w:t>AHRQ does not seek this exemption.</w:t>
      </w:r>
    </w:p>
    <w:p w14:paraId="56666283" w14:textId="77777777" w:rsidR="0003207A" w:rsidRPr="005622E0" w:rsidRDefault="0003207A" w:rsidP="0003207A">
      <w:pPr>
        <w:rPr>
          <w:rFonts w:ascii="Arial" w:hAnsi="Arial" w:cs="Arial"/>
          <w:b/>
        </w:rPr>
      </w:pPr>
    </w:p>
    <w:p w14:paraId="30DE1355" w14:textId="77777777" w:rsidR="00016560" w:rsidRPr="005622E0" w:rsidRDefault="0077339D" w:rsidP="0003207A">
      <w:pPr>
        <w:rPr>
          <w:rFonts w:ascii="Arial" w:hAnsi="Arial" w:cs="Arial"/>
          <w:b/>
        </w:rPr>
      </w:pPr>
      <w:r w:rsidRPr="005622E0">
        <w:rPr>
          <w:rFonts w:ascii="Arial" w:hAnsi="Arial" w:cs="Arial"/>
          <w:b/>
        </w:rPr>
        <w:t xml:space="preserve">List of </w:t>
      </w:r>
      <w:r w:rsidR="00016560" w:rsidRPr="005622E0">
        <w:rPr>
          <w:rFonts w:ascii="Arial" w:hAnsi="Arial" w:cs="Arial"/>
          <w:b/>
        </w:rPr>
        <w:t>Attachments:</w:t>
      </w:r>
    </w:p>
    <w:p w14:paraId="52987241" w14:textId="77777777" w:rsidR="0048178B" w:rsidRPr="005622E0" w:rsidRDefault="0048178B" w:rsidP="0048178B">
      <w:r w:rsidRPr="005622E0">
        <w:t>Attachment 1 – MEPS-HC Section Summary and Changes</w:t>
      </w:r>
    </w:p>
    <w:p w14:paraId="3D64014E" w14:textId="77777777" w:rsidR="0048178B" w:rsidRPr="005622E0" w:rsidRDefault="0048178B" w:rsidP="0048178B">
      <w:r w:rsidRPr="005622E0">
        <w:t>Attachment 2 – HC Why is Participation in MEPS so Important?</w:t>
      </w:r>
    </w:p>
    <w:p w14:paraId="4092D112" w14:textId="77777777" w:rsidR="0048178B" w:rsidRPr="005622E0" w:rsidRDefault="0048178B" w:rsidP="0048178B">
      <w:r w:rsidRPr="005622E0">
        <w:t>Attachment 3 – HC MEPS: A Survey of Health Care Use and Spending</w:t>
      </w:r>
    </w:p>
    <w:p w14:paraId="5B6B812B" w14:textId="77777777" w:rsidR="0048178B" w:rsidRPr="005622E0" w:rsidRDefault="0048178B" w:rsidP="0048178B">
      <w:r w:rsidRPr="005622E0">
        <w:t>Attachment 4 – HC What MEPS tells us about…Charts</w:t>
      </w:r>
    </w:p>
    <w:p w14:paraId="46474276" w14:textId="77777777" w:rsidR="0048178B" w:rsidRPr="005622E0" w:rsidRDefault="0048178B" w:rsidP="0048178B">
      <w:r w:rsidRPr="005622E0">
        <w:t>Attachment 5 – HC About the MEPS-MPC Authorization Form</w:t>
      </w:r>
    </w:p>
    <w:p w14:paraId="36CD7BAA" w14:textId="77777777" w:rsidR="0048178B" w:rsidRPr="005622E0" w:rsidRDefault="0048178B" w:rsidP="0048178B">
      <w:r w:rsidRPr="005622E0">
        <w:t>Attachment 6 – HC Data protection is word ONE with MEPS</w:t>
      </w:r>
    </w:p>
    <w:p w14:paraId="040DF796" w14:textId="77777777" w:rsidR="0048178B" w:rsidRPr="005622E0" w:rsidRDefault="0048178B" w:rsidP="0048178B">
      <w:r w:rsidRPr="005622E0">
        <w:t>Attachment 7 – HC Respondent Recruitment Video</w:t>
      </w:r>
    </w:p>
    <w:p w14:paraId="26DFEC44" w14:textId="77777777" w:rsidR="0048178B" w:rsidRPr="005622E0" w:rsidRDefault="0048178B" w:rsidP="0048178B">
      <w:r w:rsidRPr="005622E0">
        <w:t>Attachment 8 – HC Important Information About Your Participation in MEPS</w:t>
      </w:r>
    </w:p>
    <w:p w14:paraId="7777BE12" w14:textId="77777777" w:rsidR="0048178B" w:rsidRPr="005622E0" w:rsidRDefault="0048178B" w:rsidP="0048178B">
      <w:r w:rsidRPr="005622E0">
        <w:t>Attachment 9 – HC MEPS Data Example &amp; FAQs</w:t>
      </w:r>
    </w:p>
    <w:p w14:paraId="47C3C2C8" w14:textId="77777777" w:rsidR="0048178B" w:rsidRPr="005622E0" w:rsidRDefault="0048178B" w:rsidP="0048178B">
      <w:r w:rsidRPr="005622E0">
        <w:t>Attachment 10 – HC Respondent Letters, Postcards and Notes</w:t>
      </w:r>
    </w:p>
    <w:p w14:paraId="3C145171" w14:textId="77777777" w:rsidR="0048178B" w:rsidRPr="005622E0" w:rsidRDefault="0048178B" w:rsidP="0048178B">
      <w:r w:rsidRPr="005622E0">
        <w:t>Attachment 11 – HC MEPS FAQs Brochure</w:t>
      </w:r>
    </w:p>
    <w:p w14:paraId="72852D45" w14:textId="77777777" w:rsidR="0048178B" w:rsidRPr="005622E0" w:rsidRDefault="0048178B" w:rsidP="0048178B">
      <w:r w:rsidRPr="005622E0">
        <w:t>Attachment 12 – HC MEPS Monthly Planner</w:t>
      </w:r>
    </w:p>
    <w:p w14:paraId="7A26AC5F" w14:textId="77777777" w:rsidR="0048178B" w:rsidRPr="005622E0" w:rsidRDefault="0048178B" w:rsidP="0048178B">
      <w:r w:rsidRPr="005622E0">
        <w:t>Attachment 13 – HC MEPS Record Keeper</w:t>
      </w:r>
    </w:p>
    <w:p w14:paraId="38AF9F8A" w14:textId="77777777" w:rsidR="0048178B" w:rsidRPr="005622E0" w:rsidRDefault="0048178B" w:rsidP="0048178B">
      <w:r w:rsidRPr="005622E0">
        <w:t>Attachment 14 – HC Showcards</w:t>
      </w:r>
    </w:p>
    <w:p w14:paraId="448841AE" w14:textId="77777777" w:rsidR="0048178B" w:rsidRPr="005622E0" w:rsidRDefault="0048178B" w:rsidP="0048178B">
      <w:r w:rsidRPr="005622E0">
        <w:t>Attachment 15 – HC Validation Letter</w:t>
      </w:r>
    </w:p>
    <w:p w14:paraId="3A4C942A" w14:textId="77777777" w:rsidR="0048178B" w:rsidRPr="005622E0" w:rsidRDefault="0048178B" w:rsidP="0048178B">
      <w:r w:rsidRPr="005622E0">
        <w:t>Attachment 16 – HC Certificate of Appreciation</w:t>
      </w:r>
    </w:p>
    <w:p w14:paraId="26DCF4F0" w14:textId="77777777" w:rsidR="0048178B" w:rsidRPr="005622E0" w:rsidRDefault="0048178B" w:rsidP="0048178B">
      <w:r w:rsidRPr="005622E0">
        <w:t>Attachment 17 – HC Who Uses MEPS Data</w:t>
      </w:r>
    </w:p>
    <w:p w14:paraId="05AD6153" w14:textId="77777777" w:rsidR="008C3039" w:rsidRPr="005622E0" w:rsidRDefault="008C3039" w:rsidP="0048178B">
      <w:r w:rsidRPr="005622E0">
        <w:t xml:space="preserve">Attachment </w:t>
      </w:r>
      <w:r w:rsidR="00413ADF" w:rsidRPr="005622E0">
        <w:t>18</w:t>
      </w:r>
      <w:r w:rsidR="00B034C6" w:rsidRPr="005622E0">
        <w:t xml:space="preserve"> – </w:t>
      </w:r>
      <w:r w:rsidRPr="005622E0">
        <w:t>HC Adult SAQ</w:t>
      </w:r>
      <w:r w:rsidR="007B0AD5" w:rsidRPr="005622E0">
        <w:t xml:space="preserve"> (SAQ) – Your Health and Health Opinions</w:t>
      </w:r>
    </w:p>
    <w:p w14:paraId="677B613A" w14:textId="77777777" w:rsidR="0048178B" w:rsidRPr="005622E0" w:rsidRDefault="0048178B" w:rsidP="0048178B">
      <w:r w:rsidRPr="005622E0">
        <w:t>Attachment 1</w:t>
      </w:r>
      <w:r w:rsidR="00413ADF" w:rsidRPr="005622E0">
        <w:t>9</w:t>
      </w:r>
      <w:r w:rsidRPr="005622E0">
        <w:t xml:space="preserve"> – HC Adult SAQ – Male</w:t>
      </w:r>
      <w:r w:rsidR="007B0AD5" w:rsidRPr="005622E0">
        <w:t xml:space="preserve"> (PSAQ) – Your Health and Health Choices</w:t>
      </w:r>
    </w:p>
    <w:p w14:paraId="034DD121" w14:textId="77777777" w:rsidR="0048178B" w:rsidRPr="005622E0" w:rsidRDefault="0048178B" w:rsidP="0048178B">
      <w:r w:rsidRPr="005622E0">
        <w:t xml:space="preserve">Attachment </w:t>
      </w:r>
      <w:r w:rsidR="00413ADF" w:rsidRPr="005622E0">
        <w:t>20</w:t>
      </w:r>
      <w:r w:rsidRPr="005622E0">
        <w:t xml:space="preserve"> – HC Adult </w:t>
      </w:r>
      <w:r w:rsidR="00DB640F" w:rsidRPr="005622E0">
        <w:t xml:space="preserve">SAQ </w:t>
      </w:r>
      <w:r w:rsidR="007B0AD5" w:rsidRPr="005622E0">
        <w:t>–</w:t>
      </w:r>
      <w:r w:rsidRPr="005622E0">
        <w:t xml:space="preserve"> Female</w:t>
      </w:r>
      <w:r w:rsidR="007B0AD5" w:rsidRPr="005622E0">
        <w:t xml:space="preserve"> (PSAQ) – Your Health and Health Choices</w:t>
      </w:r>
    </w:p>
    <w:p w14:paraId="0A29685F" w14:textId="77777777" w:rsidR="0048178B" w:rsidRPr="005622E0" w:rsidRDefault="0048178B" w:rsidP="0048178B">
      <w:r w:rsidRPr="005622E0">
        <w:t>Attachment 2</w:t>
      </w:r>
      <w:r w:rsidR="00413ADF" w:rsidRPr="005622E0">
        <w:t>2</w:t>
      </w:r>
      <w:r w:rsidRPr="005622E0">
        <w:t xml:space="preserve"> – HC Diabetes SAQ – Proxy</w:t>
      </w:r>
    </w:p>
    <w:p w14:paraId="7195CB17" w14:textId="77777777" w:rsidR="0048178B" w:rsidRPr="005622E0" w:rsidRDefault="0048178B" w:rsidP="0048178B">
      <w:r w:rsidRPr="005622E0">
        <w:t>Attachment 2</w:t>
      </w:r>
      <w:r w:rsidR="00413ADF" w:rsidRPr="005622E0">
        <w:t>3</w:t>
      </w:r>
      <w:r w:rsidRPr="005622E0">
        <w:t xml:space="preserve"> – HC Diabetes SAQ – Self</w:t>
      </w:r>
    </w:p>
    <w:p w14:paraId="1A9D359B" w14:textId="77777777" w:rsidR="0048178B" w:rsidRPr="005622E0" w:rsidRDefault="0048178B" w:rsidP="0048178B">
      <w:r w:rsidRPr="005622E0">
        <w:t>Attachment 2</w:t>
      </w:r>
      <w:r w:rsidR="00413ADF" w:rsidRPr="005622E0">
        <w:t>4</w:t>
      </w:r>
      <w:r w:rsidRPr="005622E0">
        <w:t xml:space="preserve"> – HC Authorization Form for the MEPS-MPC – Pharmacy</w:t>
      </w:r>
    </w:p>
    <w:p w14:paraId="1C1E45B7" w14:textId="77777777" w:rsidR="0048178B" w:rsidRPr="005622E0" w:rsidRDefault="0048178B" w:rsidP="0048178B">
      <w:r w:rsidRPr="005622E0">
        <w:t>Attachment 2</w:t>
      </w:r>
      <w:r w:rsidR="00413ADF" w:rsidRPr="005622E0">
        <w:t>5</w:t>
      </w:r>
      <w:r w:rsidRPr="005622E0">
        <w:t xml:space="preserve"> – HC Authorization Form for the MEPS-MPC – Provider</w:t>
      </w:r>
    </w:p>
    <w:p w14:paraId="50653F1E" w14:textId="77777777" w:rsidR="0048178B" w:rsidRPr="005622E0" w:rsidRDefault="0048178B" w:rsidP="0048178B">
      <w:r w:rsidRPr="005622E0">
        <w:t>Attachment 2</w:t>
      </w:r>
      <w:r w:rsidR="00413ADF" w:rsidRPr="005622E0">
        <w:t>6</w:t>
      </w:r>
      <w:r w:rsidRPr="005622E0">
        <w:t xml:space="preserve"> – HC MEPS Validation Interview Form</w:t>
      </w:r>
    </w:p>
    <w:p w14:paraId="5733403B" w14:textId="77777777" w:rsidR="0048178B" w:rsidRPr="005622E0" w:rsidRDefault="0048178B" w:rsidP="0048178B">
      <w:r w:rsidRPr="005622E0">
        <w:t>Attachment 2</w:t>
      </w:r>
      <w:r w:rsidR="00413ADF" w:rsidRPr="005622E0">
        <w:t>7</w:t>
      </w:r>
      <w:r w:rsidRPr="005622E0">
        <w:t xml:space="preserve"> – HC MEPS Tip Sheet</w:t>
      </w:r>
    </w:p>
    <w:p w14:paraId="64340B92" w14:textId="77777777" w:rsidR="0048178B" w:rsidRPr="005622E0" w:rsidRDefault="0048178B" w:rsidP="0048178B">
      <w:r w:rsidRPr="005622E0">
        <w:t>Attachment 2</w:t>
      </w:r>
      <w:r w:rsidR="00413ADF" w:rsidRPr="005622E0">
        <w:t>8</w:t>
      </w:r>
      <w:r w:rsidRPr="005622E0">
        <w:t xml:space="preserve"> – HC Tips for Making Your MEPS Interview Easier</w:t>
      </w:r>
    </w:p>
    <w:p w14:paraId="3BACCEB5" w14:textId="77777777" w:rsidR="0048178B" w:rsidRPr="005622E0" w:rsidRDefault="0048178B" w:rsidP="0048178B">
      <w:r w:rsidRPr="005622E0">
        <w:t>Attachment 2</w:t>
      </w:r>
      <w:r w:rsidR="00413ADF" w:rsidRPr="005622E0">
        <w:t>9</w:t>
      </w:r>
      <w:r w:rsidRPr="005622E0">
        <w:t xml:space="preserve"> – HC Access to Care Section</w:t>
      </w:r>
    </w:p>
    <w:p w14:paraId="6F82DA74" w14:textId="77777777" w:rsidR="0048178B" w:rsidRPr="005622E0" w:rsidRDefault="0048178B" w:rsidP="0048178B">
      <w:r w:rsidRPr="005622E0">
        <w:t xml:space="preserve">Attachment </w:t>
      </w:r>
      <w:r w:rsidR="00413ADF" w:rsidRPr="005622E0">
        <w:t>30</w:t>
      </w:r>
      <w:r w:rsidRPr="005622E0">
        <w:t xml:space="preserve"> – HC Event Enumeration Section</w:t>
      </w:r>
    </w:p>
    <w:p w14:paraId="0A039924" w14:textId="77777777" w:rsidR="0048178B" w:rsidRPr="005622E0" w:rsidRDefault="0048178B" w:rsidP="0048178B">
      <w:r w:rsidRPr="005622E0">
        <w:t>Attachment 3</w:t>
      </w:r>
      <w:r w:rsidR="00413ADF" w:rsidRPr="005622E0">
        <w:t>1</w:t>
      </w:r>
      <w:r w:rsidRPr="005622E0">
        <w:t xml:space="preserve"> – HC Assets Section</w:t>
      </w:r>
    </w:p>
    <w:p w14:paraId="4716BD70" w14:textId="77777777" w:rsidR="0048178B" w:rsidRPr="005622E0" w:rsidRDefault="0048178B" w:rsidP="0048178B">
      <w:r w:rsidRPr="005622E0">
        <w:t>Attachment 3</w:t>
      </w:r>
      <w:r w:rsidR="00413ADF" w:rsidRPr="005622E0">
        <w:t>2</w:t>
      </w:r>
      <w:r w:rsidRPr="005622E0">
        <w:t xml:space="preserve"> – HC Calendar Section</w:t>
      </w:r>
    </w:p>
    <w:p w14:paraId="4E6E56D7" w14:textId="77777777" w:rsidR="0048178B" w:rsidRPr="005622E0" w:rsidRDefault="0048178B" w:rsidP="0048178B">
      <w:r w:rsidRPr="005622E0">
        <w:t>Attachment 3</w:t>
      </w:r>
      <w:r w:rsidR="00413ADF" w:rsidRPr="005622E0">
        <w:t>3</w:t>
      </w:r>
      <w:r w:rsidRPr="005622E0">
        <w:t xml:space="preserve"> – </w:t>
      </w:r>
      <w:r w:rsidR="00DB640F" w:rsidRPr="005622E0">
        <w:t>HC Additional</w:t>
      </w:r>
      <w:r w:rsidRPr="005622E0">
        <w:t xml:space="preserve"> Health</w:t>
      </w:r>
      <w:r w:rsidR="00A55C94" w:rsidRPr="005622E0">
        <w:t>c</w:t>
      </w:r>
      <w:r w:rsidRPr="005622E0">
        <w:t>are Section</w:t>
      </w:r>
    </w:p>
    <w:p w14:paraId="7A06582F" w14:textId="77777777" w:rsidR="0048178B" w:rsidRPr="005622E0" w:rsidRDefault="0048178B" w:rsidP="0048178B">
      <w:r w:rsidRPr="005622E0">
        <w:t>Attachment 3</w:t>
      </w:r>
      <w:r w:rsidR="00413ADF" w:rsidRPr="005622E0">
        <w:t>4</w:t>
      </w:r>
      <w:r w:rsidRPr="005622E0">
        <w:t xml:space="preserve"> – HC Closing Section</w:t>
      </w:r>
    </w:p>
    <w:p w14:paraId="6071FA5C" w14:textId="77777777" w:rsidR="0048178B" w:rsidRPr="005622E0" w:rsidRDefault="0048178B" w:rsidP="0048178B">
      <w:r w:rsidRPr="005622E0">
        <w:t>Attachment 3</w:t>
      </w:r>
      <w:r w:rsidR="00413ADF" w:rsidRPr="005622E0">
        <w:t>5</w:t>
      </w:r>
      <w:r w:rsidRPr="005622E0">
        <w:t xml:space="preserve"> – HC Start/Re-start Section</w:t>
      </w:r>
    </w:p>
    <w:p w14:paraId="0F9E7BDC" w14:textId="77777777" w:rsidR="0048178B" w:rsidRPr="005622E0" w:rsidRDefault="0048178B" w:rsidP="0048178B">
      <w:r w:rsidRPr="005622E0">
        <w:t>Attachment 3</w:t>
      </w:r>
      <w:r w:rsidR="00413ADF" w:rsidRPr="005622E0">
        <w:t>6</w:t>
      </w:r>
      <w:r w:rsidRPr="005622E0">
        <w:t xml:space="preserve"> – HC Charge Payment Section</w:t>
      </w:r>
    </w:p>
    <w:p w14:paraId="4E0251A1" w14:textId="77777777" w:rsidR="0048178B" w:rsidRPr="005622E0" w:rsidRDefault="0048178B" w:rsidP="0048178B">
      <w:r w:rsidRPr="005622E0">
        <w:t>Attachment 3</w:t>
      </w:r>
      <w:r w:rsidR="00413ADF" w:rsidRPr="005622E0">
        <w:t>7</w:t>
      </w:r>
      <w:r w:rsidRPr="005622E0">
        <w:t xml:space="preserve"> – HC Flat Fee Section</w:t>
      </w:r>
    </w:p>
    <w:p w14:paraId="4A027BDB" w14:textId="77777777" w:rsidR="0048178B" w:rsidRPr="005622E0" w:rsidRDefault="0048178B" w:rsidP="0048178B">
      <w:r w:rsidRPr="005622E0">
        <w:t>Attachment 3</w:t>
      </w:r>
      <w:r w:rsidR="00413ADF" w:rsidRPr="005622E0">
        <w:t>8</w:t>
      </w:r>
      <w:r w:rsidRPr="005622E0">
        <w:t xml:space="preserve"> – HC Child Preventive Health Supplement Section</w:t>
      </w:r>
    </w:p>
    <w:p w14:paraId="5C566FC0" w14:textId="77777777" w:rsidR="0048178B" w:rsidRPr="005622E0" w:rsidRDefault="0048178B" w:rsidP="0048178B">
      <w:r w:rsidRPr="005622E0">
        <w:t>Attachment 3</w:t>
      </w:r>
      <w:r w:rsidR="00413ADF" w:rsidRPr="005622E0">
        <w:t>9</w:t>
      </w:r>
      <w:r w:rsidRPr="005622E0">
        <w:t xml:space="preserve"> – </w:t>
      </w:r>
      <w:r w:rsidR="00DB640F" w:rsidRPr="005622E0">
        <w:t>HC Institutional</w:t>
      </w:r>
      <w:r w:rsidRPr="005622E0">
        <w:t xml:space="preserve"> Care Section</w:t>
      </w:r>
    </w:p>
    <w:p w14:paraId="7B0A07DE" w14:textId="77777777" w:rsidR="0048178B" w:rsidRPr="005622E0" w:rsidRDefault="0048178B" w:rsidP="0048178B">
      <w:r w:rsidRPr="005622E0">
        <w:t xml:space="preserve">Attachment </w:t>
      </w:r>
      <w:r w:rsidR="00413ADF" w:rsidRPr="005622E0">
        <w:t>40</w:t>
      </w:r>
      <w:r w:rsidRPr="005622E0">
        <w:t xml:space="preserve"> – HC Dental Care Section</w:t>
      </w:r>
    </w:p>
    <w:p w14:paraId="4ADCB7CC" w14:textId="77777777" w:rsidR="0048178B" w:rsidRPr="005622E0" w:rsidRDefault="0048178B" w:rsidP="0048178B">
      <w:r w:rsidRPr="005622E0">
        <w:t>Attachment 4</w:t>
      </w:r>
      <w:r w:rsidR="00413ADF" w:rsidRPr="005622E0">
        <w:t>1</w:t>
      </w:r>
      <w:r w:rsidRPr="005622E0">
        <w:t xml:space="preserve"> – HC Event Driver Section</w:t>
      </w:r>
    </w:p>
    <w:p w14:paraId="1083F989" w14:textId="77777777" w:rsidR="0048178B" w:rsidRPr="005622E0" w:rsidRDefault="0048178B" w:rsidP="0048178B">
      <w:r w:rsidRPr="005622E0">
        <w:t>Attachment 4</w:t>
      </w:r>
      <w:r w:rsidR="00413ADF" w:rsidRPr="005622E0">
        <w:t>2</w:t>
      </w:r>
      <w:r w:rsidRPr="005622E0">
        <w:t xml:space="preserve"> – HC Employment (EM) Section</w:t>
      </w:r>
    </w:p>
    <w:p w14:paraId="3208A9E1" w14:textId="77777777" w:rsidR="0048178B" w:rsidRPr="005622E0" w:rsidRDefault="0048178B" w:rsidP="0048178B">
      <w:r w:rsidRPr="005622E0">
        <w:t>Attachment 4</w:t>
      </w:r>
      <w:r w:rsidR="00413ADF" w:rsidRPr="005622E0">
        <w:t>3</w:t>
      </w:r>
      <w:r w:rsidRPr="005622E0">
        <w:t xml:space="preserve"> – HC Review of Employment Information (RJ) Section</w:t>
      </w:r>
    </w:p>
    <w:p w14:paraId="1169DD8E" w14:textId="77777777" w:rsidR="0048178B" w:rsidRPr="005622E0" w:rsidRDefault="0048178B" w:rsidP="0048178B">
      <w:r w:rsidRPr="005622E0">
        <w:t>Attachment 4</w:t>
      </w:r>
      <w:r w:rsidR="00413ADF" w:rsidRPr="005622E0">
        <w:t>4</w:t>
      </w:r>
      <w:r w:rsidRPr="005622E0">
        <w:t xml:space="preserve"> – HC Employment Driver (OE) Section</w:t>
      </w:r>
    </w:p>
    <w:p w14:paraId="256548A2" w14:textId="77777777" w:rsidR="0048178B" w:rsidRPr="005622E0" w:rsidRDefault="0048178B" w:rsidP="0048178B">
      <w:r w:rsidRPr="005622E0">
        <w:t>Attachment 4</w:t>
      </w:r>
      <w:r w:rsidR="00413ADF" w:rsidRPr="005622E0">
        <w:t>5</w:t>
      </w:r>
      <w:r w:rsidRPr="005622E0">
        <w:t xml:space="preserve"> – HC Employment Wage (EW) Section</w:t>
      </w:r>
    </w:p>
    <w:p w14:paraId="39A04399" w14:textId="77777777" w:rsidR="0048178B" w:rsidRPr="005622E0" w:rsidRDefault="0048178B" w:rsidP="0048178B">
      <w:r w:rsidRPr="005622E0">
        <w:t>Attachment 4</w:t>
      </w:r>
      <w:r w:rsidR="00413ADF" w:rsidRPr="005622E0">
        <w:t>6</w:t>
      </w:r>
      <w:r w:rsidRPr="005622E0">
        <w:t xml:space="preserve"> – HC Emergency Room Section</w:t>
      </w:r>
    </w:p>
    <w:p w14:paraId="544E08C4" w14:textId="77777777" w:rsidR="0048178B" w:rsidRPr="005622E0" w:rsidRDefault="0048178B" w:rsidP="0048178B">
      <w:r w:rsidRPr="005622E0">
        <w:t>Attachment 4</w:t>
      </w:r>
      <w:r w:rsidR="00413ADF" w:rsidRPr="005622E0">
        <w:t>7</w:t>
      </w:r>
      <w:r w:rsidRPr="005622E0">
        <w:t xml:space="preserve"> – HC Event Roster Section</w:t>
      </w:r>
    </w:p>
    <w:p w14:paraId="50B32C48" w14:textId="77777777" w:rsidR="0048178B" w:rsidRPr="005622E0" w:rsidRDefault="0048178B" w:rsidP="0048178B">
      <w:r w:rsidRPr="005622E0">
        <w:t>Attachment 4</w:t>
      </w:r>
      <w:r w:rsidR="00413ADF" w:rsidRPr="005622E0">
        <w:t>8</w:t>
      </w:r>
      <w:r w:rsidRPr="005622E0">
        <w:t xml:space="preserve"> – HC Health Status Section</w:t>
      </w:r>
    </w:p>
    <w:p w14:paraId="04B6A146" w14:textId="77777777" w:rsidR="0048178B" w:rsidRPr="005622E0" w:rsidRDefault="0048178B" w:rsidP="0048178B">
      <w:r w:rsidRPr="005622E0">
        <w:t>Attachment 4</w:t>
      </w:r>
      <w:r w:rsidR="00413ADF" w:rsidRPr="005622E0">
        <w:t>9</w:t>
      </w:r>
      <w:r w:rsidRPr="005622E0">
        <w:t xml:space="preserve"> – HC Help Text </w:t>
      </w:r>
    </w:p>
    <w:p w14:paraId="6D55A91C" w14:textId="77777777" w:rsidR="0048178B" w:rsidRPr="005622E0" w:rsidRDefault="0048178B" w:rsidP="0048178B">
      <w:r w:rsidRPr="005622E0">
        <w:t xml:space="preserve">Attachment </w:t>
      </w:r>
      <w:r w:rsidR="00413ADF" w:rsidRPr="005622E0">
        <w:t>50</w:t>
      </w:r>
      <w:r w:rsidRPr="005622E0">
        <w:t xml:space="preserve"> – HC Home Health Section</w:t>
      </w:r>
    </w:p>
    <w:p w14:paraId="0A45773C" w14:textId="77777777" w:rsidR="0048178B" w:rsidRPr="005622E0" w:rsidRDefault="0048178B" w:rsidP="0048178B">
      <w:r w:rsidRPr="005622E0">
        <w:t>Attachment 5</w:t>
      </w:r>
      <w:r w:rsidR="00413ADF" w:rsidRPr="005622E0">
        <w:t>1</w:t>
      </w:r>
      <w:r w:rsidRPr="005622E0">
        <w:t xml:space="preserve"> – HC Health Insurance (HX) Section</w:t>
      </w:r>
    </w:p>
    <w:p w14:paraId="25FBE72E" w14:textId="77777777" w:rsidR="0048178B" w:rsidRPr="005622E0" w:rsidRDefault="0048178B" w:rsidP="0048178B">
      <w:r w:rsidRPr="005622E0">
        <w:t>Attachment 5</w:t>
      </w:r>
      <w:r w:rsidR="00413ADF" w:rsidRPr="005622E0">
        <w:t>2</w:t>
      </w:r>
      <w:r w:rsidRPr="005622E0">
        <w:t xml:space="preserve"> – HC Private Health Insurance Detail (HP) Section</w:t>
      </w:r>
    </w:p>
    <w:p w14:paraId="4BE093E5" w14:textId="77777777" w:rsidR="0048178B" w:rsidRPr="005622E0" w:rsidRDefault="0048178B" w:rsidP="0048178B">
      <w:r w:rsidRPr="005622E0">
        <w:t>Attachment 5</w:t>
      </w:r>
      <w:r w:rsidR="00413ADF" w:rsidRPr="005622E0">
        <w:t>3</w:t>
      </w:r>
      <w:r w:rsidRPr="005622E0">
        <w:t xml:space="preserve"> – HC Time Covered Detail (HQ) Section</w:t>
      </w:r>
    </w:p>
    <w:p w14:paraId="01969D46" w14:textId="77777777" w:rsidR="0048178B" w:rsidRPr="005622E0" w:rsidRDefault="0048178B" w:rsidP="0048178B">
      <w:r w:rsidRPr="005622E0">
        <w:t>Attachment 5</w:t>
      </w:r>
      <w:r w:rsidR="00413ADF" w:rsidRPr="005622E0">
        <w:t>4</w:t>
      </w:r>
      <w:r w:rsidRPr="005622E0">
        <w:t xml:space="preserve"> – HC Managed Care (MC) Section</w:t>
      </w:r>
    </w:p>
    <w:p w14:paraId="0A1C3B2F" w14:textId="77777777" w:rsidR="0048178B" w:rsidRPr="005622E0" w:rsidRDefault="0048178B" w:rsidP="0048178B">
      <w:r w:rsidRPr="005622E0">
        <w:t>Attachment 5</w:t>
      </w:r>
      <w:r w:rsidR="00B034C6" w:rsidRPr="005622E0">
        <w:t>5</w:t>
      </w:r>
      <w:r w:rsidRPr="005622E0">
        <w:t xml:space="preserve"> – HC Old Employment Health Insurance (OE) Section</w:t>
      </w:r>
    </w:p>
    <w:p w14:paraId="781728C1" w14:textId="77777777" w:rsidR="0048178B" w:rsidRPr="005622E0" w:rsidRDefault="0048178B" w:rsidP="0048178B">
      <w:r w:rsidRPr="005622E0">
        <w:t>Attachment 5</w:t>
      </w:r>
      <w:r w:rsidR="00B034C6" w:rsidRPr="005622E0">
        <w:t>6</w:t>
      </w:r>
      <w:r w:rsidRPr="005622E0">
        <w:t xml:space="preserve"> – HC Old Public Related Insurance (PR) Section</w:t>
      </w:r>
    </w:p>
    <w:p w14:paraId="2B835FAD" w14:textId="77777777" w:rsidR="0048178B" w:rsidRPr="005622E0" w:rsidRDefault="0048178B" w:rsidP="0048178B">
      <w:r w:rsidRPr="005622E0">
        <w:t>Attachment 5</w:t>
      </w:r>
      <w:r w:rsidR="00B034C6" w:rsidRPr="005622E0">
        <w:t>7</w:t>
      </w:r>
      <w:r w:rsidRPr="005622E0">
        <w:t xml:space="preserve"> – HC Hospital Stay Section</w:t>
      </w:r>
    </w:p>
    <w:p w14:paraId="69FA2CC3" w14:textId="77777777" w:rsidR="0048178B" w:rsidRPr="005622E0" w:rsidRDefault="0048178B" w:rsidP="0048178B">
      <w:r w:rsidRPr="005622E0">
        <w:t>Attachment 5</w:t>
      </w:r>
      <w:r w:rsidR="00B034C6" w:rsidRPr="005622E0">
        <w:t>8</w:t>
      </w:r>
      <w:r w:rsidRPr="005622E0">
        <w:t xml:space="preserve"> – HC Income Section</w:t>
      </w:r>
    </w:p>
    <w:p w14:paraId="3D942888" w14:textId="77777777" w:rsidR="0048178B" w:rsidRPr="005622E0" w:rsidRDefault="0048178B" w:rsidP="0048178B">
      <w:r w:rsidRPr="005622E0">
        <w:t>Attachment 5</w:t>
      </w:r>
      <w:r w:rsidR="00B034C6" w:rsidRPr="005622E0">
        <w:t>9</w:t>
      </w:r>
      <w:r w:rsidRPr="005622E0">
        <w:t xml:space="preserve"> – HC Medical Provider Section</w:t>
      </w:r>
    </w:p>
    <w:p w14:paraId="77E3AE43" w14:textId="77777777" w:rsidR="0048178B" w:rsidRPr="005622E0" w:rsidRDefault="0048178B" w:rsidP="0048178B">
      <w:r w:rsidRPr="005622E0">
        <w:t xml:space="preserve">Attachment </w:t>
      </w:r>
      <w:r w:rsidR="00B034C6" w:rsidRPr="005622E0">
        <w:t>60</w:t>
      </w:r>
      <w:r w:rsidRPr="005622E0">
        <w:t xml:space="preserve"> – HC Other Medical Expense Section</w:t>
      </w:r>
    </w:p>
    <w:p w14:paraId="74A13DC4" w14:textId="77777777" w:rsidR="0048178B" w:rsidRPr="005622E0" w:rsidRDefault="0048178B" w:rsidP="0048178B">
      <w:r w:rsidRPr="005622E0">
        <w:t>Attachment 6</w:t>
      </w:r>
      <w:r w:rsidR="00B034C6" w:rsidRPr="005622E0">
        <w:t>1</w:t>
      </w:r>
      <w:r w:rsidRPr="005622E0">
        <w:t xml:space="preserve"> – HC Outpatient Department Section</w:t>
      </w:r>
    </w:p>
    <w:p w14:paraId="68CB8B1A" w14:textId="77777777" w:rsidR="0048178B" w:rsidRPr="005622E0" w:rsidRDefault="0048178B" w:rsidP="0048178B">
      <w:r w:rsidRPr="005622E0">
        <w:t>Attachment 6</w:t>
      </w:r>
      <w:r w:rsidR="00B034C6" w:rsidRPr="005622E0">
        <w:t>2</w:t>
      </w:r>
      <w:r w:rsidRPr="005622E0">
        <w:t xml:space="preserve"> – HC Quality (Priority Conditions) Supplement Section</w:t>
      </w:r>
    </w:p>
    <w:p w14:paraId="63A44ADF" w14:textId="77777777" w:rsidR="0048178B" w:rsidRPr="005622E0" w:rsidRDefault="0048178B" w:rsidP="0048178B">
      <w:r w:rsidRPr="005622E0">
        <w:t>Attachment 6</w:t>
      </w:r>
      <w:r w:rsidR="00B034C6" w:rsidRPr="005622E0">
        <w:t>3</w:t>
      </w:r>
      <w:r w:rsidRPr="005622E0">
        <w:t xml:space="preserve"> – </w:t>
      </w:r>
      <w:r w:rsidR="00DB640F" w:rsidRPr="005622E0">
        <w:t>HC Respondent</w:t>
      </w:r>
      <w:r w:rsidRPr="005622E0">
        <w:t xml:space="preserve"> Forms Section</w:t>
      </w:r>
    </w:p>
    <w:p w14:paraId="30D93277" w14:textId="77777777" w:rsidR="0048178B" w:rsidRPr="005622E0" w:rsidRDefault="0048178B" w:rsidP="0048178B">
      <w:r w:rsidRPr="005622E0">
        <w:t>Attachment 6</w:t>
      </w:r>
      <w:r w:rsidR="00B034C6" w:rsidRPr="005622E0">
        <w:t>4</w:t>
      </w:r>
      <w:r w:rsidRPr="005622E0">
        <w:t xml:space="preserve"> – HC Priority Conditions Enumeration Section</w:t>
      </w:r>
    </w:p>
    <w:p w14:paraId="1771D6D3" w14:textId="77777777" w:rsidR="0048178B" w:rsidRPr="005622E0" w:rsidRDefault="0048178B" w:rsidP="0048178B">
      <w:r w:rsidRPr="005622E0">
        <w:t>Attachment 6</w:t>
      </w:r>
      <w:r w:rsidR="00B034C6" w:rsidRPr="005622E0">
        <w:t>5</w:t>
      </w:r>
      <w:r w:rsidRPr="005622E0">
        <w:t xml:space="preserve"> – HC Prescribed Medicines Section</w:t>
      </w:r>
    </w:p>
    <w:p w14:paraId="054B1D18" w14:textId="77777777" w:rsidR="0048178B" w:rsidRPr="005622E0" w:rsidRDefault="0048178B" w:rsidP="0048178B">
      <w:r w:rsidRPr="005622E0">
        <w:t>Attachment 6</w:t>
      </w:r>
      <w:r w:rsidR="00B034C6" w:rsidRPr="005622E0">
        <w:t>6</w:t>
      </w:r>
      <w:r w:rsidRPr="005622E0">
        <w:t xml:space="preserve"> – HC Provider Probes Section </w:t>
      </w:r>
    </w:p>
    <w:p w14:paraId="2DA7DD4A" w14:textId="77777777" w:rsidR="0048178B" w:rsidRPr="005622E0" w:rsidRDefault="0048178B" w:rsidP="0048178B">
      <w:r w:rsidRPr="005622E0">
        <w:t>Attachment 6</w:t>
      </w:r>
      <w:r w:rsidR="00B034C6" w:rsidRPr="005622E0">
        <w:t>7</w:t>
      </w:r>
      <w:r w:rsidRPr="005622E0">
        <w:t xml:space="preserve"> – HC Provider Roster Section</w:t>
      </w:r>
    </w:p>
    <w:p w14:paraId="1BE122DF" w14:textId="77777777" w:rsidR="0048178B" w:rsidRPr="005622E0" w:rsidRDefault="0048178B" w:rsidP="0048178B">
      <w:r w:rsidRPr="005622E0">
        <w:t>Attachment 6</w:t>
      </w:r>
      <w:r w:rsidR="00B034C6" w:rsidRPr="005622E0">
        <w:t>8</w:t>
      </w:r>
      <w:r w:rsidRPr="005622E0">
        <w:t xml:space="preserve"> – HC Reenumeration Subsection A</w:t>
      </w:r>
    </w:p>
    <w:p w14:paraId="27038753" w14:textId="77777777" w:rsidR="0048178B" w:rsidRPr="005622E0" w:rsidRDefault="0048178B" w:rsidP="0048178B">
      <w:r w:rsidRPr="005622E0">
        <w:t>Attachment 6</w:t>
      </w:r>
      <w:r w:rsidR="00B034C6" w:rsidRPr="005622E0">
        <w:t>9</w:t>
      </w:r>
      <w:r w:rsidRPr="005622E0">
        <w:t xml:space="preserve"> – HC Reenumeration Subsection B</w:t>
      </w:r>
    </w:p>
    <w:p w14:paraId="4D6B4B7A" w14:textId="77777777" w:rsidR="0048178B" w:rsidRPr="005622E0" w:rsidRDefault="0048178B" w:rsidP="0048178B">
      <w:r w:rsidRPr="005622E0">
        <w:t xml:space="preserve">Attachment </w:t>
      </w:r>
      <w:r w:rsidR="00B034C6" w:rsidRPr="005622E0">
        <w:t>70</w:t>
      </w:r>
      <w:r w:rsidRPr="005622E0">
        <w:t xml:space="preserve"> – HC RU Information Screener</w:t>
      </w:r>
    </w:p>
    <w:p w14:paraId="283B565F" w14:textId="77777777" w:rsidR="0048178B" w:rsidRPr="005622E0" w:rsidRDefault="0048178B" w:rsidP="0048178B">
      <w:r w:rsidRPr="005622E0">
        <w:t>Attachment 7</w:t>
      </w:r>
      <w:r w:rsidR="00B034C6" w:rsidRPr="005622E0">
        <w:t>1</w:t>
      </w:r>
      <w:r w:rsidRPr="005622E0">
        <w:t xml:space="preserve"> – HC Event Follow Up Section</w:t>
      </w:r>
    </w:p>
    <w:p w14:paraId="076D4631" w14:textId="77777777" w:rsidR="00CA24C6" w:rsidRPr="005622E0" w:rsidRDefault="00CA24C6" w:rsidP="002926A2">
      <w:r w:rsidRPr="005622E0">
        <w:t xml:space="preserve">Attachment </w:t>
      </w:r>
      <w:r w:rsidR="00C211EB" w:rsidRPr="005622E0">
        <w:t>7</w:t>
      </w:r>
      <w:r w:rsidR="00B034C6" w:rsidRPr="005622E0">
        <w:t>2</w:t>
      </w:r>
      <w:r w:rsidRPr="005622E0">
        <w:t xml:space="preserve"> – MPC Hospital Contact Guide</w:t>
      </w:r>
    </w:p>
    <w:p w14:paraId="062A8AD0" w14:textId="77777777" w:rsidR="00CA24C6" w:rsidRPr="005622E0" w:rsidRDefault="00CA24C6" w:rsidP="002926A2">
      <w:r w:rsidRPr="005622E0">
        <w:t xml:space="preserve">Attachment </w:t>
      </w:r>
      <w:r w:rsidR="00C211EB" w:rsidRPr="005622E0">
        <w:t>7</w:t>
      </w:r>
      <w:r w:rsidR="00B034C6" w:rsidRPr="005622E0">
        <w:t>3</w:t>
      </w:r>
      <w:r w:rsidRPr="005622E0">
        <w:t xml:space="preserve"> – MPC Office-Based Doctor Contact Guide</w:t>
      </w:r>
    </w:p>
    <w:p w14:paraId="291C0C34" w14:textId="77777777" w:rsidR="00CA24C6" w:rsidRPr="005622E0" w:rsidRDefault="00CA24C6" w:rsidP="002926A2">
      <w:r w:rsidRPr="005622E0">
        <w:t>Attachment 7</w:t>
      </w:r>
      <w:r w:rsidR="00B034C6" w:rsidRPr="005622E0">
        <w:t>4</w:t>
      </w:r>
      <w:r w:rsidRPr="005622E0">
        <w:t xml:space="preserve"> – MPC Home </w:t>
      </w:r>
      <w:r w:rsidR="009B7DEC" w:rsidRPr="005622E0">
        <w:t>Care</w:t>
      </w:r>
      <w:r w:rsidRPr="005622E0">
        <w:t xml:space="preserve"> Contact Guide</w:t>
      </w:r>
    </w:p>
    <w:p w14:paraId="340CFB09" w14:textId="77777777" w:rsidR="00CA24C6" w:rsidRPr="005622E0" w:rsidRDefault="00CA24C6" w:rsidP="002926A2">
      <w:r w:rsidRPr="005622E0">
        <w:t>Attachment 7</w:t>
      </w:r>
      <w:r w:rsidR="00B034C6" w:rsidRPr="005622E0">
        <w:t>5</w:t>
      </w:r>
      <w:r w:rsidRPr="005622E0">
        <w:t xml:space="preserve"> – MPC Institution Contact Guide</w:t>
      </w:r>
    </w:p>
    <w:p w14:paraId="7107616E" w14:textId="7912F036" w:rsidR="00CA24C6" w:rsidRPr="005622E0" w:rsidRDefault="00CA24C6" w:rsidP="002926A2">
      <w:r w:rsidRPr="005622E0">
        <w:t>Attachment 7</w:t>
      </w:r>
      <w:r w:rsidR="00B034C6" w:rsidRPr="005622E0">
        <w:t>6</w:t>
      </w:r>
      <w:r w:rsidRPr="005622E0">
        <w:t xml:space="preserve"> – MPC Pharmacy Contact Guide</w:t>
      </w:r>
      <w:r w:rsidR="004E522A" w:rsidRPr="005622E0">
        <w:t xml:space="preserve">      </w:t>
      </w:r>
    </w:p>
    <w:p w14:paraId="4331BF02" w14:textId="77777777" w:rsidR="00CA24C6" w:rsidRPr="005622E0" w:rsidRDefault="00CA24C6" w:rsidP="002926A2">
      <w:r w:rsidRPr="005622E0">
        <w:t>Attachment 7</w:t>
      </w:r>
      <w:r w:rsidR="00B034C6" w:rsidRPr="005622E0">
        <w:t>7</w:t>
      </w:r>
      <w:r w:rsidRPr="005622E0">
        <w:t xml:space="preserve"> – MPC Separate Billing Doctor Contact Guide</w:t>
      </w:r>
    </w:p>
    <w:p w14:paraId="667987EA" w14:textId="77777777" w:rsidR="009B7DEC" w:rsidRPr="005622E0" w:rsidRDefault="009B7DEC" w:rsidP="002926A2">
      <w:pPr>
        <w:rPr>
          <w:bCs/>
        </w:rPr>
      </w:pPr>
      <w:r w:rsidRPr="005622E0">
        <w:t>Attachment 7</w:t>
      </w:r>
      <w:r w:rsidR="00B034C6" w:rsidRPr="005622E0">
        <w:t>8</w:t>
      </w:r>
      <w:r w:rsidRPr="005622E0">
        <w:t xml:space="preserve"> – MPC </w:t>
      </w:r>
      <w:r w:rsidRPr="005622E0">
        <w:rPr>
          <w:bCs/>
        </w:rPr>
        <w:t>Home Care Provider Questionnaire for Health Care Providers</w:t>
      </w:r>
    </w:p>
    <w:p w14:paraId="5F601431" w14:textId="77777777" w:rsidR="00F71FD0" w:rsidRPr="005622E0" w:rsidRDefault="00F71FD0" w:rsidP="00F71FD0">
      <w:pPr>
        <w:ind w:left="1890" w:hanging="1890"/>
        <w:rPr>
          <w:bCs/>
        </w:rPr>
      </w:pPr>
      <w:r w:rsidRPr="005622E0">
        <w:rPr>
          <w:bCs/>
        </w:rPr>
        <w:t>Attachment 7</w:t>
      </w:r>
      <w:r w:rsidR="00B034C6" w:rsidRPr="005622E0">
        <w:rPr>
          <w:bCs/>
        </w:rPr>
        <w:t>9</w:t>
      </w:r>
      <w:r w:rsidRPr="005622E0">
        <w:rPr>
          <w:bCs/>
        </w:rPr>
        <w:t xml:space="preserve"> – MPC Home Care Provider Authorization Form Package, Phone Data Collection Anticipated</w:t>
      </w:r>
    </w:p>
    <w:p w14:paraId="03F38322" w14:textId="77777777" w:rsidR="00F71FD0" w:rsidRPr="005622E0" w:rsidRDefault="00F71FD0" w:rsidP="00F71FD0">
      <w:pPr>
        <w:ind w:left="1890" w:hanging="1890"/>
        <w:rPr>
          <w:bCs/>
        </w:rPr>
      </w:pPr>
      <w:r w:rsidRPr="005622E0">
        <w:rPr>
          <w:bCs/>
        </w:rPr>
        <w:t xml:space="preserve">Attachment </w:t>
      </w:r>
      <w:r w:rsidR="00B034C6" w:rsidRPr="005622E0">
        <w:rPr>
          <w:bCs/>
        </w:rPr>
        <w:t>80</w:t>
      </w:r>
      <w:r w:rsidRPr="005622E0">
        <w:rPr>
          <w:bCs/>
        </w:rPr>
        <w:t xml:space="preserve"> – MPC Home Care Provider Authorization Form Package, Records to be </w:t>
      </w:r>
      <w:r w:rsidR="00DB640F" w:rsidRPr="005622E0">
        <w:rPr>
          <w:bCs/>
        </w:rPr>
        <w:t>provided</w:t>
      </w:r>
      <w:r w:rsidRPr="005622E0">
        <w:rPr>
          <w:bCs/>
        </w:rPr>
        <w:t xml:space="preserve"> via Fax Anticipated</w:t>
      </w:r>
    </w:p>
    <w:p w14:paraId="2FFA4EF9" w14:textId="77777777" w:rsidR="00C14BFA" w:rsidRPr="005622E0" w:rsidRDefault="00C14BFA" w:rsidP="00F71FD0">
      <w:pPr>
        <w:ind w:left="1890" w:hanging="1890"/>
        <w:rPr>
          <w:bCs/>
        </w:rPr>
      </w:pPr>
      <w:r w:rsidRPr="005622E0">
        <w:rPr>
          <w:bCs/>
        </w:rPr>
        <w:t xml:space="preserve">Attachment </w:t>
      </w:r>
      <w:r w:rsidR="00C211EB" w:rsidRPr="005622E0">
        <w:rPr>
          <w:bCs/>
        </w:rPr>
        <w:t>8</w:t>
      </w:r>
      <w:r w:rsidR="00B034C6" w:rsidRPr="005622E0">
        <w:rPr>
          <w:bCs/>
        </w:rPr>
        <w:t>1</w:t>
      </w:r>
      <w:r w:rsidRPr="005622E0">
        <w:rPr>
          <w:bCs/>
        </w:rPr>
        <w:t xml:space="preserve"> – MPC Home Care Provider Overflow Patient List</w:t>
      </w:r>
    </w:p>
    <w:p w14:paraId="30B472F6" w14:textId="77777777" w:rsidR="00C14BFA" w:rsidRPr="005622E0" w:rsidRDefault="00C14BFA" w:rsidP="00F71FD0">
      <w:pPr>
        <w:ind w:left="1890" w:hanging="1890"/>
        <w:rPr>
          <w:bCs/>
        </w:rPr>
      </w:pPr>
      <w:r w:rsidRPr="005622E0">
        <w:rPr>
          <w:bCs/>
        </w:rPr>
        <w:t xml:space="preserve">Attachment </w:t>
      </w:r>
      <w:r w:rsidR="00C211EB" w:rsidRPr="005622E0">
        <w:rPr>
          <w:bCs/>
        </w:rPr>
        <w:t>8</w:t>
      </w:r>
      <w:r w:rsidR="00B034C6" w:rsidRPr="005622E0">
        <w:rPr>
          <w:bCs/>
        </w:rPr>
        <w:t>2</w:t>
      </w:r>
      <w:r w:rsidRPr="005622E0">
        <w:rPr>
          <w:bCs/>
        </w:rPr>
        <w:t xml:space="preserve"> – </w:t>
      </w:r>
      <w:r w:rsidRPr="005622E0">
        <w:t xml:space="preserve">MPC </w:t>
      </w:r>
      <w:r w:rsidRPr="005622E0">
        <w:rPr>
          <w:bCs/>
        </w:rPr>
        <w:t>Home Care Provider Questionnaire for Non-Health Care Providers</w:t>
      </w:r>
    </w:p>
    <w:p w14:paraId="15AB0C4E" w14:textId="77777777" w:rsidR="000B7F0F" w:rsidRPr="005622E0" w:rsidRDefault="000B7F0F" w:rsidP="00F71FD0">
      <w:pPr>
        <w:ind w:left="1890" w:hanging="1890"/>
        <w:rPr>
          <w:bCs/>
        </w:rPr>
      </w:pPr>
      <w:r w:rsidRPr="005622E0">
        <w:rPr>
          <w:bCs/>
        </w:rPr>
        <w:t xml:space="preserve">Attachment </w:t>
      </w:r>
      <w:r w:rsidR="00C211EB" w:rsidRPr="005622E0">
        <w:rPr>
          <w:bCs/>
        </w:rPr>
        <w:t>8</w:t>
      </w:r>
      <w:r w:rsidR="00B034C6" w:rsidRPr="005622E0">
        <w:rPr>
          <w:bCs/>
        </w:rPr>
        <w:t>3</w:t>
      </w:r>
      <w:r w:rsidRPr="005622E0">
        <w:rPr>
          <w:bCs/>
        </w:rPr>
        <w:t xml:space="preserve"> – MPC Office-Based Doctor Provider Questionnaire</w:t>
      </w:r>
    </w:p>
    <w:p w14:paraId="5E03C402" w14:textId="77777777" w:rsidR="000B7F0F" w:rsidRPr="005622E0" w:rsidRDefault="000B7F0F" w:rsidP="00F71FD0">
      <w:pPr>
        <w:ind w:left="1890" w:hanging="1890"/>
        <w:rPr>
          <w:bCs/>
        </w:rPr>
      </w:pPr>
      <w:r w:rsidRPr="005622E0">
        <w:rPr>
          <w:bCs/>
        </w:rPr>
        <w:t>Attachment 8</w:t>
      </w:r>
      <w:r w:rsidR="00B034C6" w:rsidRPr="005622E0">
        <w:rPr>
          <w:bCs/>
        </w:rPr>
        <w:t>4</w:t>
      </w:r>
      <w:r w:rsidRPr="005622E0">
        <w:rPr>
          <w:bCs/>
        </w:rPr>
        <w:t xml:space="preserve"> – MPC Office-Based Doctor Provider Authorization Form Package, Records to be </w:t>
      </w:r>
      <w:r w:rsidR="00DB640F" w:rsidRPr="005622E0">
        <w:rPr>
          <w:bCs/>
        </w:rPr>
        <w:t>provided</w:t>
      </w:r>
      <w:r w:rsidRPr="005622E0">
        <w:rPr>
          <w:bCs/>
        </w:rPr>
        <w:t xml:space="preserve"> via Fax Anticipated</w:t>
      </w:r>
    </w:p>
    <w:p w14:paraId="518358FE" w14:textId="77777777" w:rsidR="0096555A" w:rsidRPr="005622E0" w:rsidRDefault="000B7F0F" w:rsidP="0096555A">
      <w:pPr>
        <w:ind w:left="1890" w:hanging="1890"/>
        <w:rPr>
          <w:bCs/>
        </w:rPr>
      </w:pPr>
      <w:r w:rsidRPr="005622E0">
        <w:rPr>
          <w:bCs/>
        </w:rPr>
        <w:t>Attachment 8</w:t>
      </w:r>
      <w:r w:rsidR="00B034C6" w:rsidRPr="005622E0">
        <w:rPr>
          <w:bCs/>
        </w:rPr>
        <w:t>5</w:t>
      </w:r>
      <w:r w:rsidRPr="005622E0">
        <w:rPr>
          <w:bCs/>
        </w:rPr>
        <w:t xml:space="preserve"> – MPC Office-Based Doctor Provider Authorization Form Package, </w:t>
      </w:r>
      <w:r w:rsidR="0096555A" w:rsidRPr="005622E0">
        <w:rPr>
          <w:bCs/>
        </w:rPr>
        <w:t>Phone Data Collection Anticipated</w:t>
      </w:r>
    </w:p>
    <w:p w14:paraId="36F9E110" w14:textId="77777777" w:rsidR="0096555A" w:rsidRPr="005622E0" w:rsidRDefault="0096555A" w:rsidP="0096555A">
      <w:pPr>
        <w:ind w:left="1890" w:hanging="1890"/>
        <w:rPr>
          <w:bCs/>
        </w:rPr>
      </w:pPr>
      <w:r w:rsidRPr="005622E0">
        <w:rPr>
          <w:bCs/>
        </w:rPr>
        <w:t>Attachment 8</w:t>
      </w:r>
      <w:r w:rsidR="00B034C6" w:rsidRPr="005622E0">
        <w:rPr>
          <w:bCs/>
        </w:rPr>
        <w:t>6</w:t>
      </w:r>
      <w:r w:rsidRPr="005622E0">
        <w:rPr>
          <w:bCs/>
        </w:rPr>
        <w:t xml:space="preserve"> – MPC Office-Based Doctor Provider Overflow Patient List</w:t>
      </w:r>
    </w:p>
    <w:p w14:paraId="2B3C0605" w14:textId="77777777" w:rsidR="000F4688" w:rsidRPr="005622E0" w:rsidRDefault="000F4688" w:rsidP="000F4688">
      <w:pPr>
        <w:ind w:left="1890" w:hanging="1890"/>
        <w:rPr>
          <w:bCs/>
        </w:rPr>
      </w:pPr>
      <w:r w:rsidRPr="005622E0">
        <w:rPr>
          <w:bCs/>
        </w:rPr>
        <w:t>Attachment 8</w:t>
      </w:r>
      <w:r w:rsidR="00B034C6" w:rsidRPr="005622E0">
        <w:rPr>
          <w:bCs/>
        </w:rPr>
        <w:t>7</w:t>
      </w:r>
      <w:r w:rsidRPr="005622E0">
        <w:rPr>
          <w:bCs/>
        </w:rPr>
        <w:t xml:space="preserve"> – MPC Separately Billing Doctor Provider Questionnaire</w:t>
      </w:r>
    </w:p>
    <w:p w14:paraId="38BFB42D" w14:textId="77777777" w:rsidR="000F4688" w:rsidRPr="005622E0" w:rsidRDefault="000F4688" w:rsidP="000F4688">
      <w:pPr>
        <w:ind w:left="1890" w:hanging="1890"/>
        <w:rPr>
          <w:bCs/>
        </w:rPr>
      </w:pPr>
      <w:r w:rsidRPr="005622E0">
        <w:rPr>
          <w:bCs/>
        </w:rPr>
        <w:t>Attachment 8</w:t>
      </w:r>
      <w:r w:rsidR="00B034C6" w:rsidRPr="005622E0">
        <w:rPr>
          <w:bCs/>
        </w:rPr>
        <w:t>8</w:t>
      </w:r>
      <w:r w:rsidRPr="005622E0">
        <w:rPr>
          <w:bCs/>
        </w:rPr>
        <w:t xml:space="preserve"> – MPC Separately Billing Doctor Provider Authorization Form Package, Records to be </w:t>
      </w:r>
      <w:r w:rsidR="00DB640F" w:rsidRPr="005622E0">
        <w:rPr>
          <w:bCs/>
        </w:rPr>
        <w:t>provided</w:t>
      </w:r>
      <w:r w:rsidRPr="005622E0">
        <w:rPr>
          <w:bCs/>
        </w:rPr>
        <w:t xml:space="preserve"> via Fax Anticipated</w:t>
      </w:r>
    </w:p>
    <w:p w14:paraId="2D6FEB54" w14:textId="77777777" w:rsidR="000F4688" w:rsidRPr="005622E0" w:rsidRDefault="000F4688" w:rsidP="000F4688">
      <w:pPr>
        <w:ind w:left="1890" w:hanging="1890"/>
        <w:rPr>
          <w:bCs/>
        </w:rPr>
      </w:pPr>
      <w:r w:rsidRPr="005622E0">
        <w:rPr>
          <w:bCs/>
        </w:rPr>
        <w:t>Attachment 8</w:t>
      </w:r>
      <w:r w:rsidR="00B034C6" w:rsidRPr="005622E0">
        <w:rPr>
          <w:bCs/>
        </w:rPr>
        <w:t>9</w:t>
      </w:r>
      <w:r w:rsidRPr="005622E0">
        <w:rPr>
          <w:bCs/>
        </w:rPr>
        <w:t xml:space="preserve"> – MPC Separately Billing Doctor Provider Authorization Form Package, Phone Data Collection Anticipated</w:t>
      </w:r>
    </w:p>
    <w:p w14:paraId="39A3CC35" w14:textId="77777777" w:rsidR="000F4688" w:rsidRPr="005622E0" w:rsidRDefault="000F4688" w:rsidP="000F4688">
      <w:pPr>
        <w:ind w:left="1890" w:hanging="1890"/>
        <w:rPr>
          <w:bCs/>
        </w:rPr>
      </w:pPr>
      <w:r w:rsidRPr="005622E0">
        <w:rPr>
          <w:bCs/>
        </w:rPr>
        <w:t xml:space="preserve">Attachment </w:t>
      </w:r>
      <w:r w:rsidR="00B034C6" w:rsidRPr="005622E0">
        <w:rPr>
          <w:bCs/>
        </w:rPr>
        <w:t>90</w:t>
      </w:r>
      <w:r w:rsidRPr="005622E0">
        <w:rPr>
          <w:bCs/>
        </w:rPr>
        <w:t xml:space="preserve"> – MPC Separately Billing Doctor Provider Overflow Patient List</w:t>
      </w:r>
    </w:p>
    <w:p w14:paraId="5BDDED29" w14:textId="77777777" w:rsidR="000F4688" w:rsidRPr="005622E0" w:rsidRDefault="000F4688" w:rsidP="0096555A">
      <w:pPr>
        <w:ind w:left="1890" w:hanging="1890"/>
        <w:rPr>
          <w:bCs/>
        </w:rPr>
      </w:pPr>
      <w:r w:rsidRPr="005622E0">
        <w:rPr>
          <w:bCs/>
        </w:rPr>
        <w:t xml:space="preserve">Attachment </w:t>
      </w:r>
      <w:r w:rsidR="00C211EB" w:rsidRPr="005622E0">
        <w:rPr>
          <w:bCs/>
        </w:rPr>
        <w:t>9</w:t>
      </w:r>
      <w:r w:rsidR="00B034C6" w:rsidRPr="005622E0">
        <w:rPr>
          <w:bCs/>
        </w:rPr>
        <w:t>1</w:t>
      </w:r>
      <w:r w:rsidR="00C211EB" w:rsidRPr="005622E0">
        <w:rPr>
          <w:bCs/>
        </w:rPr>
        <w:t xml:space="preserve"> </w:t>
      </w:r>
      <w:r w:rsidRPr="005622E0">
        <w:rPr>
          <w:bCs/>
        </w:rPr>
        <w:t>– MPC Hospital Provider Questionnaire</w:t>
      </w:r>
    </w:p>
    <w:p w14:paraId="6BE02AEA" w14:textId="77777777" w:rsidR="000F4688" w:rsidRPr="005622E0" w:rsidRDefault="000F4688" w:rsidP="0096555A">
      <w:pPr>
        <w:ind w:left="1890" w:hanging="1890"/>
        <w:rPr>
          <w:bCs/>
        </w:rPr>
      </w:pPr>
      <w:r w:rsidRPr="005622E0">
        <w:rPr>
          <w:bCs/>
        </w:rPr>
        <w:t xml:space="preserve">Attachment </w:t>
      </w:r>
      <w:r w:rsidR="00C211EB" w:rsidRPr="005622E0">
        <w:rPr>
          <w:bCs/>
        </w:rPr>
        <w:t>9</w:t>
      </w:r>
      <w:r w:rsidR="00B034C6" w:rsidRPr="005622E0">
        <w:rPr>
          <w:bCs/>
        </w:rPr>
        <w:t>2</w:t>
      </w:r>
      <w:r w:rsidR="00C211EB" w:rsidRPr="005622E0">
        <w:rPr>
          <w:bCs/>
        </w:rPr>
        <w:t xml:space="preserve"> </w:t>
      </w:r>
      <w:r w:rsidRPr="005622E0">
        <w:rPr>
          <w:bCs/>
        </w:rPr>
        <w:t>– MPC Hospital Provider Authorization Form Package, One Point of Contact for Medical and Patient Account Records</w:t>
      </w:r>
    </w:p>
    <w:p w14:paraId="11DB37DD" w14:textId="77777777" w:rsidR="000F4688" w:rsidRPr="005622E0" w:rsidRDefault="000F4688" w:rsidP="000F4688">
      <w:pPr>
        <w:ind w:left="1890" w:hanging="1890"/>
        <w:rPr>
          <w:bCs/>
        </w:rPr>
      </w:pPr>
      <w:r w:rsidRPr="005622E0">
        <w:rPr>
          <w:bCs/>
        </w:rPr>
        <w:t xml:space="preserve">Attachment </w:t>
      </w:r>
      <w:r w:rsidR="00C211EB" w:rsidRPr="005622E0">
        <w:rPr>
          <w:bCs/>
        </w:rPr>
        <w:t>9</w:t>
      </w:r>
      <w:r w:rsidR="00B034C6" w:rsidRPr="005622E0">
        <w:rPr>
          <w:bCs/>
        </w:rPr>
        <w:t>3</w:t>
      </w:r>
      <w:r w:rsidR="00C211EB" w:rsidRPr="005622E0">
        <w:rPr>
          <w:bCs/>
        </w:rPr>
        <w:t xml:space="preserve"> </w:t>
      </w:r>
      <w:r w:rsidRPr="005622E0">
        <w:rPr>
          <w:bCs/>
        </w:rPr>
        <w:t>– MPC Hospital Provider Authorization Form Package, Point of Contact for Medical Records</w:t>
      </w:r>
    </w:p>
    <w:p w14:paraId="21FADFA5" w14:textId="77777777" w:rsidR="000F4688" w:rsidRPr="005622E0" w:rsidRDefault="000F4688" w:rsidP="000F4688">
      <w:pPr>
        <w:ind w:left="1890" w:hanging="1890"/>
        <w:rPr>
          <w:bCs/>
        </w:rPr>
      </w:pPr>
      <w:r w:rsidRPr="005622E0">
        <w:rPr>
          <w:bCs/>
        </w:rPr>
        <w:t>Attachment 9</w:t>
      </w:r>
      <w:r w:rsidR="00B034C6" w:rsidRPr="005622E0">
        <w:rPr>
          <w:bCs/>
        </w:rPr>
        <w:t>4</w:t>
      </w:r>
      <w:r w:rsidRPr="005622E0">
        <w:rPr>
          <w:bCs/>
        </w:rPr>
        <w:t xml:space="preserve"> – MPC Hospital Provider Authorization Form Package, Point of Contact for Patient Account Records</w:t>
      </w:r>
    </w:p>
    <w:p w14:paraId="306285EC" w14:textId="77777777" w:rsidR="000F4688" w:rsidRPr="005622E0" w:rsidRDefault="000F4688" w:rsidP="000F4688">
      <w:pPr>
        <w:ind w:left="1890" w:hanging="1890"/>
        <w:rPr>
          <w:bCs/>
        </w:rPr>
      </w:pPr>
      <w:r w:rsidRPr="005622E0">
        <w:rPr>
          <w:bCs/>
        </w:rPr>
        <w:t>Attachment 9</w:t>
      </w:r>
      <w:r w:rsidR="00B034C6" w:rsidRPr="005622E0">
        <w:rPr>
          <w:bCs/>
        </w:rPr>
        <w:t>5</w:t>
      </w:r>
      <w:r w:rsidRPr="005622E0">
        <w:rPr>
          <w:bCs/>
        </w:rPr>
        <w:t xml:space="preserve"> – MPC Hospital Provider Overflow Patient List</w:t>
      </w:r>
    </w:p>
    <w:p w14:paraId="4EB8856D" w14:textId="77777777" w:rsidR="000B7F0F" w:rsidRPr="005622E0" w:rsidRDefault="00EF2576" w:rsidP="00F71FD0">
      <w:pPr>
        <w:ind w:left="1890" w:hanging="1890"/>
        <w:rPr>
          <w:bCs/>
        </w:rPr>
      </w:pPr>
      <w:r w:rsidRPr="005622E0">
        <w:rPr>
          <w:bCs/>
        </w:rPr>
        <w:t>Attachment 9</w:t>
      </w:r>
      <w:r w:rsidR="00B034C6" w:rsidRPr="005622E0">
        <w:rPr>
          <w:bCs/>
        </w:rPr>
        <w:t>6</w:t>
      </w:r>
      <w:r w:rsidRPr="005622E0">
        <w:rPr>
          <w:bCs/>
        </w:rPr>
        <w:t xml:space="preserve"> – MPC Institution Provider Questionnaire</w:t>
      </w:r>
    </w:p>
    <w:p w14:paraId="17E38682" w14:textId="77777777" w:rsidR="003661B7" w:rsidRPr="005622E0" w:rsidRDefault="003661B7" w:rsidP="00F71FD0">
      <w:pPr>
        <w:ind w:left="1890" w:hanging="1890"/>
        <w:rPr>
          <w:bCs/>
        </w:rPr>
      </w:pPr>
      <w:r w:rsidRPr="005622E0">
        <w:rPr>
          <w:bCs/>
        </w:rPr>
        <w:t>Attachment 9</w:t>
      </w:r>
      <w:r w:rsidR="00B034C6" w:rsidRPr="005622E0">
        <w:rPr>
          <w:bCs/>
        </w:rPr>
        <w:t>7</w:t>
      </w:r>
      <w:r w:rsidRPr="005622E0">
        <w:rPr>
          <w:bCs/>
        </w:rPr>
        <w:t xml:space="preserve"> –</w:t>
      </w:r>
      <w:r w:rsidR="008B12ED" w:rsidRPr="005622E0">
        <w:rPr>
          <w:bCs/>
        </w:rPr>
        <w:t xml:space="preserve"> MPC Letters, Email Templates, and Other Documents </w:t>
      </w:r>
    </w:p>
    <w:p w14:paraId="0EABEFE3" w14:textId="77777777" w:rsidR="003661B7" w:rsidRPr="005622E0" w:rsidRDefault="003661B7" w:rsidP="00F71FD0">
      <w:pPr>
        <w:ind w:left="1890" w:hanging="1890"/>
        <w:rPr>
          <w:bCs/>
        </w:rPr>
      </w:pPr>
      <w:r w:rsidRPr="005622E0">
        <w:rPr>
          <w:bCs/>
        </w:rPr>
        <w:t>Attachment 9</w:t>
      </w:r>
      <w:r w:rsidR="00B034C6" w:rsidRPr="005622E0">
        <w:rPr>
          <w:bCs/>
        </w:rPr>
        <w:t>8</w:t>
      </w:r>
      <w:r w:rsidRPr="005622E0">
        <w:rPr>
          <w:bCs/>
        </w:rPr>
        <w:t xml:space="preserve"> –</w:t>
      </w:r>
      <w:r w:rsidR="008B12ED" w:rsidRPr="005622E0">
        <w:rPr>
          <w:bCs/>
        </w:rPr>
        <w:t xml:space="preserve"> MPC Pharmacy Provider Questionnaire </w:t>
      </w:r>
    </w:p>
    <w:p w14:paraId="751E95F4" w14:textId="77777777" w:rsidR="003661B7" w:rsidRPr="005622E0" w:rsidRDefault="003661B7" w:rsidP="00F71FD0">
      <w:pPr>
        <w:ind w:left="1890" w:hanging="1890"/>
        <w:rPr>
          <w:bCs/>
        </w:rPr>
      </w:pPr>
      <w:r w:rsidRPr="005622E0">
        <w:rPr>
          <w:bCs/>
        </w:rPr>
        <w:t>Attachment 9</w:t>
      </w:r>
      <w:r w:rsidR="00B034C6" w:rsidRPr="005622E0">
        <w:rPr>
          <w:bCs/>
        </w:rPr>
        <w:t>9</w:t>
      </w:r>
      <w:r w:rsidRPr="005622E0">
        <w:rPr>
          <w:bCs/>
        </w:rPr>
        <w:t xml:space="preserve"> –</w:t>
      </w:r>
      <w:r w:rsidR="008B12ED" w:rsidRPr="005622E0">
        <w:rPr>
          <w:bCs/>
        </w:rPr>
        <w:t xml:space="preserve"> MPC Pharmacy Provider Authorization Form Package, Records to be </w:t>
      </w:r>
      <w:r w:rsidR="00DB640F" w:rsidRPr="005622E0">
        <w:rPr>
          <w:bCs/>
        </w:rPr>
        <w:t>provided</w:t>
      </w:r>
      <w:r w:rsidR="008B12ED" w:rsidRPr="005622E0">
        <w:rPr>
          <w:bCs/>
        </w:rPr>
        <w:t xml:space="preserve"> via Fax Anticipated</w:t>
      </w:r>
    </w:p>
    <w:p w14:paraId="316B9E37" w14:textId="77777777" w:rsidR="008B12ED" w:rsidRPr="005622E0" w:rsidRDefault="003661B7" w:rsidP="008B12ED">
      <w:pPr>
        <w:ind w:left="1890" w:hanging="1890"/>
        <w:rPr>
          <w:bCs/>
        </w:rPr>
      </w:pPr>
      <w:r w:rsidRPr="005622E0">
        <w:rPr>
          <w:bCs/>
        </w:rPr>
        <w:t xml:space="preserve">Attachment </w:t>
      </w:r>
      <w:r w:rsidR="00B034C6" w:rsidRPr="005622E0">
        <w:rPr>
          <w:bCs/>
        </w:rPr>
        <w:t>100</w:t>
      </w:r>
      <w:r w:rsidRPr="005622E0">
        <w:rPr>
          <w:bCs/>
        </w:rPr>
        <w:t xml:space="preserve"> – </w:t>
      </w:r>
      <w:r w:rsidR="008B12ED" w:rsidRPr="005622E0">
        <w:rPr>
          <w:bCs/>
        </w:rPr>
        <w:t>MPC Pharmacy Provider Authorization Form Package, Phone Data Collection Anticipated</w:t>
      </w:r>
    </w:p>
    <w:p w14:paraId="08A15F1A" w14:textId="77777777" w:rsidR="003661B7" w:rsidRPr="005622E0" w:rsidRDefault="003661B7" w:rsidP="00F71FD0">
      <w:pPr>
        <w:ind w:left="1890" w:hanging="1890"/>
        <w:rPr>
          <w:bCs/>
        </w:rPr>
      </w:pPr>
      <w:r w:rsidRPr="005622E0">
        <w:rPr>
          <w:bCs/>
        </w:rPr>
        <w:t xml:space="preserve">Attachment </w:t>
      </w:r>
      <w:r w:rsidR="00C211EB" w:rsidRPr="005622E0">
        <w:rPr>
          <w:bCs/>
        </w:rPr>
        <w:t>10</w:t>
      </w:r>
      <w:r w:rsidR="00B034C6" w:rsidRPr="005622E0">
        <w:rPr>
          <w:bCs/>
        </w:rPr>
        <w:t>1</w:t>
      </w:r>
      <w:r w:rsidRPr="005622E0">
        <w:rPr>
          <w:bCs/>
        </w:rPr>
        <w:t xml:space="preserve"> – </w:t>
      </w:r>
      <w:r w:rsidR="008B12ED" w:rsidRPr="005622E0">
        <w:rPr>
          <w:bCs/>
        </w:rPr>
        <w:t>MPC Pharmacy Provider Overflow Patient List</w:t>
      </w:r>
    </w:p>
    <w:p w14:paraId="31CA27FC" w14:textId="77777777" w:rsidR="003661B7" w:rsidRPr="005622E0" w:rsidRDefault="003661B7" w:rsidP="00F71FD0">
      <w:pPr>
        <w:ind w:left="1890" w:hanging="1890"/>
        <w:rPr>
          <w:bCs/>
        </w:rPr>
      </w:pPr>
      <w:r w:rsidRPr="005622E0">
        <w:rPr>
          <w:bCs/>
        </w:rPr>
        <w:t xml:space="preserve">Attachment </w:t>
      </w:r>
      <w:r w:rsidR="00C211EB" w:rsidRPr="005622E0">
        <w:rPr>
          <w:bCs/>
        </w:rPr>
        <w:t>10</w:t>
      </w:r>
      <w:r w:rsidR="00B034C6" w:rsidRPr="005622E0">
        <w:rPr>
          <w:bCs/>
        </w:rPr>
        <w:t>2</w:t>
      </w:r>
      <w:r w:rsidRPr="005622E0">
        <w:rPr>
          <w:bCs/>
        </w:rPr>
        <w:t xml:space="preserve"> –</w:t>
      </w:r>
      <w:r w:rsidR="008B12ED" w:rsidRPr="005622E0">
        <w:rPr>
          <w:bCs/>
        </w:rPr>
        <w:t xml:space="preserve"> MPC Durable Medical Equipment Provider Authorization Form Package</w:t>
      </w:r>
    </w:p>
    <w:p w14:paraId="336CC996" w14:textId="77777777" w:rsidR="003661B7" w:rsidRPr="005622E0" w:rsidRDefault="003661B7" w:rsidP="00F71FD0">
      <w:pPr>
        <w:ind w:left="1890" w:hanging="1890"/>
        <w:rPr>
          <w:bCs/>
        </w:rPr>
      </w:pPr>
      <w:r w:rsidRPr="005622E0">
        <w:rPr>
          <w:bCs/>
        </w:rPr>
        <w:t xml:space="preserve">Attachment </w:t>
      </w:r>
      <w:r w:rsidR="00C211EB" w:rsidRPr="005622E0">
        <w:rPr>
          <w:bCs/>
        </w:rPr>
        <w:t>10</w:t>
      </w:r>
      <w:r w:rsidR="00B034C6" w:rsidRPr="005622E0">
        <w:rPr>
          <w:bCs/>
        </w:rPr>
        <w:t>3</w:t>
      </w:r>
      <w:r w:rsidRPr="005622E0">
        <w:rPr>
          <w:bCs/>
        </w:rPr>
        <w:t xml:space="preserve"> –</w:t>
      </w:r>
      <w:r w:rsidR="008B12ED" w:rsidRPr="005622E0">
        <w:rPr>
          <w:bCs/>
        </w:rPr>
        <w:t xml:space="preserve"> MPC Pharmacy Provider Letters, Email Templates, and Other Documents </w:t>
      </w:r>
    </w:p>
    <w:p w14:paraId="6F7E4D91" w14:textId="77777777" w:rsidR="008D7BB3" w:rsidRPr="005622E0" w:rsidRDefault="008D7BB3" w:rsidP="00F71FD0">
      <w:pPr>
        <w:ind w:left="1890" w:hanging="1890"/>
        <w:rPr>
          <w:bCs/>
        </w:rPr>
      </w:pPr>
      <w:r w:rsidRPr="005622E0">
        <w:rPr>
          <w:bCs/>
        </w:rPr>
        <w:t>Attachment 10</w:t>
      </w:r>
      <w:r w:rsidR="00B034C6" w:rsidRPr="005622E0">
        <w:rPr>
          <w:bCs/>
        </w:rPr>
        <w:t>4</w:t>
      </w:r>
      <w:r w:rsidRPr="005622E0">
        <w:rPr>
          <w:bCs/>
        </w:rPr>
        <w:t xml:space="preserve"> – MPC Veterans Affairs Authorization Form Package</w:t>
      </w:r>
    </w:p>
    <w:p w14:paraId="5B7297DB" w14:textId="65096AFA" w:rsidR="00037E43" w:rsidRPr="005622E0" w:rsidRDefault="00037E43" w:rsidP="00F71FD0">
      <w:pPr>
        <w:ind w:left="1890" w:hanging="1890"/>
        <w:rPr>
          <w:bCs/>
        </w:rPr>
      </w:pPr>
      <w:r w:rsidRPr="005622E0">
        <w:rPr>
          <w:bCs/>
        </w:rPr>
        <w:t xml:space="preserve">Attachment </w:t>
      </w:r>
      <w:r w:rsidR="00D766A9" w:rsidRPr="005622E0">
        <w:rPr>
          <w:bCs/>
        </w:rPr>
        <w:t>1</w:t>
      </w:r>
      <w:r w:rsidR="00B034C6" w:rsidRPr="005622E0">
        <w:rPr>
          <w:bCs/>
        </w:rPr>
        <w:t xml:space="preserve">05 </w:t>
      </w:r>
      <w:r w:rsidRPr="005622E0">
        <w:rPr>
          <w:bCs/>
        </w:rPr>
        <w:t>– 60 Day Federal Register Notice</w:t>
      </w:r>
    </w:p>
    <w:p w14:paraId="3559D535" w14:textId="042372EA" w:rsidR="007B7F60" w:rsidRPr="005622E0" w:rsidRDefault="007B7F60" w:rsidP="00F71FD0">
      <w:pPr>
        <w:ind w:left="1890" w:hanging="1890"/>
      </w:pPr>
      <w:r w:rsidRPr="005622E0">
        <w:t>Attachment 106</w:t>
      </w:r>
      <w:r w:rsidR="005469C1" w:rsidRPr="005622E0">
        <w:t>a and 106b</w:t>
      </w:r>
      <w:r w:rsidRPr="005622E0">
        <w:t xml:space="preserve"> </w:t>
      </w:r>
      <w:r w:rsidR="00AE18F3" w:rsidRPr="005622E0">
        <w:t>–</w:t>
      </w:r>
      <w:r w:rsidRPr="005622E0">
        <w:t xml:space="preserve"> </w:t>
      </w:r>
      <w:r w:rsidR="00C762DE" w:rsidRPr="005622E0">
        <w:t xml:space="preserve">HC Adult </w:t>
      </w:r>
      <w:r w:rsidR="003D2297" w:rsidRPr="005622E0">
        <w:rPr>
          <w:bCs/>
        </w:rPr>
        <w:t xml:space="preserve">SAQ that includes </w:t>
      </w:r>
      <w:r w:rsidR="003D2297" w:rsidRPr="005622E0">
        <w:t xml:space="preserve">Mental Health </w:t>
      </w:r>
      <w:r w:rsidR="00654D06" w:rsidRPr="005622E0">
        <w:rPr>
          <w:bCs/>
        </w:rPr>
        <w:t>Questions</w:t>
      </w:r>
    </w:p>
    <w:p w14:paraId="718F0D3C" w14:textId="44C3BA4F" w:rsidR="00AE18F3" w:rsidRPr="005622E0" w:rsidRDefault="00AE18F3" w:rsidP="00F71FD0">
      <w:pPr>
        <w:ind w:left="1890" w:hanging="1890"/>
        <w:rPr>
          <w:bCs/>
        </w:rPr>
      </w:pPr>
      <w:r w:rsidRPr="005622E0">
        <w:t>Attachment 107</w:t>
      </w:r>
      <w:r w:rsidR="005469C1" w:rsidRPr="005622E0">
        <w:t>a, 107b, 107c and 107d</w:t>
      </w:r>
      <w:r w:rsidRPr="005622E0">
        <w:t xml:space="preserve"> – Health Insurance Cost Sharing Collection </w:t>
      </w:r>
      <w:r w:rsidR="00FE557A" w:rsidRPr="005622E0">
        <w:t>Packet</w:t>
      </w:r>
      <w:r w:rsidRPr="005622E0">
        <w:rPr>
          <w:bCs/>
        </w:rPr>
        <w:t xml:space="preserve"> </w:t>
      </w:r>
    </w:p>
    <w:p w14:paraId="23CF3F65" w14:textId="1C4D30AD" w:rsidR="00471D3E" w:rsidRDefault="00471D3E" w:rsidP="00B22D8D">
      <w:pPr>
        <w:rPr>
          <w:bCs/>
        </w:rPr>
      </w:pPr>
      <w:r w:rsidRPr="005622E0">
        <w:rPr>
          <w:bCs/>
        </w:rPr>
        <w:t xml:space="preserve">Notes on Appendix items:  1) </w:t>
      </w:r>
      <w:r w:rsidRPr="005622E0">
        <w:rPr>
          <w:rFonts w:ascii="Calibri" w:hAnsi="Calibri" w:cs="Calibri"/>
          <w:color w:val="2F5597"/>
          <w:sz w:val="22"/>
          <w:szCs w:val="22"/>
        </w:rPr>
        <w:t>Attachment 10, Advance Letters will be revised to include the current AHRQ Director, Gopal Khanna, 2) General Refusals Letter is used for soft refusals</w:t>
      </w:r>
      <w:r>
        <w:rPr>
          <w:rFonts w:ascii="Calibri" w:hAnsi="Calibri" w:cs="Calibri"/>
          <w:color w:val="2F5597"/>
          <w:sz w:val="22"/>
          <w:szCs w:val="22"/>
        </w:rPr>
        <w:t xml:space="preserve"> </w:t>
      </w:r>
    </w:p>
    <w:p w14:paraId="563880DA" w14:textId="77777777" w:rsidR="00F71FD0" w:rsidRDefault="00F71FD0" w:rsidP="00F71FD0">
      <w:pPr>
        <w:ind w:left="1890" w:hanging="1890"/>
        <w:rPr>
          <w:bCs/>
        </w:rPr>
      </w:pPr>
    </w:p>
    <w:p w14:paraId="50B4124C" w14:textId="77777777" w:rsidR="00F71FD0" w:rsidRPr="00F32E41" w:rsidRDefault="00F71FD0" w:rsidP="00F71FD0">
      <w:pPr>
        <w:ind w:left="1890" w:hanging="1890"/>
      </w:pPr>
    </w:p>
    <w:sectPr w:rsidR="00F71FD0" w:rsidRPr="00F32E41" w:rsidSect="00D77CB6">
      <w:headerReference w:type="default" r:id="rId12"/>
      <w:footerReference w:type="even" r:id="rId13"/>
      <w:footerReference w:type="default" r:id="rId14"/>
      <w:endnotePr>
        <w:numFmt w:val="decimal"/>
      </w:endnotePr>
      <w:pgSz w:w="12240" w:h="15840"/>
      <w:pgMar w:top="1440" w:right="720" w:bottom="1267" w:left="1440" w:header="720" w:footer="720"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2007BA" w14:textId="77777777" w:rsidR="00B326AB" w:rsidRDefault="00B326AB">
      <w:r>
        <w:separator/>
      </w:r>
    </w:p>
  </w:endnote>
  <w:endnote w:type="continuationSeparator" w:id="0">
    <w:p w14:paraId="023B1B7C" w14:textId="77777777" w:rsidR="00B326AB" w:rsidRDefault="00B326AB">
      <w:r>
        <w:continuationSeparator/>
      </w:r>
    </w:p>
  </w:endnote>
  <w:endnote w:type="continuationNotice" w:id="1">
    <w:p w14:paraId="20EFF397" w14:textId="77777777" w:rsidR="00B326AB" w:rsidRDefault="00B326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MdCn BT">
    <w:altName w:val="Arial Narrow"/>
    <w:panose1 w:val="00000000000000000000"/>
    <w:charset w:val="00"/>
    <w:family w:val="swiss"/>
    <w:notTrueType/>
    <w:pitch w:val="variable"/>
    <w:sig w:usb0="00000003" w:usb1="00000000" w:usb2="00000000" w:usb3="00000000" w:csb0="00000001" w:csb1="00000000"/>
  </w:font>
  <w:font w:name="Ocean Sans MM">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D85FA" w14:textId="77777777" w:rsidR="00B326AB" w:rsidRDefault="00B326AB"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F97D52" w14:textId="77777777" w:rsidR="00B326AB" w:rsidRDefault="00B326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EA297" w14:textId="28C09E2A" w:rsidR="00B326AB" w:rsidRDefault="00B326AB"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56074">
      <w:rPr>
        <w:rStyle w:val="PageNumber"/>
        <w:noProof/>
      </w:rPr>
      <w:t>- 2 -</w:t>
    </w:r>
    <w:r>
      <w:rPr>
        <w:rStyle w:val="PageNumber"/>
      </w:rPr>
      <w:fldChar w:fldCharType="end"/>
    </w:r>
  </w:p>
  <w:p w14:paraId="3410798F" w14:textId="77777777" w:rsidR="00B326AB" w:rsidRDefault="00B326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73BF8D" w14:textId="77777777" w:rsidR="00B326AB" w:rsidRDefault="00B326AB">
      <w:r>
        <w:separator/>
      </w:r>
    </w:p>
  </w:footnote>
  <w:footnote w:type="continuationSeparator" w:id="0">
    <w:p w14:paraId="21152573" w14:textId="77777777" w:rsidR="00B326AB" w:rsidRDefault="00B326AB">
      <w:r>
        <w:continuationSeparator/>
      </w:r>
    </w:p>
  </w:footnote>
  <w:footnote w:type="continuationNotice" w:id="1">
    <w:p w14:paraId="1866C343" w14:textId="77777777" w:rsidR="00B326AB" w:rsidRDefault="00B326AB"/>
  </w:footnote>
  <w:footnote w:id="2">
    <w:p w14:paraId="600CEF19" w14:textId="77777777" w:rsidR="00B326AB" w:rsidRDefault="00B326AB" w:rsidP="00484D84">
      <w:pPr>
        <w:pStyle w:val="FootnoteText"/>
      </w:pPr>
      <w:r>
        <w:t xml:space="preserve"> </w:t>
      </w:r>
      <w:r>
        <w:rPr>
          <w:rStyle w:val="FootnoteReference"/>
        </w:rPr>
        <w:footnoteRef/>
      </w:r>
      <w:r>
        <w:t xml:space="preserve"> In 2015, ASPE convened a workgroup to compare health insurance estimates across national surveys.  AHRQ, NCHS, Census and others participated in discussions over the better part of a year.  My recollection is that the report was presented to the Secretary and signed by her in the middle of 2016.  That report (attached) had two major recommendations for MEPS: 1) that we stop publishing point-in-time estimates (we have stopped publishing estimates although we still release the public use file for others to use); and 2) that we explore adding an insurance verification question series.  The last point-in-time insurance estimates from MEPS were published in 2014.  </w:t>
      </w:r>
    </w:p>
    <w:p w14:paraId="6B3D7FC6" w14:textId="77777777" w:rsidR="00B326AB" w:rsidRDefault="00B326AB" w:rsidP="00484D84">
      <w:pPr>
        <w:pStyle w:val="FootnoteText"/>
      </w:pPr>
      <w:r>
        <w:t xml:space="preserve"> </w:t>
      </w:r>
    </w:p>
    <w:p w14:paraId="315BCC23" w14:textId="77777777" w:rsidR="00B326AB" w:rsidRDefault="00B326AB" w:rsidP="00484D84">
      <w:pPr>
        <w:pStyle w:val="FootnoteText"/>
      </w:pPr>
      <w:r>
        <w:t>In April of 2017, we submitted a request to do some cognitive testing of health insurance verification questions under Control Number 0935-0124.  At the time, a complete evaluation of the MEPS insurance section was off the table because of cost and time.  We needed to get the CAPI application into a commercial, open source product to avoid security problems and we knew a ground-up evaluation of the health insurance section would be time consuming and costly.</w:t>
      </w:r>
    </w:p>
    <w:p w14:paraId="29B32246" w14:textId="77777777" w:rsidR="00B326AB" w:rsidRDefault="00B326AB" w:rsidP="00484D84">
      <w:pPr>
        <w:pStyle w:val="FootnoteText"/>
      </w:pPr>
      <w:r>
        <w:t xml:space="preserve"> </w:t>
      </w:r>
    </w:p>
    <w:p w14:paraId="58369CD0" w14:textId="77777777" w:rsidR="00B326AB" w:rsidRDefault="00B326AB" w:rsidP="00484D84">
      <w:pPr>
        <w:pStyle w:val="FootnoteText"/>
      </w:pPr>
      <w:r>
        <w:t xml:space="preserve">The CPS verification module was used as a model for the MEPS verification series in terms of both its structure and, when possible, question wording. As noted in the attached side-by-side comparison, we did need to deviate from the CPS model in a number of places to put the questions into the context of MEPS.  </w:t>
      </w:r>
    </w:p>
    <w:p w14:paraId="197398E2" w14:textId="6EE031BF" w:rsidR="00B326AB" w:rsidRDefault="00B326AB" w:rsidP="00484D8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336E6" w14:textId="77777777" w:rsidR="00B326AB" w:rsidRDefault="00B326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1A60DFA"/>
    <w:lvl w:ilvl="0">
      <w:numFmt w:val="bullet"/>
      <w:lvlText w:val="*"/>
      <w:lvlJc w:val="left"/>
    </w:lvl>
  </w:abstractNum>
  <w:abstractNum w:abstractNumId="1">
    <w:nsid w:val="01D85F0C"/>
    <w:multiLevelType w:val="hybridMultilevel"/>
    <w:tmpl w:val="568CC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E255F8"/>
    <w:multiLevelType w:val="hybridMultilevel"/>
    <w:tmpl w:val="B2C271B0"/>
    <w:lvl w:ilvl="0" w:tplc="58CCFE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4C54B1"/>
    <w:multiLevelType w:val="hybridMultilevel"/>
    <w:tmpl w:val="8A1A68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695609"/>
    <w:multiLevelType w:val="hybridMultilevel"/>
    <w:tmpl w:val="CDCA6768"/>
    <w:lvl w:ilvl="0" w:tplc="06CE54AA">
      <w:start w:val="1"/>
      <w:numFmt w:val="bullet"/>
      <w:lvlText w:val=""/>
      <w:lvlJc w:val="left"/>
      <w:pPr>
        <w:tabs>
          <w:tab w:val="num" w:pos="1080"/>
        </w:tabs>
        <w:ind w:left="108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30D5D0F"/>
    <w:multiLevelType w:val="hybridMultilevel"/>
    <w:tmpl w:val="B2C271B0"/>
    <w:lvl w:ilvl="0" w:tplc="58CCFE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5270A11"/>
    <w:multiLevelType w:val="hybridMultilevel"/>
    <w:tmpl w:val="C7546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F17E7A"/>
    <w:multiLevelType w:val="hybridMultilevel"/>
    <w:tmpl w:val="CFCAEF7A"/>
    <w:lvl w:ilvl="0" w:tplc="04090005">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41958F1"/>
    <w:multiLevelType w:val="hybridMultilevel"/>
    <w:tmpl w:val="1A743B8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AC30816"/>
    <w:multiLevelType w:val="hybridMultilevel"/>
    <w:tmpl w:val="23B43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BB01B4"/>
    <w:multiLevelType w:val="hybridMultilevel"/>
    <w:tmpl w:val="37B6C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12219A"/>
    <w:multiLevelType w:val="hybridMultilevel"/>
    <w:tmpl w:val="4CB657A8"/>
    <w:lvl w:ilvl="0" w:tplc="04090001">
      <w:start w:val="1"/>
      <w:numFmt w:val="bullet"/>
      <w:lvlText w:val=""/>
      <w:lvlJc w:val="left"/>
      <w:pPr>
        <w:ind w:left="720" w:hanging="360"/>
      </w:pPr>
      <w:rPr>
        <w:rFonts w:ascii="Symbol" w:hAnsi="Symbol" w:hint="default"/>
      </w:rPr>
    </w:lvl>
    <w:lvl w:ilvl="1" w:tplc="50567A6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3F791C"/>
    <w:multiLevelType w:val="hybridMultilevel"/>
    <w:tmpl w:val="9EE8C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7214C1"/>
    <w:multiLevelType w:val="hybridMultilevel"/>
    <w:tmpl w:val="67268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D55482"/>
    <w:multiLevelType w:val="hybridMultilevel"/>
    <w:tmpl w:val="D298C2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576761C7"/>
    <w:multiLevelType w:val="hybridMultilevel"/>
    <w:tmpl w:val="CD249BEE"/>
    <w:lvl w:ilvl="0" w:tplc="06CE54AA">
      <w:start w:val="1"/>
      <w:numFmt w:val="bullet"/>
      <w:lvlText w:val=""/>
      <w:lvlJc w:val="left"/>
      <w:pPr>
        <w:ind w:left="1440" w:hanging="360"/>
      </w:pPr>
      <w:rPr>
        <w:rFonts w:ascii="Symbol" w:hAnsi="Symbol" w:hint="default"/>
        <w:color w:val="auto"/>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17">
    <w:nsid w:val="5DC171E7"/>
    <w:multiLevelType w:val="hybridMultilevel"/>
    <w:tmpl w:val="5CF0D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5E10A2"/>
    <w:multiLevelType w:val="hybridMultilevel"/>
    <w:tmpl w:val="99105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B05EA6"/>
    <w:multiLevelType w:val="hybridMultilevel"/>
    <w:tmpl w:val="31D2D6D8"/>
    <w:lvl w:ilvl="0" w:tplc="A26C744C">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3160415"/>
    <w:multiLevelType w:val="hybridMultilevel"/>
    <w:tmpl w:val="43CC756E"/>
    <w:lvl w:ilvl="0" w:tplc="8E98CBE2">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B3A578A"/>
    <w:multiLevelType w:val="hybridMultilevel"/>
    <w:tmpl w:val="2892D17A"/>
    <w:lvl w:ilvl="0" w:tplc="04090005">
      <w:start w:val="1"/>
      <w:numFmt w:val="bullet"/>
      <w:lvlText w:val=""/>
      <w:lvlJc w:val="left"/>
      <w:pPr>
        <w:ind w:left="773" w:hanging="360"/>
      </w:pPr>
      <w:rPr>
        <w:rFonts w:ascii="Wingdings" w:hAnsi="Wingdings"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2">
    <w:nsid w:val="74401BF8"/>
    <w:multiLevelType w:val="hybridMultilevel"/>
    <w:tmpl w:val="5EE6FF62"/>
    <w:lvl w:ilvl="0" w:tplc="06CE54AA">
      <w:start w:val="1"/>
      <w:numFmt w:val="bullet"/>
      <w:lvlText w:val=""/>
      <w:lvlJc w:val="left"/>
      <w:pPr>
        <w:ind w:left="720" w:hanging="360"/>
      </w:pPr>
      <w:rPr>
        <w:rFonts w:ascii="Symbol" w:hAnsi="Symbo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num w:numId="1">
    <w:abstractNumId w:val="23"/>
  </w:num>
  <w:num w:numId="2">
    <w:abstractNumId w:val="16"/>
  </w:num>
  <w:num w:numId="3">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4">
    <w:abstractNumId w:val="14"/>
  </w:num>
  <w:num w:numId="5">
    <w:abstractNumId w:val="4"/>
  </w:num>
  <w:num w:numId="6">
    <w:abstractNumId w:val="19"/>
  </w:num>
  <w:num w:numId="7">
    <w:abstractNumId w:val="17"/>
  </w:num>
  <w:num w:numId="8">
    <w:abstractNumId w:val="10"/>
  </w:num>
  <w:num w:numId="9">
    <w:abstractNumId w:val="11"/>
  </w:num>
  <w:num w:numId="10">
    <w:abstractNumId w:val="13"/>
  </w:num>
  <w:num w:numId="11">
    <w:abstractNumId w:val="8"/>
  </w:num>
  <w:num w:numId="12">
    <w:abstractNumId w:val="21"/>
  </w:num>
  <w:num w:numId="13">
    <w:abstractNumId w:val="22"/>
  </w:num>
  <w:num w:numId="14">
    <w:abstractNumId w:val="9"/>
  </w:num>
  <w:num w:numId="15">
    <w:abstractNumId w:val="12"/>
  </w:num>
  <w:num w:numId="16">
    <w:abstractNumId w:val="1"/>
  </w:num>
  <w:num w:numId="17">
    <w:abstractNumId w:val="18"/>
  </w:num>
  <w:num w:numId="18">
    <w:abstractNumId w:val="15"/>
  </w:num>
  <w:num w:numId="19">
    <w:abstractNumId w:val="6"/>
  </w:num>
  <w:num w:numId="20">
    <w:abstractNumId w:val="7"/>
  </w:num>
  <w:num w:numId="21">
    <w:abstractNumId w:val="5"/>
  </w:num>
  <w:num w:numId="22">
    <w:abstractNumId w:val="2"/>
  </w:num>
  <w:num w:numId="23">
    <w:abstractNumId w:val="3"/>
  </w:num>
  <w:num w:numId="24">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0058B"/>
    <w:rsid w:val="0000196A"/>
    <w:rsid w:val="000054B8"/>
    <w:rsid w:val="00005690"/>
    <w:rsid w:val="000057DD"/>
    <w:rsid w:val="00006543"/>
    <w:rsid w:val="00011E85"/>
    <w:rsid w:val="00012FB9"/>
    <w:rsid w:val="000149E5"/>
    <w:rsid w:val="00016560"/>
    <w:rsid w:val="00020DE2"/>
    <w:rsid w:val="00021B27"/>
    <w:rsid w:val="000244EB"/>
    <w:rsid w:val="00024FEE"/>
    <w:rsid w:val="00027947"/>
    <w:rsid w:val="0003026D"/>
    <w:rsid w:val="00030C3F"/>
    <w:rsid w:val="0003207A"/>
    <w:rsid w:val="00032486"/>
    <w:rsid w:val="00033890"/>
    <w:rsid w:val="00034665"/>
    <w:rsid w:val="00035EC9"/>
    <w:rsid w:val="00036B3B"/>
    <w:rsid w:val="00037998"/>
    <w:rsid w:val="00037E43"/>
    <w:rsid w:val="00042815"/>
    <w:rsid w:val="00042EF4"/>
    <w:rsid w:val="00043473"/>
    <w:rsid w:val="00043C9D"/>
    <w:rsid w:val="00045959"/>
    <w:rsid w:val="00045CA0"/>
    <w:rsid w:val="00045EA6"/>
    <w:rsid w:val="00046359"/>
    <w:rsid w:val="00052A11"/>
    <w:rsid w:val="000546A9"/>
    <w:rsid w:val="00054DAD"/>
    <w:rsid w:val="00055499"/>
    <w:rsid w:val="00057112"/>
    <w:rsid w:val="0006093B"/>
    <w:rsid w:val="0006180D"/>
    <w:rsid w:val="0006207D"/>
    <w:rsid w:val="00062555"/>
    <w:rsid w:val="00064594"/>
    <w:rsid w:val="00064A22"/>
    <w:rsid w:val="000667DF"/>
    <w:rsid w:val="00070791"/>
    <w:rsid w:val="000709CA"/>
    <w:rsid w:val="00070D9C"/>
    <w:rsid w:val="00071F0E"/>
    <w:rsid w:val="00073970"/>
    <w:rsid w:val="000779A9"/>
    <w:rsid w:val="00081D58"/>
    <w:rsid w:val="00082047"/>
    <w:rsid w:val="00094648"/>
    <w:rsid w:val="00097243"/>
    <w:rsid w:val="00097622"/>
    <w:rsid w:val="000A0FA9"/>
    <w:rsid w:val="000A140E"/>
    <w:rsid w:val="000A1F74"/>
    <w:rsid w:val="000A3475"/>
    <w:rsid w:val="000A55C6"/>
    <w:rsid w:val="000A6C54"/>
    <w:rsid w:val="000A7044"/>
    <w:rsid w:val="000B133E"/>
    <w:rsid w:val="000B20DF"/>
    <w:rsid w:val="000B2EF5"/>
    <w:rsid w:val="000B5A79"/>
    <w:rsid w:val="000B615C"/>
    <w:rsid w:val="000B78CB"/>
    <w:rsid w:val="000B7F0F"/>
    <w:rsid w:val="000C1024"/>
    <w:rsid w:val="000C1B48"/>
    <w:rsid w:val="000C2791"/>
    <w:rsid w:val="000C2FF9"/>
    <w:rsid w:val="000C3530"/>
    <w:rsid w:val="000C363F"/>
    <w:rsid w:val="000C4742"/>
    <w:rsid w:val="000C4DF6"/>
    <w:rsid w:val="000D09CD"/>
    <w:rsid w:val="000D429E"/>
    <w:rsid w:val="000D56C2"/>
    <w:rsid w:val="000D583F"/>
    <w:rsid w:val="000D5D69"/>
    <w:rsid w:val="000D6604"/>
    <w:rsid w:val="000E01D1"/>
    <w:rsid w:val="000E319B"/>
    <w:rsid w:val="000E4F13"/>
    <w:rsid w:val="000E56E3"/>
    <w:rsid w:val="000E6111"/>
    <w:rsid w:val="000F1328"/>
    <w:rsid w:val="000F2B59"/>
    <w:rsid w:val="000F42AB"/>
    <w:rsid w:val="000F4688"/>
    <w:rsid w:val="000F4F6D"/>
    <w:rsid w:val="000F59ED"/>
    <w:rsid w:val="000F7355"/>
    <w:rsid w:val="000F797F"/>
    <w:rsid w:val="0010385D"/>
    <w:rsid w:val="00105BD3"/>
    <w:rsid w:val="00112DF2"/>
    <w:rsid w:val="001156FA"/>
    <w:rsid w:val="00117E12"/>
    <w:rsid w:val="00120FE7"/>
    <w:rsid w:val="00123E64"/>
    <w:rsid w:val="00124917"/>
    <w:rsid w:val="001265A0"/>
    <w:rsid w:val="00130140"/>
    <w:rsid w:val="001304D4"/>
    <w:rsid w:val="00131443"/>
    <w:rsid w:val="00134942"/>
    <w:rsid w:val="00136AA2"/>
    <w:rsid w:val="00137E2F"/>
    <w:rsid w:val="00137E95"/>
    <w:rsid w:val="001415B6"/>
    <w:rsid w:val="00141E3F"/>
    <w:rsid w:val="00142620"/>
    <w:rsid w:val="00145172"/>
    <w:rsid w:val="00153EF9"/>
    <w:rsid w:val="00154399"/>
    <w:rsid w:val="0015450F"/>
    <w:rsid w:val="0015495B"/>
    <w:rsid w:val="0015675F"/>
    <w:rsid w:val="00161054"/>
    <w:rsid w:val="001610E0"/>
    <w:rsid w:val="00161248"/>
    <w:rsid w:val="001651B7"/>
    <w:rsid w:val="001654FF"/>
    <w:rsid w:val="00165FC9"/>
    <w:rsid w:val="00166A69"/>
    <w:rsid w:val="00166AA9"/>
    <w:rsid w:val="001671A5"/>
    <w:rsid w:val="00167FC5"/>
    <w:rsid w:val="001717AB"/>
    <w:rsid w:val="0017276F"/>
    <w:rsid w:val="0017353A"/>
    <w:rsid w:val="0017460F"/>
    <w:rsid w:val="00174A0F"/>
    <w:rsid w:val="00174D98"/>
    <w:rsid w:val="001751F1"/>
    <w:rsid w:val="001752FA"/>
    <w:rsid w:val="001765AB"/>
    <w:rsid w:val="001770BC"/>
    <w:rsid w:val="001802F5"/>
    <w:rsid w:val="001827FB"/>
    <w:rsid w:val="0018300B"/>
    <w:rsid w:val="001835E7"/>
    <w:rsid w:val="00185CED"/>
    <w:rsid w:val="00187A50"/>
    <w:rsid w:val="0019152C"/>
    <w:rsid w:val="00191A3D"/>
    <w:rsid w:val="001921D4"/>
    <w:rsid w:val="001A0CBB"/>
    <w:rsid w:val="001A28C0"/>
    <w:rsid w:val="001A2BEF"/>
    <w:rsid w:val="001A3827"/>
    <w:rsid w:val="001A48D1"/>
    <w:rsid w:val="001A4C65"/>
    <w:rsid w:val="001A510E"/>
    <w:rsid w:val="001A56BD"/>
    <w:rsid w:val="001A7102"/>
    <w:rsid w:val="001B1087"/>
    <w:rsid w:val="001B1673"/>
    <w:rsid w:val="001B1C61"/>
    <w:rsid w:val="001B1E51"/>
    <w:rsid w:val="001B4068"/>
    <w:rsid w:val="001B53DB"/>
    <w:rsid w:val="001B75C8"/>
    <w:rsid w:val="001C309C"/>
    <w:rsid w:val="001C31D2"/>
    <w:rsid w:val="001C3853"/>
    <w:rsid w:val="001C5010"/>
    <w:rsid w:val="001C59E4"/>
    <w:rsid w:val="001C6AE4"/>
    <w:rsid w:val="001C7299"/>
    <w:rsid w:val="001C7A44"/>
    <w:rsid w:val="001D094E"/>
    <w:rsid w:val="001D0CC7"/>
    <w:rsid w:val="001D12A8"/>
    <w:rsid w:val="001D155C"/>
    <w:rsid w:val="001D2988"/>
    <w:rsid w:val="001D47A3"/>
    <w:rsid w:val="001D4DAC"/>
    <w:rsid w:val="001D5ADA"/>
    <w:rsid w:val="001D684D"/>
    <w:rsid w:val="001E2906"/>
    <w:rsid w:val="001E321C"/>
    <w:rsid w:val="001E5F59"/>
    <w:rsid w:val="001E6DDA"/>
    <w:rsid w:val="001F2923"/>
    <w:rsid w:val="001F5DD3"/>
    <w:rsid w:val="0020121A"/>
    <w:rsid w:val="00205B75"/>
    <w:rsid w:val="00206294"/>
    <w:rsid w:val="00207198"/>
    <w:rsid w:val="00210104"/>
    <w:rsid w:val="00212B32"/>
    <w:rsid w:val="00216024"/>
    <w:rsid w:val="0022366A"/>
    <w:rsid w:val="00223EA4"/>
    <w:rsid w:val="00231521"/>
    <w:rsid w:val="00232C85"/>
    <w:rsid w:val="002348C1"/>
    <w:rsid w:val="0023659F"/>
    <w:rsid w:val="002365CB"/>
    <w:rsid w:val="0024284B"/>
    <w:rsid w:val="002428E6"/>
    <w:rsid w:val="0024545E"/>
    <w:rsid w:val="00245BA9"/>
    <w:rsid w:val="002462DA"/>
    <w:rsid w:val="0024663B"/>
    <w:rsid w:val="00247553"/>
    <w:rsid w:val="00251B2F"/>
    <w:rsid w:val="00254E10"/>
    <w:rsid w:val="00257C78"/>
    <w:rsid w:val="0026017A"/>
    <w:rsid w:val="00260E5F"/>
    <w:rsid w:val="0026424E"/>
    <w:rsid w:val="00266F67"/>
    <w:rsid w:val="002674A5"/>
    <w:rsid w:val="002722FA"/>
    <w:rsid w:val="00272E29"/>
    <w:rsid w:val="00273065"/>
    <w:rsid w:val="00273C6F"/>
    <w:rsid w:val="0027498A"/>
    <w:rsid w:val="00274E52"/>
    <w:rsid w:val="00276074"/>
    <w:rsid w:val="00276EF0"/>
    <w:rsid w:val="0028131F"/>
    <w:rsid w:val="00286E6B"/>
    <w:rsid w:val="00287433"/>
    <w:rsid w:val="00287558"/>
    <w:rsid w:val="00290AE3"/>
    <w:rsid w:val="00291B73"/>
    <w:rsid w:val="002924A5"/>
    <w:rsid w:val="002926A2"/>
    <w:rsid w:val="002929E9"/>
    <w:rsid w:val="0029734C"/>
    <w:rsid w:val="002A2319"/>
    <w:rsid w:val="002A2894"/>
    <w:rsid w:val="002A2DFF"/>
    <w:rsid w:val="002A766C"/>
    <w:rsid w:val="002B262A"/>
    <w:rsid w:val="002B2AEF"/>
    <w:rsid w:val="002B3551"/>
    <w:rsid w:val="002B382B"/>
    <w:rsid w:val="002C2AC2"/>
    <w:rsid w:val="002C39A2"/>
    <w:rsid w:val="002C5DBD"/>
    <w:rsid w:val="002C712B"/>
    <w:rsid w:val="002D01F2"/>
    <w:rsid w:val="002D2D06"/>
    <w:rsid w:val="002D3B7F"/>
    <w:rsid w:val="002D3C32"/>
    <w:rsid w:val="002D40E3"/>
    <w:rsid w:val="002D662B"/>
    <w:rsid w:val="002E361F"/>
    <w:rsid w:val="002E54EF"/>
    <w:rsid w:val="002F1B8D"/>
    <w:rsid w:val="002F2511"/>
    <w:rsid w:val="002F3016"/>
    <w:rsid w:val="002F4DE8"/>
    <w:rsid w:val="002F4FDD"/>
    <w:rsid w:val="002F63A8"/>
    <w:rsid w:val="002F6718"/>
    <w:rsid w:val="002F798B"/>
    <w:rsid w:val="00305E6C"/>
    <w:rsid w:val="00310DC3"/>
    <w:rsid w:val="00310EEC"/>
    <w:rsid w:val="00312E06"/>
    <w:rsid w:val="003213A0"/>
    <w:rsid w:val="00323FF0"/>
    <w:rsid w:val="003259A7"/>
    <w:rsid w:val="00325B9C"/>
    <w:rsid w:val="003268EF"/>
    <w:rsid w:val="00326CF6"/>
    <w:rsid w:val="00333655"/>
    <w:rsid w:val="00333D32"/>
    <w:rsid w:val="003369EB"/>
    <w:rsid w:val="00337A6F"/>
    <w:rsid w:val="00340BD4"/>
    <w:rsid w:val="00340D97"/>
    <w:rsid w:val="00341B26"/>
    <w:rsid w:val="0034354B"/>
    <w:rsid w:val="00344EA6"/>
    <w:rsid w:val="00345857"/>
    <w:rsid w:val="00346430"/>
    <w:rsid w:val="003507CC"/>
    <w:rsid w:val="00351934"/>
    <w:rsid w:val="003523E4"/>
    <w:rsid w:val="00353103"/>
    <w:rsid w:val="00353F00"/>
    <w:rsid w:val="00354785"/>
    <w:rsid w:val="00356074"/>
    <w:rsid w:val="003566C0"/>
    <w:rsid w:val="00356D86"/>
    <w:rsid w:val="00361F52"/>
    <w:rsid w:val="00361FB9"/>
    <w:rsid w:val="003625DB"/>
    <w:rsid w:val="00362A39"/>
    <w:rsid w:val="0036390A"/>
    <w:rsid w:val="00364796"/>
    <w:rsid w:val="003661B7"/>
    <w:rsid w:val="00366EB0"/>
    <w:rsid w:val="003740AA"/>
    <w:rsid w:val="0037427A"/>
    <w:rsid w:val="003753B0"/>
    <w:rsid w:val="00377301"/>
    <w:rsid w:val="0037771B"/>
    <w:rsid w:val="00377E8C"/>
    <w:rsid w:val="00380F46"/>
    <w:rsid w:val="00381460"/>
    <w:rsid w:val="0038217D"/>
    <w:rsid w:val="00382699"/>
    <w:rsid w:val="00382D11"/>
    <w:rsid w:val="00384C35"/>
    <w:rsid w:val="00384FF2"/>
    <w:rsid w:val="003945AB"/>
    <w:rsid w:val="00394FC2"/>
    <w:rsid w:val="00397BB6"/>
    <w:rsid w:val="00397CD5"/>
    <w:rsid w:val="003A2BE5"/>
    <w:rsid w:val="003A33E1"/>
    <w:rsid w:val="003A5C02"/>
    <w:rsid w:val="003A613F"/>
    <w:rsid w:val="003B18AE"/>
    <w:rsid w:val="003B2C9B"/>
    <w:rsid w:val="003B31AE"/>
    <w:rsid w:val="003B39DE"/>
    <w:rsid w:val="003B415C"/>
    <w:rsid w:val="003B4C7A"/>
    <w:rsid w:val="003B510D"/>
    <w:rsid w:val="003B5859"/>
    <w:rsid w:val="003B5F1B"/>
    <w:rsid w:val="003B6B36"/>
    <w:rsid w:val="003B6B41"/>
    <w:rsid w:val="003B7D93"/>
    <w:rsid w:val="003C00C7"/>
    <w:rsid w:val="003C13EE"/>
    <w:rsid w:val="003C60BD"/>
    <w:rsid w:val="003C6B2E"/>
    <w:rsid w:val="003C7C9B"/>
    <w:rsid w:val="003D0520"/>
    <w:rsid w:val="003D21A7"/>
    <w:rsid w:val="003D2297"/>
    <w:rsid w:val="003D4B39"/>
    <w:rsid w:val="003D5660"/>
    <w:rsid w:val="003D61AE"/>
    <w:rsid w:val="003D6B66"/>
    <w:rsid w:val="003D73D8"/>
    <w:rsid w:val="003E1ABA"/>
    <w:rsid w:val="003E2146"/>
    <w:rsid w:val="003E28A7"/>
    <w:rsid w:val="003E326D"/>
    <w:rsid w:val="003E3355"/>
    <w:rsid w:val="003E3B0C"/>
    <w:rsid w:val="003E50D3"/>
    <w:rsid w:val="003E5BBA"/>
    <w:rsid w:val="003E5FAA"/>
    <w:rsid w:val="003E644A"/>
    <w:rsid w:val="003E71D8"/>
    <w:rsid w:val="003F035C"/>
    <w:rsid w:val="003F21E1"/>
    <w:rsid w:val="003F5921"/>
    <w:rsid w:val="003F6669"/>
    <w:rsid w:val="003F71D7"/>
    <w:rsid w:val="00400534"/>
    <w:rsid w:val="00400732"/>
    <w:rsid w:val="00400753"/>
    <w:rsid w:val="00401D0A"/>
    <w:rsid w:val="00401E3B"/>
    <w:rsid w:val="00404499"/>
    <w:rsid w:val="00405A22"/>
    <w:rsid w:val="00406B19"/>
    <w:rsid w:val="00410813"/>
    <w:rsid w:val="00413ADF"/>
    <w:rsid w:val="00414C80"/>
    <w:rsid w:val="004155E1"/>
    <w:rsid w:val="004159DF"/>
    <w:rsid w:val="00415F9D"/>
    <w:rsid w:val="004230A3"/>
    <w:rsid w:val="00425974"/>
    <w:rsid w:val="00432241"/>
    <w:rsid w:val="0043596B"/>
    <w:rsid w:val="00435C19"/>
    <w:rsid w:val="0044152B"/>
    <w:rsid w:val="00445530"/>
    <w:rsid w:val="0044653F"/>
    <w:rsid w:val="0044769A"/>
    <w:rsid w:val="004500B0"/>
    <w:rsid w:val="00450538"/>
    <w:rsid w:val="00452268"/>
    <w:rsid w:val="00453E90"/>
    <w:rsid w:val="00455088"/>
    <w:rsid w:val="00456179"/>
    <w:rsid w:val="00456406"/>
    <w:rsid w:val="00456BA7"/>
    <w:rsid w:val="00457574"/>
    <w:rsid w:val="00457E4E"/>
    <w:rsid w:val="0046459F"/>
    <w:rsid w:val="00464EEA"/>
    <w:rsid w:val="004654BE"/>
    <w:rsid w:val="00465589"/>
    <w:rsid w:val="00465CEE"/>
    <w:rsid w:val="00467163"/>
    <w:rsid w:val="0046733D"/>
    <w:rsid w:val="00470121"/>
    <w:rsid w:val="00471D3E"/>
    <w:rsid w:val="00471F01"/>
    <w:rsid w:val="0047504D"/>
    <w:rsid w:val="00475054"/>
    <w:rsid w:val="00475495"/>
    <w:rsid w:val="00475CC9"/>
    <w:rsid w:val="004762C5"/>
    <w:rsid w:val="00476CFE"/>
    <w:rsid w:val="00477170"/>
    <w:rsid w:val="0048007B"/>
    <w:rsid w:val="004811AD"/>
    <w:rsid w:val="0048178B"/>
    <w:rsid w:val="004827DE"/>
    <w:rsid w:val="00482CD2"/>
    <w:rsid w:val="00482EEE"/>
    <w:rsid w:val="0048314F"/>
    <w:rsid w:val="00484D84"/>
    <w:rsid w:val="0048574A"/>
    <w:rsid w:val="00486D32"/>
    <w:rsid w:val="0049063B"/>
    <w:rsid w:val="00491BD1"/>
    <w:rsid w:val="00493709"/>
    <w:rsid w:val="004969C3"/>
    <w:rsid w:val="00497DFA"/>
    <w:rsid w:val="004A0369"/>
    <w:rsid w:val="004A2D84"/>
    <w:rsid w:val="004A30F5"/>
    <w:rsid w:val="004A4234"/>
    <w:rsid w:val="004A5446"/>
    <w:rsid w:val="004A624D"/>
    <w:rsid w:val="004B0C01"/>
    <w:rsid w:val="004B3D91"/>
    <w:rsid w:val="004B4BC1"/>
    <w:rsid w:val="004B5488"/>
    <w:rsid w:val="004B5A1A"/>
    <w:rsid w:val="004B737F"/>
    <w:rsid w:val="004C394A"/>
    <w:rsid w:val="004C3BA7"/>
    <w:rsid w:val="004C4A74"/>
    <w:rsid w:val="004C4FD5"/>
    <w:rsid w:val="004C713B"/>
    <w:rsid w:val="004D0027"/>
    <w:rsid w:val="004D0905"/>
    <w:rsid w:val="004D15FF"/>
    <w:rsid w:val="004D2F15"/>
    <w:rsid w:val="004D345E"/>
    <w:rsid w:val="004D6007"/>
    <w:rsid w:val="004D6253"/>
    <w:rsid w:val="004D7780"/>
    <w:rsid w:val="004D7B91"/>
    <w:rsid w:val="004D7C88"/>
    <w:rsid w:val="004D7E1D"/>
    <w:rsid w:val="004E066E"/>
    <w:rsid w:val="004E3A1B"/>
    <w:rsid w:val="004E4A6A"/>
    <w:rsid w:val="004E522A"/>
    <w:rsid w:val="004E5B31"/>
    <w:rsid w:val="004E5FE8"/>
    <w:rsid w:val="004E6B1B"/>
    <w:rsid w:val="004F06B8"/>
    <w:rsid w:val="004F1C6B"/>
    <w:rsid w:val="004F24C9"/>
    <w:rsid w:val="004F27D9"/>
    <w:rsid w:val="004F51E1"/>
    <w:rsid w:val="004F6F32"/>
    <w:rsid w:val="004F7107"/>
    <w:rsid w:val="005023EC"/>
    <w:rsid w:val="00510909"/>
    <w:rsid w:val="00512F41"/>
    <w:rsid w:val="00514003"/>
    <w:rsid w:val="00517D6D"/>
    <w:rsid w:val="00520CE0"/>
    <w:rsid w:val="005247EA"/>
    <w:rsid w:val="00526D91"/>
    <w:rsid w:val="0053063A"/>
    <w:rsid w:val="00531857"/>
    <w:rsid w:val="005335F8"/>
    <w:rsid w:val="00533A75"/>
    <w:rsid w:val="00534DB9"/>
    <w:rsid w:val="00535B56"/>
    <w:rsid w:val="005362E4"/>
    <w:rsid w:val="00541E05"/>
    <w:rsid w:val="0054391F"/>
    <w:rsid w:val="00544211"/>
    <w:rsid w:val="00545745"/>
    <w:rsid w:val="00546442"/>
    <w:rsid w:val="005469C1"/>
    <w:rsid w:val="00546D8D"/>
    <w:rsid w:val="005541D8"/>
    <w:rsid w:val="00554339"/>
    <w:rsid w:val="00555549"/>
    <w:rsid w:val="005556EF"/>
    <w:rsid w:val="00556066"/>
    <w:rsid w:val="005567CB"/>
    <w:rsid w:val="00561D99"/>
    <w:rsid w:val="005622E0"/>
    <w:rsid w:val="00564327"/>
    <w:rsid w:val="005675B9"/>
    <w:rsid w:val="005714ED"/>
    <w:rsid w:val="005717DF"/>
    <w:rsid w:val="005720D3"/>
    <w:rsid w:val="005726C6"/>
    <w:rsid w:val="00572FCE"/>
    <w:rsid w:val="005744A7"/>
    <w:rsid w:val="005751BF"/>
    <w:rsid w:val="005817DF"/>
    <w:rsid w:val="00581B39"/>
    <w:rsid w:val="00581FD2"/>
    <w:rsid w:val="00583F0D"/>
    <w:rsid w:val="005840BF"/>
    <w:rsid w:val="00584AF9"/>
    <w:rsid w:val="00585BBA"/>
    <w:rsid w:val="00587BB9"/>
    <w:rsid w:val="00591656"/>
    <w:rsid w:val="00597371"/>
    <w:rsid w:val="00597D49"/>
    <w:rsid w:val="005A295E"/>
    <w:rsid w:val="005A6A79"/>
    <w:rsid w:val="005A6F57"/>
    <w:rsid w:val="005A704C"/>
    <w:rsid w:val="005B1DF7"/>
    <w:rsid w:val="005B2955"/>
    <w:rsid w:val="005B3C01"/>
    <w:rsid w:val="005B3C28"/>
    <w:rsid w:val="005B62CF"/>
    <w:rsid w:val="005B6DE4"/>
    <w:rsid w:val="005B6FAA"/>
    <w:rsid w:val="005C00F0"/>
    <w:rsid w:val="005D1A17"/>
    <w:rsid w:val="005D1AC2"/>
    <w:rsid w:val="005D639C"/>
    <w:rsid w:val="005D6A0D"/>
    <w:rsid w:val="005E0450"/>
    <w:rsid w:val="005E067A"/>
    <w:rsid w:val="005E0955"/>
    <w:rsid w:val="005E3EE3"/>
    <w:rsid w:val="005E49B8"/>
    <w:rsid w:val="005E7B3F"/>
    <w:rsid w:val="005F3408"/>
    <w:rsid w:val="005F4B12"/>
    <w:rsid w:val="005F6CB9"/>
    <w:rsid w:val="0060047D"/>
    <w:rsid w:val="00600564"/>
    <w:rsid w:val="00601227"/>
    <w:rsid w:val="006014DB"/>
    <w:rsid w:val="006024B4"/>
    <w:rsid w:val="006053A7"/>
    <w:rsid w:val="00606400"/>
    <w:rsid w:val="006074A5"/>
    <w:rsid w:val="00611BD4"/>
    <w:rsid w:val="00613C05"/>
    <w:rsid w:val="00613DE5"/>
    <w:rsid w:val="00620853"/>
    <w:rsid w:val="006231E1"/>
    <w:rsid w:val="00625C1B"/>
    <w:rsid w:val="00631C81"/>
    <w:rsid w:val="00631FDE"/>
    <w:rsid w:val="006329BD"/>
    <w:rsid w:val="006333F4"/>
    <w:rsid w:val="00634BA6"/>
    <w:rsid w:val="00635119"/>
    <w:rsid w:val="006364D2"/>
    <w:rsid w:val="00636A0C"/>
    <w:rsid w:val="00636AAC"/>
    <w:rsid w:val="00637DDE"/>
    <w:rsid w:val="00640F08"/>
    <w:rsid w:val="0064106B"/>
    <w:rsid w:val="0064625D"/>
    <w:rsid w:val="00647A32"/>
    <w:rsid w:val="00650098"/>
    <w:rsid w:val="00650A8F"/>
    <w:rsid w:val="00650BCD"/>
    <w:rsid w:val="00652908"/>
    <w:rsid w:val="00652914"/>
    <w:rsid w:val="006532B8"/>
    <w:rsid w:val="00654D06"/>
    <w:rsid w:val="00655A17"/>
    <w:rsid w:val="006567E1"/>
    <w:rsid w:val="00662909"/>
    <w:rsid w:val="00663CD3"/>
    <w:rsid w:val="006672FE"/>
    <w:rsid w:val="006726B4"/>
    <w:rsid w:val="00673146"/>
    <w:rsid w:val="00675C12"/>
    <w:rsid w:val="00676254"/>
    <w:rsid w:val="006769E6"/>
    <w:rsid w:val="006776C8"/>
    <w:rsid w:val="00677A2F"/>
    <w:rsid w:val="00682491"/>
    <w:rsid w:val="006825EE"/>
    <w:rsid w:val="006827DD"/>
    <w:rsid w:val="00682F4B"/>
    <w:rsid w:val="0068413F"/>
    <w:rsid w:val="00687DF9"/>
    <w:rsid w:val="00690258"/>
    <w:rsid w:val="0069071D"/>
    <w:rsid w:val="00691DCB"/>
    <w:rsid w:val="00691EED"/>
    <w:rsid w:val="0069524A"/>
    <w:rsid w:val="00695495"/>
    <w:rsid w:val="0069608F"/>
    <w:rsid w:val="006A0383"/>
    <w:rsid w:val="006A127E"/>
    <w:rsid w:val="006A1DAA"/>
    <w:rsid w:val="006A28E1"/>
    <w:rsid w:val="006A38D6"/>
    <w:rsid w:val="006A4028"/>
    <w:rsid w:val="006A4250"/>
    <w:rsid w:val="006A4D4E"/>
    <w:rsid w:val="006B35EC"/>
    <w:rsid w:val="006B51F2"/>
    <w:rsid w:val="006B67D8"/>
    <w:rsid w:val="006B6EDE"/>
    <w:rsid w:val="006C014A"/>
    <w:rsid w:val="006C0FBC"/>
    <w:rsid w:val="006C10FD"/>
    <w:rsid w:val="006C29D2"/>
    <w:rsid w:val="006D11E8"/>
    <w:rsid w:val="006D1C5E"/>
    <w:rsid w:val="006D7B68"/>
    <w:rsid w:val="006E11AA"/>
    <w:rsid w:val="006E1694"/>
    <w:rsid w:val="006E3CFC"/>
    <w:rsid w:val="006F0ED0"/>
    <w:rsid w:val="006F1490"/>
    <w:rsid w:val="006F499C"/>
    <w:rsid w:val="006F6CA0"/>
    <w:rsid w:val="0070072D"/>
    <w:rsid w:val="0070136D"/>
    <w:rsid w:val="00702EB0"/>
    <w:rsid w:val="007030F4"/>
    <w:rsid w:val="00703573"/>
    <w:rsid w:val="00703633"/>
    <w:rsid w:val="0070660F"/>
    <w:rsid w:val="00707CEE"/>
    <w:rsid w:val="007101CA"/>
    <w:rsid w:val="007109B1"/>
    <w:rsid w:val="00711D8F"/>
    <w:rsid w:val="0071666D"/>
    <w:rsid w:val="0071733E"/>
    <w:rsid w:val="00717738"/>
    <w:rsid w:val="0072131A"/>
    <w:rsid w:val="00721B18"/>
    <w:rsid w:val="00722E9F"/>
    <w:rsid w:val="00723075"/>
    <w:rsid w:val="0072312A"/>
    <w:rsid w:val="0072401E"/>
    <w:rsid w:val="007251D0"/>
    <w:rsid w:val="007265AF"/>
    <w:rsid w:val="00727AE8"/>
    <w:rsid w:val="0073056A"/>
    <w:rsid w:val="0073357B"/>
    <w:rsid w:val="00733AED"/>
    <w:rsid w:val="00735862"/>
    <w:rsid w:val="007366C4"/>
    <w:rsid w:val="00744D19"/>
    <w:rsid w:val="0074742D"/>
    <w:rsid w:val="00747A7E"/>
    <w:rsid w:val="00747D2F"/>
    <w:rsid w:val="00750FEF"/>
    <w:rsid w:val="00754D79"/>
    <w:rsid w:val="00755754"/>
    <w:rsid w:val="00765D1A"/>
    <w:rsid w:val="00766588"/>
    <w:rsid w:val="007668B6"/>
    <w:rsid w:val="00767F24"/>
    <w:rsid w:val="007700A7"/>
    <w:rsid w:val="007713A7"/>
    <w:rsid w:val="007721F3"/>
    <w:rsid w:val="0077339D"/>
    <w:rsid w:val="00775CA9"/>
    <w:rsid w:val="00780ABA"/>
    <w:rsid w:val="00780B6F"/>
    <w:rsid w:val="00780E09"/>
    <w:rsid w:val="007816FB"/>
    <w:rsid w:val="0078181D"/>
    <w:rsid w:val="007867A2"/>
    <w:rsid w:val="00795EA8"/>
    <w:rsid w:val="007962DB"/>
    <w:rsid w:val="007A05F6"/>
    <w:rsid w:val="007A098A"/>
    <w:rsid w:val="007A0EBF"/>
    <w:rsid w:val="007A352C"/>
    <w:rsid w:val="007A47E1"/>
    <w:rsid w:val="007A56C8"/>
    <w:rsid w:val="007A7AA9"/>
    <w:rsid w:val="007B0206"/>
    <w:rsid w:val="007B0AD5"/>
    <w:rsid w:val="007B0CF3"/>
    <w:rsid w:val="007B3A8E"/>
    <w:rsid w:val="007B5624"/>
    <w:rsid w:val="007B5DC6"/>
    <w:rsid w:val="007B7F60"/>
    <w:rsid w:val="007C039F"/>
    <w:rsid w:val="007C1ECB"/>
    <w:rsid w:val="007D024C"/>
    <w:rsid w:val="007D15FE"/>
    <w:rsid w:val="007D4F9F"/>
    <w:rsid w:val="007D79E5"/>
    <w:rsid w:val="007E1D76"/>
    <w:rsid w:val="007E4359"/>
    <w:rsid w:val="007F58DB"/>
    <w:rsid w:val="00801001"/>
    <w:rsid w:val="00802EAB"/>
    <w:rsid w:val="00803DED"/>
    <w:rsid w:val="0080612B"/>
    <w:rsid w:val="00807732"/>
    <w:rsid w:val="00812606"/>
    <w:rsid w:val="00812F14"/>
    <w:rsid w:val="00815011"/>
    <w:rsid w:val="00817671"/>
    <w:rsid w:val="00817DA0"/>
    <w:rsid w:val="00821403"/>
    <w:rsid w:val="00823B73"/>
    <w:rsid w:val="00823D4A"/>
    <w:rsid w:val="00825DA9"/>
    <w:rsid w:val="008277EE"/>
    <w:rsid w:val="008312DA"/>
    <w:rsid w:val="00831EB3"/>
    <w:rsid w:val="00832817"/>
    <w:rsid w:val="00833D6C"/>
    <w:rsid w:val="00834832"/>
    <w:rsid w:val="0083535E"/>
    <w:rsid w:val="00835644"/>
    <w:rsid w:val="00836AAF"/>
    <w:rsid w:val="008375FE"/>
    <w:rsid w:val="00837C38"/>
    <w:rsid w:val="00841E8B"/>
    <w:rsid w:val="008422B8"/>
    <w:rsid w:val="00843523"/>
    <w:rsid w:val="008435BE"/>
    <w:rsid w:val="008441CF"/>
    <w:rsid w:val="00844234"/>
    <w:rsid w:val="008450C0"/>
    <w:rsid w:val="00854572"/>
    <w:rsid w:val="0085480A"/>
    <w:rsid w:val="00857088"/>
    <w:rsid w:val="00857F47"/>
    <w:rsid w:val="00860B90"/>
    <w:rsid w:val="00861BFC"/>
    <w:rsid w:val="00861E61"/>
    <w:rsid w:val="00862353"/>
    <w:rsid w:val="00863CEE"/>
    <w:rsid w:val="008656B4"/>
    <w:rsid w:val="008677BB"/>
    <w:rsid w:val="008700D6"/>
    <w:rsid w:val="008726B2"/>
    <w:rsid w:val="00873F74"/>
    <w:rsid w:val="008746DA"/>
    <w:rsid w:val="00874E07"/>
    <w:rsid w:val="0087571B"/>
    <w:rsid w:val="00876AE4"/>
    <w:rsid w:val="00880DFE"/>
    <w:rsid w:val="008810EA"/>
    <w:rsid w:val="008857A8"/>
    <w:rsid w:val="00887F65"/>
    <w:rsid w:val="00892655"/>
    <w:rsid w:val="00894BAA"/>
    <w:rsid w:val="00894C9E"/>
    <w:rsid w:val="008972FD"/>
    <w:rsid w:val="008A08ED"/>
    <w:rsid w:val="008A1113"/>
    <w:rsid w:val="008A2C79"/>
    <w:rsid w:val="008A30B9"/>
    <w:rsid w:val="008A6873"/>
    <w:rsid w:val="008B0EEE"/>
    <w:rsid w:val="008B12ED"/>
    <w:rsid w:val="008B29C2"/>
    <w:rsid w:val="008B3B18"/>
    <w:rsid w:val="008B4B3A"/>
    <w:rsid w:val="008B593F"/>
    <w:rsid w:val="008B74AC"/>
    <w:rsid w:val="008B7728"/>
    <w:rsid w:val="008C1F9A"/>
    <w:rsid w:val="008C3039"/>
    <w:rsid w:val="008C580E"/>
    <w:rsid w:val="008C5AC6"/>
    <w:rsid w:val="008C65E9"/>
    <w:rsid w:val="008C6E7E"/>
    <w:rsid w:val="008C7C95"/>
    <w:rsid w:val="008D166A"/>
    <w:rsid w:val="008D39AD"/>
    <w:rsid w:val="008D4B28"/>
    <w:rsid w:val="008D5CE4"/>
    <w:rsid w:val="008D7BB3"/>
    <w:rsid w:val="008E065F"/>
    <w:rsid w:val="008E567E"/>
    <w:rsid w:val="008E6FFD"/>
    <w:rsid w:val="008E78CC"/>
    <w:rsid w:val="008F09DB"/>
    <w:rsid w:val="008F0B8B"/>
    <w:rsid w:val="008F0C76"/>
    <w:rsid w:val="008F2310"/>
    <w:rsid w:val="008F4804"/>
    <w:rsid w:val="008F4AA3"/>
    <w:rsid w:val="008F5E33"/>
    <w:rsid w:val="008F5FC7"/>
    <w:rsid w:val="0090576D"/>
    <w:rsid w:val="00905C21"/>
    <w:rsid w:val="00907604"/>
    <w:rsid w:val="009127E0"/>
    <w:rsid w:val="0091337A"/>
    <w:rsid w:val="00914FE2"/>
    <w:rsid w:val="00917452"/>
    <w:rsid w:val="00917579"/>
    <w:rsid w:val="00923D47"/>
    <w:rsid w:val="00930FF1"/>
    <w:rsid w:val="00934160"/>
    <w:rsid w:val="009351A7"/>
    <w:rsid w:val="009374DF"/>
    <w:rsid w:val="00940B20"/>
    <w:rsid w:val="009424F3"/>
    <w:rsid w:val="009435CE"/>
    <w:rsid w:val="00945CD2"/>
    <w:rsid w:val="009530E6"/>
    <w:rsid w:val="00954B31"/>
    <w:rsid w:val="00961879"/>
    <w:rsid w:val="0096555A"/>
    <w:rsid w:val="009700BA"/>
    <w:rsid w:val="009720AD"/>
    <w:rsid w:val="009725DC"/>
    <w:rsid w:val="00972851"/>
    <w:rsid w:val="009746A1"/>
    <w:rsid w:val="00974C4B"/>
    <w:rsid w:val="00976661"/>
    <w:rsid w:val="00976C88"/>
    <w:rsid w:val="009808FE"/>
    <w:rsid w:val="00980B82"/>
    <w:rsid w:val="00980FAC"/>
    <w:rsid w:val="0098334D"/>
    <w:rsid w:val="00984163"/>
    <w:rsid w:val="009841E0"/>
    <w:rsid w:val="00984909"/>
    <w:rsid w:val="00985500"/>
    <w:rsid w:val="009900E6"/>
    <w:rsid w:val="00992050"/>
    <w:rsid w:val="009929AC"/>
    <w:rsid w:val="00992CBF"/>
    <w:rsid w:val="009931BD"/>
    <w:rsid w:val="009935CB"/>
    <w:rsid w:val="0099433E"/>
    <w:rsid w:val="009943E2"/>
    <w:rsid w:val="009943E4"/>
    <w:rsid w:val="00994C16"/>
    <w:rsid w:val="00995E1B"/>
    <w:rsid w:val="009A06FE"/>
    <w:rsid w:val="009A1F47"/>
    <w:rsid w:val="009A216C"/>
    <w:rsid w:val="009A237A"/>
    <w:rsid w:val="009A49A7"/>
    <w:rsid w:val="009A6655"/>
    <w:rsid w:val="009A6BFF"/>
    <w:rsid w:val="009A6F5A"/>
    <w:rsid w:val="009A7661"/>
    <w:rsid w:val="009B0633"/>
    <w:rsid w:val="009B08A2"/>
    <w:rsid w:val="009B21A6"/>
    <w:rsid w:val="009B3867"/>
    <w:rsid w:val="009B4794"/>
    <w:rsid w:val="009B5DC8"/>
    <w:rsid w:val="009B633D"/>
    <w:rsid w:val="009B706D"/>
    <w:rsid w:val="009B7617"/>
    <w:rsid w:val="009B7DEC"/>
    <w:rsid w:val="009C11F5"/>
    <w:rsid w:val="009C14F3"/>
    <w:rsid w:val="009C2DEC"/>
    <w:rsid w:val="009C4455"/>
    <w:rsid w:val="009C4881"/>
    <w:rsid w:val="009C62DA"/>
    <w:rsid w:val="009C66D9"/>
    <w:rsid w:val="009D18EB"/>
    <w:rsid w:val="009D3DBB"/>
    <w:rsid w:val="009D6C40"/>
    <w:rsid w:val="009E0F67"/>
    <w:rsid w:val="009E1087"/>
    <w:rsid w:val="009E16CB"/>
    <w:rsid w:val="009E20EB"/>
    <w:rsid w:val="009E6687"/>
    <w:rsid w:val="009F04FE"/>
    <w:rsid w:val="009F0ABC"/>
    <w:rsid w:val="009F236D"/>
    <w:rsid w:val="009F597D"/>
    <w:rsid w:val="009F5AD7"/>
    <w:rsid w:val="009F650A"/>
    <w:rsid w:val="009F66F2"/>
    <w:rsid w:val="009F7A3D"/>
    <w:rsid w:val="00A00C8E"/>
    <w:rsid w:val="00A01D3E"/>
    <w:rsid w:val="00A01F3D"/>
    <w:rsid w:val="00A02118"/>
    <w:rsid w:val="00A027C5"/>
    <w:rsid w:val="00A07186"/>
    <w:rsid w:val="00A10F52"/>
    <w:rsid w:val="00A131A5"/>
    <w:rsid w:val="00A134F5"/>
    <w:rsid w:val="00A13D8D"/>
    <w:rsid w:val="00A1409B"/>
    <w:rsid w:val="00A15D49"/>
    <w:rsid w:val="00A16AEB"/>
    <w:rsid w:val="00A17DBC"/>
    <w:rsid w:val="00A2693E"/>
    <w:rsid w:val="00A27C9C"/>
    <w:rsid w:val="00A30D9A"/>
    <w:rsid w:val="00A33327"/>
    <w:rsid w:val="00A3359A"/>
    <w:rsid w:val="00A35659"/>
    <w:rsid w:val="00A35E17"/>
    <w:rsid w:val="00A36D67"/>
    <w:rsid w:val="00A4371F"/>
    <w:rsid w:val="00A444F9"/>
    <w:rsid w:val="00A4694A"/>
    <w:rsid w:val="00A47876"/>
    <w:rsid w:val="00A504C1"/>
    <w:rsid w:val="00A50F60"/>
    <w:rsid w:val="00A526FF"/>
    <w:rsid w:val="00A536AE"/>
    <w:rsid w:val="00A537E4"/>
    <w:rsid w:val="00A55BF2"/>
    <w:rsid w:val="00A55C94"/>
    <w:rsid w:val="00A55CB3"/>
    <w:rsid w:val="00A56737"/>
    <w:rsid w:val="00A6137F"/>
    <w:rsid w:val="00A637DC"/>
    <w:rsid w:val="00A65265"/>
    <w:rsid w:val="00A6627C"/>
    <w:rsid w:val="00A67BD1"/>
    <w:rsid w:val="00A75D84"/>
    <w:rsid w:val="00A80BB3"/>
    <w:rsid w:val="00A81BE7"/>
    <w:rsid w:val="00A83109"/>
    <w:rsid w:val="00A835E4"/>
    <w:rsid w:val="00A83DD7"/>
    <w:rsid w:val="00A85809"/>
    <w:rsid w:val="00A905D8"/>
    <w:rsid w:val="00A90994"/>
    <w:rsid w:val="00A93F03"/>
    <w:rsid w:val="00A94219"/>
    <w:rsid w:val="00A96827"/>
    <w:rsid w:val="00AA0E3C"/>
    <w:rsid w:val="00AA1DDC"/>
    <w:rsid w:val="00AA2515"/>
    <w:rsid w:val="00AA2E55"/>
    <w:rsid w:val="00AA3F0B"/>
    <w:rsid w:val="00AA46A9"/>
    <w:rsid w:val="00AA5350"/>
    <w:rsid w:val="00AA627A"/>
    <w:rsid w:val="00AA788A"/>
    <w:rsid w:val="00AB0263"/>
    <w:rsid w:val="00AB42AF"/>
    <w:rsid w:val="00AB435D"/>
    <w:rsid w:val="00AB5F09"/>
    <w:rsid w:val="00AC3B05"/>
    <w:rsid w:val="00AC4811"/>
    <w:rsid w:val="00AD1E69"/>
    <w:rsid w:val="00AD2656"/>
    <w:rsid w:val="00AD6516"/>
    <w:rsid w:val="00AD7C92"/>
    <w:rsid w:val="00AE17A2"/>
    <w:rsid w:val="00AE18F3"/>
    <w:rsid w:val="00AE2B30"/>
    <w:rsid w:val="00AE31B0"/>
    <w:rsid w:val="00AE32B5"/>
    <w:rsid w:val="00AE4702"/>
    <w:rsid w:val="00AE480B"/>
    <w:rsid w:val="00AE4864"/>
    <w:rsid w:val="00AE6083"/>
    <w:rsid w:val="00AE6BFC"/>
    <w:rsid w:val="00AE7B56"/>
    <w:rsid w:val="00AF700E"/>
    <w:rsid w:val="00AF77AF"/>
    <w:rsid w:val="00B000CA"/>
    <w:rsid w:val="00B0110C"/>
    <w:rsid w:val="00B01EAA"/>
    <w:rsid w:val="00B026BA"/>
    <w:rsid w:val="00B034C6"/>
    <w:rsid w:val="00B034F1"/>
    <w:rsid w:val="00B03E75"/>
    <w:rsid w:val="00B04898"/>
    <w:rsid w:val="00B049DC"/>
    <w:rsid w:val="00B0639B"/>
    <w:rsid w:val="00B06625"/>
    <w:rsid w:val="00B103AC"/>
    <w:rsid w:val="00B11C8F"/>
    <w:rsid w:val="00B16832"/>
    <w:rsid w:val="00B215D8"/>
    <w:rsid w:val="00B2258A"/>
    <w:rsid w:val="00B22D8D"/>
    <w:rsid w:val="00B238AD"/>
    <w:rsid w:val="00B238EC"/>
    <w:rsid w:val="00B257FE"/>
    <w:rsid w:val="00B26A9A"/>
    <w:rsid w:val="00B276FF"/>
    <w:rsid w:val="00B31EB5"/>
    <w:rsid w:val="00B326AB"/>
    <w:rsid w:val="00B333DF"/>
    <w:rsid w:val="00B337CE"/>
    <w:rsid w:val="00B44B6C"/>
    <w:rsid w:val="00B44D7B"/>
    <w:rsid w:val="00B46C43"/>
    <w:rsid w:val="00B470A9"/>
    <w:rsid w:val="00B476E2"/>
    <w:rsid w:val="00B507E5"/>
    <w:rsid w:val="00B50BB2"/>
    <w:rsid w:val="00B52533"/>
    <w:rsid w:val="00B528A4"/>
    <w:rsid w:val="00B52F7D"/>
    <w:rsid w:val="00B5312B"/>
    <w:rsid w:val="00B53772"/>
    <w:rsid w:val="00B54CC4"/>
    <w:rsid w:val="00B6113C"/>
    <w:rsid w:val="00B623A3"/>
    <w:rsid w:val="00B634A2"/>
    <w:rsid w:val="00B6382C"/>
    <w:rsid w:val="00B639AC"/>
    <w:rsid w:val="00B63E24"/>
    <w:rsid w:val="00B645ED"/>
    <w:rsid w:val="00B64BC1"/>
    <w:rsid w:val="00B70230"/>
    <w:rsid w:val="00B71A0B"/>
    <w:rsid w:val="00B720EC"/>
    <w:rsid w:val="00B762E0"/>
    <w:rsid w:val="00B77D4E"/>
    <w:rsid w:val="00B77E64"/>
    <w:rsid w:val="00B802DF"/>
    <w:rsid w:val="00B80ABF"/>
    <w:rsid w:val="00B81BB1"/>
    <w:rsid w:val="00B825D0"/>
    <w:rsid w:val="00B8296D"/>
    <w:rsid w:val="00B83929"/>
    <w:rsid w:val="00B86503"/>
    <w:rsid w:val="00B915F1"/>
    <w:rsid w:val="00B9326A"/>
    <w:rsid w:val="00B933D4"/>
    <w:rsid w:val="00B94023"/>
    <w:rsid w:val="00B94931"/>
    <w:rsid w:val="00B94FFD"/>
    <w:rsid w:val="00B95B10"/>
    <w:rsid w:val="00B96DE3"/>
    <w:rsid w:val="00BA0042"/>
    <w:rsid w:val="00BA0A53"/>
    <w:rsid w:val="00BA0BAE"/>
    <w:rsid w:val="00BA156E"/>
    <w:rsid w:val="00BA1792"/>
    <w:rsid w:val="00BA2DE8"/>
    <w:rsid w:val="00BA2E38"/>
    <w:rsid w:val="00BA795C"/>
    <w:rsid w:val="00BB12A6"/>
    <w:rsid w:val="00BB1C2F"/>
    <w:rsid w:val="00BB2003"/>
    <w:rsid w:val="00BB2479"/>
    <w:rsid w:val="00BB2768"/>
    <w:rsid w:val="00BB488D"/>
    <w:rsid w:val="00BB5292"/>
    <w:rsid w:val="00BB7136"/>
    <w:rsid w:val="00BC1268"/>
    <w:rsid w:val="00BC3A00"/>
    <w:rsid w:val="00BC3CA2"/>
    <w:rsid w:val="00BC4207"/>
    <w:rsid w:val="00BC4482"/>
    <w:rsid w:val="00BC5C11"/>
    <w:rsid w:val="00BD1D13"/>
    <w:rsid w:val="00BD357C"/>
    <w:rsid w:val="00BD4F19"/>
    <w:rsid w:val="00BD5209"/>
    <w:rsid w:val="00BE0430"/>
    <w:rsid w:val="00BE34A5"/>
    <w:rsid w:val="00BE5789"/>
    <w:rsid w:val="00BE6617"/>
    <w:rsid w:val="00BE7950"/>
    <w:rsid w:val="00BF06E7"/>
    <w:rsid w:val="00BF1A08"/>
    <w:rsid w:val="00BF209F"/>
    <w:rsid w:val="00BF3EE1"/>
    <w:rsid w:val="00BF6F8D"/>
    <w:rsid w:val="00BF6FE1"/>
    <w:rsid w:val="00BF72F1"/>
    <w:rsid w:val="00BF735E"/>
    <w:rsid w:val="00BF7DAF"/>
    <w:rsid w:val="00C00549"/>
    <w:rsid w:val="00C0056B"/>
    <w:rsid w:val="00C03AA9"/>
    <w:rsid w:val="00C0644C"/>
    <w:rsid w:val="00C1073B"/>
    <w:rsid w:val="00C11340"/>
    <w:rsid w:val="00C113D7"/>
    <w:rsid w:val="00C132F6"/>
    <w:rsid w:val="00C13CBB"/>
    <w:rsid w:val="00C1402F"/>
    <w:rsid w:val="00C14BFA"/>
    <w:rsid w:val="00C1630A"/>
    <w:rsid w:val="00C17F26"/>
    <w:rsid w:val="00C205C8"/>
    <w:rsid w:val="00C20EB6"/>
    <w:rsid w:val="00C211EB"/>
    <w:rsid w:val="00C213AE"/>
    <w:rsid w:val="00C23208"/>
    <w:rsid w:val="00C26E28"/>
    <w:rsid w:val="00C26FDD"/>
    <w:rsid w:val="00C31466"/>
    <w:rsid w:val="00C37C2B"/>
    <w:rsid w:val="00C4006D"/>
    <w:rsid w:val="00C42756"/>
    <w:rsid w:val="00C430A9"/>
    <w:rsid w:val="00C4326E"/>
    <w:rsid w:val="00C4402A"/>
    <w:rsid w:val="00C45F46"/>
    <w:rsid w:val="00C46E48"/>
    <w:rsid w:val="00C51A72"/>
    <w:rsid w:val="00C52A4E"/>
    <w:rsid w:val="00C53ADC"/>
    <w:rsid w:val="00C5625E"/>
    <w:rsid w:val="00C563BB"/>
    <w:rsid w:val="00C60613"/>
    <w:rsid w:val="00C6075F"/>
    <w:rsid w:val="00C60B3F"/>
    <w:rsid w:val="00C66038"/>
    <w:rsid w:val="00C670F3"/>
    <w:rsid w:val="00C67BCD"/>
    <w:rsid w:val="00C70A7E"/>
    <w:rsid w:val="00C72B0F"/>
    <w:rsid w:val="00C73F08"/>
    <w:rsid w:val="00C74AB2"/>
    <w:rsid w:val="00C74CB4"/>
    <w:rsid w:val="00C762DE"/>
    <w:rsid w:val="00C77433"/>
    <w:rsid w:val="00C77708"/>
    <w:rsid w:val="00C80D93"/>
    <w:rsid w:val="00C82A47"/>
    <w:rsid w:val="00C83E15"/>
    <w:rsid w:val="00C84911"/>
    <w:rsid w:val="00C84CB0"/>
    <w:rsid w:val="00C8796F"/>
    <w:rsid w:val="00C90F4E"/>
    <w:rsid w:val="00C9282D"/>
    <w:rsid w:val="00C929D4"/>
    <w:rsid w:val="00C92B20"/>
    <w:rsid w:val="00C932EB"/>
    <w:rsid w:val="00C933ED"/>
    <w:rsid w:val="00C94EB0"/>
    <w:rsid w:val="00C9569C"/>
    <w:rsid w:val="00CA136B"/>
    <w:rsid w:val="00CA22A3"/>
    <w:rsid w:val="00CA24C6"/>
    <w:rsid w:val="00CA3761"/>
    <w:rsid w:val="00CA3856"/>
    <w:rsid w:val="00CA67E1"/>
    <w:rsid w:val="00CA6FB8"/>
    <w:rsid w:val="00CA7470"/>
    <w:rsid w:val="00CB0217"/>
    <w:rsid w:val="00CB0E63"/>
    <w:rsid w:val="00CB120F"/>
    <w:rsid w:val="00CB3939"/>
    <w:rsid w:val="00CB5E70"/>
    <w:rsid w:val="00CB6265"/>
    <w:rsid w:val="00CB6C65"/>
    <w:rsid w:val="00CB6E9C"/>
    <w:rsid w:val="00CB72A8"/>
    <w:rsid w:val="00CB7AE1"/>
    <w:rsid w:val="00CC06F7"/>
    <w:rsid w:val="00CC070C"/>
    <w:rsid w:val="00CC63A8"/>
    <w:rsid w:val="00CC7482"/>
    <w:rsid w:val="00CD4176"/>
    <w:rsid w:val="00CD4768"/>
    <w:rsid w:val="00CD6CB9"/>
    <w:rsid w:val="00CE00DD"/>
    <w:rsid w:val="00CE0BBD"/>
    <w:rsid w:val="00CE10A4"/>
    <w:rsid w:val="00CE1235"/>
    <w:rsid w:val="00CE520D"/>
    <w:rsid w:val="00CE5D3D"/>
    <w:rsid w:val="00CF059D"/>
    <w:rsid w:val="00CF2F73"/>
    <w:rsid w:val="00CF3861"/>
    <w:rsid w:val="00CF44EB"/>
    <w:rsid w:val="00CF5495"/>
    <w:rsid w:val="00CF6BE5"/>
    <w:rsid w:val="00D01463"/>
    <w:rsid w:val="00D0299A"/>
    <w:rsid w:val="00D0304C"/>
    <w:rsid w:val="00D0310B"/>
    <w:rsid w:val="00D04760"/>
    <w:rsid w:val="00D0660C"/>
    <w:rsid w:val="00D11642"/>
    <w:rsid w:val="00D11931"/>
    <w:rsid w:val="00D1264A"/>
    <w:rsid w:val="00D133AE"/>
    <w:rsid w:val="00D150A9"/>
    <w:rsid w:val="00D220B5"/>
    <w:rsid w:val="00D231DB"/>
    <w:rsid w:val="00D2521F"/>
    <w:rsid w:val="00D25DEF"/>
    <w:rsid w:val="00D25F22"/>
    <w:rsid w:val="00D25F55"/>
    <w:rsid w:val="00D26872"/>
    <w:rsid w:val="00D272EA"/>
    <w:rsid w:val="00D279E0"/>
    <w:rsid w:val="00D27D52"/>
    <w:rsid w:val="00D30A06"/>
    <w:rsid w:val="00D3390F"/>
    <w:rsid w:val="00D35B70"/>
    <w:rsid w:val="00D36A2B"/>
    <w:rsid w:val="00D3776C"/>
    <w:rsid w:val="00D377A4"/>
    <w:rsid w:val="00D424A4"/>
    <w:rsid w:val="00D472BE"/>
    <w:rsid w:val="00D47F07"/>
    <w:rsid w:val="00D50DEE"/>
    <w:rsid w:val="00D514D2"/>
    <w:rsid w:val="00D5263E"/>
    <w:rsid w:val="00D52853"/>
    <w:rsid w:val="00D543D5"/>
    <w:rsid w:val="00D56826"/>
    <w:rsid w:val="00D5775A"/>
    <w:rsid w:val="00D5796D"/>
    <w:rsid w:val="00D57EDB"/>
    <w:rsid w:val="00D615B6"/>
    <w:rsid w:val="00D6238D"/>
    <w:rsid w:val="00D62428"/>
    <w:rsid w:val="00D6329B"/>
    <w:rsid w:val="00D65011"/>
    <w:rsid w:val="00D66E74"/>
    <w:rsid w:val="00D766A9"/>
    <w:rsid w:val="00D7747C"/>
    <w:rsid w:val="00D77CB6"/>
    <w:rsid w:val="00D81D83"/>
    <w:rsid w:val="00D81FBA"/>
    <w:rsid w:val="00D83692"/>
    <w:rsid w:val="00D84D26"/>
    <w:rsid w:val="00D87991"/>
    <w:rsid w:val="00D94349"/>
    <w:rsid w:val="00D946AD"/>
    <w:rsid w:val="00D94828"/>
    <w:rsid w:val="00D94D48"/>
    <w:rsid w:val="00D969C6"/>
    <w:rsid w:val="00D971E2"/>
    <w:rsid w:val="00DA097F"/>
    <w:rsid w:val="00DA29BC"/>
    <w:rsid w:val="00DA3197"/>
    <w:rsid w:val="00DA3ECA"/>
    <w:rsid w:val="00DA3F81"/>
    <w:rsid w:val="00DA54F3"/>
    <w:rsid w:val="00DA5BF4"/>
    <w:rsid w:val="00DA6E70"/>
    <w:rsid w:val="00DA73A3"/>
    <w:rsid w:val="00DB2563"/>
    <w:rsid w:val="00DB3948"/>
    <w:rsid w:val="00DB433B"/>
    <w:rsid w:val="00DB49A0"/>
    <w:rsid w:val="00DB53BE"/>
    <w:rsid w:val="00DB640F"/>
    <w:rsid w:val="00DC07A8"/>
    <w:rsid w:val="00DC1DA7"/>
    <w:rsid w:val="00DC36D5"/>
    <w:rsid w:val="00DC58DC"/>
    <w:rsid w:val="00DC5C28"/>
    <w:rsid w:val="00DC65BA"/>
    <w:rsid w:val="00DC7DBC"/>
    <w:rsid w:val="00DD05F3"/>
    <w:rsid w:val="00DD2BA4"/>
    <w:rsid w:val="00DD2F8D"/>
    <w:rsid w:val="00DD31B2"/>
    <w:rsid w:val="00DD608C"/>
    <w:rsid w:val="00DD653A"/>
    <w:rsid w:val="00DD7048"/>
    <w:rsid w:val="00DE28C0"/>
    <w:rsid w:val="00DE2BD5"/>
    <w:rsid w:val="00DE2D30"/>
    <w:rsid w:val="00DE39F5"/>
    <w:rsid w:val="00DF2905"/>
    <w:rsid w:val="00DF37A2"/>
    <w:rsid w:val="00DF4241"/>
    <w:rsid w:val="00DF4F3C"/>
    <w:rsid w:val="00DF51D7"/>
    <w:rsid w:val="00DF7F81"/>
    <w:rsid w:val="00E004B7"/>
    <w:rsid w:val="00E02307"/>
    <w:rsid w:val="00E06925"/>
    <w:rsid w:val="00E116FF"/>
    <w:rsid w:val="00E121B5"/>
    <w:rsid w:val="00E12A33"/>
    <w:rsid w:val="00E130D6"/>
    <w:rsid w:val="00E13223"/>
    <w:rsid w:val="00E142CB"/>
    <w:rsid w:val="00E14FC3"/>
    <w:rsid w:val="00E150B2"/>
    <w:rsid w:val="00E15120"/>
    <w:rsid w:val="00E15B04"/>
    <w:rsid w:val="00E176DD"/>
    <w:rsid w:val="00E2119E"/>
    <w:rsid w:val="00E23048"/>
    <w:rsid w:val="00E2592B"/>
    <w:rsid w:val="00E25E6F"/>
    <w:rsid w:val="00E25F53"/>
    <w:rsid w:val="00E2748A"/>
    <w:rsid w:val="00E310A1"/>
    <w:rsid w:val="00E32493"/>
    <w:rsid w:val="00E329EE"/>
    <w:rsid w:val="00E32C59"/>
    <w:rsid w:val="00E33E6A"/>
    <w:rsid w:val="00E33EDB"/>
    <w:rsid w:val="00E3612E"/>
    <w:rsid w:val="00E405F2"/>
    <w:rsid w:val="00E41EAB"/>
    <w:rsid w:val="00E4245E"/>
    <w:rsid w:val="00E45EA3"/>
    <w:rsid w:val="00E47851"/>
    <w:rsid w:val="00E5117D"/>
    <w:rsid w:val="00E52235"/>
    <w:rsid w:val="00E56505"/>
    <w:rsid w:val="00E60036"/>
    <w:rsid w:val="00E602B0"/>
    <w:rsid w:val="00E60926"/>
    <w:rsid w:val="00E64385"/>
    <w:rsid w:val="00E706B3"/>
    <w:rsid w:val="00E70976"/>
    <w:rsid w:val="00E70D1E"/>
    <w:rsid w:val="00E71C0F"/>
    <w:rsid w:val="00E7392F"/>
    <w:rsid w:val="00E7422B"/>
    <w:rsid w:val="00E74F34"/>
    <w:rsid w:val="00E75BDA"/>
    <w:rsid w:val="00E75C39"/>
    <w:rsid w:val="00E843DA"/>
    <w:rsid w:val="00E87101"/>
    <w:rsid w:val="00E87560"/>
    <w:rsid w:val="00E879F0"/>
    <w:rsid w:val="00E90992"/>
    <w:rsid w:val="00E90C74"/>
    <w:rsid w:val="00E93150"/>
    <w:rsid w:val="00E965C6"/>
    <w:rsid w:val="00E97584"/>
    <w:rsid w:val="00E97963"/>
    <w:rsid w:val="00EA002D"/>
    <w:rsid w:val="00EA0BBF"/>
    <w:rsid w:val="00EA1141"/>
    <w:rsid w:val="00EA157C"/>
    <w:rsid w:val="00EA18F9"/>
    <w:rsid w:val="00EA25F1"/>
    <w:rsid w:val="00EA4448"/>
    <w:rsid w:val="00EA4484"/>
    <w:rsid w:val="00EA50FE"/>
    <w:rsid w:val="00EA548F"/>
    <w:rsid w:val="00EA591B"/>
    <w:rsid w:val="00EA7ED3"/>
    <w:rsid w:val="00EB000D"/>
    <w:rsid w:val="00EB0460"/>
    <w:rsid w:val="00EB2D01"/>
    <w:rsid w:val="00EB58F3"/>
    <w:rsid w:val="00EB7779"/>
    <w:rsid w:val="00EC0893"/>
    <w:rsid w:val="00EC28A2"/>
    <w:rsid w:val="00EC30EC"/>
    <w:rsid w:val="00EC3597"/>
    <w:rsid w:val="00EC3E67"/>
    <w:rsid w:val="00ED0EBB"/>
    <w:rsid w:val="00ED299B"/>
    <w:rsid w:val="00ED4F4D"/>
    <w:rsid w:val="00ED7FC5"/>
    <w:rsid w:val="00EE0522"/>
    <w:rsid w:val="00EE1C66"/>
    <w:rsid w:val="00EE2184"/>
    <w:rsid w:val="00EE2789"/>
    <w:rsid w:val="00EE3E87"/>
    <w:rsid w:val="00EE4455"/>
    <w:rsid w:val="00EE6CFB"/>
    <w:rsid w:val="00EF050E"/>
    <w:rsid w:val="00EF2576"/>
    <w:rsid w:val="00EF2A4C"/>
    <w:rsid w:val="00EF38AD"/>
    <w:rsid w:val="00EF4F23"/>
    <w:rsid w:val="00EF5079"/>
    <w:rsid w:val="00F028BA"/>
    <w:rsid w:val="00F04055"/>
    <w:rsid w:val="00F05BFC"/>
    <w:rsid w:val="00F070AC"/>
    <w:rsid w:val="00F11E4E"/>
    <w:rsid w:val="00F122B9"/>
    <w:rsid w:val="00F139BA"/>
    <w:rsid w:val="00F21CD9"/>
    <w:rsid w:val="00F226BA"/>
    <w:rsid w:val="00F2365D"/>
    <w:rsid w:val="00F23819"/>
    <w:rsid w:val="00F23F05"/>
    <w:rsid w:val="00F25F41"/>
    <w:rsid w:val="00F27E14"/>
    <w:rsid w:val="00F31994"/>
    <w:rsid w:val="00F3207F"/>
    <w:rsid w:val="00F32E41"/>
    <w:rsid w:val="00F32FA7"/>
    <w:rsid w:val="00F34B5A"/>
    <w:rsid w:val="00F352E9"/>
    <w:rsid w:val="00F352F4"/>
    <w:rsid w:val="00F3541A"/>
    <w:rsid w:val="00F36672"/>
    <w:rsid w:val="00F376B5"/>
    <w:rsid w:val="00F41242"/>
    <w:rsid w:val="00F4590B"/>
    <w:rsid w:val="00F46275"/>
    <w:rsid w:val="00F46576"/>
    <w:rsid w:val="00F50B36"/>
    <w:rsid w:val="00F53052"/>
    <w:rsid w:val="00F56502"/>
    <w:rsid w:val="00F5665F"/>
    <w:rsid w:val="00F60488"/>
    <w:rsid w:val="00F610D9"/>
    <w:rsid w:val="00F61B9F"/>
    <w:rsid w:val="00F62249"/>
    <w:rsid w:val="00F631B6"/>
    <w:rsid w:val="00F63BC0"/>
    <w:rsid w:val="00F640FB"/>
    <w:rsid w:val="00F65452"/>
    <w:rsid w:val="00F719B8"/>
    <w:rsid w:val="00F71FD0"/>
    <w:rsid w:val="00F73786"/>
    <w:rsid w:val="00F81C6D"/>
    <w:rsid w:val="00F837B0"/>
    <w:rsid w:val="00F84C47"/>
    <w:rsid w:val="00F859B0"/>
    <w:rsid w:val="00F87F64"/>
    <w:rsid w:val="00F930B9"/>
    <w:rsid w:val="00F938A7"/>
    <w:rsid w:val="00F947D2"/>
    <w:rsid w:val="00F94B00"/>
    <w:rsid w:val="00F96BEB"/>
    <w:rsid w:val="00FA03AD"/>
    <w:rsid w:val="00FA0741"/>
    <w:rsid w:val="00FA1417"/>
    <w:rsid w:val="00FA200F"/>
    <w:rsid w:val="00FA21AC"/>
    <w:rsid w:val="00FA2443"/>
    <w:rsid w:val="00FA2E89"/>
    <w:rsid w:val="00FA3D90"/>
    <w:rsid w:val="00FA5894"/>
    <w:rsid w:val="00FB0F86"/>
    <w:rsid w:val="00FB206E"/>
    <w:rsid w:val="00FB51AE"/>
    <w:rsid w:val="00FB5A60"/>
    <w:rsid w:val="00FB6500"/>
    <w:rsid w:val="00FB68B0"/>
    <w:rsid w:val="00FB74E8"/>
    <w:rsid w:val="00FB7646"/>
    <w:rsid w:val="00FC430C"/>
    <w:rsid w:val="00FC51C9"/>
    <w:rsid w:val="00FC5A48"/>
    <w:rsid w:val="00FC5F18"/>
    <w:rsid w:val="00FC635E"/>
    <w:rsid w:val="00FC7332"/>
    <w:rsid w:val="00FC76FB"/>
    <w:rsid w:val="00FD06B3"/>
    <w:rsid w:val="00FD09D0"/>
    <w:rsid w:val="00FD3378"/>
    <w:rsid w:val="00FD472F"/>
    <w:rsid w:val="00FD4A56"/>
    <w:rsid w:val="00FD502B"/>
    <w:rsid w:val="00FD5D3B"/>
    <w:rsid w:val="00FD5DA4"/>
    <w:rsid w:val="00FE557A"/>
    <w:rsid w:val="00FE6CF8"/>
    <w:rsid w:val="00FE6E53"/>
    <w:rsid w:val="00FE6F70"/>
    <w:rsid w:val="00FF0580"/>
    <w:rsid w:val="00FF3752"/>
    <w:rsid w:val="00FF6087"/>
    <w:rsid w:val="00FF7037"/>
    <w:rsid w:val="00FF7FE2"/>
    <w:rsid w:val="00FF7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153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uiPriority w:val="59"/>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semiHidden/>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uiPriority w:val="99"/>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semiHidden/>
    <w:rsid w:val="00621299"/>
    <w:rPr>
      <w:sz w:val="16"/>
      <w:szCs w:val="16"/>
    </w:rPr>
  </w:style>
  <w:style w:type="paragraph" w:styleId="CommentText">
    <w:name w:val="annotation text"/>
    <w:basedOn w:val="Normal"/>
    <w:link w:val="CommentTextChar"/>
    <w:uiPriority w:val="99"/>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paragraph" w:customStyle="1" w:styleId="Level1">
    <w:name w:val="Level 1"/>
    <w:basedOn w:val="Normal"/>
    <w:rsid w:val="00D47F07"/>
    <w:pPr>
      <w:widowControl w:val="0"/>
      <w:autoSpaceDE w:val="0"/>
      <w:autoSpaceDN w:val="0"/>
      <w:adjustRightInd w:val="0"/>
      <w:ind w:left="1710" w:hanging="1710"/>
    </w:pPr>
  </w:style>
  <w:style w:type="paragraph" w:styleId="HTMLPreformatted">
    <w:name w:val="HTML Preformatted"/>
    <w:basedOn w:val="Normal"/>
    <w:rsid w:val="003C6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lainText">
    <w:name w:val="Plain Text"/>
    <w:basedOn w:val="Normal"/>
    <w:rsid w:val="006A1DAA"/>
  </w:style>
  <w:style w:type="character" w:customStyle="1" w:styleId="header31">
    <w:name w:val="header31"/>
    <w:rsid w:val="006A1DAA"/>
    <w:rPr>
      <w:rFonts w:ascii="Arial" w:hAnsi="Arial" w:cs="Arial" w:hint="default"/>
      <w:b/>
      <w:bCs/>
      <w:color w:val="000000"/>
    </w:rPr>
  </w:style>
  <w:style w:type="paragraph" w:customStyle="1" w:styleId="BodyText1">
    <w:name w:val="Body Text1"/>
    <w:basedOn w:val="Normal"/>
    <w:rsid w:val="0003026D"/>
    <w:pPr>
      <w:widowControl w:val="0"/>
      <w:autoSpaceDE w:val="0"/>
      <w:autoSpaceDN w:val="0"/>
      <w:adjustRightInd w:val="0"/>
      <w:spacing w:after="72" w:line="264" w:lineRule="atLeast"/>
      <w:textAlignment w:val="center"/>
    </w:pPr>
    <w:rPr>
      <w:rFonts w:ascii="Ocean Sans MM" w:hAnsi="Ocean Sans MM"/>
      <w:color w:val="000000"/>
      <w:spacing w:val="-4"/>
      <w:sz w:val="19"/>
      <w:szCs w:val="20"/>
    </w:rPr>
  </w:style>
  <w:style w:type="character" w:customStyle="1" w:styleId="CommentTextChar">
    <w:name w:val="Comment Text Char"/>
    <w:basedOn w:val="DefaultParagraphFont"/>
    <w:link w:val="CommentText"/>
    <w:uiPriority w:val="99"/>
    <w:semiHidden/>
    <w:locked/>
    <w:rsid w:val="004F1C6B"/>
  </w:style>
  <w:style w:type="paragraph" w:styleId="ListParagraph">
    <w:name w:val="List Paragraph"/>
    <w:basedOn w:val="Normal"/>
    <w:uiPriority w:val="34"/>
    <w:qFormat/>
    <w:rsid w:val="008746DA"/>
    <w:pPr>
      <w:ind w:left="720"/>
    </w:pPr>
  </w:style>
  <w:style w:type="character" w:customStyle="1" w:styleId="Heading2Char">
    <w:name w:val="Heading 2 Char"/>
    <w:link w:val="Heading2"/>
    <w:locked/>
    <w:rsid w:val="00CE1235"/>
    <w:rPr>
      <w:rFonts w:ascii="Arial" w:hAnsi="Arial" w:cs="Arial"/>
      <w:b/>
      <w:bCs/>
      <w:i/>
      <w:iCs/>
      <w:sz w:val="28"/>
      <w:szCs w:val="28"/>
    </w:rPr>
  </w:style>
  <w:style w:type="paragraph" w:styleId="Revision">
    <w:name w:val="Revision"/>
    <w:hidden/>
    <w:uiPriority w:val="99"/>
    <w:semiHidden/>
    <w:rsid w:val="004D2F1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uiPriority w:val="59"/>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semiHidden/>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uiPriority w:val="99"/>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semiHidden/>
    <w:rsid w:val="00621299"/>
    <w:rPr>
      <w:sz w:val="16"/>
      <w:szCs w:val="16"/>
    </w:rPr>
  </w:style>
  <w:style w:type="paragraph" w:styleId="CommentText">
    <w:name w:val="annotation text"/>
    <w:basedOn w:val="Normal"/>
    <w:link w:val="CommentTextChar"/>
    <w:uiPriority w:val="99"/>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paragraph" w:customStyle="1" w:styleId="Level1">
    <w:name w:val="Level 1"/>
    <w:basedOn w:val="Normal"/>
    <w:rsid w:val="00D47F07"/>
    <w:pPr>
      <w:widowControl w:val="0"/>
      <w:autoSpaceDE w:val="0"/>
      <w:autoSpaceDN w:val="0"/>
      <w:adjustRightInd w:val="0"/>
      <w:ind w:left="1710" w:hanging="1710"/>
    </w:pPr>
  </w:style>
  <w:style w:type="paragraph" w:styleId="HTMLPreformatted">
    <w:name w:val="HTML Preformatted"/>
    <w:basedOn w:val="Normal"/>
    <w:rsid w:val="003C6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lainText">
    <w:name w:val="Plain Text"/>
    <w:basedOn w:val="Normal"/>
    <w:rsid w:val="006A1DAA"/>
  </w:style>
  <w:style w:type="character" w:customStyle="1" w:styleId="header31">
    <w:name w:val="header31"/>
    <w:rsid w:val="006A1DAA"/>
    <w:rPr>
      <w:rFonts w:ascii="Arial" w:hAnsi="Arial" w:cs="Arial" w:hint="default"/>
      <w:b/>
      <w:bCs/>
      <w:color w:val="000000"/>
    </w:rPr>
  </w:style>
  <w:style w:type="paragraph" w:customStyle="1" w:styleId="BodyText1">
    <w:name w:val="Body Text1"/>
    <w:basedOn w:val="Normal"/>
    <w:rsid w:val="0003026D"/>
    <w:pPr>
      <w:widowControl w:val="0"/>
      <w:autoSpaceDE w:val="0"/>
      <w:autoSpaceDN w:val="0"/>
      <w:adjustRightInd w:val="0"/>
      <w:spacing w:after="72" w:line="264" w:lineRule="atLeast"/>
      <w:textAlignment w:val="center"/>
    </w:pPr>
    <w:rPr>
      <w:rFonts w:ascii="Ocean Sans MM" w:hAnsi="Ocean Sans MM"/>
      <w:color w:val="000000"/>
      <w:spacing w:val="-4"/>
      <w:sz w:val="19"/>
      <w:szCs w:val="20"/>
    </w:rPr>
  </w:style>
  <w:style w:type="character" w:customStyle="1" w:styleId="CommentTextChar">
    <w:name w:val="Comment Text Char"/>
    <w:basedOn w:val="DefaultParagraphFont"/>
    <w:link w:val="CommentText"/>
    <w:uiPriority w:val="99"/>
    <w:semiHidden/>
    <w:locked/>
    <w:rsid w:val="004F1C6B"/>
  </w:style>
  <w:style w:type="paragraph" w:styleId="ListParagraph">
    <w:name w:val="List Paragraph"/>
    <w:basedOn w:val="Normal"/>
    <w:uiPriority w:val="34"/>
    <w:qFormat/>
    <w:rsid w:val="008746DA"/>
    <w:pPr>
      <w:ind w:left="720"/>
    </w:pPr>
  </w:style>
  <w:style w:type="character" w:customStyle="1" w:styleId="Heading2Char">
    <w:name w:val="Heading 2 Char"/>
    <w:link w:val="Heading2"/>
    <w:locked/>
    <w:rsid w:val="00CE1235"/>
    <w:rPr>
      <w:rFonts w:ascii="Arial" w:hAnsi="Arial" w:cs="Arial"/>
      <w:b/>
      <w:bCs/>
      <w:i/>
      <w:iCs/>
      <w:sz w:val="28"/>
      <w:szCs w:val="28"/>
    </w:rPr>
  </w:style>
  <w:style w:type="paragraph" w:styleId="Revision">
    <w:name w:val="Revision"/>
    <w:hidden/>
    <w:uiPriority w:val="99"/>
    <w:semiHidden/>
    <w:rsid w:val="004D2F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1016">
      <w:bodyDiv w:val="1"/>
      <w:marLeft w:val="0"/>
      <w:marRight w:val="0"/>
      <w:marTop w:val="0"/>
      <w:marBottom w:val="0"/>
      <w:divBdr>
        <w:top w:val="none" w:sz="0" w:space="0" w:color="auto"/>
        <w:left w:val="none" w:sz="0" w:space="0" w:color="auto"/>
        <w:bottom w:val="none" w:sz="0" w:space="0" w:color="auto"/>
        <w:right w:val="none" w:sz="0" w:space="0" w:color="auto"/>
      </w:divBdr>
      <w:divsChild>
        <w:div w:id="268315431">
          <w:marLeft w:val="0"/>
          <w:marRight w:val="0"/>
          <w:marTop w:val="0"/>
          <w:marBottom w:val="0"/>
          <w:divBdr>
            <w:top w:val="none" w:sz="0" w:space="0" w:color="auto"/>
            <w:left w:val="none" w:sz="0" w:space="0" w:color="auto"/>
            <w:bottom w:val="none" w:sz="0" w:space="0" w:color="auto"/>
            <w:right w:val="none" w:sz="0" w:space="0" w:color="auto"/>
          </w:divBdr>
          <w:divsChild>
            <w:div w:id="963194836">
              <w:marLeft w:val="0"/>
              <w:marRight w:val="0"/>
              <w:marTop w:val="0"/>
              <w:marBottom w:val="0"/>
              <w:divBdr>
                <w:top w:val="none" w:sz="0" w:space="0" w:color="auto"/>
                <w:left w:val="none" w:sz="0" w:space="0" w:color="auto"/>
                <w:bottom w:val="none" w:sz="0" w:space="0" w:color="auto"/>
                <w:right w:val="none" w:sz="0" w:space="0" w:color="auto"/>
              </w:divBdr>
            </w:div>
            <w:div w:id="155977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72305">
      <w:bodyDiv w:val="1"/>
      <w:marLeft w:val="0"/>
      <w:marRight w:val="0"/>
      <w:marTop w:val="0"/>
      <w:marBottom w:val="0"/>
      <w:divBdr>
        <w:top w:val="none" w:sz="0" w:space="0" w:color="auto"/>
        <w:left w:val="none" w:sz="0" w:space="0" w:color="auto"/>
        <w:bottom w:val="none" w:sz="0" w:space="0" w:color="auto"/>
        <w:right w:val="none" w:sz="0" w:space="0" w:color="auto"/>
      </w:divBdr>
    </w:div>
    <w:div w:id="31855432">
      <w:bodyDiv w:val="1"/>
      <w:marLeft w:val="0"/>
      <w:marRight w:val="0"/>
      <w:marTop w:val="0"/>
      <w:marBottom w:val="0"/>
      <w:divBdr>
        <w:top w:val="none" w:sz="0" w:space="0" w:color="auto"/>
        <w:left w:val="none" w:sz="0" w:space="0" w:color="auto"/>
        <w:bottom w:val="none" w:sz="0" w:space="0" w:color="auto"/>
        <w:right w:val="none" w:sz="0" w:space="0" w:color="auto"/>
      </w:divBdr>
    </w:div>
    <w:div w:id="71897495">
      <w:bodyDiv w:val="1"/>
      <w:marLeft w:val="0"/>
      <w:marRight w:val="0"/>
      <w:marTop w:val="0"/>
      <w:marBottom w:val="0"/>
      <w:divBdr>
        <w:top w:val="none" w:sz="0" w:space="0" w:color="auto"/>
        <w:left w:val="none" w:sz="0" w:space="0" w:color="auto"/>
        <w:bottom w:val="none" w:sz="0" w:space="0" w:color="auto"/>
        <w:right w:val="none" w:sz="0" w:space="0" w:color="auto"/>
      </w:divBdr>
      <w:divsChild>
        <w:div w:id="519012111">
          <w:marLeft w:val="0"/>
          <w:marRight w:val="0"/>
          <w:marTop w:val="0"/>
          <w:marBottom w:val="0"/>
          <w:divBdr>
            <w:top w:val="none" w:sz="0" w:space="0" w:color="auto"/>
            <w:left w:val="none" w:sz="0" w:space="0" w:color="auto"/>
            <w:bottom w:val="none" w:sz="0" w:space="0" w:color="auto"/>
            <w:right w:val="none" w:sz="0" w:space="0" w:color="auto"/>
          </w:divBdr>
          <w:divsChild>
            <w:div w:id="1294870305">
              <w:marLeft w:val="0"/>
              <w:marRight w:val="0"/>
              <w:marTop w:val="0"/>
              <w:marBottom w:val="0"/>
              <w:divBdr>
                <w:top w:val="none" w:sz="0" w:space="0" w:color="auto"/>
                <w:left w:val="single" w:sz="4" w:space="0" w:color="E2E2E2"/>
                <w:bottom w:val="none" w:sz="0" w:space="0" w:color="auto"/>
                <w:right w:val="single" w:sz="4" w:space="0" w:color="E2E2E2"/>
              </w:divBdr>
              <w:divsChild>
                <w:div w:id="1972858469">
                  <w:marLeft w:val="0"/>
                  <w:marRight w:val="0"/>
                  <w:marTop w:val="0"/>
                  <w:marBottom w:val="0"/>
                  <w:divBdr>
                    <w:top w:val="none" w:sz="0" w:space="0" w:color="auto"/>
                    <w:left w:val="none" w:sz="0" w:space="0" w:color="auto"/>
                    <w:bottom w:val="none" w:sz="0" w:space="0" w:color="auto"/>
                    <w:right w:val="none" w:sz="0" w:space="0" w:color="auto"/>
                  </w:divBdr>
                  <w:divsChild>
                    <w:div w:id="134304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86073768">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233006247">
      <w:bodyDiv w:val="1"/>
      <w:marLeft w:val="0"/>
      <w:marRight w:val="0"/>
      <w:marTop w:val="0"/>
      <w:marBottom w:val="0"/>
      <w:divBdr>
        <w:top w:val="none" w:sz="0" w:space="0" w:color="auto"/>
        <w:left w:val="none" w:sz="0" w:space="0" w:color="auto"/>
        <w:bottom w:val="none" w:sz="0" w:space="0" w:color="auto"/>
        <w:right w:val="none" w:sz="0" w:space="0" w:color="auto"/>
      </w:divBdr>
    </w:div>
    <w:div w:id="239290038">
      <w:bodyDiv w:val="1"/>
      <w:marLeft w:val="0"/>
      <w:marRight w:val="0"/>
      <w:marTop w:val="0"/>
      <w:marBottom w:val="0"/>
      <w:divBdr>
        <w:top w:val="none" w:sz="0" w:space="0" w:color="auto"/>
        <w:left w:val="none" w:sz="0" w:space="0" w:color="auto"/>
        <w:bottom w:val="none" w:sz="0" w:space="0" w:color="auto"/>
        <w:right w:val="none" w:sz="0" w:space="0" w:color="auto"/>
      </w:divBdr>
    </w:div>
    <w:div w:id="306711254">
      <w:bodyDiv w:val="1"/>
      <w:marLeft w:val="0"/>
      <w:marRight w:val="0"/>
      <w:marTop w:val="0"/>
      <w:marBottom w:val="0"/>
      <w:divBdr>
        <w:top w:val="none" w:sz="0" w:space="0" w:color="auto"/>
        <w:left w:val="none" w:sz="0" w:space="0" w:color="auto"/>
        <w:bottom w:val="none" w:sz="0" w:space="0" w:color="auto"/>
        <w:right w:val="none" w:sz="0" w:space="0" w:color="auto"/>
      </w:divBdr>
    </w:div>
    <w:div w:id="395668368">
      <w:bodyDiv w:val="1"/>
      <w:marLeft w:val="0"/>
      <w:marRight w:val="0"/>
      <w:marTop w:val="0"/>
      <w:marBottom w:val="0"/>
      <w:divBdr>
        <w:top w:val="none" w:sz="0" w:space="0" w:color="auto"/>
        <w:left w:val="none" w:sz="0" w:space="0" w:color="auto"/>
        <w:bottom w:val="none" w:sz="0" w:space="0" w:color="auto"/>
        <w:right w:val="none" w:sz="0" w:space="0" w:color="auto"/>
      </w:divBdr>
      <w:divsChild>
        <w:div w:id="1192765346">
          <w:marLeft w:val="0"/>
          <w:marRight w:val="0"/>
          <w:marTop w:val="0"/>
          <w:marBottom w:val="0"/>
          <w:divBdr>
            <w:top w:val="none" w:sz="0" w:space="0" w:color="auto"/>
            <w:left w:val="none" w:sz="0" w:space="0" w:color="auto"/>
            <w:bottom w:val="none" w:sz="0" w:space="0" w:color="auto"/>
            <w:right w:val="none" w:sz="0" w:space="0" w:color="auto"/>
          </w:divBdr>
          <w:divsChild>
            <w:div w:id="36591060">
              <w:marLeft w:val="0"/>
              <w:marRight w:val="0"/>
              <w:marTop w:val="0"/>
              <w:marBottom w:val="0"/>
              <w:divBdr>
                <w:top w:val="none" w:sz="0" w:space="0" w:color="auto"/>
                <w:left w:val="single" w:sz="4" w:space="0" w:color="E2E2E2"/>
                <w:bottom w:val="none" w:sz="0" w:space="0" w:color="auto"/>
                <w:right w:val="single" w:sz="4" w:space="0" w:color="E2E2E2"/>
              </w:divBdr>
              <w:divsChild>
                <w:div w:id="853692819">
                  <w:marLeft w:val="0"/>
                  <w:marRight w:val="0"/>
                  <w:marTop w:val="0"/>
                  <w:marBottom w:val="0"/>
                  <w:divBdr>
                    <w:top w:val="none" w:sz="0" w:space="0" w:color="auto"/>
                    <w:left w:val="none" w:sz="0" w:space="0" w:color="auto"/>
                    <w:bottom w:val="none" w:sz="0" w:space="0" w:color="auto"/>
                    <w:right w:val="none" w:sz="0" w:space="0" w:color="auto"/>
                  </w:divBdr>
                  <w:divsChild>
                    <w:div w:id="92977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630586">
      <w:bodyDiv w:val="1"/>
      <w:marLeft w:val="0"/>
      <w:marRight w:val="0"/>
      <w:marTop w:val="0"/>
      <w:marBottom w:val="0"/>
      <w:divBdr>
        <w:top w:val="none" w:sz="0" w:space="0" w:color="auto"/>
        <w:left w:val="none" w:sz="0" w:space="0" w:color="auto"/>
        <w:bottom w:val="none" w:sz="0" w:space="0" w:color="auto"/>
        <w:right w:val="none" w:sz="0" w:space="0" w:color="auto"/>
      </w:divBdr>
    </w:div>
    <w:div w:id="489640396">
      <w:bodyDiv w:val="1"/>
      <w:marLeft w:val="0"/>
      <w:marRight w:val="0"/>
      <w:marTop w:val="0"/>
      <w:marBottom w:val="0"/>
      <w:divBdr>
        <w:top w:val="none" w:sz="0" w:space="0" w:color="auto"/>
        <w:left w:val="none" w:sz="0" w:space="0" w:color="auto"/>
        <w:bottom w:val="none" w:sz="0" w:space="0" w:color="auto"/>
        <w:right w:val="none" w:sz="0" w:space="0" w:color="auto"/>
      </w:divBdr>
    </w:div>
    <w:div w:id="569390038">
      <w:bodyDiv w:val="1"/>
      <w:marLeft w:val="0"/>
      <w:marRight w:val="0"/>
      <w:marTop w:val="0"/>
      <w:marBottom w:val="0"/>
      <w:divBdr>
        <w:top w:val="none" w:sz="0" w:space="0" w:color="auto"/>
        <w:left w:val="none" w:sz="0" w:space="0" w:color="auto"/>
        <w:bottom w:val="none" w:sz="0" w:space="0" w:color="auto"/>
        <w:right w:val="none" w:sz="0" w:space="0" w:color="auto"/>
      </w:divBdr>
      <w:divsChild>
        <w:div w:id="1350792461">
          <w:marLeft w:val="0"/>
          <w:marRight w:val="0"/>
          <w:marTop w:val="0"/>
          <w:marBottom w:val="0"/>
          <w:divBdr>
            <w:top w:val="none" w:sz="0" w:space="0" w:color="auto"/>
            <w:left w:val="none" w:sz="0" w:space="0" w:color="auto"/>
            <w:bottom w:val="none" w:sz="0" w:space="0" w:color="auto"/>
            <w:right w:val="none" w:sz="0" w:space="0" w:color="auto"/>
          </w:divBdr>
          <w:divsChild>
            <w:div w:id="2124375619">
              <w:marLeft w:val="0"/>
              <w:marRight w:val="0"/>
              <w:marTop w:val="0"/>
              <w:marBottom w:val="0"/>
              <w:divBdr>
                <w:top w:val="none" w:sz="0" w:space="0" w:color="auto"/>
                <w:left w:val="single" w:sz="4" w:space="0" w:color="E2E2E2"/>
                <w:bottom w:val="none" w:sz="0" w:space="0" w:color="auto"/>
                <w:right w:val="single" w:sz="4" w:space="0" w:color="E2E2E2"/>
              </w:divBdr>
              <w:divsChild>
                <w:div w:id="1040277267">
                  <w:marLeft w:val="0"/>
                  <w:marRight w:val="0"/>
                  <w:marTop w:val="0"/>
                  <w:marBottom w:val="0"/>
                  <w:divBdr>
                    <w:top w:val="none" w:sz="0" w:space="0" w:color="auto"/>
                    <w:left w:val="none" w:sz="0" w:space="0" w:color="auto"/>
                    <w:bottom w:val="none" w:sz="0" w:space="0" w:color="auto"/>
                    <w:right w:val="none" w:sz="0" w:space="0" w:color="auto"/>
                  </w:divBdr>
                  <w:divsChild>
                    <w:div w:id="206910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30356142">
      <w:bodyDiv w:val="1"/>
      <w:marLeft w:val="0"/>
      <w:marRight w:val="0"/>
      <w:marTop w:val="0"/>
      <w:marBottom w:val="0"/>
      <w:divBdr>
        <w:top w:val="none" w:sz="0" w:space="0" w:color="auto"/>
        <w:left w:val="none" w:sz="0" w:space="0" w:color="auto"/>
        <w:bottom w:val="none" w:sz="0" w:space="0" w:color="auto"/>
        <w:right w:val="none" w:sz="0" w:space="0" w:color="auto"/>
      </w:divBdr>
    </w:div>
    <w:div w:id="656806529">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697238763">
      <w:bodyDiv w:val="1"/>
      <w:marLeft w:val="0"/>
      <w:marRight w:val="0"/>
      <w:marTop w:val="0"/>
      <w:marBottom w:val="0"/>
      <w:divBdr>
        <w:top w:val="none" w:sz="0" w:space="0" w:color="auto"/>
        <w:left w:val="none" w:sz="0" w:space="0" w:color="auto"/>
        <w:bottom w:val="none" w:sz="0" w:space="0" w:color="auto"/>
        <w:right w:val="none" w:sz="0" w:space="0" w:color="auto"/>
      </w:divBdr>
      <w:divsChild>
        <w:div w:id="1450659383">
          <w:marLeft w:val="0"/>
          <w:marRight w:val="0"/>
          <w:marTop w:val="0"/>
          <w:marBottom w:val="0"/>
          <w:divBdr>
            <w:top w:val="none" w:sz="0" w:space="0" w:color="auto"/>
            <w:left w:val="none" w:sz="0" w:space="0" w:color="auto"/>
            <w:bottom w:val="none" w:sz="0" w:space="0" w:color="auto"/>
            <w:right w:val="none" w:sz="0" w:space="0" w:color="auto"/>
          </w:divBdr>
          <w:divsChild>
            <w:div w:id="176770766">
              <w:marLeft w:val="0"/>
              <w:marRight w:val="0"/>
              <w:marTop w:val="0"/>
              <w:marBottom w:val="0"/>
              <w:divBdr>
                <w:top w:val="none" w:sz="0" w:space="0" w:color="auto"/>
                <w:left w:val="none" w:sz="0" w:space="0" w:color="auto"/>
                <w:bottom w:val="none" w:sz="0" w:space="0" w:color="auto"/>
                <w:right w:val="none" w:sz="0" w:space="0" w:color="auto"/>
              </w:divBdr>
            </w:div>
            <w:div w:id="242760278">
              <w:marLeft w:val="0"/>
              <w:marRight w:val="0"/>
              <w:marTop w:val="0"/>
              <w:marBottom w:val="0"/>
              <w:divBdr>
                <w:top w:val="none" w:sz="0" w:space="0" w:color="auto"/>
                <w:left w:val="none" w:sz="0" w:space="0" w:color="auto"/>
                <w:bottom w:val="none" w:sz="0" w:space="0" w:color="auto"/>
                <w:right w:val="none" w:sz="0" w:space="0" w:color="auto"/>
              </w:divBdr>
            </w:div>
            <w:div w:id="250554276">
              <w:marLeft w:val="0"/>
              <w:marRight w:val="0"/>
              <w:marTop w:val="0"/>
              <w:marBottom w:val="0"/>
              <w:divBdr>
                <w:top w:val="none" w:sz="0" w:space="0" w:color="auto"/>
                <w:left w:val="none" w:sz="0" w:space="0" w:color="auto"/>
                <w:bottom w:val="none" w:sz="0" w:space="0" w:color="auto"/>
                <w:right w:val="none" w:sz="0" w:space="0" w:color="auto"/>
              </w:divBdr>
            </w:div>
            <w:div w:id="358238165">
              <w:marLeft w:val="0"/>
              <w:marRight w:val="0"/>
              <w:marTop w:val="0"/>
              <w:marBottom w:val="0"/>
              <w:divBdr>
                <w:top w:val="none" w:sz="0" w:space="0" w:color="auto"/>
                <w:left w:val="none" w:sz="0" w:space="0" w:color="auto"/>
                <w:bottom w:val="none" w:sz="0" w:space="0" w:color="auto"/>
                <w:right w:val="none" w:sz="0" w:space="0" w:color="auto"/>
              </w:divBdr>
            </w:div>
            <w:div w:id="533351370">
              <w:marLeft w:val="0"/>
              <w:marRight w:val="0"/>
              <w:marTop w:val="0"/>
              <w:marBottom w:val="0"/>
              <w:divBdr>
                <w:top w:val="none" w:sz="0" w:space="0" w:color="auto"/>
                <w:left w:val="none" w:sz="0" w:space="0" w:color="auto"/>
                <w:bottom w:val="none" w:sz="0" w:space="0" w:color="auto"/>
                <w:right w:val="none" w:sz="0" w:space="0" w:color="auto"/>
              </w:divBdr>
            </w:div>
            <w:div w:id="936211301">
              <w:marLeft w:val="0"/>
              <w:marRight w:val="0"/>
              <w:marTop w:val="0"/>
              <w:marBottom w:val="0"/>
              <w:divBdr>
                <w:top w:val="none" w:sz="0" w:space="0" w:color="auto"/>
                <w:left w:val="none" w:sz="0" w:space="0" w:color="auto"/>
                <w:bottom w:val="none" w:sz="0" w:space="0" w:color="auto"/>
                <w:right w:val="none" w:sz="0" w:space="0" w:color="auto"/>
              </w:divBdr>
            </w:div>
            <w:div w:id="1156797593">
              <w:marLeft w:val="0"/>
              <w:marRight w:val="0"/>
              <w:marTop w:val="0"/>
              <w:marBottom w:val="0"/>
              <w:divBdr>
                <w:top w:val="none" w:sz="0" w:space="0" w:color="auto"/>
                <w:left w:val="none" w:sz="0" w:space="0" w:color="auto"/>
                <w:bottom w:val="none" w:sz="0" w:space="0" w:color="auto"/>
                <w:right w:val="none" w:sz="0" w:space="0" w:color="auto"/>
              </w:divBdr>
            </w:div>
            <w:div w:id="140491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18948">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993753887">
      <w:bodyDiv w:val="1"/>
      <w:marLeft w:val="0"/>
      <w:marRight w:val="0"/>
      <w:marTop w:val="0"/>
      <w:marBottom w:val="0"/>
      <w:divBdr>
        <w:top w:val="none" w:sz="0" w:space="0" w:color="auto"/>
        <w:left w:val="none" w:sz="0" w:space="0" w:color="auto"/>
        <w:bottom w:val="none" w:sz="0" w:space="0" w:color="auto"/>
        <w:right w:val="none" w:sz="0" w:space="0" w:color="auto"/>
      </w:divBdr>
    </w:div>
    <w:div w:id="1035497426">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168402613">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490439632">
      <w:bodyDiv w:val="1"/>
      <w:marLeft w:val="0"/>
      <w:marRight w:val="0"/>
      <w:marTop w:val="0"/>
      <w:marBottom w:val="0"/>
      <w:divBdr>
        <w:top w:val="none" w:sz="0" w:space="0" w:color="auto"/>
        <w:left w:val="none" w:sz="0" w:space="0" w:color="auto"/>
        <w:bottom w:val="none" w:sz="0" w:space="0" w:color="auto"/>
        <w:right w:val="none" w:sz="0" w:space="0" w:color="auto"/>
      </w:divBdr>
    </w:div>
    <w:div w:id="1498115312">
      <w:bodyDiv w:val="1"/>
      <w:marLeft w:val="0"/>
      <w:marRight w:val="0"/>
      <w:marTop w:val="0"/>
      <w:marBottom w:val="0"/>
      <w:divBdr>
        <w:top w:val="none" w:sz="0" w:space="0" w:color="auto"/>
        <w:left w:val="none" w:sz="0" w:space="0" w:color="auto"/>
        <w:bottom w:val="none" w:sz="0" w:space="0" w:color="auto"/>
        <w:right w:val="none" w:sz="0" w:space="0" w:color="auto"/>
      </w:divBdr>
    </w:div>
    <w:div w:id="1500929845">
      <w:bodyDiv w:val="1"/>
      <w:marLeft w:val="0"/>
      <w:marRight w:val="0"/>
      <w:marTop w:val="0"/>
      <w:marBottom w:val="0"/>
      <w:divBdr>
        <w:top w:val="none" w:sz="0" w:space="0" w:color="auto"/>
        <w:left w:val="none" w:sz="0" w:space="0" w:color="auto"/>
        <w:bottom w:val="none" w:sz="0" w:space="0" w:color="auto"/>
        <w:right w:val="none" w:sz="0" w:space="0" w:color="auto"/>
      </w:divBdr>
    </w:div>
    <w:div w:id="1525434877">
      <w:bodyDiv w:val="1"/>
      <w:marLeft w:val="0"/>
      <w:marRight w:val="0"/>
      <w:marTop w:val="0"/>
      <w:marBottom w:val="0"/>
      <w:divBdr>
        <w:top w:val="none" w:sz="0" w:space="0" w:color="auto"/>
        <w:left w:val="none" w:sz="0" w:space="0" w:color="auto"/>
        <w:bottom w:val="none" w:sz="0" w:space="0" w:color="auto"/>
        <w:right w:val="none" w:sz="0" w:space="0" w:color="auto"/>
      </w:divBdr>
      <w:divsChild>
        <w:div w:id="837774496">
          <w:marLeft w:val="0"/>
          <w:marRight w:val="0"/>
          <w:marTop w:val="0"/>
          <w:marBottom w:val="0"/>
          <w:divBdr>
            <w:top w:val="none" w:sz="0" w:space="0" w:color="auto"/>
            <w:left w:val="none" w:sz="0" w:space="0" w:color="auto"/>
            <w:bottom w:val="none" w:sz="0" w:space="0" w:color="auto"/>
            <w:right w:val="none" w:sz="0" w:space="0" w:color="auto"/>
          </w:divBdr>
          <w:divsChild>
            <w:div w:id="666247422">
              <w:marLeft w:val="0"/>
              <w:marRight w:val="0"/>
              <w:marTop w:val="0"/>
              <w:marBottom w:val="0"/>
              <w:divBdr>
                <w:top w:val="single" w:sz="6" w:space="1" w:color="3162C5"/>
                <w:left w:val="single" w:sz="6" w:space="1" w:color="3162C5"/>
                <w:bottom w:val="single" w:sz="6" w:space="1" w:color="3162C5"/>
                <w:right w:val="single" w:sz="6" w:space="1" w:color="3162C5"/>
              </w:divBdr>
              <w:divsChild>
                <w:div w:id="683631577">
                  <w:marLeft w:val="0"/>
                  <w:marRight w:val="0"/>
                  <w:marTop w:val="0"/>
                  <w:marBottom w:val="0"/>
                  <w:divBdr>
                    <w:top w:val="single" w:sz="6" w:space="1" w:color="2D5AB3"/>
                    <w:left w:val="single" w:sz="6" w:space="1" w:color="2D5AB3"/>
                    <w:bottom w:val="single" w:sz="6" w:space="1" w:color="2D5AB3"/>
                    <w:right w:val="single" w:sz="6" w:space="1" w:color="2D5AB3"/>
                  </w:divBdr>
                  <w:divsChild>
                    <w:div w:id="2103915681">
                      <w:marLeft w:val="0"/>
                      <w:marRight w:val="0"/>
                      <w:marTop w:val="0"/>
                      <w:marBottom w:val="0"/>
                      <w:divBdr>
                        <w:top w:val="single" w:sz="6" w:space="1" w:color="264C98"/>
                        <w:left w:val="single" w:sz="6" w:space="1" w:color="264C98"/>
                        <w:bottom w:val="single" w:sz="6" w:space="1" w:color="264C98"/>
                        <w:right w:val="single" w:sz="6" w:space="1" w:color="264C98"/>
                      </w:divBdr>
                      <w:divsChild>
                        <w:div w:id="1731033910">
                          <w:marLeft w:val="0"/>
                          <w:marRight w:val="0"/>
                          <w:marTop w:val="0"/>
                          <w:marBottom w:val="0"/>
                          <w:divBdr>
                            <w:top w:val="single" w:sz="6" w:space="1" w:color="1E3C77"/>
                            <w:left w:val="single" w:sz="6" w:space="1" w:color="1E3C77"/>
                            <w:bottom w:val="single" w:sz="6" w:space="1" w:color="1E3C77"/>
                            <w:right w:val="single" w:sz="6" w:space="1" w:color="1E3C77"/>
                          </w:divBdr>
                          <w:divsChild>
                            <w:div w:id="898058561">
                              <w:marLeft w:val="0"/>
                              <w:marRight w:val="0"/>
                              <w:marTop w:val="0"/>
                              <w:marBottom w:val="0"/>
                              <w:divBdr>
                                <w:top w:val="single" w:sz="6" w:space="6" w:color="183061"/>
                                <w:left w:val="single" w:sz="6" w:space="0" w:color="183061"/>
                                <w:bottom w:val="single" w:sz="6" w:space="0" w:color="183061"/>
                                <w:right w:val="single" w:sz="6" w:space="0" w:color="183061"/>
                              </w:divBdr>
                              <w:divsChild>
                                <w:div w:id="11314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54619007">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1934628450">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 w:id="213470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ps.ahrq.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uffys@nida.nih.gov" TargetMode="External"/><Relationship Id="rId4" Type="http://schemas.microsoft.com/office/2007/relationships/stylesWithEffects" Target="stylesWithEffects.xml"/><Relationship Id="rId9" Type="http://schemas.openxmlformats.org/officeDocument/2006/relationships/hyperlink" Target="http://meps.ahrq.gov/mepsweb/survey_comp/survey_questionnaires.jsp"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1E6D1-CC6A-41E6-8C06-40430793E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8736</Words>
  <Characters>49798</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58418</CharactersWithSpaces>
  <SharedDoc>false</SharedDoc>
  <HLinks>
    <vt:vector size="24" baseType="variant">
      <vt:variant>
        <vt:i4>1048596</vt:i4>
      </vt:variant>
      <vt:variant>
        <vt:i4>12</vt:i4>
      </vt:variant>
      <vt:variant>
        <vt:i4>0</vt:i4>
      </vt:variant>
      <vt:variant>
        <vt:i4>5</vt:i4>
      </vt:variant>
      <vt:variant>
        <vt:lpwstr>http://www.meps.ahrq.gov/</vt:lpwstr>
      </vt:variant>
      <vt:variant>
        <vt:lpwstr/>
      </vt:variant>
      <vt:variant>
        <vt:i4>1703956</vt:i4>
      </vt:variant>
      <vt:variant>
        <vt:i4>9</vt:i4>
      </vt:variant>
      <vt:variant>
        <vt:i4>0</vt:i4>
      </vt:variant>
      <vt:variant>
        <vt:i4>5</vt:i4>
      </vt:variant>
      <vt:variant>
        <vt:lpwstr>https://www.opm.gov/policy-data-oversight/pay-leave/salaries-wages/salary-tables/pdf/2018/DCB.pdf</vt:lpwstr>
      </vt:variant>
      <vt:variant>
        <vt:lpwstr/>
      </vt:variant>
      <vt:variant>
        <vt:i4>4587558</vt:i4>
      </vt:variant>
      <vt:variant>
        <vt:i4>6</vt:i4>
      </vt:variant>
      <vt:variant>
        <vt:i4>0</vt:i4>
      </vt:variant>
      <vt:variant>
        <vt:i4>5</vt:i4>
      </vt:variant>
      <vt:variant>
        <vt:lpwstr>mailto:duffys@nida.nih.gov</vt:lpwstr>
      </vt:variant>
      <vt:variant>
        <vt:lpwstr/>
      </vt:variant>
      <vt:variant>
        <vt:i4>8126511</vt:i4>
      </vt:variant>
      <vt:variant>
        <vt:i4>3</vt:i4>
      </vt:variant>
      <vt:variant>
        <vt:i4>0</vt:i4>
      </vt:variant>
      <vt:variant>
        <vt:i4>5</vt:i4>
      </vt:variant>
      <vt:variant>
        <vt:lpwstr>http://meps.ahrq.gov/mepsweb/survey_comp/survey_questionnaires.jsp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subject/>
  <dc:creator>hamlin-ben</dc:creator>
  <cp:keywords/>
  <dc:description/>
  <cp:lastModifiedBy>SYSTEM</cp:lastModifiedBy>
  <cp:revision>2</cp:revision>
  <cp:lastPrinted>2019-04-16T12:54:00Z</cp:lastPrinted>
  <dcterms:created xsi:type="dcterms:W3CDTF">2019-11-07T22:22:00Z</dcterms:created>
  <dcterms:modified xsi:type="dcterms:W3CDTF">2019-11-07T22:22:00Z</dcterms:modified>
</cp:coreProperties>
</file>