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1E" w:rsidP="00595D1E" w:rsidRDefault="00595D1E" w14:paraId="212E8DC6" w14:textId="77777777">
      <w:pPr>
        <w:jc w:val="center"/>
        <w:rPr>
          <w:b/>
        </w:rPr>
      </w:pPr>
    </w:p>
    <w:p w:rsidR="00595D1E" w:rsidP="00595D1E" w:rsidRDefault="00595D1E" w14:paraId="12019AF5" w14:textId="77777777">
      <w:pPr>
        <w:jc w:val="center"/>
        <w:rPr>
          <w:b/>
        </w:rPr>
      </w:pPr>
    </w:p>
    <w:p w:rsidRPr="002B193F" w:rsidR="00595D1E" w:rsidP="002B193F" w:rsidRDefault="00C0501F" w14:paraId="5D211C86" w14:textId="77777777">
      <w:pPr>
        <w:spacing w:after="0"/>
        <w:jc w:val="center"/>
        <w:rPr>
          <w:sz w:val="36"/>
          <w:szCs w:val="36"/>
        </w:rPr>
      </w:pPr>
      <w:r w:rsidRPr="002B193F">
        <w:rPr>
          <w:sz w:val="36"/>
          <w:szCs w:val="36"/>
        </w:rPr>
        <w:t xml:space="preserve">Mini </w:t>
      </w:r>
      <w:r w:rsidRPr="002B193F" w:rsidR="00595D1E">
        <w:rPr>
          <w:sz w:val="36"/>
          <w:szCs w:val="36"/>
        </w:rPr>
        <w:t>Supporting Statement A</w:t>
      </w:r>
    </w:p>
    <w:p w:rsidRPr="002B193F" w:rsidR="00595D1E" w:rsidRDefault="00595D1E" w14:paraId="5A502E26" w14:textId="77777777">
      <w:pPr>
        <w:jc w:val="center"/>
      </w:pPr>
    </w:p>
    <w:p w:rsidRPr="002B193F" w:rsidR="00FF1D87" w:rsidP="002B193F" w:rsidRDefault="00FF1D87" w14:paraId="5107501B" w14:textId="77777777">
      <w:pPr>
        <w:jc w:val="center"/>
      </w:pPr>
    </w:p>
    <w:p w:rsidR="00B8649A" w:rsidP="002B193F" w:rsidRDefault="008529CC" w14:paraId="6CCF3094" w14:textId="77777777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N</w:t>
      </w:r>
      <w:r w:rsidR="00B8649A">
        <w:rPr>
          <w:sz w:val="32"/>
          <w:szCs w:val="32"/>
        </w:rPr>
        <w:t xml:space="preserve">CI Community Oncology Research Program (NCORP) </w:t>
      </w:r>
    </w:p>
    <w:p w:rsidRPr="002B193F" w:rsidR="008529CC" w:rsidP="00B8649A" w:rsidRDefault="00B8649A" w14:paraId="2098EFA8" w14:textId="125D13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Practice Survey of Site Level Attributes </w:t>
      </w:r>
      <w:r w:rsidR="007F2110">
        <w:rPr>
          <w:sz w:val="32"/>
          <w:szCs w:val="32"/>
        </w:rPr>
        <w:t>(NCI)</w:t>
      </w:r>
    </w:p>
    <w:p w:rsidRPr="002B193F" w:rsidR="00003BE1" w:rsidP="002B193F" w:rsidRDefault="00003BE1" w14:paraId="262EBD53" w14:textId="77777777">
      <w:pPr>
        <w:jc w:val="center"/>
        <w:rPr>
          <w:sz w:val="32"/>
          <w:szCs w:val="32"/>
        </w:rPr>
      </w:pPr>
    </w:p>
    <w:p w:rsidR="00B27DDD" w:rsidP="002B193F" w:rsidRDefault="00003BE1" w14:paraId="79ECA461" w14:textId="77777777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OMB#</w:t>
      </w:r>
      <w:r w:rsidR="00B27DDD">
        <w:rPr>
          <w:sz w:val="32"/>
          <w:szCs w:val="32"/>
        </w:rPr>
        <w:t xml:space="preserve"> 0925-0046, </w:t>
      </w:r>
    </w:p>
    <w:p w:rsidRPr="002B193F" w:rsidR="00CB4C39" w:rsidP="002B193F" w:rsidRDefault="00B27DDD" w14:paraId="6A21E2F4" w14:textId="5423251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Expiration Date:  </w:t>
      </w:r>
      <w:r w:rsidR="00FA347D">
        <w:rPr>
          <w:sz w:val="32"/>
          <w:szCs w:val="32"/>
        </w:rPr>
        <w:t>11/30/2022</w:t>
      </w:r>
    </w:p>
    <w:p w:rsidRPr="00B27DDD" w:rsidR="00B27DDD" w:rsidP="00B27DDD" w:rsidRDefault="00B27DDD" w14:paraId="2308CAD4" w14:textId="77777777">
      <w:pPr>
        <w:numPr>
          <w:ilvl w:val="12"/>
          <w:numId w:val="0"/>
        </w:numPr>
        <w:spacing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B27DDD">
        <w:rPr>
          <w:rFonts w:ascii="Times New Roman" w:hAnsi="Times New Roman"/>
          <w:bCs/>
          <w:sz w:val="24"/>
          <w:szCs w:val="24"/>
        </w:rPr>
        <w:t xml:space="preserve">A Generic Submission for Formative Research, </w:t>
      </w:r>
    </w:p>
    <w:p w:rsidRPr="00B27DDD" w:rsidR="00B27DDD" w:rsidP="00B27DDD" w:rsidRDefault="00B27DDD" w14:paraId="49B55EB8" w14:textId="77777777">
      <w:pPr>
        <w:numPr>
          <w:ilvl w:val="12"/>
          <w:numId w:val="0"/>
        </w:numPr>
        <w:spacing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B27DDD">
        <w:rPr>
          <w:rFonts w:ascii="Times New Roman" w:hAnsi="Times New Roman"/>
          <w:bCs/>
          <w:sz w:val="24"/>
          <w:szCs w:val="24"/>
        </w:rPr>
        <w:t xml:space="preserve">Pretesting, and Customer Satisfaction of </w:t>
      </w:r>
    </w:p>
    <w:p w:rsidRPr="00B27DDD" w:rsidR="00B27DDD" w:rsidP="00B27DDD" w:rsidRDefault="00B27DDD" w14:paraId="2729EB35" w14:textId="2359DE64">
      <w:pPr>
        <w:numPr>
          <w:ilvl w:val="12"/>
          <w:numId w:val="0"/>
        </w:numPr>
        <w:spacing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B27DDD">
        <w:rPr>
          <w:rFonts w:ascii="Times New Roman" w:hAnsi="Times New Roman"/>
          <w:bCs/>
          <w:sz w:val="24"/>
          <w:szCs w:val="24"/>
        </w:rPr>
        <w:t>NCI’s Communication and Education Resources (NCI)</w:t>
      </w:r>
    </w:p>
    <w:p w:rsidR="00B27DDD" w:rsidP="002B193F" w:rsidRDefault="00B27DDD" w14:paraId="533BED7E" w14:textId="5938A673">
      <w:pPr>
        <w:jc w:val="center"/>
        <w:rPr>
          <w:sz w:val="32"/>
          <w:szCs w:val="32"/>
        </w:rPr>
      </w:pPr>
    </w:p>
    <w:p w:rsidRPr="002B193F" w:rsidR="00595D1E" w:rsidP="002B193F" w:rsidRDefault="004777DD" w14:paraId="310CA79F" w14:textId="17CA42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February </w:t>
      </w:r>
      <w:r w:rsidR="00B144CD">
        <w:rPr>
          <w:sz w:val="32"/>
          <w:szCs w:val="32"/>
        </w:rPr>
        <w:t>28</w:t>
      </w:r>
      <w:r>
        <w:rPr>
          <w:sz w:val="32"/>
          <w:szCs w:val="32"/>
        </w:rPr>
        <w:t>, 2020</w:t>
      </w:r>
      <w:bookmarkStart w:name="_GoBack" w:id="0"/>
      <w:bookmarkEnd w:id="0"/>
    </w:p>
    <w:p w:rsidRPr="002B193F" w:rsidR="00595D1E" w:rsidRDefault="00595D1E" w14:paraId="4D8757B3" w14:textId="77777777">
      <w:pPr>
        <w:jc w:val="center"/>
      </w:pPr>
    </w:p>
    <w:p w:rsidRPr="002B193F" w:rsidR="00595D1E" w:rsidRDefault="00595D1E" w14:paraId="5C3C5F2B" w14:textId="77777777">
      <w:pPr>
        <w:jc w:val="center"/>
      </w:pPr>
    </w:p>
    <w:p w:rsidRPr="002B193F" w:rsidR="00FF1D87" w:rsidRDefault="00FF1D87" w14:paraId="131BD91A" w14:textId="77777777">
      <w:pPr>
        <w:jc w:val="center"/>
      </w:pPr>
    </w:p>
    <w:p w:rsidRPr="0084009F" w:rsidR="00FF1D87" w:rsidP="002B193F" w:rsidRDefault="008529CC" w14:paraId="2E64842D" w14:textId="77777777">
      <w:pPr>
        <w:spacing w:after="0"/>
        <w:jc w:val="center"/>
        <w:rPr>
          <w:b/>
        </w:rPr>
      </w:pPr>
      <w:r w:rsidRPr="0084009F">
        <w:rPr>
          <w:sz w:val="32"/>
          <w:szCs w:val="32"/>
        </w:rPr>
        <w:t>Contact Information</w:t>
      </w:r>
      <w:r w:rsidRPr="0084009F">
        <w:rPr>
          <w:b/>
        </w:rPr>
        <w:t xml:space="preserve">    </w:t>
      </w:r>
    </w:p>
    <w:p w:rsidR="00A67512" w:rsidP="002B193F" w:rsidRDefault="007C55AB" w14:paraId="5B81B929" w14:textId="77777777">
      <w:pPr>
        <w:spacing w:after="0"/>
        <w:jc w:val="center"/>
        <w:rPr>
          <w:bCs/>
          <w:szCs w:val="20"/>
          <w:lang w:eastAsia="zh-CN"/>
        </w:rPr>
      </w:pPr>
      <w:r w:rsidRPr="0084009F">
        <w:rPr>
          <w:bCs/>
          <w:szCs w:val="20"/>
          <w:lang w:eastAsia="zh-CN"/>
        </w:rPr>
        <w:t>Brenda Adjei</w:t>
      </w:r>
      <w:r w:rsidRPr="00100113">
        <w:rPr>
          <w:bCs/>
          <w:szCs w:val="20"/>
          <w:lang w:eastAsia="zh-CN"/>
        </w:rPr>
        <w:t xml:space="preserve"> </w:t>
      </w:r>
    </w:p>
    <w:p w:rsidRPr="00A67512" w:rsidR="00A67512" w:rsidP="00A67512" w:rsidRDefault="00A67512" w14:paraId="09A1DA39" w14:textId="77777777">
      <w:pPr>
        <w:spacing w:after="0"/>
        <w:jc w:val="center"/>
      </w:pPr>
      <w:r w:rsidRPr="00A67512">
        <w:rPr>
          <w:iCs/>
        </w:rPr>
        <w:t>Program Director</w:t>
      </w:r>
    </w:p>
    <w:p w:rsidRPr="00A67512" w:rsidR="00A67512" w:rsidP="00A67512" w:rsidRDefault="00A67512" w14:paraId="2008FB2C" w14:textId="77777777">
      <w:pPr>
        <w:spacing w:after="0"/>
        <w:jc w:val="center"/>
      </w:pPr>
      <w:r w:rsidRPr="00A67512">
        <w:rPr>
          <w:iCs/>
        </w:rPr>
        <w:t>Division of Cancer Control and Population Sciences (DCCPS)</w:t>
      </w:r>
    </w:p>
    <w:p w:rsidRPr="00A67512" w:rsidR="00A67512" w:rsidP="00A67512" w:rsidRDefault="00A67512" w14:paraId="13987B36" w14:textId="77777777">
      <w:pPr>
        <w:spacing w:after="0"/>
        <w:jc w:val="center"/>
      </w:pPr>
      <w:r w:rsidRPr="00A67512">
        <w:rPr>
          <w:iCs/>
        </w:rPr>
        <w:t xml:space="preserve">National Cancer Institute (NCI) </w:t>
      </w:r>
    </w:p>
    <w:p w:rsidRPr="00A67512" w:rsidR="00A67512" w:rsidP="00A67512" w:rsidRDefault="00A67512" w14:paraId="5BBB913F" w14:textId="77777777">
      <w:pPr>
        <w:spacing w:after="0"/>
        <w:jc w:val="center"/>
      </w:pPr>
      <w:r w:rsidRPr="00A67512">
        <w:rPr>
          <w:iCs/>
        </w:rPr>
        <w:t>9609 Medical Center Drive, Room 3E516</w:t>
      </w:r>
    </w:p>
    <w:p w:rsidRPr="00A67512" w:rsidR="00A67512" w:rsidP="00A67512" w:rsidRDefault="00A67512" w14:paraId="45BFF46E" w14:textId="77777777">
      <w:pPr>
        <w:spacing w:after="0"/>
        <w:jc w:val="center"/>
      </w:pPr>
      <w:r w:rsidRPr="00A67512">
        <w:rPr>
          <w:iCs/>
        </w:rPr>
        <w:t>Bethesda, MD 20892-9761(For UPS/FedEx, use: Rockville, MD 20850)</w:t>
      </w:r>
    </w:p>
    <w:p w:rsidRPr="00A67512" w:rsidR="00A67512" w:rsidP="00A67512" w:rsidRDefault="00A67512" w14:paraId="7010F1EE" w14:textId="77777777">
      <w:pPr>
        <w:spacing w:after="0"/>
        <w:jc w:val="center"/>
      </w:pPr>
      <w:r w:rsidRPr="00A67512">
        <w:rPr>
          <w:iCs/>
        </w:rPr>
        <w:t xml:space="preserve">Phone: (240) 276-6185 </w:t>
      </w:r>
    </w:p>
    <w:p w:rsidRPr="00A67512" w:rsidR="00A67512" w:rsidP="00A67512" w:rsidRDefault="00A67512" w14:paraId="551E2CB9" w14:textId="77777777">
      <w:pPr>
        <w:spacing w:after="0"/>
        <w:jc w:val="center"/>
      </w:pPr>
      <w:r w:rsidRPr="00A67512">
        <w:rPr>
          <w:iCs/>
        </w:rPr>
        <w:t xml:space="preserve">Email: </w:t>
      </w:r>
      <w:hyperlink w:history="1" r:id="rId8">
        <w:r w:rsidRPr="00A67512">
          <w:rPr>
            <w:rStyle w:val="Hyperlink"/>
            <w:iCs/>
          </w:rPr>
          <w:t>adjeiba@mail.nih.gov</w:t>
        </w:r>
      </w:hyperlink>
    </w:p>
    <w:p w:rsidRPr="0084009F" w:rsidR="00595D1E" w:rsidP="002B193F" w:rsidRDefault="00595D1E" w14:paraId="612F81FF" w14:textId="29EF46F4">
      <w:pPr>
        <w:spacing w:after="0"/>
        <w:jc w:val="center"/>
        <w:rPr>
          <w:b/>
        </w:rPr>
      </w:pPr>
      <w:r w:rsidRPr="0084009F">
        <w:rPr>
          <w:b/>
        </w:rPr>
        <w:br w:type="page"/>
      </w:r>
    </w:p>
    <w:p w:rsidR="000F6E1A" w:rsidP="008716F6" w:rsidRDefault="000F6E1A" w14:paraId="769AF0B2" w14:textId="599F38C3">
      <w:pPr>
        <w:spacing w:after="20"/>
        <w:jc w:val="center"/>
        <w:rPr>
          <w:b/>
        </w:rPr>
      </w:pPr>
      <w:r>
        <w:rPr>
          <w:b/>
        </w:rPr>
        <w:lastRenderedPageBreak/>
        <w:t>List of Attachments</w:t>
      </w:r>
    </w:p>
    <w:p w:rsidR="003F0D8B" w:rsidP="008716F6" w:rsidRDefault="003F0D8B" w14:paraId="4C517D43" w14:textId="6D3F46CF">
      <w:pPr>
        <w:spacing w:after="20"/>
        <w:jc w:val="center"/>
        <w:rPr>
          <w:b/>
        </w:rPr>
      </w:pPr>
    </w:p>
    <w:p w:rsidRPr="003F0D8B" w:rsidR="003F0D8B" w:rsidP="003F0D8B" w:rsidRDefault="003F0D8B" w14:paraId="2F8C5A60" w14:textId="30C8120D">
      <w:pPr>
        <w:spacing w:after="20"/>
      </w:pPr>
      <w:r w:rsidRPr="003F0D8B">
        <w:t xml:space="preserve">Attachment 1:  </w:t>
      </w:r>
      <w:r w:rsidR="008068AC">
        <w:t xml:space="preserve">NCORP </w:t>
      </w:r>
      <w:r w:rsidR="009F1154">
        <w:t xml:space="preserve">Practice </w:t>
      </w:r>
      <w:r w:rsidR="006B412E">
        <w:t>Site Level Attributes</w:t>
      </w:r>
      <w:r w:rsidR="00A10EF6">
        <w:t xml:space="preserve"> </w:t>
      </w:r>
      <w:r w:rsidR="00B4788B">
        <w:t>Survey</w:t>
      </w:r>
    </w:p>
    <w:p w:rsidRPr="003F0D8B" w:rsidR="003F0D8B" w:rsidP="003F0D8B" w:rsidRDefault="003F0D8B" w14:paraId="4DAF7359" w14:textId="5EE8F85E">
      <w:pPr>
        <w:spacing w:after="20"/>
      </w:pPr>
    </w:p>
    <w:p w:rsidRPr="003F0D8B" w:rsidR="003F0D8B" w:rsidP="003F0D8B" w:rsidRDefault="003F0D8B" w14:paraId="00887889" w14:textId="0E84CEAE">
      <w:pPr>
        <w:spacing w:after="20"/>
      </w:pPr>
    </w:p>
    <w:p w:rsidR="009319B2" w:rsidRDefault="009319B2" w14:paraId="1E9B6020" w14:textId="77777777">
      <w:r>
        <w:br w:type="page"/>
      </w:r>
    </w:p>
    <w:p w:rsidRPr="00113647" w:rsidR="00DB27F3" w:rsidP="008716F6" w:rsidRDefault="00AF01AD" w14:paraId="6CA5DD09" w14:textId="692DD6EE">
      <w:pPr>
        <w:spacing w:after="20"/>
        <w:jc w:val="center"/>
        <w:rPr>
          <w:b/>
        </w:rPr>
      </w:pPr>
      <w:r>
        <w:rPr>
          <w:b/>
        </w:rPr>
        <w:lastRenderedPageBreak/>
        <w:t xml:space="preserve">Mini </w:t>
      </w:r>
      <w:r w:rsidRPr="00113647" w:rsidR="008716F6">
        <w:rPr>
          <w:b/>
        </w:rPr>
        <w:t>Supporting Statement</w:t>
      </w:r>
      <w:r w:rsidR="008529CC">
        <w:rPr>
          <w:b/>
        </w:rPr>
        <w:t xml:space="preserve"> A</w:t>
      </w:r>
    </w:p>
    <w:p w:rsidR="008716F6" w:rsidP="008716F6" w:rsidRDefault="008716F6" w14:paraId="321D8793" w14:textId="77777777">
      <w:pPr>
        <w:spacing w:after="20"/>
      </w:pPr>
    </w:p>
    <w:p w:rsidR="008716F6" w:rsidP="008716F6" w:rsidRDefault="008716F6" w14:paraId="31E6DC0F" w14:textId="77777777">
      <w:pPr>
        <w:spacing w:after="20"/>
        <w:rPr>
          <w:b/>
        </w:rPr>
      </w:pPr>
      <w:r w:rsidRPr="00113647">
        <w:rPr>
          <w:b/>
        </w:rPr>
        <w:t>A.1 Circumstances Making the Collection of Information Necessary</w:t>
      </w:r>
    </w:p>
    <w:p w:rsidR="002F0CAC" w:rsidP="002F0CAC" w:rsidRDefault="002F0CAC" w14:paraId="2BAB6871" w14:textId="77777777">
      <w:pPr>
        <w:spacing w:after="0"/>
        <w:rPr>
          <w:rFonts w:cstheme="minorHAnsi"/>
          <w:u w:val="single"/>
        </w:rPr>
      </w:pPr>
    </w:p>
    <w:p w:rsidRPr="002F0CAC" w:rsidR="002F0CAC" w:rsidP="002F0CAC" w:rsidRDefault="002F0CAC" w14:paraId="6EC4E4CB" w14:textId="06C76CF3">
      <w:pPr>
        <w:spacing w:after="0"/>
        <w:rPr>
          <w:rFonts w:cstheme="minorHAnsi"/>
          <w:u w:val="single"/>
        </w:rPr>
      </w:pPr>
      <w:r w:rsidRPr="002F0CAC">
        <w:rPr>
          <w:rFonts w:cstheme="minorHAnsi"/>
          <w:u w:val="single"/>
        </w:rPr>
        <w:t>Overview</w:t>
      </w:r>
    </w:p>
    <w:p w:rsidRPr="00E12781" w:rsidR="00C9477B" w:rsidP="00C9477B" w:rsidRDefault="00E12781" w14:paraId="30B918C8" w14:textId="56669410">
      <w:pPr>
        <w:rPr>
          <w:rFonts w:cstheme="minorHAnsi"/>
        </w:rPr>
      </w:pPr>
      <w:r w:rsidRPr="00E12781">
        <w:rPr>
          <w:rFonts w:cstheme="minorHAnsi"/>
        </w:rPr>
        <w:t>The National Cancer Institute (NCI) conducts various types of research to identify and learn about</w:t>
      </w:r>
      <w:r w:rsidR="00D1131D">
        <w:rPr>
          <w:rFonts w:cstheme="minorHAnsi"/>
        </w:rPr>
        <w:t xml:space="preserve"> </w:t>
      </w:r>
      <w:r w:rsidRPr="00E12781">
        <w:rPr>
          <w:rFonts w:cstheme="minorHAnsi"/>
        </w:rPr>
        <w:t>target audiences.</w:t>
      </w:r>
      <w:r w:rsidR="00D1131D">
        <w:rPr>
          <w:rFonts w:cstheme="minorHAnsi"/>
        </w:rPr>
        <w:t xml:space="preserve">  This research </w:t>
      </w:r>
      <w:r w:rsidRPr="00E12781" w:rsidR="00D1131D">
        <w:rPr>
          <w:rFonts w:cstheme="minorHAnsi"/>
        </w:rPr>
        <w:t>helps ensure that NCI communication and education resources are appropriate, useful, and effective.</w:t>
      </w:r>
      <w:r w:rsidRPr="00E12781" w:rsidR="00D1131D">
        <w:rPr>
          <w:rFonts w:cstheme="minorHAnsi"/>
          <w:i/>
          <w:iCs/>
        </w:rPr>
        <w:t> </w:t>
      </w:r>
      <w:r w:rsidR="00D1131D">
        <w:rPr>
          <w:rFonts w:cstheme="minorHAnsi"/>
          <w:iCs/>
        </w:rPr>
        <w:t xml:space="preserve">Consistent with this objective, the NCI Community Oncology Research Program’s </w:t>
      </w:r>
      <w:r w:rsidR="002F29CC">
        <w:rPr>
          <w:rFonts w:cstheme="minorHAnsi"/>
          <w:iCs/>
        </w:rPr>
        <w:t xml:space="preserve">(NCORP) </w:t>
      </w:r>
      <w:r w:rsidR="00D1131D">
        <w:rPr>
          <w:rFonts w:cstheme="minorHAnsi"/>
          <w:iCs/>
        </w:rPr>
        <w:t xml:space="preserve">Cancer Care Delivery Research </w:t>
      </w:r>
      <w:r w:rsidR="002F29CC">
        <w:rPr>
          <w:rFonts w:cstheme="minorHAnsi"/>
          <w:iCs/>
        </w:rPr>
        <w:t xml:space="preserve">(CCDR) </w:t>
      </w:r>
      <w:r w:rsidR="00D1131D">
        <w:rPr>
          <w:rFonts w:cstheme="minorHAnsi"/>
          <w:iCs/>
        </w:rPr>
        <w:t>program is seeking to collect information to: 1</w:t>
      </w:r>
      <w:r w:rsidR="00B86318">
        <w:rPr>
          <w:rFonts w:cstheme="minorHAnsi"/>
          <w:iCs/>
        </w:rPr>
        <w:t>)</w:t>
      </w:r>
      <w:r w:rsidR="00D1131D">
        <w:rPr>
          <w:rFonts w:eastAsia="Times New Roman" w:cstheme="minorHAnsi"/>
        </w:rPr>
        <w:t xml:space="preserve"> i</w:t>
      </w:r>
      <w:r w:rsidRPr="00E12781">
        <w:rPr>
          <w:rFonts w:eastAsia="Times New Roman" w:cstheme="minorHAnsi"/>
        </w:rPr>
        <w:t>nform the design and development of NCI resources and ensure that they are appropriate</w:t>
      </w:r>
      <w:r w:rsidR="002F29CC">
        <w:rPr>
          <w:rFonts w:eastAsia="Times New Roman" w:cstheme="minorHAnsi"/>
        </w:rPr>
        <w:t xml:space="preserve">, </w:t>
      </w:r>
      <w:r w:rsidRPr="00E12781">
        <w:rPr>
          <w:rFonts w:eastAsia="Times New Roman" w:cstheme="minorHAnsi"/>
        </w:rPr>
        <w:t>effective, and reach the intended audiences</w:t>
      </w:r>
      <w:r w:rsidR="00D1131D">
        <w:rPr>
          <w:rFonts w:eastAsia="Times New Roman" w:cstheme="minorHAnsi"/>
        </w:rPr>
        <w:t xml:space="preserve">; </w:t>
      </w:r>
      <w:r w:rsidR="00B86318">
        <w:rPr>
          <w:rFonts w:eastAsia="Times New Roman" w:cstheme="minorHAnsi"/>
        </w:rPr>
        <w:t>2</w:t>
      </w:r>
      <w:r w:rsidR="00D1131D">
        <w:rPr>
          <w:rFonts w:eastAsia="Times New Roman" w:cstheme="minorHAnsi"/>
        </w:rPr>
        <w:t>) m</w:t>
      </w:r>
      <w:r w:rsidRPr="00E12781">
        <w:rPr>
          <w:rFonts w:eastAsia="Times New Roman" w:cstheme="minorHAnsi"/>
        </w:rPr>
        <w:t>onitor audience trends</w:t>
      </w:r>
      <w:r w:rsidR="00D1131D">
        <w:rPr>
          <w:rFonts w:eastAsia="Times New Roman" w:cstheme="minorHAnsi"/>
        </w:rPr>
        <w:t xml:space="preserve">; and </w:t>
      </w:r>
      <w:r w:rsidR="00B86318">
        <w:rPr>
          <w:rFonts w:eastAsia="Times New Roman" w:cstheme="minorHAnsi"/>
        </w:rPr>
        <w:t>3</w:t>
      </w:r>
      <w:r w:rsidR="00D1131D">
        <w:rPr>
          <w:rFonts w:eastAsia="Times New Roman" w:cstheme="minorHAnsi"/>
        </w:rPr>
        <w:t xml:space="preserve">) inform efforts to assess the </w:t>
      </w:r>
      <w:r w:rsidRPr="00E12781">
        <w:rPr>
          <w:rFonts w:eastAsia="Times New Roman" w:cstheme="minorHAnsi"/>
        </w:rPr>
        <w:t>impact of resources and activities</w:t>
      </w:r>
      <w:r w:rsidR="00D1131D">
        <w:rPr>
          <w:rFonts w:eastAsia="Times New Roman" w:cstheme="minorHAnsi"/>
        </w:rPr>
        <w:t xml:space="preserve">.  </w:t>
      </w:r>
      <w:r w:rsidR="00C9477B">
        <w:rPr>
          <w:rFonts w:eastAsia="Times New Roman" w:cstheme="minorHAnsi"/>
        </w:rPr>
        <w:t>T</w:t>
      </w:r>
      <w:r w:rsidRPr="00E12781" w:rsidR="00C9477B">
        <w:rPr>
          <w:rFonts w:cstheme="minorHAnsi"/>
        </w:rPr>
        <w:t>he informa</w:t>
      </w:r>
      <w:r w:rsidRPr="00E12781" w:rsidR="00C9477B">
        <w:rPr>
          <w:rFonts w:cstheme="minorHAnsi"/>
        </w:rPr>
        <w:softHyphen/>
        <w:t xml:space="preserve">tion obtained from </w:t>
      </w:r>
      <w:r w:rsidR="00C9477B">
        <w:rPr>
          <w:rFonts w:cstheme="minorHAnsi"/>
        </w:rPr>
        <w:t xml:space="preserve">this </w:t>
      </w:r>
      <w:r w:rsidRPr="00E12781" w:rsidR="00C9477B">
        <w:rPr>
          <w:rFonts w:cstheme="minorHAnsi"/>
        </w:rPr>
        <w:t xml:space="preserve">research </w:t>
      </w:r>
      <w:r w:rsidR="00B631A5">
        <w:rPr>
          <w:rFonts w:cstheme="minorHAnsi"/>
        </w:rPr>
        <w:t>will</w:t>
      </w:r>
      <w:r w:rsidRPr="00E12781" w:rsidR="00B631A5">
        <w:rPr>
          <w:rFonts w:cstheme="minorHAnsi"/>
        </w:rPr>
        <w:t xml:space="preserve"> </w:t>
      </w:r>
      <w:r w:rsidRPr="00E12781" w:rsidR="00C9477B">
        <w:rPr>
          <w:rFonts w:cstheme="minorHAnsi"/>
        </w:rPr>
        <w:t xml:space="preserve">lead to </w:t>
      </w:r>
      <w:r w:rsidR="00C9477B">
        <w:rPr>
          <w:rFonts w:cstheme="minorHAnsi"/>
        </w:rPr>
        <w:t xml:space="preserve">programmatic </w:t>
      </w:r>
      <w:r w:rsidRPr="00E12781" w:rsidR="00C9477B">
        <w:rPr>
          <w:rFonts w:cstheme="minorHAnsi"/>
        </w:rPr>
        <w:t>improve</w:t>
      </w:r>
      <w:r w:rsidRPr="00E12781" w:rsidR="00C9477B">
        <w:rPr>
          <w:rFonts w:cstheme="minorHAnsi"/>
        </w:rPr>
        <w:softHyphen/>
        <w:t>ments in materi</w:t>
      </w:r>
      <w:r w:rsidRPr="00E12781" w:rsidR="00C9477B">
        <w:rPr>
          <w:rFonts w:cstheme="minorHAnsi"/>
        </w:rPr>
        <w:softHyphen/>
        <w:t>als and strategies.  By maximiz</w:t>
      </w:r>
      <w:r w:rsidRPr="00E12781" w:rsidR="00C9477B">
        <w:rPr>
          <w:rFonts w:cstheme="minorHAnsi"/>
        </w:rPr>
        <w:softHyphen/>
        <w:t>ing the effective</w:t>
      </w:r>
      <w:r w:rsidRPr="00E12781" w:rsidR="00C9477B">
        <w:rPr>
          <w:rFonts w:cstheme="minorHAnsi"/>
        </w:rPr>
        <w:softHyphen/>
        <w:t>ness of these strategies for reaching targeted audienc</w:t>
      </w:r>
      <w:r w:rsidRPr="00E12781" w:rsidR="00C9477B">
        <w:rPr>
          <w:rFonts w:cstheme="minorHAnsi"/>
        </w:rPr>
        <w:softHyphen/>
        <w:t>es, the frequen</w:t>
      </w:r>
      <w:r w:rsidRPr="00E12781" w:rsidR="00C9477B">
        <w:rPr>
          <w:rFonts w:cstheme="minorHAnsi"/>
        </w:rPr>
        <w:softHyphen/>
        <w:t xml:space="preserve">cy with </w:t>
      </w:r>
      <w:r w:rsidR="00C9477B">
        <w:rPr>
          <w:rFonts w:cstheme="minorHAnsi"/>
        </w:rPr>
        <w:t xml:space="preserve">which </w:t>
      </w:r>
      <w:r w:rsidRPr="00E12781" w:rsidR="00C9477B">
        <w:rPr>
          <w:rFonts w:cstheme="minorHAnsi"/>
        </w:rPr>
        <w:t xml:space="preserve">programs </w:t>
      </w:r>
      <w:r w:rsidR="008265E1">
        <w:rPr>
          <w:rFonts w:cstheme="minorHAnsi"/>
        </w:rPr>
        <w:t xml:space="preserve">may </w:t>
      </w:r>
      <w:r w:rsidRPr="00E12781" w:rsidR="00C9477B">
        <w:rPr>
          <w:rFonts w:cstheme="minorHAnsi"/>
        </w:rPr>
        <w:t xml:space="preserve">need to be modified </w:t>
      </w:r>
      <w:r w:rsidR="008265E1">
        <w:rPr>
          <w:rFonts w:cstheme="minorHAnsi"/>
        </w:rPr>
        <w:t>could be</w:t>
      </w:r>
      <w:r w:rsidRPr="00E12781" w:rsidR="008265E1">
        <w:rPr>
          <w:rFonts w:cstheme="minorHAnsi"/>
        </w:rPr>
        <w:t xml:space="preserve"> </w:t>
      </w:r>
      <w:r w:rsidRPr="00E12781" w:rsidR="00C9477B">
        <w:rPr>
          <w:rFonts w:cstheme="minorHAnsi"/>
        </w:rPr>
        <w:t>reduced.</w:t>
      </w:r>
    </w:p>
    <w:p w:rsidRPr="001B4370" w:rsidR="00775972" w:rsidP="00775972" w:rsidRDefault="00775972" w14:paraId="40E7CA60" w14:textId="77777777">
      <w:pPr>
        <w:spacing w:after="0"/>
        <w:rPr>
          <w:u w:val="single"/>
        </w:rPr>
      </w:pPr>
      <w:bookmarkStart w:name="_Hlk30514143" w:id="1"/>
      <w:r w:rsidRPr="001B4370">
        <w:rPr>
          <w:u w:val="single"/>
        </w:rPr>
        <w:t xml:space="preserve">Background </w:t>
      </w:r>
    </w:p>
    <w:p w:rsidR="00E207DA" w:rsidP="00775972" w:rsidRDefault="00775972" w14:paraId="073C6002" w14:textId="04196FA4">
      <w:pPr>
        <w:rPr>
          <w:rFonts w:cstheme="minorHAnsi"/>
          <w:color w:val="333333"/>
          <w:shd w:val="clear" w:color="auto" w:fill="FFFFFF"/>
        </w:rPr>
      </w:pPr>
      <w:r>
        <w:t xml:space="preserve">Cancer care delivery research (CCDR) </w:t>
      </w:r>
      <w:r>
        <w:rPr>
          <w:color w:val="222222"/>
          <w:szCs w:val="21"/>
          <w:shd w:val="clear" w:color="auto" w:fill="FFFFFF"/>
        </w:rPr>
        <w:t xml:space="preserve">is a major component of </w:t>
      </w:r>
      <w:r>
        <w:t xml:space="preserve">the </w:t>
      </w:r>
      <w:hyperlink w:history="1" r:id="rId9">
        <w:r>
          <w:rPr>
            <w:rStyle w:val="Hyperlink"/>
          </w:rPr>
          <w:t>NCI Community Oncology Research Program (NCORP)</w:t>
        </w:r>
      </w:hyperlink>
      <w:r>
        <w:t xml:space="preserve">  in 2014</w:t>
      </w:r>
      <w:r>
        <w:rPr>
          <w:color w:val="222222"/>
          <w:szCs w:val="21"/>
          <w:shd w:val="clear" w:color="auto" w:fill="FFFFFF"/>
        </w:rPr>
        <w:t xml:space="preserve">.  </w:t>
      </w:r>
      <w:r w:rsidR="00A53CD0">
        <w:rPr>
          <w:color w:val="222222"/>
          <w:szCs w:val="21"/>
          <w:shd w:val="clear" w:color="auto" w:fill="FFFFFF"/>
        </w:rPr>
        <w:t>NCORP is</w:t>
      </w:r>
      <w:r w:rsidR="00E207DA">
        <w:rPr>
          <w:color w:val="222222"/>
          <w:szCs w:val="21"/>
          <w:shd w:val="clear" w:color="auto" w:fill="FFFFFF"/>
        </w:rPr>
        <w:t xml:space="preserve"> comprised of over 1,000 community oncology practices across 45 States and two territories</w:t>
      </w:r>
      <w:r w:rsidR="00E207DA">
        <w:rPr>
          <w:rFonts w:cstheme="minorHAnsi"/>
          <w:color w:val="222222"/>
          <w:szCs w:val="24"/>
          <w:shd w:val="clear" w:color="auto" w:fill="FFFFFF"/>
        </w:rPr>
        <w:t xml:space="preserve"> charged with </w:t>
      </w:r>
      <w:r w:rsidRPr="00E207DA" w:rsidR="00E207DA">
        <w:rPr>
          <w:rFonts w:cstheme="minorHAnsi"/>
          <w:color w:val="333333"/>
          <w:shd w:val="clear" w:color="auto" w:fill="FFFFFF"/>
        </w:rPr>
        <w:t>provid</w:t>
      </w:r>
      <w:r w:rsidR="00E207DA">
        <w:rPr>
          <w:rFonts w:cstheme="minorHAnsi"/>
          <w:color w:val="333333"/>
          <w:shd w:val="clear" w:color="auto" w:fill="FFFFFF"/>
        </w:rPr>
        <w:t>ing</w:t>
      </w:r>
      <w:r w:rsidRPr="00E207DA" w:rsidR="00E207DA">
        <w:rPr>
          <w:rFonts w:cstheme="minorHAnsi"/>
          <w:color w:val="333333"/>
          <w:shd w:val="clear" w:color="auto" w:fill="FFFFFF"/>
        </w:rPr>
        <w:t xml:space="preserve"> </w:t>
      </w:r>
      <w:r w:rsidR="00A53CD0">
        <w:rPr>
          <w:rFonts w:cstheme="minorHAnsi"/>
          <w:color w:val="333333"/>
          <w:shd w:val="clear" w:color="auto" w:fill="FFFFFF"/>
        </w:rPr>
        <w:t>NCI-supported clinical trials</w:t>
      </w:r>
      <w:r w:rsidRPr="00E207DA" w:rsidR="00A53CD0">
        <w:rPr>
          <w:rFonts w:cstheme="minorHAnsi"/>
          <w:color w:val="333333"/>
          <w:shd w:val="clear" w:color="auto" w:fill="FFFFFF"/>
        </w:rPr>
        <w:t xml:space="preserve"> </w:t>
      </w:r>
      <w:r w:rsidRPr="00E207DA" w:rsidR="00E207DA">
        <w:rPr>
          <w:rFonts w:cstheme="minorHAnsi"/>
          <w:color w:val="333333"/>
          <w:shd w:val="clear" w:color="auto" w:fill="FFFFFF"/>
        </w:rPr>
        <w:t>access to</w:t>
      </w:r>
      <w:r w:rsidR="00A53CD0">
        <w:rPr>
          <w:rFonts w:cstheme="minorHAnsi"/>
          <w:color w:val="333333"/>
          <w:shd w:val="clear" w:color="auto" w:fill="FFFFFF"/>
        </w:rPr>
        <w:t xml:space="preserve"> </w:t>
      </w:r>
      <w:r w:rsidRPr="00E207DA" w:rsidR="00E207DA">
        <w:rPr>
          <w:rFonts w:cstheme="minorHAnsi"/>
          <w:color w:val="333333"/>
          <w:shd w:val="clear" w:color="auto" w:fill="FFFFFF"/>
        </w:rPr>
        <w:t xml:space="preserve">a diverse patient population from varied </w:t>
      </w:r>
      <w:r w:rsidR="00E207DA">
        <w:rPr>
          <w:rFonts w:cstheme="minorHAnsi"/>
          <w:color w:val="333333"/>
          <w:shd w:val="clear" w:color="auto" w:fill="FFFFFF"/>
        </w:rPr>
        <w:t xml:space="preserve">care </w:t>
      </w:r>
      <w:r w:rsidRPr="00E207DA" w:rsidR="00E207DA">
        <w:rPr>
          <w:rFonts w:cstheme="minorHAnsi"/>
          <w:color w:val="333333"/>
          <w:shd w:val="clear" w:color="auto" w:fill="FFFFFF"/>
        </w:rPr>
        <w:t xml:space="preserve">delivery settings.  </w:t>
      </w:r>
      <w:r w:rsidR="00A53CD0">
        <w:rPr>
          <w:rFonts w:cstheme="minorHAnsi"/>
          <w:color w:val="333333"/>
          <w:shd w:val="clear" w:color="auto" w:fill="FFFFFF"/>
        </w:rPr>
        <w:t>E</w:t>
      </w:r>
      <w:r w:rsidRPr="00E207DA" w:rsidR="00E207DA">
        <w:rPr>
          <w:rFonts w:cstheme="minorHAnsi"/>
          <w:color w:val="333333"/>
          <w:shd w:val="clear" w:color="auto" w:fill="FFFFFF"/>
        </w:rPr>
        <w:t xml:space="preserve">xpanding clinical research </w:t>
      </w:r>
      <w:r w:rsidR="00A53CD0">
        <w:rPr>
          <w:rFonts w:cstheme="minorHAnsi"/>
          <w:color w:val="333333"/>
          <w:shd w:val="clear" w:color="auto" w:fill="FFFFFF"/>
        </w:rPr>
        <w:t>across this network</w:t>
      </w:r>
      <w:r w:rsidRPr="00E207DA" w:rsidR="00E207DA">
        <w:rPr>
          <w:rFonts w:cstheme="minorHAnsi"/>
          <w:color w:val="333333"/>
          <w:shd w:val="clear" w:color="auto" w:fill="FFFFFF"/>
        </w:rPr>
        <w:t xml:space="preserve"> </w:t>
      </w:r>
      <w:r w:rsidR="00E207DA">
        <w:rPr>
          <w:rFonts w:cstheme="minorHAnsi"/>
          <w:color w:val="333333"/>
          <w:shd w:val="clear" w:color="auto" w:fill="FFFFFF"/>
        </w:rPr>
        <w:t xml:space="preserve">allows </w:t>
      </w:r>
      <w:r w:rsidRPr="00E207DA" w:rsidR="00E207DA">
        <w:rPr>
          <w:rFonts w:cstheme="minorHAnsi"/>
          <w:color w:val="333333"/>
          <w:shd w:val="clear" w:color="auto" w:fill="FFFFFF"/>
        </w:rPr>
        <w:t xml:space="preserve">access to a larger and more diverse patient population, reflects the complexity of cancer care delivery, </w:t>
      </w:r>
      <w:r w:rsidR="00A53CD0">
        <w:rPr>
          <w:rFonts w:cstheme="minorHAnsi"/>
          <w:color w:val="333333"/>
          <w:shd w:val="clear" w:color="auto" w:fill="FFFFFF"/>
        </w:rPr>
        <w:t xml:space="preserve">can </w:t>
      </w:r>
      <w:r w:rsidR="00A53CD0">
        <w:t>accelerate</w:t>
      </w:r>
      <w:r w:rsidR="00A53CD0">
        <w:rPr>
          <w:rFonts w:eastAsia="Times New Roman" w:cstheme="minorHAnsi"/>
        </w:rPr>
        <w:t xml:space="preserve"> research translation </w:t>
      </w:r>
      <w:r w:rsidRPr="00692483" w:rsidR="00A53CD0">
        <w:rPr>
          <w:rFonts w:eastAsia="Times New Roman" w:cstheme="minorHAnsi"/>
        </w:rPr>
        <w:t>into clinical practice</w:t>
      </w:r>
      <w:r w:rsidR="00A53CD0">
        <w:rPr>
          <w:rFonts w:eastAsia="Times New Roman" w:cstheme="minorHAnsi"/>
        </w:rPr>
        <w:t xml:space="preserve">, as well as </w:t>
      </w:r>
      <w:r w:rsidRPr="00C8444F" w:rsidR="00E207DA">
        <w:rPr>
          <w:rFonts w:cstheme="minorHAnsi"/>
          <w:color w:val="333333"/>
          <w:szCs w:val="24"/>
          <w:shd w:val="clear" w:color="auto" w:fill="FFFFFF"/>
        </w:rPr>
        <w:t>increase the generalizability and relevance of study findings</w:t>
      </w:r>
      <w:r w:rsidR="00E207DA">
        <w:rPr>
          <w:rFonts w:cstheme="minorHAnsi"/>
          <w:color w:val="333333"/>
          <w:szCs w:val="24"/>
          <w:shd w:val="clear" w:color="auto" w:fill="FFFFFF"/>
        </w:rPr>
        <w:t xml:space="preserve">. </w:t>
      </w:r>
      <w:r w:rsidR="00A53CD0">
        <w:rPr>
          <w:rFonts w:eastAsia="Times New Roman" w:cstheme="minorHAnsi"/>
        </w:rPr>
        <w:t xml:space="preserve">NCORP </w:t>
      </w:r>
      <w:r w:rsidR="00E207DA">
        <w:rPr>
          <w:rFonts w:eastAsia="Times New Roman" w:cstheme="minorHAnsi"/>
        </w:rPr>
        <w:t>CCDR leverages the</w:t>
      </w:r>
      <w:r w:rsidR="00A53CD0">
        <w:rPr>
          <w:rFonts w:eastAsia="Times New Roman" w:cstheme="minorHAnsi"/>
        </w:rPr>
        <w:t>se network</w:t>
      </w:r>
      <w:r w:rsidR="00E207DA">
        <w:rPr>
          <w:rFonts w:eastAsia="Times New Roman" w:cstheme="minorHAnsi"/>
        </w:rPr>
        <w:t xml:space="preserve"> strengths and seeks to improve clinical outcomes and patient well-being by intervening on patient, clinician, and organizational factors that may influence care delivery.</w:t>
      </w:r>
      <w:r w:rsidRPr="00E207DA" w:rsidR="00E207DA">
        <w:rPr>
          <w:rFonts w:eastAsia="Times New Roman" w:cstheme="minorHAnsi"/>
        </w:rPr>
        <w:t xml:space="preserve"> </w:t>
      </w:r>
      <w:r w:rsidR="00A53CD0">
        <w:rPr>
          <w:rFonts w:eastAsia="Times New Roman" w:cstheme="minorHAnsi"/>
        </w:rPr>
        <w:t xml:space="preserve">The </w:t>
      </w:r>
      <w:r w:rsidR="00E207DA">
        <w:rPr>
          <w:rFonts w:eastAsia="Times New Roman" w:cstheme="minorHAnsi"/>
        </w:rPr>
        <w:t>CCDR</w:t>
      </w:r>
      <w:r w:rsidR="00A53CD0">
        <w:rPr>
          <w:rFonts w:eastAsia="Times New Roman" w:cstheme="minorHAnsi"/>
        </w:rPr>
        <w:t xml:space="preserve"> program </w:t>
      </w:r>
      <w:r w:rsidR="00E207DA">
        <w:rPr>
          <w:rFonts w:eastAsia="Times New Roman" w:cstheme="minorHAnsi"/>
        </w:rPr>
        <w:t xml:space="preserve">has </w:t>
      </w:r>
      <w:r w:rsidRPr="008F7C7A" w:rsidR="00E207DA">
        <w:t>seen tremendous growth over the past five years of funding</w:t>
      </w:r>
      <w:r w:rsidR="00A53CD0">
        <w:t xml:space="preserve"> and cons</w:t>
      </w:r>
      <w:r w:rsidRPr="008F7C7A" w:rsidR="00E207DA">
        <w:t>is</w:t>
      </w:r>
      <w:r w:rsidR="00A53CD0">
        <w:t xml:space="preserve">ts </w:t>
      </w:r>
      <w:r w:rsidRPr="008F7C7A" w:rsidR="00E207DA">
        <w:t>of</w:t>
      </w:r>
      <w:r w:rsidR="00E207DA">
        <w:t xml:space="preserve"> 19 studies</w:t>
      </w:r>
      <w:r w:rsidR="00A53CD0">
        <w:t xml:space="preserve"> that i</w:t>
      </w:r>
      <w:r w:rsidRPr="00A53CD0" w:rsidR="00A53CD0">
        <w:t>dentify modifiable factors</w:t>
      </w:r>
      <w:r w:rsidR="00127A67">
        <w:t xml:space="preserve"> and assess the effectiveness of interventions</w:t>
      </w:r>
      <w:r w:rsidRPr="00127A67" w:rsidR="00127A67">
        <w:t xml:space="preserve"> </w:t>
      </w:r>
      <w:r w:rsidRPr="00A53CD0" w:rsidR="00127A67">
        <w:t>to improve care delivery</w:t>
      </w:r>
      <w:r w:rsidRPr="00A53CD0" w:rsidR="00A53CD0">
        <w:t xml:space="preserve">, particularly at the clinician and organization level, </w:t>
      </w:r>
      <w:r w:rsidR="00A53CD0">
        <w:t xml:space="preserve">across </w:t>
      </w:r>
      <w:r w:rsidRPr="00692483" w:rsidR="00E207DA">
        <w:rPr>
          <w:rFonts w:eastAsia="Times New Roman" w:cstheme="minorHAnsi"/>
        </w:rPr>
        <w:t>diverse healthcare settings.</w:t>
      </w:r>
    </w:p>
    <w:p w:rsidRPr="005B5E0B" w:rsidR="00775972" w:rsidP="00775972" w:rsidRDefault="00775972" w14:paraId="488261C5" w14:textId="77777777">
      <w:pPr>
        <w:spacing w:after="0"/>
        <w:rPr>
          <w:rFonts w:eastAsia="Times New Roman" w:cstheme="minorHAnsi"/>
          <w:u w:val="single"/>
        </w:rPr>
      </w:pPr>
      <w:r w:rsidRPr="005B5E0B">
        <w:rPr>
          <w:rFonts w:eastAsia="Times New Roman" w:cstheme="minorHAnsi"/>
          <w:u w:val="single"/>
        </w:rPr>
        <w:t>Rational</w:t>
      </w:r>
      <w:r>
        <w:rPr>
          <w:rFonts w:eastAsia="Times New Roman" w:cstheme="minorHAnsi"/>
          <w:u w:val="single"/>
        </w:rPr>
        <w:t>e</w:t>
      </w:r>
      <w:r w:rsidRPr="005B5E0B">
        <w:rPr>
          <w:rFonts w:eastAsia="Times New Roman" w:cstheme="minorHAnsi"/>
          <w:u w:val="single"/>
        </w:rPr>
        <w:t xml:space="preserve"> for this Formative Research Request</w:t>
      </w:r>
    </w:p>
    <w:p w:rsidRPr="00E12781" w:rsidR="00775972" w:rsidP="00775972" w:rsidRDefault="00775972" w14:paraId="4CED8C98" w14:textId="5F41BD6D">
      <w:pPr>
        <w:rPr>
          <w:rFonts w:cstheme="minorHAnsi"/>
        </w:rPr>
      </w:pPr>
      <w:r>
        <w:t>D</w:t>
      </w:r>
      <w:r w:rsidRPr="00DC3AF9">
        <w:t xml:space="preserve">espite </w:t>
      </w:r>
      <w:r w:rsidR="00A53CD0">
        <w:t xml:space="preserve">the </w:t>
      </w:r>
      <w:r w:rsidRPr="00DC3AF9">
        <w:t xml:space="preserve">impressive portfolio of NCORP CCDR studies, </w:t>
      </w:r>
      <w:r w:rsidR="00E207DA">
        <w:t xml:space="preserve">barriers to </w:t>
      </w:r>
      <w:r w:rsidR="00127A67">
        <w:t xml:space="preserve">site participation in </w:t>
      </w:r>
      <w:r>
        <w:t>CCDR stud</w:t>
      </w:r>
      <w:r w:rsidR="00127A67">
        <w:t>ies</w:t>
      </w:r>
      <w:r>
        <w:t xml:space="preserve"> </w:t>
      </w:r>
      <w:r w:rsidRPr="00DC3AF9">
        <w:t>are a concern</w:t>
      </w:r>
      <w:r>
        <w:t xml:space="preserve">.  </w:t>
      </w:r>
      <w:r w:rsidR="00A53CD0">
        <w:t>I</w:t>
      </w:r>
      <w:r w:rsidR="00E207DA">
        <w:t xml:space="preserve">neffective </w:t>
      </w:r>
      <w:r w:rsidR="00A53CD0">
        <w:t xml:space="preserve">and inconsistent </w:t>
      </w:r>
      <w:r w:rsidR="00E207DA">
        <w:t>approaches</w:t>
      </w:r>
      <w:r w:rsidR="001A15F1">
        <w:t>/strategies</w:t>
      </w:r>
      <w:r w:rsidR="00E207DA">
        <w:t xml:space="preserve"> to site recruitment</w:t>
      </w:r>
      <w:r>
        <w:t xml:space="preserve"> can cause </w:t>
      </w:r>
      <w:r w:rsidRPr="00DC3AF9">
        <w:t>delay</w:t>
      </w:r>
      <w:r>
        <w:t>s i</w:t>
      </w:r>
      <w:r w:rsidRPr="00DC3AF9">
        <w:t xml:space="preserve">n activating </w:t>
      </w:r>
      <w:r w:rsidR="001A15F1">
        <w:t>CCDR</w:t>
      </w:r>
      <w:r w:rsidRPr="00DC3AF9">
        <w:t xml:space="preserve"> studies</w:t>
      </w:r>
      <w:r>
        <w:t xml:space="preserve">, </w:t>
      </w:r>
      <w:r w:rsidR="001A15F1">
        <w:t xml:space="preserve">influence </w:t>
      </w:r>
      <w:r w:rsidRPr="00DC3AF9">
        <w:t>representativeness of participating sites</w:t>
      </w:r>
      <w:r w:rsidR="001A15F1">
        <w:t>,</w:t>
      </w:r>
      <w:r w:rsidRPr="00DC3AF9">
        <w:t xml:space="preserve"> and </w:t>
      </w:r>
      <w:r>
        <w:t xml:space="preserve">potentially diminish scientific and clinical impact.  Thus, attaining a better understanding of strategies that enhance study promotion as well as </w:t>
      </w:r>
      <w:r w:rsidR="001A15F1">
        <w:t>the</w:t>
      </w:r>
      <w:r>
        <w:t xml:space="preserve"> selection, recruitment, and retention of eligible community sites/practices</w:t>
      </w:r>
      <w:r w:rsidR="00127A67">
        <w:t xml:space="preserve"> </w:t>
      </w:r>
      <w:r>
        <w:t xml:space="preserve">is </w:t>
      </w:r>
      <w:r w:rsidR="00127A67">
        <w:t>a program need</w:t>
      </w:r>
      <w:r>
        <w:t>.  The proposed formative research will a</w:t>
      </w:r>
      <w:r w:rsidRPr="00405E37">
        <w:rPr>
          <w:rFonts w:cstheme="minorHAnsi"/>
        </w:rPr>
        <w:t>ddress this gap</w:t>
      </w:r>
      <w:r>
        <w:rPr>
          <w:rFonts w:cstheme="minorHAnsi"/>
        </w:rPr>
        <w:t xml:space="preserve"> by collecting practice-level characteristics</w:t>
      </w:r>
      <w:r w:rsidRPr="00E52BC7">
        <w:rPr>
          <w:rFonts w:cstheme="minorHAnsi"/>
        </w:rPr>
        <w:t xml:space="preserve"> for practice</w:t>
      </w:r>
      <w:r w:rsidR="008265E1">
        <w:rPr>
          <w:rFonts w:cstheme="minorHAnsi"/>
        </w:rPr>
        <w:t>s</w:t>
      </w:r>
      <w:r w:rsidRPr="00E52BC7">
        <w:rPr>
          <w:rFonts w:cstheme="minorHAnsi"/>
        </w:rPr>
        <w:t xml:space="preserve"> (affiliate/sub-affiliate) that participate in </w:t>
      </w:r>
      <w:r w:rsidR="00127A67">
        <w:rPr>
          <w:rFonts w:cstheme="minorHAnsi"/>
        </w:rPr>
        <w:t xml:space="preserve">a </w:t>
      </w:r>
      <w:r w:rsidRPr="00E52BC7">
        <w:rPr>
          <w:rFonts w:cstheme="minorHAnsi"/>
        </w:rPr>
        <w:t>CCDR trial</w:t>
      </w:r>
      <w:r>
        <w:rPr>
          <w:rFonts w:cstheme="minorHAnsi"/>
        </w:rPr>
        <w:t xml:space="preserve">.  </w:t>
      </w:r>
      <w:r w:rsidR="00127A67">
        <w:t>Evaluation of</w:t>
      </w:r>
      <w:r>
        <w:t xml:space="preserve"> these practice-level </w:t>
      </w:r>
      <w:r w:rsidRPr="001A15F1">
        <w:t>characteristics/</w:t>
      </w:r>
      <w:r w:rsidR="00127A67">
        <w:t xml:space="preserve"> </w:t>
      </w:r>
      <w:r w:rsidRPr="001A15F1">
        <w:t>attributes will facilitate the identification and adoption of best practices relatively early in NCORP initiative</w:t>
      </w:r>
      <w:r w:rsidR="00127A67">
        <w:t>,</w:t>
      </w:r>
      <w:r w:rsidR="001A15F1">
        <w:t xml:space="preserve"> while modifications are possible and feasible</w:t>
      </w:r>
      <w:r w:rsidRPr="001A15F1">
        <w:t xml:space="preserve">. </w:t>
      </w:r>
      <w:r w:rsidRPr="001A15F1">
        <w:rPr>
          <w:rFonts w:cstheme="minorHAnsi"/>
        </w:rPr>
        <w:t>The</w:t>
      </w:r>
      <w:r>
        <w:rPr>
          <w:rFonts w:cstheme="minorHAnsi"/>
        </w:rPr>
        <w:t xml:space="preserve"> results </w:t>
      </w:r>
      <w:r w:rsidR="001A15F1">
        <w:rPr>
          <w:rFonts w:cstheme="minorHAnsi"/>
        </w:rPr>
        <w:t xml:space="preserve">of the formative research </w:t>
      </w:r>
      <w:r>
        <w:rPr>
          <w:rFonts w:cstheme="minorHAnsi"/>
          <w:snapToGrid w:val="0"/>
        </w:rPr>
        <w:t xml:space="preserve">will be used to inform </w:t>
      </w:r>
      <w:r w:rsidR="00272286">
        <w:rPr>
          <w:rFonts w:cstheme="minorHAnsi"/>
          <w:snapToGrid w:val="0"/>
        </w:rPr>
        <w:t>trial</w:t>
      </w:r>
      <w:r>
        <w:rPr>
          <w:rFonts w:cstheme="minorHAnsi"/>
          <w:snapToGrid w:val="0"/>
        </w:rPr>
        <w:t xml:space="preserve"> design, increase practice recruitment</w:t>
      </w:r>
      <w:r w:rsidR="00272286">
        <w:rPr>
          <w:rFonts w:cstheme="minorHAnsi"/>
          <w:snapToGrid w:val="0"/>
        </w:rPr>
        <w:t xml:space="preserve"> from </w:t>
      </w:r>
      <w:r w:rsidR="00272286">
        <w:rPr>
          <w:rFonts w:cstheme="minorHAnsi"/>
        </w:rPr>
        <w:t>diverse care delivery settings</w:t>
      </w:r>
      <w:r>
        <w:rPr>
          <w:rFonts w:cstheme="minorHAnsi"/>
          <w:snapToGrid w:val="0"/>
        </w:rPr>
        <w:t xml:space="preserve"> and </w:t>
      </w:r>
      <w:r w:rsidR="008265E1">
        <w:rPr>
          <w:rFonts w:cstheme="minorHAnsi"/>
          <w:snapToGrid w:val="0"/>
        </w:rPr>
        <w:t>representativeness within</w:t>
      </w:r>
      <w:r>
        <w:rPr>
          <w:rFonts w:cstheme="minorHAnsi"/>
          <w:snapToGrid w:val="0"/>
        </w:rPr>
        <w:t xml:space="preserve"> </w:t>
      </w:r>
      <w:r w:rsidRPr="001A15F1">
        <w:rPr>
          <w:rFonts w:cstheme="minorHAnsi"/>
          <w:snapToGrid w:val="0"/>
        </w:rPr>
        <w:t xml:space="preserve">clinical trials, </w:t>
      </w:r>
      <w:r w:rsidR="00272286">
        <w:rPr>
          <w:rFonts w:cstheme="minorHAnsi"/>
          <w:snapToGrid w:val="0"/>
        </w:rPr>
        <w:t>as well as</w:t>
      </w:r>
      <w:r w:rsidRPr="001A15F1">
        <w:rPr>
          <w:rFonts w:cstheme="minorHAnsi"/>
          <w:snapToGrid w:val="0"/>
        </w:rPr>
        <w:t xml:space="preserve"> </w:t>
      </w:r>
      <w:r w:rsidR="00127A67">
        <w:rPr>
          <w:rFonts w:cstheme="minorHAnsi"/>
          <w:snapToGrid w:val="0"/>
        </w:rPr>
        <w:t>improve</w:t>
      </w:r>
      <w:r w:rsidRPr="001A15F1">
        <w:rPr>
          <w:rFonts w:cstheme="minorHAnsi"/>
          <w:snapToGrid w:val="0"/>
        </w:rPr>
        <w:t xml:space="preserve"> an understanding of </w:t>
      </w:r>
      <w:r w:rsidR="007C725D">
        <w:rPr>
          <w:rFonts w:cstheme="minorHAnsi"/>
        </w:rPr>
        <w:t>challenges/barriers to practice participation in CCDR studies</w:t>
      </w:r>
      <w:r w:rsidRPr="001A15F1">
        <w:rPr>
          <w:rFonts w:cstheme="minorHAnsi"/>
          <w:snapToGrid w:val="0"/>
        </w:rPr>
        <w:t xml:space="preserve">. </w:t>
      </w:r>
      <w:r w:rsidRPr="001A15F1">
        <w:t xml:space="preserve"> </w:t>
      </w:r>
      <w:r w:rsidRPr="00272286" w:rsidR="001A15F1">
        <w:t xml:space="preserve">Furthermore, findings </w:t>
      </w:r>
      <w:r w:rsidR="00127A67">
        <w:t>can</w:t>
      </w:r>
      <w:r w:rsidRPr="00272286" w:rsidR="001A15F1">
        <w:t xml:space="preserve"> </w:t>
      </w:r>
      <w:r w:rsidRPr="00272286" w:rsidR="00272286">
        <w:rPr>
          <w:rFonts w:cstheme="minorHAnsi"/>
        </w:rPr>
        <w:t>inform tailored recruitment and communication strategies</w:t>
      </w:r>
      <w:r w:rsidR="00127A67">
        <w:rPr>
          <w:rFonts w:cstheme="minorHAnsi"/>
        </w:rPr>
        <w:t>,</w:t>
      </w:r>
      <w:r w:rsidR="00272286">
        <w:rPr>
          <w:rFonts w:cstheme="minorHAnsi"/>
        </w:rPr>
        <w:t xml:space="preserve"> </w:t>
      </w:r>
      <w:r w:rsidRPr="00272286" w:rsidR="001A15F1">
        <w:t>guide</w:t>
      </w:r>
      <w:r w:rsidR="00272286">
        <w:t xml:space="preserve"> programmatic improvements that maximize the effective</w:t>
      </w:r>
      <w:r w:rsidR="006A1AA7">
        <w:t xml:space="preserve">ness and impact of </w:t>
      </w:r>
      <w:r w:rsidRPr="00E12781" w:rsidR="006A1AA7">
        <w:rPr>
          <w:rFonts w:cstheme="minorHAnsi"/>
        </w:rPr>
        <w:t>these strategies</w:t>
      </w:r>
      <w:r w:rsidR="006A1AA7">
        <w:rPr>
          <w:rFonts w:cstheme="minorHAnsi"/>
        </w:rPr>
        <w:t xml:space="preserve">, </w:t>
      </w:r>
      <w:r w:rsidR="00127A67">
        <w:t xml:space="preserve">and </w:t>
      </w:r>
      <w:r w:rsidR="006A1AA7">
        <w:rPr>
          <w:rFonts w:cstheme="minorHAnsi"/>
        </w:rPr>
        <w:t xml:space="preserve">enhance the impact of </w:t>
      </w:r>
      <w:r w:rsidR="00272286">
        <w:rPr>
          <w:rFonts w:cstheme="minorHAnsi"/>
        </w:rPr>
        <w:t xml:space="preserve">NCORP </w:t>
      </w:r>
      <w:r w:rsidRPr="00272286">
        <w:rPr>
          <w:rFonts w:cstheme="minorHAnsi"/>
        </w:rPr>
        <w:t>CCDR.</w:t>
      </w:r>
    </w:p>
    <w:bookmarkEnd w:id="1"/>
    <w:p w:rsidR="006A1AA7" w:rsidP="008716F6" w:rsidRDefault="006A1AA7" w14:paraId="0255F54E" w14:textId="77777777">
      <w:pPr>
        <w:spacing w:after="20"/>
        <w:rPr>
          <w:b/>
        </w:rPr>
      </w:pPr>
    </w:p>
    <w:p w:rsidR="00B86318" w:rsidP="008716F6" w:rsidRDefault="00B86318" w14:paraId="319886AD" w14:textId="77777777">
      <w:pPr>
        <w:spacing w:after="20"/>
        <w:rPr>
          <w:b/>
        </w:rPr>
      </w:pPr>
    </w:p>
    <w:p w:rsidR="008716F6" w:rsidP="008716F6" w:rsidRDefault="008716F6" w14:paraId="25F27327" w14:textId="384B08AC">
      <w:pPr>
        <w:spacing w:after="20"/>
        <w:rPr>
          <w:b/>
        </w:rPr>
      </w:pPr>
      <w:r w:rsidRPr="00113647">
        <w:rPr>
          <w:b/>
        </w:rPr>
        <w:lastRenderedPageBreak/>
        <w:t>A.2 Purpose and Use of the Information Collection</w:t>
      </w:r>
    </w:p>
    <w:p w:rsidR="007C55AB" w:rsidP="007C55AB" w:rsidRDefault="007C55AB" w14:paraId="69E8BB5A" w14:textId="019F0456">
      <w:pPr>
        <w:rPr>
          <w:rFonts w:cstheme="minorHAnsi"/>
        </w:rPr>
      </w:pPr>
      <w:r>
        <w:t>This survey is being administered t</w:t>
      </w:r>
      <w:r>
        <w:rPr>
          <w:rFonts w:cstheme="minorHAnsi"/>
        </w:rPr>
        <w:t xml:space="preserve">o better understand </w:t>
      </w:r>
      <w:r w:rsidR="00775972">
        <w:rPr>
          <w:rFonts w:cstheme="minorHAnsi"/>
        </w:rPr>
        <w:t xml:space="preserve">the characteristics of </w:t>
      </w:r>
      <w:r>
        <w:rPr>
          <w:rFonts w:cstheme="minorHAnsi"/>
        </w:rPr>
        <w:t>NCORP</w:t>
      </w:r>
      <w:r w:rsidR="00775972">
        <w:rPr>
          <w:rFonts w:cstheme="minorHAnsi"/>
        </w:rPr>
        <w:t xml:space="preserve"> oncology</w:t>
      </w:r>
      <w:r>
        <w:rPr>
          <w:rFonts w:cstheme="minorHAnsi"/>
        </w:rPr>
        <w:t xml:space="preserve"> practices </w:t>
      </w:r>
      <w:r w:rsidR="00775972">
        <w:rPr>
          <w:rFonts w:cstheme="minorHAnsi"/>
        </w:rPr>
        <w:t xml:space="preserve">that </w:t>
      </w:r>
      <w:r>
        <w:rPr>
          <w:rFonts w:cstheme="minorHAnsi"/>
        </w:rPr>
        <w:t xml:space="preserve">are participating in cancer care delivery research </w:t>
      </w:r>
      <w:r w:rsidR="00775972">
        <w:rPr>
          <w:rFonts w:cstheme="minorHAnsi"/>
        </w:rPr>
        <w:t>trials</w:t>
      </w:r>
      <w:r>
        <w:rPr>
          <w:rFonts w:cstheme="minorHAnsi"/>
        </w:rPr>
        <w:t xml:space="preserve">.  Results from this survey will be used to improve NCI’s outreach, communication, and training efforts and to </w:t>
      </w:r>
      <w:bookmarkStart w:name="_Hlk18668933" w:id="2"/>
      <w:r>
        <w:rPr>
          <w:rFonts w:cstheme="minorHAnsi"/>
        </w:rPr>
        <w:t xml:space="preserve">inform study design considerations, increase practice recruitment and generalizability of clinical trials, and enhance an understanding of challenges/barriers to practice participation in CCDR studies.  </w:t>
      </w:r>
      <w:bookmarkStart w:name="_Hlk13799947" w:id="3"/>
    </w:p>
    <w:bookmarkEnd w:id="2"/>
    <w:bookmarkEnd w:id="3"/>
    <w:p w:rsidRPr="00194D71" w:rsidR="008716F6" w:rsidP="008716F6" w:rsidRDefault="008716F6" w14:paraId="149188BB" w14:textId="77777777">
      <w:pPr>
        <w:spacing w:after="20"/>
        <w:rPr>
          <w:b/>
        </w:rPr>
      </w:pPr>
      <w:r w:rsidRPr="00194D71">
        <w:rPr>
          <w:b/>
        </w:rPr>
        <w:t>A.3 Use of Information Technology to Reduce Burden</w:t>
      </w:r>
    </w:p>
    <w:p w:rsidR="00003BE1" w:rsidP="00775972" w:rsidRDefault="00194D71" w14:paraId="5F8A6A7B" w14:textId="58DF1F0C">
      <w:r w:rsidRPr="00194D71">
        <w:t xml:space="preserve">Online technology provides benefits </w:t>
      </w:r>
      <w:r w:rsidR="00651E8A">
        <w:t xml:space="preserve">that </w:t>
      </w:r>
      <w:r w:rsidRPr="00194D71">
        <w:t>traditional paper surveys do not</w:t>
      </w:r>
      <w:r w:rsidR="00651E8A">
        <w:t>.</w:t>
      </w:r>
      <w:r w:rsidRPr="00194D71">
        <w:t xml:space="preserve"> </w:t>
      </w:r>
      <w:r w:rsidR="00775972">
        <w:rPr>
          <w:bCs/>
          <w:szCs w:val="20"/>
          <w:lang w:eastAsia="zh-CN"/>
        </w:rPr>
        <w:t>NCORP practices (affiliates/sub</w:t>
      </w:r>
      <w:r w:rsidR="007D3278">
        <w:rPr>
          <w:bCs/>
          <w:szCs w:val="20"/>
          <w:lang w:eastAsia="zh-CN"/>
        </w:rPr>
        <w:t>-</w:t>
      </w:r>
      <w:r w:rsidR="00775972">
        <w:rPr>
          <w:bCs/>
          <w:szCs w:val="20"/>
          <w:lang w:eastAsia="zh-CN"/>
        </w:rPr>
        <w:t xml:space="preserve">affiliates) will upload survey data directly to the Clinical Trials Supporting Unit (CTSU) web portal. </w:t>
      </w:r>
      <w:r w:rsidRPr="00194D71">
        <w:t>Information is captured in real-time, eliminating the need to mail in the survey or provide further information</w:t>
      </w:r>
      <w:r w:rsidR="00651E8A">
        <w:t>,</w:t>
      </w:r>
      <w:r>
        <w:t xml:space="preserve"> </w:t>
      </w:r>
      <w:r w:rsidRPr="00194D71">
        <w:t>and participants are able to take the survey from anywhere.</w:t>
      </w:r>
      <w:r w:rsidRPr="00194D71">
        <w:rPr>
          <w:rFonts w:ascii="Times New Roman" w:hAnsi="Times New Roman"/>
        </w:rPr>
        <w:t xml:space="preserve"> </w:t>
      </w:r>
      <w:r w:rsidRPr="00194D71">
        <w:t xml:space="preserve">All responses will be submitted electronically. </w:t>
      </w:r>
    </w:p>
    <w:p w:rsidR="008716F6" w:rsidP="008716F6" w:rsidRDefault="008716F6" w14:paraId="5C23EB0A" w14:textId="77777777">
      <w:pPr>
        <w:spacing w:after="20"/>
        <w:rPr>
          <w:b/>
        </w:rPr>
      </w:pPr>
      <w:r w:rsidRPr="00113647">
        <w:rPr>
          <w:b/>
        </w:rPr>
        <w:t>A.4 Efforts to Identify Duplication</w:t>
      </w:r>
    </w:p>
    <w:p w:rsidRPr="00B8649A" w:rsidR="00B8649A" w:rsidP="00B8649A" w:rsidRDefault="00B8649A" w14:paraId="1B5FE246" w14:textId="77777777">
      <w:pPr>
        <w:spacing w:after="20"/>
      </w:pPr>
      <w:r w:rsidRPr="00B8649A">
        <w:t>No other similar collection of information exists.</w:t>
      </w:r>
    </w:p>
    <w:p w:rsidRPr="00113647" w:rsidR="00003BE1" w:rsidP="008716F6" w:rsidRDefault="00003BE1" w14:paraId="64EAD837" w14:textId="77777777">
      <w:pPr>
        <w:spacing w:after="20"/>
        <w:rPr>
          <w:b/>
        </w:rPr>
      </w:pPr>
    </w:p>
    <w:p w:rsidRPr="00113647" w:rsidR="008716F6" w:rsidP="008716F6" w:rsidRDefault="008716F6" w14:paraId="2075AE3E" w14:textId="77777777">
      <w:pPr>
        <w:spacing w:after="20"/>
        <w:rPr>
          <w:b/>
        </w:rPr>
      </w:pPr>
      <w:r w:rsidRPr="00113647">
        <w:rPr>
          <w:b/>
        </w:rPr>
        <w:t>A.5 Impact on Small Businesses or Other Small Entities</w:t>
      </w:r>
    </w:p>
    <w:p w:rsidRPr="00113647" w:rsidR="008716F6" w:rsidP="008716F6" w:rsidRDefault="001048B6" w14:paraId="5DAA4874" w14:textId="20879613">
      <w:pPr>
        <w:spacing w:after="20"/>
      </w:pPr>
      <w:r>
        <w:t>This information collection will have no impact on small businesses or other small entities.</w:t>
      </w:r>
      <w:r w:rsidR="005858BF">
        <w:t xml:space="preserve"> </w:t>
      </w:r>
    </w:p>
    <w:p w:rsidR="008716F6" w:rsidP="008716F6" w:rsidRDefault="008716F6" w14:paraId="68AA725D" w14:textId="77777777">
      <w:pPr>
        <w:spacing w:after="20"/>
      </w:pPr>
    </w:p>
    <w:p w:rsidRPr="0084009F" w:rsidR="008716F6" w:rsidP="008716F6" w:rsidRDefault="008716F6" w14:paraId="6DF24D06" w14:textId="77777777">
      <w:pPr>
        <w:spacing w:after="20"/>
        <w:rPr>
          <w:b/>
        </w:rPr>
      </w:pPr>
      <w:r w:rsidRPr="0084009F">
        <w:rPr>
          <w:b/>
        </w:rPr>
        <w:t>A.6 Consequences of Collecting the Information Less Frequently</w:t>
      </w:r>
    </w:p>
    <w:p w:rsidRPr="00113647" w:rsidR="004B3C21" w:rsidP="008716F6" w:rsidRDefault="003E6A0C" w14:paraId="1F2E5256" w14:textId="38801CEB">
      <w:pPr>
        <w:spacing w:after="20"/>
      </w:pPr>
      <w:r w:rsidRPr="003E6A0C">
        <w:t xml:space="preserve">The </w:t>
      </w:r>
      <w:r>
        <w:t>survey</w:t>
      </w:r>
      <w:r w:rsidRPr="003E6A0C">
        <w:t xml:space="preserve"> </w:t>
      </w:r>
      <w:r w:rsidRPr="00156A13">
        <w:t xml:space="preserve">will be submitted </w:t>
      </w:r>
      <w:r w:rsidR="00252B56">
        <w:t xml:space="preserve">by NCORP practices </w:t>
      </w:r>
      <w:r w:rsidR="00560FDC">
        <w:t xml:space="preserve">as a one-time data </w:t>
      </w:r>
      <w:r w:rsidRPr="00382E07" w:rsidR="00560FDC">
        <w:t>collection</w:t>
      </w:r>
      <w:r w:rsidRPr="00382E07" w:rsidR="00382E07">
        <w:t>, in order to have a better sense of the characteristics of the current participants and improve/tailor recruitment efforts</w:t>
      </w:r>
      <w:r w:rsidRPr="00382E07" w:rsidR="00252B56">
        <w:t xml:space="preserve">.  </w:t>
      </w:r>
    </w:p>
    <w:p w:rsidR="00731EA1" w:rsidP="008716F6" w:rsidRDefault="00731EA1" w14:paraId="5F0E2915" w14:textId="77777777">
      <w:pPr>
        <w:spacing w:after="20"/>
        <w:rPr>
          <w:b/>
        </w:rPr>
      </w:pPr>
    </w:p>
    <w:p w:rsidRPr="00113647" w:rsidR="008716F6" w:rsidP="008716F6" w:rsidRDefault="008716F6" w14:paraId="4F19704D" w14:textId="582358AF">
      <w:pPr>
        <w:spacing w:after="20"/>
        <w:rPr>
          <w:b/>
        </w:rPr>
      </w:pPr>
      <w:r w:rsidRPr="00113647">
        <w:rPr>
          <w:b/>
        </w:rPr>
        <w:t>A.7 Special Circumstances Relating to the Guidelines of 5 CFR 1320.5</w:t>
      </w:r>
    </w:p>
    <w:p w:rsidRPr="00113647" w:rsidR="008716F6" w:rsidP="008716F6" w:rsidRDefault="008716F6" w14:paraId="07A75E9B" w14:textId="0C9509DB">
      <w:pPr>
        <w:spacing w:after="20"/>
      </w:pPr>
      <w:r w:rsidRPr="00113647">
        <w:t>This survey will be implemented in a manner that fully complies with 5 C.F.R. 1320.5.</w:t>
      </w:r>
      <w:r w:rsidR="004B3C21">
        <w:t xml:space="preserve"> </w:t>
      </w:r>
    </w:p>
    <w:p w:rsidRPr="00113647" w:rsidR="008716F6" w:rsidP="008716F6" w:rsidRDefault="008716F6" w14:paraId="3AE5095F" w14:textId="77777777">
      <w:pPr>
        <w:spacing w:after="20"/>
      </w:pPr>
    </w:p>
    <w:p w:rsidRPr="00113647" w:rsidR="008716F6" w:rsidP="008716F6" w:rsidRDefault="008716F6" w14:paraId="7FA549AA" w14:textId="77777777">
      <w:pPr>
        <w:spacing w:after="20"/>
        <w:rPr>
          <w:b/>
        </w:rPr>
      </w:pPr>
      <w:r w:rsidRPr="00113647">
        <w:rPr>
          <w:b/>
        </w:rPr>
        <w:t>A.8 Comments in Response to the Federal Register Notice and Efforts to Consult Outside Agency</w:t>
      </w:r>
    </w:p>
    <w:p w:rsidRPr="00113647" w:rsidR="008716F6" w:rsidP="008716F6" w:rsidRDefault="008716F6" w14:paraId="0307FBE4" w14:textId="77777777">
      <w:pPr>
        <w:spacing w:after="20"/>
      </w:pPr>
      <w:r w:rsidRPr="00113647">
        <w:t>N/A</w:t>
      </w:r>
    </w:p>
    <w:p w:rsidR="00731EA1" w:rsidP="008716F6" w:rsidRDefault="00731EA1" w14:paraId="24C854F8" w14:textId="77777777">
      <w:pPr>
        <w:spacing w:after="20"/>
        <w:rPr>
          <w:b/>
        </w:rPr>
      </w:pPr>
    </w:p>
    <w:p w:rsidR="008716F6" w:rsidP="008716F6" w:rsidRDefault="008716F6" w14:paraId="7CA0243F" w14:textId="014A91CF">
      <w:pPr>
        <w:spacing w:after="20"/>
        <w:rPr>
          <w:b/>
        </w:rPr>
      </w:pPr>
      <w:r w:rsidRPr="00113647">
        <w:rPr>
          <w:b/>
        </w:rPr>
        <w:t xml:space="preserve">A.9 </w:t>
      </w:r>
      <w:r w:rsidRPr="00113647" w:rsidR="00477A8E">
        <w:rPr>
          <w:b/>
        </w:rPr>
        <w:t>Explanation of Any Payment of Gift to Respondents</w:t>
      </w:r>
    </w:p>
    <w:p w:rsidRPr="00B8649A" w:rsidR="00B8649A" w:rsidP="00B8649A" w:rsidRDefault="00B8649A" w14:paraId="19B6E2C0" w14:textId="77777777">
      <w:pPr>
        <w:spacing w:after="20"/>
        <w:rPr>
          <w:b/>
        </w:rPr>
      </w:pPr>
      <w:r w:rsidRPr="00B8649A">
        <w:t xml:space="preserve">No payments or gifts will be given to respondents. </w:t>
      </w:r>
    </w:p>
    <w:p w:rsidRPr="00113647" w:rsidR="004B3C21" w:rsidP="008716F6" w:rsidRDefault="004B3C21" w14:paraId="7F859AC0" w14:textId="77777777">
      <w:pPr>
        <w:spacing w:after="20"/>
      </w:pPr>
    </w:p>
    <w:p w:rsidRPr="00113647" w:rsidR="00477A8E" w:rsidP="008716F6" w:rsidRDefault="00477A8E" w14:paraId="438EBC00" w14:textId="77777777">
      <w:pPr>
        <w:spacing w:after="20"/>
        <w:rPr>
          <w:b/>
        </w:rPr>
      </w:pPr>
      <w:r w:rsidRPr="00113647">
        <w:rPr>
          <w:b/>
        </w:rPr>
        <w:t>A.10 Assurance of Confidentiality Provided to Respondents</w:t>
      </w:r>
    </w:p>
    <w:p w:rsidRPr="00B8649A" w:rsidR="00B8649A" w:rsidP="00B8649A" w:rsidRDefault="00B8649A" w14:paraId="0719A436" w14:textId="77777777">
      <w:pPr>
        <w:spacing w:after="20"/>
        <w:rPr>
          <w:b/>
        </w:rPr>
      </w:pPr>
      <w:r w:rsidRPr="00B8649A">
        <w:t>All information will be kept private to the extent allowable by law.</w:t>
      </w:r>
    </w:p>
    <w:p w:rsidR="004B3C21" w:rsidP="004B3C21" w:rsidRDefault="004B3C21" w14:paraId="5628C834" w14:textId="77777777">
      <w:pPr>
        <w:spacing w:after="20"/>
      </w:pPr>
    </w:p>
    <w:p w:rsidRPr="00113647" w:rsidR="001D2741" w:rsidP="008716F6" w:rsidRDefault="001D2741" w14:paraId="7AC40A64" w14:textId="77777777">
      <w:pPr>
        <w:spacing w:after="20"/>
        <w:rPr>
          <w:b/>
        </w:rPr>
      </w:pPr>
      <w:r w:rsidRPr="00113647">
        <w:rPr>
          <w:b/>
        </w:rPr>
        <w:t>A.11 Justification for Sensitive Questions</w:t>
      </w:r>
    </w:p>
    <w:p w:rsidR="0084009F" w:rsidP="00DC39CC" w:rsidRDefault="00CD4ADC" w14:paraId="788B65E5" w14:textId="2F75CEBE">
      <w:r w:rsidRPr="00DC39CC">
        <w:t xml:space="preserve">No sensitive questions are being asked. </w:t>
      </w:r>
      <w:r w:rsidRPr="00DC39CC" w:rsidR="00576786">
        <w:t>The respondents for this survey are reporting aggregate</w:t>
      </w:r>
      <w:r w:rsidR="00252B56">
        <w:t xml:space="preserve"> practice-level </w:t>
      </w:r>
      <w:r w:rsidRPr="00DC39CC" w:rsidR="00252B56">
        <w:t>data</w:t>
      </w:r>
      <w:r w:rsidRPr="00DC39CC" w:rsidR="00576786">
        <w:t xml:space="preserve"> describing the proportion of populations served (by race and ethnicity) in the practice’s catchment area.  No individual/person level data is being collected.</w:t>
      </w:r>
      <w:r w:rsidR="00576786">
        <w:t xml:space="preserve">  </w:t>
      </w:r>
      <w:r>
        <w:rPr>
          <w:sz w:val="24"/>
          <w:szCs w:val="24"/>
        </w:rPr>
        <w:t xml:space="preserve">  </w:t>
      </w:r>
    </w:p>
    <w:p w:rsidR="004777DD" w:rsidRDefault="004777DD" w14:paraId="34C2943E" w14:textId="77777777">
      <w:pPr>
        <w:rPr>
          <w:b/>
        </w:rPr>
      </w:pPr>
      <w:r>
        <w:rPr>
          <w:b/>
        </w:rPr>
        <w:br w:type="page"/>
      </w:r>
    </w:p>
    <w:p w:rsidRPr="00E85DA0" w:rsidR="00E85DA0" w:rsidP="000B423B" w:rsidRDefault="00E85DA0" w14:paraId="49CB6369" w14:textId="5F21F50B">
      <w:pPr>
        <w:pStyle w:val="P1-StandPara"/>
        <w:spacing w:line="276" w:lineRule="auto"/>
        <w:ind w:firstLine="0"/>
        <w:rPr>
          <w:rFonts w:eastAsia="SimSun" w:asciiTheme="minorHAnsi" w:hAnsiTheme="minorHAnsi" w:cstheme="minorBidi"/>
          <w:b/>
          <w:szCs w:val="22"/>
        </w:rPr>
      </w:pPr>
      <w:r w:rsidRPr="00E85DA0">
        <w:rPr>
          <w:rFonts w:eastAsia="SimSun" w:asciiTheme="minorHAnsi" w:hAnsiTheme="minorHAnsi" w:cstheme="minorBidi"/>
          <w:b/>
          <w:szCs w:val="22"/>
        </w:rPr>
        <w:lastRenderedPageBreak/>
        <w:t>A.12</w:t>
      </w:r>
      <w:r w:rsidRPr="00E85DA0">
        <w:rPr>
          <w:rFonts w:eastAsia="SimSun" w:asciiTheme="minorHAnsi" w:hAnsiTheme="minorHAnsi" w:cstheme="minorBidi"/>
          <w:b/>
          <w:szCs w:val="22"/>
        </w:rPr>
        <w:tab/>
        <w:t>Estimates of Hour Burden Including Annualized Hourly Costs</w:t>
      </w:r>
    </w:p>
    <w:p w:rsidRPr="00B8649A" w:rsidR="00B8649A" w:rsidP="0084009F" w:rsidRDefault="000B423B" w14:paraId="58A632B0" w14:textId="276662CA">
      <w:r>
        <w:t xml:space="preserve">Site coordinators will serve as </w:t>
      </w:r>
      <w:r w:rsidRPr="00B8649A" w:rsidR="00B8649A">
        <w:t>respondents</w:t>
      </w:r>
      <w:r>
        <w:t xml:space="preserve"> and </w:t>
      </w:r>
      <w:r w:rsidRPr="00B8649A" w:rsidR="00B8649A">
        <w:t xml:space="preserve">will take approximately </w:t>
      </w:r>
      <w:r w:rsidR="00B8649A">
        <w:t>10</w:t>
      </w:r>
      <w:r w:rsidRPr="00B8649A" w:rsidR="00B8649A">
        <w:t xml:space="preserve"> minutes to complete the </w:t>
      </w:r>
      <w:r w:rsidRPr="0084009F" w:rsidR="0084009F">
        <w:t>NCI Community Oncology Research Program Practice Survey of Site-Level Attributes</w:t>
      </w:r>
      <w:r w:rsidR="0084009F">
        <w:t xml:space="preserve">.  </w:t>
      </w:r>
      <w:r w:rsidRPr="00B8649A" w:rsidR="00B8649A">
        <w:t xml:space="preserve">The total estimated annualized burden is </w:t>
      </w:r>
      <w:r w:rsidR="00B8649A">
        <w:t>100</w:t>
      </w:r>
      <w:r w:rsidRPr="00B8649A" w:rsidR="00B8649A">
        <w:t xml:space="preserve"> hours. (Table A.12-1) and the cost to the respondents is estimated to be $4,</w:t>
      </w:r>
      <w:r w:rsidR="00967DBF">
        <w:t>564.00</w:t>
      </w:r>
      <w:r w:rsidRPr="00B8649A" w:rsidR="00B8649A">
        <w:t xml:space="preserve"> (Table A.12.2).</w:t>
      </w:r>
    </w:p>
    <w:p w:rsidR="00AE3015" w:rsidP="00AE3015" w:rsidRDefault="00AE3015" w14:paraId="5B21607A" w14:textId="1E9EC66D">
      <w:pPr>
        <w:spacing w:after="0" w:line="240" w:lineRule="auto"/>
        <w:jc w:val="center"/>
      </w:pPr>
      <w:r w:rsidRPr="00AE3015">
        <w:t>A.12-1 Estimated Annualized Burden Hours</w:t>
      </w:r>
    </w:p>
    <w:p w:rsidRPr="000B423B" w:rsidR="00403366" w:rsidP="00AE3015" w:rsidRDefault="00403366" w14:paraId="6D002180" w14:textId="7777777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991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22"/>
        <w:gridCol w:w="1440"/>
        <w:gridCol w:w="2250"/>
        <w:gridCol w:w="2184"/>
        <w:gridCol w:w="1620"/>
      </w:tblGrid>
      <w:tr w:rsidRPr="00132699" w:rsidR="007C55AB" w:rsidTr="007C55AB" w14:paraId="31A34191" w14:textId="77777777">
        <w:trPr>
          <w:cantSplit/>
          <w:trHeight w:val="372"/>
          <w:jc w:val="center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7C55AB" w:rsidP="006F13D9" w:rsidRDefault="007C55AB" w14:paraId="208AD7D2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Type of Respondent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7C55AB" w:rsidP="006F13D9" w:rsidRDefault="007C55AB" w14:paraId="0986651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Number of Respondents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7C55AB" w:rsidP="006F13D9" w:rsidRDefault="007C55AB" w14:paraId="03E1CA8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Number of Responses per Respondent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7C55AB" w:rsidP="006F13D9" w:rsidRDefault="007C55AB" w14:paraId="0822567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Average Time Per Response</w:t>
            </w:r>
          </w:p>
          <w:p w:rsidRPr="004777DD" w:rsidR="007C55AB" w:rsidP="006F13D9" w:rsidRDefault="007C55AB" w14:paraId="285C9F8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(in hours)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4777DD" w:rsidR="007C55AB" w:rsidP="006F13D9" w:rsidRDefault="007C55AB" w14:paraId="0461A92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Total Annual Burden Hours</w:t>
            </w:r>
          </w:p>
        </w:tc>
      </w:tr>
      <w:tr w:rsidRPr="00132699" w:rsidR="007C55AB" w:rsidTr="007C55AB" w14:paraId="1E325AE5" w14:textId="77777777">
        <w:trPr>
          <w:cantSplit/>
          <w:trHeight w:val="372"/>
          <w:jc w:val="center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="007C55AB" w:rsidP="006F13D9" w:rsidRDefault="007C55AB" w14:paraId="0059FED2" w14:textId="1E6F6ECE">
            <w:pPr>
              <w:spacing w:after="0" w:line="240" w:lineRule="auto"/>
            </w:pPr>
            <w:r w:rsidRPr="00AE3015">
              <w:t>Individual</w:t>
            </w:r>
            <w:r>
              <w:t>s</w:t>
            </w:r>
            <w:r w:rsidR="004777DD">
              <w:t xml:space="preserve"> -</w:t>
            </w:r>
          </w:p>
          <w:p w:rsidRPr="00AE3015" w:rsidR="007C55AB" w:rsidP="006F13D9" w:rsidRDefault="007C55AB" w14:paraId="17970958" w14:textId="5F365EEA">
            <w:pPr>
              <w:spacing w:after="0" w:line="240" w:lineRule="auto"/>
            </w:pPr>
            <w:r>
              <w:t>(NCORP Administrators)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7C55AB" w:rsidP="006F13D9" w:rsidRDefault="007C55AB" w14:paraId="184E31D0" w14:textId="42523841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7C55AB" w:rsidP="006F13D9" w:rsidRDefault="007C55AB" w14:paraId="0AD9BEEC" w14:textId="77777777">
            <w:pPr>
              <w:spacing w:after="0" w:line="240" w:lineRule="auto"/>
              <w:jc w:val="center"/>
            </w:pPr>
            <w:r w:rsidRPr="00AE3015">
              <w:t>1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7C55AB" w:rsidP="006F13D9" w:rsidRDefault="007C55AB" w14:paraId="5E7E2CB7" w14:textId="1D5712D1">
            <w:pPr>
              <w:spacing w:after="0" w:line="240" w:lineRule="auto"/>
              <w:jc w:val="center"/>
            </w:pPr>
            <w:r>
              <w:t>10/60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AE3015" w:rsidR="007C55AB" w:rsidP="006F13D9" w:rsidRDefault="007C55AB" w14:paraId="29863F2D" w14:textId="3491471F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Pr="00132699" w:rsidR="007C55AB" w:rsidTr="007C55AB" w14:paraId="32140D23" w14:textId="77777777">
        <w:trPr>
          <w:cantSplit/>
          <w:trHeight w:val="372"/>
          <w:jc w:val="center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7C55AB" w:rsidR="007C55AB" w:rsidP="006F13D9" w:rsidRDefault="007C55AB" w14:paraId="34EC924C" w14:textId="269B2C41">
            <w:pPr>
              <w:spacing w:after="0" w:line="240" w:lineRule="auto"/>
              <w:rPr>
                <w:b/>
              </w:rPr>
            </w:pPr>
            <w:r w:rsidRPr="007C55AB">
              <w:rPr>
                <w:b/>
              </w:rPr>
              <w:t>Totals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AE3015" w:rsidR="007C55AB" w:rsidP="006F13D9" w:rsidRDefault="007C55AB" w14:paraId="72B53DDB" w14:textId="405C6BA8">
            <w:pPr>
              <w:spacing w:after="0" w:line="240" w:lineRule="auto"/>
              <w:jc w:val="center"/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7C55AB" w:rsidR="007C55AB" w:rsidP="006F13D9" w:rsidRDefault="007C55AB" w14:paraId="2E12E901" w14:textId="3C7A7161">
            <w:pPr>
              <w:spacing w:after="0" w:line="240" w:lineRule="auto"/>
              <w:jc w:val="center"/>
              <w:rPr>
                <w:b/>
              </w:rPr>
            </w:pPr>
            <w:r w:rsidRPr="007C55AB">
              <w:rPr>
                <w:b/>
              </w:rPr>
              <w:t>600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7C55AB" w:rsidR="007C55AB" w:rsidP="006F13D9" w:rsidRDefault="007C55AB" w14:paraId="26819B50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C55AB" w:rsidR="007C55AB" w:rsidP="006F13D9" w:rsidRDefault="007C55AB" w14:paraId="55301EA2" w14:textId="18C20486">
            <w:pPr>
              <w:spacing w:after="0" w:line="240" w:lineRule="auto"/>
              <w:jc w:val="center"/>
              <w:rPr>
                <w:b/>
              </w:rPr>
            </w:pPr>
            <w:r w:rsidRPr="007C55AB">
              <w:rPr>
                <w:b/>
              </w:rPr>
              <w:t>100</w:t>
            </w:r>
          </w:p>
        </w:tc>
      </w:tr>
    </w:tbl>
    <w:p w:rsidR="00403366" w:rsidP="007C55AB" w:rsidRDefault="00403366" w14:paraId="7EF53026" w14:textId="4B964684">
      <w:pPr>
        <w:spacing w:after="0" w:line="240" w:lineRule="auto"/>
      </w:pPr>
    </w:p>
    <w:p w:rsidR="00AE3015" w:rsidP="00AE3015" w:rsidRDefault="00AE3015" w14:paraId="69D857B2" w14:textId="1F452DC6">
      <w:pPr>
        <w:spacing w:after="0" w:line="240" w:lineRule="auto"/>
        <w:jc w:val="center"/>
      </w:pPr>
      <w:r w:rsidRPr="00AE3015">
        <w:t>A.12-2 Annualized Cost to the Respondents</w:t>
      </w:r>
    </w:p>
    <w:p w:rsidRPr="000B423B" w:rsidR="00403366" w:rsidP="00AE3015" w:rsidRDefault="00403366" w14:paraId="3BF9C418" w14:textId="7777777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937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9"/>
        <w:gridCol w:w="2751"/>
        <w:gridCol w:w="2070"/>
        <w:gridCol w:w="2430"/>
      </w:tblGrid>
      <w:tr w:rsidRPr="00132699" w:rsidR="00AE3015" w:rsidTr="004777DD" w14:paraId="46DE2D52" w14:textId="77777777">
        <w:trPr>
          <w:cantSplit/>
          <w:trHeight w:val="372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AE3015" w:rsidP="002369F2" w:rsidRDefault="00AE3015" w14:paraId="12E17EC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Type of Respondents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AE3015" w:rsidP="002369F2" w:rsidRDefault="00AE3015" w14:paraId="6FC8661C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 xml:space="preserve">Total Annual </w:t>
            </w:r>
          </w:p>
          <w:p w:rsidRPr="004777DD" w:rsidR="00AE3015" w:rsidP="002369F2" w:rsidRDefault="00AE3015" w14:paraId="7602429E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Burden Hours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4777DD" w:rsidR="00AE3015" w:rsidP="002369F2" w:rsidRDefault="00AE3015" w14:paraId="4FC2B0BE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Hourly Wage Rate*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4777DD" w:rsidR="00AE3015" w:rsidP="002369F2" w:rsidRDefault="00AE3015" w14:paraId="7B0340E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Respondent Cost</w:t>
            </w:r>
          </w:p>
        </w:tc>
      </w:tr>
      <w:tr w:rsidRPr="00132699" w:rsidR="00AE3015" w:rsidTr="004777DD" w14:paraId="2E307BAF" w14:textId="77777777">
        <w:trPr>
          <w:cantSplit/>
          <w:trHeight w:val="372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AE3015" w:rsidP="002369F2" w:rsidRDefault="00AE3015" w14:paraId="547D743C" w14:textId="1A19E046">
            <w:pPr>
              <w:spacing w:after="0" w:line="240" w:lineRule="auto"/>
            </w:pPr>
            <w:r w:rsidRPr="00AE3015">
              <w:t>Individual</w:t>
            </w:r>
            <w:r w:rsidR="004777DD">
              <w:t>s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AE3015" w:rsidP="002369F2" w:rsidRDefault="007C55AB" w14:paraId="6BE10CA4" w14:textId="55CDF53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AE3015" w:rsidP="002369F2" w:rsidRDefault="00AE3015" w14:paraId="33AEF088" w14:textId="0DFBCCD6">
            <w:pPr>
              <w:spacing w:after="0" w:line="240" w:lineRule="auto"/>
              <w:jc w:val="center"/>
            </w:pPr>
            <w:r w:rsidRPr="00AE3015">
              <w:t>$</w:t>
            </w:r>
            <w:r w:rsidR="007C55AB">
              <w:t>45.</w:t>
            </w:r>
            <w:r w:rsidR="004777DD">
              <w:t>80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AE3015" w:rsidR="00AE3015" w:rsidP="002369F2" w:rsidRDefault="00AE3015" w14:paraId="594E5C1C" w14:textId="174CD499">
            <w:pPr>
              <w:spacing w:after="0" w:line="240" w:lineRule="auto"/>
              <w:jc w:val="center"/>
            </w:pPr>
            <w:r w:rsidRPr="00AE3015">
              <w:t>$</w:t>
            </w:r>
            <w:r w:rsidR="007C55AB">
              <w:t>4,</w:t>
            </w:r>
            <w:r w:rsidR="004777DD">
              <w:t>580.00</w:t>
            </w:r>
          </w:p>
        </w:tc>
      </w:tr>
      <w:tr w:rsidRPr="00132699" w:rsidR="00AE3015" w:rsidTr="004777DD" w14:paraId="6D0BC747" w14:textId="77777777">
        <w:trPr>
          <w:cantSplit/>
          <w:trHeight w:val="372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7C55AB" w:rsidR="00AE3015" w:rsidP="002369F2" w:rsidRDefault="00AE3015" w14:paraId="28630555" w14:textId="71C679F5">
            <w:pPr>
              <w:spacing w:after="0" w:line="240" w:lineRule="auto"/>
              <w:rPr>
                <w:b/>
              </w:rPr>
            </w:pPr>
            <w:r w:rsidRPr="007C55AB">
              <w:rPr>
                <w:b/>
              </w:rPr>
              <w:t>Total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AE3015" w:rsidR="00AE3015" w:rsidP="002369F2" w:rsidRDefault="007C55AB" w14:paraId="79D057E8" w14:textId="7DA0FFC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:rsidRPr="00AE3015" w:rsidR="00AE3015" w:rsidP="002369F2" w:rsidRDefault="00AE3015" w14:paraId="48C94ACE" w14:textId="77777777">
            <w:pPr>
              <w:spacing w:after="0" w:line="240" w:lineRule="auto"/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C55AB" w:rsidR="00AE3015" w:rsidP="002369F2" w:rsidRDefault="00AE3015" w14:paraId="6D478D7C" w14:textId="46515017">
            <w:pPr>
              <w:spacing w:after="0" w:line="240" w:lineRule="auto"/>
              <w:jc w:val="center"/>
              <w:rPr>
                <w:b/>
              </w:rPr>
            </w:pPr>
            <w:r w:rsidRPr="007C55AB">
              <w:rPr>
                <w:b/>
              </w:rPr>
              <w:t>$</w:t>
            </w:r>
            <w:r w:rsidRPr="007C55AB" w:rsidR="007C55AB">
              <w:rPr>
                <w:b/>
              </w:rPr>
              <w:t>4,</w:t>
            </w:r>
            <w:r w:rsidR="004777DD">
              <w:rPr>
                <w:b/>
              </w:rPr>
              <w:t>580.00</w:t>
            </w:r>
          </w:p>
        </w:tc>
      </w:tr>
    </w:tbl>
    <w:p w:rsidRPr="00754371" w:rsidR="00AF01AD" w:rsidP="007C55AB" w:rsidRDefault="007C55AB" w14:paraId="585A55CA" w14:textId="68734E0D">
      <w:pPr>
        <w:rPr>
          <w:bCs/>
          <w:sz w:val="20"/>
          <w:szCs w:val="20"/>
          <w:lang w:eastAsia="zh-CN"/>
        </w:rPr>
      </w:pPr>
      <w:r w:rsidRPr="00754371">
        <w:rPr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0">
        <w:r w:rsidRPr="00EF0B11" w:rsidR="004777DD">
          <w:rPr>
            <w:rStyle w:val="Hyperlink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754371">
        <w:rPr>
          <w:bCs/>
          <w:sz w:val="20"/>
          <w:szCs w:val="20"/>
          <w:lang w:eastAsia="zh-CN"/>
        </w:rPr>
        <w:t>.</w:t>
      </w:r>
    </w:p>
    <w:p w:rsidRPr="00113647" w:rsidR="008716F6" w:rsidP="000B423B" w:rsidRDefault="00713CF8" w14:paraId="1C9A010C" w14:textId="2D3E868C">
      <w:pPr>
        <w:spacing w:after="20" w:line="240" w:lineRule="auto"/>
        <w:rPr>
          <w:b/>
        </w:rPr>
      </w:pPr>
      <w:r w:rsidRPr="00113647">
        <w:rPr>
          <w:b/>
        </w:rPr>
        <w:t>A.13 Estimate of Other Total Annual Cost Burden to Respondents or Record Keepers</w:t>
      </w:r>
      <w:r w:rsidRPr="00113647">
        <w:rPr>
          <w:b/>
        </w:rPr>
        <w:tab/>
      </w:r>
    </w:p>
    <w:p w:rsidRPr="00967DBF" w:rsidR="00967DBF" w:rsidP="000B423B" w:rsidRDefault="00967DBF" w14:paraId="295DBE85" w14:textId="77777777">
      <w:pPr>
        <w:spacing w:after="20" w:line="240" w:lineRule="auto"/>
        <w:rPr>
          <w:b/>
        </w:rPr>
      </w:pPr>
      <w:bookmarkStart w:name="_Hlk19102806" w:id="4"/>
      <w:r w:rsidRPr="00967DBF">
        <w:t xml:space="preserve">There are no capital costs, operating costs, or maintenance costs to report. </w:t>
      </w:r>
    </w:p>
    <w:bookmarkEnd w:id="4"/>
    <w:p w:rsidRPr="00113647" w:rsidR="00713CF8" w:rsidP="000B423B" w:rsidRDefault="00713CF8" w14:paraId="349E36F2" w14:textId="77777777">
      <w:pPr>
        <w:spacing w:after="20" w:line="240" w:lineRule="auto"/>
      </w:pPr>
    </w:p>
    <w:p w:rsidRPr="00113647" w:rsidR="00713CF8" w:rsidP="000B423B" w:rsidRDefault="00713CF8" w14:paraId="34AEAD4B" w14:textId="6AF35531">
      <w:pPr>
        <w:spacing w:after="20" w:line="240" w:lineRule="auto"/>
        <w:rPr>
          <w:b/>
        </w:rPr>
      </w:pPr>
      <w:r w:rsidRPr="00113647">
        <w:rPr>
          <w:b/>
        </w:rPr>
        <w:t>A.14 Annualized Cost to the Federal Government</w:t>
      </w:r>
    </w:p>
    <w:p w:rsidRPr="00967DBF" w:rsidR="00967DBF" w:rsidP="000B423B" w:rsidRDefault="00967DBF" w14:paraId="35941AF6" w14:textId="35E12A20">
      <w:pPr>
        <w:spacing w:after="20" w:line="240" w:lineRule="auto"/>
        <w:rPr>
          <w:b/>
        </w:rPr>
      </w:pPr>
      <w:r w:rsidRPr="00967DBF">
        <w:t>The annualized cost to the Federal government is estimated to be $</w:t>
      </w:r>
      <w:r w:rsidR="004777DD">
        <w:t>707.67</w:t>
      </w:r>
      <w:r w:rsidRPr="00967DBF">
        <w:t xml:space="preserve"> (Table A.14-1).  </w:t>
      </w:r>
    </w:p>
    <w:p w:rsidR="00394CAF" w:rsidP="008716F6" w:rsidRDefault="00394CAF" w14:paraId="755E7AE9" w14:textId="449E42B1">
      <w:pPr>
        <w:spacing w:after="20"/>
      </w:pPr>
    </w:p>
    <w:p w:rsidRPr="00394CAF" w:rsidR="00394CAF" w:rsidP="00394CAF" w:rsidRDefault="00394CAF" w14:paraId="0671587F" w14:textId="7D9089C6">
      <w:pPr>
        <w:spacing w:after="20"/>
        <w:jc w:val="center"/>
        <w:rPr>
          <w:b/>
        </w:rPr>
      </w:pPr>
      <w:r>
        <w:rPr>
          <w:b/>
        </w:rPr>
        <w:t>A.14-1</w:t>
      </w:r>
      <w:r w:rsidRPr="001E6930">
        <w:rPr>
          <w:b/>
        </w:rPr>
        <w:t xml:space="preserve"> Annualized Cost to the </w:t>
      </w:r>
      <w:r>
        <w:rPr>
          <w:b/>
        </w:rPr>
        <w:t>Federal Government</w:t>
      </w:r>
    </w:p>
    <w:tbl>
      <w:tblPr>
        <w:tblW w:w="952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245"/>
        <w:gridCol w:w="1330"/>
        <w:gridCol w:w="1618"/>
        <w:gridCol w:w="1335"/>
        <w:gridCol w:w="1662"/>
      </w:tblGrid>
      <w:tr w:rsidRPr="00BB7115" w:rsidR="00BB7115" w:rsidTr="000C79BE" w14:paraId="5098E45C" w14:textId="77777777">
        <w:trPr>
          <w:trHeight w:val="547"/>
        </w:trPr>
        <w:tc>
          <w:tcPr>
            <w:tcW w:w="2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77DD" w:rsidR="00BB7115" w:rsidP="008B33D3" w:rsidRDefault="00BB7115" w14:paraId="1C25F74A" w14:textId="76C12B29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Staff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Pr="004777DD" w:rsidR="00BB7115" w:rsidP="008B33D3" w:rsidRDefault="00BB7115" w14:paraId="64CB0D4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Grade/Step</w:t>
            </w:r>
          </w:p>
        </w:tc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77DD" w:rsidR="00BB7115" w:rsidP="008B33D3" w:rsidRDefault="00BB7115" w14:paraId="5CC8752A" w14:textId="2C368C2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Salary</w:t>
            </w:r>
            <w:r w:rsidRPr="004777DD" w:rsidR="008B33D3">
              <w:rPr>
                <w:b/>
                <w:bCs/>
              </w:rPr>
              <w:t>**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77DD" w:rsidR="00BB7115" w:rsidP="008B33D3" w:rsidRDefault="00BB7115" w14:paraId="1143C472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% of Effort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Pr="004777DD" w:rsidR="00BB7115" w:rsidP="008B33D3" w:rsidRDefault="00BB7115" w14:paraId="6FD40A60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>Fringe (if applicable)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Pr="004777DD" w:rsidR="00BB7115" w:rsidP="008B33D3" w:rsidRDefault="00AF01AD" w14:paraId="349EF13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4777DD">
              <w:rPr>
                <w:b/>
                <w:bCs/>
              </w:rPr>
              <w:t xml:space="preserve">Total </w:t>
            </w:r>
            <w:r w:rsidRPr="004777DD" w:rsidR="005E2D23">
              <w:rPr>
                <w:b/>
                <w:bCs/>
              </w:rPr>
              <w:t>C</w:t>
            </w:r>
            <w:r w:rsidRPr="004777DD" w:rsidR="00BB7115">
              <w:rPr>
                <w:b/>
                <w:bCs/>
              </w:rPr>
              <w:t>ost to Gov’t</w:t>
            </w:r>
          </w:p>
        </w:tc>
      </w:tr>
      <w:tr w:rsidRPr="00BB7115" w:rsidR="00BB7115" w:rsidTr="000C79BE" w14:paraId="40450F2A" w14:textId="77777777">
        <w:trPr>
          <w:trHeight w:val="300"/>
        </w:trPr>
        <w:tc>
          <w:tcPr>
            <w:tcW w:w="2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77DD" w:rsidR="00BB7115" w:rsidP="00BB7115" w:rsidRDefault="00BB7115" w14:paraId="147D704C" w14:textId="77777777">
            <w:pPr>
              <w:spacing w:after="0" w:line="240" w:lineRule="auto"/>
              <w:rPr>
                <w:b/>
                <w:bCs/>
              </w:rPr>
            </w:pPr>
            <w:r w:rsidRPr="004777DD">
              <w:rPr>
                <w:b/>
                <w:bCs/>
              </w:rPr>
              <w:t>Federal Oversight</w:t>
            </w:r>
          </w:p>
        </w:tc>
        <w:tc>
          <w:tcPr>
            <w:tcW w:w="1245" w:type="dxa"/>
          </w:tcPr>
          <w:p w:rsidRPr="00AE3015" w:rsidR="00BB7115" w:rsidP="00BB7115" w:rsidRDefault="00BB7115" w14:paraId="2B49C30A" w14:textId="77777777">
            <w:pPr>
              <w:spacing w:after="0" w:line="240" w:lineRule="auto"/>
              <w:jc w:val="right"/>
            </w:pPr>
          </w:p>
        </w:tc>
        <w:tc>
          <w:tcPr>
            <w:tcW w:w="1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BB7115" w:rsidRDefault="00BB7115" w14:paraId="47CC2FA6" w14:textId="77777777">
            <w:pPr>
              <w:spacing w:after="0" w:line="240" w:lineRule="auto"/>
            </w:pPr>
          </w:p>
        </w:tc>
        <w:tc>
          <w:tcPr>
            <w:tcW w:w="16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BB7115" w:rsidRDefault="00BB7115" w14:paraId="7F4CC50C" w14:textId="77777777">
            <w:pPr>
              <w:spacing w:after="0" w:line="240" w:lineRule="auto"/>
            </w:pPr>
          </w:p>
        </w:tc>
        <w:tc>
          <w:tcPr>
            <w:tcW w:w="1335" w:type="dxa"/>
            <w:shd w:val="clear" w:color="auto" w:fill="BFBFBF" w:themeFill="background1" w:themeFillShade="BF"/>
          </w:tcPr>
          <w:p w:rsidRPr="00AE3015" w:rsidR="00BB7115" w:rsidP="00BB7115" w:rsidRDefault="00BB7115" w14:paraId="3F306415" w14:textId="77777777">
            <w:pPr>
              <w:spacing w:after="0" w:line="240" w:lineRule="auto"/>
            </w:pPr>
          </w:p>
        </w:tc>
        <w:tc>
          <w:tcPr>
            <w:tcW w:w="1662" w:type="dxa"/>
          </w:tcPr>
          <w:p w:rsidRPr="00AE3015" w:rsidR="00BB7115" w:rsidP="00BB7115" w:rsidRDefault="00BB7115" w14:paraId="3E7C43E2" w14:textId="77777777">
            <w:pPr>
              <w:spacing w:after="0" w:line="240" w:lineRule="auto"/>
            </w:pPr>
          </w:p>
        </w:tc>
      </w:tr>
      <w:tr w:rsidRPr="00BB7115" w:rsidR="00BB7115" w:rsidTr="000C79BE" w14:paraId="65321D25" w14:textId="77777777">
        <w:trPr>
          <w:trHeight w:val="300"/>
        </w:trPr>
        <w:tc>
          <w:tcPr>
            <w:tcW w:w="2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98201C" w:rsidRDefault="0098201C" w14:paraId="3463A4D6" w14:textId="48471188">
            <w:pPr>
              <w:tabs>
                <w:tab w:val="left" w:pos="244"/>
              </w:tabs>
              <w:spacing w:after="0" w:line="240" w:lineRule="auto"/>
            </w:pPr>
            <w:r w:rsidRPr="00AE3015">
              <w:t xml:space="preserve">    </w:t>
            </w:r>
            <w:r w:rsidR="007C55AB">
              <w:t>Public Health Advisor</w:t>
            </w:r>
          </w:p>
        </w:tc>
        <w:tc>
          <w:tcPr>
            <w:tcW w:w="1245" w:type="dxa"/>
          </w:tcPr>
          <w:p w:rsidRPr="00AE3015" w:rsidR="00BB7115" w:rsidP="0098201C" w:rsidRDefault="000C79BE" w14:paraId="6DB772C4" w14:textId="48EDA6E8">
            <w:pPr>
              <w:spacing w:after="0" w:line="240" w:lineRule="auto"/>
              <w:jc w:val="center"/>
            </w:pPr>
            <w:r>
              <w:t>14/6</w:t>
            </w:r>
          </w:p>
        </w:tc>
        <w:tc>
          <w:tcPr>
            <w:tcW w:w="1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98201C" w:rsidRDefault="000C79BE" w14:paraId="31BABEEB" w14:textId="73F25BDF">
            <w:pPr>
              <w:spacing w:after="0" w:line="240" w:lineRule="auto"/>
              <w:jc w:val="center"/>
            </w:pPr>
            <w:r>
              <w:t>$</w:t>
            </w:r>
            <w:r w:rsidR="004777DD">
              <w:t>141,534</w:t>
            </w:r>
          </w:p>
        </w:tc>
        <w:tc>
          <w:tcPr>
            <w:tcW w:w="16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98201C" w:rsidRDefault="000C79BE" w14:paraId="643AFEA2" w14:textId="6C4DDFDA">
            <w:pPr>
              <w:spacing w:after="0" w:line="240" w:lineRule="auto"/>
              <w:jc w:val="center"/>
            </w:pPr>
            <w:r>
              <w:t>.</w:t>
            </w:r>
            <w:r w:rsidR="0061410F">
              <w:t>00</w:t>
            </w:r>
            <w:r>
              <w:t>5%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:rsidRPr="00AE3015" w:rsidR="00BB7115" w:rsidP="00BB7115" w:rsidRDefault="00BB7115" w14:paraId="46476EB5" w14:textId="77777777">
            <w:pPr>
              <w:spacing w:after="0" w:line="240" w:lineRule="auto"/>
            </w:pPr>
          </w:p>
        </w:tc>
        <w:tc>
          <w:tcPr>
            <w:tcW w:w="1662" w:type="dxa"/>
          </w:tcPr>
          <w:p w:rsidRPr="00AE3015" w:rsidR="00BB7115" w:rsidP="000C79BE" w:rsidRDefault="000C79BE" w14:paraId="3D6EF823" w14:textId="451F3833">
            <w:pPr>
              <w:spacing w:after="0" w:line="240" w:lineRule="auto"/>
              <w:jc w:val="center"/>
            </w:pPr>
            <w:r>
              <w:t>$</w:t>
            </w:r>
            <w:r w:rsidR="004777DD">
              <w:t>707.67</w:t>
            </w:r>
          </w:p>
        </w:tc>
      </w:tr>
      <w:tr w:rsidRPr="00BB7115" w:rsidR="0098201C" w:rsidTr="000C79BE" w14:paraId="40ABB5F3" w14:textId="77777777">
        <w:trPr>
          <w:trHeight w:val="300"/>
        </w:trPr>
        <w:tc>
          <w:tcPr>
            <w:tcW w:w="2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77DD" w:rsidR="0098201C" w:rsidP="0098201C" w:rsidRDefault="0098201C" w14:paraId="01A15768" w14:textId="77777777">
            <w:pPr>
              <w:spacing w:after="0" w:line="240" w:lineRule="auto"/>
              <w:rPr>
                <w:b/>
                <w:bCs/>
              </w:rPr>
            </w:pPr>
            <w:r w:rsidRPr="004777DD">
              <w:rPr>
                <w:b/>
                <w:bCs/>
              </w:rPr>
              <w:t>Contractor Cost</w:t>
            </w:r>
          </w:p>
        </w:tc>
        <w:tc>
          <w:tcPr>
            <w:tcW w:w="1245" w:type="dxa"/>
            <w:shd w:val="clear" w:color="auto" w:fill="BFBFBF" w:themeFill="background1" w:themeFillShade="BF"/>
          </w:tcPr>
          <w:p w:rsidRPr="00AE3015" w:rsidR="0098201C" w:rsidP="0098201C" w:rsidRDefault="0098201C" w14:paraId="25A2E070" w14:textId="77777777">
            <w:pPr>
              <w:spacing w:after="0" w:line="240" w:lineRule="auto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E3015" w:rsidR="0098201C" w:rsidP="0098201C" w:rsidRDefault="0098201C" w14:paraId="7488F03E" w14:textId="77777777">
            <w:pPr>
              <w:spacing w:after="0" w:line="240" w:lineRule="auto"/>
            </w:pPr>
          </w:p>
        </w:tc>
        <w:tc>
          <w:tcPr>
            <w:tcW w:w="16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447571C6" w14:textId="77777777">
            <w:pPr>
              <w:spacing w:after="0" w:line="240" w:lineRule="auto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Pr="00AE3015" w:rsidR="0098201C" w:rsidP="0098201C" w:rsidRDefault="0098201C" w14:paraId="689A82BB" w14:textId="77777777">
            <w:pPr>
              <w:spacing w:after="0" w:line="240" w:lineRule="auto"/>
            </w:pPr>
          </w:p>
        </w:tc>
        <w:tc>
          <w:tcPr>
            <w:tcW w:w="1662" w:type="dxa"/>
          </w:tcPr>
          <w:p w:rsidRPr="00AE3015" w:rsidR="0098201C" w:rsidP="000C79BE" w:rsidRDefault="000C79BE" w14:paraId="0A963CEB" w14:textId="774DA8F7">
            <w:pPr>
              <w:spacing w:after="0" w:line="240" w:lineRule="auto"/>
              <w:jc w:val="center"/>
            </w:pPr>
            <w:r>
              <w:t>$0</w:t>
            </w:r>
          </w:p>
        </w:tc>
      </w:tr>
      <w:tr w:rsidRPr="00BB7115" w:rsidR="0098201C" w:rsidTr="000C79BE" w14:paraId="7E53C2C3" w14:textId="77777777">
        <w:trPr>
          <w:trHeight w:val="300"/>
        </w:trPr>
        <w:tc>
          <w:tcPr>
            <w:tcW w:w="2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33B26587" w14:textId="77777777">
            <w:pPr>
              <w:spacing w:after="0" w:line="240" w:lineRule="auto"/>
            </w:pPr>
            <w:r w:rsidRPr="00AE3015">
              <w:t>Travel</w:t>
            </w:r>
          </w:p>
        </w:tc>
        <w:tc>
          <w:tcPr>
            <w:tcW w:w="1245" w:type="dxa"/>
            <w:shd w:val="clear" w:color="auto" w:fill="BFBFBF" w:themeFill="background1" w:themeFillShade="BF"/>
          </w:tcPr>
          <w:p w:rsidRPr="00AE3015" w:rsidR="0098201C" w:rsidP="0098201C" w:rsidRDefault="0098201C" w14:paraId="5DEDB64C" w14:textId="77777777">
            <w:pPr>
              <w:spacing w:after="0" w:line="240" w:lineRule="auto"/>
            </w:pPr>
          </w:p>
        </w:tc>
        <w:tc>
          <w:tcPr>
            <w:tcW w:w="133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03775BAD" w14:textId="77777777">
            <w:pPr>
              <w:spacing w:after="0" w:line="240" w:lineRule="auto"/>
            </w:pPr>
          </w:p>
        </w:tc>
        <w:tc>
          <w:tcPr>
            <w:tcW w:w="161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1504BC10" w14:textId="77777777">
            <w:pPr>
              <w:spacing w:after="0" w:line="240" w:lineRule="auto"/>
            </w:pPr>
          </w:p>
        </w:tc>
        <w:tc>
          <w:tcPr>
            <w:tcW w:w="1335" w:type="dxa"/>
            <w:shd w:val="clear" w:color="auto" w:fill="BFBFBF" w:themeFill="background1" w:themeFillShade="BF"/>
          </w:tcPr>
          <w:p w:rsidRPr="00AE3015" w:rsidR="0098201C" w:rsidP="0098201C" w:rsidRDefault="0098201C" w14:paraId="71AF7ED6" w14:textId="77777777">
            <w:pPr>
              <w:spacing w:after="0" w:line="240" w:lineRule="auto"/>
            </w:pPr>
          </w:p>
        </w:tc>
        <w:tc>
          <w:tcPr>
            <w:tcW w:w="1662" w:type="dxa"/>
          </w:tcPr>
          <w:p w:rsidRPr="00AE3015" w:rsidR="0098201C" w:rsidP="000C79BE" w:rsidRDefault="000C79BE" w14:paraId="74A1CD74" w14:textId="3DFD4D8B">
            <w:pPr>
              <w:spacing w:after="0" w:line="240" w:lineRule="auto"/>
              <w:jc w:val="center"/>
            </w:pPr>
            <w:r>
              <w:t>$0</w:t>
            </w:r>
          </w:p>
        </w:tc>
      </w:tr>
      <w:tr w:rsidRPr="00BB7115" w:rsidR="0098201C" w:rsidTr="000C79BE" w14:paraId="263F059A" w14:textId="77777777">
        <w:trPr>
          <w:trHeight w:val="300"/>
        </w:trPr>
        <w:tc>
          <w:tcPr>
            <w:tcW w:w="2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6E63BB22" w14:textId="77777777">
            <w:pPr>
              <w:spacing w:after="0" w:line="240" w:lineRule="auto"/>
            </w:pPr>
            <w:r w:rsidRPr="00AE3015">
              <w:t>Other Cost</w:t>
            </w:r>
          </w:p>
        </w:tc>
        <w:tc>
          <w:tcPr>
            <w:tcW w:w="1245" w:type="dxa"/>
            <w:tcBorders>
              <w:bottom w:val="single" w:color="auto" w:sz="6" w:space="0"/>
            </w:tcBorders>
            <w:shd w:val="clear" w:color="auto" w:fill="BFBFBF" w:themeFill="background1" w:themeFillShade="BF"/>
          </w:tcPr>
          <w:p w:rsidRPr="00AE3015" w:rsidR="0098201C" w:rsidP="0098201C" w:rsidRDefault="0098201C" w14:paraId="030EF0C8" w14:textId="77777777">
            <w:pPr>
              <w:spacing w:after="0" w:line="240" w:lineRule="auto"/>
            </w:pPr>
          </w:p>
        </w:tc>
        <w:tc>
          <w:tcPr>
            <w:tcW w:w="1330" w:type="dxa"/>
            <w:tcBorders>
              <w:bottom w:val="single" w:color="auto" w:sz="6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6F37CBA5" w14:textId="77777777">
            <w:pPr>
              <w:spacing w:after="0" w:line="240" w:lineRule="auto"/>
            </w:pPr>
          </w:p>
        </w:tc>
        <w:tc>
          <w:tcPr>
            <w:tcW w:w="1618" w:type="dxa"/>
            <w:tcBorders>
              <w:bottom w:val="single" w:color="auto" w:sz="6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4A8C727A" w14:textId="77777777">
            <w:pPr>
              <w:spacing w:after="0" w:line="240" w:lineRule="auto"/>
            </w:pPr>
          </w:p>
        </w:tc>
        <w:tc>
          <w:tcPr>
            <w:tcW w:w="1335" w:type="dxa"/>
            <w:tcBorders>
              <w:bottom w:val="single" w:color="auto" w:sz="6" w:space="0"/>
            </w:tcBorders>
            <w:shd w:val="clear" w:color="auto" w:fill="BFBFBF" w:themeFill="background1" w:themeFillShade="BF"/>
          </w:tcPr>
          <w:p w:rsidRPr="00AE3015" w:rsidR="0098201C" w:rsidP="0098201C" w:rsidRDefault="0098201C" w14:paraId="091094B4" w14:textId="77777777">
            <w:pPr>
              <w:spacing w:after="0" w:line="240" w:lineRule="auto"/>
            </w:pPr>
          </w:p>
        </w:tc>
        <w:tc>
          <w:tcPr>
            <w:tcW w:w="1662" w:type="dxa"/>
          </w:tcPr>
          <w:p w:rsidRPr="00AE3015" w:rsidR="0098201C" w:rsidP="000C79BE" w:rsidRDefault="000C79BE" w14:paraId="5C2583D2" w14:textId="1523F418">
            <w:pPr>
              <w:spacing w:after="0" w:line="240" w:lineRule="auto"/>
              <w:jc w:val="center"/>
            </w:pPr>
            <w:r>
              <w:t>$0</w:t>
            </w:r>
          </w:p>
        </w:tc>
      </w:tr>
      <w:tr w:rsidRPr="00BB7115" w:rsidR="0098201C" w:rsidTr="000C79BE" w14:paraId="79E3FD37" w14:textId="77777777">
        <w:trPr>
          <w:trHeight w:val="300"/>
        </w:trPr>
        <w:tc>
          <w:tcPr>
            <w:tcW w:w="2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C79BE" w:rsidR="0098201C" w:rsidP="0098201C" w:rsidRDefault="00403366" w14:paraId="45AD555A" w14:textId="696999E8">
            <w:pPr>
              <w:spacing w:after="0" w:line="240" w:lineRule="auto"/>
              <w:rPr>
                <w:b/>
              </w:rPr>
            </w:pPr>
            <w:r w:rsidRPr="000C79BE">
              <w:rPr>
                <w:b/>
              </w:rPr>
              <w:t>Total</w:t>
            </w:r>
          </w:p>
        </w:tc>
        <w:tc>
          <w:tcPr>
            <w:tcW w:w="1245" w:type="dxa"/>
          </w:tcPr>
          <w:p w:rsidRPr="000C79BE" w:rsidR="0098201C" w:rsidP="0098201C" w:rsidRDefault="0098201C" w14:paraId="25B04672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3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C79BE" w:rsidR="0098201C" w:rsidP="0098201C" w:rsidRDefault="0098201C" w14:paraId="768B5AB4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6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C79BE" w:rsidR="0098201C" w:rsidP="0098201C" w:rsidRDefault="0098201C" w14:paraId="5B239CAE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335" w:type="dxa"/>
          </w:tcPr>
          <w:p w:rsidRPr="000C79BE" w:rsidR="0098201C" w:rsidP="0098201C" w:rsidRDefault="0098201C" w14:paraId="003EB1A1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662" w:type="dxa"/>
          </w:tcPr>
          <w:p w:rsidRPr="000C79BE" w:rsidR="0098201C" w:rsidP="000C79BE" w:rsidRDefault="000C79BE" w14:paraId="00312EFB" w14:textId="189CC534">
            <w:pPr>
              <w:spacing w:after="0" w:line="240" w:lineRule="auto"/>
              <w:jc w:val="center"/>
              <w:rPr>
                <w:b/>
              </w:rPr>
            </w:pPr>
            <w:r w:rsidRPr="000C79BE">
              <w:rPr>
                <w:b/>
              </w:rPr>
              <w:t>$</w:t>
            </w:r>
            <w:r w:rsidR="004777DD">
              <w:rPr>
                <w:b/>
              </w:rPr>
              <w:t>707.67</w:t>
            </w:r>
          </w:p>
        </w:tc>
      </w:tr>
    </w:tbl>
    <w:p w:rsidRPr="002F7D78" w:rsidR="00BB7115" w:rsidP="002F7D78" w:rsidRDefault="00403366" w14:paraId="1307F025" w14:textId="6FD947D9">
      <w:pPr>
        <w:rPr>
          <w:sz w:val="20"/>
          <w:szCs w:val="20"/>
        </w:rPr>
      </w:pPr>
      <w:r w:rsidRPr="002F7D78">
        <w:rPr>
          <w:bCs/>
          <w:sz w:val="20"/>
          <w:szCs w:val="20"/>
          <w:lang w:eastAsia="zh-CN"/>
        </w:rPr>
        <w:t>**The salary in the table above is cited from</w:t>
      </w:r>
      <w:r w:rsidRPr="002F7D78">
        <w:rPr>
          <w:sz w:val="20"/>
          <w:szCs w:val="20"/>
        </w:rPr>
        <w:t xml:space="preserve"> </w:t>
      </w:r>
      <w:hyperlink w:history="1" r:id="rId11">
        <w:r w:rsidRPr="00EF0B11" w:rsidR="004777DD">
          <w:rPr>
            <w:rStyle w:val="Hyperlink"/>
            <w:sz w:val="20"/>
            <w:szCs w:val="20"/>
          </w:rPr>
          <w:t>https://www.opm.gov/policy-data-oversight/pay-leave/salaries-wages/salary-tables/pdf/2020/DCB.pdf</w:t>
        </w:r>
      </w:hyperlink>
      <w:r w:rsidRPr="002F7D78">
        <w:rPr>
          <w:rFonts w:ascii="Calibri" w:hAnsi="Calibri"/>
          <w:sz w:val="20"/>
          <w:szCs w:val="20"/>
        </w:rPr>
        <w:t xml:space="preserve">  </w:t>
      </w:r>
    </w:p>
    <w:p w:rsidRPr="00113647" w:rsidR="00713CF8" w:rsidP="000B423B" w:rsidRDefault="00713CF8" w14:paraId="32946DA5" w14:textId="77777777">
      <w:pPr>
        <w:spacing w:after="20" w:line="240" w:lineRule="auto"/>
        <w:rPr>
          <w:b/>
        </w:rPr>
      </w:pPr>
      <w:r w:rsidRPr="00113647">
        <w:rPr>
          <w:b/>
        </w:rPr>
        <w:t>A.15 Explanation for Program Changes or Adjustments</w:t>
      </w:r>
    </w:p>
    <w:p w:rsidRPr="00E16C8B" w:rsidR="00AE3015" w:rsidP="000B423B" w:rsidRDefault="00D368B1" w14:paraId="218C5508" w14:textId="19588918">
      <w:pPr>
        <w:spacing w:after="20" w:line="240" w:lineRule="auto"/>
      </w:pPr>
      <w:bookmarkStart w:name="_Hlk19102896" w:id="5"/>
      <w:r>
        <w:t xml:space="preserve">This is a </w:t>
      </w:r>
      <w:r w:rsidR="00370F13">
        <w:t xml:space="preserve">new, </w:t>
      </w:r>
      <w:r>
        <w:t xml:space="preserve">mini </w:t>
      </w:r>
      <w:r w:rsidR="00370F13">
        <w:t>generic sub-study submission</w:t>
      </w:r>
      <w:r>
        <w:t>.</w:t>
      </w:r>
      <w:r w:rsidR="005858BF">
        <w:t xml:space="preserve">  </w:t>
      </w:r>
    </w:p>
    <w:bookmarkEnd w:id="5"/>
    <w:p w:rsidR="00AE3015" w:rsidP="000B423B" w:rsidRDefault="00AE3015" w14:paraId="61439255" w14:textId="77777777">
      <w:pPr>
        <w:spacing w:after="20" w:line="240" w:lineRule="auto"/>
        <w:rPr>
          <w:b/>
        </w:rPr>
      </w:pPr>
    </w:p>
    <w:p w:rsidRPr="00113647" w:rsidR="00713CF8" w:rsidP="000B423B" w:rsidRDefault="00713CF8" w14:paraId="015AAAC0" w14:textId="1FA6E8F4">
      <w:pPr>
        <w:spacing w:after="20" w:line="240" w:lineRule="auto"/>
        <w:rPr>
          <w:b/>
        </w:rPr>
      </w:pPr>
      <w:r w:rsidRPr="00113647">
        <w:rPr>
          <w:b/>
        </w:rPr>
        <w:t>A.16 Plans for Tabulation and Publication and Project Time Schedule</w:t>
      </w:r>
    </w:p>
    <w:p w:rsidRPr="00370F13" w:rsidR="00370F13" w:rsidP="000B423B" w:rsidRDefault="00370F13" w14:paraId="0475435C" w14:textId="566F1AB2">
      <w:pPr>
        <w:spacing w:after="20" w:line="240" w:lineRule="auto"/>
      </w:pPr>
      <w:r w:rsidRPr="00370F13">
        <w:t xml:space="preserve">There are no plans for tabulation or publication to a peer reviewed journal.  </w:t>
      </w:r>
    </w:p>
    <w:p w:rsidR="004777DD" w:rsidRDefault="004777DD" w14:paraId="31AD444C" w14:textId="27BDE1EC">
      <w:pPr>
        <w:rPr>
          <w:b/>
        </w:rPr>
      </w:pPr>
    </w:p>
    <w:p w:rsidRPr="00113647" w:rsidR="00713CF8" w:rsidP="000B423B" w:rsidRDefault="00713CF8" w14:paraId="610ABA80" w14:textId="33FAA589">
      <w:pPr>
        <w:spacing w:after="20" w:line="240" w:lineRule="auto"/>
        <w:rPr>
          <w:b/>
        </w:rPr>
      </w:pPr>
      <w:r w:rsidRPr="00113647">
        <w:rPr>
          <w:b/>
        </w:rPr>
        <w:lastRenderedPageBreak/>
        <w:t>A.17 Reason(s) Display of OMB Expiration Date is Inappropriate</w:t>
      </w:r>
    </w:p>
    <w:p w:rsidRPr="002F7D78" w:rsidR="002F7D78" w:rsidP="000B423B" w:rsidRDefault="002F7D78" w14:paraId="2096681C" w14:textId="77777777">
      <w:pPr>
        <w:spacing w:after="20" w:line="240" w:lineRule="auto"/>
      </w:pPr>
      <w:r w:rsidRPr="002F7D78">
        <w:t xml:space="preserve">There is no request for exemption from displaying the expiration date for OMB approval.  </w:t>
      </w:r>
    </w:p>
    <w:p w:rsidRPr="00113647" w:rsidR="00713CF8" w:rsidP="000B423B" w:rsidRDefault="00713CF8" w14:paraId="1A826395" w14:textId="77777777">
      <w:pPr>
        <w:spacing w:after="20" w:line="240" w:lineRule="auto"/>
      </w:pPr>
    </w:p>
    <w:p w:rsidRPr="00113647" w:rsidR="00713CF8" w:rsidP="000B423B" w:rsidRDefault="00713CF8" w14:paraId="1732FC0F" w14:textId="77777777">
      <w:pPr>
        <w:spacing w:after="20" w:line="240" w:lineRule="auto"/>
        <w:rPr>
          <w:b/>
        </w:rPr>
      </w:pPr>
      <w:r w:rsidRPr="00113647">
        <w:rPr>
          <w:b/>
        </w:rPr>
        <w:t>A.18 Exceptions to Certification for Paperwork Reduction Act Submissions</w:t>
      </w:r>
    </w:p>
    <w:p w:rsidRPr="009D3A6D" w:rsidR="003237CA" w:rsidP="000B423B" w:rsidRDefault="002F7D78" w14:paraId="5CE9EDB2" w14:textId="2A22A62E">
      <w:pPr>
        <w:spacing w:after="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F7D78">
        <w:t>There are no exceptions to the Certification for Paperwork Reduction Act Submissions.</w:t>
      </w:r>
      <w:r w:rsidR="002D5C92">
        <w:rPr>
          <w:sz w:val="24"/>
          <w:szCs w:val="24"/>
        </w:rPr>
        <w:t xml:space="preserve">                                                       </w:t>
      </w:r>
    </w:p>
    <w:sectPr w:rsidRPr="009D3A6D" w:rsidR="003237CA" w:rsidSect="003F0D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B3F17" w14:textId="77777777" w:rsidR="00F44D5B" w:rsidRDefault="00F44D5B" w:rsidP="005676C6">
      <w:pPr>
        <w:spacing w:after="0" w:line="240" w:lineRule="auto"/>
      </w:pPr>
      <w:r>
        <w:separator/>
      </w:r>
    </w:p>
  </w:endnote>
  <w:endnote w:type="continuationSeparator" w:id="0">
    <w:p w14:paraId="48EA5122" w14:textId="77777777" w:rsidR="00F44D5B" w:rsidRDefault="00F44D5B" w:rsidP="005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876587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1575DB" w14:textId="4567F0A7" w:rsidR="003F0D8B" w:rsidRDefault="003F0D8B" w:rsidP="003F0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42647A" w14:textId="77777777" w:rsidR="003F0D8B" w:rsidRDefault="003F0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2975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904B0A" w14:textId="79D852E2" w:rsidR="003F0D8B" w:rsidRDefault="003F0D8B" w:rsidP="003F0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07B89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2F18EC2" w14:textId="77777777" w:rsidR="00273E4C" w:rsidRDefault="00273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BD5" w14:textId="77777777" w:rsidR="009319B2" w:rsidRDefault="0093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ED48" w14:textId="77777777" w:rsidR="00F44D5B" w:rsidRDefault="00F44D5B" w:rsidP="005676C6">
      <w:pPr>
        <w:spacing w:after="0" w:line="240" w:lineRule="auto"/>
      </w:pPr>
      <w:r>
        <w:separator/>
      </w:r>
    </w:p>
  </w:footnote>
  <w:footnote w:type="continuationSeparator" w:id="0">
    <w:p w14:paraId="3D19C33D" w14:textId="77777777" w:rsidR="00F44D5B" w:rsidRDefault="00F44D5B" w:rsidP="0056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9E83" w14:textId="77777777" w:rsidR="009319B2" w:rsidRDefault="00931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4AE63" w14:textId="4F4862CE" w:rsidR="009319B2" w:rsidRDefault="009319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5CBC" w14:textId="77777777" w:rsidR="009319B2" w:rsidRDefault="00931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2AE9"/>
    <w:multiLevelType w:val="multilevel"/>
    <w:tmpl w:val="AED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0B79"/>
    <w:multiLevelType w:val="hybridMultilevel"/>
    <w:tmpl w:val="0B3EA21C"/>
    <w:lvl w:ilvl="0" w:tplc="A4303274">
      <w:start w:val="1"/>
      <w:numFmt w:val="bullet"/>
      <w:lvlText w:val=""/>
      <w:lvlJc w:val="left"/>
      <w:pPr>
        <w:ind w:left="171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921403E"/>
    <w:multiLevelType w:val="multilevel"/>
    <w:tmpl w:val="8F72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E3EBA"/>
    <w:multiLevelType w:val="hybridMultilevel"/>
    <w:tmpl w:val="26E4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801C8"/>
    <w:multiLevelType w:val="hybridMultilevel"/>
    <w:tmpl w:val="BFA6E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B43AB"/>
    <w:multiLevelType w:val="hybridMultilevel"/>
    <w:tmpl w:val="D8CEFCE2"/>
    <w:lvl w:ilvl="0" w:tplc="487C316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UwsjQ0NDI3Nzc2MDRS0lEKTi0uzszPAykwrAUA1Ng3FSwAAAA="/>
  </w:docVars>
  <w:rsids>
    <w:rsidRoot w:val="008716F6"/>
    <w:rsid w:val="00003BE1"/>
    <w:rsid w:val="00057A71"/>
    <w:rsid w:val="00057C98"/>
    <w:rsid w:val="00063927"/>
    <w:rsid w:val="00063DC1"/>
    <w:rsid w:val="00074B89"/>
    <w:rsid w:val="00093D07"/>
    <w:rsid w:val="000A796F"/>
    <w:rsid w:val="000B423B"/>
    <w:rsid w:val="000B4C09"/>
    <w:rsid w:val="000C79BE"/>
    <w:rsid w:val="000D35DA"/>
    <w:rsid w:val="000F6E1A"/>
    <w:rsid w:val="001048B6"/>
    <w:rsid w:val="00113647"/>
    <w:rsid w:val="00113D5F"/>
    <w:rsid w:val="001243F6"/>
    <w:rsid w:val="00127A67"/>
    <w:rsid w:val="001435DE"/>
    <w:rsid w:val="0016069E"/>
    <w:rsid w:val="00185105"/>
    <w:rsid w:val="00194D71"/>
    <w:rsid w:val="001A15F1"/>
    <w:rsid w:val="001B4370"/>
    <w:rsid w:val="001C1DC2"/>
    <w:rsid w:val="001C7E88"/>
    <w:rsid w:val="001D2741"/>
    <w:rsid w:val="001E3759"/>
    <w:rsid w:val="001E6930"/>
    <w:rsid w:val="002065DB"/>
    <w:rsid w:val="0021543C"/>
    <w:rsid w:val="00236DA8"/>
    <w:rsid w:val="00237838"/>
    <w:rsid w:val="00252B56"/>
    <w:rsid w:val="00272286"/>
    <w:rsid w:val="002727A9"/>
    <w:rsid w:val="00273125"/>
    <w:rsid w:val="00273E4C"/>
    <w:rsid w:val="0029112F"/>
    <w:rsid w:val="002B193F"/>
    <w:rsid w:val="002B253F"/>
    <w:rsid w:val="002C1D97"/>
    <w:rsid w:val="002C4725"/>
    <w:rsid w:val="002D5C92"/>
    <w:rsid w:val="002F0CAC"/>
    <w:rsid w:val="002F29CC"/>
    <w:rsid w:val="002F3354"/>
    <w:rsid w:val="002F7D78"/>
    <w:rsid w:val="003237CA"/>
    <w:rsid w:val="00330E82"/>
    <w:rsid w:val="00370F13"/>
    <w:rsid w:val="00382B75"/>
    <w:rsid w:val="00382E07"/>
    <w:rsid w:val="00394CAF"/>
    <w:rsid w:val="00395820"/>
    <w:rsid w:val="003A14DC"/>
    <w:rsid w:val="003D32E2"/>
    <w:rsid w:val="003D43B1"/>
    <w:rsid w:val="003E6A0C"/>
    <w:rsid w:val="003F0D8B"/>
    <w:rsid w:val="0040282E"/>
    <w:rsid w:val="00403366"/>
    <w:rsid w:val="00405E37"/>
    <w:rsid w:val="00413459"/>
    <w:rsid w:val="00420CB8"/>
    <w:rsid w:val="004409C0"/>
    <w:rsid w:val="00446BA0"/>
    <w:rsid w:val="0046633D"/>
    <w:rsid w:val="004705EF"/>
    <w:rsid w:val="00473E39"/>
    <w:rsid w:val="004777DD"/>
    <w:rsid w:val="00477A8E"/>
    <w:rsid w:val="004B3C21"/>
    <w:rsid w:val="004C5F50"/>
    <w:rsid w:val="004D2AD6"/>
    <w:rsid w:val="004F231B"/>
    <w:rsid w:val="00506DA7"/>
    <w:rsid w:val="00534B5A"/>
    <w:rsid w:val="00551B2D"/>
    <w:rsid w:val="00560FDC"/>
    <w:rsid w:val="005676C6"/>
    <w:rsid w:val="00573BAB"/>
    <w:rsid w:val="005765A7"/>
    <w:rsid w:val="00576786"/>
    <w:rsid w:val="005858BF"/>
    <w:rsid w:val="005868BD"/>
    <w:rsid w:val="00586D7F"/>
    <w:rsid w:val="00595D1E"/>
    <w:rsid w:val="005B5E0B"/>
    <w:rsid w:val="005B5E5B"/>
    <w:rsid w:val="005E2D23"/>
    <w:rsid w:val="0061410F"/>
    <w:rsid w:val="00622737"/>
    <w:rsid w:val="00626A3E"/>
    <w:rsid w:val="00641962"/>
    <w:rsid w:val="00651E8A"/>
    <w:rsid w:val="006854FC"/>
    <w:rsid w:val="00687733"/>
    <w:rsid w:val="0069025C"/>
    <w:rsid w:val="00692483"/>
    <w:rsid w:val="00693A83"/>
    <w:rsid w:val="00695204"/>
    <w:rsid w:val="006A1AA7"/>
    <w:rsid w:val="006B2ACE"/>
    <w:rsid w:val="006B412E"/>
    <w:rsid w:val="006F3226"/>
    <w:rsid w:val="00713CF8"/>
    <w:rsid w:val="00731EA1"/>
    <w:rsid w:val="00740F9D"/>
    <w:rsid w:val="00754371"/>
    <w:rsid w:val="00762CFB"/>
    <w:rsid w:val="00765B1D"/>
    <w:rsid w:val="00775972"/>
    <w:rsid w:val="0079784E"/>
    <w:rsid w:val="007B3C94"/>
    <w:rsid w:val="007B6FBB"/>
    <w:rsid w:val="007C55AB"/>
    <w:rsid w:val="007C725D"/>
    <w:rsid w:val="007D19AD"/>
    <w:rsid w:val="007D3278"/>
    <w:rsid w:val="007D64C3"/>
    <w:rsid w:val="007D66AD"/>
    <w:rsid w:val="007D6825"/>
    <w:rsid w:val="007F2110"/>
    <w:rsid w:val="007F5A32"/>
    <w:rsid w:val="008068AC"/>
    <w:rsid w:val="00816C32"/>
    <w:rsid w:val="008265E1"/>
    <w:rsid w:val="0084009F"/>
    <w:rsid w:val="008529CC"/>
    <w:rsid w:val="008716F6"/>
    <w:rsid w:val="0087173D"/>
    <w:rsid w:val="00875AC8"/>
    <w:rsid w:val="00884EDB"/>
    <w:rsid w:val="00897D34"/>
    <w:rsid w:val="008B33D3"/>
    <w:rsid w:val="008C3B97"/>
    <w:rsid w:val="008D12B2"/>
    <w:rsid w:val="008D6113"/>
    <w:rsid w:val="009031BA"/>
    <w:rsid w:val="00907E64"/>
    <w:rsid w:val="009319B2"/>
    <w:rsid w:val="00942DB8"/>
    <w:rsid w:val="00944ABD"/>
    <w:rsid w:val="00953B2E"/>
    <w:rsid w:val="00967DBF"/>
    <w:rsid w:val="00974140"/>
    <w:rsid w:val="0098201C"/>
    <w:rsid w:val="00990709"/>
    <w:rsid w:val="009C0491"/>
    <w:rsid w:val="009D3A6D"/>
    <w:rsid w:val="009F1154"/>
    <w:rsid w:val="009F4546"/>
    <w:rsid w:val="00A10EF6"/>
    <w:rsid w:val="00A24DA1"/>
    <w:rsid w:val="00A53CD0"/>
    <w:rsid w:val="00A55C96"/>
    <w:rsid w:val="00A61F11"/>
    <w:rsid w:val="00A622DA"/>
    <w:rsid w:val="00A67512"/>
    <w:rsid w:val="00A74631"/>
    <w:rsid w:val="00A77C36"/>
    <w:rsid w:val="00A97E1B"/>
    <w:rsid w:val="00AA355D"/>
    <w:rsid w:val="00AB60E0"/>
    <w:rsid w:val="00AC113B"/>
    <w:rsid w:val="00AD7BAB"/>
    <w:rsid w:val="00AE3015"/>
    <w:rsid w:val="00AF01AD"/>
    <w:rsid w:val="00B144CD"/>
    <w:rsid w:val="00B20A96"/>
    <w:rsid w:val="00B20D87"/>
    <w:rsid w:val="00B27DDD"/>
    <w:rsid w:val="00B34EF2"/>
    <w:rsid w:val="00B42991"/>
    <w:rsid w:val="00B4788B"/>
    <w:rsid w:val="00B575BB"/>
    <w:rsid w:val="00B631A5"/>
    <w:rsid w:val="00B732AC"/>
    <w:rsid w:val="00B86318"/>
    <w:rsid w:val="00B8649A"/>
    <w:rsid w:val="00B93F27"/>
    <w:rsid w:val="00B97CC8"/>
    <w:rsid w:val="00BB14C2"/>
    <w:rsid w:val="00BB41D9"/>
    <w:rsid w:val="00BB7115"/>
    <w:rsid w:val="00BE135A"/>
    <w:rsid w:val="00BE197D"/>
    <w:rsid w:val="00BE7A3B"/>
    <w:rsid w:val="00C0501F"/>
    <w:rsid w:val="00C10297"/>
    <w:rsid w:val="00C465FF"/>
    <w:rsid w:val="00C8444F"/>
    <w:rsid w:val="00C9477B"/>
    <w:rsid w:val="00CA1CBB"/>
    <w:rsid w:val="00CB4C39"/>
    <w:rsid w:val="00CC32B1"/>
    <w:rsid w:val="00CD4ADC"/>
    <w:rsid w:val="00CF1726"/>
    <w:rsid w:val="00D01272"/>
    <w:rsid w:val="00D1131D"/>
    <w:rsid w:val="00D368B1"/>
    <w:rsid w:val="00D45A58"/>
    <w:rsid w:val="00D605CF"/>
    <w:rsid w:val="00D6099F"/>
    <w:rsid w:val="00D62559"/>
    <w:rsid w:val="00D72137"/>
    <w:rsid w:val="00D735B5"/>
    <w:rsid w:val="00D81A7F"/>
    <w:rsid w:val="00DB27F3"/>
    <w:rsid w:val="00DC39CC"/>
    <w:rsid w:val="00DF0717"/>
    <w:rsid w:val="00DF6124"/>
    <w:rsid w:val="00E12781"/>
    <w:rsid w:val="00E13104"/>
    <w:rsid w:val="00E16C8B"/>
    <w:rsid w:val="00E207DA"/>
    <w:rsid w:val="00E33992"/>
    <w:rsid w:val="00E44FD1"/>
    <w:rsid w:val="00E46078"/>
    <w:rsid w:val="00E712FF"/>
    <w:rsid w:val="00E85DA0"/>
    <w:rsid w:val="00EB437A"/>
    <w:rsid w:val="00EB77CC"/>
    <w:rsid w:val="00EC499E"/>
    <w:rsid w:val="00ED1560"/>
    <w:rsid w:val="00ED4628"/>
    <w:rsid w:val="00EE5B4F"/>
    <w:rsid w:val="00F07B89"/>
    <w:rsid w:val="00F16369"/>
    <w:rsid w:val="00F33DA3"/>
    <w:rsid w:val="00F37763"/>
    <w:rsid w:val="00F4290D"/>
    <w:rsid w:val="00F44D5B"/>
    <w:rsid w:val="00F45BD9"/>
    <w:rsid w:val="00F60954"/>
    <w:rsid w:val="00FA347D"/>
    <w:rsid w:val="00FB481F"/>
    <w:rsid w:val="00FC3BAD"/>
    <w:rsid w:val="00FD4864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C5DF5E7"/>
  <w15:docId w15:val="{EB85C404-E2A0-45E7-91BB-74D27A0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27F3"/>
  </w:style>
  <w:style w:type="paragraph" w:styleId="Heading1">
    <w:name w:val="heading 1"/>
    <w:basedOn w:val="Normal"/>
    <w:next w:val="Normal"/>
    <w:link w:val="Heading1Char"/>
    <w:uiPriority w:val="9"/>
    <w:qFormat/>
    <w:rsid w:val="0084009F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3C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AB"/>
    <w:rPr>
      <w:rFonts w:ascii="Lucida Sans" w:hAnsi="Lucida Sans" w:hint="default"/>
      <w:b/>
      <w:bCs/>
    </w:rPr>
  </w:style>
  <w:style w:type="character" w:styleId="Hyperlink">
    <w:name w:val="Hyperlink"/>
    <w:basedOn w:val="DefaultParagraphFont"/>
    <w:unhideWhenUsed/>
    <w:rsid w:val="00595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6C6"/>
  </w:style>
  <w:style w:type="paragraph" w:styleId="Footer">
    <w:name w:val="footer"/>
    <w:basedOn w:val="Normal"/>
    <w:link w:val="Foot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C6"/>
  </w:style>
  <w:style w:type="paragraph" w:styleId="BalloonText">
    <w:name w:val="Balloon Text"/>
    <w:basedOn w:val="Normal"/>
    <w:link w:val="BalloonTextChar"/>
    <w:uiPriority w:val="99"/>
    <w:semiHidden/>
    <w:unhideWhenUsed/>
    <w:rsid w:val="00A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D8B"/>
  </w:style>
  <w:style w:type="paragraph" w:customStyle="1" w:styleId="P1-StandPara">
    <w:name w:val="P1-Stand Para"/>
    <w:rsid w:val="00E85DA0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82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009F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781"/>
    <w:pPr>
      <w:overflowPunct w:val="0"/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781"/>
    <w:rPr>
      <w:rFonts w:ascii="Times New Roman" w:eastAsiaTheme="minorHAns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781"/>
    <w:rPr>
      <w:vertAlign w:val="superscript"/>
    </w:rPr>
  </w:style>
  <w:style w:type="paragraph" w:customStyle="1" w:styleId="SL-FlLftSgl">
    <w:name w:val="SL-Fl Lft Sgl"/>
    <w:rsid w:val="00405E3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692483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9248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9248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7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jeiba@mail.nih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m.gov/policy-data-oversight/pay-leave/salaries-wages/salary-tables/pdf/2020/DCB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ls.gov/oes/2018/May/oes_nat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corp.cancer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BD64-3B48-4221-A2CA-F22D32A0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Institutes of Health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Ward</dc:creator>
  <cp:lastModifiedBy>Kreinbrink, Diane (NIH/NCI) [E]</cp:lastModifiedBy>
  <cp:revision>4</cp:revision>
  <cp:lastPrinted>2020-01-31T15:33:00Z</cp:lastPrinted>
  <dcterms:created xsi:type="dcterms:W3CDTF">2020-02-11T19:06:00Z</dcterms:created>
  <dcterms:modified xsi:type="dcterms:W3CDTF">2020-02-28T15:38:00Z</dcterms:modified>
</cp:coreProperties>
</file>