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0D34" w:rsidR="00595D1E" w:rsidP="00595D1E" w:rsidRDefault="00595D1E" w14:paraId="07D12456" w14:textId="77777777">
      <w:pPr>
        <w:jc w:val="center"/>
        <w:rPr>
          <w:b/>
        </w:rPr>
      </w:pPr>
    </w:p>
    <w:p w:rsidRPr="00300D34" w:rsidR="00595D1E" w:rsidP="002B193F" w:rsidRDefault="00C0501F" w14:paraId="7D6BB6B4" w14:textId="77777777">
      <w:pPr>
        <w:jc w:val="center"/>
        <w:rPr>
          <w:sz w:val="36"/>
          <w:szCs w:val="36"/>
        </w:rPr>
      </w:pPr>
      <w:r w:rsidRPr="00300D34">
        <w:rPr>
          <w:sz w:val="36"/>
          <w:szCs w:val="36"/>
        </w:rPr>
        <w:t xml:space="preserve">Mini </w:t>
      </w:r>
      <w:r w:rsidRPr="00300D34" w:rsidR="00595D1E">
        <w:rPr>
          <w:sz w:val="36"/>
          <w:szCs w:val="36"/>
        </w:rPr>
        <w:t>Supporting Statement A</w:t>
      </w:r>
    </w:p>
    <w:p w:rsidRPr="00300D34" w:rsidR="00595D1E" w:rsidRDefault="00595D1E" w14:paraId="284D11D3" w14:textId="77777777">
      <w:pPr>
        <w:jc w:val="center"/>
      </w:pPr>
    </w:p>
    <w:p w:rsidRPr="00300D34" w:rsidR="00FF1D87" w:rsidP="002B193F" w:rsidRDefault="00FF1D87" w14:paraId="2FB19E00" w14:textId="77777777">
      <w:pPr>
        <w:jc w:val="center"/>
      </w:pPr>
    </w:p>
    <w:p w:rsidRPr="004461B5" w:rsidR="004461B5" w:rsidP="004461B5" w:rsidRDefault="004461B5" w14:paraId="3D716A20" w14:textId="6D10472C">
      <w:pPr>
        <w:jc w:val="center"/>
        <w:rPr>
          <w:rFonts w:eastAsiaTheme="majorEastAsia"/>
          <w:bCs/>
          <w:spacing w:val="15"/>
          <w:sz w:val="32"/>
          <w:szCs w:val="32"/>
        </w:rPr>
      </w:pPr>
      <w:r w:rsidRPr="004461B5">
        <w:rPr>
          <w:rFonts w:eastAsiaTheme="majorEastAsia"/>
          <w:bCs/>
          <w:spacing w:val="15"/>
          <w:sz w:val="32"/>
          <w:szCs w:val="32"/>
        </w:rPr>
        <w:t>NCI Personas and Journey Mapping: Business Audience</w:t>
      </w:r>
      <w:r>
        <w:rPr>
          <w:rFonts w:eastAsiaTheme="majorEastAsia"/>
          <w:bCs/>
          <w:spacing w:val="15"/>
          <w:sz w:val="32"/>
          <w:szCs w:val="32"/>
        </w:rPr>
        <w:t xml:space="preserve"> (NCI)</w:t>
      </w:r>
    </w:p>
    <w:p w:rsidR="00AC6F11" w:rsidP="00AC6F11" w:rsidRDefault="00AC6F11" w14:paraId="4AFE25BD" w14:textId="77777777">
      <w:pPr>
        <w:jc w:val="center"/>
        <w:rPr>
          <w:sz w:val="32"/>
          <w:szCs w:val="32"/>
        </w:rPr>
      </w:pPr>
    </w:p>
    <w:p w:rsidR="00AC6F11" w:rsidP="002B193F" w:rsidRDefault="00AC6F11" w14:paraId="31DDFBAB" w14:textId="77777777">
      <w:pPr>
        <w:jc w:val="center"/>
        <w:rPr>
          <w:sz w:val="32"/>
          <w:szCs w:val="32"/>
        </w:rPr>
      </w:pPr>
    </w:p>
    <w:p w:rsidRPr="005D2886" w:rsidR="00AC6F11" w:rsidP="00AC6F11" w:rsidRDefault="00AC6F11" w14:paraId="2C0C9003" w14:textId="77777777">
      <w:pPr>
        <w:numPr>
          <w:ilvl w:val="12"/>
          <w:numId w:val="0"/>
        </w:numPr>
        <w:jc w:val="center"/>
        <w:outlineLvl w:val="0"/>
        <w:rPr>
          <w:sz w:val="28"/>
          <w:szCs w:val="28"/>
        </w:rPr>
      </w:pPr>
      <w:r w:rsidRPr="005D2886">
        <w:rPr>
          <w:sz w:val="28"/>
          <w:szCs w:val="28"/>
        </w:rPr>
        <w:t xml:space="preserve">Sub-study under, </w:t>
      </w:r>
    </w:p>
    <w:p w:rsidRPr="005D2886" w:rsidR="00AC6F11" w:rsidP="00AC6F11" w:rsidRDefault="00AC6F11" w14:paraId="78FD821A" w14:textId="77777777">
      <w:pPr>
        <w:numPr>
          <w:ilvl w:val="12"/>
          <w:numId w:val="0"/>
        </w:numPr>
        <w:jc w:val="center"/>
        <w:outlineLvl w:val="0"/>
        <w:rPr>
          <w:bCs/>
          <w:sz w:val="28"/>
          <w:szCs w:val="28"/>
        </w:rPr>
      </w:pPr>
      <w:r w:rsidRPr="005D2886">
        <w:rPr>
          <w:sz w:val="28"/>
          <w:szCs w:val="28"/>
        </w:rPr>
        <w:t>“</w:t>
      </w:r>
      <w:r w:rsidRPr="005D2886">
        <w:rPr>
          <w:bCs/>
          <w:sz w:val="28"/>
          <w:szCs w:val="28"/>
        </w:rPr>
        <w:t xml:space="preserve">A Generic Submission for Formative Research, </w:t>
      </w:r>
    </w:p>
    <w:p w:rsidRPr="005D2886" w:rsidR="00AC6F11" w:rsidP="00AC6F11" w:rsidRDefault="00AC6F11" w14:paraId="3075166F" w14:textId="77777777">
      <w:pPr>
        <w:numPr>
          <w:ilvl w:val="12"/>
          <w:numId w:val="0"/>
        </w:numPr>
        <w:jc w:val="center"/>
        <w:outlineLvl w:val="0"/>
        <w:rPr>
          <w:bCs/>
          <w:sz w:val="28"/>
          <w:szCs w:val="28"/>
        </w:rPr>
      </w:pPr>
      <w:r w:rsidRPr="005D2886">
        <w:rPr>
          <w:bCs/>
          <w:sz w:val="28"/>
          <w:szCs w:val="28"/>
        </w:rPr>
        <w:t xml:space="preserve">Pretesting, and Customer Satisfaction of </w:t>
      </w:r>
    </w:p>
    <w:p w:rsidR="00AC6F11" w:rsidP="00AC6F11" w:rsidRDefault="00AC6F11" w14:paraId="16EA64E3" w14:textId="77777777">
      <w:pPr>
        <w:numPr>
          <w:ilvl w:val="12"/>
          <w:numId w:val="0"/>
        </w:numPr>
        <w:jc w:val="center"/>
        <w:outlineLvl w:val="0"/>
        <w:rPr>
          <w:bCs/>
          <w:sz w:val="28"/>
          <w:szCs w:val="28"/>
        </w:rPr>
      </w:pPr>
      <w:r w:rsidRPr="005D2886">
        <w:rPr>
          <w:bCs/>
          <w:sz w:val="28"/>
          <w:szCs w:val="28"/>
        </w:rPr>
        <w:t>NCI’s Communication and Education Resources”</w:t>
      </w:r>
    </w:p>
    <w:p w:rsidRPr="005D2886" w:rsidR="00DD39C0" w:rsidP="00AC6F11" w:rsidRDefault="00DD39C0" w14:paraId="392D13A9" w14:textId="77777777">
      <w:pPr>
        <w:numPr>
          <w:ilvl w:val="12"/>
          <w:numId w:val="0"/>
        </w:numPr>
        <w:jc w:val="center"/>
        <w:outlineLvl w:val="0"/>
        <w:rPr>
          <w:sz w:val="28"/>
          <w:szCs w:val="28"/>
        </w:rPr>
      </w:pPr>
    </w:p>
    <w:p w:rsidRPr="005D2886" w:rsidR="00C07411" w:rsidP="00AC6F11" w:rsidRDefault="00C07411" w14:paraId="115800E8" w14:textId="77777777">
      <w:pPr>
        <w:jc w:val="center"/>
        <w:rPr>
          <w:sz w:val="28"/>
          <w:szCs w:val="28"/>
        </w:rPr>
      </w:pPr>
      <w:r w:rsidRPr="005D2886">
        <w:rPr>
          <w:sz w:val="28"/>
          <w:szCs w:val="28"/>
        </w:rPr>
        <w:t>OMB No. 0925-</w:t>
      </w:r>
      <w:r w:rsidRPr="005D2886" w:rsidR="00C60370">
        <w:rPr>
          <w:sz w:val="28"/>
          <w:szCs w:val="28"/>
        </w:rPr>
        <w:t xml:space="preserve">0046  </w:t>
      </w:r>
    </w:p>
    <w:p w:rsidR="00CB4C39" w:rsidP="00AC6F11" w:rsidRDefault="00035391" w14:paraId="782774D5" w14:textId="63E81E74">
      <w:pPr>
        <w:jc w:val="center"/>
        <w:rPr>
          <w:sz w:val="28"/>
          <w:szCs w:val="28"/>
        </w:rPr>
      </w:pPr>
      <w:r w:rsidRPr="005D2886">
        <w:rPr>
          <w:sz w:val="28"/>
          <w:szCs w:val="28"/>
        </w:rPr>
        <w:t>Expiration Date:</w:t>
      </w:r>
      <w:r w:rsidRPr="005D2886" w:rsidR="00C07411">
        <w:rPr>
          <w:sz w:val="28"/>
          <w:szCs w:val="28"/>
        </w:rPr>
        <w:t xml:space="preserve"> </w:t>
      </w:r>
      <w:r w:rsidR="004461B5">
        <w:rPr>
          <w:sz w:val="28"/>
          <w:szCs w:val="28"/>
        </w:rPr>
        <w:t>11/30/2022</w:t>
      </w:r>
      <w:r w:rsidRPr="005D2886">
        <w:rPr>
          <w:sz w:val="28"/>
          <w:szCs w:val="28"/>
        </w:rPr>
        <w:t xml:space="preserve"> </w:t>
      </w:r>
    </w:p>
    <w:p w:rsidR="004461B5" w:rsidP="00AC6F11" w:rsidRDefault="004461B5" w14:paraId="5AE546C5" w14:textId="28D8CC5C">
      <w:pPr>
        <w:jc w:val="center"/>
        <w:rPr>
          <w:sz w:val="28"/>
          <w:szCs w:val="28"/>
        </w:rPr>
      </w:pPr>
    </w:p>
    <w:p w:rsidR="004461B5" w:rsidP="00AC6F11" w:rsidRDefault="004461B5" w14:paraId="2024A244" w14:textId="3871D110">
      <w:pPr>
        <w:jc w:val="center"/>
        <w:rPr>
          <w:sz w:val="28"/>
          <w:szCs w:val="28"/>
        </w:rPr>
      </w:pPr>
    </w:p>
    <w:p w:rsidRPr="004461B5" w:rsidR="004461B5" w:rsidP="004461B5" w:rsidRDefault="004461B5" w14:paraId="5DFB562C" w14:textId="269BFD87">
      <w:pPr>
        <w:jc w:val="center"/>
        <w:rPr>
          <w:sz w:val="28"/>
          <w:szCs w:val="28"/>
        </w:rPr>
      </w:pPr>
      <w:r w:rsidRPr="004461B5">
        <w:rPr>
          <w:sz w:val="28"/>
          <w:szCs w:val="28"/>
        </w:rPr>
        <w:t xml:space="preserve">Date: </w:t>
      </w:r>
      <w:r w:rsidR="001930F4">
        <w:rPr>
          <w:sz w:val="28"/>
          <w:szCs w:val="28"/>
        </w:rPr>
        <w:t>January 22</w:t>
      </w:r>
      <w:r w:rsidRPr="004461B5">
        <w:rPr>
          <w:sz w:val="28"/>
          <w:szCs w:val="28"/>
        </w:rPr>
        <w:t>, 2019</w:t>
      </w:r>
    </w:p>
    <w:p w:rsidRPr="005D2886" w:rsidR="004461B5" w:rsidP="00AC6F11" w:rsidRDefault="004461B5" w14:paraId="016E1BCC" w14:textId="77777777">
      <w:pPr>
        <w:jc w:val="center"/>
        <w:rPr>
          <w:sz w:val="28"/>
          <w:szCs w:val="28"/>
        </w:rPr>
      </w:pPr>
    </w:p>
    <w:p w:rsidRPr="00300D34" w:rsidR="00595D1E" w:rsidRDefault="00595D1E" w14:paraId="1CBA0432" w14:textId="77777777">
      <w:pPr>
        <w:jc w:val="center"/>
      </w:pPr>
    </w:p>
    <w:p w:rsidRPr="00300D34" w:rsidR="00FF1D87" w:rsidRDefault="00FF1D87" w14:paraId="273FAC89" w14:textId="77777777">
      <w:pPr>
        <w:jc w:val="center"/>
      </w:pPr>
    </w:p>
    <w:p w:rsidRPr="00300D34" w:rsidR="00FF1D87" w:rsidP="002B193F" w:rsidRDefault="008529CC" w14:paraId="50CACA5A" w14:textId="77777777">
      <w:pPr>
        <w:jc w:val="center"/>
        <w:rPr>
          <w:b/>
        </w:rPr>
      </w:pPr>
      <w:r w:rsidRPr="00300D34">
        <w:rPr>
          <w:sz w:val="32"/>
          <w:szCs w:val="32"/>
        </w:rPr>
        <w:t>Contact Information</w:t>
      </w:r>
      <w:r w:rsidRPr="00300D34">
        <w:rPr>
          <w:b/>
        </w:rPr>
        <w:t xml:space="preserve">    </w:t>
      </w:r>
    </w:p>
    <w:p w:rsidR="007E4359" w:rsidP="007E4359" w:rsidRDefault="002F2D55" w14:paraId="0EC1BC95" w14:textId="77777777">
      <w:pPr>
        <w:jc w:val="center"/>
        <w:rPr>
          <w:b/>
        </w:rPr>
      </w:pPr>
      <w:r>
        <w:rPr>
          <w:b/>
        </w:rPr>
        <w:t>Nina Goodman</w:t>
      </w:r>
    </w:p>
    <w:p w:rsidRPr="00300D34" w:rsidR="002F2D55" w:rsidP="007E4359" w:rsidRDefault="002F2D55" w14:paraId="396C6A75" w14:textId="77777777">
      <w:pPr>
        <w:jc w:val="center"/>
        <w:rPr>
          <w:b/>
        </w:rPr>
      </w:pPr>
      <w:r>
        <w:rPr>
          <w:b/>
        </w:rPr>
        <w:t>goodmann@mail.nih.gov</w:t>
      </w:r>
    </w:p>
    <w:p w:rsidRPr="00300D34" w:rsidR="007E4359" w:rsidP="007E4359" w:rsidRDefault="007E4359" w14:paraId="0F3CEB8A" w14:textId="77777777">
      <w:pPr>
        <w:jc w:val="center"/>
        <w:rPr>
          <w:b/>
        </w:rPr>
      </w:pPr>
    </w:p>
    <w:p w:rsidRPr="00300D34" w:rsidR="007E4359" w:rsidP="007E4359" w:rsidRDefault="007E4359" w14:paraId="2F24C93A" w14:textId="77777777">
      <w:pPr>
        <w:pStyle w:val="PlainText"/>
        <w:jc w:val="center"/>
        <w:rPr>
          <w:rFonts w:ascii="Times New Roman" w:hAnsi="Times New Roman" w:cs="Times New Roman"/>
          <w:b/>
          <w:color w:val="000000"/>
          <w:sz w:val="22"/>
          <w:szCs w:val="22"/>
        </w:rPr>
      </w:pPr>
    </w:p>
    <w:p w:rsidRPr="00300D34" w:rsidR="007E4359" w:rsidP="00FB2A67" w:rsidRDefault="007E4359" w14:paraId="31488379" w14:textId="77777777">
      <w:pPr>
        <w:jc w:val="center"/>
        <w:rPr>
          <w:b/>
        </w:rPr>
      </w:pPr>
    </w:p>
    <w:p w:rsidRPr="00300D34" w:rsidR="00FB2A67" w:rsidP="00FB2A67" w:rsidRDefault="002F2D55" w14:paraId="45E884C9" w14:textId="77777777">
      <w:pPr>
        <w:pStyle w:val="PlainText"/>
        <w:jc w:val="center"/>
        <w:rPr>
          <w:rFonts w:ascii="Times New Roman" w:hAnsi="Times New Roman" w:cs="Times New Roman"/>
          <w:sz w:val="22"/>
          <w:szCs w:val="22"/>
        </w:rPr>
      </w:pPr>
      <w:r>
        <w:rPr>
          <w:rFonts w:ascii="Times New Roman" w:hAnsi="Times New Roman" w:cs="Times New Roman"/>
          <w:sz w:val="22"/>
          <w:szCs w:val="22"/>
        </w:rPr>
        <w:t>Analytics and Audience Research Branch (AARB)</w:t>
      </w:r>
    </w:p>
    <w:p w:rsidRPr="00300D34" w:rsidR="00FB2A67" w:rsidP="00FB2A67" w:rsidRDefault="002F2D55" w14:paraId="043AE5F8" w14:textId="77777777">
      <w:pPr>
        <w:pStyle w:val="PlainText"/>
        <w:jc w:val="center"/>
        <w:rPr>
          <w:rFonts w:ascii="Times New Roman" w:hAnsi="Times New Roman" w:cs="Times New Roman"/>
          <w:color w:val="000000"/>
          <w:sz w:val="22"/>
          <w:szCs w:val="22"/>
        </w:rPr>
      </w:pPr>
      <w:r>
        <w:rPr>
          <w:rFonts w:ascii="Times New Roman" w:hAnsi="Times New Roman" w:cs="Times New Roman"/>
          <w:color w:val="000000"/>
          <w:sz w:val="22"/>
          <w:szCs w:val="22"/>
        </w:rPr>
        <w:t>Office of Communications and Public Liaison (OCPL)</w:t>
      </w:r>
    </w:p>
    <w:p w:rsidRPr="00300D34" w:rsidR="00FB2A67" w:rsidP="00FB2A67" w:rsidRDefault="00FB2A67" w14:paraId="6295117D" w14:textId="77777777">
      <w:pPr>
        <w:pStyle w:val="PlainText"/>
        <w:jc w:val="center"/>
        <w:rPr>
          <w:rFonts w:ascii="Times New Roman" w:hAnsi="Times New Roman" w:cs="Times New Roman"/>
          <w:color w:val="000000"/>
          <w:sz w:val="22"/>
          <w:szCs w:val="22"/>
        </w:rPr>
      </w:pPr>
      <w:r w:rsidRPr="00300D34">
        <w:rPr>
          <w:rFonts w:ascii="Times New Roman" w:hAnsi="Times New Roman" w:cs="Times New Roman"/>
          <w:color w:val="000000"/>
          <w:sz w:val="22"/>
          <w:szCs w:val="22"/>
        </w:rPr>
        <w:t>National Cancer Institute</w:t>
      </w:r>
    </w:p>
    <w:p w:rsidRPr="00300D34" w:rsidR="00595D1E" w:rsidP="002B193F" w:rsidRDefault="00595D1E" w14:paraId="0BCCE3AC" w14:textId="77777777">
      <w:pPr>
        <w:jc w:val="center"/>
        <w:rPr>
          <w:b/>
        </w:rPr>
      </w:pPr>
      <w:r w:rsidRPr="00300D34">
        <w:rPr>
          <w:b/>
        </w:rPr>
        <w:br w:type="page"/>
      </w:r>
    </w:p>
    <w:p w:rsidRPr="00300D34" w:rsidR="000F6E1A" w:rsidP="005D2886" w:rsidRDefault="000F6E1A" w14:paraId="4E46E93E" w14:textId="77777777">
      <w:pPr>
        <w:spacing w:after="20"/>
        <w:rPr>
          <w:b/>
        </w:rPr>
      </w:pPr>
      <w:r w:rsidRPr="00300D34">
        <w:rPr>
          <w:b/>
        </w:rPr>
        <w:lastRenderedPageBreak/>
        <w:t>Attachments</w:t>
      </w:r>
    </w:p>
    <w:p w:rsidRPr="00AA48A6" w:rsidR="161D9029" w:rsidP="00AA48A6" w:rsidRDefault="161D9029" w14:paraId="37BDA9CB" w14:textId="77777777">
      <w:pPr>
        <w:spacing w:after="20"/>
      </w:pPr>
    </w:p>
    <w:p w:rsidR="004461B5" w:rsidP="004461B5" w:rsidRDefault="7E0BC450" w14:paraId="34DA848C" w14:textId="77777777">
      <w:pPr>
        <w:pStyle w:val="ListParagraph"/>
        <w:numPr>
          <w:ilvl w:val="1"/>
          <w:numId w:val="13"/>
        </w:numPr>
        <w:spacing w:after="20"/>
        <w:ind w:left="540"/>
      </w:pPr>
      <w:r w:rsidRPr="7E0BC450">
        <w:t xml:space="preserve">Attachment </w:t>
      </w:r>
      <w:r w:rsidR="00D40602">
        <w:t>1</w:t>
      </w:r>
      <w:r w:rsidRPr="7E0BC450">
        <w:t xml:space="preserve"> – </w:t>
      </w:r>
      <w:r w:rsidR="004461B5">
        <w:t>Co-Developing and Licensing Business Audience</w:t>
      </w:r>
    </w:p>
    <w:p w:rsidR="004461B5" w:rsidP="004461B5" w:rsidRDefault="004461B5" w14:paraId="333334D6" w14:textId="08D2FEAF">
      <w:pPr>
        <w:pStyle w:val="ListParagraph"/>
        <w:numPr>
          <w:ilvl w:val="1"/>
          <w:numId w:val="13"/>
        </w:numPr>
        <w:spacing w:after="20"/>
        <w:ind w:left="540"/>
      </w:pPr>
      <w:r>
        <w:t>Attachment 2 – Intramural Researchers Business Audience</w:t>
      </w:r>
    </w:p>
    <w:p w:rsidR="004461B5" w:rsidP="004461B5" w:rsidRDefault="004461B5" w14:paraId="21813899" w14:textId="16ECD594">
      <w:pPr>
        <w:pStyle w:val="ListParagraph"/>
        <w:numPr>
          <w:ilvl w:val="1"/>
          <w:numId w:val="13"/>
        </w:numPr>
        <w:spacing w:after="20"/>
        <w:ind w:left="540"/>
      </w:pPr>
      <w:r>
        <w:t>Attachment 3 – Investing Business Audience</w:t>
      </w:r>
    </w:p>
    <w:p w:rsidR="004461B5" w:rsidP="004461B5" w:rsidRDefault="004461B5" w14:paraId="16CA5BDF" w14:textId="6D7D96A5">
      <w:pPr>
        <w:pStyle w:val="ListParagraph"/>
        <w:numPr>
          <w:ilvl w:val="1"/>
          <w:numId w:val="13"/>
        </w:numPr>
        <w:spacing w:after="20"/>
        <w:ind w:left="540"/>
      </w:pPr>
      <w:r>
        <w:t>Attachment 4 – SBIR Awardees and Prospects Business Audience</w:t>
      </w:r>
    </w:p>
    <w:p w:rsidR="0059255D" w:rsidP="004461B5" w:rsidRDefault="004461B5" w14:paraId="44ECD160" w14:textId="2728EBFE">
      <w:pPr>
        <w:pStyle w:val="ListParagraph"/>
        <w:numPr>
          <w:ilvl w:val="1"/>
          <w:numId w:val="13"/>
        </w:numPr>
        <w:spacing w:after="20"/>
        <w:ind w:left="540"/>
      </w:pPr>
      <w:r>
        <w:t xml:space="preserve">Attachment 5 – </w:t>
      </w:r>
      <w:r w:rsidR="0059255D">
        <w:t>Questionnaire</w:t>
      </w:r>
    </w:p>
    <w:p w:rsidR="004461B5" w:rsidP="004461B5" w:rsidRDefault="0059255D" w14:paraId="06093141" w14:textId="76912BA0">
      <w:pPr>
        <w:pStyle w:val="ListParagraph"/>
        <w:numPr>
          <w:ilvl w:val="1"/>
          <w:numId w:val="13"/>
        </w:numPr>
        <w:spacing w:after="20"/>
        <w:ind w:left="540"/>
      </w:pPr>
      <w:r>
        <w:t xml:space="preserve">Attachment 6 - </w:t>
      </w:r>
      <w:r w:rsidR="00E248D2">
        <w:t xml:space="preserve"> </w:t>
      </w:r>
      <w:r w:rsidR="00447104">
        <w:t>Email Invites</w:t>
      </w:r>
    </w:p>
    <w:p w:rsidR="004461B5" w:rsidP="004461B5" w:rsidRDefault="004461B5" w14:paraId="69B873B4" w14:textId="77777777">
      <w:pPr>
        <w:pStyle w:val="ListParagraph"/>
        <w:spacing w:after="20"/>
        <w:ind w:left="540"/>
      </w:pPr>
    </w:p>
    <w:p w:rsidR="004461B5" w:rsidRDefault="004461B5" w14:paraId="6F3648A9" w14:textId="77777777">
      <w:pPr>
        <w:spacing w:after="200" w:line="276" w:lineRule="auto"/>
        <w:rPr>
          <w:b/>
        </w:rPr>
      </w:pPr>
      <w:r>
        <w:rPr>
          <w:b/>
        </w:rPr>
        <w:br w:type="page"/>
      </w:r>
    </w:p>
    <w:p w:rsidRPr="00F569E7" w:rsidR="00DB27F3" w:rsidP="000C3337" w:rsidRDefault="00AF01AD" w14:paraId="1A519034" w14:textId="68A3CE82">
      <w:pPr>
        <w:spacing w:line="276" w:lineRule="auto"/>
        <w:jc w:val="center"/>
        <w:rPr>
          <w:b/>
        </w:rPr>
      </w:pPr>
      <w:r w:rsidRPr="00F569E7">
        <w:rPr>
          <w:b/>
        </w:rPr>
        <w:lastRenderedPageBreak/>
        <w:t xml:space="preserve">Mini </w:t>
      </w:r>
      <w:r w:rsidRPr="00F569E7" w:rsidR="008716F6">
        <w:rPr>
          <w:b/>
        </w:rPr>
        <w:t>Supporting Statement</w:t>
      </w:r>
      <w:r w:rsidRPr="00F569E7" w:rsidR="008529CC">
        <w:rPr>
          <w:b/>
        </w:rPr>
        <w:t xml:space="preserve"> A</w:t>
      </w:r>
    </w:p>
    <w:p w:rsidRPr="00300D34" w:rsidR="008716F6" w:rsidP="000C3337" w:rsidRDefault="008716F6" w14:paraId="4615D64F" w14:textId="77777777">
      <w:pPr>
        <w:spacing w:line="276" w:lineRule="auto"/>
      </w:pPr>
    </w:p>
    <w:p w:rsidRPr="00FC2A04" w:rsidR="004461B5" w:rsidP="00FC2A04" w:rsidRDefault="008716F6" w14:paraId="0E755464" w14:textId="47A50D75">
      <w:pPr>
        <w:pStyle w:val="Heading2"/>
        <w:spacing w:before="0" w:line="276" w:lineRule="auto"/>
        <w:rPr>
          <w:rFonts w:ascii="Times New Roman" w:hAnsi="Times New Roman" w:cs="Times New Roman"/>
        </w:rPr>
      </w:pPr>
      <w:r w:rsidRPr="00300D34">
        <w:rPr>
          <w:rFonts w:ascii="Times New Roman" w:hAnsi="Times New Roman" w:cs="Times New Roman"/>
        </w:rPr>
        <w:t>A.1 Circumstances Making the Collection of Information Necessary</w:t>
      </w:r>
    </w:p>
    <w:p w:rsidRPr="004461B5" w:rsidR="004461B5" w:rsidP="004461B5" w:rsidRDefault="004461B5" w14:paraId="729354CA" w14:textId="63CB6F2F">
      <w:pPr>
        <w:spacing w:line="276" w:lineRule="auto"/>
      </w:pPr>
      <w:r w:rsidRPr="004461B5">
        <w:t xml:space="preserve">The National Cancer Institute (NCI) will conduct a research project to develop personas, journey maps, and an experience map focused on groups identified by NCI within NCI’s Small Business Innovation Research (SBIR) and (Technology Transfer Center) TTC audiences. </w:t>
      </w:r>
    </w:p>
    <w:p w:rsidRPr="004461B5" w:rsidR="004461B5" w:rsidP="004461B5" w:rsidRDefault="004461B5" w14:paraId="1928BBF4" w14:textId="77777777">
      <w:pPr>
        <w:spacing w:line="276" w:lineRule="auto"/>
      </w:pPr>
    </w:p>
    <w:p w:rsidR="004461B5" w:rsidP="004461B5" w:rsidRDefault="004461B5" w14:paraId="4ABF3451" w14:textId="455189E2">
      <w:pPr>
        <w:spacing w:line="276" w:lineRule="auto"/>
      </w:pPr>
      <w:r w:rsidRPr="004461B5">
        <w:t>The personas and journey maps will indicate the unique characteristics of the small business and technology transfer audience and map the phases of the journeys including interactions with the SBIR website (www.sbir.cancer.gov) or Technology Transfer website (techtransfer.cancer.gov).</w:t>
      </w:r>
    </w:p>
    <w:p w:rsidR="008867F5" w:rsidP="004461B5" w:rsidRDefault="008867F5" w14:paraId="6423773F" w14:textId="3FA2850D">
      <w:pPr>
        <w:spacing w:line="276" w:lineRule="auto"/>
      </w:pPr>
    </w:p>
    <w:p w:rsidRPr="004461B5" w:rsidR="008867F5" w:rsidP="004461B5" w:rsidRDefault="008867F5" w14:paraId="58D72368" w14:textId="4BD5BD0E">
      <w:pPr>
        <w:spacing w:line="276" w:lineRule="auto"/>
      </w:pPr>
      <w:r>
        <w:t xml:space="preserve">It is important to understand the audiences that use SBIR and TTC information in order to ensure these programs are offering information and resources in a clear way that meets their audiences’ needs. Persona development and journey maps are customary tools in human-centered and website design used to ensure programmatic efforts are aligned with the audiences they serve. Ultimately, this ensures that these NCI programs are providing information as effectively and efficiently as possible. </w:t>
      </w:r>
    </w:p>
    <w:p w:rsidR="001C7DEC" w:rsidP="00FE0CC5" w:rsidRDefault="001C7DEC" w14:paraId="40264A12" w14:textId="77777777">
      <w:pPr>
        <w:spacing w:line="276" w:lineRule="auto"/>
      </w:pPr>
    </w:p>
    <w:p w:rsidRPr="002F2D55" w:rsidR="00A306C3" w:rsidP="000C3337" w:rsidRDefault="00A306C3" w14:paraId="3B9B6384" w14:textId="77777777">
      <w:pPr>
        <w:spacing w:line="276" w:lineRule="auto"/>
      </w:pPr>
    </w:p>
    <w:p w:rsidRPr="00FC2A04" w:rsidR="00503E96" w:rsidP="00FC2A04" w:rsidRDefault="008716F6" w14:paraId="4396F46D" w14:textId="270360CB">
      <w:pPr>
        <w:pStyle w:val="Heading2"/>
        <w:spacing w:before="0" w:line="276" w:lineRule="auto"/>
        <w:rPr>
          <w:rFonts w:ascii="Times New Roman" w:hAnsi="Times New Roman" w:cs="Times New Roman"/>
        </w:rPr>
      </w:pPr>
      <w:r w:rsidRPr="00300D34">
        <w:rPr>
          <w:rFonts w:ascii="Times New Roman" w:hAnsi="Times New Roman" w:cs="Times New Roman"/>
        </w:rPr>
        <w:t>A.2 Purpose and Use of the Information Collection</w:t>
      </w:r>
    </w:p>
    <w:p w:rsidR="00D20A3A" w:rsidP="001C7DEC" w:rsidRDefault="00D20A3A" w14:paraId="50C43ED0" w14:textId="13AA99A4">
      <w:pPr>
        <w:spacing w:line="276" w:lineRule="auto"/>
      </w:pPr>
    </w:p>
    <w:p w:rsidR="00D20A3A" w:rsidP="001C7DEC" w:rsidRDefault="00D20A3A" w14:paraId="12D4E785" w14:textId="3344ABFA">
      <w:pPr>
        <w:spacing w:line="276" w:lineRule="auto"/>
      </w:pPr>
      <w:r w:rsidRPr="00D20A3A">
        <w:t xml:space="preserve">The National Cancer Institute (NCI) </w:t>
      </w:r>
      <w:r w:rsidRPr="00447104">
        <w:t>will be</w:t>
      </w:r>
      <w:r w:rsidRPr="00D20A3A">
        <w:t xml:space="preserve"> conducting phone interviews with influencers and decision makers from SBIR companies that are seeking funding or are currently funded by NCI to develop next generation cancer technology. Participants will be asked about their professional experiences with the process of seeking SBIR funding from NIH/NCI. Previous SBIR funding is not required to participate.</w:t>
      </w:r>
    </w:p>
    <w:p w:rsidR="00447104" w:rsidP="001C7DEC" w:rsidRDefault="00447104" w14:paraId="0895B580" w14:textId="72609530">
      <w:pPr>
        <w:spacing w:line="276" w:lineRule="auto"/>
      </w:pPr>
    </w:p>
    <w:p w:rsidRPr="00447104" w:rsidR="00447104" w:rsidP="001C7DEC" w:rsidRDefault="00447104" w14:paraId="7E483A49" w14:textId="4A4AF0C4">
      <w:pPr>
        <w:spacing w:line="276" w:lineRule="auto"/>
      </w:pPr>
      <w:r w:rsidRPr="00D20A3A">
        <w:t xml:space="preserve">The information collected </w:t>
      </w:r>
      <w:r w:rsidRPr="004461B5">
        <w:t xml:space="preserve">will guide NCI’s human-centered design approach </w:t>
      </w:r>
      <w:r>
        <w:t>and</w:t>
      </w:r>
      <w:r w:rsidRPr="004461B5">
        <w:t xml:space="preserve"> will improve the user experience with the SBIR and TTC websites and programs, consequently decreasing the volume of questions about SBIR and TTC processes, increasing the number of qualified participants in the programs, and improving the quality of candidates and application submissions.</w:t>
      </w:r>
    </w:p>
    <w:p w:rsidR="001C7DEC" w:rsidP="001C7DEC" w:rsidRDefault="001C7DEC" w14:paraId="3FC1AE1F" w14:textId="0441B1E2">
      <w:pPr>
        <w:spacing w:line="276" w:lineRule="auto"/>
      </w:pPr>
    </w:p>
    <w:p w:rsidRPr="004461B5" w:rsidR="001C7DEC" w:rsidP="001C7DEC" w:rsidRDefault="001C7DEC" w14:paraId="4AB226FD" w14:textId="77777777">
      <w:pPr>
        <w:spacing w:line="276" w:lineRule="auto"/>
      </w:pPr>
      <w:r w:rsidRPr="004461B5">
        <w:t xml:space="preserve">A contractor will facilitate meetings and discussions with stakeholders, collecting data from groups </w:t>
      </w:r>
      <w:bookmarkStart w:name="_Hlk25674645" w:id="0"/>
      <w:r w:rsidRPr="004461B5">
        <w:t>within the SBIR and TTC audience identified by NCI</w:t>
      </w:r>
      <w:bookmarkEnd w:id="0"/>
      <w:r w:rsidRPr="004461B5">
        <w:t>. The contractor will develop research materials and final deliverables, including up to five user personas, up to five journey maps, one experience map, and an audience toolkit.</w:t>
      </w:r>
    </w:p>
    <w:p w:rsidRPr="004461B5" w:rsidR="001C7DEC" w:rsidP="001C7DEC" w:rsidRDefault="001C7DEC" w14:paraId="2F8E9C64" w14:textId="77777777">
      <w:pPr>
        <w:spacing w:line="276" w:lineRule="auto"/>
      </w:pPr>
    </w:p>
    <w:p w:rsidRPr="006C7481" w:rsidR="001C7DEC" w:rsidP="001C7DEC" w:rsidRDefault="001C7DEC" w14:paraId="0D127210" w14:textId="77777777">
      <w:pPr>
        <w:spacing w:line="276" w:lineRule="auto"/>
      </w:pPr>
      <w:r w:rsidRPr="006C7481">
        <w:t>This involves a series of interviews with multiple audiences including:</w:t>
      </w:r>
    </w:p>
    <w:p w:rsidRPr="0070588C" w:rsidR="001C7DEC" w:rsidP="001C7DEC" w:rsidRDefault="001C7DEC" w14:paraId="17AE791A" w14:textId="77777777">
      <w:pPr>
        <w:spacing w:line="276" w:lineRule="auto"/>
        <w:rPr>
          <w:highlight w:val="yellow"/>
          <w:u w:val="single"/>
        </w:rPr>
      </w:pPr>
    </w:p>
    <w:p w:rsidRPr="006C7481" w:rsidR="001C7DEC" w:rsidP="001C7DEC" w:rsidRDefault="001C7DEC" w14:paraId="1B689125" w14:textId="77777777">
      <w:pPr>
        <w:pStyle w:val="ListParagraph"/>
        <w:numPr>
          <w:ilvl w:val="0"/>
          <w:numId w:val="21"/>
        </w:numPr>
        <w:spacing w:line="276" w:lineRule="auto"/>
      </w:pPr>
      <w:r w:rsidRPr="006C7481">
        <w:t>SBIR Prospects who have been disqualified, not accepted, or have not yet applied</w:t>
      </w:r>
    </w:p>
    <w:p w:rsidRPr="006C7481" w:rsidR="001C7DEC" w:rsidP="001C7DEC" w:rsidRDefault="001C7DEC" w14:paraId="159502D9" w14:textId="77777777">
      <w:pPr>
        <w:pStyle w:val="ListParagraph"/>
        <w:numPr>
          <w:ilvl w:val="0"/>
          <w:numId w:val="21"/>
        </w:numPr>
        <w:spacing w:line="276" w:lineRule="auto"/>
      </w:pPr>
      <w:r w:rsidRPr="006C7481">
        <w:t>Successful SBIR grant applicants with a variety of experience</w:t>
      </w:r>
    </w:p>
    <w:p w:rsidRPr="004461B5" w:rsidR="001C7DEC" w:rsidP="001C7DEC" w:rsidRDefault="001C7DEC" w14:paraId="109B0079" w14:textId="77777777">
      <w:pPr>
        <w:pStyle w:val="ListParagraph"/>
        <w:numPr>
          <w:ilvl w:val="0"/>
          <w:numId w:val="21"/>
        </w:numPr>
        <w:spacing w:line="276" w:lineRule="auto"/>
      </w:pPr>
      <w:r w:rsidRPr="004461B5">
        <w:t xml:space="preserve">Representative from businesses that invest in SBIR companies funded by NCI </w:t>
      </w:r>
    </w:p>
    <w:p w:rsidRPr="004461B5" w:rsidR="001C7DEC" w:rsidP="001C7DEC" w:rsidRDefault="001C7DEC" w14:paraId="256DD9EE" w14:textId="77777777">
      <w:pPr>
        <w:pStyle w:val="ListParagraph"/>
        <w:numPr>
          <w:ilvl w:val="0"/>
          <w:numId w:val="21"/>
        </w:numPr>
        <w:spacing w:line="276" w:lineRule="auto"/>
      </w:pPr>
      <w:r w:rsidRPr="004461B5">
        <w:t>Representative from businesses that are co-developing or licensing technology from NCI</w:t>
      </w:r>
    </w:p>
    <w:p w:rsidR="001C7DEC" w:rsidP="001C7DEC" w:rsidRDefault="001C7DEC" w14:paraId="024E4D3E" w14:textId="77777777">
      <w:pPr>
        <w:pStyle w:val="ListParagraph"/>
        <w:numPr>
          <w:ilvl w:val="0"/>
          <w:numId w:val="21"/>
        </w:numPr>
        <w:spacing w:line="276" w:lineRule="auto"/>
      </w:pPr>
      <w:r w:rsidRPr="004461B5">
        <w:t>Intramural researchers who have engaged with the NCI Technology Transfer Center</w:t>
      </w:r>
    </w:p>
    <w:p w:rsidRPr="004461B5" w:rsidR="001C7DEC" w:rsidP="001C7DEC" w:rsidRDefault="001C7DEC" w14:paraId="6751DDAD" w14:textId="77777777">
      <w:pPr>
        <w:spacing w:line="276" w:lineRule="auto"/>
      </w:pPr>
    </w:p>
    <w:p w:rsidRPr="00300D34" w:rsidR="008716F6" w:rsidP="000C3337" w:rsidRDefault="008716F6" w14:paraId="733163E3" w14:textId="77777777">
      <w:pPr>
        <w:pStyle w:val="Heading2"/>
        <w:spacing w:before="0" w:line="276" w:lineRule="auto"/>
        <w:rPr>
          <w:rFonts w:ascii="Times New Roman" w:hAnsi="Times New Roman" w:cs="Times New Roman"/>
        </w:rPr>
      </w:pPr>
      <w:r w:rsidRPr="00300D34">
        <w:rPr>
          <w:rFonts w:ascii="Times New Roman" w:hAnsi="Times New Roman" w:cs="Times New Roman"/>
        </w:rPr>
        <w:lastRenderedPageBreak/>
        <w:t xml:space="preserve">A.3 Use of Information Technology </w:t>
      </w:r>
      <w:r w:rsidR="007D6000">
        <w:rPr>
          <w:rFonts w:ascii="Times New Roman" w:hAnsi="Times New Roman" w:cs="Times New Roman"/>
        </w:rPr>
        <w:t>and</w:t>
      </w:r>
      <w:r w:rsidRPr="00300D34" w:rsidR="007D6000">
        <w:rPr>
          <w:rFonts w:ascii="Times New Roman" w:hAnsi="Times New Roman" w:cs="Times New Roman"/>
        </w:rPr>
        <w:t xml:space="preserve"> </w:t>
      </w:r>
      <w:r w:rsidRPr="00300D34">
        <w:rPr>
          <w:rFonts w:ascii="Times New Roman" w:hAnsi="Times New Roman" w:cs="Times New Roman"/>
        </w:rPr>
        <w:t>Burden</w:t>
      </w:r>
      <w:r w:rsidR="007D6000">
        <w:rPr>
          <w:rFonts w:ascii="Times New Roman" w:hAnsi="Times New Roman" w:cs="Times New Roman"/>
        </w:rPr>
        <w:t xml:space="preserve"> Reduction</w:t>
      </w:r>
    </w:p>
    <w:p w:rsidR="00CE3259" w:rsidP="00FC2A04" w:rsidRDefault="00CE3259" w14:paraId="6F1825B6" w14:textId="0C6BB0A8">
      <w:pPr>
        <w:spacing w:after="20" w:line="276" w:lineRule="auto"/>
        <w:rPr>
          <w:rFonts w:eastAsia="SimSun"/>
        </w:rPr>
      </w:pPr>
    </w:p>
    <w:p w:rsidR="00CE3259" w:rsidP="008867F5" w:rsidRDefault="00CE3259" w14:paraId="458F32F6" w14:textId="41B26136">
      <w:r>
        <w:t xml:space="preserve">Interviews will be made over the phone. </w:t>
      </w:r>
      <w:r w:rsidR="00A77076">
        <w:t>The contractor</w:t>
      </w:r>
      <w:r>
        <w:t xml:space="preserve"> </w:t>
      </w:r>
      <w:r w:rsidRPr="00A77076" w:rsidR="00A77076">
        <w:t>will program the online screener and provide NCI with the link to include it in the email invitations, LinkedIn, Twitter, NCI Intranet, and NCI Enterprise social media accounts</w:t>
      </w:r>
      <w:r>
        <w:t xml:space="preserve"> will be used to reach the potential users of the research. A written report will be created but no formalized system of data collection will be used and PII will not be kept. </w:t>
      </w:r>
    </w:p>
    <w:p w:rsidR="00CE3259" w:rsidP="008867F5" w:rsidRDefault="00CE3259" w14:paraId="031643DE" w14:textId="77777777"/>
    <w:p w:rsidR="00CE3259" w:rsidP="008867F5" w:rsidRDefault="00CE3259" w14:paraId="0CE53D01" w14:textId="7D4D3D25">
      <w:r>
        <w:t xml:space="preserve">NCI’s SBIR/TTC can identify previous applicants, businesses, and researchers and will be using historical documentation of submissions to assess who to invite to participate. Only name and email address will be used when reaching out to potential participants. </w:t>
      </w:r>
    </w:p>
    <w:p w:rsidR="00CE3259" w:rsidP="008867F5" w:rsidRDefault="00CE3259" w14:paraId="5161F8DF" w14:textId="77777777"/>
    <w:p w:rsidR="00CE3259" w:rsidP="008867F5" w:rsidRDefault="00CE3259" w14:paraId="369574FB" w14:textId="77777777">
      <w:r>
        <w:t xml:space="preserve">The SBIR/TTC offices, with support from the contractor, will be responsible for sending the study invitations and/or posting messages through communication channels they use to reach potential or former grant applicants. </w:t>
      </w:r>
    </w:p>
    <w:p w:rsidRPr="00FC2A04" w:rsidR="00CE3259" w:rsidP="008867F5" w:rsidRDefault="00CE3259" w14:paraId="1A64C220" w14:textId="77777777">
      <w:pPr>
        <w:spacing w:after="20" w:line="276" w:lineRule="auto"/>
        <w:rPr>
          <w:rFonts w:eastAsia="SimSun"/>
        </w:rPr>
      </w:pPr>
    </w:p>
    <w:p w:rsidRPr="00300D34" w:rsidR="008716F6" w:rsidP="000C3337" w:rsidRDefault="008716F6" w14:paraId="3E8C887A" w14:textId="06F03A77">
      <w:pPr>
        <w:pStyle w:val="Heading2"/>
        <w:spacing w:before="0" w:line="276" w:lineRule="auto"/>
        <w:rPr>
          <w:rFonts w:ascii="Times New Roman" w:hAnsi="Times New Roman" w:cs="Times New Roman"/>
        </w:rPr>
      </w:pPr>
      <w:r w:rsidRPr="00300D34">
        <w:rPr>
          <w:rFonts w:ascii="Times New Roman" w:hAnsi="Times New Roman" w:cs="Times New Roman"/>
        </w:rPr>
        <w:t>A.4 Efforts to Identify Duplication</w:t>
      </w:r>
      <w:r w:rsidR="007D6000">
        <w:rPr>
          <w:rFonts w:ascii="Times New Roman" w:hAnsi="Times New Roman" w:cs="Times New Roman"/>
        </w:rPr>
        <w:t xml:space="preserve"> and Use of Similar Information</w:t>
      </w:r>
    </w:p>
    <w:p w:rsidRPr="00FB47AE" w:rsidR="00003BE1" w:rsidP="000C3337" w:rsidRDefault="00012983" w14:paraId="305C97A6" w14:textId="0C21D03B">
      <w:pPr>
        <w:spacing w:line="276" w:lineRule="auto"/>
      </w:pPr>
      <w:r w:rsidRPr="00FE0CC5">
        <w:t xml:space="preserve">This information is unique </w:t>
      </w:r>
      <w:r w:rsidRPr="00FE0CC5" w:rsidR="0005162F">
        <w:t xml:space="preserve">to </w:t>
      </w:r>
      <w:r w:rsidRPr="00FE0CC5" w:rsidR="00FE0CC5">
        <w:t>the SBIR and TTC audience</w:t>
      </w:r>
      <w:r w:rsidR="00FE0CC5">
        <w:t>s</w:t>
      </w:r>
      <w:r w:rsidRPr="00FE0CC5" w:rsidR="00FE0CC5">
        <w:t xml:space="preserve"> identified by NCI</w:t>
      </w:r>
      <w:r w:rsidRPr="00FE0CC5">
        <w:t xml:space="preserve"> and is not found elsewhere.</w:t>
      </w:r>
    </w:p>
    <w:p w:rsidR="0003418B" w:rsidP="000C3337" w:rsidRDefault="0003418B" w14:paraId="6B328149" w14:textId="77777777">
      <w:pPr>
        <w:pStyle w:val="Heading2"/>
        <w:spacing w:before="0" w:line="276" w:lineRule="auto"/>
        <w:rPr>
          <w:rFonts w:ascii="Times New Roman" w:hAnsi="Times New Roman" w:cs="Times New Roman"/>
        </w:rPr>
      </w:pPr>
    </w:p>
    <w:p w:rsidRPr="00300D34" w:rsidR="008716F6" w:rsidP="000C3337" w:rsidRDefault="008716F6" w14:paraId="0B96C063" w14:textId="77777777">
      <w:pPr>
        <w:pStyle w:val="Heading2"/>
        <w:spacing w:before="0" w:line="276" w:lineRule="auto"/>
        <w:rPr>
          <w:rFonts w:ascii="Times New Roman" w:hAnsi="Times New Roman" w:cs="Times New Roman"/>
        </w:rPr>
      </w:pPr>
      <w:r w:rsidRPr="00FB47AE">
        <w:rPr>
          <w:rFonts w:ascii="Times New Roman" w:hAnsi="Times New Roman" w:cs="Times New Roman"/>
        </w:rPr>
        <w:t>A.5 Impact on Small Businesses or Other</w:t>
      </w:r>
      <w:r w:rsidRPr="00300D34">
        <w:rPr>
          <w:rFonts w:ascii="Times New Roman" w:hAnsi="Times New Roman" w:cs="Times New Roman"/>
        </w:rPr>
        <w:t xml:space="preserve"> Small Entities</w:t>
      </w:r>
    </w:p>
    <w:p w:rsidR="0003418B" w:rsidP="000C3337" w:rsidRDefault="00CB1BBB" w14:paraId="3231E776" w14:textId="078D1D76">
      <w:pPr>
        <w:pStyle w:val="Heading2"/>
        <w:spacing w:before="0" w:line="276" w:lineRule="auto"/>
        <w:rPr>
          <w:rFonts w:ascii="Times New Roman" w:hAnsi="Times New Roman" w:eastAsia="Times New Roman" w:cs="Times New Roman"/>
          <w:b w:val="0"/>
          <w:bCs w:val="0"/>
          <w:szCs w:val="24"/>
        </w:rPr>
      </w:pPr>
      <w:r w:rsidRPr="00CB1BBB">
        <w:rPr>
          <w:rFonts w:ascii="Times New Roman" w:hAnsi="Times New Roman" w:eastAsia="Times New Roman" w:cs="Times New Roman"/>
          <w:b w:val="0"/>
          <w:bCs w:val="0"/>
          <w:szCs w:val="24"/>
        </w:rPr>
        <w:t>There will be no negative impact on small business, only a potentially positive one with an increase in the number of participants in the SBIR program.</w:t>
      </w:r>
    </w:p>
    <w:p w:rsidRPr="00CB1BBB" w:rsidR="00CB1BBB" w:rsidP="00CB1BBB" w:rsidRDefault="00CB1BBB" w14:paraId="100AC0A4" w14:textId="77777777"/>
    <w:p w:rsidRPr="00300D34" w:rsidR="008716F6" w:rsidP="000C3337" w:rsidRDefault="008716F6" w14:paraId="3F896E03" w14:textId="77777777">
      <w:pPr>
        <w:pStyle w:val="Heading2"/>
        <w:spacing w:before="0" w:line="276" w:lineRule="auto"/>
        <w:rPr>
          <w:rFonts w:ascii="Times New Roman" w:hAnsi="Times New Roman" w:cs="Times New Roman"/>
        </w:rPr>
      </w:pPr>
      <w:r w:rsidRPr="00300D34">
        <w:rPr>
          <w:rFonts w:ascii="Times New Roman" w:hAnsi="Times New Roman" w:cs="Times New Roman"/>
        </w:rPr>
        <w:t>A.6 Consequences of Collecting the Information Less Frequently</w:t>
      </w:r>
    </w:p>
    <w:p w:rsidRPr="00300D34" w:rsidR="00112BDA" w:rsidP="000C3337" w:rsidRDefault="00012983" w14:paraId="164E4242" w14:textId="77777777">
      <w:pPr>
        <w:spacing w:line="276" w:lineRule="auto"/>
      </w:pPr>
      <w:r w:rsidRPr="00FE0CC5">
        <w:t>This is a one-time information collection.</w:t>
      </w:r>
    </w:p>
    <w:p w:rsidR="0003418B" w:rsidP="000C3337" w:rsidRDefault="0003418B" w14:paraId="5350974C" w14:textId="77777777">
      <w:pPr>
        <w:pStyle w:val="Heading2"/>
        <w:spacing w:before="0" w:line="276" w:lineRule="auto"/>
        <w:rPr>
          <w:rFonts w:ascii="Times New Roman" w:hAnsi="Times New Roman" w:cs="Times New Roman"/>
        </w:rPr>
      </w:pPr>
    </w:p>
    <w:p w:rsidRPr="00300D34" w:rsidR="008716F6" w:rsidP="000C3337" w:rsidRDefault="008716F6" w14:paraId="55C916B9" w14:textId="77777777">
      <w:pPr>
        <w:pStyle w:val="Heading2"/>
        <w:spacing w:before="0" w:line="276" w:lineRule="auto"/>
        <w:rPr>
          <w:rFonts w:ascii="Times New Roman" w:hAnsi="Times New Roman" w:cs="Times New Roman"/>
        </w:rPr>
      </w:pPr>
      <w:r w:rsidRPr="00300D34">
        <w:rPr>
          <w:rFonts w:ascii="Times New Roman" w:hAnsi="Times New Roman" w:cs="Times New Roman"/>
        </w:rPr>
        <w:t>A.7 Special Circumstances Relating to the Guidelines of 5 CFR 1320.5</w:t>
      </w:r>
    </w:p>
    <w:p w:rsidRPr="00300D34" w:rsidR="008716F6" w:rsidP="000C3337" w:rsidRDefault="008716F6" w14:paraId="1E79A86D" w14:textId="4EC545C1">
      <w:pPr>
        <w:spacing w:line="276" w:lineRule="auto"/>
      </w:pPr>
      <w:r w:rsidRPr="00300D34">
        <w:t xml:space="preserve">This </w:t>
      </w:r>
      <w:r w:rsidR="00A616D7">
        <w:t>questionnaire</w:t>
      </w:r>
      <w:r w:rsidRPr="00300D34">
        <w:t xml:space="preserve"> will be implemented in a manner that fully complies with 5 C.F.R. 1320.5.</w:t>
      </w:r>
      <w:r w:rsidRPr="00300D34" w:rsidR="004B3C21">
        <w:t xml:space="preserve"> </w:t>
      </w:r>
    </w:p>
    <w:p w:rsidR="0003418B" w:rsidP="000C3337" w:rsidRDefault="0003418B" w14:paraId="3C3F22AF" w14:textId="77777777">
      <w:pPr>
        <w:pStyle w:val="Heading2"/>
        <w:spacing w:before="0" w:line="276" w:lineRule="auto"/>
        <w:rPr>
          <w:rFonts w:ascii="Times New Roman" w:hAnsi="Times New Roman" w:cs="Times New Roman"/>
        </w:rPr>
      </w:pPr>
    </w:p>
    <w:p w:rsidRPr="00300D34" w:rsidR="008716F6" w:rsidP="000C3337" w:rsidRDefault="008716F6" w14:paraId="5D22592E" w14:textId="77777777">
      <w:pPr>
        <w:pStyle w:val="Heading2"/>
        <w:spacing w:before="0" w:line="276" w:lineRule="auto"/>
        <w:rPr>
          <w:rFonts w:ascii="Times New Roman" w:hAnsi="Times New Roman" w:cs="Times New Roman"/>
        </w:rPr>
      </w:pPr>
      <w:r w:rsidRPr="00300D34">
        <w:rPr>
          <w:rFonts w:ascii="Times New Roman" w:hAnsi="Times New Roman" w:cs="Times New Roman"/>
        </w:rPr>
        <w:t>A.8 Comments in Response to the Federal Register Notice and Efforts to Consult Outside Agency</w:t>
      </w:r>
    </w:p>
    <w:p w:rsidRPr="00300D34" w:rsidR="008716F6" w:rsidP="000C3337" w:rsidRDefault="008716F6" w14:paraId="09C4301A" w14:textId="77777777">
      <w:pPr>
        <w:spacing w:line="276" w:lineRule="auto"/>
      </w:pPr>
      <w:r w:rsidRPr="00300D34">
        <w:t>N/A</w:t>
      </w:r>
    </w:p>
    <w:p w:rsidR="0003418B" w:rsidP="000C3337" w:rsidRDefault="0003418B" w14:paraId="4676089F" w14:textId="77777777">
      <w:pPr>
        <w:pStyle w:val="Heading2"/>
        <w:spacing w:before="0" w:line="276" w:lineRule="auto"/>
        <w:rPr>
          <w:rFonts w:ascii="Times New Roman" w:hAnsi="Times New Roman" w:cs="Times New Roman"/>
        </w:rPr>
      </w:pPr>
    </w:p>
    <w:p w:rsidRPr="00300D34" w:rsidR="00DF2D8B" w:rsidP="00DF2D8B" w:rsidRDefault="00DF2D8B" w14:paraId="40FF0724" w14:textId="77777777">
      <w:pPr>
        <w:pStyle w:val="Heading2"/>
        <w:spacing w:before="0" w:line="276" w:lineRule="auto"/>
        <w:rPr>
          <w:rFonts w:ascii="Times New Roman" w:hAnsi="Times New Roman" w:cs="Times New Roman"/>
        </w:rPr>
      </w:pPr>
      <w:r w:rsidRPr="00300D34">
        <w:rPr>
          <w:rFonts w:ascii="Times New Roman" w:hAnsi="Times New Roman" w:cs="Times New Roman"/>
        </w:rPr>
        <w:t>A.9 Explanation of Any Payment of Gift to Respondents</w:t>
      </w:r>
    </w:p>
    <w:p w:rsidR="00075FF7" w:rsidP="00075FF7" w:rsidRDefault="0070588C" w14:paraId="36C79CE9" w14:textId="77777777">
      <w:pPr>
        <w:spacing w:line="276" w:lineRule="auto"/>
        <w:rPr>
          <w:bCs/>
        </w:rPr>
      </w:pPr>
      <w:r w:rsidRPr="0070588C">
        <w:rPr>
          <w:bCs/>
        </w:rPr>
        <w:t>All external participants (i.e., SBIRs, businesses investing, businesses co-developing/licensing technology, businesses investing in SBIRs) will receive a $150 prepaid Visa gift card. Intramural researchers do not qualify for a gift card.</w:t>
      </w:r>
      <w:r>
        <w:rPr>
          <w:bCs/>
        </w:rPr>
        <w:t xml:space="preserve"> </w:t>
      </w:r>
    </w:p>
    <w:p w:rsidR="00075FF7" w:rsidP="00075FF7" w:rsidRDefault="00075FF7" w14:paraId="56AAFFE6" w14:textId="77777777">
      <w:pPr>
        <w:spacing w:line="276" w:lineRule="auto"/>
        <w:rPr>
          <w:bCs/>
        </w:rPr>
      </w:pPr>
    </w:p>
    <w:p w:rsidRPr="0070588C" w:rsidR="00044984" w:rsidP="00044984" w:rsidRDefault="00075FF7" w14:paraId="5DA1E441" w14:textId="63A1E0D8">
      <w:pPr>
        <w:spacing w:line="276" w:lineRule="auto"/>
        <w:rPr>
          <w:bCs/>
        </w:rPr>
      </w:pPr>
      <w:r w:rsidRPr="00AF621D">
        <w:rPr>
          <w:bCs/>
        </w:rPr>
        <w:t xml:space="preserve">Since the business investors and leaders, who will be asked to participate in this study, will have similar or higher salaries than our physician population and </w:t>
      </w:r>
      <w:r w:rsidRPr="00AF621D" w:rsidR="002940CD">
        <w:rPr>
          <w:bCs/>
        </w:rPr>
        <w:t>by</w:t>
      </w:r>
      <w:r w:rsidRPr="00AF621D">
        <w:rPr>
          <w:bCs/>
        </w:rPr>
        <w:t xml:space="preserve"> participating in the interview</w:t>
      </w:r>
      <w:r w:rsidRPr="00AF621D" w:rsidR="002940CD">
        <w:rPr>
          <w:bCs/>
        </w:rPr>
        <w:t xml:space="preserve">, the </w:t>
      </w:r>
      <w:r w:rsidRPr="00AF621D">
        <w:rPr>
          <w:bCs/>
        </w:rPr>
        <w:t xml:space="preserve">result </w:t>
      </w:r>
      <w:r w:rsidRPr="00AF621D" w:rsidR="002940CD">
        <w:rPr>
          <w:bCs/>
        </w:rPr>
        <w:t xml:space="preserve">will be a </w:t>
      </w:r>
      <w:r w:rsidRPr="00AF621D">
        <w:rPr>
          <w:bCs/>
        </w:rPr>
        <w:t>significant lost wages or income for participants, we believe this honorarium amount will be necessary to recruit this population to participate.</w:t>
      </w:r>
      <w:r w:rsidRPr="00AF621D" w:rsidR="002940CD">
        <w:rPr>
          <w:bCs/>
        </w:rPr>
        <w:t xml:space="preserve"> </w:t>
      </w:r>
      <w:r w:rsidRPr="00AF621D" w:rsidR="00044984">
        <w:t xml:space="preserve">These limits fall within the </w:t>
      </w:r>
      <w:r w:rsidRPr="00AF621D" w:rsidR="009F783C">
        <w:t>incentive</w:t>
      </w:r>
      <w:r w:rsidRPr="00AF621D" w:rsidR="00044984">
        <w:t xml:space="preserve"> amounts listed in NCI’s Generic Submission for Formative Research, Pretesting and Customer Satisfaction, OMB# (0925-0046) Expiration Date </w:t>
      </w:r>
      <w:r w:rsidRPr="00AF621D" w:rsidR="0070588C">
        <w:t>11/30/20</w:t>
      </w:r>
      <w:r w:rsidRPr="00AF621D" w:rsidR="00CE3259">
        <w:t>22</w:t>
      </w:r>
      <w:r w:rsidRPr="00AF621D" w:rsidR="00044984">
        <w:t xml:space="preserve"> (Generic SSA).</w:t>
      </w:r>
    </w:p>
    <w:p w:rsidR="00DF2D8B" w:rsidP="00DF2D8B" w:rsidRDefault="00DF2D8B" w14:paraId="2C4FD1DE" w14:textId="77777777">
      <w:pPr>
        <w:spacing w:after="20"/>
      </w:pPr>
    </w:p>
    <w:p w:rsidRPr="0003418B" w:rsidR="00CE68E2" w:rsidP="000C3337" w:rsidRDefault="00477A8E" w14:paraId="21FE7BDE" w14:textId="77777777">
      <w:pPr>
        <w:pStyle w:val="Heading2"/>
        <w:spacing w:before="0" w:line="276" w:lineRule="auto"/>
        <w:rPr>
          <w:rFonts w:ascii="Times New Roman" w:hAnsi="Times New Roman" w:cs="Times New Roman"/>
        </w:rPr>
      </w:pPr>
      <w:r w:rsidRPr="00300D34">
        <w:rPr>
          <w:rFonts w:ascii="Times New Roman" w:hAnsi="Times New Roman" w:cs="Times New Roman"/>
        </w:rPr>
        <w:lastRenderedPageBreak/>
        <w:t>A.10 Assurance of Confidentiality Provided to Respondents</w:t>
      </w:r>
    </w:p>
    <w:p w:rsidR="000C3337" w:rsidP="000C3337" w:rsidRDefault="00012983" w14:paraId="3AE2A6AD" w14:textId="77777777">
      <w:pPr>
        <w:spacing w:line="276" w:lineRule="auto"/>
      </w:pPr>
      <w:r w:rsidRPr="00300D34">
        <w:t>All information will be kept private to the extent permitted by law.</w:t>
      </w:r>
      <w:r w:rsidRPr="00300D34" w:rsidR="00522794">
        <w:t xml:space="preserve"> </w:t>
      </w:r>
      <w:r w:rsidRPr="00300D34">
        <w:t xml:space="preserve"> </w:t>
      </w:r>
    </w:p>
    <w:p w:rsidR="00D20A3A" w:rsidRDefault="00D20A3A" w14:paraId="45C4E077" w14:textId="543BB3F5">
      <w:pPr>
        <w:spacing w:after="200" w:line="276" w:lineRule="auto"/>
        <w:rPr>
          <w:b/>
        </w:rPr>
      </w:pPr>
    </w:p>
    <w:p w:rsidR="001D2741" w:rsidP="000C3337" w:rsidRDefault="0003418B" w14:paraId="2265E9A8" w14:textId="74FDC03D">
      <w:pPr>
        <w:spacing w:line="276" w:lineRule="auto"/>
        <w:rPr>
          <w:b/>
        </w:rPr>
      </w:pPr>
      <w:r w:rsidRPr="000C3337">
        <w:rPr>
          <w:b/>
        </w:rPr>
        <w:t>A</w:t>
      </w:r>
      <w:r w:rsidRPr="000C3337" w:rsidR="001D2741">
        <w:rPr>
          <w:b/>
        </w:rPr>
        <w:t>.11 Justification for Sensitive Questions</w:t>
      </w:r>
    </w:p>
    <w:p w:rsidRPr="000C3337" w:rsidR="00CE3259" w:rsidP="00CE3259" w:rsidRDefault="00CE3259" w14:paraId="1A9998AC" w14:textId="77777777">
      <w:pPr>
        <w:spacing w:line="276" w:lineRule="auto"/>
        <w:rPr>
          <w:b/>
        </w:rPr>
      </w:pPr>
    </w:p>
    <w:p w:rsidRPr="002940CD" w:rsidR="00CE3259" w:rsidP="002940CD" w:rsidRDefault="00CE3259" w14:paraId="65F246F9" w14:textId="26EC4D83">
      <w:pPr>
        <w:spacing w:after="20" w:line="276" w:lineRule="auto"/>
        <w:rPr>
          <w:rFonts w:eastAsia="SimSun"/>
        </w:rPr>
      </w:pPr>
      <w:r w:rsidRPr="00FC2A04">
        <w:rPr>
          <w:rFonts w:eastAsia="SimSun"/>
        </w:rPr>
        <w:t>No sensitive questions are contained in this information collection.  Personally Identifiable Information (PII) is collected including name</w:t>
      </w:r>
      <w:r w:rsidR="00A51C89">
        <w:rPr>
          <w:rFonts w:eastAsia="SimSun"/>
        </w:rPr>
        <w:t>, email address, phone number, title, organization, educational level, sex, age, and race/ethnicity</w:t>
      </w:r>
      <w:r w:rsidRPr="00FC2A04">
        <w:rPr>
          <w:rFonts w:eastAsia="SimSun"/>
        </w:rPr>
        <w:t>.  Federal regulations for the protection of human subjects do not apply to this activity.</w:t>
      </w:r>
    </w:p>
    <w:p w:rsidR="000C3337" w:rsidP="000C3337" w:rsidRDefault="000C3337" w14:paraId="30D7939C" w14:textId="77777777">
      <w:pPr>
        <w:pStyle w:val="Heading2"/>
        <w:spacing w:before="0" w:line="276" w:lineRule="auto"/>
        <w:rPr>
          <w:rFonts w:ascii="Times New Roman" w:hAnsi="Times New Roman" w:cs="Times New Roman"/>
        </w:rPr>
      </w:pPr>
    </w:p>
    <w:p w:rsidRPr="00DF0271" w:rsidR="003B3768" w:rsidP="000C3337" w:rsidRDefault="00907E64" w14:paraId="59469C31" w14:textId="77777777">
      <w:pPr>
        <w:pStyle w:val="Heading2"/>
        <w:spacing w:before="0" w:line="276" w:lineRule="auto"/>
        <w:rPr>
          <w:rFonts w:ascii="Times New Roman" w:hAnsi="Times New Roman" w:cs="Times New Roman"/>
        </w:rPr>
      </w:pPr>
      <w:r w:rsidRPr="00DF0271">
        <w:rPr>
          <w:rFonts w:ascii="Times New Roman" w:hAnsi="Times New Roman" w:cs="Times New Roman"/>
        </w:rPr>
        <w:t>A.12</w:t>
      </w:r>
      <w:r w:rsidRPr="00DF0271">
        <w:rPr>
          <w:rFonts w:ascii="Times New Roman" w:hAnsi="Times New Roman" w:cs="Times New Roman"/>
        </w:rPr>
        <w:tab/>
        <w:t>Estimated Annualiz</w:t>
      </w:r>
      <w:r w:rsidRPr="00DF0271" w:rsidR="003B3768">
        <w:rPr>
          <w:rFonts w:ascii="Times New Roman" w:hAnsi="Times New Roman" w:cs="Times New Roman"/>
        </w:rPr>
        <w:t>e</w:t>
      </w:r>
      <w:r w:rsidRPr="00DF0271">
        <w:rPr>
          <w:rFonts w:ascii="Times New Roman" w:hAnsi="Times New Roman" w:cs="Times New Roman"/>
        </w:rPr>
        <w:t>d Burden Hours</w:t>
      </w:r>
      <w:r w:rsidRPr="00DF0271" w:rsidR="007D6000">
        <w:rPr>
          <w:rFonts w:ascii="Times New Roman" w:hAnsi="Times New Roman" w:cs="Times New Roman"/>
        </w:rPr>
        <w:t xml:space="preserve"> and Cost to the Respondents</w:t>
      </w:r>
    </w:p>
    <w:p w:rsidRPr="00C46E42" w:rsidR="000C3337" w:rsidP="00C46E42" w:rsidRDefault="00301F98" w14:paraId="513E2473" w14:textId="3B4F41D4">
      <w:pPr>
        <w:pStyle w:val="Heading2"/>
        <w:spacing w:before="0" w:line="276" w:lineRule="auto"/>
        <w:rPr>
          <w:rFonts w:ascii="Times New Roman" w:hAnsi="Times New Roman" w:cs="Times New Roman"/>
          <w:b w:val="0"/>
        </w:rPr>
      </w:pPr>
      <w:r w:rsidRPr="005D2886">
        <w:rPr>
          <w:rFonts w:ascii="Times New Roman" w:hAnsi="Times New Roman" w:cs="Times New Roman"/>
          <w:b w:val="0"/>
        </w:rPr>
        <w:t xml:space="preserve">The estimated total number of respondents is </w:t>
      </w:r>
      <w:r w:rsidR="00314F45">
        <w:rPr>
          <w:rFonts w:ascii="Times New Roman" w:hAnsi="Times New Roman" w:cs="Times New Roman"/>
          <w:b w:val="0"/>
        </w:rPr>
        <w:t>1</w:t>
      </w:r>
      <w:bookmarkStart w:name="_GoBack" w:id="1"/>
      <w:bookmarkEnd w:id="1"/>
      <w:r w:rsidR="00C46E42">
        <w:rPr>
          <w:rFonts w:ascii="Times New Roman" w:hAnsi="Times New Roman" w:cs="Times New Roman"/>
          <w:b w:val="0"/>
        </w:rPr>
        <w:t>25</w:t>
      </w:r>
      <w:r w:rsidRPr="005D2886">
        <w:rPr>
          <w:rFonts w:ascii="Times New Roman" w:hAnsi="Times New Roman" w:cs="Times New Roman"/>
          <w:b w:val="0"/>
        </w:rPr>
        <w:t xml:space="preserve">. The instruments are broken up into </w:t>
      </w:r>
      <w:r w:rsidR="00C46E42">
        <w:rPr>
          <w:rFonts w:ascii="Times New Roman" w:hAnsi="Times New Roman" w:cs="Times New Roman"/>
          <w:b w:val="0"/>
        </w:rPr>
        <w:t xml:space="preserve">five business areas, each with 5 Respondents. </w:t>
      </w:r>
      <w:r w:rsidRPr="00C46E42">
        <w:rPr>
          <w:rFonts w:ascii="Times New Roman" w:hAnsi="Times New Roman" w:cs="Times New Roman"/>
          <w:b w:val="0"/>
        </w:rPr>
        <w:t xml:space="preserve">The </w:t>
      </w:r>
      <w:r w:rsidRPr="00C46E42" w:rsidR="00C46E42">
        <w:rPr>
          <w:rFonts w:ascii="Times New Roman" w:hAnsi="Times New Roman" w:cs="Times New Roman"/>
          <w:b w:val="0"/>
        </w:rPr>
        <w:t>interviews</w:t>
      </w:r>
      <w:r w:rsidRPr="00C46E42">
        <w:rPr>
          <w:rFonts w:ascii="Times New Roman" w:hAnsi="Times New Roman" w:cs="Times New Roman"/>
          <w:b w:val="0"/>
        </w:rPr>
        <w:t xml:space="preserve"> should take approximately </w:t>
      </w:r>
      <w:r w:rsidRPr="00C46E42" w:rsidR="00C46E42">
        <w:rPr>
          <w:rFonts w:ascii="Times New Roman" w:hAnsi="Times New Roman" w:cs="Times New Roman"/>
          <w:b w:val="0"/>
        </w:rPr>
        <w:t>60</w:t>
      </w:r>
      <w:r w:rsidRPr="00C46E42">
        <w:rPr>
          <w:rFonts w:ascii="Times New Roman" w:hAnsi="Times New Roman" w:cs="Times New Roman"/>
          <w:b w:val="0"/>
        </w:rPr>
        <w:t xml:space="preserve"> minutes to complete</w:t>
      </w:r>
      <w:r w:rsidRPr="00C46E42" w:rsidR="00C46E42">
        <w:rPr>
          <w:rFonts w:ascii="Times New Roman" w:hAnsi="Times New Roman" w:cs="Times New Roman"/>
          <w:b w:val="0"/>
        </w:rPr>
        <w:t xml:space="preserve">. </w:t>
      </w:r>
      <w:r w:rsidRPr="00C46E42">
        <w:rPr>
          <w:rFonts w:ascii="Times New Roman" w:hAnsi="Times New Roman" w:cs="Times New Roman"/>
          <w:b w:val="0"/>
        </w:rPr>
        <w:t xml:space="preserve">The total estimated burden hour included for this information collection is </w:t>
      </w:r>
      <w:r w:rsidR="00566207">
        <w:rPr>
          <w:rFonts w:ascii="Times New Roman" w:hAnsi="Times New Roman" w:cs="Times New Roman"/>
          <w:b w:val="0"/>
        </w:rPr>
        <w:t>33</w:t>
      </w:r>
      <w:r w:rsidRPr="00C46E42">
        <w:rPr>
          <w:rFonts w:ascii="Times New Roman" w:hAnsi="Times New Roman" w:cs="Times New Roman"/>
          <w:b w:val="0"/>
        </w:rPr>
        <w:t xml:space="preserve"> (Table A.12-1) and the cost to the respondents is estimated to be </w:t>
      </w:r>
      <w:r w:rsidRPr="00E475FA" w:rsidR="00C46E42">
        <w:rPr>
          <w:rFonts w:ascii="Times New Roman" w:hAnsi="Times New Roman" w:cs="Times New Roman"/>
        </w:rPr>
        <w:t>$</w:t>
      </w:r>
      <w:r w:rsidR="00AF621D">
        <w:rPr>
          <w:rFonts w:ascii="Times New Roman" w:hAnsi="Times New Roman" w:cs="Times New Roman"/>
        </w:rPr>
        <w:t>1,672.44</w:t>
      </w:r>
      <w:r w:rsidRPr="00C46E42" w:rsidR="00C46E42">
        <w:rPr>
          <w:rFonts w:ascii="Times New Roman" w:hAnsi="Times New Roman" w:cs="Times New Roman"/>
          <w:b w:val="0"/>
        </w:rPr>
        <w:t xml:space="preserve"> </w:t>
      </w:r>
      <w:r w:rsidRPr="00C46E42">
        <w:rPr>
          <w:rFonts w:ascii="Times New Roman" w:hAnsi="Times New Roman" w:cs="Times New Roman"/>
          <w:b w:val="0"/>
        </w:rPr>
        <w:t xml:space="preserve">(Table A.12-2). </w:t>
      </w:r>
    </w:p>
    <w:p w:rsidR="0070588C" w:rsidRDefault="0070588C" w14:paraId="30BBEF0B" w14:textId="16AA869D">
      <w:pPr>
        <w:spacing w:after="200" w:line="276" w:lineRule="auto"/>
        <w:rPr>
          <w:rFonts w:eastAsiaTheme="majorEastAsia"/>
          <w:b/>
          <w:bCs/>
        </w:rPr>
      </w:pPr>
    </w:p>
    <w:p w:rsidR="002F3354" w:rsidP="00433658" w:rsidRDefault="001D2741" w14:paraId="580920EC" w14:textId="092D7A5D">
      <w:pPr>
        <w:pStyle w:val="Heading3"/>
        <w:rPr>
          <w:rFonts w:ascii="Times New Roman" w:hAnsi="Times New Roman" w:cs="Times New Roman"/>
        </w:rPr>
      </w:pPr>
      <w:r w:rsidRPr="00300D34">
        <w:rPr>
          <w:rFonts w:ascii="Times New Roman" w:hAnsi="Times New Roman" w:cs="Times New Roman"/>
        </w:rPr>
        <w:t>A.12</w:t>
      </w:r>
      <w:r w:rsidRPr="00300D34" w:rsidR="00AF01AD">
        <w:rPr>
          <w:rFonts w:ascii="Times New Roman" w:hAnsi="Times New Roman" w:cs="Times New Roman"/>
        </w:rPr>
        <w:t>-1</w:t>
      </w:r>
      <w:r w:rsidRPr="00300D34">
        <w:rPr>
          <w:rFonts w:ascii="Times New Roman" w:hAnsi="Times New Roman" w:cs="Times New Roman"/>
        </w:rPr>
        <w:t xml:space="preserve"> Estimate</w:t>
      </w:r>
      <w:r w:rsidRPr="00300D34" w:rsidR="002F3354">
        <w:rPr>
          <w:rFonts w:ascii="Times New Roman" w:hAnsi="Times New Roman" w:cs="Times New Roman"/>
        </w:rPr>
        <w:t>d Annualized Burden Hours</w:t>
      </w:r>
    </w:p>
    <w:tbl>
      <w:tblPr>
        <w:tblW w:w="969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7"/>
        <w:gridCol w:w="1350"/>
        <w:gridCol w:w="1800"/>
        <w:gridCol w:w="1980"/>
        <w:gridCol w:w="1440"/>
      </w:tblGrid>
      <w:tr w:rsidRPr="0070588C" w:rsidR="0070588C" w:rsidTr="00E06A6B" w14:paraId="4A31A567" w14:textId="77777777">
        <w:trPr>
          <w:trHeight w:val="615"/>
        </w:trPr>
        <w:tc>
          <w:tcPr>
            <w:tcW w:w="3127" w:type="dxa"/>
            <w:vAlign w:val="center"/>
          </w:tcPr>
          <w:p w:rsidRPr="00E06A6B" w:rsidR="0070588C" w:rsidP="0070588C" w:rsidRDefault="0070588C" w14:paraId="7225DFD7" w14:textId="77777777">
            <w:pPr>
              <w:rPr>
                <w:bCs/>
                <w:sz w:val="22"/>
                <w:szCs w:val="22"/>
              </w:rPr>
            </w:pPr>
            <w:r w:rsidRPr="00E06A6B">
              <w:rPr>
                <w:bCs/>
                <w:sz w:val="22"/>
                <w:szCs w:val="22"/>
              </w:rPr>
              <w:t>Category of Respondent</w:t>
            </w:r>
          </w:p>
        </w:tc>
        <w:tc>
          <w:tcPr>
            <w:tcW w:w="1350" w:type="dxa"/>
            <w:vAlign w:val="center"/>
          </w:tcPr>
          <w:p w:rsidRPr="00E06A6B" w:rsidR="0070588C" w:rsidP="0070588C" w:rsidRDefault="0070588C" w14:paraId="32092A26" w14:textId="77777777">
            <w:pPr>
              <w:jc w:val="center"/>
              <w:rPr>
                <w:bCs/>
                <w:sz w:val="22"/>
                <w:szCs w:val="22"/>
              </w:rPr>
            </w:pPr>
            <w:r w:rsidRPr="00E06A6B">
              <w:rPr>
                <w:bCs/>
                <w:sz w:val="22"/>
                <w:szCs w:val="22"/>
              </w:rPr>
              <w:t>No. of Respondents</w:t>
            </w:r>
          </w:p>
        </w:tc>
        <w:tc>
          <w:tcPr>
            <w:tcW w:w="1800" w:type="dxa"/>
            <w:vAlign w:val="center"/>
          </w:tcPr>
          <w:p w:rsidRPr="00E06A6B" w:rsidR="0070588C" w:rsidP="0070588C" w:rsidRDefault="0070588C" w14:paraId="24A2D523" w14:textId="77777777">
            <w:pPr>
              <w:jc w:val="center"/>
              <w:rPr>
                <w:bCs/>
                <w:sz w:val="22"/>
                <w:szCs w:val="22"/>
              </w:rPr>
            </w:pPr>
            <w:r w:rsidRPr="00E06A6B">
              <w:rPr>
                <w:bCs/>
                <w:sz w:val="22"/>
                <w:szCs w:val="22"/>
              </w:rPr>
              <w:t>No. of Responses per Respondent</w:t>
            </w:r>
          </w:p>
        </w:tc>
        <w:tc>
          <w:tcPr>
            <w:tcW w:w="1980" w:type="dxa"/>
            <w:vAlign w:val="center"/>
          </w:tcPr>
          <w:p w:rsidRPr="00E06A6B" w:rsidR="0070588C" w:rsidP="0070588C" w:rsidRDefault="0070588C" w14:paraId="15D777AF" w14:textId="77777777">
            <w:pPr>
              <w:jc w:val="center"/>
              <w:rPr>
                <w:bCs/>
                <w:sz w:val="22"/>
                <w:szCs w:val="22"/>
              </w:rPr>
            </w:pPr>
            <w:r w:rsidRPr="00E06A6B">
              <w:rPr>
                <w:bCs/>
                <w:sz w:val="22"/>
                <w:szCs w:val="22"/>
              </w:rPr>
              <w:t>Time per Response</w:t>
            </w:r>
          </w:p>
          <w:p w:rsidRPr="00E06A6B" w:rsidR="0070588C" w:rsidP="0070588C" w:rsidRDefault="0070588C" w14:paraId="0617317F" w14:textId="77777777">
            <w:pPr>
              <w:jc w:val="center"/>
              <w:rPr>
                <w:bCs/>
                <w:sz w:val="22"/>
                <w:szCs w:val="22"/>
              </w:rPr>
            </w:pPr>
            <w:r w:rsidRPr="00E06A6B">
              <w:rPr>
                <w:bCs/>
                <w:sz w:val="22"/>
                <w:szCs w:val="22"/>
              </w:rPr>
              <w:t>(in hours)</w:t>
            </w:r>
          </w:p>
        </w:tc>
        <w:tc>
          <w:tcPr>
            <w:tcW w:w="1440" w:type="dxa"/>
            <w:vAlign w:val="center"/>
          </w:tcPr>
          <w:p w:rsidRPr="00E06A6B" w:rsidR="0070588C" w:rsidP="0070588C" w:rsidRDefault="0070588C" w14:paraId="42D27C19" w14:textId="77777777">
            <w:pPr>
              <w:jc w:val="center"/>
              <w:rPr>
                <w:bCs/>
                <w:sz w:val="22"/>
                <w:szCs w:val="22"/>
              </w:rPr>
            </w:pPr>
            <w:r w:rsidRPr="00E06A6B">
              <w:rPr>
                <w:bCs/>
                <w:sz w:val="22"/>
                <w:szCs w:val="22"/>
              </w:rPr>
              <w:t>Total Burden</w:t>
            </w:r>
          </w:p>
          <w:p w:rsidRPr="00E06A6B" w:rsidR="0070588C" w:rsidP="0070588C" w:rsidRDefault="0070588C" w14:paraId="1FEFB64F" w14:textId="77777777">
            <w:pPr>
              <w:jc w:val="center"/>
              <w:rPr>
                <w:bCs/>
                <w:sz w:val="22"/>
                <w:szCs w:val="22"/>
              </w:rPr>
            </w:pPr>
            <w:r w:rsidRPr="00E06A6B">
              <w:rPr>
                <w:bCs/>
                <w:sz w:val="22"/>
                <w:szCs w:val="22"/>
              </w:rPr>
              <w:t>Hours</w:t>
            </w:r>
          </w:p>
        </w:tc>
      </w:tr>
      <w:tr w:rsidRPr="0070588C" w:rsidR="0070588C" w:rsidTr="00E06A6B" w14:paraId="34B23EED" w14:textId="77777777">
        <w:trPr>
          <w:trHeight w:val="237"/>
        </w:trPr>
        <w:tc>
          <w:tcPr>
            <w:tcW w:w="3127" w:type="dxa"/>
          </w:tcPr>
          <w:p w:rsidRPr="00D8042A" w:rsidR="0070588C" w:rsidP="0070588C" w:rsidRDefault="00E06A6B" w14:paraId="6DA33CCD" w14:textId="6857B1AD">
            <w:pPr>
              <w:rPr>
                <w:bCs/>
                <w:sz w:val="22"/>
                <w:szCs w:val="22"/>
              </w:rPr>
            </w:pPr>
            <w:r w:rsidRPr="00D8042A">
              <w:rPr>
                <w:sz w:val="22"/>
                <w:szCs w:val="22"/>
              </w:rPr>
              <w:t xml:space="preserve">Individuals - </w:t>
            </w:r>
            <w:r w:rsidRPr="00D8042A" w:rsidR="0070588C">
              <w:rPr>
                <w:sz w:val="22"/>
                <w:szCs w:val="22"/>
              </w:rPr>
              <w:t xml:space="preserve">SBIR Prospects </w:t>
            </w:r>
            <w:r w:rsidRPr="00D8042A" w:rsidR="00D8042A">
              <w:rPr>
                <w:sz w:val="22"/>
                <w:szCs w:val="22"/>
              </w:rPr>
              <w:t>(Attachment 1)</w:t>
            </w:r>
          </w:p>
        </w:tc>
        <w:tc>
          <w:tcPr>
            <w:tcW w:w="1350" w:type="dxa"/>
            <w:vAlign w:val="center"/>
          </w:tcPr>
          <w:p w:rsidRPr="00E06A6B" w:rsidR="0070588C" w:rsidP="0070588C" w:rsidRDefault="0070588C" w14:paraId="2A608341" w14:textId="77777777">
            <w:pPr>
              <w:jc w:val="center"/>
              <w:rPr>
                <w:bCs/>
                <w:sz w:val="22"/>
                <w:szCs w:val="22"/>
              </w:rPr>
            </w:pPr>
            <w:r w:rsidRPr="00E06A6B">
              <w:rPr>
                <w:bCs/>
                <w:sz w:val="22"/>
                <w:szCs w:val="22"/>
              </w:rPr>
              <w:t>5</w:t>
            </w:r>
          </w:p>
        </w:tc>
        <w:tc>
          <w:tcPr>
            <w:tcW w:w="1800" w:type="dxa"/>
            <w:vAlign w:val="center"/>
          </w:tcPr>
          <w:p w:rsidRPr="00E06A6B" w:rsidR="0070588C" w:rsidP="0070588C" w:rsidRDefault="0070588C" w14:paraId="539814FA" w14:textId="77777777">
            <w:pPr>
              <w:jc w:val="center"/>
              <w:rPr>
                <w:bCs/>
                <w:sz w:val="22"/>
                <w:szCs w:val="22"/>
              </w:rPr>
            </w:pPr>
            <w:r w:rsidRPr="00E06A6B">
              <w:rPr>
                <w:bCs/>
                <w:sz w:val="22"/>
                <w:szCs w:val="22"/>
              </w:rPr>
              <w:t>1</w:t>
            </w:r>
          </w:p>
        </w:tc>
        <w:tc>
          <w:tcPr>
            <w:tcW w:w="1980" w:type="dxa"/>
            <w:vAlign w:val="center"/>
          </w:tcPr>
          <w:p w:rsidRPr="00E06A6B" w:rsidR="0070588C" w:rsidP="0070588C" w:rsidRDefault="0070588C" w14:paraId="0C6995C9" w14:textId="77777777">
            <w:pPr>
              <w:jc w:val="center"/>
              <w:rPr>
                <w:bCs/>
                <w:sz w:val="22"/>
                <w:szCs w:val="22"/>
              </w:rPr>
            </w:pPr>
            <w:r w:rsidRPr="00E06A6B">
              <w:rPr>
                <w:bCs/>
                <w:sz w:val="22"/>
                <w:szCs w:val="22"/>
              </w:rPr>
              <w:t>1</w:t>
            </w:r>
          </w:p>
        </w:tc>
        <w:tc>
          <w:tcPr>
            <w:tcW w:w="1440" w:type="dxa"/>
            <w:vAlign w:val="center"/>
          </w:tcPr>
          <w:p w:rsidRPr="00E06A6B" w:rsidR="0070588C" w:rsidP="0070588C" w:rsidRDefault="0070588C" w14:paraId="49A40720" w14:textId="77777777">
            <w:pPr>
              <w:jc w:val="center"/>
              <w:rPr>
                <w:bCs/>
                <w:sz w:val="22"/>
                <w:szCs w:val="22"/>
              </w:rPr>
            </w:pPr>
            <w:r w:rsidRPr="00E06A6B">
              <w:rPr>
                <w:bCs/>
                <w:sz w:val="22"/>
                <w:szCs w:val="22"/>
              </w:rPr>
              <w:t>5</w:t>
            </w:r>
          </w:p>
        </w:tc>
      </w:tr>
      <w:tr w:rsidRPr="0070588C" w:rsidR="0070588C" w:rsidTr="00E06A6B" w14:paraId="651251AD" w14:textId="77777777">
        <w:trPr>
          <w:trHeight w:val="237"/>
        </w:trPr>
        <w:tc>
          <w:tcPr>
            <w:tcW w:w="3127" w:type="dxa"/>
          </w:tcPr>
          <w:p w:rsidRPr="00D8042A" w:rsidR="0070588C" w:rsidP="0070588C" w:rsidRDefault="00E06A6B" w14:paraId="3524DDF2" w14:textId="3116A6BC">
            <w:pPr>
              <w:rPr>
                <w:sz w:val="22"/>
                <w:szCs w:val="22"/>
              </w:rPr>
            </w:pPr>
            <w:r w:rsidRPr="00D8042A">
              <w:rPr>
                <w:sz w:val="22"/>
                <w:szCs w:val="22"/>
              </w:rPr>
              <w:t xml:space="preserve">Individuals - </w:t>
            </w:r>
            <w:r w:rsidRPr="00D8042A" w:rsidR="0070588C">
              <w:rPr>
                <w:sz w:val="22"/>
                <w:szCs w:val="22"/>
              </w:rPr>
              <w:t xml:space="preserve">SBIR </w:t>
            </w:r>
            <w:r w:rsidR="00566207">
              <w:rPr>
                <w:sz w:val="22"/>
                <w:szCs w:val="22"/>
              </w:rPr>
              <w:t>Awardees</w:t>
            </w:r>
            <w:r w:rsidRPr="00D8042A" w:rsidR="0070588C">
              <w:rPr>
                <w:sz w:val="22"/>
                <w:szCs w:val="22"/>
              </w:rPr>
              <w:t xml:space="preserve"> </w:t>
            </w:r>
            <w:r w:rsidRPr="00D8042A" w:rsidR="00D8042A">
              <w:rPr>
                <w:sz w:val="22"/>
                <w:szCs w:val="22"/>
              </w:rPr>
              <w:t>(Attachment 1)</w:t>
            </w:r>
          </w:p>
        </w:tc>
        <w:tc>
          <w:tcPr>
            <w:tcW w:w="1350" w:type="dxa"/>
            <w:vAlign w:val="center"/>
          </w:tcPr>
          <w:p w:rsidRPr="00E06A6B" w:rsidR="0070588C" w:rsidP="0070588C" w:rsidRDefault="0070588C" w14:paraId="62634A34" w14:textId="77777777">
            <w:pPr>
              <w:jc w:val="center"/>
              <w:rPr>
                <w:bCs/>
                <w:sz w:val="22"/>
                <w:szCs w:val="22"/>
              </w:rPr>
            </w:pPr>
            <w:r w:rsidRPr="00E06A6B">
              <w:rPr>
                <w:bCs/>
                <w:sz w:val="22"/>
                <w:szCs w:val="22"/>
              </w:rPr>
              <w:t>5</w:t>
            </w:r>
          </w:p>
        </w:tc>
        <w:tc>
          <w:tcPr>
            <w:tcW w:w="1800" w:type="dxa"/>
            <w:vAlign w:val="center"/>
          </w:tcPr>
          <w:p w:rsidRPr="00E06A6B" w:rsidR="0070588C" w:rsidP="0070588C" w:rsidRDefault="0070588C" w14:paraId="16229D10" w14:textId="77777777">
            <w:pPr>
              <w:jc w:val="center"/>
              <w:rPr>
                <w:bCs/>
                <w:sz w:val="22"/>
                <w:szCs w:val="22"/>
              </w:rPr>
            </w:pPr>
            <w:r w:rsidRPr="00E06A6B">
              <w:rPr>
                <w:bCs/>
                <w:sz w:val="22"/>
                <w:szCs w:val="22"/>
              </w:rPr>
              <w:t>1</w:t>
            </w:r>
          </w:p>
        </w:tc>
        <w:tc>
          <w:tcPr>
            <w:tcW w:w="1980" w:type="dxa"/>
            <w:vAlign w:val="center"/>
          </w:tcPr>
          <w:p w:rsidRPr="00E06A6B" w:rsidR="0070588C" w:rsidP="0070588C" w:rsidRDefault="0070588C" w14:paraId="48F01F11" w14:textId="77777777">
            <w:pPr>
              <w:jc w:val="center"/>
              <w:rPr>
                <w:bCs/>
                <w:sz w:val="22"/>
                <w:szCs w:val="22"/>
              </w:rPr>
            </w:pPr>
            <w:r w:rsidRPr="00E06A6B">
              <w:rPr>
                <w:bCs/>
                <w:sz w:val="22"/>
                <w:szCs w:val="22"/>
              </w:rPr>
              <w:t>1</w:t>
            </w:r>
          </w:p>
        </w:tc>
        <w:tc>
          <w:tcPr>
            <w:tcW w:w="1440" w:type="dxa"/>
            <w:vAlign w:val="center"/>
          </w:tcPr>
          <w:p w:rsidRPr="00E06A6B" w:rsidR="0070588C" w:rsidP="0070588C" w:rsidRDefault="0070588C" w14:paraId="3EE4A81E" w14:textId="77777777">
            <w:pPr>
              <w:jc w:val="center"/>
              <w:rPr>
                <w:bCs/>
                <w:sz w:val="22"/>
                <w:szCs w:val="22"/>
              </w:rPr>
            </w:pPr>
            <w:r w:rsidRPr="00E06A6B">
              <w:rPr>
                <w:bCs/>
                <w:sz w:val="22"/>
                <w:szCs w:val="22"/>
              </w:rPr>
              <w:t>5</w:t>
            </w:r>
          </w:p>
        </w:tc>
      </w:tr>
      <w:tr w:rsidRPr="0070588C" w:rsidR="0070588C" w:rsidTr="00E06A6B" w14:paraId="341E2BA9" w14:textId="77777777">
        <w:trPr>
          <w:trHeight w:val="237"/>
        </w:trPr>
        <w:tc>
          <w:tcPr>
            <w:tcW w:w="3127" w:type="dxa"/>
          </w:tcPr>
          <w:p w:rsidRPr="00D8042A" w:rsidR="0070588C" w:rsidP="0070588C" w:rsidRDefault="00E06A6B" w14:paraId="0AD43E54" w14:textId="3D318DB8">
            <w:pPr>
              <w:rPr>
                <w:sz w:val="22"/>
                <w:szCs w:val="22"/>
              </w:rPr>
            </w:pPr>
            <w:r w:rsidRPr="00D8042A">
              <w:rPr>
                <w:sz w:val="22"/>
                <w:szCs w:val="22"/>
              </w:rPr>
              <w:t xml:space="preserve">Individuals </w:t>
            </w:r>
            <w:r w:rsidR="00566207">
              <w:rPr>
                <w:sz w:val="22"/>
                <w:szCs w:val="22"/>
              </w:rPr>
              <w:t>–</w:t>
            </w:r>
            <w:r w:rsidRPr="00D8042A">
              <w:rPr>
                <w:sz w:val="22"/>
                <w:szCs w:val="22"/>
              </w:rPr>
              <w:t xml:space="preserve"> </w:t>
            </w:r>
            <w:r w:rsidR="00566207">
              <w:rPr>
                <w:sz w:val="22"/>
                <w:szCs w:val="22"/>
              </w:rPr>
              <w:t>Investing Business Audience</w:t>
            </w:r>
            <w:r w:rsidRPr="00D8042A" w:rsidR="0070588C">
              <w:rPr>
                <w:sz w:val="22"/>
                <w:szCs w:val="22"/>
              </w:rPr>
              <w:t xml:space="preserve"> </w:t>
            </w:r>
            <w:r w:rsidRPr="00D8042A" w:rsidR="00D8042A">
              <w:rPr>
                <w:sz w:val="22"/>
                <w:szCs w:val="22"/>
              </w:rPr>
              <w:t>(Attachment 2)</w:t>
            </w:r>
          </w:p>
        </w:tc>
        <w:tc>
          <w:tcPr>
            <w:tcW w:w="1350" w:type="dxa"/>
            <w:vAlign w:val="center"/>
          </w:tcPr>
          <w:p w:rsidRPr="00E06A6B" w:rsidR="0070588C" w:rsidP="0070588C" w:rsidRDefault="0070588C" w14:paraId="0B67E640" w14:textId="77777777">
            <w:pPr>
              <w:jc w:val="center"/>
              <w:rPr>
                <w:bCs/>
                <w:sz w:val="22"/>
                <w:szCs w:val="22"/>
              </w:rPr>
            </w:pPr>
            <w:r w:rsidRPr="00E06A6B">
              <w:rPr>
                <w:bCs/>
                <w:sz w:val="22"/>
                <w:szCs w:val="22"/>
              </w:rPr>
              <w:t>5</w:t>
            </w:r>
          </w:p>
        </w:tc>
        <w:tc>
          <w:tcPr>
            <w:tcW w:w="1800" w:type="dxa"/>
            <w:vAlign w:val="center"/>
          </w:tcPr>
          <w:p w:rsidRPr="00E06A6B" w:rsidR="0070588C" w:rsidP="0070588C" w:rsidRDefault="0070588C" w14:paraId="2BF8CE89" w14:textId="77777777">
            <w:pPr>
              <w:jc w:val="center"/>
              <w:rPr>
                <w:bCs/>
                <w:sz w:val="22"/>
                <w:szCs w:val="22"/>
              </w:rPr>
            </w:pPr>
            <w:r w:rsidRPr="00E06A6B">
              <w:rPr>
                <w:bCs/>
                <w:sz w:val="22"/>
                <w:szCs w:val="22"/>
              </w:rPr>
              <w:t>1</w:t>
            </w:r>
          </w:p>
        </w:tc>
        <w:tc>
          <w:tcPr>
            <w:tcW w:w="1980" w:type="dxa"/>
            <w:vAlign w:val="center"/>
          </w:tcPr>
          <w:p w:rsidRPr="00E06A6B" w:rsidR="0070588C" w:rsidP="0070588C" w:rsidRDefault="0070588C" w14:paraId="03183AD6" w14:textId="77777777">
            <w:pPr>
              <w:jc w:val="center"/>
              <w:rPr>
                <w:bCs/>
                <w:sz w:val="22"/>
                <w:szCs w:val="22"/>
              </w:rPr>
            </w:pPr>
            <w:r w:rsidRPr="00E06A6B">
              <w:rPr>
                <w:bCs/>
                <w:sz w:val="22"/>
                <w:szCs w:val="22"/>
              </w:rPr>
              <w:t>1</w:t>
            </w:r>
          </w:p>
        </w:tc>
        <w:tc>
          <w:tcPr>
            <w:tcW w:w="1440" w:type="dxa"/>
            <w:vAlign w:val="center"/>
          </w:tcPr>
          <w:p w:rsidRPr="00E06A6B" w:rsidR="0070588C" w:rsidP="0070588C" w:rsidRDefault="0070588C" w14:paraId="5395C7C8" w14:textId="77777777">
            <w:pPr>
              <w:jc w:val="center"/>
              <w:rPr>
                <w:bCs/>
                <w:sz w:val="22"/>
                <w:szCs w:val="22"/>
              </w:rPr>
            </w:pPr>
            <w:r w:rsidRPr="00E06A6B">
              <w:rPr>
                <w:bCs/>
                <w:sz w:val="22"/>
                <w:szCs w:val="22"/>
              </w:rPr>
              <w:t>5</w:t>
            </w:r>
          </w:p>
        </w:tc>
      </w:tr>
      <w:tr w:rsidRPr="0070588C" w:rsidR="0070588C" w:rsidTr="00E06A6B" w14:paraId="72AA3344" w14:textId="77777777">
        <w:trPr>
          <w:trHeight w:val="237"/>
        </w:trPr>
        <w:tc>
          <w:tcPr>
            <w:tcW w:w="3127" w:type="dxa"/>
          </w:tcPr>
          <w:p w:rsidRPr="00D8042A" w:rsidR="0070588C" w:rsidP="0070588C" w:rsidRDefault="00E06A6B" w14:paraId="047DC15F" w14:textId="644F7D9B">
            <w:pPr>
              <w:rPr>
                <w:sz w:val="22"/>
                <w:szCs w:val="22"/>
              </w:rPr>
            </w:pPr>
            <w:r w:rsidRPr="00D8042A">
              <w:rPr>
                <w:sz w:val="22"/>
                <w:szCs w:val="22"/>
              </w:rPr>
              <w:t>Individuals -</w:t>
            </w:r>
            <w:r w:rsidRPr="00D8042A" w:rsidR="0070588C">
              <w:rPr>
                <w:sz w:val="22"/>
                <w:szCs w:val="22"/>
              </w:rPr>
              <w:t xml:space="preserve"> </w:t>
            </w:r>
            <w:r w:rsidR="00566207">
              <w:rPr>
                <w:sz w:val="22"/>
                <w:szCs w:val="22"/>
              </w:rPr>
              <w:t>C</w:t>
            </w:r>
            <w:r w:rsidRPr="00D8042A" w:rsidR="0070588C">
              <w:rPr>
                <w:sz w:val="22"/>
                <w:szCs w:val="22"/>
              </w:rPr>
              <w:t>o-</w:t>
            </w:r>
            <w:r w:rsidR="00566207">
              <w:rPr>
                <w:sz w:val="22"/>
                <w:szCs w:val="22"/>
              </w:rPr>
              <w:t>D</w:t>
            </w:r>
            <w:r w:rsidRPr="00D8042A" w:rsidR="0070588C">
              <w:rPr>
                <w:sz w:val="22"/>
                <w:szCs w:val="22"/>
              </w:rPr>
              <w:t xml:space="preserve">eveloping </w:t>
            </w:r>
            <w:r w:rsidR="00566207">
              <w:rPr>
                <w:sz w:val="22"/>
                <w:szCs w:val="22"/>
              </w:rPr>
              <w:t>and</w:t>
            </w:r>
            <w:r w:rsidRPr="00D8042A" w:rsidR="0070588C">
              <w:rPr>
                <w:sz w:val="22"/>
                <w:szCs w:val="22"/>
              </w:rPr>
              <w:t xml:space="preserve"> licensing </w:t>
            </w:r>
            <w:r w:rsidRPr="00D8042A" w:rsidR="00D8042A">
              <w:rPr>
                <w:sz w:val="22"/>
                <w:szCs w:val="22"/>
              </w:rPr>
              <w:t>(Attachment 3)</w:t>
            </w:r>
          </w:p>
        </w:tc>
        <w:tc>
          <w:tcPr>
            <w:tcW w:w="1350" w:type="dxa"/>
            <w:vAlign w:val="center"/>
          </w:tcPr>
          <w:p w:rsidRPr="00E06A6B" w:rsidR="0070588C" w:rsidP="0070588C" w:rsidRDefault="0070588C" w14:paraId="67701E38" w14:textId="77777777">
            <w:pPr>
              <w:jc w:val="center"/>
              <w:rPr>
                <w:bCs/>
                <w:sz w:val="22"/>
                <w:szCs w:val="22"/>
              </w:rPr>
            </w:pPr>
            <w:r w:rsidRPr="00E06A6B">
              <w:rPr>
                <w:bCs/>
                <w:sz w:val="22"/>
                <w:szCs w:val="22"/>
              </w:rPr>
              <w:t>5</w:t>
            </w:r>
          </w:p>
        </w:tc>
        <w:tc>
          <w:tcPr>
            <w:tcW w:w="1800" w:type="dxa"/>
            <w:vAlign w:val="center"/>
          </w:tcPr>
          <w:p w:rsidRPr="00E06A6B" w:rsidR="0070588C" w:rsidP="0070588C" w:rsidRDefault="0070588C" w14:paraId="534439D6" w14:textId="77777777">
            <w:pPr>
              <w:jc w:val="center"/>
              <w:rPr>
                <w:bCs/>
                <w:sz w:val="22"/>
                <w:szCs w:val="22"/>
              </w:rPr>
            </w:pPr>
            <w:r w:rsidRPr="00E06A6B">
              <w:rPr>
                <w:bCs/>
                <w:sz w:val="22"/>
                <w:szCs w:val="22"/>
              </w:rPr>
              <w:t>1</w:t>
            </w:r>
          </w:p>
        </w:tc>
        <w:tc>
          <w:tcPr>
            <w:tcW w:w="1980" w:type="dxa"/>
            <w:vAlign w:val="center"/>
          </w:tcPr>
          <w:p w:rsidRPr="00E06A6B" w:rsidR="0070588C" w:rsidP="0070588C" w:rsidRDefault="0070588C" w14:paraId="7B6BAB5E" w14:textId="77777777">
            <w:pPr>
              <w:jc w:val="center"/>
              <w:rPr>
                <w:bCs/>
                <w:sz w:val="22"/>
                <w:szCs w:val="22"/>
              </w:rPr>
            </w:pPr>
            <w:r w:rsidRPr="00E06A6B">
              <w:rPr>
                <w:bCs/>
                <w:sz w:val="22"/>
                <w:szCs w:val="22"/>
              </w:rPr>
              <w:t>1</w:t>
            </w:r>
          </w:p>
        </w:tc>
        <w:tc>
          <w:tcPr>
            <w:tcW w:w="1440" w:type="dxa"/>
            <w:vAlign w:val="center"/>
          </w:tcPr>
          <w:p w:rsidRPr="00E06A6B" w:rsidR="0070588C" w:rsidP="0070588C" w:rsidRDefault="0070588C" w14:paraId="6C9A332D" w14:textId="77777777">
            <w:pPr>
              <w:jc w:val="center"/>
              <w:rPr>
                <w:bCs/>
                <w:sz w:val="22"/>
                <w:szCs w:val="22"/>
              </w:rPr>
            </w:pPr>
            <w:r w:rsidRPr="00E06A6B">
              <w:rPr>
                <w:bCs/>
                <w:sz w:val="22"/>
                <w:szCs w:val="22"/>
              </w:rPr>
              <w:t>5</w:t>
            </w:r>
          </w:p>
        </w:tc>
      </w:tr>
      <w:tr w:rsidRPr="0070588C" w:rsidR="0070588C" w:rsidTr="00E06A6B" w14:paraId="3477579B" w14:textId="77777777">
        <w:trPr>
          <w:trHeight w:val="237"/>
        </w:trPr>
        <w:tc>
          <w:tcPr>
            <w:tcW w:w="3127" w:type="dxa"/>
          </w:tcPr>
          <w:p w:rsidRPr="00D8042A" w:rsidR="0070588C" w:rsidP="0070588C" w:rsidRDefault="00E06A6B" w14:paraId="067DA387" w14:textId="5553333D">
            <w:pPr>
              <w:rPr>
                <w:sz w:val="22"/>
                <w:szCs w:val="22"/>
              </w:rPr>
            </w:pPr>
            <w:r w:rsidRPr="00D8042A">
              <w:rPr>
                <w:sz w:val="22"/>
                <w:szCs w:val="22"/>
              </w:rPr>
              <w:t xml:space="preserve">Individuals - </w:t>
            </w:r>
            <w:r w:rsidRPr="00D8042A" w:rsidR="0070588C">
              <w:rPr>
                <w:sz w:val="22"/>
                <w:szCs w:val="22"/>
              </w:rPr>
              <w:t xml:space="preserve">Intramural </w:t>
            </w:r>
            <w:r w:rsidR="00566207">
              <w:rPr>
                <w:sz w:val="22"/>
                <w:szCs w:val="22"/>
              </w:rPr>
              <w:t>R</w:t>
            </w:r>
            <w:r w:rsidRPr="00D8042A" w:rsidR="0070588C">
              <w:rPr>
                <w:sz w:val="22"/>
                <w:szCs w:val="22"/>
              </w:rPr>
              <w:t xml:space="preserve">esearchers </w:t>
            </w:r>
            <w:r w:rsidRPr="00D8042A" w:rsidR="00D8042A">
              <w:rPr>
                <w:sz w:val="22"/>
                <w:szCs w:val="22"/>
              </w:rPr>
              <w:t>(Attachment 4)</w:t>
            </w:r>
          </w:p>
        </w:tc>
        <w:tc>
          <w:tcPr>
            <w:tcW w:w="1350" w:type="dxa"/>
            <w:vAlign w:val="center"/>
          </w:tcPr>
          <w:p w:rsidRPr="00E06A6B" w:rsidR="0070588C" w:rsidP="0070588C" w:rsidRDefault="0070588C" w14:paraId="1CF73435" w14:textId="77777777">
            <w:pPr>
              <w:jc w:val="center"/>
              <w:rPr>
                <w:bCs/>
                <w:sz w:val="22"/>
                <w:szCs w:val="22"/>
              </w:rPr>
            </w:pPr>
            <w:r w:rsidRPr="00E06A6B">
              <w:rPr>
                <w:bCs/>
                <w:sz w:val="22"/>
                <w:szCs w:val="22"/>
              </w:rPr>
              <w:t>5</w:t>
            </w:r>
          </w:p>
        </w:tc>
        <w:tc>
          <w:tcPr>
            <w:tcW w:w="1800" w:type="dxa"/>
            <w:vAlign w:val="center"/>
          </w:tcPr>
          <w:p w:rsidRPr="00E06A6B" w:rsidR="0070588C" w:rsidP="0070588C" w:rsidRDefault="0070588C" w14:paraId="529A97A4" w14:textId="77777777">
            <w:pPr>
              <w:jc w:val="center"/>
              <w:rPr>
                <w:bCs/>
                <w:sz w:val="22"/>
                <w:szCs w:val="22"/>
              </w:rPr>
            </w:pPr>
            <w:r w:rsidRPr="00E06A6B">
              <w:rPr>
                <w:bCs/>
                <w:sz w:val="22"/>
                <w:szCs w:val="22"/>
              </w:rPr>
              <w:t>1</w:t>
            </w:r>
          </w:p>
        </w:tc>
        <w:tc>
          <w:tcPr>
            <w:tcW w:w="1980" w:type="dxa"/>
            <w:vAlign w:val="center"/>
          </w:tcPr>
          <w:p w:rsidRPr="00E06A6B" w:rsidR="0070588C" w:rsidP="0070588C" w:rsidRDefault="0070588C" w14:paraId="0FB845DF" w14:textId="77777777">
            <w:pPr>
              <w:jc w:val="center"/>
              <w:rPr>
                <w:bCs/>
                <w:sz w:val="22"/>
                <w:szCs w:val="22"/>
              </w:rPr>
            </w:pPr>
            <w:r w:rsidRPr="00E06A6B">
              <w:rPr>
                <w:bCs/>
                <w:sz w:val="22"/>
                <w:szCs w:val="22"/>
              </w:rPr>
              <w:t>1</w:t>
            </w:r>
          </w:p>
        </w:tc>
        <w:tc>
          <w:tcPr>
            <w:tcW w:w="1440" w:type="dxa"/>
            <w:vAlign w:val="center"/>
          </w:tcPr>
          <w:p w:rsidRPr="00E06A6B" w:rsidR="0070588C" w:rsidP="0070588C" w:rsidRDefault="0070588C" w14:paraId="2B5D46F1" w14:textId="77777777">
            <w:pPr>
              <w:jc w:val="center"/>
              <w:rPr>
                <w:bCs/>
                <w:sz w:val="22"/>
                <w:szCs w:val="22"/>
              </w:rPr>
            </w:pPr>
            <w:r w:rsidRPr="00E06A6B">
              <w:rPr>
                <w:bCs/>
                <w:sz w:val="22"/>
                <w:szCs w:val="22"/>
              </w:rPr>
              <w:t>5</w:t>
            </w:r>
          </w:p>
        </w:tc>
      </w:tr>
      <w:tr w:rsidRPr="0070588C" w:rsidR="00E06A6B" w:rsidTr="00E06A6B" w14:paraId="7C7CC340" w14:textId="77777777">
        <w:trPr>
          <w:trHeight w:val="237"/>
        </w:trPr>
        <w:tc>
          <w:tcPr>
            <w:tcW w:w="3127" w:type="dxa"/>
          </w:tcPr>
          <w:p w:rsidRPr="00AF621D" w:rsidR="00E06A6B" w:rsidP="0070588C" w:rsidRDefault="00E06A6B" w14:paraId="1661FAD9" w14:textId="4DC9AA28">
            <w:pPr>
              <w:rPr>
                <w:sz w:val="22"/>
                <w:szCs w:val="22"/>
              </w:rPr>
            </w:pPr>
            <w:r w:rsidRPr="00AF621D">
              <w:rPr>
                <w:sz w:val="22"/>
                <w:szCs w:val="22"/>
              </w:rPr>
              <w:t xml:space="preserve">Individuals - </w:t>
            </w:r>
            <w:r w:rsidR="00AB7C36">
              <w:rPr>
                <w:sz w:val="22"/>
                <w:szCs w:val="22"/>
              </w:rPr>
              <w:t>Questionnaire</w:t>
            </w:r>
          </w:p>
        </w:tc>
        <w:tc>
          <w:tcPr>
            <w:tcW w:w="1350" w:type="dxa"/>
            <w:vAlign w:val="center"/>
          </w:tcPr>
          <w:p w:rsidRPr="00AF621D" w:rsidR="00E06A6B" w:rsidP="0070588C" w:rsidRDefault="00AF621D" w14:paraId="47E10B22" w14:textId="66D623F0">
            <w:pPr>
              <w:jc w:val="center"/>
              <w:rPr>
                <w:bCs/>
                <w:sz w:val="22"/>
                <w:szCs w:val="22"/>
              </w:rPr>
            </w:pPr>
            <w:r w:rsidRPr="00AF621D">
              <w:rPr>
                <w:bCs/>
                <w:sz w:val="22"/>
                <w:szCs w:val="22"/>
              </w:rPr>
              <w:t>100</w:t>
            </w:r>
          </w:p>
        </w:tc>
        <w:tc>
          <w:tcPr>
            <w:tcW w:w="1800" w:type="dxa"/>
            <w:vAlign w:val="center"/>
          </w:tcPr>
          <w:p w:rsidRPr="00AF621D" w:rsidR="00E06A6B" w:rsidP="0070588C" w:rsidRDefault="00AF621D" w14:paraId="1F74E8F3" w14:textId="4F8B98DF">
            <w:pPr>
              <w:jc w:val="center"/>
              <w:rPr>
                <w:bCs/>
                <w:sz w:val="22"/>
                <w:szCs w:val="22"/>
              </w:rPr>
            </w:pPr>
            <w:r w:rsidRPr="00AF621D">
              <w:rPr>
                <w:bCs/>
                <w:sz w:val="22"/>
                <w:szCs w:val="22"/>
              </w:rPr>
              <w:t>1</w:t>
            </w:r>
          </w:p>
        </w:tc>
        <w:tc>
          <w:tcPr>
            <w:tcW w:w="1980" w:type="dxa"/>
            <w:vAlign w:val="center"/>
          </w:tcPr>
          <w:p w:rsidRPr="00AF621D" w:rsidR="00E06A6B" w:rsidP="0070588C" w:rsidRDefault="00AF621D" w14:paraId="631984B2" w14:textId="13330BEC">
            <w:pPr>
              <w:jc w:val="center"/>
              <w:rPr>
                <w:bCs/>
                <w:sz w:val="22"/>
                <w:szCs w:val="22"/>
              </w:rPr>
            </w:pPr>
            <w:r w:rsidRPr="00AF621D">
              <w:rPr>
                <w:bCs/>
                <w:sz w:val="22"/>
                <w:szCs w:val="22"/>
              </w:rPr>
              <w:t>5/60</w:t>
            </w:r>
          </w:p>
        </w:tc>
        <w:tc>
          <w:tcPr>
            <w:tcW w:w="1440" w:type="dxa"/>
            <w:vAlign w:val="center"/>
          </w:tcPr>
          <w:p w:rsidRPr="00AF621D" w:rsidR="00E06A6B" w:rsidP="0070588C" w:rsidRDefault="00AF621D" w14:paraId="6504995F" w14:textId="1477A279">
            <w:pPr>
              <w:jc w:val="center"/>
              <w:rPr>
                <w:bCs/>
                <w:sz w:val="22"/>
                <w:szCs w:val="22"/>
              </w:rPr>
            </w:pPr>
            <w:r>
              <w:rPr>
                <w:bCs/>
                <w:sz w:val="22"/>
                <w:szCs w:val="22"/>
              </w:rPr>
              <w:t>8</w:t>
            </w:r>
          </w:p>
        </w:tc>
      </w:tr>
      <w:tr w:rsidRPr="0070588C" w:rsidR="0070588C" w:rsidTr="00E06A6B" w14:paraId="33E712BE" w14:textId="77777777">
        <w:trPr>
          <w:trHeight w:val="263"/>
        </w:trPr>
        <w:tc>
          <w:tcPr>
            <w:tcW w:w="3127" w:type="dxa"/>
            <w:vAlign w:val="center"/>
          </w:tcPr>
          <w:p w:rsidRPr="00E06A6B" w:rsidR="0070588C" w:rsidP="0070588C" w:rsidRDefault="0070588C" w14:paraId="616896CB" w14:textId="77777777">
            <w:pPr>
              <w:rPr>
                <w:b/>
                <w:bCs/>
                <w:sz w:val="22"/>
                <w:szCs w:val="22"/>
              </w:rPr>
            </w:pPr>
            <w:r w:rsidRPr="00E06A6B">
              <w:rPr>
                <w:b/>
                <w:bCs/>
                <w:sz w:val="22"/>
                <w:szCs w:val="22"/>
              </w:rPr>
              <w:t>Totals</w:t>
            </w:r>
          </w:p>
        </w:tc>
        <w:tc>
          <w:tcPr>
            <w:tcW w:w="1350" w:type="dxa"/>
            <w:vAlign w:val="center"/>
          </w:tcPr>
          <w:p w:rsidRPr="00E06A6B" w:rsidR="0070588C" w:rsidP="0070588C" w:rsidRDefault="0070588C" w14:paraId="046DE083" w14:textId="14BA30D8">
            <w:pPr>
              <w:jc w:val="center"/>
              <w:rPr>
                <w:b/>
                <w:bCs/>
                <w:sz w:val="22"/>
                <w:szCs w:val="22"/>
              </w:rPr>
            </w:pPr>
          </w:p>
        </w:tc>
        <w:tc>
          <w:tcPr>
            <w:tcW w:w="1800" w:type="dxa"/>
            <w:vAlign w:val="center"/>
          </w:tcPr>
          <w:p w:rsidRPr="00E06A6B" w:rsidR="0070588C" w:rsidP="0070588C" w:rsidRDefault="00793277" w14:paraId="064AB140" w14:textId="60A26BBA">
            <w:pPr>
              <w:jc w:val="center"/>
              <w:rPr>
                <w:b/>
                <w:bCs/>
                <w:sz w:val="22"/>
                <w:szCs w:val="22"/>
              </w:rPr>
            </w:pPr>
            <w:r>
              <w:rPr>
                <w:b/>
                <w:bCs/>
                <w:sz w:val="22"/>
                <w:szCs w:val="22"/>
              </w:rPr>
              <w:t>125</w:t>
            </w:r>
          </w:p>
        </w:tc>
        <w:tc>
          <w:tcPr>
            <w:tcW w:w="1980" w:type="dxa"/>
            <w:vAlign w:val="center"/>
          </w:tcPr>
          <w:p w:rsidRPr="00E06A6B" w:rsidR="0070588C" w:rsidP="0070588C" w:rsidRDefault="0070588C" w14:paraId="7A7E8571" w14:textId="45F0932E">
            <w:pPr>
              <w:jc w:val="center"/>
              <w:rPr>
                <w:bCs/>
                <w:sz w:val="22"/>
                <w:szCs w:val="22"/>
              </w:rPr>
            </w:pPr>
          </w:p>
        </w:tc>
        <w:tc>
          <w:tcPr>
            <w:tcW w:w="1440" w:type="dxa"/>
            <w:vAlign w:val="center"/>
          </w:tcPr>
          <w:p w:rsidRPr="00E06A6B" w:rsidR="0070588C" w:rsidP="0070588C" w:rsidRDefault="00AF621D" w14:paraId="62D22BCC" w14:textId="60F88995">
            <w:pPr>
              <w:jc w:val="center"/>
              <w:rPr>
                <w:b/>
                <w:bCs/>
                <w:sz w:val="22"/>
                <w:szCs w:val="22"/>
              </w:rPr>
            </w:pPr>
            <w:r>
              <w:rPr>
                <w:b/>
                <w:bCs/>
                <w:sz w:val="22"/>
                <w:szCs w:val="22"/>
              </w:rPr>
              <w:t>33</w:t>
            </w:r>
          </w:p>
        </w:tc>
      </w:tr>
    </w:tbl>
    <w:p w:rsidR="002940CD" w:rsidRDefault="002940CD" w14:paraId="70630D5B" w14:textId="63930B81">
      <w:pPr>
        <w:spacing w:after="200" w:line="276" w:lineRule="auto"/>
        <w:rPr>
          <w:rFonts w:eastAsiaTheme="majorEastAsia"/>
          <w:b/>
          <w:bCs/>
        </w:rPr>
      </w:pPr>
    </w:p>
    <w:p w:rsidR="00911E2D" w:rsidRDefault="002940CD" w14:paraId="3F1D56AD" w14:textId="3110CF1D">
      <w:pPr>
        <w:spacing w:after="200" w:line="276" w:lineRule="auto"/>
        <w:rPr>
          <w:rFonts w:eastAsiaTheme="majorEastAsia"/>
          <w:b/>
          <w:bCs/>
        </w:rPr>
      </w:pPr>
      <w:r>
        <w:rPr>
          <w:rFonts w:eastAsiaTheme="majorEastAsia"/>
          <w:b/>
          <w:bCs/>
        </w:rPr>
        <w:br w:type="page"/>
      </w:r>
    </w:p>
    <w:p w:rsidR="002F3354" w:rsidP="00C05DA0" w:rsidRDefault="00AF01AD" w14:paraId="23044C87" w14:textId="146C3CED">
      <w:pPr>
        <w:pStyle w:val="Heading3"/>
        <w:rPr>
          <w:rFonts w:ascii="Times New Roman" w:hAnsi="Times New Roman" w:cs="Times New Roman"/>
        </w:rPr>
      </w:pPr>
      <w:r w:rsidRPr="00300D34">
        <w:rPr>
          <w:rFonts w:ascii="Times New Roman" w:hAnsi="Times New Roman" w:cs="Times New Roman"/>
        </w:rPr>
        <w:lastRenderedPageBreak/>
        <w:t>A.12-2</w:t>
      </w:r>
      <w:r w:rsidRPr="00300D34" w:rsidR="002F3354">
        <w:rPr>
          <w:rFonts w:ascii="Times New Roman" w:hAnsi="Times New Roman" w:cs="Times New Roman"/>
        </w:rPr>
        <w:t xml:space="preserve"> Annualized Cost to the Respondent</w:t>
      </w:r>
      <w:r w:rsidRPr="00300D34" w:rsidR="3AC23FAF">
        <w:rPr>
          <w:rFonts w:ascii="Times New Roman" w:hAnsi="Times New Roman" w:cs="Times New Roman"/>
        </w:rPr>
        <w: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87"/>
        <w:gridCol w:w="2610"/>
        <w:gridCol w:w="2250"/>
        <w:gridCol w:w="1890"/>
      </w:tblGrid>
      <w:tr w:rsidRPr="00E05C6B" w:rsidR="0070588C" w:rsidTr="00893B6A" w14:paraId="078F581F" w14:textId="77777777">
        <w:trPr>
          <w:trHeight w:val="274"/>
        </w:trPr>
        <w:tc>
          <w:tcPr>
            <w:tcW w:w="2587" w:type="dxa"/>
            <w:vAlign w:val="center"/>
          </w:tcPr>
          <w:p w:rsidRPr="00895FB9" w:rsidR="0070588C" w:rsidP="00893B6A" w:rsidRDefault="0070588C" w14:paraId="3E98A4CA" w14:textId="77777777">
            <w:pPr>
              <w:jc w:val="center"/>
              <w:rPr>
                <w:bCs/>
                <w:sz w:val="22"/>
                <w:szCs w:val="22"/>
                <w:lang w:eastAsia="zh-CN"/>
              </w:rPr>
            </w:pPr>
            <w:r w:rsidRPr="00895FB9">
              <w:rPr>
                <w:bCs/>
                <w:sz w:val="22"/>
                <w:szCs w:val="22"/>
                <w:lang w:eastAsia="zh-CN"/>
              </w:rPr>
              <w:t>Category of Respondent</w:t>
            </w:r>
          </w:p>
        </w:tc>
        <w:tc>
          <w:tcPr>
            <w:tcW w:w="2610" w:type="dxa"/>
            <w:vAlign w:val="center"/>
          </w:tcPr>
          <w:p w:rsidRPr="00895FB9" w:rsidR="0070588C" w:rsidP="00893B6A" w:rsidRDefault="0070588C" w14:paraId="00F6B09B" w14:textId="77777777">
            <w:pPr>
              <w:jc w:val="center"/>
              <w:rPr>
                <w:bCs/>
                <w:sz w:val="22"/>
                <w:szCs w:val="22"/>
                <w:lang w:eastAsia="zh-CN"/>
              </w:rPr>
            </w:pPr>
            <w:r w:rsidRPr="00895FB9">
              <w:rPr>
                <w:bCs/>
                <w:sz w:val="22"/>
                <w:szCs w:val="22"/>
                <w:lang w:eastAsia="zh-CN"/>
              </w:rPr>
              <w:t>Total Burden Hours</w:t>
            </w:r>
          </w:p>
        </w:tc>
        <w:tc>
          <w:tcPr>
            <w:tcW w:w="2250" w:type="dxa"/>
            <w:vAlign w:val="center"/>
          </w:tcPr>
          <w:p w:rsidRPr="00895FB9" w:rsidR="0070588C" w:rsidP="00893B6A" w:rsidRDefault="0070588C" w14:paraId="12E1C7E9" w14:textId="77777777">
            <w:pPr>
              <w:jc w:val="center"/>
              <w:rPr>
                <w:bCs/>
                <w:sz w:val="22"/>
                <w:szCs w:val="22"/>
                <w:lang w:eastAsia="zh-CN"/>
              </w:rPr>
            </w:pPr>
            <w:r w:rsidRPr="00895FB9">
              <w:rPr>
                <w:bCs/>
                <w:sz w:val="22"/>
                <w:szCs w:val="22"/>
                <w:lang w:eastAsia="zh-CN"/>
              </w:rPr>
              <w:t>Hourly Wage Rate*</w:t>
            </w:r>
          </w:p>
        </w:tc>
        <w:tc>
          <w:tcPr>
            <w:tcW w:w="1890" w:type="dxa"/>
            <w:vAlign w:val="center"/>
          </w:tcPr>
          <w:p w:rsidRPr="00895FB9" w:rsidR="0070588C" w:rsidP="00893B6A" w:rsidRDefault="0070588C" w14:paraId="7ABEDF74" w14:textId="77777777">
            <w:pPr>
              <w:jc w:val="center"/>
              <w:rPr>
                <w:bCs/>
                <w:sz w:val="22"/>
                <w:szCs w:val="22"/>
                <w:lang w:eastAsia="zh-CN"/>
              </w:rPr>
            </w:pPr>
            <w:r w:rsidRPr="00895FB9">
              <w:rPr>
                <w:bCs/>
                <w:sz w:val="22"/>
                <w:szCs w:val="22"/>
                <w:lang w:eastAsia="zh-CN"/>
              </w:rPr>
              <w:t>Total Burden Cost</w:t>
            </w:r>
          </w:p>
        </w:tc>
      </w:tr>
      <w:tr w:rsidRPr="00E05C6B" w:rsidR="0070588C" w:rsidTr="00893B6A" w14:paraId="04CC696A" w14:textId="77777777">
        <w:trPr>
          <w:trHeight w:val="260"/>
        </w:trPr>
        <w:tc>
          <w:tcPr>
            <w:tcW w:w="2587" w:type="dxa"/>
          </w:tcPr>
          <w:p w:rsidRPr="00895FB9" w:rsidR="0070588C" w:rsidP="00893B6A" w:rsidRDefault="00E06A6B" w14:paraId="21345995" w14:textId="68EF701F">
            <w:pPr>
              <w:rPr>
                <w:bCs/>
                <w:sz w:val="22"/>
                <w:szCs w:val="22"/>
                <w:lang w:eastAsia="zh-CN"/>
              </w:rPr>
            </w:pPr>
            <w:r>
              <w:rPr>
                <w:sz w:val="22"/>
                <w:szCs w:val="22"/>
              </w:rPr>
              <w:t xml:space="preserve">Individuals - </w:t>
            </w:r>
            <w:r w:rsidRPr="00895FB9" w:rsidR="0070588C">
              <w:rPr>
                <w:sz w:val="22"/>
                <w:szCs w:val="22"/>
              </w:rPr>
              <w:t>Medical Scientists (all categories above)</w:t>
            </w:r>
          </w:p>
        </w:tc>
        <w:tc>
          <w:tcPr>
            <w:tcW w:w="2610" w:type="dxa"/>
            <w:vAlign w:val="center"/>
          </w:tcPr>
          <w:p w:rsidRPr="00895FB9" w:rsidR="0070588C" w:rsidP="00893B6A" w:rsidRDefault="00AF621D" w14:paraId="705D6512" w14:textId="513A364B">
            <w:pPr>
              <w:jc w:val="center"/>
              <w:rPr>
                <w:bCs/>
                <w:sz w:val="22"/>
                <w:szCs w:val="22"/>
                <w:lang w:eastAsia="zh-CN"/>
              </w:rPr>
            </w:pPr>
            <w:r>
              <w:rPr>
                <w:bCs/>
                <w:sz w:val="22"/>
                <w:szCs w:val="22"/>
                <w:lang w:eastAsia="zh-CN"/>
              </w:rPr>
              <w:t>33</w:t>
            </w:r>
          </w:p>
        </w:tc>
        <w:tc>
          <w:tcPr>
            <w:tcW w:w="2250" w:type="dxa"/>
            <w:vAlign w:val="center"/>
          </w:tcPr>
          <w:p w:rsidRPr="00895FB9" w:rsidR="0070588C" w:rsidP="00893B6A" w:rsidRDefault="0070588C" w14:paraId="49FB495E" w14:textId="77777777">
            <w:pPr>
              <w:jc w:val="center"/>
              <w:rPr>
                <w:bCs/>
                <w:sz w:val="22"/>
                <w:szCs w:val="22"/>
                <w:lang w:eastAsia="zh-CN"/>
              </w:rPr>
            </w:pPr>
            <w:r w:rsidRPr="00895FB9">
              <w:rPr>
                <w:bCs/>
                <w:sz w:val="22"/>
                <w:szCs w:val="22"/>
                <w:lang w:eastAsia="zh-CN"/>
              </w:rPr>
              <w:t>$50.68</w:t>
            </w:r>
          </w:p>
        </w:tc>
        <w:tc>
          <w:tcPr>
            <w:tcW w:w="1890" w:type="dxa"/>
            <w:vAlign w:val="center"/>
          </w:tcPr>
          <w:p w:rsidRPr="00895FB9" w:rsidR="0070588C" w:rsidP="00893B6A" w:rsidRDefault="0070588C" w14:paraId="483A6F4B" w14:textId="7D3A8407">
            <w:pPr>
              <w:jc w:val="center"/>
              <w:rPr>
                <w:bCs/>
                <w:sz w:val="22"/>
                <w:szCs w:val="22"/>
                <w:lang w:eastAsia="zh-CN"/>
              </w:rPr>
            </w:pPr>
            <w:r w:rsidRPr="00895FB9">
              <w:rPr>
                <w:bCs/>
                <w:sz w:val="22"/>
                <w:szCs w:val="22"/>
                <w:lang w:eastAsia="zh-CN"/>
              </w:rPr>
              <w:t>$1,</w:t>
            </w:r>
            <w:r w:rsidR="00AF621D">
              <w:rPr>
                <w:bCs/>
                <w:sz w:val="22"/>
                <w:szCs w:val="22"/>
                <w:lang w:eastAsia="zh-CN"/>
              </w:rPr>
              <w:t>672.44</w:t>
            </w:r>
          </w:p>
        </w:tc>
      </w:tr>
      <w:tr w:rsidRPr="00E05C6B" w:rsidR="0070588C" w:rsidTr="00893B6A" w14:paraId="11DDF95E" w14:textId="77777777">
        <w:trPr>
          <w:trHeight w:val="289"/>
        </w:trPr>
        <w:tc>
          <w:tcPr>
            <w:tcW w:w="2587" w:type="dxa"/>
          </w:tcPr>
          <w:p w:rsidRPr="00895FB9" w:rsidR="0070588C" w:rsidP="00893B6A" w:rsidRDefault="0070588C" w14:paraId="30F4C0D4" w14:textId="77777777">
            <w:pPr>
              <w:rPr>
                <w:b/>
                <w:bCs/>
                <w:sz w:val="22"/>
                <w:szCs w:val="22"/>
                <w:lang w:eastAsia="zh-CN"/>
              </w:rPr>
            </w:pPr>
            <w:bookmarkStart w:name="_Hlk25324835" w:id="2"/>
            <w:r w:rsidRPr="00895FB9">
              <w:rPr>
                <w:b/>
                <w:bCs/>
                <w:sz w:val="22"/>
                <w:szCs w:val="22"/>
                <w:lang w:eastAsia="zh-CN"/>
              </w:rPr>
              <w:t>Total</w:t>
            </w:r>
          </w:p>
        </w:tc>
        <w:tc>
          <w:tcPr>
            <w:tcW w:w="2610" w:type="dxa"/>
          </w:tcPr>
          <w:p w:rsidRPr="00895FB9" w:rsidR="0070588C" w:rsidP="00893B6A" w:rsidRDefault="0070588C" w14:paraId="38965D22" w14:textId="77777777">
            <w:pPr>
              <w:jc w:val="center"/>
              <w:rPr>
                <w:b/>
                <w:bCs/>
                <w:sz w:val="22"/>
                <w:szCs w:val="22"/>
                <w:lang w:eastAsia="zh-CN"/>
              </w:rPr>
            </w:pPr>
          </w:p>
        </w:tc>
        <w:tc>
          <w:tcPr>
            <w:tcW w:w="2250" w:type="dxa"/>
            <w:vAlign w:val="center"/>
          </w:tcPr>
          <w:p w:rsidRPr="00895FB9" w:rsidR="0070588C" w:rsidP="00893B6A" w:rsidRDefault="0070588C" w14:paraId="7B7FAC34" w14:textId="77777777">
            <w:pPr>
              <w:jc w:val="center"/>
              <w:rPr>
                <w:b/>
                <w:bCs/>
                <w:sz w:val="22"/>
                <w:szCs w:val="22"/>
                <w:lang w:eastAsia="zh-CN"/>
              </w:rPr>
            </w:pPr>
          </w:p>
        </w:tc>
        <w:tc>
          <w:tcPr>
            <w:tcW w:w="1890" w:type="dxa"/>
            <w:vAlign w:val="center"/>
          </w:tcPr>
          <w:p w:rsidRPr="00895FB9" w:rsidR="0070588C" w:rsidP="00893B6A" w:rsidRDefault="0070588C" w14:paraId="6BFE3256" w14:textId="03CB9F1C">
            <w:pPr>
              <w:jc w:val="center"/>
              <w:rPr>
                <w:b/>
                <w:bCs/>
                <w:sz w:val="22"/>
                <w:szCs w:val="22"/>
                <w:lang w:eastAsia="zh-CN"/>
              </w:rPr>
            </w:pPr>
            <w:r w:rsidRPr="00895FB9">
              <w:rPr>
                <w:b/>
                <w:bCs/>
                <w:sz w:val="22"/>
                <w:szCs w:val="22"/>
                <w:lang w:eastAsia="zh-CN"/>
              </w:rPr>
              <w:t>$1,</w:t>
            </w:r>
            <w:r w:rsidR="00AF621D">
              <w:rPr>
                <w:b/>
                <w:bCs/>
                <w:sz w:val="22"/>
                <w:szCs w:val="22"/>
                <w:lang w:eastAsia="zh-CN"/>
              </w:rPr>
              <w:t>672.44</w:t>
            </w:r>
          </w:p>
        </w:tc>
      </w:tr>
    </w:tbl>
    <w:bookmarkEnd w:id="2"/>
    <w:p w:rsidRPr="0070588C" w:rsidR="0070588C" w:rsidP="0070588C" w:rsidRDefault="0070588C" w14:paraId="144895E5" w14:textId="77777777">
      <w:pPr>
        <w:rPr>
          <w:bCs/>
        </w:rPr>
      </w:pPr>
      <w:r w:rsidRPr="0070588C">
        <w:rPr>
          <w:bCs/>
        </w:rPr>
        <w:t xml:space="preserve">*Source of the mean Hourly Wage Rate is provided by the Bureau of Labor Statistics, Occupation title “Medical Scientists” 19-1040, </w:t>
      </w:r>
      <w:hyperlink w:history="1" w:anchor="00-0000" r:id="rId8">
        <w:r w:rsidRPr="0070588C">
          <w:rPr>
            <w:rStyle w:val="Hyperlink"/>
            <w:bCs/>
          </w:rPr>
          <w:t>https://www.bls.gov/oes/2017/May/oes_nat.htm#00-0000</w:t>
        </w:r>
      </w:hyperlink>
      <w:r w:rsidRPr="0070588C">
        <w:rPr>
          <w:bCs/>
        </w:rPr>
        <w:t>.</w:t>
      </w:r>
    </w:p>
    <w:p w:rsidR="007D06FF" w:rsidP="00D66604" w:rsidRDefault="007D06FF" w14:paraId="07C8DFC9" w14:textId="77777777">
      <w:pPr>
        <w:pStyle w:val="Heading2"/>
        <w:rPr>
          <w:rFonts w:ascii="Times New Roman" w:hAnsi="Times New Roman" w:cs="Times New Roman"/>
        </w:rPr>
      </w:pPr>
    </w:p>
    <w:p w:rsidRPr="00300D34" w:rsidR="008716F6" w:rsidP="00CF2118" w:rsidRDefault="00713CF8" w14:paraId="403DC7A2" w14:textId="77777777">
      <w:pPr>
        <w:pStyle w:val="Heading2"/>
        <w:spacing w:before="0" w:line="276" w:lineRule="auto"/>
        <w:rPr>
          <w:rFonts w:ascii="Times New Roman" w:hAnsi="Times New Roman" w:cs="Times New Roman"/>
        </w:rPr>
      </w:pPr>
      <w:r w:rsidRPr="00300D34">
        <w:rPr>
          <w:rFonts w:ascii="Times New Roman" w:hAnsi="Times New Roman" w:cs="Times New Roman"/>
        </w:rPr>
        <w:t>A.13 Estimate of Other Total Annual Cost Burden to Respondents or Record Keepers</w:t>
      </w:r>
      <w:r w:rsidRPr="00300D34">
        <w:rPr>
          <w:rFonts w:ascii="Times New Roman" w:hAnsi="Times New Roman" w:cs="Times New Roman"/>
        </w:rPr>
        <w:tab/>
      </w:r>
    </w:p>
    <w:p w:rsidRPr="00300D34" w:rsidR="00713CF8" w:rsidP="00CF2118" w:rsidRDefault="00012983" w14:paraId="1D2072BC" w14:textId="77777777">
      <w:pPr>
        <w:spacing w:line="276" w:lineRule="auto"/>
      </w:pPr>
      <w:r w:rsidRPr="00300D34">
        <w:t>There are no additional costs.</w:t>
      </w:r>
    </w:p>
    <w:p w:rsidR="006F2C77" w:rsidP="00CF2118" w:rsidRDefault="006F2C77" w14:paraId="00DE6AD2" w14:textId="77777777">
      <w:pPr>
        <w:pStyle w:val="Heading2"/>
        <w:spacing w:before="0" w:line="276" w:lineRule="auto"/>
        <w:rPr>
          <w:rFonts w:ascii="Times New Roman" w:hAnsi="Times New Roman" w:cs="Times New Roman"/>
        </w:rPr>
      </w:pPr>
    </w:p>
    <w:p w:rsidRPr="00300D34" w:rsidR="00713CF8" w:rsidP="00CF2118" w:rsidRDefault="00713CF8" w14:paraId="6FB4A991" w14:textId="77777777">
      <w:pPr>
        <w:pStyle w:val="Heading2"/>
        <w:spacing w:before="0" w:line="276" w:lineRule="auto"/>
        <w:rPr>
          <w:rFonts w:ascii="Times New Roman" w:hAnsi="Times New Roman" w:cs="Times New Roman"/>
        </w:rPr>
      </w:pPr>
      <w:r w:rsidRPr="00300D34">
        <w:rPr>
          <w:rFonts w:ascii="Times New Roman" w:hAnsi="Times New Roman" w:cs="Times New Roman"/>
        </w:rPr>
        <w:t>A.14 Annualized Cost to the Federal Government</w:t>
      </w:r>
    </w:p>
    <w:p w:rsidR="00911E2D" w:rsidP="0070588C" w:rsidRDefault="00012983" w14:paraId="48CF916D" w14:textId="7E87387C">
      <w:pPr>
        <w:spacing w:line="276" w:lineRule="auto"/>
      </w:pPr>
      <w:r w:rsidRPr="00300D34">
        <w:t xml:space="preserve">The annual cost to the federal government is </w:t>
      </w:r>
      <w:r w:rsidRPr="00AA48A6">
        <w:rPr>
          <w:b/>
          <w:bCs/>
        </w:rPr>
        <w:t>$</w:t>
      </w:r>
      <w:r w:rsidR="00FC0E36">
        <w:rPr>
          <w:b/>
          <w:bCs/>
        </w:rPr>
        <w:t>86,816.01</w:t>
      </w:r>
      <w:r w:rsidRPr="00300D34">
        <w:t xml:space="preserve">. </w:t>
      </w:r>
      <w:r w:rsidRPr="00CE3259">
        <w:t xml:space="preserve">Federal personnel </w:t>
      </w:r>
      <w:r w:rsidRPr="00CE3259" w:rsidR="5413786C">
        <w:t xml:space="preserve">including a </w:t>
      </w:r>
      <w:r w:rsidRPr="00CE3259" w:rsidR="54B4C83F">
        <w:t>P</w:t>
      </w:r>
      <w:r w:rsidRPr="00CE3259" w:rsidR="5413786C">
        <w:t xml:space="preserve">rogram </w:t>
      </w:r>
      <w:r w:rsidRPr="00CE3259" w:rsidR="00CE3259">
        <w:t>Manager</w:t>
      </w:r>
      <w:r w:rsidRPr="00CE3259" w:rsidR="5413786C">
        <w:t xml:space="preserve"> and a </w:t>
      </w:r>
      <w:r w:rsidRPr="00CE3259" w:rsidR="54B4C83F">
        <w:t>Subject M</w:t>
      </w:r>
      <w:r w:rsidRPr="00CE3259" w:rsidR="5413786C">
        <w:t>at</w:t>
      </w:r>
      <w:r w:rsidRPr="00CE3259" w:rsidR="54B4C83F">
        <w:t xml:space="preserve">ter Expert </w:t>
      </w:r>
      <w:r w:rsidRPr="00CE3259">
        <w:t>will</w:t>
      </w:r>
      <w:r w:rsidRPr="00CE3259" w:rsidR="00B355B3">
        <w:t xml:space="preserve"> oversee the de</w:t>
      </w:r>
      <w:r w:rsidRPr="00CE3259" w:rsidR="54B4C83F">
        <w:t>sign and o</w:t>
      </w:r>
      <w:r w:rsidRPr="00CE3259" w:rsidR="00B355B3">
        <w:t>f the s</w:t>
      </w:r>
      <w:r w:rsidRPr="00CE3259" w:rsidR="3784DD71">
        <w:t xml:space="preserve">creener and interview guide, </w:t>
      </w:r>
      <w:r w:rsidRPr="00CE3259" w:rsidR="00B355B3">
        <w:t xml:space="preserve">data analysis plan, connect the contractor to the appropriate </w:t>
      </w:r>
      <w:r w:rsidRPr="00CE3259" w:rsidR="001539C0">
        <w:t xml:space="preserve">contacts </w:t>
      </w:r>
      <w:r w:rsidRPr="00CE3259" w:rsidR="00B355B3">
        <w:t xml:space="preserve">for implementation, and review </w:t>
      </w:r>
      <w:r w:rsidRPr="00CE3259" w:rsidR="0594C4CB">
        <w:t xml:space="preserve">all materials and </w:t>
      </w:r>
      <w:r w:rsidRPr="00CE3259" w:rsidR="00B355B3">
        <w:t>reports.</w:t>
      </w:r>
      <w:r w:rsidRPr="00CE3259">
        <w:t xml:space="preserve"> The contractor is responsible</w:t>
      </w:r>
      <w:r w:rsidRPr="00CE3259" w:rsidR="00B355B3">
        <w:t xml:space="preserve"> for drafting </w:t>
      </w:r>
      <w:r w:rsidRPr="00CE3259" w:rsidR="0594C4CB">
        <w:t xml:space="preserve">and finalizing </w:t>
      </w:r>
      <w:r w:rsidRPr="00CE3259" w:rsidR="00B355B3">
        <w:t>the s</w:t>
      </w:r>
      <w:r w:rsidRPr="00CE3259" w:rsidR="0594C4CB">
        <w:t>creener and interview guide</w:t>
      </w:r>
      <w:r w:rsidRPr="00CE3259" w:rsidR="1B0DA46B">
        <w:t>s,</w:t>
      </w:r>
      <w:r w:rsidRPr="00CE3259" w:rsidR="0594C4CB">
        <w:t xml:space="preserve"> </w:t>
      </w:r>
      <w:r w:rsidRPr="00CE3259" w:rsidR="1B0DA46B">
        <w:t xml:space="preserve">recruiting participants, implementing the </w:t>
      </w:r>
      <w:r w:rsidRPr="00CE3259" w:rsidR="001539C0">
        <w:t>structured</w:t>
      </w:r>
      <w:r w:rsidRPr="00CE3259" w:rsidR="00125695">
        <w:t xml:space="preserve"> interview</w:t>
      </w:r>
      <w:r w:rsidRPr="00CE3259" w:rsidR="001539C0">
        <w:t xml:space="preserve"> protocol, </w:t>
      </w:r>
      <w:r w:rsidRPr="00CE3259" w:rsidR="1B0DA46B">
        <w:t>providing</w:t>
      </w:r>
      <w:r w:rsidRPr="00CE3259" w:rsidR="00125695">
        <w:t xml:space="preserve"> </w:t>
      </w:r>
      <w:r w:rsidRPr="00CE3259" w:rsidR="001539C0">
        <w:t>d</w:t>
      </w:r>
      <w:r w:rsidRPr="00CE3259" w:rsidR="00B355B3">
        <w:t>ata analysis</w:t>
      </w:r>
      <w:r w:rsidRPr="00CE3259" w:rsidR="1D29E18D">
        <w:t>, project management,</w:t>
      </w:r>
      <w:r w:rsidRPr="00CE3259" w:rsidR="001539C0">
        <w:t xml:space="preserve"> tracking,</w:t>
      </w:r>
      <w:r w:rsidRPr="00CE3259" w:rsidR="00B355B3">
        <w:t xml:space="preserve"> and preparation of reports</w:t>
      </w:r>
      <w:r w:rsidRPr="00CE3259" w:rsidR="380D698E">
        <w:t xml:space="preserve"> and presentations</w:t>
      </w:r>
      <w:r w:rsidRPr="00CE3259" w:rsidR="00B355B3">
        <w:t>.</w:t>
      </w:r>
    </w:p>
    <w:p w:rsidRPr="0070588C" w:rsidR="0070588C" w:rsidP="0070588C" w:rsidRDefault="0070588C" w14:paraId="4FC4E4AE" w14:textId="77777777">
      <w:pPr>
        <w:spacing w:line="276" w:lineRule="auto"/>
      </w:pPr>
    </w:p>
    <w:p w:rsidR="00DF1021" w:rsidP="0070588C" w:rsidRDefault="0070588C" w14:paraId="5E0AE128" w14:textId="5CF78CEC">
      <w:pPr>
        <w:pStyle w:val="Heading2"/>
        <w:ind w:left="720" w:firstLine="720"/>
        <w:rPr>
          <w:rFonts w:ascii="Times New Roman" w:hAnsi="Times New Roman" w:cs="Times New Roman"/>
        </w:rPr>
      </w:pPr>
      <w:r>
        <w:rPr>
          <w:rFonts w:ascii="Times New Roman" w:hAnsi="Times New Roman" w:cs="Times New Roman"/>
        </w:rPr>
        <w:t xml:space="preserve">                   </w:t>
      </w:r>
      <w:r w:rsidRPr="00300D34" w:rsidR="00DF1021">
        <w:rPr>
          <w:rFonts w:ascii="Times New Roman" w:hAnsi="Times New Roman" w:cs="Times New Roman"/>
        </w:rPr>
        <w:t>A.14 Annualized Cost to the Federal Government</w:t>
      </w:r>
    </w:p>
    <w:p w:rsidRPr="00911E2D" w:rsidR="00911E2D" w:rsidP="00911E2D" w:rsidRDefault="00911E2D" w14:paraId="626CA9AD" w14:textId="77777777"/>
    <w:tbl>
      <w:tblPr>
        <w:tblW w:w="10530" w:type="dxa"/>
        <w:tblInd w:w="-280" w:type="dxa"/>
        <w:tblCellMar>
          <w:left w:w="0" w:type="dxa"/>
          <w:right w:w="0" w:type="dxa"/>
        </w:tblCellMar>
        <w:tblLook w:val="04A0" w:firstRow="1" w:lastRow="0" w:firstColumn="1" w:lastColumn="0" w:noHBand="0" w:noVBand="1"/>
      </w:tblPr>
      <w:tblGrid>
        <w:gridCol w:w="4230"/>
        <w:gridCol w:w="1260"/>
        <w:gridCol w:w="1260"/>
        <w:gridCol w:w="948"/>
        <w:gridCol w:w="1389"/>
        <w:gridCol w:w="1443"/>
      </w:tblGrid>
      <w:tr w:rsidRPr="00300D34" w:rsidR="00BB7115" w:rsidTr="00F32E3E" w14:paraId="1A018A46" w14:textId="77777777">
        <w:trPr>
          <w:trHeight w:val="576"/>
        </w:trPr>
        <w:tc>
          <w:tcPr>
            <w:tcW w:w="423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F32E3E" w:rsidR="00BB7115" w:rsidP="00A71BF1" w:rsidRDefault="00BB7115" w14:paraId="7DB62C22" w14:textId="3FF9B2AE">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Staff</w:t>
            </w:r>
          </w:p>
        </w:tc>
        <w:tc>
          <w:tcPr>
            <w:tcW w:w="1260" w:type="dxa"/>
            <w:tcBorders>
              <w:top w:val="single" w:color="auto" w:sz="8" w:space="0"/>
              <w:left w:val="nil"/>
              <w:bottom w:val="single" w:color="auto" w:sz="8" w:space="0"/>
              <w:right w:val="single" w:color="auto" w:sz="8" w:space="0"/>
            </w:tcBorders>
            <w:shd w:val="clear" w:color="auto" w:fill="auto"/>
            <w:vAlign w:val="center"/>
          </w:tcPr>
          <w:p w:rsidRPr="00F32E3E" w:rsidR="00BB7115" w:rsidP="00A71BF1" w:rsidRDefault="00BB7115" w14:paraId="26144568" w14:textId="77777777">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F32E3E" w:rsidR="00BB7115" w:rsidP="00A71BF1" w:rsidRDefault="00BB7115" w14:paraId="72B77740" w14:textId="2BAC7CF3">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Salary</w:t>
            </w:r>
            <w:r w:rsidRPr="00F32E3E" w:rsidR="00CE68E2">
              <w:rPr>
                <w:rFonts w:ascii="Times New Roman" w:hAnsi="Times New Roman" w:cs="Times New Roman"/>
                <w:b/>
                <w:bCs/>
                <w:sz w:val="24"/>
                <w:szCs w:val="24"/>
              </w:rPr>
              <w:t>**</w:t>
            </w:r>
          </w:p>
        </w:tc>
        <w:tc>
          <w:tcPr>
            <w:tcW w:w="9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F32E3E" w:rsidR="00BB7115" w:rsidP="00A71BF1" w:rsidRDefault="00BB7115" w14:paraId="0366D59A" w14:textId="77777777">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 of Effort</w:t>
            </w:r>
          </w:p>
        </w:tc>
        <w:tc>
          <w:tcPr>
            <w:tcW w:w="1389" w:type="dxa"/>
            <w:tcBorders>
              <w:top w:val="single" w:color="auto" w:sz="8" w:space="0"/>
              <w:left w:val="nil"/>
              <w:bottom w:val="single" w:color="auto" w:sz="8" w:space="0"/>
              <w:right w:val="single" w:color="auto" w:sz="8" w:space="0"/>
            </w:tcBorders>
            <w:shd w:val="clear" w:color="auto" w:fill="auto"/>
            <w:vAlign w:val="center"/>
          </w:tcPr>
          <w:p w:rsidRPr="00F32E3E" w:rsidR="00A71BF1" w:rsidP="00A71BF1" w:rsidRDefault="00BB7115" w14:paraId="438775CF" w14:textId="694888A9">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Fringe</w:t>
            </w:r>
          </w:p>
          <w:p w:rsidRPr="00F32E3E" w:rsidR="00BB7115" w:rsidP="00A71BF1" w:rsidRDefault="00BB7115" w14:paraId="1B1D3875" w14:textId="4F5E2B19">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 xml:space="preserve">(if </w:t>
            </w:r>
            <w:r w:rsidRPr="00F32E3E" w:rsidR="00A71BF1">
              <w:rPr>
                <w:rFonts w:ascii="Times New Roman" w:hAnsi="Times New Roman" w:cs="Times New Roman"/>
                <w:b/>
                <w:bCs/>
                <w:sz w:val="24"/>
                <w:szCs w:val="24"/>
              </w:rPr>
              <w:t>a</w:t>
            </w:r>
            <w:r w:rsidRPr="00F32E3E">
              <w:rPr>
                <w:rFonts w:ascii="Times New Roman" w:hAnsi="Times New Roman" w:cs="Times New Roman"/>
                <w:b/>
                <w:bCs/>
                <w:sz w:val="24"/>
                <w:szCs w:val="24"/>
              </w:rPr>
              <w:t>pplicable)</w:t>
            </w:r>
          </w:p>
        </w:tc>
        <w:tc>
          <w:tcPr>
            <w:tcW w:w="1443" w:type="dxa"/>
            <w:tcBorders>
              <w:top w:val="single" w:color="auto" w:sz="8" w:space="0"/>
              <w:left w:val="nil"/>
              <w:bottom w:val="single" w:color="auto" w:sz="8" w:space="0"/>
              <w:right w:val="single" w:color="auto" w:sz="8" w:space="0"/>
            </w:tcBorders>
            <w:shd w:val="clear" w:color="auto" w:fill="auto"/>
            <w:vAlign w:val="center"/>
          </w:tcPr>
          <w:p w:rsidRPr="00F32E3E" w:rsidR="00BB7115" w:rsidP="00A71BF1" w:rsidRDefault="00AF01AD" w14:paraId="4B0BAD3B" w14:textId="77777777">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 xml:space="preserve">Total </w:t>
            </w:r>
            <w:r w:rsidRPr="00F32E3E" w:rsidR="005E2D23">
              <w:rPr>
                <w:rFonts w:ascii="Times New Roman" w:hAnsi="Times New Roman" w:cs="Times New Roman"/>
                <w:b/>
                <w:bCs/>
                <w:sz w:val="24"/>
                <w:szCs w:val="24"/>
              </w:rPr>
              <w:t>C</w:t>
            </w:r>
            <w:r w:rsidRPr="00F32E3E" w:rsidR="00BB7115">
              <w:rPr>
                <w:rFonts w:ascii="Times New Roman" w:hAnsi="Times New Roman" w:cs="Times New Roman"/>
                <w:b/>
                <w:bCs/>
                <w:sz w:val="24"/>
                <w:szCs w:val="24"/>
              </w:rPr>
              <w:t>ost to Gov’t</w:t>
            </w:r>
          </w:p>
        </w:tc>
      </w:tr>
      <w:tr w:rsidRPr="00300D34" w:rsidR="00BB7115" w:rsidTr="00F32E3E" w14:paraId="4EC1DEE4" w14:textId="77777777">
        <w:trPr>
          <w:trHeight w:val="300"/>
        </w:trPr>
        <w:tc>
          <w:tcPr>
            <w:tcW w:w="4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32E3E" w:rsidR="00BB7115" w:rsidRDefault="00BB7115" w14:paraId="4822711A" w14:textId="77777777">
            <w:pPr>
              <w:pStyle w:val="NoSpacing"/>
              <w:rPr>
                <w:rFonts w:ascii="Times New Roman" w:hAnsi="Times New Roman" w:eastAsia="Calibri" w:cs="Times New Roman"/>
                <w:b/>
                <w:bCs/>
                <w:sz w:val="24"/>
                <w:szCs w:val="24"/>
              </w:rPr>
            </w:pPr>
            <w:r w:rsidRPr="00F32E3E">
              <w:rPr>
                <w:rFonts w:ascii="Times New Roman" w:hAnsi="Times New Roman" w:eastAsia="Calibri" w:cs="Times New Roman"/>
                <w:b/>
                <w:bCs/>
                <w:sz w:val="24"/>
                <w:szCs w:val="24"/>
              </w:rPr>
              <w:t>Federal Oversight</w:t>
            </w:r>
          </w:p>
        </w:tc>
        <w:tc>
          <w:tcPr>
            <w:tcW w:w="1260" w:type="dxa"/>
            <w:tcBorders>
              <w:top w:val="nil"/>
              <w:left w:val="nil"/>
              <w:bottom w:val="single" w:color="auto" w:sz="8" w:space="0"/>
              <w:right w:val="single" w:color="auto" w:sz="8" w:space="0"/>
            </w:tcBorders>
            <w:vAlign w:val="bottom"/>
          </w:tcPr>
          <w:p w:rsidRPr="00F32E3E" w:rsidR="00BB7115" w:rsidRDefault="00BB7115" w14:paraId="6C59CBD5" w14:textId="77777777">
            <w:pPr>
              <w:pStyle w:val="NoSpacing"/>
              <w:rPr>
                <w:rFonts w:ascii="Times New Roman" w:hAnsi="Times New Roman" w:eastAsia="Calibri" w:cs="Times New Roman"/>
                <w:b/>
                <w:bCs/>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32E3E" w:rsidR="00BB7115" w:rsidRDefault="00BB7115" w14:paraId="4BED9EF8" w14:textId="77777777">
            <w:pPr>
              <w:pStyle w:val="NoSpacing"/>
              <w:rPr>
                <w:rFonts w:ascii="Times New Roman" w:hAnsi="Times New Roman" w:cs="Times New Roman"/>
                <w:b/>
                <w:bCs/>
                <w:sz w:val="24"/>
                <w:szCs w:val="24"/>
              </w:rPr>
            </w:pPr>
          </w:p>
        </w:tc>
        <w:tc>
          <w:tcPr>
            <w:tcW w:w="9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32E3E" w:rsidR="00BB7115" w:rsidRDefault="00BB7115" w14:paraId="75F85BD8" w14:textId="77777777">
            <w:pPr>
              <w:pStyle w:val="NoSpacing"/>
              <w:rPr>
                <w:rFonts w:ascii="Times New Roman" w:hAnsi="Times New Roman" w:cs="Times New Roman"/>
                <w:b/>
                <w:bCs/>
                <w:sz w:val="24"/>
                <w:szCs w:val="24"/>
              </w:rPr>
            </w:pPr>
          </w:p>
        </w:tc>
        <w:tc>
          <w:tcPr>
            <w:tcW w:w="1389" w:type="dxa"/>
            <w:tcBorders>
              <w:top w:val="nil"/>
              <w:left w:val="nil"/>
              <w:bottom w:val="single" w:color="auto" w:sz="8" w:space="0"/>
              <w:right w:val="single" w:color="auto" w:sz="8" w:space="0"/>
            </w:tcBorders>
            <w:shd w:val="clear" w:color="auto" w:fill="BFBFBF" w:themeFill="background1" w:themeFillShade="BF"/>
          </w:tcPr>
          <w:p w:rsidRPr="00F32E3E" w:rsidR="00BB7115" w:rsidRDefault="00BB7115" w14:paraId="53E85FCF" w14:textId="77777777">
            <w:pPr>
              <w:pStyle w:val="NoSpacing"/>
              <w:rPr>
                <w:rFonts w:ascii="Times New Roman" w:hAnsi="Times New Roman" w:cs="Times New Roman"/>
                <w:b/>
                <w:bCs/>
                <w:sz w:val="24"/>
                <w:szCs w:val="24"/>
              </w:rPr>
            </w:pPr>
          </w:p>
        </w:tc>
        <w:tc>
          <w:tcPr>
            <w:tcW w:w="1443" w:type="dxa"/>
            <w:tcBorders>
              <w:top w:val="nil"/>
              <w:left w:val="nil"/>
              <w:bottom w:val="single" w:color="auto" w:sz="8" w:space="0"/>
              <w:right w:val="single" w:color="auto" w:sz="8" w:space="0"/>
            </w:tcBorders>
          </w:tcPr>
          <w:p w:rsidRPr="00F32E3E" w:rsidR="00BB7115" w:rsidRDefault="00BB7115" w14:paraId="14B0693C" w14:textId="77777777">
            <w:pPr>
              <w:pStyle w:val="NoSpacing"/>
              <w:rPr>
                <w:rFonts w:ascii="Times New Roman" w:hAnsi="Times New Roman" w:cs="Times New Roman"/>
                <w:b/>
                <w:bCs/>
                <w:sz w:val="24"/>
                <w:szCs w:val="24"/>
              </w:rPr>
            </w:pPr>
          </w:p>
        </w:tc>
      </w:tr>
      <w:tr w:rsidRPr="00300D34" w:rsidR="00BB7115" w:rsidTr="00F32E3E" w14:paraId="553C5F87" w14:textId="77777777">
        <w:trPr>
          <w:trHeight w:val="300"/>
        </w:trPr>
        <w:tc>
          <w:tcPr>
            <w:tcW w:w="4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32E3E" w:rsidR="00BB7115" w:rsidRDefault="00C46E42" w14:paraId="7E909E3A" w14:textId="69950FEC">
            <w:pPr>
              <w:pStyle w:val="NoSpacing"/>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sidR="0070588C">
              <w:rPr>
                <w:rFonts w:ascii="Times New Roman" w:hAnsi="Times New Roman" w:eastAsia="Calibri" w:cs="Times New Roman"/>
                <w:sz w:val="24"/>
                <w:szCs w:val="24"/>
              </w:rPr>
              <w:t>Public Health Advisor</w:t>
            </w:r>
          </w:p>
        </w:tc>
        <w:tc>
          <w:tcPr>
            <w:tcW w:w="1260" w:type="dxa"/>
            <w:tcBorders>
              <w:top w:val="nil"/>
              <w:left w:val="nil"/>
              <w:bottom w:val="single" w:color="auto" w:sz="8" w:space="0"/>
              <w:right w:val="single" w:color="auto" w:sz="8" w:space="0"/>
            </w:tcBorders>
            <w:shd w:val="clear" w:color="auto" w:fill="auto"/>
            <w:vAlign w:val="center"/>
          </w:tcPr>
          <w:p w:rsidRPr="00F32E3E" w:rsidR="00BB7115" w:rsidP="00A71BF1" w:rsidRDefault="00C46E42" w14:paraId="2E572249" w14:textId="3227EC7F">
            <w:pPr>
              <w:pStyle w:val="NoSpacing"/>
              <w:jc w:val="center"/>
              <w:rPr>
                <w:rFonts w:ascii="Times New Roman" w:hAnsi="Times New Roman" w:eastAsia="Calibri" w:cs="Times New Roman"/>
                <w:sz w:val="24"/>
                <w:szCs w:val="24"/>
              </w:rPr>
            </w:pPr>
            <w:r>
              <w:rPr>
                <w:rFonts w:ascii="Times New Roman" w:hAnsi="Times New Roman" w:eastAsia="Calibri" w:cs="Times New Roman"/>
                <w:sz w:val="24"/>
                <w:szCs w:val="24"/>
              </w:rPr>
              <w:t>14/6</w:t>
            </w: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F32E3E" w:rsidR="00BB7115" w:rsidP="00A71BF1" w:rsidRDefault="00C46E42" w14:paraId="5FCB2747" w14:textId="26063C63">
            <w:pPr>
              <w:pStyle w:val="NoSpacing"/>
              <w:jc w:val="center"/>
              <w:rPr>
                <w:rFonts w:ascii="Times New Roman" w:hAnsi="Times New Roman" w:eastAsia="Calibri" w:cs="Times New Roman"/>
                <w:sz w:val="24"/>
                <w:szCs w:val="24"/>
              </w:rPr>
            </w:pPr>
            <w:r>
              <w:rPr>
                <w:rFonts w:ascii="Times New Roman" w:hAnsi="Times New Roman" w:eastAsia="Times New Roman" w:cs="Times New Roman"/>
                <w:sz w:val="24"/>
                <w:szCs w:val="24"/>
              </w:rPr>
              <w:t>$136,725</w:t>
            </w:r>
          </w:p>
        </w:tc>
        <w:tc>
          <w:tcPr>
            <w:tcW w:w="9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F32E3E" w:rsidR="00BB7115" w:rsidP="00A71BF1" w:rsidRDefault="001C7EE8" w14:paraId="0FAECA0E" w14:textId="4A8DBF37">
            <w:pPr>
              <w:pStyle w:val="NoSpacing"/>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1389" w:type="dxa"/>
            <w:tcBorders>
              <w:top w:val="nil"/>
              <w:left w:val="nil"/>
              <w:bottom w:val="single" w:color="auto" w:sz="8" w:space="0"/>
              <w:right w:val="single" w:color="auto" w:sz="8" w:space="0"/>
            </w:tcBorders>
            <w:shd w:val="clear" w:color="auto" w:fill="auto"/>
            <w:vAlign w:val="center"/>
          </w:tcPr>
          <w:p w:rsidRPr="00F32E3E" w:rsidR="00BB7115" w:rsidP="00A71BF1" w:rsidRDefault="00BB7115" w14:paraId="3F8A26D8" w14:textId="77777777">
            <w:pPr>
              <w:pStyle w:val="NoSpacing"/>
              <w:jc w:val="center"/>
              <w:rPr>
                <w:rFonts w:ascii="Times New Roman" w:hAnsi="Times New Roman" w:cs="Times New Roman"/>
                <w:sz w:val="24"/>
                <w:szCs w:val="24"/>
              </w:rPr>
            </w:pPr>
          </w:p>
        </w:tc>
        <w:tc>
          <w:tcPr>
            <w:tcW w:w="1443" w:type="dxa"/>
            <w:tcBorders>
              <w:top w:val="nil"/>
              <w:left w:val="nil"/>
              <w:bottom w:val="single" w:color="auto" w:sz="8" w:space="0"/>
              <w:right w:val="single" w:color="auto" w:sz="8" w:space="0"/>
            </w:tcBorders>
            <w:shd w:val="clear" w:color="auto" w:fill="auto"/>
            <w:vAlign w:val="center"/>
          </w:tcPr>
          <w:p w:rsidRPr="00F32E3E" w:rsidR="00BB7115" w:rsidP="00A71BF1" w:rsidRDefault="00C46E42" w14:paraId="6CCED132" w14:textId="70ABB8E4">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1C7EE8">
              <w:rPr>
                <w:rFonts w:ascii="Times New Roman" w:hAnsi="Times New Roman" w:cs="Times New Roman"/>
                <w:sz w:val="24"/>
                <w:szCs w:val="24"/>
              </w:rPr>
              <w:t>6,836.25</w:t>
            </w:r>
          </w:p>
        </w:tc>
      </w:tr>
      <w:tr w:rsidRPr="00300D34" w:rsidR="006B0DB3" w:rsidTr="00F32E3E" w14:paraId="3DFBD834" w14:textId="77777777">
        <w:trPr>
          <w:trHeight w:val="300"/>
        </w:trPr>
        <w:tc>
          <w:tcPr>
            <w:tcW w:w="4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32E3E" w:rsidR="006B0DB3" w:rsidRDefault="00C46E42" w14:paraId="08299B55" w14:textId="47C9F11E">
            <w:pPr>
              <w:pStyle w:val="NoSpacing"/>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tc>
        <w:tc>
          <w:tcPr>
            <w:tcW w:w="1260" w:type="dxa"/>
            <w:tcBorders>
              <w:top w:val="nil"/>
              <w:left w:val="nil"/>
              <w:bottom w:val="single" w:color="auto" w:sz="8" w:space="0"/>
              <w:right w:val="single" w:color="auto" w:sz="8" w:space="0"/>
            </w:tcBorders>
            <w:shd w:val="clear" w:color="auto" w:fill="auto"/>
            <w:vAlign w:val="center"/>
          </w:tcPr>
          <w:p w:rsidRPr="00F32E3E" w:rsidR="006B0DB3" w:rsidP="00A71BF1" w:rsidRDefault="00C46E42" w14:paraId="3F38C4D3" w14:textId="48921903">
            <w:pPr>
              <w:pStyle w:val="NoSpacing"/>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F32E3E" w:rsidR="006B0DB3" w:rsidP="00A71BF1" w:rsidRDefault="00C46E42" w14:paraId="7FE3AE49" w14:textId="68ADFFA7">
            <w:pPr>
              <w:pStyle w:val="NoSpacing"/>
              <w:jc w:val="center"/>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 </w:t>
            </w:r>
          </w:p>
        </w:tc>
        <w:tc>
          <w:tcPr>
            <w:tcW w:w="94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rsidRPr="00F32E3E" w:rsidR="006B0DB3" w:rsidP="00A71BF1" w:rsidRDefault="00C46E42" w14:paraId="5CA22C57" w14:textId="02C2CD33">
            <w:pPr>
              <w:pStyle w:val="NoSpacing"/>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tc>
        <w:tc>
          <w:tcPr>
            <w:tcW w:w="1389" w:type="dxa"/>
            <w:tcBorders>
              <w:top w:val="nil"/>
              <w:left w:val="nil"/>
              <w:bottom w:val="single" w:color="auto" w:sz="8" w:space="0"/>
              <w:right w:val="single" w:color="auto" w:sz="8" w:space="0"/>
            </w:tcBorders>
            <w:shd w:val="clear" w:color="auto" w:fill="auto"/>
            <w:vAlign w:val="center"/>
          </w:tcPr>
          <w:p w:rsidRPr="00F32E3E" w:rsidR="006B0DB3" w:rsidP="00A71BF1" w:rsidRDefault="006B0DB3" w14:paraId="548BEF54" w14:textId="77777777">
            <w:pPr>
              <w:pStyle w:val="NoSpacing"/>
              <w:jc w:val="center"/>
              <w:rPr>
                <w:rFonts w:ascii="Times New Roman" w:hAnsi="Times New Roman" w:cs="Times New Roman"/>
                <w:sz w:val="24"/>
                <w:szCs w:val="24"/>
              </w:rPr>
            </w:pPr>
          </w:p>
        </w:tc>
        <w:tc>
          <w:tcPr>
            <w:tcW w:w="1443" w:type="dxa"/>
            <w:tcBorders>
              <w:top w:val="nil"/>
              <w:left w:val="nil"/>
              <w:bottom w:val="single" w:color="auto" w:sz="8" w:space="0"/>
              <w:right w:val="single" w:color="auto" w:sz="8" w:space="0"/>
            </w:tcBorders>
            <w:shd w:val="clear" w:color="auto" w:fill="auto"/>
            <w:vAlign w:val="center"/>
          </w:tcPr>
          <w:p w:rsidRPr="00F32E3E" w:rsidR="006B0DB3" w:rsidP="00A71BF1" w:rsidRDefault="00C46E42" w14:paraId="17694EAC" w14:textId="5FBE7FD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Pr="00300D34" w:rsidR="00BB7115" w:rsidTr="00F32E3E" w14:paraId="3F204305" w14:textId="77777777">
        <w:trPr>
          <w:trHeight w:val="300"/>
        </w:trPr>
        <w:tc>
          <w:tcPr>
            <w:tcW w:w="4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32E3E" w:rsidR="00BB7115" w:rsidRDefault="005E2D23" w14:paraId="01A213D1" w14:textId="77777777">
            <w:pPr>
              <w:pStyle w:val="NoSpacing"/>
              <w:rPr>
                <w:rFonts w:ascii="Times New Roman" w:hAnsi="Times New Roman" w:eastAsia="Calibri" w:cs="Times New Roman"/>
                <w:b/>
                <w:bCs/>
                <w:sz w:val="24"/>
                <w:szCs w:val="24"/>
              </w:rPr>
            </w:pPr>
            <w:r w:rsidRPr="00F32E3E">
              <w:rPr>
                <w:rFonts w:ascii="Times New Roman" w:hAnsi="Times New Roman" w:eastAsia="Calibri" w:cs="Times New Roman"/>
                <w:b/>
                <w:bCs/>
                <w:sz w:val="24"/>
                <w:szCs w:val="24"/>
              </w:rPr>
              <w:t>Contractor C</w:t>
            </w:r>
            <w:r w:rsidRPr="00F32E3E" w:rsidR="00BB7115">
              <w:rPr>
                <w:rFonts w:ascii="Times New Roman" w:hAnsi="Times New Roman" w:eastAsia="Calibri" w:cs="Times New Roman"/>
                <w:b/>
                <w:bCs/>
                <w:sz w:val="24"/>
                <w:szCs w:val="24"/>
              </w:rPr>
              <w:t>ost</w:t>
            </w:r>
          </w:p>
        </w:tc>
        <w:tc>
          <w:tcPr>
            <w:tcW w:w="1260" w:type="dxa"/>
            <w:tcBorders>
              <w:top w:val="nil"/>
              <w:left w:val="nil"/>
              <w:bottom w:val="single" w:color="auto" w:sz="8" w:space="0"/>
              <w:right w:val="single" w:color="auto" w:sz="8" w:space="0"/>
            </w:tcBorders>
            <w:shd w:val="clear" w:color="auto" w:fill="BFBFBF" w:themeFill="background1" w:themeFillShade="BF"/>
          </w:tcPr>
          <w:p w:rsidRPr="00F32E3E" w:rsidR="00BB7115" w:rsidP="00CE68E2" w:rsidRDefault="00BB7115" w14:paraId="41DEF2FF" w14:textId="77777777">
            <w:pPr>
              <w:pStyle w:val="NoSpacing"/>
              <w:jc w:val="center"/>
              <w:rPr>
                <w:rFonts w:ascii="Times New Roman" w:hAnsi="Times New Roman" w:eastAsia="Calibri" w:cs="Times New Roman"/>
                <w:b/>
                <w:bCs/>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32E3E" w:rsidR="00BB7115" w:rsidP="00CE68E2" w:rsidRDefault="00BB7115" w14:paraId="211CF1B6" w14:textId="77777777">
            <w:pPr>
              <w:pStyle w:val="NoSpacing"/>
              <w:jc w:val="center"/>
              <w:rPr>
                <w:rFonts w:ascii="Times New Roman" w:hAnsi="Times New Roman" w:eastAsia="Calibri" w:cs="Times New Roman"/>
                <w:b/>
                <w:bCs/>
                <w:sz w:val="24"/>
                <w:szCs w:val="24"/>
              </w:rPr>
            </w:pPr>
          </w:p>
        </w:tc>
        <w:tc>
          <w:tcPr>
            <w:tcW w:w="9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32E3E" w:rsidR="00BB7115" w:rsidP="00CE68E2" w:rsidRDefault="00BB7115" w14:paraId="6E71A696" w14:textId="77777777">
            <w:pPr>
              <w:pStyle w:val="NoSpacing"/>
              <w:jc w:val="center"/>
              <w:rPr>
                <w:rFonts w:ascii="Times New Roman" w:hAnsi="Times New Roman" w:eastAsia="Calibri" w:cs="Times New Roman"/>
                <w:b/>
                <w:bCs/>
                <w:sz w:val="24"/>
                <w:szCs w:val="24"/>
              </w:rPr>
            </w:pPr>
          </w:p>
        </w:tc>
        <w:tc>
          <w:tcPr>
            <w:tcW w:w="1389" w:type="dxa"/>
            <w:tcBorders>
              <w:top w:val="nil"/>
              <w:left w:val="nil"/>
              <w:bottom w:val="single" w:color="auto" w:sz="8" w:space="0"/>
              <w:right w:val="single" w:color="auto" w:sz="8" w:space="0"/>
            </w:tcBorders>
          </w:tcPr>
          <w:p w:rsidRPr="00F32E3E" w:rsidR="00BB7115" w:rsidP="00CE68E2" w:rsidRDefault="00BB7115" w14:paraId="1910AFAC" w14:textId="77777777">
            <w:pPr>
              <w:pStyle w:val="NoSpacing"/>
              <w:jc w:val="center"/>
              <w:rPr>
                <w:rFonts w:ascii="Times New Roman" w:hAnsi="Times New Roman" w:cs="Times New Roman"/>
                <w:b/>
                <w:bCs/>
                <w:sz w:val="24"/>
                <w:szCs w:val="24"/>
              </w:rPr>
            </w:pPr>
          </w:p>
        </w:tc>
        <w:tc>
          <w:tcPr>
            <w:tcW w:w="1443" w:type="dxa"/>
            <w:tcBorders>
              <w:top w:val="nil"/>
              <w:left w:val="nil"/>
              <w:bottom w:val="single" w:color="auto" w:sz="8" w:space="0"/>
              <w:right w:val="single" w:color="auto" w:sz="8" w:space="0"/>
            </w:tcBorders>
            <w:vAlign w:val="center"/>
          </w:tcPr>
          <w:p w:rsidRPr="00F32E3E" w:rsidR="00BB7115" w:rsidP="00A71BF1" w:rsidRDefault="003B3768" w14:paraId="3030119B" w14:textId="3964B294">
            <w:pPr>
              <w:jc w:val="center"/>
              <w:rPr>
                <w:b/>
                <w:bCs/>
              </w:rPr>
            </w:pPr>
            <w:r w:rsidRPr="00F32E3E">
              <w:rPr>
                <w:rFonts w:eastAsia="Calibri"/>
              </w:rPr>
              <w:t>$</w:t>
            </w:r>
            <w:r w:rsidR="00C46E42">
              <w:rPr>
                <w:rFonts w:eastAsia="Calibri"/>
              </w:rPr>
              <w:t>75,967.26</w:t>
            </w:r>
          </w:p>
        </w:tc>
      </w:tr>
      <w:tr w:rsidRPr="00300D34" w:rsidR="00BB7115" w:rsidTr="00F32E3E" w14:paraId="793822BF" w14:textId="77777777">
        <w:trPr>
          <w:trHeight w:val="300"/>
        </w:trPr>
        <w:tc>
          <w:tcPr>
            <w:tcW w:w="4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32E3E" w:rsidR="00BB7115" w:rsidRDefault="005E2D23" w14:paraId="53B7FD3E" w14:textId="77777777">
            <w:pPr>
              <w:pStyle w:val="NoSpacing"/>
              <w:rPr>
                <w:rFonts w:ascii="Times New Roman" w:hAnsi="Times New Roman" w:eastAsia="Calibri" w:cs="Times New Roman"/>
                <w:color w:val="000000" w:themeColor="text1"/>
                <w:sz w:val="24"/>
                <w:szCs w:val="24"/>
              </w:rPr>
            </w:pPr>
            <w:r w:rsidRPr="00F32E3E">
              <w:rPr>
                <w:rFonts w:ascii="Times New Roman" w:hAnsi="Times New Roman" w:eastAsia="Calibri" w:cs="Times New Roman"/>
                <w:color w:val="000000" w:themeColor="text1"/>
                <w:sz w:val="24"/>
                <w:szCs w:val="24"/>
              </w:rPr>
              <w:t>Travel</w:t>
            </w:r>
          </w:p>
        </w:tc>
        <w:tc>
          <w:tcPr>
            <w:tcW w:w="1260" w:type="dxa"/>
            <w:tcBorders>
              <w:top w:val="nil"/>
              <w:left w:val="nil"/>
              <w:bottom w:val="single" w:color="auto" w:sz="8" w:space="0"/>
              <w:right w:val="single" w:color="auto" w:sz="8" w:space="0"/>
            </w:tcBorders>
            <w:shd w:val="clear" w:color="auto" w:fill="BFBFBF" w:themeFill="background1" w:themeFillShade="BF"/>
          </w:tcPr>
          <w:p w:rsidRPr="00F32E3E" w:rsidR="00BB7115" w:rsidP="00CE68E2" w:rsidRDefault="00BB7115" w14:paraId="547B18FA" w14:textId="77777777">
            <w:pPr>
              <w:pStyle w:val="NoSpacing"/>
              <w:jc w:val="center"/>
              <w:rPr>
                <w:rFonts w:ascii="Times New Roman" w:hAnsi="Times New Roman" w:eastAsia="Calibri" w:cs="Times New Roman"/>
                <w:sz w:val="24"/>
                <w:szCs w:val="24"/>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32E3E" w:rsidR="00BB7115" w:rsidP="00CE68E2" w:rsidRDefault="00BB7115" w14:paraId="117A066A" w14:textId="77777777">
            <w:pPr>
              <w:pStyle w:val="NoSpacing"/>
              <w:jc w:val="center"/>
              <w:rPr>
                <w:rFonts w:ascii="Times New Roman" w:hAnsi="Times New Roman" w:eastAsia="Calibri" w:cs="Times New Roman"/>
                <w:sz w:val="24"/>
                <w:szCs w:val="24"/>
              </w:rPr>
            </w:pPr>
          </w:p>
        </w:tc>
        <w:tc>
          <w:tcPr>
            <w:tcW w:w="9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32E3E" w:rsidR="00BB7115" w:rsidP="00CE68E2" w:rsidRDefault="00BB7115" w14:paraId="1154D0F3" w14:textId="77777777">
            <w:pPr>
              <w:pStyle w:val="NoSpacing"/>
              <w:jc w:val="center"/>
              <w:rPr>
                <w:rFonts w:ascii="Times New Roman" w:hAnsi="Times New Roman" w:eastAsia="Calibri" w:cs="Times New Roman"/>
                <w:sz w:val="24"/>
                <w:szCs w:val="24"/>
              </w:rPr>
            </w:pPr>
          </w:p>
        </w:tc>
        <w:tc>
          <w:tcPr>
            <w:tcW w:w="1389" w:type="dxa"/>
            <w:tcBorders>
              <w:top w:val="nil"/>
              <w:left w:val="nil"/>
              <w:bottom w:val="single" w:color="auto" w:sz="8" w:space="0"/>
              <w:right w:val="single" w:color="auto" w:sz="8" w:space="0"/>
            </w:tcBorders>
            <w:shd w:val="clear" w:color="auto" w:fill="BFBFBF" w:themeFill="background1" w:themeFillShade="BF"/>
          </w:tcPr>
          <w:p w:rsidRPr="00F32E3E" w:rsidR="00BB7115" w:rsidP="00CE68E2" w:rsidRDefault="00BB7115" w14:paraId="7DE0B5D8" w14:textId="77777777">
            <w:pPr>
              <w:pStyle w:val="NoSpacing"/>
              <w:jc w:val="center"/>
              <w:rPr>
                <w:rFonts w:ascii="Times New Roman" w:hAnsi="Times New Roman" w:cs="Times New Roman"/>
                <w:sz w:val="24"/>
                <w:szCs w:val="24"/>
              </w:rPr>
            </w:pPr>
          </w:p>
        </w:tc>
        <w:tc>
          <w:tcPr>
            <w:tcW w:w="1443" w:type="dxa"/>
            <w:tcBorders>
              <w:top w:val="nil"/>
              <w:left w:val="nil"/>
              <w:bottom w:val="single" w:color="auto" w:sz="8" w:space="0"/>
              <w:right w:val="single" w:color="auto" w:sz="8" w:space="0"/>
            </w:tcBorders>
            <w:vAlign w:val="center"/>
          </w:tcPr>
          <w:p w:rsidRPr="00F32E3E" w:rsidR="00BB7115" w:rsidP="00A71BF1" w:rsidRDefault="00012983" w14:paraId="30AD08D2" w14:textId="77777777">
            <w:pPr>
              <w:pStyle w:val="NoSpacing"/>
              <w:jc w:val="center"/>
              <w:rPr>
                <w:rFonts w:ascii="Times New Roman" w:hAnsi="Times New Roman" w:cs="Times New Roman"/>
                <w:sz w:val="24"/>
                <w:szCs w:val="24"/>
              </w:rPr>
            </w:pPr>
            <w:r w:rsidRPr="00F32E3E">
              <w:rPr>
                <w:rFonts w:ascii="Times New Roman" w:hAnsi="Times New Roman" w:cs="Times New Roman"/>
                <w:sz w:val="24"/>
                <w:szCs w:val="24"/>
              </w:rPr>
              <w:t>$0</w:t>
            </w:r>
          </w:p>
        </w:tc>
      </w:tr>
      <w:tr w:rsidRPr="00300D34" w:rsidR="00BB7115" w:rsidTr="00F32E3E" w14:paraId="1B529E3C" w14:textId="77777777">
        <w:trPr>
          <w:trHeight w:val="300"/>
        </w:trPr>
        <w:tc>
          <w:tcPr>
            <w:tcW w:w="4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32E3E" w:rsidR="00BB7115" w:rsidRDefault="005E2D23" w14:paraId="7999FE02" w14:textId="270ACB2F">
            <w:pPr>
              <w:pStyle w:val="NoSpacing"/>
              <w:rPr>
                <w:rFonts w:ascii="Times New Roman" w:hAnsi="Times New Roman" w:eastAsia="Calibri" w:cs="Times New Roman"/>
                <w:color w:val="000000" w:themeColor="text1"/>
                <w:sz w:val="24"/>
                <w:szCs w:val="24"/>
              </w:rPr>
            </w:pPr>
            <w:r w:rsidRPr="00F32E3E">
              <w:rPr>
                <w:rFonts w:ascii="Times New Roman" w:hAnsi="Times New Roman" w:eastAsia="Calibri" w:cs="Times New Roman"/>
                <w:color w:val="000000" w:themeColor="text1"/>
                <w:sz w:val="24"/>
                <w:szCs w:val="24"/>
              </w:rPr>
              <w:t>Other Cost</w:t>
            </w:r>
            <w:r w:rsidR="00C46E42">
              <w:rPr>
                <w:rFonts w:ascii="Times New Roman" w:hAnsi="Times New Roman" w:eastAsia="Calibri" w:cs="Times New Roman"/>
                <w:color w:val="000000" w:themeColor="text1"/>
                <w:sz w:val="24"/>
                <w:szCs w:val="24"/>
              </w:rPr>
              <w:t xml:space="preserve"> (ODC)</w:t>
            </w:r>
          </w:p>
        </w:tc>
        <w:tc>
          <w:tcPr>
            <w:tcW w:w="1260" w:type="dxa"/>
            <w:tcBorders>
              <w:top w:val="nil"/>
              <w:left w:val="nil"/>
              <w:bottom w:val="single" w:color="auto" w:sz="8" w:space="0"/>
              <w:right w:val="single" w:color="auto" w:sz="8" w:space="0"/>
            </w:tcBorders>
            <w:shd w:val="clear" w:color="auto" w:fill="BFBFBF" w:themeFill="background1" w:themeFillShade="BF"/>
          </w:tcPr>
          <w:p w:rsidRPr="00F32E3E" w:rsidR="00BB7115" w:rsidP="00CE68E2" w:rsidRDefault="00BB7115" w14:paraId="23B2800D" w14:textId="77777777">
            <w:pPr>
              <w:pStyle w:val="NoSpacing"/>
              <w:jc w:val="center"/>
              <w:rPr>
                <w:rFonts w:ascii="Times New Roman" w:hAnsi="Times New Roman" w:eastAsia="Calibri" w:cs="Times New Roman"/>
                <w:sz w:val="24"/>
                <w:szCs w:val="24"/>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32E3E" w:rsidR="00BB7115" w:rsidP="00CE68E2" w:rsidRDefault="00BB7115" w14:paraId="11E726CD" w14:textId="77777777">
            <w:pPr>
              <w:pStyle w:val="NoSpacing"/>
              <w:jc w:val="center"/>
              <w:rPr>
                <w:rFonts w:ascii="Times New Roman" w:hAnsi="Times New Roman" w:eastAsia="Calibri" w:cs="Times New Roman"/>
                <w:sz w:val="24"/>
                <w:szCs w:val="24"/>
              </w:rPr>
            </w:pPr>
          </w:p>
        </w:tc>
        <w:tc>
          <w:tcPr>
            <w:tcW w:w="9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F32E3E" w:rsidR="00BB7115" w:rsidP="00CE68E2" w:rsidRDefault="00BB7115" w14:paraId="6BC8432A" w14:textId="77777777">
            <w:pPr>
              <w:pStyle w:val="NoSpacing"/>
              <w:jc w:val="center"/>
              <w:rPr>
                <w:rFonts w:ascii="Times New Roman" w:hAnsi="Times New Roman" w:eastAsia="Calibri" w:cs="Times New Roman"/>
                <w:sz w:val="24"/>
                <w:szCs w:val="24"/>
              </w:rPr>
            </w:pPr>
          </w:p>
        </w:tc>
        <w:tc>
          <w:tcPr>
            <w:tcW w:w="1389" w:type="dxa"/>
            <w:tcBorders>
              <w:top w:val="nil"/>
              <w:left w:val="nil"/>
              <w:bottom w:val="single" w:color="auto" w:sz="8" w:space="0"/>
              <w:right w:val="single" w:color="auto" w:sz="8" w:space="0"/>
            </w:tcBorders>
            <w:shd w:val="clear" w:color="auto" w:fill="BFBFBF" w:themeFill="background1" w:themeFillShade="BF"/>
          </w:tcPr>
          <w:p w:rsidRPr="00F32E3E" w:rsidR="00BB7115" w:rsidP="00CE68E2" w:rsidRDefault="00BB7115" w14:paraId="7CC5810A" w14:textId="77777777">
            <w:pPr>
              <w:pStyle w:val="NoSpacing"/>
              <w:jc w:val="center"/>
              <w:rPr>
                <w:rFonts w:ascii="Times New Roman" w:hAnsi="Times New Roman" w:eastAsia="Calibri" w:cs="Times New Roman"/>
                <w:sz w:val="24"/>
                <w:szCs w:val="24"/>
              </w:rPr>
            </w:pPr>
          </w:p>
        </w:tc>
        <w:tc>
          <w:tcPr>
            <w:tcW w:w="1443" w:type="dxa"/>
            <w:tcBorders>
              <w:top w:val="nil"/>
              <w:left w:val="nil"/>
              <w:bottom w:val="single" w:color="auto" w:sz="8" w:space="0"/>
              <w:right w:val="single" w:color="auto" w:sz="8" w:space="0"/>
            </w:tcBorders>
            <w:vAlign w:val="center"/>
          </w:tcPr>
          <w:p w:rsidRPr="00F32E3E" w:rsidR="00BB7115" w:rsidP="00A71BF1" w:rsidRDefault="003B3768" w14:paraId="3FF4544B" w14:textId="5CFBE580">
            <w:pPr>
              <w:pStyle w:val="NoSpacing"/>
              <w:jc w:val="center"/>
              <w:rPr>
                <w:rFonts w:ascii="Times New Roman" w:hAnsi="Times New Roman" w:eastAsia="Calibri" w:cs="Times New Roman"/>
                <w:sz w:val="24"/>
                <w:szCs w:val="24"/>
              </w:rPr>
            </w:pPr>
            <w:r w:rsidRPr="00F32E3E">
              <w:rPr>
                <w:rFonts w:ascii="Times New Roman" w:hAnsi="Times New Roman" w:eastAsia="Calibri" w:cs="Times New Roman"/>
                <w:sz w:val="24"/>
                <w:szCs w:val="24"/>
              </w:rPr>
              <w:t>$</w:t>
            </w:r>
            <w:r w:rsidR="00C46E42">
              <w:rPr>
                <w:rFonts w:ascii="Times New Roman" w:hAnsi="Times New Roman" w:eastAsia="Calibri" w:cs="Times New Roman"/>
                <w:sz w:val="24"/>
                <w:szCs w:val="24"/>
              </w:rPr>
              <w:t>4,012.50</w:t>
            </w:r>
          </w:p>
        </w:tc>
      </w:tr>
      <w:tr w:rsidRPr="00300D34" w:rsidR="00BB7115" w:rsidTr="00F32E3E" w14:paraId="5F3A5840" w14:textId="77777777">
        <w:trPr>
          <w:trHeight w:val="300"/>
        </w:trPr>
        <w:tc>
          <w:tcPr>
            <w:tcW w:w="423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32E3E" w:rsidR="00BB7115" w:rsidRDefault="00012983" w14:paraId="4B8D273B" w14:textId="77777777">
            <w:pPr>
              <w:pStyle w:val="NoSpacing"/>
              <w:rPr>
                <w:rFonts w:ascii="Times New Roman" w:hAnsi="Times New Roman" w:cs="Times New Roman"/>
                <w:b/>
                <w:bCs/>
                <w:sz w:val="24"/>
                <w:szCs w:val="24"/>
              </w:rPr>
            </w:pPr>
            <w:r w:rsidRPr="00F32E3E">
              <w:rPr>
                <w:rFonts w:ascii="Times New Roman" w:hAnsi="Times New Roman" w:cs="Times New Roman"/>
                <w:b/>
                <w:bCs/>
                <w:sz w:val="24"/>
                <w:szCs w:val="24"/>
              </w:rPr>
              <w:t>Total</w:t>
            </w:r>
          </w:p>
        </w:tc>
        <w:tc>
          <w:tcPr>
            <w:tcW w:w="1260" w:type="dxa"/>
            <w:tcBorders>
              <w:top w:val="nil"/>
              <w:left w:val="nil"/>
              <w:bottom w:val="single" w:color="auto" w:sz="8" w:space="0"/>
              <w:right w:val="single" w:color="auto" w:sz="8" w:space="0"/>
            </w:tcBorders>
          </w:tcPr>
          <w:p w:rsidRPr="00F32E3E" w:rsidR="00BB7115" w:rsidP="00CE68E2" w:rsidRDefault="00BB7115" w14:paraId="0126EE8F" w14:textId="77777777">
            <w:pPr>
              <w:pStyle w:val="NoSpacing"/>
              <w:jc w:val="center"/>
              <w:rPr>
                <w:rFonts w:ascii="Times New Roman" w:hAnsi="Times New Roman" w:eastAsia="Calibri" w:cs="Times New Roman"/>
                <w:b/>
                <w:bCs/>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32E3E" w:rsidR="00BB7115" w:rsidP="00CE68E2" w:rsidRDefault="00BB7115" w14:paraId="4D9A9B8C" w14:textId="77777777">
            <w:pPr>
              <w:pStyle w:val="NoSpacing"/>
              <w:jc w:val="center"/>
              <w:rPr>
                <w:rFonts w:ascii="Times New Roman" w:hAnsi="Times New Roman" w:cs="Times New Roman"/>
                <w:b/>
                <w:bCs/>
                <w:sz w:val="24"/>
                <w:szCs w:val="24"/>
              </w:rPr>
            </w:pPr>
          </w:p>
        </w:tc>
        <w:tc>
          <w:tcPr>
            <w:tcW w:w="9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32E3E" w:rsidR="00BB7115" w:rsidP="00CE68E2" w:rsidRDefault="00BB7115" w14:paraId="3F4E1B28" w14:textId="77777777">
            <w:pPr>
              <w:pStyle w:val="NoSpacing"/>
              <w:jc w:val="center"/>
              <w:rPr>
                <w:rFonts w:ascii="Times New Roman" w:hAnsi="Times New Roman" w:cs="Times New Roman"/>
                <w:b/>
                <w:bCs/>
                <w:sz w:val="24"/>
                <w:szCs w:val="24"/>
              </w:rPr>
            </w:pPr>
          </w:p>
        </w:tc>
        <w:tc>
          <w:tcPr>
            <w:tcW w:w="1389" w:type="dxa"/>
            <w:tcBorders>
              <w:top w:val="nil"/>
              <w:left w:val="nil"/>
              <w:bottom w:val="single" w:color="auto" w:sz="8" w:space="0"/>
              <w:right w:val="single" w:color="auto" w:sz="8" w:space="0"/>
            </w:tcBorders>
          </w:tcPr>
          <w:p w:rsidRPr="00F32E3E" w:rsidR="00BB7115" w:rsidP="00CE68E2" w:rsidRDefault="00BB7115" w14:paraId="3274B5E8" w14:textId="77777777">
            <w:pPr>
              <w:pStyle w:val="NoSpacing"/>
              <w:jc w:val="center"/>
              <w:rPr>
                <w:rFonts w:ascii="Times New Roman" w:hAnsi="Times New Roman" w:cs="Times New Roman"/>
                <w:b/>
                <w:bCs/>
                <w:sz w:val="24"/>
                <w:szCs w:val="24"/>
              </w:rPr>
            </w:pPr>
          </w:p>
        </w:tc>
        <w:tc>
          <w:tcPr>
            <w:tcW w:w="1443" w:type="dxa"/>
            <w:tcBorders>
              <w:top w:val="nil"/>
              <w:left w:val="nil"/>
              <w:bottom w:val="single" w:color="auto" w:sz="8" w:space="0"/>
              <w:right w:val="single" w:color="auto" w:sz="8" w:space="0"/>
            </w:tcBorders>
            <w:vAlign w:val="center"/>
          </w:tcPr>
          <w:p w:rsidRPr="00F32E3E" w:rsidR="00BB7115" w:rsidP="00A71BF1" w:rsidRDefault="5646BE6F" w14:paraId="42736018" w14:textId="77235133">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w:t>
            </w:r>
            <w:r w:rsidR="00FC0E36">
              <w:rPr>
                <w:rFonts w:ascii="Times New Roman" w:hAnsi="Times New Roman" w:cs="Times New Roman"/>
                <w:b/>
                <w:bCs/>
                <w:sz w:val="24"/>
                <w:szCs w:val="24"/>
              </w:rPr>
              <w:t>86,816.01</w:t>
            </w:r>
          </w:p>
        </w:tc>
      </w:tr>
    </w:tbl>
    <w:p w:rsidRPr="00515FDF" w:rsidR="00515FDF" w:rsidP="00515FDF" w:rsidRDefault="00515FDF" w14:paraId="4A2B61D7" w14:textId="31519B37">
      <w:r w:rsidRPr="00515FDF">
        <w:t xml:space="preserve">**The Salary Table of a Federal Employee can be referenced at </w:t>
      </w:r>
      <w:hyperlink w:history="1" r:id="rId9">
        <w:r w:rsidRPr="00026479" w:rsidR="00C46E42">
          <w:rPr>
            <w:rStyle w:val="Hyperlink"/>
          </w:rPr>
          <w:t>https://www.opm.gov/policy-data-oversight/pay-leave/salaries-wages/salary-tables/19tables/html/DCB.aspx</w:t>
        </w:r>
      </w:hyperlink>
    </w:p>
    <w:p w:rsidRPr="00300D34" w:rsidR="00515FDF" w:rsidP="00BB7115" w:rsidRDefault="00515FDF" w14:paraId="7D555FCD" w14:textId="77777777"/>
    <w:p w:rsidRPr="00300D34" w:rsidR="00713CF8" w:rsidP="006D5BE4" w:rsidRDefault="00713CF8" w14:paraId="4F492E7D" w14:textId="77777777">
      <w:pPr>
        <w:pStyle w:val="Heading2"/>
        <w:spacing w:before="0" w:line="276" w:lineRule="auto"/>
        <w:rPr>
          <w:rFonts w:ascii="Times New Roman" w:hAnsi="Times New Roman" w:cs="Times New Roman"/>
        </w:rPr>
      </w:pPr>
      <w:r w:rsidRPr="00300D34">
        <w:rPr>
          <w:rFonts w:ascii="Times New Roman" w:hAnsi="Times New Roman" w:cs="Times New Roman"/>
        </w:rPr>
        <w:t>A.15 Explanation for Program Changes or Adjustments</w:t>
      </w:r>
    </w:p>
    <w:p w:rsidRPr="00300D34" w:rsidR="00713CF8" w:rsidP="006D5BE4" w:rsidRDefault="00713CF8" w14:paraId="4589445B" w14:textId="77777777">
      <w:pPr>
        <w:spacing w:line="276" w:lineRule="auto"/>
      </w:pPr>
      <w:r w:rsidRPr="00300D34">
        <w:t>N/A</w:t>
      </w:r>
    </w:p>
    <w:p w:rsidR="006F2C77" w:rsidP="006F2C77" w:rsidRDefault="006F2C77" w14:paraId="3E1033D2" w14:textId="77777777">
      <w:pPr>
        <w:pStyle w:val="Heading2"/>
        <w:spacing w:before="0" w:line="276" w:lineRule="auto"/>
        <w:rPr>
          <w:rFonts w:ascii="Times New Roman" w:hAnsi="Times New Roman" w:cs="Times New Roman"/>
        </w:rPr>
      </w:pPr>
    </w:p>
    <w:p w:rsidRPr="00300D34" w:rsidR="00713CF8" w:rsidP="006D5BE4" w:rsidRDefault="00713CF8" w14:paraId="0EA0D430" w14:textId="77777777">
      <w:pPr>
        <w:pStyle w:val="Heading2"/>
        <w:spacing w:before="0" w:line="276" w:lineRule="auto"/>
        <w:rPr>
          <w:rFonts w:ascii="Times New Roman" w:hAnsi="Times New Roman" w:cs="Times New Roman"/>
        </w:rPr>
      </w:pPr>
      <w:r w:rsidRPr="00300D34">
        <w:rPr>
          <w:rFonts w:ascii="Times New Roman" w:hAnsi="Times New Roman" w:cs="Times New Roman"/>
        </w:rPr>
        <w:t>A.16 Plans for Tabulation and Publication and Project Time Schedule</w:t>
      </w:r>
    </w:p>
    <w:p w:rsidR="00FC2A04" w:rsidP="006D5BE4" w:rsidRDefault="00FC2A04" w14:paraId="63228E98" w14:textId="77777777">
      <w:pPr>
        <w:spacing w:line="276" w:lineRule="auto"/>
        <w:rPr>
          <w:highlight w:val="yellow"/>
        </w:rPr>
      </w:pPr>
    </w:p>
    <w:p w:rsidR="008867F5" w:rsidP="00FE0CC5" w:rsidRDefault="00FE0CC5" w14:paraId="2C49CFB3" w14:textId="20BCCE4C">
      <w:pPr>
        <w:spacing w:after="20" w:line="276" w:lineRule="auto"/>
        <w:rPr>
          <w:rFonts w:eastAsia="SimSun"/>
        </w:rPr>
      </w:pPr>
      <w:r w:rsidRPr="00FE0CC5">
        <w:rPr>
          <w:rFonts w:eastAsia="SimSun"/>
        </w:rPr>
        <w:t xml:space="preserve">There are no plans for tabulation or publication of faculty recruitment applications. </w:t>
      </w:r>
      <w:r w:rsidRPr="008867F5" w:rsidR="008867F5">
        <w:rPr>
          <w:rFonts w:eastAsia="SimSun"/>
        </w:rPr>
        <w:t xml:space="preserve">The findings of this research will guide NCI’s human-centered design approach that will improve the user experience with the SBIR and TTC websites and programs, consequently decreasing the volume of questions about </w:t>
      </w:r>
      <w:r w:rsidRPr="008867F5" w:rsidR="008867F5">
        <w:rPr>
          <w:rFonts w:eastAsia="SimSun"/>
        </w:rPr>
        <w:lastRenderedPageBreak/>
        <w:t>SBIR and TTC processes, increasing the number of qualified participants in the programs, and improving the quality of candidates and application submissions.</w:t>
      </w:r>
    </w:p>
    <w:p w:rsidR="008867F5" w:rsidP="00FE0CC5" w:rsidRDefault="008867F5" w14:paraId="06430B83" w14:textId="551D4228">
      <w:pPr>
        <w:spacing w:after="20" w:line="276" w:lineRule="auto"/>
        <w:rPr>
          <w:rFonts w:eastAsia="SimSun"/>
        </w:rPr>
      </w:pPr>
    </w:p>
    <w:p w:rsidR="008867F5" w:rsidP="00FE0CC5" w:rsidRDefault="008867F5" w14:paraId="5E7FE0C1" w14:textId="323E156F">
      <w:pPr>
        <w:spacing w:after="20" w:line="276" w:lineRule="auto"/>
        <w:rPr>
          <w:rFonts w:eastAsia="SimSun"/>
        </w:rPr>
      </w:pPr>
      <w:r>
        <w:rPr>
          <w:rFonts w:eastAsia="SimSun"/>
        </w:rPr>
        <w:t>The data collection will happen as soon as approval is granted, the project will be completed within 3-4 months after receiving approval.</w:t>
      </w:r>
    </w:p>
    <w:p w:rsidR="006F2C77" w:rsidP="006F2C77" w:rsidRDefault="006F2C77" w14:paraId="48E41800" w14:textId="77777777">
      <w:pPr>
        <w:pStyle w:val="Heading2"/>
        <w:spacing w:before="0" w:line="276" w:lineRule="auto"/>
        <w:rPr>
          <w:rFonts w:ascii="Times New Roman" w:hAnsi="Times New Roman" w:cs="Times New Roman"/>
        </w:rPr>
      </w:pPr>
    </w:p>
    <w:p w:rsidRPr="00300D34" w:rsidR="0076325A" w:rsidP="006D5BE4" w:rsidRDefault="00713CF8" w14:paraId="717993DC" w14:textId="77777777">
      <w:pPr>
        <w:pStyle w:val="Heading2"/>
        <w:spacing w:before="0" w:line="276" w:lineRule="auto"/>
        <w:rPr>
          <w:rFonts w:ascii="Times New Roman" w:hAnsi="Times New Roman" w:cs="Times New Roman"/>
          <w:b w:val="0"/>
        </w:rPr>
      </w:pPr>
      <w:r w:rsidRPr="00300D34">
        <w:rPr>
          <w:rFonts w:ascii="Times New Roman" w:hAnsi="Times New Roman" w:cs="Times New Roman"/>
        </w:rPr>
        <w:t>A.17 Reason(s) Display of OMB Expiration Date is Inappropriate</w:t>
      </w:r>
    </w:p>
    <w:p w:rsidRPr="00300D34" w:rsidR="00713CF8" w:rsidP="006D5BE4" w:rsidRDefault="00713CF8" w14:paraId="602A5349" w14:textId="77777777">
      <w:pPr>
        <w:spacing w:line="276" w:lineRule="auto"/>
      </w:pPr>
      <w:r w:rsidRPr="00300D34">
        <w:t>We are not requesting an exemption to the display of the OMB Expiration date.</w:t>
      </w:r>
      <w:r w:rsidRPr="00300D34" w:rsidR="002C4725">
        <w:t xml:space="preserve"> </w:t>
      </w:r>
    </w:p>
    <w:p w:rsidR="006F2C77" w:rsidP="006F2C77" w:rsidRDefault="006F2C77" w14:paraId="52C9F4CE" w14:textId="77777777">
      <w:pPr>
        <w:pStyle w:val="Heading2"/>
        <w:spacing w:before="0" w:line="276" w:lineRule="auto"/>
        <w:rPr>
          <w:rFonts w:ascii="Times New Roman" w:hAnsi="Times New Roman" w:cs="Times New Roman"/>
        </w:rPr>
      </w:pPr>
    </w:p>
    <w:p w:rsidRPr="00300D34" w:rsidR="00713CF8" w:rsidP="006D5BE4" w:rsidRDefault="006D5BE4" w14:paraId="28C16225" w14:textId="77777777">
      <w:pPr>
        <w:pStyle w:val="Heading2"/>
        <w:spacing w:before="0" w:line="276" w:lineRule="auto"/>
        <w:rPr>
          <w:rFonts w:ascii="Times New Roman" w:hAnsi="Times New Roman" w:cs="Times New Roman"/>
        </w:rPr>
      </w:pPr>
      <w:r>
        <w:rPr>
          <w:rFonts w:ascii="Times New Roman" w:hAnsi="Times New Roman" w:cs="Times New Roman"/>
        </w:rPr>
        <w:t>A</w:t>
      </w:r>
      <w:r w:rsidRPr="00300D34" w:rsidR="00713CF8">
        <w:rPr>
          <w:rFonts w:ascii="Times New Roman" w:hAnsi="Times New Roman" w:cs="Times New Roman"/>
        </w:rPr>
        <w:t>.18 Exceptions to Certification for Paperwork Reduction Act Submissions</w:t>
      </w:r>
    </w:p>
    <w:p w:rsidRPr="00495215" w:rsidR="00255117" w:rsidP="006D5BE4" w:rsidRDefault="0087173D" w14:paraId="1DDF0115" w14:textId="77777777">
      <w:pPr>
        <w:spacing w:line="276" w:lineRule="auto"/>
      </w:pPr>
      <w:r w:rsidRPr="00300D34">
        <w:t>This survey will comply with the requirements in 5 CFR 1320.9.</w:t>
      </w:r>
      <w:r w:rsidRPr="00300D34" w:rsidR="00990709">
        <w:tab/>
      </w:r>
    </w:p>
    <w:sectPr w:rsidRPr="00495215" w:rsidR="00255117" w:rsidSect="00CC311D">
      <w:footerReference w:type="even" r:id="rId10"/>
      <w:footerReference w:type="default" r:id="rId11"/>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EBB4A" w14:textId="77777777" w:rsidR="0034057F" w:rsidRDefault="0034057F" w:rsidP="005676C6">
      <w:r>
        <w:separator/>
      </w:r>
    </w:p>
  </w:endnote>
  <w:endnote w:type="continuationSeparator" w:id="0">
    <w:p w14:paraId="352BE80F" w14:textId="77777777" w:rsidR="0034057F" w:rsidRDefault="0034057F" w:rsidP="005676C6">
      <w:r>
        <w:continuationSeparator/>
      </w:r>
    </w:p>
  </w:endnote>
  <w:endnote w:type="continuationNotice" w:id="1">
    <w:p w14:paraId="6FEE3B56" w14:textId="77777777" w:rsidR="0034057F" w:rsidRDefault="00340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2265945"/>
      <w:docPartObj>
        <w:docPartGallery w:val="Page Numbers (Bottom of Page)"/>
        <w:docPartUnique/>
      </w:docPartObj>
    </w:sdtPr>
    <w:sdtEndPr>
      <w:rPr>
        <w:rStyle w:val="PageNumber"/>
      </w:rPr>
    </w:sdtEndPr>
    <w:sdtContent>
      <w:p w14:paraId="0791AF8B" w14:textId="77777777" w:rsidR="008B5C31" w:rsidRDefault="008B5C31" w:rsidP="00F569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080E4E" w14:textId="77777777" w:rsidR="008B5C31" w:rsidRDefault="008B5C31" w:rsidP="00CE6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1167094"/>
      <w:docPartObj>
        <w:docPartGallery w:val="Page Numbers (Bottom of Page)"/>
        <w:docPartUnique/>
      </w:docPartObj>
    </w:sdtPr>
    <w:sdtEndPr>
      <w:rPr>
        <w:rStyle w:val="PageNumber"/>
      </w:rPr>
    </w:sdtEndPr>
    <w:sdtContent>
      <w:p w14:paraId="1B66A7EF" w14:textId="77777777" w:rsidR="008B5C31" w:rsidRDefault="008B5C31" w:rsidP="00F569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C453824" w14:textId="77777777" w:rsidR="008B5C31" w:rsidRDefault="008B5C31" w:rsidP="00CE68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3DD56" w14:textId="77777777" w:rsidR="0034057F" w:rsidRDefault="0034057F" w:rsidP="005676C6">
      <w:r>
        <w:separator/>
      </w:r>
    </w:p>
  </w:footnote>
  <w:footnote w:type="continuationSeparator" w:id="0">
    <w:p w14:paraId="73002B81" w14:textId="77777777" w:rsidR="0034057F" w:rsidRDefault="0034057F" w:rsidP="005676C6">
      <w:r>
        <w:continuationSeparator/>
      </w:r>
    </w:p>
  </w:footnote>
  <w:footnote w:type="continuationNotice" w:id="1">
    <w:p w14:paraId="41642C79" w14:textId="77777777" w:rsidR="0034057F" w:rsidRDefault="00340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C71"/>
    <w:multiLevelType w:val="hybridMultilevel"/>
    <w:tmpl w:val="5874D8FA"/>
    <w:lvl w:ilvl="0" w:tplc="81C86C3A">
      <w:start w:val="1"/>
      <w:numFmt w:val="bullet"/>
      <w:lvlText w:val=""/>
      <w:lvlJc w:val="left"/>
      <w:pPr>
        <w:ind w:left="720" w:hanging="360"/>
      </w:pPr>
      <w:rPr>
        <w:rFonts w:ascii="Symbol" w:hAnsi="Symbol" w:hint="default"/>
      </w:rPr>
    </w:lvl>
    <w:lvl w:ilvl="1" w:tplc="54128D10">
      <w:start w:val="1"/>
      <w:numFmt w:val="bullet"/>
      <w:lvlText w:val="o"/>
      <w:lvlJc w:val="left"/>
      <w:pPr>
        <w:ind w:left="1440" w:hanging="360"/>
      </w:pPr>
      <w:rPr>
        <w:rFonts w:ascii="Courier New" w:hAnsi="Courier New" w:hint="default"/>
      </w:rPr>
    </w:lvl>
    <w:lvl w:ilvl="2" w:tplc="21ECA402">
      <w:start w:val="1"/>
      <w:numFmt w:val="bullet"/>
      <w:lvlText w:val=""/>
      <w:lvlJc w:val="left"/>
      <w:pPr>
        <w:ind w:left="2160" w:hanging="360"/>
      </w:pPr>
      <w:rPr>
        <w:rFonts w:ascii="Symbol" w:hAnsi="Symbol" w:hint="default"/>
      </w:rPr>
    </w:lvl>
    <w:lvl w:ilvl="3" w:tplc="5D76CF0E">
      <w:start w:val="1"/>
      <w:numFmt w:val="bullet"/>
      <w:lvlText w:val=""/>
      <w:lvlJc w:val="left"/>
      <w:pPr>
        <w:ind w:left="2880" w:hanging="360"/>
      </w:pPr>
      <w:rPr>
        <w:rFonts w:ascii="Symbol" w:hAnsi="Symbol" w:hint="default"/>
      </w:rPr>
    </w:lvl>
    <w:lvl w:ilvl="4" w:tplc="09F68F94">
      <w:start w:val="1"/>
      <w:numFmt w:val="bullet"/>
      <w:lvlText w:val="o"/>
      <w:lvlJc w:val="left"/>
      <w:pPr>
        <w:ind w:left="3600" w:hanging="360"/>
      </w:pPr>
      <w:rPr>
        <w:rFonts w:ascii="Courier New" w:hAnsi="Courier New" w:hint="default"/>
      </w:rPr>
    </w:lvl>
    <w:lvl w:ilvl="5" w:tplc="8AB0F392">
      <w:start w:val="1"/>
      <w:numFmt w:val="bullet"/>
      <w:lvlText w:val=""/>
      <w:lvlJc w:val="left"/>
      <w:pPr>
        <w:ind w:left="4320" w:hanging="360"/>
      </w:pPr>
      <w:rPr>
        <w:rFonts w:ascii="Wingdings" w:hAnsi="Wingdings" w:hint="default"/>
      </w:rPr>
    </w:lvl>
    <w:lvl w:ilvl="6" w:tplc="EDB858C0">
      <w:start w:val="1"/>
      <w:numFmt w:val="bullet"/>
      <w:lvlText w:val=""/>
      <w:lvlJc w:val="left"/>
      <w:pPr>
        <w:ind w:left="5040" w:hanging="360"/>
      </w:pPr>
      <w:rPr>
        <w:rFonts w:ascii="Symbol" w:hAnsi="Symbol" w:hint="default"/>
      </w:rPr>
    </w:lvl>
    <w:lvl w:ilvl="7" w:tplc="182A6646">
      <w:start w:val="1"/>
      <w:numFmt w:val="bullet"/>
      <w:lvlText w:val="o"/>
      <w:lvlJc w:val="left"/>
      <w:pPr>
        <w:ind w:left="5760" w:hanging="360"/>
      </w:pPr>
      <w:rPr>
        <w:rFonts w:ascii="Courier New" w:hAnsi="Courier New" w:hint="default"/>
      </w:rPr>
    </w:lvl>
    <w:lvl w:ilvl="8" w:tplc="F5660C14">
      <w:start w:val="1"/>
      <w:numFmt w:val="bullet"/>
      <w:lvlText w:val=""/>
      <w:lvlJc w:val="left"/>
      <w:pPr>
        <w:ind w:left="6480" w:hanging="360"/>
      </w:pPr>
      <w:rPr>
        <w:rFonts w:ascii="Wingdings" w:hAnsi="Wingdings" w:hint="default"/>
      </w:rPr>
    </w:lvl>
  </w:abstractNum>
  <w:abstractNum w:abstractNumId="1" w15:restartNumberingAfterBreak="0">
    <w:nsid w:val="0C972685"/>
    <w:multiLevelType w:val="hybridMultilevel"/>
    <w:tmpl w:val="F9B402B0"/>
    <w:lvl w:ilvl="0" w:tplc="871A7704">
      <w:start w:val="1"/>
      <w:numFmt w:val="bullet"/>
      <w:lvlText w:val=""/>
      <w:lvlJc w:val="left"/>
      <w:pPr>
        <w:ind w:left="720" w:hanging="360"/>
      </w:pPr>
      <w:rPr>
        <w:rFonts w:ascii="Symbol" w:hAnsi="Symbol" w:hint="default"/>
      </w:rPr>
    </w:lvl>
    <w:lvl w:ilvl="1" w:tplc="2FF881B6">
      <w:start w:val="1"/>
      <w:numFmt w:val="bullet"/>
      <w:lvlText w:val="o"/>
      <w:lvlJc w:val="left"/>
      <w:pPr>
        <w:ind w:left="1440" w:hanging="360"/>
      </w:pPr>
      <w:rPr>
        <w:rFonts w:ascii="Courier New" w:hAnsi="Courier New" w:hint="default"/>
      </w:rPr>
    </w:lvl>
    <w:lvl w:ilvl="2" w:tplc="88C2F52A">
      <w:start w:val="1"/>
      <w:numFmt w:val="bullet"/>
      <w:lvlText w:val=""/>
      <w:lvlJc w:val="left"/>
      <w:pPr>
        <w:ind w:left="2160" w:hanging="360"/>
      </w:pPr>
      <w:rPr>
        <w:rFonts w:ascii="Symbol" w:hAnsi="Symbol" w:hint="default"/>
      </w:rPr>
    </w:lvl>
    <w:lvl w:ilvl="3" w:tplc="E348BDCE">
      <w:start w:val="1"/>
      <w:numFmt w:val="bullet"/>
      <w:lvlText w:val=""/>
      <w:lvlJc w:val="left"/>
      <w:pPr>
        <w:ind w:left="2880" w:hanging="360"/>
      </w:pPr>
      <w:rPr>
        <w:rFonts w:ascii="Symbol" w:hAnsi="Symbol" w:hint="default"/>
      </w:rPr>
    </w:lvl>
    <w:lvl w:ilvl="4" w:tplc="07164516">
      <w:start w:val="1"/>
      <w:numFmt w:val="bullet"/>
      <w:lvlText w:val="o"/>
      <w:lvlJc w:val="left"/>
      <w:pPr>
        <w:ind w:left="3600" w:hanging="360"/>
      </w:pPr>
      <w:rPr>
        <w:rFonts w:ascii="Courier New" w:hAnsi="Courier New" w:hint="default"/>
      </w:rPr>
    </w:lvl>
    <w:lvl w:ilvl="5" w:tplc="D4FEC10C">
      <w:start w:val="1"/>
      <w:numFmt w:val="bullet"/>
      <w:lvlText w:val=""/>
      <w:lvlJc w:val="left"/>
      <w:pPr>
        <w:ind w:left="4320" w:hanging="360"/>
      </w:pPr>
      <w:rPr>
        <w:rFonts w:ascii="Wingdings" w:hAnsi="Wingdings" w:hint="default"/>
      </w:rPr>
    </w:lvl>
    <w:lvl w:ilvl="6" w:tplc="664003BE">
      <w:start w:val="1"/>
      <w:numFmt w:val="bullet"/>
      <w:lvlText w:val=""/>
      <w:lvlJc w:val="left"/>
      <w:pPr>
        <w:ind w:left="5040" w:hanging="360"/>
      </w:pPr>
      <w:rPr>
        <w:rFonts w:ascii="Symbol" w:hAnsi="Symbol" w:hint="default"/>
      </w:rPr>
    </w:lvl>
    <w:lvl w:ilvl="7" w:tplc="0FD255E2">
      <w:start w:val="1"/>
      <w:numFmt w:val="bullet"/>
      <w:lvlText w:val="o"/>
      <w:lvlJc w:val="left"/>
      <w:pPr>
        <w:ind w:left="5760" w:hanging="360"/>
      </w:pPr>
      <w:rPr>
        <w:rFonts w:ascii="Courier New" w:hAnsi="Courier New" w:hint="default"/>
      </w:rPr>
    </w:lvl>
    <w:lvl w:ilvl="8" w:tplc="1172C3AC">
      <w:start w:val="1"/>
      <w:numFmt w:val="bullet"/>
      <w:lvlText w:val=""/>
      <w:lvlJc w:val="left"/>
      <w:pPr>
        <w:ind w:left="6480" w:hanging="360"/>
      </w:pPr>
      <w:rPr>
        <w:rFonts w:ascii="Wingdings" w:hAnsi="Wingdings" w:hint="default"/>
      </w:rPr>
    </w:lvl>
  </w:abstractNum>
  <w:abstractNum w:abstractNumId="2"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3792C"/>
    <w:multiLevelType w:val="hybridMultilevel"/>
    <w:tmpl w:val="A1BAE3A4"/>
    <w:lvl w:ilvl="0" w:tplc="88AE2682">
      <w:start w:val="1"/>
      <w:numFmt w:val="bullet"/>
      <w:lvlText w:val=""/>
      <w:lvlJc w:val="left"/>
      <w:pPr>
        <w:ind w:left="720" w:hanging="360"/>
      </w:pPr>
      <w:rPr>
        <w:rFonts w:ascii="Symbol" w:hAnsi="Symbol" w:hint="default"/>
      </w:rPr>
    </w:lvl>
    <w:lvl w:ilvl="1" w:tplc="ABB60B1E">
      <w:start w:val="1"/>
      <w:numFmt w:val="bullet"/>
      <w:lvlText w:val="o"/>
      <w:lvlJc w:val="left"/>
      <w:pPr>
        <w:ind w:left="1440" w:hanging="360"/>
      </w:pPr>
      <w:rPr>
        <w:rFonts w:ascii="Courier New" w:hAnsi="Courier New" w:hint="default"/>
      </w:rPr>
    </w:lvl>
    <w:lvl w:ilvl="2" w:tplc="F48886B4">
      <w:start w:val="1"/>
      <w:numFmt w:val="bullet"/>
      <w:lvlText w:val=""/>
      <w:lvlJc w:val="left"/>
      <w:pPr>
        <w:ind w:left="2160" w:hanging="360"/>
      </w:pPr>
      <w:rPr>
        <w:rFonts w:ascii="Wingdings" w:hAnsi="Wingdings" w:hint="default"/>
      </w:rPr>
    </w:lvl>
    <w:lvl w:ilvl="3" w:tplc="2FF42A8A">
      <w:start w:val="1"/>
      <w:numFmt w:val="bullet"/>
      <w:lvlText w:val=""/>
      <w:lvlJc w:val="left"/>
      <w:pPr>
        <w:ind w:left="2880" w:hanging="360"/>
      </w:pPr>
      <w:rPr>
        <w:rFonts w:ascii="Symbol" w:hAnsi="Symbol" w:hint="default"/>
      </w:rPr>
    </w:lvl>
    <w:lvl w:ilvl="4" w:tplc="460CAC30">
      <w:start w:val="1"/>
      <w:numFmt w:val="bullet"/>
      <w:lvlText w:val="o"/>
      <w:lvlJc w:val="left"/>
      <w:pPr>
        <w:ind w:left="3600" w:hanging="360"/>
      </w:pPr>
      <w:rPr>
        <w:rFonts w:ascii="Courier New" w:hAnsi="Courier New" w:hint="default"/>
      </w:rPr>
    </w:lvl>
    <w:lvl w:ilvl="5" w:tplc="44AE4F46">
      <w:start w:val="1"/>
      <w:numFmt w:val="bullet"/>
      <w:lvlText w:val=""/>
      <w:lvlJc w:val="left"/>
      <w:pPr>
        <w:ind w:left="4320" w:hanging="360"/>
      </w:pPr>
      <w:rPr>
        <w:rFonts w:ascii="Wingdings" w:hAnsi="Wingdings" w:hint="default"/>
      </w:rPr>
    </w:lvl>
    <w:lvl w:ilvl="6" w:tplc="9F8C69F8">
      <w:start w:val="1"/>
      <w:numFmt w:val="bullet"/>
      <w:lvlText w:val=""/>
      <w:lvlJc w:val="left"/>
      <w:pPr>
        <w:ind w:left="5040" w:hanging="360"/>
      </w:pPr>
      <w:rPr>
        <w:rFonts w:ascii="Symbol" w:hAnsi="Symbol" w:hint="default"/>
      </w:rPr>
    </w:lvl>
    <w:lvl w:ilvl="7" w:tplc="F028D1C0">
      <w:start w:val="1"/>
      <w:numFmt w:val="bullet"/>
      <w:lvlText w:val="o"/>
      <w:lvlJc w:val="left"/>
      <w:pPr>
        <w:ind w:left="5760" w:hanging="360"/>
      </w:pPr>
      <w:rPr>
        <w:rFonts w:ascii="Courier New" w:hAnsi="Courier New" w:hint="default"/>
      </w:rPr>
    </w:lvl>
    <w:lvl w:ilvl="8" w:tplc="39E2113C">
      <w:start w:val="1"/>
      <w:numFmt w:val="bullet"/>
      <w:lvlText w:val=""/>
      <w:lvlJc w:val="left"/>
      <w:pPr>
        <w:ind w:left="6480" w:hanging="360"/>
      </w:pPr>
      <w:rPr>
        <w:rFonts w:ascii="Wingdings" w:hAnsi="Wingdings" w:hint="default"/>
      </w:rPr>
    </w:lvl>
  </w:abstractNum>
  <w:abstractNum w:abstractNumId="4" w15:restartNumberingAfterBreak="0">
    <w:nsid w:val="1B067728"/>
    <w:multiLevelType w:val="hybridMultilevel"/>
    <w:tmpl w:val="2EA01B5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23932"/>
    <w:multiLevelType w:val="hybridMultilevel"/>
    <w:tmpl w:val="C69850F2"/>
    <w:lvl w:ilvl="0" w:tplc="C3EE1C48">
      <w:start w:val="1"/>
      <w:numFmt w:val="bullet"/>
      <w:lvlText w:val=""/>
      <w:lvlJc w:val="left"/>
      <w:pPr>
        <w:ind w:left="720" w:hanging="360"/>
      </w:pPr>
      <w:rPr>
        <w:rFonts w:ascii="Symbol" w:hAnsi="Symbol" w:hint="default"/>
      </w:rPr>
    </w:lvl>
    <w:lvl w:ilvl="1" w:tplc="72BE6580">
      <w:start w:val="1"/>
      <w:numFmt w:val="bullet"/>
      <w:lvlText w:val="o"/>
      <w:lvlJc w:val="left"/>
      <w:pPr>
        <w:ind w:left="1440" w:hanging="360"/>
      </w:pPr>
      <w:rPr>
        <w:rFonts w:ascii="Courier New" w:hAnsi="Courier New" w:hint="default"/>
      </w:rPr>
    </w:lvl>
    <w:lvl w:ilvl="2" w:tplc="6938F16E">
      <w:start w:val="1"/>
      <w:numFmt w:val="bullet"/>
      <w:lvlText w:val=""/>
      <w:lvlJc w:val="left"/>
      <w:pPr>
        <w:ind w:left="2160" w:hanging="360"/>
      </w:pPr>
      <w:rPr>
        <w:rFonts w:ascii="Wingdings" w:hAnsi="Wingdings" w:hint="default"/>
      </w:rPr>
    </w:lvl>
    <w:lvl w:ilvl="3" w:tplc="8E80403E">
      <w:start w:val="1"/>
      <w:numFmt w:val="bullet"/>
      <w:lvlText w:val=""/>
      <w:lvlJc w:val="left"/>
      <w:pPr>
        <w:ind w:left="2880" w:hanging="360"/>
      </w:pPr>
      <w:rPr>
        <w:rFonts w:ascii="Symbol" w:hAnsi="Symbol" w:hint="default"/>
      </w:rPr>
    </w:lvl>
    <w:lvl w:ilvl="4" w:tplc="FA449C10">
      <w:start w:val="1"/>
      <w:numFmt w:val="bullet"/>
      <w:lvlText w:val="o"/>
      <w:lvlJc w:val="left"/>
      <w:pPr>
        <w:ind w:left="3600" w:hanging="360"/>
      </w:pPr>
      <w:rPr>
        <w:rFonts w:ascii="Courier New" w:hAnsi="Courier New" w:hint="default"/>
      </w:rPr>
    </w:lvl>
    <w:lvl w:ilvl="5" w:tplc="9D2E7DEA">
      <w:start w:val="1"/>
      <w:numFmt w:val="bullet"/>
      <w:lvlText w:val=""/>
      <w:lvlJc w:val="left"/>
      <w:pPr>
        <w:ind w:left="4320" w:hanging="360"/>
      </w:pPr>
      <w:rPr>
        <w:rFonts w:ascii="Wingdings" w:hAnsi="Wingdings" w:hint="default"/>
      </w:rPr>
    </w:lvl>
    <w:lvl w:ilvl="6" w:tplc="EF3ED33E">
      <w:start w:val="1"/>
      <w:numFmt w:val="bullet"/>
      <w:lvlText w:val=""/>
      <w:lvlJc w:val="left"/>
      <w:pPr>
        <w:ind w:left="5040" w:hanging="360"/>
      </w:pPr>
      <w:rPr>
        <w:rFonts w:ascii="Symbol" w:hAnsi="Symbol" w:hint="default"/>
      </w:rPr>
    </w:lvl>
    <w:lvl w:ilvl="7" w:tplc="98B01F7A">
      <w:start w:val="1"/>
      <w:numFmt w:val="bullet"/>
      <w:lvlText w:val="o"/>
      <w:lvlJc w:val="left"/>
      <w:pPr>
        <w:ind w:left="5760" w:hanging="360"/>
      </w:pPr>
      <w:rPr>
        <w:rFonts w:ascii="Courier New" w:hAnsi="Courier New" w:hint="default"/>
      </w:rPr>
    </w:lvl>
    <w:lvl w:ilvl="8" w:tplc="CEF88F04">
      <w:start w:val="1"/>
      <w:numFmt w:val="bullet"/>
      <w:lvlText w:val=""/>
      <w:lvlJc w:val="left"/>
      <w:pPr>
        <w:ind w:left="6480" w:hanging="360"/>
      </w:pPr>
      <w:rPr>
        <w:rFonts w:ascii="Wingdings" w:hAnsi="Wingdings" w:hint="default"/>
      </w:rPr>
    </w:lvl>
  </w:abstractNum>
  <w:abstractNum w:abstractNumId="6"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368F5594"/>
    <w:multiLevelType w:val="hybridMultilevel"/>
    <w:tmpl w:val="9464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D46AF"/>
    <w:multiLevelType w:val="hybridMultilevel"/>
    <w:tmpl w:val="F332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5651D"/>
    <w:multiLevelType w:val="hybridMultilevel"/>
    <w:tmpl w:val="A4BE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4749F"/>
    <w:multiLevelType w:val="hybridMultilevel"/>
    <w:tmpl w:val="9574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A2CA0"/>
    <w:multiLevelType w:val="hybridMultilevel"/>
    <w:tmpl w:val="6E52B466"/>
    <w:lvl w:ilvl="0" w:tplc="434C17F4">
      <w:start w:val="1"/>
      <w:numFmt w:val="bullet"/>
      <w:lvlText w:val=""/>
      <w:lvlJc w:val="left"/>
      <w:pPr>
        <w:ind w:left="720" w:hanging="360"/>
      </w:pPr>
      <w:rPr>
        <w:rFonts w:ascii="Symbol" w:hAnsi="Symbol" w:hint="default"/>
      </w:rPr>
    </w:lvl>
    <w:lvl w:ilvl="1" w:tplc="6EF88BFA">
      <w:start w:val="1"/>
      <w:numFmt w:val="bullet"/>
      <w:lvlText w:val="o"/>
      <w:lvlJc w:val="left"/>
      <w:pPr>
        <w:ind w:left="1440" w:hanging="360"/>
      </w:pPr>
      <w:rPr>
        <w:rFonts w:ascii="Courier New" w:hAnsi="Courier New" w:hint="default"/>
      </w:rPr>
    </w:lvl>
    <w:lvl w:ilvl="2" w:tplc="7D909530">
      <w:start w:val="1"/>
      <w:numFmt w:val="bullet"/>
      <w:lvlText w:val=""/>
      <w:lvlJc w:val="left"/>
      <w:pPr>
        <w:ind w:left="2160" w:hanging="360"/>
      </w:pPr>
      <w:rPr>
        <w:rFonts w:ascii="Wingdings" w:hAnsi="Wingdings" w:hint="default"/>
      </w:rPr>
    </w:lvl>
    <w:lvl w:ilvl="3" w:tplc="B96C1B5A">
      <w:start w:val="1"/>
      <w:numFmt w:val="bullet"/>
      <w:lvlText w:val=""/>
      <w:lvlJc w:val="left"/>
      <w:pPr>
        <w:ind w:left="2880" w:hanging="360"/>
      </w:pPr>
      <w:rPr>
        <w:rFonts w:ascii="Symbol" w:hAnsi="Symbol" w:hint="default"/>
      </w:rPr>
    </w:lvl>
    <w:lvl w:ilvl="4" w:tplc="BDDAD144">
      <w:start w:val="1"/>
      <w:numFmt w:val="bullet"/>
      <w:lvlText w:val="o"/>
      <w:lvlJc w:val="left"/>
      <w:pPr>
        <w:ind w:left="3600" w:hanging="360"/>
      </w:pPr>
      <w:rPr>
        <w:rFonts w:ascii="Courier New" w:hAnsi="Courier New" w:hint="default"/>
      </w:rPr>
    </w:lvl>
    <w:lvl w:ilvl="5" w:tplc="D38E883A">
      <w:start w:val="1"/>
      <w:numFmt w:val="bullet"/>
      <w:lvlText w:val=""/>
      <w:lvlJc w:val="left"/>
      <w:pPr>
        <w:ind w:left="4320" w:hanging="360"/>
      </w:pPr>
      <w:rPr>
        <w:rFonts w:ascii="Wingdings" w:hAnsi="Wingdings" w:hint="default"/>
      </w:rPr>
    </w:lvl>
    <w:lvl w:ilvl="6" w:tplc="9DAA1436">
      <w:start w:val="1"/>
      <w:numFmt w:val="bullet"/>
      <w:lvlText w:val=""/>
      <w:lvlJc w:val="left"/>
      <w:pPr>
        <w:ind w:left="5040" w:hanging="360"/>
      </w:pPr>
      <w:rPr>
        <w:rFonts w:ascii="Symbol" w:hAnsi="Symbol" w:hint="default"/>
      </w:rPr>
    </w:lvl>
    <w:lvl w:ilvl="7" w:tplc="AD2CEE94">
      <w:start w:val="1"/>
      <w:numFmt w:val="bullet"/>
      <w:lvlText w:val="o"/>
      <w:lvlJc w:val="left"/>
      <w:pPr>
        <w:ind w:left="5760" w:hanging="360"/>
      </w:pPr>
      <w:rPr>
        <w:rFonts w:ascii="Courier New" w:hAnsi="Courier New" w:hint="default"/>
      </w:rPr>
    </w:lvl>
    <w:lvl w:ilvl="8" w:tplc="4B8E1A74">
      <w:start w:val="1"/>
      <w:numFmt w:val="bullet"/>
      <w:lvlText w:val=""/>
      <w:lvlJc w:val="left"/>
      <w:pPr>
        <w:ind w:left="6480" w:hanging="360"/>
      </w:pPr>
      <w:rPr>
        <w:rFonts w:ascii="Wingdings" w:hAnsi="Wingdings" w:hint="default"/>
      </w:rPr>
    </w:lvl>
  </w:abstractNum>
  <w:abstractNum w:abstractNumId="12"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E4B8A"/>
    <w:multiLevelType w:val="hybridMultilevel"/>
    <w:tmpl w:val="5BD432B6"/>
    <w:lvl w:ilvl="0" w:tplc="E46C8B2E">
      <w:start w:val="1"/>
      <w:numFmt w:val="bullet"/>
      <w:lvlText w:val=""/>
      <w:lvlJc w:val="left"/>
      <w:pPr>
        <w:ind w:left="720" w:hanging="360"/>
      </w:pPr>
      <w:rPr>
        <w:rFonts w:ascii="Symbol" w:hAnsi="Symbol" w:hint="default"/>
      </w:rPr>
    </w:lvl>
    <w:lvl w:ilvl="1" w:tplc="CB724B4A">
      <w:start w:val="1"/>
      <w:numFmt w:val="bullet"/>
      <w:lvlText w:val="o"/>
      <w:lvlJc w:val="left"/>
      <w:pPr>
        <w:ind w:left="1440" w:hanging="360"/>
      </w:pPr>
      <w:rPr>
        <w:rFonts w:ascii="Courier New" w:hAnsi="Courier New" w:hint="default"/>
      </w:rPr>
    </w:lvl>
    <w:lvl w:ilvl="2" w:tplc="D1985926">
      <w:start w:val="1"/>
      <w:numFmt w:val="bullet"/>
      <w:lvlText w:val=""/>
      <w:lvlJc w:val="left"/>
      <w:pPr>
        <w:ind w:left="2160" w:hanging="360"/>
      </w:pPr>
      <w:rPr>
        <w:rFonts w:ascii="Symbol" w:hAnsi="Symbol" w:hint="default"/>
      </w:rPr>
    </w:lvl>
    <w:lvl w:ilvl="3" w:tplc="9CE8E840">
      <w:start w:val="1"/>
      <w:numFmt w:val="bullet"/>
      <w:lvlText w:val=""/>
      <w:lvlJc w:val="left"/>
      <w:pPr>
        <w:ind w:left="2880" w:hanging="360"/>
      </w:pPr>
      <w:rPr>
        <w:rFonts w:ascii="Symbol" w:hAnsi="Symbol" w:hint="default"/>
      </w:rPr>
    </w:lvl>
    <w:lvl w:ilvl="4" w:tplc="90244044">
      <w:start w:val="1"/>
      <w:numFmt w:val="bullet"/>
      <w:lvlText w:val="o"/>
      <w:lvlJc w:val="left"/>
      <w:pPr>
        <w:ind w:left="3600" w:hanging="360"/>
      </w:pPr>
      <w:rPr>
        <w:rFonts w:ascii="Courier New" w:hAnsi="Courier New" w:hint="default"/>
      </w:rPr>
    </w:lvl>
    <w:lvl w:ilvl="5" w:tplc="CBAC3F6A">
      <w:start w:val="1"/>
      <w:numFmt w:val="bullet"/>
      <w:lvlText w:val=""/>
      <w:lvlJc w:val="left"/>
      <w:pPr>
        <w:ind w:left="4320" w:hanging="360"/>
      </w:pPr>
      <w:rPr>
        <w:rFonts w:ascii="Wingdings" w:hAnsi="Wingdings" w:hint="default"/>
      </w:rPr>
    </w:lvl>
    <w:lvl w:ilvl="6" w:tplc="4C304526">
      <w:start w:val="1"/>
      <w:numFmt w:val="bullet"/>
      <w:lvlText w:val=""/>
      <w:lvlJc w:val="left"/>
      <w:pPr>
        <w:ind w:left="5040" w:hanging="360"/>
      </w:pPr>
      <w:rPr>
        <w:rFonts w:ascii="Symbol" w:hAnsi="Symbol" w:hint="default"/>
      </w:rPr>
    </w:lvl>
    <w:lvl w:ilvl="7" w:tplc="1378340E">
      <w:start w:val="1"/>
      <w:numFmt w:val="bullet"/>
      <w:lvlText w:val="o"/>
      <w:lvlJc w:val="left"/>
      <w:pPr>
        <w:ind w:left="5760" w:hanging="360"/>
      </w:pPr>
      <w:rPr>
        <w:rFonts w:ascii="Courier New" w:hAnsi="Courier New" w:hint="default"/>
      </w:rPr>
    </w:lvl>
    <w:lvl w:ilvl="8" w:tplc="58A42812">
      <w:start w:val="1"/>
      <w:numFmt w:val="bullet"/>
      <w:lvlText w:val=""/>
      <w:lvlJc w:val="left"/>
      <w:pPr>
        <w:ind w:left="6480" w:hanging="360"/>
      </w:pPr>
      <w:rPr>
        <w:rFonts w:ascii="Wingdings" w:hAnsi="Wingdings" w:hint="default"/>
      </w:rPr>
    </w:lvl>
  </w:abstractNum>
  <w:abstractNum w:abstractNumId="14" w15:restartNumberingAfterBreak="0">
    <w:nsid w:val="59961D29"/>
    <w:multiLevelType w:val="hybridMultilevel"/>
    <w:tmpl w:val="EE4C8970"/>
    <w:lvl w:ilvl="0" w:tplc="0AE67858">
      <w:start w:val="1"/>
      <w:numFmt w:val="bullet"/>
      <w:lvlText w:val=""/>
      <w:lvlJc w:val="left"/>
      <w:pPr>
        <w:ind w:left="720" w:hanging="360"/>
      </w:pPr>
      <w:rPr>
        <w:rFonts w:ascii="Symbol" w:hAnsi="Symbol" w:hint="default"/>
      </w:rPr>
    </w:lvl>
    <w:lvl w:ilvl="1" w:tplc="6C66E338">
      <w:start w:val="1"/>
      <w:numFmt w:val="bullet"/>
      <w:lvlText w:val="o"/>
      <w:lvlJc w:val="left"/>
      <w:pPr>
        <w:ind w:left="1440" w:hanging="360"/>
      </w:pPr>
      <w:rPr>
        <w:rFonts w:ascii="Courier New" w:hAnsi="Courier New" w:hint="default"/>
      </w:rPr>
    </w:lvl>
    <w:lvl w:ilvl="2" w:tplc="944CA200">
      <w:start w:val="1"/>
      <w:numFmt w:val="bullet"/>
      <w:lvlText w:val=""/>
      <w:lvlJc w:val="left"/>
      <w:pPr>
        <w:ind w:left="2160" w:hanging="360"/>
      </w:pPr>
      <w:rPr>
        <w:rFonts w:ascii="Wingdings" w:hAnsi="Wingdings" w:hint="default"/>
      </w:rPr>
    </w:lvl>
    <w:lvl w:ilvl="3" w:tplc="8D40361A">
      <w:start w:val="1"/>
      <w:numFmt w:val="bullet"/>
      <w:lvlText w:val=""/>
      <w:lvlJc w:val="left"/>
      <w:pPr>
        <w:ind w:left="2880" w:hanging="360"/>
      </w:pPr>
      <w:rPr>
        <w:rFonts w:ascii="Symbol" w:hAnsi="Symbol" w:hint="default"/>
      </w:rPr>
    </w:lvl>
    <w:lvl w:ilvl="4" w:tplc="1532902A">
      <w:start w:val="1"/>
      <w:numFmt w:val="bullet"/>
      <w:lvlText w:val="o"/>
      <w:lvlJc w:val="left"/>
      <w:pPr>
        <w:ind w:left="3600" w:hanging="360"/>
      </w:pPr>
      <w:rPr>
        <w:rFonts w:ascii="Courier New" w:hAnsi="Courier New" w:hint="default"/>
      </w:rPr>
    </w:lvl>
    <w:lvl w:ilvl="5" w:tplc="0BCE289A">
      <w:start w:val="1"/>
      <w:numFmt w:val="bullet"/>
      <w:lvlText w:val=""/>
      <w:lvlJc w:val="left"/>
      <w:pPr>
        <w:ind w:left="4320" w:hanging="360"/>
      </w:pPr>
      <w:rPr>
        <w:rFonts w:ascii="Wingdings" w:hAnsi="Wingdings" w:hint="default"/>
      </w:rPr>
    </w:lvl>
    <w:lvl w:ilvl="6" w:tplc="1368F6C4">
      <w:start w:val="1"/>
      <w:numFmt w:val="bullet"/>
      <w:lvlText w:val=""/>
      <w:lvlJc w:val="left"/>
      <w:pPr>
        <w:ind w:left="5040" w:hanging="360"/>
      </w:pPr>
      <w:rPr>
        <w:rFonts w:ascii="Symbol" w:hAnsi="Symbol" w:hint="default"/>
      </w:rPr>
    </w:lvl>
    <w:lvl w:ilvl="7" w:tplc="42A0494E">
      <w:start w:val="1"/>
      <w:numFmt w:val="bullet"/>
      <w:lvlText w:val="o"/>
      <w:lvlJc w:val="left"/>
      <w:pPr>
        <w:ind w:left="5760" w:hanging="360"/>
      </w:pPr>
      <w:rPr>
        <w:rFonts w:ascii="Courier New" w:hAnsi="Courier New" w:hint="default"/>
      </w:rPr>
    </w:lvl>
    <w:lvl w:ilvl="8" w:tplc="CBF619FA">
      <w:start w:val="1"/>
      <w:numFmt w:val="bullet"/>
      <w:lvlText w:val=""/>
      <w:lvlJc w:val="left"/>
      <w:pPr>
        <w:ind w:left="6480" w:hanging="360"/>
      </w:pPr>
      <w:rPr>
        <w:rFonts w:ascii="Wingdings" w:hAnsi="Wingdings" w:hint="default"/>
      </w:rPr>
    </w:lvl>
  </w:abstractNum>
  <w:abstractNum w:abstractNumId="15"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64579"/>
    <w:multiLevelType w:val="hybridMultilevel"/>
    <w:tmpl w:val="ED7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7E0EAD"/>
    <w:multiLevelType w:val="hybridMultilevel"/>
    <w:tmpl w:val="5C9EB0F8"/>
    <w:lvl w:ilvl="0" w:tplc="9DF8DA04">
      <w:start w:val="1"/>
      <w:numFmt w:val="bullet"/>
      <w:lvlText w:val=""/>
      <w:lvlJc w:val="left"/>
      <w:pPr>
        <w:ind w:left="720" w:hanging="360"/>
      </w:pPr>
      <w:rPr>
        <w:rFonts w:ascii="Symbol" w:hAnsi="Symbol" w:hint="default"/>
      </w:rPr>
    </w:lvl>
    <w:lvl w:ilvl="1" w:tplc="517432AA">
      <w:start w:val="1"/>
      <w:numFmt w:val="bullet"/>
      <w:lvlText w:val="o"/>
      <w:lvlJc w:val="left"/>
      <w:pPr>
        <w:ind w:left="1440" w:hanging="360"/>
      </w:pPr>
      <w:rPr>
        <w:rFonts w:ascii="Courier New" w:hAnsi="Courier New" w:hint="default"/>
      </w:rPr>
    </w:lvl>
    <w:lvl w:ilvl="2" w:tplc="1A162C30">
      <w:start w:val="1"/>
      <w:numFmt w:val="bullet"/>
      <w:lvlText w:val=""/>
      <w:lvlJc w:val="left"/>
      <w:pPr>
        <w:ind w:left="2160" w:hanging="360"/>
      </w:pPr>
      <w:rPr>
        <w:rFonts w:ascii="Wingdings" w:hAnsi="Wingdings" w:hint="default"/>
      </w:rPr>
    </w:lvl>
    <w:lvl w:ilvl="3" w:tplc="B5808EE8">
      <w:start w:val="1"/>
      <w:numFmt w:val="bullet"/>
      <w:lvlText w:val=""/>
      <w:lvlJc w:val="left"/>
      <w:pPr>
        <w:ind w:left="2880" w:hanging="360"/>
      </w:pPr>
      <w:rPr>
        <w:rFonts w:ascii="Symbol" w:hAnsi="Symbol" w:hint="default"/>
      </w:rPr>
    </w:lvl>
    <w:lvl w:ilvl="4" w:tplc="C63CA51E">
      <w:start w:val="1"/>
      <w:numFmt w:val="bullet"/>
      <w:lvlText w:val="o"/>
      <w:lvlJc w:val="left"/>
      <w:pPr>
        <w:ind w:left="3600" w:hanging="360"/>
      </w:pPr>
      <w:rPr>
        <w:rFonts w:ascii="Courier New" w:hAnsi="Courier New" w:hint="default"/>
      </w:rPr>
    </w:lvl>
    <w:lvl w:ilvl="5" w:tplc="F2BA8B40">
      <w:start w:val="1"/>
      <w:numFmt w:val="bullet"/>
      <w:lvlText w:val=""/>
      <w:lvlJc w:val="left"/>
      <w:pPr>
        <w:ind w:left="4320" w:hanging="360"/>
      </w:pPr>
      <w:rPr>
        <w:rFonts w:ascii="Wingdings" w:hAnsi="Wingdings" w:hint="default"/>
      </w:rPr>
    </w:lvl>
    <w:lvl w:ilvl="6" w:tplc="8D660638">
      <w:start w:val="1"/>
      <w:numFmt w:val="bullet"/>
      <w:lvlText w:val=""/>
      <w:lvlJc w:val="left"/>
      <w:pPr>
        <w:ind w:left="5040" w:hanging="360"/>
      </w:pPr>
      <w:rPr>
        <w:rFonts w:ascii="Symbol" w:hAnsi="Symbol" w:hint="default"/>
      </w:rPr>
    </w:lvl>
    <w:lvl w:ilvl="7" w:tplc="D94CF228">
      <w:start w:val="1"/>
      <w:numFmt w:val="bullet"/>
      <w:lvlText w:val="o"/>
      <w:lvlJc w:val="left"/>
      <w:pPr>
        <w:ind w:left="5760" w:hanging="360"/>
      </w:pPr>
      <w:rPr>
        <w:rFonts w:ascii="Courier New" w:hAnsi="Courier New" w:hint="default"/>
      </w:rPr>
    </w:lvl>
    <w:lvl w:ilvl="8" w:tplc="8CA4DDD6">
      <w:start w:val="1"/>
      <w:numFmt w:val="bullet"/>
      <w:lvlText w:val=""/>
      <w:lvlJc w:val="left"/>
      <w:pPr>
        <w:ind w:left="6480" w:hanging="360"/>
      </w:pPr>
      <w:rPr>
        <w:rFonts w:ascii="Wingdings" w:hAnsi="Wingdings" w:hint="default"/>
      </w:rPr>
    </w:lvl>
  </w:abstractNum>
  <w:abstractNum w:abstractNumId="19" w15:restartNumberingAfterBreak="0">
    <w:nsid w:val="775F44F4"/>
    <w:multiLevelType w:val="hybridMultilevel"/>
    <w:tmpl w:val="2C401BC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E733E6"/>
    <w:multiLevelType w:val="hybridMultilevel"/>
    <w:tmpl w:val="911EAFCA"/>
    <w:lvl w:ilvl="0" w:tplc="8D00B4A2">
      <w:start w:val="1"/>
      <w:numFmt w:val="bullet"/>
      <w:lvlText w:val=""/>
      <w:lvlJc w:val="left"/>
      <w:pPr>
        <w:ind w:left="720" w:hanging="360"/>
      </w:pPr>
      <w:rPr>
        <w:rFonts w:ascii="Symbol" w:hAnsi="Symbol" w:hint="default"/>
      </w:rPr>
    </w:lvl>
    <w:lvl w:ilvl="1" w:tplc="4330F1E8">
      <w:start w:val="1"/>
      <w:numFmt w:val="bullet"/>
      <w:lvlText w:val="o"/>
      <w:lvlJc w:val="left"/>
      <w:pPr>
        <w:ind w:left="1440" w:hanging="360"/>
      </w:pPr>
      <w:rPr>
        <w:rFonts w:ascii="Courier New" w:hAnsi="Courier New" w:hint="default"/>
      </w:rPr>
    </w:lvl>
    <w:lvl w:ilvl="2" w:tplc="FDAEC4A4">
      <w:start w:val="1"/>
      <w:numFmt w:val="bullet"/>
      <w:lvlText w:val=""/>
      <w:lvlJc w:val="left"/>
      <w:pPr>
        <w:ind w:left="2160" w:hanging="360"/>
      </w:pPr>
      <w:rPr>
        <w:rFonts w:ascii="Wingdings" w:hAnsi="Wingdings" w:hint="default"/>
      </w:rPr>
    </w:lvl>
    <w:lvl w:ilvl="3" w:tplc="3B14BE6C">
      <w:start w:val="1"/>
      <w:numFmt w:val="bullet"/>
      <w:lvlText w:val=""/>
      <w:lvlJc w:val="left"/>
      <w:pPr>
        <w:ind w:left="2880" w:hanging="360"/>
      </w:pPr>
      <w:rPr>
        <w:rFonts w:ascii="Symbol" w:hAnsi="Symbol" w:hint="default"/>
      </w:rPr>
    </w:lvl>
    <w:lvl w:ilvl="4" w:tplc="B2A4BBBE">
      <w:start w:val="1"/>
      <w:numFmt w:val="bullet"/>
      <w:lvlText w:val="o"/>
      <w:lvlJc w:val="left"/>
      <w:pPr>
        <w:ind w:left="3600" w:hanging="360"/>
      </w:pPr>
      <w:rPr>
        <w:rFonts w:ascii="Courier New" w:hAnsi="Courier New" w:hint="default"/>
      </w:rPr>
    </w:lvl>
    <w:lvl w:ilvl="5" w:tplc="F12A5E10">
      <w:start w:val="1"/>
      <w:numFmt w:val="bullet"/>
      <w:lvlText w:val=""/>
      <w:lvlJc w:val="left"/>
      <w:pPr>
        <w:ind w:left="4320" w:hanging="360"/>
      </w:pPr>
      <w:rPr>
        <w:rFonts w:ascii="Wingdings" w:hAnsi="Wingdings" w:hint="default"/>
      </w:rPr>
    </w:lvl>
    <w:lvl w:ilvl="6" w:tplc="1F2C3A3A">
      <w:start w:val="1"/>
      <w:numFmt w:val="bullet"/>
      <w:lvlText w:val=""/>
      <w:lvlJc w:val="left"/>
      <w:pPr>
        <w:ind w:left="5040" w:hanging="360"/>
      </w:pPr>
      <w:rPr>
        <w:rFonts w:ascii="Symbol" w:hAnsi="Symbol" w:hint="default"/>
      </w:rPr>
    </w:lvl>
    <w:lvl w:ilvl="7" w:tplc="447248A2">
      <w:start w:val="1"/>
      <w:numFmt w:val="bullet"/>
      <w:lvlText w:val="o"/>
      <w:lvlJc w:val="left"/>
      <w:pPr>
        <w:ind w:left="5760" w:hanging="360"/>
      </w:pPr>
      <w:rPr>
        <w:rFonts w:ascii="Courier New" w:hAnsi="Courier New" w:hint="default"/>
      </w:rPr>
    </w:lvl>
    <w:lvl w:ilvl="8" w:tplc="05168B7C">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0"/>
  </w:num>
  <w:num w:numId="4">
    <w:abstractNumId w:val="15"/>
  </w:num>
  <w:num w:numId="5">
    <w:abstractNumId w:val="12"/>
  </w:num>
  <w:num w:numId="6">
    <w:abstractNumId w:val="2"/>
  </w:num>
  <w:num w:numId="7">
    <w:abstractNumId w:val="16"/>
  </w:num>
  <w:num w:numId="8">
    <w:abstractNumId w:val="6"/>
  </w:num>
  <w:num w:numId="9">
    <w:abstractNumId w:val="7"/>
  </w:num>
  <w:num w:numId="10">
    <w:abstractNumId w:val="17"/>
  </w:num>
  <w:num w:numId="11">
    <w:abstractNumId w:val="9"/>
  </w:num>
  <w:num w:numId="12">
    <w:abstractNumId w:val="10"/>
  </w:num>
  <w:num w:numId="13">
    <w:abstractNumId w:val="4"/>
  </w:num>
  <w:num w:numId="14">
    <w:abstractNumId w:val="19"/>
  </w:num>
  <w:num w:numId="15">
    <w:abstractNumId w:val="20"/>
  </w:num>
  <w:num w:numId="16">
    <w:abstractNumId w:val="11"/>
  </w:num>
  <w:num w:numId="17">
    <w:abstractNumId w:val="1"/>
  </w:num>
  <w:num w:numId="18">
    <w:abstractNumId w:val="5"/>
  </w:num>
  <w:num w:numId="19">
    <w:abstractNumId w:val="3"/>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sjQ0NDI3Nzc2MDRS0lEKTi0uzszPAykwrQUA0B1bcSwAAAA="/>
  </w:docVars>
  <w:rsids>
    <w:rsidRoot w:val="008716F6"/>
    <w:rsid w:val="000007E0"/>
    <w:rsid w:val="00001554"/>
    <w:rsid w:val="00003BE1"/>
    <w:rsid w:val="00012983"/>
    <w:rsid w:val="00013BE9"/>
    <w:rsid w:val="00015FFF"/>
    <w:rsid w:val="00032188"/>
    <w:rsid w:val="00033421"/>
    <w:rsid w:val="0003418B"/>
    <w:rsid w:val="00035391"/>
    <w:rsid w:val="000421D8"/>
    <w:rsid w:val="00044984"/>
    <w:rsid w:val="00045F23"/>
    <w:rsid w:val="000509A3"/>
    <w:rsid w:val="0005162F"/>
    <w:rsid w:val="000563C3"/>
    <w:rsid w:val="00056B23"/>
    <w:rsid w:val="00057A71"/>
    <w:rsid w:val="00057C98"/>
    <w:rsid w:val="00062491"/>
    <w:rsid w:val="00063927"/>
    <w:rsid w:val="00063DC1"/>
    <w:rsid w:val="00063F7E"/>
    <w:rsid w:val="00066B70"/>
    <w:rsid w:val="00067A32"/>
    <w:rsid w:val="0007183E"/>
    <w:rsid w:val="000753E0"/>
    <w:rsid w:val="00075FF7"/>
    <w:rsid w:val="00086817"/>
    <w:rsid w:val="000878DE"/>
    <w:rsid w:val="000A3A88"/>
    <w:rsid w:val="000A796F"/>
    <w:rsid w:val="000B1DCE"/>
    <w:rsid w:val="000B4C09"/>
    <w:rsid w:val="000B734A"/>
    <w:rsid w:val="000B7F29"/>
    <w:rsid w:val="000C00DE"/>
    <w:rsid w:val="000C3337"/>
    <w:rsid w:val="000D12B0"/>
    <w:rsid w:val="000D35DA"/>
    <w:rsid w:val="000D63B9"/>
    <w:rsid w:val="000E08C3"/>
    <w:rsid w:val="000E0B2B"/>
    <w:rsid w:val="000E4586"/>
    <w:rsid w:val="000E5316"/>
    <w:rsid w:val="000E6EFE"/>
    <w:rsid w:val="000E7523"/>
    <w:rsid w:val="000E798E"/>
    <w:rsid w:val="000F6E1A"/>
    <w:rsid w:val="00112BDA"/>
    <w:rsid w:val="00113647"/>
    <w:rsid w:val="00113BBC"/>
    <w:rsid w:val="00113D5F"/>
    <w:rsid w:val="00117F73"/>
    <w:rsid w:val="00121F5E"/>
    <w:rsid w:val="00125695"/>
    <w:rsid w:val="00137E75"/>
    <w:rsid w:val="001435DE"/>
    <w:rsid w:val="00151FC8"/>
    <w:rsid w:val="001539C0"/>
    <w:rsid w:val="00157950"/>
    <w:rsid w:val="0016069E"/>
    <w:rsid w:val="00161ECF"/>
    <w:rsid w:val="00173572"/>
    <w:rsid w:val="001816A1"/>
    <w:rsid w:val="00185105"/>
    <w:rsid w:val="00186313"/>
    <w:rsid w:val="001930F4"/>
    <w:rsid w:val="001A36C2"/>
    <w:rsid w:val="001A4025"/>
    <w:rsid w:val="001C1DC2"/>
    <w:rsid w:val="001C7138"/>
    <w:rsid w:val="001C7DEC"/>
    <w:rsid w:val="001C7EE8"/>
    <w:rsid w:val="001D2644"/>
    <w:rsid w:val="001D2741"/>
    <w:rsid w:val="001D2EA2"/>
    <w:rsid w:val="001E3759"/>
    <w:rsid w:val="001E7F5A"/>
    <w:rsid w:val="001F1509"/>
    <w:rsid w:val="001F2784"/>
    <w:rsid w:val="001F374A"/>
    <w:rsid w:val="001F3884"/>
    <w:rsid w:val="001F3CF7"/>
    <w:rsid w:val="002011AD"/>
    <w:rsid w:val="00204377"/>
    <w:rsid w:val="00205331"/>
    <w:rsid w:val="002065DB"/>
    <w:rsid w:val="0021543C"/>
    <w:rsid w:val="00215F9E"/>
    <w:rsid w:val="00236DA8"/>
    <w:rsid w:val="00237838"/>
    <w:rsid w:val="002415DF"/>
    <w:rsid w:val="002459D1"/>
    <w:rsid w:val="0024791C"/>
    <w:rsid w:val="00255117"/>
    <w:rsid w:val="00267DD9"/>
    <w:rsid w:val="002714CE"/>
    <w:rsid w:val="002725A0"/>
    <w:rsid w:val="002727A9"/>
    <w:rsid w:val="00273125"/>
    <w:rsid w:val="00273E4C"/>
    <w:rsid w:val="002825C8"/>
    <w:rsid w:val="00284EDC"/>
    <w:rsid w:val="00286337"/>
    <w:rsid w:val="002903C4"/>
    <w:rsid w:val="0029112F"/>
    <w:rsid w:val="002940CD"/>
    <w:rsid w:val="00294535"/>
    <w:rsid w:val="002B193F"/>
    <w:rsid w:val="002B35FA"/>
    <w:rsid w:val="002B6FEB"/>
    <w:rsid w:val="002C1D97"/>
    <w:rsid w:val="002C1F7E"/>
    <w:rsid w:val="002C4725"/>
    <w:rsid w:val="002D5C92"/>
    <w:rsid w:val="002E2F7B"/>
    <w:rsid w:val="002E372B"/>
    <w:rsid w:val="002E3F3A"/>
    <w:rsid w:val="002F2D55"/>
    <w:rsid w:val="002F3004"/>
    <w:rsid w:val="002F3354"/>
    <w:rsid w:val="002F345C"/>
    <w:rsid w:val="002F3630"/>
    <w:rsid w:val="002F3B47"/>
    <w:rsid w:val="002F5C35"/>
    <w:rsid w:val="00300D34"/>
    <w:rsid w:val="00301F98"/>
    <w:rsid w:val="0031224C"/>
    <w:rsid w:val="003141F2"/>
    <w:rsid w:val="00314F45"/>
    <w:rsid w:val="003206C8"/>
    <w:rsid w:val="0032299E"/>
    <w:rsid w:val="003237CA"/>
    <w:rsid w:val="00327907"/>
    <w:rsid w:val="00330E82"/>
    <w:rsid w:val="003345DE"/>
    <w:rsid w:val="00335301"/>
    <w:rsid w:val="0034057F"/>
    <w:rsid w:val="003406E5"/>
    <w:rsid w:val="00364B17"/>
    <w:rsid w:val="00367007"/>
    <w:rsid w:val="00377827"/>
    <w:rsid w:val="00382B75"/>
    <w:rsid w:val="003843CA"/>
    <w:rsid w:val="003902BF"/>
    <w:rsid w:val="00395820"/>
    <w:rsid w:val="003962D8"/>
    <w:rsid w:val="00396E8A"/>
    <w:rsid w:val="003A14DC"/>
    <w:rsid w:val="003B02E3"/>
    <w:rsid w:val="003B3768"/>
    <w:rsid w:val="003B7E3E"/>
    <w:rsid w:val="003C1B89"/>
    <w:rsid w:val="003C1CEC"/>
    <w:rsid w:val="003C2880"/>
    <w:rsid w:val="003C2A65"/>
    <w:rsid w:val="003C53E8"/>
    <w:rsid w:val="003D0AE7"/>
    <w:rsid w:val="003D32E2"/>
    <w:rsid w:val="003D43B1"/>
    <w:rsid w:val="003E0C38"/>
    <w:rsid w:val="003E1610"/>
    <w:rsid w:val="003E1935"/>
    <w:rsid w:val="003E48B9"/>
    <w:rsid w:val="003F4699"/>
    <w:rsid w:val="0040282E"/>
    <w:rsid w:val="0041249B"/>
    <w:rsid w:val="00413459"/>
    <w:rsid w:val="00420BC0"/>
    <w:rsid w:val="00423FE4"/>
    <w:rsid w:val="00425FC1"/>
    <w:rsid w:val="004300BF"/>
    <w:rsid w:val="00430AD0"/>
    <w:rsid w:val="00433658"/>
    <w:rsid w:val="004409C0"/>
    <w:rsid w:val="00440E37"/>
    <w:rsid w:val="004461B5"/>
    <w:rsid w:val="00446BA0"/>
    <w:rsid w:val="00447104"/>
    <w:rsid w:val="004506B7"/>
    <w:rsid w:val="004516F9"/>
    <w:rsid w:val="0046178F"/>
    <w:rsid w:val="00462C93"/>
    <w:rsid w:val="0046633D"/>
    <w:rsid w:val="00466FF3"/>
    <w:rsid w:val="004719D9"/>
    <w:rsid w:val="00477A8E"/>
    <w:rsid w:val="00486C4D"/>
    <w:rsid w:val="00494F02"/>
    <w:rsid w:val="00495215"/>
    <w:rsid w:val="004A26E7"/>
    <w:rsid w:val="004A5122"/>
    <w:rsid w:val="004B3C21"/>
    <w:rsid w:val="004B7ACB"/>
    <w:rsid w:val="004C3A25"/>
    <w:rsid w:val="004C7A9B"/>
    <w:rsid w:val="004D0A49"/>
    <w:rsid w:val="004D2AD6"/>
    <w:rsid w:val="004E3AF4"/>
    <w:rsid w:val="004F0BD8"/>
    <w:rsid w:val="004F1692"/>
    <w:rsid w:val="004F231B"/>
    <w:rsid w:val="004F274C"/>
    <w:rsid w:val="004F41FE"/>
    <w:rsid w:val="005025DD"/>
    <w:rsid w:val="005033FB"/>
    <w:rsid w:val="00503E96"/>
    <w:rsid w:val="0050508C"/>
    <w:rsid w:val="00505DDC"/>
    <w:rsid w:val="005061E0"/>
    <w:rsid w:val="00506DA7"/>
    <w:rsid w:val="0051497F"/>
    <w:rsid w:val="00515557"/>
    <w:rsid w:val="00515FDF"/>
    <w:rsid w:val="00517364"/>
    <w:rsid w:val="00522794"/>
    <w:rsid w:val="00534B5A"/>
    <w:rsid w:val="005354C1"/>
    <w:rsid w:val="005467C7"/>
    <w:rsid w:val="00551B2D"/>
    <w:rsid w:val="005576DC"/>
    <w:rsid w:val="00563BF1"/>
    <w:rsid w:val="00566207"/>
    <w:rsid w:val="005676C6"/>
    <w:rsid w:val="00567DC2"/>
    <w:rsid w:val="0057118A"/>
    <w:rsid w:val="00573BAB"/>
    <w:rsid w:val="005749A1"/>
    <w:rsid w:val="00585C33"/>
    <w:rsid w:val="005868BD"/>
    <w:rsid w:val="00586D7F"/>
    <w:rsid w:val="0059255D"/>
    <w:rsid w:val="00592E0A"/>
    <w:rsid w:val="00593CD9"/>
    <w:rsid w:val="00595D1E"/>
    <w:rsid w:val="005A7A6B"/>
    <w:rsid w:val="005B2347"/>
    <w:rsid w:val="005B5E5B"/>
    <w:rsid w:val="005C1499"/>
    <w:rsid w:val="005D2886"/>
    <w:rsid w:val="005E092C"/>
    <w:rsid w:val="005E2D23"/>
    <w:rsid w:val="005E330A"/>
    <w:rsid w:val="005E7C72"/>
    <w:rsid w:val="005F19B3"/>
    <w:rsid w:val="00600078"/>
    <w:rsid w:val="006004FF"/>
    <w:rsid w:val="00603298"/>
    <w:rsid w:val="00616BD5"/>
    <w:rsid w:val="00622737"/>
    <w:rsid w:val="00626A3E"/>
    <w:rsid w:val="00627A38"/>
    <w:rsid w:val="00630177"/>
    <w:rsid w:val="00630A2C"/>
    <w:rsid w:val="00631178"/>
    <w:rsid w:val="006344F8"/>
    <w:rsid w:val="006351F9"/>
    <w:rsid w:val="00635B27"/>
    <w:rsid w:val="00642C07"/>
    <w:rsid w:val="006504C3"/>
    <w:rsid w:val="0065590B"/>
    <w:rsid w:val="00656BE4"/>
    <w:rsid w:val="00661F02"/>
    <w:rsid w:val="00664EB2"/>
    <w:rsid w:val="006653FB"/>
    <w:rsid w:val="0066591D"/>
    <w:rsid w:val="0066662A"/>
    <w:rsid w:val="006669FB"/>
    <w:rsid w:val="00666D5F"/>
    <w:rsid w:val="0067278F"/>
    <w:rsid w:val="00672BC9"/>
    <w:rsid w:val="006738D8"/>
    <w:rsid w:val="00674F27"/>
    <w:rsid w:val="006831CB"/>
    <w:rsid w:val="006854FC"/>
    <w:rsid w:val="00687733"/>
    <w:rsid w:val="0069025C"/>
    <w:rsid w:val="00690472"/>
    <w:rsid w:val="0069120F"/>
    <w:rsid w:val="00693A83"/>
    <w:rsid w:val="00695204"/>
    <w:rsid w:val="006A078C"/>
    <w:rsid w:val="006A19ED"/>
    <w:rsid w:val="006B0DB3"/>
    <w:rsid w:val="006B1630"/>
    <w:rsid w:val="006B2ACE"/>
    <w:rsid w:val="006C413D"/>
    <w:rsid w:val="006C7481"/>
    <w:rsid w:val="006D4E1F"/>
    <w:rsid w:val="006D5BE4"/>
    <w:rsid w:val="006E052E"/>
    <w:rsid w:val="006E0EE2"/>
    <w:rsid w:val="006E30C7"/>
    <w:rsid w:val="006E3D15"/>
    <w:rsid w:val="006E47E5"/>
    <w:rsid w:val="006F2C77"/>
    <w:rsid w:val="006F3226"/>
    <w:rsid w:val="006F3719"/>
    <w:rsid w:val="006F3E71"/>
    <w:rsid w:val="007037BD"/>
    <w:rsid w:val="0070588C"/>
    <w:rsid w:val="007107E7"/>
    <w:rsid w:val="0071097D"/>
    <w:rsid w:val="00713CF8"/>
    <w:rsid w:val="00737FE7"/>
    <w:rsid w:val="00740F9D"/>
    <w:rsid w:val="007440AA"/>
    <w:rsid w:val="00744F1A"/>
    <w:rsid w:val="007475EA"/>
    <w:rsid w:val="00762CFB"/>
    <w:rsid w:val="0076325A"/>
    <w:rsid w:val="0076601C"/>
    <w:rsid w:val="00784C2F"/>
    <w:rsid w:val="00785BED"/>
    <w:rsid w:val="00786E00"/>
    <w:rsid w:val="00791302"/>
    <w:rsid w:val="00793277"/>
    <w:rsid w:val="0079366F"/>
    <w:rsid w:val="0079784E"/>
    <w:rsid w:val="007A0B38"/>
    <w:rsid w:val="007A4B20"/>
    <w:rsid w:val="007B1302"/>
    <w:rsid w:val="007B3C94"/>
    <w:rsid w:val="007B6FBB"/>
    <w:rsid w:val="007C2035"/>
    <w:rsid w:val="007C48C0"/>
    <w:rsid w:val="007C6D10"/>
    <w:rsid w:val="007D06FF"/>
    <w:rsid w:val="007D19AD"/>
    <w:rsid w:val="007D311E"/>
    <w:rsid w:val="007D6000"/>
    <w:rsid w:val="007D6427"/>
    <w:rsid w:val="007D66AD"/>
    <w:rsid w:val="007D6BD8"/>
    <w:rsid w:val="007E0DFD"/>
    <w:rsid w:val="007E4359"/>
    <w:rsid w:val="007F17C5"/>
    <w:rsid w:val="007F1FB9"/>
    <w:rsid w:val="007F5A32"/>
    <w:rsid w:val="00800F63"/>
    <w:rsid w:val="0080268D"/>
    <w:rsid w:val="008042B7"/>
    <w:rsid w:val="0081197E"/>
    <w:rsid w:val="00814BEB"/>
    <w:rsid w:val="00816C32"/>
    <w:rsid w:val="00833F92"/>
    <w:rsid w:val="00842517"/>
    <w:rsid w:val="008431BD"/>
    <w:rsid w:val="00847A28"/>
    <w:rsid w:val="00850288"/>
    <w:rsid w:val="008527BC"/>
    <w:rsid w:val="008529CC"/>
    <w:rsid w:val="00856829"/>
    <w:rsid w:val="00864595"/>
    <w:rsid w:val="008650F0"/>
    <w:rsid w:val="008716F6"/>
    <w:rsid w:val="0087173D"/>
    <w:rsid w:val="00875AC8"/>
    <w:rsid w:val="008867F5"/>
    <w:rsid w:val="00897D34"/>
    <w:rsid w:val="008A1AAD"/>
    <w:rsid w:val="008A405D"/>
    <w:rsid w:val="008B5C31"/>
    <w:rsid w:val="008B6A27"/>
    <w:rsid w:val="008B76FA"/>
    <w:rsid w:val="008D12B2"/>
    <w:rsid w:val="008D6113"/>
    <w:rsid w:val="008D7542"/>
    <w:rsid w:val="008F0815"/>
    <w:rsid w:val="008F1FAE"/>
    <w:rsid w:val="008F2B08"/>
    <w:rsid w:val="008F3D17"/>
    <w:rsid w:val="00904FA7"/>
    <w:rsid w:val="00907E64"/>
    <w:rsid w:val="00911E2D"/>
    <w:rsid w:val="00912BEE"/>
    <w:rsid w:val="0092229F"/>
    <w:rsid w:val="00923531"/>
    <w:rsid w:val="00927219"/>
    <w:rsid w:val="00930671"/>
    <w:rsid w:val="00942DB8"/>
    <w:rsid w:val="00943C5B"/>
    <w:rsid w:val="00944ABD"/>
    <w:rsid w:val="009530A2"/>
    <w:rsid w:val="00953B2E"/>
    <w:rsid w:val="00955227"/>
    <w:rsid w:val="00957586"/>
    <w:rsid w:val="0095796E"/>
    <w:rsid w:val="00961F8C"/>
    <w:rsid w:val="009656C9"/>
    <w:rsid w:val="00974140"/>
    <w:rsid w:val="009820FD"/>
    <w:rsid w:val="00990709"/>
    <w:rsid w:val="00994456"/>
    <w:rsid w:val="0099591F"/>
    <w:rsid w:val="00996EA9"/>
    <w:rsid w:val="009A2B42"/>
    <w:rsid w:val="009B079A"/>
    <w:rsid w:val="009B402D"/>
    <w:rsid w:val="009C0491"/>
    <w:rsid w:val="009C1CD6"/>
    <w:rsid w:val="009C458A"/>
    <w:rsid w:val="009D0BFB"/>
    <w:rsid w:val="009D2E01"/>
    <w:rsid w:val="009D3A6D"/>
    <w:rsid w:val="009D6976"/>
    <w:rsid w:val="009E29DF"/>
    <w:rsid w:val="009F4546"/>
    <w:rsid w:val="009F783C"/>
    <w:rsid w:val="00A0132C"/>
    <w:rsid w:val="00A05664"/>
    <w:rsid w:val="00A10A09"/>
    <w:rsid w:val="00A16BBA"/>
    <w:rsid w:val="00A24DA1"/>
    <w:rsid w:val="00A256CF"/>
    <w:rsid w:val="00A27A56"/>
    <w:rsid w:val="00A306C3"/>
    <w:rsid w:val="00A30CE3"/>
    <w:rsid w:val="00A33BFC"/>
    <w:rsid w:val="00A34909"/>
    <w:rsid w:val="00A430CB"/>
    <w:rsid w:val="00A46846"/>
    <w:rsid w:val="00A515E8"/>
    <w:rsid w:val="00A51C89"/>
    <w:rsid w:val="00A53559"/>
    <w:rsid w:val="00A56838"/>
    <w:rsid w:val="00A616D7"/>
    <w:rsid w:val="00A61F11"/>
    <w:rsid w:val="00A622DA"/>
    <w:rsid w:val="00A63D55"/>
    <w:rsid w:val="00A71BF1"/>
    <w:rsid w:val="00A71FED"/>
    <w:rsid w:val="00A74631"/>
    <w:rsid w:val="00A77076"/>
    <w:rsid w:val="00A9024E"/>
    <w:rsid w:val="00A91141"/>
    <w:rsid w:val="00A91F47"/>
    <w:rsid w:val="00AA0D5D"/>
    <w:rsid w:val="00AA355D"/>
    <w:rsid w:val="00AA3682"/>
    <w:rsid w:val="00AA48A6"/>
    <w:rsid w:val="00AB091A"/>
    <w:rsid w:val="00AB4581"/>
    <w:rsid w:val="00AB577E"/>
    <w:rsid w:val="00AB60E0"/>
    <w:rsid w:val="00AB79CF"/>
    <w:rsid w:val="00AB7C36"/>
    <w:rsid w:val="00AC008C"/>
    <w:rsid w:val="00AC0198"/>
    <w:rsid w:val="00AC113B"/>
    <w:rsid w:val="00AC3349"/>
    <w:rsid w:val="00AC3452"/>
    <w:rsid w:val="00AC6F11"/>
    <w:rsid w:val="00AD40BF"/>
    <w:rsid w:val="00AD4A33"/>
    <w:rsid w:val="00AD67E9"/>
    <w:rsid w:val="00AD7A16"/>
    <w:rsid w:val="00AD7BAB"/>
    <w:rsid w:val="00AE4E43"/>
    <w:rsid w:val="00AF01AD"/>
    <w:rsid w:val="00AF22E2"/>
    <w:rsid w:val="00AF621D"/>
    <w:rsid w:val="00B02C4C"/>
    <w:rsid w:val="00B1325A"/>
    <w:rsid w:val="00B133E7"/>
    <w:rsid w:val="00B20D87"/>
    <w:rsid w:val="00B24720"/>
    <w:rsid w:val="00B256B9"/>
    <w:rsid w:val="00B355B3"/>
    <w:rsid w:val="00B55032"/>
    <w:rsid w:val="00B575BB"/>
    <w:rsid w:val="00B65D9E"/>
    <w:rsid w:val="00B732AC"/>
    <w:rsid w:val="00B817E0"/>
    <w:rsid w:val="00B8335E"/>
    <w:rsid w:val="00B93F27"/>
    <w:rsid w:val="00B974A0"/>
    <w:rsid w:val="00B97CC8"/>
    <w:rsid w:val="00BA4ABA"/>
    <w:rsid w:val="00BA57E4"/>
    <w:rsid w:val="00BA62A2"/>
    <w:rsid w:val="00BB14C2"/>
    <w:rsid w:val="00BB2EE3"/>
    <w:rsid w:val="00BB41D9"/>
    <w:rsid w:val="00BB4E6E"/>
    <w:rsid w:val="00BB7115"/>
    <w:rsid w:val="00BC45AE"/>
    <w:rsid w:val="00BC4A39"/>
    <w:rsid w:val="00BC7A1B"/>
    <w:rsid w:val="00BE135A"/>
    <w:rsid w:val="00BE197D"/>
    <w:rsid w:val="00BE258D"/>
    <w:rsid w:val="00BE41E8"/>
    <w:rsid w:val="00BF051A"/>
    <w:rsid w:val="00BF0EA3"/>
    <w:rsid w:val="00BF437A"/>
    <w:rsid w:val="00C02172"/>
    <w:rsid w:val="00C028B3"/>
    <w:rsid w:val="00C02E04"/>
    <w:rsid w:val="00C03E29"/>
    <w:rsid w:val="00C0501F"/>
    <w:rsid w:val="00C05DA0"/>
    <w:rsid w:val="00C07411"/>
    <w:rsid w:val="00C10297"/>
    <w:rsid w:val="00C16E28"/>
    <w:rsid w:val="00C34169"/>
    <w:rsid w:val="00C423F1"/>
    <w:rsid w:val="00C465FF"/>
    <w:rsid w:val="00C46E42"/>
    <w:rsid w:val="00C53094"/>
    <w:rsid w:val="00C53CD7"/>
    <w:rsid w:val="00C60370"/>
    <w:rsid w:val="00C6219E"/>
    <w:rsid w:val="00C638E8"/>
    <w:rsid w:val="00C65DCE"/>
    <w:rsid w:val="00C70BFD"/>
    <w:rsid w:val="00CA1F6A"/>
    <w:rsid w:val="00CB1BBB"/>
    <w:rsid w:val="00CB4028"/>
    <w:rsid w:val="00CB4038"/>
    <w:rsid w:val="00CB4C39"/>
    <w:rsid w:val="00CB4D60"/>
    <w:rsid w:val="00CB63B8"/>
    <w:rsid w:val="00CB6D7B"/>
    <w:rsid w:val="00CC311D"/>
    <w:rsid w:val="00CC32B1"/>
    <w:rsid w:val="00CD12B9"/>
    <w:rsid w:val="00CD2CFC"/>
    <w:rsid w:val="00CD47C6"/>
    <w:rsid w:val="00CD52E5"/>
    <w:rsid w:val="00CD5B30"/>
    <w:rsid w:val="00CD7979"/>
    <w:rsid w:val="00CD7F6D"/>
    <w:rsid w:val="00CE0621"/>
    <w:rsid w:val="00CE3259"/>
    <w:rsid w:val="00CE329E"/>
    <w:rsid w:val="00CE68E2"/>
    <w:rsid w:val="00CF0928"/>
    <w:rsid w:val="00CF0F4D"/>
    <w:rsid w:val="00CF1726"/>
    <w:rsid w:val="00CF2118"/>
    <w:rsid w:val="00CF462B"/>
    <w:rsid w:val="00CF5237"/>
    <w:rsid w:val="00CF5645"/>
    <w:rsid w:val="00CF7002"/>
    <w:rsid w:val="00D01272"/>
    <w:rsid w:val="00D026B6"/>
    <w:rsid w:val="00D079C4"/>
    <w:rsid w:val="00D20A3A"/>
    <w:rsid w:val="00D25823"/>
    <w:rsid w:val="00D40602"/>
    <w:rsid w:val="00D41BA9"/>
    <w:rsid w:val="00D45A58"/>
    <w:rsid w:val="00D5200D"/>
    <w:rsid w:val="00D53F73"/>
    <w:rsid w:val="00D57825"/>
    <w:rsid w:val="00D605CF"/>
    <w:rsid w:val="00D6099F"/>
    <w:rsid w:val="00D61A0C"/>
    <w:rsid w:val="00D63F91"/>
    <w:rsid w:val="00D66604"/>
    <w:rsid w:val="00D72137"/>
    <w:rsid w:val="00D74440"/>
    <w:rsid w:val="00D75628"/>
    <w:rsid w:val="00D8042A"/>
    <w:rsid w:val="00D83816"/>
    <w:rsid w:val="00DA23BE"/>
    <w:rsid w:val="00DA76B1"/>
    <w:rsid w:val="00DB2215"/>
    <w:rsid w:val="00DB27F3"/>
    <w:rsid w:val="00DB4577"/>
    <w:rsid w:val="00DB6FDA"/>
    <w:rsid w:val="00DC5ABE"/>
    <w:rsid w:val="00DD1E86"/>
    <w:rsid w:val="00DD3358"/>
    <w:rsid w:val="00DD39C0"/>
    <w:rsid w:val="00DD6635"/>
    <w:rsid w:val="00DE11A8"/>
    <w:rsid w:val="00DE20F5"/>
    <w:rsid w:val="00DE2BBE"/>
    <w:rsid w:val="00DE4571"/>
    <w:rsid w:val="00DE716E"/>
    <w:rsid w:val="00DF0271"/>
    <w:rsid w:val="00DF1021"/>
    <w:rsid w:val="00DF2D8B"/>
    <w:rsid w:val="00DF6124"/>
    <w:rsid w:val="00E04E3B"/>
    <w:rsid w:val="00E06A6B"/>
    <w:rsid w:val="00E13080"/>
    <w:rsid w:val="00E13104"/>
    <w:rsid w:val="00E248D2"/>
    <w:rsid w:val="00E3367B"/>
    <w:rsid w:val="00E33992"/>
    <w:rsid w:val="00E35B67"/>
    <w:rsid w:val="00E37A34"/>
    <w:rsid w:val="00E442CF"/>
    <w:rsid w:val="00E4512D"/>
    <w:rsid w:val="00E46078"/>
    <w:rsid w:val="00E475FA"/>
    <w:rsid w:val="00E505ED"/>
    <w:rsid w:val="00E52B07"/>
    <w:rsid w:val="00E61F16"/>
    <w:rsid w:val="00E70CB3"/>
    <w:rsid w:val="00E712FF"/>
    <w:rsid w:val="00E72ABF"/>
    <w:rsid w:val="00E7344D"/>
    <w:rsid w:val="00E74324"/>
    <w:rsid w:val="00E745F2"/>
    <w:rsid w:val="00E74AEE"/>
    <w:rsid w:val="00E83BD4"/>
    <w:rsid w:val="00EA417C"/>
    <w:rsid w:val="00EB14A2"/>
    <w:rsid w:val="00EB37F5"/>
    <w:rsid w:val="00EB437A"/>
    <w:rsid w:val="00EB77CC"/>
    <w:rsid w:val="00EC178E"/>
    <w:rsid w:val="00EC499E"/>
    <w:rsid w:val="00EC5C93"/>
    <w:rsid w:val="00ED1560"/>
    <w:rsid w:val="00ED4628"/>
    <w:rsid w:val="00EE1BB9"/>
    <w:rsid w:val="00EF01D8"/>
    <w:rsid w:val="00EF263B"/>
    <w:rsid w:val="00F00E2C"/>
    <w:rsid w:val="00F03945"/>
    <w:rsid w:val="00F04DA5"/>
    <w:rsid w:val="00F04EC0"/>
    <w:rsid w:val="00F07313"/>
    <w:rsid w:val="00F07662"/>
    <w:rsid w:val="00F23BF3"/>
    <w:rsid w:val="00F23E64"/>
    <w:rsid w:val="00F26FE9"/>
    <w:rsid w:val="00F32E3E"/>
    <w:rsid w:val="00F37969"/>
    <w:rsid w:val="00F4290D"/>
    <w:rsid w:val="00F45BD9"/>
    <w:rsid w:val="00F4672B"/>
    <w:rsid w:val="00F52297"/>
    <w:rsid w:val="00F569E7"/>
    <w:rsid w:val="00F64EFF"/>
    <w:rsid w:val="00F663E2"/>
    <w:rsid w:val="00F73D34"/>
    <w:rsid w:val="00F863B5"/>
    <w:rsid w:val="00FA7AF8"/>
    <w:rsid w:val="00FB2A67"/>
    <w:rsid w:val="00FB441C"/>
    <w:rsid w:val="00FB47AE"/>
    <w:rsid w:val="00FB481F"/>
    <w:rsid w:val="00FB57E2"/>
    <w:rsid w:val="00FC0E36"/>
    <w:rsid w:val="00FC2A04"/>
    <w:rsid w:val="00FC3BAD"/>
    <w:rsid w:val="00FC514F"/>
    <w:rsid w:val="00FC7B74"/>
    <w:rsid w:val="00FD72E7"/>
    <w:rsid w:val="00FE055C"/>
    <w:rsid w:val="00FE0CC5"/>
    <w:rsid w:val="00FE37D1"/>
    <w:rsid w:val="00FE604E"/>
    <w:rsid w:val="00FF1D87"/>
    <w:rsid w:val="00FF1FA8"/>
    <w:rsid w:val="00FF79BA"/>
    <w:rsid w:val="01DFE90E"/>
    <w:rsid w:val="02D97A30"/>
    <w:rsid w:val="02F95E0D"/>
    <w:rsid w:val="0311BC21"/>
    <w:rsid w:val="0554C60A"/>
    <w:rsid w:val="0594C4CB"/>
    <w:rsid w:val="06202ABA"/>
    <w:rsid w:val="06C1DD19"/>
    <w:rsid w:val="06FCF7D5"/>
    <w:rsid w:val="07BEE4E0"/>
    <w:rsid w:val="09FC90F9"/>
    <w:rsid w:val="0A6CCEF5"/>
    <w:rsid w:val="0A7E40BA"/>
    <w:rsid w:val="0A816F5E"/>
    <w:rsid w:val="0B1CF63F"/>
    <w:rsid w:val="0B52B52D"/>
    <w:rsid w:val="0B671732"/>
    <w:rsid w:val="0CAE7C35"/>
    <w:rsid w:val="0DF1BF0B"/>
    <w:rsid w:val="0E914876"/>
    <w:rsid w:val="0F5E64C0"/>
    <w:rsid w:val="1029D0E6"/>
    <w:rsid w:val="1038D616"/>
    <w:rsid w:val="10D3CBFA"/>
    <w:rsid w:val="10E9F884"/>
    <w:rsid w:val="1169CEC8"/>
    <w:rsid w:val="12507936"/>
    <w:rsid w:val="128E06E9"/>
    <w:rsid w:val="12F3A084"/>
    <w:rsid w:val="137B4D28"/>
    <w:rsid w:val="13D071BC"/>
    <w:rsid w:val="13FAD3F5"/>
    <w:rsid w:val="1462898E"/>
    <w:rsid w:val="157E6D80"/>
    <w:rsid w:val="15BDFAE7"/>
    <w:rsid w:val="16196CDC"/>
    <w:rsid w:val="161D9029"/>
    <w:rsid w:val="16AFD24F"/>
    <w:rsid w:val="17556EAF"/>
    <w:rsid w:val="18544FF3"/>
    <w:rsid w:val="1939CC6C"/>
    <w:rsid w:val="1A49BE27"/>
    <w:rsid w:val="1A66B0E2"/>
    <w:rsid w:val="1B0DA46B"/>
    <w:rsid w:val="1B41F700"/>
    <w:rsid w:val="1C6381BE"/>
    <w:rsid w:val="1CE64D7F"/>
    <w:rsid w:val="1D29E18D"/>
    <w:rsid w:val="1D72DF23"/>
    <w:rsid w:val="1D763B3D"/>
    <w:rsid w:val="1E09BA50"/>
    <w:rsid w:val="1F09E0AF"/>
    <w:rsid w:val="1F1E8BB0"/>
    <w:rsid w:val="2030D955"/>
    <w:rsid w:val="211F9D9F"/>
    <w:rsid w:val="22CEE4F9"/>
    <w:rsid w:val="23413891"/>
    <w:rsid w:val="23A90E35"/>
    <w:rsid w:val="2468B069"/>
    <w:rsid w:val="24BEFA75"/>
    <w:rsid w:val="24D8756B"/>
    <w:rsid w:val="267599DF"/>
    <w:rsid w:val="26A8FBE8"/>
    <w:rsid w:val="26C18BD2"/>
    <w:rsid w:val="26F88341"/>
    <w:rsid w:val="27185510"/>
    <w:rsid w:val="272B358C"/>
    <w:rsid w:val="280F1A0E"/>
    <w:rsid w:val="28DC0387"/>
    <w:rsid w:val="28F2AF5C"/>
    <w:rsid w:val="2919EB62"/>
    <w:rsid w:val="2967D593"/>
    <w:rsid w:val="29ADB156"/>
    <w:rsid w:val="2A2573F6"/>
    <w:rsid w:val="2A3C2B45"/>
    <w:rsid w:val="2A588568"/>
    <w:rsid w:val="2A5DD7A5"/>
    <w:rsid w:val="2B8E5288"/>
    <w:rsid w:val="2D0D0A10"/>
    <w:rsid w:val="2D22B130"/>
    <w:rsid w:val="2D4B6427"/>
    <w:rsid w:val="2E26FADC"/>
    <w:rsid w:val="2EBE5838"/>
    <w:rsid w:val="2F176A4B"/>
    <w:rsid w:val="2F2B34D8"/>
    <w:rsid w:val="2FA3E164"/>
    <w:rsid w:val="300CCB6D"/>
    <w:rsid w:val="303CF01D"/>
    <w:rsid w:val="32CE05F5"/>
    <w:rsid w:val="32F1B52B"/>
    <w:rsid w:val="32F83AB8"/>
    <w:rsid w:val="33B50A72"/>
    <w:rsid w:val="33D00E67"/>
    <w:rsid w:val="34A42F46"/>
    <w:rsid w:val="35B3F24D"/>
    <w:rsid w:val="35F49DB6"/>
    <w:rsid w:val="3725AEF1"/>
    <w:rsid w:val="37493F66"/>
    <w:rsid w:val="3784DD71"/>
    <w:rsid w:val="37934F46"/>
    <w:rsid w:val="380D698E"/>
    <w:rsid w:val="38A7A0BC"/>
    <w:rsid w:val="39012C81"/>
    <w:rsid w:val="390A7CE8"/>
    <w:rsid w:val="391A65F1"/>
    <w:rsid w:val="3A993E3C"/>
    <w:rsid w:val="3AC23FAF"/>
    <w:rsid w:val="3BE3144D"/>
    <w:rsid w:val="3BF21D9A"/>
    <w:rsid w:val="3C422627"/>
    <w:rsid w:val="3C982C92"/>
    <w:rsid w:val="3CCC1405"/>
    <w:rsid w:val="3E4FE8F7"/>
    <w:rsid w:val="3EF065EB"/>
    <w:rsid w:val="3F7EC132"/>
    <w:rsid w:val="3FC3AB6E"/>
    <w:rsid w:val="402C3D83"/>
    <w:rsid w:val="41000238"/>
    <w:rsid w:val="41708F68"/>
    <w:rsid w:val="417F378C"/>
    <w:rsid w:val="4242D7D1"/>
    <w:rsid w:val="431B28B0"/>
    <w:rsid w:val="436767FF"/>
    <w:rsid w:val="439DF351"/>
    <w:rsid w:val="44074B79"/>
    <w:rsid w:val="4507F540"/>
    <w:rsid w:val="46AC6FC2"/>
    <w:rsid w:val="46E16102"/>
    <w:rsid w:val="481A71DD"/>
    <w:rsid w:val="4829F85A"/>
    <w:rsid w:val="482E21DF"/>
    <w:rsid w:val="48CADC10"/>
    <w:rsid w:val="4954951B"/>
    <w:rsid w:val="4B44714B"/>
    <w:rsid w:val="4B70A269"/>
    <w:rsid w:val="4C12BB8A"/>
    <w:rsid w:val="4C334B08"/>
    <w:rsid w:val="4C72DDAC"/>
    <w:rsid w:val="4F12C3E1"/>
    <w:rsid w:val="4FAC076D"/>
    <w:rsid w:val="4FD42B82"/>
    <w:rsid w:val="5029F226"/>
    <w:rsid w:val="5235CFCD"/>
    <w:rsid w:val="525C5C15"/>
    <w:rsid w:val="5346659A"/>
    <w:rsid w:val="53EF0A80"/>
    <w:rsid w:val="5413786C"/>
    <w:rsid w:val="545C4CC2"/>
    <w:rsid w:val="54B4C83F"/>
    <w:rsid w:val="54CB3490"/>
    <w:rsid w:val="553F9179"/>
    <w:rsid w:val="554C9F8B"/>
    <w:rsid w:val="55ADE807"/>
    <w:rsid w:val="5646BE6F"/>
    <w:rsid w:val="56D994F7"/>
    <w:rsid w:val="56EC44BD"/>
    <w:rsid w:val="57242EBA"/>
    <w:rsid w:val="57E7EDC0"/>
    <w:rsid w:val="58516F41"/>
    <w:rsid w:val="58DBD5D6"/>
    <w:rsid w:val="59016A35"/>
    <w:rsid w:val="59230487"/>
    <w:rsid w:val="59AB8E89"/>
    <w:rsid w:val="5B1E333C"/>
    <w:rsid w:val="5B52E4F8"/>
    <w:rsid w:val="5B66AB68"/>
    <w:rsid w:val="5BEA0F83"/>
    <w:rsid w:val="5D0FA97E"/>
    <w:rsid w:val="5E37278E"/>
    <w:rsid w:val="5E789D40"/>
    <w:rsid w:val="5EDC6162"/>
    <w:rsid w:val="62158908"/>
    <w:rsid w:val="62D23F75"/>
    <w:rsid w:val="62FB4B80"/>
    <w:rsid w:val="63C96604"/>
    <w:rsid w:val="63DD8FB8"/>
    <w:rsid w:val="64CB8381"/>
    <w:rsid w:val="64D6B5FB"/>
    <w:rsid w:val="64EA77F2"/>
    <w:rsid w:val="65148117"/>
    <w:rsid w:val="656850E0"/>
    <w:rsid w:val="65776E56"/>
    <w:rsid w:val="65A3C037"/>
    <w:rsid w:val="664FFC85"/>
    <w:rsid w:val="66C02211"/>
    <w:rsid w:val="6784A648"/>
    <w:rsid w:val="67A1F1F2"/>
    <w:rsid w:val="67C88CEF"/>
    <w:rsid w:val="67D46059"/>
    <w:rsid w:val="68EA7E6F"/>
    <w:rsid w:val="69699B7D"/>
    <w:rsid w:val="69AAB303"/>
    <w:rsid w:val="6AC02458"/>
    <w:rsid w:val="6AF9A1EC"/>
    <w:rsid w:val="6B00C529"/>
    <w:rsid w:val="6C1E0CF7"/>
    <w:rsid w:val="6C48B611"/>
    <w:rsid w:val="6D215869"/>
    <w:rsid w:val="6D483643"/>
    <w:rsid w:val="6D72F7A3"/>
    <w:rsid w:val="6DF7D1CD"/>
    <w:rsid w:val="6ECA1099"/>
    <w:rsid w:val="6FBCB5AF"/>
    <w:rsid w:val="707164ED"/>
    <w:rsid w:val="71273BE8"/>
    <w:rsid w:val="71C52844"/>
    <w:rsid w:val="72223FDE"/>
    <w:rsid w:val="72D1E0C3"/>
    <w:rsid w:val="733740F9"/>
    <w:rsid w:val="73BA65A9"/>
    <w:rsid w:val="75284701"/>
    <w:rsid w:val="7531627C"/>
    <w:rsid w:val="7586664D"/>
    <w:rsid w:val="75E71454"/>
    <w:rsid w:val="7621957D"/>
    <w:rsid w:val="7677FB34"/>
    <w:rsid w:val="76D15725"/>
    <w:rsid w:val="779E7C05"/>
    <w:rsid w:val="77AAB833"/>
    <w:rsid w:val="7834B2C4"/>
    <w:rsid w:val="7836A06A"/>
    <w:rsid w:val="78F15B83"/>
    <w:rsid w:val="7A6083F8"/>
    <w:rsid w:val="7A6DF079"/>
    <w:rsid w:val="7AE3C453"/>
    <w:rsid w:val="7AFEE4EE"/>
    <w:rsid w:val="7B304A9C"/>
    <w:rsid w:val="7B97A948"/>
    <w:rsid w:val="7C472768"/>
    <w:rsid w:val="7C4DB32D"/>
    <w:rsid w:val="7C741C54"/>
    <w:rsid w:val="7E0BC450"/>
    <w:rsid w:val="7E2F6E06"/>
    <w:rsid w:val="7F333EFB"/>
    <w:rsid w:val="7F7E1C89"/>
    <w:rsid w:val="7FB5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1B2D41"/>
  <w15:docId w15:val="{B2239BC2-997E-4214-BD24-0FBE1F83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E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17E0"/>
    <w:pPr>
      <w:keepNext/>
      <w:keepLines/>
      <w:jc w:val="center"/>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A0D5D"/>
    <w:pPr>
      <w:keepNext/>
      <w:keepLines/>
      <w:spacing w:before="12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D66604"/>
    <w:pPr>
      <w:keepNext/>
      <w:keepLines/>
      <w:spacing w:before="160" w:after="160"/>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F1509"/>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737FE7"/>
    <w:rPr>
      <w:rFonts w:ascii="Verdana" w:hAnsi="Verdana"/>
      <w:sz w:val="20"/>
      <w:szCs w:val="20"/>
    </w:rPr>
  </w:style>
  <w:style w:type="character" w:customStyle="1" w:styleId="CommentTextChar">
    <w:name w:val="Comment Text Char"/>
    <w:basedOn w:val="DefaultParagraphFont"/>
    <w:link w:val="CommentText"/>
    <w:rsid w:val="00737FE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rFonts w:ascii="Verdana" w:hAnsi="Verdana"/>
      <w:b/>
      <w:bCs/>
      <w:sz w:val="20"/>
      <w:szCs w:val="20"/>
    </w:rPr>
  </w:style>
  <w:style w:type="paragraph" w:styleId="BodyText2">
    <w:name w:val="Body Text 2"/>
    <w:basedOn w:val="Normal"/>
    <w:link w:val="BodyText2Char"/>
    <w:rsid w:val="006669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textAlignment w:val="baseline"/>
    </w:pPr>
  </w:style>
  <w:style w:type="character" w:customStyle="1" w:styleId="BodyText2Char">
    <w:name w:val="Body Text 2 Char"/>
    <w:basedOn w:val="DefaultParagraphFont"/>
    <w:link w:val="BodyText2"/>
    <w:rsid w:val="006669FB"/>
    <w:rPr>
      <w:rFonts w:ascii="Times New Roman" w:eastAsia="Times New Roman" w:hAnsi="Times New Roman" w:cs="Times New Roman"/>
      <w:sz w:val="24"/>
    </w:rPr>
  </w:style>
  <w:style w:type="character" w:customStyle="1" w:styleId="apple-converted-space">
    <w:name w:val="apple-converted-space"/>
    <w:basedOn w:val="DefaultParagraphFont"/>
    <w:rsid w:val="006F3E71"/>
  </w:style>
  <w:style w:type="character" w:styleId="Emphasis">
    <w:name w:val="Emphasis"/>
    <w:basedOn w:val="DefaultParagraphFont"/>
    <w:uiPriority w:val="20"/>
    <w:qFormat/>
    <w:rsid w:val="0051497F"/>
    <w:rPr>
      <w:i/>
      <w:iCs/>
    </w:rPr>
  </w:style>
  <w:style w:type="paragraph" w:styleId="Title">
    <w:name w:val="Title"/>
    <w:basedOn w:val="Normal"/>
    <w:next w:val="Normal"/>
    <w:link w:val="TitleChar"/>
    <w:uiPriority w:val="10"/>
    <w:qFormat/>
    <w:rsid w:val="00B817E0"/>
    <w:pPr>
      <w:pBdr>
        <w:bottom w:val="single" w:sz="8" w:space="4" w:color="4F81BD" w:themeColor="accent1"/>
      </w:pBdr>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B817E0"/>
    <w:rPr>
      <w:rFonts w:asciiTheme="majorHAnsi" w:eastAsiaTheme="majorEastAsia" w:hAnsiTheme="majorHAnsi" w:cstheme="majorBidi"/>
      <w:color w:val="17365D" w:themeColor="text2" w:themeShade="BF"/>
      <w:spacing w:val="5"/>
      <w:kern w:val="28"/>
      <w:sz w:val="24"/>
      <w:szCs w:val="52"/>
    </w:rPr>
  </w:style>
  <w:style w:type="character" w:customStyle="1" w:styleId="Heading1Char">
    <w:name w:val="Heading 1 Char"/>
    <w:basedOn w:val="DefaultParagraphFont"/>
    <w:link w:val="Heading1"/>
    <w:uiPriority w:val="9"/>
    <w:rsid w:val="00B817E0"/>
    <w:rPr>
      <w:rFonts w:ascii="Calibri" w:eastAsiaTheme="majorEastAsia" w:hAnsi="Calibri" w:cstheme="majorBidi"/>
      <w:b/>
      <w:bCs/>
      <w:sz w:val="24"/>
      <w:szCs w:val="28"/>
    </w:rPr>
  </w:style>
  <w:style w:type="character" w:customStyle="1" w:styleId="Heading2Char">
    <w:name w:val="Heading 2 Char"/>
    <w:basedOn w:val="DefaultParagraphFont"/>
    <w:link w:val="Heading2"/>
    <w:uiPriority w:val="9"/>
    <w:rsid w:val="00AA0D5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D66604"/>
    <w:rPr>
      <w:rFonts w:ascii="Calibri" w:eastAsiaTheme="majorEastAsia" w:hAnsi="Calibri" w:cstheme="majorBidi"/>
      <w:b/>
      <w:bCs/>
    </w:rPr>
  </w:style>
  <w:style w:type="paragraph" w:styleId="Revision">
    <w:name w:val="Revision"/>
    <w:hidden/>
    <w:uiPriority w:val="99"/>
    <w:semiHidden/>
    <w:rsid w:val="00800F63"/>
    <w:pPr>
      <w:spacing w:after="0" w:line="240" w:lineRule="auto"/>
    </w:pPr>
    <w:rPr>
      <w:rFonts w:ascii="Times New Roman" w:hAnsi="Times New Roman"/>
    </w:rPr>
  </w:style>
  <w:style w:type="paragraph" w:customStyle="1" w:styleId="title1">
    <w:name w:val="title1"/>
    <w:basedOn w:val="Normal"/>
    <w:rsid w:val="00015FFF"/>
    <w:rPr>
      <w:sz w:val="27"/>
      <w:szCs w:val="27"/>
    </w:rPr>
  </w:style>
  <w:style w:type="paragraph" w:customStyle="1" w:styleId="desc2">
    <w:name w:val="desc2"/>
    <w:basedOn w:val="Normal"/>
    <w:rsid w:val="00AA0D5D"/>
    <w:pPr>
      <w:spacing w:before="120" w:after="120"/>
    </w:pPr>
    <w:rPr>
      <w:rFonts w:ascii="Arial" w:hAnsi="Arial"/>
      <w:sz w:val="18"/>
      <w:szCs w:val="26"/>
    </w:rPr>
  </w:style>
  <w:style w:type="paragraph" w:customStyle="1" w:styleId="details1">
    <w:name w:val="details1"/>
    <w:basedOn w:val="Normal"/>
    <w:rsid w:val="00015FFF"/>
  </w:style>
  <w:style w:type="character" w:customStyle="1" w:styleId="jrnl">
    <w:name w:val="jrnl"/>
    <w:basedOn w:val="DefaultParagraphFont"/>
    <w:rsid w:val="00015FFF"/>
  </w:style>
  <w:style w:type="paragraph" w:styleId="NoSpacing">
    <w:name w:val="No Spacing"/>
    <w:uiPriority w:val="1"/>
    <w:qFormat/>
    <w:rsid w:val="00AA0D5D"/>
    <w:pPr>
      <w:spacing w:after="0" w:line="240" w:lineRule="auto"/>
    </w:pPr>
    <w:rPr>
      <w:rFonts w:ascii="Arial" w:hAnsi="Arial"/>
      <w:sz w:val="20"/>
    </w:rPr>
  </w:style>
  <w:style w:type="paragraph" w:customStyle="1" w:styleId="TIPLRParagraph">
    <w:name w:val="TIP LR Paragraph"/>
    <w:basedOn w:val="Normal"/>
    <w:uiPriority w:val="99"/>
    <w:rsid w:val="0050508C"/>
    <w:pPr>
      <w:spacing w:after="240"/>
    </w:pPr>
    <w:rPr>
      <w:color w:val="000000"/>
      <w:position w:val="2"/>
    </w:rPr>
  </w:style>
  <w:style w:type="paragraph" w:customStyle="1" w:styleId="NORC-BodySingleSpacedArialwithIndent">
    <w:name w:val="NORC-Body Single Spaced Arial with Indent"/>
    <w:link w:val="NORC-BodySingleSpacedArialwithIndentChar"/>
    <w:rsid w:val="0050508C"/>
    <w:pPr>
      <w:spacing w:after="0" w:line="240" w:lineRule="auto"/>
      <w:ind w:firstLine="504"/>
    </w:pPr>
    <w:rPr>
      <w:rFonts w:ascii="Arial" w:eastAsia="Times" w:hAnsi="Arial" w:cs="Times New Roman"/>
      <w:szCs w:val="24"/>
    </w:rPr>
  </w:style>
  <w:style w:type="character" w:customStyle="1" w:styleId="NORC-BodySingleSpacedArialwithIndentChar">
    <w:name w:val="NORC-Body Single Spaced Arial with Indent Char"/>
    <w:basedOn w:val="DefaultParagraphFont"/>
    <w:link w:val="NORC-BodySingleSpacedArialwithIndent"/>
    <w:locked/>
    <w:rsid w:val="0050508C"/>
    <w:rPr>
      <w:rFonts w:ascii="Arial" w:eastAsia="Times" w:hAnsi="Arial" w:cs="Times New Roman"/>
      <w:szCs w:val="24"/>
    </w:rPr>
  </w:style>
  <w:style w:type="paragraph" w:styleId="PlainText">
    <w:name w:val="Plain Text"/>
    <w:basedOn w:val="Normal"/>
    <w:link w:val="PlainTextChar"/>
    <w:uiPriority w:val="99"/>
    <w:semiHidden/>
    <w:unhideWhenUsed/>
    <w:rsid w:val="00FB2A67"/>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FB2A67"/>
    <w:rPr>
      <w:rFonts w:ascii="Arial" w:eastAsiaTheme="minorHAnsi" w:hAnsi="Arial" w:cs="Arial"/>
      <w:sz w:val="20"/>
      <w:szCs w:val="20"/>
    </w:rPr>
  </w:style>
  <w:style w:type="paragraph" w:styleId="Bibliography">
    <w:name w:val="Bibliography"/>
    <w:basedOn w:val="Normal"/>
    <w:next w:val="Normal"/>
    <w:uiPriority w:val="37"/>
    <w:unhideWhenUsed/>
    <w:rsid w:val="00B133E7"/>
    <w:pPr>
      <w:spacing w:line="480" w:lineRule="auto"/>
      <w:ind w:left="720" w:hanging="720"/>
    </w:pPr>
  </w:style>
  <w:style w:type="paragraph" w:styleId="FootnoteText">
    <w:name w:val="footnote text"/>
    <w:basedOn w:val="Normal"/>
    <w:link w:val="FootnoteTextChar"/>
    <w:uiPriority w:val="99"/>
    <w:semiHidden/>
    <w:unhideWhenUsed/>
    <w:rsid w:val="00B133E7"/>
    <w:rPr>
      <w:sz w:val="20"/>
      <w:szCs w:val="20"/>
    </w:rPr>
  </w:style>
  <w:style w:type="character" w:customStyle="1" w:styleId="FootnoteTextChar">
    <w:name w:val="Footnote Text Char"/>
    <w:basedOn w:val="DefaultParagraphFont"/>
    <w:link w:val="FootnoteText"/>
    <w:uiPriority w:val="99"/>
    <w:semiHidden/>
    <w:rsid w:val="00B133E7"/>
    <w:rPr>
      <w:rFonts w:ascii="Times New Roman" w:hAnsi="Times New Roman"/>
      <w:sz w:val="20"/>
      <w:szCs w:val="20"/>
    </w:rPr>
  </w:style>
  <w:style w:type="character" w:styleId="FootnoteReference">
    <w:name w:val="footnote reference"/>
    <w:basedOn w:val="DefaultParagraphFont"/>
    <w:uiPriority w:val="99"/>
    <w:semiHidden/>
    <w:unhideWhenUsed/>
    <w:rsid w:val="00B133E7"/>
    <w:rPr>
      <w:vertAlign w:val="superscript"/>
    </w:rPr>
  </w:style>
  <w:style w:type="character" w:styleId="HTMLCite">
    <w:name w:val="HTML Cite"/>
    <w:basedOn w:val="DefaultParagraphFont"/>
    <w:uiPriority w:val="99"/>
    <w:semiHidden/>
    <w:unhideWhenUsed/>
    <w:rsid w:val="007440AA"/>
    <w:rPr>
      <w:i/>
      <w:iCs/>
    </w:rPr>
  </w:style>
  <w:style w:type="paragraph" w:styleId="Subtitle">
    <w:name w:val="Subtitle"/>
    <w:basedOn w:val="Normal"/>
    <w:next w:val="Normal"/>
    <w:link w:val="SubtitleChar"/>
    <w:uiPriority w:val="11"/>
    <w:qFormat/>
    <w:rsid w:val="002F2D55"/>
    <w:pPr>
      <w:numPr>
        <w:ilvl w:val="1"/>
      </w:numPr>
      <w:spacing w:after="160" w:line="259" w:lineRule="auto"/>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F2D55"/>
    <w:rPr>
      <w:rFonts w:eastAsiaTheme="minorEastAsia"/>
      <w:color w:val="5A5A5A" w:themeColor="text1" w:themeTint="A5"/>
      <w:spacing w:val="15"/>
    </w:rPr>
  </w:style>
  <w:style w:type="paragraph" w:styleId="Date">
    <w:name w:val="Date"/>
    <w:basedOn w:val="Normal"/>
    <w:next w:val="Normal"/>
    <w:link w:val="DateChar"/>
    <w:uiPriority w:val="99"/>
    <w:unhideWhenUsed/>
    <w:rsid w:val="002F2D55"/>
    <w:pPr>
      <w:spacing w:after="160" w:line="259" w:lineRule="auto"/>
    </w:pPr>
    <w:rPr>
      <w:rFonts w:asciiTheme="minorHAnsi" w:eastAsiaTheme="minorHAnsi" w:hAnsiTheme="minorHAnsi"/>
    </w:rPr>
  </w:style>
  <w:style w:type="character" w:customStyle="1" w:styleId="DateChar">
    <w:name w:val="Date Char"/>
    <w:basedOn w:val="DefaultParagraphFont"/>
    <w:link w:val="Date"/>
    <w:uiPriority w:val="99"/>
    <w:rsid w:val="002F2D55"/>
    <w:rPr>
      <w:rFonts w:eastAsiaTheme="minorHAnsi"/>
    </w:rPr>
  </w:style>
  <w:style w:type="paragraph" w:styleId="NormalWeb">
    <w:name w:val="Normal (Web)"/>
    <w:basedOn w:val="Normal"/>
    <w:uiPriority w:val="99"/>
    <w:semiHidden/>
    <w:unhideWhenUsed/>
    <w:rsid w:val="00CD12B9"/>
    <w:pPr>
      <w:spacing w:before="100" w:beforeAutospacing="1" w:after="100" w:afterAutospacing="1"/>
    </w:pPr>
  </w:style>
  <w:style w:type="character" w:styleId="UnresolvedMention">
    <w:name w:val="Unresolved Mention"/>
    <w:basedOn w:val="DefaultParagraphFont"/>
    <w:uiPriority w:val="99"/>
    <w:semiHidden/>
    <w:unhideWhenUsed/>
    <w:rsid w:val="00AA48A6"/>
    <w:rPr>
      <w:color w:val="605E5C"/>
      <w:shd w:val="clear" w:color="auto" w:fill="E1DFDD"/>
    </w:rPr>
  </w:style>
  <w:style w:type="character" w:styleId="PageNumber">
    <w:name w:val="page number"/>
    <w:basedOn w:val="DefaultParagraphFont"/>
    <w:uiPriority w:val="99"/>
    <w:semiHidden/>
    <w:unhideWhenUsed/>
    <w:rsid w:val="00F5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7237">
      <w:bodyDiv w:val="1"/>
      <w:marLeft w:val="0"/>
      <w:marRight w:val="0"/>
      <w:marTop w:val="0"/>
      <w:marBottom w:val="0"/>
      <w:divBdr>
        <w:top w:val="none" w:sz="0" w:space="0" w:color="auto"/>
        <w:left w:val="none" w:sz="0" w:space="0" w:color="auto"/>
        <w:bottom w:val="none" w:sz="0" w:space="0" w:color="auto"/>
        <w:right w:val="none" w:sz="0" w:space="0" w:color="auto"/>
      </w:divBdr>
    </w:div>
    <w:div w:id="494877787">
      <w:bodyDiv w:val="1"/>
      <w:marLeft w:val="0"/>
      <w:marRight w:val="0"/>
      <w:marTop w:val="0"/>
      <w:marBottom w:val="0"/>
      <w:divBdr>
        <w:top w:val="none" w:sz="0" w:space="0" w:color="auto"/>
        <w:left w:val="none" w:sz="0" w:space="0" w:color="auto"/>
        <w:bottom w:val="none" w:sz="0" w:space="0" w:color="auto"/>
        <w:right w:val="none" w:sz="0" w:space="0" w:color="auto"/>
      </w:divBdr>
    </w:div>
    <w:div w:id="604732307">
      <w:bodyDiv w:val="1"/>
      <w:marLeft w:val="0"/>
      <w:marRight w:val="0"/>
      <w:marTop w:val="0"/>
      <w:marBottom w:val="0"/>
      <w:divBdr>
        <w:top w:val="none" w:sz="0" w:space="0" w:color="auto"/>
        <w:left w:val="none" w:sz="0" w:space="0" w:color="auto"/>
        <w:bottom w:val="none" w:sz="0" w:space="0" w:color="auto"/>
        <w:right w:val="none" w:sz="0" w:space="0" w:color="auto"/>
      </w:divBdr>
    </w:div>
    <w:div w:id="1040134439">
      <w:bodyDiv w:val="1"/>
      <w:marLeft w:val="0"/>
      <w:marRight w:val="0"/>
      <w:marTop w:val="0"/>
      <w:marBottom w:val="0"/>
      <w:divBdr>
        <w:top w:val="none" w:sz="0" w:space="0" w:color="auto"/>
        <w:left w:val="none" w:sz="0" w:space="0" w:color="auto"/>
        <w:bottom w:val="none" w:sz="0" w:space="0" w:color="auto"/>
        <w:right w:val="none" w:sz="0" w:space="0" w:color="auto"/>
      </w:divBdr>
    </w:div>
    <w:div w:id="1300382475">
      <w:bodyDiv w:val="1"/>
      <w:marLeft w:val="0"/>
      <w:marRight w:val="0"/>
      <w:marTop w:val="0"/>
      <w:marBottom w:val="0"/>
      <w:divBdr>
        <w:top w:val="none" w:sz="0" w:space="0" w:color="auto"/>
        <w:left w:val="none" w:sz="0" w:space="0" w:color="auto"/>
        <w:bottom w:val="none" w:sz="0" w:space="0" w:color="auto"/>
        <w:right w:val="none" w:sz="0" w:space="0" w:color="auto"/>
      </w:divBdr>
    </w:div>
    <w:div w:id="1379743163">
      <w:bodyDiv w:val="1"/>
      <w:marLeft w:val="0"/>
      <w:marRight w:val="0"/>
      <w:marTop w:val="0"/>
      <w:marBottom w:val="0"/>
      <w:divBdr>
        <w:top w:val="none" w:sz="0" w:space="0" w:color="auto"/>
        <w:left w:val="none" w:sz="0" w:space="0" w:color="auto"/>
        <w:bottom w:val="none" w:sz="0" w:space="0" w:color="auto"/>
        <w:right w:val="none" w:sz="0" w:space="0" w:color="auto"/>
      </w:divBdr>
    </w:div>
    <w:div w:id="1435132990">
      <w:bodyDiv w:val="1"/>
      <w:marLeft w:val="0"/>
      <w:marRight w:val="0"/>
      <w:marTop w:val="0"/>
      <w:marBottom w:val="0"/>
      <w:divBdr>
        <w:top w:val="none" w:sz="0" w:space="0" w:color="auto"/>
        <w:left w:val="none" w:sz="0" w:space="0" w:color="auto"/>
        <w:bottom w:val="none" w:sz="0" w:space="0" w:color="auto"/>
        <w:right w:val="none" w:sz="0" w:space="0" w:color="auto"/>
      </w:divBdr>
    </w:div>
    <w:div w:id="1451050017">
      <w:bodyDiv w:val="1"/>
      <w:marLeft w:val="0"/>
      <w:marRight w:val="0"/>
      <w:marTop w:val="0"/>
      <w:marBottom w:val="0"/>
      <w:divBdr>
        <w:top w:val="none" w:sz="0" w:space="0" w:color="auto"/>
        <w:left w:val="none" w:sz="0" w:space="0" w:color="auto"/>
        <w:bottom w:val="none" w:sz="0" w:space="0" w:color="auto"/>
        <w:right w:val="none" w:sz="0" w:space="0" w:color="auto"/>
      </w:divBdr>
    </w:div>
    <w:div w:id="1640959619">
      <w:bodyDiv w:val="1"/>
      <w:marLeft w:val="0"/>
      <w:marRight w:val="0"/>
      <w:marTop w:val="0"/>
      <w:marBottom w:val="0"/>
      <w:divBdr>
        <w:top w:val="none" w:sz="0" w:space="0" w:color="auto"/>
        <w:left w:val="none" w:sz="0" w:space="0" w:color="auto"/>
        <w:bottom w:val="none" w:sz="0" w:space="0" w:color="auto"/>
        <w:right w:val="none" w:sz="0" w:space="0" w:color="auto"/>
      </w:divBdr>
      <w:divsChild>
        <w:div w:id="950432578">
          <w:marLeft w:val="0"/>
          <w:marRight w:val="1"/>
          <w:marTop w:val="0"/>
          <w:marBottom w:val="0"/>
          <w:divBdr>
            <w:top w:val="none" w:sz="0" w:space="0" w:color="auto"/>
            <w:left w:val="none" w:sz="0" w:space="0" w:color="auto"/>
            <w:bottom w:val="none" w:sz="0" w:space="0" w:color="auto"/>
            <w:right w:val="none" w:sz="0" w:space="0" w:color="auto"/>
          </w:divBdr>
          <w:divsChild>
            <w:div w:id="2110857179">
              <w:marLeft w:val="0"/>
              <w:marRight w:val="0"/>
              <w:marTop w:val="0"/>
              <w:marBottom w:val="0"/>
              <w:divBdr>
                <w:top w:val="none" w:sz="0" w:space="0" w:color="auto"/>
                <w:left w:val="none" w:sz="0" w:space="0" w:color="auto"/>
                <w:bottom w:val="none" w:sz="0" w:space="0" w:color="auto"/>
                <w:right w:val="none" w:sz="0" w:space="0" w:color="auto"/>
              </w:divBdr>
              <w:divsChild>
                <w:div w:id="1155293367">
                  <w:marLeft w:val="0"/>
                  <w:marRight w:val="1"/>
                  <w:marTop w:val="0"/>
                  <w:marBottom w:val="0"/>
                  <w:divBdr>
                    <w:top w:val="none" w:sz="0" w:space="0" w:color="auto"/>
                    <w:left w:val="none" w:sz="0" w:space="0" w:color="auto"/>
                    <w:bottom w:val="none" w:sz="0" w:space="0" w:color="auto"/>
                    <w:right w:val="none" w:sz="0" w:space="0" w:color="auto"/>
                  </w:divBdr>
                  <w:divsChild>
                    <w:div w:id="1317493451">
                      <w:marLeft w:val="0"/>
                      <w:marRight w:val="0"/>
                      <w:marTop w:val="0"/>
                      <w:marBottom w:val="0"/>
                      <w:divBdr>
                        <w:top w:val="none" w:sz="0" w:space="0" w:color="auto"/>
                        <w:left w:val="none" w:sz="0" w:space="0" w:color="auto"/>
                        <w:bottom w:val="none" w:sz="0" w:space="0" w:color="auto"/>
                        <w:right w:val="none" w:sz="0" w:space="0" w:color="auto"/>
                      </w:divBdr>
                      <w:divsChild>
                        <w:div w:id="51849604">
                          <w:marLeft w:val="0"/>
                          <w:marRight w:val="0"/>
                          <w:marTop w:val="0"/>
                          <w:marBottom w:val="0"/>
                          <w:divBdr>
                            <w:top w:val="none" w:sz="0" w:space="0" w:color="auto"/>
                            <w:left w:val="none" w:sz="0" w:space="0" w:color="auto"/>
                            <w:bottom w:val="none" w:sz="0" w:space="0" w:color="auto"/>
                            <w:right w:val="none" w:sz="0" w:space="0" w:color="auto"/>
                          </w:divBdr>
                          <w:divsChild>
                            <w:div w:id="118958833">
                              <w:marLeft w:val="0"/>
                              <w:marRight w:val="0"/>
                              <w:marTop w:val="120"/>
                              <w:marBottom w:val="360"/>
                              <w:divBdr>
                                <w:top w:val="none" w:sz="0" w:space="0" w:color="auto"/>
                                <w:left w:val="none" w:sz="0" w:space="0" w:color="auto"/>
                                <w:bottom w:val="none" w:sz="0" w:space="0" w:color="auto"/>
                                <w:right w:val="none" w:sz="0" w:space="0" w:color="auto"/>
                              </w:divBdr>
                              <w:divsChild>
                                <w:div w:id="676884725">
                                  <w:marLeft w:val="420"/>
                                  <w:marRight w:val="0"/>
                                  <w:marTop w:val="0"/>
                                  <w:marBottom w:val="0"/>
                                  <w:divBdr>
                                    <w:top w:val="none" w:sz="0" w:space="0" w:color="auto"/>
                                    <w:left w:val="none" w:sz="0" w:space="0" w:color="auto"/>
                                    <w:bottom w:val="none" w:sz="0" w:space="0" w:color="auto"/>
                                    <w:right w:val="none" w:sz="0" w:space="0" w:color="auto"/>
                                  </w:divBdr>
                                  <w:divsChild>
                                    <w:div w:id="10070960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90107">
      <w:bodyDiv w:val="1"/>
      <w:marLeft w:val="0"/>
      <w:marRight w:val="0"/>
      <w:marTop w:val="0"/>
      <w:marBottom w:val="0"/>
      <w:divBdr>
        <w:top w:val="none" w:sz="0" w:space="0" w:color="auto"/>
        <w:left w:val="none" w:sz="0" w:space="0" w:color="auto"/>
        <w:bottom w:val="none" w:sz="0" w:space="0" w:color="auto"/>
        <w:right w:val="none" w:sz="0" w:space="0" w:color="auto"/>
      </w:divBdr>
    </w:div>
    <w:div w:id="1913848354">
      <w:bodyDiv w:val="1"/>
      <w:marLeft w:val="0"/>
      <w:marRight w:val="0"/>
      <w:marTop w:val="0"/>
      <w:marBottom w:val="0"/>
      <w:divBdr>
        <w:top w:val="none" w:sz="0" w:space="0" w:color="auto"/>
        <w:left w:val="none" w:sz="0" w:space="0" w:color="auto"/>
        <w:bottom w:val="none" w:sz="0" w:space="0" w:color="auto"/>
        <w:right w:val="none" w:sz="0" w:space="0" w:color="auto"/>
      </w:divBdr>
    </w:div>
    <w:div w:id="1916435976">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0686">
      <w:bodyDiv w:val="1"/>
      <w:marLeft w:val="0"/>
      <w:marRight w:val="0"/>
      <w:marTop w:val="0"/>
      <w:marBottom w:val="0"/>
      <w:divBdr>
        <w:top w:val="none" w:sz="0" w:space="0" w:color="auto"/>
        <w:left w:val="none" w:sz="0" w:space="0" w:color="auto"/>
        <w:bottom w:val="none" w:sz="0" w:space="0" w:color="auto"/>
        <w:right w:val="none" w:sz="0" w:space="0" w:color="auto"/>
      </w:divBdr>
      <w:divsChild>
        <w:div w:id="1129545330">
          <w:marLeft w:val="0"/>
          <w:marRight w:val="1"/>
          <w:marTop w:val="0"/>
          <w:marBottom w:val="0"/>
          <w:divBdr>
            <w:top w:val="none" w:sz="0" w:space="0" w:color="auto"/>
            <w:left w:val="none" w:sz="0" w:space="0" w:color="auto"/>
            <w:bottom w:val="none" w:sz="0" w:space="0" w:color="auto"/>
            <w:right w:val="none" w:sz="0" w:space="0" w:color="auto"/>
          </w:divBdr>
          <w:divsChild>
            <w:div w:id="478772458">
              <w:marLeft w:val="0"/>
              <w:marRight w:val="0"/>
              <w:marTop w:val="0"/>
              <w:marBottom w:val="0"/>
              <w:divBdr>
                <w:top w:val="none" w:sz="0" w:space="0" w:color="auto"/>
                <w:left w:val="none" w:sz="0" w:space="0" w:color="auto"/>
                <w:bottom w:val="none" w:sz="0" w:space="0" w:color="auto"/>
                <w:right w:val="none" w:sz="0" w:space="0" w:color="auto"/>
              </w:divBdr>
              <w:divsChild>
                <w:div w:id="3939921">
                  <w:marLeft w:val="0"/>
                  <w:marRight w:val="1"/>
                  <w:marTop w:val="0"/>
                  <w:marBottom w:val="0"/>
                  <w:divBdr>
                    <w:top w:val="none" w:sz="0" w:space="0" w:color="auto"/>
                    <w:left w:val="none" w:sz="0" w:space="0" w:color="auto"/>
                    <w:bottom w:val="none" w:sz="0" w:space="0" w:color="auto"/>
                    <w:right w:val="none" w:sz="0" w:space="0" w:color="auto"/>
                  </w:divBdr>
                  <w:divsChild>
                    <w:div w:id="928318297">
                      <w:marLeft w:val="0"/>
                      <w:marRight w:val="0"/>
                      <w:marTop w:val="0"/>
                      <w:marBottom w:val="0"/>
                      <w:divBdr>
                        <w:top w:val="none" w:sz="0" w:space="0" w:color="auto"/>
                        <w:left w:val="none" w:sz="0" w:space="0" w:color="auto"/>
                        <w:bottom w:val="none" w:sz="0" w:space="0" w:color="auto"/>
                        <w:right w:val="none" w:sz="0" w:space="0" w:color="auto"/>
                      </w:divBdr>
                      <w:divsChild>
                        <w:div w:id="596714646">
                          <w:marLeft w:val="0"/>
                          <w:marRight w:val="0"/>
                          <w:marTop w:val="0"/>
                          <w:marBottom w:val="0"/>
                          <w:divBdr>
                            <w:top w:val="none" w:sz="0" w:space="0" w:color="auto"/>
                            <w:left w:val="none" w:sz="0" w:space="0" w:color="auto"/>
                            <w:bottom w:val="none" w:sz="0" w:space="0" w:color="auto"/>
                            <w:right w:val="none" w:sz="0" w:space="0" w:color="auto"/>
                          </w:divBdr>
                          <w:divsChild>
                            <w:div w:id="729498339">
                              <w:marLeft w:val="0"/>
                              <w:marRight w:val="0"/>
                              <w:marTop w:val="0"/>
                              <w:marBottom w:val="0"/>
                              <w:divBdr>
                                <w:top w:val="none" w:sz="0" w:space="0" w:color="auto"/>
                                <w:left w:val="none" w:sz="0" w:space="0" w:color="auto"/>
                                <w:bottom w:val="none" w:sz="0" w:space="0" w:color="auto"/>
                                <w:right w:val="none" w:sz="0" w:space="0" w:color="auto"/>
                              </w:divBdr>
                            </w:div>
                          </w:divsChild>
                        </w:div>
                        <w:div w:id="1836720966">
                          <w:marLeft w:val="0"/>
                          <w:marRight w:val="0"/>
                          <w:marTop w:val="0"/>
                          <w:marBottom w:val="0"/>
                          <w:divBdr>
                            <w:top w:val="none" w:sz="0" w:space="0" w:color="auto"/>
                            <w:left w:val="none" w:sz="0" w:space="0" w:color="auto"/>
                            <w:bottom w:val="none" w:sz="0" w:space="0" w:color="auto"/>
                            <w:right w:val="none" w:sz="0" w:space="0" w:color="auto"/>
                          </w:divBdr>
                          <w:divsChild>
                            <w:div w:id="525485824">
                              <w:marLeft w:val="0"/>
                              <w:marRight w:val="0"/>
                              <w:marTop w:val="120"/>
                              <w:marBottom w:val="360"/>
                              <w:divBdr>
                                <w:top w:val="none" w:sz="0" w:space="0" w:color="auto"/>
                                <w:left w:val="none" w:sz="0" w:space="0" w:color="auto"/>
                                <w:bottom w:val="none" w:sz="0" w:space="0" w:color="auto"/>
                                <w:right w:val="none" w:sz="0" w:space="0" w:color="auto"/>
                              </w:divBdr>
                              <w:divsChild>
                                <w:div w:id="316039129">
                                  <w:marLeft w:val="0"/>
                                  <w:marRight w:val="0"/>
                                  <w:marTop w:val="0"/>
                                  <w:marBottom w:val="0"/>
                                  <w:divBdr>
                                    <w:top w:val="none" w:sz="0" w:space="0" w:color="auto"/>
                                    <w:left w:val="none" w:sz="0" w:space="0" w:color="auto"/>
                                    <w:bottom w:val="none" w:sz="0" w:space="0" w:color="auto"/>
                                    <w:right w:val="none" w:sz="0" w:space="0" w:color="auto"/>
                                  </w:divBdr>
                                </w:div>
                                <w:div w:id="811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7/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19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A1EE1-3E47-499F-AC8A-B1BDA187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Goodman</dc:creator>
  <cp:lastModifiedBy>Abdelmouti, Tawanda (NIH/OD) [E]</cp:lastModifiedBy>
  <cp:revision>4</cp:revision>
  <cp:lastPrinted>2016-09-30T17:19:00Z</cp:lastPrinted>
  <dcterms:created xsi:type="dcterms:W3CDTF">2020-01-22T20:59:00Z</dcterms:created>
  <dcterms:modified xsi:type="dcterms:W3CDTF">2020-01-27T22:04:00Z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id="hVMzbyOV"/&gt;&lt;style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