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3ABDC" w14:textId="77777777" w:rsidR="00712FC4" w:rsidRPr="00EE3E14" w:rsidRDefault="00712FC4" w:rsidP="00712FC4">
      <w:pPr>
        <w:ind w:left="2880" w:firstLine="720"/>
        <w:rPr>
          <w:rFonts w:ascii="Times New Roman" w:eastAsia="Times New Roman" w:hAnsi="Times New Roman" w:cs="Times New Roman"/>
          <w:sz w:val="24"/>
          <w:szCs w:val="24"/>
        </w:rPr>
      </w:pPr>
      <w:bookmarkStart w:id="0" w:name="_GoBack"/>
      <w:bookmarkEnd w:id="0"/>
      <w:r w:rsidRPr="00EE3E14">
        <w:rPr>
          <w:rFonts w:ascii="Times New Roman" w:hAnsi="Times New Roman" w:cs="Times New Roman"/>
          <w:sz w:val="24"/>
          <w:szCs w:val="24"/>
        </w:rPr>
        <w:t>Supporting Statement A for</w:t>
      </w:r>
    </w:p>
    <w:p w14:paraId="2D950C30" w14:textId="77777777" w:rsidR="00712FC4" w:rsidRPr="00EE3E14" w:rsidRDefault="00712FC4" w:rsidP="00712FC4">
      <w:pPr>
        <w:pStyle w:val="P1-StandPara"/>
        <w:tabs>
          <w:tab w:val="left" w:pos="720"/>
          <w:tab w:val="right" w:leader="dot" w:pos="9504"/>
        </w:tabs>
        <w:spacing w:before="120" w:after="120"/>
        <w:ind w:firstLine="0"/>
        <w:rPr>
          <w:sz w:val="24"/>
          <w:szCs w:val="24"/>
        </w:rPr>
      </w:pPr>
      <w:r w:rsidRPr="00EE3E14">
        <w:rPr>
          <w:sz w:val="24"/>
          <w:szCs w:val="24"/>
        </w:rPr>
        <w:t xml:space="preserve">                    </w:t>
      </w:r>
    </w:p>
    <w:p w14:paraId="46A8C3BE" w14:textId="77777777" w:rsidR="00712FC4" w:rsidRPr="00EE3E14" w:rsidRDefault="00712FC4" w:rsidP="00712FC4">
      <w:pPr>
        <w:pStyle w:val="P1-StandPara"/>
        <w:tabs>
          <w:tab w:val="left" w:pos="720"/>
          <w:tab w:val="right" w:leader="dot" w:pos="9504"/>
        </w:tabs>
        <w:spacing w:before="120" w:after="120"/>
        <w:ind w:firstLine="0"/>
        <w:jc w:val="center"/>
        <w:rPr>
          <w:sz w:val="24"/>
          <w:szCs w:val="24"/>
        </w:rPr>
      </w:pPr>
      <w:r w:rsidRPr="00EE3E14">
        <w:rPr>
          <w:sz w:val="24"/>
          <w:szCs w:val="24"/>
        </w:rPr>
        <w:t>NIH Information Collection Forms to Support Genomic Data Sharing for Research Purposes (OD)</w:t>
      </w:r>
    </w:p>
    <w:p w14:paraId="2EADF0F7" w14:textId="536A27EA" w:rsidR="00712FC4" w:rsidRPr="00EE3E14" w:rsidRDefault="00712FC4" w:rsidP="00712FC4">
      <w:pPr>
        <w:pStyle w:val="P1-StandPara"/>
        <w:tabs>
          <w:tab w:val="left" w:pos="720"/>
          <w:tab w:val="right" w:leader="dot" w:pos="9504"/>
        </w:tabs>
        <w:spacing w:before="120" w:after="120"/>
        <w:ind w:firstLine="0"/>
        <w:jc w:val="center"/>
        <w:rPr>
          <w:sz w:val="24"/>
          <w:szCs w:val="24"/>
        </w:rPr>
      </w:pPr>
      <w:r w:rsidRPr="00EE3E14">
        <w:rPr>
          <w:sz w:val="24"/>
          <w:szCs w:val="24"/>
        </w:rPr>
        <w:t>OMB# 0925-0670 and expiration date, 07/31/2019</w:t>
      </w:r>
    </w:p>
    <w:p w14:paraId="6201F19F" w14:textId="77777777" w:rsidR="00712FC4" w:rsidRPr="00EE3E14" w:rsidRDefault="00712FC4" w:rsidP="00712FC4">
      <w:pPr>
        <w:pStyle w:val="P1-StandPara"/>
        <w:tabs>
          <w:tab w:val="left" w:pos="720"/>
          <w:tab w:val="right" w:leader="dot" w:pos="9504"/>
        </w:tabs>
        <w:spacing w:before="120" w:after="120"/>
        <w:ind w:firstLine="0"/>
        <w:rPr>
          <w:sz w:val="24"/>
          <w:szCs w:val="24"/>
        </w:rPr>
      </w:pPr>
    </w:p>
    <w:p w14:paraId="13F6B3D3" w14:textId="10FE059A" w:rsidR="00712FC4" w:rsidRPr="00EE3E14" w:rsidRDefault="00712FC4" w:rsidP="00E42C50">
      <w:pPr>
        <w:pStyle w:val="P1-StandPara"/>
        <w:tabs>
          <w:tab w:val="left" w:pos="720"/>
          <w:tab w:val="right" w:leader="dot" w:pos="9504"/>
        </w:tabs>
        <w:spacing w:line="240" w:lineRule="auto"/>
        <w:ind w:firstLine="0"/>
        <w:rPr>
          <w:sz w:val="24"/>
          <w:szCs w:val="24"/>
        </w:rPr>
      </w:pPr>
      <w:r w:rsidRPr="00EE3E14">
        <w:rPr>
          <w:sz w:val="24"/>
          <w:szCs w:val="24"/>
        </w:rPr>
        <w:t xml:space="preserve"> Date: </w:t>
      </w:r>
      <w:r w:rsidR="009637F1">
        <w:rPr>
          <w:sz w:val="24"/>
          <w:szCs w:val="24"/>
        </w:rPr>
        <w:t>July 1, 2019</w:t>
      </w:r>
    </w:p>
    <w:p w14:paraId="31785FFB" w14:textId="77777777" w:rsidR="00E42C50" w:rsidRPr="00EE3E14" w:rsidRDefault="00E42C50" w:rsidP="00712FC4">
      <w:pPr>
        <w:pStyle w:val="P1-StandPara"/>
        <w:tabs>
          <w:tab w:val="left" w:pos="720"/>
          <w:tab w:val="right" w:leader="dot" w:pos="9504"/>
        </w:tabs>
        <w:spacing w:before="120" w:line="240" w:lineRule="auto"/>
        <w:ind w:firstLine="0"/>
        <w:rPr>
          <w:sz w:val="24"/>
          <w:szCs w:val="24"/>
        </w:rPr>
      </w:pPr>
    </w:p>
    <w:p w14:paraId="7A5D5441" w14:textId="77777777"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Check off which applies:</w:t>
      </w:r>
    </w:p>
    <w:p w14:paraId="69764110" w14:textId="77777777" w:rsidR="00712FC4" w:rsidRPr="00EE3E14" w:rsidRDefault="00712FC4" w:rsidP="00712FC4">
      <w:pPr>
        <w:pStyle w:val="ListParagraph"/>
        <w:numPr>
          <w:ilvl w:val="0"/>
          <w:numId w:val="1"/>
        </w:numPr>
        <w:spacing w:after="0" w:line="240" w:lineRule="auto"/>
        <w:rPr>
          <w:rFonts w:ascii="Times New Roman" w:hAnsi="Times New Roman" w:cs="Times New Roman"/>
          <w:sz w:val="24"/>
          <w:szCs w:val="24"/>
        </w:rPr>
      </w:pPr>
      <w:r w:rsidRPr="00EE3E14">
        <w:rPr>
          <w:rFonts w:ascii="Times New Roman" w:hAnsi="Times New Roman" w:cs="Times New Roman"/>
          <w:sz w:val="24"/>
          <w:szCs w:val="24"/>
        </w:rPr>
        <w:t xml:space="preserve">New </w:t>
      </w:r>
    </w:p>
    <w:p w14:paraId="78AB01F6" w14:textId="6D34ABAC" w:rsidR="00712FC4" w:rsidRPr="003D7B18" w:rsidRDefault="003D7B18" w:rsidP="003D7B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X   </w:t>
      </w:r>
      <w:r w:rsidR="00712FC4" w:rsidRPr="003D7B18">
        <w:rPr>
          <w:rFonts w:ascii="Times New Roman" w:hAnsi="Times New Roman" w:cs="Times New Roman"/>
          <w:sz w:val="24"/>
          <w:szCs w:val="24"/>
        </w:rPr>
        <w:t>Revision</w:t>
      </w:r>
      <w:r w:rsidR="00712FC4" w:rsidRPr="003D7B18">
        <w:rPr>
          <w:rFonts w:ascii="Times New Roman" w:hAnsi="Times New Roman" w:cs="Times New Roman"/>
          <w:sz w:val="24"/>
          <w:szCs w:val="24"/>
        </w:rPr>
        <w:tab/>
      </w:r>
      <w:r w:rsidR="00712FC4" w:rsidRPr="003D7B18">
        <w:rPr>
          <w:rFonts w:ascii="Times New Roman" w:hAnsi="Times New Roman" w:cs="Times New Roman"/>
          <w:sz w:val="24"/>
          <w:szCs w:val="24"/>
        </w:rPr>
        <w:tab/>
      </w:r>
      <w:r w:rsidR="00712FC4" w:rsidRPr="003D7B18">
        <w:rPr>
          <w:rFonts w:ascii="Times New Roman" w:hAnsi="Times New Roman" w:cs="Times New Roman"/>
          <w:sz w:val="24"/>
          <w:szCs w:val="24"/>
        </w:rPr>
        <w:tab/>
      </w:r>
    </w:p>
    <w:p w14:paraId="537743EF" w14:textId="77777777" w:rsidR="00712FC4" w:rsidRPr="00EE3E14" w:rsidRDefault="00712FC4" w:rsidP="00712FC4">
      <w:pPr>
        <w:numPr>
          <w:ilvl w:val="0"/>
          <w:numId w:val="1"/>
        </w:numPr>
        <w:spacing w:after="0" w:line="240" w:lineRule="auto"/>
        <w:rPr>
          <w:rFonts w:ascii="Times New Roman" w:hAnsi="Times New Roman" w:cs="Times New Roman"/>
          <w:sz w:val="24"/>
          <w:szCs w:val="24"/>
        </w:rPr>
      </w:pPr>
      <w:r w:rsidRPr="00EE3E14">
        <w:rPr>
          <w:rFonts w:ascii="Times New Roman" w:hAnsi="Times New Roman" w:cs="Times New Roman"/>
          <w:sz w:val="24"/>
          <w:szCs w:val="24"/>
        </w:rPr>
        <w:t>Reinstatement with Change</w:t>
      </w:r>
    </w:p>
    <w:p w14:paraId="4A24F512" w14:textId="77777777" w:rsidR="003D7B18" w:rsidRPr="00EE3E14" w:rsidRDefault="003D7B18" w:rsidP="003D7B18">
      <w:pPr>
        <w:numPr>
          <w:ilvl w:val="0"/>
          <w:numId w:val="1"/>
        </w:numPr>
        <w:spacing w:after="0" w:line="240" w:lineRule="auto"/>
        <w:rPr>
          <w:rFonts w:ascii="Times New Roman" w:hAnsi="Times New Roman" w:cs="Times New Roman"/>
          <w:sz w:val="24"/>
          <w:szCs w:val="24"/>
        </w:rPr>
      </w:pPr>
      <w:r w:rsidRPr="00EE3E14">
        <w:rPr>
          <w:rFonts w:ascii="Times New Roman" w:hAnsi="Times New Roman" w:cs="Times New Roman"/>
          <w:sz w:val="24"/>
          <w:szCs w:val="24"/>
        </w:rPr>
        <w:t>Reinstatement without Change</w:t>
      </w:r>
    </w:p>
    <w:p w14:paraId="49FF07D7" w14:textId="3E230DFA" w:rsidR="00712FC4" w:rsidRPr="003D7B18" w:rsidRDefault="00712FC4" w:rsidP="003D7B18">
      <w:pPr>
        <w:numPr>
          <w:ilvl w:val="0"/>
          <w:numId w:val="1"/>
        </w:numPr>
        <w:spacing w:after="0" w:line="240" w:lineRule="auto"/>
        <w:rPr>
          <w:rFonts w:ascii="Times New Roman" w:hAnsi="Times New Roman" w:cs="Times New Roman"/>
          <w:sz w:val="24"/>
          <w:szCs w:val="24"/>
        </w:rPr>
      </w:pPr>
      <w:r w:rsidRPr="003D7B18">
        <w:rPr>
          <w:rFonts w:ascii="Times New Roman" w:hAnsi="Times New Roman" w:cs="Times New Roman"/>
          <w:sz w:val="24"/>
          <w:szCs w:val="24"/>
        </w:rPr>
        <w:t>Extension</w:t>
      </w:r>
    </w:p>
    <w:p w14:paraId="57DC99CC" w14:textId="77777777" w:rsidR="00712FC4" w:rsidRPr="00EE3E14" w:rsidRDefault="00712FC4" w:rsidP="00712FC4">
      <w:pPr>
        <w:numPr>
          <w:ilvl w:val="0"/>
          <w:numId w:val="1"/>
        </w:numPr>
        <w:spacing w:after="0" w:line="240" w:lineRule="auto"/>
        <w:rPr>
          <w:rFonts w:ascii="Times New Roman" w:hAnsi="Times New Roman" w:cs="Times New Roman"/>
          <w:sz w:val="24"/>
          <w:szCs w:val="24"/>
        </w:rPr>
      </w:pPr>
      <w:r w:rsidRPr="00EE3E14">
        <w:rPr>
          <w:rFonts w:ascii="Times New Roman" w:hAnsi="Times New Roman" w:cs="Times New Roman"/>
          <w:sz w:val="24"/>
          <w:szCs w:val="24"/>
        </w:rPr>
        <w:t>Emergency</w:t>
      </w:r>
    </w:p>
    <w:p w14:paraId="45050705" w14:textId="77777777" w:rsidR="00712FC4" w:rsidRPr="00EE3E14" w:rsidRDefault="00712FC4" w:rsidP="00712FC4">
      <w:pPr>
        <w:numPr>
          <w:ilvl w:val="0"/>
          <w:numId w:val="1"/>
        </w:numPr>
        <w:spacing w:after="0" w:line="240" w:lineRule="auto"/>
        <w:rPr>
          <w:rFonts w:ascii="Times New Roman" w:hAnsi="Times New Roman" w:cs="Times New Roman"/>
          <w:sz w:val="24"/>
          <w:szCs w:val="24"/>
        </w:rPr>
      </w:pPr>
      <w:r w:rsidRPr="00EE3E14">
        <w:rPr>
          <w:rFonts w:ascii="Times New Roman" w:hAnsi="Times New Roman" w:cs="Times New Roman"/>
          <w:sz w:val="24"/>
          <w:szCs w:val="24"/>
        </w:rPr>
        <w:t>Existing</w:t>
      </w:r>
    </w:p>
    <w:p w14:paraId="6CEB1179" w14:textId="77777777" w:rsidR="00712FC4" w:rsidRPr="00EE3E14" w:rsidRDefault="00712FC4" w:rsidP="00712FC4">
      <w:pPr>
        <w:pStyle w:val="P1-StandPara"/>
        <w:tabs>
          <w:tab w:val="left" w:pos="720"/>
          <w:tab w:val="right" w:leader="dot" w:pos="9504"/>
        </w:tabs>
        <w:spacing w:before="120" w:after="120"/>
        <w:rPr>
          <w:sz w:val="24"/>
          <w:szCs w:val="24"/>
        </w:rPr>
      </w:pPr>
      <w:r w:rsidRPr="00EE3E14">
        <w:rPr>
          <w:sz w:val="24"/>
          <w:szCs w:val="24"/>
        </w:rPr>
        <w:t xml:space="preserve">                        </w:t>
      </w:r>
    </w:p>
    <w:p w14:paraId="4F7278EB" w14:textId="556EEE5F" w:rsidR="00712FC4" w:rsidRPr="00EE3E14" w:rsidRDefault="00712FC4" w:rsidP="00712FC4">
      <w:pPr>
        <w:pStyle w:val="P1-StandPara"/>
        <w:tabs>
          <w:tab w:val="left" w:pos="720"/>
          <w:tab w:val="right" w:leader="dot" w:pos="9504"/>
        </w:tabs>
        <w:spacing w:before="120" w:after="120" w:line="240" w:lineRule="auto"/>
        <w:ind w:firstLine="0"/>
        <w:rPr>
          <w:sz w:val="24"/>
          <w:szCs w:val="24"/>
        </w:rPr>
      </w:pPr>
    </w:p>
    <w:p w14:paraId="1BBB8DED" w14:textId="77777777" w:rsidR="00EE3E14" w:rsidRPr="00EE3E14" w:rsidRDefault="00EE3E14" w:rsidP="00712FC4">
      <w:pPr>
        <w:pStyle w:val="P1-StandPara"/>
        <w:tabs>
          <w:tab w:val="left" w:pos="720"/>
          <w:tab w:val="right" w:leader="dot" w:pos="9504"/>
        </w:tabs>
        <w:spacing w:before="120" w:after="120" w:line="240" w:lineRule="auto"/>
        <w:ind w:firstLine="0"/>
        <w:rPr>
          <w:sz w:val="24"/>
          <w:szCs w:val="24"/>
        </w:rPr>
      </w:pPr>
    </w:p>
    <w:p w14:paraId="7595BEB6" w14:textId="7EA2A05A"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 xml:space="preserve">Name: </w:t>
      </w:r>
      <w:r w:rsidR="00EE3E14" w:rsidRPr="00EE3E14">
        <w:rPr>
          <w:sz w:val="24"/>
          <w:szCs w:val="24"/>
        </w:rPr>
        <w:tab/>
      </w:r>
      <w:r w:rsidRPr="00EE3E14">
        <w:rPr>
          <w:sz w:val="24"/>
          <w:szCs w:val="24"/>
        </w:rPr>
        <w:t>Lyric A. Jorgenson</w:t>
      </w:r>
      <w:r w:rsidR="00EE3E14" w:rsidRPr="00EE3E14">
        <w:rPr>
          <w:sz w:val="24"/>
          <w:szCs w:val="24"/>
        </w:rPr>
        <w:t>, Ph.D.</w:t>
      </w:r>
    </w:p>
    <w:p w14:paraId="054087A8" w14:textId="3FEE861F" w:rsidR="00EE3E14" w:rsidRPr="00EE3E14" w:rsidRDefault="00EE3E14" w:rsidP="00712FC4">
      <w:pPr>
        <w:pStyle w:val="P1-StandPara"/>
        <w:tabs>
          <w:tab w:val="left" w:pos="720"/>
          <w:tab w:val="right" w:leader="dot" w:pos="9504"/>
        </w:tabs>
        <w:spacing w:before="120" w:line="240" w:lineRule="auto"/>
        <w:ind w:firstLine="0"/>
        <w:rPr>
          <w:sz w:val="24"/>
          <w:szCs w:val="24"/>
        </w:rPr>
      </w:pPr>
      <w:r w:rsidRPr="00EE3E14">
        <w:rPr>
          <w:sz w:val="24"/>
          <w:szCs w:val="24"/>
        </w:rPr>
        <w:tab/>
        <w:t>Acting Director, Division of Scientific Data Sharing Policy</w:t>
      </w:r>
    </w:p>
    <w:p w14:paraId="3C9C1C9E" w14:textId="1DA32858" w:rsidR="00EE3E14" w:rsidRPr="00EE3E14" w:rsidRDefault="00EE3E14" w:rsidP="00712FC4">
      <w:pPr>
        <w:pStyle w:val="P1-StandPara"/>
        <w:tabs>
          <w:tab w:val="left" w:pos="720"/>
          <w:tab w:val="right" w:leader="dot" w:pos="9504"/>
        </w:tabs>
        <w:spacing w:before="120" w:line="240" w:lineRule="auto"/>
        <w:ind w:firstLine="0"/>
        <w:rPr>
          <w:sz w:val="24"/>
          <w:szCs w:val="24"/>
        </w:rPr>
      </w:pPr>
      <w:r w:rsidRPr="00EE3E14">
        <w:rPr>
          <w:sz w:val="24"/>
          <w:szCs w:val="24"/>
        </w:rPr>
        <w:tab/>
        <w:t>Office of Science Policy, NIH</w:t>
      </w:r>
    </w:p>
    <w:p w14:paraId="0CC2492D" w14:textId="58101C81"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Address: 6705 Rockledge Dr., Suite 750, Bethesda, MD 20892</w:t>
      </w:r>
    </w:p>
    <w:p w14:paraId="147DFCF8" w14:textId="658EBC6F"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Telephone: 301-496-6837</w:t>
      </w:r>
    </w:p>
    <w:p w14:paraId="405E83B8" w14:textId="477569DA"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Fax: 301-496-9839</w:t>
      </w:r>
    </w:p>
    <w:p w14:paraId="04F00A95" w14:textId="4B7C0DF7" w:rsidR="00712FC4" w:rsidRPr="00EE3E14" w:rsidRDefault="00712FC4" w:rsidP="00712FC4">
      <w:pPr>
        <w:pStyle w:val="P1-StandPara"/>
        <w:tabs>
          <w:tab w:val="left" w:pos="720"/>
          <w:tab w:val="right" w:leader="dot" w:pos="9504"/>
        </w:tabs>
        <w:spacing w:before="120" w:line="240" w:lineRule="auto"/>
        <w:ind w:firstLine="0"/>
        <w:rPr>
          <w:sz w:val="24"/>
          <w:szCs w:val="24"/>
        </w:rPr>
      </w:pPr>
      <w:r w:rsidRPr="00EE3E14">
        <w:rPr>
          <w:sz w:val="24"/>
          <w:szCs w:val="24"/>
        </w:rPr>
        <w:t>Email: jorgensonla@mail.nih.gov</w:t>
      </w:r>
    </w:p>
    <w:p w14:paraId="0CE655C5" w14:textId="77777777" w:rsidR="00712FC4" w:rsidRPr="00EE3E14" w:rsidRDefault="00712FC4" w:rsidP="00E9482B">
      <w:pPr>
        <w:rPr>
          <w:rFonts w:ascii="Times New Roman" w:hAnsi="Times New Roman" w:cs="Times New Roman"/>
          <w:sz w:val="24"/>
          <w:szCs w:val="24"/>
        </w:rPr>
      </w:pPr>
    </w:p>
    <w:p w14:paraId="78AE596A" w14:textId="5AE393C9" w:rsidR="007E3D11" w:rsidRPr="00EE3E14" w:rsidRDefault="007E3D11" w:rsidP="00712FC4">
      <w:pPr>
        <w:rPr>
          <w:rFonts w:ascii="Times New Roman" w:hAnsi="Times New Roman" w:cs="Times New Roman"/>
          <w:sz w:val="24"/>
          <w:szCs w:val="24"/>
        </w:rPr>
      </w:pPr>
      <w:r w:rsidRPr="00EE3E14">
        <w:rPr>
          <w:rFonts w:ascii="Times New Roman" w:hAnsi="Times New Roman" w:cs="Times New Roman"/>
          <w:sz w:val="24"/>
          <w:szCs w:val="24"/>
        </w:rPr>
        <w:br w:type="page"/>
      </w:r>
    </w:p>
    <w:p w14:paraId="4C6D69D1" w14:textId="1C8160F4" w:rsidR="003E6990" w:rsidRPr="003E6990" w:rsidRDefault="003E6990" w:rsidP="003E6990">
      <w:pPr>
        <w:pStyle w:val="P1-StandPara"/>
        <w:tabs>
          <w:tab w:val="left" w:pos="720"/>
        </w:tabs>
        <w:ind w:firstLine="0"/>
        <w:rPr>
          <w:rFonts w:asciiTheme="minorHAnsi" w:hAnsiTheme="minorHAnsi"/>
          <w:b/>
          <w:szCs w:val="22"/>
          <w:u w:val="single"/>
        </w:rPr>
      </w:pPr>
      <w:r w:rsidRPr="003E6990">
        <w:rPr>
          <w:rFonts w:asciiTheme="minorHAnsi" w:hAnsiTheme="minorHAnsi"/>
          <w:b/>
          <w:szCs w:val="22"/>
          <w:u w:val="single"/>
        </w:rPr>
        <w:lastRenderedPageBreak/>
        <w:t>Table of Contents</w:t>
      </w:r>
    </w:p>
    <w:p w14:paraId="466EB97C" w14:textId="77777777" w:rsidR="003E6990" w:rsidRPr="00E35DD1" w:rsidRDefault="003E6990" w:rsidP="003E6990">
      <w:pPr>
        <w:pStyle w:val="P1-StandPara"/>
        <w:tabs>
          <w:tab w:val="left" w:pos="720"/>
        </w:tabs>
        <w:ind w:firstLine="0"/>
        <w:rPr>
          <w:rFonts w:asciiTheme="minorHAnsi" w:hAnsiTheme="minorHAnsi"/>
          <w:szCs w:val="22"/>
        </w:rPr>
      </w:pPr>
      <w:r w:rsidRPr="00BE76A7">
        <w:rPr>
          <w:rFonts w:asciiTheme="minorHAnsi" w:hAnsiTheme="minorHAnsi"/>
          <w:szCs w:val="22"/>
        </w:rPr>
        <w:t>A.</w:t>
      </w:r>
      <w:r w:rsidRPr="00BE76A7">
        <w:rPr>
          <w:rFonts w:asciiTheme="minorHAnsi" w:hAnsiTheme="minorHAnsi"/>
          <w:szCs w:val="22"/>
        </w:rPr>
        <w:tab/>
      </w:r>
      <w:r>
        <w:rPr>
          <w:rFonts w:asciiTheme="minorHAnsi" w:hAnsiTheme="minorHAnsi"/>
          <w:szCs w:val="22"/>
        </w:rPr>
        <w:t>ABSTRACT</w:t>
      </w:r>
      <w:r w:rsidRPr="00E35DD1">
        <w:rPr>
          <w:rFonts w:asciiTheme="minorHAnsi" w:hAnsiTheme="minorHAnsi"/>
          <w:szCs w:val="22"/>
        </w:rPr>
        <w:tab/>
      </w:r>
    </w:p>
    <w:p w14:paraId="20CEA024"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1E2539B"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52AE2292"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7D711CE4"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776E5F92"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605550E9"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440DD1A3"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1A30326" w14:textId="77777777" w:rsidR="003E6990" w:rsidRDefault="003E6990" w:rsidP="003E6990">
      <w:pPr>
        <w:pStyle w:val="P1-StandPara"/>
        <w:ind w:firstLine="0"/>
        <w:rPr>
          <w:rFonts w:asciiTheme="minorHAnsi" w:hAnsiTheme="minorHAnsi"/>
          <w:szCs w:val="22"/>
        </w:rPr>
      </w:pPr>
      <w:r w:rsidRPr="00E35DD1">
        <w:rPr>
          <w:rFonts w:asciiTheme="minorHAnsi" w:hAnsiTheme="minorHAnsi"/>
          <w:szCs w:val="22"/>
        </w:rPr>
        <w:t>A.8</w:t>
      </w:r>
      <w:r>
        <w:rPr>
          <w:rFonts w:asciiTheme="minorHAnsi" w:hAnsiTheme="minorHAnsi"/>
          <w:szCs w:val="22"/>
        </w:rPr>
        <w:t>.1</w:t>
      </w:r>
      <w:r w:rsidRPr="00E35DD1">
        <w:rPr>
          <w:rFonts w:asciiTheme="minorHAnsi" w:hAnsiTheme="minorHAnsi"/>
          <w:szCs w:val="22"/>
        </w:rPr>
        <w:tab/>
        <w:t>Comments in Response to the Federal Register Notice and Efforts to Consult Outside Agency</w:t>
      </w:r>
    </w:p>
    <w:p w14:paraId="61302FA2" w14:textId="5F9BD26A" w:rsidR="003E6990" w:rsidRPr="00E35DD1" w:rsidRDefault="003E6990" w:rsidP="003E6990">
      <w:pPr>
        <w:pStyle w:val="P1-StandPara"/>
        <w:ind w:firstLine="0"/>
        <w:rPr>
          <w:rFonts w:asciiTheme="minorHAnsi" w:hAnsiTheme="minorHAnsi"/>
          <w:szCs w:val="22"/>
        </w:rPr>
      </w:pPr>
      <w:r>
        <w:rPr>
          <w:rFonts w:asciiTheme="minorHAnsi" w:hAnsiTheme="minorHAnsi"/>
          <w:szCs w:val="22"/>
        </w:rPr>
        <w:t>A.8.2</w:t>
      </w:r>
      <w:r>
        <w:rPr>
          <w:rFonts w:asciiTheme="minorHAnsi" w:hAnsiTheme="minorHAnsi"/>
          <w:szCs w:val="22"/>
        </w:rPr>
        <w:tab/>
        <w:t>Efforts to Consult Outside Agency</w:t>
      </w:r>
      <w:r w:rsidRPr="00E35DD1">
        <w:rPr>
          <w:rFonts w:asciiTheme="minorHAnsi" w:hAnsiTheme="minorHAnsi"/>
          <w:szCs w:val="22"/>
        </w:rPr>
        <w:tab/>
      </w:r>
    </w:p>
    <w:p w14:paraId="10A03664"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6D535A50"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31BCB3E9"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5EAC381C" w14:textId="77777777" w:rsidR="003E6990" w:rsidRDefault="003E6990" w:rsidP="003E6990">
      <w:pPr>
        <w:pStyle w:val="P1-StandPara"/>
        <w:ind w:firstLine="0"/>
        <w:rPr>
          <w:rFonts w:asciiTheme="minorHAnsi" w:hAnsiTheme="minorHAnsi"/>
          <w:szCs w:val="22"/>
        </w:rPr>
      </w:pPr>
      <w:r>
        <w:rPr>
          <w:rFonts w:asciiTheme="minorHAnsi" w:hAnsiTheme="minorHAnsi"/>
          <w:szCs w:val="22"/>
        </w:rPr>
        <w:t>A.12</w:t>
      </w:r>
      <w:r>
        <w:rPr>
          <w:rFonts w:asciiTheme="minorHAnsi" w:hAnsiTheme="minorHAnsi"/>
          <w:szCs w:val="22"/>
        </w:rPr>
        <w:tab/>
        <w:t xml:space="preserve">Estimated Annualized Burden Hours </w:t>
      </w:r>
    </w:p>
    <w:p w14:paraId="5AA4D0BE" w14:textId="54505CC7" w:rsidR="0072770B" w:rsidRDefault="003E6990" w:rsidP="003E6990">
      <w:pPr>
        <w:pStyle w:val="P1-StandPara"/>
        <w:ind w:firstLine="0"/>
        <w:rPr>
          <w:rFonts w:asciiTheme="minorHAnsi" w:hAnsiTheme="minorHAnsi"/>
          <w:szCs w:val="22"/>
        </w:rPr>
      </w:pPr>
      <w:r>
        <w:rPr>
          <w:rFonts w:asciiTheme="minorHAnsi" w:hAnsiTheme="minorHAnsi"/>
          <w:szCs w:val="22"/>
        </w:rPr>
        <w:t>A12-1</w:t>
      </w:r>
      <w:r>
        <w:rPr>
          <w:rFonts w:asciiTheme="minorHAnsi" w:hAnsiTheme="minorHAnsi"/>
          <w:szCs w:val="22"/>
        </w:rPr>
        <w:tab/>
        <w:t>Estimated Annua</w:t>
      </w:r>
      <w:r w:rsidR="0072770B">
        <w:rPr>
          <w:rFonts w:asciiTheme="minorHAnsi" w:hAnsiTheme="minorHAnsi"/>
          <w:szCs w:val="22"/>
        </w:rPr>
        <w:t xml:space="preserve">lized Burden Hours </w:t>
      </w:r>
      <w:r w:rsidR="00ED0843">
        <w:rPr>
          <w:rFonts w:asciiTheme="minorHAnsi" w:hAnsiTheme="minorHAnsi"/>
          <w:szCs w:val="22"/>
        </w:rPr>
        <w:t>(data table)</w:t>
      </w:r>
    </w:p>
    <w:p w14:paraId="2F4ECD6F" w14:textId="17C74FE2" w:rsidR="003E6990" w:rsidRPr="00E35DD1" w:rsidRDefault="0072770B" w:rsidP="003E6990">
      <w:pPr>
        <w:pStyle w:val="P1-StandPara"/>
        <w:ind w:firstLine="0"/>
        <w:rPr>
          <w:rFonts w:asciiTheme="minorHAnsi" w:hAnsiTheme="minorHAnsi"/>
          <w:szCs w:val="22"/>
        </w:rPr>
      </w:pPr>
      <w:r>
        <w:rPr>
          <w:rFonts w:asciiTheme="minorHAnsi" w:hAnsiTheme="minorHAnsi"/>
          <w:szCs w:val="22"/>
        </w:rPr>
        <w:t>A12-2</w:t>
      </w:r>
      <w:r>
        <w:rPr>
          <w:rFonts w:asciiTheme="minorHAnsi" w:hAnsiTheme="minorHAnsi"/>
          <w:szCs w:val="22"/>
        </w:rPr>
        <w:tab/>
        <w:t>Annualized Cost to Respondents</w:t>
      </w:r>
      <w:r w:rsidR="00ED0843">
        <w:rPr>
          <w:rFonts w:asciiTheme="minorHAnsi" w:hAnsiTheme="minorHAnsi"/>
          <w:szCs w:val="22"/>
        </w:rPr>
        <w:t xml:space="preserve"> summary </w:t>
      </w:r>
      <w:r w:rsidR="003E6990" w:rsidRPr="00E35DD1">
        <w:rPr>
          <w:rFonts w:asciiTheme="minorHAnsi" w:hAnsiTheme="minorHAnsi"/>
          <w:szCs w:val="22"/>
        </w:rPr>
        <w:tab/>
      </w:r>
    </w:p>
    <w:p w14:paraId="7D2BE25A" w14:textId="2BEA6802"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keepers</w:t>
      </w:r>
      <w:r w:rsidRPr="00E35DD1">
        <w:rPr>
          <w:rFonts w:asciiTheme="minorHAnsi" w:hAnsiTheme="minorHAnsi"/>
          <w:szCs w:val="22"/>
        </w:rPr>
        <w:tab/>
      </w:r>
    </w:p>
    <w:p w14:paraId="17979E65" w14:textId="04D87E4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w:t>
      </w:r>
      <w:r w:rsidR="0072770B">
        <w:rPr>
          <w:rFonts w:asciiTheme="minorHAnsi" w:hAnsiTheme="minorHAnsi"/>
          <w:szCs w:val="22"/>
        </w:rPr>
        <w:t xml:space="preserve"> Cost to the Federal Government</w:t>
      </w:r>
    </w:p>
    <w:p w14:paraId="2EA43A5F"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6D601265"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19AE9C43" w14:textId="77777777" w:rsidR="003E6990" w:rsidRPr="00E35DD1" w:rsidRDefault="003E6990" w:rsidP="003E6990">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5AAD7BA6" w14:textId="77777777" w:rsidR="003E6990" w:rsidRDefault="003E6990" w:rsidP="003E6990">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08BB9294" w14:textId="056C5DB2" w:rsidR="00084812" w:rsidRDefault="00084812" w:rsidP="00712FC4">
      <w:pPr>
        <w:pStyle w:val="P1-StandPara"/>
        <w:tabs>
          <w:tab w:val="left" w:pos="720"/>
          <w:tab w:val="right" w:leader="dot" w:pos="9504"/>
        </w:tabs>
        <w:spacing w:before="120" w:after="120" w:line="240" w:lineRule="auto"/>
        <w:ind w:firstLine="0"/>
        <w:rPr>
          <w:b/>
          <w:sz w:val="24"/>
          <w:szCs w:val="24"/>
        </w:rPr>
      </w:pPr>
    </w:p>
    <w:p w14:paraId="295336EE" w14:textId="479B0A51" w:rsidR="00EC6EAC" w:rsidRDefault="00EC6EAC" w:rsidP="00712FC4">
      <w:pPr>
        <w:pStyle w:val="P1-StandPara"/>
        <w:tabs>
          <w:tab w:val="left" w:pos="720"/>
          <w:tab w:val="right" w:leader="dot" w:pos="9504"/>
        </w:tabs>
        <w:spacing w:before="120" w:after="120" w:line="240" w:lineRule="auto"/>
        <w:ind w:firstLine="0"/>
        <w:rPr>
          <w:b/>
          <w:sz w:val="24"/>
          <w:szCs w:val="24"/>
          <w:u w:val="single"/>
        </w:rPr>
      </w:pPr>
      <w:r w:rsidRPr="00EC6EAC">
        <w:rPr>
          <w:b/>
          <w:sz w:val="24"/>
          <w:szCs w:val="24"/>
          <w:u w:val="single"/>
        </w:rPr>
        <w:lastRenderedPageBreak/>
        <w:t xml:space="preserve">Attachments </w:t>
      </w:r>
    </w:p>
    <w:p w14:paraId="21E7A197" w14:textId="44046E26" w:rsidR="00EC6EAC" w:rsidRDefault="00EC6EAC" w:rsidP="00712FC4">
      <w:pPr>
        <w:pStyle w:val="P1-StandPara"/>
        <w:tabs>
          <w:tab w:val="left" w:pos="720"/>
          <w:tab w:val="right" w:leader="dot" w:pos="9504"/>
        </w:tabs>
        <w:spacing w:before="120" w:after="120" w:line="240" w:lineRule="auto"/>
        <w:ind w:firstLine="0"/>
        <w:rPr>
          <w:sz w:val="24"/>
          <w:szCs w:val="24"/>
        </w:rPr>
      </w:pPr>
      <w:r>
        <w:rPr>
          <w:sz w:val="24"/>
          <w:szCs w:val="24"/>
        </w:rPr>
        <w:t xml:space="preserve">Attachment 1 – Study Registration and Institutional Certification </w:t>
      </w:r>
      <w:r w:rsidR="00200DDB">
        <w:rPr>
          <w:sz w:val="24"/>
          <w:szCs w:val="24"/>
        </w:rPr>
        <w:t>t</w:t>
      </w:r>
      <w:r>
        <w:rPr>
          <w:sz w:val="24"/>
          <w:szCs w:val="24"/>
        </w:rPr>
        <w:t>emplate</w:t>
      </w:r>
    </w:p>
    <w:p w14:paraId="413B23E4" w14:textId="790275E0" w:rsidR="00EC6EAC" w:rsidRDefault="00EC6EAC" w:rsidP="00712FC4">
      <w:pPr>
        <w:pStyle w:val="P1-StandPara"/>
        <w:tabs>
          <w:tab w:val="left" w:pos="720"/>
          <w:tab w:val="right" w:leader="dot" w:pos="9504"/>
        </w:tabs>
        <w:spacing w:before="120" w:after="120" w:line="240" w:lineRule="auto"/>
        <w:ind w:firstLine="0"/>
        <w:rPr>
          <w:sz w:val="24"/>
          <w:szCs w:val="24"/>
        </w:rPr>
      </w:pPr>
      <w:r>
        <w:rPr>
          <w:sz w:val="24"/>
          <w:szCs w:val="24"/>
        </w:rPr>
        <w:t>Attachment 2</w:t>
      </w:r>
      <w:r w:rsidR="00200DDB">
        <w:rPr>
          <w:sz w:val="24"/>
          <w:szCs w:val="24"/>
        </w:rPr>
        <w:t xml:space="preserve"> – Data Access Request, Renewal, and Close-out forms</w:t>
      </w:r>
    </w:p>
    <w:p w14:paraId="6E711CEA" w14:textId="74C787B7" w:rsidR="00200DDB" w:rsidRDefault="00200DDB" w:rsidP="00712FC4">
      <w:pPr>
        <w:pStyle w:val="P1-StandPara"/>
        <w:tabs>
          <w:tab w:val="left" w:pos="720"/>
          <w:tab w:val="right" w:leader="dot" w:pos="9504"/>
        </w:tabs>
        <w:spacing w:before="120" w:after="120" w:line="240" w:lineRule="auto"/>
        <w:ind w:firstLine="0"/>
        <w:rPr>
          <w:sz w:val="24"/>
          <w:szCs w:val="24"/>
        </w:rPr>
      </w:pPr>
      <w:r>
        <w:rPr>
          <w:sz w:val="24"/>
          <w:szCs w:val="24"/>
        </w:rPr>
        <w:t xml:space="preserve">Attachment 3 – </w:t>
      </w:r>
      <w:r w:rsidR="00323D02">
        <w:rPr>
          <w:sz w:val="24"/>
          <w:szCs w:val="24"/>
        </w:rPr>
        <w:t xml:space="preserve">Supplementary Document: </w:t>
      </w:r>
      <w:r w:rsidR="00327C01">
        <w:rPr>
          <w:sz w:val="24"/>
          <w:szCs w:val="24"/>
        </w:rPr>
        <w:t>dbGaP</w:t>
      </w:r>
      <w:r w:rsidR="00323D02">
        <w:rPr>
          <w:sz w:val="24"/>
          <w:szCs w:val="24"/>
        </w:rPr>
        <w:t xml:space="preserve"> Registration Reminder Notice</w:t>
      </w:r>
    </w:p>
    <w:p w14:paraId="2593AC1A" w14:textId="4267AB63" w:rsidR="00323D02" w:rsidRDefault="00323D02" w:rsidP="00323D02">
      <w:pPr>
        <w:pStyle w:val="P1-StandPara"/>
        <w:tabs>
          <w:tab w:val="left" w:pos="720"/>
          <w:tab w:val="right" w:leader="dot" w:pos="9504"/>
        </w:tabs>
        <w:spacing w:before="120" w:after="120" w:line="240" w:lineRule="auto"/>
        <w:ind w:firstLine="0"/>
        <w:rPr>
          <w:sz w:val="24"/>
          <w:szCs w:val="24"/>
        </w:rPr>
      </w:pPr>
      <w:r>
        <w:rPr>
          <w:sz w:val="24"/>
          <w:szCs w:val="24"/>
        </w:rPr>
        <w:t>Attachment 4 – Privacy Impact Assessment</w:t>
      </w:r>
    </w:p>
    <w:p w14:paraId="5EBEDFAA" w14:textId="5B9753C0" w:rsidR="00200DDB" w:rsidRDefault="00200DDB" w:rsidP="00712FC4">
      <w:pPr>
        <w:pStyle w:val="P1-StandPara"/>
        <w:tabs>
          <w:tab w:val="left" w:pos="720"/>
          <w:tab w:val="right" w:leader="dot" w:pos="9504"/>
        </w:tabs>
        <w:spacing w:before="120" w:after="120" w:line="240" w:lineRule="auto"/>
        <w:ind w:firstLine="0"/>
        <w:rPr>
          <w:sz w:val="24"/>
          <w:szCs w:val="24"/>
        </w:rPr>
      </w:pPr>
    </w:p>
    <w:p w14:paraId="5774C22B" w14:textId="3549C829" w:rsidR="00200DDB" w:rsidRDefault="00200DDB" w:rsidP="00712FC4">
      <w:pPr>
        <w:pStyle w:val="P1-StandPara"/>
        <w:tabs>
          <w:tab w:val="left" w:pos="720"/>
          <w:tab w:val="right" w:leader="dot" w:pos="9504"/>
        </w:tabs>
        <w:spacing w:before="120" w:after="120" w:line="240" w:lineRule="auto"/>
        <w:ind w:firstLine="0"/>
        <w:rPr>
          <w:sz w:val="24"/>
          <w:szCs w:val="24"/>
        </w:rPr>
      </w:pPr>
    </w:p>
    <w:p w14:paraId="6A908CE2" w14:textId="46799896" w:rsidR="00200DDB" w:rsidRDefault="00200DDB" w:rsidP="00712FC4">
      <w:pPr>
        <w:pStyle w:val="P1-StandPara"/>
        <w:tabs>
          <w:tab w:val="left" w:pos="720"/>
          <w:tab w:val="right" w:leader="dot" w:pos="9504"/>
        </w:tabs>
        <w:spacing w:before="120" w:after="120" w:line="240" w:lineRule="auto"/>
        <w:ind w:firstLine="0"/>
        <w:rPr>
          <w:sz w:val="24"/>
          <w:szCs w:val="24"/>
        </w:rPr>
      </w:pPr>
    </w:p>
    <w:p w14:paraId="41DF8E34" w14:textId="385F4752" w:rsidR="00200DDB" w:rsidRDefault="00200DDB" w:rsidP="00712FC4">
      <w:pPr>
        <w:pStyle w:val="P1-StandPara"/>
        <w:tabs>
          <w:tab w:val="left" w:pos="720"/>
          <w:tab w:val="right" w:leader="dot" w:pos="9504"/>
        </w:tabs>
        <w:spacing w:before="120" w:after="120" w:line="240" w:lineRule="auto"/>
        <w:ind w:firstLine="0"/>
        <w:rPr>
          <w:sz w:val="24"/>
          <w:szCs w:val="24"/>
        </w:rPr>
      </w:pPr>
    </w:p>
    <w:p w14:paraId="3A3FD3E1" w14:textId="3DB03654" w:rsidR="00200DDB" w:rsidRDefault="00200DDB" w:rsidP="00712FC4">
      <w:pPr>
        <w:pStyle w:val="P1-StandPara"/>
        <w:tabs>
          <w:tab w:val="left" w:pos="720"/>
          <w:tab w:val="right" w:leader="dot" w:pos="9504"/>
        </w:tabs>
        <w:spacing w:before="120" w:after="120" w:line="240" w:lineRule="auto"/>
        <w:ind w:firstLine="0"/>
        <w:rPr>
          <w:sz w:val="24"/>
          <w:szCs w:val="24"/>
        </w:rPr>
      </w:pPr>
    </w:p>
    <w:p w14:paraId="2C211B52" w14:textId="0D21D45C" w:rsidR="00200DDB" w:rsidRDefault="00200DDB" w:rsidP="00712FC4">
      <w:pPr>
        <w:pStyle w:val="P1-StandPara"/>
        <w:tabs>
          <w:tab w:val="left" w:pos="720"/>
          <w:tab w:val="right" w:leader="dot" w:pos="9504"/>
        </w:tabs>
        <w:spacing w:before="120" w:after="120" w:line="240" w:lineRule="auto"/>
        <w:ind w:firstLine="0"/>
        <w:rPr>
          <w:sz w:val="24"/>
          <w:szCs w:val="24"/>
        </w:rPr>
      </w:pPr>
    </w:p>
    <w:p w14:paraId="65DC9068" w14:textId="599CCE74" w:rsidR="00200DDB" w:rsidRDefault="00200DDB" w:rsidP="00712FC4">
      <w:pPr>
        <w:pStyle w:val="P1-StandPara"/>
        <w:tabs>
          <w:tab w:val="left" w:pos="720"/>
          <w:tab w:val="right" w:leader="dot" w:pos="9504"/>
        </w:tabs>
        <w:spacing w:before="120" w:after="120" w:line="240" w:lineRule="auto"/>
        <w:ind w:firstLine="0"/>
        <w:rPr>
          <w:sz w:val="24"/>
          <w:szCs w:val="24"/>
        </w:rPr>
      </w:pPr>
    </w:p>
    <w:p w14:paraId="6FA92ED3" w14:textId="48764A11" w:rsidR="00200DDB" w:rsidRDefault="00200DDB" w:rsidP="00712FC4">
      <w:pPr>
        <w:pStyle w:val="P1-StandPara"/>
        <w:tabs>
          <w:tab w:val="left" w:pos="720"/>
          <w:tab w:val="right" w:leader="dot" w:pos="9504"/>
        </w:tabs>
        <w:spacing w:before="120" w:after="120" w:line="240" w:lineRule="auto"/>
        <w:ind w:firstLine="0"/>
        <w:rPr>
          <w:sz w:val="24"/>
          <w:szCs w:val="24"/>
        </w:rPr>
      </w:pPr>
    </w:p>
    <w:p w14:paraId="7D0439ED" w14:textId="262F2B71" w:rsidR="00200DDB" w:rsidRDefault="00200DDB" w:rsidP="00712FC4">
      <w:pPr>
        <w:pStyle w:val="P1-StandPara"/>
        <w:tabs>
          <w:tab w:val="left" w:pos="720"/>
          <w:tab w:val="right" w:leader="dot" w:pos="9504"/>
        </w:tabs>
        <w:spacing w:before="120" w:after="120" w:line="240" w:lineRule="auto"/>
        <w:ind w:firstLine="0"/>
        <w:rPr>
          <w:sz w:val="24"/>
          <w:szCs w:val="24"/>
        </w:rPr>
      </w:pPr>
    </w:p>
    <w:p w14:paraId="7AA248B7" w14:textId="3ECC9D4D" w:rsidR="00200DDB" w:rsidRDefault="00200DDB" w:rsidP="00712FC4">
      <w:pPr>
        <w:pStyle w:val="P1-StandPara"/>
        <w:tabs>
          <w:tab w:val="left" w:pos="720"/>
          <w:tab w:val="right" w:leader="dot" w:pos="9504"/>
        </w:tabs>
        <w:spacing w:before="120" w:after="120" w:line="240" w:lineRule="auto"/>
        <w:ind w:firstLine="0"/>
        <w:rPr>
          <w:sz w:val="24"/>
          <w:szCs w:val="24"/>
        </w:rPr>
      </w:pPr>
    </w:p>
    <w:p w14:paraId="4ABB6086" w14:textId="1172CE72" w:rsidR="00200DDB" w:rsidRDefault="00200DDB" w:rsidP="00712FC4">
      <w:pPr>
        <w:pStyle w:val="P1-StandPara"/>
        <w:tabs>
          <w:tab w:val="left" w:pos="720"/>
          <w:tab w:val="right" w:leader="dot" w:pos="9504"/>
        </w:tabs>
        <w:spacing w:before="120" w:after="120" w:line="240" w:lineRule="auto"/>
        <w:ind w:firstLine="0"/>
        <w:rPr>
          <w:sz w:val="24"/>
          <w:szCs w:val="24"/>
        </w:rPr>
      </w:pPr>
    </w:p>
    <w:p w14:paraId="7C66B61D" w14:textId="0B657A6A" w:rsidR="00200DDB" w:rsidRDefault="00200DDB" w:rsidP="00712FC4">
      <w:pPr>
        <w:pStyle w:val="P1-StandPara"/>
        <w:tabs>
          <w:tab w:val="left" w:pos="720"/>
          <w:tab w:val="right" w:leader="dot" w:pos="9504"/>
        </w:tabs>
        <w:spacing w:before="120" w:after="120" w:line="240" w:lineRule="auto"/>
        <w:ind w:firstLine="0"/>
        <w:rPr>
          <w:sz w:val="24"/>
          <w:szCs w:val="24"/>
        </w:rPr>
      </w:pPr>
    </w:p>
    <w:p w14:paraId="4F15DBFF" w14:textId="14A594EA" w:rsidR="00200DDB" w:rsidRDefault="00200DDB" w:rsidP="00712FC4">
      <w:pPr>
        <w:pStyle w:val="P1-StandPara"/>
        <w:tabs>
          <w:tab w:val="left" w:pos="720"/>
          <w:tab w:val="right" w:leader="dot" w:pos="9504"/>
        </w:tabs>
        <w:spacing w:before="120" w:after="120" w:line="240" w:lineRule="auto"/>
        <w:ind w:firstLine="0"/>
        <w:rPr>
          <w:sz w:val="24"/>
          <w:szCs w:val="24"/>
        </w:rPr>
      </w:pPr>
    </w:p>
    <w:p w14:paraId="2F4E8F3A" w14:textId="73D98314" w:rsidR="00200DDB" w:rsidRDefault="00200DDB" w:rsidP="00712FC4">
      <w:pPr>
        <w:pStyle w:val="P1-StandPara"/>
        <w:tabs>
          <w:tab w:val="left" w:pos="720"/>
          <w:tab w:val="right" w:leader="dot" w:pos="9504"/>
        </w:tabs>
        <w:spacing w:before="120" w:after="120" w:line="240" w:lineRule="auto"/>
        <w:ind w:firstLine="0"/>
        <w:rPr>
          <w:sz w:val="24"/>
          <w:szCs w:val="24"/>
        </w:rPr>
      </w:pPr>
    </w:p>
    <w:p w14:paraId="7A867C64" w14:textId="145EF859" w:rsidR="00200DDB" w:rsidRDefault="00200DDB" w:rsidP="00712FC4">
      <w:pPr>
        <w:pStyle w:val="P1-StandPara"/>
        <w:tabs>
          <w:tab w:val="left" w:pos="720"/>
          <w:tab w:val="right" w:leader="dot" w:pos="9504"/>
        </w:tabs>
        <w:spacing w:before="120" w:after="120" w:line="240" w:lineRule="auto"/>
        <w:ind w:firstLine="0"/>
        <w:rPr>
          <w:sz w:val="24"/>
          <w:szCs w:val="24"/>
        </w:rPr>
      </w:pPr>
    </w:p>
    <w:p w14:paraId="1A6A3717" w14:textId="77D02F24" w:rsidR="00200DDB" w:rsidRDefault="00200DDB" w:rsidP="00712FC4">
      <w:pPr>
        <w:pStyle w:val="P1-StandPara"/>
        <w:tabs>
          <w:tab w:val="left" w:pos="720"/>
          <w:tab w:val="right" w:leader="dot" w:pos="9504"/>
        </w:tabs>
        <w:spacing w:before="120" w:after="120" w:line="240" w:lineRule="auto"/>
        <w:ind w:firstLine="0"/>
        <w:rPr>
          <w:sz w:val="24"/>
          <w:szCs w:val="24"/>
        </w:rPr>
      </w:pPr>
    </w:p>
    <w:p w14:paraId="08AD645A" w14:textId="7EEF964D" w:rsidR="00200DDB" w:rsidRDefault="00200DDB" w:rsidP="00712FC4">
      <w:pPr>
        <w:pStyle w:val="P1-StandPara"/>
        <w:tabs>
          <w:tab w:val="left" w:pos="720"/>
          <w:tab w:val="right" w:leader="dot" w:pos="9504"/>
        </w:tabs>
        <w:spacing w:before="120" w:after="120" w:line="240" w:lineRule="auto"/>
        <w:ind w:firstLine="0"/>
        <w:rPr>
          <w:sz w:val="24"/>
          <w:szCs w:val="24"/>
        </w:rPr>
      </w:pPr>
    </w:p>
    <w:p w14:paraId="4865FE5C" w14:textId="0BDBE8F7" w:rsidR="00200DDB" w:rsidRDefault="00200DDB" w:rsidP="00712FC4">
      <w:pPr>
        <w:pStyle w:val="P1-StandPara"/>
        <w:tabs>
          <w:tab w:val="left" w:pos="720"/>
          <w:tab w:val="right" w:leader="dot" w:pos="9504"/>
        </w:tabs>
        <w:spacing w:before="120" w:after="120" w:line="240" w:lineRule="auto"/>
        <w:ind w:firstLine="0"/>
        <w:rPr>
          <w:sz w:val="24"/>
          <w:szCs w:val="24"/>
        </w:rPr>
      </w:pPr>
    </w:p>
    <w:p w14:paraId="0E850188" w14:textId="1F9881EB" w:rsidR="00200DDB" w:rsidRDefault="00200DDB" w:rsidP="00712FC4">
      <w:pPr>
        <w:pStyle w:val="P1-StandPara"/>
        <w:tabs>
          <w:tab w:val="left" w:pos="720"/>
          <w:tab w:val="right" w:leader="dot" w:pos="9504"/>
        </w:tabs>
        <w:spacing w:before="120" w:after="120" w:line="240" w:lineRule="auto"/>
        <w:ind w:firstLine="0"/>
        <w:rPr>
          <w:sz w:val="24"/>
          <w:szCs w:val="24"/>
        </w:rPr>
      </w:pPr>
    </w:p>
    <w:p w14:paraId="38BCE119" w14:textId="411455EC" w:rsidR="00200DDB" w:rsidRDefault="00200DDB" w:rsidP="00712FC4">
      <w:pPr>
        <w:pStyle w:val="P1-StandPara"/>
        <w:tabs>
          <w:tab w:val="left" w:pos="720"/>
          <w:tab w:val="right" w:leader="dot" w:pos="9504"/>
        </w:tabs>
        <w:spacing w:before="120" w:after="120" w:line="240" w:lineRule="auto"/>
        <w:ind w:firstLine="0"/>
        <w:rPr>
          <w:sz w:val="24"/>
          <w:szCs w:val="24"/>
        </w:rPr>
      </w:pPr>
    </w:p>
    <w:p w14:paraId="44311068" w14:textId="294F3F2C" w:rsidR="00200DDB" w:rsidRDefault="00200DDB" w:rsidP="00712FC4">
      <w:pPr>
        <w:pStyle w:val="P1-StandPara"/>
        <w:tabs>
          <w:tab w:val="left" w:pos="720"/>
          <w:tab w:val="right" w:leader="dot" w:pos="9504"/>
        </w:tabs>
        <w:spacing w:before="120" w:after="120" w:line="240" w:lineRule="auto"/>
        <w:ind w:firstLine="0"/>
        <w:rPr>
          <w:sz w:val="24"/>
          <w:szCs w:val="24"/>
        </w:rPr>
      </w:pPr>
    </w:p>
    <w:p w14:paraId="60374935" w14:textId="4400685F" w:rsidR="00200DDB" w:rsidRDefault="00200DDB" w:rsidP="00712FC4">
      <w:pPr>
        <w:pStyle w:val="P1-StandPara"/>
        <w:tabs>
          <w:tab w:val="left" w:pos="720"/>
          <w:tab w:val="right" w:leader="dot" w:pos="9504"/>
        </w:tabs>
        <w:spacing w:before="120" w:after="120" w:line="240" w:lineRule="auto"/>
        <w:ind w:firstLine="0"/>
        <w:rPr>
          <w:sz w:val="24"/>
          <w:szCs w:val="24"/>
        </w:rPr>
      </w:pPr>
    </w:p>
    <w:p w14:paraId="5EB0D07D" w14:textId="403B2C4B" w:rsidR="00200DDB" w:rsidRDefault="00200DDB" w:rsidP="00712FC4">
      <w:pPr>
        <w:pStyle w:val="P1-StandPara"/>
        <w:tabs>
          <w:tab w:val="left" w:pos="720"/>
          <w:tab w:val="right" w:leader="dot" w:pos="9504"/>
        </w:tabs>
        <w:spacing w:before="120" w:after="120" w:line="240" w:lineRule="auto"/>
        <w:ind w:firstLine="0"/>
        <w:rPr>
          <w:sz w:val="24"/>
          <w:szCs w:val="24"/>
        </w:rPr>
      </w:pPr>
    </w:p>
    <w:p w14:paraId="391F0DC4" w14:textId="775FEDD8" w:rsidR="00200DDB" w:rsidRDefault="00200DDB" w:rsidP="00712FC4">
      <w:pPr>
        <w:pStyle w:val="P1-StandPara"/>
        <w:tabs>
          <w:tab w:val="left" w:pos="720"/>
          <w:tab w:val="right" w:leader="dot" w:pos="9504"/>
        </w:tabs>
        <w:spacing w:before="120" w:after="120" w:line="240" w:lineRule="auto"/>
        <w:ind w:firstLine="0"/>
        <w:rPr>
          <w:sz w:val="24"/>
          <w:szCs w:val="24"/>
        </w:rPr>
      </w:pPr>
    </w:p>
    <w:p w14:paraId="363468E9" w14:textId="13A98CC9" w:rsidR="00200DDB" w:rsidRDefault="00200DDB" w:rsidP="00712FC4">
      <w:pPr>
        <w:pStyle w:val="P1-StandPara"/>
        <w:tabs>
          <w:tab w:val="left" w:pos="720"/>
          <w:tab w:val="right" w:leader="dot" w:pos="9504"/>
        </w:tabs>
        <w:spacing w:before="120" w:after="120" w:line="240" w:lineRule="auto"/>
        <w:ind w:firstLine="0"/>
        <w:rPr>
          <w:sz w:val="24"/>
          <w:szCs w:val="24"/>
        </w:rPr>
      </w:pPr>
    </w:p>
    <w:p w14:paraId="6A8AC233" w14:textId="68490DCB" w:rsidR="00200DDB" w:rsidRDefault="00200DDB" w:rsidP="00712FC4">
      <w:pPr>
        <w:pStyle w:val="P1-StandPara"/>
        <w:tabs>
          <w:tab w:val="left" w:pos="720"/>
          <w:tab w:val="right" w:leader="dot" w:pos="9504"/>
        </w:tabs>
        <w:spacing w:before="120" w:after="120" w:line="240" w:lineRule="auto"/>
        <w:ind w:firstLine="0"/>
        <w:rPr>
          <w:sz w:val="24"/>
          <w:szCs w:val="24"/>
        </w:rPr>
      </w:pPr>
    </w:p>
    <w:p w14:paraId="55A31AD5" w14:textId="6D494168" w:rsidR="00200DDB" w:rsidRDefault="00200DDB" w:rsidP="00712FC4">
      <w:pPr>
        <w:pStyle w:val="P1-StandPara"/>
        <w:tabs>
          <w:tab w:val="left" w:pos="720"/>
          <w:tab w:val="right" w:leader="dot" w:pos="9504"/>
        </w:tabs>
        <w:spacing w:before="120" w:after="120" w:line="240" w:lineRule="auto"/>
        <w:ind w:firstLine="0"/>
        <w:rPr>
          <w:sz w:val="24"/>
          <w:szCs w:val="24"/>
        </w:rPr>
      </w:pPr>
    </w:p>
    <w:p w14:paraId="2E5F1F6E" w14:textId="12458120" w:rsidR="00200DDB" w:rsidRDefault="00200DDB" w:rsidP="00712FC4">
      <w:pPr>
        <w:pStyle w:val="P1-StandPara"/>
        <w:tabs>
          <w:tab w:val="left" w:pos="720"/>
          <w:tab w:val="right" w:leader="dot" w:pos="9504"/>
        </w:tabs>
        <w:spacing w:before="120" w:after="120" w:line="240" w:lineRule="auto"/>
        <w:ind w:firstLine="0"/>
        <w:rPr>
          <w:sz w:val="24"/>
          <w:szCs w:val="24"/>
        </w:rPr>
      </w:pPr>
    </w:p>
    <w:p w14:paraId="0F776B04" w14:textId="77777777" w:rsidR="00200DDB" w:rsidRPr="00EC6EAC" w:rsidRDefault="00200DDB" w:rsidP="00712FC4">
      <w:pPr>
        <w:pStyle w:val="P1-StandPara"/>
        <w:tabs>
          <w:tab w:val="left" w:pos="720"/>
          <w:tab w:val="right" w:leader="dot" w:pos="9504"/>
        </w:tabs>
        <w:spacing w:before="120" w:after="120" w:line="240" w:lineRule="auto"/>
        <w:ind w:firstLine="0"/>
        <w:rPr>
          <w:sz w:val="24"/>
          <w:szCs w:val="24"/>
        </w:rPr>
      </w:pPr>
    </w:p>
    <w:p w14:paraId="79D63F61" w14:textId="365E327C" w:rsidR="00712FC4" w:rsidRPr="00EE3E14" w:rsidRDefault="00712FC4" w:rsidP="00712FC4">
      <w:pPr>
        <w:pStyle w:val="P1-StandPara"/>
        <w:tabs>
          <w:tab w:val="left" w:pos="720"/>
          <w:tab w:val="right" w:leader="dot" w:pos="9504"/>
        </w:tabs>
        <w:spacing w:before="120" w:after="120" w:line="240" w:lineRule="auto"/>
        <w:ind w:firstLine="0"/>
        <w:rPr>
          <w:sz w:val="24"/>
          <w:szCs w:val="24"/>
        </w:rPr>
      </w:pPr>
      <w:r w:rsidRPr="00EE3E14">
        <w:rPr>
          <w:b/>
          <w:sz w:val="24"/>
          <w:szCs w:val="24"/>
        </w:rPr>
        <w:t xml:space="preserve">A. </w:t>
      </w:r>
      <w:r w:rsidR="00E42C50" w:rsidRPr="00EE3E14">
        <w:rPr>
          <w:b/>
          <w:sz w:val="24"/>
          <w:szCs w:val="24"/>
        </w:rPr>
        <w:t>ABSTRACT</w:t>
      </w:r>
    </w:p>
    <w:p w14:paraId="1A0DDE02" w14:textId="5141C9E7" w:rsidR="007E3D11" w:rsidRPr="00EE3E14" w:rsidRDefault="00712FC4" w:rsidP="007E3D11">
      <w:pPr>
        <w:rPr>
          <w:rFonts w:ascii="Times New Roman" w:hAnsi="Times New Roman" w:cs="Times New Roman"/>
          <w:sz w:val="24"/>
          <w:szCs w:val="24"/>
        </w:rPr>
      </w:pPr>
      <w:r w:rsidRPr="00EE3E14">
        <w:rPr>
          <w:rFonts w:ascii="Times New Roman" w:hAnsi="Times New Roman" w:cs="Times New Roman"/>
          <w:sz w:val="24"/>
          <w:szCs w:val="24"/>
        </w:rPr>
        <w:t xml:space="preserve">Sharing research data is </w:t>
      </w:r>
      <w:r w:rsidR="007E3D11" w:rsidRPr="00EE3E14">
        <w:rPr>
          <w:rFonts w:ascii="Times New Roman" w:hAnsi="Times New Roman" w:cs="Times New Roman"/>
          <w:sz w:val="24"/>
          <w:szCs w:val="24"/>
        </w:rPr>
        <w:t xml:space="preserve">integral </w:t>
      </w:r>
      <w:r w:rsidRPr="00EE3E14">
        <w:rPr>
          <w:rFonts w:ascii="Times New Roman" w:hAnsi="Times New Roman" w:cs="Times New Roman"/>
          <w:sz w:val="24"/>
          <w:szCs w:val="24"/>
        </w:rPr>
        <w:t>to</w:t>
      </w:r>
      <w:r w:rsidR="007E3D11" w:rsidRPr="00EE3E14">
        <w:rPr>
          <w:rFonts w:ascii="Times New Roman" w:hAnsi="Times New Roman" w:cs="Times New Roman"/>
          <w:sz w:val="24"/>
          <w:szCs w:val="24"/>
        </w:rPr>
        <w:t xml:space="preserve"> the mission of the National Institutes of Health (NIH), as it advances our understanding of factors that influence health and disease, while also providing opportunities to accelerate research through t</w:t>
      </w:r>
      <w:r w:rsidR="00E151AA">
        <w:rPr>
          <w:rFonts w:ascii="Times New Roman" w:hAnsi="Times New Roman" w:cs="Times New Roman"/>
          <w:sz w:val="24"/>
          <w:szCs w:val="24"/>
        </w:rPr>
        <w:t xml:space="preserve">he power of combining large, </w:t>
      </w:r>
      <w:r w:rsidR="007E3D11" w:rsidRPr="00EE3E14">
        <w:rPr>
          <w:rFonts w:ascii="Times New Roman" w:hAnsi="Times New Roman" w:cs="Times New Roman"/>
          <w:sz w:val="24"/>
          <w:szCs w:val="24"/>
        </w:rPr>
        <w:t>information-rich datasets. To promote robust sharing of human and non-human genomic data from a wide range of large-scale genomic research, and to provide appropriate protections for research involving human data, the NIH issue</w:t>
      </w:r>
      <w:r w:rsidR="00C90D95" w:rsidRPr="00EE3E14">
        <w:rPr>
          <w:rFonts w:ascii="Times New Roman" w:hAnsi="Times New Roman" w:cs="Times New Roman"/>
          <w:sz w:val="24"/>
          <w:szCs w:val="24"/>
        </w:rPr>
        <w:t xml:space="preserve">d the </w:t>
      </w:r>
      <w:r w:rsidR="007E3D11" w:rsidRPr="00EE3E14">
        <w:rPr>
          <w:rFonts w:ascii="Times New Roman" w:hAnsi="Times New Roman" w:cs="Times New Roman"/>
          <w:sz w:val="24"/>
          <w:szCs w:val="24"/>
        </w:rPr>
        <w:t xml:space="preserve">Genomic </w:t>
      </w:r>
      <w:r w:rsidR="00C90D95" w:rsidRPr="00EE3E14">
        <w:rPr>
          <w:rFonts w:ascii="Times New Roman" w:hAnsi="Times New Roman" w:cs="Times New Roman"/>
          <w:sz w:val="24"/>
          <w:szCs w:val="24"/>
        </w:rPr>
        <w:t>Data Sharing (GDS) Policy</w:t>
      </w:r>
      <w:r w:rsidR="007E3D11" w:rsidRPr="00EE3E14">
        <w:rPr>
          <w:rFonts w:ascii="Times New Roman" w:hAnsi="Times New Roman" w:cs="Times New Roman"/>
          <w:sz w:val="24"/>
          <w:szCs w:val="24"/>
        </w:rPr>
        <w:t>.  The</w:t>
      </w:r>
      <w:r w:rsidR="00C90D95" w:rsidRPr="00EE3E14">
        <w:rPr>
          <w:rFonts w:ascii="Times New Roman" w:hAnsi="Times New Roman" w:cs="Times New Roman"/>
          <w:sz w:val="24"/>
          <w:szCs w:val="24"/>
        </w:rPr>
        <w:t xml:space="preserve"> NIH</w:t>
      </w:r>
      <w:r w:rsidR="00D63DE0" w:rsidRPr="00EE3E14">
        <w:rPr>
          <w:rFonts w:ascii="Times New Roman" w:hAnsi="Times New Roman" w:cs="Times New Roman"/>
          <w:sz w:val="24"/>
          <w:szCs w:val="24"/>
        </w:rPr>
        <w:t xml:space="preserve"> GDS Policy</w:t>
      </w:r>
      <w:r w:rsidR="00243D89" w:rsidRPr="00EE3E14">
        <w:rPr>
          <w:rFonts w:ascii="Times New Roman" w:hAnsi="Times New Roman" w:cs="Times New Roman"/>
          <w:sz w:val="24"/>
          <w:szCs w:val="24"/>
        </w:rPr>
        <w:t>,</w:t>
      </w:r>
      <w:r w:rsidR="00D63DE0" w:rsidRPr="00EE3E14">
        <w:rPr>
          <w:rFonts w:ascii="Times New Roman" w:hAnsi="Times New Roman" w:cs="Times New Roman"/>
          <w:sz w:val="24"/>
          <w:szCs w:val="24"/>
        </w:rPr>
        <w:t xml:space="preserve"> </w:t>
      </w:r>
      <w:r w:rsidR="00243D89" w:rsidRPr="00EE3E14">
        <w:rPr>
          <w:rFonts w:ascii="Times New Roman" w:hAnsi="Times New Roman" w:cs="Times New Roman"/>
          <w:sz w:val="24"/>
          <w:szCs w:val="24"/>
        </w:rPr>
        <w:t>an extension of the 2008</w:t>
      </w:r>
      <w:r w:rsidR="00243D89" w:rsidRPr="00EE3E14">
        <w:rPr>
          <w:rStyle w:val="Emphasis"/>
          <w:rFonts w:ascii="Times New Roman" w:hAnsi="Times New Roman" w:cs="Times New Roman"/>
          <w:sz w:val="24"/>
          <w:szCs w:val="24"/>
        </w:rPr>
        <w:t xml:space="preserve"> NIH Policy for Sharing of Data Obtained in NIH-Supported or Conducted Genome-Wide Association Studies</w:t>
      </w:r>
      <w:r w:rsidR="004653AC" w:rsidRPr="00EE3E14">
        <w:rPr>
          <w:rFonts w:ascii="Times New Roman" w:hAnsi="Times New Roman" w:cs="Times New Roman"/>
          <w:sz w:val="24"/>
          <w:szCs w:val="24"/>
        </w:rPr>
        <w:t>,</w:t>
      </w:r>
      <w:r w:rsidR="00243D89" w:rsidRPr="00EE3E14">
        <w:rPr>
          <w:rFonts w:ascii="Times New Roman" w:hAnsi="Times New Roman" w:cs="Times New Roman"/>
          <w:sz w:val="24"/>
          <w:szCs w:val="24"/>
        </w:rPr>
        <w:t xml:space="preserve"> </w:t>
      </w:r>
      <w:r w:rsidR="004653AC" w:rsidRPr="00EE3E14">
        <w:rPr>
          <w:rFonts w:ascii="Times New Roman" w:hAnsi="Times New Roman" w:cs="Times New Roman"/>
          <w:sz w:val="24"/>
          <w:szCs w:val="24"/>
        </w:rPr>
        <w:t xml:space="preserve">applies to </w:t>
      </w:r>
      <w:r w:rsidR="007E3D11" w:rsidRPr="00EE3E14">
        <w:rPr>
          <w:rFonts w:ascii="Times New Roman" w:hAnsi="Times New Roman" w:cs="Times New Roman"/>
          <w:sz w:val="24"/>
          <w:szCs w:val="24"/>
        </w:rPr>
        <w:t xml:space="preserve">NIH-funded research that generates large-scale human or non-human genomic data as well as the use of these data for subsequent research. </w:t>
      </w:r>
    </w:p>
    <w:p w14:paraId="210AAAED" w14:textId="1B5A5A2D" w:rsidR="007E3D11" w:rsidRPr="00EE3E14" w:rsidRDefault="007E3D11" w:rsidP="007E3D11">
      <w:pPr>
        <w:rPr>
          <w:rFonts w:ascii="Times New Roman" w:hAnsi="Times New Roman" w:cs="Times New Roman"/>
          <w:sz w:val="24"/>
          <w:szCs w:val="24"/>
        </w:rPr>
      </w:pPr>
      <w:r w:rsidRPr="00EE3E14">
        <w:rPr>
          <w:rFonts w:ascii="Times New Roman" w:hAnsi="Times New Roman" w:cs="Times New Roman"/>
          <w:sz w:val="24"/>
          <w:szCs w:val="24"/>
        </w:rPr>
        <w:t xml:space="preserve">The </w:t>
      </w:r>
      <w:r w:rsidR="00C90D95" w:rsidRPr="00EE3E14">
        <w:rPr>
          <w:rFonts w:ascii="Times New Roman" w:hAnsi="Times New Roman" w:cs="Times New Roman"/>
          <w:sz w:val="24"/>
          <w:szCs w:val="24"/>
        </w:rPr>
        <w:t xml:space="preserve">NIH </w:t>
      </w:r>
      <w:r w:rsidRPr="00EE3E14">
        <w:rPr>
          <w:rFonts w:ascii="Times New Roman" w:hAnsi="Times New Roman" w:cs="Times New Roman"/>
          <w:sz w:val="24"/>
          <w:szCs w:val="24"/>
        </w:rPr>
        <w:t xml:space="preserve">GDS Policy </w:t>
      </w:r>
      <w:r w:rsidR="004653AC" w:rsidRPr="00EE3E14">
        <w:rPr>
          <w:rFonts w:ascii="Times New Roman" w:hAnsi="Times New Roman" w:cs="Times New Roman"/>
          <w:sz w:val="24"/>
          <w:szCs w:val="24"/>
        </w:rPr>
        <w:t xml:space="preserve">addresses data submission, maintenance, and </w:t>
      </w:r>
      <w:r w:rsidRPr="00EE3E14">
        <w:rPr>
          <w:rFonts w:ascii="Times New Roman" w:hAnsi="Times New Roman" w:cs="Times New Roman"/>
          <w:sz w:val="24"/>
          <w:szCs w:val="24"/>
        </w:rPr>
        <w:t>access. Under the Policy, NIH-funded investigators generating large-scale genomic data are expected to submit these data and associated phenotypic</w:t>
      </w:r>
      <w:r w:rsidR="00E151AA">
        <w:rPr>
          <w:rFonts w:ascii="Times New Roman" w:hAnsi="Times New Roman" w:cs="Times New Roman"/>
          <w:sz w:val="24"/>
          <w:szCs w:val="24"/>
        </w:rPr>
        <w:t xml:space="preserve"> data to an NIH-designated </w:t>
      </w:r>
      <w:r w:rsidRPr="00EE3E14">
        <w:rPr>
          <w:rFonts w:ascii="Times New Roman" w:hAnsi="Times New Roman" w:cs="Times New Roman"/>
          <w:sz w:val="24"/>
          <w:szCs w:val="24"/>
        </w:rPr>
        <w:t>repository. Human genomic data submission and acce</w:t>
      </w:r>
      <w:r w:rsidR="00C90D95" w:rsidRPr="00EE3E14">
        <w:rPr>
          <w:rFonts w:ascii="Times New Roman" w:hAnsi="Times New Roman" w:cs="Times New Roman"/>
          <w:sz w:val="24"/>
          <w:szCs w:val="24"/>
        </w:rPr>
        <w:t xml:space="preserve">ss, whether via an unrestricted </w:t>
      </w:r>
      <w:r w:rsidRPr="00EE3E14">
        <w:rPr>
          <w:rFonts w:ascii="Times New Roman" w:hAnsi="Times New Roman" w:cs="Times New Roman"/>
          <w:sz w:val="24"/>
          <w:szCs w:val="24"/>
        </w:rPr>
        <w:t>or controlled-access mechanism, are managed through</w:t>
      </w:r>
      <w:r w:rsidR="00E151AA">
        <w:rPr>
          <w:rFonts w:ascii="Times New Roman" w:hAnsi="Times New Roman" w:cs="Times New Roman"/>
          <w:sz w:val="24"/>
          <w:szCs w:val="24"/>
        </w:rPr>
        <w:t xml:space="preserve"> a central </w:t>
      </w:r>
      <w:r w:rsidRPr="00EE3E14">
        <w:rPr>
          <w:rFonts w:ascii="Times New Roman" w:hAnsi="Times New Roman" w:cs="Times New Roman"/>
          <w:sz w:val="24"/>
          <w:szCs w:val="24"/>
        </w:rPr>
        <w:t>repository, the database of Genotypes and Phenotypes (dbGaP), administered by the National Center for Biotechnology Information (NCBI), part of the National Library of Medicine at NIH.</w:t>
      </w:r>
    </w:p>
    <w:p w14:paraId="04480A03" w14:textId="25AE6D7F" w:rsidR="00D63DE0" w:rsidRPr="00EE3E14" w:rsidRDefault="007E3D11" w:rsidP="007E3D11">
      <w:pPr>
        <w:rPr>
          <w:rFonts w:ascii="Times New Roman" w:hAnsi="Times New Roman" w:cs="Times New Roman"/>
          <w:sz w:val="24"/>
          <w:szCs w:val="24"/>
        </w:rPr>
      </w:pPr>
      <w:r w:rsidRPr="00EE3E14">
        <w:rPr>
          <w:rFonts w:ascii="Times New Roman" w:hAnsi="Times New Roman" w:cs="Times New Roman"/>
          <w:sz w:val="24"/>
          <w:szCs w:val="24"/>
        </w:rPr>
        <w:t>Controlled-access data in</w:t>
      </w:r>
      <w:r w:rsidR="001B7EF9" w:rsidRPr="00EE3E14">
        <w:rPr>
          <w:rFonts w:ascii="Times New Roman" w:hAnsi="Times New Roman" w:cs="Times New Roman"/>
          <w:sz w:val="24"/>
          <w:szCs w:val="24"/>
        </w:rPr>
        <w:t xml:space="preserve"> </w:t>
      </w:r>
      <w:r w:rsidR="00E151AA">
        <w:rPr>
          <w:rFonts w:ascii="Times New Roman" w:hAnsi="Times New Roman" w:cs="Times New Roman"/>
          <w:sz w:val="24"/>
          <w:szCs w:val="24"/>
        </w:rPr>
        <w:t>NIH-designated</w:t>
      </w:r>
      <w:r w:rsidRPr="00EE3E14">
        <w:rPr>
          <w:rFonts w:ascii="Times New Roman" w:hAnsi="Times New Roman" w:cs="Times New Roman"/>
          <w:sz w:val="24"/>
          <w:szCs w:val="24"/>
        </w:rPr>
        <w:t xml:space="preserve"> repositories </w:t>
      </w:r>
      <w:r w:rsidR="004653AC" w:rsidRPr="00EE3E14">
        <w:rPr>
          <w:rFonts w:ascii="Times New Roman" w:hAnsi="Times New Roman" w:cs="Times New Roman"/>
          <w:sz w:val="24"/>
          <w:szCs w:val="24"/>
        </w:rPr>
        <w:t xml:space="preserve">(e.g., dbGaP) </w:t>
      </w:r>
      <w:r w:rsidRPr="00EE3E14">
        <w:rPr>
          <w:rFonts w:ascii="Times New Roman" w:hAnsi="Times New Roman" w:cs="Times New Roman"/>
          <w:sz w:val="24"/>
          <w:szCs w:val="24"/>
        </w:rPr>
        <w:t>are made avail</w:t>
      </w:r>
      <w:r w:rsidR="004653AC" w:rsidRPr="00EE3E14">
        <w:rPr>
          <w:rFonts w:ascii="Times New Roman" w:hAnsi="Times New Roman" w:cs="Times New Roman"/>
          <w:sz w:val="24"/>
          <w:szCs w:val="24"/>
        </w:rPr>
        <w:t>able for secondary research</w:t>
      </w:r>
      <w:r w:rsidRPr="00EE3E14">
        <w:rPr>
          <w:rFonts w:ascii="Times New Roman" w:hAnsi="Times New Roman" w:cs="Times New Roman"/>
          <w:sz w:val="24"/>
          <w:szCs w:val="24"/>
        </w:rPr>
        <w:t xml:space="preserve"> after</w:t>
      </w:r>
      <w:r w:rsidR="00C90D95" w:rsidRPr="00EE3E14">
        <w:rPr>
          <w:rFonts w:ascii="Times New Roman" w:hAnsi="Times New Roman" w:cs="Times New Roman"/>
          <w:sz w:val="24"/>
          <w:szCs w:val="24"/>
        </w:rPr>
        <w:t xml:space="preserve"> requesters</w:t>
      </w:r>
      <w:r w:rsidRPr="00EE3E14">
        <w:rPr>
          <w:rFonts w:ascii="Times New Roman" w:hAnsi="Times New Roman" w:cs="Times New Roman"/>
          <w:sz w:val="24"/>
          <w:szCs w:val="24"/>
        </w:rPr>
        <w:t xml:space="preserve"> have submitted a request and obtained approval from a</w:t>
      </w:r>
      <w:r w:rsidR="00C90D95" w:rsidRPr="00EE3E14">
        <w:rPr>
          <w:rFonts w:ascii="Times New Roman" w:hAnsi="Times New Roman" w:cs="Times New Roman"/>
          <w:sz w:val="24"/>
          <w:szCs w:val="24"/>
        </w:rPr>
        <w:t>n</w:t>
      </w:r>
      <w:r w:rsidRPr="00EE3E14">
        <w:rPr>
          <w:rFonts w:ascii="Times New Roman" w:hAnsi="Times New Roman" w:cs="Times New Roman"/>
          <w:sz w:val="24"/>
          <w:szCs w:val="24"/>
        </w:rPr>
        <w:t xml:space="preserve"> NIH Data Access Committee </w:t>
      </w:r>
      <w:r w:rsidR="00D63DE0" w:rsidRPr="00EE3E14">
        <w:rPr>
          <w:rFonts w:ascii="Times New Roman" w:hAnsi="Times New Roman" w:cs="Times New Roman"/>
          <w:sz w:val="24"/>
          <w:szCs w:val="24"/>
        </w:rPr>
        <w:t xml:space="preserve">(DAC) </w:t>
      </w:r>
      <w:r w:rsidRPr="00EE3E14">
        <w:rPr>
          <w:rFonts w:ascii="Times New Roman" w:hAnsi="Times New Roman" w:cs="Times New Roman"/>
          <w:sz w:val="24"/>
          <w:szCs w:val="24"/>
        </w:rPr>
        <w:t xml:space="preserve">for </w:t>
      </w:r>
      <w:r w:rsidR="00C90D95" w:rsidRPr="00EE3E14">
        <w:rPr>
          <w:rFonts w:ascii="Times New Roman" w:hAnsi="Times New Roman" w:cs="Times New Roman"/>
          <w:sz w:val="24"/>
          <w:szCs w:val="24"/>
        </w:rPr>
        <w:t>a particular project. Approved requesters</w:t>
      </w:r>
      <w:r w:rsidRPr="00EE3E14">
        <w:rPr>
          <w:rFonts w:ascii="Times New Roman" w:hAnsi="Times New Roman" w:cs="Times New Roman"/>
          <w:sz w:val="24"/>
          <w:szCs w:val="24"/>
        </w:rPr>
        <w:t xml:space="preserve"> are granted access to millions of dollars of genomic research data </w:t>
      </w:r>
      <w:r w:rsidR="00243D89" w:rsidRPr="00EE3E14">
        <w:rPr>
          <w:rFonts w:ascii="Times New Roman" w:hAnsi="Times New Roman" w:cs="Times New Roman"/>
          <w:sz w:val="24"/>
          <w:szCs w:val="24"/>
        </w:rPr>
        <w:t>without</w:t>
      </w:r>
      <w:r w:rsidRPr="00EE3E14">
        <w:rPr>
          <w:rFonts w:ascii="Times New Roman" w:hAnsi="Times New Roman" w:cs="Times New Roman"/>
          <w:sz w:val="24"/>
          <w:szCs w:val="24"/>
        </w:rPr>
        <w:t xml:space="preserve"> charge.</w:t>
      </w:r>
    </w:p>
    <w:p w14:paraId="4C057ED0" w14:textId="77777777" w:rsidR="00CF1354" w:rsidRPr="00EE3E14" w:rsidRDefault="00CF1354" w:rsidP="00CF1354">
      <w:pPr>
        <w:pStyle w:val="P1-StandPara"/>
        <w:tabs>
          <w:tab w:val="left" w:pos="720"/>
          <w:tab w:val="right" w:leader="dot" w:pos="9504"/>
        </w:tabs>
        <w:spacing w:after="200" w:line="276" w:lineRule="auto"/>
        <w:ind w:firstLine="0"/>
        <w:rPr>
          <w:b/>
          <w:sz w:val="24"/>
          <w:szCs w:val="24"/>
        </w:rPr>
      </w:pPr>
      <w:r w:rsidRPr="00EE3E14">
        <w:rPr>
          <w:b/>
          <w:sz w:val="24"/>
          <w:szCs w:val="24"/>
        </w:rPr>
        <w:t>A.1</w:t>
      </w:r>
      <w:r w:rsidRPr="00EE3E14">
        <w:rPr>
          <w:b/>
          <w:sz w:val="24"/>
          <w:szCs w:val="24"/>
        </w:rPr>
        <w:tab/>
        <w:t>Circumstances Making the Collection of Information Necessary</w:t>
      </w:r>
    </w:p>
    <w:p w14:paraId="09DED765" w14:textId="77777777" w:rsidR="00CF1354" w:rsidRPr="00EE3E14" w:rsidRDefault="00CF1354" w:rsidP="00CF1354">
      <w:pPr>
        <w:autoSpaceDE w:val="0"/>
        <w:autoSpaceDN w:val="0"/>
        <w:adjustRightInd w:val="0"/>
        <w:rPr>
          <w:rFonts w:ascii="Times New Roman" w:hAnsi="Times New Roman" w:cs="Times New Roman"/>
          <w:bCs/>
          <w:color w:val="000000"/>
          <w:sz w:val="24"/>
          <w:szCs w:val="24"/>
        </w:rPr>
      </w:pPr>
      <w:r w:rsidRPr="00EE3E14">
        <w:rPr>
          <w:rFonts w:ascii="Times New Roman" w:hAnsi="Times New Roman" w:cs="Times New Roman"/>
          <w:sz w:val="24"/>
          <w:szCs w:val="24"/>
        </w:rPr>
        <w:t>The collection of information activities set forth herein would be conducted under the authorities granted in Section 301 of the Public Health Service Act, 42 USC 241 and in accordance with the policies and procedures set forth in the NIH GDS Policy</w:t>
      </w:r>
      <w:r w:rsidRPr="00EE3E14">
        <w:rPr>
          <w:rFonts w:ascii="Times New Roman" w:hAnsi="Times New Roman" w:cs="Times New Roman"/>
          <w:bCs/>
          <w:color w:val="000000"/>
          <w:sz w:val="24"/>
          <w:szCs w:val="24"/>
        </w:rPr>
        <w:t>.</w:t>
      </w:r>
    </w:p>
    <w:p w14:paraId="44F9EB66" w14:textId="2C25FA8B"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 xml:space="preserve">Under the </w:t>
      </w:r>
      <w:r w:rsidR="00D63DE0" w:rsidRPr="00EE3E14">
        <w:rPr>
          <w:rFonts w:ascii="Times New Roman" w:hAnsi="Times New Roman" w:cs="Times New Roman"/>
          <w:sz w:val="24"/>
          <w:szCs w:val="24"/>
        </w:rPr>
        <w:t xml:space="preserve">NIH </w:t>
      </w:r>
      <w:r w:rsidRPr="00EE3E14">
        <w:rPr>
          <w:rFonts w:ascii="Times New Roman" w:hAnsi="Times New Roman" w:cs="Times New Roman"/>
          <w:sz w:val="24"/>
          <w:szCs w:val="24"/>
        </w:rPr>
        <w:t xml:space="preserve">GDS Policy, all investigators who receive NIH funding to conduct research studies generating large-scale human genomic data maintained in controlled-access are expected to register the studies in dbGaP, no matter which NIH-designated data repository will maintain the data. As part of the registration process, investigators must provide basic study information such as the type of data that will be submitted (e.g., individual-level genotype data, aggregate-level association data), a description of the study, and an institutional assurance of the data submission (i.e., an Institutional Certification) which delineates any limitations on the use of the data for secondary research (e.g., data can be used only for research of particular diseases). </w:t>
      </w:r>
    </w:p>
    <w:p w14:paraId="42C87A40" w14:textId="7A71A260"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 xml:space="preserve">Although NIH encourages genomic data sharing through this Policy, circumstances beyond the control of investigators may preclude submission of human genomic data to NIH-designated data repositories (e.g., country or state laws that prohibit data deposition in a U.S. database). In such cases, an exception to submit genomic </w:t>
      </w:r>
      <w:r w:rsidR="001B7EF9" w:rsidRPr="00EE3E14">
        <w:rPr>
          <w:rFonts w:ascii="Times New Roman" w:hAnsi="Times New Roman" w:cs="Times New Roman"/>
          <w:sz w:val="24"/>
          <w:szCs w:val="24"/>
        </w:rPr>
        <w:t>data to</w:t>
      </w:r>
      <w:r w:rsidRPr="00EE3E14">
        <w:rPr>
          <w:rFonts w:ascii="Times New Roman" w:hAnsi="Times New Roman" w:cs="Times New Roman"/>
          <w:sz w:val="24"/>
          <w:szCs w:val="24"/>
        </w:rPr>
        <w:t xml:space="preserve"> a</w:t>
      </w:r>
      <w:r w:rsidR="001B7EF9" w:rsidRPr="00EE3E14">
        <w:rPr>
          <w:rFonts w:ascii="Times New Roman" w:hAnsi="Times New Roman" w:cs="Times New Roman"/>
          <w:sz w:val="24"/>
          <w:szCs w:val="24"/>
        </w:rPr>
        <w:t>n</w:t>
      </w:r>
      <w:r w:rsidRPr="00EE3E14">
        <w:rPr>
          <w:rFonts w:ascii="Times New Roman" w:hAnsi="Times New Roman" w:cs="Times New Roman"/>
          <w:sz w:val="24"/>
          <w:szCs w:val="24"/>
        </w:rPr>
        <w:t xml:space="preserve"> NIH-designated data repository may be granted. For transparency purposes, when exceptions are granted, studies will still be registered in dbGaP, the reason for the exception will be included in the registration record, and a reference will be provided to an alternative data-sharing plan or resource, if available.</w:t>
      </w:r>
    </w:p>
    <w:p w14:paraId="2006CD0F" w14:textId="66EC4399" w:rsidR="00CF1354" w:rsidRPr="00EE3E14" w:rsidRDefault="00D63DE0" w:rsidP="00CF1354">
      <w:pPr>
        <w:rPr>
          <w:rFonts w:ascii="Times New Roman" w:hAnsi="Times New Roman" w:cs="Times New Roman"/>
          <w:sz w:val="24"/>
          <w:szCs w:val="24"/>
        </w:rPr>
      </w:pPr>
      <w:r w:rsidRPr="00EE3E14">
        <w:rPr>
          <w:rFonts w:ascii="Times New Roman" w:hAnsi="Times New Roman" w:cs="Times New Roman"/>
          <w:sz w:val="24"/>
          <w:szCs w:val="24"/>
        </w:rPr>
        <w:t>Requesters</w:t>
      </w:r>
      <w:r w:rsidR="00CF1354" w:rsidRPr="00EE3E14">
        <w:rPr>
          <w:rFonts w:ascii="Times New Roman" w:hAnsi="Times New Roman" w:cs="Times New Roman"/>
          <w:sz w:val="24"/>
          <w:szCs w:val="24"/>
        </w:rPr>
        <w:t xml:space="preserve"> interested in using controlled-access human data for secondary research must apply through dbGaP and be granted permission to use the data </w:t>
      </w:r>
      <w:r w:rsidRPr="00EE3E14">
        <w:rPr>
          <w:rFonts w:ascii="Times New Roman" w:hAnsi="Times New Roman" w:cs="Times New Roman"/>
          <w:sz w:val="24"/>
          <w:szCs w:val="24"/>
        </w:rPr>
        <w:t>from a</w:t>
      </w:r>
      <w:r w:rsidR="001B7EF9" w:rsidRPr="00EE3E14">
        <w:rPr>
          <w:rFonts w:ascii="Times New Roman" w:hAnsi="Times New Roman" w:cs="Times New Roman"/>
          <w:sz w:val="24"/>
          <w:szCs w:val="24"/>
        </w:rPr>
        <w:t xml:space="preserve"> relevant NIH DAC</w:t>
      </w:r>
      <w:r w:rsidR="00CF1354" w:rsidRPr="00EE3E14">
        <w:rPr>
          <w:rFonts w:ascii="Times New Roman" w:hAnsi="Times New Roman" w:cs="Times New Roman"/>
          <w:sz w:val="24"/>
          <w:szCs w:val="24"/>
        </w:rPr>
        <w:t xml:space="preserve">. As part of the application process, </w:t>
      </w:r>
      <w:r w:rsidRPr="00EE3E14">
        <w:rPr>
          <w:rFonts w:ascii="Times New Roman" w:hAnsi="Times New Roman" w:cs="Times New Roman"/>
          <w:sz w:val="24"/>
          <w:szCs w:val="24"/>
        </w:rPr>
        <w:t>requesters</w:t>
      </w:r>
      <w:r w:rsidR="00CF1354" w:rsidRPr="00EE3E14">
        <w:rPr>
          <w:rFonts w:ascii="Times New Roman" w:hAnsi="Times New Roman" w:cs="Times New Roman"/>
          <w:sz w:val="24"/>
          <w:szCs w:val="24"/>
        </w:rPr>
        <w:t xml:space="preserve"> and their institution must provide information such as a description of the proposed research use of the data that conforms to the data use limitations, agree to the Genomic Data User Code of Conduct, and agree to the terms of data access through a Data Use Certification agreement.</w:t>
      </w:r>
    </w:p>
    <w:p w14:paraId="44E9B864" w14:textId="77777777" w:rsidR="00CF1354" w:rsidRPr="00EE3E14" w:rsidRDefault="00CF1354" w:rsidP="00CF1354">
      <w:pPr>
        <w:pStyle w:val="Heading2"/>
        <w:tabs>
          <w:tab w:val="clear" w:pos="1152"/>
          <w:tab w:val="left" w:pos="720"/>
        </w:tabs>
        <w:spacing w:after="200" w:line="276" w:lineRule="auto"/>
        <w:ind w:left="1260" w:hanging="1260"/>
        <w:rPr>
          <w:sz w:val="24"/>
          <w:szCs w:val="24"/>
        </w:rPr>
      </w:pPr>
      <w:r w:rsidRPr="00EE3E14">
        <w:rPr>
          <w:sz w:val="24"/>
          <w:szCs w:val="24"/>
        </w:rPr>
        <w:t>A.2</w:t>
      </w:r>
      <w:r w:rsidRPr="00EE3E14">
        <w:rPr>
          <w:sz w:val="24"/>
          <w:szCs w:val="24"/>
        </w:rPr>
        <w:tab/>
        <w:t>Purpose and Use of the Information Collection</w:t>
      </w:r>
    </w:p>
    <w:p w14:paraId="5954C667" w14:textId="0C4420AE" w:rsidR="00FD08C5" w:rsidRPr="00EE3E14" w:rsidRDefault="000D7701" w:rsidP="00FD08C5">
      <w:pPr>
        <w:rPr>
          <w:rFonts w:ascii="Times New Roman" w:hAnsi="Times New Roman" w:cs="Times New Roman"/>
          <w:sz w:val="24"/>
          <w:szCs w:val="24"/>
        </w:rPr>
      </w:pPr>
      <w:r w:rsidRPr="00EE3E14">
        <w:rPr>
          <w:rFonts w:ascii="Times New Roman" w:hAnsi="Times New Roman" w:cs="Times New Roman"/>
          <w:sz w:val="24"/>
          <w:szCs w:val="24"/>
        </w:rPr>
        <w:t>This application is for an extension</w:t>
      </w:r>
      <w:r w:rsidR="001B7EF9" w:rsidRPr="00EE3E14">
        <w:rPr>
          <w:rFonts w:ascii="Times New Roman" w:hAnsi="Times New Roman" w:cs="Times New Roman"/>
          <w:sz w:val="24"/>
          <w:szCs w:val="24"/>
        </w:rPr>
        <w:t xml:space="preserve"> to an existing Office of Management and Budget (OMB) approved collection of information, 0925-0670</w:t>
      </w:r>
      <w:r w:rsidR="00334A50" w:rsidRPr="00EE3E14">
        <w:rPr>
          <w:rFonts w:ascii="Times New Roman" w:hAnsi="Times New Roman" w:cs="Times New Roman"/>
          <w:sz w:val="24"/>
          <w:szCs w:val="24"/>
        </w:rPr>
        <w:t>,</w:t>
      </w:r>
      <w:r w:rsidR="001B7EF9" w:rsidRPr="00EE3E14">
        <w:rPr>
          <w:rFonts w:ascii="Times New Roman" w:hAnsi="Times New Roman" w:cs="Times New Roman"/>
          <w:sz w:val="24"/>
          <w:szCs w:val="24"/>
        </w:rPr>
        <w:t xml:space="preserve"> </w:t>
      </w:r>
      <w:r w:rsidR="00CF1354" w:rsidRPr="00EE3E14">
        <w:rPr>
          <w:rFonts w:ascii="Times New Roman" w:hAnsi="Times New Roman" w:cs="Times New Roman"/>
          <w:sz w:val="24"/>
          <w:szCs w:val="24"/>
        </w:rPr>
        <w:t>to continue supporting NIH’s goals for sharing of genomic data. The online forms reduce burden for investigators who submit data to dbGaP and for requesters who wish to access the data for secondary research.</w:t>
      </w:r>
      <w:r w:rsidR="00FD08C5" w:rsidRPr="00EE3E14">
        <w:rPr>
          <w:rFonts w:ascii="Times New Roman" w:hAnsi="Times New Roman" w:cs="Times New Roman"/>
          <w:sz w:val="24"/>
          <w:szCs w:val="24"/>
        </w:rPr>
        <w:t xml:space="preserve"> Since the last approved PRA, minor changes have been made that focus </w:t>
      </w:r>
      <w:r w:rsidR="00552A07" w:rsidRPr="00EE3E14">
        <w:rPr>
          <w:rFonts w:ascii="Times New Roman" w:hAnsi="Times New Roman" w:cs="Times New Roman"/>
          <w:sz w:val="24"/>
          <w:szCs w:val="24"/>
        </w:rPr>
        <w:t>on</w:t>
      </w:r>
      <w:r w:rsidR="004A6350" w:rsidRPr="00EE3E14">
        <w:rPr>
          <w:rFonts w:ascii="Times New Roman" w:hAnsi="Times New Roman" w:cs="Times New Roman"/>
          <w:sz w:val="24"/>
          <w:szCs w:val="24"/>
        </w:rPr>
        <w:t xml:space="preserve"> </w:t>
      </w:r>
      <w:r w:rsidR="00306260" w:rsidRPr="00EE3E14">
        <w:rPr>
          <w:rFonts w:ascii="Times New Roman" w:hAnsi="Times New Roman" w:cs="Times New Roman"/>
          <w:sz w:val="24"/>
          <w:szCs w:val="24"/>
        </w:rPr>
        <w:t xml:space="preserve">reducing redundancy among </w:t>
      </w:r>
      <w:r w:rsidR="00306260">
        <w:rPr>
          <w:rFonts w:ascii="Times New Roman" w:hAnsi="Times New Roman" w:cs="Times New Roman"/>
          <w:sz w:val="24"/>
          <w:szCs w:val="24"/>
        </w:rPr>
        <w:t xml:space="preserve">data </w:t>
      </w:r>
      <w:r w:rsidR="00306260" w:rsidRPr="00EE3E14">
        <w:rPr>
          <w:rFonts w:ascii="Times New Roman" w:hAnsi="Times New Roman" w:cs="Times New Roman"/>
          <w:sz w:val="24"/>
          <w:szCs w:val="24"/>
        </w:rPr>
        <w:t>submissions and access requests</w:t>
      </w:r>
      <w:r w:rsidR="00306260">
        <w:rPr>
          <w:rFonts w:ascii="Times New Roman" w:hAnsi="Times New Roman" w:cs="Times New Roman"/>
          <w:sz w:val="24"/>
          <w:szCs w:val="24"/>
        </w:rPr>
        <w:t xml:space="preserve"> and</w:t>
      </w:r>
      <w:r w:rsidR="00306260" w:rsidRPr="00EE3E14">
        <w:rPr>
          <w:rFonts w:ascii="Times New Roman" w:hAnsi="Times New Roman" w:cs="Times New Roman"/>
          <w:sz w:val="24"/>
          <w:szCs w:val="24"/>
        </w:rPr>
        <w:t xml:space="preserve"> </w:t>
      </w:r>
      <w:r w:rsidR="004A6350" w:rsidRPr="00EE3E14">
        <w:rPr>
          <w:rFonts w:ascii="Times New Roman" w:hAnsi="Times New Roman" w:cs="Times New Roman"/>
          <w:sz w:val="24"/>
          <w:szCs w:val="24"/>
        </w:rPr>
        <w:t>increasing awareness of the ethical responsibilities associated with</w:t>
      </w:r>
      <w:r w:rsidR="00306260">
        <w:rPr>
          <w:rFonts w:ascii="Times New Roman" w:hAnsi="Times New Roman" w:cs="Times New Roman"/>
          <w:sz w:val="24"/>
          <w:szCs w:val="24"/>
        </w:rPr>
        <w:t xml:space="preserve"> the</w:t>
      </w:r>
      <w:r w:rsidR="004A6350" w:rsidRPr="00EE3E14">
        <w:rPr>
          <w:rFonts w:ascii="Times New Roman" w:hAnsi="Times New Roman" w:cs="Times New Roman"/>
          <w:sz w:val="24"/>
          <w:szCs w:val="24"/>
        </w:rPr>
        <w:t xml:space="preserve"> respons</w:t>
      </w:r>
      <w:r w:rsidR="00306260">
        <w:rPr>
          <w:rFonts w:ascii="Times New Roman" w:hAnsi="Times New Roman" w:cs="Times New Roman"/>
          <w:sz w:val="24"/>
          <w:szCs w:val="24"/>
        </w:rPr>
        <w:t>ible use of genomic information</w:t>
      </w:r>
      <w:r w:rsidR="00FD08C5" w:rsidRPr="00EE3E14">
        <w:rPr>
          <w:rFonts w:ascii="Times New Roman" w:hAnsi="Times New Roman" w:cs="Times New Roman"/>
          <w:sz w:val="24"/>
          <w:szCs w:val="24"/>
        </w:rPr>
        <w:t>. For example</w:t>
      </w:r>
      <w:r w:rsidR="00306260">
        <w:rPr>
          <w:rFonts w:ascii="Times New Roman" w:hAnsi="Times New Roman" w:cs="Times New Roman"/>
          <w:sz w:val="24"/>
          <w:szCs w:val="24"/>
        </w:rPr>
        <w:t>,</w:t>
      </w:r>
      <w:r w:rsidR="00FD08C5" w:rsidRPr="00EE3E14">
        <w:rPr>
          <w:rFonts w:ascii="Times New Roman" w:hAnsi="Times New Roman" w:cs="Times New Roman"/>
          <w:sz w:val="24"/>
          <w:szCs w:val="24"/>
        </w:rPr>
        <w:t xml:space="preserve"> </w:t>
      </w:r>
      <w:r w:rsidR="00306260" w:rsidRPr="00EE3E14">
        <w:rPr>
          <w:rFonts w:ascii="Times New Roman" w:hAnsi="Times New Roman" w:cs="Times New Roman"/>
          <w:sz w:val="24"/>
          <w:szCs w:val="24"/>
        </w:rPr>
        <w:t xml:space="preserve">NIH updated the access model to </w:t>
      </w:r>
      <w:r w:rsidR="00306260">
        <w:rPr>
          <w:rFonts w:ascii="Times New Roman" w:hAnsi="Times New Roman" w:cs="Times New Roman"/>
          <w:sz w:val="24"/>
          <w:szCs w:val="24"/>
        </w:rPr>
        <w:t>Genomic Summary Results (</w:t>
      </w:r>
      <w:r w:rsidR="00306260" w:rsidRPr="00EE3E14">
        <w:rPr>
          <w:rFonts w:ascii="Times New Roman" w:hAnsi="Times New Roman" w:cs="Times New Roman"/>
          <w:i/>
          <w:sz w:val="24"/>
          <w:szCs w:val="24"/>
        </w:rPr>
        <w:t>Update to NIH Management of Genomic Summary Results (GSR)</w:t>
      </w:r>
      <w:r w:rsidR="00306260" w:rsidRPr="00EE3E14">
        <w:rPr>
          <w:rFonts w:ascii="Times New Roman" w:hAnsi="Times New Roman" w:cs="Times New Roman"/>
          <w:sz w:val="24"/>
          <w:szCs w:val="24"/>
        </w:rPr>
        <w:t xml:space="preserve"> (NOT-OD-19-023)</w:t>
      </w:r>
      <w:r w:rsidR="00306260">
        <w:rPr>
          <w:rFonts w:ascii="Times New Roman" w:hAnsi="Times New Roman" w:cs="Times New Roman"/>
          <w:sz w:val="24"/>
          <w:szCs w:val="24"/>
        </w:rPr>
        <w:t xml:space="preserve">) to increase </w:t>
      </w:r>
      <w:r w:rsidR="00FD08C5" w:rsidRPr="00EE3E14">
        <w:rPr>
          <w:rFonts w:ascii="Times New Roman" w:hAnsi="Times New Roman" w:cs="Times New Roman"/>
          <w:sz w:val="24"/>
          <w:szCs w:val="24"/>
        </w:rPr>
        <w:t xml:space="preserve">the </w:t>
      </w:r>
      <w:r w:rsidR="007A2A41">
        <w:rPr>
          <w:rFonts w:ascii="Times New Roman" w:hAnsi="Times New Roman" w:cs="Times New Roman"/>
          <w:sz w:val="24"/>
          <w:szCs w:val="24"/>
        </w:rPr>
        <w:t>accessibility of</w:t>
      </w:r>
      <w:r w:rsidR="008D4E32" w:rsidRPr="00EE3E14">
        <w:rPr>
          <w:rFonts w:ascii="Times New Roman" w:hAnsi="Times New Roman" w:cs="Times New Roman"/>
          <w:sz w:val="24"/>
          <w:szCs w:val="24"/>
        </w:rPr>
        <w:t xml:space="preserve"> GSR from most NIH-</w:t>
      </w:r>
      <w:r w:rsidR="00306260">
        <w:rPr>
          <w:rFonts w:ascii="Times New Roman" w:hAnsi="Times New Roman" w:cs="Times New Roman"/>
          <w:sz w:val="24"/>
          <w:szCs w:val="24"/>
        </w:rPr>
        <w:t>funded</w:t>
      </w:r>
      <w:r w:rsidR="008D4E32" w:rsidRPr="00EE3E14">
        <w:rPr>
          <w:rFonts w:ascii="Times New Roman" w:hAnsi="Times New Roman" w:cs="Times New Roman"/>
          <w:sz w:val="24"/>
          <w:szCs w:val="24"/>
        </w:rPr>
        <w:t xml:space="preserve"> studies in a manner that promotes public benefit from the federal investment in genomics research while considering potential risk to research participants.</w:t>
      </w:r>
      <w:r w:rsidR="004A6350" w:rsidRPr="00EE3E14">
        <w:rPr>
          <w:rFonts w:ascii="Times New Roman" w:hAnsi="Times New Roman" w:cs="Times New Roman"/>
          <w:sz w:val="24"/>
          <w:szCs w:val="24"/>
        </w:rPr>
        <w:t xml:space="preserve"> Therefore,</w:t>
      </w:r>
      <w:r w:rsidR="008D4E32" w:rsidRPr="00EE3E14">
        <w:rPr>
          <w:rFonts w:ascii="Times New Roman" w:hAnsi="Times New Roman" w:cs="Times New Roman"/>
          <w:sz w:val="24"/>
          <w:szCs w:val="24"/>
        </w:rPr>
        <w:t xml:space="preserve"> </w:t>
      </w:r>
      <w:r w:rsidR="004A6350" w:rsidRPr="00EE3E14">
        <w:rPr>
          <w:rFonts w:ascii="Times New Roman" w:hAnsi="Times New Roman" w:cs="Times New Roman"/>
          <w:sz w:val="24"/>
          <w:szCs w:val="24"/>
        </w:rPr>
        <w:t>institutions are now expected</w:t>
      </w:r>
      <w:r w:rsidR="008D4E32" w:rsidRPr="00EE3E14">
        <w:rPr>
          <w:rFonts w:ascii="Times New Roman" w:hAnsi="Times New Roman" w:cs="Times New Roman"/>
          <w:sz w:val="24"/>
          <w:szCs w:val="24"/>
        </w:rPr>
        <w:t xml:space="preserve"> to indicate in their Institutional Certification if GSR from a su</w:t>
      </w:r>
      <w:r w:rsidR="004A6350" w:rsidRPr="00EE3E14">
        <w:rPr>
          <w:rFonts w:ascii="Times New Roman" w:hAnsi="Times New Roman" w:cs="Times New Roman"/>
          <w:sz w:val="24"/>
          <w:szCs w:val="24"/>
        </w:rPr>
        <w:t xml:space="preserve">bmitted study should be provided </w:t>
      </w:r>
      <w:r w:rsidR="008D4E32" w:rsidRPr="00EE3E14">
        <w:rPr>
          <w:rFonts w:ascii="Times New Roman" w:hAnsi="Times New Roman" w:cs="Times New Roman"/>
          <w:sz w:val="24"/>
          <w:szCs w:val="24"/>
        </w:rPr>
        <w:t>only though controlled-access</w:t>
      </w:r>
      <w:r w:rsidR="004A6350" w:rsidRPr="00EE3E14">
        <w:rPr>
          <w:rFonts w:ascii="Times New Roman" w:hAnsi="Times New Roman" w:cs="Times New Roman"/>
          <w:sz w:val="24"/>
          <w:szCs w:val="24"/>
        </w:rPr>
        <w:t xml:space="preserve"> or unrestricted acce</w:t>
      </w:r>
      <w:r w:rsidR="005B605A">
        <w:rPr>
          <w:rFonts w:ascii="Times New Roman" w:hAnsi="Times New Roman" w:cs="Times New Roman"/>
          <w:sz w:val="24"/>
          <w:szCs w:val="24"/>
        </w:rPr>
        <w:t>ss (see Attachment 1, slide 7</w:t>
      </w:r>
      <w:r w:rsidR="004A6350" w:rsidRPr="00EE3E14">
        <w:rPr>
          <w:rFonts w:ascii="Times New Roman" w:hAnsi="Times New Roman" w:cs="Times New Roman"/>
          <w:sz w:val="24"/>
          <w:szCs w:val="24"/>
        </w:rPr>
        <w:t xml:space="preserve">). </w:t>
      </w:r>
      <w:r w:rsidR="00BB11FC">
        <w:rPr>
          <w:rFonts w:ascii="Times New Roman" w:hAnsi="Times New Roman" w:cs="Times New Roman"/>
          <w:sz w:val="24"/>
          <w:szCs w:val="24"/>
        </w:rPr>
        <w:t>Additionally</w:t>
      </w:r>
      <w:r w:rsidR="00552A07" w:rsidRPr="00EE3E14">
        <w:rPr>
          <w:rFonts w:ascii="Times New Roman" w:hAnsi="Times New Roman" w:cs="Times New Roman"/>
          <w:sz w:val="24"/>
          <w:szCs w:val="24"/>
        </w:rPr>
        <w:t xml:space="preserve">, </w:t>
      </w:r>
      <w:r w:rsidR="00BB11FC">
        <w:rPr>
          <w:rFonts w:ascii="Times New Roman" w:hAnsi="Times New Roman" w:cs="Times New Roman"/>
          <w:sz w:val="24"/>
          <w:szCs w:val="24"/>
        </w:rPr>
        <w:t xml:space="preserve">the </w:t>
      </w:r>
      <w:r w:rsidR="004C2607" w:rsidRPr="00EE3E14">
        <w:rPr>
          <w:rFonts w:ascii="Times New Roman" w:hAnsi="Times New Roman" w:cs="Times New Roman"/>
          <w:sz w:val="24"/>
          <w:szCs w:val="24"/>
        </w:rPr>
        <w:t xml:space="preserve">NIH observed the input of redundant information by requesters in the </w:t>
      </w:r>
      <w:r w:rsidR="004C2607" w:rsidRPr="00EE3E14">
        <w:rPr>
          <w:rFonts w:ascii="Times New Roman" w:hAnsi="Times New Roman" w:cs="Times New Roman"/>
          <w:i/>
          <w:sz w:val="24"/>
          <w:szCs w:val="24"/>
        </w:rPr>
        <w:t>Research Progress</w:t>
      </w:r>
      <w:r w:rsidR="004C2607" w:rsidRPr="00EE3E14">
        <w:rPr>
          <w:rFonts w:ascii="Times New Roman" w:hAnsi="Times New Roman" w:cs="Times New Roman"/>
          <w:sz w:val="24"/>
          <w:szCs w:val="24"/>
        </w:rPr>
        <w:t xml:space="preserve"> and </w:t>
      </w:r>
      <w:r w:rsidR="004C2607" w:rsidRPr="00EE3E14">
        <w:rPr>
          <w:rFonts w:ascii="Times New Roman" w:hAnsi="Times New Roman" w:cs="Times New Roman"/>
          <w:i/>
          <w:sz w:val="24"/>
          <w:szCs w:val="24"/>
        </w:rPr>
        <w:t>Research Plan for the Next Year</w:t>
      </w:r>
      <w:r w:rsidR="004C2607" w:rsidRPr="00EE3E14">
        <w:rPr>
          <w:rFonts w:ascii="Times New Roman" w:hAnsi="Times New Roman" w:cs="Times New Roman"/>
          <w:sz w:val="24"/>
          <w:szCs w:val="24"/>
        </w:rPr>
        <w:t xml:space="preserve"> sections of the </w:t>
      </w:r>
      <w:r w:rsidR="004C2607" w:rsidRPr="00EE3E14">
        <w:rPr>
          <w:rFonts w:ascii="Times New Roman" w:hAnsi="Times New Roman" w:cs="Times New Roman"/>
          <w:i/>
          <w:sz w:val="24"/>
          <w:szCs w:val="24"/>
        </w:rPr>
        <w:t>Project Renewal</w:t>
      </w:r>
      <w:r w:rsidR="004C2607" w:rsidRPr="00EE3E14">
        <w:rPr>
          <w:rFonts w:ascii="Times New Roman" w:hAnsi="Times New Roman" w:cs="Times New Roman"/>
          <w:sz w:val="24"/>
          <w:szCs w:val="24"/>
        </w:rPr>
        <w:t xml:space="preserve">. To reduce redundancy, and thus, burden, NIH removed the </w:t>
      </w:r>
      <w:r w:rsidR="004C2607" w:rsidRPr="00EE3E14">
        <w:rPr>
          <w:rFonts w:ascii="Times New Roman" w:hAnsi="Times New Roman" w:cs="Times New Roman"/>
          <w:i/>
          <w:sz w:val="24"/>
          <w:szCs w:val="24"/>
        </w:rPr>
        <w:t>Research Plan for the Next Year</w:t>
      </w:r>
      <w:r w:rsidR="004C2607" w:rsidRPr="00EE3E14">
        <w:rPr>
          <w:rFonts w:ascii="Times New Roman" w:hAnsi="Times New Roman" w:cs="Times New Roman"/>
          <w:sz w:val="24"/>
          <w:szCs w:val="24"/>
        </w:rPr>
        <w:t xml:space="preserve"> section from the Project Renewal forms</w:t>
      </w:r>
      <w:r w:rsidR="00FD08C5" w:rsidRPr="00EE3E14">
        <w:rPr>
          <w:rFonts w:ascii="Times New Roman" w:hAnsi="Times New Roman" w:cs="Times New Roman"/>
          <w:sz w:val="24"/>
          <w:szCs w:val="24"/>
        </w:rPr>
        <w:t>. These changes are documented in Attachment</w:t>
      </w:r>
      <w:r w:rsidR="005B605A">
        <w:rPr>
          <w:rFonts w:ascii="Times New Roman" w:hAnsi="Times New Roman" w:cs="Times New Roman"/>
          <w:sz w:val="24"/>
          <w:szCs w:val="24"/>
        </w:rPr>
        <w:t xml:space="preserve"> 2</w:t>
      </w:r>
      <w:r w:rsidR="00FD08C5" w:rsidRPr="00EE3E14">
        <w:rPr>
          <w:rFonts w:ascii="Times New Roman" w:hAnsi="Times New Roman" w:cs="Times New Roman"/>
          <w:sz w:val="24"/>
          <w:szCs w:val="24"/>
        </w:rPr>
        <w:t>.</w:t>
      </w:r>
    </w:p>
    <w:p w14:paraId="5553AE04" w14:textId="20D86874" w:rsidR="00CF1354" w:rsidRPr="00EE3E14" w:rsidRDefault="00FD08C5" w:rsidP="00FD08C5">
      <w:pPr>
        <w:rPr>
          <w:rFonts w:ascii="Times New Roman" w:hAnsi="Times New Roman" w:cs="Times New Roman"/>
          <w:sz w:val="24"/>
          <w:szCs w:val="24"/>
        </w:rPr>
      </w:pPr>
      <w:r w:rsidRPr="00EE3E14">
        <w:rPr>
          <w:rFonts w:ascii="Times New Roman" w:hAnsi="Times New Roman" w:cs="Times New Roman"/>
          <w:sz w:val="24"/>
          <w:szCs w:val="24"/>
        </w:rPr>
        <w:t xml:space="preserve">We estimate that we will have more respondents, </w:t>
      </w:r>
      <w:r w:rsidR="00BB11FC">
        <w:rPr>
          <w:rFonts w:ascii="Times New Roman" w:hAnsi="Times New Roman" w:cs="Times New Roman"/>
          <w:sz w:val="24"/>
          <w:szCs w:val="24"/>
        </w:rPr>
        <w:t>and thus proportional more responses per responded. However, despite the proportional increase in responses as a result of more respondents,</w:t>
      </w:r>
      <w:r w:rsidRPr="00EE3E14">
        <w:rPr>
          <w:rFonts w:ascii="Times New Roman" w:hAnsi="Times New Roman" w:cs="Times New Roman"/>
          <w:sz w:val="24"/>
          <w:szCs w:val="24"/>
        </w:rPr>
        <w:t xml:space="preserve"> the average burden per response will remain the same. </w:t>
      </w:r>
      <w:r w:rsidR="004C2607" w:rsidRPr="00EE3E14">
        <w:rPr>
          <w:rFonts w:ascii="Times New Roman" w:hAnsi="Times New Roman" w:cs="Times New Roman"/>
          <w:sz w:val="24"/>
          <w:szCs w:val="24"/>
        </w:rPr>
        <w:t>Since 2015, t</w:t>
      </w:r>
      <w:r w:rsidRPr="00EE3E14">
        <w:rPr>
          <w:rFonts w:ascii="Times New Roman" w:hAnsi="Times New Roman" w:cs="Times New Roman"/>
          <w:sz w:val="24"/>
          <w:szCs w:val="24"/>
        </w:rPr>
        <w:t>he cost to the Government has decreased from $</w:t>
      </w:r>
      <w:r w:rsidRPr="004D1E78">
        <w:rPr>
          <w:rFonts w:ascii="Times New Roman" w:hAnsi="Times New Roman" w:cs="Times New Roman"/>
          <w:sz w:val="24"/>
          <w:szCs w:val="24"/>
        </w:rPr>
        <w:t xml:space="preserve">5.99 </w:t>
      </w:r>
      <w:r w:rsidRPr="00EE3E14">
        <w:rPr>
          <w:rFonts w:ascii="Times New Roman" w:hAnsi="Times New Roman" w:cs="Times New Roman"/>
          <w:sz w:val="24"/>
          <w:szCs w:val="24"/>
        </w:rPr>
        <w:t xml:space="preserve">million to </w:t>
      </w:r>
      <w:r w:rsidRPr="004D1E78">
        <w:rPr>
          <w:rFonts w:ascii="Times New Roman" w:hAnsi="Times New Roman" w:cs="Times New Roman"/>
          <w:sz w:val="24"/>
          <w:szCs w:val="24"/>
        </w:rPr>
        <w:t xml:space="preserve">$5.00 </w:t>
      </w:r>
      <w:r w:rsidRPr="00EE3E14">
        <w:rPr>
          <w:rFonts w:ascii="Times New Roman" w:hAnsi="Times New Roman" w:cs="Times New Roman"/>
          <w:sz w:val="24"/>
          <w:szCs w:val="24"/>
        </w:rPr>
        <w:t>million.</w:t>
      </w:r>
    </w:p>
    <w:p w14:paraId="0647B98E" w14:textId="77777777" w:rsidR="00CF1354" w:rsidRPr="00EE3E14" w:rsidRDefault="00CF1354" w:rsidP="00CF1354">
      <w:pPr>
        <w:rPr>
          <w:rFonts w:ascii="Times New Roman" w:hAnsi="Times New Roman" w:cs="Times New Roman"/>
          <w:i/>
          <w:sz w:val="24"/>
          <w:szCs w:val="24"/>
        </w:rPr>
      </w:pPr>
      <w:r w:rsidRPr="00EE3E14">
        <w:rPr>
          <w:rFonts w:ascii="Times New Roman" w:hAnsi="Times New Roman" w:cs="Times New Roman"/>
          <w:i/>
          <w:sz w:val="24"/>
          <w:szCs w:val="24"/>
        </w:rPr>
        <w:t>Study Registration and Data Submission</w:t>
      </w:r>
    </w:p>
    <w:p w14:paraId="08A637DC" w14:textId="1285F692"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The required elements for study registration in dbGaP include basic study information and an Institutional Certification approved by the Institutional Official. Basic study information includes the name of the investigators, funding information, a description of the study and data, and a statement that secondary researchers can use to acknowledge the original data collection. Through the Institutional Certification, the institution assures that study data submission is consistent with all applicable laws, regulations, and institutional policies; outlines data use limitations, if any; certifies that the identities of research participants will not be disclosed to dbGaP; and documents that an Institutional Review Board (IRB) and/or Privacy Board reviewed and approved the plan to submit the data to dbGaP. Data files are submitted prior to r</w:t>
      </w:r>
      <w:r w:rsidR="004C2607" w:rsidRPr="00EE3E14">
        <w:rPr>
          <w:rFonts w:ascii="Times New Roman" w:hAnsi="Times New Roman" w:cs="Times New Roman"/>
          <w:sz w:val="24"/>
          <w:szCs w:val="24"/>
        </w:rPr>
        <w:t xml:space="preserve">egistration. Attachment 1 </w:t>
      </w:r>
      <w:r w:rsidRPr="00EE3E14">
        <w:rPr>
          <w:rFonts w:ascii="Times New Roman" w:hAnsi="Times New Roman" w:cs="Times New Roman"/>
          <w:sz w:val="24"/>
          <w:szCs w:val="24"/>
        </w:rPr>
        <w:t>illustrate</w:t>
      </w:r>
      <w:r w:rsidR="004C2607" w:rsidRPr="00EE3E14">
        <w:rPr>
          <w:rFonts w:ascii="Times New Roman" w:hAnsi="Times New Roman" w:cs="Times New Roman"/>
          <w:sz w:val="24"/>
          <w:szCs w:val="24"/>
        </w:rPr>
        <w:t>s</w:t>
      </w:r>
      <w:r w:rsidRPr="00EE3E14">
        <w:rPr>
          <w:rFonts w:ascii="Times New Roman" w:hAnsi="Times New Roman" w:cs="Times New Roman"/>
          <w:sz w:val="24"/>
          <w:szCs w:val="24"/>
        </w:rPr>
        <w:t xml:space="preserve"> the information that will be collected for dbGaP study registration and data submission</w:t>
      </w:r>
      <w:r w:rsidR="005B605A">
        <w:rPr>
          <w:rFonts w:ascii="Times New Roman" w:hAnsi="Times New Roman" w:cs="Times New Roman"/>
          <w:sz w:val="24"/>
          <w:szCs w:val="24"/>
        </w:rPr>
        <w:t>.</w:t>
      </w:r>
    </w:p>
    <w:p w14:paraId="6BB99A08" w14:textId="77777777" w:rsidR="00CF1354" w:rsidRPr="00EE3E14" w:rsidRDefault="00CF1354" w:rsidP="004C2607">
      <w:pPr>
        <w:rPr>
          <w:rFonts w:ascii="Times New Roman" w:hAnsi="Times New Roman" w:cs="Times New Roman"/>
          <w:i/>
          <w:sz w:val="24"/>
          <w:szCs w:val="24"/>
        </w:rPr>
      </w:pPr>
      <w:r w:rsidRPr="00EE3E14">
        <w:rPr>
          <w:rFonts w:ascii="Times New Roman" w:hAnsi="Times New Roman" w:cs="Times New Roman"/>
          <w:i/>
          <w:sz w:val="24"/>
          <w:szCs w:val="24"/>
        </w:rPr>
        <w:t xml:space="preserve">Data Access </w:t>
      </w:r>
    </w:p>
    <w:p w14:paraId="4A571E11" w14:textId="01E00B0E"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 xml:space="preserve">The </w:t>
      </w:r>
      <w:r w:rsidR="004C2607" w:rsidRPr="00EE3E14">
        <w:rPr>
          <w:rFonts w:ascii="Times New Roman" w:hAnsi="Times New Roman" w:cs="Times New Roman"/>
          <w:sz w:val="24"/>
          <w:szCs w:val="24"/>
        </w:rPr>
        <w:t xml:space="preserve">initial data access request (DAR) </w:t>
      </w:r>
      <w:r w:rsidRPr="00EE3E14">
        <w:rPr>
          <w:rFonts w:ascii="Times New Roman" w:hAnsi="Times New Roman" w:cs="Times New Roman"/>
          <w:sz w:val="24"/>
          <w:szCs w:val="24"/>
        </w:rPr>
        <w:t>application to request controlled-access dbGaP data includes information about the requesting investigator’s credentials; the proposed use of the data; an agreement to c</w:t>
      </w:r>
      <w:r w:rsidR="005B605A">
        <w:rPr>
          <w:rFonts w:ascii="Times New Roman" w:hAnsi="Times New Roman" w:cs="Times New Roman"/>
          <w:sz w:val="24"/>
          <w:szCs w:val="24"/>
        </w:rPr>
        <w:t>omply with NIH policies and the</w:t>
      </w:r>
      <w:r w:rsidRPr="00EE3E14">
        <w:rPr>
          <w:rFonts w:ascii="Times New Roman" w:hAnsi="Times New Roman" w:cs="Times New Roman"/>
          <w:spacing w:val="3"/>
          <w:sz w:val="24"/>
          <w:szCs w:val="24"/>
        </w:rPr>
        <w:t xml:space="preserve"> Genomic Data User Code of Conduct</w:t>
      </w:r>
      <w:r w:rsidRPr="00EE3E14">
        <w:rPr>
          <w:rFonts w:ascii="Times New Roman" w:hAnsi="Times New Roman" w:cs="Times New Roman"/>
          <w:sz w:val="24"/>
          <w:szCs w:val="24"/>
        </w:rPr>
        <w:t>;</w:t>
      </w:r>
      <w:r w:rsidRPr="00EE3E14">
        <w:rPr>
          <w:rStyle w:val="FootnoteReference"/>
          <w:rFonts w:ascii="Times New Roman" w:hAnsi="Times New Roman"/>
          <w:sz w:val="24"/>
          <w:szCs w:val="24"/>
        </w:rPr>
        <w:footnoteReference w:id="1"/>
      </w:r>
      <w:r w:rsidRPr="00EE3E14">
        <w:rPr>
          <w:rFonts w:ascii="Times New Roman" w:hAnsi="Times New Roman" w:cs="Times New Roman"/>
          <w:sz w:val="24"/>
          <w:szCs w:val="24"/>
        </w:rPr>
        <w:t xml:space="preserve"> and certification by </w:t>
      </w:r>
      <w:r w:rsidR="004C2607" w:rsidRPr="00EE3E14">
        <w:rPr>
          <w:rFonts w:ascii="Times New Roman" w:hAnsi="Times New Roman" w:cs="Times New Roman"/>
          <w:sz w:val="24"/>
          <w:szCs w:val="24"/>
        </w:rPr>
        <w:t>the requester</w:t>
      </w:r>
      <w:r w:rsidRPr="00EE3E14">
        <w:rPr>
          <w:rFonts w:ascii="Times New Roman" w:hAnsi="Times New Roman" w:cs="Times New Roman"/>
          <w:sz w:val="24"/>
          <w:szCs w:val="24"/>
        </w:rPr>
        <w:t xml:space="preserve"> and a</w:t>
      </w:r>
      <w:r w:rsidR="00AF0FA7" w:rsidRPr="00EE3E14">
        <w:rPr>
          <w:rFonts w:ascii="Times New Roman" w:hAnsi="Times New Roman" w:cs="Times New Roman"/>
          <w:sz w:val="24"/>
          <w:szCs w:val="24"/>
        </w:rPr>
        <w:t>n Institutional</w:t>
      </w:r>
      <w:r w:rsidRPr="00EE3E14">
        <w:rPr>
          <w:rFonts w:ascii="Times New Roman" w:hAnsi="Times New Roman" w:cs="Times New Roman"/>
          <w:sz w:val="24"/>
          <w:szCs w:val="24"/>
        </w:rPr>
        <w:t xml:space="preserve"> Signing Official at the </w:t>
      </w:r>
      <w:r w:rsidR="00AF0FA7" w:rsidRPr="00EE3E14">
        <w:rPr>
          <w:rFonts w:ascii="Times New Roman" w:hAnsi="Times New Roman" w:cs="Times New Roman"/>
          <w:sz w:val="24"/>
          <w:szCs w:val="24"/>
        </w:rPr>
        <w:t>requeste</w:t>
      </w:r>
      <w:r w:rsidRPr="00EE3E14">
        <w:rPr>
          <w:rFonts w:ascii="Times New Roman" w:hAnsi="Times New Roman" w:cs="Times New Roman"/>
          <w:sz w:val="24"/>
          <w:szCs w:val="24"/>
        </w:rPr>
        <w:t xml:space="preserve">r’s institution that data will not be sold, distributed, re-identified, or used by unauthorized users and collaborators not named in the DAR. Requests to renew data access and reports to close out data use are done annually and are similar to the initial DAR.  Additional information obtained in the </w:t>
      </w:r>
      <w:r w:rsidR="00AF0FA7" w:rsidRPr="00EE3E14">
        <w:rPr>
          <w:rFonts w:ascii="Times New Roman" w:hAnsi="Times New Roman" w:cs="Times New Roman"/>
          <w:sz w:val="24"/>
          <w:szCs w:val="24"/>
        </w:rPr>
        <w:t>Project R</w:t>
      </w:r>
      <w:r w:rsidRPr="00EE3E14">
        <w:rPr>
          <w:rFonts w:ascii="Times New Roman" w:hAnsi="Times New Roman" w:cs="Times New Roman"/>
          <w:sz w:val="24"/>
          <w:szCs w:val="24"/>
        </w:rPr>
        <w:t xml:space="preserve">enewal and </w:t>
      </w:r>
      <w:r w:rsidR="00AF0FA7" w:rsidRPr="00EE3E14">
        <w:rPr>
          <w:rFonts w:ascii="Times New Roman" w:hAnsi="Times New Roman" w:cs="Times New Roman"/>
          <w:sz w:val="24"/>
          <w:szCs w:val="24"/>
        </w:rPr>
        <w:t>Project C</w:t>
      </w:r>
      <w:r w:rsidRPr="00EE3E14">
        <w:rPr>
          <w:rFonts w:ascii="Times New Roman" w:hAnsi="Times New Roman" w:cs="Times New Roman"/>
          <w:sz w:val="24"/>
          <w:szCs w:val="24"/>
        </w:rPr>
        <w:t>lose</w:t>
      </w:r>
      <w:r w:rsidR="00AF0FA7" w:rsidRPr="00EE3E14">
        <w:rPr>
          <w:rFonts w:ascii="Times New Roman" w:hAnsi="Times New Roman" w:cs="Times New Roman"/>
          <w:sz w:val="24"/>
          <w:szCs w:val="24"/>
        </w:rPr>
        <w:t>-</w:t>
      </w:r>
      <w:r w:rsidRPr="00EE3E14">
        <w:rPr>
          <w:rFonts w:ascii="Times New Roman" w:hAnsi="Times New Roman" w:cs="Times New Roman"/>
          <w:sz w:val="24"/>
          <w:szCs w:val="24"/>
        </w:rPr>
        <w:t xml:space="preserve">out </w:t>
      </w:r>
      <w:r w:rsidR="00AF0FA7" w:rsidRPr="00EE3E14">
        <w:rPr>
          <w:rFonts w:ascii="Times New Roman" w:hAnsi="Times New Roman" w:cs="Times New Roman"/>
          <w:sz w:val="24"/>
          <w:szCs w:val="24"/>
        </w:rPr>
        <w:t>forms</w:t>
      </w:r>
      <w:r w:rsidRPr="00EE3E14">
        <w:rPr>
          <w:rFonts w:ascii="Times New Roman" w:hAnsi="Times New Roman" w:cs="Times New Roman"/>
          <w:sz w:val="24"/>
          <w:szCs w:val="24"/>
        </w:rPr>
        <w:t xml:space="preserve"> includes information about publications, presentations, or intellectual property based on the research conducted with the accessed data as well as any data security issues or other data management incidents.  </w:t>
      </w:r>
    </w:p>
    <w:p w14:paraId="0B294114" w14:textId="2338058D"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 xml:space="preserve">As a prerequisite to applying for controlled-access data, the </w:t>
      </w:r>
      <w:r w:rsidR="00AF0FA7" w:rsidRPr="00EE3E14">
        <w:rPr>
          <w:rFonts w:ascii="Times New Roman" w:hAnsi="Times New Roman" w:cs="Times New Roman"/>
          <w:sz w:val="24"/>
          <w:szCs w:val="24"/>
        </w:rPr>
        <w:t>requester</w:t>
      </w:r>
      <w:r w:rsidRPr="00EE3E14">
        <w:rPr>
          <w:rFonts w:ascii="Times New Roman" w:hAnsi="Times New Roman" w:cs="Times New Roman"/>
          <w:sz w:val="24"/>
          <w:szCs w:val="24"/>
        </w:rPr>
        <w:t xml:space="preserve"> and </w:t>
      </w:r>
      <w:r w:rsidR="00AF0FA7" w:rsidRPr="00EE3E14">
        <w:rPr>
          <w:rFonts w:ascii="Times New Roman" w:hAnsi="Times New Roman" w:cs="Times New Roman"/>
          <w:sz w:val="24"/>
          <w:szCs w:val="24"/>
        </w:rPr>
        <w:t xml:space="preserve">an Institutional </w:t>
      </w:r>
      <w:r w:rsidRPr="00EE3E14">
        <w:rPr>
          <w:rFonts w:ascii="Times New Roman" w:hAnsi="Times New Roman" w:cs="Times New Roman"/>
          <w:sz w:val="24"/>
          <w:szCs w:val="24"/>
        </w:rPr>
        <w:t>Signing Official must be registered in the NIH electronic Research Administration (eRA) Commons.</w:t>
      </w:r>
      <w:r w:rsidRPr="00EE3E14">
        <w:rPr>
          <w:rStyle w:val="FootnoteReference"/>
          <w:rFonts w:ascii="Times New Roman" w:hAnsi="Times New Roman"/>
          <w:sz w:val="24"/>
          <w:szCs w:val="24"/>
        </w:rPr>
        <w:footnoteReference w:id="2"/>
      </w:r>
      <w:r w:rsidRPr="00EE3E14">
        <w:rPr>
          <w:rFonts w:ascii="Times New Roman" w:hAnsi="Times New Roman" w:cs="Times New Roman"/>
          <w:sz w:val="24"/>
          <w:szCs w:val="24"/>
        </w:rPr>
        <w:t xml:space="preserve"> Most </w:t>
      </w:r>
      <w:r w:rsidR="00AF0FA7"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seeking access to dbGaP data have already registered with eRA Commons when applying for NIH funding. For </w:t>
      </w:r>
      <w:r w:rsidR="00AF0FA7" w:rsidRPr="00EE3E14">
        <w:rPr>
          <w:rFonts w:ascii="Times New Roman" w:hAnsi="Times New Roman" w:cs="Times New Roman"/>
          <w:sz w:val="24"/>
          <w:szCs w:val="24"/>
        </w:rPr>
        <w:t>requester</w:t>
      </w:r>
      <w:r w:rsidRPr="00EE3E14">
        <w:rPr>
          <w:rFonts w:ascii="Times New Roman" w:hAnsi="Times New Roman" w:cs="Times New Roman"/>
          <w:sz w:val="24"/>
          <w:szCs w:val="24"/>
        </w:rPr>
        <w:t xml:space="preserve">s not previously registered in eRA Commons, this step is not expected to add significantly to the burden. Several of the mandatory fields in the DAR form will be automatically filled based on eRA registration information, and most fields in the </w:t>
      </w:r>
      <w:r w:rsidR="00AF0FA7" w:rsidRPr="00EE3E14">
        <w:rPr>
          <w:rFonts w:ascii="Times New Roman" w:hAnsi="Times New Roman" w:cs="Times New Roman"/>
          <w:sz w:val="24"/>
          <w:szCs w:val="24"/>
        </w:rPr>
        <w:t>Project R</w:t>
      </w:r>
      <w:r w:rsidRPr="00EE3E14">
        <w:rPr>
          <w:rFonts w:ascii="Times New Roman" w:hAnsi="Times New Roman" w:cs="Times New Roman"/>
          <w:sz w:val="24"/>
          <w:szCs w:val="24"/>
        </w:rPr>
        <w:t xml:space="preserve">enewal and </w:t>
      </w:r>
      <w:r w:rsidR="00AF0FA7" w:rsidRPr="00EE3E14">
        <w:rPr>
          <w:rFonts w:ascii="Times New Roman" w:hAnsi="Times New Roman" w:cs="Times New Roman"/>
          <w:sz w:val="24"/>
          <w:szCs w:val="24"/>
        </w:rPr>
        <w:t>Project C</w:t>
      </w:r>
      <w:r w:rsidRPr="00EE3E14">
        <w:rPr>
          <w:rFonts w:ascii="Times New Roman" w:hAnsi="Times New Roman" w:cs="Times New Roman"/>
          <w:sz w:val="24"/>
          <w:szCs w:val="24"/>
        </w:rPr>
        <w:t xml:space="preserve">lose-out </w:t>
      </w:r>
      <w:r w:rsidR="00AF0FA7" w:rsidRPr="00EE3E14">
        <w:rPr>
          <w:rFonts w:ascii="Times New Roman" w:hAnsi="Times New Roman" w:cs="Times New Roman"/>
          <w:sz w:val="24"/>
          <w:szCs w:val="24"/>
        </w:rPr>
        <w:t>forms</w:t>
      </w:r>
      <w:r w:rsidRPr="00EE3E14">
        <w:rPr>
          <w:rFonts w:ascii="Times New Roman" w:hAnsi="Times New Roman" w:cs="Times New Roman"/>
          <w:sz w:val="24"/>
          <w:szCs w:val="24"/>
        </w:rPr>
        <w:t xml:space="preserve"> will be automatically filled from th</w:t>
      </w:r>
      <w:r w:rsidR="005B605A">
        <w:rPr>
          <w:rFonts w:ascii="Times New Roman" w:hAnsi="Times New Roman" w:cs="Times New Roman"/>
          <w:sz w:val="24"/>
          <w:szCs w:val="24"/>
        </w:rPr>
        <w:t>e initial DAR form. Attachment 2</w:t>
      </w:r>
      <w:r w:rsidRPr="00EE3E14">
        <w:rPr>
          <w:rFonts w:ascii="Times New Roman" w:hAnsi="Times New Roman" w:cs="Times New Roman"/>
          <w:sz w:val="24"/>
          <w:szCs w:val="24"/>
        </w:rPr>
        <w:t xml:space="preserve"> illustrates the investigator and institutional information that will be collected for data access.</w:t>
      </w:r>
    </w:p>
    <w:p w14:paraId="48B25A02" w14:textId="77777777" w:rsidR="00CF1354" w:rsidRPr="00EE3E14" w:rsidRDefault="00CF1354" w:rsidP="00CF1354">
      <w:pPr>
        <w:rPr>
          <w:rFonts w:ascii="Times New Roman" w:hAnsi="Times New Roman" w:cs="Times New Roman"/>
          <w:b/>
          <w:sz w:val="24"/>
          <w:szCs w:val="24"/>
        </w:rPr>
      </w:pPr>
      <w:r w:rsidRPr="00EE3E14">
        <w:rPr>
          <w:rFonts w:ascii="Times New Roman" w:hAnsi="Times New Roman" w:cs="Times New Roman"/>
          <w:b/>
          <w:sz w:val="24"/>
          <w:szCs w:val="24"/>
        </w:rPr>
        <w:t>A.3</w:t>
      </w:r>
      <w:r w:rsidRPr="00EE3E14">
        <w:rPr>
          <w:rFonts w:ascii="Times New Roman" w:hAnsi="Times New Roman" w:cs="Times New Roman"/>
          <w:b/>
          <w:sz w:val="24"/>
          <w:szCs w:val="24"/>
        </w:rPr>
        <w:tab/>
        <w:t>Use of Information Technology and Burden Reduction</w:t>
      </w:r>
    </w:p>
    <w:p w14:paraId="7D33CBF9" w14:textId="55AB1A07"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 xml:space="preserve">NCBI </w:t>
      </w:r>
      <w:r w:rsidR="00AF0FA7" w:rsidRPr="00EE3E14">
        <w:rPr>
          <w:rFonts w:ascii="Times New Roman" w:hAnsi="Times New Roman" w:cs="Times New Roman"/>
          <w:sz w:val="24"/>
          <w:szCs w:val="24"/>
        </w:rPr>
        <w:t>developed</w:t>
      </w:r>
      <w:r w:rsidRPr="00EE3E14">
        <w:rPr>
          <w:rFonts w:ascii="Times New Roman" w:hAnsi="Times New Roman" w:cs="Times New Roman"/>
          <w:sz w:val="24"/>
          <w:szCs w:val="24"/>
        </w:rPr>
        <w:t xml:space="preserve"> an online </w:t>
      </w:r>
      <w:r w:rsidR="00AF0FA7" w:rsidRPr="00EE3E14">
        <w:rPr>
          <w:rFonts w:ascii="Times New Roman" w:hAnsi="Times New Roman" w:cs="Times New Roman"/>
          <w:sz w:val="24"/>
          <w:szCs w:val="24"/>
        </w:rPr>
        <w:t>dbGaP system</w:t>
      </w:r>
      <w:r w:rsidRPr="00EE3E14">
        <w:rPr>
          <w:rFonts w:ascii="Times New Roman" w:hAnsi="Times New Roman" w:cs="Times New Roman"/>
          <w:sz w:val="24"/>
          <w:szCs w:val="24"/>
        </w:rPr>
        <w:t xml:space="preserve"> to register studies, submit data, and request access to data. The online system allows investigators to submit the required information directly to dbGaP, thereby minimizing burden not only for investigators and institutions, but also for NIH staff. The online system uses time-saving features, such as the use of pull-down and scrolling menus to fill data fields, “find as you type” (or “type ahead”) functionality, and text fields that allow investigators</w:t>
      </w:r>
      <w:r w:rsidR="00AF0FA7" w:rsidRPr="00EE3E14">
        <w:rPr>
          <w:rFonts w:ascii="Times New Roman" w:hAnsi="Times New Roman" w:cs="Times New Roman"/>
          <w:sz w:val="24"/>
          <w:szCs w:val="24"/>
        </w:rPr>
        <w:t xml:space="preserve"> and requesters</w:t>
      </w:r>
      <w:r w:rsidRPr="00EE3E14">
        <w:rPr>
          <w:rFonts w:ascii="Times New Roman" w:hAnsi="Times New Roman" w:cs="Times New Roman"/>
          <w:sz w:val="24"/>
          <w:szCs w:val="24"/>
        </w:rPr>
        <w:t xml:space="preserve"> to cut and paste information from other sources. Where possible, data fields are automatically filled with information from other data sources, such as eRA Commons, which provides the investigator’s </w:t>
      </w:r>
      <w:r w:rsidR="00AF0FA7" w:rsidRPr="00EE3E14">
        <w:rPr>
          <w:rFonts w:ascii="Times New Roman" w:hAnsi="Times New Roman" w:cs="Times New Roman"/>
          <w:sz w:val="24"/>
          <w:szCs w:val="24"/>
        </w:rPr>
        <w:t xml:space="preserve">or requester’s </w:t>
      </w:r>
      <w:r w:rsidR="00BB2A2D">
        <w:rPr>
          <w:rFonts w:ascii="Times New Roman" w:hAnsi="Times New Roman" w:cs="Times New Roman"/>
          <w:sz w:val="24"/>
          <w:szCs w:val="24"/>
        </w:rPr>
        <w:t xml:space="preserve">name, institution, </w:t>
      </w:r>
      <w:r w:rsidR="00F63229">
        <w:rPr>
          <w:rFonts w:ascii="Times New Roman" w:hAnsi="Times New Roman" w:cs="Times New Roman"/>
          <w:sz w:val="24"/>
          <w:szCs w:val="24"/>
        </w:rPr>
        <w:t xml:space="preserve">Institutional Official, </w:t>
      </w:r>
      <w:r w:rsidR="00BB2A2D">
        <w:rPr>
          <w:rFonts w:ascii="Times New Roman" w:hAnsi="Times New Roman" w:cs="Times New Roman"/>
          <w:sz w:val="24"/>
          <w:szCs w:val="24"/>
        </w:rPr>
        <w:t xml:space="preserve">and </w:t>
      </w:r>
      <w:r w:rsidR="00AF0FA7" w:rsidRPr="00EE3E14">
        <w:rPr>
          <w:rFonts w:ascii="Times New Roman" w:hAnsi="Times New Roman" w:cs="Times New Roman"/>
          <w:sz w:val="24"/>
          <w:szCs w:val="24"/>
        </w:rPr>
        <w:t>I</w:t>
      </w:r>
      <w:r w:rsidRPr="00EE3E14">
        <w:rPr>
          <w:rFonts w:ascii="Times New Roman" w:hAnsi="Times New Roman" w:cs="Times New Roman"/>
          <w:sz w:val="24"/>
          <w:szCs w:val="24"/>
        </w:rPr>
        <w:t>nstitutional Signing Official. Also, information from one online form can be used to pre-fill data fields on subsequent forms. For example, information from an Institutional Certification will be used to pre-fill many data fields in the study registration system, and likewise, information in a DAR will be used to pre-fi</w:t>
      </w:r>
      <w:r w:rsidR="00AF790D" w:rsidRPr="00EE3E14">
        <w:rPr>
          <w:rFonts w:ascii="Times New Roman" w:hAnsi="Times New Roman" w:cs="Times New Roman"/>
          <w:sz w:val="24"/>
          <w:szCs w:val="24"/>
        </w:rPr>
        <w:t>ll many of the data fields on th</w:t>
      </w:r>
      <w:r w:rsidRPr="00EE3E14">
        <w:rPr>
          <w:rFonts w:ascii="Times New Roman" w:hAnsi="Times New Roman" w:cs="Times New Roman"/>
          <w:sz w:val="24"/>
          <w:szCs w:val="24"/>
        </w:rPr>
        <w:t xml:space="preserve">e </w:t>
      </w:r>
      <w:r w:rsidR="00AF790D" w:rsidRPr="00EE3E14">
        <w:rPr>
          <w:rFonts w:ascii="Times New Roman" w:hAnsi="Times New Roman" w:cs="Times New Roman"/>
          <w:sz w:val="24"/>
          <w:szCs w:val="24"/>
        </w:rPr>
        <w:t>Project R</w:t>
      </w:r>
      <w:r w:rsidRPr="00EE3E14">
        <w:rPr>
          <w:rFonts w:ascii="Times New Roman" w:hAnsi="Times New Roman" w:cs="Times New Roman"/>
          <w:sz w:val="24"/>
          <w:szCs w:val="24"/>
        </w:rPr>
        <w:t xml:space="preserve">enewal and </w:t>
      </w:r>
      <w:r w:rsidR="00AF790D" w:rsidRPr="00EE3E14">
        <w:rPr>
          <w:rFonts w:ascii="Times New Roman" w:hAnsi="Times New Roman" w:cs="Times New Roman"/>
          <w:sz w:val="24"/>
          <w:szCs w:val="24"/>
        </w:rPr>
        <w:t>Project C</w:t>
      </w:r>
      <w:r w:rsidRPr="00EE3E14">
        <w:rPr>
          <w:rFonts w:ascii="Times New Roman" w:hAnsi="Times New Roman" w:cs="Times New Roman"/>
          <w:sz w:val="24"/>
          <w:szCs w:val="24"/>
        </w:rPr>
        <w:t>lose-out forms. In addition, the data submission system has been designed to allow investigators to submit their data in any format based on the genomics platform used.</w:t>
      </w:r>
      <w:r w:rsidR="00366E1B">
        <w:rPr>
          <w:rFonts w:ascii="Times New Roman" w:hAnsi="Times New Roman" w:cs="Times New Roman"/>
          <w:sz w:val="24"/>
          <w:szCs w:val="24"/>
        </w:rPr>
        <w:t xml:space="preserve"> A Privacy Impact Assessment has been completed for the </w:t>
      </w:r>
      <w:r w:rsidR="00366E1B" w:rsidRPr="00EE3E14">
        <w:rPr>
          <w:rFonts w:ascii="Times New Roman" w:hAnsi="Times New Roman" w:cs="Times New Roman"/>
          <w:sz w:val="24"/>
          <w:szCs w:val="24"/>
        </w:rPr>
        <w:t>online dbGaP system to register studies, submit data, and request access to data</w:t>
      </w:r>
      <w:r w:rsidR="00366E1B">
        <w:rPr>
          <w:rFonts w:ascii="Times New Roman" w:hAnsi="Times New Roman" w:cs="Times New Roman"/>
          <w:sz w:val="24"/>
          <w:szCs w:val="24"/>
        </w:rPr>
        <w:t xml:space="preserve"> (Attachment 3)</w:t>
      </w:r>
      <w:r w:rsidR="00366E1B" w:rsidRPr="00EE3E14">
        <w:rPr>
          <w:rFonts w:ascii="Times New Roman" w:hAnsi="Times New Roman" w:cs="Times New Roman"/>
          <w:sz w:val="24"/>
          <w:szCs w:val="24"/>
        </w:rPr>
        <w:t>.</w:t>
      </w:r>
    </w:p>
    <w:p w14:paraId="47251A13" w14:textId="77777777"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b/>
          <w:sz w:val="24"/>
          <w:szCs w:val="24"/>
        </w:rPr>
        <w:t>A.4</w:t>
      </w:r>
      <w:r w:rsidRPr="00EE3E14">
        <w:rPr>
          <w:rFonts w:ascii="Times New Roman" w:hAnsi="Times New Roman" w:cs="Times New Roman"/>
          <w:b/>
          <w:sz w:val="24"/>
          <w:szCs w:val="24"/>
        </w:rPr>
        <w:tab/>
        <w:t>Efforts to Identify Duplication and Use of Similar Information</w:t>
      </w:r>
    </w:p>
    <w:p w14:paraId="7566263D" w14:textId="77777777"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Currently, no comparable genomic data repository exists. dbGaP is unique in that it provides a single site for all NIH-funded human genomic research studies, as well as to many non-NIH-funded human genomic research studies.</w:t>
      </w:r>
    </w:p>
    <w:p w14:paraId="6AD5DC1B" w14:textId="77777777"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b/>
          <w:sz w:val="24"/>
          <w:szCs w:val="24"/>
        </w:rPr>
        <w:t>A.5</w:t>
      </w:r>
      <w:r w:rsidRPr="00EE3E14">
        <w:rPr>
          <w:rFonts w:ascii="Times New Roman" w:hAnsi="Times New Roman" w:cs="Times New Roman"/>
          <w:sz w:val="24"/>
          <w:szCs w:val="24"/>
        </w:rPr>
        <w:tab/>
      </w:r>
      <w:r w:rsidRPr="00EE3E14">
        <w:rPr>
          <w:rFonts w:ascii="Times New Roman" w:hAnsi="Times New Roman" w:cs="Times New Roman"/>
          <w:b/>
          <w:sz w:val="24"/>
          <w:szCs w:val="24"/>
        </w:rPr>
        <w:t>Impact on Small Businesses or Other Small Entities</w:t>
      </w:r>
    </w:p>
    <w:p w14:paraId="2969F205" w14:textId="77777777" w:rsidR="00CF1354" w:rsidRPr="00EE3E14" w:rsidRDefault="00CF1354" w:rsidP="00CF1354">
      <w:pPr>
        <w:rPr>
          <w:rFonts w:ascii="Times New Roman" w:hAnsi="Times New Roman" w:cs="Times New Roman"/>
          <w:sz w:val="24"/>
          <w:szCs w:val="24"/>
        </w:rPr>
      </w:pPr>
      <w:r w:rsidRPr="00EE3E14">
        <w:rPr>
          <w:rFonts w:ascii="Times New Roman" w:hAnsi="Times New Roman" w:cs="Times New Roman"/>
          <w:sz w:val="24"/>
          <w:szCs w:val="24"/>
        </w:rPr>
        <w:t>The information collection does not have a differential effect on small businesses.</w:t>
      </w:r>
    </w:p>
    <w:p w14:paraId="6076672E" w14:textId="77777777" w:rsidR="00A71A53" w:rsidRPr="00EE3E14" w:rsidRDefault="00A71A53" w:rsidP="00A71A53">
      <w:pPr>
        <w:rPr>
          <w:rFonts w:ascii="Times New Roman" w:hAnsi="Times New Roman" w:cs="Times New Roman"/>
          <w:b/>
          <w:sz w:val="24"/>
          <w:szCs w:val="24"/>
        </w:rPr>
      </w:pPr>
      <w:r w:rsidRPr="00EE3E14">
        <w:rPr>
          <w:rFonts w:ascii="Times New Roman" w:hAnsi="Times New Roman" w:cs="Times New Roman"/>
          <w:b/>
          <w:sz w:val="24"/>
          <w:szCs w:val="24"/>
        </w:rPr>
        <w:t>A.6</w:t>
      </w:r>
      <w:r w:rsidRPr="00EE3E14">
        <w:rPr>
          <w:rFonts w:ascii="Times New Roman" w:hAnsi="Times New Roman" w:cs="Times New Roman"/>
          <w:sz w:val="24"/>
          <w:szCs w:val="24"/>
        </w:rPr>
        <w:tab/>
      </w:r>
      <w:r w:rsidRPr="00EE3E14">
        <w:rPr>
          <w:rFonts w:ascii="Times New Roman" w:hAnsi="Times New Roman" w:cs="Times New Roman"/>
          <w:b/>
          <w:sz w:val="24"/>
          <w:szCs w:val="24"/>
        </w:rPr>
        <w:t>Consequences of Collecting the Information Less Frequently</w:t>
      </w:r>
    </w:p>
    <w:p w14:paraId="396146D9" w14:textId="77777777" w:rsidR="00A71A53" w:rsidRPr="00EE3E14" w:rsidRDefault="00A71A53" w:rsidP="00A71A53">
      <w:pPr>
        <w:rPr>
          <w:rFonts w:ascii="Times New Roman" w:hAnsi="Times New Roman" w:cs="Times New Roman"/>
          <w:sz w:val="24"/>
          <w:szCs w:val="24"/>
        </w:rPr>
      </w:pPr>
      <w:r w:rsidRPr="00EE3E14">
        <w:rPr>
          <w:rFonts w:ascii="Times New Roman" w:hAnsi="Times New Roman" w:cs="Times New Roman"/>
          <w:sz w:val="24"/>
          <w:szCs w:val="24"/>
        </w:rPr>
        <w:t>Delaying submission of the information to dbGaP would impede secondary research studies of data in dbGaP and lessen the value of NIH’s investment.</w:t>
      </w:r>
    </w:p>
    <w:p w14:paraId="63E7C554" w14:textId="77777777" w:rsidR="00A71A53" w:rsidRPr="00EE3E14" w:rsidRDefault="00A71A53" w:rsidP="00A71A53">
      <w:pPr>
        <w:rPr>
          <w:rFonts w:ascii="Times New Roman" w:hAnsi="Times New Roman" w:cs="Times New Roman"/>
          <w:sz w:val="24"/>
          <w:szCs w:val="24"/>
        </w:rPr>
      </w:pPr>
      <w:r w:rsidRPr="00EE3E14">
        <w:rPr>
          <w:rFonts w:ascii="Times New Roman" w:hAnsi="Times New Roman" w:cs="Times New Roman"/>
          <w:sz w:val="24"/>
          <w:szCs w:val="24"/>
        </w:rPr>
        <w:t>Following the initial request and approval to use controlled-access data, requesters must provide annual updates on their research progress and renew access to the dataset(s) for another year or close-out access to the dataset(s). The consequence of not submitting the required information annually is a reduction in NIH oversight of dbGaP data, and reduced knowledge of how the data are being used, possibly leading to an increased rate of adverse data management incidents.</w:t>
      </w:r>
    </w:p>
    <w:p w14:paraId="504380B5" w14:textId="77777777" w:rsidR="00060901" w:rsidRPr="00EE3E14" w:rsidRDefault="00060901" w:rsidP="00060901">
      <w:pPr>
        <w:tabs>
          <w:tab w:val="left" w:pos="5760"/>
        </w:tabs>
        <w:ind w:left="720" w:hanging="720"/>
        <w:rPr>
          <w:rFonts w:ascii="Times New Roman" w:hAnsi="Times New Roman" w:cs="Times New Roman"/>
          <w:b/>
          <w:sz w:val="24"/>
          <w:szCs w:val="24"/>
        </w:rPr>
      </w:pPr>
      <w:r w:rsidRPr="00EE3E14">
        <w:rPr>
          <w:rFonts w:ascii="Times New Roman" w:hAnsi="Times New Roman" w:cs="Times New Roman"/>
          <w:b/>
          <w:sz w:val="24"/>
          <w:szCs w:val="24"/>
        </w:rPr>
        <w:t>A.7</w:t>
      </w:r>
      <w:r w:rsidRPr="00EE3E14">
        <w:rPr>
          <w:rFonts w:ascii="Times New Roman" w:hAnsi="Times New Roman" w:cs="Times New Roman"/>
          <w:sz w:val="24"/>
          <w:szCs w:val="24"/>
        </w:rPr>
        <w:tab/>
      </w:r>
      <w:r w:rsidRPr="00EE3E14">
        <w:rPr>
          <w:rFonts w:ascii="Times New Roman" w:hAnsi="Times New Roman" w:cs="Times New Roman"/>
          <w:b/>
          <w:sz w:val="24"/>
          <w:szCs w:val="24"/>
        </w:rPr>
        <w:t xml:space="preserve">Special Circumstances Relating to the Guidelines of 5 </w:t>
      </w:r>
      <w:smartTag w:uri="urn:schemas-microsoft-com:office:smarttags" w:element="stockticker">
        <w:r w:rsidRPr="00EE3E14">
          <w:rPr>
            <w:rFonts w:ascii="Times New Roman" w:hAnsi="Times New Roman" w:cs="Times New Roman"/>
            <w:b/>
            <w:sz w:val="24"/>
            <w:szCs w:val="24"/>
          </w:rPr>
          <w:t>CFR</w:t>
        </w:r>
      </w:smartTag>
      <w:r w:rsidRPr="00EE3E14">
        <w:rPr>
          <w:rFonts w:ascii="Times New Roman" w:hAnsi="Times New Roman" w:cs="Times New Roman"/>
          <w:b/>
          <w:sz w:val="24"/>
          <w:szCs w:val="24"/>
        </w:rPr>
        <w:t xml:space="preserve"> 1320.5</w:t>
      </w:r>
    </w:p>
    <w:p w14:paraId="032C2992" w14:textId="364A46F1" w:rsidR="00060901" w:rsidRPr="00EE3E14" w:rsidRDefault="00060901" w:rsidP="00060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EE3E14">
        <w:rPr>
          <w:rFonts w:ascii="Times New Roman" w:hAnsi="Times New Roman" w:cs="Times New Roman"/>
          <w:sz w:val="24"/>
          <w:szCs w:val="24"/>
        </w:rPr>
        <w:t xml:space="preserve">This collection fully complies with 5 CFR 1320.5.  </w:t>
      </w:r>
    </w:p>
    <w:p w14:paraId="4D8A00D4" w14:textId="77777777" w:rsidR="00A71A53" w:rsidRPr="00EE3E14" w:rsidRDefault="00A71A53" w:rsidP="00A71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sidRPr="00EE3E14">
        <w:rPr>
          <w:rFonts w:ascii="Times New Roman" w:hAnsi="Times New Roman" w:cs="Times New Roman"/>
          <w:b/>
          <w:sz w:val="24"/>
          <w:szCs w:val="24"/>
        </w:rPr>
        <w:t>A.8.1</w:t>
      </w:r>
      <w:r w:rsidRPr="00EE3E14">
        <w:rPr>
          <w:rFonts w:ascii="Times New Roman" w:hAnsi="Times New Roman" w:cs="Times New Roman"/>
          <w:sz w:val="24"/>
          <w:szCs w:val="24"/>
        </w:rPr>
        <w:tab/>
      </w:r>
      <w:r w:rsidRPr="00EE3E14">
        <w:rPr>
          <w:rFonts w:ascii="Times New Roman" w:hAnsi="Times New Roman" w:cs="Times New Roman"/>
          <w:b/>
          <w:sz w:val="24"/>
          <w:szCs w:val="24"/>
        </w:rPr>
        <w:t>Comments in Response to the Federal Register Notice</w:t>
      </w:r>
    </w:p>
    <w:p w14:paraId="424EB2A3" w14:textId="0F9E0773" w:rsidR="00A71A53" w:rsidRPr="00EE3E14" w:rsidRDefault="00A71A53" w:rsidP="00060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E3E14">
        <w:rPr>
          <w:rFonts w:ascii="Times New Roman" w:hAnsi="Times New Roman" w:cs="Times New Roman"/>
          <w:sz w:val="24"/>
          <w:szCs w:val="24"/>
        </w:rPr>
        <w:t xml:space="preserve">In accordance with 5 CFR 1320.8(d), the proposed information collection was published in the </w:t>
      </w:r>
      <w:r w:rsidR="00060901" w:rsidRPr="00EE3E14">
        <w:rPr>
          <w:rFonts w:ascii="Times New Roman" w:hAnsi="Times New Roman" w:cs="Times New Roman"/>
          <w:i/>
          <w:sz w:val="24"/>
          <w:szCs w:val="24"/>
        </w:rPr>
        <w:t xml:space="preserve">Federal </w:t>
      </w:r>
      <w:r w:rsidRPr="00EE3E14">
        <w:rPr>
          <w:rFonts w:ascii="Times New Roman" w:hAnsi="Times New Roman" w:cs="Times New Roman"/>
          <w:i/>
          <w:sz w:val="24"/>
          <w:szCs w:val="24"/>
        </w:rPr>
        <w:t>Register</w:t>
      </w:r>
      <w:r w:rsidRPr="00EE3E14">
        <w:rPr>
          <w:rFonts w:ascii="Times New Roman" w:hAnsi="Times New Roman" w:cs="Times New Roman"/>
          <w:sz w:val="24"/>
          <w:szCs w:val="24"/>
        </w:rPr>
        <w:t xml:space="preserve"> (FR) on </w:t>
      </w:r>
      <w:r w:rsidR="00FF0E05" w:rsidRPr="00FF0E05">
        <w:rPr>
          <w:rFonts w:ascii="Times New Roman" w:hAnsi="Times New Roman" w:cs="Times New Roman"/>
          <w:sz w:val="24"/>
          <w:szCs w:val="24"/>
        </w:rPr>
        <w:t>May 1, 2019</w:t>
      </w:r>
      <w:r w:rsidRPr="00FF0E05">
        <w:rPr>
          <w:rFonts w:ascii="Times New Roman" w:hAnsi="Times New Roman" w:cs="Times New Roman"/>
          <w:sz w:val="24"/>
          <w:szCs w:val="24"/>
        </w:rPr>
        <w:t>, (</w:t>
      </w:r>
      <w:r w:rsidR="00FF0E05" w:rsidRPr="00FF0E05">
        <w:rPr>
          <w:rFonts w:ascii="Times New Roman" w:hAnsi="Times New Roman" w:cs="Times New Roman"/>
          <w:sz w:val="24"/>
          <w:szCs w:val="24"/>
        </w:rPr>
        <w:t>84 FR 18555</w:t>
      </w:r>
      <w:r w:rsidRPr="00FF0E05">
        <w:rPr>
          <w:rFonts w:ascii="Times New Roman" w:hAnsi="Times New Roman" w:cs="Times New Roman"/>
          <w:sz w:val="24"/>
          <w:szCs w:val="24"/>
        </w:rPr>
        <w:t xml:space="preserve">) </w:t>
      </w:r>
      <w:r w:rsidRPr="00EE3E14">
        <w:rPr>
          <w:rFonts w:ascii="Times New Roman" w:hAnsi="Times New Roman" w:cs="Times New Roman"/>
          <w:sz w:val="24"/>
          <w:szCs w:val="24"/>
        </w:rPr>
        <w:t xml:space="preserve">and allowed 60 days for public comment. </w:t>
      </w:r>
      <w:r w:rsidRPr="00A0648E">
        <w:rPr>
          <w:rFonts w:ascii="Times New Roman" w:hAnsi="Times New Roman" w:cs="Times New Roman"/>
          <w:sz w:val="24"/>
          <w:szCs w:val="24"/>
        </w:rPr>
        <w:t>No public comments were received.</w:t>
      </w:r>
    </w:p>
    <w:p w14:paraId="6027E716" w14:textId="77777777" w:rsidR="00A71A53" w:rsidRPr="00EE3E14" w:rsidRDefault="00A71A53" w:rsidP="00A71A53">
      <w:pPr>
        <w:spacing w:after="200" w:line="276" w:lineRule="auto"/>
        <w:ind w:left="720" w:hanging="720"/>
        <w:rPr>
          <w:rFonts w:ascii="Times New Roman" w:eastAsia="Calibri" w:hAnsi="Times New Roman" w:cs="Times New Roman"/>
          <w:sz w:val="24"/>
          <w:szCs w:val="24"/>
        </w:rPr>
      </w:pPr>
      <w:r w:rsidRPr="00EE3E14">
        <w:rPr>
          <w:rFonts w:ascii="Times New Roman" w:eastAsia="Calibri" w:hAnsi="Times New Roman" w:cs="Times New Roman"/>
          <w:b/>
          <w:sz w:val="24"/>
          <w:szCs w:val="24"/>
        </w:rPr>
        <w:t>A.8.2</w:t>
      </w:r>
      <w:r w:rsidRPr="00EE3E14">
        <w:rPr>
          <w:rFonts w:ascii="Times New Roman" w:eastAsia="Calibri" w:hAnsi="Times New Roman" w:cs="Times New Roman"/>
          <w:sz w:val="24"/>
          <w:szCs w:val="24"/>
        </w:rPr>
        <w:tab/>
      </w:r>
      <w:r w:rsidRPr="00EE3E14">
        <w:rPr>
          <w:rFonts w:ascii="Times New Roman" w:eastAsia="Calibri" w:hAnsi="Times New Roman" w:cs="Times New Roman"/>
          <w:b/>
          <w:sz w:val="24"/>
          <w:szCs w:val="24"/>
        </w:rPr>
        <w:t>Efforts to Consult Outside Agency</w:t>
      </w:r>
    </w:p>
    <w:p w14:paraId="75D928F5" w14:textId="151166EA" w:rsidR="00A71A53" w:rsidRPr="00EE3E14" w:rsidRDefault="00A71A53" w:rsidP="00A71A53">
      <w:pPr>
        <w:rPr>
          <w:rFonts w:ascii="Times New Roman" w:eastAsia="Calibri" w:hAnsi="Times New Roman" w:cs="Times New Roman"/>
          <w:sz w:val="24"/>
          <w:szCs w:val="24"/>
        </w:rPr>
      </w:pPr>
      <w:r w:rsidRPr="00EE3E14">
        <w:rPr>
          <w:rFonts w:ascii="Times New Roman" w:eastAsia="Calibri" w:hAnsi="Times New Roman" w:cs="Times New Roman"/>
          <w:sz w:val="24"/>
          <w:szCs w:val="24"/>
        </w:rPr>
        <w:t xml:space="preserve">NIH engaged with stakeholders on the development of the NIH GDS Policy, an extension of the </w:t>
      </w:r>
      <w:r w:rsidRPr="005B605A">
        <w:rPr>
          <w:rFonts w:ascii="Times New Roman" w:eastAsia="Calibri" w:hAnsi="Times New Roman" w:cs="Times New Roman"/>
          <w:i/>
          <w:sz w:val="24"/>
          <w:szCs w:val="24"/>
        </w:rPr>
        <w:t xml:space="preserve">NIH </w:t>
      </w:r>
      <w:r w:rsidR="00B667DF" w:rsidRPr="005B605A">
        <w:rPr>
          <w:rFonts w:ascii="Times New Roman" w:hAnsi="Times New Roman" w:cs="Times New Roman"/>
          <w:i/>
          <w:color w:val="333333"/>
          <w:sz w:val="24"/>
          <w:szCs w:val="24"/>
          <w:shd w:val="clear" w:color="auto" w:fill="FFFFFF"/>
        </w:rPr>
        <w:t>Policy for Sharing of Data Obtained in NIH Supported or Conducted Genome-Wide Association Studies</w:t>
      </w:r>
      <w:r w:rsidR="00B667DF" w:rsidRPr="00EE3E14">
        <w:rPr>
          <w:rFonts w:ascii="Times New Roman" w:hAnsi="Times New Roman" w:cs="Times New Roman"/>
          <w:color w:val="333333"/>
          <w:sz w:val="24"/>
          <w:szCs w:val="24"/>
          <w:shd w:val="clear" w:color="auto" w:fill="FFFFFF"/>
        </w:rPr>
        <w:t xml:space="preserve"> (</w:t>
      </w:r>
      <w:r w:rsidR="00B667DF" w:rsidRPr="005B605A">
        <w:rPr>
          <w:rFonts w:ascii="Times New Roman" w:hAnsi="Times New Roman" w:cs="Times New Roman"/>
          <w:i/>
          <w:color w:val="333333"/>
          <w:sz w:val="24"/>
          <w:szCs w:val="24"/>
          <w:shd w:val="clear" w:color="auto" w:fill="FFFFFF"/>
        </w:rPr>
        <w:t>GWAS</w:t>
      </w:r>
      <w:r w:rsidRPr="005B605A">
        <w:rPr>
          <w:rFonts w:ascii="Times New Roman" w:eastAsia="Calibri" w:hAnsi="Times New Roman" w:cs="Times New Roman"/>
          <w:i/>
          <w:sz w:val="24"/>
          <w:szCs w:val="24"/>
        </w:rPr>
        <w:t xml:space="preserve"> Policy</w:t>
      </w:r>
      <w:r w:rsidR="00B667DF" w:rsidRPr="00EE3E14">
        <w:rPr>
          <w:rFonts w:ascii="Times New Roman" w:eastAsia="Calibri" w:hAnsi="Times New Roman" w:cs="Times New Roman"/>
          <w:sz w:val="24"/>
          <w:szCs w:val="24"/>
        </w:rPr>
        <w:t>)</w:t>
      </w:r>
      <w:r w:rsidR="00AF790D" w:rsidRPr="00EE3E14">
        <w:rPr>
          <w:rFonts w:ascii="Times New Roman" w:eastAsia="Calibri" w:hAnsi="Times New Roman" w:cs="Times New Roman"/>
          <w:sz w:val="24"/>
          <w:szCs w:val="24"/>
        </w:rPr>
        <w:t>,</w:t>
      </w:r>
      <w:r w:rsidRPr="00EE3E14">
        <w:rPr>
          <w:rFonts w:ascii="Times New Roman" w:eastAsia="Calibri" w:hAnsi="Times New Roman" w:cs="Times New Roman"/>
          <w:sz w:val="24"/>
          <w:szCs w:val="24"/>
          <w:vertAlign w:val="superscript"/>
        </w:rPr>
        <w:footnoteReference w:id="3"/>
      </w:r>
      <w:r w:rsidRPr="00EE3E14">
        <w:rPr>
          <w:rFonts w:ascii="Times New Roman" w:eastAsia="Calibri" w:hAnsi="Times New Roman" w:cs="Times New Roman"/>
          <w:sz w:val="24"/>
          <w:szCs w:val="24"/>
        </w:rPr>
        <w:t xml:space="preserve"> during a 60-day pub</w:t>
      </w:r>
      <w:r w:rsidR="00B667DF" w:rsidRPr="00EE3E14">
        <w:rPr>
          <w:rFonts w:ascii="Times New Roman" w:eastAsia="Calibri" w:hAnsi="Times New Roman" w:cs="Times New Roman"/>
          <w:sz w:val="24"/>
          <w:szCs w:val="24"/>
        </w:rPr>
        <w:t xml:space="preserve">lic consultation period </w:t>
      </w:r>
      <w:r w:rsidRPr="00EE3E14">
        <w:rPr>
          <w:rFonts w:ascii="Times New Roman" w:eastAsia="Calibri" w:hAnsi="Times New Roman" w:cs="Times New Roman"/>
          <w:sz w:val="24"/>
          <w:szCs w:val="24"/>
        </w:rPr>
        <w:t xml:space="preserve">that involved requests for public comment in the </w:t>
      </w:r>
      <w:r w:rsidRPr="00EE3E14">
        <w:rPr>
          <w:rFonts w:ascii="Times New Roman" w:eastAsia="Calibri" w:hAnsi="Times New Roman" w:cs="Times New Roman"/>
          <w:i/>
          <w:sz w:val="24"/>
          <w:szCs w:val="24"/>
        </w:rPr>
        <w:t>Federal Register,</w:t>
      </w:r>
      <w:r w:rsidRPr="00EE3E14">
        <w:rPr>
          <w:rFonts w:ascii="Times New Roman" w:eastAsia="Calibri" w:hAnsi="Times New Roman" w:cs="Times New Roman"/>
          <w:sz w:val="24"/>
          <w:szCs w:val="24"/>
          <w:vertAlign w:val="superscript"/>
        </w:rPr>
        <w:footnoteReference w:id="4"/>
      </w:r>
      <w:r w:rsidRPr="00EE3E14">
        <w:rPr>
          <w:rFonts w:ascii="Times New Roman" w:eastAsia="Calibri" w:hAnsi="Times New Roman" w:cs="Times New Roman"/>
          <w:sz w:val="24"/>
          <w:szCs w:val="24"/>
        </w:rPr>
        <w:t xml:space="preserve"> request for information in the </w:t>
      </w:r>
      <w:r w:rsidRPr="00EE3E14">
        <w:rPr>
          <w:rFonts w:ascii="Times New Roman" w:eastAsia="Calibri" w:hAnsi="Times New Roman" w:cs="Times New Roman"/>
          <w:i/>
          <w:iCs/>
          <w:sz w:val="24"/>
          <w:szCs w:val="24"/>
        </w:rPr>
        <w:t>NIH Guide for Grants and Contracts</w:t>
      </w:r>
      <w:r w:rsidRPr="00EE3E14">
        <w:rPr>
          <w:rFonts w:ascii="Times New Roman" w:eastAsia="Calibri" w:hAnsi="Times New Roman" w:cs="Times New Roman"/>
          <w:iCs/>
          <w:sz w:val="24"/>
          <w:szCs w:val="24"/>
          <w:vertAlign w:val="superscript"/>
        </w:rPr>
        <w:footnoteReference w:id="5"/>
      </w:r>
      <w:r w:rsidRPr="00EE3E14">
        <w:rPr>
          <w:rFonts w:ascii="Times New Roman" w:eastAsia="Calibri" w:hAnsi="Times New Roman" w:cs="Times New Roman"/>
          <w:iCs/>
          <w:sz w:val="24"/>
          <w:szCs w:val="24"/>
        </w:rPr>
        <w:t xml:space="preserve"> and through a </w:t>
      </w:r>
      <w:r w:rsidRPr="00EE3E14">
        <w:rPr>
          <w:rFonts w:ascii="Times New Roman" w:eastAsia="Calibri" w:hAnsi="Times New Roman" w:cs="Times New Roman"/>
          <w:sz w:val="24"/>
          <w:szCs w:val="24"/>
        </w:rPr>
        <w:t>public webinar that involved an open question and answer session.</w:t>
      </w:r>
      <w:r w:rsidRPr="00EE3E14">
        <w:rPr>
          <w:rFonts w:ascii="Times New Roman" w:eastAsia="Calibri" w:hAnsi="Times New Roman" w:cs="Times New Roman"/>
          <w:sz w:val="24"/>
          <w:szCs w:val="24"/>
          <w:vertAlign w:val="superscript"/>
        </w:rPr>
        <w:footnoteReference w:id="6"/>
      </w:r>
      <w:r w:rsidRPr="00EE3E14">
        <w:rPr>
          <w:rFonts w:ascii="Times New Roman" w:eastAsia="Calibri" w:hAnsi="Times New Roman" w:cs="Times New Roman"/>
          <w:i/>
          <w:iCs/>
          <w:sz w:val="24"/>
          <w:szCs w:val="24"/>
        </w:rPr>
        <w:t xml:space="preserve"> </w:t>
      </w:r>
      <w:r w:rsidRPr="00EE3E14">
        <w:rPr>
          <w:rFonts w:ascii="Times New Roman" w:eastAsia="Calibri" w:hAnsi="Times New Roman" w:cs="Times New Roman"/>
          <w:sz w:val="24"/>
          <w:szCs w:val="24"/>
        </w:rPr>
        <w:t xml:space="preserve">NIH received comments from 107 </w:t>
      </w:r>
      <w:r w:rsidR="00056325" w:rsidRPr="00EE3E14">
        <w:rPr>
          <w:rFonts w:ascii="Times New Roman" w:eastAsia="Calibri" w:hAnsi="Times New Roman" w:cs="Times New Roman"/>
          <w:sz w:val="24"/>
          <w:szCs w:val="24"/>
        </w:rPr>
        <w:t>respondents</w:t>
      </w:r>
      <w:r w:rsidRPr="00EE3E14">
        <w:rPr>
          <w:rFonts w:ascii="Times New Roman" w:eastAsia="Calibri" w:hAnsi="Times New Roman" w:cs="Times New Roman"/>
          <w:sz w:val="24"/>
          <w:szCs w:val="24"/>
        </w:rPr>
        <w:t xml:space="preserve"> that included professional societies, scientists, ethicists, IRB administrators, privacy advocates, patient advocacy groups, tribal representatives, and members of the general public. The comments, which reflected a variety of interests and perspectives, were considered in the development of the final Policy and in the governance and oversight procedures established to carry out the policy.</w:t>
      </w:r>
      <w:r w:rsidR="00B667DF" w:rsidRPr="00EE3E14">
        <w:rPr>
          <w:rStyle w:val="FootnoteReference"/>
          <w:rFonts w:ascii="Times New Roman" w:eastAsia="Calibri" w:hAnsi="Times New Roman"/>
          <w:sz w:val="24"/>
          <w:szCs w:val="24"/>
        </w:rPr>
        <w:footnoteReference w:id="7"/>
      </w:r>
    </w:p>
    <w:p w14:paraId="27052369" w14:textId="30AE48D7" w:rsidR="00A71A53" w:rsidRPr="00EE3E14" w:rsidRDefault="00A71A53" w:rsidP="00A71A53">
      <w:pPr>
        <w:rPr>
          <w:rFonts w:ascii="Times New Roman" w:hAnsi="Times New Roman" w:cs="Times New Roman"/>
          <w:sz w:val="24"/>
          <w:szCs w:val="24"/>
        </w:rPr>
      </w:pPr>
      <w:r w:rsidRPr="00C404E1">
        <w:rPr>
          <w:rFonts w:ascii="Times New Roman" w:hAnsi="Times New Roman" w:cs="Times New Roman"/>
          <w:sz w:val="24"/>
          <w:szCs w:val="24"/>
        </w:rPr>
        <w:t>Ongoing opportunities exist for data submitters and requesters to provide feedback to NIH about h</w:t>
      </w:r>
      <w:r w:rsidR="00C404E1">
        <w:rPr>
          <w:rFonts w:ascii="Times New Roman" w:hAnsi="Times New Roman" w:cs="Times New Roman"/>
          <w:sz w:val="24"/>
          <w:szCs w:val="24"/>
        </w:rPr>
        <w:t>ow the study registration, d</w:t>
      </w:r>
      <w:r w:rsidRPr="00C404E1">
        <w:rPr>
          <w:rFonts w:ascii="Times New Roman" w:hAnsi="Times New Roman" w:cs="Times New Roman"/>
          <w:sz w:val="24"/>
          <w:szCs w:val="24"/>
        </w:rPr>
        <w:t>ata submission</w:t>
      </w:r>
      <w:r w:rsidR="00C404E1">
        <w:rPr>
          <w:rFonts w:ascii="Times New Roman" w:hAnsi="Times New Roman" w:cs="Times New Roman"/>
          <w:sz w:val="24"/>
          <w:szCs w:val="24"/>
        </w:rPr>
        <w:t>, and</w:t>
      </w:r>
      <w:r w:rsidRPr="00C404E1">
        <w:rPr>
          <w:rFonts w:ascii="Times New Roman" w:hAnsi="Times New Roman" w:cs="Times New Roman"/>
          <w:sz w:val="24"/>
          <w:szCs w:val="24"/>
        </w:rPr>
        <w:t xml:space="preserve"> access processes could be improved, such as through annual reporting and Request</w:t>
      </w:r>
      <w:r w:rsidR="00056325" w:rsidRPr="00C404E1">
        <w:rPr>
          <w:rFonts w:ascii="Times New Roman" w:hAnsi="Times New Roman" w:cs="Times New Roman"/>
          <w:sz w:val="24"/>
          <w:szCs w:val="24"/>
        </w:rPr>
        <w:t>s</w:t>
      </w:r>
      <w:r w:rsidRPr="00C404E1">
        <w:rPr>
          <w:rFonts w:ascii="Times New Roman" w:hAnsi="Times New Roman" w:cs="Times New Roman"/>
          <w:sz w:val="24"/>
          <w:szCs w:val="24"/>
        </w:rPr>
        <w:t xml:space="preserve"> for Information (RFI). On February 21, 2017, NIH issued an RFI on </w:t>
      </w:r>
      <w:r w:rsidRPr="00C404E1">
        <w:rPr>
          <w:rFonts w:ascii="Times New Roman" w:hAnsi="Times New Roman" w:cs="Times New Roman"/>
          <w:i/>
          <w:sz w:val="24"/>
          <w:szCs w:val="24"/>
        </w:rPr>
        <w:t>Processes for dbGaP Data Submission, Access and Management</w:t>
      </w:r>
      <w:r w:rsidRPr="00C404E1">
        <w:rPr>
          <w:rFonts w:ascii="Times New Roman" w:hAnsi="Times New Roman" w:cs="Times New Roman"/>
          <w:sz w:val="24"/>
          <w:szCs w:val="24"/>
        </w:rPr>
        <w:t xml:space="preserve"> (</w:t>
      </w:r>
      <w:hyperlink r:id="rId9" w:history="1">
        <w:r w:rsidRPr="00C404E1">
          <w:rPr>
            <w:rStyle w:val="Hyperlink"/>
            <w:rFonts w:ascii="Times New Roman" w:hAnsi="Times New Roman" w:cs="Times New Roman"/>
            <w:color w:val="auto"/>
            <w:sz w:val="24"/>
            <w:szCs w:val="24"/>
          </w:rPr>
          <w:t>NOT-OD-17-044</w:t>
        </w:r>
      </w:hyperlink>
      <w:r w:rsidRPr="00C404E1">
        <w:rPr>
          <w:rFonts w:ascii="Times New Roman" w:hAnsi="Times New Roman" w:cs="Times New Roman"/>
          <w:sz w:val="24"/>
          <w:szCs w:val="24"/>
        </w:rPr>
        <w:t>). During 4</w:t>
      </w:r>
      <w:r w:rsidR="00056325" w:rsidRPr="00C404E1">
        <w:rPr>
          <w:rFonts w:ascii="Times New Roman" w:hAnsi="Times New Roman" w:cs="Times New Roman"/>
          <w:sz w:val="24"/>
          <w:szCs w:val="24"/>
        </w:rPr>
        <w:t>5-day comment period, NIH received comments from 43 respondents that included scientists, institutional officials, bioethicists, and members of the public</w:t>
      </w:r>
      <w:r w:rsidR="005B605A" w:rsidRPr="00C404E1">
        <w:rPr>
          <w:rFonts w:ascii="Times New Roman" w:hAnsi="Times New Roman" w:cs="Times New Roman"/>
          <w:sz w:val="24"/>
          <w:szCs w:val="24"/>
        </w:rPr>
        <w:t xml:space="preserve"> (Attachment 3)</w:t>
      </w:r>
      <w:r w:rsidR="00056325" w:rsidRPr="00C404E1">
        <w:rPr>
          <w:rFonts w:ascii="Times New Roman" w:hAnsi="Times New Roman" w:cs="Times New Roman"/>
          <w:sz w:val="24"/>
          <w:szCs w:val="24"/>
        </w:rPr>
        <w:t>.</w:t>
      </w:r>
      <w:r w:rsidR="00056325" w:rsidRPr="00EE3E14">
        <w:rPr>
          <w:rFonts w:ascii="Times New Roman" w:hAnsi="Times New Roman" w:cs="Times New Roman"/>
          <w:color w:val="FFFFFF" w:themeColor="background1"/>
          <w:sz w:val="24"/>
          <w:szCs w:val="24"/>
        </w:rPr>
        <w:t xml:space="preserve"> </w:t>
      </w:r>
      <w:r w:rsidR="00056325" w:rsidRPr="00EE3E14">
        <w:rPr>
          <w:rFonts w:ascii="Times New Roman" w:hAnsi="Times New Roman" w:cs="Times New Roman"/>
          <w:sz w:val="24"/>
          <w:szCs w:val="24"/>
        </w:rPr>
        <w:t>This input has helped NIH recognize the need for the continued expansion of automated processes and s</w:t>
      </w:r>
      <w:r w:rsidR="001E0259" w:rsidRPr="00EE3E14">
        <w:rPr>
          <w:rFonts w:ascii="Times New Roman" w:hAnsi="Times New Roman" w:cs="Times New Roman"/>
          <w:sz w:val="24"/>
          <w:szCs w:val="24"/>
        </w:rPr>
        <w:t>treamlining</w:t>
      </w:r>
      <w:r w:rsidR="00056325" w:rsidRPr="00EE3E14">
        <w:rPr>
          <w:rFonts w:ascii="Times New Roman" w:hAnsi="Times New Roman" w:cs="Times New Roman"/>
          <w:sz w:val="24"/>
          <w:szCs w:val="24"/>
        </w:rPr>
        <w:t xml:space="preserve"> the design of the online system for study registration, data submission, and data access. More specifically in response to comments from data submitters and </w:t>
      </w:r>
      <w:r w:rsidR="00660B9F" w:rsidRPr="00EE3E14">
        <w:rPr>
          <w:rFonts w:ascii="Times New Roman" w:hAnsi="Times New Roman" w:cs="Times New Roman"/>
          <w:sz w:val="24"/>
          <w:szCs w:val="24"/>
        </w:rPr>
        <w:t>requesters,</w:t>
      </w:r>
      <w:r w:rsidR="00C404E1">
        <w:rPr>
          <w:rFonts w:ascii="Times New Roman" w:hAnsi="Times New Roman" w:cs="Times New Roman"/>
          <w:sz w:val="24"/>
          <w:szCs w:val="24"/>
        </w:rPr>
        <w:t xml:space="preserve"> NIH</w:t>
      </w:r>
      <w:r w:rsidR="00056325" w:rsidRPr="00EE3E14">
        <w:rPr>
          <w:rFonts w:ascii="Times New Roman" w:hAnsi="Times New Roman" w:cs="Times New Roman"/>
          <w:sz w:val="24"/>
          <w:szCs w:val="24"/>
        </w:rPr>
        <w:t xml:space="preserve"> </w:t>
      </w:r>
      <w:r w:rsidR="001E0259" w:rsidRPr="00EE3E14">
        <w:rPr>
          <w:rFonts w:ascii="Times New Roman" w:hAnsi="Times New Roman" w:cs="Times New Roman"/>
          <w:sz w:val="24"/>
          <w:szCs w:val="24"/>
        </w:rPr>
        <w:t>streamline</w:t>
      </w:r>
      <w:r w:rsidR="00E52124" w:rsidRPr="00EE3E14">
        <w:rPr>
          <w:rFonts w:ascii="Times New Roman" w:hAnsi="Times New Roman" w:cs="Times New Roman"/>
          <w:sz w:val="24"/>
          <w:szCs w:val="24"/>
        </w:rPr>
        <w:t>d access for investigators who must retrieve the data they generated from an NIH-designated data repository for their primary research use,</w:t>
      </w:r>
      <w:r w:rsidR="00056325" w:rsidRPr="00EE3E14">
        <w:rPr>
          <w:rFonts w:ascii="Times New Roman" w:hAnsi="Times New Roman" w:cs="Times New Roman"/>
          <w:sz w:val="24"/>
          <w:szCs w:val="24"/>
        </w:rPr>
        <w:t xml:space="preserve"> and </w:t>
      </w:r>
      <w:r w:rsidR="00C404E1">
        <w:rPr>
          <w:rFonts w:ascii="Times New Roman" w:hAnsi="Times New Roman" w:cs="Times New Roman"/>
          <w:sz w:val="24"/>
          <w:szCs w:val="24"/>
        </w:rPr>
        <w:t xml:space="preserve">allowed the </w:t>
      </w:r>
      <w:r w:rsidR="00056325" w:rsidRPr="00EE3E14">
        <w:rPr>
          <w:rFonts w:ascii="Times New Roman" w:hAnsi="Times New Roman" w:cs="Times New Roman"/>
          <w:sz w:val="24"/>
          <w:szCs w:val="24"/>
        </w:rPr>
        <w:t>use of cloud computing to store and analyze dbGaP controlled-access data.</w:t>
      </w:r>
    </w:p>
    <w:p w14:paraId="0B2C35E9" w14:textId="77777777" w:rsidR="00E52124" w:rsidRPr="00EE3E14" w:rsidRDefault="00E52124" w:rsidP="00E52124">
      <w:pPr>
        <w:rPr>
          <w:rFonts w:ascii="Times New Roman" w:hAnsi="Times New Roman" w:cs="Times New Roman"/>
          <w:b/>
          <w:sz w:val="24"/>
          <w:szCs w:val="24"/>
        </w:rPr>
      </w:pPr>
      <w:r w:rsidRPr="00EE3E14">
        <w:rPr>
          <w:rFonts w:ascii="Times New Roman" w:hAnsi="Times New Roman" w:cs="Times New Roman"/>
          <w:b/>
          <w:sz w:val="24"/>
          <w:szCs w:val="24"/>
        </w:rPr>
        <w:t>A.9</w:t>
      </w:r>
      <w:r w:rsidRPr="00EE3E14">
        <w:rPr>
          <w:rFonts w:ascii="Times New Roman" w:hAnsi="Times New Roman" w:cs="Times New Roman"/>
          <w:b/>
          <w:sz w:val="24"/>
          <w:szCs w:val="24"/>
        </w:rPr>
        <w:tab/>
        <w:t>Explanation of Any Payment of Gift to Respondents</w:t>
      </w:r>
    </w:p>
    <w:p w14:paraId="3A1CD90D" w14:textId="77777777" w:rsidR="00E52124" w:rsidRPr="00EE3E14" w:rsidRDefault="00E52124" w:rsidP="00E52124">
      <w:pPr>
        <w:rPr>
          <w:rFonts w:ascii="Times New Roman" w:hAnsi="Times New Roman" w:cs="Times New Roman"/>
          <w:sz w:val="24"/>
          <w:szCs w:val="24"/>
        </w:rPr>
      </w:pPr>
      <w:r w:rsidRPr="00EE3E14">
        <w:rPr>
          <w:rFonts w:ascii="Times New Roman" w:hAnsi="Times New Roman" w:cs="Times New Roman"/>
          <w:sz w:val="24"/>
          <w:szCs w:val="24"/>
        </w:rPr>
        <w:t xml:space="preserve">No gifts or payments are to be offered in regard to this information collection. </w:t>
      </w:r>
    </w:p>
    <w:p w14:paraId="7FBFA468" w14:textId="77777777" w:rsidR="00E52124" w:rsidRPr="00EE3E14" w:rsidRDefault="00E52124" w:rsidP="00E52124">
      <w:pPr>
        <w:rPr>
          <w:rFonts w:ascii="Times New Roman" w:hAnsi="Times New Roman" w:cs="Times New Roman"/>
          <w:b/>
          <w:sz w:val="24"/>
          <w:szCs w:val="24"/>
        </w:rPr>
      </w:pPr>
      <w:r w:rsidRPr="00EE3E14">
        <w:rPr>
          <w:rFonts w:ascii="Times New Roman" w:hAnsi="Times New Roman" w:cs="Times New Roman"/>
          <w:b/>
          <w:sz w:val="24"/>
          <w:szCs w:val="24"/>
        </w:rPr>
        <w:t>A.10</w:t>
      </w:r>
      <w:r w:rsidRPr="00EE3E14">
        <w:rPr>
          <w:rFonts w:ascii="Times New Roman" w:hAnsi="Times New Roman" w:cs="Times New Roman"/>
          <w:b/>
          <w:sz w:val="24"/>
          <w:szCs w:val="24"/>
        </w:rPr>
        <w:tab/>
        <w:t>Assurance of Confidentiality Provided to Respondents</w:t>
      </w:r>
    </w:p>
    <w:p w14:paraId="76131E11" w14:textId="612016E8" w:rsidR="00E52124" w:rsidRPr="00EE3E14" w:rsidRDefault="00E52124" w:rsidP="00E52124">
      <w:pPr>
        <w:rPr>
          <w:rFonts w:ascii="Times New Roman" w:hAnsi="Times New Roman" w:cs="Times New Roman"/>
          <w:sz w:val="24"/>
          <w:szCs w:val="24"/>
        </w:rPr>
      </w:pPr>
      <w:r w:rsidRPr="00EE3E14">
        <w:rPr>
          <w:rFonts w:ascii="Times New Roman" w:hAnsi="Times New Roman" w:cs="Times New Roman"/>
          <w:sz w:val="24"/>
          <w:szCs w:val="24"/>
        </w:rPr>
        <w:t xml:space="preserve">The names and institutional affiliations of the respondents (both data submitters and data requesters) will be posted publicly on the dbGaP website, and thus there is no assurance of confidentiality afforded to the respondents.  However, it is important to emphasize that no personal information is requested from investigators submitting or accessing data beyond their name and institutional affiliation. Submitters of data to dbGaP are largely NIH-funded investigators whose names and institutional affiliations are already a matter of public record (see </w:t>
      </w:r>
      <w:hyperlink r:id="rId10" w:history="1">
        <w:r w:rsidRPr="00EE3E14">
          <w:rPr>
            <w:rStyle w:val="Hyperlink"/>
            <w:rFonts w:ascii="Times New Roman" w:hAnsi="Times New Roman" w:cs="Times New Roman"/>
            <w:sz w:val="24"/>
            <w:szCs w:val="24"/>
          </w:rPr>
          <w:t>http://projectreporter.nih.gov/reporter.cfm</w:t>
        </w:r>
      </w:hyperlink>
      <w:r w:rsidRPr="00EE3E14">
        <w:rPr>
          <w:rFonts w:ascii="Times New Roman" w:hAnsi="Times New Roman" w:cs="Times New Roman"/>
          <w:sz w:val="24"/>
          <w:szCs w:val="24"/>
        </w:rPr>
        <w:t xml:space="preserve">). </w:t>
      </w:r>
      <w:r w:rsidR="005C3AE2"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of the data are both NIH-funded and non-NIH-funded investigators. Making the names of submitters and </w:t>
      </w:r>
      <w:r w:rsidR="005C3AE2"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of the data publicly available is an important ethical underpinning of the NIH GDS Policy as it allows NIH to be transparent in informing research participants, the scientific community, and the general public on how genomic data are being shared, with whom, and for what research purpose in addition to helping to foster future research collaborations. </w:t>
      </w:r>
    </w:p>
    <w:p w14:paraId="56756EC8" w14:textId="3E693527" w:rsidR="00E52124" w:rsidRPr="00EE3E14" w:rsidRDefault="00E52124" w:rsidP="00E52124">
      <w:pPr>
        <w:rPr>
          <w:rFonts w:ascii="Times New Roman" w:hAnsi="Times New Roman" w:cs="Times New Roman"/>
          <w:sz w:val="24"/>
          <w:szCs w:val="24"/>
        </w:rPr>
      </w:pPr>
      <w:r w:rsidRPr="00EE3E14">
        <w:rPr>
          <w:rFonts w:ascii="Times New Roman" w:hAnsi="Times New Roman" w:cs="Times New Roman"/>
          <w:sz w:val="24"/>
          <w:szCs w:val="24"/>
        </w:rPr>
        <w:t>A System of Records Notice (SORN) 09-25-0036, is in place for eRA Commons, which dbGaP uses for credentialing purposes of submitters and data requestors (</w:t>
      </w:r>
      <w:hyperlink r:id="rId11" w:history="1">
        <w:r w:rsidR="0071380B" w:rsidRPr="00EE3E14">
          <w:rPr>
            <w:rStyle w:val="Hyperlink"/>
            <w:rFonts w:ascii="Times New Roman" w:hAnsi="Times New Roman" w:cs="Times New Roman"/>
            <w:sz w:val="24"/>
            <w:szCs w:val="24"/>
          </w:rPr>
          <w:t>https://oma.od.nih.gov/forms/Privacy%20Documents/PAfiles/0036.htm</w:t>
        </w:r>
      </w:hyperlink>
      <w:r w:rsidRPr="00EE3E14">
        <w:rPr>
          <w:rFonts w:ascii="Times New Roman" w:hAnsi="Times New Roman" w:cs="Times New Roman"/>
          <w:sz w:val="24"/>
          <w:szCs w:val="24"/>
        </w:rPr>
        <w:t>). Federal Register Notice published on September 26, 2002 (Vol. 67, No. 187, page 60751 -</w:t>
      </w:r>
      <w:hyperlink r:id="rId12" w:anchor="h-167" w:history="1">
        <w:r w:rsidRPr="00EE3E14">
          <w:rPr>
            <w:rStyle w:val="Hyperlink"/>
            <w:rFonts w:ascii="Times New Roman" w:hAnsi="Times New Roman" w:cs="Times New Roman"/>
            <w:sz w:val="24"/>
            <w:szCs w:val="24"/>
          </w:rPr>
          <w:t>https://www.federalregister.gov/articles/2002/09/26/02-23965/privacy-act-of-1974-annual-publication-of-systems-of-records#h-167</w:t>
        </w:r>
      </w:hyperlink>
      <w:r w:rsidRPr="00EE3E14">
        <w:rPr>
          <w:rFonts w:ascii="Times New Roman" w:hAnsi="Times New Roman" w:cs="Times New Roman"/>
          <w:sz w:val="24"/>
          <w:szCs w:val="24"/>
        </w:rPr>
        <w:t>)</w:t>
      </w:r>
      <w:r w:rsidR="008A703D" w:rsidRPr="00EE3E14">
        <w:rPr>
          <w:rFonts w:ascii="Times New Roman" w:hAnsi="Times New Roman" w:cs="Times New Roman"/>
          <w:sz w:val="24"/>
          <w:szCs w:val="24"/>
        </w:rPr>
        <w:t>.</w:t>
      </w:r>
      <w:r w:rsidRPr="00EE3E14">
        <w:rPr>
          <w:rFonts w:ascii="Times New Roman" w:hAnsi="Times New Roman" w:cs="Times New Roman"/>
          <w:sz w:val="24"/>
          <w:szCs w:val="24"/>
        </w:rPr>
        <w:t xml:space="preserve"> Another SORN</w:t>
      </w:r>
      <w:r w:rsidR="00660B9F" w:rsidRPr="00EE3E14">
        <w:rPr>
          <w:rFonts w:ascii="Times New Roman" w:hAnsi="Times New Roman" w:cs="Times New Roman"/>
          <w:sz w:val="24"/>
          <w:szCs w:val="24"/>
        </w:rPr>
        <w:t xml:space="preserve"> </w:t>
      </w:r>
      <w:r w:rsidR="00660B9F" w:rsidRPr="00C404E1">
        <w:rPr>
          <w:rFonts w:ascii="Times New Roman" w:hAnsi="Times New Roman" w:cs="Times New Roman"/>
          <w:sz w:val="24"/>
          <w:szCs w:val="24"/>
        </w:rPr>
        <w:t>09-90-1401</w:t>
      </w:r>
      <w:r w:rsidR="00660B9F" w:rsidRPr="00EE3E14">
        <w:rPr>
          <w:rFonts w:ascii="Times New Roman" w:hAnsi="Times New Roman" w:cs="Times New Roman"/>
          <w:sz w:val="24"/>
          <w:szCs w:val="24"/>
        </w:rPr>
        <w:t xml:space="preserve"> </w:t>
      </w:r>
      <w:r w:rsidRPr="00EE3E14">
        <w:rPr>
          <w:rFonts w:ascii="Times New Roman" w:hAnsi="Times New Roman" w:cs="Times New Roman"/>
          <w:sz w:val="24"/>
          <w:szCs w:val="24"/>
        </w:rPr>
        <w:t xml:space="preserve">expanding the relevant data access enterprise, </w:t>
      </w:r>
      <w:r w:rsidR="008A703D" w:rsidRPr="00EE3E14">
        <w:rPr>
          <w:rFonts w:ascii="Times New Roman" w:hAnsi="Times New Roman" w:cs="Times New Roman"/>
          <w:sz w:val="24"/>
          <w:szCs w:val="24"/>
        </w:rPr>
        <w:t>(</w:t>
      </w:r>
      <w:r w:rsidRPr="00EE3E14">
        <w:rPr>
          <w:rFonts w:ascii="Times New Roman" w:hAnsi="Times New Roman" w:cs="Times New Roman"/>
          <w:sz w:val="24"/>
          <w:szCs w:val="24"/>
        </w:rPr>
        <w:t>e.g. NIH-designated data repositories and DACs</w:t>
      </w:r>
      <w:r w:rsidR="008A703D" w:rsidRPr="00EE3E14">
        <w:rPr>
          <w:rFonts w:ascii="Times New Roman" w:hAnsi="Times New Roman" w:cs="Times New Roman"/>
          <w:sz w:val="24"/>
          <w:szCs w:val="24"/>
        </w:rPr>
        <w:t xml:space="preserve">) </w:t>
      </w:r>
      <w:r w:rsidR="008A703D" w:rsidRPr="00C404E1">
        <w:rPr>
          <w:rFonts w:ascii="Times New Roman" w:hAnsi="Times New Roman" w:cs="Times New Roman"/>
          <w:sz w:val="24"/>
          <w:szCs w:val="24"/>
        </w:rPr>
        <w:t>is in place (</w:t>
      </w:r>
      <w:hyperlink r:id="rId13" w:history="1">
        <w:r w:rsidR="0071380B" w:rsidRPr="00C404E1">
          <w:rPr>
            <w:rStyle w:val="Hyperlink"/>
            <w:rFonts w:ascii="Times New Roman" w:hAnsi="Times New Roman" w:cs="Times New Roman"/>
            <w:sz w:val="24"/>
            <w:szCs w:val="24"/>
          </w:rPr>
          <w:t>https://www.federalregister.gov/documents/2018/03/14/2018-05176/privacy-act-of-1974-system-of-records</w:t>
        </w:r>
      </w:hyperlink>
      <w:r w:rsidR="008A703D" w:rsidRPr="00C404E1">
        <w:rPr>
          <w:rFonts w:ascii="Times New Roman" w:hAnsi="Times New Roman" w:cs="Times New Roman"/>
          <w:sz w:val="24"/>
          <w:szCs w:val="24"/>
        </w:rPr>
        <w:t xml:space="preserve">). Federal Register Notice published on March 14, 2018 (Vol. 83, No.50, page 11214 - </w:t>
      </w:r>
      <w:hyperlink r:id="rId14" w:history="1">
        <w:r w:rsidR="008A703D" w:rsidRPr="00C404E1">
          <w:rPr>
            <w:rStyle w:val="Hyperlink"/>
            <w:rFonts w:ascii="Times New Roman" w:hAnsi="Times New Roman" w:cs="Times New Roman"/>
            <w:sz w:val="24"/>
            <w:szCs w:val="24"/>
          </w:rPr>
          <w:t>https://www.govinfo.gov/content/pkg/FR-2018-03-14/pdf/2018-05176.pdf</w:t>
        </w:r>
      </w:hyperlink>
      <w:r w:rsidR="008A703D" w:rsidRPr="00C404E1">
        <w:rPr>
          <w:rFonts w:ascii="Times New Roman" w:hAnsi="Times New Roman" w:cs="Times New Roman"/>
          <w:sz w:val="24"/>
          <w:szCs w:val="24"/>
        </w:rPr>
        <w:t>).</w:t>
      </w:r>
    </w:p>
    <w:p w14:paraId="36212B1B" w14:textId="77777777" w:rsidR="002B32F9" w:rsidRPr="00EE3E14" w:rsidRDefault="002B32F9" w:rsidP="002B32F9">
      <w:pPr>
        <w:rPr>
          <w:rFonts w:ascii="Times New Roman" w:hAnsi="Times New Roman" w:cs="Times New Roman"/>
          <w:b/>
          <w:sz w:val="24"/>
          <w:szCs w:val="24"/>
        </w:rPr>
      </w:pPr>
      <w:r w:rsidRPr="00EE3E14">
        <w:rPr>
          <w:rFonts w:ascii="Times New Roman" w:hAnsi="Times New Roman" w:cs="Times New Roman"/>
          <w:b/>
          <w:sz w:val="24"/>
          <w:szCs w:val="24"/>
        </w:rPr>
        <w:t>A.11</w:t>
      </w:r>
      <w:r w:rsidRPr="00EE3E14">
        <w:rPr>
          <w:rFonts w:ascii="Times New Roman" w:hAnsi="Times New Roman" w:cs="Times New Roman"/>
          <w:b/>
          <w:sz w:val="24"/>
          <w:szCs w:val="24"/>
        </w:rPr>
        <w:tab/>
        <w:t>Justification for Sensitive Questions</w:t>
      </w:r>
    </w:p>
    <w:p w14:paraId="317F7271" w14:textId="77777777" w:rsidR="002B32F9" w:rsidRPr="00EE3E14" w:rsidRDefault="002B32F9" w:rsidP="002B32F9">
      <w:pPr>
        <w:rPr>
          <w:rFonts w:ascii="Times New Roman" w:hAnsi="Times New Roman" w:cs="Times New Roman"/>
          <w:sz w:val="24"/>
          <w:szCs w:val="24"/>
        </w:rPr>
      </w:pPr>
      <w:r w:rsidRPr="00EE3E14">
        <w:rPr>
          <w:rFonts w:ascii="Times New Roman" w:hAnsi="Times New Roman" w:cs="Times New Roman"/>
          <w:sz w:val="24"/>
          <w:szCs w:val="24"/>
        </w:rPr>
        <w:t>No questions of a sensitive nature are included in this data collection.</w:t>
      </w:r>
    </w:p>
    <w:p w14:paraId="04A00A4C" w14:textId="77777777" w:rsidR="00562D19" w:rsidRPr="00EE3E14" w:rsidRDefault="00562D19" w:rsidP="00562D19">
      <w:pPr>
        <w:rPr>
          <w:rFonts w:ascii="Times New Roman" w:hAnsi="Times New Roman" w:cs="Times New Roman"/>
          <w:b/>
          <w:sz w:val="24"/>
          <w:szCs w:val="24"/>
        </w:rPr>
      </w:pPr>
      <w:r w:rsidRPr="00EE3E14">
        <w:rPr>
          <w:rFonts w:ascii="Times New Roman" w:hAnsi="Times New Roman" w:cs="Times New Roman"/>
          <w:b/>
          <w:sz w:val="24"/>
          <w:szCs w:val="24"/>
        </w:rPr>
        <w:t>A.12.1</w:t>
      </w:r>
      <w:r w:rsidRPr="00EE3E14">
        <w:rPr>
          <w:rFonts w:ascii="Times New Roman" w:hAnsi="Times New Roman" w:cs="Times New Roman"/>
          <w:b/>
          <w:sz w:val="24"/>
          <w:szCs w:val="24"/>
        </w:rPr>
        <w:tab/>
        <w:t>Estimated Annualized Burden Hours</w:t>
      </w:r>
    </w:p>
    <w:p w14:paraId="04BD7EE7" w14:textId="59EF01F8"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The burden associated with this information collection is calculated in two parts: the burden associated with registering genomic studies and submitting data to dbGaP; and the burden associated with applying for controlled-access data in dbGaP. Respondents are (1) investigators submitting data to dbGaP; (2) Institutional Officials who assure the data submission; (3) investigators who request and receive data</w:t>
      </w:r>
      <w:r w:rsidR="005C3AE2" w:rsidRPr="00EE3E14">
        <w:rPr>
          <w:rFonts w:ascii="Times New Roman" w:hAnsi="Times New Roman" w:cs="Times New Roman"/>
          <w:sz w:val="24"/>
          <w:szCs w:val="24"/>
        </w:rPr>
        <w:t xml:space="preserve"> (requesters); and (4) I</w:t>
      </w:r>
      <w:r w:rsidRPr="00EE3E14">
        <w:rPr>
          <w:rFonts w:ascii="Times New Roman" w:hAnsi="Times New Roman" w:cs="Times New Roman"/>
          <w:sz w:val="24"/>
          <w:szCs w:val="24"/>
        </w:rPr>
        <w:t xml:space="preserve">nstitutional Signing Officials who certify that they will abide by the </w:t>
      </w:r>
      <w:r w:rsidR="005C3AE2" w:rsidRPr="00EE3E14">
        <w:rPr>
          <w:rFonts w:ascii="Times New Roman" w:hAnsi="Times New Roman" w:cs="Times New Roman"/>
          <w:sz w:val="24"/>
          <w:szCs w:val="24"/>
        </w:rPr>
        <w:t xml:space="preserve">NIH </w:t>
      </w:r>
      <w:r w:rsidRPr="00EE3E14">
        <w:rPr>
          <w:rFonts w:ascii="Times New Roman" w:hAnsi="Times New Roman" w:cs="Times New Roman"/>
          <w:sz w:val="24"/>
          <w:szCs w:val="24"/>
        </w:rPr>
        <w:t xml:space="preserve">GDS Policy. </w:t>
      </w:r>
    </w:p>
    <w:p w14:paraId="74BA05C8" w14:textId="77777777" w:rsidR="00562D19" w:rsidRPr="00EE3E14" w:rsidRDefault="00562D19" w:rsidP="00562D19">
      <w:pPr>
        <w:rPr>
          <w:rFonts w:ascii="Times New Roman" w:hAnsi="Times New Roman" w:cs="Times New Roman"/>
          <w:i/>
          <w:sz w:val="24"/>
          <w:szCs w:val="24"/>
          <w:u w:val="single"/>
        </w:rPr>
      </w:pPr>
      <w:r w:rsidRPr="00EE3E14">
        <w:rPr>
          <w:rFonts w:ascii="Times New Roman" w:hAnsi="Times New Roman" w:cs="Times New Roman"/>
          <w:i/>
          <w:sz w:val="24"/>
          <w:szCs w:val="24"/>
          <w:u w:val="single"/>
        </w:rPr>
        <w:t>Study Registration and Data Submission</w:t>
      </w:r>
    </w:p>
    <w:p w14:paraId="1F7CCDC2" w14:textId="77777777"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The burden associated with registering genomic studies and submitting data to dbGaP involves the time and effort necessary for the investigator to complete the online form, and upload the data to dbGaP. The burden for the Institutional Official includes the time and effort to review and approve the registration and data submission, including completion of the Institutional Certification. Because NIH makes it possible to submit the information through tailored, user-friendly online forms, the time and effort is considerably reduced. Moreover, some of the information investigators will need to complete the forms will be automatically provided from eRA Commons and other information can be retrieved from the investigator’s NIH grant award.</w:t>
      </w:r>
    </w:p>
    <w:p w14:paraId="11EE47F2" w14:textId="6CDBA408" w:rsidR="00562D19" w:rsidRPr="00EE3E14" w:rsidRDefault="00562D19" w:rsidP="00562D19">
      <w:pPr>
        <w:rPr>
          <w:rFonts w:ascii="Times New Roman" w:hAnsi="Times New Roman" w:cs="Times New Roman"/>
          <w:sz w:val="24"/>
          <w:szCs w:val="24"/>
        </w:rPr>
      </w:pPr>
      <w:r w:rsidRPr="00C404E1">
        <w:rPr>
          <w:rFonts w:ascii="Times New Roman" w:hAnsi="Times New Roman" w:cs="Times New Roman"/>
          <w:sz w:val="24"/>
          <w:szCs w:val="24"/>
        </w:rPr>
        <w:t xml:space="preserve">To estimate the annual number of registrants, NIH averaged the number of study registrations and data submissions received by NCBI in </w:t>
      </w:r>
      <w:r w:rsidR="00DB60B3" w:rsidRPr="00C404E1">
        <w:rPr>
          <w:rFonts w:ascii="Times New Roman" w:hAnsi="Times New Roman" w:cs="Times New Roman"/>
          <w:sz w:val="24"/>
          <w:szCs w:val="24"/>
        </w:rPr>
        <w:t>2018</w:t>
      </w:r>
      <w:r w:rsidRPr="00EE3E14">
        <w:rPr>
          <w:rFonts w:ascii="Times New Roman" w:hAnsi="Times New Roman" w:cs="Times New Roman"/>
          <w:sz w:val="24"/>
          <w:szCs w:val="24"/>
        </w:rPr>
        <w:t xml:space="preserve">, and the number of registrations anticipated for </w:t>
      </w:r>
      <w:r w:rsidR="00F67B8B" w:rsidRPr="00C404E1">
        <w:rPr>
          <w:rFonts w:ascii="Times New Roman" w:hAnsi="Times New Roman" w:cs="Times New Roman"/>
          <w:sz w:val="24"/>
          <w:szCs w:val="24"/>
        </w:rPr>
        <w:t>2019</w:t>
      </w:r>
      <w:r w:rsidRPr="00EE3E14">
        <w:rPr>
          <w:rFonts w:ascii="Times New Roman" w:hAnsi="Times New Roman" w:cs="Times New Roman"/>
          <w:sz w:val="24"/>
          <w:szCs w:val="24"/>
        </w:rPr>
        <w:t xml:space="preserve">, based on NIH funding allocated for genomic data research grants that will fall under the </w:t>
      </w:r>
      <w:r w:rsidR="00DE5AAD" w:rsidRPr="00EE3E14">
        <w:rPr>
          <w:rFonts w:ascii="Times New Roman" w:hAnsi="Times New Roman" w:cs="Times New Roman"/>
          <w:sz w:val="24"/>
          <w:szCs w:val="24"/>
        </w:rPr>
        <w:t xml:space="preserve">NIH </w:t>
      </w:r>
      <w:r w:rsidRPr="00EE3E14">
        <w:rPr>
          <w:rFonts w:ascii="Times New Roman" w:hAnsi="Times New Roman" w:cs="Times New Roman"/>
          <w:sz w:val="24"/>
          <w:szCs w:val="24"/>
        </w:rPr>
        <w:t xml:space="preserve">GDS Policy.  Based on this calculation, NIH estimates </w:t>
      </w:r>
      <w:r w:rsidR="001A6D40" w:rsidRPr="00C404E1">
        <w:rPr>
          <w:rFonts w:ascii="Times New Roman" w:hAnsi="Times New Roman" w:cs="Times New Roman"/>
          <w:sz w:val="24"/>
          <w:szCs w:val="24"/>
        </w:rPr>
        <w:t>600</w:t>
      </w:r>
      <w:r w:rsidRPr="00EE3E14">
        <w:rPr>
          <w:rFonts w:ascii="Times New Roman" w:hAnsi="Times New Roman" w:cs="Times New Roman"/>
          <w:color w:val="FFFFFF" w:themeColor="background1"/>
          <w:sz w:val="24"/>
          <w:szCs w:val="24"/>
        </w:rPr>
        <w:t xml:space="preserve"> </w:t>
      </w:r>
      <w:r w:rsidRPr="00EE3E14">
        <w:rPr>
          <w:rFonts w:ascii="Times New Roman" w:hAnsi="Times New Roman" w:cs="Times New Roman"/>
          <w:sz w:val="24"/>
          <w:szCs w:val="24"/>
        </w:rPr>
        <w:t>respondents per year (</w:t>
      </w:r>
      <w:r w:rsidR="001A6D40" w:rsidRPr="00C404E1">
        <w:rPr>
          <w:rFonts w:ascii="Times New Roman" w:hAnsi="Times New Roman" w:cs="Times New Roman"/>
          <w:sz w:val="24"/>
          <w:szCs w:val="24"/>
        </w:rPr>
        <w:t>300</w:t>
      </w:r>
      <w:r w:rsidRPr="00EE3E14">
        <w:rPr>
          <w:rFonts w:ascii="Times New Roman" w:hAnsi="Times New Roman" w:cs="Times New Roman"/>
          <w:sz w:val="24"/>
          <w:szCs w:val="24"/>
        </w:rPr>
        <w:t xml:space="preserve"> investigators and </w:t>
      </w:r>
      <w:r w:rsidR="001A6D40" w:rsidRPr="00C404E1">
        <w:rPr>
          <w:rFonts w:ascii="Times New Roman" w:hAnsi="Times New Roman" w:cs="Times New Roman"/>
          <w:sz w:val="24"/>
          <w:szCs w:val="24"/>
        </w:rPr>
        <w:t>300</w:t>
      </w:r>
      <w:r w:rsidRPr="00EE3E14">
        <w:rPr>
          <w:rFonts w:ascii="Times New Roman" w:hAnsi="Times New Roman" w:cs="Times New Roman"/>
          <w:sz w:val="24"/>
          <w:szCs w:val="24"/>
        </w:rPr>
        <w:t xml:space="preserve"> Institutional Officials). NIH does not expect the number of registrations to increase significantly in the next three years. Based on prior experience, most investigators do not make changes to their initial registration information, but may add additional datasets. Since dbGaP accepts various data formats, additional datasets submitted after the initial registration for the same project do not require any reformatting, and thus does not add additional burden to the registration process. Therefore, the average frequency of response per investigator is estimated to be once.</w:t>
      </w:r>
    </w:p>
    <w:p w14:paraId="7D4AD8CA" w14:textId="2387317C"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Table 12-1 provides the estimated burden hours for registration and data submission of NIH-funded human genomic studies. Based on a simulation of the registration and submission processes using the online forms, NIH estimates that it will take an investigator, on average, 1 hour to enter the study information and upload the study data, and that it will take an Institut</w:t>
      </w:r>
      <w:r w:rsidR="00E33668" w:rsidRPr="00EE3E14">
        <w:rPr>
          <w:rFonts w:ascii="Times New Roman" w:hAnsi="Times New Roman" w:cs="Times New Roman"/>
          <w:sz w:val="24"/>
          <w:szCs w:val="24"/>
        </w:rPr>
        <w:t>ional Official, on average, 30/60</w:t>
      </w:r>
      <w:r w:rsidRPr="00EE3E14">
        <w:rPr>
          <w:rFonts w:ascii="Times New Roman" w:hAnsi="Times New Roman" w:cs="Times New Roman"/>
          <w:sz w:val="24"/>
          <w:szCs w:val="24"/>
        </w:rPr>
        <w:t xml:space="preserve"> hours to certify the information. Multiplying the frequency of response (1) by the total number of investigators (</w:t>
      </w:r>
      <w:r w:rsidR="001A6D40" w:rsidRPr="00C404E1">
        <w:rPr>
          <w:rFonts w:ascii="Times New Roman" w:hAnsi="Times New Roman" w:cs="Times New Roman"/>
          <w:sz w:val="24"/>
          <w:szCs w:val="24"/>
        </w:rPr>
        <w:t>300</w:t>
      </w:r>
      <w:r w:rsidRPr="00EE3E14">
        <w:rPr>
          <w:rFonts w:ascii="Times New Roman" w:hAnsi="Times New Roman" w:cs="Times New Roman"/>
          <w:sz w:val="24"/>
          <w:szCs w:val="24"/>
        </w:rPr>
        <w:t xml:space="preserve">) by the time it takes an investigator to register a study and submit data (1 hour), yields a total annual hour burden for submitting investigators of </w:t>
      </w:r>
      <w:r w:rsidR="003317F2" w:rsidRPr="00C404E1">
        <w:rPr>
          <w:rFonts w:ascii="Times New Roman" w:hAnsi="Times New Roman" w:cs="Times New Roman"/>
          <w:sz w:val="24"/>
          <w:szCs w:val="24"/>
        </w:rPr>
        <w:t>300</w:t>
      </w:r>
      <w:r w:rsidRPr="00EE3E14">
        <w:rPr>
          <w:rFonts w:ascii="Times New Roman" w:hAnsi="Times New Roman" w:cs="Times New Roman"/>
          <w:sz w:val="24"/>
          <w:szCs w:val="24"/>
        </w:rPr>
        <w:t xml:space="preserve"> hours. The same formula was used to derive the total annual burden for Institutional Officials (i.e., the frequency was multiplied by the number of Institutional Officials by the time it takes an Institutional Official to carry out the certification process). The total annual hour burden for Institutional Officials is </w:t>
      </w:r>
      <w:r w:rsidR="003317F2" w:rsidRPr="00C404E1">
        <w:rPr>
          <w:rFonts w:ascii="Times New Roman" w:hAnsi="Times New Roman" w:cs="Times New Roman"/>
          <w:sz w:val="24"/>
          <w:szCs w:val="24"/>
        </w:rPr>
        <w:t>150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hours. The total annual burden for both groups is </w:t>
      </w:r>
      <w:r w:rsidR="003317F2" w:rsidRPr="00C404E1">
        <w:rPr>
          <w:rFonts w:ascii="Times New Roman" w:hAnsi="Times New Roman" w:cs="Times New Roman"/>
          <w:sz w:val="24"/>
          <w:szCs w:val="24"/>
        </w:rPr>
        <w:t>450</w:t>
      </w:r>
      <w:r w:rsidRPr="00EE3E14">
        <w:rPr>
          <w:rFonts w:ascii="Times New Roman" w:hAnsi="Times New Roman" w:cs="Times New Roman"/>
          <w:sz w:val="24"/>
          <w:szCs w:val="24"/>
        </w:rPr>
        <w:t xml:space="preserve"> hours.</w:t>
      </w:r>
    </w:p>
    <w:p w14:paraId="3B6BC155" w14:textId="77777777" w:rsidR="00562D19" w:rsidRPr="00EE3E14" w:rsidRDefault="00562D19" w:rsidP="00562D19">
      <w:pPr>
        <w:rPr>
          <w:rFonts w:ascii="Times New Roman" w:hAnsi="Times New Roman" w:cs="Times New Roman"/>
          <w:i/>
          <w:sz w:val="24"/>
          <w:szCs w:val="24"/>
          <w:u w:val="single"/>
        </w:rPr>
      </w:pPr>
      <w:r w:rsidRPr="00EE3E14">
        <w:rPr>
          <w:rFonts w:ascii="Times New Roman" w:hAnsi="Times New Roman" w:cs="Times New Roman"/>
          <w:i/>
          <w:sz w:val="24"/>
          <w:szCs w:val="24"/>
          <w:u w:val="single"/>
        </w:rPr>
        <w:t>Data Access</w:t>
      </w:r>
    </w:p>
    <w:p w14:paraId="2FE4AEC6" w14:textId="62CE7644"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On a</w:t>
      </w:r>
      <w:r w:rsidR="00DE5AAD" w:rsidRPr="00EE3E14">
        <w:rPr>
          <w:rFonts w:ascii="Times New Roman" w:hAnsi="Times New Roman" w:cs="Times New Roman"/>
          <w:sz w:val="24"/>
          <w:szCs w:val="24"/>
        </w:rPr>
        <w:t>n annual basis, the requester</w:t>
      </w:r>
      <w:r w:rsidRPr="00EE3E14">
        <w:rPr>
          <w:rFonts w:ascii="Times New Roman" w:hAnsi="Times New Roman" w:cs="Times New Roman"/>
          <w:sz w:val="24"/>
          <w:szCs w:val="24"/>
        </w:rPr>
        <w:t xml:space="preserve"> completes only one of the three forms for a </w:t>
      </w:r>
      <w:r w:rsidR="001A63D6" w:rsidRPr="00EE3E14">
        <w:rPr>
          <w:rFonts w:ascii="Times New Roman" w:hAnsi="Times New Roman" w:cs="Times New Roman"/>
          <w:sz w:val="24"/>
          <w:szCs w:val="24"/>
        </w:rPr>
        <w:t>given project (i.e., initial, Project Renewal,</w:t>
      </w:r>
      <w:r w:rsidRPr="00EE3E14">
        <w:rPr>
          <w:rFonts w:ascii="Times New Roman" w:hAnsi="Times New Roman" w:cs="Times New Roman"/>
          <w:sz w:val="24"/>
          <w:szCs w:val="24"/>
        </w:rPr>
        <w:t xml:space="preserve"> or </w:t>
      </w:r>
      <w:r w:rsidR="001A63D6" w:rsidRPr="00EE3E14">
        <w:rPr>
          <w:rFonts w:ascii="Times New Roman" w:hAnsi="Times New Roman" w:cs="Times New Roman"/>
          <w:sz w:val="24"/>
          <w:szCs w:val="24"/>
        </w:rPr>
        <w:t>Project Close-out</w:t>
      </w:r>
      <w:r w:rsidRPr="00EE3E14">
        <w:rPr>
          <w:rFonts w:ascii="Times New Roman" w:hAnsi="Times New Roman" w:cs="Times New Roman"/>
          <w:sz w:val="24"/>
          <w:szCs w:val="24"/>
        </w:rPr>
        <w:t xml:space="preserve">). In order to request </w:t>
      </w:r>
      <w:r w:rsidR="00DE5AAD" w:rsidRPr="00EE3E14">
        <w:rPr>
          <w:rFonts w:ascii="Times New Roman" w:hAnsi="Times New Roman" w:cs="Times New Roman"/>
          <w:sz w:val="24"/>
          <w:szCs w:val="24"/>
        </w:rPr>
        <w:t>data from dbGaP, a requester</w:t>
      </w:r>
      <w:r w:rsidRPr="00EE3E14">
        <w:rPr>
          <w:rFonts w:ascii="Times New Roman" w:hAnsi="Times New Roman" w:cs="Times New Roman"/>
          <w:sz w:val="24"/>
          <w:szCs w:val="24"/>
        </w:rPr>
        <w:t xml:space="preserve"> must complete a </w:t>
      </w:r>
      <w:r w:rsidR="00D55C32" w:rsidRPr="00EE3E14">
        <w:rPr>
          <w:rFonts w:ascii="Times New Roman" w:hAnsi="Times New Roman" w:cs="Times New Roman"/>
          <w:sz w:val="24"/>
          <w:szCs w:val="24"/>
        </w:rPr>
        <w:t>data access request (</w:t>
      </w:r>
      <w:r w:rsidRPr="00EE3E14">
        <w:rPr>
          <w:rFonts w:ascii="Times New Roman" w:hAnsi="Times New Roman" w:cs="Times New Roman"/>
          <w:sz w:val="24"/>
          <w:szCs w:val="24"/>
        </w:rPr>
        <w:t>DAR</w:t>
      </w:r>
      <w:r w:rsidR="00D55C32" w:rsidRPr="00EE3E14">
        <w:rPr>
          <w:rFonts w:ascii="Times New Roman" w:hAnsi="Times New Roman" w:cs="Times New Roman"/>
          <w:sz w:val="24"/>
          <w:szCs w:val="24"/>
        </w:rPr>
        <w:t>)</w:t>
      </w:r>
      <w:r w:rsidRPr="00EE3E14">
        <w:rPr>
          <w:rFonts w:ascii="Times New Roman" w:hAnsi="Times New Roman" w:cs="Times New Roman"/>
          <w:sz w:val="24"/>
          <w:szCs w:val="24"/>
        </w:rPr>
        <w:t xml:space="preserve"> form</w:t>
      </w:r>
      <w:r w:rsidR="001A63D6" w:rsidRPr="00EE3E14">
        <w:rPr>
          <w:rFonts w:ascii="Times New Roman" w:hAnsi="Times New Roman" w:cs="Times New Roman"/>
          <w:sz w:val="24"/>
          <w:szCs w:val="24"/>
        </w:rPr>
        <w:t xml:space="preserve"> of the project request</w:t>
      </w:r>
      <w:r w:rsidRPr="00EE3E14">
        <w:rPr>
          <w:rFonts w:ascii="Times New Roman" w:hAnsi="Times New Roman" w:cs="Times New Roman"/>
          <w:sz w:val="24"/>
          <w:szCs w:val="24"/>
        </w:rPr>
        <w:t xml:space="preserve">. This step also requires the </w:t>
      </w:r>
      <w:r w:rsidR="00D55C32"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Signing Official to review th</w:t>
      </w:r>
      <w:r w:rsidR="00DE5AAD" w:rsidRPr="00EE3E14">
        <w:rPr>
          <w:rFonts w:ascii="Times New Roman" w:hAnsi="Times New Roman" w:cs="Times New Roman"/>
          <w:sz w:val="24"/>
          <w:szCs w:val="24"/>
        </w:rPr>
        <w:t>e DAR, and both the requester</w:t>
      </w:r>
      <w:r w:rsidRPr="00EE3E14">
        <w:rPr>
          <w:rFonts w:ascii="Times New Roman" w:hAnsi="Times New Roman" w:cs="Times New Roman"/>
          <w:sz w:val="24"/>
          <w:szCs w:val="24"/>
        </w:rPr>
        <w:t xml:space="preserve"> and </w:t>
      </w:r>
      <w:r w:rsidR="00D55C32"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 must certify that they agree to the terms and conditions for use of the data and will adhere to the </w:t>
      </w:r>
      <w:r w:rsidR="00D55C32" w:rsidRPr="00EE3E14">
        <w:rPr>
          <w:rFonts w:ascii="Times New Roman" w:hAnsi="Times New Roman" w:cs="Times New Roman"/>
          <w:sz w:val="24"/>
          <w:szCs w:val="24"/>
        </w:rPr>
        <w:t xml:space="preserve">NIH </w:t>
      </w:r>
      <w:r w:rsidRPr="00EE3E14">
        <w:rPr>
          <w:rFonts w:ascii="Times New Roman" w:hAnsi="Times New Roman" w:cs="Times New Roman"/>
          <w:sz w:val="24"/>
          <w:szCs w:val="24"/>
        </w:rPr>
        <w:t>GDS Policy. Upon approval</w:t>
      </w:r>
      <w:r w:rsidR="00DE5AAD" w:rsidRPr="00EE3E14">
        <w:rPr>
          <w:rFonts w:ascii="Times New Roman" w:hAnsi="Times New Roman" w:cs="Times New Roman"/>
          <w:sz w:val="24"/>
          <w:szCs w:val="24"/>
        </w:rPr>
        <w:t xml:space="preserve"> of their request, requesters</w:t>
      </w:r>
      <w:r w:rsidRPr="00EE3E14">
        <w:rPr>
          <w:rFonts w:ascii="Times New Roman" w:hAnsi="Times New Roman" w:cs="Times New Roman"/>
          <w:sz w:val="24"/>
          <w:szCs w:val="24"/>
        </w:rPr>
        <w:t xml:space="preserve"> are granted access to the data for one year. At the end of the year, investigators who wish to continue to use the data must complete a </w:t>
      </w:r>
      <w:r w:rsidR="001A63D6" w:rsidRPr="00EE3E14">
        <w:rPr>
          <w:rFonts w:ascii="Times New Roman" w:hAnsi="Times New Roman" w:cs="Times New Roman"/>
          <w:sz w:val="24"/>
          <w:szCs w:val="24"/>
        </w:rPr>
        <w:t>Project Renewal</w:t>
      </w:r>
      <w:r w:rsidRPr="00EE3E14">
        <w:rPr>
          <w:rFonts w:ascii="Times New Roman" w:hAnsi="Times New Roman" w:cs="Times New Roman"/>
          <w:sz w:val="24"/>
          <w:szCs w:val="24"/>
        </w:rPr>
        <w:t xml:space="preserve"> to extend the access period for another year. Information from the original DAR is automatically i</w:t>
      </w:r>
      <w:r w:rsidR="00DE5AAD" w:rsidRPr="00EE3E14">
        <w:rPr>
          <w:rFonts w:ascii="Times New Roman" w:hAnsi="Times New Roman" w:cs="Times New Roman"/>
          <w:sz w:val="24"/>
          <w:szCs w:val="24"/>
        </w:rPr>
        <w:t>ncorporated into the requeste</w:t>
      </w:r>
      <w:r w:rsidRPr="00EE3E14">
        <w:rPr>
          <w:rFonts w:ascii="Times New Roman" w:hAnsi="Times New Roman" w:cs="Times New Roman"/>
          <w:sz w:val="24"/>
          <w:szCs w:val="24"/>
        </w:rPr>
        <w:t xml:space="preserve">r’s </w:t>
      </w:r>
      <w:r w:rsidR="001A63D6" w:rsidRPr="00EE3E14">
        <w:rPr>
          <w:rFonts w:ascii="Times New Roman" w:hAnsi="Times New Roman" w:cs="Times New Roman"/>
          <w:sz w:val="24"/>
          <w:szCs w:val="24"/>
        </w:rPr>
        <w:t>Project Renewal form</w:t>
      </w:r>
      <w:r w:rsidR="00DE5AAD" w:rsidRPr="00EE3E14">
        <w:rPr>
          <w:rFonts w:ascii="Times New Roman" w:hAnsi="Times New Roman" w:cs="Times New Roman"/>
          <w:sz w:val="24"/>
          <w:szCs w:val="24"/>
        </w:rPr>
        <w:t>, and the requester</w:t>
      </w:r>
      <w:r w:rsidRPr="00EE3E14">
        <w:rPr>
          <w:rFonts w:ascii="Times New Roman" w:hAnsi="Times New Roman" w:cs="Times New Roman"/>
          <w:sz w:val="24"/>
          <w:szCs w:val="24"/>
        </w:rPr>
        <w:t xml:space="preserve"> provides additional information such as a description of research progress, publications, presentations, and intellectual property that are based on the secondary use of dbGaP data.</w:t>
      </w:r>
    </w:p>
    <w:p w14:paraId="7311B40C" w14:textId="6049FB79" w:rsidR="00562D19" w:rsidRPr="00EE3E14" w:rsidRDefault="00DE5AAD" w:rsidP="00562D19">
      <w:pPr>
        <w:rPr>
          <w:rFonts w:ascii="Times New Roman" w:hAnsi="Times New Roman" w:cs="Times New Roman"/>
          <w:sz w:val="24"/>
          <w:szCs w:val="24"/>
        </w:rPr>
      </w:pPr>
      <w:r w:rsidRPr="00EE3E14">
        <w:rPr>
          <w:rFonts w:ascii="Times New Roman" w:hAnsi="Times New Roman" w:cs="Times New Roman"/>
          <w:sz w:val="24"/>
          <w:szCs w:val="24"/>
        </w:rPr>
        <w:t>Requesters</w:t>
      </w:r>
      <w:r w:rsidR="00562D19" w:rsidRPr="00EE3E14">
        <w:rPr>
          <w:rFonts w:ascii="Times New Roman" w:hAnsi="Times New Roman" w:cs="Times New Roman"/>
          <w:sz w:val="24"/>
          <w:szCs w:val="24"/>
        </w:rPr>
        <w:t xml:space="preserve"> who do not wish to renew their access request are expected to complete a </w:t>
      </w:r>
      <w:r w:rsidR="001A63D6" w:rsidRPr="00EE3E14">
        <w:rPr>
          <w:rFonts w:ascii="Times New Roman" w:hAnsi="Times New Roman" w:cs="Times New Roman"/>
          <w:sz w:val="24"/>
          <w:szCs w:val="24"/>
        </w:rPr>
        <w:t>Project Close-out</w:t>
      </w:r>
      <w:r w:rsidR="00562D19" w:rsidRPr="00EE3E14">
        <w:rPr>
          <w:rFonts w:ascii="Times New Roman" w:hAnsi="Times New Roman" w:cs="Times New Roman"/>
          <w:sz w:val="24"/>
          <w:szCs w:val="24"/>
        </w:rPr>
        <w:t xml:space="preserve">. Information from the original DAR or </w:t>
      </w:r>
      <w:r w:rsidR="001A63D6" w:rsidRPr="00EE3E14">
        <w:rPr>
          <w:rFonts w:ascii="Times New Roman" w:hAnsi="Times New Roman" w:cs="Times New Roman"/>
          <w:sz w:val="24"/>
          <w:szCs w:val="24"/>
        </w:rPr>
        <w:t>Project Renewal</w:t>
      </w:r>
      <w:r w:rsidR="00562D19" w:rsidRPr="00EE3E14">
        <w:rPr>
          <w:rFonts w:ascii="Times New Roman" w:hAnsi="Times New Roman" w:cs="Times New Roman"/>
          <w:sz w:val="24"/>
          <w:szCs w:val="24"/>
        </w:rPr>
        <w:t xml:space="preserve"> is automatically incorporated into the </w:t>
      </w:r>
      <w:r w:rsidR="001A63D6" w:rsidRPr="00EE3E14">
        <w:rPr>
          <w:rFonts w:ascii="Times New Roman" w:hAnsi="Times New Roman" w:cs="Times New Roman"/>
          <w:sz w:val="24"/>
          <w:szCs w:val="24"/>
        </w:rPr>
        <w:t>Project Close-out form</w:t>
      </w:r>
      <w:r w:rsidRPr="00EE3E14">
        <w:rPr>
          <w:rFonts w:ascii="Times New Roman" w:hAnsi="Times New Roman" w:cs="Times New Roman"/>
          <w:sz w:val="24"/>
          <w:szCs w:val="24"/>
        </w:rPr>
        <w:t>, and the requeste</w:t>
      </w:r>
      <w:r w:rsidR="00562D19" w:rsidRPr="00EE3E14">
        <w:rPr>
          <w:rFonts w:ascii="Times New Roman" w:hAnsi="Times New Roman" w:cs="Times New Roman"/>
          <w:sz w:val="24"/>
          <w:szCs w:val="24"/>
        </w:rPr>
        <w:t xml:space="preserve">r provides additional information such as a description of publications, presentations, and intellectual property that are based on the secondary use of dbGaP data. Completion of the </w:t>
      </w:r>
      <w:r w:rsidR="001A63D6" w:rsidRPr="00EE3E14">
        <w:rPr>
          <w:rFonts w:ascii="Times New Roman" w:hAnsi="Times New Roman" w:cs="Times New Roman"/>
          <w:sz w:val="24"/>
          <w:szCs w:val="24"/>
        </w:rPr>
        <w:t>Project Close-out</w:t>
      </w:r>
      <w:r w:rsidR="00562D19" w:rsidRPr="00EE3E14">
        <w:rPr>
          <w:rFonts w:ascii="Times New Roman" w:hAnsi="Times New Roman" w:cs="Times New Roman"/>
          <w:sz w:val="24"/>
          <w:szCs w:val="24"/>
        </w:rPr>
        <w:t xml:space="preserve"> provides NIH with information on final project outcomes, and also provides the oversight mechanism by which the </w:t>
      </w:r>
      <w:r w:rsidR="00D55C32" w:rsidRPr="00EE3E14">
        <w:rPr>
          <w:rFonts w:ascii="Times New Roman" w:hAnsi="Times New Roman" w:cs="Times New Roman"/>
          <w:sz w:val="24"/>
          <w:szCs w:val="24"/>
        </w:rPr>
        <w:t xml:space="preserve">Institutional </w:t>
      </w:r>
      <w:r w:rsidR="00562D19" w:rsidRPr="00EE3E14">
        <w:rPr>
          <w:rFonts w:ascii="Times New Roman" w:hAnsi="Times New Roman" w:cs="Times New Roman"/>
          <w:sz w:val="24"/>
          <w:szCs w:val="24"/>
        </w:rPr>
        <w:t xml:space="preserve">Signing Official confirms that the project has been discontinued and </w:t>
      </w:r>
      <w:r w:rsidR="001A63D6" w:rsidRPr="00EE3E14">
        <w:rPr>
          <w:rFonts w:ascii="Times New Roman" w:hAnsi="Times New Roman" w:cs="Times New Roman"/>
          <w:sz w:val="24"/>
          <w:szCs w:val="24"/>
        </w:rPr>
        <w:t xml:space="preserve">that </w:t>
      </w:r>
      <w:r w:rsidR="001A63D6" w:rsidRPr="00EE3E14">
        <w:rPr>
          <w:rFonts w:ascii="Times New Roman" w:hAnsi="Times New Roman" w:cs="Times New Roman"/>
          <w:color w:val="000000"/>
          <w:sz w:val="24"/>
          <w:szCs w:val="24"/>
        </w:rPr>
        <w:t xml:space="preserve">all copies, versions, and </w:t>
      </w:r>
      <w:r w:rsidR="001645AD" w:rsidRPr="00EE3E14">
        <w:rPr>
          <w:rFonts w:ascii="Times New Roman" w:hAnsi="Times New Roman" w:cs="Times New Roman"/>
          <w:color w:val="000000"/>
          <w:sz w:val="24"/>
          <w:szCs w:val="24"/>
        </w:rPr>
        <w:t>data d</w:t>
      </w:r>
      <w:r w:rsidR="001A63D6" w:rsidRPr="00EE3E14">
        <w:rPr>
          <w:rFonts w:ascii="Times New Roman" w:hAnsi="Times New Roman" w:cs="Times New Roman"/>
          <w:color w:val="000000"/>
          <w:sz w:val="24"/>
          <w:szCs w:val="24"/>
        </w:rPr>
        <w:t xml:space="preserve">erivatives of the dataset(s), on </w:t>
      </w:r>
      <w:r w:rsidR="001645AD" w:rsidRPr="00EE3E14">
        <w:rPr>
          <w:rFonts w:ascii="Times New Roman" w:hAnsi="Times New Roman" w:cs="Times New Roman"/>
          <w:color w:val="000000"/>
          <w:sz w:val="24"/>
          <w:szCs w:val="24"/>
        </w:rPr>
        <w:t>both local servers and hardware, have been deleted</w:t>
      </w:r>
      <w:r w:rsidR="00562D19" w:rsidRPr="00EE3E14">
        <w:rPr>
          <w:rFonts w:ascii="Times New Roman" w:hAnsi="Times New Roman" w:cs="Times New Roman"/>
          <w:sz w:val="24"/>
          <w:szCs w:val="24"/>
        </w:rPr>
        <w:t>.</w:t>
      </w:r>
    </w:p>
    <w:p w14:paraId="09353390" w14:textId="45AE63E2"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 xml:space="preserve">The annual time burden estimates are calculated separately for the initial DAR and </w:t>
      </w:r>
      <w:r w:rsidR="001645AD" w:rsidRPr="00EE3E14">
        <w:rPr>
          <w:rFonts w:ascii="Times New Roman" w:hAnsi="Times New Roman" w:cs="Times New Roman"/>
          <w:sz w:val="24"/>
          <w:szCs w:val="24"/>
        </w:rPr>
        <w:t>Project Renewal/Project C</w:t>
      </w:r>
      <w:r w:rsidRPr="00EE3E14">
        <w:rPr>
          <w:rFonts w:ascii="Times New Roman" w:hAnsi="Times New Roman" w:cs="Times New Roman"/>
          <w:sz w:val="24"/>
          <w:szCs w:val="24"/>
        </w:rPr>
        <w:t xml:space="preserve">lose-out forms. To estimate the number </w:t>
      </w:r>
      <w:r w:rsidR="000D583C" w:rsidRPr="00EE3E14">
        <w:rPr>
          <w:rFonts w:ascii="Times New Roman" w:hAnsi="Times New Roman" w:cs="Times New Roman"/>
          <w:sz w:val="24"/>
          <w:szCs w:val="24"/>
        </w:rPr>
        <w:t xml:space="preserve">of </w:t>
      </w:r>
      <w:r w:rsidR="00566C9F" w:rsidRPr="00EE3E14">
        <w:rPr>
          <w:rFonts w:ascii="Times New Roman" w:hAnsi="Times New Roman" w:cs="Times New Roman"/>
          <w:sz w:val="24"/>
          <w:szCs w:val="24"/>
        </w:rPr>
        <w:t xml:space="preserve">respondents </w:t>
      </w:r>
      <w:r w:rsidRPr="00EE3E14">
        <w:rPr>
          <w:rFonts w:ascii="Times New Roman" w:hAnsi="Times New Roman" w:cs="Times New Roman"/>
          <w:sz w:val="24"/>
          <w:szCs w:val="24"/>
        </w:rPr>
        <w:t>and the number of requests made per year, NI</w:t>
      </w:r>
      <w:r w:rsidR="00566C9F" w:rsidRPr="00EE3E14">
        <w:rPr>
          <w:rFonts w:ascii="Times New Roman" w:hAnsi="Times New Roman" w:cs="Times New Roman"/>
          <w:sz w:val="24"/>
          <w:szCs w:val="24"/>
        </w:rPr>
        <w:t xml:space="preserve">H totaled the number of </w:t>
      </w:r>
      <w:r w:rsidR="00A37E2D" w:rsidRPr="00C404E1">
        <w:rPr>
          <w:rFonts w:ascii="Times New Roman" w:hAnsi="Times New Roman" w:cs="Times New Roman"/>
          <w:sz w:val="24"/>
          <w:szCs w:val="24"/>
        </w:rPr>
        <w:t>respondents</w:t>
      </w:r>
      <w:r w:rsidR="006017FD" w:rsidRPr="00EE3E14">
        <w:rPr>
          <w:rFonts w:ascii="Times New Roman" w:hAnsi="Times New Roman" w:cs="Times New Roman"/>
          <w:sz w:val="24"/>
          <w:szCs w:val="24"/>
        </w:rPr>
        <w:t xml:space="preserve"> </w:t>
      </w:r>
      <w:r w:rsidRPr="00EE3E14">
        <w:rPr>
          <w:rFonts w:ascii="Times New Roman" w:hAnsi="Times New Roman" w:cs="Times New Roman"/>
          <w:sz w:val="24"/>
          <w:szCs w:val="24"/>
        </w:rPr>
        <w:t xml:space="preserve">and DARs that were submitted over a two-year period and divided by two, for an average of </w:t>
      </w:r>
      <w:r w:rsidR="00A37E2D" w:rsidRPr="00C404E1">
        <w:rPr>
          <w:rFonts w:ascii="Times New Roman" w:hAnsi="Times New Roman" w:cs="Times New Roman"/>
          <w:sz w:val="24"/>
          <w:szCs w:val="24"/>
        </w:rPr>
        <w:t>3000</w:t>
      </w:r>
      <w:r w:rsidR="006017FD" w:rsidRPr="00EE3E14">
        <w:rPr>
          <w:rFonts w:ascii="Times New Roman" w:hAnsi="Times New Roman" w:cs="Times New Roman"/>
          <w:color w:val="FFFFFF" w:themeColor="background1"/>
          <w:sz w:val="24"/>
          <w:szCs w:val="24"/>
        </w:rPr>
        <w:t xml:space="preserve"> </w:t>
      </w:r>
      <w:r w:rsidRPr="00EE3E14">
        <w:rPr>
          <w:rFonts w:ascii="Times New Roman" w:hAnsi="Times New Roman" w:cs="Times New Roman"/>
          <w:sz w:val="24"/>
          <w:szCs w:val="24"/>
        </w:rPr>
        <w:t xml:space="preserve">respondents </w:t>
      </w:r>
      <w:r w:rsidR="00A37E2D" w:rsidRPr="00C404E1">
        <w:rPr>
          <w:rFonts w:ascii="Times New Roman" w:hAnsi="Times New Roman" w:cs="Times New Roman"/>
          <w:sz w:val="24"/>
          <w:szCs w:val="24"/>
        </w:rPr>
        <w:t>(1500 requesters and 1500 Institutional Signing Officials)</w:t>
      </w:r>
      <w:r w:rsidR="00A37E2D" w:rsidRPr="00EE3E14">
        <w:rPr>
          <w:rFonts w:ascii="Times New Roman" w:hAnsi="Times New Roman" w:cs="Times New Roman"/>
          <w:sz w:val="24"/>
          <w:szCs w:val="24"/>
        </w:rPr>
        <w:t xml:space="preserve"> </w:t>
      </w:r>
      <w:r w:rsidRPr="00EE3E14">
        <w:rPr>
          <w:rFonts w:ascii="Times New Roman" w:hAnsi="Times New Roman" w:cs="Times New Roman"/>
          <w:sz w:val="24"/>
          <w:szCs w:val="24"/>
        </w:rPr>
        <w:t xml:space="preserve">and </w:t>
      </w:r>
      <w:r w:rsidR="001645AD" w:rsidRPr="00C404E1">
        <w:rPr>
          <w:rFonts w:ascii="Times New Roman" w:hAnsi="Times New Roman" w:cs="Times New Roman"/>
          <w:sz w:val="24"/>
          <w:szCs w:val="24"/>
        </w:rPr>
        <w:t>2300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DARs per year.</w:t>
      </w:r>
    </w:p>
    <w:p w14:paraId="5907D0E3" w14:textId="697235AC" w:rsidR="00562D19" w:rsidRPr="00EE3E14" w:rsidRDefault="00562D19" w:rsidP="00562D19">
      <w:pPr>
        <w:rPr>
          <w:rFonts w:ascii="Times New Roman" w:hAnsi="Times New Roman" w:cs="Times New Roman"/>
          <w:sz w:val="24"/>
          <w:szCs w:val="24"/>
        </w:rPr>
      </w:pPr>
      <w:r w:rsidRPr="00C404E1">
        <w:rPr>
          <w:rFonts w:ascii="Times New Roman" w:hAnsi="Times New Roman" w:cs="Times New Roman"/>
          <w:sz w:val="24"/>
          <w:szCs w:val="24"/>
        </w:rPr>
        <w:t>To calculate the number of annual requests per respondent, NIH divided the number of</w:t>
      </w:r>
      <w:r w:rsidR="00480563" w:rsidRPr="00C404E1">
        <w:rPr>
          <w:rFonts w:ascii="Times New Roman" w:hAnsi="Times New Roman" w:cs="Times New Roman"/>
          <w:sz w:val="24"/>
          <w:szCs w:val="24"/>
        </w:rPr>
        <w:t xml:space="preserve"> DARs per year by the number of </w:t>
      </w:r>
      <w:r w:rsidR="00A37E2D" w:rsidRPr="00C404E1">
        <w:rPr>
          <w:rFonts w:ascii="Times New Roman" w:hAnsi="Times New Roman" w:cs="Times New Roman"/>
          <w:sz w:val="24"/>
          <w:szCs w:val="24"/>
        </w:rPr>
        <w:t>requesters</w:t>
      </w:r>
      <w:r w:rsidRPr="00EE3E14">
        <w:rPr>
          <w:rFonts w:ascii="Times New Roman" w:hAnsi="Times New Roman" w:cs="Times New Roman"/>
          <w:sz w:val="24"/>
          <w:szCs w:val="24"/>
        </w:rPr>
        <w:t xml:space="preserve">, and estimated </w:t>
      </w:r>
      <w:r w:rsidR="00306C8F" w:rsidRPr="00EE3E14">
        <w:rPr>
          <w:rFonts w:ascii="Times New Roman" w:hAnsi="Times New Roman" w:cs="Times New Roman"/>
          <w:sz w:val="24"/>
          <w:szCs w:val="24"/>
        </w:rPr>
        <w:t>t</w:t>
      </w:r>
      <w:r w:rsidR="001645AD" w:rsidRPr="00EE3E14">
        <w:rPr>
          <w:rFonts w:ascii="Times New Roman" w:hAnsi="Times New Roman" w:cs="Times New Roman"/>
          <w:sz w:val="24"/>
          <w:szCs w:val="24"/>
        </w:rPr>
        <w:t>wo</w:t>
      </w:r>
      <w:r w:rsidR="006017FD" w:rsidRPr="00EE3E14">
        <w:rPr>
          <w:rFonts w:ascii="Times New Roman" w:hAnsi="Times New Roman" w:cs="Times New Roman"/>
          <w:sz w:val="24"/>
          <w:szCs w:val="24"/>
        </w:rPr>
        <w:t xml:space="preserve"> DARs per year</w:t>
      </w:r>
      <w:r w:rsidRPr="00EE3E14">
        <w:rPr>
          <w:rFonts w:ascii="Times New Roman" w:hAnsi="Times New Roman" w:cs="Times New Roman"/>
          <w:sz w:val="24"/>
          <w:szCs w:val="24"/>
        </w:rPr>
        <w:t xml:space="preserve">.  Since each DAR is either renewed or closed out at the end of the one-year access period, the </w:t>
      </w:r>
      <w:r w:rsidR="001645AD" w:rsidRPr="00EE3E14">
        <w:rPr>
          <w:rFonts w:ascii="Times New Roman" w:hAnsi="Times New Roman" w:cs="Times New Roman"/>
          <w:sz w:val="24"/>
          <w:szCs w:val="24"/>
        </w:rPr>
        <w:t>Project Renewal</w:t>
      </w:r>
      <w:r w:rsidRPr="00EE3E14">
        <w:rPr>
          <w:rFonts w:ascii="Times New Roman" w:hAnsi="Times New Roman" w:cs="Times New Roman"/>
          <w:sz w:val="24"/>
          <w:szCs w:val="24"/>
        </w:rPr>
        <w:t>/</w:t>
      </w:r>
      <w:r w:rsidR="001645AD" w:rsidRPr="00EE3E14">
        <w:rPr>
          <w:rFonts w:ascii="Times New Roman" w:hAnsi="Times New Roman" w:cs="Times New Roman"/>
          <w:sz w:val="24"/>
          <w:szCs w:val="24"/>
        </w:rPr>
        <w:t>Project C</w:t>
      </w:r>
      <w:r w:rsidRPr="00EE3E14">
        <w:rPr>
          <w:rFonts w:ascii="Times New Roman" w:hAnsi="Times New Roman" w:cs="Times New Roman"/>
          <w:sz w:val="24"/>
          <w:szCs w:val="24"/>
        </w:rPr>
        <w:t xml:space="preserve">lose-out process also involves </w:t>
      </w:r>
      <w:r w:rsidR="00A37E2D" w:rsidRPr="00C404E1">
        <w:rPr>
          <w:rFonts w:ascii="Times New Roman" w:hAnsi="Times New Roman" w:cs="Times New Roman"/>
          <w:sz w:val="24"/>
          <w:szCs w:val="24"/>
        </w:rPr>
        <w:t>3000</w:t>
      </w:r>
      <w:r w:rsidR="00480563" w:rsidRPr="00C404E1">
        <w:rPr>
          <w:rFonts w:ascii="Times New Roman" w:hAnsi="Times New Roman" w:cs="Times New Roman"/>
          <w:sz w:val="24"/>
          <w:szCs w:val="24"/>
        </w:rPr>
        <w:t xml:space="preserve"> </w:t>
      </w:r>
      <w:r w:rsidR="006017FD" w:rsidRPr="00EE3E14">
        <w:rPr>
          <w:rFonts w:ascii="Times New Roman" w:hAnsi="Times New Roman" w:cs="Times New Roman"/>
          <w:sz w:val="24"/>
          <w:szCs w:val="24"/>
        </w:rPr>
        <w:t xml:space="preserve">respondents </w:t>
      </w:r>
      <w:r w:rsidRPr="00EE3E14">
        <w:rPr>
          <w:rFonts w:ascii="Times New Roman" w:hAnsi="Times New Roman" w:cs="Times New Roman"/>
          <w:sz w:val="24"/>
          <w:szCs w:val="24"/>
        </w:rPr>
        <w:t xml:space="preserve">submitting </w:t>
      </w:r>
      <w:r w:rsidRPr="00C404E1">
        <w:rPr>
          <w:rFonts w:ascii="Times New Roman" w:hAnsi="Times New Roman" w:cs="Times New Roman"/>
          <w:sz w:val="24"/>
          <w:szCs w:val="24"/>
        </w:rPr>
        <w:t>t</w:t>
      </w:r>
      <w:r w:rsidR="001645AD" w:rsidRPr="00C404E1">
        <w:rPr>
          <w:rFonts w:ascii="Times New Roman" w:hAnsi="Times New Roman" w:cs="Times New Roman"/>
          <w:sz w:val="24"/>
          <w:szCs w:val="24"/>
        </w:rPr>
        <w:t>wo</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reports per year.  </w:t>
      </w:r>
    </w:p>
    <w:p w14:paraId="1BE56970" w14:textId="5DF3D9F8"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 xml:space="preserve">The burden associated with an initial DAR includes the time and effort necessary for investigators to (1) identify the studies and datasets in dbGaP of interest, (2) prepare information for their proposed research use statement, and (3) complete the DAR form. The burden also involves the </w:t>
      </w:r>
      <w:r w:rsidR="001645AD"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Signing Official’s review and certification of the DAR.</w:t>
      </w:r>
    </w:p>
    <w:p w14:paraId="4B0AA06A" w14:textId="5DC8641E"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 xml:space="preserve">Table 12-1 provides the estimated burden hours for completing a DAR. Based on simulations, NIH estimates that it will take a requester an average </w:t>
      </w:r>
      <w:r w:rsidR="00E33668" w:rsidRPr="00C404E1">
        <w:rPr>
          <w:rFonts w:ascii="Times New Roman" w:hAnsi="Times New Roman" w:cs="Times New Roman"/>
          <w:sz w:val="24"/>
          <w:szCs w:val="24"/>
        </w:rPr>
        <w:t>of 45/60</w:t>
      </w:r>
      <w:r w:rsidRPr="00C404E1">
        <w:rPr>
          <w:rFonts w:ascii="Times New Roman" w:hAnsi="Times New Roman" w:cs="Times New Roman"/>
          <w:sz w:val="24"/>
          <w:szCs w:val="24"/>
        </w:rPr>
        <w:t xml:space="preserve"> hours</w:t>
      </w:r>
      <w:r w:rsidRPr="00EE3E14">
        <w:rPr>
          <w:rFonts w:ascii="Times New Roman" w:hAnsi="Times New Roman" w:cs="Times New Roman"/>
          <w:sz w:val="24"/>
          <w:szCs w:val="24"/>
        </w:rPr>
        <w:t xml:space="preserve"> to complete the DAR and </w:t>
      </w:r>
      <w:r w:rsidR="00E33668" w:rsidRPr="00C404E1">
        <w:rPr>
          <w:rFonts w:ascii="Times New Roman" w:hAnsi="Times New Roman" w:cs="Times New Roman"/>
          <w:sz w:val="24"/>
          <w:szCs w:val="24"/>
        </w:rPr>
        <w:t>30/60</w:t>
      </w:r>
      <w:r w:rsidRPr="00C404E1">
        <w:rPr>
          <w:rFonts w:ascii="Times New Roman" w:hAnsi="Times New Roman" w:cs="Times New Roman"/>
          <w:sz w:val="24"/>
          <w:szCs w:val="24"/>
        </w:rPr>
        <w:t xml:space="preserve"> hours</w:t>
      </w:r>
      <w:r w:rsidRPr="00EE3E14">
        <w:rPr>
          <w:rFonts w:ascii="Times New Roman" w:hAnsi="Times New Roman" w:cs="Times New Roman"/>
          <w:sz w:val="24"/>
          <w:szCs w:val="24"/>
        </w:rPr>
        <w:t xml:space="preserve"> for the </w:t>
      </w:r>
      <w:r w:rsidR="001645AD"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 to review and certify the DAR. To derive the annual hour burden for </w:t>
      </w:r>
      <w:r w:rsidR="000D583C" w:rsidRPr="00EE3E14">
        <w:rPr>
          <w:rFonts w:ascii="Times New Roman" w:hAnsi="Times New Roman" w:cs="Times New Roman"/>
          <w:sz w:val="24"/>
          <w:szCs w:val="24"/>
        </w:rPr>
        <w:t>requesters</w:t>
      </w:r>
      <w:r w:rsidRPr="00C404E1">
        <w:rPr>
          <w:rFonts w:ascii="Times New Roman" w:hAnsi="Times New Roman" w:cs="Times New Roman"/>
          <w:sz w:val="24"/>
          <w:szCs w:val="24"/>
        </w:rPr>
        <w:t>, NIH multiplied the number of DARs submitted per year (2)</w:t>
      </w:r>
      <w:r w:rsidRPr="00EE3E14">
        <w:rPr>
          <w:rFonts w:ascii="Times New Roman" w:hAnsi="Times New Roman" w:cs="Times New Roman"/>
          <w:sz w:val="24"/>
          <w:szCs w:val="24"/>
        </w:rPr>
        <w:t xml:space="preserve"> by the number of </w:t>
      </w:r>
      <w:r w:rsidR="001645AD"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w:t>
      </w:r>
      <w:r w:rsidR="001645AD" w:rsidRPr="00C404E1">
        <w:rPr>
          <w:rFonts w:ascii="Times New Roman" w:hAnsi="Times New Roman" w:cs="Times New Roman"/>
          <w:sz w:val="24"/>
          <w:szCs w:val="24"/>
        </w:rPr>
        <w:t>1500</w:t>
      </w:r>
      <w:r w:rsidRPr="00EE3E14">
        <w:rPr>
          <w:rFonts w:ascii="Times New Roman" w:hAnsi="Times New Roman" w:cs="Times New Roman"/>
          <w:sz w:val="24"/>
          <w:szCs w:val="24"/>
        </w:rPr>
        <w:t xml:space="preserve">) by the time it takes </w:t>
      </w:r>
      <w:r w:rsidR="001645AD" w:rsidRPr="00EE3E14">
        <w:rPr>
          <w:rFonts w:ascii="Times New Roman" w:hAnsi="Times New Roman" w:cs="Times New Roman"/>
          <w:sz w:val="24"/>
          <w:szCs w:val="24"/>
        </w:rPr>
        <w:t>a requester</w:t>
      </w:r>
      <w:r w:rsidR="00E33668" w:rsidRPr="00EE3E14">
        <w:rPr>
          <w:rFonts w:ascii="Times New Roman" w:hAnsi="Times New Roman" w:cs="Times New Roman"/>
          <w:sz w:val="24"/>
          <w:szCs w:val="24"/>
        </w:rPr>
        <w:t xml:space="preserve"> to complete a DAR (45/60</w:t>
      </w:r>
      <w:r w:rsidRPr="00EE3E14">
        <w:rPr>
          <w:rFonts w:ascii="Times New Roman" w:hAnsi="Times New Roman" w:cs="Times New Roman"/>
          <w:sz w:val="24"/>
          <w:szCs w:val="24"/>
        </w:rPr>
        <w:t xml:space="preserve"> hour), for a total of </w:t>
      </w:r>
      <w:r w:rsidR="001645AD" w:rsidRPr="00C404E1">
        <w:rPr>
          <w:rFonts w:ascii="Times New Roman" w:hAnsi="Times New Roman" w:cs="Times New Roman"/>
          <w:sz w:val="24"/>
          <w:szCs w:val="24"/>
        </w:rPr>
        <w:t>2250</w:t>
      </w:r>
      <w:r w:rsidRPr="00EE3E14">
        <w:rPr>
          <w:rFonts w:ascii="Times New Roman" w:hAnsi="Times New Roman" w:cs="Times New Roman"/>
          <w:sz w:val="24"/>
          <w:szCs w:val="24"/>
        </w:rPr>
        <w:t xml:space="preserve"> hours. The same formula was used to derive the total annual burden for </w:t>
      </w:r>
      <w:r w:rsidR="001645AD"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(i.e., the frequency was multiplied by the number of </w:t>
      </w:r>
      <w:r w:rsidR="001645AD"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Signing Officials by the time it takes a</w:t>
      </w:r>
      <w:r w:rsidR="001645AD" w:rsidRPr="00EE3E14">
        <w:rPr>
          <w:rFonts w:ascii="Times New Roman" w:hAnsi="Times New Roman" w:cs="Times New Roman"/>
          <w:sz w:val="24"/>
          <w:szCs w:val="24"/>
        </w:rPr>
        <w:t>n Institutional</w:t>
      </w:r>
      <w:r w:rsidRPr="00EE3E14">
        <w:rPr>
          <w:rFonts w:ascii="Times New Roman" w:hAnsi="Times New Roman" w:cs="Times New Roman"/>
          <w:sz w:val="24"/>
          <w:szCs w:val="24"/>
        </w:rPr>
        <w:t xml:space="preserve"> Signing Official to complete the certification process). The total annual hour burden for </w:t>
      </w:r>
      <w:r w:rsidR="000D583C"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w:t>
      </w:r>
      <w:r w:rsidRPr="00C404E1">
        <w:rPr>
          <w:rFonts w:ascii="Times New Roman" w:hAnsi="Times New Roman" w:cs="Times New Roman"/>
          <w:sz w:val="24"/>
          <w:szCs w:val="24"/>
        </w:rPr>
        <w:t xml:space="preserve">is </w:t>
      </w:r>
      <w:r w:rsidR="00741707" w:rsidRPr="00C404E1">
        <w:rPr>
          <w:rFonts w:ascii="Times New Roman" w:hAnsi="Times New Roman" w:cs="Times New Roman"/>
          <w:sz w:val="24"/>
          <w:szCs w:val="24"/>
        </w:rPr>
        <w:t>1500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hours, with a total annual burden of </w:t>
      </w:r>
      <w:r w:rsidR="00741707" w:rsidRPr="00C404E1">
        <w:rPr>
          <w:rFonts w:ascii="Times New Roman" w:hAnsi="Times New Roman" w:cs="Times New Roman"/>
          <w:sz w:val="24"/>
          <w:szCs w:val="24"/>
        </w:rPr>
        <w:t>3750</w:t>
      </w:r>
      <w:r w:rsidRPr="00EE3E14">
        <w:rPr>
          <w:rFonts w:ascii="Times New Roman" w:hAnsi="Times New Roman" w:cs="Times New Roman"/>
          <w:sz w:val="24"/>
          <w:szCs w:val="24"/>
        </w:rPr>
        <w:t xml:space="preserve"> hours for all respondents. </w:t>
      </w:r>
    </w:p>
    <w:p w14:paraId="71B8DB38" w14:textId="0941A643"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 xml:space="preserve">The burden associated with </w:t>
      </w:r>
      <w:r w:rsidR="00741707" w:rsidRPr="00EE3E14">
        <w:rPr>
          <w:rFonts w:ascii="Times New Roman" w:hAnsi="Times New Roman" w:cs="Times New Roman"/>
          <w:sz w:val="24"/>
          <w:szCs w:val="24"/>
        </w:rPr>
        <w:t>renewal and close-out</w:t>
      </w:r>
      <w:r w:rsidRPr="00EE3E14">
        <w:rPr>
          <w:rFonts w:ascii="Times New Roman" w:hAnsi="Times New Roman" w:cs="Times New Roman"/>
          <w:sz w:val="24"/>
          <w:szCs w:val="24"/>
        </w:rPr>
        <w:t xml:space="preserve"> involves the time and effort necessary for requesters to (1) prepare information on their research use of NIH datasets, (2) complete the </w:t>
      </w:r>
      <w:r w:rsidR="00741707" w:rsidRPr="00EE3E14">
        <w:rPr>
          <w:rFonts w:ascii="Times New Roman" w:hAnsi="Times New Roman" w:cs="Times New Roman"/>
          <w:sz w:val="24"/>
          <w:szCs w:val="24"/>
        </w:rPr>
        <w:t>Project Renewal or Project C</w:t>
      </w:r>
      <w:r w:rsidRPr="00EE3E14">
        <w:rPr>
          <w:rFonts w:ascii="Times New Roman" w:hAnsi="Times New Roman" w:cs="Times New Roman"/>
          <w:sz w:val="24"/>
          <w:szCs w:val="24"/>
        </w:rPr>
        <w:t xml:space="preserve">lose-out form, and (3) have the </w:t>
      </w:r>
      <w:r w:rsidR="00741707"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 review and approve the form. Importantly, when </w:t>
      </w:r>
      <w:r w:rsidR="00741707"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stop using the data, </w:t>
      </w:r>
      <w:r w:rsidR="00741707" w:rsidRPr="00EE3E14">
        <w:rPr>
          <w:rFonts w:ascii="Times New Roman" w:hAnsi="Times New Roman" w:cs="Times New Roman"/>
          <w:sz w:val="24"/>
          <w:szCs w:val="24"/>
        </w:rPr>
        <w:t xml:space="preserve">Institutional Signing Officials verify </w:t>
      </w:r>
      <w:r w:rsidR="004C6A91" w:rsidRPr="00EE3E14">
        <w:rPr>
          <w:rFonts w:ascii="Times New Roman" w:hAnsi="Times New Roman" w:cs="Times New Roman"/>
          <w:sz w:val="24"/>
          <w:szCs w:val="24"/>
        </w:rPr>
        <w:t>the data has</w:t>
      </w:r>
      <w:r w:rsidR="00741707" w:rsidRPr="00EE3E14">
        <w:rPr>
          <w:rFonts w:ascii="Times New Roman" w:hAnsi="Times New Roman" w:cs="Times New Roman"/>
          <w:sz w:val="24"/>
          <w:szCs w:val="24"/>
        </w:rPr>
        <w:t xml:space="preserve"> been deleted from the institution’s computer systems, cloud storage, </w:t>
      </w:r>
      <w:r w:rsidR="004C6A91" w:rsidRPr="00EE3E14">
        <w:rPr>
          <w:rFonts w:ascii="Times New Roman" w:hAnsi="Times New Roman" w:cs="Times New Roman"/>
          <w:sz w:val="24"/>
          <w:szCs w:val="24"/>
        </w:rPr>
        <w:t xml:space="preserve">if applicable, </w:t>
      </w:r>
      <w:r w:rsidR="00741707" w:rsidRPr="00EE3E14">
        <w:rPr>
          <w:rFonts w:ascii="Times New Roman" w:hAnsi="Times New Roman" w:cs="Times New Roman"/>
          <w:sz w:val="24"/>
          <w:szCs w:val="24"/>
        </w:rPr>
        <w:t xml:space="preserve">and mobile devices. </w:t>
      </w:r>
      <w:r w:rsidR="004C6A91" w:rsidRPr="00EE3E14">
        <w:rPr>
          <w:rFonts w:ascii="Times New Roman" w:hAnsi="Times New Roman" w:cs="Times New Roman"/>
          <w:sz w:val="24"/>
          <w:szCs w:val="24"/>
        </w:rPr>
        <w:t>R</w:t>
      </w:r>
      <w:r w:rsidR="00741707" w:rsidRPr="00EE3E14">
        <w:rPr>
          <w:rFonts w:ascii="Times New Roman" w:hAnsi="Times New Roman" w:cs="Times New Roman"/>
          <w:sz w:val="24"/>
          <w:szCs w:val="24"/>
        </w:rPr>
        <w:t>equester</w:t>
      </w:r>
      <w:r w:rsidRPr="00EE3E14">
        <w:rPr>
          <w:rFonts w:ascii="Times New Roman" w:hAnsi="Times New Roman" w:cs="Times New Roman"/>
          <w:sz w:val="24"/>
          <w:szCs w:val="24"/>
        </w:rPr>
        <w:t>s, who are registered in eRA Commons or those who have made previous data requests or submitted data to dbGaP, will have information from those systems automatically transferred to the</w:t>
      </w:r>
      <w:r w:rsidR="00741707" w:rsidRPr="00EE3E14">
        <w:rPr>
          <w:rFonts w:ascii="Times New Roman" w:hAnsi="Times New Roman" w:cs="Times New Roman"/>
          <w:sz w:val="24"/>
          <w:szCs w:val="24"/>
        </w:rPr>
        <w:t xml:space="preserve"> Project Renewal or Project C</w:t>
      </w:r>
      <w:r w:rsidRPr="00EE3E14">
        <w:rPr>
          <w:rFonts w:ascii="Times New Roman" w:hAnsi="Times New Roman" w:cs="Times New Roman"/>
          <w:sz w:val="24"/>
          <w:szCs w:val="24"/>
        </w:rPr>
        <w:t>lose-out forms, significantly reducing data entry time.</w:t>
      </w:r>
    </w:p>
    <w:p w14:paraId="5BBEF5F1" w14:textId="51E5F8DC" w:rsidR="00562D19" w:rsidRPr="00EE3E14" w:rsidRDefault="00562D19" w:rsidP="00562D19">
      <w:pPr>
        <w:rPr>
          <w:rFonts w:ascii="Times New Roman" w:hAnsi="Times New Roman" w:cs="Times New Roman"/>
          <w:sz w:val="24"/>
          <w:szCs w:val="24"/>
        </w:rPr>
      </w:pPr>
      <w:r w:rsidRPr="00EE3E14">
        <w:rPr>
          <w:rFonts w:ascii="Times New Roman" w:hAnsi="Times New Roman" w:cs="Times New Roman"/>
          <w:sz w:val="24"/>
          <w:szCs w:val="24"/>
        </w:rPr>
        <w:t xml:space="preserve">Table 12-1 shows the estimated burden hours for </w:t>
      </w:r>
      <w:r w:rsidR="004C6A91" w:rsidRPr="00EE3E14">
        <w:rPr>
          <w:rFonts w:ascii="Times New Roman" w:hAnsi="Times New Roman" w:cs="Times New Roman"/>
          <w:sz w:val="24"/>
          <w:szCs w:val="24"/>
        </w:rPr>
        <w:t>Project Renewal/Project C</w:t>
      </w:r>
      <w:r w:rsidRPr="00EE3E14">
        <w:rPr>
          <w:rFonts w:ascii="Times New Roman" w:hAnsi="Times New Roman" w:cs="Times New Roman"/>
          <w:sz w:val="24"/>
          <w:szCs w:val="24"/>
        </w:rPr>
        <w:t>lose-out forms.</w:t>
      </w:r>
    </w:p>
    <w:p w14:paraId="525A3EB1" w14:textId="356E2C4A" w:rsidR="00EC42F9" w:rsidRPr="00EE3E14" w:rsidRDefault="00562D19" w:rsidP="00EC42F9">
      <w:pPr>
        <w:rPr>
          <w:rFonts w:ascii="Times New Roman" w:hAnsi="Times New Roman" w:cs="Times New Roman"/>
          <w:sz w:val="24"/>
          <w:szCs w:val="24"/>
        </w:rPr>
      </w:pPr>
      <w:r w:rsidRPr="00EE3E14">
        <w:rPr>
          <w:rFonts w:ascii="Times New Roman" w:hAnsi="Times New Roman" w:cs="Times New Roman"/>
          <w:sz w:val="24"/>
          <w:szCs w:val="24"/>
        </w:rPr>
        <w:t xml:space="preserve">Based on simulations, NIH estimated that it will take an average of </w:t>
      </w:r>
      <w:r w:rsidR="00E33668" w:rsidRPr="00C404E1">
        <w:rPr>
          <w:rFonts w:ascii="Times New Roman" w:hAnsi="Times New Roman" w:cs="Times New Roman"/>
          <w:sz w:val="24"/>
          <w:szCs w:val="24"/>
        </w:rPr>
        <w:t>15/60</w:t>
      </w:r>
      <w:r w:rsidRPr="00C404E1">
        <w:rPr>
          <w:rFonts w:ascii="Times New Roman" w:hAnsi="Times New Roman" w:cs="Times New Roman"/>
          <w:sz w:val="24"/>
          <w:szCs w:val="24"/>
        </w:rPr>
        <w:t xml:space="preserve"> hours for the </w:t>
      </w:r>
      <w:r w:rsidR="004C6A91" w:rsidRPr="00C404E1">
        <w:rPr>
          <w:rFonts w:ascii="Times New Roman" w:hAnsi="Times New Roman" w:cs="Times New Roman"/>
          <w:sz w:val="24"/>
          <w:szCs w:val="24"/>
        </w:rPr>
        <w:t>requester</w:t>
      </w:r>
      <w:r w:rsidRPr="00EE3E14">
        <w:rPr>
          <w:rFonts w:ascii="Times New Roman" w:hAnsi="Times New Roman" w:cs="Times New Roman"/>
          <w:sz w:val="24"/>
          <w:szCs w:val="24"/>
        </w:rPr>
        <w:t xml:space="preserve"> to provide the required information and </w:t>
      </w:r>
      <w:r w:rsidR="00E33668" w:rsidRPr="00C404E1">
        <w:rPr>
          <w:rFonts w:ascii="Times New Roman" w:hAnsi="Times New Roman" w:cs="Times New Roman"/>
          <w:sz w:val="24"/>
          <w:szCs w:val="24"/>
        </w:rPr>
        <w:t>18/60</w:t>
      </w:r>
      <w:r w:rsidRPr="00C404E1">
        <w:rPr>
          <w:rFonts w:ascii="Times New Roman" w:hAnsi="Times New Roman" w:cs="Times New Roman"/>
          <w:sz w:val="24"/>
          <w:szCs w:val="24"/>
        </w:rPr>
        <w:t xml:space="preserve"> hours for the</w:t>
      </w:r>
      <w:r w:rsidR="004C6A91" w:rsidRPr="00C404E1">
        <w:rPr>
          <w:rFonts w:ascii="Times New Roman" w:hAnsi="Times New Roman" w:cs="Times New Roman"/>
          <w:sz w:val="24"/>
          <w:szCs w:val="24"/>
        </w:rPr>
        <w:t xml:space="preserve"> Institutional</w:t>
      </w:r>
      <w:r w:rsidRPr="00C404E1">
        <w:rPr>
          <w:rFonts w:ascii="Times New Roman" w:hAnsi="Times New Roman" w:cs="Times New Roman"/>
          <w:sz w:val="24"/>
          <w:szCs w:val="24"/>
        </w:rPr>
        <w:t xml:space="preserve"> Signing Official</w:t>
      </w:r>
      <w:r w:rsidRPr="00EE3E14">
        <w:rPr>
          <w:rFonts w:ascii="Times New Roman" w:hAnsi="Times New Roman" w:cs="Times New Roman"/>
          <w:sz w:val="24"/>
          <w:szCs w:val="24"/>
        </w:rPr>
        <w:t xml:space="preserve"> to review and approve the form and to confirm that data were deleted from the institution’s computer system for projects that are closed-out. To derive the annual hour burden for </w:t>
      </w:r>
      <w:r w:rsidR="004C6A91"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w:t>
      </w:r>
      <w:r w:rsidRPr="00C404E1">
        <w:rPr>
          <w:rFonts w:ascii="Times New Roman" w:hAnsi="Times New Roman" w:cs="Times New Roman"/>
          <w:sz w:val="24"/>
          <w:szCs w:val="24"/>
        </w:rPr>
        <w:t>NIH multiplied the frequency of response (2)</w:t>
      </w:r>
      <w:r w:rsidRPr="00EE3E14">
        <w:rPr>
          <w:rFonts w:ascii="Times New Roman" w:hAnsi="Times New Roman" w:cs="Times New Roman"/>
          <w:sz w:val="24"/>
          <w:szCs w:val="24"/>
        </w:rPr>
        <w:t xml:space="preserve"> by the number of</w:t>
      </w:r>
      <w:r w:rsidR="004C6A91" w:rsidRPr="00EE3E14">
        <w:rPr>
          <w:rFonts w:ascii="Times New Roman" w:hAnsi="Times New Roman" w:cs="Times New Roman"/>
          <w:sz w:val="24"/>
          <w:szCs w:val="24"/>
        </w:rPr>
        <w:t xml:space="preserve"> requesters</w:t>
      </w:r>
      <w:r w:rsidRPr="00EE3E14">
        <w:rPr>
          <w:rFonts w:ascii="Times New Roman" w:hAnsi="Times New Roman" w:cs="Times New Roman"/>
          <w:sz w:val="24"/>
          <w:szCs w:val="24"/>
        </w:rPr>
        <w:t xml:space="preserve"> (</w:t>
      </w:r>
      <w:r w:rsidR="004C6A91" w:rsidRPr="00C404E1">
        <w:rPr>
          <w:rFonts w:ascii="Times New Roman" w:hAnsi="Times New Roman" w:cs="Times New Roman"/>
          <w:sz w:val="24"/>
          <w:szCs w:val="24"/>
        </w:rPr>
        <w:t>1500</w:t>
      </w:r>
      <w:r w:rsidRPr="00C404E1">
        <w:rPr>
          <w:rFonts w:ascii="Times New Roman" w:hAnsi="Times New Roman" w:cs="Times New Roman"/>
          <w:sz w:val="24"/>
          <w:szCs w:val="24"/>
        </w:rPr>
        <w:t>)</w:t>
      </w:r>
      <w:r w:rsidRPr="00EE3E14">
        <w:rPr>
          <w:rFonts w:ascii="Times New Roman" w:hAnsi="Times New Roman" w:cs="Times New Roman"/>
          <w:sz w:val="24"/>
          <w:szCs w:val="24"/>
        </w:rPr>
        <w:t xml:space="preserve"> by the time it takes an investigator to complete a</w:t>
      </w:r>
      <w:r w:rsidR="00E33668" w:rsidRPr="00EE3E14">
        <w:rPr>
          <w:rFonts w:ascii="Times New Roman" w:hAnsi="Times New Roman" w:cs="Times New Roman"/>
          <w:sz w:val="24"/>
          <w:szCs w:val="24"/>
        </w:rPr>
        <w:t xml:space="preserve"> renewal or close-out form (15/60</w:t>
      </w:r>
      <w:r w:rsidRPr="00EE3E14">
        <w:rPr>
          <w:rFonts w:ascii="Times New Roman" w:hAnsi="Times New Roman" w:cs="Times New Roman"/>
          <w:sz w:val="24"/>
          <w:szCs w:val="24"/>
        </w:rPr>
        <w:t xml:space="preserve"> hour), for a total of </w:t>
      </w:r>
      <w:r w:rsidR="004C6A91" w:rsidRPr="00C404E1">
        <w:rPr>
          <w:rFonts w:ascii="Times New Roman" w:hAnsi="Times New Roman" w:cs="Times New Roman"/>
          <w:sz w:val="24"/>
          <w:szCs w:val="24"/>
        </w:rPr>
        <w:t>750</w:t>
      </w:r>
      <w:r w:rsidR="004C6A91" w:rsidRPr="00EE3E14">
        <w:rPr>
          <w:rFonts w:ascii="Times New Roman" w:hAnsi="Times New Roman" w:cs="Times New Roman"/>
          <w:sz w:val="24"/>
          <w:szCs w:val="24"/>
        </w:rPr>
        <w:t xml:space="preserve"> </w:t>
      </w:r>
      <w:r w:rsidRPr="00EE3E14">
        <w:rPr>
          <w:rFonts w:ascii="Times New Roman" w:hAnsi="Times New Roman" w:cs="Times New Roman"/>
          <w:sz w:val="24"/>
          <w:szCs w:val="24"/>
        </w:rPr>
        <w:t xml:space="preserve">hours. The same formula was used to derive the total annual burden for </w:t>
      </w:r>
      <w:r w:rsidR="004C6A91"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(i.e., the frequency was multiplied by the number of </w:t>
      </w:r>
      <w:r w:rsidR="004C6A91"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Signing Officials by the time it takes a</w:t>
      </w:r>
      <w:r w:rsidR="004C6A91" w:rsidRPr="00EE3E14">
        <w:rPr>
          <w:rFonts w:ascii="Times New Roman" w:hAnsi="Times New Roman" w:cs="Times New Roman"/>
          <w:sz w:val="24"/>
          <w:szCs w:val="24"/>
        </w:rPr>
        <w:t>n Institutional</w:t>
      </w:r>
      <w:r w:rsidRPr="00EE3E14">
        <w:rPr>
          <w:rFonts w:ascii="Times New Roman" w:hAnsi="Times New Roman" w:cs="Times New Roman"/>
          <w:sz w:val="24"/>
          <w:szCs w:val="24"/>
        </w:rPr>
        <w:t xml:space="preserve"> Signing Official to complete the certification process). The total annual hour burden for </w:t>
      </w:r>
      <w:r w:rsidR="008741B7"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is </w:t>
      </w:r>
      <w:r w:rsidR="004C6A91" w:rsidRPr="00C404E1">
        <w:rPr>
          <w:rFonts w:ascii="Times New Roman" w:hAnsi="Times New Roman" w:cs="Times New Roman"/>
          <w:sz w:val="24"/>
          <w:szCs w:val="24"/>
        </w:rPr>
        <w:t>900</w:t>
      </w:r>
      <w:r w:rsidRPr="00EE3E14">
        <w:rPr>
          <w:rFonts w:ascii="Times New Roman" w:hAnsi="Times New Roman" w:cs="Times New Roman"/>
          <w:sz w:val="24"/>
          <w:szCs w:val="24"/>
        </w:rPr>
        <w:t xml:space="preserve"> hours, with a total annual burden of </w:t>
      </w:r>
      <w:r w:rsidR="004C6A91" w:rsidRPr="00C404E1">
        <w:rPr>
          <w:rFonts w:ascii="Times New Roman" w:hAnsi="Times New Roman" w:cs="Times New Roman"/>
          <w:sz w:val="24"/>
          <w:szCs w:val="24"/>
        </w:rPr>
        <w:t>1650</w:t>
      </w:r>
      <w:r w:rsidR="00EC42F9" w:rsidRPr="00C404E1">
        <w:rPr>
          <w:rFonts w:ascii="Times New Roman" w:hAnsi="Times New Roman" w:cs="Times New Roman"/>
          <w:sz w:val="24"/>
          <w:szCs w:val="24"/>
        </w:rPr>
        <w:t xml:space="preserve"> </w:t>
      </w:r>
      <w:r w:rsidR="00EC42F9" w:rsidRPr="00EE3E14">
        <w:rPr>
          <w:rFonts w:ascii="Times New Roman" w:hAnsi="Times New Roman" w:cs="Times New Roman"/>
          <w:sz w:val="24"/>
          <w:szCs w:val="24"/>
        </w:rPr>
        <w:t>hours for all respondents.</w:t>
      </w:r>
    </w:p>
    <w:p w14:paraId="0D299877" w14:textId="6B23FFD7" w:rsidR="00EC42F9" w:rsidRPr="00EE3E14" w:rsidRDefault="00EC42F9" w:rsidP="00EC42F9">
      <w:pPr>
        <w:rPr>
          <w:rFonts w:ascii="Times New Roman" w:hAnsi="Times New Roman" w:cs="Times New Roman"/>
          <w:sz w:val="24"/>
          <w:szCs w:val="24"/>
        </w:rPr>
      </w:pPr>
      <w:r w:rsidRPr="00EE3E14">
        <w:rPr>
          <w:rFonts w:ascii="Times New Roman" w:hAnsi="Times New Roman" w:cs="Times New Roman"/>
          <w:b/>
          <w:sz w:val="24"/>
          <w:szCs w:val="24"/>
        </w:rPr>
        <w:t>A.12-1 Estimated Annualized Burden Hours</w:t>
      </w:r>
    </w:p>
    <w:tbl>
      <w:tblPr>
        <w:tblW w:w="4865" w:type="pct"/>
        <w:tblCellMar>
          <w:left w:w="120" w:type="dxa"/>
          <w:right w:w="120" w:type="dxa"/>
        </w:tblCellMar>
        <w:tblLook w:val="0000" w:firstRow="0" w:lastRow="0" w:firstColumn="0" w:lastColumn="0" w:noHBand="0" w:noVBand="0"/>
      </w:tblPr>
      <w:tblGrid>
        <w:gridCol w:w="1493"/>
        <w:gridCol w:w="1554"/>
        <w:gridCol w:w="2083"/>
        <w:gridCol w:w="1500"/>
        <w:gridCol w:w="1222"/>
        <w:gridCol w:w="1489"/>
      </w:tblGrid>
      <w:tr w:rsidR="006B4512" w:rsidRPr="00EE3E14" w14:paraId="1B020C1A" w14:textId="77777777" w:rsidTr="0069731B">
        <w:trPr>
          <w:cantSplit/>
          <w:trHeight w:val="1186"/>
        </w:trPr>
        <w:tc>
          <w:tcPr>
            <w:tcW w:w="799" w:type="pct"/>
            <w:tcBorders>
              <w:top w:val="single" w:sz="6" w:space="0" w:color="auto"/>
              <w:left w:val="single" w:sz="4" w:space="0" w:color="auto"/>
            </w:tcBorders>
            <w:shd w:val="clear" w:color="auto" w:fill="auto"/>
            <w:vAlign w:val="bottom"/>
          </w:tcPr>
          <w:p w14:paraId="34AD9657" w14:textId="14654EFC"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Form Name</w:t>
            </w:r>
          </w:p>
        </w:tc>
        <w:tc>
          <w:tcPr>
            <w:tcW w:w="832" w:type="pct"/>
            <w:tcBorders>
              <w:top w:val="single" w:sz="6" w:space="0" w:color="auto"/>
              <w:left w:val="single" w:sz="6" w:space="0" w:color="auto"/>
              <w:right w:val="single" w:sz="6" w:space="0" w:color="auto"/>
            </w:tcBorders>
            <w:vAlign w:val="bottom"/>
          </w:tcPr>
          <w:p w14:paraId="026D53BD" w14:textId="77777777"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Type of Respondents</w:t>
            </w:r>
          </w:p>
        </w:tc>
        <w:tc>
          <w:tcPr>
            <w:tcW w:w="1115" w:type="pct"/>
            <w:tcBorders>
              <w:top w:val="single" w:sz="6" w:space="0" w:color="auto"/>
              <w:left w:val="single" w:sz="6" w:space="0" w:color="auto"/>
            </w:tcBorders>
            <w:shd w:val="clear" w:color="auto" w:fill="auto"/>
            <w:vAlign w:val="bottom"/>
          </w:tcPr>
          <w:p w14:paraId="37321BC1" w14:textId="77777777"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Number of Respondents</w:t>
            </w:r>
          </w:p>
        </w:tc>
        <w:tc>
          <w:tcPr>
            <w:tcW w:w="803" w:type="pct"/>
            <w:tcBorders>
              <w:top w:val="single" w:sz="6" w:space="0" w:color="auto"/>
              <w:left w:val="single" w:sz="6" w:space="0" w:color="auto"/>
            </w:tcBorders>
            <w:shd w:val="clear" w:color="auto" w:fill="auto"/>
            <w:vAlign w:val="bottom"/>
          </w:tcPr>
          <w:p w14:paraId="185F8765" w14:textId="77777777"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Number of Responses per Respondent</w:t>
            </w:r>
          </w:p>
        </w:tc>
        <w:tc>
          <w:tcPr>
            <w:tcW w:w="654" w:type="pct"/>
            <w:tcBorders>
              <w:top w:val="single" w:sz="6" w:space="0" w:color="auto"/>
              <w:left w:val="single" w:sz="6" w:space="0" w:color="auto"/>
            </w:tcBorders>
            <w:shd w:val="clear" w:color="auto" w:fill="auto"/>
            <w:vAlign w:val="bottom"/>
          </w:tcPr>
          <w:p w14:paraId="23D9F4BA" w14:textId="77777777" w:rsidR="00EC42F9" w:rsidRPr="00EE3E14" w:rsidRDefault="00EC42F9" w:rsidP="005324F5">
            <w:pPr>
              <w:tabs>
                <w:tab w:val="right" w:pos="2361"/>
              </w:tabs>
              <w:jc w:val="center"/>
              <w:rPr>
                <w:rFonts w:ascii="Times New Roman" w:hAnsi="Times New Roman" w:cs="Times New Roman"/>
                <w:sz w:val="24"/>
                <w:szCs w:val="24"/>
              </w:rPr>
            </w:pPr>
            <w:r w:rsidRPr="00EE3E14">
              <w:rPr>
                <w:rFonts w:ascii="Times New Roman" w:hAnsi="Times New Roman" w:cs="Times New Roman"/>
                <w:sz w:val="24"/>
                <w:szCs w:val="24"/>
              </w:rPr>
              <w:t>Average Burden Per  Response (in hours)</w:t>
            </w:r>
          </w:p>
        </w:tc>
        <w:tc>
          <w:tcPr>
            <w:tcW w:w="797" w:type="pct"/>
            <w:tcBorders>
              <w:top w:val="single" w:sz="6" w:space="0" w:color="auto"/>
              <w:left w:val="single" w:sz="6" w:space="0" w:color="auto"/>
              <w:right w:val="single" w:sz="4" w:space="0" w:color="auto"/>
            </w:tcBorders>
            <w:shd w:val="clear" w:color="auto" w:fill="auto"/>
            <w:vAlign w:val="bottom"/>
          </w:tcPr>
          <w:p w14:paraId="7B8E3E89" w14:textId="0D93D74B"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Total Annual Burden Hours</w:t>
            </w:r>
          </w:p>
        </w:tc>
      </w:tr>
      <w:tr w:rsidR="00EC42F9" w:rsidRPr="00EE3E14" w14:paraId="2918B07F" w14:textId="77777777" w:rsidTr="005324F5">
        <w:trPr>
          <w:cantSplit/>
          <w:trHeight w:val="552"/>
        </w:trPr>
        <w:tc>
          <w:tcPr>
            <w:tcW w:w="5000" w:type="pct"/>
            <w:gridSpan w:val="6"/>
            <w:tcBorders>
              <w:top w:val="single" w:sz="6" w:space="0" w:color="auto"/>
              <w:left w:val="single" w:sz="4" w:space="0" w:color="auto"/>
              <w:right w:val="single" w:sz="4" w:space="0" w:color="auto"/>
            </w:tcBorders>
            <w:shd w:val="clear" w:color="auto" w:fill="auto"/>
            <w:vAlign w:val="bottom"/>
          </w:tcPr>
          <w:p w14:paraId="212BD1B4" w14:textId="55AE1D17" w:rsidR="00EC42F9" w:rsidRPr="00EE3E14" w:rsidRDefault="00EC42F9" w:rsidP="000D583C">
            <w:pPr>
              <w:rPr>
                <w:rFonts w:ascii="Times New Roman" w:hAnsi="Times New Roman" w:cs="Times New Roman"/>
                <w:sz w:val="24"/>
                <w:szCs w:val="24"/>
              </w:rPr>
            </w:pPr>
            <w:r w:rsidRPr="00EE3E14">
              <w:rPr>
                <w:rFonts w:ascii="Times New Roman" w:hAnsi="Times New Roman" w:cs="Times New Roman"/>
                <w:sz w:val="24"/>
                <w:szCs w:val="24"/>
              </w:rPr>
              <w:t>Study Registration and Data Submission</w:t>
            </w:r>
          </w:p>
        </w:tc>
      </w:tr>
      <w:tr w:rsidR="006B4512" w:rsidRPr="00EE3E14" w14:paraId="328FA6EF" w14:textId="77777777" w:rsidTr="0069731B">
        <w:trPr>
          <w:cantSplit/>
          <w:trHeight w:val="50"/>
        </w:trPr>
        <w:tc>
          <w:tcPr>
            <w:tcW w:w="799" w:type="pct"/>
            <w:tcBorders>
              <w:top w:val="single" w:sz="6" w:space="0" w:color="auto"/>
              <w:left w:val="single" w:sz="4" w:space="0" w:color="auto"/>
            </w:tcBorders>
            <w:shd w:val="clear" w:color="auto" w:fill="auto"/>
            <w:vAlign w:val="bottom"/>
          </w:tcPr>
          <w:p w14:paraId="3896FE83" w14:textId="25357678" w:rsidR="00EC42F9" w:rsidRPr="00EE3E14" w:rsidRDefault="00F91BF0" w:rsidP="005324F5">
            <w:pPr>
              <w:jc w:val="center"/>
              <w:rPr>
                <w:rFonts w:ascii="Times New Roman" w:hAnsi="Times New Roman" w:cs="Times New Roman"/>
                <w:sz w:val="24"/>
                <w:szCs w:val="24"/>
              </w:rPr>
            </w:pPr>
            <w:r w:rsidRPr="00EE3E14">
              <w:rPr>
                <w:rFonts w:ascii="Times New Roman" w:hAnsi="Times New Roman" w:cs="Times New Roman"/>
                <w:sz w:val="24"/>
                <w:szCs w:val="24"/>
              </w:rPr>
              <w:t>dbGaP Registration and Submission</w:t>
            </w:r>
          </w:p>
        </w:tc>
        <w:tc>
          <w:tcPr>
            <w:tcW w:w="832" w:type="pct"/>
            <w:tcBorders>
              <w:top w:val="single" w:sz="6" w:space="0" w:color="auto"/>
              <w:left w:val="single" w:sz="6" w:space="0" w:color="auto"/>
              <w:right w:val="single" w:sz="6" w:space="0" w:color="auto"/>
            </w:tcBorders>
            <w:vAlign w:val="bottom"/>
          </w:tcPr>
          <w:p w14:paraId="13AEC2DB" w14:textId="77015862"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Investigator Submitting Data</w:t>
            </w:r>
          </w:p>
        </w:tc>
        <w:tc>
          <w:tcPr>
            <w:tcW w:w="1115" w:type="pct"/>
            <w:tcBorders>
              <w:top w:val="single" w:sz="6" w:space="0" w:color="auto"/>
              <w:left w:val="single" w:sz="6" w:space="0" w:color="auto"/>
            </w:tcBorders>
            <w:shd w:val="clear" w:color="auto" w:fill="auto"/>
            <w:vAlign w:val="bottom"/>
          </w:tcPr>
          <w:p w14:paraId="3276082D" w14:textId="58B98C2E" w:rsidR="00EC42F9" w:rsidRPr="00EE3E14" w:rsidRDefault="000F420E" w:rsidP="005324F5">
            <w:pPr>
              <w:jc w:val="center"/>
              <w:rPr>
                <w:rFonts w:ascii="Times New Roman" w:hAnsi="Times New Roman" w:cs="Times New Roman"/>
                <w:sz w:val="24"/>
                <w:szCs w:val="24"/>
              </w:rPr>
            </w:pPr>
            <w:r w:rsidRPr="00C404E1">
              <w:rPr>
                <w:rFonts w:ascii="Times New Roman" w:hAnsi="Times New Roman" w:cs="Times New Roman"/>
                <w:sz w:val="24"/>
                <w:szCs w:val="24"/>
              </w:rPr>
              <w:t>300</w:t>
            </w:r>
          </w:p>
        </w:tc>
        <w:tc>
          <w:tcPr>
            <w:tcW w:w="803" w:type="pct"/>
            <w:tcBorders>
              <w:top w:val="single" w:sz="6" w:space="0" w:color="auto"/>
              <w:left w:val="single" w:sz="6" w:space="0" w:color="auto"/>
            </w:tcBorders>
            <w:shd w:val="clear" w:color="auto" w:fill="auto"/>
            <w:vAlign w:val="bottom"/>
          </w:tcPr>
          <w:p w14:paraId="75247E29" w14:textId="626D151E" w:rsidR="00EC42F9" w:rsidRPr="00EE3E14" w:rsidRDefault="006B4512" w:rsidP="005324F5">
            <w:pPr>
              <w:jc w:val="center"/>
              <w:rPr>
                <w:rFonts w:ascii="Times New Roman" w:hAnsi="Times New Roman" w:cs="Times New Roman"/>
                <w:sz w:val="24"/>
                <w:szCs w:val="24"/>
              </w:rPr>
            </w:pPr>
            <w:r w:rsidRPr="00EE3E14">
              <w:rPr>
                <w:rFonts w:ascii="Times New Roman" w:hAnsi="Times New Roman" w:cs="Times New Roman"/>
                <w:sz w:val="24"/>
                <w:szCs w:val="24"/>
              </w:rPr>
              <w:t>1</w:t>
            </w:r>
          </w:p>
        </w:tc>
        <w:tc>
          <w:tcPr>
            <w:tcW w:w="654" w:type="pct"/>
            <w:tcBorders>
              <w:top w:val="single" w:sz="6" w:space="0" w:color="auto"/>
              <w:left w:val="single" w:sz="6" w:space="0" w:color="auto"/>
            </w:tcBorders>
            <w:shd w:val="clear" w:color="auto" w:fill="auto"/>
            <w:vAlign w:val="bottom"/>
          </w:tcPr>
          <w:p w14:paraId="1408E69B" w14:textId="03F67C6C" w:rsidR="00EC42F9" w:rsidRPr="00EE3E14" w:rsidRDefault="006B4512" w:rsidP="005324F5">
            <w:pPr>
              <w:jc w:val="center"/>
              <w:rPr>
                <w:rFonts w:ascii="Times New Roman" w:hAnsi="Times New Roman" w:cs="Times New Roman"/>
                <w:sz w:val="24"/>
                <w:szCs w:val="24"/>
              </w:rPr>
            </w:pPr>
            <w:r w:rsidRPr="00EE3E14">
              <w:rPr>
                <w:rFonts w:ascii="Times New Roman" w:hAnsi="Times New Roman" w:cs="Times New Roman"/>
                <w:sz w:val="24"/>
                <w:szCs w:val="24"/>
              </w:rPr>
              <w:t>1</w:t>
            </w:r>
          </w:p>
        </w:tc>
        <w:tc>
          <w:tcPr>
            <w:tcW w:w="797" w:type="pct"/>
            <w:tcBorders>
              <w:top w:val="single" w:sz="6" w:space="0" w:color="auto"/>
              <w:left w:val="single" w:sz="6" w:space="0" w:color="auto"/>
              <w:right w:val="single" w:sz="4" w:space="0" w:color="auto"/>
            </w:tcBorders>
            <w:shd w:val="clear" w:color="auto" w:fill="auto"/>
            <w:vAlign w:val="bottom"/>
          </w:tcPr>
          <w:p w14:paraId="34837797" w14:textId="78F1ABE0" w:rsidR="00EC42F9" w:rsidRPr="00EE3E14" w:rsidRDefault="000F420E" w:rsidP="005324F5">
            <w:pPr>
              <w:jc w:val="center"/>
              <w:rPr>
                <w:rFonts w:ascii="Times New Roman" w:hAnsi="Times New Roman" w:cs="Times New Roman"/>
                <w:sz w:val="24"/>
                <w:szCs w:val="24"/>
              </w:rPr>
            </w:pPr>
            <w:r w:rsidRPr="00C404E1">
              <w:rPr>
                <w:rFonts w:ascii="Times New Roman" w:hAnsi="Times New Roman" w:cs="Times New Roman"/>
                <w:sz w:val="24"/>
                <w:szCs w:val="24"/>
              </w:rPr>
              <w:t>300</w:t>
            </w:r>
          </w:p>
        </w:tc>
      </w:tr>
      <w:tr w:rsidR="006B4512" w:rsidRPr="00EE3E14" w14:paraId="70BBF127" w14:textId="77777777" w:rsidTr="0069731B">
        <w:trPr>
          <w:cantSplit/>
          <w:trHeight w:val="78"/>
        </w:trPr>
        <w:tc>
          <w:tcPr>
            <w:tcW w:w="799" w:type="pct"/>
            <w:tcBorders>
              <w:top w:val="single" w:sz="6" w:space="0" w:color="auto"/>
              <w:left w:val="single" w:sz="4" w:space="0" w:color="auto"/>
            </w:tcBorders>
            <w:shd w:val="clear" w:color="auto" w:fill="auto"/>
            <w:vAlign w:val="bottom"/>
          </w:tcPr>
          <w:p w14:paraId="4C03F8D0" w14:textId="6143D77E" w:rsidR="00EC42F9"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Institutional Certification</w:t>
            </w:r>
          </w:p>
        </w:tc>
        <w:tc>
          <w:tcPr>
            <w:tcW w:w="832" w:type="pct"/>
            <w:tcBorders>
              <w:top w:val="single" w:sz="6" w:space="0" w:color="auto"/>
              <w:left w:val="single" w:sz="6" w:space="0" w:color="auto"/>
              <w:right w:val="single" w:sz="6" w:space="0" w:color="auto"/>
            </w:tcBorders>
            <w:vAlign w:val="bottom"/>
          </w:tcPr>
          <w:p w14:paraId="4F6D232C" w14:textId="1052D2C9" w:rsidR="00EC42F9" w:rsidRPr="00EE3E14" w:rsidRDefault="00EC42F9" w:rsidP="005324F5">
            <w:pPr>
              <w:jc w:val="center"/>
              <w:rPr>
                <w:rFonts w:ascii="Times New Roman" w:hAnsi="Times New Roman" w:cs="Times New Roman"/>
                <w:sz w:val="24"/>
                <w:szCs w:val="24"/>
              </w:rPr>
            </w:pPr>
            <w:r w:rsidRPr="00EE3E14">
              <w:rPr>
                <w:rFonts w:ascii="Times New Roman" w:hAnsi="Times New Roman" w:cs="Times New Roman"/>
                <w:sz w:val="24"/>
                <w:szCs w:val="24"/>
              </w:rPr>
              <w:t>Institutional Official to Certify Submission</w:t>
            </w:r>
          </w:p>
        </w:tc>
        <w:tc>
          <w:tcPr>
            <w:tcW w:w="1115" w:type="pct"/>
            <w:tcBorders>
              <w:top w:val="single" w:sz="6" w:space="0" w:color="auto"/>
              <w:left w:val="single" w:sz="6" w:space="0" w:color="auto"/>
            </w:tcBorders>
            <w:shd w:val="clear" w:color="auto" w:fill="auto"/>
            <w:vAlign w:val="bottom"/>
          </w:tcPr>
          <w:p w14:paraId="28EB2022" w14:textId="61439681" w:rsidR="00EC42F9" w:rsidRPr="00EE3E14" w:rsidRDefault="000F420E" w:rsidP="005324F5">
            <w:pPr>
              <w:jc w:val="center"/>
              <w:rPr>
                <w:rFonts w:ascii="Times New Roman" w:hAnsi="Times New Roman" w:cs="Times New Roman"/>
                <w:sz w:val="24"/>
                <w:szCs w:val="24"/>
              </w:rPr>
            </w:pPr>
            <w:r w:rsidRPr="00C404E1">
              <w:rPr>
                <w:rFonts w:ascii="Times New Roman" w:hAnsi="Times New Roman" w:cs="Times New Roman"/>
                <w:sz w:val="24"/>
                <w:szCs w:val="24"/>
              </w:rPr>
              <w:t>300</w:t>
            </w:r>
          </w:p>
        </w:tc>
        <w:tc>
          <w:tcPr>
            <w:tcW w:w="803" w:type="pct"/>
            <w:tcBorders>
              <w:top w:val="single" w:sz="6" w:space="0" w:color="auto"/>
              <w:left w:val="single" w:sz="6" w:space="0" w:color="auto"/>
            </w:tcBorders>
            <w:shd w:val="clear" w:color="auto" w:fill="auto"/>
            <w:vAlign w:val="bottom"/>
          </w:tcPr>
          <w:p w14:paraId="5F3C8753" w14:textId="0DD01D08" w:rsidR="00EC42F9" w:rsidRPr="00EE3E14" w:rsidRDefault="006B4512" w:rsidP="005324F5">
            <w:pPr>
              <w:jc w:val="center"/>
              <w:rPr>
                <w:rFonts w:ascii="Times New Roman" w:hAnsi="Times New Roman" w:cs="Times New Roman"/>
                <w:sz w:val="24"/>
                <w:szCs w:val="24"/>
              </w:rPr>
            </w:pPr>
            <w:r w:rsidRPr="00EE3E14">
              <w:rPr>
                <w:rFonts w:ascii="Times New Roman" w:hAnsi="Times New Roman" w:cs="Times New Roman"/>
                <w:sz w:val="24"/>
                <w:szCs w:val="24"/>
              </w:rPr>
              <w:t>1</w:t>
            </w:r>
          </w:p>
        </w:tc>
        <w:tc>
          <w:tcPr>
            <w:tcW w:w="654" w:type="pct"/>
            <w:tcBorders>
              <w:top w:val="single" w:sz="6" w:space="0" w:color="auto"/>
              <w:left w:val="single" w:sz="6" w:space="0" w:color="auto"/>
            </w:tcBorders>
            <w:shd w:val="clear" w:color="auto" w:fill="auto"/>
            <w:vAlign w:val="bottom"/>
          </w:tcPr>
          <w:p w14:paraId="3020663A" w14:textId="78A2C0F0" w:rsidR="00EC42F9" w:rsidRPr="00EE3E14" w:rsidRDefault="00E33668" w:rsidP="005324F5">
            <w:pPr>
              <w:jc w:val="center"/>
              <w:rPr>
                <w:rFonts w:ascii="Times New Roman" w:hAnsi="Times New Roman" w:cs="Times New Roman"/>
                <w:sz w:val="24"/>
                <w:szCs w:val="24"/>
              </w:rPr>
            </w:pPr>
            <w:r w:rsidRPr="00EE3E14">
              <w:rPr>
                <w:rFonts w:ascii="Times New Roman" w:hAnsi="Times New Roman" w:cs="Times New Roman"/>
                <w:sz w:val="24"/>
                <w:szCs w:val="24"/>
              </w:rPr>
              <w:t>30/60</w:t>
            </w:r>
          </w:p>
        </w:tc>
        <w:tc>
          <w:tcPr>
            <w:tcW w:w="797" w:type="pct"/>
            <w:tcBorders>
              <w:top w:val="single" w:sz="6" w:space="0" w:color="auto"/>
              <w:left w:val="single" w:sz="6" w:space="0" w:color="auto"/>
              <w:right w:val="single" w:sz="4" w:space="0" w:color="auto"/>
            </w:tcBorders>
            <w:shd w:val="clear" w:color="auto" w:fill="auto"/>
            <w:vAlign w:val="bottom"/>
          </w:tcPr>
          <w:p w14:paraId="65FE8833" w14:textId="6A5BA87C" w:rsidR="00EC42F9" w:rsidRPr="00EE3E14" w:rsidRDefault="000F420E" w:rsidP="005324F5">
            <w:pPr>
              <w:jc w:val="center"/>
              <w:rPr>
                <w:rFonts w:ascii="Times New Roman" w:hAnsi="Times New Roman" w:cs="Times New Roman"/>
                <w:sz w:val="24"/>
                <w:szCs w:val="24"/>
              </w:rPr>
            </w:pPr>
            <w:r w:rsidRPr="00C404E1">
              <w:rPr>
                <w:rFonts w:ascii="Times New Roman" w:hAnsi="Times New Roman" w:cs="Times New Roman"/>
                <w:sz w:val="24"/>
                <w:szCs w:val="24"/>
              </w:rPr>
              <w:t>150</w:t>
            </w:r>
          </w:p>
        </w:tc>
      </w:tr>
      <w:tr w:rsidR="000D583C" w:rsidRPr="00EE3E14" w14:paraId="3070175F" w14:textId="77777777" w:rsidTr="000D583C">
        <w:trPr>
          <w:cantSplit/>
          <w:trHeight w:val="78"/>
        </w:trPr>
        <w:tc>
          <w:tcPr>
            <w:tcW w:w="5000" w:type="pct"/>
            <w:gridSpan w:val="6"/>
            <w:tcBorders>
              <w:top w:val="single" w:sz="6" w:space="0" w:color="auto"/>
              <w:left w:val="single" w:sz="4" w:space="0" w:color="auto"/>
              <w:bottom w:val="single" w:sz="6" w:space="0" w:color="auto"/>
              <w:right w:val="single" w:sz="4" w:space="0" w:color="auto"/>
            </w:tcBorders>
            <w:shd w:val="clear" w:color="auto" w:fill="BFBFBF" w:themeFill="background1" w:themeFillShade="BF"/>
            <w:vAlign w:val="bottom"/>
          </w:tcPr>
          <w:p w14:paraId="3FD02D8C" w14:textId="77777777" w:rsidR="000D583C" w:rsidRPr="00EE3E14" w:rsidRDefault="000D583C" w:rsidP="005324F5">
            <w:pPr>
              <w:jc w:val="center"/>
              <w:rPr>
                <w:rFonts w:ascii="Times New Roman" w:hAnsi="Times New Roman" w:cs="Times New Roman"/>
                <w:sz w:val="24"/>
                <w:szCs w:val="24"/>
              </w:rPr>
            </w:pPr>
          </w:p>
        </w:tc>
      </w:tr>
      <w:tr w:rsidR="000F420E" w:rsidRPr="00EE3E14" w14:paraId="28B1C71F" w14:textId="77777777" w:rsidTr="005324F5">
        <w:trPr>
          <w:cantSplit/>
          <w:trHeight w:val="547"/>
        </w:trPr>
        <w:tc>
          <w:tcPr>
            <w:tcW w:w="5000" w:type="pct"/>
            <w:gridSpan w:val="6"/>
            <w:tcBorders>
              <w:top w:val="single" w:sz="6" w:space="0" w:color="auto"/>
              <w:left w:val="single" w:sz="4" w:space="0" w:color="auto"/>
              <w:bottom w:val="single" w:sz="6" w:space="0" w:color="auto"/>
              <w:right w:val="single" w:sz="4" w:space="0" w:color="auto"/>
            </w:tcBorders>
            <w:shd w:val="clear" w:color="auto" w:fill="auto"/>
            <w:vAlign w:val="bottom"/>
          </w:tcPr>
          <w:p w14:paraId="6BD36AB6" w14:textId="7958B12B" w:rsidR="000F420E" w:rsidRPr="00EE3E14" w:rsidRDefault="000F420E" w:rsidP="000D583C">
            <w:pPr>
              <w:rPr>
                <w:rFonts w:ascii="Times New Roman" w:hAnsi="Times New Roman" w:cs="Times New Roman"/>
                <w:sz w:val="24"/>
                <w:szCs w:val="24"/>
              </w:rPr>
            </w:pPr>
            <w:r w:rsidRPr="00EE3E14">
              <w:rPr>
                <w:rFonts w:ascii="Times New Roman" w:hAnsi="Times New Roman" w:cs="Times New Roman"/>
                <w:sz w:val="24"/>
                <w:szCs w:val="24"/>
              </w:rPr>
              <w:t>Requesting Access to Data</w:t>
            </w:r>
          </w:p>
        </w:tc>
      </w:tr>
      <w:tr w:rsidR="000F420E" w:rsidRPr="00EE3E14" w14:paraId="28D0714A" w14:textId="77777777" w:rsidTr="0069731B">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14:paraId="3D5BB948" w14:textId="110988D8" w:rsidR="000F420E"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Data Access Request</w:t>
            </w:r>
          </w:p>
        </w:tc>
        <w:tc>
          <w:tcPr>
            <w:tcW w:w="832" w:type="pct"/>
            <w:tcBorders>
              <w:top w:val="single" w:sz="6" w:space="0" w:color="auto"/>
              <w:left w:val="single" w:sz="6" w:space="0" w:color="auto"/>
              <w:bottom w:val="single" w:sz="6" w:space="0" w:color="auto"/>
              <w:right w:val="single" w:sz="6" w:space="0" w:color="auto"/>
            </w:tcBorders>
            <w:shd w:val="clear" w:color="auto" w:fill="auto"/>
            <w:vAlign w:val="bottom"/>
          </w:tcPr>
          <w:p w14:paraId="02DFCAC3" w14:textId="3D21FC43" w:rsidR="000F420E" w:rsidRPr="00EE3E14" w:rsidRDefault="00B85F3A" w:rsidP="005324F5">
            <w:pPr>
              <w:jc w:val="center"/>
              <w:rPr>
                <w:rFonts w:ascii="Times New Roman" w:hAnsi="Times New Roman" w:cs="Times New Roman"/>
                <w:sz w:val="24"/>
                <w:szCs w:val="24"/>
              </w:rPr>
            </w:pPr>
            <w:r w:rsidRPr="00EE3E14">
              <w:rPr>
                <w:rFonts w:ascii="Times New Roman" w:hAnsi="Times New Roman" w:cs="Times New Roman"/>
                <w:sz w:val="24"/>
                <w:szCs w:val="24"/>
              </w:rPr>
              <w:t>Requester</w:t>
            </w:r>
            <w:r w:rsidR="002B1124" w:rsidRPr="00EE3E14">
              <w:rPr>
                <w:rFonts w:ascii="Times New Roman" w:hAnsi="Times New Roman" w:cs="Times New Roman"/>
                <w:sz w:val="24"/>
                <w:szCs w:val="24"/>
              </w:rPr>
              <w:t xml:space="preserve"> Submitting Request</w:t>
            </w:r>
          </w:p>
        </w:tc>
        <w:tc>
          <w:tcPr>
            <w:tcW w:w="1115" w:type="pct"/>
            <w:tcBorders>
              <w:top w:val="single" w:sz="6" w:space="0" w:color="auto"/>
              <w:left w:val="single" w:sz="6" w:space="0" w:color="auto"/>
              <w:bottom w:val="single" w:sz="6" w:space="0" w:color="auto"/>
            </w:tcBorders>
            <w:shd w:val="clear" w:color="auto" w:fill="auto"/>
            <w:vAlign w:val="bottom"/>
          </w:tcPr>
          <w:p w14:paraId="5E7258E1" w14:textId="2FAB57E9" w:rsidR="000F420E" w:rsidRPr="00EE3E14" w:rsidRDefault="000F420E" w:rsidP="00812579">
            <w:pPr>
              <w:jc w:val="center"/>
              <w:rPr>
                <w:rFonts w:ascii="Times New Roman" w:hAnsi="Times New Roman" w:cs="Times New Roman"/>
                <w:sz w:val="24"/>
                <w:szCs w:val="24"/>
              </w:rPr>
            </w:pPr>
            <w:r w:rsidRPr="00C404E1">
              <w:rPr>
                <w:rFonts w:ascii="Times New Roman" w:hAnsi="Times New Roman" w:cs="Times New Roman"/>
                <w:sz w:val="24"/>
                <w:szCs w:val="24"/>
              </w:rPr>
              <w:t>1</w:t>
            </w:r>
            <w:r w:rsidR="00661D19" w:rsidRPr="00C404E1">
              <w:rPr>
                <w:rFonts w:ascii="Times New Roman" w:hAnsi="Times New Roman" w:cs="Times New Roman"/>
                <w:sz w:val="24"/>
                <w:szCs w:val="24"/>
              </w:rPr>
              <w:t>,</w:t>
            </w:r>
            <w:r w:rsidR="00A0648E">
              <w:rPr>
                <w:rFonts w:ascii="Times New Roman" w:hAnsi="Times New Roman" w:cs="Times New Roman"/>
                <w:sz w:val="24"/>
                <w:szCs w:val="24"/>
              </w:rPr>
              <w:t>5</w:t>
            </w:r>
            <w:r w:rsidR="00812579" w:rsidRPr="00C404E1">
              <w:rPr>
                <w:rFonts w:ascii="Times New Roman" w:hAnsi="Times New Roman" w:cs="Times New Roman"/>
                <w:sz w:val="24"/>
                <w:szCs w:val="24"/>
              </w:rPr>
              <w:t>00</w:t>
            </w:r>
          </w:p>
        </w:tc>
        <w:tc>
          <w:tcPr>
            <w:tcW w:w="803" w:type="pct"/>
            <w:tcBorders>
              <w:top w:val="single" w:sz="6" w:space="0" w:color="auto"/>
              <w:left w:val="single" w:sz="6" w:space="0" w:color="auto"/>
              <w:bottom w:val="single" w:sz="6" w:space="0" w:color="auto"/>
            </w:tcBorders>
            <w:shd w:val="clear" w:color="auto" w:fill="auto"/>
            <w:vAlign w:val="bottom"/>
          </w:tcPr>
          <w:p w14:paraId="63C898DD" w14:textId="219B5D06" w:rsidR="000F420E"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2</w:t>
            </w:r>
          </w:p>
        </w:tc>
        <w:tc>
          <w:tcPr>
            <w:tcW w:w="654" w:type="pct"/>
            <w:tcBorders>
              <w:top w:val="single" w:sz="6" w:space="0" w:color="auto"/>
              <w:left w:val="single" w:sz="6" w:space="0" w:color="auto"/>
              <w:bottom w:val="single" w:sz="6" w:space="0" w:color="auto"/>
            </w:tcBorders>
            <w:shd w:val="clear" w:color="auto" w:fill="auto"/>
            <w:vAlign w:val="bottom"/>
          </w:tcPr>
          <w:p w14:paraId="219D410F" w14:textId="5DB9DB5D" w:rsidR="000F420E" w:rsidRPr="00EE3E14" w:rsidRDefault="00E33668" w:rsidP="005324F5">
            <w:pPr>
              <w:jc w:val="center"/>
              <w:rPr>
                <w:rFonts w:ascii="Times New Roman" w:hAnsi="Times New Roman" w:cs="Times New Roman"/>
                <w:sz w:val="24"/>
                <w:szCs w:val="24"/>
              </w:rPr>
            </w:pPr>
            <w:r w:rsidRPr="00EE3E14">
              <w:rPr>
                <w:rFonts w:ascii="Times New Roman" w:hAnsi="Times New Roman" w:cs="Times New Roman"/>
                <w:sz w:val="24"/>
                <w:szCs w:val="24"/>
              </w:rPr>
              <w:t>45/60</w:t>
            </w:r>
          </w:p>
        </w:tc>
        <w:tc>
          <w:tcPr>
            <w:tcW w:w="797" w:type="pct"/>
            <w:tcBorders>
              <w:top w:val="single" w:sz="6" w:space="0" w:color="auto"/>
              <w:left w:val="single" w:sz="6" w:space="0" w:color="auto"/>
              <w:bottom w:val="single" w:sz="6" w:space="0" w:color="auto"/>
              <w:right w:val="single" w:sz="4" w:space="0" w:color="auto"/>
            </w:tcBorders>
            <w:shd w:val="clear" w:color="auto" w:fill="auto"/>
            <w:vAlign w:val="bottom"/>
          </w:tcPr>
          <w:p w14:paraId="28D5B012" w14:textId="61DA9C6F" w:rsidR="000F420E"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2</w:t>
            </w:r>
            <w:r w:rsidR="00AC0931" w:rsidRPr="00C404E1">
              <w:rPr>
                <w:rFonts w:ascii="Times New Roman" w:hAnsi="Times New Roman" w:cs="Times New Roman"/>
                <w:sz w:val="24"/>
                <w:szCs w:val="24"/>
              </w:rPr>
              <w:t>,</w:t>
            </w:r>
            <w:r w:rsidRPr="00C404E1">
              <w:rPr>
                <w:rFonts w:ascii="Times New Roman" w:hAnsi="Times New Roman" w:cs="Times New Roman"/>
                <w:sz w:val="24"/>
                <w:szCs w:val="24"/>
              </w:rPr>
              <w:t>250</w:t>
            </w:r>
          </w:p>
        </w:tc>
      </w:tr>
      <w:tr w:rsidR="000F420E" w:rsidRPr="00EE3E14" w14:paraId="15E43BCE" w14:textId="77777777" w:rsidTr="0069731B">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14:paraId="071EECB7" w14:textId="7BB6FF21" w:rsidR="000F420E"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Data Access Request</w:t>
            </w:r>
          </w:p>
        </w:tc>
        <w:tc>
          <w:tcPr>
            <w:tcW w:w="832" w:type="pct"/>
            <w:tcBorders>
              <w:top w:val="single" w:sz="6" w:space="0" w:color="auto"/>
              <w:left w:val="single" w:sz="6" w:space="0" w:color="auto"/>
              <w:bottom w:val="single" w:sz="6" w:space="0" w:color="auto"/>
              <w:right w:val="single" w:sz="6" w:space="0" w:color="auto"/>
            </w:tcBorders>
            <w:shd w:val="clear" w:color="auto" w:fill="auto"/>
            <w:vAlign w:val="bottom"/>
          </w:tcPr>
          <w:p w14:paraId="486BED6A" w14:textId="02AEDB7D" w:rsidR="000F420E"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Institutional Signing Official to Certify Request</w:t>
            </w:r>
          </w:p>
        </w:tc>
        <w:tc>
          <w:tcPr>
            <w:tcW w:w="1115" w:type="pct"/>
            <w:tcBorders>
              <w:top w:val="single" w:sz="6" w:space="0" w:color="auto"/>
              <w:left w:val="single" w:sz="6" w:space="0" w:color="auto"/>
              <w:bottom w:val="single" w:sz="6" w:space="0" w:color="auto"/>
            </w:tcBorders>
            <w:shd w:val="clear" w:color="auto" w:fill="auto"/>
            <w:vAlign w:val="bottom"/>
          </w:tcPr>
          <w:p w14:paraId="6F7FD98A" w14:textId="5B585704" w:rsidR="000F420E" w:rsidRPr="00EE3E14" w:rsidRDefault="000F420E" w:rsidP="00812579">
            <w:pPr>
              <w:jc w:val="center"/>
              <w:rPr>
                <w:rFonts w:ascii="Times New Roman" w:hAnsi="Times New Roman" w:cs="Times New Roman"/>
                <w:sz w:val="24"/>
                <w:szCs w:val="24"/>
              </w:rPr>
            </w:pPr>
            <w:r w:rsidRPr="00C404E1">
              <w:rPr>
                <w:rFonts w:ascii="Times New Roman" w:hAnsi="Times New Roman" w:cs="Times New Roman"/>
                <w:sz w:val="24"/>
                <w:szCs w:val="24"/>
              </w:rPr>
              <w:t>1</w:t>
            </w:r>
            <w:r w:rsidR="00661D19" w:rsidRPr="00C404E1">
              <w:rPr>
                <w:rFonts w:ascii="Times New Roman" w:hAnsi="Times New Roman" w:cs="Times New Roman"/>
                <w:sz w:val="24"/>
                <w:szCs w:val="24"/>
              </w:rPr>
              <w:t>,</w:t>
            </w:r>
            <w:r w:rsidR="00A0648E">
              <w:rPr>
                <w:rFonts w:ascii="Times New Roman" w:hAnsi="Times New Roman" w:cs="Times New Roman"/>
                <w:sz w:val="24"/>
                <w:szCs w:val="24"/>
              </w:rPr>
              <w:t>5</w:t>
            </w:r>
            <w:r w:rsidR="00812579" w:rsidRPr="00C404E1">
              <w:rPr>
                <w:rFonts w:ascii="Times New Roman" w:hAnsi="Times New Roman" w:cs="Times New Roman"/>
                <w:sz w:val="24"/>
                <w:szCs w:val="24"/>
              </w:rPr>
              <w:t>00</w:t>
            </w:r>
          </w:p>
        </w:tc>
        <w:tc>
          <w:tcPr>
            <w:tcW w:w="803" w:type="pct"/>
            <w:tcBorders>
              <w:top w:val="single" w:sz="6" w:space="0" w:color="auto"/>
              <w:left w:val="single" w:sz="6" w:space="0" w:color="auto"/>
              <w:bottom w:val="single" w:sz="6" w:space="0" w:color="auto"/>
            </w:tcBorders>
            <w:shd w:val="clear" w:color="auto" w:fill="auto"/>
            <w:vAlign w:val="bottom"/>
          </w:tcPr>
          <w:p w14:paraId="16C981C4" w14:textId="604C7F94" w:rsidR="000F420E" w:rsidRPr="00EE3E14" w:rsidRDefault="000F420E" w:rsidP="005324F5">
            <w:pPr>
              <w:jc w:val="center"/>
              <w:rPr>
                <w:rFonts w:ascii="Times New Roman" w:hAnsi="Times New Roman" w:cs="Times New Roman"/>
                <w:sz w:val="24"/>
                <w:szCs w:val="24"/>
              </w:rPr>
            </w:pPr>
            <w:r w:rsidRPr="00EE3E14">
              <w:rPr>
                <w:rFonts w:ascii="Times New Roman" w:hAnsi="Times New Roman" w:cs="Times New Roman"/>
                <w:sz w:val="24"/>
                <w:szCs w:val="24"/>
              </w:rPr>
              <w:t>2</w:t>
            </w:r>
          </w:p>
        </w:tc>
        <w:tc>
          <w:tcPr>
            <w:tcW w:w="654" w:type="pct"/>
            <w:tcBorders>
              <w:top w:val="single" w:sz="6" w:space="0" w:color="auto"/>
              <w:left w:val="single" w:sz="6" w:space="0" w:color="auto"/>
              <w:bottom w:val="single" w:sz="6" w:space="0" w:color="auto"/>
            </w:tcBorders>
            <w:shd w:val="clear" w:color="auto" w:fill="auto"/>
            <w:vAlign w:val="bottom"/>
          </w:tcPr>
          <w:p w14:paraId="4B83EEC8" w14:textId="3A423EEF" w:rsidR="000F420E" w:rsidRPr="00EE3E14" w:rsidRDefault="00E33668" w:rsidP="005324F5">
            <w:pPr>
              <w:jc w:val="center"/>
              <w:rPr>
                <w:rFonts w:ascii="Times New Roman" w:hAnsi="Times New Roman" w:cs="Times New Roman"/>
                <w:sz w:val="24"/>
                <w:szCs w:val="24"/>
              </w:rPr>
            </w:pPr>
            <w:r w:rsidRPr="00EE3E14">
              <w:rPr>
                <w:rFonts w:ascii="Times New Roman" w:hAnsi="Times New Roman" w:cs="Times New Roman"/>
                <w:sz w:val="24"/>
                <w:szCs w:val="24"/>
              </w:rPr>
              <w:t>30/60</w:t>
            </w:r>
          </w:p>
        </w:tc>
        <w:tc>
          <w:tcPr>
            <w:tcW w:w="797" w:type="pct"/>
            <w:tcBorders>
              <w:top w:val="single" w:sz="6" w:space="0" w:color="auto"/>
              <w:left w:val="single" w:sz="6" w:space="0" w:color="auto"/>
              <w:bottom w:val="single" w:sz="6" w:space="0" w:color="auto"/>
              <w:right w:val="single" w:sz="4" w:space="0" w:color="auto"/>
            </w:tcBorders>
            <w:shd w:val="clear" w:color="auto" w:fill="auto"/>
            <w:vAlign w:val="bottom"/>
          </w:tcPr>
          <w:p w14:paraId="1F6C3970" w14:textId="5E8650E7" w:rsidR="000F420E"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1</w:t>
            </w:r>
            <w:r w:rsidR="00AC0931" w:rsidRPr="00C404E1">
              <w:rPr>
                <w:rFonts w:ascii="Times New Roman" w:hAnsi="Times New Roman" w:cs="Times New Roman"/>
                <w:sz w:val="24"/>
                <w:szCs w:val="24"/>
              </w:rPr>
              <w:t>,</w:t>
            </w:r>
            <w:r w:rsidRPr="00C404E1">
              <w:rPr>
                <w:rFonts w:ascii="Times New Roman" w:hAnsi="Times New Roman" w:cs="Times New Roman"/>
                <w:sz w:val="24"/>
                <w:szCs w:val="24"/>
              </w:rPr>
              <w:t>500</w:t>
            </w:r>
          </w:p>
        </w:tc>
      </w:tr>
      <w:tr w:rsidR="000D583C" w:rsidRPr="00EE3E14" w14:paraId="188443A6" w14:textId="77777777" w:rsidTr="000D583C">
        <w:trPr>
          <w:cantSplit/>
          <w:trHeight w:val="78"/>
        </w:trPr>
        <w:tc>
          <w:tcPr>
            <w:tcW w:w="5000" w:type="pct"/>
            <w:gridSpan w:val="6"/>
            <w:tcBorders>
              <w:top w:val="single" w:sz="6" w:space="0" w:color="auto"/>
              <w:left w:val="single" w:sz="4" w:space="0" w:color="auto"/>
              <w:bottom w:val="single" w:sz="6" w:space="0" w:color="auto"/>
              <w:right w:val="single" w:sz="4" w:space="0" w:color="auto"/>
            </w:tcBorders>
            <w:shd w:val="clear" w:color="auto" w:fill="BFBFBF" w:themeFill="background1" w:themeFillShade="BF"/>
            <w:vAlign w:val="bottom"/>
          </w:tcPr>
          <w:p w14:paraId="61F1E8FE" w14:textId="77777777" w:rsidR="000D583C" w:rsidRPr="00EE3E14" w:rsidRDefault="000D583C" w:rsidP="005324F5">
            <w:pPr>
              <w:jc w:val="center"/>
              <w:rPr>
                <w:rFonts w:ascii="Times New Roman" w:hAnsi="Times New Roman" w:cs="Times New Roman"/>
                <w:sz w:val="24"/>
                <w:szCs w:val="24"/>
              </w:rPr>
            </w:pPr>
          </w:p>
        </w:tc>
      </w:tr>
      <w:tr w:rsidR="00661D19" w:rsidRPr="00EE3E14" w14:paraId="08191BE0" w14:textId="77777777" w:rsidTr="005324F5">
        <w:trPr>
          <w:cantSplit/>
          <w:trHeight w:val="547"/>
        </w:trPr>
        <w:tc>
          <w:tcPr>
            <w:tcW w:w="5000" w:type="pct"/>
            <w:gridSpan w:val="6"/>
            <w:tcBorders>
              <w:top w:val="single" w:sz="6" w:space="0" w:color="auto"/>
              <w:left w:val="single" w:sz="4" w:space="0" w:color="auto"/>
              <w:bottom w:val="single" w:sz="6" w:space="0" w:color="auto"/>
              <w:right w:val="single" w:sz="4" w:space="0" w:color="auto"/>
            </w:tcBorders>
            <w:shd w:val="clear" w:color="auto" w:fill="auto"/>
            <w:vAlign w:val="bottom"/>
          </w:tcPr>
          <w:p w14:paraId="58E9456C" w14:textId="620A627A" w:rsidR="00661D19" w:rsidRPr="00EE3E14" w:rsidRDefault="00661D19" w:rsidP="000D583C">
            <w:pPr>
              <w:rPr>
                <w:rFonts w:ascii="Times New Roman" w:hAnsi="Times New Roman" w:cs="Times New Roman"/>
                <w:sz w:val="24"/>
                <w:szCs w:val="24"/>
              </w:rPr>
            </w:pPr>
            <w:r w:rsidRPr="00EE3E14">
              <w:rPr>
                <w:rFonts w:ascii="Times New Roman" w:hAnsi="Times New Roman" w:cs="Times New Roman"/>
                <w:sz w:val="24"/>
                <w:szCs w:val="24"/>
              </w:rPr>
              <w:t>Project Renewal or Project Close-out</w:t>
            </w:r>
          </w:p>
        </w:tc>
      </w:tr>
      <w:tr w:rsidR="00661D19" w:rsidRPr="00EE3E14" w14:paraId="521A9973" w14:textId="77777777" w:rsidTr="0069731B">
        <w:trPr>
          <w:cantSplit/>
          <w:trHeight w:val="78"/>
        </w:trPr>
        <w:tc>
          <w:tcPr>
            <w:tcW w:w="799" w:type="pct"/>
            <w:tcBorders>
              <w:top w:val="single" w:sz="6" w:space="0" w:color="auto"/>
              <w:left w:val="single" w:sz="4" w:space="0" w:color="auto"/>
              <w:bottom w:val="single" w:sz="4" w:space="0" w:color="auto"/>
            </w:tcBorders>
            <w:shd w:val="clear" w:color="auto" w:fill="auto"/>
            <w:vAlign w:val="bottom"/>
          </w:tcPr>
          <w:p w14:paraId="5A24BD85" w14:textId="7AC288D9" w:rsidR="00661D19" w:rsidRPr="00EE3E14" w:rsidRDefault="00661D19" w:rsidP="005324F5">
            <w:pPr>
              <w:jc w:val="center"/>
              <w:rPr>
                <w:rFonts w:ascii="Times New Roman" w:hAnsi="Times New Roman" w:cs="Times New Roman"/>
                <w:sz w:val="24"/>
                <w:szCs w:val="24"/>
              </w:rPr>
            </w:pPr>
            <w:r w:rsidRPr="00EE3E14">
              <w:rPr>
                <w:rFonts w:ascii="Times New Roman" w:hAnsi="Times New Roman" w:cs="Times New Roman"/>
                <w:sz w:val="24"/>
                <w:szCs w:val="24"/>
              </w:rPr>
              <w:t>Project Renewal or Project Close-out form</w:t>
            </w:r>
          </w:p>
        </w:tc>
        <w:tc>
          <w:tcPr>
            <w:tcW w:w="832" w:type="pct"/>
            <w:tcBorders>
              <w:top w:val="single" w:sz="6" w:space="0" w:color="auto"/>
              <w:left w:val="single" w:sz="6" w:space="0" w:color="auto"/>
              <w:bottom w:val="single" w:sz="4" w:space="0" w:color="auto"/>
              <w:right w:val="single" w:sz="6" w:space="0" w:color="auto"/>
            </w:tcBorders>
            <w:shd w:val="clear" w:color="auto" w:fill="auto"/>
            <w:vAlign w:val="bottom"/>
          </w:tcPr>
          <w:p w14:paraId="4E87835D" w14:textId="5BD75C3F" w:rsidR="00661D19" w:rsidRPr="00EE3E14" w:rsidRDefault="00B85F3A" w:rsidP="005324F5">
            <w:pPr>
              <w:jc w:val="center"/>
              <w:rPr>
                <w:rFonts w:ascii="Times New Roman" w:hAnsi="Times New Roman" w:cs="Times New Roman"/>
                <w:sz w:val="24"/>
                <w:szCs w:val="24"/>
              </w:rPr>
            </w:pPr>
            <w:r w:rsidRPr="00EE3E14">
              <w:rPr>
                <w:rFonts w:ascii="Times New Roman" w:hAnsi="Times New Roman" w:cs="Times New Roman"/>
                <w:sz w:val="24"/>
                <w:szCs w:val="24"/>
              </w:rPr>
              <w:t>Requester</w:t>
            </w:r>
            <w:r w:rsidR="002B1124" w:rsidRPr="00EE3E14">
              <w:rPr>
                <w:rFonts w:ascii="Times New Roman" w:hAnsi="Times New Roman" w:cs="Times New Roman"/>
                <w:sz w:val="24"/>
                <w:szCs w:val="24"/>
              </w:rPr>
              <w:t xml:space="preserve"> Submitting Request</w:t>
            </w:r>
          </w:p>
        </w:tc>
        <w:tc>
          <w:tcPr>
            <w:tcW w:w="1115" w:type="pct"/>
            <w:tcBorders>
              <w:top w:val="single" w:sz="6" w:space="0" w:color="auto"/>
              <w:left w:val="single" w:sz="6" w:space="0" w:color="auto"/>
              <w:bottom w:val="single" w:sz="4" w:space="0" w:color="auto"/>
            </w:tcBorders>
            <w:shd w:val="clear" w:color="auto" w:fill="auto"/>
            <w:vAlign w:val="bottom"/>
          </w:tcPr>
          <w:p w14:paraId="3FC75DC7" w14:textId="7B6348CB" w:rsidR="00661D19"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1,500</w:t>
            </w:r>
          </w:p>
        </w:tc>
        <w:tc>
          <w:tcPr>
            <w:tcW w:w="803" w:type="pct"/>
            <w:tcBorders>
              <w:top w:val="single" w:sz="6" w:space="0" w:color="auto"/>
              <w:left w:val="single" w:sz="6" w:space="0" w:color="auto"/>
              <w:bottom w:val="single" w:sz="4" w:space="0" w:color="auto"/>
            </w:tcBorders>
            <w:shd w:val="clear" w:color="auto" w:fill="auto"/>
            <w:vAlign w:val="bottom"/>
          </w:tcPr>
          <w:p w14:paraId="5E6570B6" w14:textId="51E61829" w:rsidR="00661D19" w:rsidRPr="00EE3E14" w:rsidRDefault="00661D19" w:rsidP="005324F5">
            <w:pPr>
              <w:jc w:val="center"/>
              <w:rPr>
                <w:rFonts w:ascii="Times New Roman" w:hAnsi="Times New Roman" w:cs="Times New Roman"/>
                <w:sz w:val="24"/>
                <w:szCs w:val="24"/>
              </w:rPr>
            </w:pPr>
            <w:r w:rsidRPr="00EE3E14">
              <w:rPr>
                <w:rFonts w:ascii="Times New Roman" w:hAnsi="Times New Roman" w:cs="Times New Roman"/>
                <w:sz w:val="24"/>
                <w:szCs w:val="24"/>
              </w:rPr>
              <w:t>2</w:t>
            </w:r>
          </w:p>
        </w:tc>
        <w:tc>
          <w:tcPr>
            <w:tcW w:w="654" w:type="pct"/>
            <w:tcBorders>
              <w:top w:val="single" w:sz="6" w:space="0" w:color="auto"/>
              <w:left w:val="single" w:sz="6" w:space="0" w:color="auto"/>
              <w:bottom w:val="single" w:sz="4" w:space="0" w:color="auto"/>
            </w:tcBorders>
            <w:shd w:val="clear" w:color="auto" w:fill="auto"/>
            <w:vAlign w:val="bottom"/>
          </w:tcPr>
          <w:p w14:paraId="74A1D2A7" w14:textId="1B184F9B" w:rsidR="00661D19" w:rsidRPr="00EE3E14" w:rsidRDefault="00E33668" w:rsidP="005324F5">
            <w:pPr>
              <w:jc w:val="center"/>
              <w:rPr>
                <w:rFonts w:ascii="Times New Roman" w:hAnsi="Times New Roman" w:cs="Times New Roman"/>
                <w:sz w:val="24"/>
                <w:szCs w:val="24"/>
              </w:rPr>
            </w:pPr>
            <w:r w:rsidRPr="00EE3E14">
              <w:rPr>
                <w:rFonts w:ascii="Times New Roman" w:hAnsi="Times New Roman" w:cs="Times New Roman"/>
                <w:sz w:val="24"/>
                <w:szCs w:val="24"/>
              </w:rPr>
              <w:t>15/60</w:t>
            </w:r>
          </w:p>
        </w:tc>
        <w:tc>
          <w:tcPr>
            <w:tcW w:w="797" w:type="pct"/>
            <w:tcBorders>
              <w:top w:val="single" w:sz="6" w:space="0" w:color="auto"/>
              <w:left w:val="single" w:sz="6" w:space="0" w:color="auto"/>
              <w:bottom w:val="single" w:sz="4" w:space="0" w:color="auto"/>
              <w:right w:val="single" w:sz="4" w:space="0" w:color="auto"/>
            </w:tcBorders>
            <w:shd w:val="clear" w:color="auto" w:fill="auto"/>
            <w:vAlign w:val="bottom"/>
          </w:tcPr>
          <w:p w14:paraId="7F1B3704" w14:textId="6160437B" w:rsidR="00661D19"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750</w:t>
            </w:r>
          </w:p>
        </w:tc>
      </w:tr>
      <w:tr w:rsidR="00661D19" w:rsidRPr="00EE3E14" w14:paraId="249D73EF" w14:textId="77777777" w:rsidTr="0069731B">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14:paraId="315B7E3E" w14:textId="4370D7BC" w:rsidR="00661D19" w:rsidRPr="00EE3E14" w:rsidRDefault="00661D19" w:rsidP="005324F5">
            <w:pPr>
              <w:jc w:val="center"/>
              <w:rPr>
                <w:rFonts w:ascii="Times New Roman" w:hAnsi="Times New Roman" w:cs="Times New Roman"/>
                <w:sz w:val="24"/>
                <w:szCs w:val="24"/>
              </w:rPr>
            </w:pPr>
            <w:r w:rsidRPr="00EE3E14">
              <w:rPr>
                <w:rFonts w:ascii="Times New Roman" w:hAnsi="Times New Roman" w:cs="Times New Roman"/>
                <w:sz w:val="24"/>
                <w:szCs w:val="24"/>
              </w:rPr>
              <w:t>Project Renewal or Project Close-out form</w:t>
            </w:r>
          </w:p>
        </w:tc>
        <w:tc>
          <w:tcPr>
            <w:tcW w:w="832" w:type="pct"/>
            <w:tcBorders>
              <w:top w:val="single" w:sz="6" w:space="0" w:color="auto"/>
              <w:left w:val="single" w:sz="6" w:space="0" w:color="auto"/>
              <w:bottom w:val="single" w:sz="6" w:space="0" w:color="auto"/>
              <w:right w:val="single" w:sz="6" w:space="0" w:color="auto"/>
            </w:tcBorders>
            <w:shd w:val="clear" w:color="auto" w:fill="auto"/>
            <w:vAlign w:val="bottom"/>
          </w:tcPr>
          <w:p w14:paraId="1E06D815" w14:textId="477555A4" w:rsidR="00661D19" w:rsidRPr="00EE3E14" w:rsidRDefault="00661D19" w:rsidP="005324F5">
            <w:pPr>
              <w:jc w:val="center"/>
              <w:rPr>
                <w:rFonts w:ascii="Times New Roman" w:hAnsi="Times New Roman" w:cs="Times New Roman"/>
                <w:sz w:val="24"/>
                <w:szCs w:val="24"/>
              </w:rPr>
            </w:pPr>
            <w:r w:rsidRPr="00EE3E14">
              <w:rPr>
                <w:rFonts w:ascii="Times New Roman" w:hAnsi="Times New Roman" w:cs="Times New Roman"/>
                <w:sz w:val="24"/>
                <w:szCs w:val="24"/>
              </w:rPr>
              <w:t>Institutional Signing Official to Certify Request</w:t>
            </w:r>
          </w:p>
        </w:tc>
        <w:tc>
          <w:tcPr>
            <w:tcW w:w="1115" w:type="pct"/>
            <w:tcBorders>
              <w:top w:val="single" w:sz="6" w:space="0" w:color="auto"/>
              <w:left w:val="single" w:sz="6" w:space="0" w:color="auto"/>
              <w:bottom w:val="single" w:sz="6" w:space="0" w:color="auto"/>
            </w:tcBorders>
            <w:shd w:val="clear" w:color="auto" w:fill="auto"/>
            <w:vAlign w:val="bottom"/>
          </w:tcPr>
          <w:p w14:paraId="079C6304" w14:textId="2AEC9A3E" w:rsidR="00661D19"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1,500</w:t>
            </w:r>
          </w:p>
        </w:tc>
        <w:tc>
          <w:tcPr>
            <w:tcW w:w="803" w:type="pct"/>
            <w:tcBorders>
              <w:top w:val="single" w:sz="6" w:space="0" w:color="auto"/>
              <w:left w:val="single" w:sz="6" w:space="0" w:color="auto"/>
              <w:bottom w:val="single" w:sz="6" w:space="0" w:color="auto"/>
            </w:tcBorders>
            <w:shd w:val="clear" w:color="auto" w:fill="auto"/>
            <w:vAlign w:val="bottom"/>
          </w:tcPr>
          <w:p w14:paraId="158F4B93" w14:textId="0339BC5B" w:rsidR="00661D19" w:rsidRPr="00EE3E14" w:rsidRDefault="00661D19" w:rsidP="005324F5">
            <w:pPr>
              <w:jc w:val="center"/>
              <w:rPr>
                <w:rFonts w:ascii="Times New Roman" w:hAnsi="Times New Roman" w:cs="Times New Roman"/>
                <w:sz w:val="24"/>
                <w:szCs w:val="24"/>
              </w:rPr>
            </w:pPr>
            <w:r w:rsidRPr="00EE3E14">
              <w:rPr>
                <w:rFonts w:ascii="Times New Roman" w:hAnsi="Times New Roman" w:cs="Times New Roman"/>
                <w:sz w:val="24"/>
                <w:szCs w:val="24"/>
              </w:rPr>
              <w:t>2</w:t>
            </w:r>
          </w:p>
        </w:tc>
        <w:tc>
          <w:tcPr>
            <w:tcW w:w="654" w:type="pct"/>
            <w:tcBorders>
              <w:top w:val="single" w:sz="6" w:space="0" w:color="auto"/>
              <w:left w:val="single" w:sz="6" w:space="0" w:color="auto"/>
              <w:bottom w:val="single" w:sz="6" w:space="0" w:color="auto"/>
            </w:tcBorders>
            <w:shd w:val="clear" w:color="auto" w:fill="auto"/>
            <w:vAlign w:val="bottom"/>
          </w:tcPr>
          <w:p w14:paraId="355305F1" w14:textId="7A191F49" w:rsidR="00661D19" w:rsidRPr="00EE3E14" w:rsidRDefault="00E33668" w:rsidP="005324F5">
            <w:pPr>
              <w:jc w:val="center"/>
              <w:rPr>
                <w:rFonts w:ascii="Times New Roman" w:hAnsi="Times New Roman" w:cs="Times New Roman"/>
                <w:sz w:val="24"/>
                <w:szCs w:val="24"/>
              </w:rPr>
            </w:pPr>
            <w:r w:rsidRPr="00EE3E14">
              <w:rPr>
                <w:rFonts w:ascii="Times New Roman" w:hAnsi="Times New Roman" w:cs="Times New Roman"/>
                <w:sz w:val="24"/>
                <w:szCs w:val="24"/>
              </w:rPr>
              <w:t>18/60</w:t>
            </w:r>
          </w:p>
        </w:tc>
        <w:tc>
          <w:tcPr>
            <w:tcW w:w="797" w:type="pct"/>
            <w:tcBorders>
              <w:top w:val="single" w:sz="6" w:space="0" w:color="auto"/>
              <w:left w:val="single" w:sz="6" w:space="0" w:color="auto"/>
              <w:bottom w:val="single" w:sz="6" w:space="0" w:color="auto"/>
              <w:right w:val="single" w:sz="4" w:space="0" w:color="auto"/>
            </w:tcBorders>
            <w:shd w:val="clear" w:color="auto" w:fill="auto"/>
            <w:vAlign w:val="bottom"/>
          </w:tcPr>
          <w:p w14:paraId="4D17C997" w14:textId="4509B327" w:rsidR="00661D19" w:rsidRPr="00EE3E14" w:rsidRDefault="00661D19" w:rsidP="005324F5">
            <w:pPr>
              <w:jc w:val="center"/>
              <w:rPr>
                <w:rFonts w:ascii="Times New Roman" w:hAnsi="Times New Roman" w:cs="Times New Roman"/>
                <w:sz w:val="24"/>
                <w:szCs w:val="24"/>
              </w:rPr>
            </w:pPr>
            <w:r w:rsidRPr="00C404E1">
              <w:rPr>
                <w:rFonts w:ascii="Times New Roman" w:hAnsi="Times New Roman" w:cs="Times New Roman"/>
                <w:sz w:val="24"/>
                <w:szCs w:val="24"/>
              </w:rPr>
              <w:t>900</w:t>
            </w:r>
          </w:p>
        </w:tc>
      </w:tr>
      <w:tr w:rsidR="00A0648E" w:rsidRPr="00EE3E14" w14:paraId="14252E6C" w14:textId="77777777" w:rsidTr="0069731B">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14:paraId="5B24BE91" w14:textId="6347F551" w:rsidR="00A0648E" w:rsidRPr="00A0648E" w:rsidRDefault="00A0648E" w:rsidP="005324F5">
            <w:pPr>
              <w:jc w:val="center"/>
              <w:rPr>
                <w:rFonts w:ascii="Times New Roman" w:hAnsi="Times New Roman" w:cs="Times New Roman"/>
                <w:b/>
                <w:sz w:val="24"/>
                <w:szCs w:val="24"/>
              </w:rPr>
            </w:pPr>
            <w:r w:rsidRPr="00A0648E">
              <w:rPr>
                <w:rFonts w:ascii="Times New Roman" w:hAnsi="Times New Roman" w:cs="Times New Roman"/>
                <w:b/>
                <w:sz w:val="24"/>
                <w:szCs w:val="24"/>
              </w:rPr>
              <w:t>Total</w:t>
            </w:r>
          </w:p>
        </w:tc>
        <w:tc>
          <w:tcPr>
            <w:tcW w:w="832" w:type="pct"/>
            <w:tcBorders>
              <w:top w:val="single" w:sz="6" w:space="0" w:color="auto"/>
              <w:left w:val="single" w:sz="6" w:space="0" w:color="auto"/>
              <w:bottom w:val="single" w:sz="6" w:space="0" w:color="auto"/>
              <w:right w:val="single" w:sz="6" w:space="0" w:color="auto"/>
            </w:tcBorders>
            <w:shd w:val="clear" w:color="auto" w:fill="auto"/>
            <w:vAlign w:val="bottom"/>
          </w:tcPr>
          <w:p w14:paraId="2BAF9725" w14:textId="77777777" w:rsidR="00A0648E" w:rsidRPr="00EE3E14" w:rsidRDefault="00A0648E" w:rsidP="005324F5">
            <w:pPr>
              <w:jc w:val="center"/>
              <w:rPr>
                <w:rFonts w:ascii="Times New Roman" w:hAnsi="Times New Roman" w:cs="Times New Roman"/>
                <w:sz w:val="24"/>
                <w:szCs w:val="24"/>
              </w:rPr>
            </w:pPr>
          </w:p>
        </w:tc>
        <w:tc>
          <w:tcPr>
            <w:tcW w:w="1115" w:type="pct"/>
            <w:tcBorders>
              <w:top w:val="single" w:sz="6" w:space="0" w:color="auto"/>
              <w:left w:val="single" w:sz="6" w:space="0" w:color="auto"/>
              <w:bottom w:val="single" w:sz="6" w:space="0" w:color="auto"/>
            </w:tcBorders>
            <w:shd w:val="clear" w:color="auto" w:fill="auto"/>
            <w:vAlign w:val="bottom"/>
          </w:tcPr>
          <w:p w14:paraId="0A463173" w14:textId="77777777" w:rsidR="00A0648E" w:rsidRPr="00C404E1" w:rsidRDefault="00A0648E" w:rsidP="005324F5">
            <w:pPr>
              <w:jc w:val="center"/>
              <w:rPr>
                <w:rFonts w:ascii="Times New Roman" w:hAnsi="Times New Roman" w:cs="Times New Roman"/>
                <w:sz w:val="24"/>
                <w:szCs w:val="24"/>
              </w:rPr>
            </w:pPr>
          </w:p>
        </w:tc>
        <w:tc>
          <w:tcPr>
            <w:tcW w:w="803" w:type="pct"/>
            <w:tcBorders>
              <w:top w:val="single" w:sz="6" w:space="0" w:color="auto"/>
              <w:left w:val="single" w:sz="6" w:space="0" w:color="auto"/>
              <w:bottom w:val="single" w:sz="6" w:space="0" w:color="auto"/>
            </w:tcBorders>
            <w:shd w:val="clear" w:color="auto" w:fill="auto"/>
            <w:vAlign w:val="bottom"/>
          </w:tcPr>
          <w:p w14:paraId="41E3B56F" w14:textId="4FEF3ED1" w:rsidR="00A0648E" w:rsidRPr="00EE3E14" w:rsidRDefault="003F55E3" w:rsidP="005324F5">
            <w:pPr>
              <w:jc w:val="center"/>
              <w:rPr>
                <w:rFonts w:ascii="Times New Roman" w:hAnsi="Times New Roman" w:cs="Times New Roman"/>
                <w:sz w:val="24"/>
                <w:szCs w:val="24"/>
              </w:rPr>
            </w:pPr>
            <w:r>
              <w:rPr>
                <w:rFonts w:ascii="Times New Roman" w:hAnsi="Times New Roman" w:cs="Times New Roman"/>
                <w:sz w:val="24"/>
                <w:szCs w:val="24"/>
              </w:rPr>
              <w:t>12,600</w:t>
            </w:r>
          </w:p>
        </w:tc>
        <w:tc>
          <w:tcPr>
            <w:tcW w:w="654" w:type="pct"/>
            <w:tcBorders>
              <w:top w:val="single" w:sz="6" w:space="0" w:color="auto"/>
              <w:left w:val="single" w:sz="6" w:space="0" w:color="auto"/>
              <w:bottom w:val="single" w:sz="6" w:space="0" w:color="auto"/>
            </w:tcBorders>
            <w:shd w:val="clear" w:color="auto" w:fill="auto"/>
            <w:vAlign w:val="bottom"/>
          </w:tcPr>
          <w:p w14:paraId="57B4470D" w14:textId="77777777" w:rsidR="00A0648E" w:rsidRPr="00EE3E14" w:rsidRDefault="00A0648E" w:rsidP="005324F5">
            <w:pPr>
              <w:jc w:val="center"/>
              <w:rPr>
                <w:rFonts w:ascii="Times New Roman" w:hAnsi="Times New Roman" w:cs="Times New Roman"/>
                <w:sz w:val="24"/>
                <w:szCs w:val="24"/>
              </w:rPr>
            </w:pPr>
          </w:p>
        </w:tc>
        <w:tc>
          <w:tcPr>
            <w:tcW w:w="797" w:type="pct"/>
            <w:tcBorders>
              <w:top w:val="single" w:sz="6" w:space="0" w:color="auto"/>
              <w:left w:val="single" w:sz="6" w:space="0" w:color="auto"/>
              <w:bottom w:val="single" w:sz="6" w:space="0" w:color="auto"/>
              <w:right w:val="single" w:sz="4" w:space="0" w:color="auto"/>
            </w:tcBorders>
            <w:shd w:val="clear" w:color="auto" w:fill="auto"/>
            <w:vAlign w:val="bottom"/>
          </w:tcPr>
          <w:p w14:paraId="3A16B4DC" w14:textId="2BBB8723" w:rsidR="00A0648E" w:rsidRPr="00C404E1" w:rsidRDefault="00F51389" w:rsidP="005324F5">
            <w:pPr>
              <w:jc w:val="center"/>
              <w:rPr>
                <w:rFonts w:ascii="Times New Roman" w:hAnsi="Times New Roman" w:cs="Times New Roman"/>
                <w:sz w:val="24"/>
                <w:szCs w:val="24"/>
              </w:rPr>
            </w:pPr>
            <w:r>
              <w:rPr>
                <w:rFonts w:ascii="Times New Roman" w:hAnsi="Times New Roman" w:cs="Times New Roman"/>
                <w:sz w:val="24"/>
                <w:szCs w:val="24"/>
              </w:rPr>
              <w:t>5,850</w:t>
            </w:r>
          </w:p>
        </w:tc>
      </w:tr>
    </w:tbl>
    <w:p w14:paraId="190E3317" w14:textId="77777777" w:rsidR="00EC42F9" w:rsidRPr="00EE3E14" w:rsidRDefault="00EC42F9" w:rsidP="00EC42F9">
      <w:pPr>
        <w:rPr>
          <w:rFonts w:ascii="Times New Roman" w:hAnsi="Times New Roman" w:cs="Times New Roman"/>
          <w:sz w:val="24"/>
          <w:szCs w:val="24"/>
        </w:rPr>
      </w:pPr>
    </w:p>
    <w:p w14:paraId="4C5E370B" w14:textId="77777777" w:rsidR="00363775" w:rsidRPr="00EE3E14" w:rsidRDefault="00363775" w:rsidP="00363775">
      <w:pPr>
        <w:spacing w:after="0" w:line="240" w:lineRule="auto"/>
        <w:rPr>
          <w:rFonts w:ascii="Times New Roman" w:eastAsia="Times New Roman" w:hAnsi="Times New Roman" w:cs="Times New Roman"/>
          <w:b/>
          <w:smallCaps/>
          <w:color w:val="000000"/>
          <w:sz w:val="24"/>
          <w:szCs w:val="24"/>
        </w:rPr>
      </w:pPr>
      <w:r w:rsidRPr="00EE3E14">
        <w:rPr>
          <w:rFonts w:ascii="Times New Roman" w:eastAsia="Times New Roman" w:hAnsi="Times New Roman" w:cs="Times New Roman"/>
          <w:b/>
          <w:smallCaps/>
          <w:color w:val="000000"/>
          <w:sz w:val="24"/>
          <w:szCs w:val="24"/>
        </w:rPr>
        <w:t>A.12-2</w:t>
      </w:r>
      <w:r w:rsidRPr="00EE3E14">
        <w:rPr>
          <w:rFonts w:ascii="Times New Roman" w:eastAsia="Times New Roman" w:hAnsi="Times New Roman" w:cs="Times New Roman"/>
          <w:b/>
          <w:smallCaps/>
          <w:color w:val="000000"/>
          <w:sz w:val="24"/>
          <w:szCs w:val="24"/>
        </w:rPr>
        <w:tab/>
        <w:t>A</w:t>
      </w:r>
      <w:r w:rsidRPr="00EE3E14">
        <w:rPr>
          <w:rFonts w:ascii="Times New Roman" w:eastAsia="Times New Roman" w:hAnsi="Times New Roman" w:cs="Times New Roman"/>
          <w:b/>
          <w:color w:val="000000"/>
          <w:sz w:val="24"/>
          <w:szCs w:val="24"/>
        </w:rPr>
        <w:t>nnualized Cost to Respondents</w:t>
      </w:r>
    </w:p>
    <w:p w14:paraId="55727849" w14:textId="77777777" w:rsidR="00363775" w:rsidRPr="00EE3E14" w:rsidRDefault="00363775" w:rsidP="00363775">
      <w:pPr>
        <w:spacing w:after="0" w:line="240" w:lineRule="auto"/>
        <w:rPr>
          <w:rFonts w:ascii="Times New Roman" w:eastAsia="Times New Roman" w:hAnsi="Times New Roman" w:cs="Times New Roman"/>
          <w:smallCaps/>
          <w:color w:val="000000"/>
          <w:sz w:val="24"/>
          <w:szCs w:val="24"/>
        </w:rPr>
      </w:pPr>
    </w:p>
    <w:p w14:paraId="237D79D0" w14:textId="20E0133B" w:rsidR="00363775" w:rsidRPr="00EE3E14" w:rsidRDefault="00363775" w:rsidP="00363775">
      <w:pPr>
        <w:rPr>
          <w:rFonts w:ascii="Times New Roman" w:hAnsi="Times New Roman" w:cs="Times New Roman"/>
          <w:sz w:val="24"/>
          <w:szCs w:val="24"/>
        </w:rPr>
      </w:pPr>
      <w:r w:rsidRPr="00C404E1">
        <w:rPr>
          <w:rFonts w:ascii="Times New Roman" w:hAnsi="Times New Roman" w:cs="Times New Roman"/>
          <w:sz w:val="24"/>
          <w:szCs w:val="24"/>
        </w:rPr>
        <w:t xml:space="preserve">To estimate the annual cost to respondents, NIH used statistics from the U.S. Bureau of Labor and Statistics </w:t>
      </w:r>
      <w:r w:rsidR="00B641D1" w:rsidRPr="00C404E1">
        <w:rPr>
          <w:rFonts w:ascii="Times New Roman" w:hAnsi="Times New Roman" w:cs="Times New Roman"/>
          <w:sz w:val="24"/>
          <w:szCs w:val="24"/>
        </w:rPr>
        <w:t>2017</w:t>
      </w:r>
      <w:r w:rsidRPr="00C404E1">
        <w:rPr>
          <w:rFonts w:ascii="Times New Roman" w:hAnsi="Times New Roman" w:cs="Times New Roman"/>
          <w:sz w:val="24"/>
          <w:szCs w:val="24"/>
        </w:rPr>
        <w:t>,</w:t>
      </w:r>
      <w:r w:rsidRPr="00EE3E14">
        <w:rPr>
          <w:rFonts w:ascii="Times New Roman" w:hAnsi="Times New Roman" w:cs="Times New Roman"/>
          <w:sz w:val="24"/>
          <w:szCs w:val="24"/>
        </w:rPr>
        <w:t xml:space="preserve"> National Occupational Employment and Wage Estimates.</w:t>
      </w:r>
      <w:r w:rsidRPr="00EE3E14">
        <w:rPr>
          <w:rFonts w:ascii="Times New Roman" w:hAnsi="Times New Roman" w:cs="Times New Roman"/>
          <w:sz w:val="24"/>
          <w:szCs w:val="24"/>
          <w:vertAlign w:val="superscript"/>
        </w:rPr>
        <w:t>8</w:t>
      </w:r>
      <w:r w:rsidRPr="00EE3E14">
        <w:rPr>
          <w:rFonts w:ascii="Times New Roman" w:hAnsi="Times New Roman" w:cs="Times New Roman"/>
          <w:sz w:val="24"/>
          <w:szCs w:val="24"/>
        </w:rPr>
        <w:t xml:space="preserve"> The mean hourly wage of </w:t>
      </w:r>
      <w:r w:rsidRPr="00C404E1">
        <w:rPr>
          <w:rFonts w:ascii="Times New Roman" w:hAnsi="Times New Roman" w:cs="Times New Roman"/>
          <w:sz w:val="24"/>
          <w:szCs w:val="24"/>
        </w:rPr>
        <w:t>$</w:t>
      </w:r>
      <w:r w:rsidR="00B641D1" w:rsidRPr="00C404E1">
        <w:rPr>
          <w:rFonts w:ascii="Times New Roman" w:hAnsi="Times New Roman" w:cs="Times New Roman"/>
          <w:sz w:val="24"/>
          <w:szCs w:val="24"/>
        </w:rPr>
        <w:t xml:space="preserve">40.80 </w:t>
      </w:r>
      <w:r w:rsidRPr="00C404E1">
        <w:rPr>
          <w:rFonts w:ascii="Times New Roman" w:hAnsi="Times New Roman" w:cs="Times New Roman"/>
          <w:sz w:val="24"/>
          <w:szCs w:val="24"/>
        </w:rPr>
        <w:t>for Life Scientists was used</w:t>
      </w:r>
      <w:r w:rsidRPr="00EE3E14">
        <w:rPr>
          <w:rFonts w:ascii="Times New Roman" w:hAnsi="Times New Roman" w:cs="Times New Roman"/>
          <w:sz w:val="24"/>
          <w:szCs w:val="24"/>
        </w:rPr>
        <w:t xml:space="preserve"> for investigator</w:t>
      </w:r>
      <w:r w:rsidR="005560E7" w:rsidRPr="00EE3E14">
        <w:rPr>
          <w:rFonts w:ascii="Times New Roman" w:hAnsi="Times New Roman" w:cs="Times New Roman"/>
          <w:sz w:val="24"/>
          <w:szCs w:val="24"/>
        </w:rPr>
        <w:t>s and requeste</w:t>
      </w:r>
      <w:r w:rsidR="00D35616" w:rsidRPr="00EE3E14">
        <w:rPr>
          <w:rFonts w:ascii="Times New Roman" w:hAnsi="Times New Roman" w:cs="Times New Roman"/>
          <w:sz w:val="24"/>
          <w:szCs w:val="24"/>
        </w:rPr>
        <w:t>rs</w:t>
      </w:r>
      <w:r w:rsidR="000D583C" w:rsidRPr="00EE3E14">
        <w:rPr>
          <w:rFonts w:ascii="Times New Roman" w:hAnsi="Times New Roman" w:cs="Times New Roman"/>
          <w:sz w:val="24"/>
          <w:szCs w:val="24"/>
        </w:rPr>
        <w:t>,</w:t>
      </w:r>
      <w:r w:rsidRPr="00EE3E14">
        <w:rPr>
          <w:rFonts w:ascii="Times New Roman" w:hAnsi="Times New Roman" w:cs="Times New Roman"/>
          <w:sz w:val="24"/>
          <w:szCs w:val="24"/>
        </w:rPr>
        <w:t xml:space="preserve"> and the mean hourly wage </w:t>
      </w:r>
      <w:r w:rsidRPr="00C404E1">
        <w:rPr>
          <w:rFonts w:ascii="Times New Roman" w:hAnsi="Times New Roman" w:cs="Times New Roman"/>
          <w:sz w:val="24"/>
          <w:szCs w:val="24"/>
        </w:rPr>
        <w:t>of $</w:t>
      </w:r>
      <w:r w:rsidR="00B641D1" w:rsidRPr="00C404E1">
        <w:rPr>
          <w:rFonts w:ascii="Times New Roman" w:hAnsi="Times New Roman" w:cs="Times New Roman"/>
          <w:sz w:val="24"/>
          <w:szCs w:val="24"/>
        </w:rPr>
        <w:t xml:space="preserve">51.77 </w:t>
      </w:r>
      <w:r w:rsidRPr="00C404E1">
        <w:rPr>
          <w:rFonts w:ascii="Times New Roman" w:hAnsi="Times New Roman" w:cs="Times New Roman"/>
          <w:sz w:val="24"/>
          <w:szCs w:val="24"/>
        </w:rPr>
        <w:t xml:space="preserve">for </w:t>
      </w:r>
      <w:r w:rsidRPr="00EE3E14">
        <w:rPr>
          <w:rFonts w:ascii="Times New Roman" w:hAnsi="Times New Roman" w:cs="Times New Roman"/>
          <w:sz w:val="24"/>
          <w:szCs w:val="24"/>
        </w:rPr>
        <w:t>Education Administrators, Postsecondary, was used for Institutional</w:t>
      </w:r>
      <w:r w:rsidR="005560E7" w:rsidRPr="00EE3E14">
        <w:rPr>
          <w:rFonts w:ascii="Times New Roman" w:hAnsi="Times New Roman" w:cs="Times New Roman"/>
          <w:sz w:val="24"/>
          <w:szCs w:val="24"/>
        </w:rPr>
        <w:t xml:space="preserve"> Officials</w:t>
      </w:r>
      <w:r w:rsidRPr="00EE3E14">
        <w:rPr>
          <w:rFonts w:ascii="Times New Roman" w:hAnsi="Times New Roman" w:cs="Times New Roman"/>
          <w:sz w:val="24"/>
          <w:szCs w:val="24"/>
        </w:rPr>
        <w:t>/</w:t>
      </w:r>
      <w:r w:rsidR="005560E7"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Signing Officials. The annual cost burden estimates are calculated sepa</w:t>
      </w:r>
      <w:r w:rsidR="00B641D1" w:rsidRPr="00EE3E14">
        <w:rPr>
          <w:rFonts w:ascii="Times New Roman" w:hAnsi="Times New Roman" w:cs="Times New Roman"/>
          <w:sz w:val="24"/>
          <w:szCs w:val="24"/>
        </w:rPr>
        <w:t>rately for the initial DAR and Project Renewal or Project C</w:t>
      </w:r>
      <w:r w:rsidRPr="00EE3E14">
        <w:rPr>
          <w:rFonts w:ascii="Times New Roman" w:hAnsi="Times New Roman" w:cs="Times New Roman"/>
          <w:sz w:val="24"/>
          <w:szCs w:val="24"/>
        </w:rPr>
        <w:t>lose-out forms.</w:t>
      </w:r>
    </w:p>
    <w:p w14:paraId="1FB6EC9E" w14:textId="77777777" w:rsidR="00363775" w:rsidRPr="00EE3E14" w:rsidRDefault="00363775" w:rsidP="005D1F95">
      <w:pPr>
        <w:rPr>
          <w:rFonts w:ascii="Times New Roman" w:hAnsi="Times New Roman" w:cs="Times New Roman"/>
          <w:i/>
          <w:sz w:val="24"/>
          <w:szCs w:val="24"/>
          <w:u w:val="single"/>
        </w:rPr>
      </w:pPr>
      <w:r w:rsidRPr="00EE3E14">
        <w:rPr>
          <w:rFonts w:ascii="Times New Roman" w:hAnsi="Times New Roman" w:cs="Times New Roman"/>
          <w:i/>
          <w:sz w:val="24"/>
          <w:szCs w:val="24"/>
          <w:u w:val="single"/>
        </w:rPr>
        <w:t>Study Registration and Data Submission</w:t>
      </w:r>
    </w:p>
    <w:p w14:paraId="47A02AE3" w14:textId="648A9D11" w:rsidR="00363775" w:rsidRPr="00EE3E14" w:rsidRDefault="00363775" w:rsidP="00363775">
      <w:pPr>
        <w:rPr>
          <w:rFonts w:ascii="Times New Roman" w:hAnsi="Times New Roman" w:cs="Times New Roman"/>
          <w:sz w:val="24"/>
          <w:szCs w:val="24"/>
        </w:rPr>
      </w:pPr>
      <w:r w:rsidRPr="00EE3E14">
        <w:rPr>
          <w:rFonts w:ascii="Times New Roman" w:hAnsi="Times New Roman" w:cs="Times New Roman"/>
          <w:sz w:val="24"/>
          <w:szCs w:val="24"/>
        </w:rPr>
        <w:t xml:space="preserve">Table 12-2 provides the estimated annualized cost to register a study and submit data in dbGaP. To estimate the annual cost to respondents, NIH used figures from the U.S. Bureau of Labor and </w:t>
      </w:r>
      <w:r w:rsidRPr="00C404E1">
        <w:rPr>
          <w:rFonts w:ascii="Times New Roman" w:hAnsi="Times New Roman" w:cs="Times New Roman"/>
          <w:sz w:val="24"/>
          <w:szCs w:val="24"/>
        </w:rPr>
        <w:t xml:space="preserve">Statistics </w:t>
      </w:r>
      <w:r w:rsidR="00B641D1" w:rsidRPr="00C404E1">
        <w:rPr>
          <w:rFonts w:ascii="Times New Roman" w:hAnsi="Times New Roman" w:cs="Times New Roman"/>
          <w:sz w:val="24"/>
          <w:szCs w:val="24"/>
        </w:rPr>
        <w:t>2017</w:t>
      </w:r>
      <w:r w:rsidRPr="00EE3E14">
        <w:rPr>
          <w:rFonts w:ascii="Times New Roman" w:hAnsi="Times New Roman" w:cs="Times New Roman"/>
          <w:sz w:val="24"/>
          <w:szCs w:val="24"/>
        </w:rPr>
        <w:t>, National Occupational Employment and Wage Estimates.</w:t>
      </w:r>
      <w:r w:rsidRPr="00EE3E14">
        <w:rPr>
          <w:rStyle w:val="FootnoteReference"/>
          <w:rFonts w:ascii="Times New Roman" w:hAnsi="Times New Roman"/>
          <w:sz w:val="24"/>
          <w:szCs w:val="24"/>
        </w:rPr>
        <w:footnoteReference w:id="8"/>
      </w:r>
      <w:r w:rsidRPr="00EE3E14">
        <w:rPr>
          <w:rFonts w:ascii="Times New Roman" w:hAnsi="Times New Roman" w:cs="Times New Roman"/>
          <w:sz w:val="24"/>
          <w:szCs w:val="24"/>
        </w:rPr>
        <w:t xml:space="preserve"> The mean hourly wage of </w:t>
      </w:r>
      <w:r w:rsidR="00B641D1" w:rsidRPr="00C404E1">
        <w:rPr>
          <w:rFonts w:ascii="Times New Roman" w:hAnsi="Times New Roman" w:cs="Times New Roman"/>
          <w:sz w:val="24"/>
          <w:szCs w:val="24"/>
        </w:rPr>
        <w:t xml:space="preserve">$40.80 </w:t>
      </w:r>
      <w:r w:rsidRPr="00EE3E14">
        <w:rPr>
          <w:rFonts w:ascii="Times New Roman" w:hAnsi="Times New Roman" w:cs="Times New Roman"/>
          <w:sz w:val="24"/>
          <w:szCs w:val="24"/>
        </w:rPr>
        <w:t>for Life Scientists was used for investigator</w:t>
      </w:r>
      <w:r w:rsidR="000D583C" w:rsidRPr="00EE3E14">
        <w:rPr>
          <w:rFonts w:ascii="Times New Roman" w:hAnsi="Times New Roman" w:cs="Times New Roman"/>
          <w:sz w:val="24"/>
          <w:szCs w:val="24"/>
        </w:rPr>
        <w:t>s</w:t>
      </w:r>
      <w:r w:rsidRPr="00EE3E14">
        <w:rPr>
          <w:rFonts w:ascii="Times New Roman" w:hAnsi="Times New Roman" w:cs="Times New Roman"/>
          <w:sz w:val="24"/>
          <w:szCs w:val="24"/>
        </w:rPr>
        <w:t xml:space="preserve">, and the mean hourly wage of </w:t>
      </w:r>
      <w:r w:rsidRPr="00C404E1">
        <w:rPr>
          <w:rFonts w:ascii="Times New Roman" w:hAnsi="Times New Roman" w:cs="Times New Roman"/>
          <w:sz w:val="24"/>
          <w:szCs w:val="24"/>
        </w:rPr>
        <w:t>$</w:t>
      </w:r>
      <w:r w:rsidR="00B641D1" w:rsidRPr="00C404E1">
        <w:rPr>
          <w:rFonts w:ascii="Times New Roman" w:hAnsi="Times New Roman" w:cs="Times New Roman"/>
          <w:sz w:val="24"/>
          <w:szCs w:val="24"/>
        </w:rPr>
        <w:t xml:space="preserve">51.77 </w:t>
      </w:r>
      <w:r w:rsidRPr="00EE3E14">
        <w:rPr>
          <w:rFonts w:ascii="Times New Roman" w:hAnsi="Times New Roman" w:cs="Times New Roman"/>
          <w:sz w:val="24"/>
          <w:szCs w:val="24"/>
        </w:rPr>
        <w:t xml:space="preserve">for Education Administrators, Postsecondary, was used for Institutional Officials. The estimated annual cost of </w:t>
      </w:r>
      <w:r w:rsidRPr="00C404E1">
        <w:rPr>
          <w:rFonts w:ascii="Times New Roman" w:hAnsi="Times New Roman" w:cs="Times New Roman"/>
          <w:sz w:val="24"/>
          <w:szCs w:val="24"/>
        </w:rPr>
        <w:t>$</w:t>
      </w:r>
      <w:r w:rsidR="00904111" w:rsidRPr="00C404E1">
        <w:rPr>
          <w:rFonts w:ascii="Times New Roman" w:hAnsi="Times New Roman" w:cs="Times New Roman"/>
          <w:sz w:val="24"/>
          <w:szCs w:val="24"/>
        </w:rPr>
        <w:t>12,240</w:t>
      </w:r>
      <w:r w:rsidR="005E4E6C" w:rsidRPr="00C404E1">
        <w:rPr>
          <w:rFonts w:ascii="Times New Roman" w:hAnsi="Times New Roman" w:cs="Times New Roman"/>
          <w:sz w:val="24"/>
          <w:szCs w:val="24"/>
        </w:rPr>
        <w:t>.00</w:t>
      </w:r>
      <w:r w:rsidRPr="00C404E1">
        <w:rPr>
          <w:rFonts w:ascii="Times New Roman" w:hAnsi="Times New Roman" w:cs="Times New Roman"/>
          <w:sz w:val="24"/>
          <w:szCs w:val="24"/>
        </w:rPr>
        <w:t xml:space="preserve"> for </w:t>
      </w:r>
      <w:r w:rsidRPr="00EE3E14">
        <w:rPr>
          <w:rFonts w:ascii="Times New Roman" w:hAnsi="Times New Roman" w:cs="Times New Roman"/>
          <w:sz w:val="24"/>
          <w:szCs w:val="24"/>
        </w:rPr>
        <w:t>investigator</w:t>
      </w:r>
      <w:r w:rsidR="005560E7" w:rsidRPr="00EE3E14">
        <w:rPr>
          <w:rFonts w:ascii="Times New Roman" w:hAnsi="Times New Roman" w:cs="Times New Roman"/>
          <w:sz w:val="24"/>
          <w:szCs w:val="24"/>
        </w:rPr>
        <w:t>s</w:t>
      </w:r>
      <w:r w:rsidR="000D583C" w:rsidRPr="00EE3E14">
        <w:rPr>
          <w:rFonts w:ascii="Times New Roman" w:hAnsi="Times New Roman" w:cs="Times New Roman"/>
          <w:sz w:val="24"/>
          <w:szCs w:val="24"/>
        </w:rPr>
        <w:t xml:space="preserve"> </w:t>
      </w:r>
      <w:r w:rsidRPr="00EE3E14">
        <w:rPr>
          <w:rFonts w:ascii="Times New Roman" w:hAnsi="Times New Roman" w:cs="Times New Roman"/>
          <w:sz w:val="24"/>
          <w:szCs w:val="24"/>
        </w:rPr>
        <w:t>to register studies and submit data was calculated by multiplying the number of investigators (</w:t>
      </w:r>
      <w:r w:rsidR="00904111" w:rsidRPr="00C404E1">
        <w:rPr>
          <w:rFonts w:ascii="Times New Roman" w:hAnsi="Times New Roman" w:cs="Times New Roman"/>
          <w:sz w:val="24"/>
          <w:szCs w:val="24"/>
        </w:rPr>
        <w:t>300</w:t>
      </w:r>
      <w:r w:rsidRPr="00EE3E14">
        <w:rPr>
          <w:rFonts w:ascii="Times New Roman" w:hAnsi="Times New Roman" w:cs="Times New Roman"/>
          <w:sz w:val="24"/>
          <w:szCs w:val="24"/>
        </w:rPr>
        <w:t xml:space="preserve">) by frequency of response (1) by the average time per response (1 hour) by the hourly wage rate for investigators </w:t>
      </w:r>
      <w:r w:rsidR="00904111" w:rsidRPr="00C404E1">
        <w:rPr>
          <w:rFonts w:ascii="Times New Roman" w:hAnsi="Times New Roman" w:cs="Times New Roman"/>
          <w:sz w:val="24"/>
          <w:szCs w:val="24"/>
        </w:rPr>
        <w:t>($40.80</w:t>
      </w:r>
      <w:r w:rsidRPr="00EE3E14">
        <w:rPr>
          <w:rFonts w:ascii="Times New Roman" w:hAnsi="Times New Roman" w:cs="Times New Roman"/>
          <w:sz w:val="24"/>
          <w:szCs w:val="24"/>
        </w:rPr>
        <w:t xml:space="preserve">). The estimated annual cost of </w:t>
      </w:r>
      <w:r w:rsidRPr="00C404E1">
        <w:rPr>
          <w:rFonts w:ascii="Times New Roman" w:hAnsi="Times New Roman" w:cs="Times New Roman"/>
          <w:sz w:val="24"/>
          <w:szCs w:val="24"/>
        </w:rPr>
        <w:t>$</w:t>
      </w:r>
      <w:r w:rsidR="005E4E6C" w:rsidRPr="00C404E1">
        <w:rPr>
          <w:rFonts w:ascii="Times New Roman" w:hAnsi="Times New Roman" w:cs="Times New Roman"/>
          <w:sz w:val="24"/>
          <w:szCs w:val="24"/>
        </w:rPr>
        <w:t>7,765.50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for Institutional Officials to certify study registration and data submission was similarly calculated (i.e., multiplying the number of Institutional Officials by the frequency of response by the average time per response by the hourly wage rate). The total annual cost of study registration and data submission is </w:t>
      </w:r>
      <w:r w:rsidRPr="00C404E1">
        <w:rPr>
          <w:rFonts w:ascii="Times New Roman" w:hAnsi="Times New Roman" w:cs="Times New Roman"/>
          <w:sz w:val="24"/>
          <w:szCs w:val="24"/>
        </w:rPr>
        <w:t>$</w:t>
      </w:r>
      <w:r w:rsidR="005E4E6C" w:rsidRPr="00C404E1">
        <w:rPr>
          <w:rFonts w:ascii="Times New Roman" w:hAnsi="Times New Roman" w:cs="Times New Roman"/>
          <w:sz w:val="24"/>
          <w:szCs w:val="24"/>
        </w:rPr>
        <w:t>20,005.50</w:t>
      </w:r>
      <w:r w:rsidRPr="00EE3E14">
        <w:rPr>
          <w:rFonts w:ascii="Times New Roman" w:hAnsi="Times New Roman" w:cs="Times New Roman"/>
          <w:sz w:val="24"/>
          <w:szCs w:val="24"/>
        </w:rPr>
        <w:t>.</w:t>
      </w:r>
    </w:p>
    <w:p w14:paraId="669A16DC" w14:textId="77777777" w:rsidR="00363775" w:rsidRPr="00EE3E14" w:rsidRDefault="00363775" w:rsidP="005D1F95">
      <w:pPr>
        <w:rPr>
          <w:rFonts w:ascii="Times New Roman" w:hAnsi="Times New Roman" w:cs="Times New Roman"/>
          <w:i/>
          <w:sz w:val="24"/>
          <w:szCs w:val="24"/>
          <w:u w:val="single"/>
        </w:rPr>
      </w:pPr>
      <w:r w:rsidRPr="00EE3E14">
        <w:rPr>
          <w:rFonts w:ascii="Times New Roman" w:hAnsi="Times New Roman" w:cs="Times New Roman"/>
          <w:i/>
          <w:sz w:val="24"/>
          <w:szCs w:val="24"/>
          <w:u w:val="single"/>
        </w:rPr>
        <w:t>Data Access</w:t>
      </w:r>
    </w:p>
    <w:p w14:paraId="406BF24E" w14:textId="78A5B3CA" w:rsidR="00363775" w:rsidRPr="00EE3E14" w:rsidRDefault="00363775" w:rsidP="00363775">
      <w:pPr>
        <w:rPr>
          <w:rFonts w:ascii="Times New Roman" w:hAnsi="Times New Roman" w:cs="Times New Roman"/>
          <w:sz w:val="24"/>
          <w:szCs w:val="24"/>
        </w:rPr>
      </w:pPr>
      <w:r w:rsidRPr="00EE3E14">
        <w:rPr>
          <w:rFonts w:ascii="Times New Roman" w:hAnsi="Times New Roman" w:cs="Times New Roman"/>
          <w:sz w:val="24"/>
          <w:szCs w:val="24"/>
        </w:rPr>
        <w:t xml:space="preserve">Table 12-2 provides the estimated annual cost for respondents to complete an initial DAR form. The estimated annual cost of </w:t>
      </w:r>
      <w:r w:rsidRPr="00C404E1">
        <w:rPr>
          <w:rFonts w:ascii="Times New Roman" w:hAnsi="Times New Roman" w:cs="Times New Roman"/>
          <w:sz w:val="24"/>
          <w:szCs w:val="24"/>
        </w:rPr>
        <w:t>$</w:t>
      </w:r>
      <w:r w:rsidR="00FD402F" w:rsidRPr="00C404E1">
        <w:rPr>
          <w:rFonts w:ascii="Times New Roman" w:hAnsi="Times New Roman" w:cs="Times New Roman"/>
          <w:sz w:val="24"/>
          <w:szCs w:val="24"/>
        </w:rPr>
        <w:t>91,800.00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for </w:t>
      </w:r>
      <w:r w:rsidR="006017FD" w:rsidRPr="00EE3E14">
        <w:rPr>
          <w:rFonts w:ascii="Times New Roman" w:hAnsi="Times New Roman" w:cs="Times New Roman"/>
          <w:sz w:val="24"/>
          <w:szCs w:val="24"/>
        </w:rPr>
        <w:t>requeste</w:t>
      </w:r>
      <w:r w:rsidR="00D35616" w:rsidRPr="00EE3E14">
        <w:rPr>
          <w:rFonts w:ascii="Times New Roman" w:hAnsi="Times New Roman" w:cs="Times New Roman"/>
          <w:sz w:val="24"/>
          <w:szCs w:val="24"/>
        </w:rPr>
        <w:t xml:space="preserve">rs </w:t>
      </w:r>
      <w:r w:rsidRPr="00EE3E14">
        <w:rPr>
          <w:rFonts w:ascii="Times New Roman" w:hAnsi="Times New Roman" w:cs="Times New Roman"/>
          <w:sz w:val="24"/>
          <w:szCs w:val="24"/>
        </w:rPr>
        <w:t xml:space="preserve">to complete an initial DAR was calculated by multiplying the number of </w:t>
      </w:r>
      <w:r w:rsidR="00464088" w:rsidRPr="00EE3E14">
        <w:rPr>
          <w:rFonts w:ascii="Times New Roman" w:hAnsi="Times New Roman" w:cs="Times New Roman"/>
          <w:sz w:val="24"/>
          <w:szCs w:val="24"/>
        </w:rPr>
        <w:t>requeste</w:t>
      </w:r>
      <w:r w:rsidR="00D35616" w:rsidRPr="00EE3E14">
        <w:rPr>
          <w:rFonts w:ascii="Times New Roman" w:hAnsi="Times New Roman" w:cs="Times New Roman"/>
          <w:sz w:val="24"/>
          <w:szCs w:val="24"/>
        </w:rPr>
        <w:t>rs</w:t>
      </w:r>
      <w:r w:rsidRPr="00EE3E14">
        <w:rPr>
          <w:rFonts w:ascii="Times New Roman" w:hAnsi="Times New Roman" w:cs="Times New Roman"/>
          <w:sz w:val="24"/>
          <w:szCs w:val="24"/>
        </w:rPr>
        <w:t xml:space="preserve"> (</w:t>
      </w:r>
      <w:r w:rsidR="00FD402F" w:rsidRPr="00C404E1">
        <w:rPr>
          <w:rFonts w:ascii="Times New Roman" w:hAnsi="Times New Roman" w:cs="Times New Roman"/>
          <w:sz w:val="24"/>
          <w:szCs w:val="24"/>
        </w:rPr>
        <w:t>1500</w:t>
      </w:r>
      <w:r w:rsidRPr="00EE3E14">
        <w:rPr>
          <w:rFonts w:ascii="Times New Roman" w:hAnsi="Times New Roman" w:cs="Times New Roman"/>
          <w:sz w:val="24"/>
          <w:szCs w:val="24"/>
        </w:rPr>
        <w:t>) by frequency of response (</w:t>
      </w:r>
      <w:r w:rsidRPr="00C404E1">
        <w:rPr>
          <w:rFonts w:ascii="Times New Roman" w:hAnsi="Times New Roman" w:cs="Times New Roman"/>
          <w:sz w:val="24"/>
          <w:szCs w:val="24"/>
        </w:rPr>
        <w:t>2</w:t>
      </w:r>
      <w:r w:rsidRPr="00EE3E14">
        <w:rPr>
          <w:rFonts w:ascii="Times New Roman" w:hAnsi="Times New Roman" w:cs="Times New Roman"/>
          <w:sz w:val="24"/>
          <w:szCs w:val="24"/>
        </w:rPr>
        <w:t>) by the average time per response (</w:t>
      </w:r>
      <w:r w:rsidR="0027742E" w:rsidRPr="0027742E">
        <w:rPr>
          <w:rFonts w:ascii="Times New Roman" w:hAnsi="Times New Roman" w:cs="Times New Roman"/>
          <w:sz w:val="24"/>
          <w:szCs w:val="24"/>
        </w:rPr>
        <w:t>45/60</w:t>
      </w:r>
      <w:r w:rsidRPr="0027742E">
        <w:rPr>
          <w:rFonts w:ascii="Times New Roman" w:hAnsi="Times New Roman" w:cs="Times New Roman"/>
          <w:sz w:val="24"/>
          <w:szCs w:val="24"/>
        </w:rPr>
        <w:t xml:space="preserve"> hour</w:t>
      </w:r>
      <w:r w:rsidRPr="00EE3E14">
        <w:rPr>
          <w:rFonts w:ascii="Times New Roman" w:hAnsi="Times New Roman" w:cs="Times New Roman"/>
          <w:sz w:val="24"/>
          <w:szCs w:val="24"/>
        </w:rPr>
        <w:t xml:space="preserve">) by the hourly wage rate for </w:t>
      </w:r>
      <w:r w:rsidR="00D35616" w:rsidRPr="00EE3E14">
        <w:rPr>
          <w:rFonts w:ascii="Times New Roman" w:hAnsi="Times New Roman" w:cs="Times New Roman"/>
          <w:sz w:val="24"/>
          <w:szCs w:val="24"/>
        </w:rPr>
        <w:t>requestors</w:t>
      </w:r>
      <w:r w:rsidRPr="00EE3E14">
        <w:rPr>
          <w:rFonts w:ascii="Times New Roman" w:hAnsi="Times New Roman" w:cs="Times New Roman"/>
          <w:sz w:val="24"/>
          <w:szCs w:val="24"/>
        </w:rPr>
        <w:t xml:space="preserve"> </w:t>
      </w:r>
      <w:r w:rsidRPr="00C404E1">
        <w:rPr>
          <w:rFonts w:ascii="Times New Roman" w:hAnsi="Times New Roman" w:cs="Times New Roman"/>
          <w:sz w:val="24"/>
          <w:szCs w:val="24"/>
        </w:rPr>
        <w:t>(</w:t>
      </w:r>
      <w:r w:rsidR="00FD402F" w:rsidRPr="00C404E1">
        <w:rPr>
          <w:rFonts w:ascii="Times New Roman" w:hAnsi="Times New Roman" w:cs="Times New Roman"/>
          <w:sz w:val="24"/>
          <w:szCs w:val="24"/>
        </w:rPr>
        <w:t>$40.80</w:t>
      </w:r>
      <w:r w:rsidRPr="00EE3E14">
        <w:rPr>
          <w:rFonts w:ascii="Times New Roman" w:hAnsi="Times New Roman" w:cs="Times New Roman"/>
          <w:sz w:val="24"/>
          <w:szCs w:val="24"/>
        </w:rPr>
        <w:t xml:space="preserve">). The estimated annual cost of </w:t>
      </w:r>
      <w:r w:rsidR="00D35616" w:rsidRPr="00C404E1">
        <w:rPr>
          <w:rFonts w:ascii="Times New Roman" w:hAnsi="Times New Roman" w:cs="Times New Roman"/>
          <w:sz w:val="24"/>
          <w:szCs w:val="24"/>
        </w:rPr>
        <w:t>$77,655.00</w:t>
      </w:r>
      <w:r w:rsidR="00CA60C6"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for </w:t>
      </w:r>
      <w:r w:rsidR="00FD402F"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to certify the DAR was similarly calculated (i.e., multiplying the number of </w:t>
      </w:r>
      <w:r w:rsidR="00FD402F"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by the frequency of response by the average time per response by the hourly wage rate). The total annual cost </w:t>
      </w:r>
      <w:r w:rsidR="00D35616" w:rsidRPr="00EE3E14">
        <w:rPr>
          <w:rFonts w:ascii="Times New Roman" w:hAnsi="Times New Roman" w:cs="Times New Roman"/>
          <w:sz w:val="24"/>
          <w:szCs w:val="24"/>
        </w:rPr>
        <w:t>for respondents to complete an initial DAR i</w:t>
      </w:r>
      <w:r w:rsidRPr="00EE3E14">
        <w:rPr>
          <w:rFonts w:ascii="Times New Roman" w:hAnsi="Times New Roman" w:cs="Times New Roman"/>
          <w:sz w:val="24"/>
          <w:szCs w:val="24"/>
        </w:rPr>
        <w:t xml:space="preserve">s </w:t>
      </w:r>
      <w:r w:rsidRPr="00C404E1">
        <w:rPr>
          <w:rFonts w:ascii="Times New Roman" w:hAnsi="Times New Roman" w:cs="Times New Roman"/>
          <w:sz w:val="24"/>
          <w:szCs w:val="24"/>
        </w:rPr>
        <w:t>$</w:t>
      </w:r>
      <w:r w:rsidR="00D35616" w:rsidRPr="00C404E1">
        <w:rPr>
          <w:rFonts w:ascii="Times New Roman" w:hAnsi="Times New Roman" w:cs="Times New Roman"/>
          <w:sz w:val="24"/>
          <w:szCs w:val="24"/>
        </w:rPr>
        <w:t>169,455.00</w:t>
      </w:r>
      <w:r w:rsidRPr="00EE3E14">
        <w:rPr>
          <w:rFonts w:ascii="Times New Roman" w:hAnsi="Times New Roman" w:cs="Times New Roman"/>
          <w:sz w:val="24"/>
          <w:szCs w:val="24"/>
        </w:rPr>
        <w:t>.</w:t>
      </w:r>
    </w:p>
    <w:p w14:paraId="083B61E5" w14:textId="3CB5D088" w:rsidR="00363775" w:rsidRPr="00EE3E14" w:rsidRDefault="00363775" w:rsidP="00363775">
      <w:pPr>
        <w:tabs>
          <w:tab w:val="left" w:pos="990"/>
        </w:tabs>
        <w:ind w:left="90"/>
        <w:rPr>
          <w:rFonts w:ascii="Times New Roman" w:hAnsi="Times New Roman" w:cs="Times New Roman"/>
          <w:sz w:val="24"/>
          <w:szCs w:val="24"/>
        </w:rPr>
      </w:pPr>
      <w:r w:rsidRPr="00EE3E14">
        <w:rPr>
          <w:rFonts w:ascii="Times New Roman" w:hAnsi="Times New Roman" w:cs="Times New Roman"/>
          <w:sz w:val="24"/>
          <w:szCs w:val="24"/>
        </w:rPr>
        <w:t xml:space="preserve">Table 12-2 provides the estimated annualized cost for respondents to complete a </w:t>
      </w:r>
      <w:r w:rsidR="00464088" w:rsidRPr="00EE3E14">
        <w:rPr>
          <w:rFonts w:ascii="Times New Roman" w:hAnsi="Times New Roman" w:cs="Times New Roman"/>
          <w:sz w:val="24"/>
          <w:szCs w:val="24"/>
        </w:rPr>
        <w:t>Project R</w:t>
      </w:r>
      <w:r w:rsidRPr="00EE3E14">
        <w:rPr>
          <w:rFonts w:ascii="Times New Roman" w:hAnsi="Times New Roman" w:cs="Times New Roman"/>
          <w:sz w:val="24"/>
          <w:szCs w:val="24"/>
        </w:rPr>
        <w:t xml:space="preserve">enewal or </w:t>
      </w:r>
      <w:r w:rsidR="00464088" w:rsidRPr="00EE3E14">
        <w:rPr>
          <w:rFonts w:ascii="Times New Roman" w:hAnsi="Times New Roman" w:cs="Times New Roman"/>
          <w:sz w:val="24"/>
          <w:szCs w:val="24"/>
        </w:rPr>
        <w:t>Project C</w:t>
      </w:r>
      <w:r w:rsidRPr="00EE3E14">
        <w:rPr>
          <w:rFonts w:ascii="Times New Roman" w:hAnsi="Times New Roman" w:cs="Times New Roman"/>
          <w:sz w:val="24"/>
          <w:szCs w:val="24"/>
        </w:rPr>
        <w:t xml:space="preserve">lose-out report. The estimated annual cost of </w:t>
      </w:r>
      <w:r w:rsidRPr="00C404E1">
        <w:rPr>
          <w:rFonts w:ascii="Times New Roman" w:hAnsi="Times New Roman" w:cs="Times New Roman"/>
          <w:sz w:val="24"/>
          <w:szCs w:val="24"/>
        </w:rPr>
        <w:t>$</w:t>
      </w:r>
      <w:r w:rsidR="006156A3" w:rsidRPr="00C404E1">
        <w:rPr>
          <w:rFonts w:ascii="Times New Roman" w:hAnsi="Times New Roman" w:cs="Times New Roman"/>
          <w:sz w:val="24"/>
          <w:szCs w:val="24"/>
        </w:rPr>
        <w:t>30,600.00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for </w:t>
      </w:r>
      <w:r w:rsidR="005815FE"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to complete a </w:t>
      </w:r>
      <w:r w:rsidR="00464088" w:rsidRPr="00EE3E14">
        <w:rPr>
          <w:rFonts w:ascii="Times New Roman" w:hAnsi="Times New Roman" w:cs="Times New Roman"/>
          <w:sz w:val="24"/>
          <w:szCs w:val="24"/>
        </w:rPr>
        <w:t>Project R</w:t>
      </w:r>
      <w:r w:rsidRPr="00EE3E14">
        <w:rPr>
          <w:rFonts w:ascii="Times New Roman" w:hAnsi="Times New Roman" w:cs="Times New Roman"/>
          <w:sz w:val="24"/>
          <w:szCs w:val="24"/>
        </w:rPr>
        <w:t>enewal or</w:t>
      </w:r>
      <w:r w:rsidR="00464088" w:rsidRPr="00EE3E14">
        <w:rPr>
          <w:rFonts w:ascii="Times New Roman" w:hAnsi="Times New Roman" w:cs="Times New Roman"/>
          <w:sz w:val="24"/>
          <w:szCs w:val="24"/>
        </w:rPr>
        <w:t xml:space="preserve"> Project C</w:t>
      </w:r>
      <w:r w:rsidRPr="00EE3E14">
        <w:rPr>
          <w:rFonts w:ascii="Times New Roman" w:hAnsi="Times New Roman" w:cs="Times New Roman"/>
          <w:sz w:val="24"/>
          <w:szCs w:val="24"/>
        </w:rPr>
        <w:t xml:space="preserve">lose-out report was calculated by multiplying the number of </w:t>
      </w:r>
      <w:r w:rsidR="00464088" w:rsidRPr="00EE3E14">
        <w:rPr>
          <w:rFonts w:ascii="Times New Roman" w:hAnsi="Times New Roman" w:cs="Times New Roman"/>
          <w:sz w:val="24"/>
          <w:szCs w:val="24"/>
        </w:rPr>
        <w:t>requester</w:t>
      </w:r>
      <w:r w:rsidRPr="00EE3E14">
        <w:rPr>
          <w:rFonts w:ascii="Times New Roman" w:hAnsi="Times New Roman" w:cs="Times New Roman"/>
          <w:sz w:val="24"/>
          <w:szCs w:val="24"/>
        </w:rPr>
        <w:t>s (</w:t>
      </w:r>
      <w:r w:rsidR="00B1445B" w:rsidRPr="00C404E1">
        <w:rPr>
          <w:rFonts w:ascii="Times New Roman" w:hAnsi="Times New Roman" w:cs="Times New Roman"/>
          <w:sz w:val="24"/>
          <w:szCs w:val="24"/>
        </w:rPr>
        <w:t>1500</w:t>
      </w:r>
      <w:r w:rsidRPr="00EE3E14">
        <w:rPr>
          <w:rFonts w:ascii="Times New Roman" w:hAnsi="Times New Roman" w:cs="Times New Roman"/>
          <w:sz w:val="24"/>
          <w:szCs w:val="24"/>
        </w:rPr>
        <w:t>) by frequency of response (</w:t>
      </w:r>
      <w:r w:rsidRPr="00C404E1">
        <w:rPr>
          <w:rFonts w:ascii="Times New Roman" w:hAnsi="Times New Roman" w:cs="Times New Roman"/>
          <w:sz w:val="24"/>
          <w:szCs w:val="24"/>
        </w:rPr>
        <w:t>2</w:t>
      </w:r>
      <w:r w:rsidRPr="00EE3E14">
        <w:rPr>
          <w:rFonts w:ascii="Times New Roman" w:hAnsi="Times New Roman" w:cs="Times New Roman"/>
          <w:sz w:val="24"/>
          <w:szCs w:val="24"/>
        </w:rPr>
        <w:t>) by the</w:t>
      </w:r>
      <w:r w:rsidR="0027742E">
        <w:rPr>
          <w:rFonts w:ascii="Times New Roman" w:hAnsi="Times New Roman" w:cs="Times New Roman"/>
          <w:sz w:val="24"/>
          <w:szCs w:val="24"/>
        </w:rPr>
        <w:t xml:space="preserve"> average time per response (15/60</w:t>
      </w:r>
      <w:r w:rsidRPr="00EE3E14">
        <w:rPr>
          <w:rFonts w:ascii="Times New Roman" w:hAnsi="Times New Roman" w:cs="Times New Roman"/>
          <w:sz w:val="24"/>
          <w:szCs w:val="24"/>
        </w:rPr>
        <w:t xml:space="preserve"> hour) by the hourly wage rate for </w:t>
      </w:r>
      <w:r w:rsidR="00B85F3A" w:rsidRPr="00EE3E14">
        <w:rPr>
          <w:rFonts w:ascii="Times New Roman" w:hAnsi="Times New Roman" w:cs="Times New Roman"/>
          <w:sz w:val="24"/>
          <w:szCs w:val="24"/>
        </w:rPr>
        <w:t>requesters</w:t>
      </w:r>
      <w:r w:rsidRPr="00EE3E14">
        <w:rPr>
          <w:rFonts w:ascii="Times New Roman" w:hAnsi="Times New Roman" w:cs="Times New Roman"/>
          <w:sz w:val="24"/>
          <w:szCs w:val="24"/>
        </w:rPr>
        <w:t xml:space="preserve"> </w:t>
      </w:r>
      <w:r w:rsidR="006156A3" w:rsidRPr="00C404E1">
        <w:rPr>
          <w:rFonts w:ascii="Times New Roman" w:hAnsi="Times New Roman" w:cs="Times New Roman"/>
          <w:sz w:val="24"/>
          <w:szCs w:val="24"/>
        </w:rPr>
        <w:t>($40.80</w:t>
      </w:r>
      <w:r w:rsidRPr="00EE3E14">
        <w:rPr>
          <w:rFonts w:ascii="Times New Roman" w:hAnsi="Times New Roman" w:cs="Times New Roman"/>
          <w:sz w:val="24"/>
          <w:szCs w:val="24"/>
        </w:rPr>
        <w:t xml:space="preserve">). The estimated annual cost of </w:t>
      </w:r>
      <w:r w:rsidRPr="00C404E1">
        <w:rPr>
          <w:rFonts w:ascii="Times New Roman" w:hAnsi="Times New Roman" w:cs="Times New Roman"/>
          <w:sz w:val="24"/>
          <w:szCs w:val="24"/>
        </w:rPr>
        <w:t>$</w:t>
      </w:r>
      <w:r w:rsidR="00947E9B" w:rsidRPr="00C404E1">
        <w:rPr>
          <w:rFonts w:ascii="Times New Roman" w:hAnsi="Times New Roman" w:cs="Times New Roman"/>
          <w:sz w:val="24"/>
          <w:szCs w:val="24"/>
        </w:rPr>
        <w:t>46,593.00</w:t>
      </w:r>
      <w:r w:rsidRPr="00C404E1">
        <w:rPr>
          <w:rFonts w:ascii="Times New Roman" w:hAnsi="Times New Roman" w:cs="Times New Roman"/>
          <w:sz w:val="24"/>
          <w:szCs w:val="24"/>
        </w:rPr>
        <w:t xml:space="preserve"> </w:t>
      </w:r>
      <w:r w:rsidRPr="00EE3E14">
        <w:rPr>
          <w:rFonts w:ascii="Times New Roman" w:hAnsi="Times New Roman" w:cs="Times New Roman"/>
          <w:sz w:val="24"/>
          <w:szCs w:val="24"/>
        </w:rPr>
        <w:t xml:space="preserve">for </w:t>
      </w:r>
      <w:r w:rsidR="006156A3"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to certify the report was similarly calculated (i.e., multiplying the number of </w:t>
      </w:r>
      <w:r w:rsidR="006156A3" w:rsidRPr="00EE3E14">
        <w:rPr>
          <w:rFonts w:ascii="Times New Roman" w:hAnsi="Times New Roman" w:cs="Times New Roman"/>
          <w:sz w:val="24"/>
          <w:szCs w:val="24"/>
        </w:rPr>
        <w:t xml:space="preserve">Institutional </w:t>
      </w:r>
      <w:r w:rsidRPr="00EE3E14">
        <w:rPr>
          <w:rFonts w:ascii="Times New Roman" w:hAnsi="Times New Roman" w:cs="Times New Roman"/>
          <w:sz w:val="24"/>
          <w:szCs w:val="24"/>
        </w:rPr>
        <w:t xml:space="preserve">Signing Officials by the frequency of response by the average time per response by the hourly wage rate). The total annual cost of study registration and data submission is </w:t>
      </w:r>
      <w:r w:rsidRPr="00C404E1">
        <w:rPr>
          <w:rFonts w:ascii="Times New Roman" w:hAnsi="Times New Roman" w:cs="Times New Roman"/>
          <w:sz w:val="24"/>
          <w:szCs w:val="24"/>
        </w:rPr>
        <w:t>$</w:t>
      </w:r>
      <w:r w:rsidR="00947E9B" w:rsidRPr="00C404E1">
        <w:rPr>
          <w:rFonts w:ascii="Times New Roman" w:hAnsi="Times New Roman" w:cs="Times New Roman"/>
          <w:sz w:val="24"/>
          <w:szCs w:val="24"/>
        </w:rPr>
        <w:t>77,193.00</w:t>
      </w:r>
      <w:r w:rsidRPr="00EE3E14">
        <w:rPr>
          <w:rFonts w:ascii="Times New Roman" w:hAnsi="Times New Roman" w:cs="Times New Roman"/>
          <w:sz w:val="24"/>
          <w:szCs w:val="24"/>
        </w:rPr>
        <w:t xml:space="preserve">. </w:t>
      </w:r>
    </w:p>
    <w:p w14:paraId="2AF12BBE" w14:textId="77777777" w:rsidR="004E54FE" w:rsidRPr="00EE3E14" w:rsidRDefault="004E54FE" w:rsidP="004E54FE">
      <w:pPr>
        <w:jc w:val="center"/>
        <w:rPr>
          <w:rFonts w:ascii="Times New Roman" w:hAnsi="Times New Roman" w:cs="Times New Roman"/>
          <w:b/>
          <w:sz w:val="24"/>
          <w:szCs w:val="24"/>
        </w:rPr>
      </w:pPr>
      <w:r w:rsidRPr="00EE3E14">
        <w:rPr>
          <w:rFonts w:ascii="Times New Roman" w:hAnsi="Times New Roman" w:cs="Times New Roman"/>
          <w:b/>
          <w:sz w:val="24"/>
          <w:szCs w:val="24"/>
        </w:rPr>
        <w:t>A.12-2 Annualized Cost to the Respondents</w:t>
      </w:r>
    </w:p>
    <w:tbl>
      <w:tblPr>
        <w:tblW w:w="7542" w:type="dxa"/>
        <w:jc w:val="center"/>
        <w:tblLayout w:type="fixed"/>
        <w:tblCellMar>
          <w:left w:w="100" w:type="dxa"/>
          <w:right w:w="100" w:type="dxa"/>
        </w:tblCellMar>
        <w:tblLook w:val="0000" w:firstRow="0" w:lastRow="0" w:firstColumn="0" w:lastColumn="0" w:noHBand="0" w:noVBand="0"/>
      </w:tblPr>
      <w:tblGrid>
        <w:gridCol w:w="1942"/>
        <w:gridCol w:w="1993"/>
        <w:gridCol w:w="1712"/>
        <w:gridCol w:w="1895"/>
      </w:tblGrid>
      <w:tr w:rsidR="004E54FE" w:rsidRPr="00EE3E14" w14:paraId="7D1C9E19" w14:textId="77777777" w:rsidTr="00D63DE0">
        <w:trPr>
          <w:cantSplit/>
          <w:trHeight w:val="214"/>
          <w:jc w:val="center"/>
        </w:trPr>
        <w:tc>
          <w:tcPr>
            <w:tcW w:w="1942" w:type="dxa"/>
            <w:tcBorders>
              <w:top w:val="single" w:sz="6" w:space="0" w:color="auto"/>
              <w:left w:val="single" w:sz="6" w:space="0" w:color="auto"/>
            </w:tcBorders>
          </w:tcPr>
          <w:p w14:paraId="0CE07636" w14:textId="397BAD8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 xml:space="preserve">Type of Respondents </w:t>
            </w:r>
          </w:p>
        </w:tc>
        <w:tc>
          <w:tcPr>
            <w:tcW w:w="1993" w:type="dxa"/>
            <w:tcBorders>
              <w:top w:val="single" w:sz="6" w:space="0" w:color="auto"/>
              <w:left w:val="single" w:sz="6" w:space="0" w:color="auto"/>
              <w:right w:val="single" w:sz="6" w:space="0" w:color="auto"/>
            </w:tcBorders>
          </w:tcPr>
          <w:p w14:paraId="1A239F21" w14:textId="58BCE0EB"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Total Annual Burden Hours</w:t>
            </w:r>
          </w:p>
        </w:tc>
        <w:tc>
          <w:tcPr>
            <w:tcW w:w="1712" w:type="dxa"/>
            <w:tcBorders>
              <w:top w:val="single" w:sz="6" w:space="0" w:color="auto"/>
              <w:left w:val="single" w:sz="6" w:space="0" w:color="auto"/>
            </w:tcBorders>
          </w:tcPr>
          <w:p w14:paraId="639C8097" w14:textId="610D7F25"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 xml:space="preserve"> Hourly Respondent Wage Rate</w:t>
            </w:r>
            <w:r w:rsidRPr="00EE3E14">
              <w:rPr>
                <w:rFonts w:ascii="Times New Roman" w:hAnsi="Times New Roman" w:cs="Times New Roman"/>
                <w:sz w:val="24"/>
                <w:szCs w:val="24"/>
                <w:vertAlign w:val="superscript"/>
              </w:rPr>
              <w:t>8</w:t>
            </w:r>
          </w:p>
        </w:tc>
        <w:tc>
          <w:tcPr>
            <w:tcW w:w="1895" w:type="dxa"/>
            <w:tcBorders>
              <w:top w:val="single" w:sz="6" w:space="0" w:color="auto"/>
              <w:left w:val="single" w:sz="6" w:space="0" w:color="auto"/>
              <w:right w:val="single" w:sz="6" w:space="0" w:color="auto"/>
            </w:tcBorders>
          </w:tcPr>
          <w:p w14:paraId="05FE0543" w14:textId="7777777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Respondent Cost</w:t>
            </w:r>
          </w:p>
        </w:tc>
      </w:tr>
      <w:tr w:rsidR="004E54FE" w:rsidRPr="00EE3E14" w14:paraId="29BC5DD1" w14:textId="77777777" w:rsidTr="00D63DE0">
        <w:trPr>
          <w:cantSplit/>
          <w:trHeight w:val="214"/>
          <w:jc w:val="center"/>
        </w:trPr>
        <w:tc>
          <w:tcPr>
            <w:tcW w:w="7542" w:type="dxa"/>
            <w:gridSpan w:val="4"/>
            <w:tcBorders>
              <w:top w:val="single" w:sz="6" w:space="0" w:color="auto"/>
              <w:left w:val="single" w:sz="6" w:space="0" w:color="auto"/>
              <w:right w:val="single" w:sz="6" w:space="0" w:color="auto"/>
            </w:tcBorders>
          </w:tcPr>
          <w:p w14:paraId="4DEA1F37" w14:textId="7777777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Study Registration and Data Submission</w:t>
            </w:r>
          </w:p>
        </w:tc>
      </w:tr>
      <w:tr w:rsidR="004E54FE" w:rsidRPr="00EE3E14" w14:paraId="3024B5AD" w14:textId="77777777" w:rsidTr="00D63DE0">
        <w:trPr>
          <w:cantSplit/>
          <w:trHeight w:val="214"/>
          <w:jc w:val="center"/>
        </w:trPr>
        <w:tc>
          <w:tcPr>
            <w:tcW w:w="1942" w:type="dxa"/>
            <w:tcBorders>
              <w:top w:val="single" w:sz="6" w:space="0" w:color="auto"/>
              <w:left w:val="single" w:sz="6" w:space="0" w:color="auto"/>
            </w:tcBorders>
          </w:tcPr>
          <w:p w14:paraId="3A67F6CA" w14:textId="7777777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Investigator Submitting Data</w:t>
            </w:r>
          </w:p>
        </w:tc>
        <w:tc>
          <w:tcPr>
            <w:tcW w:w="1993" w:type="dxa"/>
            <w:tcBorders>
              <w:top w:val="single" w:sz="6" w:space="0" w:color="auto"/>
              <w:left w:val="single" w:sz="6" w:space="0" w:color="auto"/>
              <w:right w:val="single" w:sz="6" w:space="0" w:color="auto"/>
            </w:tcBorders>
            <w:vAlign w:val="center"/>
          </w:tcPr>
          <w:p w14:paraId="41737162" w14:textId="5683CB53"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300</w:t>
            </w:r>
          </w:p>
        </w:tc>
        <w:tc>
          <w:tcPr>
            <w:tcW w:w="1712" w:type="dxa"/>
            <w:tcBorders>
              <w:top w:val="single" w:sz="6" w:space="0" w:color="auto"/>
              <w:left w:val="single" w:sz="6" w:space="0" w:color="auto"/>
            </w:tcBorders>
            <w:vAlign w:val="center"/>
          </w:tcPr>
          <w:p w14:paraId="04D199D1" w14:textId="7733254C"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$40.80</w:t>
            </w:r>
          </w:p>
        </w:tc>
        <w:tc>
          <w:tcPr>
            <w:tcW w:w="1895" w:type="dxa"/>
            <w:tcBorders>
              <w:top w:val="single" w:sz="6" w:space="0" w:color="auto"/>
              <w:left w:val="single" w:sz="6" w:space="0" w:color="auto"/>
              <w:right w:val="single" w:sz="6" w:space="0" w:color="auto"/>
            </w:tcBorders>
            <w:vAlign w:val="center"/>
          </w:tcPr>
          <w:p w14:paraId="780698E6" w14:textId="4E59E897" w:rsidR="004E54FE" w:rsidRPr="00EE3E14" w:rsidRDefault="004E54FE" w:rsidP="00136939">
            <w:pPr>
              <w:rPr>
                <w:rFonts w:ascii="Times New Roman" w:hAnsi="Times New Roman" w:cs="Times New Roman"/>
                <w:sz w:val="24"/>
                <w:szCs w:val="24"/>
              </w:rPr>
            </w:pPr>
            <w:r w:rsidRPr="002A0B2B">
              <w:rPr>
                <w:rFonts w:ascii="Times New Roman" w:hAnsi="Times New Roman" w:cs="Times New Roman"/>
                <w:sz w:val="24"/>
                <w:szCs w:val="24"/>
              </w:rPr>
              <w:t>$</w:t>
            </w:r>
            <w:r w:rsidR="00136939" w:rsidRPr="002A0B2B">
              <w:rPr>
                <w:rFonts w:ascii="Times New Roman" w:hAnsi="Times New Roman" w:cs="Times New Roman"/>
                <w:sz w:val="24"/>
                <w:szCs w:val="24"/>
              </w:rPr>
              <w:t>12,240.00</w:t>
            </w:r>
          </w:p>
        </w:tc>
      </w:tr>
      <w:tr w:rsidR="004E54FE" w:rsidRPr="00EE3E14" w14:paraId="7D1177F3" w14:textId="77777777" w:rsidTr="00D63DE0">
        <w:trPr>
          <w:cantSplit/>
          <w:trHeight w:val="214"/>
          <w:jc w:val="center"/>
        </w:trPr>
        <w:tc>
          <w:tcPr>
            <w:tcW w:w="1942" w:type="dxa"/>
            <w:tcBorders>
              <w:top w:val="single" w:sz="6" w:space="0" w:color="auto"/>
              <w:left w:val="single" w:sz="6" w:space="0" w:color="auto"/>
              <w:bottom w:val="single" w:sz="6" w:space="0" w:color="auto"/>
            </w:tcBorders>
          </w:tcPr>
          <w:p w14:paraId="0B5A8D16" w14:textId="7777777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Institutional Official to Certify Submission</w:t>
            </w:r>
          </w:p>
        </w:tc>
        <w:tc>
          <w:tcPr>
            <w:tcW w:w="1993" w:type="dxa"/>
            <w:tcBorders>
              <w:top w:val="single" w:sz="6" w:space="0" w:color="auto"/>
              <w:left w:val="single" w:sz="6" w:space="0" w:color="auto"/>
              <w:bottom w:val="single" w:sz="6" w:space="0" w:color="auto"/>
              <w:right w:val="single" w:sz="6" w:space="0" w:color="auto"/>
            </w:tcBorders>
            <w:vAlign w:val="center"/>
          </w:tcPr>
          <w:p w14:paraId="2BE3334D" w14:textId="04B4FDEE" w:rsidR="004E54FE" w:rsidRPr="00EE3E14" w:rsidRDefault="00CA60C6" w:rsidP="004E54FE">
            <w:pPr>
              <w:rPr>
                <w:rFonts w:ascii="Times New Roman" w:hAnsi="Times New Roman" w:cs="Times New Roman"/>
                <w:sz w:val="24"/>
                <w:szCs w:val="24"/>
              </w:rPr>
            </w:pPr>
            <w:r w:rsidRPr="002A0B2B">
              <w:rPr>
                <w:rFonts w:ascii="Times New Roman" w:hAnsi="Times New Roman" w:cs="Times New Roman"/>
                <w:sz w:val="24"/>
                <w:szCs w:val="24"/>
              </w:rPr>
              <w:t>150</w:t>
            </w:r>
          </w:p>
        </w:tc>
        <w:tc>
          <w:tcPr>
            <w:tcW w:w="1712" w:type="dxa"/>
            <w:tcBorders>
              <w:top w:val="single" w:sz="6" w:space="0" w:color="auto"/>
              <w:left w:val="single" w:sz="6" w:space="0" w:color="auto"/>
              <w:bottom w:val="single" w:sz="6" w:space="0" w:color="auto"/>
            </w:tcBorders>
            <w:vAlign w:val="center"/>
          </w:tcPr>
          <w:p w14:paraId="4633CE30" w14:textId="0ABB5707"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$51.77</w:t>
            </w:r>
          </w:p>
        </w:tc>
        <w:tc>
          <w:tcPr>
            <w:tcW w:w="1895" w:type="dxa"/>
            <w:tcBorders>
              <w:top w:val="single" w:sz="6" w:space="0" w:color="auto"/>
              <w:left w:val="single" w:sz="6" w:space="0" w:color="auto"/>
              <w:bottom w:val="single" w:sz="6" w:space="0" w:color="auto"/>
              <w:right w:val="single" w:sz="6" w:space="0" w:color="auto"/>
            </w:tcBorders>
            <w:vAlign w:val="center"/>
          </w:tcPr>
          <w:p w14:paraId="4C79F0A3" w14:textId="51BD92A0"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$7,765.50</w:t>
            </w:r>
          </w:p>
        </w:tc>
      </w:tr>
      <w:tr w:rsidR="005815FE" w:rsidRPr="00EE3E14" w14:paraId="7C137BB0" w14:textId="77777777" w:rsidTr="005815FE">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F542E1" w14:textId="77777777" w:rsidR="005815FE" w:rsidRPr="00EE3E14" w:rsidRDefault="005815FE" w:rsidP="004E54FE">
            <w:pPr>
              <w:rPr>
                <w:rFonts w:ascii="Times New Roman" w:hAnsi="Times New Roman" w:cs="Times New Roman"/>
                <w:color w:val="FFFFFF" w:themeColor="background1"/>
                <w:sz w:val="24"/>
                <w:szCs w:val="24"/>
                <w:highlight w:val="blue"/>
              </w:rPr>
            </w:pPr>
          </w:p>
        </w:tc>
      </w:tr>
      <w:tr w:rsidR="004E54FE" w:rsidRPr="00EE3E14" w14:paraId="322F53B4" w14:textId="77777777" w:rsidTr="00D63DE0">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tcPr>
          <w:p w14:paraId="2233A435" w14:textId="77777777"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Requesting Access to Data</w:t>
            </w:r>
          </w:p>
        </w:tc>
      </w:tr>
      <w:tr w:rsidR="004E54FE" w:rsidRPr="00EE3E14" w14:paraId="5AA4E471" w14:textId="77777777" w:rsidTr="00D63DE0">
        <w:trPr>
          <w:cantSplit/>
          <w:trHeight w:val="214"/>
          <w:jc w:val="center"/>
        </w:trPr>
        <w:tc>
          <w:tcPr>
            <w:tcW w:w="1942" w:type="dxa"/>
            <w:tcBorders>
              <w:top w:val="single" w:sz="6" w:space="0" w:color="auto"/>
              <w:left w:val="single" w:sz="6" w:space="0" w:color="auto"/>
              <w:bottom w:val="single" w:sz="6" w:space="0" w:color="auto"/>
            </w:tcBorders>
          </w:tcPr>
          <w:p w14:paraId="5CAB010C" w14:textId="6FFAC8C8" w:rsidR="004E54FE" w:rsidRPr="00EE3E14" w:rsidRDefault="00B85F3A" w:rsidP="004E54FE">
            <w:pPr>
              <w:rPr>
                <w:rFonts w:ascii="Times New Roman" w:hAnsi="Times New Roman" w:cs="Times New Roman"/>
                <w:sz w:val="24"/>
                <w:szCs w:val="24"/>
              </w:rPr>
            </w:pPr>
            <w:r w:rsidRPr="00EE3E14">
              <w:rPr>
                <w:rFonts w:ascii="Times New Roman" w:hAnsi="Times New Roman" w:cs="Times New Roman"/>
                <w:sz w:val="24"/>
                <w:szCs w:val="24"/>
              </w:rPr>
              <w:t>Requester</w:t>
            </w:r>
            <w:r w:rsidR="002B1124" w:rsidRPr="00EE3E14">
              <w:rPr>
                <w:rFonts w:ascii="Times New Roman" w:hAnsi="Times New Roman" w:cs="Times New Roman"/>
                <w:sz w:val="24"/>
                <w:szCs w:val="24"/>
              </w:rPr>
              <w:t xml:space="preserve"> Submitting Request</w:t>
            </w:r>
          </w:p>
        </w:tc>
        <w:tc>
          <w:tcPr>
            <w:tcW w:w="1993" w:type="dxa"/>
            <w:tcBorders>
              <w:top w:val="single" w:sz="6" w:space="0" w:color="auto"/>
              <w:left w:val="single" w:sz="6" w:space="0" w:color="auto"/>
              <w:bottom w:val="single" w:sz="6" w:space="0" w:color="auto"/>
              <w:right w:val="single" w:sz="6" w:space="0" w:color="auto"/>
            </w:tcBorders>
            <w:vAlign w:val="center"/>
          </w:tcPr>
          <w:p w14:paraId="27540F57" w14:textId="331368D8"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2250</w:t>
            </w:r>
          </w:p>
        </w:tc>
        <w:tc>
          <w:tcPr>
            <w:tcW w:w="1712" w:type="dxa"/>
            <w:tcBorders>
              <w:top w:val="single" w:sz="6" w:space="0" w:color="auto"/>
              <w:left w:val="single" w:sz="6" w:space="0" w:color="auto"/>
              <w:bottom w:val="single" w:sz="6" w:space="0" w:color="auto"/>
            </w:tcBorders>
            <w:vAlign w:val="center"/>
          </w:tcPr>
          <w:p w14:paraId="5EDD383F" w14:textId="68EA1C20"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$40.80</w:t>
            </w:r>
          </w:p>
        </w:tc>
        <w:tc>
          <w:tcPr>
            <w:tcW w:w="1895" w:type="dxa"/>
            <w:tcBorders>
              <w:top w:val="single" w:sz="6" w:space="0" w:color="auto"/>
              <w:left w:val="single" w:sz="6" w:space="0" w:color="auto"/>
              <w:bottom w:val="single" w:sz="6" w:space="0" w:color="auto"/>
              <w:right w:val="single" w:sz="6" w:space="0" w:color="auto"/>
            </w:tcBorders>
            <w:vAlign w:val="center"/>
          </w:tcPr>
          <w:p w14:paraId="67C3B934" w14:textId="29C31508" w:rsidR="004E54FE" w:rsidRPr="00EE3E14" w:rsidRDefault="004E54FE" w:rsidP="00136939">
            <w:pPr>
              <w:rPr>
                <w:rFonts w:ascii="Times New Roman" w:hAnsi="Times New Roman" w:cs="Times New Roman"/>
                <w:sz w:val="24"/>
                <w:szCs w:val="24"/>
              </w:rPr>
            </w:pPr>
            <w:r w:rsidRPr="002A0B2B">
              <w:rPr>
                <w:rFonts w:ascii="Times New Roman" w:hAnsi="Times New Roman" w:cs="Times New Roman"/>
                <w:sz w:val="24"/>
                <w:szCs w:val="24"/>
              </w:rPr>
              <w:t>$</w:t>
            </w:r>
            <w:r w:rsidR="00136939" w:rsidRPr="002A0B2B">
              <w:rPr>
                <w:rFonts w:ascii="Times New Roman" w:hAnsi="Times New Roman" w:cs="Times New Roman"/>
                <w:sz w:val="24"/>
                <w:szCs w:val="24"/>
              </w:rPr>
              <w:t>91,800.00</w:t>
            </w:r>
          </w:p>
        </w:tc>
      </w:tr>
      <w:tr w:rsidR="004E54FE" w:rsidRPr="00EE3E14" w14:paraId="448AB31E" w14:textId="77777777" w:rsidTr="00D63DE0">
        <w:trPr>
          <w:cantSplit/>
          <w:trHeight w:val="214"/>
          <w:jc w:val="center"/>
        </w:trPr>
        <w:tc>
          <w:tcPr>
            <w:tcW w:w="1942" w:type="dxa"/>
            <w:tcBorders>
              <w:top w:val="single" w:sz="6" w:space="0" w:color="auto"/>
              <w:left w:val="single" w:sz="6" w:space="0" w:color="auto"/>
              <w:bottom w:val="single" w:sz="6" w:space="0" w:color="auto"/>
            </w:tcBorders>
          </w:tcPr>
          <w:p w14:paraId="02DCBA1E" w14:textId="3C0A9EAF" w:rsidR="004E54FE" w:rsidRPr="00EE3E14" w:rsidRDefault="00136939" w:rsidP="004E54FE">
            <w:pPr>
              <w:rPr>
                <w:rFonts w:ascii="Times New Roman" w:hAnsi="Times New Roman" w:cs="Times New Roman"/>
                <w:sz w:val="24"/>
                <w:szCs w:val="24"/>
              </w:rPr>
            </w:pPr>
            <w:r w:rsidRPr="00EE3E14">
              <w:rPr>
                <w:rFonts w:ascii="Times New Roman" w:hAnsi="Times New Roman" w:cs="Times New Roman"/>
                <w:sz w:val="24"/>
                <w:szCs w:val="24"/>
              </w:rPr>
              <w:t xml:space="preserve">Institutional </w:t>
            </w:r>
            <w:r w:rsidR="004E54FE" w:rsidRPr="00EE3E14">
              <w:rPr>
                <w:rFonts w:ascii="Times New Roman" w:hAnsi="Times New Roman" w:cs="Times New Roman"/>
                <w:sz w:val="24"/>
                <w:szCs w:val="24"/>
              </w:rPr>
              <w:t>Signing Official to Certify Request</w:t>
            </w:r>
          </w:p>
        </w:tc>
        <w:tc>
          <w:tcPr>
            <w:tcW w:w="1993" w:type="dxa"/>
            <w:tcBorders>
              <w:top w:val="single" w:sz="6" w:space="0" w:color="auto"/>
              <w:left w:val="single" w:sz="6" w:space="0" w:color="auto"/>
              <w:bottom w:val="single" w:sz="6" w:space="0" w:color="auto"/>
              <w:right w:val="single" w:sz="6" w:space="0" w:color="auto"/>
            </w:tcBorders>
            <w:vAlign w:val="center"/>
          </w:tcPr>
          <w:p w14:paraId="68DCB610" w14:textId="09A1B61F" w:rsidR="004E54FE" w:rsidRPr="00EE3E14" w:rsidRDefault="00136939" w:rsidP="004E54FE">
            <w:pPr>
              <w:rPr>
                <w:rFonts w:ascii="Times New Roman" w:hAnsi="Times New Roman" w:cs="Times New Roman"/>
                <w:sz w:val="24"/>
                <w:szCs w:val="24"/>
              </w:rPr>
            </w:pPr>
            <w:r w:rsidRPr="002A0B2B">
              <w:rPr>
                <w:rFonts w:ascii="Times New Roman" w:hAnsi="Times New Roman" w:cs="Times New Roman"/>
                <w:sz w:val="24"/>
                <w:szCs w:val="24"/>
              </w:rPr>
              <w:t>1500</w:t>
            </w:r>
          </w:p>
        </w:tc>
        <w:tc>
          <w:tcPr>
            <w:tcW w:w="1712" w:type="dxa"/>
            <w:tcBorders>
              <w:top w:val="single" w:sz="6" w:space="0" w:color="auto"/>
              <w:left w:val="single" w:sz="6" w:space="0" w:color="auto"/>
              <w:bottom w:val="single" w:sz="6" w:space="0" w:color="auto"/>
            </w:tcBorders>
            <w:vAlign w:val="center"/>
          </w:tcPr>
          <w:p w14:paraId="7641613F" w14:textId="1EB5B502" w:rsidR="004E54FE" w:rsidRPr="00EE3E14" w:rsidRDefault="00CA60C6" w:rsidP="004E54FE">
            <w:pPr>
              <w:rPr>
                <w:rFonts w:ascii="Times New Roman" w:hAnsi="Times New Roman" w:cs="Times New Roman"/>
                <w:sz w:val="24"/>
                <w:szCs w:val="24"/>
              </w:rPr>
            </w:pPr>
            <w:r w:rsidRPr="002A0B2B">
              <w:rPr>
                <w:rFonts w:ascii="Times New Roman" w:hAnsi="Times New Roman" w:cs="Times New Roman"/>
                <w:sz w:val="24"/>
                <w:szCs w:val="24"/>
              </w:rPr>
              <w:t>$51.77</w:t>
            </w:r>
          </w:p>
        </w:tc>
        <w:tc>
          <w:tcPr>
            <w:tcW w:w="1895" w:type="dxa"/>
            <w:tcBorders>
              <w:top w:val="single" w:sz="6" w:space="0" w:color="auto"/>
              <w:left w:val="single" w:sz="6" w:space="0" w:color="auto"/>
              <w:bottom w:val="single" w:sz="6" w:space="0" w:color="auto"/>
              <w:right w:val="single" w:sz="6" w:space="0" w:color="auto"/>
            </w:tcBorders>
            <w:vAlign w:val="center"/>
          </w:tcPr>
          <w:p w14:paraId="453CB223" w14:textId="2F6E5F39" w:rsidR="004E54FE" w:rsidRPr="00EE3E14" w:rsidRDefault="00CA60C6" w:rsidP="004E54FE">
            <w:pPr>
              <w:rPr>
                <w:rFonts w:ascii="Times New Roman" w:hAnsi="Times New Roman" w:cs="Times New Roman"/>
                <w:sz w:val="24"/>
                <w:szCs w:val="24"/>
              </w:rPr>
            </w:pPr>
            <w:r w:rsidRPr="002A0B2B">
              <w:rPr>
                <w:rFonts w:ascii="Times New Roman" w:hAnsi="Times New Roman" w:cs="Times New Roman"/>
                <w:sz w:val="24"/>
                <w:szCs w:val="24"/>
              </w:rPr>
              <w:t>$77,655.00</w:t>
            </w:r>
          </w:p>
        </w:tc>
      </w:tr>
      <w:tr w:rsidR="005815FE" w:rsidRPr="00EE3E14" w14:paraId="6AD18D8A" w14:textId="77777777" w:rsidTr="005815FE">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3A9E24" w14:textId="77777777" w:rsidR="005815FE" w:rsidRPr="00EE3E14" w:rsidRDefault="005815FE" w:rsidP="004E54FE">
            <w:pPr>
              <w:rPr>
                <w:rFonts w:ascii="Times New Roman" w:hAnsi="Times New Roman" w:cs="Times New Roman"/>
                <w:sz w:val="24"/>
                <w:szCs w:val="24"/>
              </w:rPr>
            </w:pPr>
          </w:p>
        </w:tc>
      </w:tr>
      <w:tr w:rsidR="004E54FE" w:rsidRPr="00EE3E14" w14:paraId="49B2EEE4" w14:textId="77777777" w:rsidTr="00D63DE0">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tcPr>
          <w:p w14:paraId="18066DE7" w14:textId="73E47FAF" w:rsidR="004E54FE" w:rsidRPr="00EE3E14" w:rsidRDefault="004E54FE" w:rsidP="004E54FE">
            <w:pPr>
              <w:rPr>
                <w:rFonts w:ascii="Times New Roman" w:hAnsi="Times New Roman" w:cs="Times New Roman"/>
                <w:sz w:val="24"/>
                <w:szCs w:val="24"/>
              </w:rPr>
            </w:pPr>
            <w:r w:rsidRPr="00EE3E14">
              <w:rPr>
                <w:rFonts w:ascii="Times New Roman" w:hAnsi="Times New Roman" w:cs="Times New Roman"/>
                <w:sz w:val="24"/>
                <w:szCs w:val="24"/>
              </w:rPr>
              <w:t>Project Renewal/Project Close-out Process</w:t>
            </w:r>
          </w:p>
        </w:tc>
      </w:tr>
      <w:tr w:rsidR="004E54FE" w:rsidRPr="00EE3E14" w14:paraId="580818A8" w14:textId="77777777" w:rsidTr="00D63DE0">
        <w:trPr>
          <w:cantSplit/>
          <w:trHeight w:val="214"/>
          <w:jc w:val="center"/>
        </w:trPr>
        <w:tc>
          <w:tcPr>
            <w:tcW w:w="1942" w:type="dxa"/>
            <w:tcBorders>
              <w:top w:val="single" w:sz="6" w:space="0" w:color="auto"/>
              <w:left w:val="single" w:sz="6" w:space="0" w:color="auto"/>
              <w:bottom w:val="single" w:sz="6" w:space="0" w:color="auto"/>
            </w:tcBorders>
          </w:tcPr>
          <w:p w14:paraId="70836E9A" w14:textId="1F32ABA3" w:rsidR="004E54FE" w:rsidRPr="00EE3E14" w:rsidRDefault="00B85F3A" w:rsidP="004E54FE">
            <w:pPr>
              <w:rPr>
                <w:rFonts w:ascii="Times New Roman" w:hAnsi="Times New Roman" w:cs="Times New Roman"/>
                <w:sz w:val="24"/>
                <w:szCs w:val="24"/>
              </w:rPr>
            </w:pPr>
            <w:r w:rsidRPr="00EE3E14">
              <w:rPr>
                <w:rFonts w:ascii="Times New Roman" w:hAnsi="Times New Roman" w:cs="Times New Roman"/>
                <w:sz w:val="24"/>
                <w:szCs w:val="24"/>
              </w:rPr>
              <w:t>Requester</w:t>
            </w:r>
            <w:r w:rsidR="00CA60C6" w:rsidRPr="00EE3E14">
              <w:rPr>
                <w:rFonts w:ascii="Times New Roman" w:hAnsi="Times New Roman" w:cs="Times New Roman"/>
                <w:sz w:val="24"/>
                <w:szCs w:val="24"/>
              </w:rPr>
              <w:t xml:space="preserve"> Submitting Request</w:t>
            </w:r>
          </w:p>
        </w:tc>
        <w:tc>
          <w:tcPr>
            <w:tcW w:w="1993" w:type="dxa"/>
            <w:tcBorders>
              <w:top w:val="single" w:sz="6" w:space="0" w:color="auto"/>
              <w:left w:val="single" w:sz="6" w:space="0" w:color="auto"/>
              <w:bottom w:val="single" w:sz="6" w:space="0" w:color="auto"/>
              <w:right w:val="single" w:sz="6" w:space="0" w:color="auto"/>
            </w:tcBorders>
            <w:vAlign w:val="center"/>
          </w:tcPr>
          <w:p w14:paraId="7D36F89C" w14:textId="671B63C1"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750</w:t>
            </w:r>
          </w:p>
        </w:tc>
        <w:tc>
          <w:tcPr>
            <w:tcW w:w="1712" w:type="dxa"/>
            <w:tcBorders>
              <w:top w:val="single" w:sz="6" w:space="0" w:color="auto"/>
              <w:left w:val="single" w:sz="6" w:space="0" w:color="auto"/>
              <w:bottom w:val="single" w:sz="6" w:space="0" w:color="auto"/>
            </w:tcBorders>
            <w:vAlign w:val="center"/>
          </w:tcPr>
          <w:p w14:paraId="40EC83D0" w14:textId="3D1BAEDE"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$40.80</w:t>
            </w:r>
          </w:p>
        </w:tc>
        <w:tc>
          <w:tcPr>
            <w:tcW w:w="1895" w:type="dxa"/>
            <w:tcBorders>
              <w:top w:val="single" w:sz="6" w:space="0" w:color="auto"/>
              <w:left w:val="single" w:sz="6" w:space="0" w:color="auto"/>
              <w:bottom w:val="single" w:sz="6" w:space="0" w:color="auto"/>
              <w:right w:val="single" w:sz="6" w:space="0" w:color="auto"/>
            </w:tcBorders>
            <w:vAlign w:val="center"/>
          </w:tcPr>
          <w:p w14:paraId="4C89A83D" w14:textId="5965A89F"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$30,600.00</w:t>
            </w:r>
          </w:p>
        </w:tc>
      </w:tr>
      <w:tr w:rsidR="004E54FE" w:rsidRPr="00EE3E14" w14:paraId="40A896B5" w14:textId="77777777" w:rsidTr="008741B7">
        <w:trPr>
          <w:cantSplit/>
          <w:trHeight w:val="214"/>
          <w:jc w:val="center"/>
        </w:trPr>
        <w:tc>
          <w:tcPr>
            <w:tcW w:w="1942" w:type="dxa"/>
            <w:tcBorders>
              <w:top w:val="single" w:sz="6" w:space="0" w:color="auto"/>
              <w:left w:val="single" w:sz="6" w:space="0" w:color="auto"/>
              <w:bottom w:val="single" w:sz="6" w:space="0" w:color="auto"/>
            </w:tcBorders>
          </w:tcPr>
          <w:p w14:paraId="49A6BF78" w14:textId="75EF4B74" w:rsidR="004E54FE" w:rsidRPr="00EE3E14" w:rsidRDefault="00CA60C6" w:rsidP="004E54FE">
            <w:pPr>
              <w:rPr>
                <w:rFonts w:ascii="Times New Roman" w:hAnsi="Times New Roman" w:cs="Times New Roman"/>
                <w:sz w:val="24"/>
                <w:szCs w:val="24"/>
              </w:rPr>
            </w:pPr>
            <w:r w:rsidRPr="00EE3E14">
              <w:rPr>
                <w:rFonts w:ascii="Times New Roman" w:hAnsi="Times New Roman" w:cs="Times New Roman"/>
                <w:sz w:val="24"/>
                <w:szCs w:val="24"/>
              </w:rPr>
              <w:t xml:space="preserve">Institutional </w:t>
            </w:r>
            <w:r w:rsidR="004E54FE" w:rsidRPr="00EE3E14">
              <w:rPr>
                <w:rFonts w:ascii="Times New Roman" w:hAnsi="Times New Roman" w:cs="Times New Roman"/>
                <w:sz w:val="24"/>
                <w:szCs w:val="24"/>
              </w:rPr>
              <w:t>Signing Official to Certify Request</w:t>
            </w:r>
          </w:p>
        </w:tc>
        <w:tc>
          <w:tcPr>
            <w:tcW w:w="1993" w:type="dxa"/>
            <w:tcBorders>
              <w:top w:val="single" w:sz="6" w:space="0" w:color="auto"/>
              <w:left w:val="single" w:sz="6" w:space="0" w:color="auto"/>
              <w:bottom w:val="single" w:sz="6" w:space="0" w:color="auto"/>
              <w:right w:val="single" w:sz="6" w:space="0" w:color="auto"/>
            </w:tcBorders>
            <w:vAlign w:val="center"/>
          </w:tcPr>
          <w:p w14:paraId="1D0C41A7" w14:textId="156BC7AB"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900</w:t>
            </w:r>
          </w:p>
        </w:tc>
        <w:tc>
          <w:tcPr>
            <w:tcW w:w="1712" w:type="dxa"/>
            <w:tcBorders>
              <w:top w:val="single" w:sz="6" w:space="0" w:color="auto"/>
              <w:left w:val="single" w:sz="6" w:space="0" w:color="auto"/>
              <w:bottom w:val="single" w:sz="6" w:space="0" w:color="auto"/>
            </w:tcBorders>
            <w:vAlign w:val="center"/>
          </w:tcPr>
          <w:p w14:paraId="7A3F5C16" w14:textId="4C49D660"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$51.77</w:t>
            </w:r>
          </w:p>
        </w:tc>
        <w:tc>
          <w:tcPr>
            <w:tcW w:w="1895" w:type="dxa"/>
            <w:tcBorders>
              <w:top w:val="single" w:sz="6" w:space="0" w:color="auto"/>
              <w:left w:val="single" w:sz="6" w:space="0" w:color="auto"/>
              <w:bottom w:val="single" w:sz="6" w:space="0" w:color="auto"/>
              <w:right w:val="single" w:sz="6" w:space="0" w:color="auto"/>
            </w:tcBorders>
            <w:vAlign w:val="center"/>
          </w:tcPr>
          <w:p w14:paraId="6BBCAF93" w14:textId="1A3AED83" w:rsidR="004E54FE" w:rsidRPr="00EE3E14" w:rsidRDefault="008741B7" w:rsidP="004E54FE">
            <w:pPr>
              <w:rPr>
                <w:rFonts w:ascii="Times New Roman" w:hAnsi="Times New Roman" w:cs="Times New Roman"/>
                <w:sz w:val="24"/>
                <w:szCs w:val="24"/>
              </w:rPr>
            </w:pPr>
            <w:r w:rsidRPr="002A0B2B">
              <w:rPr>
                <w:rFonts w:ascii="Times New Roman" w:hAnsi="Times New Roman" w:cs="Times New Roman"/>
                <w:sz w:val="24"/>
                <w:szCs w:val="24"/>
              </w:rPr>
              <w:t>$46,593.00</w:t>
            </w:r>
          </w:p>
        </w:tc>
      </w:tr>
    </w:tbl>
    <w:p w14:paraId="4D62D5DA" w14:textId="77777777" w:rsidR="008741B7" w:rsidRPr="00EE3E14" w:rsidRDefault="008741B7" w:rsidP="008741B7">
      <w:pPr>
        <w:rPr>
          <w:rFonts w:ascii="Times New Roman" w:hAnsi="Times New Roman" w:cs="Times New Roman"/>
          <w:sz w:val="24"/>
          <w:szCs w:val="24"/>
        </w:rPr>
      </w:pPr>
    </w:p>
    <w:p w14:paraId="7440E089" w14:textId="77777777" w:rsidR="008741B7" w:rsidRPr="00EE3E14" w:rsidRDefault="008741B7" w:rsidP="008741B7">
      <w:pPr>
        <w:rPr>
          <w:rFonts w:ascii="Times New Roman" w:hAnsi="Times New Roman" w:cs="Times New Roman"/>
          <w:b/>
          <w:sz w:val="24"/>
          <w:szCs w:val="24"/>
        </w:rPr>
      </w:pPr>
      <w:r w:rsidRPr="00EE3E14">
        <w:rPr>
          <w:rFonts w:ascii="Times New Roman" w:hAnsi="Times New Roman" w:cs="Times New Roman"/>
          <w:b/>
          <w:sz w:val="24"/>
          <w:szCs w:val="24"/>
        </w:rPr>
        <w:t>A.13</w:t>
      </w:r>
      <w:r w:rsidRPr="00EE3E14">
        <w:rPr>
          <w:rFonts w:ascii="Times New Roman" w:hAnsi="Times New Roman" w:cs="Times New Roman"/>
          <w:b/>
          <w:sz w:val="24"/>
          <w:szCs w:val="24"/>
        </w:rPr>
        <w:tab/>
        <w:t>Estimate of Other Total Annual Cost Burden to Respondents or Record Keepers</w:t>
      </w:r>
    </w:p>
    <w:p w14:paraId="39F561C8" w14:textId="3C4E75F0" w:rsidR="008741B7" w:rsidRPr="00EE3E14" w:rsidRDefault="008741B7" w:rsidP="008741B7">
      <w:pPr>
        <w:ind w:left="720"/>
        <w:rPr>
          <w:rFonts w:ascii="Times New Roman" w:hAnsi="Times New Roman" w:cs="Times New Roman"/>
          <w:sz w:val="24"/>
          <w:szCs w:val="24"/>
        </w:rPr>
      </w:pPr>
      <w:r w:rsidRPr="00EE3E14">
        <w:rPr>
          <w:rFonts w:ascii="Times New Roman" w:hAnsi="Times New Roman" w:cs="Times New Roman"/>
          <w:sz w:val="24"/>
          <w:szCs w:val="24"/>
        </w:rPr>
        <w:t xml:space="preserve">Other than the respondents time, there are no additional costs associated with this data collection. </w:t>
      </w:r>
    </w:p>
    <w:p w14:paraId="5FA8CA87" w14:textId="77777777" w:rsidR="008741B7" w:rsidRPr="00EE3E14" w:rsidRDefault="008741B7" w:rsidP="008741B7">
      <w:pPr>
        <w:ind w:left="720" w:hanging="720"/>
        <w:rPr>
          <w:rFonts w:ascii="Times New Roman" w:hAnsi="Times New Roman" w:cs="Times New Roman"/>
          <w:sz w:val="24"/>
          <w:szCs w:val="24"/>
        </w:rPr>
      </w:pPr>
      <w:r w:rsidRPr="00EE3E14">
        <w:rPr>
          <w:rFonts w:ascii="Times New Roman" w:hAnsi="Times New Roman" w:cs="Times New Roman"/>
          <w:b/>
          <w:sz w:val="24"/>
          <w:szCs w:val="24"/>
        </w:rPr>
        <w:t>A.14</w:t>
      </w:r>
      <w:r w:rsidRPr="00EE3E14">
        <w:rPr>
          <w:rFonts w:ascii="Times New Roman" w:hAnsi="Times New Roman" w:cs="Times New Roman"/>
          <w:sz w:val="24"/>
          <w:szCs w:val="24"/>
        </w:rPr>
        <w:tab/>
        <w:t>A</w:t>
      </w:r>
      <w:r w:rsidRPr="00EE3E14">
        <w:rPr>
          <w:rFonts w:ascii="Times New Roman" w:hAnsi="Times New Roman" w:cs="Times New Roman"/>
          <w:b/>
          <w:sz w:val="24"/>
          <w:szCs w:val="24"/>
        </w:rPr>
        <w:t>nnualized Cost to the Federal Government</w:t>
      </w:r>
    </w:p>
    <w:p w14:paraId="63B2DBD8" w14:textId="4313E656" w:rsidR="008741B7" w:rsidRPr="00EE3E14" w:rsidRDefault="008741B7" w:rsidP="008741B7">
      <w:pPr>
        <w:ind w:left="720"/>
        <w:rPr>
          <w:rFonts w:ascii="Times New Roman" w:hAnsi="Times New Roman" w:cs="Times New Roman"/>
          <w:sz w:val="24"/>
          <w:szCs w:val="24"/>
        </w:rPr>
      </w:pPr>
      <w:r w:rsidRPr="00EE3E14">
        <w:rPr>
          <w:rFonts w:ascii="Times New Roman" w:hAnsi="Times New Roman" w:cs="Times New Roman"/>
          <w:sz w:val="24"/>
          <w:szCs w:val="24"/>
        </w:rPr>
        <w:t>The estimated annualized cost to the Federal Government to support this</w:t>
      </w:r>
      <w:r w:rsidR="004F3B26" w:rsidRPr="00EE3E14">
        <w:rPr>
          <w:rFonts w:ascii="Times New Roman" w:hAnsi="Times New Roman" w:cs="Times New Roman"/>
          <w:sz w:val="24"/>
          <w:szCs w:val="24"/>
        </w:rPr>
        <w:t xml:space="preserve"> information collection is </w:t>
      </w:r>
      <w:r w:rsidR="004F3B26" w:rsidRPr="003F55E3">
        <w:rPr>
          <w:rFonts w:ascii="Times New Roman" w:hAnsi="Times New Roman" w:cs="Times New Roman"/>
          <w:sz w:val="24"/>
          <w:szCs w:val="24"/>
        </w:rPr>
        <w:t>$5</w:t>
      </w:r>
      <w:r w:rsidR="005964CA" w:rsidRPr="003F55E3">
        <w:rPr>
          <w:rFonts w:ascii="Times New Roman" w:hAnsi="Times New Roman" w:cs="Times New Roman"/>
          <w:sz w:val="24"/>
          <w:szCs w:val="24"/>
        </w:rPr>
        <w:t xml:space="preserve"> </w:t>
      </w:r>
      <w:r w:rsidRPr="00987C17">
        <w:rPr>
          <w:rFonts w:ascii="Times New Roman" w:hAnsi="Times New Roman" w:cs="Times New Roman"/>
          <w:sz w:val="24"/>
          <w:szCs w:val="24"/>
        </w:rPr>
        <w:t>million,</w:t>
      </w:r>
      <w:r w:rsidRPr="00EE3E14">
        <w:rPr>
          <w:rFonts w:ascii="Times New Roman" w:hAnsi="Times New Roman" w:cs="Times New Roman"/>
          <w:sz w:val="24"/>
          <w:szCs w:val="24"/>
        </w:rPr>
        <w:t xml:space="preserve"> which is comprised of program personnel costs and computer hardware/software costs associated with the project’s implementation and operation. The estimated personnel cost is </w:t>
      </w:r>
      <w:r w:rsidRPr="002A0B2B">
        <w:rPr>
          <w:rFonts w:ascii="Times New Roman" w:hAnsi="Times New Roman" w:cs="Times New Roman"/>
          <w:sz w:val="24"/>
          <w:szCs w:val="24"/>
        </w:rPr>
        <w:t>$</w:t>
      </w:r>
      <w:r w:rsidR="00A2122D" w:rsidRPr="002A0B2B">
        <w:rPr>
          <w:rFonts w:ascii="Times New Roman" w:hAnsi="Times New Roman" w:cs="Times New Roman"/>
          <w:sz w:val="24"/>
          <w:szCs w:val="24"/>
        </w:rPr>
        <w:t>2.5</w:t>
      </w:r>
      <w:r w:rsidR="00A2122D" w:rsidRPr="003F55E3">
        <w:rPr>
          <w:rFonts w:ascii="Times New Roman" w:hAnsi="Times New Roman" w:cs="Times New Roman"/>
          <w:sz w:val="24"/>
          <w:szCs w:val="24"/>
        </w:rPr>
        <w:t>0</w:t>
      </w:r>
      <w:r w:rsidRPr="002A0B2B">
        <w:rPr>
          <w:rFonts w:ascii="Times New Roman" w:hAnsi="Times New Roman" w:cs="Times New Roman"/>
          <w:sz w:val="24"/>
          <w:szCs w:val="24"/>
        </w:rPr>
        <w:t xml:space="preserve"> million</w:t>
      </w:r>
      <w:r w:rsidRPr="00EE3E14">
        <w:rPr>
          <w:rFonts w:ascii="Times New Roman" w:hAnsi="Times New Roman" w:cs="Times New Roman"/>
          <w:sz w:val="24"/>
          <w:szCs w:val="24"/>
        </w:rPr>
        <w:t>, ba</w:t>
      </w:r>
      <w:r w:rsidR="00A2122D" w:rsidRPr="00EE3E14">
        <w:rPr>
          <w:rFonts w:ascii="Times New Roman" w:hAnsi="Times New Roman" w:cs="Times New Roman"/>
          <w:sz w:val="24"/>
          <w:szCs w:val="24"/>
        </w:rPr>
        <w:t xml:space="preserve">sed on </w:t>
      </w:r>
      <w:r w:rsidR="00A2122D" w:rsidRPr="002A0B2B">
        <w:rPr>
          <w:rFonts w:ascii="Times New Roman" w:hAnsi="Times New Roman" w:cs="Times New Roman"/>
          <w:sz w:val="24"/>
          <w:szCs w:val="24"/>
        </w:rPr>
        <w:t>20</w:t>
      </w:r>
      <w:r w:rsidRPr="002A0B2B">
        <w:rPr>
          <w:rFonts w:ascii="Times New Roman" w:hAnsi="Times New Roman" w:cs="Times New Roman"/>
          <w:sz w:val="24"/>
          <w:szCs w:val="24"/>
        </w:rPr>
        <w:t xml:space="preserve"> </w:t>
      </w:r>
      <w:r w:rsidRPr="00EE3E14">
        <w:rPr>
          <w:rFonts w:ascii="Times New Roman" w:hAnsi="Times New Roman" w:cs="Times New Roman"/>
          <w:sz w:val="24"/>
          <w:szCs w:val="24"/>
        </w:rPr>
        <w:t xml:space="preserve">programmers (contractors and federal) at an average annual rate of </w:t>
      </w:r>
      <w:r w:rsidRPr="002A0B2B">
        <w:rPr>
          <w:rFonts w:ascii="Times New Roman" w:hAnsi="Times New Roman" w:cs="Times New Roman"/>
          <w:sz w:val="24"/>
          <w:szCs w:val="24"/>
        </w:rPr>
        <w:t>$</w:t>
      </w:r>
      <w:r w:rsidR="00A2122D" w:rsidRPr="002A0B2B">
        <w:rPr>
          <w:rFonts w:ascii="Times New Roman" w:hAnsi="Times New Roman" w:cs="Times New Roman"/>
          <w:sz w:val="24"/>
          <w:szCs w:val="24"/>
        </w:rPr>
        <w:t>124,845</w:t>
      </w:r>
      <w:r w:rsidRPr="002A0B2B">
        <w:rPr>
          <w:rFonts w:ascii="Times New Roman" w:hAnsi="Times New Roman" w:cs="Times New Roman"/>
          <w:sz w:val="24"/>
          <w:szCs w:val="24"/>
        </w:rPr>
        <w:t xml:space="preserve"> </w:t>
      </w:r>
      <w:r w:rsidRPr="00EE3E14">
        <w:rPr>
          <w:rFonts w:ascii="Times New Roman" w:hAnsi="Times New Roman" w:cs="Times New Roman"/>
          <w:sz w:val="24"/>
          <w:szCs w:val="24"/>
        </w:rPr>
        <w:t>(salary and benefits). The estimated cost of computer hardware and software is $2.5 million.</w:t>
      </w:r>
    </w:p>
    <w:tbl>
      <w:tblPr>
        <w:tblW w:w="9522" w:type="dxa"/>
        <w:tblCellMar>
          <w:left w:w="0" w:type="dxa"/>
          <w:right w:w="0" w:type="dxa"/>
        </w:tblCellMar>
        <w:tblLook w:val="04A0" w:firstRow="1" w:lastRow="0" w:firstColumn="1" w:lastColumn="0" w:noHBand="0" w:noVBand="1"/>
      </w:tblPr>
      <w:tblGrid>
        <w:gridCol w:w="3273"/>
        <w:gridCol w:w="1194"/>
        <w:gridCol w:w="1710"/>
        <w:gridCol w:w="913"/>
        <w:gridCol w:w="1233"/>
        <w:gridCol w:w="1199"/>
      </w:tblGrid>
      <w:tr w:rsidR="004F3B26" w:rsidRPr="00EE3E14" w14:paraId="734FC319" w14:textId="77777777" w:rsidTr="00D63DE0">
        <w:trPr>
          <w:trHeight w:val="900"/>
        </w:trPr>
        <w:tc>
          <w:tcPr>
            <w:tcW w:w="327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0A86744" w14:textId="77777777" w:rsidR="004F3B26" w:rsidRPr="00EE3E14" w:rsidRDefault="004F3B26" w:rsidP="00D63DE0">
            <w:pPr>
              <w:jc w:val="center"/>
              <w:rPr>
                <w:rFonts w:ascii="Times New Roman" w:hAnsi="Times New Roman" w:cs="Times New Roman"/>
                <w:b/>
                <w:bCs/>
                <w:color w:val="000000"/>
                <w:sz w:val="24"/>
                <w:szCs w:val="24"/>
              </w:rPr>
            </w:pPr>
            <w:r w:rsidRPr="00EE3E14">
              <w:rPr>
                <w:rFonts w:ascii="Times New Roman" w:hAnsi="Times New Roman" w:cs="Times New Roman"/>
                <w:b/>
                <w:bCs/>
                <w:color w:val="000000"/>
                <w:sz w:val="24"/>
                <w:szCs w:val="24"/>
              </w:rPr>
              <w:t>Cost Descriptions</w:t>
            </w:r>
          </w:p>
        </w:tc>
        <w:tc>
          <w:tcPr>
            <w:tcW w:w="900" w:type="dxa"/>
            <w:tcBorders>
              <w:top w:val="single" w:sz="8" w:space="0" w:color="auto"/>
              <w:left w:val="nil"/>
              <w:bottom w:val="single" w:sz="8" w:space="0" w:color="auto"/>
              <w:right w:val="single" w:sz="8" w:space="0" w:color="auto"/>
            </w:tcBorders>
            <w:shd w:val="clear" w:color="auto" w:fill="auto"/>
            <w:vAlign w:val="center"/>
          </w:tcPr>
          <w:p w14:paraId="278E4E48" w14:textId="77777777" w:rsidR="004F3B26" w:rsidRPr="00EE3E14" w:rsidRDefault="004F3B26" w:rsidP="00D63DE0">
            <w:pPr>
              <w:jc w:val="center"/>
              <w:rPr>
                <w:rFonts w:ascii="Times New Roman" w:hAnsi="Times New Roman" w:cs="Times New Roman"/>
                <w:b/>
                <w:bCs/>
                <w:color w:val="000000"/>
                <w:sz w:val="24"/>
                <w:szCs w:val="24"/>
              </w:rPr>
            </w:pPr>
            <w:r w:rsidRPr="00EE3E14">
              <w:rPr>
                <w:rFonts w:ascii="Times New Roman" w:hAnsi="Times New Roman" w:cs="Times New Roman"/>
                <w:b/>
                <w:bCs/>
                <w:color w:val="000000"/>
                <w:sz w:val="24"/>
                <w:szCs w:val="24"/>
              </w:rPr>
              <w:t>Grade/Step</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5DEAF0" w14:textId="77777777" w:rsidR="004F3B26" w:rsidRPr="00EE3E14" w:rsidRDefault="004F3B26" w:rsidP="00D63DE0">
            <w:pPr>
              <w:jc w:val="center"/>
              <w:rPr>
                <w:rFonts w:ascii="Times New Roman" w:hAnsi="Times New Roman" w:cs="Times New Roman"/>
                <w:b/>
                <w:bCs/>
                <w:sz w:val="24"/>
                <w:szCs w:val="24"/>
              </w:rPr>
            </w:pPr>
            <w:r w:rsidRPr="00EE3E14">
              <w:rPr>
                <w:rFonts w:ascii="Times New Roman" w:hAnsi="Times New Roman" w:cs="Times New Roman"/>
                <w:b/>
                <w:bCs/>
                <w:sz w:val="24"/>
                <w:szCs w:val="24"/>
              </w:rPr>
              <w:t>Salary</w:t>
            </w:r>
          </w:p>
        </w:tc>
        <w:tc>
          <w:tcPr>
            <w:tcW w:w="9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0AB74E" w14:textId="77777777" w:rsidR="004F3B26" w:rsidRPr="00EE3E14" w:rsidRDefault="004F3B26" w:rsidP="00D63DE0">
            <w:pPr>
              <w:jc w:val="center"/>
              <w:rPr>
                <w:rFonts w:ascii="Times New Roman" w:hAnsi="Times New Roman" w:cs="Times New Roman"/>
                <w:b/>
                <w:bCs/>
                <w:sz w:val="24"/>
                <w:szCs w:val="24"/>
              </w:rPr>
            </w:pPr>
            <w:r w:rsidRPr="00EE3E14">
              <w:rPr>
                <w:rFonts w:ascii="Times New Roman" w:hAnsi="Times New Roman" w:cs="Times New Roman"/>
                <w:b/>
                <w:bCs/>
                <w:sz w:val="24"/>
                <w:szCs w:val="24"/>
              </w:rPr>
              <w:t>% of Effort</w:t>
            </w:r>
          </w:p>
          <w:p w14:paraId="0D26F512" w14:textId="77777777" w:rsidR="004F3B26" w:rsidRPr="00EE3E14" w:rsidRDefault="004F3B26" w:rsidP="00D63DE0">
            <w:pPr>
              <w:jc w:val="center"/>
              <w:rPr>
                <w:rFonts w:ascii="Times New Roman" w:hAnsi="Times New Roman" w:cs="Times New Roman"/>
                <w:b/>
                <w:bCs/>
                <w:sz w:val="24"/>
                <w:szCs w:val="24"/>
              </w:rPr>
            </w:pPr>
            <w:r w:rsidRPr="00EE3E14">
              <w:rPr>
                <w:rFonts w:ascii="Times New Roman" w:hAnsi="Times New Roman" w:cs="Times New Roman"/>
                <w:b/>
                <w:bCs/>
                <w:sz w:val="24"/>
                <w:szCs w:val="24"/>
              </w:rPr>
              <w:t>FTE equiv</w:t>
            </w:r>
          </w:p>
        </w:tc>
        <w:tc>
          <w:tcPr>
            <w:tcW w:w="1363" w:type="dxa"/>
            <w:tcBorders>
              <w:top w:val="single" w:sz="8" w:space="0" w:color="auto"/>
              <w:left w:val="nil"/>
              <w:bottom w:val="single" w:sz="8" w:space="0" w:color="auto"/>
              <w:right w:val="single" w:sz="8" w:space="0" w:color="auto"/>
            </w:tcBorders>
            <w:shd w:val="clear" w:color="auto" w:fill="auto"/>
            <w:vAlign w:val="center"/>
          </w:tcPr>
          <w:p w14:paraId="2A945CD4" w14:textId="77777777" w:rsidR="004F3B26" w:rsidRPr="00EE3E14" w:rsidRDefault="004F3B26" w:rsidP="00D63DE0">
            <w:pPr>
              <w:spacing w:after="0"/>
              <w:jc w:val="center"/>
              <w:rPr>
                <w:rFonts w:ascii="Times New Roman" w:hAnsi="Times New Roman" w:cs="Times New Roman"/>
                <w:b/>
                <w:bCs/>
                <w:sz w:val="24"/>
                <w:szCs w:val="24"/>
              </w:rPr>
            </w:pPr>
            <w:r w:rsidRPr="00EE3E14">
              <w:rPr>
                <w:rFonts w:ascii="Times New Roman" w:hAnsi="Times New Roman" w:cs="Times New Roman"/>
                <w:b/>
                <w:bCs/>
                <w:sz w:val="24"/>
                <w:szCs w:val="24"/>
              </w:rPr>
              <w:t xml:space="preserve">Fringe </w:t>
            </w:r>
          </w:p>
          <w:p w14:paraId="18B9E7B7" w14:textId="77777777" w:rsidR="004F3B26" w:rsidRPr="00EE3E14" w:rsidRDefault="004F3B26" w:rsidP="00D63DE0">
            <w:pPr>
              <w:spacing w:after="0"/>
              <w:jc w:val="center"/>
              <w:rPr>
                <w:rFonts w:ascii="Times New Roman" w:hAnsi="Times New Roman" w:cs="Times New Roman"/>
                <w:b/>
                <w:bCs/>
                <w:sz w:val="24"/>
                <w:szCs w:val="24"/>
              </w:rPr>
            </w:pPr>
            <w:r w:rsidRPr="00EE3E14">
              <w:rPr>
                <w:rFonts w:ascii="Times New Roman" w:hAnsi="Times New Roman" w:cs="Times New Roman"/>
                <w:b/>
                <w:bCs/>
                <w:sz w:val="24"/>
                <w:szCs w:val="24"/>
              </w:rPr>
              <w:t>(if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2EFB21E3" w14:textId="77777777" w:rsidR="004F3B26" w:rsidRPr="00EE3E14" w:rsidRDefault="004F3B26" w:rsidP="00D63DE0">
            <w:pPr>
              <w:jc w:val="center"/>
              <w:rPr>
                <w:rFonts w:ascii="Times New Roman" w:hAnsi="Times New Roman" w:cs="Times New Roman"/>
                <w:b/>
                <w:bCs/>
                <w:sz w:val="24"/>
                <w:szCs w:val="24"/>
              </w:rPr>
            </w:pPr>
            <w:r w:rsidRPr="00EE3E14">
              <w:rPr>
                <w:rFonts w:ascii="Times New Roman" w:hAnsi="Times New Roman" w:cs="Times New Roman"/>
                <w:b/>
                <w:bCs/>
                <w:sz w:val="24"/>
                <w:szCs w:val="24"/>
              </w:rPr>
              <w:t>Total Cost to Gov’t</w:t>
            </w:r>
          </w:p>
        </w:tc>
      </w:tr>
      <w:tr w:rsidR="004F3B26" w:rsidRPr="00EE3E14" w14:paraId="424A4FEF"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FC9AC7" w14:textId="77777777" w:rsidR="004F3B26" w:rsidRPr="00EE3E14" w:rsidRDefault="004F3B26" w:rsidP="00D63DE0">
            <w:pPr>
              <w:spacing w:after="0"/>
              <w:jc w:val="center"/>
              <w:rPr>
                <w:rFonts w:ascii="Times New Roman" w:hAnsi="Times New Roman" w:cs="Times New Roman"/>
                <w:b/>
                <w:color w:val="000000"/>
                <w:sz w:val="24"/>
                <w:szCs w:val="24"/>
              </w:rPr>
            </w:pPr>
            <w:r w:rsidRPr="00EE3E14">
              <w:rPr>
                <w:rFonts w:ascii="Times New Roman" w:hAnsi="Times New Roman" w:cs="Times New Roman"/>
                <w:b/>
                <w:color w:val="000000"/>
                <w:sz w:val="24"/>
                <w:szCs w:val="24"/>
              </w:rPr>
              <w:t>NIH Project Tech Lead</w:t>
            </w:r>
          </w:p>
          <w:p w14:paraId="56CAB881" w14:textId="77777777" w:rsidR="004F3B26" w:rsidRPr="00EE3E14" w:rsidRDefault="004F3B26" w:rsidP="00D63DE0">
            <w:pPr>
              <w:spacing w:after="0"/>
              <w:jc w:val="center"/>
              <w:rPr>
                <w:rFonts w:ascii="Times New Roman" w:hAnsi="Times New Roman" w:cs="Times New Roman"/>
                <w:color w:val="000000"/>
                <w:sz w:val="24"/>
                <w:szCs w:val="24"/>
              </w:rPr>
            </w:pPr>
            <w:r w:rsidRPr="00EE3E14">
              <w:rPr>
                <w:rFonts w:ascii="Times New Roman" w:hAnsi="Times New Roman" w:cs="Times New Roman"/>
                <w:color w:val="000000"/>
                <w:sz w:val="24"/>
                <w:szCs w:val="24"/>
              </w:rPr>
              <w:t>[2] [Staff Scientist]</w:t>
            </w:r>
          </w:p>
        </w:tc>
        <w:tc>
          <w:tcPr>
            <w:tcW w:w="900" w:type="dxa"/>
            <w:tcBorders>
              <w:top w:val="nil"/>
              <w:left w:val="nil"/>
              <w:bottom w:val="single" w:sz="8" w:space="0" w:color="auto"/>
              <w:right w:val="single" w:sz="8" w:space="0" w:color="auto"/>
            </w:tcBorders>
            <w:vAlign w:val="center"/>
          </w:tcPr>
          <w:p w14:paraId="3A152280" w14:textId="77777777" w:rsidR="004F3B26" w:rsidRPr="00EE3E14" w:rsidRDefault="004F3B26" w:rsidP="00D63DE0">
            <w:pPr>
              <w:spacing w:after="0"/>
              <w:jc w:val="center"/>
              <w:rPr>
                <w:rFonts w:ascii="Times New Roman" w:hAnsi="Times New Roman" w:cs="Times New Roman"/>
                <w:color w:val="000000"/>
                <w:sz w:val="24"/>
                <w:szCs w:val="24"/>
                <w:highlight w:val="yellow"/>
              </w:rPr>
            </w:pPr>
            <w:r w:rsidRPr="00EE3E14">
              <w:rPr>
                <w:rFonts w:ascii="Times New Roman" w:hAnsi="Times New Roman" w:cs="Times New Roman"/>
                <w:color w:val="000000"/>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D9691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$158,647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A129A3"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0.75</w:t>
            </w:r>
          </w:p>
        </w:tc>
        <w:tc>
          <w:tcPr>
            <w:tcW w:w="1363" w:type="dxa"/>
            <w:tcBorders>
              <w:top w:val="nil"/>
              <w:left w:val="nil"/>
              <w:bottom w:val="single" w:sz="8" w:space="0" w:color="auto"/>
              <w:right w:val="single" w:sz="8" w:space="0" w:color="auto"/>
            </w:tcBorders>
            <w:shd w:val="clear" w:color="auto" w:fill="BFBFBF"/>
            <w:vAlign w:val="center"/>
          </w:tcPr>
          <w:p w14:paraId="23C73858"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2CC9518D"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$135,876</w:t>
            </w:r>
          </w:p>
        </w:tc>
      </w:tr>
      <w:tr w:rsidR="004F3B26" w:rsidRPr="00EE3E14" w14:paraId="5F5AAB96"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E96921"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Content Team Lead</w:t>
            </w:r>
          </w:p>
          <w:p w14:paraId="1072E0A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 [Staff Scientist]</w:t>
            </w:r>
          </w:p>
        </w:tc>
        <w:tc>
          <w:tcPr>
            <w:tcW w:w="900" w:type="dxa"/>
            <w:tcBorders>
              <w:top w:val="nil"/>
              <w:left w:val="nil"/>
              <w:bottom w:val="single" w:sz="8" w:space="0" w:color="auto"/>
              <w:right w:val="single" w:sz="8" w:space="0" w:color="auto"/>
            </w:tcBorders>
            <w:vAlign w:val="center"/>
          </w:tcPr>
          <w:p w14:paraId="2220E2A0"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A2CEF1"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$164,200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E9E3F2"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0.52</w:t>
            </w:r>
          </w:p>
        </w:tc>
        <w:tc>
          <w:tcPr>
            <w:tcW w:w="1363" w:type="dxa"/>
            <w:tcBorders>
              <w:top w:val="nil"/>
              <w:left w:val="nil"/>
              <w:bottom w:val="single" w:sz="8" w:space="0" w:color="auto"/>
              <w:right w:val="single" w:sz="8" w:space="0" w:color="auto"/>
            </w:tcBorders>
            <w:shd w:val="clear" w:color="auto" w:fill="BFBFBF"/>
            <w:vAlign w:val="center"/>
          </w:tcPr>
          <w:p w14:paraId="19DA8013"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6E70257A"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$113,663</w:t>
            </w:r>
          </w:p>
        </w:tc>
      </w:tr>
      <w:tr w:rsidR="004F3B26" w:rsidRPr="00EE3E14" w14:paraId="43C9383A"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75737B"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Content Specialist</w:t>
            </w:r>
          </w:p>
          <w:p w14:paraId="18DC154B"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[5] [Staff Scientist]</w:t>
            </w:r>
          </w:p>
        </w:tc>
        <w:tc>
          <w:tcPr>
            <w:tcW w:w="900" w:type="dxa"/>
            <w:tcBorders>
              <w:top w:val="nil"/>
              <w:left w:val="nil"/>
              <w:bottom w:val="single" w:sz="8" w:space="0" w:color="auto"/>
              <w:right w:val="single" w:sz="8" w:space="0" w:color="auto"/>
            </w:tcBorders>
            <w:vAlign w:val="center"/>
          </w:tcPr>
          <w:p w14:paraId="4E29AF6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3A84AB"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$123,833</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0058D4"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4.45</w:t>
            </w:r>
          </w:p>
        </w:tc>
        <w:tc>
          <w:tcPr>
            <w:tcW w:w="1363" w:type="dxa"/>
            <w:tcBorders>
              <w:top w:val="nil"/>
              <w:left w:val="nil"/>
              <w:bottom w:val="single" w:sz="8" w:space="0" w:color="auto"/>
              <w:right w:val="single" w:sz="8" w:space="0" w:color="auto"/>
            </w:tcBorders>
            <w:shd w:val="clear" w:color="auto" w:fill="BFBFBF"/>
            <w:vAlign w:val="center"/>
          </w:tcPr>
          <w:p w14:paraId="385CAC82"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5652DBDB"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$725,467</w:t>
            </w:r>
          </w:p>
        </w:tc>
      </w:tr>
      <w:tr w:rsidR="004F3B26" w:rsidRPr="00EE3E14" w14:paraId="3DCE8683"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97ED07B"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Software Developer</w:t>
            </w:r>
          </w:p>
          <w:p w14:paraId="3110B622"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[2] [Staff Scientist]</w:t>
            </w:r>
          </w:p>
        </w:tc>
        <w:tc>
          <w:tcPr>
            <w:tcW w:w="900" w:type="dxa"/>
            <w:tcBorders>
              <w:top w:val="nil"/>
              <w:left w:val="nil"/>
              <w:bottom w:val="single" w:sz="8" w:space="0" w:color="auto"/>
              <w:right w:val="single" w:sz="8" w:space="0" w:color="auto"/>
            </w:tcBorders>
            <w:vAlign w:val="center"/>
          </w:tcPr>
          <w:p w14:paraId="6927F9B6"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DA3A04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$128,819</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485926"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0.4</w:t>
            </w:r>
          </w:p>
        </w:tc>
        <w:tc>
          <w:tcPr>
            <w:tcW w:w="1363" w:type="dxa"/>
            <w:tcBorders>
              <w:top w:val="nil"/>
              <w:left w:val="nil"/>
              <w:bottom w:val="single" w:sz="8" w:space="0" w:color="auto"/>
              <w:right w:val="single" w:sz="8" w:space="0" w:color="auto"/>
            </w:tcBorders>
            <w:shd w:val="clear" w:color="auto" w:fill="BFBFBF"/>
            <w:vAlign w:val="center"/>
          </w:tcPr>
          <w:p w14:paraId="7790D7B9"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0AB0DB02"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$68,928</w:t>
            </w:r>
          </w:p>
        </w:tc>
      </w:tr>
      <w:tr w:rsidR="004F3B26" w:rsidRPr="00EE3E14" w14:paraId="14F89D99"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0B1E91"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b/>
                <w:sz w:val="24"/>
                <w:szCs w:val="24"/>
              </w:rPr>
              <w:t>NIH Data Specialist</w:t>
            </w:r>
            <w:r w:rsidRPr="00EE3E14">
              <w:rPr>
                <w:rFonts w:ascii="Times New Roman" w:hAnsi="Times New Roman" w:cs="Times New Roman"/>
                <w:b/>
                <w:sz w:val="24"/>
                <w:szCs w:val="24"/>
              </w:rPr>
              <w:br/>
            </w:r>
            <w:r w:rsidRPr="00EE3E14">
              <w:rPr>
                <w:rFonts w:ascii="Times New Roman" w:hAnsi="Times New Roman" w:cs="Times New Roman"/>
                <w:sz w:val="24"/>
                <w:szCs w:val="24"/>
              </w:rPr>
              <w:t>[3] [Staff Scientist]</w:t>
            </w:r>
          </w:p>
        </w:tc>
        <w:tc>
          <w:tcPr>
            <w:tcW w:w="900" w:type="dxa"/>
            <w:tcBorders>
              <w:top w:val="single" w:sz="8" w:space="0" w:color="auto"/>
              <w:left w:val="nil"/>
              <w:bottom w:val="single" w:sz="8" w:space="0" w:color="auto"/>
              <w:right w:val="single" w:sz="8" w:space="0" w:color="auto"/>
            </w:tcBorders>
            <w:shd w:val="clear" w:color="auto" w:fill="auto"/>
            <w:vAlign w:val="center"/>
          </w:tcPr>
          <w:p w14:paraId="40A06563"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45E5018"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$118,556</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338D5A"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2.4</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01C26701"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19F63269"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$369,133</w:t>
            </w:r>
          </w:p>
        </w:tc>
      </w:tr>
      <w:tr w:rsidR="004F3B26" w:rsidRPr="00EE3E14" w14:paraId="22A47EAF"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0C2AA96" w14:textId="77777777" w:rsidR="004F3B26" w:rsidRPr="00EE3E14" w:rsidRDefault="004F3B26" w:rsidP="00D63DE0">
            <w:pPr>
              <w:spacing w:after="0"/>
              <w:jc w:val="center"/>
              <w:rPr>
                <w:rFonts w:ascii="Times New Roman" w:hAnsi="Times New Roman" w:cs="Times New Roman"/>
                <w:b/>
                <w:sz w:val="24"/>
                <w:szCs w:val="24"/>
              </w:rPr>
            </w:pPr>
          </w:p>
        </w:tc>
        <w:tc>
          <w:tcPr>
            <w:tcW w:w="900" w:type="dxa"/>
            <w:tcBorders>
              <w:top w:val="single" w:sz="8" w:space="0" w:color="auto"/>
              <w:left w:val="nil"/>
              <w:bottom w:val="single" w:sz="8" w:space="0" w:color="auto"/>
              <w:right w:val="single" w:sz="8" w:space="0" w:color="auto"/>
            </w:tcBorders>
            <w:shd w:val="clear" w:color="auto" w:fill="auto"/>
            <w:vAlign w:val="center"/>
          </w:tcPr>
          <w:p w14:paraId="6716F237"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6570AE2" w14:textId="77777777" w:rsidR="004F3B26" w:rsidRPr="00EE3E14" w:rsidRDefault="004F3B26" w:rsidP="00D63DE0">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497751"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1173119B"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06771D1C" w14:textId="77777777" w:rsidR="004F3B26" w:rsidRPr="00EE3E14" w:rsidRDefault="004F3B26" w:rsidP="00D63DE0">
            <w:pPr>
              <w:spacing w:after="0"/>
              <w:jc w:val="center"/>
              <w:rPr>
                <w:rFonts w:ascii="Times New Roman" w:hAnsi="Times New Roman" w:cs="Times New Roman"/>
                <w:sz w:val="24"/>
                <w:szCs w:val="24"/>
              </w:rPr>
            </w:pPr>
          </w:p>
        </w:tc>
      </w:tr>
      <w:tr w:rsidR="004F3B26" w:rsidRPr="00EE3E14" w14:paraId="642E838E"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9CCC4E"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Contractor Content Specialist</w:t>
            </w:r>
          </w:p>
          <w:p w14:paraId="69567FCF"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 xml:space="preserve">[2] </w:t>
            </w:r>
          </w:p>
        </w:tc>
        <w:tc>
          <w:tcPr>
            <w:tcW w:w="900" w:type="dxa"/>
            <w:tcBorders>
              <w:top w:val="nil"/>
              <w:left w:val="nil"/>
              <w:bottom w:val="single" w:sz="8" w:space="0" w:color="auto"/>
              <w:right w:val="single" w:sz="8" w:space="0" w:color="auto"/>
            </w:tcBorders>
            <w:shd w:val="clear" w:color="auto" w:fill="BFBFBF"/>
            <w:vAlign w:val="center"/>
          </w:tcPr>
          <w:p w14:paraId="3672203C"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4B772F"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$148,914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283AAA"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2</w:t>
            </w:r>
          </w:p>
        </w:tc>
        <w:tc>
          <w:tcPr>
            <w:tcW w:w="1363" w:type="dxa"/>
            <w:tcBorders>
              <w:top w:val="nil"/>
              <w:left w:val="nil"/>
              <w:bottom w:val="single" w:sz="8" w:space="0" w:color="auto"/>
              <w:right w:val="single" w:sz="8" w:space="0" w:color="auto"/>
            </w:tcBorders>
            <w:vAlign w:val="center"/>
          </w:tcPr>
          <w:p w14:paraId="4F5F5782"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17AD0892"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$297,828</w:t>
            </w:r>
          </w:p>
        </w:tc>
      </w:tr>
      <w:tr w:rsidR="004F3B26" w:rsidRPr="00EE3E14" w14:paraId="6059B44E"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79D977"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Contractor Software Developer</w:t>
            </w:r>
          </w:p>
          <w:p w14:paraId="4898A63D" w14:textId="77777777" w:rsidR="004F3B26" w:rsidRPr="00EE3E14" w:rsidRDefault="004F3B26" w:rsidP="00D63DE0">
            <w:pPr>
              <w:spacing w:after="0"/>
              <w:jc w:val="center"/>
              <w:rPr>
                <w:rFonts w:ascii="Times New Roman" w:hAnsi="Times New Roman" w:cs="Times New Roman"/>
                <w:b/>
                <w:sz w:val="24"/>
                <w:szCs w:val="24"/>
              </w:rPr>
            </w:pPr>
            <w:r w:rsidRPr="00EE3E14">
              <w:rPr>
                <w:rFonts w:ascii="Times New Roman" w:hAnsi="Times New Roman" w:cs="Times New Roman"/>
                <w:sz w:val="24"/>
                <w:szCs w:val="24"/>
              </w:rPr>
              <w:t xml:space="preserve">[6] </w:t>
            </w:r>
          </w:p>
        </w:tc>
        <w:tc>
          <w:tcPr>
            <w:tcW w:w="900" w:type="dxa"/>
            <w:tcBorders>
              <w:top w:val="nil"/>
              <w:left w:val="nil"/>
              <w:bottom w:val="single" w:sz="8" w:space="0" w:color="auto"/>
              <w:right w:val="single" w:sz="8" w:space="0" w:color="auto"/>
            </w:tcBorders>
            <w:shd w:val="clear" w:color="auto" w:fill="BFBFBF"/>
            <w:vAlign w:val="center"/>
          </w:tcPr>
          <w:p w14:paraId="232E3D3E"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F02726"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$191,348</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1ABC69"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3.55</w:t>
            </w:r>
          </w:p>
        </w:tc>
        <w:tc>
          <w:tcPr>
            <w:tcW w:w="1363" w:type="dxa"/>
            <w:tcBorders>
              <w:top w:val="nil"/>
              <w:left w:val="nil"/>
              <w:bottom w:val="single" w:sz="8" w:space="0" w:color="auto"/>
              <w:right w:val="single" w:sz="8" w:space="0" w:color="auto"/>
            </w:tcBorders>
            <w:vAlign w:val="center"/>
          </w:tcPr>
          <w:p w14:paraId="4BBAFFA8"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5FEE9F14"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$715,254</w:t>
            </w:r>
          </w:p>
        </w:tc>
      </w:tr>
      <w:tr w:rsidR="004F3B26" w:rsidRPr="00EE3E14" w14:paraId="7DBD7EC8"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C66FFB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b/>
                <w:sz w:val="24"/>
                <w:szCs w:val="24"/>
              </w:rPr>
              <w:t>Contractor Project Manager</w:t>
            </w:r>
            <w:r w:rsidRPr="00EE3E14">
              <w:rPr>
                <w:rFonts w:ascii="Times New Roman" w:hAnsi="Times New Roman" w:cs="Times New Roman"/>
                <w:sz w:val="24"/>
                <w:szCs w:val="24"/>
              </w:rPr>
              <w:br/>
              <w:t xml:space="preserve">[1] </w:t>
            </w:r>
          </w:p>
        </w:tc>
        <w:tc>
          <w:tcPr>
            <w:tcW w:w="900" w:type="dxa"/>
            <w:tcBorders>
              <w:top w:val="nil"/>
              <w:left w:val="nil"/>
              <w:bottom w:val="single" w:sz="8" w:space="0" w:color="auto"/>
              <w:right w:val="single" w:sz="8" w:space="0" w:color="auto"/>
            </w:tcBorders>
            <w:shd w:val="clear" w:color="auto" w:fill="BFBFBF"/>
            <w:vAlign w:val="center"/>
          </w:tcPr>
          <w:p w14:paraId="466CA7C2"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6C919F"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$176,877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1B59ED"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0.4</w:t>
            </w:r>
          </w:p>
        </w:tc>
        <w:tc>
          <w:tcPr>
            <w:tcW w:w="1363" w:type="dxa"/>
            <w:tcBorders>
              <w:top w:val="nil"/>
              <w:left w:val="nil"/>
              <w:bottom w:val="single" w:sz="8" w:space="0" w:color="auto"/>
              <w:right w:val="single" w:sz="8" w:space="0" w:color="auto"/>
            </w:tcBorders>
            <w:vAlign w:val="center"/>
          </w:tcPr>
          <w:p w14:paraId="2D55B8C8"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4C9EA8C5"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$70,751</w:t>
            </w:r>
          </w:p>
        </w:tc>
      </w:tr>
      <w:tr w:rsidR="004F3B26" w:rsidRPr="00EE3E14" w14:paraId="0BE2A72B"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B5AA1A" w14:textId="77777777" w:rsidR="004F3B26" w:rsidRPr="00EE3E14" w:rsidRDefault="004F3B26" w:rsidP="00D63DE0">
            <w:pPr>
              <w:spacing w:after="0"/>
              <w:jc w:val="center"/>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center"/>
          </w:tcPr>
          <w:p w14:paraId="794B9390"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68FFA2" w14:textId="77777777" w:rsidR="004F3B26" w:rsidRPr="00EE3E14" w:rsidRDefault="004F3B26" w:rsidP="00D63DE0">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23E1A9"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5194FB3E"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5B77541C" w14:textId="77777777" w:rsidR="004F3B26" w:rsidRPr="00EE3E14" w:rsidRDefault="004F3B26" w:rsidP="00D63DE0">
            <w:pPr>
              <w:spacing w:after="0"/>
              <w:jc w:val="center"/>
              <w:rPr>
                <w:rFonts w:ascii="Times New Roman" w:hAnsi="Times New Roman" w:cs="Times New Roman"/>
                <w:sz w:val="24"/>
                <w:szCs w:val="24"/>
              </w:rPr>
            </w:pPr>
          </w:p>
        </w:tc>
      </w:tr>
      <w:tr w:rsidR="004F3B26" w:rsidRPr="00EE3E14" w14:paraId="5462A3E4"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33CCCE"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Travel</w:t>
            </w:r>
          </w:p>
        </w:tc>
        <w:tc>
          <w:tcPr>
            <w:tcW w:w="900" w:type="dxa"/>
            <w:tcBorders>
              <w:top w:val="nil"/>
              <w:left w:val="nil"/>
              <w:bottom w:val="single" w:sz="8" w:space="0" w:color="auto"/>
              <w:right w:val="single" w:sz="8" w:space="0" w:color="auto"/>
            </w:tcBorders>
            <w:shd w:val="clear" w:color="auto" w:fill="BFBFBF"/>
            <w:vAlign w:val="center"/>
          </w:tcPr>
          <w:p w14:paraId="0B44A673"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63B23250" w14:textId="77777777" w:rsidR="004F3B26" w:rsidRPr="00EE3E14" w:rsidRDefault="004F3B26" w:rsidP="00D63DE0">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6410B2B"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vAlign w:val="center"/>
          </w:tcPr>
          <w:p w14:paraId="48563DDF"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2F907844" w14:textId="77777777" w:rsidR="004F3B26" w:rsidRPr="00EE3E14" w:rsidRDefault="004F3B26" w:rsidP="00D63DE0">
            <w:pPr>
              <w:spacing w:after="0"/>
              <w:jc w:val="center"/>
              <w:rPr>
                <w:rFonts w:ascii="Times New Roman" w:hAnsi="Times New Roman" w:cs="Times New Roman"/>
                <w:sz w:val="24"/>
                <w:szCs w:val="24"/>
              </w:rPr>
            </w:pPr>
          </w:p>
        </w:tc>
      </w:tr>
      <w:tr w:rsidR="004F3B26" w:rsidRPr="00EE3E14" w14:paraId="05CA906E"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363DD7" w14:textId="77777777" w:rsidR="004F3B26" w:rsidRPr="00EE3E14" w:rsidRDefault="004F3B26" w:rsidP="00D63DE0">
            <w:pPr>
              <w:spacing w:after="0"/>
              <w:jc w:val="center"/>
              <w:rPr>
                <w:rFonts w:ascii="Times New Roman" w:hAnsi="Times New Roman" w:cs="Times New Roman"/>
                <w:color w:val="1F497D"/>
                <w:sz w:val="24"/>
                <w:szCs w:val="24"/>
                <w:highlight w:val="yellow"/>
              </w:rPr>
            </w:pPr>
            <w:r w:rsidRPr="00EE3E14">
              <w:rPr>
                <w:rFonts w:ascii="Times New Roman" w:hAnsi="Times New Roman" w:cs="Times New Roman"/>
                <w:sz w:val="24"/>
                <w:szCs w:val="24"/>
              </w:rPr>
              <w:t>Other Cost</w:t>
            </w:r>
          </w:p>
        </w:tc>
        <w:tc>
          <w:tcPr>
            <w:tcW w:w="900" w:type="dxa"/>
            <w:tcBorders>
              <w:top w:val="nil"/>
              <w:left w:val="nil"/>
              <w:bottom w:val="single" w:sz="8" w:space="0" w:color="auto"/>
              <w:right w:val="single" w:sz="8" w:space="0" w:color="auto"/>
            </w:tcBorders>
            <w:shd w:val="clear" w:color="auto" w:fill="BFBFBF"/>
            <w:vAlign w:val="center"/>
          </w:tcPr>
          <w:p w14:paraId="26EF3D0B" w14:textId="77777777" w:rsidR="004F3B26" w:rsidRPr="00EE3E14" w:rsidRDefault="004F3B26" w:rsidP="00D63DE0">
            <w:pPr>
              <w:spacing w:after="0"/>
              <w:jc w:val="center"/>
              <w:rPr>
                <w:rFonts w:ascii="Times New Roman" w:hAnsi="Times New Roman" w:cs="Times New Roman"/>
                <w:color w:val="000000"/>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305A3F7" w14:textId="77777777" w:rsidR="004F3B26" w:rsidRPr="00EE3E14" w:rsidRDefault="004F3B26" w:rsidP="00D63DE0">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A7013D2"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vAlign w:val="center"/>
          </w:tcPr>
          <w:p w14:paraId="48B53801"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6B325A99" w14:textId="77777777" w:rsidR="004F3B26" w:rsidRPr="00EE3E14" w:rsidRDefault="004F3B26" w:rsidP="00D63DE0">
            <w:pPr>
              <w:spacing w:after="0"/>
              <w:jc w:val="center"/>
              <w:rPr>
                <w:rFonts w:ascii="Times New Roman" w:hAnsi="Times New Roman" w:cs="Times New Roman"/>
                <w:sz w:val="24"/>
                <w:szCs w:val="24"/>
              </w:rPr>
            </w:pPr>
          </w:p>
        </w:tc>
      </w:tr>
      <w:tr w:rsidR="004F3B26" w:rsidRPr="00EE3E14" w14:paraId="4AFA56F7" w14:textId="77777777" w:rsidTr="00D63DE0">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136E5A" w14:textId="77777777" w:rsidR="004F3B26" w:rsidRPr="00EE3E14" w:rsidRDefault="004F3B26" w:rsidP="00D63DE0">
            <w:pPr>
              <w:spacing w:after="0"/>
              <w:jc w:val="center"/>
              <w:rPr>
                <w:rFonts w:ascii="Times New Roman" w:hAnsi="Times New Roman" w:cs="Times New Roman"/>
                <w:bCs/>
                <w:color w:val="000000"/>
                <w:sz w:val="24"/>
                <w:szCs w:val="24"/>
              </w:rPr>
            </w:pPr>
            <w:r w:rsidRPr="00EE3E14">
              <w:rPr>
                <w:rFonts w:ascii="Times New Roman" w:hAnsi="Times New Roman" w:cs="Times New Roman"/>
                <w:bCs/>
                <w:color w:val="000000"/>
                <w:sz w:val="24"/>
                <w:szCs w:val="24"/>
              </w:rPr>
              <w:t>Computer Hardware and Software</w:t>
            </w:r>
          </w:p>
        </w:tc>
        <w:tc>
          <w:tcPr>
            <w:tcW w:w="900" w:type="dxa"/>
            <w:tcBorders>
              <w:top w:val="nil"/>
              <w:left w:val="nil"/>
              <w:bottom w:val="single" w:sz="8" w:space="0" w:color="auto"/>
              <w:right w:val="single" w:sz="8" w:space="0" w:color="auto"/>
            </w:tcBorders>
            <w:shd w:val="clear" w:color="auto" w:fill="BFBFBF"/>
            <w:vAlign w:val="center"/>
          </w:tcPr>
          <w:p w14:paraId="4F7D5AD8" w14:textId="77777777" w:rsidR="004F3B26" w:rsidRPr="00EE3E14" w:rsidRDefault="004F3B26" w:rsidP="00D63DE0">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1712FCBE" w14:textId="77777777" w:rsidR="004F3B26" w:rsidRPr="00EE3E14" w:rsidRDefault="004F3B26" w:rsidP="00D63DE0">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E76CA8E" w14:textId="77777777" w:rsidR="004F3B26" w:rsidRPr="00EE3E14" w:rsidRDefault="004F3B26" w:rsidP="00D63DE0">
            <w:pPr>
              <w:spacing w:after="0"/>
              <w:jc w:val="center"/>
              <w:rPr>
                <w:rFonts w:ascii="Times New Roman"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vAlign w:val="center"/>
          </w:tcPr>
          <w:p w14:paraId="3E459901" w14:textId="77777777" w:rsidR="004F3B26" w:rsidRPr="00EE3E14" w:rsidRDefault="004F3B26" w:rsidP="00D63DE0">
            <w:pPr>
              <w:spacing w:after="0"/>
              <w:jc w:val="center"/>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0F0B9907" w14:textId="77777777" w:rsidR="004F3B26" w:rsidRPr="00EE3E14" w:rsidRDefault="004F3B26" w:rsidP="00D63DE0">
            <w:pPr>
              <w:spacing w:after="0"/>
              <w:jc w:val="center"/>
              <w:rPr>
                <w:rFonts w:ascii="Times New Roman" w:hAnsi="Times New Roman" w:cs="Times New Roman"/>
                <w:sz w:val="24"/>
                <w:szCs w:val="24"/>
              </w:rPr>
            </w:pPr>
            <w:r w:rsidRPr="00EE3E14">
              <w:rPr>
                <w:rFonts w:ascii="Times New Roman" w:hAnsi="Times New Roman" w:cs="Times New Roman"/>
                <w:sz w:val="24"/>
                <w:szCs w:val="24"/>
              </w:rPr>
              <w:t>$2,500,000</w:t>
            </w:r>
          </w:p>
        </w:tc>
      </w:tr>
      <w:tr w:rsidR="004F3B26" w:rsidRPr="00EE3E14" w14:paraId="286930D7" w14:textId="77777777" w:rsidTr="00332E37">
        <w:trPr>
          <w:trHeight w:val="367"/>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E72F21" w14:textId="63CE5631" w:rsidR="004F3B26" w:rsidRPr="00993DC0" w:rsidRDefault="00993DC0" w:rsidP="00D63DE0">
            <w:pPr>
              <w:spacing w:after="0"/>
              <w:rPr>
                <w:rFonts w:ascii="Times New Roman" w:hAnsi="Times New Roman" w:cs="Times New Roman"/>
                <w:b/>
                <w:sz w:val="24"/>
                <w:szCs w:val="24"/>
              </w:rPr>
            </w:pPr>
            <w:r w:rsidRPr="00993DC0">
              <w:rPr>
                <w:rFonts w:ascii="Times New Roman" w:hAnsi="Times New Roman" w:cs="Times New Roman"/>
                <w:b/>
                <w:sz w:val="24"/>
                <w:szCs w:val="24"/>
              </w:rPr>
              <w:t>Total</w:t>
            </w:r>
          </w:p>
        </w:tc>
        <w:tc>
          <w:tcPr>
            <w:tcW w:w="900" w:type="dxa"/>
            <w:tcBorders>
              <w:top w:val="nil"/>
              <w:left w:val="nil"/>
              <w:bottom w:val="single" w:sz="8" w:space="0" w:color="auto"/>
              <w:right w:val="single" w:sz="8" w:space="0" w:color="auto"/>
            </w:tcBorders>
            <w:vAlign w:val="center"/>
          </w:tcPr>
          <w:p w14:paraId="4007BFF5" w14:textId="77777777" w:rsidR="004F3B26" w:rsidRPr="00EE3E14" w:rsidRDefault="004F3B26" w:rsidP="00D63DE0">
            <w:pPr>
              <w:spacing w:after="0"/>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5BF1FA" w14:textId="77777777" w:rsidR="004F3B26" w:rsidRPr="00EE3E14" w:rsidRDefault="004F3B26" w:rsidP="00D63DE0">
            <w:pPr>
              <w:spacing w:after="0"/>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5EA5D6" w14:textId="77777777" w:rsidR="004F3B26" w:rsidRPr="00EE3E14" w:rsidRDefault="004F3B26" w:rsidP="00D63DE0">
            <w:pPr>
              <w:spacing w:after="0"/>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080CEE6B" w14:textId="77777777" w:rsidR="004F3B26" w:rsidRPr="00EE3E14" w:rsidRDefault="004F3B26" w:rsidP="00D63DE0">
            <w:pPr>
              <w:spacing w:after="0"/>
              <w:rPr>
                <w:rFonts w:ascii="Times New Roman" w:hAnsi="Times New Roman" w:cs="Times New Roman"/>
                <w:sz w:val="24"/>
                <w:szCs w:val="24"/>
              </w:rPr>
            </w:pPr>
          </w:p>
        </w:tc>
        <w:tc>
          <w:tcPr>
            <w:tcW w:w="1363" w:type="dxa"/>
            <w:tcBorders>
              <w:top w:val="nil"/>
              <w:left w:val="nil"/>
              <w:bottom w:val="single" w:sz="8" w:space="0" w:color="auto"/>
              <w:right w:val="single" w:sz="8" w:space="0" w:color="auto"/>
            </w:tcBorders>
            <w:vAlign w:val="center"/>
          </w:tcPr>
          <w:p w14:paraId="7A042E6B" w14:textId="03117C10" w:rsidR="00993DC0" w:rsidRPr="00993DC0" w:rsidRDefault="00993DC0" w:rsidP="00993DC0">
            <w:pPr>
              <w:jc w:val="center"/>
              <w:rPr>
                <w:rFonts w:ascii="Times New Roman" w:hAnsi="Times New Roman" w:cs="Times New Roman"/>
                <w:color w:val="000000"/>
                <w:sz w:val="24"/>
                <w:szCs w:val="24"/>
              </w:rPr>
            </w:pPr>
            <w:r w:rsidRPr="00993DC0">
              <w:rPr>
                <w:rFonts w:ascii="Times New Roman" w:hAnsi="Times New Roman" w:cs="Times New Roman"/>
                <w:color w:val="000000"/>
                <w:sz w:val="24"/>
                <w:szCs w:val="24"/>
              </w:rPr>
              <w:t>$4,996,900</w:t>
            </w:r>
          </w:p>
          <w:p w14:paraId="73233305" w14:textId="77777777" w:rsidR="004F3B26" w:rsidRPr="00EE3E14" w:rsidRDefault="004F3B26" w:rsidP="00D63DE0">
            <w:pPr>
              <w:spacing w:after="0"/>
              <w:rPr>
                <w:rFonts w:ascii="Times New Roman" w:hAnsi="Times New Roman" w:cs="Times New Roman"/>
                <w:sz w:val="24"/>
                <w:szCs w:val="24"/>
              </w:rPr>
            </w:pPr>
          </w:p>
        </w:tc>
      </w:tr>
    </w:tbl>
    <w:p w14:paraId="0B0622C4" w14:textId="77777777" w:rsidR="008741B7" w:rsidRPr="00EE3E14" w:rsidRDefault="008741B7" w:rsidP="008741B7">
      <w:pPr>
        <w:ind w:left="720"/>
        <w:rPr>
          <w:rFonts w:ascii="Times New Roman" w:hAnsi="Times New Roman" w:cs="Times New Roman"/>
          <w:sz w:val="24"/>
          <w:szCs w:val="24"/>
        </w:rPr>
      </w:pPr>
    </w:p>
    <w:p w14:paraId="3B4A17B2" w14:textId="77777777" w:rsidR="00A2122D" w:rsidRPr="00EE3E14" w:rsidRDefault="00A2122D" w:rsidP="00A2122D">
      <w:pPr>
        <w:rPr>
          <w:rFonts w:ascii="Times New Roman" w:hAnsi="Times New Roman" w:cs="Times New Roman"/>
          <w:b/>
          <w:sz w:val="24"/>
          <w:szCs w:val="24"/>
        </w:rPr>
      </w:pPr>
      <w:r w:rsidRPr="00EE3E14">
        <w:rPr>
          <w:rFonts w:ascii="Times New Roman" w:hAnsi="Times New Roman" w:cs="Times New Roman"/>
          <w:b/>
          <w:sz w:val="24"/>
          <w:szCs w:val="24"/>
        </w:rPr>
        <w:t>A.15</w:t>
      </w:r>
      <w:r w:rsidRPr="00EE3E14">
        <w:rPr>
          <w:rFonts w:ascii="Times New Roman" w:hAnsi="Times New Roman" w:cs="Times New Roman"/>
          <w:b/>
          <w:sz w:val="24"/>
          <w:szCs w:val="24"/>
        </w:rPr>
        <w:tab/>
        <w:t>Explanation for Program Changes or Adjustments</w:t>
      </w:r>
    </w:p>
    <w:p w14:paraId="4546C63D" w14:textId="6A5E720B" w:rsidR="003C627C" w:rsidRDefault="00A2122D" w:rsidP="00A2122D">
      <w:pPr>
        <w:ind w:left="720"/>
        <w:rPr>
          <w:rFonts w:ascii="Times New Roman" w:hAnsi="Times New Roman" w:cs="Times New Roman"/>
          <w:sz w:val="24"/>
          <w:szCs w:val="24"/>
        </w:rPr>
      </w:pPr>
      <w:r w:rsidRPr="00EE3E14">
        <w:rPr>
          <w:rFonts w:ascii="Times New Roman" w:hAnsi="Times New Roman" w:cs="Times New Roman"/>
          <w:sz w:val="24"/>
          <w:szCs w:val="24"/>
        </w:rPr>
        <w:t>Th</w:t>
      </w:r>
      <w:r w:rsidR="000D7701" w:rsidRPr="00EE3E14">
        <w:rPr>
          <w:rFonts w:ascii="Times New Roman" w:hAnsi="Times New Roman" w:cs="Times New Roman"/>
          <w:sz w:val="24"/>
          <w:szCs w:val="24"/>
        </w:rPr>
        <w:t>is application is for a</w:t>
      </w:r>
      <w:r w:rsidR="001867CB">
        <w:rPr>
          <w:rFonts w:ascii="Times New Roman" w:hAnsi="Times New Roman" w:cs="Times New Roman"/>
          <w:sz w:val="24"/>
          <w:szCs w:val="24"/>
        </w:rPr>
        <w:t xml:space="preserve"> revision </w:t>
      </w:r>
      <w:r w:rsidRPr="00EE3E14">
        <w:rPr>
          <w:rFonts w:ascii="Times New Roman" w:hAnsi="Times New Roman" w:cs="Times New Roman"/>
          <w:sz w:val="24"/>
          <w:szCs w:val="24"/>
        </w:rPr>
        <w:t>to an existing Office of Management and Budget (OMB) approved collection of information, 0925-0670. Changes</w:t>
      </w:r>
      <w:r w:rsidR="003C627C">
        <w:rPr>
          <w:rFonts w:ascii="Times New Roman" w:hAnsi="Times New Roman" w:cs="Times New Roman"/>
          <w:sz w:val="24"/>
          <w:szCs w:val="24"/>
        </w:rPr>
        <w:t xml:space="preserve"> in Attachments 1 and 2 are described below and noted in red boxes in the attachments. Some changes</w:t>
      </w:r>
      <w:r w:rsidR="00F63229" w:rsidRPr="00F63229">
        <w:rPr>
          <w:rFonts w:ascii="Times New Roman" w:hAnsi="Times New Roman" w:cs="Times New Roman"/>
          <w:sz w:val="24"/>
          <w:szCs w:val="24"/>
        </w:rPr>
        <w:t xml:space="preserve"> focus on reducing redundancy among data submissions and access requests and increasing awareness of the ethical responsibilities associated with the responsible use of genomic information</w:t>
      </w:r>
      <w:r w:rsidRPr="00EE3E14">
        <w:rPr>
          <w:rFonts w:ascii="Times New Roman" w:hAnsi="Times New Roman" w:cs="Times New Roman"/>
          <w:sz w:val="24"/>
          <w:szCs w:val="24"/>
        </w:rPr>
        <w:t>.</w:t>
      </w:r>
      <w:r w:rsidR="00F63229">
        <w:rPr>
          <w:rFonts w:ascii="Times New Roman" w:hAnsi="Times New Roman" w:cs="Times New Roman"/>
          <w:sz w:val="24"/>
          <w:szCs w:val="24"/>
        </w:rPr>
        <w:t xml:space="preserve"> </w:t>
      </w:r>
    </w:p>
    <w:p w14:paraId="2C9B80E6" w14:textId="39D6AE08" w:rsidR="00A53F24" w:rsidRPr="003F55E3" w:rsidRDefault="00A53F24">
      <w:pPr>
        <w:ind w:left="720"/>
        <w:rPr>
          <w:rFonts w:ascii="Times New Roman" w:hAnsi="Times New Roman" w:cs="Times New Roman"/>
          <w:sz w:val="24"/>
          <w:szCs w:val="24"/>
        </w:rPr>
      </w:pPr>
      <w:r w:rsidRPr="003F55E3">
        <w:rPr>
          <w:rFonts w:ascii="Times New Roman" w:hAnsi="Times New Roman" w:cs="Times New Roman"/>
          <w:sz w:val="24"/>
          <w:szCs w:val="24"/>
        </w:rPr>
        <w:t>In the dbGaP registration and submission forms</w:t>
      </w:r>
      <w:r w:rsidR="00B17265" w:rsidRPr="003F55E3">
        <w:rPr>
          <w:rFonts w:ascii="Times New Roman" w:hAnsi="Times New Roman" w:cs="Times New Roman"/>
          <w:sz w:val="24"/>
          <w:szCs w:val="24"/>
        </w:rPr>
        <w:t xml:space="preserve"> (Attachment 1)</w:t>
      </w:r>
      <w:r w:rsidRPr="003F55E3">
        <w:rPr>
          <w:rFonts w:ascii="Times New Roman" w:hAnsi="Times New Roman" w:cs="Times New Roman"/>
          <w:sz w:val="24"/>
          <w:szCs w:val="24"/>
        </w:rPr>
        <w:t xml:space="preserve">: additional questions on publication embargo deleted because this is no longer applicable (slide </w:t>
      </w:r>
      <w:r w:rsidR="00DB6805" w:rsidRPr="003F55E3">
        <w:rPr>
          <w:rFonts w:ascii="Times New Roman" w:hAnsi="Times New Roman" w:cs="Times New Roman"/>
          <w:sz w:val="24"/>
          <w:szCs w:val="24"/>
        </w:rPr>
        <w:t>4</w:t>
      </w:r>
      <w:r w:rsidRPr="003F55E3">
        <w:rPr>
          <w:rFonts w:ascii="Times New Roman" w:hAnsi="Times New Roman" w:cs="Times New Roman"/>
          <w:sz w:val="24"/>
          <w:szCs w:val="24"/>
        </w:rPr>
        <w:t xml:space="preserve">), added ability for investigator to add additional investigators that are notified when a submitted dataset is used (slide </w:t>
      </w:r>
      <w:r w:rsidR="00DB6805" w:rsidRPr="003F55E3">
        <w:rPr>
          <w:rFonts w:ascii="Times New Roman" w:hAnsi="Times New Roman" w:cs="Times New Roman"/>
          <w:sz w:val="24"/>
          <w:szCs w:val="24"/>
        </w:rPr>
        <w:t>4</w:t>
      </w:r>
      <w:r w:rsidRPr="003F55E3">
        <w:rPr>
          <w:rFonts w:ascii="Times New Roman" w:hAnsi="Times New Roman" w:cs="Times New Roman"/>
          <w:sz w:val="24"/>
          <w:szCs w:val="24"/>
        </w:rPr>
        <w:t xml:space="preserve">), added ability to review previously entered submission information for accuracy (slide </w:t>
      </w:r>
      <w:r w:rsidR="00DB6805" w:rsidRPr="003F55E3">
        <w:rPr>
          <w:rFonts w:ascii="Times New Roman" w:hAnsi="Times New Roman" w:cs="Times New Roman"/>
          <w:sz w:val="24"/>
          <w:szCs w:val="24"/>
        </w:rPr>
        <w:t>4</w:t>
      </w:r>
      <w:r w:rsidRPr="003F55E3">
        <w:rPr>
          <w:rFonts w:ascii="Times New Roman" w:hAnsi="Times New Roman" w:cs="Times New Roman"/>
          <w:sz w:val="24"/>
          <w:szCs w:val="24"/>
        </w:rPr>
        <w:t xml:space="preserve">), added ability to auto-create the DUC from existing information in the submission package (slide 5), </w:t>
      </w:r>
      <w:r w:rsidR="00A23BE5" w:rsidRPr="003F55E3">
        <w:rPr>
          <w:rFonts w:ascii="Times New Roman" w:hAnsi="Times New Roman" w:cs="Times New Roman"/>
          <w:sz w:val="24"/>
          <w:szCs w:val="24"/>
        </w:rPr>
        <w:t xml:space="preserve">added ability to auto-create the DUC from existing information in the submission package (slide 6), </w:t>
      </w:r>
      <w:r w:rsidR="008E5175" w:rsidRPr="003F55E3">
        <w:rPr>
          <w:rFonts w:ascii="Times New Roman" w:hAnsi="Times New Roman" w:cs="Times New Roman"/>
          <w:sz w:val="24"/>
          <w:szCs w:val="24"/>
        </w:rPr>
        <w:t xml:space="preserve">added a column for “Collaborating Site” that automatically adds additional rows to form when information is entered for all rows and columns (slide </w:t>
      </w:r>
      <w:r w:rsidR="00DB6805" w:rsidRPr="003F55E3">
        <w:rPr>
          <w:rFonts w:ascii="Times New Roman" w:hAnsi="Times New Roman" w:cs="Times New Roman"/>
          <w:sz w:val="24"/>
          <w:szCs w:val="24"/>
        </w:rPr>
        <w:t>7</w:t>
      </w:r>
      <w:r w:rsidR="008E5175" w:rsidRPr="003F55E3">
        <w:rPr>
          <w:rFonts w:ascii="Times New Roman" w:hAnsi="Times New Roman" w:cs="Times New Roman"/>
          <w:sz w:val="24"/>
          <w:szCs w:val="24"/>
        </w:rPr>
        <w:t xml:space="preserve">), and created new ability for investigators and Institutional Officials to digitally sign form (slide </w:t>
      </w:r>
      <w:r w:rsidR="00DB6805" w:rsidRPr="003F55E3">
        <w:rPr>
          <w:rFonts w:ascii="Times New Roman" w:hAnsi="Times New Roman" w:cs="Times New Roman"/>
          <w:sz w:val="24"/>
          <w:szCs w:val="24"/>
        </w:rPr>
        <w:t>8</w:t>
      </w:r>
      <w:r w:rsidR="008E5175" w:rsidRPr="003F55E3">
        <w:rPr>
          <w:rFonts w:ascii="Times New Roman" w:hAnsi="Times New Roman" w:cs="Times New Roman"/>
          <w:sz w:val="24"/>
          <w:szCs w:val="24"/>
        </w:rPr>
        <w:t>).</w:t>
      </w:r>
    </w:p>
    <w:p w14:paraId="5D17C424" w14:textId="12D9E501" w:rsidR="00577448" w:rsidRDefault="003C627C">
      <w:pPr>
        <w:ind w:left="720"/>
        <w:rPr>
          <w:rFonts w:ascii="Times New Roman" w:hAnsi="Times New Roman" w:cs="Times New Roman"/>
          <w:sz w:val="24"/>
          <w:szCs w:val="24"/>
        </w:rPr>
      </w:pPr>
      <w:r w:rsidRPr="003F55E3">
        <w:rPr>
          <w:rFonts w:ascii="Times New Roman" w:hAnsi="Times New Roman" w:cs="Times New Roman"/>
          <w:sz w:val="24"/>
          <w:szCs w:val="24"/>
        </w:rPr>
        <w:t xml:space="preserve">In the </w:t>
      </w:r>
      <w:r w:rsidR="00F44C0D" w:rsidRPr="003F55E3">
        <w:rPr>
          <w:rFonts w:ascii="Times New Roman" w:hAnsi="Times New Roman" w:cs="Times New Roman"/>
          <w:sz w:val="24"/>
          <w:szCs w:val="24"/>
        </w:rPr>
        <w:t xml:space="preserve">dbGaP </w:t>
      </w:r>
      <w:r w:rsidRPr="003F55E3">
        <w:rPr>
          <w:rFonts w:ascii="Times New Roman" w:hAnsi="Times New Roman" w:cs="Times New Roman"/>
          <w:sz w:val="24"/>
          <w:szCs w:val="24"/>
        </w:rPr>
        <w:t>data access, renewal, and close-out forms</w:t>
      </w:r>
      <w:r w:rsidR="00A53F24" w:rsidRPr="003F55E3">
        <w:rPr>
          <w:rFonts w:ascii="Times New Roman" w:hAnsi="Times New Roman" w:cs="Times New Roman"/>
          <w:sz w:val="24"/>
          <w:szCs w:val="24"/>
        </w:rPr>
        <w:t xml:space="preserve"> (Attachment </w:t>
      </w:r>
      <w:r w:rsidR="00B17265" w:rsidRPr="003F55E3">
        <w:rPr>
          <w:rFonts w:ascii="Times New Roman" w:hAnsi="Times New Roman" w:cs="Times New Roman"/>
          <w:sz w:val="24"/>
          <w:szCs w:val="24"/>
        </w:rPr>
        <w:t>2</w:t>
      </w:r>
      <w:r w:rsidR="00A53F24" w:rsidRPr="003F55E3">
        <w:rPr>
          <w:rFonts w:ascii="Times New Roman" w:hAnsi="Times New Roman" w:cs="Times New Roman"/>
          <w:sz w:val="24"/>
          <w:szCs w:val="24"/>
        </w:rPr>
        <w:t>)</w:t>
      </w:r>
      <w:r w:rsidRPr="003F55E3">
        <w:rPr>
          <w:rFonts w:ascii="Times New Roman" w:hAnsi="Times New Roman" w:cs="Times New Roman"/>
          <w:sz w:val="24"/>
          <w:szCs w:val="24"/>
        </w:rPr>
        <w:t xml:space="preserve">: information on the login page have been reorganized and consolidated to make the application information more apparent and prominent (slide 3), </w:t>
      </w:r>
      <w:r w:rsidR="00577448" w:rsidRPr="003F55E3">
        <w:rPr>
          <w:rFonts w:ascii="Times New Roman" w:hAnsi="Times New Roman" w:cs="Times New Roman"/>
          <w:sz w:val="24"/>
          <w:szCs w:val="24"/>
        </w:rPr>
        <w:t xml:space="preserve">a pop-up reminder has been added to the “create decryption password” field to alert requester additional information is needed (slide 7), the “Research Plans with Approved Dataset(s)” field has been removed as it is redundant with information provided in the “Research Progress” and “Research Plans with Approved Datasets” sections (slide 22). </w:t>
      </w:r>
    </w:p>
    <w:p w14:paraId="6B84E652" w14:textId="37A5576D" w:rsidR="00A2122D" w:rsidRPr="00EE3E14" w:rsidRDefault="00F63229" w:rsidP="00A2122D">
      <w:pPr>
        <w:ind w:left="720"/>
        <w:rPr>
          <w:rFonts w:ascii="Times New Roman" w:hAnsi="Times New Roman" w:cs="Times New Roman"/>
          <w:sz w:val="24"/>
          <w:szCs w:val="24"/>
        </w:rPr>
      </w:pPr>
      <w:r w:rsidRPr="00EE3E14">
        <w:rPr>
          <w:rFonts w:ascii="Times New Roman" w:hAnsi="Times New Roman" w:cs="Times New Roman"/>
          <w:sz w:val="24"/>
          <w:szCs w:val="24"/>
        </w:rPr>
        <w:t xml:space="preserve">We estimate that we will have more respondents, </w:t>
      </w:r>
      <w:r>
        <w:rPr>
          <w:rFonts w:ascii="Times New Roman" w:hAnsi="Times New Roman" w:cs="Times New Roman"/>
          <w:sz w:val="24"/>
          <w:szCs w:val="24"/>
        </w:rPr>
        <w:t>and thus proportional more responses per responded. However, despite the proportional increase in responses as a result of more respondents,</w:t>
      </w:r>
      <w:r w:rsidRPr="00EE3E14">
        <w:rPr>
          <w:rFonts w:ascii="Times New Roman" w:hAnsi="Times New Roman" w:cs="Times New Roman"/>
          <w:sz w:val="24"/>
          <w:szCs w:val="24"/>
        </w:rPr>
        <w:t xml:space="preserve"> the average burden per response will remain the same.</w:t>
      </w:r>
    </w:p>
    <w:p w14:paraId="77F683A4" w14:textId="77777777" w:rsidR="00A2122D" w:rsidRPr="00EE3E14" w:rsidRDefault="00A2122D" w:rsidP="00A2122D">
      <w:pPr>
        <w:ind w:left="720" w:hanging="720"/>
        <w:rPr>
          <w:rFonts w:ascii="Times New Roman" w:hAnsi="Times New Roman" w:cs="Times New Roman"/>
          <w:sz w:val="24"/>
          <w:szCs w:val="24"/>
        </w:rPr>
      </w:pPr>
      <w:r w:rsidRPr="00EE3E14">
        <w:rPr>
          <w:rFonts w:ascii="Times New Roman" w:hAnsi="Times New Roman" w:cs="Times New Roman"/>
          <w:b/>
          <w:sz w:val="24"/>
          <w:szCs w:val="24"/>
        </w:rPr>
        <w:t>A.16</w:t>
      </w:r>
      <w:r w:rsidRPr="00EE3E14">
        <w:rPr>
          <w:rFonts w:ascii="Times New Roman" w:hAnsi="Times New Roman" w:cs="Times New Roman"/>
          <w:sz w:val="24"/>
          <w:szCs w:val="24"/>
        </w:rPr>
        <w:tab/>
      </w:r>
      <w:r w:rsidRPr="00EE3E14">
        <w:rPr>
          <w:rFonts w:ascii="Times New Roman" w:hAnsi="Times New Roman" w:cs="Times New Roman"/>
          <w:b/>
          <w:sz w:val="24"/>
          <w:szCs w:val="24"/>
        </w:rPr>
        <w:t>Plans for Tabulation and Publication and Project Time Schedule</w:t>
      </w:r>
    </w:p>
    <w:p w14:paraId="47252C81" w14:textId="77777777" w:rsidR="00A2122D" w:rsidRPr="00EE3E14" w:rsidRDefault="00A2122D" w:rsidP="00A2122D">
      <w:pPr>
        <w:ind w:left="720"/>
        <w:rPr>
          <w:rFonts w:ascii="Times New Roman" w:hAnsi="Times New Roman" w:cs="Times New Roman"/>
          <w:b/>
          <w:sz w:val="24"/>
          <w:szCs w:val="24"/>
        </w:rPr>
      </w:pPr>
      <w:r w:rsidRPr="00EE3E14">
        <w:rPr>
          <w:rFonts w:ascii="Times New Roman" w:hAnsi="Times New Roman" w:cs="Times New Roman"/>
          <w:sz w:val="24"/>
          <w:szCs w:val="24"/>
        </w:rPr>
        <w:t>Information submitted to dbGaP to register studies or access genomic data will be made available to the public via the dbGaP website once the registration is complete and the study has been released. The only submitted information that will not be publicly displayed on the website is contact information of the submitting investigators and requesters (i.e., the investigator’s email addresses, and phone and fax numbers).</w:t>
      </w:r>
    </w:p>
    <w:p w14:paraId="4CE4935F" w14:textId="78292980" w:rsidR="00A2122D" w:rsidRPr="00EE3E14" w:rsidRDefault="00A2122D" w:rsidP="00A2122D">
      <w:pPr>
        <w:ind w:left="720"/>
        <w:rPr>
          <w:rFonts w:ascii="Times New Roman" w:hAnsi="Times New Roman" w:cs="Times New Roman"/>
          <w:sz w:val="24"/>
          <w:szCs w:val="24"/>
        </w:rPr>
      </w:pPr>
      <w:r w:rsidRPr="00EE3E14">
        <w:rPr>
          <w:rFonts w:ascii="Times New Roman" w:hAnsi="Times New Roman" w:cs="Times New Roman"/>
          <w:sz w:val="24"/>
          <w:szCs w:val="24"/>
        </w:rPr>
        <w:t>NIH will post on their public website, on a bi-annual basis, an analysis of data usage that would include summary statistics such as the number of registered studies, the number of submitted/approved DARs, trends in usage, and number of publications.</w:t>
      </w:r>
    </w:p>
    <w:p w14:paraId="774FF136" w14:textId="77777777" w:rsidR="00A2122D" w:rsidRPr="00EE3E14" w:rsidRDefault="00A2122D" w:rsidP="00A2122D">
      <w:pPr>
        <w:rPr>
          <w:rFonts w:ascii="Times New Roman" w:hAnsi="Times New Roman" w:cs="Times New Roman"/>
          <w:b/>
          <w:sz w:val="24"/>
          <w:szCs w:val="24"/>
        </w:rPr>
      </w:pPr>
      <w:r w:rsidRPr="00EE3E14">
        <w:rPr>
          <w:rFonts w:ascii="Times New Roman" w:hAnsi="Times New Roman" w:cs="Times New Roman"/>
          <w:b/>
          <w:sz w:val="24"/>
          <w:szCs w:val="24"/>
        </w:rPr>
        <w:t>A.17</w:t>
      </w:r>
      <w:r w:rsidRPr="00EE3E14">
        <w:rPr>
          <w:rFonts w:ascii="Times New Roman" w:hAnsi="Times New Roman" w:cs="Times New Roman"/>
          <w:b/>
          <w:sz w:val="24"/>
          <w:szCs w:val="24"/>
        </w:rPr>
        <w:tab/>
        <w:t>Reason(s) Display of OMB Expiration Date is Inappropriate</w:t>
      </w:r>
    </w:p>
    <w:p w14:paraId="50E5A32C" w14:textId="77777777" w:rsidR="00A2122D" w:rsidRPr="00EE3E14" w:rsidRDefault="00A2122D" w:rsidP="00A2122D">
      <w:pPr>
        <w:tabs>
          <w:tab w:val="num" w:pos="810"/>
        </w:tabs>
        <w:ind w:left="720"/>
        <w:rPr>
          <w:rFonts w:ascii="Times New Roman" w:hAnsi="Times New Roman" w:cs="Times New Roman"/>
          <w:sz w:val="24"/>
          <w:szCs w:val="24"/>
        </w:rPr>
      </w:pPr>
      <w:r w:rsidRPr="00EE3E14">
        <w:rPr>
          <w:rFonts w:ascii="Times New Roman" w:hAnsi="Times New Roman" w:cs="Times New Roman"/>
          <w:sz w:val="24"/>
          <w:szCs w:val="24"/>
        </w:rPr>
        <w:t>No exemption is requested.</w:t>
      </w:r>
    </w:p>
    <w:p w14:paraId="14B1A0E2" w14:textId="77777777" w:rsidR="00A2122D" w:rsidRPr="00EE3E14" w:rsidRDefault="00A2122D" w:rsidP="00A2122D">
      <w:pPr>
        <w:rPr>
          <w:rFonts w:ascii="Times New Roman" w:hAnsi="Times New Roman" w:cs="Times New Roman"/>
          <w:b/>
          <w:sz w:val="24"/>
          <w:szCs w:val="24"/>
        </w:rPr>
      </w:pPr>
      <w:r w:rsidRPr="00EE3E14">
        <w:rPr>
          <w:rFonts w:ascii="Times New Roman" w:hAnsi="Times New Roman" w:cs="Times New Roman"/>
          <w:b/>
          <w:sz w:val="24"/>
          <w:szCs w:val="24"/>
        </w:rPr>
        <w:t>A.18</w:t>
      </w:r>
      <w:r w:rsidRPr="00EE3E14">
        <w:rPr>
          <w:rFonts w:ascii="Times New Roman" w:hAnsi="Times New Roman" w:cs="Times New Roman"/>
          <w:b/>
          <w:sz w:val="24"/>
          <w:szCs w:val="24"/>
        </w:rPr>
        <w:tab/>
        <w:t>Exceptions to Certification for Paperwork Reduction Act Submissions</w:t>
      </w:r>
    </w:p>
    <w:p w14:paraId="56042017" w14:textId="7D75C608" w:rsidR="00A2122D" w:rsidRPr="00EE3E14" w:rsidRDefault="00A2122D" w:rsidP="00A2122D">
      <w:pPr>
        <w:ind w:left="720"/>
        <w:rPr>
          <w:rFonts w:ascii="Times New Roman" w:hAnsi="Times New Roman" w:cs="Times New Roman"/>
          <w:sz w:val="24"/>
          <w:szCs w:val="24"/>
        </w:rPr>
      </w:pPr>
      <w:r w:rsidRPr="00EE3E14">
        <w:rPr>
          <w:rFonts w:ascii="Times New Roman" w:hAnsi="Times New Roman" w:cs="Times New Roman"/>
          <w:sz w:val="24"/>
          <w:szCs w:val="24"/>
        </w:rPr>
        <w:t>No exceptions are requested.</w:t>
      </w:r>
    </w:p>
    <w:sectPr w:rsidR="00A2122D" w:rsidRPr="00EE3E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75DA6" w16cid:durableId="20D074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1E6E9" w14:textId="77777777" w:rsidR="003778C8" w:rsidRDefault="003778C8" w:rsidP="007E3D11">
      <w:pPr>
        <w:spacing w:after="0" w:line="240" w:lineRule="auto"/>
      </w:pPr>
      <w:r>
        <w:separator/>
      </w:r>
    </w:p>
  </w:endnote>
  <w:endnote w:type="continuationSeparator" w:id="0">
    <w:p w14:paraId="306F989D" w14:textId="77777777" w:rsidR="003778C8" w:rsidRDefault="003778C8" w:rsidP="007E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57553010"/>
      <w:docPartObj>
        <w:docPartGallery w:val="Page Numbers (Bottom of Page)"/>
        <w:docPartUnique/>
      </w:docPartObj>
    </w:sdtPr>
    <w:sdtEndPr>
      <w:rPr>
        <w:noProof/>
      </w:rPr>
    </w:sdtEndPr>
    <w:sdtContent>
      <w:p w14:paraId="4859A7B7" w14:textId="0B7740D6" w:rsidR="00EE3E14" w:rsidRPr="002A0B2B" w:rsidRDefault="00EE3E14">
        <w:pPr>
          <w:pStyle w:val="Footer"/>
          <w:jc w:val="center"/>
          <w:rPr>
            <w:rFonts w:ascii="Times New Roman" w:hAnsi="Times New Roman" w:cs="Times New Roman"/>
          </w:rPr>
        </w:pPr>
        <w:r w:rsidRPr="002A0B2B">
          <w:rPr>
            <w:rFonts w:ascii="Times New Roman" w:hAnsi="Times New Roman" w:cs="Times New Roman"/>
          </w:rPr>
          <w:fldChar w:fldCharType="begin"/>
        </w:r>
        <w:r w:rsidRPr="002A0B2B">
          <w:rPr>
            <w:rFonts w:ascii="Times New Roman" w:hAnsi="Times New Roman" w:cs="Times New Roman"/>
          </w:rPr>
          <w:instrText xml:space="preserve"> PAGE   \* MERGEFORMAT </w:instrText>
        </w:r>
        <w:r w:rsidRPr="002A0B2B">
          <w:rPr>
            <w:rFonts w:ascii="Times New Roman" w:hAnsi="Times New Roman" w:cs="Times New Roman"/>
          </w:rPr>
          <w:fldChar w:fldCharType="separate"/>
        </w:r>
        <w:r w:rsidR="00205F7D">
          <w:rPr>
            <w:rFonts w:ascii="Times New Roman" w:hAnsi="Times New Roman" w:cs="Times New Roman"/>
            <w:noProof/>
          </w:rPr>
          <w:t>1</w:t>
        </w:r>
        <w:r w:rsidRPr="002A0B2B">
          <w:rPr>
            <w:rFonts w:ascii="Times New Roman" w:hAnsi="Times New Roman" w:cs="Times New Roman"/>
            <w:noProof/>
          </w:rPr>
          <w:fldChar w:fldCharType="end"/>
        </w:r>
      </w:p>
    </w:sdtContent>
  </w:sdt>
  <w:p w14:paraId="3D684110" w14:textId="77777777" w:rsidR="00EE3E14" w:rsidRPr="002A0B2B" w:rsidRDefault="00EE3E1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11BC4" w14:textId="77777777" w:rsidR="003778C8" w:rsidRDefault="003778C8" w:rsidP="007E3D11">
      <w:pPr>
        <w:spacing w:after="0" w:line="240" w:lineRule="auto"/>
      </w:pPr>
      <w:r>
        <w:separator/>
      </w:r>
    </w:p>
  </w:footnote>
  <w:footnote w:type="continuationSeparator" w:id="0">
    <w:p w14:paraId="7C4FEFD0" w14:textId="77777777" w:rsidR="003778C8" w:rsidRDefault="003778C8" w:rsidP="007E3D11">
      <w:pPr>
        <w:spacing w:after="0" w:line="240" w:lineRule="auto"/>
      </w:pPr>
      <w:r>
        <w:continuationSeparator/>
      </w:r>
    </w:p>
  </w:footnote>
  <w:footnote w:id="1">
    <w:p w14:paraId="66067D26" w14:textId="6728C1F4" w:rsidR="00EE3E14" w:rsidRPr="003C385F" w:rsidRDefault="00EE3E14" w:rsidP="00CF1354">
      <w:pPr>
        <w:pStyle w:val="FootnoteText"/>
      </w:pPr>
      <w:r w:rsidRPr="003C385F">
        <w:rPr>
          <w:rStyle w:val="FootnoteReference"/>
        </w:rPr>
        <w:footnoteRef/>
      </w:r>
      <w:r w:rsidRPr="003C385F">
        <w:t xml:space="preserve"> NIH Genomic Data User Code of Conduct. See </w:t>
      </w:r>
      <w:hyperlink r:id="rId1" w:history="1">
        <w:r w:rsidRPr="003C385F">
          <w:rPr>
            <w:rStyle w:val="Hyperlink"/>
          </w:rPr>
          <w:t>http://osp.od.nih.gov/wp-content/uploads/Genomic_Data_User_Code_of_Conduct.pdf</w:t>
        </w:r>
      </w:hyperlink>
      <w:r w:rsidRPr="003C385F">
        <w:t xml:space="preserve"> </w:t>
      </w:r>
    </w:p>
  </w:footnote>
  <w:footnote w:id="2">
    <w:p w14:paraId="21FC0FC5" w14:textId="4EE212C2" w:rsidR="00EE3E14" w:rsidRPr="000C6E63" w:rsidRDefault="00EE3E14" w:rsidP="00CF1354">
      <w:pPr>
        <w:pStyle w:val="FootnoteText"/>
        <w:rPr>
          <w:rFonts w:ascii="Calibri" w:hAnsi="Calibri"/>
        </w:rPr>
      </w:pPr>
      <w:r w:rsidRPr="003C385F">
        <w:rPr>
          <w:rStyle w:val="FootnoteReference"/>
        </w:rPr>
        <w:footnoteRef/>
      </w:r>
      <w:r w:rsidRPr="003C385F">
        <w:t xml:space="preserve"> eRA Commons. See </w:t>
      </w:r>
      <w:hyperlink r:id="rId2" w:history="1">
        <w:r w:rsidRPr="003C385F">
          <w:rPr>
            <w:rStyle w:val="Hyperlink"/>
          </w:rPr>
          <w:t>https://commons.era.nih.gov/commons/</w:t>
        </w:r>
      </w:hyperlink>
      <w:r w:rsidRPr="003C385F">
        <w:t>.</w:t>
      </w:r>
      <w:r w:rsidRPr="000C6E63">
        <w:rPr>
          <w:rFonts w:ascii="Calibri" w:hAnsi="Calibri"/>
        </w:rPr>
        <w:t xml:space="preserve"> </w:t>
      </w:r>
    </w:p>
  </w:footnote>
  <w:footnote w:id="3">
    <w:p w14:paraId="5DF5C0CC" w14:textId="77777777" w:rsidR="00EE3E14" w:rsidRPr="003C385F" w:rsidRDefault="00EE3E14" w:rsidP="00A71A53">
      <w:pPr>
        <w:pStyle w:val="FootnoteText"/>
      </w:pPr>
      <w:r w:rsidRPr="003C385F">
        <w:rPr>
          <w:rStyle w:val="FootnoteReference"/>
        </w:rPr>
        <w:footnoteRef/>
      </w:r>
      <w:r w:rsidRPr="003C385F">
        <w:t xml:space="preserve"> </w:t>
      </w:r>
      <w:hyperlink r:id="rId3" w:history="1">
        <w:r w:rsidRPr="003C385F">
          <w:rPr>
            <w:rStyle w:val="Hyperlink"/>
          </w:rPr>
          <w:t>http://grants.nih.gov/grants/guide/notice-files/NOT-OD-07-088.html</w:t>
        </w:r>
      </w:hyperlink>
      <w:r w:rsidRPr="003C385F">
        <w:t xml:space="preserve"> </w:t>
      </w:r>
    </w:p>
  </w:footnote>
  <w:footnote w:id="4">
    <w:p w14:paraId="37F22FD8" w14:textId="77777777" w:rsidR="00EE3E14" w:rsidRPr="003C385F" w:rsidRDefault="00EE3E14" w:rsidP="00A71A53">
      <w:pPr>
        <w:pStyle w:val="FootnoteText"/>
      </w:pPr>
      <w:r w:rsidRPr="003C385F">
        <w:rPr>
          <w:rStyle w:val="FootnoteReference"/>
        </w:rPr>
        <w:footnoteRef/>
      </w:r>
      <w:r w:rsidRPr="003C385F">
        <w:t xml:space="preserve"> Request for Information (RFI): Draft NIH Genomic Data Sharing Policy. </w:t>
      </w:r>
      <w:r w:rsidRPr="003C385F">
        <w:rPr>
          <w:i/>
        </w:rPr>
        <w:t>Federal Register</w:t>
      </w:r>
      <w:r w:rsidRPr="003C385F">
        <w:t xml:space="preserve">. 78(183): 57860-57865.  See </w:t>
      </w:r>
      <w:hyperlink r:id="rId4" w:history="1">
        <w:r w:rsidRPr="003C385F">
          <w:rPr>
            <w:rStyle w:val="Hyperlink"/>
          </w:rPr>
          <w:t>http://www.gpo.gov/fdsys/pkg/FR-2013-09-20/pdf/2013-22941.pdf</w:t>
        </w:r>
      </w:hyperlink>
      <w:r w:rsidRPr="003C385F">
        <w:t xml:space="preserve"> </w:t>
      </w:r>
    </w:p>
  </w:footnote>
  <w:footnote w:id="5">
    <w:p w14:paraId="61225439" w14:textId="706C25BC" w:rsidR="00EE3E14" w:rsidRPr="003C385F" w:rsidRDefault="00EE3E14" w:rsidP="00A71A53">
      <w:pPr>
        <w:pStyle w:val="FootnoteText"/>
      </w:pPr>
      <w:r w:rsidRPr="003C385F">
        <w:rPr>
          <w:rStyle w:val="FootnoteReference"/>
        </w:rPr>
        <w:footnoteRef/>
      </w:r>
      <w:r w:rsidRPr="003C385F">
        <w:t xml:space="preserve"> Request for Information (RFI): Input on the Draft NIH Genomic Data Sharing Policy. NIH Guide. NOT-OD-13-119. September, 27, 2013. See </w:t>
      </w:r>
      <w:hyperlink r:id="rId5" w:history="1">
        <w:r w:rsidRPr="003C385F">
          <w:rPr>
            <w:rStyle w:val="Hyperlink"/>
          </w:rPr>
          <w:t>http://grants.nih.gov/grants/guide/notice-files/NOT-OD-13-119.html</w:t>
        </w:r>
      </w:hyperlink>
      <w:r w:rsidRPr="003C385F">
        <w:t xml:space="preserve">. </w:t>
      </w:r>
    </w:p>
  </w:footnote>
  <w:footnote w:id="6">
    <w:p w14:paraId="7D05F7FA" w14:textId="77777777" w:rsidR="00EE3E14" w:rsidRPr="000C6E63" w:rsidRDefault="00EE3E14" w:rsidP="00A71A53">
      <w:pPr>
        <w:pStyle w:val="FootnoteText"/>
        <w:rPr>
          <w:rFonts w:ascii="Calibri" w:hAnsi="Calibri"/>
        </w:rPr>
      </w:pPr>
      <w:r w:rsidRPr="003C385F">
        <w:rPr>
          <w:rStyle w:val="FootnoteReference"/>
        </w:rPr>
        <w:footnoteRef/>
      </w:r>
      <w:r w:rsidRPr="003C385F">
        <w:t xml:space="preserve"> NIH GDS Policy Public Consultation. See </w:t>
      </w:r>
      <w:hyperlink r:id="rId6" w:history="1">
        <w:r w:rsidRPr="003C385F">
          <w:rPr>
            <w:rStyle w:val="Hyperlink"/>
            <w:color w:val="000000"/>
            <w:shd w:val="clear" w:color="auto" w:fill="FFFFFF"/>
          </w:rPr>
          <w:t>https://webmeeting.nih.gov/p7sqo6avp6j/</w:t>
        </w:r>
      </w:hyperlink>
      <w:r w:rsidRPr="003C385F">
        <w:rPr>
          <w:rStyle w:val="Hyperlink"/>
          <w:b/>
          <w:bCs/>
          <w:color w:val="000000"/>
          <w:shd w:val="clear" w:color="auto" w:fill="FFFFFF"/>
        </w:rPr>
        <w:t>.</w:t>
      </w:r>
    </w:p>
  </w:footnote>
  <w:footnote w:id="7">
    <w:p w14:paraId="57A5DE05" w14:textId="2ED42EAA" w:rsidR="00EE3E14" w:rsidRPr="003C385F" w:rsidRDefault="00EE3E14">
      <w:pPr>
        <w:pStyle w:val="FootnoteText"/>
      </w:pPr>
      <w:r w:rsidRPr="003C385F">
        <w:rPr>
          <w:rStyle w:val="FootnoteReference"/>
        </w:rPr>
        <w:footnoteRef/>
      </w:r>
      <w:r w:rsidRPr="003C385F">
        <w:t xml:space="preserve"> Final NIH GDS Policy. See </w:t>
      </w:r>
      <w:hyperlink r:id="rId7" w:history="1">
        <w:r w:rsidRPr="003C385F">
          <w:rPr>
            <w:rStyle w:val="Hyperlink"/>
          </w:rPr>
          <w:t>https://grants.nih.gov/grants/guide/notice-files/not-od-14-124.html</w:t>
        </w:r>
      </w:hyperlink>
      <w:r w:rsidRPr="003C385F">
        <w:t xml:space="preserve"> </w:t>
      </w:r>
    </w:p>
  </w:footnote>
  <w:footnote w:id="8">
    <w:p w14:paraId="69275393" w14:textId="67AE2F99" w:rsidR="00EE3E14" w:rsidRPr="003C385F" w:rsidRDefault="00EE3E14" w:rsidP="00363775">
      <w:pPr>
        <w:pStyle w:val="FootnoteText"/>
      </w:pPr>
      <w:r w:rsidRPr="003C385F">
        <w:rPr>
          <w:rStyle w:val="FootnoteReference"/>
        </w:rPr>
        <w:footnoteRef/>
      </w:r>
      <w:r w:rsidRPr="003C385F">
        <w:t xml:space="preserve"> U.S. Bureau of Labor and Statistics. May 2011. National Occupational Employment and Wage Estimates. The investigators and requesters wag rate was obtained from the </w:t>
      </w:r>
      <w:hyperlink r:id="rId8" w:anchor="19-0000" w:history="1">
        <w:r w:rsidRPr="003C385F">
          <w:rPr>
            <w:rStyle w:val="Hyperlink"/>
          </w:rPr>
          <w:t>http://www.bls.gov/oes/current/oes_nat.htm#19-0000</w:t>
        </w:r>
      </w:hyperlink>
      <w:r w:rsidRPr="003C385F">
        <w:t xml:space="preserve"> and the Institutional Official or Institutional Signing Official wage rate was obtained from the </w:t>
      </w:r>
      <w:hyperlink r:id="rId9" w:history="1">
        <w:r w:rsidRPr="003C385F">
          <w:rPr>
            <w:rStyle w:val="Hyperlink"/>
          </w:rPr>
          <w:t>https://www.bls.gov/oes/current/oes119033.htm</w:t>
        </w:r>
      </w:hyperlink>
      <w:r w:rsidRPr="003C385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502403C8"/>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CD24CB"/>
    <w:multiLevelType w:val="hybridMultilevel"/>
    <w:tmpl w:val="6F5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C57492"/>
    <w:multiLevelType w:val="hybridMultilevel"/>
    <w:tmpl w:val="B47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2B"/>
    <w:rsid w:val="0001204A"/>
    <w:rsid w:val="00056325"/>
    <w:rsid w:val="00060901"/>
    <w:rsid w:val="00084812"/>
    <w:rsid w:val="000873A1"/>
    <w:rsid w:val="000B2A54"/>
    <w:rsid w:val="000C7465"/>
    <w:rsid w:val="000D583C"/>
    <w:rsid w:val="000D7701"/>
    <w:rsid w:val="000F420E"/>
    <w:rsid w:val="00117DCF"/>
    <w:rsid w:val="00123039"/>
    <w:rsid w:val="00136939"/>
    <w:rsid w:val="001645AD"/>
    <w:rsid w:val="00173ECB"/>
    <w:rsid w:val="001867CB"/>
    <w:rsid w:val="001A63D6"/>
    <w:rsid w:val="001A6D40"/>
    <w:rsid w:val="001B7EF9"/>
    <w:rsid w:val="001E0259"/>
    <w:rsid w:val="001F42CC"/>
    <w:rsid w:val="001F4C3A"/>
    <w:rsid w:val="00200DDB"/>
    <w:rsid w:val="00205F7D"/>
    <w:rsid w:val="00243D89"/>
    <w:rsid w:val="00256D26"/>
    <w:rsid w:val="0027742E"/>
    <w:rsid w:val="002A0B2B"/>
    <w:rsid w:val="002B1124"/>
    <w:rsid w:val="002B32F9"/>
    <w:rsid w:val="00306260"/>
    <w:rsid w:val="00306C8F"/>
    <w:rsid w:val="00315823"/>
    <w:rsid w:val="00323D02"/>
    <w:rsid w:val="00327C01"/>
    <w:rsid w:val="003317F2"/>
    <w:rsid w:val="00332E37"/>
    <w:rsid w:val="00334A50"/>
    <w:rsid w:val="00363775"/>
    <w:rsid w:val="00366E1B"/>
    <w:rsid w:val="003670F2"/>
    <w:rsid w:val="003751FB"/>
    <w:rsid w:val="003778C8"/>
    <w:rsid w:val="003C385F"/>
    <w:rsid w:val="003C627C"/>
    <w:rsid w:val="003D7B18"/>
    <w:rsid w:val="003E51DB"/>
    <w:rsid w:val="003E6990"/>
    <w:rsid w:val="003F55E3"/>
    <w:rsid w:val="00410CC7"/>
    <w:rsid w:val="00464088"/>
    <w:rsid w:val="004653AC"/>
    <w:rsid w:val="00480563"/>
    <w:rsid w:val="004A6350"/>
    <w:rsid w:val="004C2607"/>
    <w:rsid w:val="004C6A91"/>
    <w:rsid w:val="004D1E78"/>
    <w:rsid w:val="004E54FE"/>
    <w:rsid w:val="004F3B26"/>
    <w:rsid w:val="005126DB"/>
    <w:rsid w:val="005324F5"/>
    <w:rsid w:val="005449EB"/>
    <w:rsid w:val="00552A07"/>
    <w:rsid w:val="005560E7"/>
    <w:rsid w:val="00562D19"/>
    <w:rsid w:val="00566C9F"/>
    <w:rsid w:val="00577448"/>
    <w:rsid w:val="005815FE"/>
    <w:rsid w:val="00590426"/>
    <w:rsid w:val="005964CA"/>
    <w:rsid w:val="005B605A"/>
    <w:rsid w:val="005C3AE2"/>
    <w:rsid w:val="005C67DF"/>
    <w:rsid w:val="005D1F95"/>
    <w:rsid w:val="005E4E6C"/>
    <w:rsid w:val="006017FD"/>
    <w:rsid w:val="006106AB"/>
    <w:rsid w:val="006156A3"/>
    <w:rsid w:val="00640405"/>
    <w:rsid w:val="00660B9F"/>
    <w:rsid w:val="00661D19"/>
    <w:rsid w:val="00665FA6"/>
    <w:rsid w:val="00672934"/>
    <w:rsid w:val="0069731B"/>
    <w:rsid w:val="006B4512"/>
    <w:rsid w:val="007111CE"/>
    <w:rsid w:val="00712FC4"/>
    <w:rsid w:val="0071380B"/>
    <w:rsid w:val="00714B5F"/>
    <w:rsid w:val="0072770B"/>
    <w:rsid w:val="00737049"/>
    <w:rsid w:val="00741707"/>
    <w:rsid w:val="007622D5"/>
    <w:rsid w:val="0077091A"/>
    <w:rsid w:val="007A2A41"/>
    <w:rsid w:val="007D1312"/>
    <w:rsid w:val="007D49FA"/>
    <w:rsid w:val="007E3D11"/>
    <w:rsid w:val="007F2A9C"/>
    <w:rsid w:val="00812579"/>
    <w:rsid w:val="00812A76"/>
    <w:rsid w:val="00812E13"/>
    <w:rsid w:val="00860260"/>
    <w:rsid w:val="008741B7"/>
    <w:rsid w:val="00875F3F"/>
    <w:rsid w:val="008A703D"/>
    <w:rsid w:val="008D4E32"/>
    <w:rsid w:val="008E5175"/>
    <w:rsid w:val="00904111"/>
    <w:rsid w:val="00913175"/>
    <w:rsid w:val="00937F9D"/>
    <w:rsid w:val="00947E9B"/>
    <w:rsid w:val="009637F1"/>
    <w:rsid w:val="0098433D"/>
    <w:rsid w:val="009845ED"/>
    <w:rsid w:val="00987C17"/>
    <w:rsid w:val="00993DC0"/>
    <w:rsid w:val="009A5F3B"/>
    <w:rsid w:val="009B1BD5"/>
    <w:rsid w:val="00A0648E"/>
    <w:rsid w:val="00A2122D"/>
    <w:rsid w:val="00A23BE5"/>
    <w:rsid w:val="00A37E2D"/>
    <w:rsid w:val="00A40D9B"/>
    <w:rsid w:val="00A53F24"/>
    <w:rsid w:val="00A71A53"/>
    <w:rsid w:val="00AC0931"/>
    <w:rsid w:val="00AF0FA7"/>
    <w:rsid w:val="00AF790D"/>
    <w:rsid w:val="00B1445B"/>
    <w:rsid w:val="00B17265"/>
    <w:rsid w:val="00B641D1"/>
    <w:rsid w:val="00B667DF"/>
    <w:rsid w:val="00B85F3A"/>
    <w:rsid w:val="00BB11FC"/>
    <w:rsid w:val="00BB2A2D"/>
    <w:rsid w:val="00C05411"/>
    <w:rsid w:val="00C235AD"/>
    <w:rsid w:val="00C404E1"/>
    <w:rsid w:val="00C56A8C"/>
    <w:rsid w:val="00C7551A"/>
    <w:rsid w:val="00C909D4"/>
    <w:rsid w:val="00C90D95"/>
    <w:rsid w:val="00C92D4C"/>
    <w:rsid w:val="00CA60C6"/>
    <w:rsid w:val="00CF1354"/>
    <w:rsid w:val="00D35616"/>
    <w:rsid w:val="00D424C6"/>
    <w:rsid w:val="00D45796"/>
    <w:rsid w:val="00D55C32"/>
    <w:rsid w:val="00D63DE0"/>
    <w:rsid w:val="00DB60B3"/>
    <w:rsid w:val="00DB6805"/>
    <w:rsid w:val="00DE5AAD"/>
    <w:rsid w:val="00DF6002"/>
    <w:rsid w:val="00E151AA"/>
    <w:rsid w:val="00E33668"/>
    <w:rsid w:val="00E42C50"/>
    <w:rsid w:val="00E42E30"/>
    <w:rsid w:val="00E46069"/>
    <w:rsid w:val="00E52124"/>
    <w:rsid w:val="00E9482B"/>
    <w:rsid w:val="00EC42F9"/>
    <w:rsid w:val="00EC6EAC"/>
    <w:rsid w:val="00ED0843"/>
    <w:rsid w:val="00EE3E14"/>
    <w:rsid w:val="00F333FE"/>
    <w:rsid w:val="00F42F58"/>
    <w:rsid w:val="00F44C0D"/>
    <w:rsid w:val="00F51389"/>
    <w:rsid w:val="00F63229"/>
    <w:rsid w:val="00F67B8B"/>
    <w:rsid w:val="00F91BF0"/>
    <w:rsid w:val="00FD08C5"/>
    <w:rsid w:val="00FD402F"/>
    <w:rsid w:val="00F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77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P1-StandPara"/>
    <w:link w:val="Heading2Char"/>
    <w:qFormat/>
    <w:rsid w:val="00CF135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11"/>
  </w:style>
  <w:style w:type="paragraph" w:styleId="Footer">
    <w:name w:val="footer"/>
    <w:basedOn w:val="Normal"/>
    <w:link w:val="FooterChar"/>
    <w:uiPriority w:val="99"/>
    <w:unhideWhenUsed/>
    <w:rsid w:val="007E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11"/>
  </w:style>
  <w:style w:type="paragraph" w:customStyle="1" w:styleId="P1-StandPara">
    <w:name w:val="P1-Stand Para"/>
    <w:rsid w:val="00CF1354"/>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CF1354"/>
    <w:rPr>
      <w:rFonts w:ascii="Times New Roman" w:eastAsia="Times New Roman" w:hAnsi="Times New Roman" w:cs="Times New Roman"/>
      <w:b/>
      <w:szCs w:val="20"/>
    </w:rPr>
  </w:style>
  <w:style w:type="character" w:styleId="Hyperlink">
    <w:name w:val="Hyperlink"/>
    <w:rsid w:val="00CF1354"/>
    <w:rPr>
      <w:color w:val="0000FF"/>
      <w:u w:val="single"/>
    </w:rPr>
  </w:style>
  <w:style w:type="paragraph" w:styleId="FootnoteText">
    <w:name w:val="footnote text"/>
    <w:basedOn w:val="Normal"/>
    <w:link w:val="FootnoteTextChar"/>
    <w:uiPriority w:val="99"/>
    <w:semiHidden/>
    <w:rsid w:val="00CF1354"/>
    <w:pPr>
      <w:spacing w:after="0" w:line="240" w:lineRule="auto"/>
    </w:pPr>
    <w:rPr>
      <w:rFonts w:ascii="Times New Roman" w:eastAsia="Times New Roman" w:hAnsi="Times New Roman" w:cs="Times New Roman"/>
      <w:kern w:val="28"/>
      <w:sz w:val="20"/>
      <w:szCs w:val="20"/>
    </w:rPr>
  </w:style>
  <w:style w:type="character" w:customStyle="1" w:styleId="FootnoteTextChar">
    <w:name w:val="Footnote Text Char"/>
    <w:basedOn w:val="DefaultParagraphFont"/>
    <w:link w:val="FootnoteText"/>
    <w:uiPriority w:val="99"/>
    <w:semiHidden/>
    <w:rsid w:val="00CF1354"/>
    <w:rPr>
      <w:rFonts w:ascii="Times New Roman" w:eastAsia="Times New Roman" w:hAnsi="Times New Roman" w:cs="Times New Roman"/>
      <w:kern w:val="28"/>
      <w:sz w:val="20"/>
      <w:szCs w:val="20"/>
    </w:rPr>
  </w:style>
  <w:style w:type="character" w:styleId="FootnoteReference">
    <w:name w:val="footnote reference"/>
    <w:uiPriority w:val="99"/>
    <w:semiHidden/>
    <w:rsid w:val="00CF1354"/>
    <w:rPr>
      <w:rFonts w:cs="Times New Roman"/>
      <w:vertAlign w:val="superscript"/>
    </w:rPr>
  </w:style>
  <w:style w:type="character" w:styleId="CommentReference">
    <w:name w:val="annotation reference"/>
    <w:uiPriority w:val="99"/>
    <w:semiHidden/>
    <w:unhideWhenUsed/>
    <w:rsid w:val="00A71A53"/>
    <w:rPr>
      <w:sz w:val="16"/>
      <w:szCs w:val="16"/>
    </w:rPr>
  </w:style>
  <w:style w:type="paragraph" w:styleId="CommentText">
    <w:name w:val="annotation text"/>
    <w:basedOn w:val="Normal"/>
    <w:link w:val="CommentTextChar"/>
    <w:uiPriority w:val="99"/>
    <w:semiHidden/>
    <w:unhideWhenUsed/>
    <w:rsid w:val="00A71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71A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A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3D"/>
    <w:rPr>
      <w:rFonts w:ascii="Segoe UI" w:hAnsi="Segoe UI" w:cs="Segoe UI"/>
      <w:sz w:val="18"/>
      <w:szCs w:val="18"/>
    </w:rPr>
  </w:style>
  <w:style w:type="character" w:styleId="FollowedHyperlink">
    <w:name w:val="FollowedHyperlink"/>
    <w:basedOn w:val="DefaultParagraphFont"/>
    <w:uiPriority w:val="99"/>
    <w:semiHidden/>
    <w:unhideWhenUsed/>
    <w:rsid w:val="00B641D1"/>
    <w:rPr>
      <w:color w:val="954F72" w:themeColor="followedHyperlink"/>
      <w:u w:val="single"/>
    </w:rPr>
  </w:style>
  <w:style w:type="paragraph" w:styleId="ListParagraph">
    <w:name w:val="List Paragraph"/>
    <w:basedOn w:val="Normal"/>
    <w:uiPriority w:val="34"/>
    <w:qFormat/>
    <w:rsid w:val="00712FC4"/>
    <w:pPr>
      <w:ind w:left="720"/>
      <w:contextualSpacing/>
    </w:pPr>
    <w:rPr>
      <w:rFonts w:eastAsiaTheme="minorEastAsia"/>
    </w:rPr>
  </w:style>
  <w:style w:type="character" w:styleId="Emphasis">
    <w:name w:val="Emphasis"/>
    <w:uiPriority w:val="20"/>
    <w:qFormat/>
    <w:rsid w:val="00243D89"/>
    <w:rPr>
      <w:i/>
      <w:iCs/>
    </w:rPr>
  </w:style>
  <w:style w:type="paragraph" w:styleId="CommentSubject">
    <w:name w:val="annotation subject"/>
    <w:basedOn w:val="CommentText"/>
    <w:next w:val="CommentText"/>
    <w:link w:val="CommentSubjectChar"/>
    <w:uiPriority w:val="99"/>
    <w:semiHidden/>
    <w:unhideWhenUsed/>
    <w:rsid w:val="000609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0901"/>
    <w:rPr>
      <w:rFonts w:ascii="Calibri" w:eastAsia="Calibri" w:hAnsi="Calibri" w:cs="Times New Roman"/>
      <w:b/>
      <w:bCs/>
      <w:sz w:val="20"/>
      <w:szCs w:val="20"/>
    </w:rPr>
  </w:style>
  <w:style w:type="paragraph" w:styleId="NormalWeb">
    <w:name w:val="Normal (Web)"/>
    <w:basedOn w:val="Normal"/>
    <w:uiPriority w:val="99"/>
    <w:semiHidden/>
    <w:unhideWhenUsed/>
    <w:rsid w:val="005774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P1-StandPara"/>
    <w:link w:val="Heading2Char"/>
    <w:qFormat/>
    <w:rsid w:val="00CF135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11"/>
  </w:style>
  <w:style w:type="paragraph" w:styleId="Footer">
    <w:name w:val="footer"/>
    <w:basedOn w:val="Normal"/>
    <w:link w:val="FooterChar"/>
    <w:uiPriority w:val="99"/>
    <w:unhideWhenUsed/>
    <w:rsid w:val="007E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11"/>
  </w:style>
  <w:style w:type="paragraph" w:customStyle="1" w:styleId="P1-StandPara">
    <w:name w:val="P1-Stand Para"/>
    <w:rsid w:val="00CF1354"/>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CF1354"/>
    <w:rPr>
      <w:rFonts w:ascii="Times New Roman" w:eastAsia="Times New Roman" w:hAnsi="Times New Roman" w:cs="Times New Roman"/>
      <w:b/>
      <w:szCs w:val="20"/>
    </w:rPr>
  </w:style>
  <w:style w:type="character" w:styleId="Hyperlink">
    <w:name w:val="Hyperlink"/>
    <w:rsid w:val="00CF1354"/>
    <w:rPr>
      <w:color w:val="0000FF"/>
      <w:u w:val="single"/>
    </w:rPr>
  </w:style>
  <w:style w:type="paragraph" w:styleId="FootnoteText">
    <w:name w:val="footnote text"/>
    <w:basedOn w:val="Normal"/>
    <w:link w:val="FootnoteTextChar"/>
    <w:uiPriority w:val="99"/>
    <w:semiHidden/>
    <w:rsid w:val="00CF1354"/>
    <w:pPr>
      <w:spacing w:after="0" w:line="240" w:lineRule="auto"/>
    </w:pPr>
    <w:rPr>
      <w:rFonts w:ascii="Times New Roman" w:eastAsia="Times New Roman" w:hAnsi="Times New Roman" w:cs="Times New Roman"/>
      <w:kern w:val="28"/>
      <w:sz w:val="20"/>
      <w:szCs w:val="20"/>
    </w:rPr>
  </w:style>
  <w:style w:type="character" w:customStyle="1" w:styleId="FootnoteTextChar">
    <w:name w:val="Footnote Text Char"/>
    <w:basedOn w:val="DefaultParagraphFont"/>
    <w:link w:val="FootnoteText"/>
    <w:uiPriority w:val="99"/>
    <w:semiHidden/>
    <w:rsid w:val="00CF1354"/>
    <w:rPr>
      <w:rFonts w:ascii="Times New Roman" w:eastAsia="Times New Roman" w:hAnsi="Times New Roman" w:cs="Times New Roman"/>
      <w:kern w:val="28"/>
      <w:sz w:val="20"/>
      <w:szCs w:val="20"/>
    </w:rPr>
  </w:style>
  <w:style w:type="character" w:styleId="FootnoteReference">
    <w:name w:val="footnote reference"/>
    <w:uiPriority w:val="99"/>
    <w:semiHidden/>
    <w:rsid w:val="00CF1354"/>
    <w:rPr>
      <w:rFonts w:cs="Times New Roman"/>
      <w:vertAlign w:val="superscript"/>
    </w:rPr>
  </w:style>
  <w:style w:type="character" w:styleId="CommentReference">
    <w:name w:val="annotation reference"/>
    <w:uiPriority w:val="99"/>
    <w:semiHidden/>
    <w:unhideWhenUsed/>
    <w:rsid w:val="00A71A53"/>
    <w:rPr>
      <w:sz w:val="16"/>
      <w:szCs w:val="16"/>
    </w:rPr>
  </w:style>
  <w:style w:type="paragraph" w:styleId="CommentText">
    <w:name w:val="annotation text"/>
    <w:basedOn w:val="Normal"/>
    <w:link w:val="CommentTextChar"/>
    <w:uiPriority w:val="99"/>
    <w:semiHidden/>
    <w:unhideWhenUsed/>
    <w:rsid w:val="00A71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71A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A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3D"/>
    <w:rPr>
      <w:rFonts w:ascii="Segoe UI" w:hAnsi="Segoe UI" w:cs="Segoe UI"/>
      <w:sz w:val="18"/>
      <w:szCs w:val="18"/>
    </w:rPr>
  </w:style>
  <w:style w:type="character" w:styleId="FollowedHyperlink">
    <w:name w:val="FollowedHyperlink"/>
    <w:basedOn w:val="DefaultParagraphFont"/>
    <w:uiPriority w:val="99"/>
    <w:semiHidden/>
    <w:unhideWhenUsed/>
    <w:rsid w:val="00B641D1"/>
    <w:rPr>
      <w:color w:val="954F72" w:themeColor="followedHyperlink"/>
      <w:u w:val="single"/>
    </w:rPr>
  </w:style>
  <w:style w:type="paragraph" w:styleId="ListParagraph">
    <w:name w:val="List Paragraph"/>
    <w:basedOn w:val="Normal"/>
    <w:uiPriority w:val="34"/>
    <w:qFormat/>
    <w:rsid w:val="00712FC4"/>
    <w:pPr>
      <w:ind w:left="720"/>
      <w:contextualSpacing/>
    </w:pPr>
    <w:rPr>
      <w:rFonts w:eastAsiaTheme="minorEastAsia"/>
    </w:rPr>
  </w:style>
  <w:style w:type="character" w:styleId="Emphasis">
    <w:name w:val="Emphasis"/>
    <w:uiPriority w:val="20"/>
    <w:qFormat/>
    <w:rsid w:val="00243D89"/>
    <w:rPr>
      <w:i/>
      <w:iCs/>
    </w:rPr>
  </w:style>
  <w:style w:type="paragraph" w:styleId="CommentSubject">
    <w:name w:val="annotation subject"/>
    <w:basedOn w:val="CommentText"/>
    <w:next w:val="CommentText"/>
    <w:link w:val="CommentSubjectChar"/>
    <w:uiPriority w:val="99"/>
    <w:semiHidden/>
    <w:unhideWhenUsed/>
    <w:rsid w:val="000609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0901"/>
    <w:rPr>
      <w:rFonts w:ascii="Calibri" w:eastAsia="Calibri" w:hAnsi="Calibri" w:cs="Times New Roman"/>
      <w:b/>
      <w:bCs/>
      <w:sz w:val="20"/>
      <w:szCs w:val="20"/>
    </w:rPr>
  </w:style>
  <w:style w:type="paragraph" w:styleId="NormalWeb">
    <w:name w:val="Normal (Web)"/>
    <w:basedOn w:val="Normal"/>
    <w:uiPriority w:val="99"/>
    <w:semiHidden/>
    <w:unhideWhenUsed/>
    <w:rsid w:val="00577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3950">
      <w:bodyDiv w:val="1"/>
      <w:marLeft w:val="0"/>
      <w:marRight w:val="0"/>
      <w:marTop w:val="0"/>
      <w:marBottom w:val="0"/>
      <w:divBdr>
        <w:top w:val="none" w:sz="0" w:space="0" w:color="auto"/>
        <w:left w:val="none" w:sz="0" w:space="0" w:color="auto"/>
        <w:bottom w:val="none" w:sz="0" w:space="0" w:color="auto"/>
        <w:right w:val="none" w:sz="0" w:space="0" w:color="auto"/>
      </w:divBdr>
    </w:div>
    <w:div w:id="643393462">
      <w:bodyDiv w:val="1"/>
      <w:marLeft w:val="0"/>
      <w:marRight w:val="0"/>
      <w:marTop w:val="0"/>
      <w:marBottom w:val="0"/>
      <w:divBdr>
        <w:top w:val="none" w:sz="0" w:space="0" w:color="auto"/>
        <w:left w:val="none" w:sz="0" w:space="0" w:color="auto"/>
        <w:bottom w:val="none" w:sz="0" w:space="0" w:color="auto"/>
        <w:right w:val="none" w:sz="0" w:space="0" w:color="auto"/>
      </w:divBdr>
    </w:div>
    <w:div w:id="983243035">
      <w:bodyDiv w:val="1"/>
      <w:marLeft w:val="0"/>
      <w:marRight w:val="0"/>
      <w:marTop w:val="0"/>
      <w:marBottom w:val="0"/>
      <w:divBdr>
        <w:top w:val="none" w:sz="0" w:space="0" w:color="auto"/>
        <w:left w:val="none" w:sz="0" w:space="0" w:color="auto"/>
        <w:bottom w:val="none" w:sz="0" w:space="0" w:color="auto"/>
        <w:right w:val="none" w:sz="0" w:space="0" w:color="auto"/>
      </w:divBdr>
    </w:div>
    <w:div w:id="1381203830">
      <w:bodyDiv w:val="1"/>
      <w:marLeft w:val="0"/>
      <w:marRight w:val="0"/>
      <w:marTop w:val="0"/>
      <w:marBottom w:val="0"/>
      <w:divBdr>
        <w:top w:val="none" w:sz="0" w:space="0" w:color="auto"/>
        <w:left w:val="none" w:sz="0" w:space="0" w:color="auto"/>
        <w:bottom w:val="none" w:sz="0" w:space="0" w:color="auto"/>
        <w:right w:val="none" w:sz="0" w:space="0" w:color="auto"/>
      </w:divBdr>
    </w:div>
    <w:div w:id="1546986219">
      <w:bodyDiv w:val="1"/>
      <w:marLeft w:val="0"/>
      <w:marRight w:val="0"/>
      <w:marTop w:val="0"/>
      <w:marBottom w:val="0"/>
      <w:divBdr>
        <w:top w:val="none" w:sz="0" w:space="0" w:color="auto"/>
        <w:left w:val="none" w:sz="0" w:space="0" w:color="auto"/>
        <w:bottom w:val="none" w:sz="0" w:space="0" w:color="auto"/>
        <w:right w:val="none" w:sz="0" w:space="0" w:color="auto"/>
      </w:divBdr>
    </w:div>
    <w:div w:id="1703706356">
      <w:bodyDiv w:val="1"/>
      <w:marLeft w:val="0"/>
      <w:marRight w:val="0"/>
      <w:marTop w:val="0"/>
      <w:marBottom w:val="0"/>
      <w:divBdr>
        <w:top w:val="none" w:sz="0" w:space="0" w:color="auto"/>
        <w:left w:val="none" w:sz="0" w:space="0" w:color="auto"/>
        <w:bottom w:val="none" w:sz="0" w:space="0" w:color="auto"/>
        <w:right w:val="none" w:sz="0" w:space="0" w:color="auto"/>
      </w:divBdr>
    </w:div>
    <w:div w:id="1846556572">
      <w:bodyDiv w:val="1"/>
      <w:marLeft w:val="0"/>
      <w:marRight w:val="0"/>
      <w:marTop w:val="0"/>
      <w:marBottom w:val="0"/>
      <w:divBdr>
        <w:top w:val="none" w:sz="0" w:space="0" w:color="auto"/>
        <w:left w:val="none" w:sz="0" w:space="0" w:color="auto"/>
        <w:bottom w:val="none" w:sz="0" w:space="0" w:color="auto"/>
        <w:right w:val="none" w:sz="0" w:space="0" w:color="auto"/>
      </w:divBdr>
    </w:div>
    <w:div w:id="19437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8/03/14/2018-05176/privacy-act-of-1974-system-of-record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ederalregister.gov/articles/2002/09/26/02-23965/privacy-act-of-1974-annual-publication-of-systems-of-reco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ma.od.nih.gov/forms/Privacy%20Documents/PAfiles/0036.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ojectreporter.nih.gov/reporter.cfm" TargetMode="External"/><Relationship Id="rId4" Type="http://schemas.microsoft.com/office/2007/relationships/stylesWithEffects" Target="stylesWithEffects.xml"/><Relationship Id="rId9" Type="http://schemas.openxmlformats.org/officeDocument/2006/relationships/hyperlink" Target="https://grants.nih.gov/grants/guide/notice-files/NOT-od-17-044.html" TargetMode="External"/><Relationship Id="rId14" Type="http://schemas.openxmlformats.org/officeDocument/2006/relationships/hyperlink" Target="https://www.govinfo.gov/content/pkg/FR-2018-03-14/pdf/2018-05176.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hyperlink" Target="http://grants.nih.gov/grants/guide/notice-files/NOT-OD-07-088.html" TargetMode="External"/><Relationship Id="rId7" Type="http://schemas.openxmlformats.org/officeDocument/2006/relationships/hyperlink" Target="https://grants.nih.gov/grants/guide/notice-files/not-od-14-124.html" TargetMode="External"/><Relationship Id="rId2" Type="http://schemas.openxmlformats.org/officeDocument/2006/relationships/hyperlink" Target="https://commons.era.nih.gov/commons/" TargetMode="External"/><Relationship Id="rId1" Type="http://schemas.openxmlformats.org/officeDocument/2006/relationships/hyperlink" Target="http://osp.od.nih.gov/wp-content/uploads/Genomic_Data_User_Code_of_Conduct.pdf" TargetMode="External"/><Relationship Id="rId6" Type="http://schemas.openxmlformats.org/officeDocument/2006/relationships/hyperlink" Target="https://webmeeting.nih.gov/p7sqo6avp6j/" TargetMode="External"/><Relationship Id="rId5" Type="http://schemas.openxmlformats.org/officeDocument/2006/relationships/hyperlink" Target="http://grants.nih.gov/grants/guide/notice-files/NOT-OD-13-119.html" TargetMode="External"/><Relationship Id="rId4" Type="http://schemas.openxmlformats.org/officeDocument/2006/relationships/hyperlink" Target="http://www.gpo.gov/fdsys/pkg/FR-2013-09-20/pdf/2013-22941.pdf" TargetMode="External"/><Relationship Id="rId9" Type="http://schemas.openxmlformats.org/officeDocument/2006/relationships/hyperlink" Target="https://www.bls.gov/oes/current/oes1190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7DF3F65-5DAC-4485-A1B3-5D018184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5538</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dc:creator>
  <cp:keywords/>
  <dc:description/>
  <cp:lastModifiedBy>SYSTEM</cp:lastModifiedBy>
  <cp:revision>2</cp:revision>
  <cp:lastPrinted>2019-06-27T13:13:00Z</cp:lastPrinted>
  <dcterms:created xsi:type="dcterms:W3CDTF">2019-07-19T16:35:00Z</dcterms:created>
  <dcterms:modified xsi:type="dcterms:W3CDTF">2019-07-19T16:35:00Z</dcterms:modified>
</cp:coreProperties>
</file>