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A1FBDC" w14:textId="77777777" w:rsidR="00CA557D" w:rsidRDefault="00CA557D" w:rsidP="00CA557D">
      <w:pPr>
        <w:spacing w:before="100" w:beforeAutospacing="1" w:after="100" w:afterAutospacing="1"/>
      </w:pPr>
      <w:bookmarkStart w:id="0" w:name="_GoBack"/>
      <w:bookmarkEnd w:id="0"/>
      <w:r w:rsidRPr="000E36BA">
        <w:t>B.</w:t>
      </w:r>
      <w:r w:rsidRPr="000E36BA">
        <w:tab/>
        <w:t>Statistical Methods (used for collection of information employing statistical methods)</w:t>
      </w:r>
    </w:p>
    <w:p w14:paraId="71484DB1" w14:textId="7384EC66" w:rsidR="003D351D" w:rsidRPr="003D351D" w:rsidRDefault="00E30717" w:rsidP="00E30717">
      <w:pPr>
        <w:widowControl w:val="0"/>
        <w:numPr>
          <w:ilvl w:val="0"/>
          <w:numId w:val="1"/>
        </w:numPr>
        <w:autoSpaceDE w:val="0"/>
        <w:autoSpaceDN w:val="0"/>
        <w:adjustRightInd w:val="0"/>
        <w:spacing w:before="100" w:beforeAutospacing="1" w:after="100" w:afterAutospacing="1"/>
        <w:ind w:left="720"/>
      </w:pPr>
      <w:r>
        <w:rPr>
          <w:u w:val="single"/>
        </w:rPr>
        <w:t xml:space="preserve"> </w:t>
      </w:r>
      <w:r w:rsidR="00CA557D" w:rsidRPr="00307250">
        <w:rPr>
          <w:u w:val="single"/>
        </w:rPr>
        <w:t>Respondent Universe and Sampling Methods</w:t>
      </w:r>
    </w:p>
    <w:p w14:paraId="595FE8AC" w14:textId="25A4DA48" w:rsidR="00C210E1" w:rsidRDefault="00C210E1" w:rsidP="00E30717">
      <w:pPr>
        <w:ind w:left="720"/>
        <w:contextualSpacing/>
      </w:pPr>
      <w:r w:rsidRPr="00C210E1">
        <w:t xml:space="preserve">Recruiting and screening procedures will be similar for the two pretests and two main studies. </w:t>
      </w:r>
      <w:r>
        <w:t xml:space="preserve">We will recruit adult participants with rheumatoid arthritis or overactive bladder. </w:t>
      </w:r>
      <w:r w:rsidRPr="000D039B">
        <w:t>We will exclude individuals who are trained as healthcare professionals, or who work in pharmaceutical, advertising, or marketing settings</w:t>
      </w:r>
      <w:r>
        <w:t xml:space="preserve"> or at HHS</w:t>
      </w:r>
      <w:r w:rsidRPr="000D039B">
        <w:t xml:space="preserve"> because their knowledge and experiences may not reflect those of the typical consumer.  We will also </w:t>
      </w:r>
      <w:r>
        <w:t>apply exclusion criteria related to eye tracking, including: excluding</w:t>
      </w:r>
      <w:r w:rsidRPr="000D039B">
        <w:t xml:space="preserve"> individuals who have photosensitive epilepsy</w:t>
      </w:r>
      <w:r>
        <w:t>, cataracts</w:t>
      </w:r>
      <w:r w:rsidRPr="00A2074B">
        <w:t>, amblyopia (lazy eye/blind in one eye), strabismus (cross-eyed), mydriasis (permanent pupil dilation), nystagmus (involuntary eye movements), an ocular prosthesis (glass eye), or who are designated as legally blind</w:t>
      </w:r>
      <w:r w:rsidRPr="000D039B">
        <w:t>;</w:t>
      </w:r>
      <w:r>
        <w:t xml:space="preserve"> </w:t>
      </w:r>
      <w:r w:rsidRPr="000D039B">
        <w:t>use a medical device that is sensitive to infrared light; or wear bifocals, hard contact lenses, or colored contact lenses</w:t>
      </w:r>
      <w:r>
        <w:t xml:space="preserve"> (see Screener in Appendix A)</w:t>
      </w:r>
      <w:r w:rsidRPr="000D039B">
        <w:t>.</w:t>
      </w:r>
      <w:r>
        <w:t xml:space="preserve">  </w:t>
      </w:r>
      <w:r w:rsidRPr="00C210E1">
        <w:t xml:space="preserve">For the pretests, participants will be recruited from the metropolitan Washington DC area.  The sessions will be conducted at Westat’s main office in Rockville, MD. The participants for the main studies will be recruited across five testing locations. </w:t>
      </w:r>
      <w:r w:rsidR="00752A40" w:rsidRPr="00D8668A">
        <w:t>These</w:t>
      </w:r>
      <w:r w:rsidRPr="00C210E1">
        <w:t xml:space="preserve"> locations include Chicago, IL, Tampa, FL, Phoenix, AZ, Houston, TX, and Marlton, NJ.</w:t>
      </w:r>
      <w:r w:rsidR="00752A40">
        <w:t xml:space="preserve">  </w:t>
      </w:r>
    </w:p>
    <w:p w14:paraId="4F6DF0DD" w14:textId="77777777" w:rsidR="00C210E1" w:rsidRPr="000D039B" w:rsidRDefault="00C210E1" w:rsidP="00C210E1">
      <w:pPr>
        <w:contextualSpacing/>
      </w:pPr>
    </w:p>
    <w:p w14:paraId="5DBC8115" w14:textId="77777777" w:rsidR="00C210E1" w:rsidRDefault="00C210E1" w:rsidP="00E30717">
      <w:pPr>
        <w:ind w:left="720"/>
        <w:contextualSpacing/>
      </w:pPr>
      <w:r w:rsidRPr="00C210E1">
        <w:t>In order to recruit the needed participants for the pretests and main studies, we plan to primarily use the two following methods:</w:t>
      </w:r>
    </w:p>
    <w:p w14:paraId="54932A7E" w14:textId="77777777" w:rsidR="00C210E1" w:rsidRPr="00C210E1" w:rsidRDefault="00C210E1" w:rsidP="00E30717">
      <w:pPr>
        <w:ind w:left="720"/>
        <w:contextualSpacing/>
      </w:pPr>
    </w:p>
    <w:p w14:paraId="23B0E430" w14:textId="77777777" w:rsidR="00C210E1" w:rsidRPr="00C210E1" w:rsidRDefault="00C210E1" w:rsidP="00E30717">
      <w:pPr>
        <w:numPr>
          <w:ilvl w:val="0"/>
          <w:numId w:val="17"/>
        </w:numPr>
        <w:spacing w:after="200" w:line="276" w:lineRule="auto"/>
        <w:contextualSpacing/>
      </w:pPr>
      <w:r w:rsidRPr="00C210E1">
        <w:t>Recruit participants through local health care providers who specialize in treating rheumatoid arthritis or overactive bladder; and</w:t>
      </w:r>
    </w:p>
    <w:p w14:paraId="542ECBF2" w14:textId="77777777" w:rsidR="00C210E1" w:rsidRPr="00C210E1" w:rsidRDefault="00C210E1" w:rsidP="00E30717">
      <w:pPr>
        <w:numPr>
          <w:ilvl w:val="0"/>
          <w:numId w:val="17"/>
        </w:numPr>
        <w:spacing w:after="200" w:line="276" w:lineRule="auto"/>
        <w:contextualSpacing/>
      </w:pPr>
      <w:r w:rsidRPr="00C210E1">
        <w:t>Recruit participants by networking with local or online support groups for individuals who have rheumatoid arthritis or overactive bladder.</w:t>
      </w:r>
    </w:p>
    <w:p w14:paraId="2252D9D5" w14:textId="77777777" w:rsidR="00C210E1" w:rsidRPr="00C210E1" w:rsidRDefault="00C210E1" w:rsidP="00E30717">
      <w:pPr>
        <w:ind w:left="720"/>
        <w:contextualSpacing/>
      </w:pPr>
    </w:p>
    <w:p w14:paraId="22233BAD" w14:textId="4A537481" w:rsidR="00C210E1" w:rsidRDefault="00C210E1" w:rsidP="00E30717">
      <w:pPr>
        <w:ind w:left="720"/>
      </w:pPr>
      <w:r w:rsidRPr="00C210E1">
        <w:t>Since the conditions are of low prevalence in the population, these methods are our best avenues to reach a reasonable number of study candidates within the project schedule. If these methods described above do not immediately yield enough response, we will (1) contact a recruiting vendor to assist in filling out the pool of potential participants, (2) advertise the criteria for participation in local newspapers, and/or (3) post a Craigslist ad for the specific problematic testing location.</w:t>
      </w:r>
    </w:p>
    <w:p w14:paraId="5AE1ADF5" w14:textId="1D789D96" w:rsidR="00CA557D" w:rsidRPr="00E00EA0" w:rsidRDefault="00F300EE" w:rsidP="00E30717">
      <w:pPr>
        <w:spacing w:before="100" w:beforeAutospacing="1" w:after="100" w:afterAutospacing="1"/>
        <w:ind w:left="720" w:hanging="360"/>
        <w:rPr>
          <w:u w:val="single"/>
        </w:rPr>
      </w:pPr>
      <w:r w:rsidRPr="00E30717">
        <w:t>2.</w:t>
      </w:r>
      <w:r>
        <w:rPr>
          <w:u w:val="single"/>
        </w:rPr>
        <w:t xml:space="preserve"> </w:t>
      </w:r>
      <w:r w:rsidR="00CA557D" w:rsidRPr="00E00EA0">
        <w:rPr>
          <w:u w:val="single"/>
        </w:rPr>
        <w:t>Procedures for the Collection of Information</w:t>
      </w:r>
    </w:p>
    <w:p w14:paraId="11DC1519" w14:textId="0EA5777E" w:rsidR="006E4CA1" w:rsidRPr="006E4CA1" w:rsidRDefault="006E4CA1" w:rsidP="006E4CA1">
      <w:pPr>
        <w:tabs>
          <w:tab w:val="num" w:pos="900"/>
        </w:tabs>
        <w:contextualSpacing/>
        <w:jc w:val="center"/>
        <w:rPr>
          <w:b/>
        </w:rPr>
      </w:pPr>
      <w:r w:rsidRPr="006E4CA1">
        <w:rPr>
          <w:b/>
        </w:rPr>
        <w:t>Design Overview</w:t>
      </w:r>
    </w:p>
    <w:p w14:paraId="43221C53" w14:textId="77777777" w:rsidR="006E4CA1" w:rsidRDefault="006E4CA1" w:rsidP="00C210E1">
      <w:pPr>
        <w:tabs>
          <w:tab w:val="num" w:pos="900"/>
        </w:tabs>
        <w:contextualSpacing/>
      </w:pPr>
    </w:p>
    <w:p w14:paraId="38C6A9BF" w14:textId="0B470A28" w:rsidR="00826486" w:rsidRPr="00826486" w:rsidRDefault="006D7E73" w:rsidP="00E30717">
      <w:pPr>
        <w:ind w:left="720"/>
      </w:pPr>
      <w:r>
        <w:t xml:space="preserve">Part A of the supporting statement described the rationale for conducting the </w:t>
      </w:r>
      <w:r w:rsidR="00A73141">
        <w:t>project</w:t>
      </w:r>
      <w:r>
        <w:t xml:space="preserve">. </w:t>
      </w:r>
      <w:r w:rsidR="00826486">
        <w:t>W</w:t>
      </w:r>
      <w:r w:rsidR="00826486" w:rsidRPr="00B36A77">
        <w:t>e propose to test two levels of the ISI (short v</w:t>
      </w:r>
      <w:r w:rsidR="00826486">
        <w:t>ersus</w:t>
      </w:r>
      <w:r w:rsidR="00826486" w:rsidRPr="00B36A77">
        <w:t xml:space="preserve"> long) and the presence of </w:t>
      </w:r>
      <w:r w:rsidR="00826486">
        <w:t>a consumer</w:t>
      </w:r>
      <w:r w:rsidR="00826486" w:rsidRPr="00B36A77">
        <w:t xml:space="preserve"> brief summary (absent v</w:t>
      </w:r>
      <w:r w:rsidR="00826486">
        <w:t>ersus</w:t>
      </w:r>
      <w:r w:rsidR="00826486" w:rsidRPr="00B36A77">
        <w:t xml:space="preserve"> present) in two different medical conditions (</w:t>
      </w:r>
      <w:r w:rsidR="00826486">
        <w:t>overactive bladder (OAB) and rheumatoid arthritis</w:t>
      </w:r>
      <w:r w:rsidR="00826486" w:rsidRPr="00B36A77">
        <w:t>).</w:t>
      </w:r>
      <w:r w:rsidR="00826486">
        <w:t xml:space="preserve">  The consumer brief summary will follow the draft recommendations for language, readability, content, and format described in </w:t>
      </w:r>
      <w:r w:rsidR="00826486">
        <w:rPr>
          <w:color w:val="000000"/>
        </w:rPr>
        <w:t>"</w:t>
      </w:r>
      <w:r w:rsidR="00826486">
        <w:t xml:space="preserve">Brief Summary and Adequate Directions for Use: Disclosing Risk Information in Consumer-Directed Print Advertisements and Promotional Labeling for Prescription Drugs: </w:t>
      </w:r>
      <w:r w:rsidR="00826486">
        <w:lastRenderedPageBreak/>
        <w:t>Guidance for Industry, Revised Draft Guidance</w:t>
      </w:r>
      <w:r w:rsidR="00826486">
        <w:rPr>
          <w:color w:val="000000"/>
        </w:rPr>
        <w:t>"</w:t>
      </w:r>
      <w:r w:rsidR="00826486">
        <w:t xml:space="preserve"> .  </w:t>
      </w:r>
      <w:r w:rsidR="00826486" w:rsidRPr="00E05CD7">
        <w:t xml:space="preserve">The </w:t>
      </w:r>
      <w:r w:rsidR="00826486">
        <w:rPr>
          <w:color w:val="000000"/>
        </w:rPr>
        <w:t>"</w:t>
      </w:r>
      <w:r w:rsidR="00826486" w:rsidRPr="00E05CD7">
        <w:t>long</w:t>
      </w:r>
      <w:r w:rsidR="00826486">
        <w:rPr>
          <w:color w:val="000000"/>
        </w:rPr>
        <w:t>"</w:t>
      </w:r>
      <w:r w:rsidR="00826486" w:rsidRPr="00E05CD7">
        <w:t xml:space="preserve"> ISI is a selection of risks from the brief summary and is typical of what would appear in current DTC ads for each condition.  The </w:t>
      </w:r>
      <w:r w:rsidR="00826486">
        <w:rPr>
          <w:color w:val="000000"/>
        </w:rPr>
        <w:t>"</w:t>
      </w:r>
      <w:r w:rsidR="00826486" w:rsidRPr="00E05CD7">
        <w:t>short</w:t>
      </w:r>
      <w:r w:rsidR="00826486">
        <w:rPr>
          <w:color w:val="000000"/>
        </w:rPr>
        <w:t>"</w:t>
      </w:r>
      <w:r w:rsidR="00826486" w:rsidRPr="00E05CD7">
        <w:t xml:space="preserve"> ISI was created by applying the ideas from recent FDA work on the major statement in broadcast ads. </w:t>
      </w:r>
      <w:r w:rsidR="00826486">
        <w:t xml:space="preserve"> Figures 1 and 2 describe the study design.  </w:t>
      </w:r>
      <w:r w:rsidR="00826486">
        <w:rPr>
          <w:szCs w:val="20"/>
        </w:rPr>
        <w:t>This will be investigated in DTC print ads for prescription drugs.</w:t>
      </w:r>
    </w:p>
    <w:p w14:paraId="0B2DC811" w14:textId="77777777" w:rsidR="0011729B" w:rsidRDefault="0011729B" w:rsidP="00E30717">
      <w:pPr>
        <w:ind w:left="720" w:firstLine="720"/>
        <w:rPr>
          <w:color w:val="000000"/>
        </w:rPr>
      </w:pPr>
    </w:p>
    <w:p w14:paraId="7660E986" w14:textId="6C04B116" w:rsidR="0011729B" w:rsidRDefault="006E4CA1" w:rsidP="00E30717">
      <w:pPr>
        <w:ind w:left="720"/>
        <w:rPr>
          <w:color w:val="000000"/>
        </w:rPr>
      </w:pPr>
      <w:r>
        <w:t>Our</w:t>
      </w:r>
      <w:r w:rsidRPr="00AD4504">
        <w:t xml:space="preserve"> research questions are descriptive in nature, not explanatory. For example, </w:t>
      </w:r>
      <w:r>
        <w:t>we are</w:t>
      </w:r>
      <w:r w:rsidRPr="00AD4504">
        <w:t xml:space="preserve"> not asking </w:t>
      </w:r>
      <w:r w:rsidRPr="00AD4504">
        <w:rPr>
          <w:i/>
        </w:rPr>
        <w:t xml:space="preserve">why </w:t>
      </w:r>
      <w:r w:rsidRPr="00AD4504">
        <w:t xml:space="preserve">DTC advertising influences reader understanding of risks or benefits of prescription drugs or why certain DTC advertising features influence readers’ behaviors and perceptions. Rather, </w:t>
      </w:r>
      <w:r w:rsidR="00752A40">
        <w:t>we</w:t>
      </w:r>
      <w:r w:rsidRPr="00AD4504">
        <w:t xml:space="preserve"> </w:t>
      </w:r>
      <w:r w:rsidR="00752A40">
        <w:t>are</w:t>
      </w:r>
      <w:r w:rsidRPr="00AD4504">
        <w:t xml:space="preserve"> primarily asking where and how questions, such as: </w:t>
      </w:r>
      <w:r w:rsidRPr="00AD4504">
        <w:rPr>
          <w:i/>
        </w:rPr>
        <w:t>Where</w:t>
      </w:r>
      <w:r w:rsidRPr="00AD4504">
        <w:t xml:space="preserve"> do readers look when they are exposed to DTC print advertising and how is this </w:t>
      </w:r>
      <w:r w:rsidR="002F4BA5">
        <w:t>a</w:t>
      </w:r>
      <w:r w:rsidRPr="00AD4504">
        <w:t xml:space="preserve">ffected by the length of the ad? </w:t>
      </w:r>
      <w:r w:rsidRPr="00AD4504">
        <w:rPr>
          <w:i/>
        </w:rPr>
        <w:t>How</w:t>
      </w:r>
      <w:r w:rsidRPr="00AD4504">
        <w:t xml:space="preserve"> did exposure to DTC advertising impact the participants’ reaction to the drug and how do reactions differ by the length of the ad? </w:t>
      </w:r>
      <w:r w:rsidR="002D13DC">
        <w:rPr>
          <w:color w:val="000000"/>
        </w:rPr>
        <w:t>Accordingly, we plan to investigate the following</w:t>
      </w:r>
      <w:r w:rsidR="0011729B">
        <w:rPr>
          <w:color w:val="000000"/>
        </w:rPr>
        <w:t xml:space="preserve">: </w:t>
      </w:r>
    </w:p>
    <w:p w14:paraId="6F45C418" w14:textId="77777777" w:rsidR="0011729B" w:rsidRDefault="0011729B" w:rsidP="00E30717">
      <w:pPr>
        <w:ind w:left="720"/>
        <w:rPr>
          <w:rFonts w:ascii="Franklin Gothic Book" w:hAnsi="Franklin Gothic Book"/>
          <w:b/>
          <w:sz w:val="22"/>
          <w:szCs w:val="22"/>
        </w:rPr>
      </w:pPr>
    </w:p>
    <w:p w14:paraId="32E4FF7E" w14:textId="77777777" w:rsidR="006A7368" w:rsidRPr="006A7368" w:rsidRDefault="006A7368" w:rsidP="00E30717">
      <w:pPr>
        <w:pStyle w:val="ListParagraph"/>
        <w:numPr>
          <w:ilvl w:val="0"/>
          <w:numId w:val="18"/>
        </w:numPr>
        <w:ind w:left="720"/>
      </w:pPr>
      <w:r w:rsidRPr="006A7368">
        <w:t>Compare participants’ attention (measured by both self-report and eye tracking data), risk information retention, and drug risk perceptions after they read DTC drug ads that vary these conditions:</w:t>
      </w:r>
    </w:p>
    <w:p w14:paraId="162A50D4" w14:textId="77777777" w:rsidR="006A7368" w:rsidRPr="006A7368" w:rsidRDefault="006A7368" w:rsidP="00E30717">
      <w:pPr>
        <w:pStyle w:val="ListParagraph"/>
        <w:numPr>
          <w:ilvl w:val="0"/>
          <w:numId w:val="19"/>
        </w:numPr>
        <w:ind w:left="1080"/>
      </w:pPr>
      <w:r w:rsidRPr="006A7368">
        <w:t xml:space="preserve">The length of the ISI section (which includes repetition of information presented), and </w:t>
      </w:r>
    </w:p>
    <w:p w14:paraId="706B9680" w14:textId="77777777" w:rsidR="006A7368" w:rsidRPr="006A7368" w:rsidRDefault="006A7368" w:rsidP="00E30717">
      <w:pPr>
        <w:pStyle w:val="ListParagraph"/>
        <w:numPr>
          <w:ilvl w:val="0"/>
          <w:numId w:val="19"/>
        </w:numPr>
        <w:ind w:left="1080"/>
      </w:pPr>
      <w:r w:rsidRPr="006A7368">
        <w:t>The presence or absence of the brief summary page.</w:t>
      </w:r>
    </w:p>
    <w:p w14:paraId="6A79A342" w14:textId="77777777" w:rsidR="006A7368" w:rsidRPr="006A7368" w:rsidRDefault="006A7368" w:rsidP="00E30717">
      <w:pPr>
        <w:pStyle w:val="ListParagraph"/>
        <w:numPr>
          <w:ilvl w:val="0"/>
          <w:numId w:val="18"/>
        </w:numPr>
        <w:ind w:left="720"/>
      </w:pPr>
      <w:r w:rsidRPr="006A7368">
        <w:t>Assess whether attention mediates the relationship between ad design</w:t>
      </w:r>
      <w:r w:rsidRPr="006A7368" w:rsidDel="003D78BA">
        <w:t xml:space="preserve"> </w:t>
      </w:r>
      <w:r w:rsidRPr="006A7368">
        <w:t xml:space="preserve">and participants’ retention and perceptions of information about the drug’s risks.   </w:t>
      </w:r>
    </w:p>
    <w:p w14:paraId="5779176E" w14:textId="77777777" w:rsidR="006A7368" w:rsidRPr="006A7368" w:rsidRDefault="006A7368" w:rsidP="00E30717">
      <w:pPr>
        <w:pStyle w:val="ListParagraph"/>
        <w:numPr>
          <w:ilvl w:val="0"/>
          <w:numId w:val="18"/>
        </w:numPr>
        <w:ind w:left="720"/>
      </w:pPr>
      <w:r w:rsidRPr="006A7368">
        <w:t>Compare additional outcomes -- such as perceived drug efficacy, behavioral intentions, and self-efficacy</w:t>
      </w:r>
      <w:r w:rsidRPr="006A7368" w:rsidDel="003D78BA">
        <w:t xml:space="preserve"> </w:t>
      </w:r>
      <w:r w:rsidRPr="006A7368">
        <w:t>in understanding the materials -- among the ad conditions.</w:t>
      </w:r>
    </w:p>
    <w:p w14:paraId="5B84CBD9" w14:textId="77777777" w:rsidR="006A7368" w:rsidRPr="006A7368" w:rsidRDefault="006A7368" w:rsidP="00E30717">
      <w:pPr>
        <w:pStyle w:val="ListParagraph"/>
        <w:numPr>
          <w:ilvl w:val="0"/>
          <w:numId w:val="18"/>
        </w:numPr>
        <w:ind w:left="720"/>
      </w:pPr>
      <w:r w:rsidRPr="006A7368">
        <w:t>Assess the possible effects of moderators (such as personal involvement with the drug) and covariates (such as health literacy and age) on attention, risk retention, and risk perception.</w:t>
      </w:r>
    </w:p>
    <w:p w14:paraId="052B53F2" w14:textId="77777777" w:rsidR="00A750F4" w:rsidRPr="00A750F4" w:rsidRDefault="00A750F4" w:rsidP="00E30717">
      <w:pPr>
        <w:ind w:left="720" w:firstLine="720"/>
        <w:rPr>
          <w:color w:val="000000"/>
        </w:rPr>
      </w:pPr>
    </w:p>
    <w:p w14:paraId="2A1E2455" w14:textId="4C4D2CB9" w:rsidR="0011729B" w:rsidRPr="0011729B" w:rsidRDefault="0011729B" w:rsidP="00E30717">
      <w:pPr>
        <w:ind w:left="720"/>
      </w:pPr>
      <w:r w:rsidRPr="0011729B">
        <w:t>To address these questions,</w:t>
      </w:r>
      <w:r>
        <w:t xml:space="preserve"> we have two</w:t>
      </w:r>
      <w:r w:rsidR="00A73141">
        <w:t xml:space="preserve"> 2x2</w:t>
      </w:r>
      <w:r>
        <w:t xml:space="preserve"> </w:t>
      </w:r>
      <w:r w:rsidR="00A73141">
        <w:t>designs</w:t>
      </w:r>
      <w:r>
        <w:t xml:space="preserve">, one </w:t>
      </w:r>
      <w:r w:rsidR="006A7368">
        <w:t>for each medical condition</w:t>
      </w:r>
      <w:r>
        <w:t xml:space="preserve">. </w:t>
      </w:r>
      <w:r w:rsidRPr="0011729B">
        <w:t xml:space="preserve">Both </w:t>
      </w:r>
      <w:r w:rsidR="00A73141">
        <w:t>designs</w:t>
      </w:r>
      <w:r w:rsidRPr="0011729B">
        <w:t xml:space="preserve"> </w:t>
      </w:r>
      <w:r w:rsidR="00A73141">
        <w:t>vary</w:t>
      </w:r>
      <w:r w:rsidRPr="0011729B">
        <w:t xml:space="preserve"> </w:t>
      </w:r>
      <w:r w:rsidR="006A7368">
        <w:t xml:space="preserve">length of ISI and presence of </w:t>
      </w:r>
      <w:r w:rsidR="006E4CA1">
        <w:t xml:space="preserve">the </w:t>
      </w:r>
      <w:r w:rsidR="006A7368">
        <w:t>Brief Summary</w:t>
      </w:r>
      <w:r w:rsidRPr="0011729B">
        <w:t xml:space="preserve"> as between-subjects factor</w:t>
      </w:r>
      <w:r w:rsidR="006A7368">
        <w:t>s</w:t>
      </w:r>
      <w:r w:rsidRPr="0011729B">
        <w:t xml:space="preserve">. Participants will </w:t>
      </w:r>
      <w:r w:rsidR="006A7368">
        <w:t>be randomly assigned to view one DTC print ad.</w:t>
      </w:r>
    </w:p>
    <w:p w14:paraId="6B330654" w14:textId="77777777" w:rsidR="0011729B" w:rsidRPr="0011729B" w:rsidRDefault="0011729B" w:rsidP="0011729B"/>
    <w:p w14:paraId="40D8D09C" w14:textId="77777777" w:rsidR="00C210E1" w:rsidRPr="000D039B" w:rsidRDefault="00C210E1" w:rsidP="00C210E1">
      <w:pPr>
        <w:tabs>
          <w:tab w:val="num" w:pos="900"/>
        </w:tabs>
        <w:contextualSpacing/>
      </w:pPr>
      <w:r w:rsidRPr="000D039B">
        <w:t>Figure 1: Study 1 Design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410"/>
        <w:gridCol w:w="2737"/>
        <w:gridCol w:w="2735"/>
      </w:tblGrid>
      <w:tr w:rsidR="00C210E1" w:rsidRPr="000D039B" w14:paraId="3462E070" w14:textId="77777777" w:rsidTr="00D76FC6">
        <w:tc>
          <w:tcPr>
            <w:tcW w:w="1407" w:type="pct"/>
            <w:shd w:val="clear" w:color="auto" w:fill="auto"/>
          </w:tcPr>
          <w:p w14:paraId="58C7C1BE" w14:textId="77777777" w:rsidR="00C210E1" w:rsidRPr="000D039B" w:rsidRDefault="00C210E1" w:rsidP="00D76FC6">
            <w:pPr>
              <w:tabs>
                <w:tab w:val="num" w:pos="900"/>
              </w:tabs>
              <w:contextualSpacing/>
            </w:pPr>
          </w:p>
        </w:tc>
        <w:tc>
          <w:tcPr>
            <w:tcW w:w="736" w:type="pct"/>
            <w:shd w:val="clear" w:color="auto" w:fill="auto"/>
          </w:tcPr>
          <w:p w14:paraId="02608466" w14:textId="77777777" w:rsidR="00C210E1" w:rsidRPr="000D039B" w:rsidRDefault="00C210E1" w:rsidP="00D76FC6">
            <w:pPr>
              <w:tabs>
                <w:tab w:val="num" w:pos="900"/>
              </w:tabs>
              <w:contextualSpacing/>
            </w:pPr>
          </w:p>
        </w:tc>
        <w:tc>
          <w:tcPr>
            <w:tcW w:w="2857" w:type="pct"/>
            <w:gridSpan w:val="2"/>
            <w:shd w:val="clear" w:color="auto" w:fill="auto"/>
          </w:tcPr>
          <w:p w14:paraId="4BC3DF85" w14:textId="77777777" w:rsidR="00C210E1" w:rsidRPr="000D039B" w:rsidRDefault="00C210E1" w:rsidP="006A7368">
            <w:pPr>
              <w:tabs>
                <w:tab w:val="num" w:pos="900"/>
              </w:tabs>
              <w:contextualSpacing/>
              <w:jc w:val="center"/>
            </w:pPr>
            <w:r w:rsidRPr="000D039B">
              <w:t>Brief Summary</w:t>
            </w:r>
          </w:p>
        </w:tc>
      </w:tr>
      <w:tr w:rsidR="00C210E1" w:rsidRPr="000D039B" w14:paraId="57F8C74B" w14:textId="77777777" w:rsidTr="00D76FC6">
        <w:tc>
          <w:tcPr>
            <w:tcW w:w="1407" w:type="pct"/>
            <w:shd w:val="clear" w:color="auto" w:fill="auto"/>
          </w:tcPr>
          <w:p w14:paraId="5049017A" w14:textId="77777777" w:rsidR="00C210E1" w:rsidRPr="000D039B" w:rsidRDefault="00C210E1" w:rsidP="00D76FC6">
            <w:pPr>
              <w:tabs>
                <w:tab w:val="num" w:pos="900"/>
              </w:tabs>
              <w:contextualSpacing/>
            </w:pPr>
            <w:r w:rsidRPr="000D039B">
              <w:t>Rheumatoid Arthritis</w:t>
            </w:r>
          </w:p>
        </w:tc>
        <w:tc>
          <w:tcPr>
            <w:tcW w:w="736" w:type="pct"/>
            <w:shd w:val="clear" w:color="auto" w:fill="auto"/>
          </w:tcPr>
          <w:p w14:paraId="1BCA8887" w14:textId="77777777" w:rsidR="00C210E1" w:rsidRPr="000D039B" w:rsidRDefault="00C210E1" w:rsidP="00D76FC6">
            <w:pPr>
              <w:tabs>
                <w:tab w:val="num" w:pos="900"/>
              </w:tabs>
              <w:contextualSpacing/>
            </w:pPr>
          </w:p>
          <w:p w14:paraId="43E46967" w14:textId="77777777" w:rsidR="00C210E1" w:rsidRPr="000D039B" w:rsidRDefault="00C210E1" w:rsidP="00D76FC6">
            <w:pPr>
              <w:tabs>
                <w:tab w:val="num" w:pos="900"/>
              </w:tabs>
              <w:contextualSpacing/>
            </w:pPr>
            <w:r w:rsidRPr="000D039B">
              <w:t>ISI</w:t>
            </w:r>
          </w:p>
        </w:tc>
        <w:tc>
          <w:tcPr>
            <w:tcW w:w="1429" w:type="pct"/>
            <w:shd w:val="clear" w:color="auto" w:fill="auto"/>
          </w:tcPr>
          <w:p w14:paraId="2CAC5D66" w14:textId="77777777" w:rsidR="00C210E1" w:rsidRPr="000D039B" w:rsidRDefault="00C210E1" w:rsidP="006A7368">
            <w:pPr>
              <w:tabs>
                <w:tab w:val="num" w:pos="900"/>
              </w:tabs>
              <w:contextualSpacing/>
              <w:jc w:val="center"/>
            </w:pPr>
            <w:r w:rsidRPr="000D039B">
              <w:t>No</w:t>
            </w:r>
          </w:p>
        </w:tc>
        <w:tc>
          <w:tcPr>
            <w:tcW w:w="1428" w:type="pct"/>
            <w:shd w:val="clear" w:color="auto" w:fill="auto"/>
          </w:tcPr>
          <w:p w14:paraId="6B87E8BF" w14:textId="77777777" w:rsidR="00C210E1" w:rsidRPr="000D039B" w:rsidRDefault="00C210E1" w:rsidP="006A7368">
            <w:pPr>
              <w:tabs>
                <w:tab w:val="num" w:pos="900"/>
              </w:tabs>
              <w:contextualSpacing/>
              <w:jc w:val="center"/>
            </w:pPr>
            <w:r w:rsidRPr="000D039B">
              <w:t>Yes</w:t>
            </w:r>
          </w:p>
        </w:tc>
      </w:tr>
      <w:tr w:rsidR="00C210E1" w:rsidRPr="000D039B" w14:paraId="74549B1E" w14:textId="77777777" w:rsidTr="00D76FC6">
        <w:tc>
          <w:tcPr>
            <w:tcW w:w="1407" w:type="pct"/>
            <w:vMerge w:val="restart"/>
            <w:shd w:val="clear" w:color="auto" w:fill="auto"/>
          </w:tcPr>
          <w:p w14:paraId="7E027543" w14:textId="77777777" w:rsidR="00C210E1" w:rsidRPr="000D039B" w:rsidRDefault="00C210E1" w:rsidP="00D76FC6">
            <w:pPr>
              <w:tabs>
                <w:tab w:val="num" w:pos="900"/>
              </w:tabs>
              <w:contextualSpacing/>
            </w:pPr>
          </w:p>
        </w:tc>
        <w:tc>
          <w:tcPr>
            <w:tcW w:w="736" w:type="pct"/>
            <w:shd w:val="clear" w:color="auto" w:fill="auto"/>
          </w:tcPr>
          <w:p w14:paraId="3F59968F" w14:textId="77777777" w:rsidR="00C210E1" w:rsidRPr="000D039B" w:rsidRDefault="00C210E1" w:rsidP="00D76FC6">
            <w:pPr>
              <w:tabs>
                <w:tab w:val="num" w:pos="900"/>
              </w:tabs>
              <w:contextualSpacing/>
            </w:pPr>
            <w:r w:rsidRPr="000D039B">
              <w:t xml:space="preserve">Short </w:t>
            </w:r>
          </w:p>
        </w:tc>
        <w:tc>
          <w:tcPr>
            <w:tcW w:w="1429" w:type="pct"/>
            <w:shd w:val="clear" w:color="auto" w:fill="auto"/>
          </w:tcPr>
          <w:p w14:paraId="6AF1B228" w14:textId="77777777" w:rsidR="00C210E1" w:rsidRPr="000D039B" w:rsidRDefault="00C210E1" w:rsidP="006A7368">
            <w:pPr>
              <w:tabs>
                <w:tab w:val="num" w:pos="900"/>
              </w:tabs>
              <w:contextualSpacing/>
              <w:jc w:val="center"/>
            </w:pPr>
          </w:p>
        </w:tc>
        <w:tc>
          <w:tcPr>
            <w:tcW w:w="1428" w:type="pct"/>
            <w:shd w:val="clear" w:color="auto" w:fill="auto"/>
          </w:tcPr>
          <w:p w14:paraId="554C89F0" w14:textId="77777777" w:rsidR="00C210E1" w:rsidRPr="000D039B" w:rsidRDefault="00C210E1" w:rsidP="006A7368">
            <w:pPr>
              <w:tabs>
                <w:tab w:val="num" w:pos="900"/>
              </w:tabs>
              <w:contextualSpacing/>
              <w:jc w:val="center"/>
            </w:pPr>
          </w:p>
        </w:tc>
      </w:tr>
      <w:tr w:rsidR="00C210E1" w:rsidRPr="000D039B" w14:paraId="170D0CE3" w14:textId="77777777" w:rsidTr="00D76FC6">
        <w:tc>
          <w:tcPr>
            <w:tcW w:w="1407" w:type="pct"/>
            <w:vMerge/>
            <w:shd w:val="clear" w:color="auto" w:fill="auto"/>
          </w:tcPr>
          <w:p w14:paraId="6CCFD36B" w14:textId="77777777" w:rsidR="00C210E1" w:rsidRPr="000D039B" w:rsidRDefault="00C210E1" w:rsidP="00D76FC6">
            <w:pPr>
              <w:tabs>
                <w:tab w:val="num" w:pos="900"/>
              </w:tabs>
              <w:contextualSpacing/>
            </w:pPr>
          </w:p>
        </w:tc>
        <w:tc>
          <w:tcPr>
            <w:tcW w:w="736" w:type="pct"/>
            <w:shd w:val="clear" w:color="auto" w:fill="auto"/>
          </w:tcPr>
          <w:p w14:paraId="7BEEA3EF" w14:textId="77777777" w:rsidR="00C210E1" w:rsidRPr="000D039B" w:rsidRDefault="00C210E1" w:rsidP="00D76FC6">
            <w:pPr>
              <w:tabs>
                <w:tab w:val="num" w:pos="900"/>
              </w:tabs>
              <w:contextualSpacing/>
            </w:pPr>
            <w:r w:rsidRPr="000D039B">
              <w:t>Long</w:t>
            </w:r>
          </w:p>
        </w:tc>
        <w:tc>
          <w:tcPr>
            <w:tcW w:w="1429" w:type="pct"/>
            <w:shd w:val="clear" w:color="auto" w:fill="auto"/>
          </w:tcPr>
          <w:p w14:paraId="0D13EF9A" w14:textId="77777777" w:rsidR="00C210E1" w:rsidRPr="000D039B" w:rsidRDefault="00C210E1" w:rsidP="006A7368">
            <w:pPr>
              <w:tabs>
                <w:tab w:val="num" w:pos="900"/>
              </w:tabs>
              <w:contextualSpacing/>
              <w:jc w:val="center"/>
            </w:pPr>
          </w:p>
        </w:tc>
        <w:tc>
          <w:tcPr>
            <w:tcW w:w="1428" w:type="pct"/>
            <w:shd w:val="clear" w:color="auto" w:fill="auto"/>
          </w:tcPr>
          <w:p w14:paraId="50DBB073" w14:textId="77777777" w:rsidR="00C210E1" w:rsidRPr="000D039B" w:rsidRDefault="00C210E1" w:rsidP="006A7368">
            <w:pPr>
              <w:tabs>
                <w:tab w:val="num" w:pos="900"/>
              </w:tabs>
              <w:contextualSpacing/>
              <w:jc w:val="center"/>
            </w:pPr>
          </w:p>
        </w:tc>
      </w:tr>
    </w:tbl>
    <w:p w14:paraId="6AB42386" w14:textId="77777777" w:rsidR="00C210E1" w:rsidRPr="000D039B" w:rsidRDefault="00C210E1" w:rsidP="00C210E1">
      <w:pPr>
        <w:tabs>
          <w:tab w:val="num" w:pos="900"/>
        </w:tabs>
        <w:contextualSpacing/>
      </w:pPr>
    </w:p>
    <w:p w14:paraId="1BC3BB53" w14:textId="77777777" w:rsidR="00C210E1" w:rsidRPr="000D039B" w:rsidRDefault="00C210E1" w:rsidP="00C210E1">
      <w:pPr>
        <w:tabs>
          <w:tab w:val="num" w:pos="900"/>
        </w:tabs>
        <w:contextualSpacing/>
      </w:pPr>
      <w:r w:rsidRPr="000D039B">
        <w:t>Figure 2: Study 2 Design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410"/>
        <w:gridCol w:w="2737"/>
        <w:gridCol w:w="2735"/>
      </w:tblGrid>
      <w:tr w:rsidR="00C210E1" w:rsidRPr="000D039B" w14:paraId="769BC3A8" w14:textId="77777777" w:rsidTr="00D76FC6">
        <w:tc>
          <w:tcPr>
            <w:tcW w:w="1407" w:type="pct"/>
            <w:shd w:val="clear" w:color="auto" w:fill="auto"/>
          </w:tcPr>
          <w:p w14:paraId="3EF62B5B" w14:textId="77777777" w:rsidR="00C210E1" w:rsidRPr="000D039B" w:rsidRDefault="00C210E1" w:rsidP="00D76FC6">
            <w:pPr>
              <w:tabs>
                <w:tab w:val="num" w:pos="900"/>
              </w:tabs>
              <w:contextualSpacing/>
            </w:pPr>
          </w:p>
        </w:tc>
        <w:tc>
          <w:tcPr>
            <w:tcW w:w="736" w:type="pct"/>
            <w:shd w:val="clear" w:color="auto" w:fill="auto"/>
          </w:tcPr>
          <w:p w14:paraId="04EA117D" w14:textId="77777777" w:rsidR="00C210E1" w:rsidRPr="000D039B" w:rsidRDefault="00C210E1" w:rsidP="00D76FC6">
            <w:pPr>
              <w:tabs>
                <w:tab w:val="num" w:pos="900"/>
              </w:tabs>
              <w:contextualSpacing/>
            </w:pPr>
          </w:p>
        </w:tc>
        <w:tc>
          <w:tcPr>
            <w:tcW w:w="2857" w:type="pct"/>
            <w:gridSpan w:val="2"/>
            <w:shd w:val="clear" w:color="auto" w:fill="auto"/>
          </w:tcPr>
          <w:p w14:paraId="22AD8A34" w14:textId="77777777" w:rsidR="00C210E1" w:rsidRPr="000D039B" w:rsidRDefault="00C210E1" w:rsidP="006A7368">
            <w:pPr>
              <w:tabs>
                <w:tab w:val="num" w:pos="900"/>
              </w:tabs>
              <w:contextualSpacing/>
              <w:jc w:val="center"/>
            </w:pPr>
            <w:r w:rsidRPr="000D039B">
              <w:t>Brief Summary</w:t>
            </w:r>
          </w:p>
        </w:tc>
      </w:tr>
      <w:tr w:rsidR="00C210E1" w:rsidRPr="000D039B" w14:paraId="65F6718B" w14:textId="77777777" w:rsidTr="00D76FC6">
        <w:tc>
          <w:tcPr>
            <w:tcW w:w="1407" w:type="pct"/>
            <w:shd w:val="clear" w:color="auto" w:fill="auto"/>
          </w:tcPr>
          <w:p w14:paraId="50ADEAE8" w14:textId="77777777" w:rsidR="00C210E1" w:rsidRPr="000D039B" w:rsidRDefault="00C210E1" w:rsidP="00D76FC6">
            <w:pPr>
              <w:tabs>
                <w:tab w:val="num" w:pos="900"/>
              </w:tabs>
              <w:contextualSpacing/>
            </w:pPr>
            <w:r w:rsidRPr="000D039B">
              <w:t>Overactive Bladder</w:t>
            </w:r>
          </w:p>
        </w:tc>
        <w:tc>
          <w:tcPr>
            <w:tcW w:w="736" w:type="pct"/>
            <w:shd w:val="clear" w:color="auto" w:fill="auto"/>
          </w:tcPr>
          <w:p w14:paraId="3B19AF42" w14:textId="77777777" w:rsidR="00C210E1" w:rsidRPr="000D039B" w:rsidRDefault="00C210E1" w:rsidP="00D76FC6">
            <w:pPr>
              <w:tabs>
                <w:tab w:val="num" w:pos="900"/>
              </w:tabs>
              <w:contextualSpacing/>
            </w:pPr>
          </w:p>
          <w:p w14:paraId="63653CCF" w14:textId="77777777" w:rsidR="00C210E1" w:rsidRPr="000D039B" w:rsidRDefault="00C210E1" w:rsidP="00D76FC6">
            <w:pPr>
              <w:tabs>
                <w:tab w:val="num" w:pos="900"/>
              </w:tabs>
              <w:contextualSpacing/>
            </w:pPr>
            <w:r w:rsidRPr="000D039B">
              <w:t>ISI</w:t>
            </w:r>
          </w:p>
        </w:tc>
        <w:tc>
          <w:tcPr>
            <w:tcW w:w="1429" w:type="pct"/>
            <w:shd w:val="clear" w:color="auto" w:fill="auto"/>
          </w:tcPr>
          <w:p w14:paraId="3DDAB621" w14:textId="77777777" w:rsidR="00C210E1" w:rsidRPr="000D039B" w:rsidRDefault="00C210E1" w:rsidP="006A7368">
            <w:pPr>
              <w:tabs>
                <w:tab w:val="num" w:pos="900"/>
              </w:tabs>
              <w:contextualSpacing/>
              <w:jc w:val="center"/>
            </w:pPr>
            <w:r w:rsidRPr="000D039B">
              <w:t>No</w:t>
            </w:r>
          </w:p>
        </w:tc>
        <w:tc>
          <w:tcPr>
            <w:tcW w:w="1428" w:type="pct"/>
            <w:shd w:val="clear" w:color="auto" w:fill="auto"/>
          </w:tcPr>
          <w:p w14:paraId="0A89DD2B" w14:textId="77777777" w:rsidR="00C210E1" w:rsidRPr="000D039B" w:rsidRDefault="00C210E1" w:rsidP="006A7368">
            <w:pPr>
              <w:tabs>
                <w:tab w:val="num" w:pos="900"/>
              </w:tabs>
              <w:contextualSpacing/>
              <w:jc w:val="center"/>
            </w:pPr>
            <w:r w:rsidRPr="000D039B">
              <w:t>Yes</w:t>
            </w:r>
          </w:p>
        </w:tc>
      </w:tr>
      <w:tr w:rsidR="00C210E1" w:rsidRPr="000D039B" w14:paraId="6BB843D8" w14:textId="77777777" w:rsidTr="00D76FC6">
        <w:tc>
          <w:tcPr>
            <w:tcW w:w="1407" w:type="pct"/>
            <w:vMerge w:val="restart"/>
            <w:shd w:val="clear" w:color="auto" w:fill="auto"/>
          </w:tcPr>
          <w:p w14:paraId="3A6EC0CE" w14:textId="77777777" w:rsidR="00C210E1" w:rsidRPr="000D039B" w:rsidRDefault="00C210E1" w:rsidP="00D76FC6">
            <w:pPr>
              <w:tabs>
                <w:tab w:val="num" w:pos="900"/>
              </w:tabs>
              <w:contextualSpacing/>
            </w:pPr>
          </w:p>
        </w:tc>
        <w:tc>
          <w:tcPr>
            <w:tcW w:w="736" w:type="pct"/>
            <w:shd w:val="clear" w:color="auto" w:fill="auto"/>
          </w:tcPr>
          <w:p w14:paraId="45E77A79" w14:textId="77777777" w:rsidR="00C210E1" w:rsidRPr="000D039B" w:rsidRDefault="00C210E1" w:rsidP="00D76FC6">
            <w:pPr>
              <w:tabs>
                <w:tab w:val="num" w:pos="900"/>
              </w:tabs>
              <w:contextualSpacing/>
            </w:pPr>
            <w:r w:rsidRPr="000D039B">
              <w:t xml:space="preserve">Short </w:t>
            </w:r>
          </w:p>
        </w:tc>
        <w:tc>
          <w:tcPr>
            <w:tcW w:w="1429" w:type="pct"/>
            <w:shd w:val="clear" w:color="auto" w:fill="auto"/>
          </w:tcPr>
          <w:p w14:paraId="5C52536A" w14:textId="77777777" w:rsidR="00C210E1" w:rsidRPr="000D039B" w:rsidRDefault="00C210E1" w:rsidP="006A7368">
            <w:pPr>
              <w:tabs>
                <w:tab w:val="num" w:pos="900"/>
              </w:tabs>
              <w:contextualSpacing/>
              <w:jc w:val="center"/>
            </w:pPr>
          </w:p>
        </w:tc>
        <w:tc>
          <w:tcPr>
            <w:tcW w:w="1428" w:type="pct"/>
            <w:shd w:val="clear" w:color="auto" w:fill="auto"/>
          </w:tcPr>
          <w:p w14:paraId="5D56F315" w14:textId="77777777" w:rsidR="00C210E1" w:rsidRPr="000D039B" w:rsidRDefault="00C210E1" w:rsidP="006A7368">
            <w:pPr>
              <w:tabs>
                <w:tab w:val="num" w:pos="900"/>
              </w:tabs>
              <w:contextualSpacing/>
              <w:jc w:val="center"/>
            </w:pPr>
          </w:p>
        </w:tc>
      </w:tr>
      <w:tr w:rsidR="00C210E1" w:rsidRPr="000D039B" w14:paraId="65967C93" w14:textId="77777777" w:rsidTr="00D76FC6">
        <w:tc>
          <w:tcPr>
            <w:tcW w:w="1407" w:type="pct"/>
            <w:vMerge/>
            <w:shd w:val="clear" w:color="auto" w:fill="auto"/>
          </w:tcPr>
          <w:p w14:paraId="170F9FCB" w14:textId="77777777" w:rsidR="00C210E1" w:rsidRPr="000D039B" w:rsidRDefault="00C210E1" w:rsidP="00D76FC6">
            <w:pPr>
              <w:tabs>
                <w:tab w:val="num" w:pos="900"/>
              </w:tabs>
              <w:contextualSpacing/>
            </w:pPr>
          </w:p>
        </w:tc>
        <w:tc>
          <w:tcPr>
            <w:tcW w:w="736" w:type="pct"/>
            <w:shd w:val="clear" w:color="auto" w:fill="auto"/>
          </w:tcPr>
          <w:p w14:paraId="4D71FEFE" w14:textId="77777777" w:rsidR="00C210E1" w:rsidRPr="000D039B" w:rsidRDefault="00C210E1" w:rsidP="00D76FC6">
            <w:pPr>
              <w:tabs>
                <w:tab w:val="num" w:pos="900"/>
              </w:tabs>
              <w:contextualSpacing/>
            </w:pPr>
            <w:r w:rsidRPr="000D039B">
              <w:t>Long</w:t>
            </w:r>
          </w:p>
        </w:tc>
        <w:tc>
          <w:tcPr>
            <w:tcW w:w="1429" w:type="pct"/>
            <w:shd w:val="clear" w:color="auto" w:fill="auto"/>
          </w:tcPr>
          <w:p w14:paraId="295044B8" w14:textId="77777777" w:rsidR="00C210E1" w:rsidRPr="000D039B" w:rsidRDefault="00C210E1" w:rsidP="006A7368">
            <w:pPr>
              <w:tabs>
                <w:tab w:val="num" w:pos="900"/>
              </w:tabs>
              <w:contextualSpacing/>
              <w:jc w:val="center"/>
            </w:pPr>
          </w:p>
        </w:tc>
        <w:tc>
          <w:tcPr>
            <w:tcW w:w="1428" w:type="pct"/>
            <w:shd w:val="clear" w:color="auto" w:fill="auto"/>
          </w:tcPr>
          <w:p w14:paraId="076916A5" w14:textId="77777777" w:rsidR="00C210E1" w:rsidRPr="000D039B" w:rsidRDefault="00C210E1" w:rsidP="006A7368">
            <w:pPr>
              <w:tabs>
                <w:tab w:val="num" w:pos="900"/>
              </w:tabs>
              <w:contextualSpacing/>
              <w:jc w:val="center"/>
            </w:pPr>
          </w:p>
        </w:tc>
      </w:tr>
    </w:tbl>
    <w:p w14:paraId="5935FBED" w14:textId="77777777" w:rsidR="00C210E1" w:rsidRDefault="00C210E1" w:rsidP="00C210E1">
      <w:pPr>
        <w:tabs>
          <w:tab w:val="num" w:pos="900"/>
        </w:tabs>
        <w:contextualSpacing/>
        <w:rPr>
          <w:b/>
        </w:rPr>
      </w:pPr>
    </w:p>
    <w:p w14:paraId="3F030260" w14:textId="77777777" w:rsidR="00CA557D" w:rsidRDefault="00CA557D" w:rsidP="00E30717">
      <w:pPr>
        <w:ind w:left="720"/>
        <w:rPr>
          <w:b/>
        </w:rPr>
      </w:pPr>
      <w:r w:rsidRPr="008B019A">
        <w:rPr>
          <w:b/>
        </w:rPr>
        <w:t>Analysis Plan</w:t>
      </w:r>
    </w:p>
    <w:p w14:paraId="717EE1E2" w14:textId="77777777" w:rsidR="00282179" w:rsidRPr="002A6AB0" w:rsidRDefault="00282179" w:rsidP="00E30717">
      <w:pPr>
        <w:spacing w:line="276" w:lineRule="auto"/>
        <w:ind w:left="720"/>
        <w:rPr>
          <w:b/>
        </w:rPr>
      </w:pPr>
    </w:p>
    <w:p w14:paraId="43F64EC4" w14:textId="77777777" w:rsidR="00D533E6" w:rsidRDefault="002A1D6D" w:rsidP="00E30717">
      <w:pPr>
        <w:ind w:left="720"/>
      </w:pPr>
      <w:r w:rsidRPr="002A1D6D">
        <w:t xml:space="preserve">During descriptive analysis, </w:t>
      </w:r>
      <w:r w:rsidR="00D533E6" w:rsidRPr="002D071B">
        <w:t xml:space="preserve">we will compute fixation data for each participant while they view a drug ad. </w:t>
      </w:r>
      <w:r w:rsidR="00D533E6">
        <w:t xml:space="preserve">By comparing fixation data across participants and ad designs, we aim to describe how the presence and absence of ad features affect attention to the ad overall.  </w:t>
      </w:r>
      <w:r w:rsidR="00D533E6" w:rsidRPr="002D071B">
        <w:t>In addition to reporting descriptive statistics</w:t>
      </w:r>
      <w:r w:rsidR="00D533E6">
        <w:t xml:space="preserve"> on fixation outcomes, fixation data may also be used to categorize respondents into low, medium and high levels of attention for the purposes of cross-tabulation.  </w:t>
      </w:r>
    </w:p>
    <w:p w14:paraId="61EF6620" w14:textId="77777777" w:rsidR="00D533E6" w:rsidRDefault="00D533E6" w:rsidP="00E30717">
      <w:pPr>
        <w:ind w:left="720"/>
      </w:pPr>
    </w:p>
    <w:p w14:paraId="5B388A18" w14:textId="3EDB2A13" w:rsidR="00D533E6" w:rsidRPr="002D071B" w:rsidRDefault="00D533E6" w:rsidP="00E30717">
      <w:pPr>
        <w:ind w:left="720"/>
      </w:pPr>
      <w:r>
        <w:t>H</w:t>
      </w:r>
      <w:r w:rsidRPr="002D071B">
        <w:t xml:space="preserve">eatmaps will be used as a visual tool for analyzing data across multiple participants. Heatmaps provide summaries of the number of fixations </w:t>
      </w:r>
      <w:r>
        <w:t>and</w:t>
      </w:r>
      <w:r w:rsidRPr="002D071B">
        <w:t xml:space="preserve"> time spent fixating in specific areas</w:t>
      </w:r>
      <w:r>
        <w:t xml:space="preserve"> for each participant and across participants</w:t>
      </w:r>
      <w:r w:rsidRPr="002D071B">
        <w:t>. For our purposes, we anticipate creating heatmaps to show where participants fixate the most as a measure of the attention they pay to ad elements. We will use them to display the distribution of fixation</w:t>
      </w:r>
      <w:r>
        <w:t>s and fixation</w:t>
      </w:r>
      <w:r w:rsidRPr="002D071B">
        <w:t xml:space="preserve"> durations over the ads and for specific Areas of Interest (AOI) defined within the ads.</w:t>
      </w:r>
      <w:r>
        <w:t xml:space="preserve"> </w:t>
      </w:r>
    </w:p>
    <w:p w14:paraId="26E874F2" w14:textId="77777777" w:rsidR="00D533E6" w:rsidRDefault="00D533E6" w:rsidP="00E30717">
      <w:pPr>
        <w:ind w:left="720"/>
      </w:pPr>
    </w:p>
    <w:p w14:paraId="2316B335" w14:textId="77777777" w:rsidR="00D533E6" w:rsidRDefault="00D533E6" w:rsidP="00E30717">
      <w:pPr>
        <w:ind w:left="720"/>
      </w:pPr>
      <w:r w:rsidRPr="002D071B">
        <w:t>Gazeplots are also useful primarily for understanding the sequence of gaze fixation for single individuals; they also indicate how long each fixation lasts. We plan to use gazeplot sequence as an indicator of how participants process the ad and its components. We will examine these to identify general patterns across participants and how those relate to ad type and questionnaire measures.</w:t>
      </w:r>
    </w:p>
    <w:p w14:paraId="44946E2D" w14:textId="77777777" w:rsidR="0097740B" w:rsidRPr="002A1D6D" w:rsidRDefault="0097740B" w:rsidP="00E30717">
      <w:pPr>
        <w:spacing w:after="240"/>
        <w:ind w:left="720" w:firstLine="720"/>
        <w:contextualSpacing/>
        <w:rPr>
          <w:highlight w:val="yellow"/>
        </w:rPr>
      </w:pPr>
    </w:p>
    <w:p w14:paraId="3F73B2DF" w14:textId="2D26F360" w:rsidR="00402FA5" w:rsidRDefault="00D533E6" w:rsidP="00E30717">
      <w:pPr>
        <w:spacing w:after="240"/>
        <w:ind w:left="720"/>
        <w:contextualSpacing/>
      </w:pPr>
      <w:r>
        <w:t xml:space="preserve">Frequency distributions will be calculated for our survey questions.  </w:t>
      </w:r>
      <w:r w:rsidR="000A6F1C">
        <w:t>W</w:t>
      </w:r>
      <w:r w:rsidR="00BD66AF" w:rsidRPr="002A1D6D">
        <w:t xml:space="preserve">e will test hypothesized relationships by conducting </w:t>
      </w:r>
      <w:r w:rsidR="00402FA5" w:rsidRPr="00402FA5">
        <w:t>chi-square tests</w:t>
      </w:r>
      <w:r w:rsidR="000A6F1C">
        <w:t xml:space="preserve"> and logistic regressions</w:t>
      </w:r>
      <w:r w:rsidR="00402FA5" w:rsidRPr="00402FA5">
        <w:t xml:space="preserve"> for categorical outcomes and t-tests </w:t>
      </w:r>
      <w:r w:rsidR="00067D63">
        <w:t xml:space="preserve">and ANOVAs </w:t>
      </w:r>
      <w:r w:rsidR="00402FA5" w:rsidRPr="00402FA5">
        <w:t xml:space="preserve">for continuous outcomes. </w:t>
      </w:r>
    </w:p>
    <w:p w14:paraId="3A79B4A3" w14:textId="77777777" w:rsidR="00D2339E" w:rsidRPr="00402FA5" w:rsidRDefault="00D2339E" w:rsidP="00E30717">
      <w:pPr>
        <w:spacing w:after="240"/>
        <w:ind w:left="720" w:firstLine="720"/>
        <w:contextualSpacing/>
      </w:pPr>
    </w:p>
    <w:p w14:paraId="54A1DE11" w14:textId="3B0221A8" w:rsidR="00402FA5" w:rsidRDefault="00D2339E" w:rsidP="00E30717">
      <w:pPr>
        <w:spacing w:after="240"/>
        <w:ind w:left="720"/>
        <w:contextualSpacing/>
      </w:pPr>
      <w:r>
        <w:t>We</w:t>
      </w:r>
      <w:r w:rsidR="00402FA5" w:rsidRPr="00402FA5">
        <w:t xml:space="preserve"> will define a set of planned contrasts to address specific research questions and hypotheses</w:t>
      </w:r>
      <w:r>
        <w:t>, conducting these</w:t>
      </w:r>
      <w:r w:rsidR="000933B1" w:rsidRPr="002A1D6D">
        <w:t xml:space="preserve"> planned comparisons based on hypothesized relationships </w:t>
      </w:r>
      <w:r w:rsidR="000933B1">
        <w:t xml:space="preserve">or post-hoc comparisons </w:t>
      </w:r>
      <w:r w:rsidR="000933B1" w:rsidRPr="002A1D6D">
        <w:t>to identify significant differences between specific experimental groups.</w:t>
      </w:r>
      <w:r w:rsidR="00B92C62">
        <w:t xml:space="preserve"> </w:t>
      </w:r>
      <w:r w:rsidR="00402FA5" w:rsidRPr="00402FA5">
        <w:t xml:space="preserve">To adjust for multiple comparisons, we will apply a post-hoc family-wise error-rate adjustment, such as a Bonferroni correction. If assumptions are violated for the ANOVA or categorical models mentioned above, nonparametric tests will be employed, such as the Kruskal-Wallis for independent samples or Welch’s ANOVA. </w:t>
      </w:r>
    </w:p>
    <w:p w14:paraId="2B865BFD" w14:textId="77777777" w:rsidR="00D2339E" w:rsidRPr="00402FA5" w:rsidRDefault="00D2339E" w:rsidP="00E30717">
      <w:pPr>
        <w:spacing w:after="240"/>
        <w:ind w:left="720" w:firstLine="720"/>
        <w:contextualSpacing/>
      </w:pPr>
    </w:p>
    <w:p w14:paraId="7EF71ACB" w14:textId="77777777" w:rsidR="00CA557D" w:rsidRPr="006E688A" w:rsidRDefault="00CA557D" w:rsidP="00E30717">
      <w:pPr>
        <w:ind w:left="720"/>
        <w:rPr>
          <w:b/>
        </w:rPr>
      </w:pPr>
      <w:r w:rsidRPr="00821AA1">
        <w:rPr>
          <w:b/>
        </w:rPr>
        <w:t>Power</w:t>
      </w:r>
    </w:p>
    <w:p w14:paraId="2A4858ED" w14:textId="71EC5C30" w:rsidR="00F46038" w:rsidRPr="006E688A" w:rsidRDefault="00F46038" w:rsidP="00E30717">
      <w:pPr>
        <w:ind w:left="720"/>
      </w:pPr>
    </w:p>
    <w:p w14:paraId="1EAC3334" w14:textId="2A6C0669" w:rsidR="00E95555" w:rsidRDefault="00E95555" w:rsidP="00E30717">
      <w:pPr>
        <w:ind w:left="720"/>
      </w:pPr>
      <w:r w:rsidRPr="004440CC">
        <w:t xml:space="preserve">We conducted </w:t>
      </w:r>
      <w:r w:rsidRPr="00E95555">
        <w:rPr>
          <w:i/>
        </w:rPr>
        <w:t>a priori</w:t>
      </w:r>
      <w:r w:rsidRPr="004440CC">
        <w:t xml:space="preserve"> power analyses to ensure </w:t>
      </w:r>
      <w:r>
        <w:t xml:space="preserve">we obtained </w:t>
      </w:r>
      <w:r w:rsidRPr="004440CC">
        <w:t xml:space="preserve">a sufficient sample to detect </w:t>
      </w:r>
      <w:r w:rsidRPr="00E95555">
        <w:rPr>
          <w:rFonts w:eastAsia="Calibri"/>
        </w:rPr>
        <w:t>statistically significant differences in the outcome measures of interest across the different experimental conditions</w:t>
      </w:r>
      <w:r w:rsidRPr="004440CC">
        <w:t xml:space="preserve">. </w:t>
      </w:r>
      <w:r w:rsidRPr="00E95555">
        <w:rPr>
          <w:rFonts w:eastAsia="Calibri"/>
        </w:rPr>
        <w:t xml:space="preserve">The pretest, assuming the need for power of .80, alpha probability of .05, and a </w:t>
      </w:r>
      <w:r w:rsidR="00B37FB5">
        <w:rPr>
          <w:rFonts w:eastAsia="Calibri"/>
        </w:rPr>
        <w:t>medium</w:t>
      </w:r>
      <w:r w:rsidRPr="00E95555">
        <w:rPr>
          <w:rFonts w:eastAsia="Calibri"/>
        </w:rPr>
        <w:t xml:space="preserve"> effect size (</w:t>
      </w:r>
      <w:r w:rsidRPr="00E95555">
        <w:rPr>
          <w:rFonts w:eastAsia="Calibri"/>
          <w:i/>
        </w:rPr>
        <w:t>f</w:t>
      </w:r>
      <w:r w:rsidRPr="004440CC">
        <w:t xml:space="preserve"> = .</w:t>
      </w:r>
      <w:r w:rsidR="00B37FB5">
        <w:t>25</w:t>
      </w:r>
      <w:r w:rsidRPr="004440CC">
        <w:t>)</w:t>
      </w:r>
      <w:r w:rsidRPr="00E95555">
        <w:rPr>
          <w:rFonts w:eastAsia="Calibri"/>
        </w:rPr>
        <w:t xml:space="preserve">, </w:t>
      </w:r>
      <w:r w:rsidR="00AD735D">
        <w:rPr>
          <w:rFonts w:eastAsia="Calibri"/>
        </w:rPr>
        <w:t>will</w:t>
      </w:r>
      <w:r w:rsidRPr="00E95555">
        <w:rPr>
          <w:rFonts w:eastAsia="Calibri"/>
        </w:rPr>
        <w:t xml:space="preserve"> require a sample of </w:t>
      </w:r>
      <w:r w:rsidR="00D533E6">
        <w:rPr>
          <w:rFonts w:eastAsia="Calibri"/>
        </w:rPr>
        <w:t>40</w:t>
      </w:r>
      <w:r w:rsidRPr="00E95555">
        <w:rPr>
          <w:rFonts w:eastAsia="Calibri"/>
        </w:rPr>
        <w:t xml:space="preserve"> participants. For the main studies, given the experimental design and assuming a power of .90, alpha of .05, and </w:t>
      </w:r>
      <w:r w:rsidR="00B37FB5">
        <w:rPr>
          <w:rFonts w:eastAsia="Calibri"/>
        </w:rPr>
        <w:t>medium</w:t>
      </w:r>
      <w:r w:rsidRPr="00E95555">
        <w:rPr>
          <w:rFonts w:eastAsia="Calibri"/>
        </w:rPr>
        <w:t xml:space="preserve"> effect size (</w:t>
      </w:r>
      <w:r w:rsidRPr="00E95555">
        <w:rPr>
          <w:rFonts w:eastAsia="Calibri"/>
          <w:i/>
        </w:rPr>
        <w:t>f</w:t>
      </w:r>
      <w:r w:rsidRPr="00E95555">
        <w:rPr>
          <w:rFonts w:eastAsia="Calibri"/>
        </w:rPr>
        <w:t xml:space="preserve"> = .</w:t>
      </w:r>
      <w:r w:rsidR="00B37FB5">
        <w:rPr>
          <w:rFonts w:eastAsia="Calibri"/>
        </w:rPr>
        <w:t>25</w:t>
      </w:r>
      <w:r w:rsidRPr="00E95555">
        <w:rPr>
          <w:rFonts w:eastAsia="Calibri"/>
        </w:rPr>
        <w:t xml:space="preserve">), we </w:t>
      </w:r>
      <w:r w:rsidR="00AD735D">
        <w:rPr>
          <w:rFonts w:eastAsia="Calibri"/>
        </w:rPr>
        <w:t>propose</w:t>
      </w:r>
      <w:r w:rsidRPr="00E95555">
        <w:rPr>
          <w:rFonts w:eastAsia="Calibri"/>
        </w:rPr>
        <w:t xml:space="preserve"> obtaining a sample of </w:t>
      </w:r>
      <w:r w:rsidR="00D533E6">
        <w:rPr>
          <w:rFonts w:eastAsia="Calibri"/>
        </w:rPr>
        <w:t>200</w:t>
      </w:r>
      <w:r w:rsidRPr="00E95555">
        <w:rPr>
          <w:rFonts w:eastAsia="Calibri"/>
        </w:rPr>
        <w:t xml:space="preserve"> participants for each study (total </w:t>
      </w:r>
      <w:r w:rsidRPr="00E95555">
        <w:rPr>
          <w:rFonts w:eastAsia="Calibri"/>
          <w:i/>
        </w:rPr>
        <w:t>N</w:t>
      </w:r>
      <w:r w:rsidRPr="004440CC">
        <w:t xml:space="preserve"> = </w:t>
      </w:r>
      <w:r w:rsidR="00D533E6">
        <w:t>400</w:t>
      </w:r>
      <w:r w:rsidRPr="004440CC">
        <w:t>).</w:t>
      </w:r>
    </w:p>
    <w:p w14:paraId="60BC827B" w14:textId="7B2D3077" w:rsidR="00E95555" w:rsidRDefault="00E95555">
      <w:pPr>
        <w:pStyle w:val="ListParagraph"/>
        <w:ind w:left="630"/>
      </w:pPr>
    </w:p>
    <w:p w14:paraId="545524AB" w14:textId="5DBF2E5F" w:rsidR="00E30717" w:rsidRPr="00E30717" w:rsidRDefault="00E30717" w:rsidP="00E30717">
      <w:pPr>
        <w:pStyle w:val="ListParagraph"/>
        <w:numPr>
          <w:ilvl w:val="0"/>
          <w:numId w:val="17"/>
        </w:numPr>
        <w:rPr>
          <w:u w:val="single"/>
        </w:rPr>
      </w:pPr>
      <w:r w:rsidRPr="00E30717">
        <w:rPr>
          <w:u w:val="single"/>
        </w:rPr>
        <w:t>Methods to Maximize Response Rates and Deal with Non-Response</w:t>
      </w:r>
    </w:p>
    <w:p w14:paraId="616CA782" w14:textId="77777777" w:rsidR="00E30717" w:rsidRDefault="00E30717" w:rsidP="00E30717">
      <w:pPr>
        <w:ind w:left="630"/>
        <w:contextualSpacing/>
        <w:rPr>
          <w:u w:val="single"/>
        </w:rPr>
      </w:pPr>
    </w:p>
    <w:p w14:paraId="20631BF1" w14:textId="77777777" w:rsidR="00E30717" w:rsidRDefault="00E30717" w:rsidP="00E30717">
      <w:pPr>
        <w:ind w:left="720"/>
      </w:pPr>
      <w:r>
        <w:rPr>
          <w:color w:val="000000"/>
        </w:rPr>
        <w:t xml:space="preserve">Both the pretest and main studies will be administered in person, with responses recorded electronically. </w:t>
      </w:r>
      <w:r>
        <w:t xml:space="preserve">We plan to recruit using $50 incentives, which are below market-rate (typically $100 for a 60-minute study).  </w:t>
      </w:r>
      <w:r>
        <w:rPr>
          <w:color w:val="000000"/>
        </w:rPr>
        <w:t>To help ensure that the participation rate is as high as possible</w:t>
      </w:r>
      <w:r>
        <w:t>, FDA and the contractor will:</w:t>
      </w:r>
    </w:p>
    <w:p w14:paraId="1533ADBE" w14:textId="77777777" w:rsidR="00E30717" w:rsidRDefault="00E30717" w:rsidP="00E30717">
      <w:pPr>
        <w:ind w:left="720" w:firstLine="630"/>
      </w:pPr>
    </w:p>
    <w:p w14:paraId="7A9D068C" w14:textId="77777777" w:rsidR="00E30717" w:rsidRDefault="00E30717" w:rsidP="00E30717">
      <w:pPr>
        <w:pStyle w:val="ListParagraph"/>
        <w:numPr>
          <w:ilvl w:val="0"/>
          <w:numId w:val="22"/>
        </w:numPr>
        <w:tabs>
          <w:tab w:val="left" w:pos="1080"/>
        </w:tabs>
        <w:ind w:left="720" w:hanging="360"/>
      </w:pPr>
      <w:r>
        <w:t xml:space="preserve">Design a protocol that minimizes burden (reasonable in length, clearly written, and with appealing graphics); </w:t>
      </w:r>
    </w:p>
    <w:p w14:paraId="75110F5C" w14:textId="77777777" w:rsidR="00E30717" w:rsidRDefault="00E30717" w:rsidP="00E30717">
      <w:pPr>
        <w:numPr>
          <w:ilvl w:val="0"/>
          <w:numId w:val="23"/>
        </w:numPr>
        <w:autoSpaceDE w:val="0"/>
        <w:autoSpaceDN w:val="0"/>
      </w:pPr>
      <w:r>
        <w:t>Send a confirmation email automatically to each participant with details about the study, appointment time/length, contact details, and directions to the test location once an appointment has been scheduled;</w:t>
      </w:r>
    </w:p>
    <w:p w14:paraId="2A8728D8" w14:textId="77777777" w:rsidR="00E30717" w:rsidRDefault="00E30717" w:rsidP="00E30717">
      <w:pPr>
        <w:numPr>
          <w:ilvl w:val="0"/>
          <w:numId w:val="23"/>
        </w:numPr>
        <w:autoSpaceDE w:val="0"/>
        <w:autoSpaceDN w:val="0"/>
      </w:pPr>
      <w:r>
        <w:t>Call to remind each participant of the appointment and to answer any questions or concerns that he or she may have regarding the study a short time before the actual test date;</w:t>
      </w:r>
    </w:p>
    <w:p w14:paraId="1E36BA04" w14:textId="77777777" w:rsidR="00E30717" w:rsidRDefault="00E30717" w:rsidP="00E30717">
      <w:pPr>
        <w:numPr>
          <w:ilvl w:val="0"/>
          <w:numId w:val="23"/>
        </w:numPr>
        <w:autoSpaceDE w:val="0"/>
        <w:autoSpaceDN w:val="0"/>
        <w:spacing w:before="100" w:beforeAutospacing="1"/>
      </w:pPr>
      <w:r>
        <w:t xml:space="preserve">Offer some session time slots outside of “regular” business hours, to accommodate attendance for those whose work schedules limit their availability; and   </w:t>
      </w:r>
    </w:p>
    <w:p w14:paraId="348AF33C" w14:textId="77777777" w:rsidR="00E30717" w:rsidRDefault="00E30717" w:rsidP="00E30717">
      <w:pPr>
        <w:numPr>
          <w:ilvl w:val="0"/>
          <w:numId w:val="23"/>
        </w:numPr>
        <w:autoSpaceDE w:val="0"/>
        <w:autoSpaceDN w:val="0"/>
      </w:pPr>
      <w:r>
        <w:t xml:space="preserve">Provide participants with a call-in number for a study representative, so that if an event occurs that interferes with their scheduled session time, they can call to reschedule.  </w:t>
      </w:r>
    </w:p>
    <w:p w14:paraId="51A21F16" w14:textId="77777777" w:rsidR="00E30717" w:rsidRDefault="00E30717" w:rsidP="00E30717">
      <w:pPr>
        <w:autoSpaceDE w:val="0"/>
        <w:autoSpaceDN w:val="0"/>
        <w:ind w:left="720"/>
      </w:pPr>
    </w:p>
    <w:p w14:paraId="3F0BF32F" w14:textId="538F641C" w:rsidR="00E30717" w:rsidRDefault="00E30717" w:rsidP="00E30717">
      <w:pPr>
        <w:autoSpaceDE w:val="0"/>
        <w:autoSpaceDN w:val="0"/>
        <w:adjustRightInd w:val="0"/>
        <w:ind w:left="720"/>
        <w:contextualSpacing/>
        <w:rPr>
          <w:color w:val="000000"/>
        </w:rPr>
      </w:pPr>
      <w:r>
        <w:t>Participants in the pretest and main studies will be convenience samples, rather than probability-based samples of U.S. adults. The strength of the experimental design used in this study lies in its internal validity, on which meaningful estimates of differences across manipulated conditions can be produced and generalized. This is a counterpoint to observational survey methodologies where estimating population parameters is the primary focus of statistical analysis. The recruitment procedures in this study are not intended to fit the criteria for survey sampling, where each unit in the sampling frame has an equal probability of being selected to participate.</w:t>
      </w:r>
    </w:p>
    <w:p w14:paraId="11F504D2" w14:textId="77FE77A1" w:rsidR="00CA557D" w:rsidRPr="0032472E" w:rsidRDefault="00CA557D" w:rsidP="00E30717">
      <w:pPr>
        <w:pStyle w:val="ListParagraph"/>
        <w:numPr>
          <w:ilvl w:val="0"/>
          <w:numId w:val="20"/>
        </w:numPr>
        <w:spacing w:before="100" w:beforeAutospacing="1" w:after="100" w:afterAutospacing="1"/>
        <w:ind w:left="720"/>
        <w:rPr>
          <w:u w:val="single"/>
        </w:rPr>
      </w:pPr>
      <w:r w:rsidRPr="0032472E">
        <w:rPr>
          <w:u w:val="single"/>
        </w:rPr>
        <w:t>Test of Procedures or Methods to be Undertaken</w:t>
      </w:r>
    </w:p>
    <w:p w14:paraId="7FC6A2E9" w14:textId="52EAA7DF" w:rsidR="00CA557D" w:rsidRDefault="00E728AA" w:rsidP="00E30717">
      <w:pPr>
        <w:ind w:left="720"/>
        <w:contextualSpacing/>
      </w:pPr>
      <w:r>
        <w:t>Nine c</w:t>
      </w:r>
      <w:r w:rsidR="00444633">
        <w:t xml:space="preserve">ognitive interviews </w:t>
      </w:r>
      <w:r w:rsidR="003B212C">
        <w:t>were</w:t>
      </w:r>
      <w:r w:rsidR="00444633">
        <w:t xml:space="preserve"> conducted </w:t>
      </w:r>
      <w:r>
        <w:t xml:space="preserve">per questionnaire </w:t>
      </w:r>
      <w:r w:rsidR="00FF72A6">
        <w:t>to assess questionnaire flow</w:t>
      </w:r>
      <w:r w:rsidR="0063543A">
        <w:t xml:space="preserve"> and wording</w:t>
      </w:r>
      <w:r w:rsidR="00444633">
        <w:t xml:space="preserve">.  </w:t>
      </w:r>
      <w:r w:rsidR="003B212C">
        <w:t>We</w:t>
      </w:r>
      <w:r w:rsidR="00444633">
        <w:t xml:space="preserve"> plan to co</w:t>
      </w:r>
      <w:r w:rsidR="00985276">
        <w:t xml:space="preserve">nduct </w:t>
      </w:r>
      <w:r w:rsidR="009D18AD">
        <w:t>one</w:t>
      </w:r>
      <w:r w:rsidR="00787D62">
        <w:t xml:space="preserve"> pretest</w:t>
      </w:r>
      <w:r w:rsidR="00444633">
        <w:t xml:space="preserve"> on a large</w:t>
      </w:r>
      <w:r w:rsidR="00787D62">
        <w:t>r scale to ensure the main studies</w:t>
      </w:r>
      <w:r w:rsidR="00444633">
        <w:t xml:space="preserve"> will run s</w:t>
      </w:r>
      <w:r w:rsidR="00181F3B">
        <w:t xml:space="preserve">moothly.  </w:t>
      </w:r>
      <w:r w:rsidR="00444633">
        <w:t xml:space="preserve">  </w:t>
      </w:r>
    </w:p>
    <w:p w14:paraId="0264AE73" w14:textId="01B8F376" w:rsidR="00CA557D" w:rsidRPr="00C749AB" w:rsidRDefault="00CA557D" w:rsidP="00E30717">
      <w:pPr>
        <w:pStyle w:val="ListParagraph"/>
        <w:numPr>
          <w:ilvl w:val="0"/>
          <w:numId w:val="20"/>
        </w:numPr>
        <w:spacing w:before="100" w:beforeAutospacing="1" w:after="100" w:afterAutospacing="1"/>
        <w:ind w:left="720"/>
      </w:pPr>
      <w:r w:rsidRPr="0032472E">
        <w:rPr>
          <w:u w:val="single"/>
        </w:rPr>
        <w:t>Individuals Consulted on Statistical Aspects and Individuals Collecting and/or Analyzing Data</w:t>
      </w:r>
    </w:p>
    <w:p w14:paraId="6AF0A2F2" w14:textId="2CB0ECE2" w:rsidR="003E7CB2" w:rsidRDefault="00CA557D" w:rsidP="00E30717">
      <w:pPr>
        <w:spacing w:before="100" w:beforeAutospacing="1" w:after="100" w:afterAutospacing="1"/>
        <w:ind w:left="720"/>
        <w:contextualSpacing/>
      </w:pPr>
      <w:r w:rsidRPr="000F1691">
        <w:t xml:space="preserve">The contractor, </w:t>
      </w:r>
      <w:r w:rsidR="006A7368">
        <w:t>Westat, Inc.</w:t>
      </w:r>
      <w:r w:rsidRPr="000F1691">
        <w:t>,</w:t>
      </w:r>
      <w:r>
        <w:t xml:space="preserve"> will collect and analyze</w:t>
      </w:r>
      <w:r w:rsidRPr="000F1691">
        <w:t xml:space="preserve"> </w:t>
      </w:r>
      <w:r>
        <w:t xml:space="preserve">the data </w:t>
      </w:r>
      <w:r w:rsidRPr="000F1691">
        <w:t>on behalf of FDA as a task order under Contract HHSF223</w:t>
      </w:r>
      <w:r w:rsidR="000F73D3">
        <w:t>201</w:t>
      </w:r>
      <w:r w:rsidR="0063543A">
        <w:t>51000</w:t>
      </w:r>
      <w:r w:rsidR="006A7368">
        <w:t>1</w:t>
      </w:r>
      <w:r w:rsidR="0063543A">
        <w:t>B</w:t>
      </w:r>
      <w:r w:rsidRPr="000F1691">
        <w:t xml:space="preserve">. </w:t>
      </w:r>
      <w:r w:rsidR="006A7368">
        <w:t>Jennifer Crafts</w:t>
      </w:r>
      <w:r>
        <w:t>, Ph.D</w:t>
      </w:r>
      <w:r w:rsidRPr="00423C0D">
        <w:t>.</w:t>
      </w:r>
      <w:r w:rsidR="00C816ED">
        <w:t>,</w:t>
      </w:r>
      <w:r w:rsidRPr="00423C0D">
        <w:t xml:space="preserve"> </w:t>
      </w:r>
      <w:r w:rsidR="006A7368">
        <w:t>301-610-4881</w:t>
      </w:r>
      <w:r w:rsidRPr="00423C0D">
        <w:rPr>
          <w:noProof/>
        </w:rPr>
        <w:t xml:space="preserve">, </w:t>
      </w:r>
      <w:r w:rsidRPr="00423C0D">
        <w:t>is the Project Director for this project</w:t>
      </w:r>
      <w:r w:rsidRPr="00423C0D">
        <w:rPr>
          <w:noProof/>
        </w:rPr>
        <w:t xml:space="preserve">. </w:t>
      </w:r>
      <w:r w:rsidRPr="000F1691">
        <w:rPr>
          <w:noProof/>
        </w:rPr>
        <w:t>Data</w:t>
      </w:r>
      <w:r w:rsidRPr="000F1691">
        <w:rPr>
          <w:noProof/>
          <w:color w:val="000080"/>
        </w:rPr>
        <w:t xml:space="preserve"> </w:t>
      </w:r>
      <w:r w:rsidRPr="000F1691">
        <w:t>analysis will be overseen by</w:t>
      </w:r>
      <w:r>
        <w:t xml:space="preserve"> the Research Team, Office of Prescription Drug Promotion (OPDP), Office of Medical Policy</w:t>
      </w:r>
      <w:r w:rsidR="00752A40">
        <w:t xml:space="preserve"> (OMP)</w:t>
      </w:r>
      <w:r>
        <w:t xml:space="preserve">, CDER, FDA, and coordinated by </w:t>
      </w:r>
      <w:r w:rsidR="006A7368">
        <w:t>Kathryn J. Aikin</w:t>
      </w:r>
      <w:r w:rsidR="00C816ED">
        <w:t>, Ph.D., 301-79</w:t>
      </w:r>
      <w:r w:rsidR="00D05FD9">
        <w:t>6-05</w:t>
      </w:r>
      <w:r w:rsidR="006A7368">
        <w:t>69</w:t>
      </w:r>
      <w:r w:rsidR="00FC728D">
        <w:t>,</w:t>
      </w:r>
      <w:r w:rsidR="00C816ED">
        <w:t xml:space="preserve"> and </w:t>
      </w:r>
      <w:r w:rsidR="006A7368">
        <w:t>Helen W. Sullivan</w:t>
      </w:r>
      <w:r>
        <w:t>, Ph.D</w:t>
      </w:r>
      <w:r w:rsidRPr="00976C58">
        <w:t>.,</w:t>
      </w:r>
      <w:r w:rsidR="006A7368">
        <w:t xml:space="preserve"> M.P.H, 301-796-</w:t>
      </w:r>
      <w:r w:rsidR="009D18AD">
        <w:t>4188</w:t>
      </w:r>
      <w:r>
        <w:t>.</w:t>
      </w:r>
    </w:p>
    <w:sectPr w:rsidR="003E7CB2" w:rsidSect="00852CDF">
      <w:headerReference w:type="default" r:id="rId9"/>
      <w:footerReference w:type="even" r:id="rId10"/>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27C1C7" w14:textId="77777777" w:rsidR="00DE408A" w:rsidRDefault="00DE408A" w:rsidP="00CA557D">
      <w:r>
        <w:separator/>
      </w:r>
    </w:p>
  </w:endnote>
  <w:endnote w:type="continuationSeparator" w:id="0">
    <w:p w14:paraId="28E6C8F3" w14:textId="77777777" w:rsidR="00DE408A" w:rsidRDefault="00DE408A" w:rsidP="00CA557D">
      <w:r>
        <w:continuationSeparator/>
      </w:r>
    </w:p>
  </w:endnote>
  <w:endnote w:type="continuationNotice" w:id="1">
    <w:p w14:paraId="0309AB27" w14:textId="77777777" w:rsidR="00DE408A" w:rsidRDefault="00DE40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3DBFB" w14:textId="77777777" w:rsidR="008A538B" w:rsidRDefault="008A538B" w:rsidP="00852C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CB10BD" w14:textId="77777777" w:rsidR="008A538B" w:rsidRDefault="008A53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39BB1" w14:textId="27BD8D91" w:rsidR="008A538B" w:rsidRDefault="008A538B" w:rsidP="00852C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A3078">
      <w:rPr>
        <w:rStyle w:val="PageNumber"/>
        <w:noProof/>
      </w:rPr>
      <w:t>1</w:t>
    </w:r>
    <w:r>
      <w:rPr>
        <w:rStyle w:val="PageNumber"/>
      </w:rPr>
      <w:fldChar w:fldCharType="end"/>
    </w:r>
  </w:p>
  <w:p w14:paraId="70F8AA7E" w14:textId="77777777" w:rsidR="008A538B" w:rsidRDefault="008A53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9AE0D3" w14:textId="77777777" w:rsidR="00DE408A" w:rsidRDefault="00DE408A" w:rsidP="00CA557D">
      <w:r>
        <w:separator/>
      </w:r>
    </w:p>
  </w:footnote>
  <w:footnote w:type="continuationSeparator" w:id="0">
    <w:p w14:paraId="57739516" w14:textId="77777777" w:rsidR="00DE408A" w:rsidRDefault="00DE408A" w:rsidP="00CA557D">
      <w:r>
        <w:continuationSeparator/>
      </w:r>
    </w:p>
  </w:footnote>
  <w:footnote w:type="continuationNotice" w:id="1">
    <w:p w14:paraId="029C04C6" w14:textId="77777777" w:rsidR="00DE408A" w:rsidRDefault="00DE408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B56E24" w14:textId="77777777" w:rsidR="001E2A34" w:rsidRDefault="001E2A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20304"/>
    <w:multiLevelType w:val="hybridMultilevel"/>
    <w:tmpl w:val="B3706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A34062"/>
    <w:multiLevelType w:val="hybridMultilevel"/>
    <w:tmpl w:val="4FE0C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002856"/>
    <w:multiLevelType w:val="hybridMultilevel"/>
    <w:tmpl w:val="2B1EA6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12E06039"/>
    <w:multiLevelType w:val="multilevel"/>
    <w:tmpl w:val="154ED458"/>
    <w:numStyleLink w:val="Format4"/>
  </w:abstractNum>
  <w:abstractNum w:abstractNumId="4">
    <w:nsid w:val="199B0AED"/>
    <w:multiLevelType w:val="multilevel"/>
    <w:tmpl w:val="154ED458"/>
    <w:styleLink w:val="Format4"/>
    <w:lvl w:ilvl="0">
      <w:start w:val="1"/>
      <w:numFmt w:val="decimal"/>
      <w:pStyle w:val="Heading1"/>
      <w:lvlText w:val="%1."/>
      <w:lvlJc w:val="left"/>
      <w:pPr>
        <w:ind w:left="3240" w:hanging="360"/>
      </w:pPr>
      <w:rPr>
        <w:rFonts w:ascii="Verdana" w:hAnsi="Verdana" w:hint="default"/>
        <w:b/>
        <w:i w:val="0"/>
        <w:sz w:val="26"/>
      </w:rPr>
    </w:lvl>
    <w:lvl w:ilvl="1">
      <w:start w:val="1"/>
      <w:numFmt w:val="decimal"/>
      <w:pStyle w:val="Heading2"/>
      <w:lvlText w:val="%1.%2"/>
      <w:lvlJc w:val="left"/>
      <w:pPr>
        <w:ind w:left="720" w:hanging="720"/>
      </w:pPr>
      <w:rPr>
        <w:rFonts w:ascii="Verdana" w:hAnsi="Verdana" w:hint="default"/>
        <w:b/>
        <w:i w:val="0"/>
        <w:sz w:val="24"/>
      </w:rPr>
    </w:lvl>
    <w:lvl w:ilvl="2">
      <w:start w:val="1"/>
      <w:numFmt w:val="decimal"/>
      <w:pStyle w:val="Heading3"/>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FB80EB6"/>
    <w:multiLevelType w:val="hybridMultilevel"/>
    <w:tmpl w:val="3F227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CC2751"/>
    <w:multiLevelType w:val="hybridMultilevel"/>
    <w:tmpl w:val="EBEEA8B6"/>
    <w:lvl w:ilvl="0" w:tplc="6A383CCC">
      <w:start w:val="1"/>
      <w:numFmt w:val="upperRoman"/>
      <w:lvlText w:val="%1."/>
      <w:lvlJc w:val="left"/>
      <w:pPr>
        <w:ind w:left="720" w:hanging="720"/>
      </w:pPr>
      <w:rPr>
        <w:rFonts w:hint="default"/>
      </w:r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19">
      <w:start w:val="1"/>
      <w:numFmt w:val="lowerLetter"/>
      <w:lvlText w:val="%4."/>
      <w:lvlJc w:val="left"/>
      <w:pPr>
        <w:ind w:left="2520" w:hanging="360"/>
      </w:pPr>
    </w:lvl>
    <w:lvl w:ilvl="4" w:tplc="0409000F">
      <w:start w:val="1"/>
      <w:numFmt w:val="decimal"/>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8FD062F"/>
    <w:multiLevelType w:val="hybridMultilevel"/>
    <w:tmpl w:val="EEB071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A624E3"/>
    <w:multiLevelType w:val="hybridMultilevel"/>
    <w:tmpl w:val="B54A8118"/>
    <w:lvl w:ilvl="0" w:tplc="B4EE98C2">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5D77BDD"/>
    <w:multiLevelType w:val="hybridMultilevel"/>
    <w:tmpl w:val="9542A0B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97385B"/>
    <w:multiLevelType w:val="multilevel"/>
    <w:tmpl w:val="6870F082"/>
    <w:lvl w:ilvl="0">
      <w:start w:val="1"/>
      <w:numFmt w:val="decimal"/>
      <w:lvlText w:val="%1."/>
      <w:lvlJc w:val="left"/>
      <w:pPr>
        <w:tabs>
          <w:tab w:val="num" w:pos="630"/>
        </w:tabs>
        <w:ind w:left="6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F0948A1"/>
    <w:multiLevelType w:val="hybridMultilevel"/>
    <w:tmpl w:val="37960246"/>
    <w:lvl w:ilvl="0" w:tplc="04090001">
      <w:start w:val="1"/>
      <w:numFmt w:val="bullet"/>
      <w:lvlText w:val=""/>
      <w:lvlJc w:val="left"/>
      <w:pPr>
        <w:ind w:left="1440" w:hanging="72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2BA5810"/>
    <w:multiLevelType w:val="hybridMultilevel"/>
    <w:tmpl w:val="6158FCA6"/>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3">
    <w:nsid w:val="65C45EFC"/>
    <w:multiLevelType w:val="hybridMultilevel"/>
    <w:tmpl w:val="FD2C1BE6"/>
    <w:lvl w:ilvl="0" w:tplc="0409000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7AF6BD4"/>
    <w:multiLevelType w:val="hybridMultilevel"/>
    <w:tmpl w:val="C986D83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6EC2616C"/>
    <w:multiLevelType w:val="hybridMultilevel"/>
    <w:tmpl w:val="522A80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F183FF5"/>
    <w:multiLevelType w:val="hybridMultilevel"/>
    <w:tmpl w:val="D3E23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83F5438"/>
    <w:multiLevelType w:val="hybridMultilevel"/>
    <w:tmpl w:val="7610AF56"/>
    <w:lvl w:ilvl="0" w:tplc="78AE336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E665988"/>
    <w:multiLevelType w:val="hybridMultilevel"/>
    <w:tmpl w:val="F7D07226"/>
    <w:lvl w:ilvl="0" w:tplc="91723930">
      <w:start w:val="1"/>
      <w:numFmt w:val="bullet"/>
      <w:lvlText w:val=""/>
      <w:lvlJc w:val="left"/>
      <w:pPr>
        <w:tabs>
          <w:tab w:val="num" w:pos="720"/>
        </w:tabs>
        <w:ind w:left="720" w:hanging="360"/>
      </w:pPr>
      <w:rPr>
        <w:rFonts w:ascii="Symbol" w:hAnsi="Symbol" w:hint="default"/>
        <w:color w:val="auto"/>
        <w:sz w:val="18"/>
        <w:szCs w:val="18"/>
      </w:rPr>
    </w:lvl>
    <w:lvl w:ilvl="1" w:tplc="04090003">
      <w:start w:val="1"/>
      <w:numFmt w:val="bullet"/>
      <w:lvlText w:val=""/>
      <w:lvlJc w:val="left"/>
      <w:pPr>
        <w:tabs>
          <w:tab w:val="num" w:pos="1440"/>
        </w:tabs>
        <w:ind w:left="1440" w:hanging="360"/>
      </w:pPr>
      <w:rPr>
        <w:rFonts w:ascii="Symbol" w:hAnsi="Symbol"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F6E67CF"/>
    <w:multiLevelType w:val="hybridMultilevel"/>
    <w:tmpl w:val="7CAE7B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11"/>
  </w:num>
  <w:num w:numId="4">
    <w:abstractNumId w:val="2"/>
  </w:num>
  <w:num w:numId="5">
    <w:abstractNumId w:val="15"/>
  </w:num>
  <w:num w:numId="6">
    <w:abstractNumId w:val="4"/>
  </w:num>
  <w:num w:numId="7">
    <w:abstractNumId w:val="3"/>
  </w:num>
  <w:num w:numId="8">
    <w:abstractNumId w:val="16"/>
  </w:num>
  <w:num w:numId="9">
    <w:abstractNumId w:val="19"/>
  </w:num>
  <w:num w:numId="10">
    <w:abstractNumId w:val="8"/>
  </w:num>
  <w:num w:numId="11">
    <w:abstractNumId w:val="13"/>
  </w:num>
  <w:num w:numId="12">
    <w:abstractNumId w:val="7"/>
  </w:num>
  <w:num w:numId="13">
    <w:abstractNumId w:val="18"/>
  </w:num>
  <w:num w:numId="14">
    <w:abstractNumId w:val="5"/>
  </w:num>
  <w:num w:numId="15">
    <w:abstractNumId w:val="0"/>
  </w:num>
  <w:num w:numId="16">
    <w:abstractNumId w:val="6"/>
  </w:num>
  <w:num w:numId="17">
    <w:abstractNumId w:val="9"/>
  </w:num>
  <w:num w:numId="18">
    <w:abstractNumId w:val="12"/>
  </w:num>
  <w:num w:numId="19">
    <w:abstractNumId w:val="14"/>
  </w:num>
  <w:num w:numId="20">
    <w:abstractNumId w:val="17"/>
  </w:num>
  <w:num w:numId="21">
    <w:abstractNumId w:val="1"/>
  </w:num>
  <w:num w:numId="22">
    <w:abstractNumId w:val="11"/>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57D"/>
    <w:rsid w:val="0000253E"/>
    <w:rsid w:val="0003140A"/>
    <w:rsid w:val="00035D92"/>
    <w:rsid w:val="00067D63"/>
    <w:rsid w:val="00072B39"/>
    <w:rsid w:val="00074EED"/>
    <w:rsid w:val="000753E5"/>
    <w:rsid w:val="0007565D"/>
    <w:rsid w:val="00085C29"/>
    <w:rsid w:val="00085F3B"/>
    <w:rsid w:val="00087C35"/>
    <w:rsid w:val="000900F4"/>
    <w:rsid w:val="000933B1"/>
    <w:rsid w:val="00097FAF"/>
    <w:rsid w:val="000A6F1C"/>
    <w:rsid w:val="000C6DC7"/>
    <w:rsid w:val="000E33F2"/>
    <w:rsid w:val="000E472E"/>
    <w:rsid w:val="000F73D3"/>
    <w:rsid w:val="000F7AA6"/>
    <w:rsid w:val="0011729B"/>
    <w:rsid w:val="00134422"/>
    <w:rsid w:val="00135951"/>
    <w:rsid w:val="0013642B"/>
    <w:rsid w:val="00157FB5"/>
    <w:rsid w:val="00173EA6"/>
    <w:rsid w:val="00181F3B"/>
    <w:rsid w:val="00187029"/>
    <w:rsid w:val="001A21E3"/>
    <w:rsid w:val="001B01BF"/>
    <w:rsid w:val="001B43A6"/>
    <w:rsid w:val="001C6B82"/>
    <w:rsid w:val="001D028C"/>
    <w:rsid w:val="001E2A34"/>
    <w:rsid w:val="00211DFB"/>
    <w:rsid w:val="002314AA"/>
    <w:rsid w:val="00265EB4"/>
    <w:rsid w:val="00282179"/>
    <w:rsid w:val="002A1D6D"/>
    <w:rsid w:val="002B576B"/>
    <w:rsid w:val="002C5730"/>
    <w:rsid w:val="002D046B"/>
    <w:rsid w:val="002D13DC"/>
    <w:rsid w:val="002E0B97"/>
    <w:rsid w:val="002E5D26"/>
    <w:rsid w:val="002F0F31"/>
    <w:rsid w:val="002F4BA5"/>
    <w:rsid w:val="002F6CE9"/>
    <w:rsid w:val="0030047C"/>
    <w:rsid w:val="00302C84"/>
    <w:rsid w:val="00307250"/>
    <w:rsid w:val="00307531"/>
    <w:rsid w:val="00310D5F"/>
    <w:rsid w:val="0031211F"/>
    <w:rsid w:val="0032472E"/>
    <w:rsid w:val="0034036A"/>
    <w:rsid w:val="003439D6"/>
    <w:rsid w:val="00357349"/>
    <w:rsid w:val="00363CF7"/>
    <w:rsid w:val="0036408D"/>
    <w:rsid w:val="00382B87"/>
    <w:rsid w:val="003B212C"/>
    <w:rsid w:val="003B6518"/>
    <w:rsid w:val="003C2B5D"/>
    <w:rsid w:val="003D351D"/>
    <w:rsid w:val="003E58D6"/>
    <w:rsid w:val="003E7CB2"/>
    <w:rsid w:val="003F1AB6"/>
    <w:rsid w:val="003F6667"/>
    <w:rsid w:val="00402FA5"/>
    <w:rsid w:val="00403E48"/>
    <w:rsid w:val="00411439"/>
    <w:rsid w:val="00416282"/>
    <w:rsid w:val="00423F6C"/>
    <w:rsid w:val="00444633"/>
    <w:rsid w:val="004466A5"/>
    <w:rsid w:val="00446A2C"/>
    <w:rsid w:val="00451DF1"/>
    <w:rsid w:val="004526D6"/>
    <w:rsid w:val="004550B9"/>
    <w:rsid w:val="00457ED6"/>
    <w:rsid w:val="00473190"/>
    <w:rsid w:val="00484958"/>
    <w:rsid w:val="00486D95"/>
    <w:rsid w:val="004C1045"/>
    <w:rsid w:val="004C6BFB"/>
    <w:rsid w:val="004D06F2"/>
    <w:rsid w:val="004D1804"/>
    <w:rsid w:val="004D5F7E"/>
    <w:rsid w:val="004E3F66"/>
    <w:rsid w:val="005026ED"/>
    <w:rsid w:val="00515BD8"/>
    <w:rsid w:val="005160EC"/>
    <w:rsid w:val="00523A0D"/>
    <w:rsid w:val="0052413A"/>
    <w:rsid w:val="0052445F"/>
    <w:rsid w:val="005300DD"/>
    <w:rsid w:val="00532C9F"/>
    <w:rsid w:val="00533AA8"/>
    <w:rsid w:val="00542A94"/>
    <w:rsid w:val="00547AE7"/>
    <w:rsid w:val="00552406"/>
    <w:rsid w:val="00552D02"/>
    <w:rsid w:val="00565953"/>
    <w:rsid w:val="005872B9"/>
    <w:rsid w:val="005B5FC4"/>
    <w:rsid w:val="005D4E16"/>
    <w:rsid w:val="005E6C6A"/>
    <w:rsid w:val="005E7E7C"/>
    <w:rsid w:val="005F1773"/>
    <w:rsid w:val="005F75B5"/>
    <w:rsid w:val="0060208A"/>
    <w:rsid w:val="00604567"/>
    <w:rsid w:val="00620AEC"/>
    <w:rsid w:val="0063475B"/>
    <w:rsid w:val="0063543A"/>
    <w:rsid w:val="00640380"/>
    <w:rsid w:val="00655947"/>
    <w:rsid w:val="00672A09"/>
    <w:rsid w:val="006814CC"/>
    <w:rsid w:val="00696B2E"/>
    <w:rsid w:val="006A3A1C"/>
    <w:rsid w:val="006A7368"/>
    <w:rsid w:val="006B4F7F"/>
    <w:rsid w:val="006B7681"/>
    <w:rsid w:val="006D3FDB"/>
    <w:rsid w:val="006D5D5A"/>
    <w:rsid w:val="006D7E73"/>
    <w:rsid w:val="006E4CA1"/>
    <w:rsid w:val="006E688A"/>
    <w:rsid w:val="006F1D35"/>
    <w:rsid w:val="00702383"/>
    <w:rsid w:val="00720341"/>
    <w:rsid w:val="00723D1C"/>
    <w:rsid w:val="00732BFC"/>
    <w:rsid w:val="00742CBC"/>
    <w:rsid w:val="00746C39"/>
    <w:rsid w:val="00752A40"/>
    <w:rsid w:val="007539B3"/>
    <w:rsid w:val="0075408F"/>
    <w:rsid w:val="00760C09"/>
    <w:rsid w:val="00787D62"/>
    <w:rsid w:val="00790AD0"/>
    <w:rsid w:val="00795FCC"/>
    <w:rsid w:val="007B5B5C"/>
    <w:rsid w:val="007F3092"/>
    <w:rsid w:val="008120CD"/>
    <w:rsid w:val="00826486"/>
    <w:rsid w:val="00827736"/>
    <w:rsid w:val="008331F1"/>
    <w:rsid w:val="008335C0"/>
    <w:rsid w:val="00835A14"/>
    <w:rsid w:val="00841C8C"/>
    <w:rsid w:val="008433D4"/>
    <w:rsid w:val="00852366"/>
    <w:rsid w:val="00852CDF"/>
    <w:rsid w:val="00856C02"/>
    <w:rsid w:val="008605DD"/>
    <w:rsid w:val="00863625"/>
    <w:rsid w:val="00867E7D"/>
    <w:rsid w:val="00870AD5"/>
    <w:rsid w:val="008A2674"/>
    <w:rsid w:val="008A538B"/>
    <w:rsid w:val="008C175E"/>
    <w:rsid w:val="008C7DBD"/>
    <w:rsid w:val="008D428B"/>
    <w:rsid w:val="008D614C"/>
    <w:rsid w:val="008E00FF"/>
    <w:rsid w:val="008E2E04"/>
    <w:rsid w:val="008E7392"/>
    <w:rsid w:val="008F0C3E"/>
    <w:rsid w:val="008F30B8"/>
    <w:rsid w:val="009028C9"/>
    <w:rsid w:val="009032BE"/>
    <w:rsid w:val="009443DB"/>
    <w:rsid w:val="00976C58"/>
    <w:rsid w:val="0097740B"/>
    <w:rsid w:val="009779AE"/>
    <w:rsid w:val="00985276"/>
    <w:rsid w:val="009912A6"/>
    <w:rsid w:val="009C25DC"/>
    <w:rsid w:val="009C5007"/>
    <w:rsid w:val="009C74F7"/>
    <w:rsid w:val="009D18AD"/>
    <w:rsid w:val="009D34E6"/>
    <w:rsid w:val="009D7512"/>
    <w:rsid w:val="009E28FF"/>
    <w:rsid w:val="009E6E41"/>
    <w:rsid w:val="009F6B4E"/>
    <w:rsid w:val="009F7857"/>
    <w:rsid w:val="00A03DB5"/>
    <w:rsid w:val="00A052F4"/>
    <w:rsid w:val="00A14827"/>
    <w:rsid w:val="00A175A1"/>
    <w:rsid w:val="00A21D4C"/>
    <w:rsid w:val="00A37368"/>
    <w:rsid w:val="00A46214"/>
    <w:rsid w:val="00A528A4"/>
    <w:rsid w:val="00A56ECB"/>
    <w:rsid w:val="00A61F79"/>
    <w:rsid w:val="00A73141"/>
    <w:rsid w:val="00A750F4"/>
    <w:rsid w:val="00A81749"/>
    <w:rsid w:val="00A817B8"/>
    <w:rsid w:val="00A81BF5"/>
    <w:rsid w:val="00A8212E"/>
    <w:rsid w:val="00A8790A"/>
    <w:rsid w:val="00A945CC"/>
    <w:rsid w:val="00A95D36"/>
    <w:rsid w:val="00AA03A0"/>
    <w:rsid w:val="00AA0B66"/>
    <w:rsid w:val="00AB64CE"/>
    <w:rsid w:val="00AC17E8"/>
    <w:rsid w:val="00AD6959"/>
    <w:rsid w:val="00AD735D"/>
    <w:rsid w:val="00AE6821"/>
    <w:rsid w:val="00B0212F"/>
    <w:rsid w:val="00B078EC"/>
    <w:rsid w:val="00B16F03"/>
    <w:rsid w:val="00B239CB"/>
    <w:rsid w:val="00B2719D"/>
    <w:rsid w:val="00B27E63"/>
    <w:rsid w:val="00B364B7"/>
    <w:rsid w:val="00B37FB5"/>
    <w:rsid w:val="00B41BC9"/>
    <w:rsid w:val="00B42CD6"/>
    <w:rsid w:val="00B4529A"/>
    <w:rsid w:val="00B548DF"/>
    <w:rsid w:val="00B76943"/>
    <w:rsid w:val="00B843F4"/>
    <w:rsid w:val="00B92C62"/>
    <w:rsid w:val="00BB034A"/>
    <w:rsid w:val="00BB56FF"/>
    <w:rsid w:val="00BD3067"/>
    <w:rsid w:val="00BD66AF"/>
    <w:rsid w:val="00BE0592"/>
    <w:rsid w:val="00BF4B94"/>
    <w:rsid w:val="00C06B96"/>
    <w:rsid w:val="00C210E1"/>
    <w:rsid w:val="00C31016"/>
    <w:rsid w:val="00C465EA"/>
    <w:rsid w:val="00C61410"/>
    <w:rsid w:val="00C749AB"/>
    <w:rsid w:val="00C779FD"/>
    <w:rsid w:val="00C8062A"/>
    <w:rsid w:val="00C816ED"/>
    <w:rsid w:val="00C82FAA"/>
    <w:rsid w:val="00C95513"/>
    <w:rsid w:val="00CA465E"/>
    <w:rsid w:val="00CA557D"/>
    <w:rsid w:val="00CB0A88"/>
    <w:rsid w:val="00CB4414"/>
    <w:rsid w:val="00CB5084"/>
    <w:rsid w:val="00CB6A7E"/>
    <w:rsid w:val="00CC623A"/>
    <w:rsid w:val="00CD0271"/>
    <w:rsid w:val="00CD42EA"/>
    <w:rsid w:val="00CF3B12"/>
    <w:rsid w:val="00CF7713"/>
    <w:rsid w:val="00D05FD9"/>
    <w:rsid w:val="00D150EB"/>
    <w:rsid w:val="00D15EFA"/>
    <w:rsid w:val="00D2339E"/>
    <w:rsid w:val="00D27AB9"/>
    <w:rsid w:val="00D402C8"/>
    <w:rsid w:val="00D454A6"/>
    <w:rsid w:val="00D463DD"/>
    <w:rsid w:val="00D501DD"/>
    <w:rsid w:val="00D533E6"/>
    <w:rsid w:val="00D550F2"/>
    <w:rsid w:val="00D56E09"/>
    <w:rsid w:val="00D631DF"/>
    <w:rsid w:val="00D73460"/>
    <w:rsid w:val="00D86E4E"/>
    <w:rsid w:val="00DA51EF"/>
    <w:rsid w:val="00DC050F"/>
    <w:rsid w:val="00DC3BE2"/>
    <w:rsid w:val="00DC422C"/>
    <w:rsid w:val="00DE408A"/>
    <w:rsid w:val="00E04A08"/>
    <w:rsid w:val="00E13C7B"/>
    <w:rsid w:val="00E150E1"/>
    <w:rsid w:val="00E16C73"/>
    <w:rsid w:val="00E2642F"/>
    <w:rsid w:val="00E30717"/>
    <w:rsid w:val="00E728AA"/>
    <w:rsid w:val="00E72E0F"/>
    <w:rsid w:val="00E85613"/>
    <w:rsid w:val="00E94724"/>
    <w:rsid w:val="00E95555"/>
    <w:rsid w:val="00E9716A"/>
    <w:rsid w:val="00E97D7B"/>
    <w:rsid w:val="00EA2299"/>
    <w:rsid w:val="00EA3078"/>
    <w:rsid w:val="00EB59F5"/>
    <w:rsid w:val="00EB6226"/>
    <w:rsid w:val="00EC4F24"/>
    <w:rsid w:val="00ED7D9B"/>
    <w:rsid w:val="00EF24E2"/>
    <w:rsid w:val="00EF4E38"/>
    <w:rsid w:val="00F2157D"/>
    <w:rsid w:val="00F21CF9"/>
    <w:rsid w:val="00F228B4"/>
    <w:rsid w:val="00F300EE"/>
    <w:rsid w:val="00F35222"/>
    <w:rsid w:val="00F44E4B"/>
    <w:rsid w:val="00F46038"/>
    <w:rsid w:val="00F47AB2"/>
    <w:rsid w:val="00F53B29"/>
    <w:rsid w:val="00F73507"/>
    <w:rsid w:val="00F87C75"/>
    <w:rsid w:val="00F934C9"/>
    <w:rsid w:val="00F94131"/>
    <w:rsid w:val="00FA130E"/>
    <w:rsid w:val="00FA2BB2"/>
    <w:rsid w:val="00FA6774"/>
    <w:rsid w:val="00FB3BE0"/>
    <w:rsid w:val="00FB3E4E"/>
    <w:rsid w:val="00FB7DAE"/>
    <w:rsid w:val="00FC3DA7"/>
    <w:rsid w:val="00FC728D"/>
    <w:rsid w:val="00FF7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BA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57D"/>
    <w:rPr>
      <w:sz w:val="24"/>
      <w:szCs w:val="24"/>
    </w:rPr>
  </w:style>
  <w:style w:type="paragraph" w:styleId="Heading1">
    <w:name w:val="heading 1"/>
    <w:basedOn w:val="Normal"/>
    <w:next w:val="Normal"/>
    <w:link w:val="Heading1Char"/>
    <w:qFormat/>
    <w:rsid w:val="002A1D6D"/>
    <w:pPr>
      <w:keepNext/>
      <w:numPr>
        <w:numId w:val="7"/>
      </w:numPr>
      <w:spacing w:before="240" w:after="240"/>
      <w:jc w:val="center"/>
      <w:outlineLvl w:val="0"/>
    </w:pPr>
    <w:rPr>
      <w:rFonts w:ascii="Verdana" w:eastAsia="MS Mincho" w:hAnsi="Verdana"/>
      <w:b/>
      <w:caps/>
      <w:kern w:val="28"/>
      <w:sz w:val="26"/>
      <w:szCs w:val="28"/>
      <w:lang w:val="x-none" w:eastAsia="x-none"/>
    </w:rPr>
  </w:style>
  <w:style w:type="paragraph" w:styleId="Heading2">
    <w:name w:val="heading 2"/>
    <w:next w:val="Normal"/>
    <w:link w:val="Heading2Char"/>
    <w:qFormat/>
    <w:rsid w:val="002A1D6D"/>
    <w:pPr>
      <w:keepNext/>
      <w:keepLines/>
      <w:numPr>
        <w:ilvl w:val="1"/>
        <w:numId w:val="7"/>
      </w:numPr>
      <w:spacing w:before="240" w:after="120"/>
      <w:outlineLvl w:val="1"/>
    </w:pPr>
    <w:rPr>
      <w:rFonts w:ascii="Verdana" w:eastAsia="MS Mincho" w:hAnsi="Verdana"/>
      <w:b/>
      <w:sz w:val="24"/>
      <w:szCs w:val="24"/>
    </w:rPr>
  </w:style>
  <w:style w:type="paragraph" w:styleId="Heading3">
    <w:name w:val="heading 3"/>
    <w:next w:val="Normal"/>
    <w:link w:val="Heading3Char"/>
    <w:qFormat/>
    <w:rsid w:val="002A1D6D"/>
    <w:pPr>
      <w:keepNext/>
      <w:keepLines/>
      <w:numPr>
        <w:ilvl w:val="2"/>
        <w:numId w:val="7"/>
      </w:numPr>
      <w:spacing w:before="240" w:after="120"/>
      <w:outlineLvl w:val="2"/>
    </w:pPr>
    <w:rPr>
      <w:rFonts w:ascii="Verdana" w:eastAsia="MS Mincho" w:hAnsi="Verdan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A557D"/>
    <w:pPr>
      <w:spacing w:before="100" w:beforeAutospacing="1" w:after="100" w:afterAutospacing="1"/>
    </w:pPr>
  </w:style>
  <w:style w:type="paragraph" w:styleId="Footer">
    <w:name w:val="footer"/>
    <w:basedOn w:val="Normal"/>
    <w:link w:val="FooterChar"/>
    <w:rsid w:val="00CA557D"/>
    <w:pPr>
      <w:tabs>
        <w:tab w:val="center" w:pos="4320"/>
        <w:tab w:val="right" w:pos="8640"/>
      </w:tabs>
    </w:pPr>
  </w:style>
  <w:style w:type="character" w:customStyle="1" w:styleId="FooterChar">
    <w:name w:val="Footer Char"/>
    <w:link w:val="Footer"/>
    <w:rsid w:val="00CA557D"/>
    <w:rPr>
      <w:sz w:val="24"/>
      <w:szCs w:val="24"/>
    </w:rPr>
  </w:style>
  <w:style w:type="character" w:styleId="PageNumber">
    <w:name w:val="page number"/>
    <w:rsid w:val="00CA557D"/>
  </w:style>
  <w:style w:type="character" w:styleId="CommentReference">
    <w:name w:val="annotation reference"/>
    <w:uiPriority w:val="99"/>
    <w:rsid w:val="00CA557D"/>
    <w:rPr>
      <w:sz w:val="16"/>
      <w:szCs w:val="16"/>
    </w:rPr>
  </w:style>
  <w:style w:type="paragraph" w:styleId="CommentText">
    <w:name w:val="annotation text"/>
    <w:basedOn w:val="Normal"/>
    <w:link w:val="CommentTextChar"/>
    <w:uiPriority w:val="99"/>
    <w:rsid w:val="00CA557D"/>
    <w:rPr>
      <w:sz w:val="20"/>
      <w:szCs w:val="20"/>
    </w:rPr>
  </w:style>
  <w:style w:type="character" w:customStyle="1" w:styleId="CommentTextChar">
    <w:name w:val="Comment Text Char"/>
    <w:basedOn w:val="DefaultParagraphFont"/>
    <w:link w:val="CommentText"/>
    <w:uiPriority w:val="99"/>
    <w:rsid w:val="00CA557D"/>
  </w:style>
  <w:style w:type="paragraph" w:styleId="FootnoteText">
    <w:name w:val="footnote text"/>
    <w:basedOn w:val="Normal"/>
    <w:link w:val="FootnoteTextChar"/>
    <w:uiPriority w:val="99"/>
    <w:rsid w:val="00CA557D"/>
    <w:pPr>
      <w:widowControl w:val="0"/>
    </w:pPr>
    <w:rPr>
      <w:snapToGrid w:val="0"/>
      <w:sz w:val="20"/>
      <w:szCs w:val="20"/>
    </w:rPr>
  </w:style>
  <w:style w:type="character" w:customStyle="1" w:styleId="FootnoteTextChar">
    <w:name w:val="Footnote Text Char"/>
    <w:link w:val="FootnoteText"/>
    <w:uiPriority w:val="99"/>
    <w:rsid w:val="00CA557D"/>
    <w:rPr>
      <w:snapToGrid w:val="0"/>
    </w:rPr>
  </w:style>
  <w:style w:type="character" w:styleId="FootnoteReference">
    <w:name w:val="footnote reference"/>
    <w:uiPriority w:val="99"/>
    <w:rsid w:val="00CA557D"/>
    <w:rPr>
      <w:vertAlign w:val="superscript"/>
    </w:rPr>
  </w:style>
  <w:style w:type="paragraph" w:styleId="BalloonText">
    <w:name w:val="Balloon Text"/>
    <w:basedOn w:val="Normal"/>
    <w:link w:val="BalloonTextChar"/>
    <w:uiPriority w:val="99"/>
    <w:semiHidden/>
    <w:unhideWhenUsed/>
    <w:rsid w:val="00CA557D"/>
    <w:rPr>
      <w:rFonts w:ascii="Tahoma" w:hAnsi="Tahoma" w:cs="Tahoma"/>
      <w:sz w:val="16"/>
      <w:szCs w:val="16"/>
    </w:rPr>
  </w:style>
  <w:style w:type="character" w:customStyle="1" w:styleId="BalloonTextChar">
    <w:name w:val="Balloon Text Char"/>
    <w:link w:val="BalloonText"/>
    <w:uiPriority w:val="99"/>
    <w:semiHidden/>
    <w:rsid w:val="00CA557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C816ED"/>
    <w:rPr>
      <w:b/>
      <w:bCs/>
    </w:rPr>
  </w:style>
  <w:style w:type="character" w:customStyle="1" w:styleId="CommentSubjectChar">
    <w:name w:val="Comment Subject Char"/>
    <w:link w:val="CommentSubject"/>
    <w:uiPriority w:val="99"/>
    <w:semiHidden/>
    <w:rsid w:val="00C816ED"/>
    <w:rPr>
      <w:b/>
      <w:bCs/>
    </w:rPr>
  </w:style>
  <w:style w:type="paragraph" w:styleId="ListParagraph">
    <w:name w:val="List Paragraph"/>
    <w:basedOn w:val="Normal"/>
    <w:uiPriority w:val="34"/>
    <w:qFormat/>
    <w:rsid w:val="0052413A"/>
    <w:pPr>
      <w:ind w:left="720"/>
      <w:contextualSpacing/>
    </w:pPr>
  </w:style>
  <w:style w:type="character" w:styleId="Hyperlink">
    <w:name w:val="Hyperlink"/>
    <w:uiPriority w:val="99"/>
    <w:rsid w:val="0052413A"/>
    <w:rPr>
      <w:rFonts w:cs="Times New Roman"/>
      <w:color w:val="0000FF"/>
      <w:u w:val="single"/>
    </w:rPr>
  </w:style>
  <w:style w:type="paragraph" w:customStyle="1" w:styleId="Default">
    <w:name w:val="Default"/>
    <w:rsid w:val="008D428B"/>
    <w:pPr>
      <w:autoSpaceDE w:val="0"/>
      <w:autoSpaceDN w:val="0"/>
      <w:adjustRightInd w:val="0"/>
    </w:pPr>
    <w:rPr>
      <w:color w:val="000000"/>
      <w:sz w:val="24"/>
      <w:szCs w:val="24"/>
    </w:rPr>
  </w:style>
  <w:style w:type="table" w:customStyle="1" w:styleId="Graytablecomplex">
    <w:name w:val="Gray_table_complex"/>
    <w:basedOn w:val="TableNormal"/>
    <w:rsid w:val="006D7E73"/>
    <w:rPr>
      <w:rFonts w:ascii="Arial" w:hAnsi="Arial"/>
    </w:rPr>
    <w:tblPr>
      <w:tblBorders>
        <w:insideH w:val="single" w:sz="6" w:space="0" w:color="auto"/>
        <w:insideV w:val="single" w:sz="6" w:space="0" w:color="auto"/>
      </w:tblBorders>
    </w:tblPr>
    <w:tblStylePr w:type="firstRow">
      <w:pPr>
        <w:wordWrap/>
        <w:spacing w:beforeLines="0" w:before="0" w:beforeAutospacing="0" w:afterLines="0" w:after="0" w:afterAutospacing="0" w:line="240" w:lineRule="auto"/>
        <w:contextualSpacing w:val="0"/>
      </w:pPr>
      <w:tblPr/>
      <w:tcPr>
        <w:tcBorders>
          <w:top w:val="single" w:sz="4" w:space="0" w:color="FFFFFF" w:themeColor="background1"/>
          <w:insideV w:val="single" w:sz="4" w:space="0" w:color="FFFFFF" w:themeColor="background1"/>
        </w:tcBorders>
        <w:shd w:val="clear" w:color="auto" w:fill="0A357E"/>
      </w:tcPr>
    </w:tblStylePr>
    <w:tblStylePr w:type="lastRow">
      <w:tblPr/>
      <w:tcPr>
        <w:tcBorders>
          <w:bottom w:val="single" w:sz="12" w:space="0" w:color="auto"/>
        </w:tcBorders>
      </w:tcPr>
    </w:tblStylePr>
    <w:tblStylePr w:type="firstCol">
      <w:tblPr/>
      <w:tcPr>
        <w:shd w:val="clear" w:color="auto" w:fill="D9D9D9"/>
      </w:tcPr>
    </w:tblStylePr>
  </w:style>
  <w:style w:type="paragraph" w:customStyle="1" w:styleId="BodyText1">
    <w:name w:val="Body Text1"/>
    <w:basedOn w:val="Normal"/>
    <w:link w:val="bodytextChar"/>
    <w:rsid w:val="009D7512"/>
    <w:pPr>
      <w:spacing w:after="240" w:line="320" w:lineRule="exact"/>
      <w:ind w:firstLine="720"/>
    </w:pPr>
    <w:rPr>
      <w:sz w:val="22"/>
      <w:szCs w:val="20"/>
    </w:rPr>
  </w:style>
  <w:style w:type="character" w:customStyle="1" w:styleId="apple-converted-space">
    <w:name w:val="apple-converted-space"/>
    <w:basedOn w:val="DefaultParagraphFont"/>
    <w:rsid w:val="00F46038"/>
  </w:style>
  <w:style w:type="character" w:customStyle="1" w:styleId="highlight">
    <w:name w:val="highlight"/>
    <w:basedOn w:val="DefaultParagraphFont"/>
    <w:rsid w:val="00F46038"/>
  </w:style>
  <w:style w:type="paragraph" w:customStyle="1" w:styleId="TableTitle">
    <w:name w:val="Table Title"/>
    <w:basedOn w:val="Caption"/>
    <w:rsid w:val="00085F3B"/>
    <w:pPr>
      <w:keepNext/>
      <w:keepLines/>
      <w:spacing w:before="320" w:after="120"/>
      <w:ind w:left="1440" w:hanging="1440"/>
    </w:pPr>
    <w:rPr>
      <w:rFonts w:ascii="Verdana" w:eastAsia="MS Mincho" w:hAnsi="Verdana"/>
      <w:color w:val="auto"/>
      <w:sz w:val="20"/>
      <w:szCs w:val="20"/>
    </w:rPr>
  </w:style>
  <w:style w:type="paragraph" w:styleId="BodyText">
    <w:name w:val="Body Text"/>
    <w:basedOn w:val="Normal"/>
    <w:link w:val="BodyTextChar1"/>
    <w:rsid w:val="00085F3B"/>
    <w:pPr>
      <w:spacing w:after="160" w:line="320" w:lineRule="exact"/>
    </w:pPr>
    <w:rPr>
      <w:rFonts w:ascii="Verdana" w:eastAsia="MS Mincho" w:hAnsi="Verdana"/>
      <w:snapToGrid w:val="0"/>
      <w:sz w:val="20"/>
      <w:szCs w:val="20"/>
    </w:rPr>
  </w:style>
  <w:style w:type="character" w:customStyle="1" w:styleId="BodyTextChar0">
    <w:name w:val="Body Text Char"/>
    <w:basedOn w:val="DefaultParagraphFont"/>
    <w:uiPriority w:val="99"/>
    <w:semiHidden/>
    <w:rsid w:val="00085F3B"/>
    <w:rPr>
      <w:sz w:val="24"/>
      <w:szCs w:val="24"/>
    </w:rPr>
  </w:style>
  <w:style w:type="character" w:customStyle="1" w:styleId="BodyTextChar1">
    <w:name w:val="Body Text Char1"/>
    <w:link w:val="BodyText"/>
    <w:rsid w:val="00085F3B"/>
    <w:rPr>
      <w:rFonts w:ascii="Verdana" w:eastAsia="MS Mincho" w:hAnsi="Verdana"/>
      <w:snapToGrid w:val="0"/>
    </w:rPr>
  </w:style>
  <w:style w:type="paragraph" w:customStyle="1" w:styleId="TableText">
    <w:name w:val="Table Text"/>
    <w:basedOn w:val="Normal"/>
    <w:qFormat/>
    <w:rsid w:val="00085F3B"/>
    <w:pPr>
      <w:spacing w:before="60" w:after="60"/>
    </w:pPr>
    <w:rPr>
      <w:rFonts w:ascii="Verdana" w:eastAsia="MS Mincho" w:hAnsi="Verdana"/>
      <w:sz w:val="18"/>
      <w:szCs w:val="20"/>
    </w:rPr>
  </w:style>
  <w:style w:type="paragraph" w:customStyle="1" w:styleId="TableHeaders">
    <w:name w:val="Table Headers"/>
    <w:qFormat/>
    <w:rsid w:val="00085F3B"/>
    <w:pPr>
      <w:spacing w:before="80" w:after="80"/>
      <w:jc w:val="center"/>
    </w:pPr>
    <w:rPr>
      <w:rFonts w:ascii="Verdana" w:hAnsi="Verdana"/>
      <w:b/>
      <w:sz w:val="18"/>
    </w:rPr>
  </w:style>
  <w:style w:type="paragraph" w:styleId="Caption">
    <w:name w:val="caption"/>
    <w:basedOn w:val="Normal"/>
    <w:next w:val="Normal"/>
    <w:uiPriority w:val="35"/>
    <w:semiHidden/>
    <w:unhideWhenUsed/>
    <w:qFormat/>
    <w:rsid w:val="00085F3B"/>
    <w:pPr>
      <w:spacing w:after="200"/>
    </w:pPr>
    <w:rPr>
      <w:b/>
      <w:bCs/>
      <w:color w:val="4F81BD" w:themeColor="accent1"/>
      <w:sz w:val="18"/>
      <w:szCs w:val="18"/>
    </w:rPr>
  </w:style>
  <w:style w:type="character" w:customStyle="1" w:styleId="Heading1Char">
    <w:name w:val="Heading 1 Char"/>
    <w:basedOn w:val="DefaultParagraphFont"/>
    <w:link w:val="Heading1"/>
    <w:rsid w:val="002A1D6D"/>
    <w:rPr>
      <w:rFonts w:ascii="Verdana" w:eastAsia="MS Mincho" w:hAnsi="Verdana"/>
      <w:b/>
      <w:caps/>
      <w:kern w:val="28"/>
      <w:sz w:val="26"/>
      <w:szCs w:val="28"/>
      <w:lang w:val="x-none" w:eastAsia="x-none"/>
    </w:rPr>
  </w:style>
  <w:style w:type="character" w:customStyle="1" w:styleId="Heading2Char">
    <w:name w:val="Heading 2 Char"/>
    <w:basedOn w:val="DefaultParagraphFont"/>
    <w:link w:val="Heading2"/>
    <w:uiPriority w:val="9"/>
    <w:rsid w:val="002A1D6D"/>
    <w:rPr>
      <w:rFonts w:ascii="Verdana" w:eastAsia="MS Mincho" w:hAnsi="Verdana"/>
      <w:b/>
      <w:sz w:val="24"/>
      <w:szCs w:val="24"/>
    </w:rPr>
  </w:style>
  <w:style w:type="character" w:customStyle="1" w:styleId="Heading3Char">
    <w:name w:val="Heading 3 Char"/>
    <w:basedOn w:val="DefaultParagraphFont"/>
    <w:link w:val="Heading3"/>
    <w:rsid w:val="002A1D6D"/>
    <w:rPr>
      <w:rFonts w:ascii="Verdana" w:eastAsia="MS Mincho" w:hAnsi="Verdana"/>
      <w:b/>
      <w:i/>
      <w:sz w:val="22"/>
    </w:rPr>
  </w:style>
  <w:style w:type="numbering" w:customStyle="1" w:styleId="Format4">
    <w:name w:val="Format4"/>
    <w:rsid w:val="002A1D6D"/>
    <w:pPr>
      <w:numPr>
        <w:numId w:val="6"/>
      </w:numPr>
    </w:pPr>
  </w:style>
  <w:style w:type="paragraph" w:customStyle="1" w:styleId="biblio">
    <w:name w:val="biblio"/>
    <w:basedOn w:val="Normal"/>
    <w:rsid w:val="00742CBC"/>
    <w:pPr>
      <w:keepLines/>
      <w:spacing w:after="240"/>
      <w:ind w:left="720" w:hanging="720"/>
    </w:pPr>
    <w:rPr>
      <w:rFonts w:ascii="Calibri" w:hAnsi="Calibri"/>
      <w:sz w:val="22"/>
      <w:szCs w:val="20"/>
    </w:rPr>
  </w:style>
  <w:style w:type="paragraph" w:customStyle="1" w:styleId="ExhibitSource">
    <w:name w:val="ExhibitSource"/>
    <w:basedOn w:val="Normal"/>
    <w:qFormat/>
    <w:rsid w:val="00C82FAA"/>
    <w:pPr>
      <w:spacing w:after="120" w:line="276" w:lineRule="auto"/>
    </w:pPr>
    <w:rPr>
      <w:rFonts w:ascii="Calibri" w:eastAsia="Calibri" w:hAnsi="Calibri" w:cs="Arial"/>
      <w:sz w:val="22"/>
      <w:szCs w:val="22"/>
    </w:rPr>
  </w:style>
  <w:style w:type="paragraph" w:customStyle="1" w:styleId="Tabletext0">
    <w:name w:val="Table text"/>
    <w:qFormat/>
    <w:rsid w:val="00A175A1"/>
    <w:pPr>
      <w:spacing w:before="40" w:after="40"/>
    </w:pPr>
    <w:rPr>
      <w:rFonts w:ascii="Arial" w:hAnsi="Arial"/>
      <w:sz w:val="18"/>
    </w:rPr>
  </w:style>
  <w:style w:type="paragraph" w:customStyle="1" w:styleId="exhibitsource1">
    <w:name w:val="exhibit source1"/>
    <w:basedOn w:val="Normal"/>
    <w:rsid w:val="00A175A1"/>
    <w:pPr>
      <w:keepLines/>
      <w:spacing w:before="120"/>
      <w:ind w:left="187" w:hanging="187"/>
    </w:pPr>
    <w:rPr>
      <w:rFonts w:ascii="Arial" w:hAnsi="Arial"/>
      <w:sz w:val="18"/>
      <w:szCs w:val="20"/>
    </w:rPr>
  </w:style>
  <w:style w:type="paragraph" w:customStyle="1" w:styleId="bodytextpsg">
    <w:name w:val="body text_psg"/>
    <w:basedOn w:val="Normal"/>
    <w:link w:val="bodytextpsgChar"/>
    <w:rsid w:val="00363CF7"/>
    <w:pPr>
      <w:spacing w:before="120" w:after="120"/>
      <w:ind w:firstLine="432"/>
    </w:pPr>
    <w:rPr>
      <w:sz w:val="22"/>
      <w:szCs w:val="20"/>
    </w:rPr>
  </w:style>
  <w:style w:type="character" w:customStyle="1" w:styleId="bodytextpsgChar">
    <w:name w:val="body text_psg Char"/>
    <w:link w:val="bodytextpsg"/>
    <w:rsid w:val="00363CF7"/>
    <w:rPr>
      <w:sz w:val="22"/>
    </w:rPr>
  </w:style>
  <w:style w:type="paragraph" w:customStyle="1" w:styleId="ExhibitTitle">
    <w:name w:val="Exhibit Title"/>
    <w:basedOn w:val="Normal"/>
    <w:link w:val="ExhibitTitleChar"/>
    <w:qFormat/>
    <w:rsid w:val="00B42CD6"/>
    <w:pPr>
      <w:keepNext/>
      <w:keepLines/>
      <w:spacing w:before="240" w:after="120" w:line="260" w:lineRule="exact"/>
      <w:ind w:left="1080" w:hanging="1080"/>
    </w:pPr>
    <w:rPr>
      <w:rFonts w:ascii="Arial" w:hAnsi="Arial"/>
      <w:b/>
      <w:snapToGrid w:val="0"/>
      <w:sz w:val="22"/>
      <w:szCs w:val="20"/>
    </w:rPr>
  </w:style>
  <w:style w:type="character" w:customStyle="1" w:styleId="ExhibitTitleChar">
    <w:name w:val="Exhibit Title Char"/>
    <w:link w:val="ExhibitTitle"/>
    <w:rsid w:val="00B42CD6"/>
    <w:rPr>
      <w:rFonts w:ascii="Arial" w:hAnsi="Arial"/>
      <w:b/>
      <w:snapToGrid w:val="0"/>
      <w:sz w:val="22"/>
    </w:rPr>
  </w:style>
  <w:style w:type="paragraph" w:styleId="TOC1">
    <w:name w:val="toc 1"/>
    <w:basedOn w:val="Normal"/>
    <w:next w:val="Normal"/>
    <w:autoRedefine/>
    <w:uiPriority w:val="39"/>
    <w:unhideWhenUsed/>
    <w:rsid w:val="003D351D"/>
    <w:pPr>
      <w:spacing w:after="100" w:line="276" w:lineRule="auto"/>
    </w:pPr>
    <w:rPr>
      <w:rFonts w:asciiTheme="minorHAnsi" w:eastAsiaTheme="minorHAnsi" w:hAnsiTheme="minorHAnsi" w:cstheme="minorBidi"/>
      <w:sz w:val="22"/>
      <w:szCs w:val="22"/>
    </w:rPr>
  </w:style>
  <w:style w:type="table" w:styleId="TableGrid">
    <w:name w:val="Table Grid"/>
    <w:basedOn w:val="TableNormal"/>
    <w:uiPriority w:val="59"/>
    <w:rsid w:val="006E688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after12">
    <w:name w:val="Body Text_after12"/>
    <w:basedOn w:val="BodyText"/>
    <w:qFormat/>
    <w:rsid w:val="006E688A"/>
    <w:pPr>
      <w:spacing w:before="240" w:after="200" w:line="276" w:lineRule="auto"/>
      <w:ind w:firstLine="360"/>
    </w:pPr>
    <w:rPr>
      <w:rFonts w:asciiTheme="minorHAnsi" w:eastAsiaTheme="minorHAnsi" w:hAnsiTheme="minorHAnsi"/>
      <w:snapToGrid/>
      <w:sz w:val="22"/>
      <w:szCs w:val="22"/>
    </w:rPr>
  </w:style>
  <w:style w:type="character" w:customStyle="1" w:styleId="bodytextChar">
    <w:name w:val="body text Char"/>
    <w:aliases w:val="bt Char,body tx Char,indent Char,flush Char,memo body text Char,bt Char Char Char Char,body text1 Char Char Char Char,bt Char1,memo Char,memo body text Char Char,flush Char Char Char"/>
    <w:basedOn w:val="DefaultParagraphFont"/>
    <w:link w:val="BodyText1"/>
    <w:locked/>
    <w:rsid w:val="009912A6"/>
    <w:rPr>
      <w:sz w:val="22"/>
    </w:rPr>
  </w:style>
  <w:style w:type="paragraph" w:styleId="Header">
    <w:name w:val="header"/>
    <w:basedOn w:val="Normal"/>
    <w:link w:val="HeaderChar"/>
    <w:uiPriority w:val="99"/>
    <w:unhideWhenUsed/>
    <w:rsid w:val="001E2A34"/>
    <w:pPr>
      <w:tabs>
        <w:tab w:val="center" w:pos="4680"/>
        <w:tab w:val="right" w:pos="9360"/>
      </w:tabs>
    </w:pPr>
  </w:style>
  <w:style w:type="character" w:customStyle="1" w:styleId="HeaderChar">
    <w:name w:val="Header Char"/>
    <w:basedOn w:val="DefaultParagraphFont"/>
    <w:link w:val="Header"/>
    <w:uiPriority w:val="99"/>
    <w:rsid w:val="001E2A3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57D"/>
    <w:rPr>
      <w:sz w:val="24"/>
      <w:szCs w:val="24"/>
    </w:rPr>
  </w:style>
  <w:style w:type="paragraph" w:styleId="Heading1">
    <w:name w:val="heading 1"/>
    <w:basedOn w:val="Normal"/>
    <w:next w:val="Normal"/>
    <w:link w:val="Heading1Char"/>
    <w:qFormat/>
    <w:rsid w:val="002A1D6D"/>
    <w:pPr>
      <w:keepNext/>
      <w:numPr>
        <w:numId w:val="7"/>
      </w:numPr>
      <w:spacing w:before="240" w:after="240"/>
      <w:jc w:val="center"/>
      <w:outlineLvl w:val="0"/>
    </w:pPr>
    <w:rPr>
      <w:rFonts w:ascii="Verdana" w:eastAsia="MS Mincho" w:hAnsi="Verdana"/>
      <w:b/>
      <w:caps/>
      <w:kern w:val="28"/>
      <w:sz w:val="26"/>
      <w:szCs w:val="28"/>
      <w:lang w:val="x-none" w:eastAsia="x-none"/>
    </w:rPr>
  </w:style>
  <w:style w:type="paragraph" w:styleId="Heading2">
    <w:name w:val="heading 2"/>
    <w:next w:val="Normal"/>
    <w:link w:val="Heading2Char"/>
    <w:qFormat/>
    <w:rsid w:val="002A1D6D"/>
    <w:pPr>
      <w:keepNext/>
      <w:keepLines/>
      <w:numPr>
        <w:ilvl w:val="1"/>
        <w:numId w:val="7"/>
      </w:numPr>
      <w:spacing w:before="240" w:after="120"/>
      <w:outlineLvl w:val="1"/>
    </w:pPr>
    <w:rPr>
      <w:rFonts w:ascii="Verdana" w:eastAsia="MS Mincho" w:hAnsi="Verdana"/>
      <w:b/>
      <w:sz w:val="24"/>
      <w:szCs w:val="24"/>
    </w:rPr>
  </w:style>
  <w:style w:type="paragraph" w:styleId="Heading3">
    <w:name w:val="heading 3"/>
    <w:next w:val="Normal"/>
    <w:link w:val="Heading3Char"/>
    <w:qFormat/>
    <w:rsid w:val="002A1D6D"/>
    <w:pPr>
      <w:keepNext/>
      <w:keepLines/>
      <w:numPr>
        <w:ilvl w:val="2"/>
        <w:numId w:val="7"/>
      </w:numPr>
      <w:spacing w:before="240" w:after="120"/>
      <w:outlineLvl w:val="2"/>
    </w:pPr>
    <w:rPr>
      <w:rFonts w:ascii="Verdana" w:eastAsia="MS Mincho" w:hAnsi="Verdan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A557D"/>
    <w:pPr>
      <w:spacing w:before="100" w:beforeAutospacing="1" w:after="100" w:afterAutospacing="1"/>
    </w:pPr>
  </w:style>
  <w:style w:type="paragraph" w:styleId="Footer">
    <w:name w:val="footer"/>
    <w:basedOn w:val="Normal"/>
    <w:link w:val="FooterChar"/>
    <w:rsid w:val="00CA557D"/>
    <w:pPr>
      <w:tabs>
        <w:tab w:val="center" w:pos="4320"/>
        <w:tab w:val="right" w:pos="8640"/>
      </w:tabs>
    </w:pPr>
  </w:style>
  <w:style w:type="character" w:customStyle="1" w:styleId="FooterChar">
    <w:name w:val="Footer Char"/>
    <w:link w:val="Footer"/>
    <w:rsid w:val="00CA557D"/>
    <w:rPr>
      <w:sz w:val="24"/>
      <w:szCs w:val="24"/>
    </w:rPr>
  </w:style>
  <w:style w:type="character" w:styleId="PageNumber">
    <w:name w:val="page number"/>
    <w:rsid w:val="00CA557D"/>
  </w:style>
  <w:style w:type="character" w:styleId="CommentReference">
    <w:name w:val="annotation reference"/>
    <w:uiPriority w:val="99"/>
    <w:rsid w:val="00CA557D"/>
    <w:rPr>
      <w:sz w:val="16"/>
      <w:szCs w:val="16"/>
    </w:rPr>
  </w:style>
  <w:style w:type="paragraph" w:styleId="CommentText">
    <w:name w:val="annotation text"/>
    <w:basedOn w:val="Normal"/>
    <w:link w:val="CommentTextChar"/>
    <w:uiPriority w:val="99"/>
    <w:rsid w:val="00CA557D"/>
    <w:rPr>
      <w:sz w:val="20"/>
      <w:szCs w:val="20"/>
    </w:rPr>
  </w:style>
  <w:style w:type="character" w:customStyle="1" w:styleId="CommentTextChar">
    <w:name w:val="Comment Text Char"/>
    <w:basedOn w:val="DefaultParagraphFont"/>
    <w:link w:val="CommentText"/>
    <w:uiPriority w:val="99"/>
    <w:rsid w:val="00CA557D"/>
  </w:style>
  <w:style w:type="paragraph" w:styleId="FootnoteText">
    <w:name w:val="footnote text"/>
    <w:basedOn w:val="Normal"/>
    <w:link w:val="FootnoteTextChar"/>
    <w:uiPriority w:val="99"/>
    <w:rsid w:val="00CA557D"/>
    <w:pPr>
      <w:widowControl w:val="0"/>
    </w:pPr>
    <w:rPr>
      <w:snapToGrid w:val="0"/>
      <w:sz w:val="20"/>
      <w:szCs w:val="20"/>
    </w:rPr>
  </w:style>
  <w:style w:type="character" w:customStyle="1" w:styleId="FootnoteTextChar">
    <w:name w:val="Footnote Text Char"/>
    <w:link w:val="FootnoteText"/>
    <w:uiPriority w:val="99"/>
    <w:rsid w:val="00CA557D"/>
    <w:rPr>
      <w:snapToGrid w:val="0"/>
    </w:rPr>
  </w:style>
  <w:style w:type="character" w:styleId="FootnoteReference">
    <w:name w:val="footnote reference"/>
    <w:uiPriority w:val="99"/>
    <w:rsid w:val="00CA557D"/>
    <w:rPr>
      <w:vertAlign w:val="superscript"/>
    </w:rPr>
  </w:style>
  <w:style w:type="paragraph" w:styleId="BalloonText">
    <w:name w:val="Balloon Text"/>
    <w:basedOn w:val="Normal"/>
    <w:link w:val="BalloonTextChar"/>
    <w:uiPriority w:val="99"/>
    <w:semiHidden/>
    <w:unhideWhenUsed/>
    <w:rsid w:val="00CA557D"/>
    <w:rPr>
      <w:rFonts w:ascii="Tahoma" w:hAnsi="Tahoma" w:cs="Tahoma"/>
      <w:sz w:val="16"/>
      <w:szCs w:val="16"/>
    </w:rPr>
  </w:style>
  <w:style w:type="character" w:customStyle="1" w:styleId="BalloonTextChar">
    <w:name w:val="Balloon Text Char"/>
    <w:link w:val="BalloonText"/>
    <w:uiPriority w:val="99"/>
    <w:semiHidden/>
    <w:rsid w:val="00CA557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C816ED"/>
    <w:rPr>
      <w:b/>
      <w:bCs/>
    </w:rPr>
  </w:style>
  <w:style w:type="character" w:customStyle="1" w:styleId="CommentSubjectChar">
    <w:name w:val="Comment Subject Char"/>
    <w:link w:val="CommentSubject"/>
    <w:uiPriority w:val="99"/>
    <w:semiHidden/>
    <w:rsid w:val="00C816ED"/>
    <w:rPr>
      <w:b/>
      <w:bCs/>
    </w:rPr>
  </w:style>
  <w:style w:type="paragraph" w:styleId="ListParagraph">
    <w:name w:val="List Paragraph"/>
    <w:basedOn w:val="Normal"/>
    <w:uiPriority w:val="34"/>
    <w:qFormat/>
    <w:rsid w:val="0052413A"/>
    <w:pPr>
      <w:ind w:left="720"/>
      <w:contextualSpacing/>
    </w:pPr>
  </w:style>
  <w:style w:type="character" w:styleId="Hyperlink">
    <w:name w:val="Hyperlink"/>
    <w:uiPriority w:val="99"/>
    <w:rsid w:val="0052413A"/>
    <w:rPr>
      <w:rFonts w:cs="Times New Roman"/>
      <w:color w:val="0000FF"/>
      <w:u w:val="single"/>
    </w:rPr>
  </w:style>
  <w:style w:type="paragraph" w:customStyle="1" w:styleId="Default">
    <w:name w:val="Default"/>
    <w:rsid w:val="008D428B"/>
    <w:pPr>
      <w:autoSpaceDE w:val="0"/>
      <w:autoSpaceDN w:val="0"/>
      <w:adjustRightInd w:val="0"/>
    </w:pPr>
    <w:rPr>
      <w:color w:val="000000"/>
      <w:sz w:val="24"/>
      <w:szCs w:val="24"/>
    </w:rPr>
  </w:style>
  <w:style w:type="table" w:customStyle="1" w:styleId="Graytablecomplex">
    <w:name w:val="Gray_table_complex"/>
    <w:basedOn w:val="TableNormal"/>
    <w:rsid w:val="006D7E73"/>
    <w:rPr>
      <w:rFonts w:ascii="Arial" w:hAnsi="Arial"/>
    </w:rPr>
    <w:tblPr>
      <w:tblBorders>
        <w:insideH w:val="single" w:sz="6" w:space="0" w:color="auto"/>
        <w:insideV w:val="single" w:sz="6" w:space="0" w:color="auto"/>
      </w:tblBorders>
    </w:tblPr>
    <w:tblStylePr w:type="firstRow">
      <w:pPr>
        <w:wordWrap/>
        <w:spacing w:beforeLines="0" w:before="0" w:beforeAutospacing="0" w:afterLines="0" w:after="0" w:afterAutospacing="0" w:line="240" w:lineRule="auto"/>
        <w:contextualSpacing w:val="0"/>
      </w:pPr>
      <w:tblPr/>
      <w:tcPr>
        <w:tcBorders>
          <w:top w:val="single" w:sz="4" w:space="0" w:color="FFFFFF" w:themeColor="background1"/>
          <w:insideV w:val="single" w:sz="4" w:space="0" w:color="FFFFFF" w:themeColor="background1"/>
        </w:tcBorders>
        <w:shd w:val="clear" w:color="auto" w:fill="0A357E"/>
      </w:tcPr>
    </w:tblStylePr>
    <w:tblStylePr w:type="lastRow">
      <w:tblPr/>
      <w:tcPr>
        <w:tcBorders>
          <w:bottom w:val="single" w:sz="12" w:space="0" w:color="auto"/>
        </w:tcBorders>
      </w:tcPr>
    </w:tblStylePr>
    <w:tblStylePr w:type="firstCol">
      <w:tblPr/>
      <w:tcPr>
        <w:shd w:val="clear" w:color="auto" w:fill="D9D9D9"/>
      </w:tcPr>
    </w:tblStylePr>
  </w:style>
  <w:style w:type="paragraph" w:customStyle="1" w:styleId="BodyText1">
    <w:name w:val="Body Text1"/>
    <w:basedOn w:val="Normal"/>
    <w:link w:val="bodytextChar"/>
    <w:rsid w:val="009D7512"/>
    <w:pPr>
      <w:spacing w:after="240" w:line="320" w:lineRule="exact"/>
      <w:ind w:firstLine="720"/>
    </w:pPr>
    <w:rPr>
      <w:sz w:val="22"/>
      <w:szCs w:val="20"/>
    </w:rPr>
  </w:style>
  <w:style w:type="character" w:customStyle="1" w:styleId="apple-converted-space">
    <w:name w:val="apple-converted-space"/>
    <w:basedOn w:val="DefaultParagraphFont"/>
    <w:rsid w:val="00F46038"/>
  </w:style>
  <w:style w:type="character" w:customStyle="1" w:styleId="highlight">
    <w:name w:val="highlight"/>
    <w:basedOn w:val="DefaultParagraphFont"/>
    <w:rsid w:val="00F46038"/>
  </w:style>
  <w:style w:type="paragraph" w:customStyle="1" w:styleId="TableTitle">
    <w:name w:val="Table Title"/>
    <w:basedOn w:val="Caption"/>
    <w:rsid w:val="00085F3B"/>
    <w:pPr>
      <w:keepNext/>
      <w:keepLines/>
      <w:spacing w:before="320" w:after="120"/>
      <w:ind w:left="1440" w:hanging="1440"/>
    </w:pPr>
    <w:rPr>
      <w:rFonts w:ascii="Verdana" w:eastAsia="MS Mincho" w:hAnsi="Verdana"/>
      <w:color w:val="auto"/>
      <w:sz w:val="20"/>
      <w:szCs w:val="20"/>
    </w:rPr>
  </w:style>
  <w:style w:type="paragraph" w:styleId="BodyText">
    <w:name w:val="Body Text"/>
    <w:basedOn w:val="Normal"/>
    <w:link w:val="BodyTextChar1"/>
    <w:rsid w:val="00085F3B"/>
    <w:pPr>
      <w:spacing w:after="160" w:line="320" w:lineRule="exact"/>
    </w:pPr>
    <w:rPr>
      <w:rFonts w:ascii="Verdana" w:eastAsia="MS Mincho" w:hAnsi="Verdana"/>
      <w:snapToGrid w:val="0"/>
      <w:sz w:val="20"/>
      <w:szCs w:val="20"/>
    </w:rPr>
  </w:style>
  <w:style w:type="character" w:customStyle="1" w:styleId="BodyTextChar0">
    <w:name w:val="Body Text Char"/>
    <w:basedOn w:val="DefaultParagraphFont"/>
    <w:uiPriority w:val="99"/>
    <w:semiHidden/>
    <w:rsid w:val="00085F3B"/>
    <w:rPr>
      <w:sz w:val="24"/>
      <w:szCs w:val="24"/>
    </w:rPr>
  </w:style>
  <w:style w:type="character" w:customStyle="1" w:styleId="BodyTextChar1">
    <w:name w:val="Body Text Char1"/>
    <w:link w:val="BodyText"/>
    <w:rsid w:val="00085F3B"/>
    <w:rPr>
      <w:rFonts w:ascii="Verdana" w:eastAsia="MS Mincho" w:hAnsi="Verdana"/>
      <w:snapToGrid w:val="0"/>
    </w:rPr>
  </w:style>
  <w:style w:type="paragraph" w:customStyle="1" w:styleId="TableText">
    <w:name w:val="Table Text"/>
    <w:basedOn w:val="Normal"/>
    <w:qFormat/>
    <w:rsid w:val="00085F3B"/>
    <w:pPr>
      <w:spacing w:before="60" w:after="60"/>
    </w:pPr>
    <w:rPr>
      <w:rFonts w:ascii="Verdana" w:eastAsia="MS Mincho" w:hAnsi="Verdana"/>
      <w:sz w:val="18"/>
      <w:szCs w:val="20"/>
    </w:rPr>
  </w:style>
  <w:style w:type="paragraph" w:customStyle="1" w:styleId="TableHeaders">
    <w:name w:val="Table Headers"/>
    <w:qFormat/>
    <w:rsid w:val="00085F3B"/>
    <w:pPr>
      <w:spacing w:before="80" w:after="80"/>
      <w:jc w:val="center"/>
    </w:pPr>
    <w:rPr>
      <w:rFonts w:ascii="Verdana" w:hAnsi="Verdana"/>
      <w:b/>
      <w:sz w:val="18"/>
    </w:rPr>
  </w:style>
  <w:style w:type="paragraph" w:styleId="Caption">
    <w:name w:val="caption"/>
    <w:basedOn w:val="Normal"/>
    <w:next w:val="Normal"/>
    <w:uiPriority w:val="35"/>
    <w:semiHidden/>
    <w:unhideWhenUsed/>
    <w:qFormat/>
    <w:rsid w:val="00085F3B"/>
    <w:pPr>
      <w:spacing w:after="200"/>
    </w:pPr>
    <w:rPr>
      <w:b/>
      <w:bCs/>
      <w:color w:val="4F81BD" w:themeColor="accent1"/>
      <w:sz w:val="18"/>
      <w:szCs w:val="18"/>
    </w:rPr>
  </w:style>
  <w:style w:type="character" w:customStyle="1" w:styleId="Heading1Char">
    <w:name w:val="Heading 1 Char"/>
    <w:basedOn w:val="DefaultParagraphFont"/>
    <w:link w:val="Heading1"/>
    <w:rsid w:val="002A1D6D"/>
    <w:rPr>
      <w:rFonts w:ascii="Verdana" w:eastAsia="MS Mincho" w:hAnsi="Verdana"/>
      <w:b/>
      <w:caps/>
      <w:kern w:val="28"/>
      <w:sz w:val="26"/>
      <w:szCs w:val="28"/>
      <w:lang w:val="x-none" w:eastAsia="x-none"/>
    </w:rPr>
  </w:style>
  <w:style w:type="character" w:customStyle="1" w:styleId="Heading2Char">
    <w:name w:val="Heading 2 Char"/>
    <w:basedOn w:val="DefaultParagraphFont"/>
    <w:link w:val="Heading2"/>
    <w:uiPriority w:val="9"/>
    <w:rsid w:val="002A1D6D"/>
    <w:rPr>
      <w:rFonts w:ascii="Verdana" w:eastAsia="MS Mincho" w:hAnsi="Verdana"/>
      <w:b/>
      <w:sz w:val="24"/>
      <w:szCs w:val="24"/>
    </w:rPr>
  </w:style>
  <w:style w:type="character" w:customStyle="1" w:styleId="Heading3Char">
    <w:name w:val="Heading 3 Char"/>
    <w:basedOn w:val="DefaultParagraphFont"/>
    <w:link w:val="Heading3"/>
    <w:rsid w:val="002A1D6D"/>
    <w:rPr>
      <w:rFonts w:ascii="Verdana" w:eastAsia="MS Mincho" w:hAnsi="Verdana"/>
      <w:b/>
      <w:i/>
      <w:sz w:val="22"/>
    </w:rPr>
  </w:style>
  <w:style w:type="numbering" w:customStyle="1" w:styleId="Format4">
    <w:name w:val="Format4"/>
    <w:rsid w:val="002A1D6D"/>
    <w:pPr>
      <w:numPr>
        <w:numId w:val="6"/>
      </w:numPr>
    </w:pPr>
  </w:style>
  <w:style w:type="paragraph" w:customStyle="1" w:styleId="biblio">
    <w:name w:val="biblio"/>
    <w:basedOn w:val="Normal"/>
    <w:rsid w:val="00742CBC"/>
    <w:pPr>
      <w:keepLines/>
      <w:spacing w:after="240"/>
      <w:ind w:left="720" w:hanging="720"/>
    </w:pPr>
    <w:rPr>
      <w:rFonts w:ascii="Calibri" w:hAnsi="Calibri"/>
      <w:sz w:val="22"/>
      <w:szCs w:val="20"/>
    </w:rPr>
  </w:style>
  <w:style w:type="paragraph" w:customStyle="1" w:styleId="ExhibitSource">
    <w:name w:val="ExhibitSource"/>
    <w:basedOn w:val="Normal"/>
    <w:qFormat/>
    <w:rsid w:val="00C82FAA"/>
    <w:pPr>
      <w:spacing w:after="120" w:line="276" w:lineRule="auto"/>
    </w:pPr>
    <w:rPr>
      <w:rFonts w:ascii="Calibri" w:eastAsia="Calibri" w:hAnsi="Calibri" w:cs="Arial"/>
      <w:sz w:val="22"/>
      <w:szCs w:val="22"/>
    </w:rPr>
  </w:style>
  <w:style w:type="paragraph" w:customStyle="1" w:styleId="Tabletext0">
    <w:name w:val="Table text"/>
    <w:qFormat/>
    <w:rsid w:val="00A175A1"/>
    <w:pPr>
      <w:spacing w:before="40" w:after="40"/>
    </w:pPr>
    <w:rPr>
      <w:rFonts w:ascii="Arial" w:hAnsi="Arial"/>
      <w:sz w:val="18"/>
    </w:rPr>
  </w:style>
  <w:style w:type="paragraph" w:customStyle="1" w:styleId="exhibitsource1">
    <w:name w:val="exhibit source1"/>
    <w:basedOn w:val="Normal"/>
    <w:rsid w:val="00A175A1"/>
    <w:pPr>
      <w:keepLines/>
      <w:spacing w:before="120"/>
      <w:ind w:left="187" w:hanging="187"/>
    </w:pPr>
    <w:rPr>
      <w:rFonts w:ascii="Arial" w:hAnsi="Arial"/>
      <w:sz w:val="18"/>
      <w:szCs w:val="20"/>
    </w:rPr>
  </w:style>
  <w:style w:type="paragraph" w:customStyle="1" w:styleId="bodytextpsg">
    <w:name w:val="body text_psg"/>
    <w:basedOn w:val="Normal"/>
    <w:link w:val="bodytextpsgChar"/>
    <w:rsid w:val="00363CF7"/>
    <w:pPr>
      <w:spacing w:before="120" w:after="120"/>
      <w:ind w:firstLine="432"/>
    </w:pPr>
    <w:rPr>
      <w:sz w:val="22"/>
      <w:szCs w:val="20"/>
    </w:rPr>
  </w:style>
  <w:style w:type="character" w:customStyle="1" w:styleId="bodytextpsgChar">
    <w:name w:val="body text_psg Char"/>
    <w:link w:val="bodytextpsg"/>
    <w:rsid w:val="00363CF7"/>
    <w:rPr>
      <w:sz w:val="22"/>
    </w:rPr>
  </w:style>
  <w:style w:type="paragraph" w:customStyle="1" w:styleId="ExhibitTitle">
    <w:name w:val="Exhibit Title"/>
    <w:basedOn w:val="Normal"/>
    <w:link w:val="ExhibitTitleChar"/>
    <w:qFormat/>
    <w:rsid w:val="00B42CD6"/>
    <w:pPr>
      <w:keepNext/>
      <w:keepLines/>
      <w:spacing w:before="240" w:after="120" w:line="260" w:lineRule="exact"/>
      <w:ind w:left="1080" w:hanging="1080"/>
    </w:pPr>
    <w:rPr>
      <w:rFonts w:ascii="Arial" w:hAnsi="Arial"/>
      <w:b/>
      <w:snapToGrid w:val="0"/>
      <w:sz w:val="22"/>
      <w:szCs w:val="20"/>
    </w:rPr>
  </w:style>
  <w:style w:type="character" w:customStyle="1" w:styleId="ExhibitTitleChar">
    <w:name w:val="Exhibit Title Char"/>
    <w:link w:val="ExhibitTitle"/>
    <w:rsid w:val="00B42CD6"/>
    <w:rPr>
      <w:rFonts w:ascii="Arial" w:hAnsi="Arial"/>
      <w:b/>
      <w:snapToGrid w:val="0"/>
      <w:sz w:val="22"/>
    </w:rPr>
  </w:style>
  <w:style w:type="paragraph" w:styleId="TOC1">
    <w:name w:val="toc 1"/>
    <w:basedOn w:val="Normal"/>
    <w:next w:val="Normal"/>
    <w:autoRedefine/>
    <w:uiPriority w:val="39"/>
    <w:unhideWhenUsed/>
    <w:rsid w:val="003D351D"/>
    <w:pPr>
      <w:spacing w:after="100" w:line="276" w:lineRule="auto"/>
    </w:pPr>
    <w:rPr>
      <w:rFonts w:asciiTheme="minorHAnsi" w:eastAsiaTheme="minorHAnsi" w:hAnsiTheme="minorHAnsi" w:cstheme="minorBidi"/>
      <w:sz w:val="22"/>
      <w:szCs w:val="22"/>
    </w:rPr>
  </w:style>
  <w:style w:type="table" w:styleId="TableGrid">
    <w:name w:val="Table Grid"/>
    <w:basedOn w:val="TableNormal"/>
    <w:uiPriority w:val="59"/>
    <w:rsid w:val="006E688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after12">
    <w:name w:val="Body Text_after12"/>
    <w:basedOn w:val="BodyText"/>
    <w:qFormat/>
    <w:rsid w:val="006E688A"/>
    <w:pPr>
      <w:spacing w:before="240" w:after="200" w:line="276" w:lineRule="auto"/>
      <w:ind w:firstLine="360"/>
    </w:pPr>
    <w:rPr>
      <w:rFonts w:asciiTheme="minorHAnsi" w:eastAsiaTheme="minorHAnsi" w:hAnsiTheme="minorHAnsi"/>
      <w:snapToGrid/>
      <w:sz w:val="22"/>
      <w:szCs w:val="22"/>
    </w:rPr>
  </w:style>
  <w:style w:type="character" w:customStyle="1" w:styleId="bodytextChar">
    <w:name w:val="body text Char"/>
    <w:aliases w:val="bt Char,body tx Char,indent Char,flush Char,memo body text Char,bt Char Char Char Char,body text1 Char Char Char Char,bt Char1,memo Char,memo body text Char Char,flush Char Char Char"/>
    <w:basedOn w:val="DefaultParagraphFont"/>
    <w:link w:val="BodyText1"/>
    <w:locked/>
    <w:rsid w:val="009912A6"/>
    <w:rPr>
      <w:sz w:val="22"/>
    </w:rPr>
  </w:style>
  <w:style w:type="paragraph" w:styleId="Header">
    <w:name w:val="header"/>
    <w:basedOn w:val="Normal"/>
    <w:link w:val="HeaderChar"/>
    <w:uiPriority w:val="99"/>
    <w:unhideWhenUsed/>
    <w:rsid w:val="001E2A34"/>
    <w:pPr>
      <w:tabs>
        <w:tab w:val="center" w:pos="4680"/>
        <w:tab w:val="right" w:pos="9360"/>
      </w:tabs>
    </w:pPr>
  </w:style>
  <w:style w:type="character" w:customStyle="1" w:styleId="HeaderChar">
    <w:name w:val="Header Char"/>
    <w:basedOn w:val="DefaultParagraphFont"/>
    <w:link w:val="Header"/>
    <w:uiPriority w:val="99"/>
    <w:rsid w:val="001E2A3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57325">
      <w:bodyDiv w:val="1"/>
      <w:marLeft w:val="0"/>
      <w:marRight w:val="0"/>
      <w:marTop w:val="0"/>
      <w:marBottom w:val="0"/>
      <w:divBdr>
        <w:top w:val="none" w:sz="0" w:space="0" w:color="auto"/>
        <w:left w:val="none" w:sz="0" w:space="0" w:color="auto"/>
        <w:bottom w:val="none" w:sz="0" w:space="0" w:color="auto"/>
        <w:right w:val="none" w:sz="0" w:space="0" w:color="auto"/>
      </w:divBdr>
    </w:div>
    <w:div w:id="375592585">
      <w:bodyDiv w:val="1"/>
      <w:marLeft w:val="0"/>
      <w:marRight w:val="0"/>
      <w:marTop w:val="0"/>
      <w:marBottom w:val="0"/>
      <w:divBdr>
        <w:top w:val="none" w:sz="0" w:space="0" w:color="auto"/>
        <w:left w:val="none" w:sz="0" w:space="0" w:color="auto"/>
        <w:bottom w:val="none" w:sz="0" w:space="0" w:color="auto"/>
        <w:right w:val="none" w:sz="0" w:space="0" w:color="auto"/>
      </w:divBdr>
    </w:div>
    <w:div w:id="1090662442">
      <w:bodyDiv w:val="1"/>
      <w:marLeft w:val="0"/>
      <w:marRight w:val="0"/>
      <w:marTop w:val="0"/>
      <w:marBottom w:val="0"/>
      <w:divBdr>
        <w:top w:val="none" w:sz="0" w:space="0" w:color="auto"/>
        <w:left w:val="none" w:sz="0" w:space="0" w:color="auto"/>
        <w:bottom w:val="none" w:sz="0" w:space="0" w:color="auto"/>
        <w:right w:val="none" w:sz="0" w:space="0" w:color="auto"/>
      </w:divBdr>
    </w:div>
    <w:div w:id="1226719673">
      <w:bodyDiv w:val="1"/>
      <w:marLeft w:val="0"/>
      <w:marRight w:val="0"/>
      <w:marTop w:val="0"/>
      <w:marBottom w:val="0"/>
      <w:divBdr>
        <w:top w:val="none" w:sz="0" w:space="0" w:color="auto"/>
        <w:left w:val="none" w:sz="0" w:space="0" w:color="auto"/>
        <w:bottom w:val="none" w:sz="0" w:space="0" w:color="auto"/>
        <w:right w:val="none" w:sz="0" w:space="0" w:color="auto"/>
      </w:divBdr>
    </w:div>
    <w:div w:id="1282305498">
      <w:bodyDiv w:val="1"/>
      <w:marLeft w:val="0"/>
      <w:marRight w:val="0"/>
      <w:marTop w:val="0"/>
      <w:marBottom w:val="0"/>
      <w:divBdr>
        <w:top w:val="none" w:sz="0" w:space="0" w:color="auto"/>
        <w:left w:val="none" w:sz="0" w:space="0" w:color="auto"/>
        <w:bottom w:val="none" w:sz="0" w:space="0" w:color="auto"/>
        <w:right w:val="none" w:sz="0" w:space="0" w:color="auto"/>
      </w:divBdr>
    </w:div>
    <w:div w:id="1463159965">
      <w:bodyDiv w:val="1"/>
      <w:marLeft w:val="0"/>
      <w:marRight w:val="0"/>
      <w:marTop w:val="0"/>
      <w:marBottom w:val="0"/>
      <w:divBdr>
        <w:top w:val="none" w:sz="0" w:space="0" w:color="auto"/>
        <w:left w:val="none" w:sz="0" w:space="0" w:color="auto"/>
        <w:bottom w:val="none" w:sz="0" w:space="0" w:color="auto"/>
        <w:right w:val="none" w:sz="0" w:space="0" w:color="auto"/>
      </w:divBdr>
    </w:div>
    <w:div w:id="1523350929">
      <w:bodyDiv w:val="1"/>
      <w:marLeft w:val="0"/>
      <w:marRight w:val="0"/>
      <w:marTop w:val="0"/>
      <w:marBottom w:val="0"/>
      <w:divBdr>
        <w:top w:val="none" w:sz="0" w:space="0" w:color="auto"/>
        <w:left w:val="none" w:sz="0" w:space="0" w:color="auto"/>
        <w:bottom w:val="none" w:sz="0" w:space="0" w:color="auto"/>
        <w:right w:val="none" w:sz="0" w:space="0" w:color="auto"/>
      </w:divBdr>
    </w:div>
    <w:div w:id="1760171654">
      <w:bodyDiv w:val="1"/>
      <w:marLeft w:val="0"/>
      <w:marRight w:val="0"/>
      <w:marTop w:val="0"/>
      <w:marBottom w:val="0"/>
      <w:divBdr>
        <w:top w:val="none" w:sz="0" w:space="0" w:color="auto"/>
        <w:left w:val="none" w:sz="0" w:space="0" w:color="auto"/>
        <w:bottom w:val="none" w:sz="0" w:space="0" w:color="auto"/>
        <w:right w:val="none" w:sz="0" w:space="0" w:color="auto"/>
      </w:divBdr>
    </w:div>
    <w:div w:id="1899435913">
      <w:bodyDiv w:val="1"/>
      <w:marLeft w:val="0"/>
      <w:marRight w:val="0"/>
      <w:marTop w:val="0"/>
      <w:marBottom w:val="0"/>
      <w:divBdr>
        <w:top w:val="none" w:sz="0" w:space="0" w:color="auto"/>
        <w:left w:val="none" w:sz="0" w:space="0" w:color="auto"/>
        <w:bottom w:val="none" w:sz="0" w:space="0" w:color="auto"/>
        <w:right w:val="none" w:sz="0" w:space="0" w:color="auto"/>
      </w:divBdr>
    </w:div>
    <w:div w:id="2006547377">
      <w:bodyDiv w:val="1"/>
      <w:marLeft w:val="0"/>
      <w:marRight w:val="0"/>
      <w:marTop w:val="0"/>
      <w:marBottom w:val="0"/>
      <w:divBdr>
        <w:top w:val="none" w:sz="0" w:space="0" w:color="auto"/>
        <w:left w:val="none" w:sz="0" w:space="0" w:color="auto"/>
        <w:bottom w:val="none" w:sz="0" w:space="0" w:color="auto"/>
        <w:right w:val="none" w:sz="0" w:space="0" w:color="auto"/>
      </w:divBdr>
    </w:div>
    <w:div w:id="206493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C5AA5-87E3-45FA-903E-E7B62BB35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1617</Words>
  <Characters>9221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10817</CharactersWithSpaces>
  <SharedDoc>false</SharedDoc>
  <HLinks>
    <vt:vector size="12" baseType="variant">
      <vt:variant>
        <vt:i4>983134</vt:i4>
      </vt:variant>
      <vt:variant>
        <vt:i4>3</vt:i4>
      </vt:variant>
      <vt:variant>
        <vt:i4>0</vt:i4>
      </vt:variant>
      <vt:variant>
        <vt:i4>5</vt:i4>
      </vt:variant>
      <vt:variant>
        <vt:lpwstr>http://www.whitehouse.gov/sites/default/files/omb/inforeg/statpc</vt:lpwstr>
      </vt:variant>
      <vt:variant>
        <vt:lpwstr/>
      </vt:variant>
      <vt:variant>
        <vt:i4>5767246</vt:i4>
      </vt:variant>
      <vt:variant>
        <vt:i4>0</vt:i4>
      </vt:variant>
      <vt:variant>
        <vt:i4>0</vt:i4>
      </vt:variant>
      <vt:variant>
        <vt:i4>5</vt:i4>
      </vt:variant>
      <vt:variant>
        <vt:lpwstr>http://www.ncss.com/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Aikin, Kathryn J</dc:creator>
  <cp:lastModifiedBy>SYSTEM</cp:lastModifiedBy>
  <cp:revision>2</cp:revision>
  <dcterms:created xsi:type="dcterms:W3CDTF">2018-08-10T19:11:00Z</dcterms:created>
  <dcterms:modified xsi:type="dcterms:W3CDTF">2018-08-10T19:11:00Z</dcterms:modified>
</cp:coreProperties>
</file>