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6FFB0" w14:textId="77777777" w:rsidR="00042E51" w:rsidRPr="008851A7" w:rsidRDefault="00FC45AE" w:rsidP="00FC45AE">
      <w:pPr>
        <w:pStyle w:val="H1Title"/>
        <w:spacing w:before="1200" w:after="240"/>
        <w:jc w:val="center"/>
        <w:rPr>
          <w:color w:val="auto"/>
        </w:rPr>
      </w:pPr>
      <w:bookmarkStart w:id="0" w:name="_GoBack"/>
      <w:bookmarkEnd w:id="0"/>
      <w:r w:rsidRPr="008851A7">
        <w:rPr>
          <w:color w:val="auto"/>
        </w:rPr>
        <w:t>Assessing Care and Health Outcomes Among Ryan White HIV/AIDS Program (RWHAP) Clients Who Do Not Receive RWHAP-Funded Outpatient Ambulatory Health Services (OAHS)</w:t>
      </w:r>
      <w:r w:rsidRPr="008851A7">
        <w:rPr>
          <w:color w:val="auto"/>
        </w:rPr>
        <w:br/>
      </w:r>
      <w:r w:rsidRPr="008851A7">
        <w:rPr>
          <w:color w:val="auto"/>
        </w:rPr>
        <w:br/>
        <w:t>OMB SUPPORTING STATEMENT</w:t>
      </w:r>
      <w:r w:rsidRPr="008851A7">
        <w:rPr>
          <w:color w:val="auto"/>
        </w:rPr>
        <w:br/>
        <w:t>PART A</w:t>
      </w:r>
    </w:p>
    <w:p w14:paraId="36CBD822" w14:textId="77777777" w:rsidR="00CE3AA0" w:rsidRPr="008851A7" w:rsidRDefault="001F16BC" w:rsidP="00CE3AA0">
      <w:pPr>
        <w:pStyle w:val="H1Title"/>
        <w:spacing w:after="0"/>
        <w:jc w:val="center"/>
        <w:rPr>
          <w:color w:val="auto"/>
          <w:sz w:val="32"/>
          <w:szCs w:val="32"/>
        </w:rPr>
      </w:pPr>
      <w:r>
        <w:rPr>
          <w:color w:val="auto"/>
          <w:sz w:val="32"/>
          <w:szCs w:val="32"/>
        </w:rPr>
        <w:t>OMB Control No. 0906</w:t>
      </w:r>
      <w:r w:rsidR="00CE3AA0" w:rsidRPr="008851A7">
        <w:rPr>
          <w:color w:val="auto"/>
          <w:sz w:val="32"/>
          <w:szCs w:val="32"/>
        </w:rPr>
        <w:t>-XXXX</w:t>
      </w:r>
    </w:p>
    <w:p w14:paraId="452F57FC" w14:textId="77777777" w:rsidR="00CE3AA0" w:rsidRPr="008851A7" w:rsidRDefault="00CE3AA0" w:rsidP="00902D06">
      <w:pPr>
        <w:pStyle w:val="H1Title"/>
        <w:spacing w:after="0"/>
        <w:jc w:val="center"/>
        <w:rPr>
          <w:color w:val="auto"/>
        </w:rPr>
      </w:pPr>
    </w:p>
    <w:p w14:paraId="444F2AE6" w14:textId="761CC01F" w:rsidR="00FC45AE" w:rsidRPr="008851A7" w:rsidRDefault="00902D06" w:rsidP="00902D06">
      <w:pPr>
        <w:pStyle w:val="H1Title"/>
        <w:spacing w:after="0"/>
        <w:jc w:val="center"/>
        <w:rPr>
          <w:color w:val="auto"/>
        </w:rPr>
      </w:pPr>
      <w:r w:rsidRPr="008851A7">
        <w:rPr>
          <w:color w:val="auto"/>
        </w:rPr>
        <w:br/>
      </w:r>
      <w:r w:rsidR="00375EF8">
        <w:rPr>
          <w:color w:val="auto"/>
        </w:rPr>
        <w:t>November</w:t>
      </w:r>
      <w:r w:rsidR="00375EF8" w:rsidRPr="008851A7">
        <w:rPr>
          <w:color w:val="auto"/>
        </w:rPr>
        <w:t xml:space="preserve"> </w:t>
      </w:r>
      <w:r w:rsidR="009B5E52" w:rsidRPr="008851A7">
        <w:rPr>
          <w:color w:val="auto"/>
        </w:rPr>
        <w:t>2019</w:t>
      </w:r>
    </w:p>
    <w:p w14:paraId="2C2D96EB" w14:textId="77777777" w:rsidR="00902D06" w:rsidRPr="008851A7" w:rsidRDefault="00902D06" w:rsidP="00902D06"/>
    <w:p w14:paraId="6C037548" w14:textId="77777777" w:rsidR="00902D06" w:rsidRPr="008851A7" w:rsidRDefault="009B5E52" w:rsidP="00902D06">
      <w:pPr>
        <w:pStyle w:val="NormalSScontinued"/>
        <w:spacing w:after="0"/>
        <w:jc w:val="center"/>
        <w:rPr>
          <w:rFonts w:ascii="Arial" w:hAnsi="Arial" w:cs="Arial"/>
        </w:rPr>
      </w:pPr>
      <w:r w:rsidRPr="008851A7">
        <w:rPr>
          <w:rFonts w:ascii="Arial" w:hAnsi="Arial" w:cs="Arial"/>
        </w:rPr>
        <w:t>Submitted b</w:t>
      </w:r>
      <w:r w:rsidR="00902D06" w:rsidRPr="008851A7">
        <w:rPr>
          <w:rFonts w:ascii="Arial" w:hAnsi="Arial" w:cs="Arial"/>
        </w:rPr>
        <w:t>y:</w:t>
      </w:r>
      <w:r w:rsidR="00902D06" w:rsidRPr="008851A7">
        <w:rPr>
          <w:rFonts w:ascii="Arial" w:hAnsi="Arial" w:cs="Arial"/>
        </w:rPr>
        <w:br/>
        <w:t xml:space="preserve">HIV/AIDS Bureau </w:t>
      </w:r>
    </w:p>
    <w:p w14:paraId="5BB74909" w14:textId="77777777" w:rsidR="00902D06" w:rsidRPr="008851A7" w:rsidRDefault="00902D06" w:rsidP="00902D06">
      <w:pPr>
        <w:pStyle w:val="NormalSScontinued"/>
        <w:spacing w:after="0"/>
        <w:jc w:val="center"/>
        <w:rPr>
          <w:rFonts w:ascii="Arial" w:hAnsi="Arial" w:cs="Arial"/>
        </w:rPr>
      </w:pPr>
      <w:r w:rsidRPr="008851A7">
        <w:rPr>
          <w:rFonts w:ascii="Arial" w:hAnsi="Arial" w:cs="Arial"/>
        </w:rPr>
        <w:t xml:space="preserve">Health Resources and Services Administration </w:t>
      </w:r>
    </w:p>
    <w:p w14:paraId="2179BE1B" w14:textId="77777777" w:rsidR="00902D06" w:rsidRPr="008851A7" w:rsidRDefault="00902D06" w:rsidP="00902D06">
      <w:pPr>
        <w:pStyle w:val="NormalSScontinued"/>
        <w:spacing w:after="0"/>
        <w:jc w:val="center"/>
        <w:rPr>
          <w:rFonts w:ascii="Arial" w:hAnsi="Arial" w:cs="Arial"/>
        </w:rPr>
      </w:pPr>
      <w:r w:rsidRPr="008851A7">
        <w:rPr>
          <w:rFonts w:ascii="Arial" w:hAnsi="Arial" w:cs="Arial"/>
        </w:rPr>
        <w:t>U.S. Department of Health and Human Services</w:t>
      </w:r>
    </w:p>
    <w:p w14:paraId="567ED17F" w14:textId="77777777" w:rsidR="00902D06" w:rsidRPr="008851A7" w:rsidRDefault="00902D06" w:rsidP="00902D06">
      <w:pPr>
        <w:spacing w:line="240" w:lineRule="auto"/>
        <w:jc w:val="center"/>
        <w:rPr>
          <w:rFonts w:ascii="Arial" w:hAnsi="Arial" w:cs="Arial"/>
        </w:rPr>
      </w:pPr>
      <w:r w:rsidRPr="008851A7">
        <w:rPr>
          <w:rFonts w:ascii="Arial" w:hAnsi="Arial" w:cs="Arial"/>
        </w:rPr>
        <w:t>5600 Fishers Lane</w:t>
      </w:r>
    </w:p>
    <w:p w14:paraId="5A37DE1C" w14:textId="77777777" w:rsidR="00902D06" w:rsidRPr="008851A7" w:rsidRDefault="00CC42AE" w:rsidP="00902D06">
      <w:pPr>
        <w:spacing w:line="240" w:lineRule="auto"/>
        <w:jc w:val="center"/>
        <w:rPr>
          <w:rFonts w:ascii="Arial" w:hAnsi="Arial" w:cs="Arial"/>
        </w:rPr>
      </w:pPr>
      <w:r w:rsidRPr="008851A7">
        <w:rPr>
          <w:rFonts w:ascii="Arial" w:hAnsi="Arial" w:cs="Arial"/>
        </w:rPr>
        <w:t>Bldg.</w:t>
      </w:r>
      <w:r w:rsidR="00902D06" w:rsidRPr="008851A7">
        <w:rPr>
          <w:rFonts w:ascii="Arial" w:hAnsi="Arial" w:cs="Arial"/>
        </w:rPr>
        <w:t>: 09N190B</w:t>
      </w:r>
    </w:p>
    <w:p w14:paraId="2C50C45F" w14:textId="77777777" w:rsidR="00902D06" w:rsidRPr="008851A7" w:rsidRDefault="00902D06" w:rsidP="00902D06">
      <w:pPr>
        <w:spacing w:line="240" w:lineRule="auto"/>
        <w:jc w:val="center"/>
        <w:rPr>
          <w:rFonts w:ascii="Arial" w:hAnsi="Arial" w:cs="Arial"/>
        </w:rPr>
      </w:pPr>
      <w:r w:rsidRPr="008851A7">
        <w:rPr>
          <w:rFonts w:ascii="Arial" w:hAnsi="Arial" w:cs="Arial"/>
        </w:rPr>
        <w:t>Rockville, MD 20857</w:t>
      </w:r>
      <w:r w:rsidRPr="008851A7">
        <w:rPr>
          <w:rFonts w:ascii="Arial" w:hAnsi="Arial" w:cs="Arial"/>
        </w:rPr>
        <w:br/>
      </w:r>
    </w:p>
    <w:p w14:paraId="318A2F14" w14:textId="77777777" w:rsidR="00902D06" w:rsidRPr="008851A7" w:rsidRDefault="00902D06" w:rsidP="00902D06">
      <w:pPr>
        <w:spacing w:line="240" w:lineRule="auto"/>
        <w:jc w:val="center"/>
        <w:rPr>
          <w:rFonts w:ascii="Arial" w:hAnsi="Arial" w:cs="Arial"/>
        </w:rPr>
      </w:pPr>
      <w:r w:rsidRPr="008851A7">
        <w:rPr>
          <w:rFonts w:ascii="Arial" w:hAnsi="Arial" w:cs="Arial"/>
        </w:rPr>
        <w:t>Project Officer:</w:t>
      </w:r>
      <w:r w:rsidRPr="008851A7">
        <w:t xml:space="preserve"> </w:t>
      </w:r>
      <w:r w:rsidRPr="008851A7">
        <w:rPr>
          <w:rFonts w:ascii="Arial" w:hAnsi="Arial" w:cs="Arial"/>
        </w:rPr>
        <w:t>Robert Mills</w:t>
      </w:r>
    </w:p>
    <w:p w14:paraId="1D3CDF72" w14:textId="77777777" w:rsidR="00902D06" w:rsidRPr="008851A7" w:rsidRDefault="00902D06" w:rsidP="00902D06">
      <w:pPr>
        <w:rPr>
          <w:rFonts w:ascii="Arial" w:hAnsi="Arial" w:cs="Arial"/>
        </w:rPr>
      </w:pPr>
    </w:p>
    <w:p w14:paraId="4354CF56" w14:textId="77777777" w:rsidR="00902D06" w:rsidRPr="008851A7" w:rsidRDefault="00902D06" w:rsidP="00902D06">
      <w:pPr>
        <w:sectPr w:rsidR="00902D06" w:rsidRPr="008851A7"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pPr>
    </w:p>
    <w:p w14:paraId="27A2F58E" w14:textId="77777777" w:rsidR="00042E51" w:rsidRPr="008851A7" w:rsidRDefault="00042E51" w:rsidP="00FF30A2">
      <w:pPr>
        <w:spacing w:after="240" w:line="240" w:lineRule="auto"/>
        <w:ind w:firstLine="0"/>
        <w:jc w:val="center"/>
        <w:rPr>
          <w:b/>
        </w:rPr>
        <w:sectPr w:rsidR="00042E51" w:rsidRPr="008851A7" w:rsidSect="003A1506">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14:paraId="31B2FDDC" w14:textId="77777777" w:rsidR="00042E51" w:rsidRPr="008851A7" w:rsidRDefault="00FC45AE" w:rsidP="00FC45AE">
      <w:pPr>
        <w:pBdr>
          <w:bottom w:val="single" w:sz="2" w:space="1" w:color="auto"/>
        </w:pBdr>
        <w:spacing w:after="240" w:line="240" w:lineRule="auto"/>
        <w:ind w:firstLine="0"/>
        <w:jc w:val="both"/>
        <w:rPr>
          <w:rFonts w:ascii="Arial Black" w:hAnsi="Arial Black"/>
          <w:sz w:val="22"/>
        </w:rPr>
      </w:pPr>
      <w:r w:rsidRPr="008851A7">
        <w:rPr>
          <w:rFonts w:ascii="Arial Black" w:hAnsi="Arial Black"/>
          <w:sz w:val="22"/>
        </w:rPr>
        <w:lastRenderedPageBreak/>
        <w:t>CONTENTS</w:t>
      </w:r>
    </w:p>
    <w:p w14:paraId="3AC1C062" w14:textId="77777777" w:rsidR="008851A7" w:rsidRPr="008851A7" w:rsidRDefault="00FC45AE">
      <w:pPr>
        <w:pStyle w:val="TOC2"/>
        <w:rPr>
          <w:rFonts w:asciiTheme="minorHAnsi" w:eastAsiaTheme="minorEastAsia" w:hAnsiTheme="minorHAnsi" w:cstheme="minorBidi"/>
          <w:sz w:val="22"/>
          <w:szCs w:val="22"/>
        </w:rPr>
      </w:pPr>
      <w:r w:rsidRPr="008851A7">
        <w:fldChar w:fldCharType="begin"/>
      </w:r>
      <w:r w:rsidRPr="008851A7">
        <w:instrText xml:space="preserve"> TOC \o "2-4" \z \t "H2_Chapter,1,H3_Alpha,2,H4_Number,3,Mark for Attachment Title,8,Mark for Appendix Title,8" </w:instrText>
      </w:r>
      <w:r w:rsidRPr="008851A7">
        <w:fldChar w:fldCharType="separate"/>
      </w:r>
      <w:r w:rsidR="008851A7" w:rsidRPr="008851A7">
        <w:t>A.1.</w:t>
      </w:r>
      <w:r w:rsidR="008851A7" w:rsidRPr="008851A7">
        <w:rPr>
          <w:rFonts w:asciiTheme="minorHAnsi" w:eastAsiaTheme="minorEastAsia" w:hAnsiTheme="minorHAnsi" w:cstheme="minorBidi"/>
          <w:sz w:val="22"/>
          <w:szCs w:val="22"/>
        </w:rPr>
        <w:tab/>
      </w:r>
      <w:r w:rsidR="008851A7" w:rsidRPr="008851A7">
        <w:t>Circumstances making the collection of information necessary</w:t>
      </w:r>
      <w:r w:rsidR="008851A7" w:rsidRPr="008851A7">
        <w:rPr>
          <w:webHidden/>
        </w:rPr>
        <w:tab/>
      </w:r>
      <w:r w:rsidR="008851A7" w:rsidRPr="008851A7">
        <w:rPr>
          <w:webHidden/>
        </w:rPr>
        <w:fldChar w:fldCharType="begin"/>
      </w:r>
      <w:r w:rsidR="008851A7" w:rsidRPr="008851A7">
        <w:rPr>
          <w:webHidden/>
        </w:rPr>
        <w:instrText xml:space="preserve"> PAGEREF _Toc265321 \h </w:instrText>
      </w:r>
      <w:r w:rsidR="008851A7" w:rsidRPr="008851A7">
        <w:rPr>
          <w:webHidden/>
        </w:rPr>
      </w:r>
      <w:r w:rsidR="008851A7" w:rsidRPr="008851A7">
        <w:rPr>
          <w:webHidden/>
        </w:rPr>
        <w:fldChar w:fldCharType="separate"/>
      </w:r>
      <w:r w:rsidR="00B922C4">
        <w:rPr>
          <w:webHidden/>
        </w:rPr>
        <w:t>1</w:t>
      </w:r>
      <w:r w:rsidR="008851A7" w:rsidRPr="008851A7">
        <w:rPr>
          <w:webHidden/>
        </w:rPr>
        <w:fldChar w:fldCharType="end"/>
      </w:r>
    </w:p>
    <w:p w14:paraId="35FE32D0" w14:textId="77777777" w:rsidR="008851A7" w:rsidRPr="008851A7" w:rsidRDefault="008851A7">
      <w:pPr>
        <w:pStyle w:val="TOC2"/>
        <w:rPr>
          <w:rFonts w:asciiTheme="minorHAnsi" w:eastAsiaTheme="minorEastAsia" w:hAnsiTheme="minorHAnsi" w:cstheme="minorBidi"/>
          <w:sz w:val="22"/>
          <w:szCs w:val="22"/>
        </w:rPr>
      </w:pPr>
      <w:r w:rsidRPr="008851A7">
        <w:t xml:space="preserve">A.2. </w:t>
      </w:r>
      <w:r w:rsidRPr="008851A7">
        <w:rPr>
          <w:rFonts w:asciiTheme="minorHAnsi" w:eastAsiaTheme="minorEastAsia" w:hAnsiTheme="minorHAnsi" w:cstheme="minorBidi"/>
          <w:sz w:val="22"/>
          <w:szCs w:val="22"/>
        </w:rPr>
        <w:tab/>
      </w:r>
      <w:r w:rsidRPr="008851A7">
        <w:t>Purpose and use of information collection</w:t>
      </w:r>
      <w:r w:rsidRPr="008851A7">
        <w:rPr>
          <w:webHidden/>
        </w:rPr>
        <w:tab/>
      </w:r>
      <w:r w:rsidRPr="008851A7">
        <w:rPr>
          <w:webHidden/>
        </w:rPr>
        <w:fldChar w:fldCharType="begin"/>
      </w:r>
      <w:r w:rsidRPr="008851A7">
        <w:rPr>
          <w:webHidden/>
        </w:rPr>
        <w:instrText xml:space="preserve"> PAGEREF _Toc265322 \h </w:instrText>
      </w:r>
      <w:r w:rsidRPr="008851A7">
        <w:rPr>
          <w:webHidden/>
        </w:rPr>
      </w:r>
      <w:r w:rsidRPr="008851A7">
        <w:rPr>
          <w:webHidden/>
        </w:rPr>
        <w:fldChar w:fldCharType="separate"/>
      </w:r>
      <w:r w:rsidR="00B922C4">
        <w:rPr>
          <w:webHidden/>
        </w:rPr>
        <w:t>3</w:t>
      </w:r>
      <w:r w:rsidRPr="008851A7">
        <w:rPr>
          <w:webHidden/>
        </w:rPr>
        <w:fldChar w:fldCharType="end"/>
      </w:r>
    </w:p>
    <w:p w14:paraId="73F02CC7" w14:textId="77777777" w:rsidR="008851A7" w:rsidRPr="008851A7" w:rsidRDefault="008851A7">
      <w:pPr>
        <w:pStyle w:val="TOC2"/>
        <w:rPr>
          <w:rFonts w:asciiTheme="minorHAnsi" w:eastAsiaTheme="minorEastAsia" w:hAnsiTheme="minorHAnsi" w:cstheme="minorBidi"/>
          <w:sz w:val="22"/>
          <w:szCs w:val="22"/>
        </w:rPr>
      </w:pPr>
      <w:r w:rsidRPr="008851A7">
        <w:t xml:space="preserve">A.3. </w:t>
      </w:r>
      <w:r w:rsidRPr="008851A7">
        <w:rPr>
          <w:rFonts w:asciiTheme="minorHAnsi" w:eastAsiaTheme="minorEastAsia" w:hAnsiTheme="minorHAnsi" w:cstheme="minorBidi"/>
          <w:sz w:val="22"/>
          <w:szCs w:val="22"/>
        </w:rPr>
        <w:tab/>
      </w:r>
      <w:r w:rsidRPr="008851A7">
        <w:t>Use of improved information technology and burden reduction</w:t>
      </w:r>
      <w:r w:rsidRPr="008851A7">
        <w:rPr>
          <w:webHidden/>
        </w:rPr>
        <w:tab/>
      </w:r>
      <w:r w:rsidRPr="008851A7">
        <w:rPr>
          <w:webHidden/>
        </w:rPr>
        <w:fldChar w:fldCharType="begin"/>
      </w:r>
      <w:r w:rsidRPr="008851A7">
        <w:rPr>
          <w:webHidden/>
        </w:rPr>
        <w:instrText xml:space="preserve"> PAGEREF _Toc265323 \h </w:instrText>
      </w:r>
      <w:r w:rsidRPr="008851A7">
        <w:rPr>
          <w:webHidden/>
        </w:rPr>
      </w:r>
      <w:r w:rsidRPr="008851A7">
        <w:rPr>
          <w:webHidden/>
        </w:rPr>
        <w:fldChar w:fldCharType="separate"/>
      </w:r>
      <w:r w:rsidR="00B922C4">
        <w:rPr>
          <w:webHidden/>
        </w:rPr>
        <w:t>5</w:t>
      </w:r>
      <w:r w:rsidRPr="008851A7">
        <w:rPr>
          <w:webHidden/>
        </w:rPr>
        <w:fldChar w:fldCharType="end"/>
      </w:r>
    </w:p>
    <w:p w14:paraId="5FF2B89D" w14:textId="77777777" w:rsidR="008851A7" w:rsidRPr="008851A7" w:rsidRDefault="008851A7">
      <w:pPr>
        <w:pStyle w:val="TOC2"/>
        <w:rPr>
          <w:rFonts w:asciiTheme="minorHAnsi" w:eastAsiaTheme="minorEastAsia" w:hAnsiTheme="minorHAnsi" w:cstheme="minorBidi"/>
          <w:sz w:val="22"/>
          <w:szCs w:val="22"/>
        </w:rPr>
      </w:pPr>
      <w:r w:rsidRPr="008851A7">
        <w:t>A.4.</w:t>
      </w:r>
      <w:r w:rsidRPr="008851A7">
        <w:rPr>
          <w:rFonts w:asciiTheme="minorHAnsi" w:eastAsiaTheme="minorEastAsia" w:hAnsiTheme="minorHAnsi" w:cstheme="minorBidi"/>
          <w:sz w:val="22"/>
          <w:szCs w:val="22"/>
        </w:rPr>
        <w:tab/>
      </w:r>
      <w:r w:rsidRPr="008851A7">
        <w:t>Efforts to identify duplication and use of similar information</w:t>
      </w:r>
      <w:r w:rsidRPr="008851A7">
        <w:rPr>
          <w:webHidden/>
        </w:rPr>
        <w:tab/>
      </w:r>
      <w:r w:rsidRPr="008851A7">
        <w:rPr>
          <w:webHidden/>
        </w:rPr>
        <w:fldChar w:fldCharType="begin"/>
      </w:r>
      <w:r w:rsidRPr="008851A7">
        <w:rPr>
          <w:webHidden/>
        </w:rPr>
        <w:instrText xml:space="preserve"> PAGEREF _Toc265324 \h </w:instrText>
      </w:r>
      <w:r w:rsidRPr="008851A7">
        <w:rPr>
          <w:webHidden/>
        </w:rPr>
      </w:r>
      <w:r w:rsidRPr="008851A7">
        <w:rPr>
          <w:webHidden/>
        </w:rPr>
        <w:fldChar w:fldCharType="separate"/>
      </w:r>
      <w:r w:rsidR="00B922C4">
        <w:rPr>
          <w:webHidden/>
        </w:rPr>
        <w:t>6</w:t>
      </w:r>
      <w:r w:rsidRPr="008851A7">
        <w:rPr>
          <w:webHidden/>
        </w:rPr>
        <w:fldChar w:fldCharType="end"/>
      </w:r>
    </w:p>
    <w:p w14:paraId="7DA155A5" w14:textId="77777777" w:rsidR="008851A7" w:rsidRPr="008851A7" w:rsidRDefault="008851A7">
      <w:pPr>
        <w:pStyle w:val="TOC2"/>
        <w:rPr>
          <w:rFonts w:asciiTheme="minorHAnsi" w:eastAsiaTheme="minorEastAsia" w:hAnsiTheme="minorHAnsi" w:cstheme="minorBidi"/>
          <w:sz w:val="22"/>
          <w:szCs w:val="22"/>
        </w:rPr>
      </w:pPr>
      <w:r w:rsidRPr="008851A7">
        <w:t>A.5.</w:t>
      </w:r>
      <w:r w:rsidRPr="008851A7">
        <w:rPr>
          <w:rFonts w:asciiTheme="minorHAnsi" w:eastAsiaTheme="minorEastAsia" w:hAnsiTheme="minorHAnsi" w:cstheme="minorBidi"/>
          <w:sz w:val="22"/>
          <w:szCs w:val="22"/>
        </w:rPr>
        <w:tab/>
      </w:r>
      <w:r w:rsidRPr="008851A7">
        <w:t>Impact on small businesses or other small entities</w:t>
      </w:r>
      <w:r w:rsidRPr="008851A7">
        <w:rPr>
          <w:webHidden/>
        </w:rPr>
        <w:tab/>
      </w:r>
      <w:r w:rsidRPr="008851A7">
        <w:rPr>
          <w:webHidden/>
        </w:rPr>
        <w:fldChar w:fldCharType="begin"/>
      </w:r>
      <w:r w:rsidRPr="008851A7">
        <w:rPr>
          <w:webHidden/>
        </w:rPr>
        <w:instrText xml:space="preserve"> PAGEREF _Toc265325 \h </w:instrText>
      </w:r>
      <w:r w:rsidRPr="008851A7">
        <w:rPr>
          <w:webHidden/>
        </w:rPr>
      </w:r>
      <w:r w:rsidRPr="008851A7">
        <w:rPr>
          <w:webHidden/>
        </w:rPr>
        <w:fldChar w:fldCharType="separate"/>
      </w:r>
      <w:r w:rsidR="00B922C4">
        <w:rPr>
          <w:webHidden/>
        </w:rPr>
        <w:t>6</w:t>
      </w:r>
      <w:r w:rsidRPr="008851A7">
        <w:rPr>
          <w:webHidden/>
        </w:rPr>
        <w:fldChar w:fldCharType="end"/>
      </w:r>
    </w:p>
    <w:p w14:paraId="315F8963" w14:textId="77777777" w:rsidR="008851A7" w:rsidRPr="008851A7" w:rsidRDefault="008851A7">
      <w:pPr>
        <w:pStyle w:val="TOC2"/>
        <w:rPr>
          <w:rFonts w:asciiTheme="minorHAnsi" w:eastAsiaTheme="minorEastAsia" w:hAnsiTheme="minorHAnsi" w:cstheme="minorBidi"/>
          <w:sz w:val="22"/>
          <w:szCs w:val="22"/>
        </w:rPr>
      </w:pPr>
      <w:r w:rsidRPr="008851A7">
        <w:t>A.6.</w:t>
      </w:r>
      <w:r w:rsidRPr="008851A7">
        <w:rPr>
          <w:rFonts w:asciiTheme="minorHAnsi" w:eastAsiaTheme="minorEastAsia" w:hAnsiTheme="minorHAnsi" w:cstheme="minorBidi"/>
          <w:sz w:val="22"/>
          <w:szCs w:val="22"/>
        </w:rPr>
        <w:tab/>
      </w:r>
      <w:r w:rsidRPr="008851A7">
        <w:t>Consequences of not collecting the information or collecting the information less frequently</w:t>
      </w:r>
      <w:r w:rsidRPr="008851A7">
        <w:rPr>
          <w:webHidden/>
        </w:rPr>
        <w:tab/>
      </w:r>
      <w:r w:rsidRPr="008851A7">
        <w:rPr>
          <w:webHidden/>
        </w:rPr>
        <w:fldChar w:fldCharType="begin"/>
      </w:r>
      <w:r w:rsidRPr="008851A7">
        <w:rPr>
          <w:webHidden/>
        </w:rPr>
        <w:instrText xml:space="preserve"> PAGEREF _Toc265326 \h </w:instrText>
      </w:r>
      <w:r w:rsidRPr="008851A7">
        <w:rPr>
          <w:webHidden/>
        </w:rPr>
      </w:r>
      <w:r w:rsidRPr="008851A7">
        <w:rPr>
          <w:webHidden/>
        </w:rPr>
        <w:fldChar w:fldCharType="separate"/>
      </w:r>
      <w:r w:rsidR="00B922C4">
        <w:rPr>
          <w:webHidden/>
        </w:rPr>
        <w:t>7</w:t>
      </w:r>
      <w:r w:rsidRPr="008851A7">
        <w:rPr>
          <w:webHidden/>
        </w:rPr>
        <w:fldChar w:fldCharType="end"/>
      </w:r>
    </w:p>
    <w:p w14:paraId="39266AEA" w14:textId="77777777" w:rsidR="008851A7" w:rsidRPr="008851A7" w:rsidRDefault="008851A7">
      <w:pPr>
        <w:pStyle w:val="TOC2"/>
        <w:rPr>
          <w:rFonts w:asciiTheme="minorHAnsi" w:eastAsiaTheme="minorEastAsia" w:hAnsiTheme="minorHAnsi" w:cstheme="minorBidi"/>
          <w:sz w:val="22"/>
          <w:szCs w:val="22"/>
        </w:rPr>
      </w:pPr>
      <w:r w:rsidRPr="008851A7">
        <w:t>A.7.</w:t>
      </w:r>
      <w:r w:rsidRPr="008851A7">
        <w:rPr>
          <w:rFonts w:asciiTheme="minorHAnsi" w:eastAsiaTheme="minorEastAsia" w:hAnsiTheme="minorHAnsi" w:cstheme="minorBidi"/>
          <w:sz w:val="22"/>
          <w:szCs w:val="22"/>
        </w:rPr>
        <w:tab/>
      </w:r>
      <w:r w:rsidRPr="008851A7">
        <w:t>Special circumstances relating to the guidelines of 5 CFR 1320.5</w:t>
      </w:r>
      <w:r w:rsidRPr="008851A7">
        <w:rPr>
          <w:webHidden/>
        </w:rPr>
        <w:tab/>
      </w:r>
      <w:r w:rsidRPr="008851A7">
        <w:rPr>
          <w:webHidden/>
        </w:rPr>
        <w:fldChar w:fldCharType="begin"/>
      </w:r>
      <w:r w:rsidRPr="008851A7">
        <w:rPr>
          <w:webHidden/>
        </w:rPr>
        <w:instrText xml:space="preserve"> PAGEREF _Toc265327 \h </w:instrText>
      </w:r>
      <w:r w:rsidRPr="008851A7">
        <w:rPr>
          <w:webHidden/>
        </w:rPr>
      </w:r>
      <w:r w:rsidRPr="008851A7">
        <w:rPr>
          <w:webHidden/>
        </w:rPr>
        <w:fldChar w:fldCharType="separate"/>
      </w:r>
      <w:r w:rsidR="00B922C4">
        <w:rPr>
          <w:webHidden/>
        </w:rPr>
        <w:t>7</w:t>
      </w:r>
      <w:r w:rsidRPr="008851A7">
        <w:rPr>
          <w:webHidden/>
        </w:rPr>
        <w:fldChar w:fldCharType="end"/>
      </w:r>
    </w:p>
    <w:p w14:paraId="11E06595" w14:textId="77777777" w:rsidR="008851A7" w:rsidRPr="008851A7" w:rsidRDefault="008851A7">
      <w:pPr>
        <w:pStyle w:val="TOC2"/>
        <w:rPr>
          <w:rFonts w:asciiTheme="minorHAnsi" w:eastAsiaTheme="minorEastAsia" w:hAnsiTheme="minorHAnsi" w:cstheme="minorBidi"/>
          <w:sz w:val="22"/>
          <w:szCs w:val="22"/>
        </w:rPr>
      </w:pPr>
      <w:r w:rsidRPr="008851A7">
        <w:t>A.8.</w:t>
      </w:r>
      <w:r w:rsidRPr="008851A7">
        <w:rPr>
          <w:rFonts w:asciiTheme="minorHAnsi" w:eastAsiaTheme="minorEastAsia" w:hAnsiTheme="minorHAnsi" w:cstheme="minorBidi"/>
          <w:sz w:val="22"/>
          <w:szCs w:val="22"/>
        </w:rPr>
        <w:tab/>
      </w:r>
      <w:r w:rsidRPr="008851A7">
        <w:t xml:space="preserve">Comments in response to the </w:t>
      </w:r>
      <w:r w:rsidRPr="008851A7">
        <w:rPr>
          <w:i/>
        </w:rPr>
        <w:t>Federal Register</w:t>
      </w:r>
      <w:r w:rsidRPr="008851A7">
        <w:t xml:space="preserve"> notice/outside consultation</w:t>
      </w:r>
      <w:r w:rsidRPr="008851A7">
        <w:rPr>
          <w:webHidden/>
        </w:rPr>
        <w:tab/>
      </w:r>
      <w:r w:rsidRPr="008851A7">
        <w:rPr>
          <w:webHidden/>
        </w:rPr>
        <w:fldChar w:fldCharType="begin"/>
      </w:r>
      <w:r w:rsidRPr="008851A7">
        <w:rPr>
          <w:webHidden/>
        </w:rPr>
        <w:instrText xml:space="preserve"> PAGEREF _Toc265328 \h </w:instrText>
      </w:r>
      <w:r w:rsidRPr="008851A7">
        <w:rPr>
          <w:webHidden/>
        </w:rPr>
      </w:r>
      <w:r w:rsidRPr="008851A7">
        <w:rPr>
          <w:webHidden/>
        </w:rPr>
        <w:fldChar w:fldCharType="separate"/>
      </w:r>
      <w:r w:rsidR="00B922C4">
        <w:rPr>
          <w:webHidden/>
        </w:rPr>
        <w:t>7</w:t>
      </w:r>
      <w:r w:rsidRPr="008851A7">
        <w:rPr>
          <w:webHidden/>
        </w:rPr>
        <w:fldChar w:fldCharType="end"/>
      </w:r>
    </w:p>
    <w:p w14:paraId="68A5BF0C" w14:textId="77777777" w:rsidR="008851A7" w:rsidRPr="008851A7" w:rsidRDefault="008851A7">
      <w:pPr>
        <w:pStyle w:val="TOC2"/>
        <w:rPr>
          <w:rFonts w:asciiTheme="minorHAnsi" w:eastAsiaTheme="minorEastAsia" w:hAnsiTheme="minorHAnsi" w:cstheme="minorBidi"/>
          <w:sz w:val="22"/>
          <w:szCs w:val="22"/>
        </w:rPr>
      </w:pPr>
      <w:r w:rsidRPr="008851A7">
        <w:t>A.9.</w:t>
      </w:r>
      <w:r w:rsidRPr="008851A7">
        <w:rPr>
          <w:rFonts w:asciiTheme="minorHAnsi" w:eastAsiaTheme="minorEastAsia" w:hAnsiTheme="minorHAnsi" w:cstheme="minorBidi"/>
          <w:sz w:val="22"/>
          <w:szCs w:val="22"/>
        </w:rPr>
        <w:tab/>
      </w:r>
      <w:r w:rsidRPr="008851A7">
        <w:t>Explanation of any payment/gift to respondents</w:t>
      </w:r>
      <w:r w:rsidRPr="008851A7">
        <w:rPr>
          <w:webHidden/>
        </w:rPr>
        <w:tab/>
      </w:r>
      <w:r w:rsidRPr="008851A7">
        <w:rPr>
          <w:webHidden/>
        </w:rPr>
        <w:fldChar w:fldCharType="begin"/>
      </w:r>
      <w:r w:rsidRPr="008851A7">
        <w:rPr>
          <w:webHidden/>
        </w:rPr>
        <w:instrText xml:space="preserve"> PAGEREF _Toc265329 \h </w:instrText>
      </w:r>
      <w:r w:rsidRPr="008851A7">
        <w:rPr>
          <w:webHidden/>
        </w:rPr>
      </w:r>
      <w:r w:rsidRPr="008851A7">
        <w:rPr>
          <w:webHidden/>
        </w:rPr>
        <w:fldChar w:fldCharType="separate"/>
      </w:r>
      <w:r w:rsidR="00B922C4">
        <w:rPr>
          <w:webHidden/>
        </w:rPr>
        <w:t>7</w:t>
      </w:r>
      <w:r w:rsidRPr="008851A7">
        <w:rPr>
          <w:webHidden/>
        </w:rPr>
        <w:fldChar w:fldCharType="end"/>
      </w:r>
    </w:p>
    <w:p w14:paraId="399F18DC" w14:textId="77777777" w:rsidR="008851A7" w:rsidRPr="008851A7" w:rsidRDefault="008851A7">
      <w:pPr>
        <w:pStyle w:val="TOC2"/>
        <w:rPr>
          <w:rFonts w:asciiTheme="minorHAnsi" w:eastAsiaTheme="minorEastAsia" w:hAnsiTheme="minorHAnsi" w:cstheme="minorBidi"/>
          <w:sz w:val="22"/>
          <w:szCs w:val="22"/>
        </w:rPr>
      </w:pPr>
      <w:r w:rsidRPr="008851A7">
        <w:t>A.10.</w:t>
      </w:r>
      <w:r w:rsidRPr="008851A7">
        <w:rPr>
          <w:rFonts w:asciiTheme="minorHAnsi" w:eastAsiaTheme="minorEastAsia" w:hAnsiTheme="minorHAnsi" w:cstheme="minorBidi"/>
          <w:sz w:val="22"/>
          <w:szCs w:val="22"/>
        </w:rPr>
        <w:tab/>
      </w:r>
      <w:r w:rsidRPr="008851A7">
        <w:t>Assurance of confidentiality provided to respondents</w:t>
      </w:r>
      <w:r w:rsidRPr="008851A7">
        <w:rPr>
          <w:webHidden/>
        </w:rPr>
        <w:tab/>
      </w:r>
      <w:r w:rsidRPr="008851A7">
        <w:rPr>
          <w:webHidden/>
        </w:rPr>
        <w:fldChar w:fldCharType="begin"/>
      </w:r>
      <w:r w:rsidRPr="008851A7">
        <w:rPr>
          <w:webHidden/>
        </w:rPr>
        <w:instrText xml:space="preserve"> PAGEREF _Toc265330 \h </w:instrText>
      </w:r>
      <w:r w:rsidRPr="008851A7">
        <w:rPr>
          <w:webHidden/>
        </w:rPr>
      </w:r>
      <w:r w:rsidRPr="008851A7">
        <w:rPr>
          <w:webHidden/>
        </w:rPr>
        <w:fldChar w:fldCharType="separate"/>
      </w:r>
      <w:r w:rsidR="00B922C4">
        <w:rPr>
          <w:webHidden/>
        </w:rPr>
        <w:t>8</w:t>
      </w:r>
      <w:r w:rsidRPr="008851A7">
        <w:rPr>
          <w:webHidden/>
        </w:rPr>
        <w:fldChar w:fldCharType="end"/>
      </w:r>
    </w:p>
    <w:p w14:paraId="2789802C" w14:textId="77777777" w:rsidR="008851A7" w:rsidRPr="008851A7" w:rsidRDefault="008851A7">
      <w:pPr>
        <w:pStyle w:val="TOC2"/>
        <w:rPr>
          <w:rFonts w:asciiTheme="minorHAnsi" w:eastAsiaTheme="minorEastAsia" w:hAnsiTheme="minorHAnsi" w:cstheme="minorBidi"/>
          <w:sz w:val="22"/>
          <w:szCs w:val="22"/>
        </w:rPr>
      </w:pPr>
      <w:r w:rsidRPr="008851A7">
        <w:t>A.11.</w:t>
      </w:r>
      <w:r w:rsidRPr="008851A7">
        <w:rPr>
          <w:rFonts w:asciiTheme="minorHAnsi" w:eastAsiaTheme="minorEastAsia" w:hAnsiTheme="minorHAnsi" w:cstheme="minorBidi"/>
          <w:sz w:val="22"/>
          <w:szCs w:val="22"/>
        </w:rPr>
        <w:tab/>
      </w:r>
      <w:r w:rsidRPr="008851A7">
        <w:t>Justification for sensitive questions</w:t>
      </w:r>
      <w:r w:rsidRPr="008851A7">
        <w:rPr>
          <w:webHidden/>
        </w:rPr>
        <w:tab/>
      </w:r>
      <w:r w:rsidRPr="008851A7">
        <w:rPr>
          <w:webHidden/>
        </w:rPr>
        <w:fldChar w:fldCharType="begin"/>
      </w:r>
      <w:r w:rsidRPr="008851A7">
        <w:rPr>
          <w:webHidden/>
        </w:rPr>
        <w:instrText xml:space="preserve"> PAGEREF _Toc265331 \h </w:instrText>
      </w:r>
      <w:r w:rsidRPr="008851A7">
        <w:rPr>
          <w:webHidden/>
        </w:rPr>
      </w:r>
      <w:r w:rsidRPr="008851A7">
        <w:rPr>
          <w:webHidden/>
        </w:rPr>
        <w:fldChar w:fldCharType="separate"/>
      </w:r>
      <w:r w:rsidR="00B922C4">
        <w:rPr>
          <w:webHidden/>
        </w:rPr>
        <w:t>9</w:t>
      </w:r>
      <w:r w:rsidRPr="008851A7">
        <w:rPr>
          <w:webHidden/>
        </w:rPr>
        <w:fldChar w:fldCharType="end"/>
      </w:r>
    </w:p>
    <w:p w14:paraId="6106E010" w14:textId="77777777" w:rsidR="008851A7" w:rsidRPr="008851A7" w:rsidRDefault="008851A7">
      <w:pPr>
        <w:pStyle w:val="TOC2"/>
        <w:rPr>
          <w:rFonts w:asciiTheme="minorHAnsi" w:eastAsiaTheme="minorEastAsia" w:hAnsiTheme="minorHAnsi" w:cstheme="minorBidi"/>
          <w:sz w:val="22"/>
          <w:szCs w:val="22"/>
        </w:rPr>
      </w:pPr>
      <w:r w:rsidRPr="008851A7">
        <w:t>A.12.</w:t>
      </w:r>
      <w:r w:rsidRPr="008851A7">
        <w:rPr>
          <w:rFonts w:asciiTheme="minorHAnsi" w:eastAsiaTheme="minorEastAsia" w:hAnsiTheme="minorHAnsi" w:cstheme="minorBidi"/>
          <w:sz w:val="22"/>
          <w:szCs w:val="22"/>
        </w:rPr>
        <w:tab/>
      </w:r>
      <w:r w:rsidRPr="008851A7">
        <w:t>Estimates of annualized hour and cost burden</w:t>
      </w:r>
      <w:r w:rsidRPr="008851A7">
        <w:rPr>
          <w:webHidden/>
        </w:rPr>
        <w:tab/>
      </w:r>
      <w:r w:rsidRPr="008851A7">
        <w:rPr>
          <w:webHidden/>
        </w:rPr>
        <w:fldChar w:fldCharType="begin"/>
      </w:r>
      <w:r w:rsidRPr="008851A7">
        <w:rPr>
          <w:webHidden/>
        </w:rPr>
        <w:instrText xml:space="preserve"> PAGEREF _Toc265332 \h </w:instrText>
      </w:r>
      <w:r w:rsidRPr="008851A7">
        <w:rPr>
          <w:webHidden/>
        </w:rPr>
      </w:r>
      <w:r w:rsidRPr="008851A7">
        <w:rPr>
          <w:webHidden/>
        </w:rPr>
        <w:fldChar w:fldCharType="separate"/>
      </w:r>
      <w:r w:rsidR="00B922C4">
        <w:rPr>
          <w:webHidden/>
        </w:rPr>
        <w:t>10</w:t>
      </w:r>
      <w:r w:rsidRPr="008851A7">
        <w:rPr>
          <w:webHidden/>
        </w:rPr>
        <w:fldChar w:fldCharType="end"/>
      </w:r>
    </w:p>
    <w:p w14:paraId="5FCEBBF9" w14:textId="77777777" w:rsidR="008851A7" w:rsidRPr="008851A7" w:rsidRDefault="008851A7">
      <w:pPr>
        <w:pStyle w:val="TOC2"/>
        <w:rPr>
          <w:rFonts w:asciiTheme="minorHAnsi" w:eastAsiaTheme="minorEastAsia" w:hAnsiTheme="minorHAnsi" w:cstheme="minorBidi"/>
          <w:sz w:val="22"/>
          <w:szCs w:val="22"/>
        </w:rPr>
      </w:pPr>
      <w:r w:rsidRPr="008851A7">
        <w:t>A.13.</w:t>
      </w:r>
      <w:r w:rsidRPr="008851A7">
        <w:rPr>
          <w:rFonts w:asciiTheme="minorHAnsi" w:eastAsiaTheme="minorEastAsia" w:hAnsiTheme="minorHAnsi" w:cstheme="minorBidi"/>
          <w:sz w:val="22"/>
          <w:szCs w:val="22"/>
        </w:rPr>
        <w:tab/>
      </w:r>
      <w:r w:rsidRPr="008851A7">
        <w:t>Estimates of other total annual cost burden to respondents or record keepers/capital costs</w:t>
      </w:r>
      <w:r w:rsidRPr="008851A7">
        <w:rPr>
          <w:webHidden/>
        </w:rPr>
        <w:tab/>
      </w:r>
      <w:r w:rsidRPr="008851A7">
        <w:rPr>
          <w:webHidden/>
        </w:rPr>
        <w:fldChar w:fldCharType="begin"/>
      </w:r>
      <w:r w:rsidRPr="008851A7">
        <w:rPr>
          <w:webHidden/>
        </w:rPr>
        <w:instrText xml:space="preserve"> PAGEREF _Toc265333 \h </w:instrText>
      </w:r>
      <w:r w:rsidRPr="008851A7">
        <w:rPr>
          <w:webHidden/>
        </w:rPr>
      </w:r>
      <w:r w:rsidRPr="008851A7">
        <w:rPr>
          <w:webHidden/>
        </w:rPr>
        <w:fldChar w:fldCharType="separate"/>
      </w:r>
      <w:r w:rsidR="00B922C4">
        <w:rPr>
          <w:webHidden/>
        </w:rPr>
        <w:t>11</w:t>
      </w:r>
      <w:r w:rsidRPr="008851A7">
        <w:rPr>
          <w:webHidden/>
        </w:rPr>
        <w:fldChar w:fldCharType="end"/>
      </w:r>
    </w:p>
    <w:p w14:paraId="190E2A75" w14:textId="77777777" w:rsidR="008851A7" w:rsidRPr="008851A7" w:rsidRDefault="008851A7">
      <w:pPr>
        <w:pStyle w:val="TOC2"/>
        <w:rPr>
          <w:rFonts w:asciiTheme="minorHAnsi" w:eastAsiaTheme="minorEastAsia" w:hAnsiTheme="minorHAnsi" w:cstheme="minorBidi"/>
          <w:sz w:val="22"/>
          <w:szCs w:val="22"/>
        </w:rPr>
      </w:pPr>
      <w:r w:rsidRPr="008851A7">
        <w:t>A.14.</w:t>
      </w:r>
      <w:r w:rsidRPr="008851A7">
        <w:rPr>
          <w:rFonts w:asciiTheme="minorHAnsi" w:eastAsiaTheme="minorEastAsia" w:hAnsiTheme="minorHAnsi" w:cstheme="minorBidi"/>
          <w:sz w:val="22"/>
          <w:szCs w:val="22"/>
        </w:rPr>
        <w:tab/>
      </w:r>
      <w:r w:rsidRPr="008851A7">
        <w:t>Annualized cost to federal government</w:t>
      </w:r>
      <w:r w:rsidRPr="008851A7">
        <w:rPr>
          <w:webHidden/>
        </w:rPr>
        <w:tab/>
      </w:r>
      <w:r w:rsidRPr="008851A7">
        <w:rPr>
          <w:webHidden/>
        </w:rPr>
        <w:fldChar w:fldCharType="begin"/>
      </w:r>
      <w:r w:rsidRPr="008851A7">
        <w:rPr>
          <w:webHidden/>
        </w:rPr>
        <w:instrText xml:space="preserve"> PAGEREF _Toc265334 \h </w:instrText>
      </w:r>
      <w:r w:rsidRPr="008851A7">
        <w:rPr>
          <w:webHidden/>
        </w:rPr>
      </w:r>
      <w:r w:rsidRPr="008851A7">
        <w:rPr>
          <w:webHidden/>
        </w:rPr>
        <w:fldChar w:fldCharType="separate"/>
      </w:r>
      <w:r w:rsidR="00B922C4">
        <w:rPr>
          <w:webHidden/>
        </w:rPr>
        <w:t>11</w:t>
      </w:r>
      <w:r w:rsidRPr="008851A7">
        <w:rPr>
          <w:webHidden/>
        </w:rPr>
        <w:fldChar w:fldCharType="end"/>
      </w:r>
    </w:p>
    <w:p w14:paraId="4F7F8CAA" w14:textId="77777777" w:rsidR="008851A7" w:rsidRPr="008851A7" w:rsidRDefault="008851A7">
      <w:pPr>
        <w:pStyle w:val="TOC2"/>
        <w:rPr>
          <w:rFonts w:asciiTheme="minorHAnsi" w:eastAsiaTheme="minorEastAsia" w:hAnsiTheme="minorHAnsi" w:cstheme="minorBidi"/>
          <w:sz w:val="22"/>
          <w:szCs w:val="22"/>
        </w:rPr>
      </w:pPr>
      <w:r w:rsidRPr="008851A7">
        <w:t>A.15.</w:t>
      </w:r>
      <w:r w:rsidRPr="008851A7">
        <w:rPr>
          <w:rFonts w:asciiTheme="minorHAnsi" w:eastAsiaTheme="minorEastAsia" w:hAnsiTheme="minorHAnsi" w:cstheme="minorBidi"/>
          <w:sz w:val="22"/>
          <w:szCs w:val="22"/>
        </w:rPr>
        <w:tab/>
      </w:r>
      <w:r w:rsidRPr="008851A7">
        <w:t>Explanation for program changes or adjustments</w:t>
      </w:r>
      <w:r w:rsidRPr="008851A7">
        <w:rPr>
          <w:webHidden/>
        </w:rPr>
        <w:tab/>
      </w:r>
      <w:r w:rsidRPr="008851A7">
        <w:rPr>
          <w:webHidden/>
        </w:rPr>
        <w:fldChar w:fldCharType="begin"/>
      </w:r>
      <w:r w:rsidRPr="008851A7">
        <w:rPr>
          <w:webHidden/>
        </w:rPr>
        <w:instrText xml:space="preserve"> PAGEREF _Toc265335 \h </w:instrText>
      </w:r>
      <w:r w:rsidRPr="008851A7">
        <w:rPr>
          <w:webHidden/>
        </w:rPr>
      </w:r>
      <w:r w:rsidRPr="008851A7">
        <w:rPr>
          <w:webHidden/>
        </w:rPr>
        <w:fldChar w:fldCharType="separate"/>
      </w:r>
      <w:r w:rsidR="00B922C4">
        <w:rPr>
          <w:webHidden/>
        </w:rPr>
        <w:t>12</w:t>
      </w:r>
      <w:r w:rsidRPr="008851A7">
        <w:rPr>
          <w:webHidden/>
        </w:rPr>
        <w:fldChar w:fldCharType="end"/>
      </w:r>
    </w:p>
    <w:p w14:paraId="6B443E81" w14:textId="77777777" w:rsidR="008851A7" w:rsidRPr="008851A7" w:rsidRDefault="008851A7">
      <w:pPr>
        <w:pStyle w:val="TOC2"/>
        <w:rPr>
          <w:rFonts w:asciiTheme="minorHAnsi" w:eastAsiaTheme="minorEastAsia" w:hAnsiTheme="minorHAnsi" w:cstheme="minorBidi"/>
          <w:sz w:val="22"/>
          <w:szCs w:val="22"/>
        </w:rPr>
      </w:pPr>
      <w:r w:rsidRPr="008851A7">
        <w:t>A.16.</w:t>
      </w:r>
      <w:r w:rsidRPr="008851A7">
        <w:rPr>
          <w:rFonts w:asciiTheme="minorHAnsi" w:eastAsiaTheme="minorEastAsia" w:hAnsiTheme="minorHAnsi" w:cstheme="minorBidi"/>
          <w:sz w:val="22"/>
          <w:szCs w:val="22"/>
        </w:rPr>
        <w:tab/>
      </w:r>
      <w:r w:rsidRPr="008851A7">
        <w:t>Plans for tabulation, publication, and project time schedule</w:t>
      </w:r>
      <w:r w:rsidRPr="008851A7">
        <w:rPr>
          <w:webHidden/>
        </w:rPr>
        <w:tab/>
      </w:r>
      <w:r w:rsidRPr="008851A7">
        <w:rPr>
          <w:webHidden/>
        </w:rPr>
        <w:fldChar w:fldCharType="begin"/>
      </w:r>
      <w:r w:rsidRPr="008851A7">
        <w:rPr>
          <w:webHidden/>
        </w:rPr>
        <w:instrText xml:space="preserve"> PAGEREF _Toc265336 \h </w:instrText>
      </w:r>
      <w:r w:rsidRPr="008851A7">
        <w:rPr>
          <w:webHidden/>
        </w:rPr>
      </w:r>
      <w:r w:rsidRPr="008851A7">
        <w:rPr>
          <w:webHidden/>
        </w:rPr>
        <w:fldChar w:fldCharType="separate"/>
      </w:r>
      <w:r w:rsidR="00B922C4">
        <w:rPr>
          <w:webHidden/>
        </w:rPr>
        <w:t>12</w:t>
      </w:r>
      <w:r w:rsidRPr="008851A7">
        <w:rPr>
          <w:webHidden/>
        </w:rPr>
        <w:fldChar w:fldCharType="end"/>
      </w:r>
    </w:p>
    <w:p w14:paraId="341ED885" w14:textId="77777777" w:rsidR="008851A7" w:rsidRPr="008851A7" w:rsidRDefault="008851A7">
      <w:pPr>
        <w:pStyle w:val="TOC2"/>
        <w:rPr>
          <w:rFonts w:asciiTheme="minorHAnsi" w:eastAsiaTheme="minorEastAsia" w:hAnsiTheme="minorHAnsi" w:cstheme="minorBidi"/>
          <w:sz w:val="22"/>
          <w:szCs w:val="22"/>
        </w:rPr>
      </w:pPr>
      <w:r w:rsidRPr="008851A7">
        <w:t>A.17.</w:t>
      </w:r>
      <w:r w:rsidRPr="008851A7">
        <w:rPr>
          <w:rFonts w:asciiTheme="minorHAnsi" w:eastAsiaTheme="minorEastAsia" w:hAnsiTheme="minorHAnsi" w:cstheme="minorBidi"/>
          <w:sz w:val="22"/>
          <w:szCs w:val="22"/>
        </w:rPr>
        <w:tab/>
      </w:r>
      <w:r w:rsidRPr="008851A7">
        <w:t>Display of OMB expiration date</w:t>
      </w:r>
      <w:r w:rsidRPr="008851A7">
        <w:rPr>
          <w:webHidden/>
        </w:rPr>
        <w:tab/>
      </w:r>
      <w:r w:rsidRPr="008851A7">
        <w:rPr>
          <w:webHidden/>
        </w:rPr>
        <w:fldChar w:fldCharType="begin"/>
      </w:r>
      <w:r w:rsidRPr="008851A7">
        <w:rPr>
          <w:webHidden/>
        </w:rPr>
        <w:instrText xml:space="preserve"> PAGEREF _Toc265337 \h </w:instrText>
      </w:r>
      <w:r w:rsidRPr="008851A7">
        <w:rPr>
          <w:webHidden/>
        </w:rPr>
      </w:r>
      <w:r w:rsidRPr="008851A7">
        <w:rPr>
          <w:webHidden/>
        </w:rPr>
        <w:fldChar w:fldCharType="separate"/>
      </w:r>
      <w:r w:rsidR="00B922C4">
        <w:rPr>
          <w:webHidden/>
        </w:rPr>
        <w:t>14</w:t>
      </w:r>
      <w:r w:rsidRPr="008851A7">
        <w:rPr>
          <w:webHidden/>
        </w:rPr>
        <w:fldChar w:fldCharType="end"/>
      </w:r>
    </w:p>
    <w:p w14:paraId="1E653152" w14:textId="77777777" w:rsidR="008851A7" w:rsidRPr="008851A7" w:rsidRDefault="008851A7">
      <w:pPr>
        <w:pStyle w:val="TOC2"/>
        <w:rPr>
          <w:rFonts w:asciiTheme="minorHAnsi" w:eastAsiaTheme="minorEastAsia" w:hAnsiTheme="minorHAnsi" w:cstheme="minorBidi"/>
          <w:sz w:val="22"/>
          <w:szCs w:val="22"/>
        </w:rPr>
      </w:pPr>
      <w:r w:rsidRPr="008851A7">
        <w:t>A.18.</w:t>
      </w:r>
      <w:r w:rsidRPr="008851A7">
        <w:rPr>
          <w:rFonts w:asciiTheme="minorHAnsi" w:eastAsiaTheme="minorEastAsia" w:hAnsiTheme="minorHAnsi" w:cstheme="minorBidi"/>
          <w:sz w:val="22"/>
          <w:szCs w:val="22"/>
        </w:rPr>
        <w:tab/>
      </w:r>
      <w:r w:rsidRPr="008851A7">
        <w:t>Exceptions to certification for Paperwork Reduction Act submissions</w:t>
      </w:r>
      <w:r w:rsidRPr="008851A7">
        <w:rPr>
          <w:webHidden/>
        </w:rPr>
        <w:tab/>
      </w:r>
      <w:r w:rsidRPr="008851A7">
        <w:rPr>
          <w:webHidden/>
        </w:rPr>
        <w:fldChar w:fldCharType="begin"/>
      </w:r>
      <w:r w:rsidRPr="008851A7">
        <w:rPr>
          <w:webHidden/>
        </w:rPr>
        <w:instrText xml:space="preserve"> PAGEREF _Toc265338 \h </w:instrText>
      </w:r>
      <w:r w:rsidRPr="008851A7">
        <w:rPr>
          <w:webHidden/>
        </w:rPr>
      </w:r>
      <w:r w:rsidRPr="008851A7">
        <w:rPr>
          <w:webHidden/>
        </w:rPr>
        <w:fldChar w:fldCharType="separate"/>
      </w:r>
      <w:r w:rsidR="00B922C4">
        <w:rPr>
          <w:webHidden/>
        </w:rPr>
        <w:t>15</w:t>
      </w:r>
      <w:r w:rsidRPr="008851A7">
        <w:rPr>
          <w:webHidden/>
        </w:rPr>
        <w:fldChar w:fldCharType="end"/>
      </w:r>
    </w:p>
    <w:p w14:paraId="2B21E9D0" w14:textId="77777777" w:rsidR="00FC45AE" w:rsidRPr="008851A7" w:rsidRDefault="00FC45AE" w:rsidP="00FC45AE">
      <w:pPr>
        <w:spacing w:after="180" w:line="240" w:lineRule="auto"/>
        <w:ind w:left="720" w:hanging="720"/>
        <w:jc w:val="both"/>
        <w:rPr>
          <w:rFonts w:ascii="Arial" w:hAnsi="Arial" w:cs="Arial"/>
          <w:sz w:val="20"/>
        </w:rPr>
      </w:pPr>
      <w:r w:rsidRPr="008851A7">
        <w:rPr>
          <w:rFonts w:ascii="Arial" w:hAnsi="Arial" w:cs="Arial"/>
          <w:sz w:val="20"/>
        </w:rPr>
        <w:fldChar w:fldCharType="end"/>
      </w:r>
    </w:p>
    <w:p w14:paraId="4F138DEE" w14:textId="77777777" w:rsidR="00FC45AE" w:rsidRPr="008851A7" w:rsidRDefault="00FC45AE" w:rsidP="00FC45AE">
      <w:pPr>
        <w:pStyle w:val="Normalcontinued"/>
      </w:pPr>
    </w:p>
    <w:p w14:paraId="6667344A" w14:textId="77777777" w:rsidR="00042E51" w:rsidRPr="008851A7" w:rsidRDefault="00042E51" w:rsidP="00D02D2E">
      <w:pPr>
        <w:pStyle w:val="TOC1"/>
        <w:rPr>
          <w:rFonts w:ascii="Times New Roman" w:hAnsi="Times New Roman"/>
          <w:sz w:val="24"/>
        </w:rPr>
        <w:sectPr w:rsidR="00042E51" w:rsidRPr="008851A7" w:rsidSect="00042E51">
          <w:headerReference w:type="default" r:id="rId13"/>
          <w:footerReference w:type="default" r:id="rId14"/>
          <w:endnotePr>
            <w:numFmt w:val="decimal"/>
          </w:endnotePr>
          <w:pgSz w:w="12240" w:h="15840" w:code="1"/>
          <w:pgMar w:top="1440" w:right="1440" w:bottom="576" w:left="1440" w:header="720" w:footer="720" w:gutter="0"/>
          <w:pgNumType w:fmt="lowerRoman" w:start="1"/>
          <w:cols w:space="720"/>
          <w:docGrid w:linePitch="326"/>
        </w:sectPr>
      </w:pPr>
    </w:p>
    <w:p w14:paraId="204DFA90" w14:textId="77777777" w:rsidR="000F2273" w:rsidRPr="008851A7" w:rsidRDefault="007A6D3B" w:rsidP="000175C5">
      <w:pPr>
        <w:pStyle w:val="H3Alpha"/>
      </w:pPr>
      <w:bookmarkStart w:id="1" w:name="_Toc306878115"/>
      <w:bookmarkStart w:id="2" w:name="_Toc265321"/>
      <w:r w:rsidRPr="008851A7">
        <w:t>A.</w:t>
      </w:r>
      <w:r w:rsidR="000F2273" w:rsidRPr="008851A7">
        <w:t>1.</w:t>
      </w:r>
      <w:r w:rsidR="000F2273" w:rsidRPr="008851A7">
        <w:tab/>
        <w:t xml:space="preserve">Circumstances </w:t>
      </w:r>
      <w:r w:rsidR="00107DAA" w:rsidRPr="008851A7">
        <w:t>m</w:t>
      </w:r>
      <w:r w:rsidR="000F2273" w:rsidRPr="008851A7">
        <w:t xml:space="preserve">aking the </w:t>
      </w:r>
      <w:r w:rsidR="00107DAA" w:rsidRPr="008851A7">
        <w:t>c</w:t>
      </w:r>
      <w:r w:rsidR="000F2273" w:rsidRPr="008851A7">
        <w:t xml:space="preserve">ollection of </w:t>
      </w:r>
      <w:r w:rsidR="00107DAA" w:rsidRPr="008851A7">
        <w:t>i</w:t>
      </w:r>
      <w:r w:rsidR="000F2273" w:rsidRPr="008851A7">
        <w:t xml:space="preserve">nformation </w:t>
      </w:r>
      <w:r w:rsidR="00107DAA" w:rsidRPr="008851A7">
        <w:t>n</w:t>
      </w:r>
      <w:r w:rsidR="000F2273" w:rsidRPr="008851A7">
        <w:t>ecessary</w:t>
      </w:r>
      <w:bookmarkEnd w:id="1"/>
      <w:bookmarkEnd w:id="2"/>
      <w:r w:rsidR="00D230D0" w:rsidRPr="008851A7">
        <w:t xml:space="preserve"> </w:t>
      </w:r>
    </w:p>
    <w:p w14:paraId="6A922D91" w14:textId="77777777" w:rsidR="00192426" w:rsidRPr="008851A7" w:rsidRDefault="00FB76D9" w:rsidP="00FB76D9">
      <w:pPr>
        <w:pStyle w:val="H4NumberNoTOC"/>
      </w:pPr>
      <w:r w:rsidRPr="008851A7">
        <w:t>A.1.1.</w:t>
      </w:r>
      <w:r w:rsidRPr="008851A7">
        <w:tab/>
      </w:r>
      <w:r w:rsidR="00192426" w:rsidRPr="008851A7">
        <w:t>Overview</w:t>
      </w:r>
    </w:p>
    <w:p w14:paraId="04EB09EB" w14:textId="6C1C3FD3" w:rsidR="002E706C" w:rsidRPr="008851A7" w:rsidRDefault="002E706C" w:rsidP="002E706C">
      <w:pPr>
        <w:pStyle w:val="NormalSS"/>
      </w:pPr>
      <w:r w:rsidRPr="008851A7">
        <w:t xml:space="preserve">The Ryan White HIV/AIDS Program (RWHAP) funds a comprehensive set of services for people living with HIV (PLWH) in the United States. Providers funded by </w:t>
      </w:r>
      <w:r w:rsidR="007F0AF5" w:rsidRPr="008851A7">
        <w:t xml:space="preserve">the </w:t>
      </w:r>
      <w:r w:rsidRPr="008851A7">
        <w:t xml:space="preserve">RWHAP </w:t>
      </w:r>
      <w:r w:rsidR="007F0AF5" w:rsidRPr="008851A7">
        <w:t xml:space="preserve">are required to </w:t>
      </w:r>
      <w:r w:rsidRPr="008851A7">
        <w:t>submit client-level data each year to the HIV/AIDS Bureau (HAB</w:t>
      </w:r>
      <w:r w:rsidR="00BC4F56">
        <w:t xml:space="preserve"> or the Bureau</w:t>
      </w:r>
      <w:r w:rsidRPr="008851A7">
        <w:t>) in the Health Resources and Services Administration (HRSA)</w:t>
      </w:r>
      <w:r w:rsidR="007F0AF5" w:rsidRPr="008851A7">
        <w:t xml:space="preserve"> of the U.S. Department of Health and Human Services (HHS)</w:t>
      </w:r>
      <w:r w:rsidRPr="008851A7">
        <w:t xml:space="preserve">. Despite these data </w:t>
      </w:r>
      <w:r w:rsidR="007F0AF5" w:rsidRPr="008851A7">
        <w:t>requirements</w:t>
      </w:r>
      <w:r w:rsidRPr="008851A7">
        <w:t xml:space="preserve">, there are gaps in the </w:t>
      </w:r>
      <w:r w:rsidR="00BC4F56">
        <w:t>B</w:t>
      </w:r>
      <w:r w:rsidR="00BC4F56" w:rsidRPr="008851A7">
        <w:t xml:space="preserve">ureau’s </w:t>
      </w:r>
      <w:r w:rsidRPr="008851A7">
        <w:t xml:space="preserve">knowledge about service use </w:t>
      </w:r>
      <w:r w:rsidR="007F0AF5" w:rsidRPr="008851A7">
        <w:t xml:space="preserve">and </w:t>
      </w:r>
      <w:r w:rsidRPr="008851A7">
        <w:t xml:space="preserve">process and clinical outcomes, particularly for clients who connect with the RWHAP only for wraparound services while receiving medical care elsewhere (or not at all). Clinical data, including </w:t>
      </w:r>
      <w:r w:rsidR="007F0AF5" w:rsidRPr="008851A7">
        <w:t>CD4 counts</w:t>
      </w:r>
      <w:r w:rsidR="00850ECA" w:rsidRPr="008851A7">
        <w:t xml:space="preserve"> (a measure of health)</w:t>
      </w:r>
      <w:r w:rsidRPr="008851A7">
        <w:t xml:space="preserve"> and viral loads</w:t>
      </w:r>
      <w:r w:rsidR="00850ECA" w:rsidRPr="008851A7">
        <w:t xml:space="preserve"> (a measure of infectiousness)</w:t>
      </w:r>
      <w:r w:rsidRPr="008851A7">
        <w:t xml:space="preserve">, are unavailable for clients who receive their HIV medical care from providers that are not directly funded by RWHAP for </w:t>
      </w:r>
      <w:r w:rsidR="00BC4F56">
        <w:t>Outpatient Ambulatory Health Services (</w:t>
      </w:r>
      <w:r w:rsidR="00850ECA" w:rsidRPr="008851A7">
        <w:t>OAHS</w:t>
      </w:r>
      <w:r w:rsidR="00BC4F56">
        <w:t>)</w:t>
      </w:r>
      <w:r w:rsidR="00850ECA" w:rsidRPr="008851A7">
        <w:t xml:space="preserve"> </w:t>
      </w:r>
      <w:r w:rsidRPr="008851A7">
        <w:t>(hereafter referred to as “non-</w:t>
      </w:r>
      <w:r w:rsidR="00552F38">
        <w:t>RWHAP</w:t>
      </w:r>
      <w:r w:rsidR="00702D68">
        <w:t>-</w:t>
      </w:r>
      <w:r w:rsidRPr="008851A7">
        <w:t xml:space="preserve">funded OAHS providers”). These clients could have good outcomes related to retention in care, treatment adherence, and viral suppression that justify the use of RWHAP funds to provide only support services to them. Conversely, they might not be as engaged in medical care </w:t>
      </w:r>
      <w:r w:rsidR="00850ECA" w:rsidRPr="008851A7">
        <w:t xml:space="preserve">and treatment </w:t>
      </w:r>
      <w:r w:rsidRPr="008851A7">
        <w:t xml:space="preserve">if they are connected to a </w:t>
      </w:r>
      <w:r w:rsidR="00C93C42">
        <w:t>non-RWHAP-funded OAHS providers</w:t>
      </w:r>
      <w:r w:rsidRPr="008851A7">
        <w:t xml:space="preserve">, or </w:t>
      </w:r>
      <w:r w:rsidR="00850ECA" w:rsidRPr="008851A7">
        <w:t>they might</w:t>
      </w:r>
      <w:r w:rsidRPr="008851A7">
        <w:t xml:space="preserve"> not receive medical care at all, and subsequently have poorer health outcomes than clients who receive RWHAP-funded OAHS.</w:t>
      </w:r>
    </w:p>
    <w:p w14:paraId="47E8219C" w14:textId="0ECDEC94" w:rsidR="001D4B73" w:rsidRDefault="00850ECA" w:rsidP="007F0AF5">
      <w:pPr>
        <w:pStyle w:val="NormalSS"/>
      </w:pPr>
      <w:r w:rsidRPr="008851A7">
        <w:t>HRSA is proposing to conduct</w:t>
      </w:r>
      <w:r w:rsidR="007F0AF5" w:rsidRPr="008851A7">
        <w:t xml:space="preserve"> a research study called </w:t>
      </w:r>
      <w:r w:rsidR="007F0AF5" w:rsidRPr="008851A7">
        <w:rPr>
          <w:i/>
        </w:rPr>
        <w:t>Assessing Care and Health Outcomes among Ryan White HIV/AIDS Program (RWHAP) Clients Who Do Not Receive RWHAP-Funded Outpatient Ambulatory Health Services</w:t>
      </w:r>
      <w:r w:rsidR="007F0AF5" w:rsidRPr="008851A7">
        <w:t xml:space="preserve"> (</w:t>
      </w:r>
      <w:r w:rsidR="007F0AF5" w:rsidRPr="008851A7">
        <w:rPr>
          <w:i/>
        </w:rPr>
        <w:t>OAHS)</w:t>
      </w:r>
      <w:r w:rsidRPr="008851A7">
        <w:t xml:space="preserve"> to address this knowledge gap and collect information not available elsewhere to improve care and health outcomes for all RWHAP clients. </w:t>
      </w:r>
      <w:r w:rsidR="007F0AF5" w:rsidRPr="008851A7">
        <w:t xml:space="preserve"> </w:t>
      </w:r>
      <w:r w:rsidRPr="008851A7">
        <w:t xml:space="preserve">Specifically, </w:t>
      </w:r>
      <w:r w:rsidR="007F0AF5" w:rsidRPr="008851A7">
        <w:t>HRSA</w:t>
      </w:r>
      <w:r w:rsidR="006D55F2">
        <w:t>’s contractor, Mathematica, will</w:t>
      </w:r>
      <w:r w:rsidR="007F0AF5" w:rsidRPr="008851A7">
        <w:t xml:space="preserve"> </w:t>
      </w:r>
      <w:r w:rsidR="006D55F2" w:rsidRPr="008851A7">
        <w:t xml:space="preserve">collect qualitative and quantitative data </w:t>
      </w:r>
      <w:r w:rsidR="006D55F2">
        <w:t xml:space="preserve">from a </w:t>
      </w:r>
      <w:r w:rsidR="001D4B73">
        <w:t xml:space="preserve">nationally representative sample of </w:t>
      </w:r>
      <w:r w:rsidR="007F0AF5" w:rsidRPr="008851A7">
        <w:t xml:space="preserve">30 RWHAP </w:t>
      </w:r>
      <w:r w:rsidR="007F005E">
        <w:t xml:space="preserve">grant </w:t>
      </w:r>
      <w:r w:rsidR="007F0AF5" w:rsidRPr="008851A7">
        <w:t xml:space="preserve">recipients and subrecipients (hereafter referred to generally as “RWHAP providers”) on the service use and process and clinical outcomes of clients who do not receive OAHS directly funded by the RWHAP. </w:t>
      </w:r>
      <w:r w:rsidR="00677990">
        <w:t>Detailed information on the sample selection methodology is provider in Supporting Statement B, Section B.2.1.</w:t>
      </w:r>
    </w:p>
    <w:p w14:paraId="2F5E4214" w14:textId="6D23553A" w:rsidR="00CA2182" w:rsidRDefault="007F0AF5" w:rsidP="002B3FC9">
      <w:pPr>
        <w:pStyle w:val="NormalSS"/>
      </w:pPr>
      <w:r w:rsidRPr="008851A7">
        <w:t>The quantitative data, collect</w:t>
      </w:r>
      <w:r w:rsidR="0064188D" w:rsidRPr="008851A7">
        <w:t>ed through medical record review</w:t>
      </w:r>
      <w:r w:rsidRPr="008851A7">
        <w:t xml:space="preserve">, will offer insights on outcomes such as </w:t>
      </w:r>
      <w:r w:rsidR="0064188D" w:rsidRPr="008851A7">
        <w:t xml:space="preserve">retention in care, </w:t>
      </w:r>
      <w:r w:rsidR="00850ECA" w:rsidRPr="008851A7">
        <w:t>initiation of antiretroviral therapies (</w:t>
      </w:r>
      <w:r w:rsidRPr="008851A7">
        <w:t>ART</w:t>
      </w:r>
      <w:r w:rsidR="00850ECA" w:rsidRPr="008851A7">
        <w:t>)</w:t>
      </w:r>
      <w:r w:rsidR="0064188D" w:rsidRPr="008851A7">
        <w:t>,</w:t>
      </w:r>
      <w:r w:rsidRPr="008851A7">
        <w:t xml:space="preserve"> and viral suppression</w:t>
      </w:r>
      <w:r w:rsidR="0064188D" w:rsidRPr="008851A7">
        <w:t xml:space="preserve"> among the study population</w:t>
      </w:r>
      <w:r w:rsidRPr="008851A7">
        <w:t>. The qualitative data, collect</w:t>
      </w:r>
      <w:r w:rsidR="0064188D" w:rsidRPr="008851A7">
        <w:t>ed</w:t>
      </w:r>
      <w:r w:rsidRPr="008851A7">
        <w:t xml:space="preserve"> through interviews with clients and their providers, will help </w:t>
      </w:r>
      <w:r w:rsidR="0064188D" w:rsidRPr="008851A7">
        <w:t>HRSA</w:t>
      </w:r>
      <w:r w:rsidRPr="008851A7">
        <w:t xml:space="preserve"> assess whether clients who receive only support services or non-OAHS medical services </w:t>
      </w:r>
      <w:r w:rsidR="0064188D" w:rsidRPr="008851A7">
        <w:t xml:space="preserve">under the RWHAP are able to </w:t>
      </w:r>
      <w:r w:rsidRPr="008851A7">
        <w:t>access care</w:t>
      </w:r>
      <w:r w:rsidR="0064188D" w:rsidRPr="008851A7">
        <w:t xml:space="preserve"> and treatment elsewhere</w:t>
      </w:r>
      <w:r w:rsidRPr="008851A7">
        <w:t xml:space="preserve">, as well as any challenges they face </w:t>
      </w:r>
      <w:r w:rsidR="0064188D" w:rsidRPr="008851A7">
        <w:t>obtaining those services</w:t>
      </w:r>
      <w:r w:rsidRPr="008851A7">
        <w:t xml:space="preserve">. Understanding differences in access to care and health outcomes for clients who do not receive </w:t>
      </w:r>
      <w:r w:rsidR="00F34328" w:rsidRPr="008851A7">
        <w:t xml:space="preserve">OAHS </w:t>
      </w:r>
      <w:r w:rsidRPr="008851A7">
        <w:t xml:space="preserve">directly </w:t>
      </w:r>
      <w:r w:rsidR="00F34328" w:rsidRPr="008851A7">
        <w:t xml:space="preserve">funded by the </w:t>
      </w:r>
      <w:r w:rsidRPr="008851A7">
        <w:t xml:space="preserve">RWHAP will help </w:t>
      </w:r>
      <w:r w:rsidR="00F34328" w:rsidRPr="008851A7">
        <w:t>HRSA</w:t>
      </w:r>
      <w:r w:rsidRPr="008851A7">
        <w:t xml:space="preserve"> identify opportunities to better coordinate and deliver medical care to </w:t>
      </w:r>
      <w:r w:rsidR="00F34328" w:rsidRPr="008851A7">
        <w:t xml:space="preserve">all </w:t>
      </w:r>
      <w:r w:rsidRPr="008851A7">
        <w:t xml:space="preserve">people living with HIV. </w:t>
      </w:r>
    </w:p>
    <w:p w14:paraId="37FD154C" w14:textId="6052EBC6" w:rsidR="00253083" w:rsidRPr="006449FE" w:rsidRDefault="00253083" w:rsidP="0020644B">
      <w:pPr>
        <w:pStyle w:val="ListParagraph"/>
        <w:spacing w:line="240" w:lineRule="auto"/>
        <w:ind w:left="0" w:firstLine="450"/>
        <w:contextualSpacing w:val="0"/>
      </w:pPr>
      <w:r w:rsidRPr="006449FE">
        <w:t xml:space="preserve">We are able to separate clients receiving RWHAP services into 2 categories: 1) those that received outpatient ambulatory services (OAHS) and thus we have their visit and viral load data and 2) those that do not receive outpatient ambulatory services but do receive other medical or support services. One of the purposes of this study is to estimate viral suppression among all RWHAP clients; as a result, we will be able to estimate the number of RWHAP clients who are not receiving OAHS anywhere – that is, they are out of care.  </w:t>
      </w:r>
    </w:p>
    <w:p w14:paraId="0326C581" w14:textId="77777777" w:rsidR="00253083" w:rsidRPr="006449FE" w:rsidRDefault="00253083" w:rsidP="0020644B">
      <w:pPr>
        <w:pStyle w:val="ListParagraph"/>
        <w:numPr>
          <w:ilvl w:val="0"/>
          <w:numId w:val="18"/>
        </w:numPr>
        <w:spacing w:line="240" w:lineRule="auto"/>
      </w:pPr>
      <w:r w:rsidRPr="006449FE">
        <w:t xml:space="preserve">HRSA HAB could use this information to focus technical assistance efforts to help RWHAP recipients to re-engage the clients into medical care.  People with HIV who are out of care are more likely to transmit the virus to HIV-negative partners; therefore it is critical to identify where there are people out of care.  </w:t>
      </w:r>
    </w:p>
    <w:p w14:paraId="7F897DBD" w14:textId="017389FC" w:rsidR="00253083" w:rsidRPr="006449FE" w:rsidRDefault="00253083" w:rsidP="0020644B">
      <w:pPr>
        <w:pStyle w:val="NormalSS"/>
        <w:numPr>
          <w:ilvl w:val="0"/>
          <w:numId w:val="18"/>
        </w:numPr>
      </w:pPr>
      <w:r w:rsidRPr="006449FE">
        <w:t>If we find that clients are receiving OAHS in other care settings, HRSA HAB could use the study results to highlight best practices and resources then share those across the RWHAP community through other resources</w:t>
      </w:r>
    </w:p>
    <w:p w14:paraId="6D2A7D7F" w14:textId="7294FFDE" w:rsidR="00253083" w:rsidRPr="006449FE" w:rsidRDefault="00253083" w:rsidP="0020644B">
      <w:pPr>
        <w:pStyle w:val="ListParagraph"/>
        <w:spacing w:line="240" w:lineRule="auto"/>
        <w:ind w:left="0" w:firstLine="450"/>
        <w:contextualSpacing w:val="0"/>
      </w:pPr>
      <w:r w:rsidRPr="006449FE">
        <w:t>This study will not affect our funding of providers.  By statute, the RWHAP uses a formula-based funding mechanism. This study will not evaluate provider performance, it will identify gaps in the care delivery system and additional needs of people with HIV to engage and remain in HIV care.  The majority of “providers” with clients for whom we don’t have clinical data are support services providers (for example, foodbanks); there is no link between funding for providers and this study.</w:t>
      </w:r>
      <w:r w:rsidR="00F36A91" w:rsidRPr="006449FE">
        <w:t xml:space="preserve"> </w:t>
      </w:r>
    </w:p>
    <w:p w14:paraId="755A9DCE" w14:textId="77777777" w:rsidR="00F36A91" w:rsidRPr="006449FE" w:rsidRDefault="00F36A91" w:rsidP="0020644B">
      <w:pPr>
        <w:pStyle w:val="ListParagraph"/>
        <w:spacing w:line="240" w:lineRule="auto"/>
        <w:ind w:left="0" w:firstLine="450"/>
        <w:contextualSpacing w:val="0"/>
      </w:pPr>
    </w:p>
    <w:p w14:paraId="5FD6BD35" w14:textId="01214B83" w:rsidR="00F36A91" w:rsidRPr="006449FE" w:rsidRDefault="00F36A91" w:rsidP="0020644B">
      <w:pPr>
        <w:pStyle w:val="ListParagraph"/>
        <w:spacing w:line="240" w:lineRule="auto"/>
        <w:ind w:left="0" w:firstLine="450"/>
        <w:contextualSpacing w:val="0"/>
      </w:pPr>
      <w:r w:rsidRPr="006449FE">
        <w:t>HRSA HAB uses information from its evaluation studies to inform technical assistance projects and programmatic decisions.  Through cooperative agreements (funding mechanism), HRSA HAB funds organizations to provide direct technical assistance to organizations for capacity building, implementation of interventions, clinical quality improvement, etc. Some examples include:</w:t>
      </w:r>
    </w:p>
    <w:p w14:paraId="4C25725F" w14:textId="48E65FDE" w:rsidR="00F36A91" w:rsidRPr="006449FE" w:rsidRDefault="00F36A91" w:rsidP="00F36A91">
      <w:pPr>
        <w:pStyle w:val="ListParagraph"/>
        <w:numPr>
          <w:ilvl w:val="1"/>
          <w:numId w:val="17"/>
        </w:numPr>
        <w:spacing w:line="240" w:lineRule="auto"/>
        <w:ind w:left="720"/>
        <w:contextualSpacing w:val="0"/>
      </w:pPr>
      <w:r w:rsidRPr="006449FE">
        <w:t xml:space="preserve">If this study found that clients receiving RWHAP certain types of services (for example foodbank services – continuing the example used above) were more likely to be in care (with non-RWHAP provider), adherent to medication, and virally suppressed, we could then consider various options for identifying foodbank best practices and funding technical assistance for other RWHAP organizations to implement food-based interventions which could then increase retention in care and viral suppression among their patient population. We could also consider a program letter encouraging RWHAP providers to expand their services or collaborate with food-based services for their clients. </w:t>
      </w:r>
    </w:p>
    <w:p w14:paraId="53A1715D" w14:textId="77777777" w:rsidR="00F36A91" w:rsidRPr="006449FE" w:rsidRDefault="00F36A91" w:rsidP="00F36A91">
      <w:pPr>
        <w:pStyle w:val="ListParagraph"/>
        <w:numPr>
          <w:ilvl w:val="1"/>
          <w:numId w:val="17"/>
        </w:numPr>
        <w:spacing w:line="240" w:lineRule="auto"/>
        <w:ind w:left="720"/>
        <w:contextualSpacing w:val="0"/>
      </w:pPr>
      <w:r w:rsidRPr="006449FE">
        <w:t xml:space="preserve">If we found certain populations were more likely to be out of care, HRSA HAB could establish cooperative agreements for technical assistance focused on using evidence-informed interventions to re-engage the identified populations into care. The technical assistance could also help RWHAP recipients to partner with other agencies to ensure these clients are linked to care, remain engaged in care, and can adhere to antiretroviral therapy. </w:t>
      </w:r>
    </w:p>
    <w:p w14:paraId="7386E83B" w14:textId="215C9047" w:rsidR="00F36A91" w:rsidRPr="006449FE" w:rsidRDefault="00F36A91" w:rsidP="00F36A91">
      <w:pPr>
        <w:pStyle w:val="ListParagraph"/>
        <w:numPr>
          <w:ilvl w:val="1"/>
          <w:numId w:val="17"/>
        </w:numPr>
        <w:spacing w:line="240" w:lineRule="auto"/>
        <w:ind w:left="720"/>
        <w:contextualSpacing w:val="0"/>
      </w:pPr>
      <w:r w:rsidRPr="006449FE">
        <w:t>If we found specific policy barriers existed for clients who receive support services and are not engaged in HIV care, HRSA HAB would look at how current RWHAP policies are interpreted and implemented. If indicated, HRSA HAB would provide an updated policy clarification notice and training/technical assistance to address any barriers or gaps identified. Any updates to the RWHAP policies would adhere to legislative requirements.</w:t>
      </w:r>
    </w:p>
    <w:p w14:paraId="2169066B" w14:textId="77777777" w:rsidR="00F36A91" w:rsidRDefault="00F36A91" w:rsidP="002B3FC9">
      <w:pPr>
        <w:pStyle w:val="NormalSS"/>
      </w:pPr>
    </w:p>
    <w:p w14:paraId="4E19BC07" w14:textId="0270CC84" w:rsidR="007F0AF5" w:rsidRPr="002B3FC9" w:rsidRDefault="007F0AF5" w:rsidP="002B3FC9">
      <w:pPr>
        <w:pStyle w:val="NormalSS"/>
      </w:pPr>
      <w:r w:rsidRPr="002B3FC9">
        <w:t xml:space="preserve">HRSA is requesting </w:t>
      </w:r>
      <w:r w:rsidR="00CA2182" w:rsidRPr="002B3FC9">
        <w:t xml:space="preserve">approval from the </w:t>
      </w:r>
      <w:r w:rsidRPr="002B3FC9">
        <w:t xml:space="preserve">Office of Management and Budget (OMB) to conduct these qualitative and quantitative data collection </w:t>
      </w:r>
      <w:r w:rsidR="00CA2182" w:rsidRPr="002B3FC9">
        <w:t>activities as part of the proposed study</w:t>
      </w:r>
      <w:r w:rsidRPr="002B3FC9">
        <w:t>.</w:t>
      </w:r>
      <w:r w:rsidR="007F005E" w:rsidRPr="002B3FC9">
        <w:t xml:space="preserve"> While the study is two</w:t>
      </w:r>
      <w:r w:rsidR="00702D68" w:rsidRPr="002B3FC9">
        <w:t xml:space="preserve"> </w:t>
      </w:r>
      <w:r w:rsidR="007F005E" w:rsidRPr="002B3FC9">
        <w:t xml:space="preserve">years in duration, it is anticipated that data collection will occur over a </w:t>
      </w:r>
      <w:r w:rsidR="001B2E1C" w:rsidRPr="002B3FC9">
        <w:t>4</w:t>
      </w:r>
      <w:r w:rsidR="00702D68" w:rsidRPr="002B3FC9">
        <w:t>-</w:t>
      </w:r>
      <w:r w:rsidR="007F005E" w:rsidRPr="002B3FC9">
        <w:t>month period</w:t>
      </w:r>
      <w:r w:rsidR="00D842D7" w:rsidRPr="002B3FC9">
        <w:t xml:space="preserve">, from January </w:t>
      </w:r>
      <w:r w:rsidR="001B2E1C" w:rsidRPr="002B3FC9">
        <w:t xml:space="preserve">through </w:t>
      </w:r>
      <w:r w:rsidR="00D842D7" w:rsidRPr="002B3FC9">
        <w:t>April 2020</w:t>
      </w:r>
      <w:r w:rsidR="007F005E" w:rsidRPr="002B3FC9">
        <w:t>.</w:t>
      </w:r>
      <w:r w:rsidR="00B922C4">
        <w:t xml:space="preserve"> </w:t>
      </w:r>
      <w:r w:rsidR="009938E8" w:rsidRPr="006449FE">
        <w:t>Although the study is two-years in duration, we are seek</w:t>
      </w:r>
      <w:r w:rsidR="00517025" w:rsidRPr="006449FE">
        <w:t xml:space="preserve">ing </w:t>
      </w:r>
      <w:r w:rsidR="009938E8" w:rsidRPr="006449FE">
        <w:t>clearance for a 3-year period in case we encounter delays in site recruitment and/or data collection.</w:t>
      </w:r>
    </w:p>
    <w:p w14:paraId="4C4F2C50" w14:textId="77777777" w:rsidR="00192426" w:rsidRPr="002B3FC9" w:rsidRDefault="00192426" w:rsidP="00C8755D">
      <w:pPr>
        <w:pStyle w:val="H4NumberNoTOC"/>
      </w:pPr>
      <w:r w:rsidRPr="002B3FC9">
        <w:t>A.1.2.</w:t>
      </w:r>
      <w:r w:rsidR="00FB76D9" w:rsidRPr="002B3FC9">
        <w:tab/>
      </w:r>
      <w:r w:rsidRPr="002B3FC9">
        <w:t>Backgrou</w:t>
      </w:r>
      <w:r w:rsidR="00972183" w:rsidRPr="002B3FC9">
        <w:t>n</w:t>
      </w:r>
      <w:r w:rsidRPr="002B3FC9">
        <w:t>d</w:t>
      </w:r>
    </w:p>
    <w:p w14:paraId="1463D5C0" w14:textId="77777777" w:rsidR="00111346" w:rsidRPr="008851A7" w:rsidRDefault="00840942" w:rsidP="002B3FC9">
      <w:pPr>
        <w:pStyle w:val="NormalSS"/>
        <w:spacing w:after="120"/>
      </w:pPr>
      <w:r w:rsidRPr="002B3FC9">
        <w:t xml:space="preserve">The HRSA HAB administers </w:t>
      </w:r>
      <w:r w:rsidR="006B4A56" w:rsidRPr="002B3FC9">
        <w:t xml:space="preserve">RWHAP </w:t>
      </w:r>
      <w:r w:rsidRPr="002B3FC9">
        <w:t>g</w:t>
      </w:r>
      <w:r w:rsidR="00111346" w:rsidRPr="002B3FC9">
        <w:t xml:space="preserve">rants to eligible metropolitan areas and transitional grant areas (Part A), </w:t>
      </w:r>
      <w:r w:rsidR="006B4A56" w:rsidRPr="002B3FC9">
        <w:t xml:space="preserve">States </w:t>
      </w:r>
      <w:r w:rsidR="00111346" w:rsidRPr="002B3FC9">
        <w:t>and</w:t>
      </w:r>
      <w:r w:rsidR="00111346" w:rsidRPr="008851A7">
        <w:t xml:space="preserve"> territories (Part B), and community-based organizations (Parts C and D). These grants </w:t>
      </w:r>
      <w:r w:rsidR="001025A6" w:rsidRPr="008851A7">
        <w:t xml:space="preserve">enable </w:t>
      </w:r>
      <w:r w:rsidR="00111346" w:rsidRPr="008851A7">
        <w:t xml:space="preserve">the delivery of medical care and support services to PLWH who </w:t>
      </w:r>
      <w:r w:rsidR="00475863" w:rsidRPr="008851A7">
        <w:t xml:space="preserve">otherwise </w:t>
      </w:r>
      <w:r w:rsidR="00111346" w:rsidRPr="008851A7">
        <w:t>would not have access to these services. In 201</w:t>
      </w:r>
      <w:r w:rsidR="00D6548C" w:rsidRPr="008851A7">
        <w:t>7</w:t>
      </w:r>
      <w:r w:rsidR="00475863" w:rsidRPr="008851A7">
        <w:t>,</w:t>
      </w:r>
      <w:r w:rsidR="00111346" w:rsidRPr="008851A7">
        <w:t xml:space="preserve"> the RWHAP funded more than 2,000 grant recipients and </w:t>
      </w:r>
      <w:r w:rsidR="009D00C5" w:rsidRPr="008851A7">
        <w:t xml:space="preserve">indirect </w:t>
      </w:r>
      <w:r w:rsidR="00111346" w:rsidRPr="008851A7">
        <w:t>subrecipients for at least one service</w:t>
      </w:r>
      <w:r w:rsidR="00D6548C" w:rsidRPr="008851A7">
        <w:t xml:space="preserve">, which were </w:t>
      </w:r>
      <w:r w:rsidR="00111346" w:rsidRPr="008851A7">
        <w:t xml:space="preserve">delivered </w:t>
      </w:r>
      <w:r w:rsidR="00D6548C" w:rsidRPr="008851A7">
        <w:t xml:space="preserve">to </w:t>
      </w:r>
      <w:r w:rsidR="004F0C71">
        <w:t>about</w:t>
      </w:r>
      <w:r w:rsidR="00D6548C" w:rsidRPr="008851A7">
        <w:t xml:space="preserve"> </w:t>
      </w:r>
      <w:r w:rsidR="004F0C71" w:rsidRPr="008851A7">
        <w:t>5</w:t>
      </w:r>
      <w:r w:rsidR="004F0C71">
        <w:t>5</w:t>
      </w:r>
      <w:r w:rsidR="004F0C71" w:rsidRPr="008851A7">
        <w:t>0</w:t>
      </w:r>
      <w:r w:rsidR="00111346" w:rsidRPr="008851A7">
        <w:t xml:space="preserve">,000 clients across the country. </w:t>
      </w:r>
    </w:p>
    <w:p w14:paraId="550BF4AD" w14:textId="77777777" w:rsidR="00111346" w:rsidRPr="008851A7" w:rsidRDefault="009F5B5A" w:rsidP="00111346">
      <w:pPr>
        <w:pStyle w:val="NormalSS"/>
        <w:spacing w:after="120"/>
      </w:pPr>
      <w:r w:rsidRPr="008851A7">
        <w:t>Recipients and s</w:t>
      </w:r>
      <w:r w:rsidR="00111346" w:rsidRPr="008851A7">
        <w:t xml:space="preserve">ubrecipients funded to render direct client services must submit client-level data annually </w:t>
      </w:r>
      <w:r w:rsidRPr="008851A7">
        <w:t xml:space="preserve">to HRSA </w:t>
      </w:r>
      <w:r w:rsidR="00111346" w:rsidRPr="008851A7">
        <w:t>as part of the RWHAP Services Report (RSR). The client-level data contain a record for each RWHAP-eligible client who received a service during the reporting period</w:t>
      </w:r>
      <w:r w:rsidRPr="008851A7">
        <w:t xml:space="preserve"> (</w:t>
      </w:r>
      <w:r w:rsidR="00CF39E1" w:rsidRPr="008851A7">
        <w:t xml:space="preserve">the </w:t>
      </w:r>
      <w:r w:rsidRPr="008851A7">
        <w:t>calendar year)</w:t>
      </w:r>
      <w:r w:rsidR="00111346" w:rsidRPr="008851A7">
        <w:t xml:space="preserve">. The data elements that </w:t>
      </w:r>
      <w:r w:rsidRPr="008851A7">
        <w:t xml:space="preserve">recipients and </w:t>
      </w:r>
      <w:r w:rsidR="00111346" w:rsidRPr="008851A7">
        <w:t>subrecipients must report vary by the services the client received during the year. Demographic and service utilization data are reported for all clients. Importantly, though, clinical data (including lab results</w:t>
      </w:r>
      <w:r w:rsidR="00D6548C" w:rsidRPr="008851A7">
        <w:t>, which are required for measuring viral suppression</w:t>
      </w:r>
      <w:r w:rsidR="00111346" w:rsidRPr="008851A7">
        <w:t xml:space="preserve">) are reported only for clients who received OAHS during the reporting period. Thus, the client-level data can paint a detailed picture of some characteristics of the population served by the RWHAP, but analysis of key health outcomes—such as viral suppression—is limited to </w:t>
      </w:r>
      <w:r w:rsidR="00E62FE6" w:rsidRPr="008851A7">
        <w:t>the</w:t>
      </w:r>
      <w:r w:rsidR="00111346" w:rsidRPr="008851A7">
        <w:t xml:space="preserve"> subset of clients</w:t>
      </w:r>
      <w:r w:rsidR="00E62FE6" w:rsidRPr="008851A7">
        <w:t xml:space="preserve"> who receive OAHS (representing approximately two-thirds of the clients served by the RWHAP)</w:t>
      </w:r>
      <w:r w:rsidR="00111346" w:rsidRPr="008851A7">
        <w:t>.</w:t>
      </w:r>
    </w:p>
    <w:p w14:paraId="46B66717" w14:textId="341F9615" w:rsidR="00111346" w:rsidRPr="008851A7" w:rsidRDefault="00111346" w:rsidP="00111346">
      <w:pPr>
        <w:pStyle w:val="NormalSS"/>
        <w:spacing w:after="120"/>
      </w:pPr>
      <w:r w:rsidRPr="008851A7">
        <w:t>Analysis of RSR client-level data has demonstrated continuing improvements in health outcomes for clients served by the RWHAP. Of the roughly 343,000 clients with viral load data in the RSR, nearly 8</w:t>
      </w:r>
      <w:r w:rsidR="00EE2ECB" w:rsidRPr="008851A7">
        <w:t>6</w:t>
      </w:r>
      <w:r w:rsidRPr="008851A7">
        <w:t xml:space="preserve"> percent were virally suppressed in 201</w:t>
      </w:r>
      <w:r w:rsidR="00FC64A6" w:rsidRPr="008851A7">
        <w:t>7</w:t>
      </w:r>
      <w:r w:rsidRPr="008851A7">
        <w:t xml:space="preserve">, compared </w:t>
      </w:r>
      <w:r w:rsidR="00FC64A6" w:rsidRPr="008851A7">
        <w:t xml:space="preserve">with </w:t>
      </w:r>
      <w:r w:rsidRPr="008851A7">
        <w:t>less than 70 percent in 2010.</w:t>
      </w:r>
      <w:r w:rsidRPr="008851A7">
        <w:rPr>
          <w:rStyle w:val="FootnoteReference"/>
        </w:rPr>
        <w:footnoteReference w:id="2"/>
      </w:r>
      <w:r w:rsidRPr="008851A7">
        <w:t xml:space="preserve"> </w:t>
      </w:r>
      <w:r w:rsidR="00E93A0D" w:rsidRPr="008851A7">
        <w:t xml:space="preserve">However, </w:t>
      </w:r>
      <w:r w:rsidR="0019486F" w:rsidRPr="008851A7">
        <w:t>t</w:t>
      </w:r>
      <w:r w:rsidR="003C4EF7" w:rsidRPr="008851A7">
        <w:t>here</w:t>
      </w:r>
      <w:r w:rsidRPr="008851A7">
        <w:t xml:space="preserve"> are </w:t>
      </w:r>
      <w:r w:rsidR="002C593B" w:rsidRPr="008851A7">
        <w:t xml:space="preserve">significant </w:t>
      </w:r>
      <w:r w:rsidRPr="008851A7">
        <w:t xml:space="preserve">gaps in </w:t>
      </w:r>
      <w:r w:rsidR="009504A7">
        <w:t>our</w:t>
      </w:r>
      <w:r w:rsidR="009504A7" w:rsidRPr="008851A7">
        <w:t xml:space="preserve"> </w:t>
      </w:r>
      <w:r w:rsidRPr="008851A7">
        <w:t xml:space="preserve">knowledge about service use and process and clinical outcomes for some of its clients. Viral load (and medical service use) data are unavailable for RWHAP clients who receive </w:t>
      </w:r>
      <w:r w:rsidR="005F7878" w:rsidRPr="008851A7">
        <w:t>medical</w:t>
      </w:r>
      <w:r w:rsidRPr="008851A7">
        <w:t xml:space="preserve"> care from a provider not </w:t>
      </w:r>
      <w:r w:rsidR="008A647E" w:rsidRPr="008851A7">
        <w:t xml:space="preserve">directly </w:t>
      </w:r>
      <w:r w:rsidRPr="008851A7">
        <w:t>funded by RWHAP for OAHS</w:t>
      </w:r>
      <w:r w:rsidR="008A647E" w:rsidRPr="008851A7">
        <w:t xml:space="preserve"> or who do not receive care and treatment at all</w:t>
      </w:r>
      <w:r w:rsidRPr="008851A7">
        <w:t xml:space="preserve">. </w:t>
      </w:r>
    </w:p>
    <w:p w14:paraId="5E9DB9D1" w14:textId="2793C847" w:rsidR="00964E79" w:rsidRPr="008851A7" w:rsidRDefault="00964E79" w:rsidP="00964E79">
      <w:pPr>
        <w:pStyle w:val="NormalSS"/>
      </w:pPr>
      <w:r w:rsidRPr="008851A7">
        <w:t xml:space="preserve">There are three scenarios in which a RWHAP client could receive some services through the RWHAP but not receive OAHS directly funded through the RWHAP; we refer to these as Scenarios A–C below and in Table </w:t>
      </w:r>
      <w:r w:rsidR="007877F3" w:rsidRPr="008851A7">
        <w:t>1.</w:t>
      </w:r>
      <w:r w:rsidRPr="008851A7">
        <w:t xml:space="preserve">1. Throughout this statement, we refer to the RWHAP-funded provider as the </w:t>
      </w:r>
      <w:r w:rsidRPr="008851A7">
        <w:rPr>
          <w:b/>
        </w:rPr>
        <w:t>Type 1 provider</w:t>
      </w:r>
      <w:r w:rsidRPr="008851A7">
        <w:t xml:space="preserve"> and the </w:t>
      </w:r>
      <w:r w:rsidR="00C93C42">
        <w:t>non-RWHAP-funded OAHS providers</w:t>
      </w:r>
      <w:r w:rsidRPr="008851A7">
        <w:t xml:space="preserve"> as the </w:t>
      </w:r>
      <w:r w:rsidRPr="008851A7">
        <w:rPr>
          <w:b/>
        </w:rPr>
        <w:t>Type 2 provider</w:t>
      </w:r>
      <w:r w:rsidRPr="008851A7">
        <w:t>.</w:t>
      </w:r>
    </w:p>
    <w:p w14:paraId="63EE664F" w14:textId="77777777" w:rsidR="00964E79" w:rsidRPr="008851A7" w:rsidRDefault="00964E79" w:rsidP="00552F38">
      <w:pPr>
        <w:pStyle w:val="NumberedBullet"/>
        <w:numPr>
          <w:ilvl w:val="0"/>
          <w:numId w:val="15"/>
        </w:numPr>
        <w:tabs>
          <w:tab w:val="clear" w:pos="432"/>
        </w:tabs>
        <w:ind w:hanging="1440"/>
      </w:pPr>
      <w:r w:rsidRPr="008851A7">
        <w:rPr>
          <w:b/>
        </w:rPr>
        <w:t xml:space="preserve">The Type 1 provider does not offer medical services. </w:t>
      </w:r>
      <w:r w:rsidRPr="008851A7">
        <w:t>In this scenario,</w:t>
      </w:r>
      <w:r w:rsidRPr="008851A7">
        <w:rPr>
          <w:b/>
        </w:rPr>
        <w:t xml:space="preserve"> </w:t>
      </w:r>
      <w:r w:rsidRPr="008851A7">
        <w:t>we assume that clients either receive their medical care from a Type 2 provider and their support services from the Type 1 provider or that they are not receiving medical care at all. We can observe this scenario in the RWHAP Services Report (RSR) by looking at RWHAP-funded providers who report delivering support services or non-OAHS core medical services, but do not report providing OAHS.</w:t>
      </w:r>
    </w:p>
    <w:p w14:paraId="4BD7C74E" w14:textId="54C65342" w:rsidR="00964E79" w:rsidRPr="008851A7" w:rsidRDefault="00964E79" w:rsidP="00552F38">
      <w:pPr>
        <w:pStyle w:val="NumberedBullet"/>
        <w:numPr>
          <w:ilvl w:val="0"/>
          <w:numId w:val="15"/>
        </w:numPr>
        <w:tabs>
          <w:tab w:val="clear" w:pos="432"/>
        </w:tabs>
        <w:ind w:hanging="1440"/>
      </w:pPr>
      <w:r w:rsidRPr="008851A7">
        <w:rPr>
          <w:b/>
        </w:rPr>
        <w:t>The Type 1 provider delivers medical care but is not directly funded for OAHS.</w:t>
      </w:r>
      <w:r w:rsidRPr="008851A7">
        <w:t xml:space="preserve"> In this scenario, we assume that most clients receive their medical care </w:t>
      </w:r>
      <w:r w:rsidR="00BE33A2">
        <w:t>on-site</w:t>
      </w:r>
      <w:r w:rsidRPr="008851A7">
        <w:t xml:space="preserve"> (but the clinical data are not reported to </w:t>
      </w:r>
      <w:r w:rsidR="009504A7">
        <w:t>us</w:t>
      </w:r>
      <w:r w:rsidR="009504A7" w:rsidRPr="008851A7">
        <w:t xml:space="preserve"> </w:t>
      </w:r>
      <w:r w:rsidRPr="008851A7">
        <w:t>because the provider is not directly funded for OAHS) or that clients are not receiving medical care at all. We will use the provider type variable in the RSR to identify medical providers (such as hospital-based or community health centers) that do not report furnishing OAHS.</w:t>
      </w:r>
    </w:p>
    <w:p w14:paraId="3005D6AD" w14:textId="77777777" w:rsidR="00964E79" w:rsidRPr="008851A7" w:rsidRDefault="00964E79" w:rsidP="00E64A8E">
      <w:pPr>
        <w:pStyle w:val="NumberedBullet"/>
        <w:numPr>
          <w:ilvl w:val="0"/>
          <w:numId w:val="16"/>
        </w:numPr>
        <w:tabs>
          <w:tab w:val="clear" w:pos="432"/>
          <w:tab w:val="left" w:pos="1440"/>
        </w:tabs>
        <w:spacing w:after="240"/>
        <w:ind w:left="360"/>
      </w:pPr>
      <w:r w:rsidRPr="008851A7">
        <w:rPr>
          <w:b/>
        </w:rPr>
        <w:t xml:space="preserve">The Type 1 provider is directly funded for OAHS, but only some of its clients </w:t>
      </w:r>
      <w:r w:rsidR="00637373">
        <w:rPr>
          <w:b/>
        </w:rPr>
        <w:tab/>
      </w:r>
      <w:r w:rsidRPr="008851A7">
        <w:rPr>
          <w:b/>
        </w:rPr>
        <w:t xml:space="preserve">receive OAHS </w:t>
      </w:r>
      <w:r w:rsidR="00BE33A2">
        <w:rPr>
          <w:b/>
        </w:rPr>
        <w:t>on-site</w:t>
      </w:r>
      <w:r w:rsidRPr="008851A7">
        <w:rPr>
          <w:b/>
        </w:rPr>
        <w:t>.</w:t>
      </w:r>
      <w:r w:rsidRPr="008851A7">
        <w:t xml:space="preserve"> In this scenario, we assume that clients either receive their </w:t>
      </w:r>
      <w:r w:rsidR="00637373">
        <w:tab/>
      </w:r>
      <w:r w:rsidRPr="008851A7">
        <w:t xml:space="preserve">medical care from a Type 2 provider and their support services from the Type 1 </w:t>
      </w:r>
      <w:r w:rsidR="00637373">
        <w:tab/>
      </w:r>
      <w:r w:rsidRPr="008851A7">
        <w:t xml:space="preserve">provider or that they are not receiving medical care at all. For OAHS-funded </w:t>
      </w:r>
      <w:r w:rsidR="00637373">
        <w:tab/>
      </w:r>
      <w:r w:rsidRPr="008851A7">
        <w:t xml:space="preserve">providers with non-OAHS clients, we will assess the number of clients who did </w:t>
      </w:r>
      <w:r w:rsidR="00637373">
        <w:tab/>
      </w:r>
      <w:r w:rsidRPr="008851A7">
        <w:t xml:space="preserve">versus did not receive RWHAP-funded OAHS based on the “OAHS service visits </w:t>
      </w:r>
      <w:r w:rsidR="00637373">
        <w:tab/>
      </w:r>
      <w:r w:rsidRPr="008851A7">
        <w:t>delivered” client-level item in the RSR.</w:t>
      </w:r>
    </w:p>
    <w:p w14:paraId="6B096E6E" w14:textId="77777777" w:rsidR="00AF1485" w:rsidRPr="008851A7" w:rsidRDefault="00ED32DD" w:rsidP="00FB76D9">
      <w:pPr>
        <w:pStyle w:val="MarkforTableTitle"/>
      </w:pPr>
      <w:r w:rsidRPr="008851A7">
        <w:t xml:space="preserve">Table </w:t>
      </w:r>
      <w:r w:rsidR="007877F3" w:rsidRPr="008851A7">
        <w:t>1.</w:t>
      </w:r>
      <w:r w:rsidR="00215381" w:rsidRPr="008851A7">
        <w:t>1</w:t>
      </w:r>
      <w:r w:rsidRPr="008851A7">
        <w:t xml:space="preserve">. Three scenarios under which RWHAP clients do not receive </w:t>
      </w:r>
      <w:r w:rsidR="00964E79" w:rsidRPr="008851A7">
        <w:t xml:space="preserve">OAHS directly funded through the </w:t>
      </w:r>
      <w:r w:rsidRPr="008851A7">
        <w:t>RWHAP</w:t>
      </w:r>
    </w:p>
    <w:tbl>
      <w:tblPr>
        <w:tblW w:w="9540" w:type="dxa"/>
        <w:tblInd w:w="-10" w:type="dxa"/>
        <w:tblCellMar>
          <w:left w:w="0" w:type="dxa"/>
          <w:right w:w="0" w:type="dxa"/>
        </w:tblCellMar>
        <w:tblLook w:val="04A0" w:firstRow="1" w:lastRow="0" w:firstColumn="1" w:lastColumn="0" w:noHBand="0" w:noVBand="1"/>
      </w:tblPr>
      <w:tblGrid>
        <w:gridCol w:w="1431"/>
        <w:gridCol w:w="2539"/>
        <w:gridCol w:w="2700"/>
        <w:gridCol w:w="2870"/>
      </w:tblGrid>
      <w:tr w:rsidR="00571105" w:rsidRPr="008851A7" w14:paraId="56E5BCEE" w14:textId="77777777" w:rsidTr="00964E79">
        <w:tc>
          <w:tcPr>
            <w:tcW w:w="1431" w:type="dxa"/>
            <w:shd w:val="clear" w:color="auto" w:fill="6C6F71"/>
            <w:tcMar>
              <w:top w:w="0" w:type="dxa"/>
              <w:left w:w="108" w:type="dxa"/>
              <w:bottom w:w="0" w:type="dxa"/>
              <w:right w:w="108" w:type="dxa"/>
            </w:tcMar>
            <w:hideMark/>
          </w:tcPr>
          <w:p w14:paraId="63DE6C04" w14:textId="77777777" w:rsidR="00571105" w:rsidRPr="008851A7" w:rsidRDefault="00571105" w:rsidP="007C5D87">
            <w:pPr>
              <w:pStyle w:val="TableHeaderLeft"/>
            </w:pPr>
            <w:r w:rsidRPr="008851A7">
              <w:t>Provider Type</w:t>
            </w:r>
          </w:p>
        </w:tc>
        <w:tc>
          <w:tcPr>
            <w:tcW w:w="2539" w:type="dxa"/>
            <w:shd w:val="clear" w:color="auto" w:fill="6C6F71"/>
            <w:tcMar>
              <w:top w:w="0" w:type="dxa"/>
              <w:left w:w="108" w:type="dxa"/>
              <w:bottom w:w="0" w:type="dxa"/>
              <w:right w:w="108" w:type="dxa"/>
            </w:tcMar>
            <w:hideMark/>
          </w:tcPr>
          <w:p w14:paraId="66E2D19B" w14:textId="77777777" w:rsidR="00571105" w:rsidRPr="008851A7" w:rsidRDefault="00571105" w:rsidP="00FB76D9">
            <w:pPr>
              <w:pStyle w:val="TableHeaderCenter"/>
            </w:pPr>
            <w:r w:rsidRPr="008851A7">
              <w:t xml:space="preserve">Scenario A </w:t>
            </w:r>
          </w:p>
        </w:tc>
        <w:tc>
          <w:tcPr>
            <w:tcW w:w="2700" w:type="dxa"/>
            <w:shd w:val="clear" w:color="auto" w:fill="6C6F71"/>
            <w:tcMar>
              <w:top w:w="0" w:type="dxa"/>
              <w:left w:w="108" w:type="dxa"/>
              <w:bottom w:w="0" w:type="dxa"/>
              <w:right w:w="108" w:type="dxa"/>
            </w:tcMar>
            <w:hideMark/>
          </w:tcPr>
          <w:p w14:paraId="269026B0" w14:textId="77777777" w:rsidR="00571105" w:rsidRPr="008851A7" w:rsidRDefault="00571105" w:rsidP="00FB76D9">
            <w:pPr>
              <w:pStyle w:val="TableHeaderCenter"/>
            </w:pPr>
            <w:r w:rsidRPr="008851A7">
              <w:t xml:space="preserve">Scenario B </w:t>
            </w:r>
          </w:p>
        </w:tc>
        <w:tc>
          <w:tcPr>
            <w:tcW w:w="2870" w:type="dxa"/>
            <w:shd w:val="clear" w:color="auto" w:fill="6C6F71"/>
            <w:tcMar>
              <w:top w:w="0" w:type="dxa"/>
              <w:left w:w="108" w:type="dxa"/>
              <w:bottom w:w="0" w:type="dxa"/>
              <w:right w:w="108" w:type="dxa"/>
            </w:tcMar>
            <w:hideMark/>
          </w:tcPr>
          <w:p w14:paraId="0328FFB0" w14:textId="77777777" w:rsidR="00571105" w:rsidRPr="008851A7" w:rsidRDefault="00571105" w:rsidP="00FB76D9">
            <w:pPr>
              <w:pStyle w:val="TableHeaderCenter"/>
            </w:pPr>
            <w:r w:rsidRPr="008851A7">
              <w:t xml:space="preserve">Scenario C </w:t>
            </w:r>
          </w:p>
        </w:tc>
      </w:tr>
      <w:tr w:rsidR="008A647E" w:rsidRPr="008851A7" w14:paraId="774C9852" w14:textId="77777777" w:rsidTr="00964E79">
        <w:trPr>
          <w:trHeight w:val="927"/>
        </w:trPr>
        <w:tc>
          <w:tcPr>
            <w:tcW w:w="1431" w:type="dxa"/>
            <w:tcMar>
              <w:top w:w="0" w:type="dxa"/>
              <w:left w:w="108" w:type="dxa"/>
              <w:bottom w:w="0" w:type="dxa"/>
              <w:right w:w="108" w:type="dxa"/>
            </w:tcMar>
            <w:vAlign w:val="center"/>
            <w:hideMark/>
          </w:tcPr>
          <w:p w14:paraId="468DE6EE" w14:textId="77777777" w:rsidR="008A647E" w:rsidRPr="008851A7" w:rsidRDefault="008A647E" w:rsidP="008A647E">
            <w:pPr>
              <w:pStyle w:val="TableText"/>
              <w:spacing w:before="40" w:after="40"/>
              <w:jc w:val="center"/>
            </w:pPr>
            <w:r w:rsidRPr="008851A7">
              <w:t>Type 1</w:t>
            </w:r>
          </w:p>
        </w:tc>
        <w:tc>
          <w:tcPr>
            <w:tcW w:w="2539" w:type="dxa"/>
            <w:tcMar>
              <w:top w:w="0" w:type="dxa"/>
              <w:left w:w="108" w:type="dxa"/>
              <w:bottom w:w="0" w:type="dxa"/>
              <w:right w:w="108" w:type="dxa"/>
            </w:tcMar>
            <w:vAlign w:val="center"/>
            <w:hideMark/>
          </w:tcPr>
          <w:p w14:paraId="4CE11B97" w14:textId="77777777" w:rsidR="008A647E" w:rsidRPr="008851A7" w:rsidRDefault="008A647E" w:rsidP="008A647E">
            <w:pPr>
              <w:pStyle w:val="TableText"/>
              <w:spacing w:before="40" w:after="40"/>
              <w:jc w:val="center"/>
            </w:pPr>
            <w:r w:rsidRPr="008851A7">
              <w:t xml:space="preserve">RWHAP provider </w:t>
            </w:r>
            <w:r w:rsidRPr="008851A7">
              <w:br/>
              <w:t>(non-medical)</w:t>
            </w:r>
          </w:p>
        </w:tc>
        <w:tc>
          <w:tcPr>
            <w:tcW w:w="2700" w:type="dxa"/>
            <w:vMerge w:val="restart"/>
            <w:tcMar>
              <w:top w:w="0" w:type="dxa"/>
              <w:left w:w="108" w:type="dxa"/>
              <w:bottom w:w="0" w:type="dxa"/>
              <w:right w:w="108" w:type="dxa"/>
            </w:tcMar>
            <w:vAlign w:val="center"/>
          </w:tcPr>
          <w:p w14:paraId="72EC559B" w14:textId="77777777" w:rsidR="008A647E" w:rsidRPr="008851A7" w:rsidRDefault="008A647E" w:rsidP="008A647E">
            <w:pPr>
              <w:pStyle w:val="TableText"/>
              <w:spacing w:before="40" w:after="40"/>
              <w:jc w:val="center"/>
            </w:pPr>
            <w:r w:rsidRPr="008851A7">
              <w:t xml:space="preserve">RWHAP provider </w:t>
            </w:r>
            <w:r w:rsidRPr="008851A7">
              <w:br/>
              <w:t>(medical)</w:t>
            </w:r>
            <w:r w:rsidRPr="008851A7">
              <w:br/>
              <w:t>not directly funded for OAHS</w:t>
            </w:r>
          </w:p>
        </w:tc>
        <w:tc>
          <w:tcPr>
            <w:tcW w:w="2870" w:type="dxa"/>
            <w:tcMar>
              <w:top w:w="0" w:type="dxa"/>
              <w:left w:w="108" w:type="dxa"/>
              <w:bottom w:w="0" w:type="dxa"/>
              <w:right w:w="108" w:type="dxa"/>
            </w:tcMar>
            <w:vAlign w:val="center"/>
            <w:hideMark/>
          </w:tcPr>
          <w:p w14:paraId="6F9D0EC5" w14:textId="77777777" w:rsidR="008A647E" w:rsidRPr="008851A7" w:rsidRDefault="008A647E" w:rsidP="008A647E">
            <w:pPr>
              <w:pStyle w:val="TableText"/>
              <w:spacing w:before="40" w:after="40"/>
              <w:jc w:val="center"/>
            </w:pPr>
            <w:r w:rsidRPr="008851A7">
              <w:t xml:space="preserve">RWHAP provider </w:t>
            </w:r>
            <w:r w:rsidRPr="008851A7">
              <w:br/>
              <w:t>(medical)</w:t>
            </w:r>
            <w:r w:rsidRPr="008851A7">
              <w:br/>
              <w:t>directly funded for OAHS, but</w:t>
            </w:r>
            <w:r w:rsidRPr="008851A7">
              <w:br/>
              <w:t>some clients without OAHS</w:t>
            </w:r>
          </w:p>
        </w:tc>
      </w:tr>
      <w:tr w:rsidR="008A647E" w:rsidRPr="008851A7" w14:paraId="7E1FF855" w14:textId="77777777" w:rsidTr="00964E79">
        <w:trPr>
          <w:trHeight w:val="927"/>
        </w:trPr>
        <w:tc>
          <w:tcPr>
            <w:tcW w:w="1431" w:type="dxa"/>
            <w:tcBorders>
              <w:bottom w:val="single" w:sz="4" w:space="0" w:color="auto"/>
            </w:tcBorders>
            <w:tcMar>
              <w:top w:w="0" w:type="dxa"/>
              <w:left w:w="108" w:type="dxa"/>
              <w:bottom w:w="0" w:type="dxa"/>
              <w:right w:w="108" w:type="dxa"/>
            </w:tcMar>
            <w:vAlign w:val="center"/>
            <w:hideMark/>
          </w:tcPr>
          <w:p w14:paraId="507C6C43" w14:textId="77777777" w:rsidR="008A647E" w:rsidRPr="008851A7" w:rsidRDefault="008A647E" w:rsidP="008A647E">
            <w:pPr>
              <w:pStyle w:val="TableText"/>
              <w:spacing w:before="40" w:after="40"/>
              <w:jc w:val="center"/>
            </w:pPr>
            <w:r w:rsidRPr="008851A7">
              <w:t>Type 2</w:t>
            </w:r>
          </w:p>
        </w:tc>
        <w:tc>
          <w:tcPr>
            <w:tcW w:w="2539" w:type="dxa"/>
            <w:tcBorders>
              <w:bottom w:val="single" w:sz="4" w:space="0" w:color="auto"/>
            </w:tcBorders>
            <w:tcMar>
              <w:top w:w="0" w:type="dxa"/>
              <w:left w:w="108" w:type="dxa"/>
              <w:bottom w:w="0" w:type="dxa"/>
              <w:right w:w="108" w:type="dxa"/>
            </w:tcMar>
            <w:vAlign w:val="center"/>
            <w:hideMark/>
          </w:tcPr>
          <w:p w14:paraId="50522486" w14:textId="39C0B79F" w:rsidR="008A647E" w:rsidRPr="008851A7" w:rsidRDefault="00C93C42" w:rsidP="008A647E">
            <w:pPr>
              <w:pStyle w:val="TableText"/>
              <w:spacing w:before="40" w:after="40"/>
              <w:jc w:val="center"/>
            </w:pPr>
            <w:r>
              <w:t>Non-RWHAP-funded OAHS providers</w:t>
            </w:r>
            <w:r w:rsidR="008A647E" w:rsidRPr="008851A7">
              <w:t xml:space="preserve"> (medical)</w:t>
            </w:r>
          </w:p>
        </w:tc>
        <w:tc>
          <w:tcPr>
            <w:tcW w:w="2700" w:type="dxa"/>
            <w:vMerge/>
            <w:tcBorders>
              <w:bottom w:val="single" w:sz="4" w:space="0" w:color="auto"/>
            </w:tcBorders>
            <w:vAlign w:val="center"/>
            <w:hideMark/>
          </w:tcPr>
          <w:p w14:paraId="7A500EE1" w14:textId="77777777" w:rsidR="008A647E" w:rsidRPr="008851A7" w:rsidRDefault="008A647E" w:rsidP="008A647E">
            <w:pPr>
              <w:pStyle w:val="TableText"/>
              <w:spacing w:before="40" w:after="40"/>
              <w:jc w:val="center"/>
            </w:pPr>
          </w:p>
        </w:tc>
        <w:tc>
          <w:tcPr>
            <w:tcW w:w="2870" w:type="dxa"/>
            <w:tcBorders>
              <w:bottom w:val="single" w:sz="4" w:space="0" w:color="auto"/>
            </w:tcBorders>
            <w:tcMar>
              <w:top w:w="0" w:type="dxa"/>
              <w:left w:w="108" w:type="dxa"/>
              <w:bottom w:w="0" w:type="dxa"/>
              <w:right w:w="108" w:type="dxa"/>
            </w:tcMar>
            <w:vAlign w:val="center"/>
            <w:hideMark/>
          </w:tcPr>
          <w:p w14:paraId="6C57C4A6" w14:textId="4637938D" w:rsidR="008A647E" w:rsidRPr="008851A7" w:rsidRDefault="00C93C42" w:rsidP="008A647E">
            <w:pPr>
              <w:pStyle w:val="TableText"/>
              <w:spacing w:before="40" w:after="40"/>
              <w:jc w:val="center"/>
            </w:pPr>
            <w:r>
              <w:t>Non-RWHAP-funded OAHS providers</w:t>
            </w:r>
            <w:r w:rsidR="008A647E" w:rsidRPr="008851A7">
              <w:t xml:space="preserve"> (medical)</w:t>
            </w:r>
          </w:p>
        </w:tc>
      </w:tr>
    </w:tbl>
    <w:p w14:paraId="7F569F44" w14:textId="77777777" w:rsidR="00C8755D" w:rsidRDefault="00C8755D" w:rsidP="00FB76D9">
      <w:pPr>
        <w:pStyle w:val="H4NumberNoTOC"/>
      </w:pPr>
    </w:p>
    <w:p w14:paraId="6BBDFA00" w14:textId="77777777" w:rsidR="00192426" w:rsidRPr="008851A7" w:rsidRDefault="00192426" w:rsidP="00FB76D9">
      <w:pPr>
        <w:pStyle w:val="H4NumberNoTOC"/>
      </w:pPr>
      <w:r w:rsidRPr="008851A7">
        <w:t xml:space="preserve">A.1.3. </w:t>
      </w:r>
      <w:r w:rsidR="00FB76D9" w:rsidRPr="008851A7">
        <w:tab/>
      </w:r>
      <w:r w:rsidRPr="008851A7">
        <w:t xml:space="preserve">Legal </w:t>
      </w:r>
      <w:r w:rsidR="008E4E7E" w:rsidRPr="008851A7">
        <w:t>a</w:t>
      </w:r>
      <w:r w:rsidRPr="008851A7">
        <w:t>uthority</w:t>
      </w:r>
    </w:p>
    <w:p w14:paraId="722CAFA8" w14:textId="77777777" w:rsidR="000F2273" w:rsidRPr="008851A7" w:rsidRDefault="000F2273" w:rsidP="000F2273">
      <w:pPr>
        <w:pStyle w:val="NormalSS"/>
      </w:pPr>
      <w:r w:rsidRPr="008851A7">
        <w:t xml:space="preserve">Legislative authorization for this study comes from Title XXVI of the Public Health Service Act as amended by the Ryan White HIV/AIDS Treatment Extension Act 2009 (Public Law 111-87). See Attachment </w:t>
      </w:r>
      <w:r w:rsidR="000C11FC" w:rsidRPr="008851A7">
        <w:t>A</w:t>
      </w:r>
      <w:r w:rsidR="004C6B95" w:rsidRPr="008851A7">
        <w:t xml:space="preserve"> </w:t>
      </w:r>
      <w:r w:rsidRPr="008851A7">
        <w:t xml:space="preserve">for the legislative authorization for this study. </w:t>
      </w:r>
    </w:p>
    <w:p w14:paraId="375BC255" w14:textId="77777777" w:rsidR="00D230D0" w:rsidRPr="008851A7" w:rsidRDefault="007A6D3B" w:rsidP="000175C5">
      <w:pPr>
        <w:pStyle w:val="H3Alpha"/>
      </w:pPr>
      <w:bookmarkStart w:id="3" w:name="_Toc265322"/>
      <w:bookmarkStart w:id="4" w:name="_Toc306878118"/>
      <w:r w:rsidRPr="008851A7">
        <w:t>A.</w:t>
      </w:r>
      <w:r w:rsidR="00D230D0" w:rsidRPr="008851A7">
        <w:t xml:space="preserve">2. </w:t>
      </w:r>
      <w:r w:rsidR="00FB76D9" w:rsidRPr="008851A7">
        <w:tab/>
      </w:r>
      <w:r w:rsidR="00D230D0" w:rsidRPr="008851A7">
        <w:t xml:space="preserve">Purpose and </w:t>
      </w:r>
      <w:r w:rsidR="008E4E7E" w:rsidRPr="008851A7">
        <w:t>u</w:t>
      </w:r>
      <w:r w:rsidR="00D230D0" w:rsidRPr="008851A7">
        <w:t xml:space="preserve">se of </w:t>
      </w:r>
      <w:r w:rsidR="008E4E7E" w:rsidRPr="008851A7">
        <w:t>i</w:t>
      </w:r>
      <w:r w:rsidR="00D230D0" w:rsidRPr="008851A7">
        <w:t xml:space="preserve">nformation </w:t>
      </w:r>
      <w:r w:rsidR="008E4E7E" w:rsidRPr="008851A7">
        <w:t>c</w:t>
      </w:r>
      <w:r w:rsidR="00D230D0" w:rsidRPr="008851A7">
        <w:t>ollection</w:t>
      </w:r>
      <w:bookmarkEnd w:id="3"/>
    </w:p>
    <w:p w14:paraId="563B0BEC" w14:textId="03BBD0EA" w:rsidR="00D230D0" w:rsidRPr="008851A7" w:rsidRDefault="006C0DCC" w:rsidP="006E2484">
      <w:pPr>
        <w:pStyle w:val="NormalSS"/>
      </w:pPr>
      <w:r>
        <w:t xml:space="preserve"> </w:t>
      </w:r>
      <w:r w:rsidR="006824AB">
        <w:t xml:space="preserve">We </w:t>
      </w:r>
      <w:r w:rsidR="00511D85" w:rsidRPr="008851A7">
        <w:t xml:space="preserve">will conduct </w:t>
      </w:r>
      <w:r w:rsidR="00833D20">
        <w:t xml:space="preserve">qualitative interviews </w:t>
      </w:r>
      <w:r w:rsidR="005C50CA">
        <w:t>at</w:t>
      </w:r>
      <w:r w:rsidR="003D17C8">
        <w:t xml:space="preserve"> </w:t>
      </w:r>
      <w:r w:rsidR="00511D85" w:rsidRPr="008851A7">
        <w:t>30 provider</w:t>
      </w:r>
      <w:r w:rsidR="005C50CA">
        <w:t xml:space="preserve"> site</w:t>
      </w:r>
      <w:r>
        <w:t>s</w:t>
      </w:r>
      <w:r w:rsidR="00123A45">
        <w:t>, either in-person or by telephone</w:t>
      </w:r>
      <w:r w:rsidR="00E56656">
        <w:t>, depending on the preference of the site</w:t>
      </w:r>
      <w:r w:rsidR="00511D85" w:rsidRPr="008851A7">
        <w:t>.</w:t>
      </w:r>
      <w:r w:rsidR="003B6E6B" w:rsidRPr="008851A7">
        <w:t xml:space="preserve"> </w:t>
      </w:r>
      <w:r w:rsidR="00833D20">
        <w:t xml:space="preserve">At each site, </w:t>
      </w:r>
      <w:r w:rsidR="003B6E6B" w:rsidRPr="008851A7">
        <w:t>we expect to</w:t>
      </w:r>
      <w:r w:rsidR="00833D20">
        <w:t xml:space="preserve"> interview </w:t>
      </w:r>
      <w:r w:rsidR="003B6E6B" w:rsidRPr="008851A7">
        <w:t>both Type 1 provider</w:t>
      </w:r>
      <w:r w:rsidR="00123A45">
        <w:t>s</w:t>
      </w:r>
      <w:r w:rsidR="003B6E6B" w:rsidRPr="008851A7">
        <w:t xml:space="preserve"> and its Type 2 </w:t>
      </w:r>
      <w:r w:rsidR="00B66337" w:rsidRPr="008851A7">
        <w:t xml:space="preserve">non-RWHAP </w:t>
      </w:r>
      <w:r w:rsidR="005F7878" w:rsidRPr="008851A7">
        <w:t>medical</w:t>
      </w:r>
      <w:r w:rsidR="00B66337" w:rsidRPr="008851A7">
        <w:t xml:space="preserve"> </w:t>
      </w:r>
      <w:r w:rsidR="003B6E6B" w:rsidRPr="008851A7">
        <w:t>partner</w:t>
      </w:r>
      <w:r w:rsidR="00B66337" w:rsidRPr="008851A7">
        <w:t xml:space="preserve"> or partners</w:t>
      </w:r>
      <w:r w:rsidR="003B6E6B" w:rsidRPr="008851A7">
        <w:t xml:space="preserve">. </w:t>
      </w:r>
      <w:r w:rsidR="00833D20">
        <w:t>W</w:t>
      </w:r>
      <w:r w:rsidR="00511D85" w:rsidRPr="008851A7">
        <w:t>e will conduct two data collection activities: (1) semi</w:t>
      </w:r>
      <w:r w:rsidR="007B7749">
        <w:t>-</w:t>
      </w:r>
      <w:r w:rsidR="00511D85" w:rsidRPr="008851A7">
        <w:t xml:space="preserve">structured interviews with staff and clients for qualitative analysis and (2) </w:t>
      </w:r>
      <w:r w:rsidR="00833D20">
        <w:t xml:space="preserve">medical record abstraction </w:t>
      </w:r>
      <w:r w:rsidR="00511D85" w:rsidRPr="008851A7">
        <w:t xml:space="preserve">for quantitative analysis. </w:t>
      </w:r>
      <w:r w:rsidR="00215381" w:rsidRPr="008851A7">
        <w:t xml:space="preserve">In most cases, we will conduct staff interviews at both Type 1 and Type 2 providers and client interviews at only Type 1 providers. Whenever possible, we will </w:t>
      </w:r>
      <w:r w:rsidR="00833D20">
        <w:t xml:space="preserve">seek quantitative </w:t>
      </w:r>
      <w:r w:rsidR="004573B3">
        <w:t xml:space="preserve">data </w:t>
      </w:r>
      <w:r w:rsidR="00833D20">
        <w:t xml:space="preserve">from </w:t>
      </w:r>
      <w:r w:rsidR="00215381" w:rsidRPr="008851A7">
        <w:t>Type 1 providers</w:t>
      </w:r>
      <w:r w:rsidR="00C3602B" w:rsidRPr="008851A7">
        <w:t xml:space="preserve"> because they are funded by the RWHAP and our primary point of contact for this study</w:t>
      </w:r>
      <w:r w:rsidR="00215381" w:rsidRPr="008851A7">
        <w:t xml:space="preserve">. If the </w:t>
      </w:r>
      <w:r w:rsidR="00C3602B" w:rsidRPr="008851A7">
        <w:t xml:space="preserve">sampled </w:t>
      </w:r>
      <w:r w:rsidR="00215381" w:rsidRPr="008851A7">
        <w:t xml:space="preserve">Type 1 provider does not maintain </w:t>
      </w:r>
      <w:r w:rsidR="00C3602B" w:rsidRPr="008851A7">
        <w:t xml:space="preserve">the </w:t>
      </w:r>
      <w:r w:rsidR="00215381" w:rsidRPr="008851A7">
        <w:t>clinical data</w:t>
      </w:r>
      <w:r w:rsidR="00C3602B" w:rsidRPr="008851A7">
        <w:t xml:space="preserve"> we need for this study</w:t>
      </w:r>
      <w:r w:rsidR="00215381" w:rsidRPr="008851A7">
        <w:t xml:space="preserve">, we will </w:t>
      </w:r>
      <w:r w:rsidR="00833D20">
        <w:t xml:space="preserve">work with </w:t>
      </w:r>
      <w:r w:rsidR="00215381" w:rsidRPr="008851A7">
        <w:t>the Type 2 provider</w:t>
      </w:r>
      <w:r w:rsidR="006C1321">
        <w:t>(s) to which the majority of their patients</w:t>
      </w:r>
      <w:r w:rsidR="00833D20">
        <w:t xml:space="preserve"> </w:t>
      </w:r>
      <w:r w:rsidR="006C1321">
        <w:t xml:space="preserve">go for medical care </w:t>
      </w:r>
      <w:r w:rsidR="00833D20">
        <w:t>to obtain the medical record data</w:t>
      </w:r>
      <w:r w:rsidR="006C1321">
        <w:t xml:space="preserve"> we need</w:t>
      </w:r>
      <w:r w:rsidR="00215381" w:rsidRPr="008851A7">
        <w:t>. We describe each data collection activity below.</w:t>
      </w:r>
    </w:p>
    <w:p w14:paraId="32453CCB" w14:textId="77777777" w:rsidR="00D230D0" w:rsidRPr="008851A7" w:rsidRDefault="00D230D0" w:rsidP="00FB76D9">
      <w:pPr>
        <w:pStyle w:val="H4NumberNoTOC"/>
      </w:pPr>
      <w:r w:rsidRPr="008851A7">
        <w:t>A</w:t>
      </w:r>
      <w:r w:rsidR="008D1D29" w:rsidRPr="008851A7">
        <w:t>.2.1</w:t>
      </w:r>
      <w:r w:rsidRPr="008851A7">
        <w:t xml:space="preserve">. </w:t>
      </w:r>
      <w:r w:rsidR="00FB76D9" w:rsidRPr="008851A7">
        <w:tab/>
      </w:r>
      <w:r w:rsidR="008E4E7E" w:rsidRPr="008851A7">
        <w:t>Semi</w:t>
      </w:r>
      <w:r w:rsidR="007B7749">
        <w:t>-</w:t>
      </w:r>
      <w:r w:rsidR="008E4E7E" w:rsidRPr="008851A7">
        <w:t xml:space="preserve">structured </w:t>
      </w:r>
      <w:r w:rsidRPr="008851A7">
        <w:t xml:space="preserve">interviews with </w:t>
      </w:r>
      <w:r w:rsidR="00EA19FE" w:rsidRPr="008851A7">
        <w:t xml:space="preserve">RWHAP and </w:t>
      </w:r>
      <w:r w:rsidR="005832BC" w:rsidRPr="008851A7">
        <w:t>non-OAHS funded</w:t>
      </w:r>
      <w:r w:rsidR="00EA19FE" w:rsidRPr="008851A7">
        <w:t xml:space="preserve"> </w:t>
      </w:r>
      <w:r w:rsidRPr="008851A7">
        <w:t>provider</w:t>
      </w:r>
      <w:r w:rsidR="0097686F" w:rsidRPr="008851A7">
        <w:t xml:space="preserve"> </w:t>
      </w:r>
      <w:r w:rsidRPr="008851A7">
        <w:t>s</w:t>
      </w:r>
      <w:r w:rsidR="0097686F" w:rsidRPr="008851A7">
        <w:t>taff</w:t>
      </w:r>
      <w:r w:rsidRPr="008851A7">
        <w:t xml:space="preserve"> </w:t>
      </w:r>
    </w:p>
    <w:p w14:paraId="253A0C58" w14:textId="106307CE" w:rsidR="00D230D0" w:rsidRPr="008851A7" w:rsidRDefault="00D230D0" w:rsidP="00443873">
      <w:pPr>
        <w:pStyle w:val="NormalSS"/>
        <w:spacing w:after="120"/>
      </w:pPr>
      <w:r w:rsidRPr="008851A7">
        <w:t xml:space="preserve">The study team will conduct </w:t>
      </w:r>
      <w:r w:rsidR="00B66337" w:rsidRPr="008851A7">
        <w:t xml:space="preserve">individual </w:t>
      </w:r>
      <w:r w:rsidRPr="008851A7">
        <w:t>interviews with</w:t>
      </w:r>
      <w:r w:rsidR="00B66337" w:rsidRPr="008851A7">
        <w:t xml:space="preserve"> up to</w:t>
      </w:r>
      <w:r w:rsidR="00E67A3C" w:rsidRPr="008851A7">
        <w:t xml:space="preserve"> </w:t>
      </w:r>
      <w:r w:rsidR="008E4E7E" w:rsidRPr="008851A7">
        <w:t>three to four</w:t>
      </w:r>
      <w:r w:rsidR="00E67A3C" w:rsidRPr="008851A7">
        <w:t xml:space="preserve"> </w:t>
      </w:r>
      <w:r w:rsidRPr="008851A7">
        <w:t xml:space="preserve">staff </w:t>
      </w:r>
      <w:r w:rsidR="00E67A3C" w:rsidRPr="008851A7">
        <w:t xml:space="preserve">at both of the Type 1 and Type 2 provider organizations. The purpose of the staff interviews is </w:t>
      </w:r>
      <w:r w:rsidRPr="008851A7">
        <w:t xml:space="preserve">to better understand the services </w:t>
      </w:r>
      <w:r w:rsidR="00B32E5C" w:rsidRPr="008851A7">
        <w:t xml:space="preserve">that </w:t>
      </w:r>
      <w:r w:rsidRPr="008851A7">
        <w:t xml:space="preserve">RWHAP non-OAHS clients receive, </w:t>
      </w:r>
      <w:r w:rsidR="00B32E5C" w:rsidRPr="008851A7">
        <w:t xml:space="preserve">the </w:t>
      </w:r>
      <w:r w:rsidRPr="008851A7">
        <w:t xml:space="preserve">referral processes </w:t>
      </w:r>
      <w:r w:rsidR="00215381" w:rsidRPr="008851A7">
        <w:t xml:space="preserve">between </w:t>
      </w:r>
      <w:r w:rsidR="00B32E5C" w:rsidRPr="008851A7">
        <w:t xml:space="preserve">RWHAP and </w:t>
      </w:r>
      <w:r w:rsidR="005832BC" w:rsidRPr="008851A7">
        <w:t>non-OAHS funded</w:t>
      </w:r>
      <w:r w:rsidR="00B32E5C" w:rsidRPr="008851A7">
        <w:t xml:space="preserve"> </w:t>
      </w:r>
      <w:r w:rsidRPr="008851A7">
        <w:t xml:space="preserve">providers, and </w:t>
      </w:r>
      <w:r w:rsidR="00B32E5C" w:rsidRPr="008851A7">
        <w:t>the</w:t>
      </w:r>
      <w:r w:rsidR="0097686F" w:rsidRPr="008851A7">
        <w:t>ir</w:t>
      </w:r>
      <w:r w:rsidR="00B32E5C" w:rsidRPr="008851A7">
        <w:t xml:space="preserve"> </w:t>
      </w:r>
      <w:r w:rsidRPr="008851A7">
        <w:t xml:space="preserve">perceptions </w:t>
      </w:r>
      <w:r w:rsidR="006E2484" w:rsidRPr="008851A7">
        <w:t xml:space="preserve">of quality of care </w:t>
      </w:r>
      <w:r w:rsidRPr="008851A7">
        <w:t xml:space="preserve">on </w:t>
      </w:r>
      <w:r w:rsidR="00B32E5C" w:rsidRPr="008851A7">
        <w:t xml:space="preserve">non-OAHS clients’ </w:t>
      </w:r>
      <w:r w:rsidRPr="008851A7">
        <w:t xml:space="preserve">health outcomes. We </w:t>
      </w:r>
      <w:r w:rsidR="00B32E5C" w:rsidRPr="008851A7">
        <w:t xml:space="preserve">plan to </w:t>
      </w:r>
      <w:r w:rsidRPr="008851A7">
        <w:t xml:space="preserve">conduct </w:t>
      </w:r>
      <w:r w:rsidR="00B32E5C" w:rsidRPr="008851A7">
        <w:t xml:space="preserve">interviews with </w:t>
      </w:r>
      <w:r w:rsidRPr="008851A7">
        <w:t xml:space="preserve">three types of </w:t>
      </w:r>
      <w:r w:rsidR="00B32E5C" w:rsidRPr="008851A7">
        <w:t>informants:</w:t>
      </w:r>
    </w:p>
    <w:p w14:paraId="3EF84238" w14:textId="01C6D316" w:rsidR="00D230D0" w:rsidRPr="008851A7" w:rsidRDefault="00D230D0" w:rsidP="001D4B73">
      <w:pPr>
        <w:pStyle w:val="NumberedBullet"/>
        <w:numPr>
          <w:ilvl w:val="0"/>
          <w:numId w:val="14"/>
        </w:numPr>
        <w:rPr>
          <w:rFonts w:eastAsia="Calibri"/>
        </w:rPr>
      </w:pPr>
      <w:r w:rsidRPr="008851A7">
        <w:rPr>
          <w:rFonts w:eastAsia="Calibri"/>
          <w:b/>
        </w:rPr>
        <w:t>Provider program management/leadership staff</w:t>
      </w:r>
      <w:r w:rsidR="00A70374" w:rsidRPr="008851A7">
        <w:rPr>
          <w:rFonts w:eastAsia="Calibri"/>
          <w:b/>
        </w:rPr>
        <w:t>.</w:t>
      </w:r>
      <w:r w:rsidRPr="008851A7">
        <w:rPr>
          <w:rFonts w:eastAsia="Calibri"/>
        </w:rPr>
        <w:t xml:space="preserve"> </w:t>
      </w:r>
      <w:r w:rsidR="006C0DCC">
        <w:rPr>
          <w:rFonts w:eastAsia="Calibri"/>
        </w:rPr>
        <w:t>T</w:t>
      </w:r>
      <w:r w:rsidRPr="008851A7">
        <w:rPr>
          <w:rFonts w:eastAsia="Calibri"/>
        </w:rPr>
        <w:t>hese interview</w:t>
      </w:r>
      <w:r w:rsidR="00253CAA">
        <w:rPr>
          <w:rFonts w:eastAsia="Calibri"/>
        </w:rPr>
        <w:t xml:space="preserve">s </w:t>
      </w:r>
      <w:r w:rsidRPr="008851A7">
        <w:rPr>
          <w:rFonts w:eastAsia="Calibri"/>
        </w:rPr>
        <w:t xml:space="preserve">will </w:t>
      </w:r>
      <w:r w:rsidR="006C0DCC">
        <w:rPr>
          <w:rFonts w:eastAsia="Calibri"/>
        </w:rPr>
        <w:t xml:space="preserve">focus on </w:t>
      </w:r>
      <w:r w:rsidRPr="008851A7">
        <w:rPr>
          <w:rFonts w:eastAsia="Calibri"/>
        </w:rPr>
        <w:t xml:space="preserve">provider organizational structures, funding streams, care models, and partnerships </w:t>
      </w:r>
      <w:r w:rsidR="00B32E5C" w:rsidRPr="008851A7">
        <w:rPr>
          <w:rFonts w:eastAsia="Calibri"/>
        </w:rPr>
        <w:t xml:space="preserve">and referral relationships </w:t>
      </w:r>
      <w:r w:rsidRPr="008851A7">
        <w:rPr>
          <w:rFonts w:eastAsia="Calibri"/>
        </w:rPr>
        <w:t>with other providers</w:t>
      </w:r>
      <w:r w:rsidR="007C5D87" w:rsidRPr="008851A7">
        <w:rPr>
          <w:rFonts w:eastAsia="Calibri"/>
        </w:rPr>
        <w:t xml:space="preserve">. </w:t>
      </w:r>
    </w:p>
    <w:p w14:paraId="5511254D" w14:textId="77777777" w:rsidR="00D230D0" w:rsidRPr="008851A7" w:rsidRDefault="00BC336B" w:rsidP="001D4B73">
      <w:pPr>
        <w:pStyle w:val="NumberedBullet"/>
        <w:numPr>
          <w:ilvl w:val="0"/>
          <w:numId w:val="14"/>
        </w:numPr>
        <w:rPr>
          <w:rFonts w:eastAsia="Calibri"/>
        </w:rPr>
      </w:pPr>
      <w:r w:rsidRPr="008851A7">
        <w:rPr>
          <w:rFonts w:eastAsia="Calibri"/>
          <w:b/>
        </w:rPr>
        <w:t>Staff</w:t>
      </w:r>
      <w:r w:rsidRPr="008851A7" w:rsidDel="00BC336B">
        <w:rPr>
          <w:rFonts w:eastAsia="Calibri"/>
          <w:b/>
        </w:rPr>
        <w:t xml:space="preserve"> </w:t>
      </w:r>
      <w:r w:rsidR="00072DF1" w:rsidRPr="008851A7">
        <w:rPr>
          <w:rFonts w:eastAsia="Calibri"/>
          <w:b/>
        </w:rPr>
        <w:t>performing</w:t>
      </w:r>
      <w:r w:rsidR="00880A7C" w:rsidRPr="008851A7">
        <w:rPr>
          <w:rFonts w:eastAsia="Calibri"/>
          <w:b/>
        </w:rPr>
        <w:t xml:space="preserve"> c</w:t>
      </w:r>
      <w:r w:rsidR="00D230D0" w:rsidRPr="008851A7">
        <w:rPr>
          <w:rFonts w:eastAsia="Calibri"/>
          <w:b/>
        </w:rPr>
        <w:t>ase management/direct service provision</w:t>
      </w:r>
      <w:r w:rsidR="00A70374" w:rsidRPr="008851A7">
        <w:rPr>
          <w:rFonts w:eastAsia="Calibri"/>
          <w:b/>
        </w:rPr>
        <w:t>.</w:t>
      </w:r>
      <w:r w:rsidR="00D230D0" w:rsidRPr="008851A7">
        <w:rPr>
          <w:rFonts w:eastAsia="Calibri"/>
        </w:rPr>
        <w:t xml:space="preserve"> These interviews will focus on the types of non-OAHS services </w:t>
      </w:r>
      <w:r w:rsidR="00B32E5C" w:rsidRPr="008851A7">
        <w:rPr>
          <w:rFonts w:eastAsia="Calibri"/>
        </w:rPr>
        <w:t xml:space="preserve">that </w:t>
      </w:r>
      <w:r w:rsidR="00D230D0" w:rsidRPr="008851A7">
        <w:rPr>
          <w:rFonts w:eastAsia="Calibri"/>
        </w:rPr>
        <w:t xml:space="preserve">RWHAP clients receive, </w:t>
      </w:r>
      <w:r w:rsidR="00880A7C" w:rsidRPr="008851A7">
        <w:rPr>
          <w:rFonts w:eastAsia="Calibri"/>
        </w:rPr>
        <w:t xml:space="preserve">the </w:t>
      </w:r>
      <w:r w:rsidR="00D230D0" w:rsidRPr="008851A7">
        <w:rPr>
          <w:rFonts w:eastAsia="Calibri"/>
        </w:rPr>
        <w:t xml:space="preserve">mechanics of referral processes and information sharing across RWHAP and </w:t>
      </w:r>
      <w:r w:rsidR="005832BC" w:rsidRPr="008851A7">
        <w:rPr>
          <w:rFonts w:eastAsia="Calibri"/>
        </w:rPr>
        <w:t>non-OAHS funded</w:t>
      </w:r>
      <w:r w:rsidR="00D230D0" w:rsidRPr="008851A7">
        <w:rPr>
          <w:rFonts w:eastAsia="Calibri"/>
        </w:rPr>
        <w:t xml:space="preserve"> providers, and </w:t>
      </w:r>
      <w:r w:rsidR="00880A7C" w:rsidRPr="008851A7">
        <w:rPr>
          <w:rFonts w:eastAsia="Calibri"/>
        </w:rPr>
        <w:t xml:space="preserve">the </w:t>
      </w:r>
      <w:r w:rsidR="00D230D0" w:rsidRPr="008851A7">
        <w:rPr>
          <w:rFonts w:eastAsia="Calibri"/>
        </w:rPr>
        <w:t xml:space="preserve">challenges and benefits clients face </w:t>
      </w:r>
      <w:r w:rsidR="00B32E5C" w:rsidRPr="008851A7">
        <w:rPr>
          <w:rFonts w:eastAsia="Calibri"/>
        </w:rPr>
        <w:t>accessing</w:t>
      </w:r>
      <w:r w:rsidR="00D230D0" w:rsidRPr="008851A7">
        <w:rPr>
          <w:rFonts w:eastAsia="Calibri"/>
        </w:rPr>
        <w:t xml:space="preserve"> services in multiple setting types.</w:t>
      </w:r>
    </w:p>
    <w:p w14:paraId="0DD0D557" w14:textId="77777777" w:rsidR="00D230D0" w:rsidRPr="008851A7" w:rsidRDefault="00D230D0" w:rsidP="001D4B73">
      <w:pPr>
        <w:pStyle w:val="NumberedBulletLastSS0"/>
        <w:numPr>
          <w:ilvl w:val="0"/>
          <w:numId w:val="14"/>
        </w:numPr>
        <w:rPr>
          <w:rFonts w:eastAsia="Calibri"/>
        </w:rPr>
      </w:pPr>
      <w:r w:rsidRPr="008851A7">
        <w:rPr>
          <w:rFonts w:eastAsia="Calibri"/>
          <w:b/>
        </w:rPr>
        <w:t>Medical directors/clinicians</w:t>
      </w:r>
      <w:r w:rsidR="00A70374" w:rsidRPr="008851A7">
        <w:rPr>
          <w:rFonts w:eastAsia="Calibri"/>
          <w:b/>
        </w:rPr>
        <w:t>.</w:t>
      </w:r>
      <w:r w:rsidRPr="008851A7">
        <w:rPr>
          <w:rFonts w:eastAsia="Calibri"/>
        </w:rPr>
        <w:t xml:space="preserve"> At provider sites offer</w:t>
      </w:r>
      <w:r w:rsidR="0069315F" w:rsidRPr="008851A7">
        <w:rPr>
          <w:rFonts w:eastAsia="Calibri"/>
        </w:rPr>
        <w:t>ing</w:t>
      </w:r>
      <w:r w:rsidRPr="008851A7">
        <w:rPr>
          <w:rFonts w:eastAsia="Calibri"/>
        </w:rPr>
        <w:t xml:space="preserve"> </w:t>
      </w:r>
      <w:r w:rsidR="005F7878" w:rsidRPr="008851A7">
        <w:rPr>
          <w:rFonts w:eastAsia="Calibri"/>
        </w:rPr>
        <w:t>medical</w:t>
      </w:r>
      <w:r w:rsidRPr="008851A7">
        <w:rPr>
          <w:rFonts w:eastAsia="Calibri"/>
        </w:rPr>
        <w:t xml:space="preserve"> services, we will gain a</w:t>
      </w:r>
      <w:r w:rsidR="00E57840" w:rsidRPr="008851A7">
        <w:rPr>
          <w:rFonts w:eastAsia="Calibri"/>
        </w:rPr>
        <w:t>n</w:t>
      </w:r>
      <w:r w:rsidRPr="008851A7">
        <w:rPr>
          <w:rFonts w:eastAsia="Calibri"/>
        </w:rPr>
        <w:t xml:space="preserve"> understanding of </w:t>
      </w:r>
      <w:r w:rsidR="00CE3AA0" w:rsidRPr="008851A7">
        <w:rPr>
          <w:rFonts w:eastAsia="Calibri"/>
        </w:rPr>
        <w:t>collect</w:t>
      </w:r>
      <w:r w:rsidR="009E31CD">
        <w:rPr>
          <w:rFonts w:eastAsia="Calibri"/>
        </w:rPr>
        <w:t>ed</w:t>
      </w:r>
      <w:r w:rsidR="00CE3AA0" w:rsidRPr="008851A7">
        <w:rPr>
          <w:rFonts w:eastAsia="Calibri"/>
        </w:rPr>
        <w:t xml:space="preserve"> information on </w:t>
      </w:r>
      <w:r w:rsidR="001A5E80" w:rsidRPr="008851A7">
        <w:rPr>
          <w:rFonts w:eastAsia="Calibri"/>
        </w:rPr>
        <w:t xml:space="preserve">these aspects of </w:t>
      </w:r>
      <w:r w:rsidR="005F7878" w:rsidRPr="008851A7">
        <w:rPr>
          <w:rFonts w:eastAsia="Calibri"/>
        </w:rPr>
        <w:t>medical</w:t>
      </w:r>
      <w:r w:rsidRPr="008851A7">
        <w:rPr>
          <w:rFonts w:eastAsia="Calibri"/>
        </w:rPr>
        <w:t xml:space="preserve"> care models</w:t>
      </w:r>
      <w:r w:rsidR="001A5E80" w:rsidRPr="008851A7">
        <w:rPr>
          <w:rFonts w:eastAsia="Calibri"/>
        </w:rPr>
        <w:t>:</w:t>
      </w:r>
      <w:r w:rsidRPr="008851A7">
        <w:rPr>
          <w:rFonts w:eastAsia="Calibri"/>
        </w:rPr>
        <w:t xml:space="preserve"> initiation of </w:t>
      </w:r>
      <w:r w:rsidR="00E57840" w:rsidRPr="008851A7">
        <w:rPr>
          <w:rFonts w:eastAsia="Calibri"/>
        </w:rPr>
        <w:t>antiretroviral therapy (</w:t>
      </w:r>
      <w:r w:rsidRPr="008851A7">
        <w:rPr>
          <w:rFonts w:eastAsia="Calibri"/>
        </w:rPr>
        <w:t>ART</w:t>
      </w:r>
      <w:r w:rsidR="00E57840" w:rsidRPr="008851A7">
        <w:rPr>
          <w:rFonts w:eastAsia="Calibri"/>
        </w:rPr>
        <w:t>)</w:t>
      </w:r>
      <w:r w:rsidRPr="008851A7">
        <w:rPr>
          <w:rFonts w:eastAsia="Calibri"/>
        </w:rPr>
        <w:t xml:space="preserve">, frequency of HIV care appointments, and strategies used to engage clients in care and encourage ART adherence. </w:t>
      </w:r>
    </w:p>
    <w:p w14:paraId="1F952055" w14:textId="247038A4" w:rsidR="00D230D0" w:rsidRPr="008851A7" w:rsidRDefault="00016461" w:rsidP="006E2484">
      <w:pPr>
        <w:pStyle w:val="NormalSS"/>
        <w:rPr>
          <w:rFonts w:eastAsia="Calibri"/>
        </w:rPr>
      </w:pPr>
      <w:r w:rsidRPr="008851A7">
        <w:rPr>
          <w:rFonts w:eastAsia="Calibri"/>
        </w:rPr>
        <w:t>Although each interview will have a slightly different focus</w:t>
      </w:r>
      <w:r w:rsidR="00C3602B" w:rsidRPr="008851A7">
        <w:rPr>
          <w:rFonts w:eastAsia="Calibri"/>
        </w:rPr>
        <w:t xml:space="preserve"> based on </w:t>
      </w:r>
      <w:r w:rsidRPr="008851A7">
        <w:rPr>
          <w:rFonts w:eastAsia="Calibri"/>
        </w:rPr>
        <w:t xml:space="preserve">the provider scenario </w:t>
      </w:r>
      <w:r w:rsidR="0097686F" w:rsidRPr="008851A7">
        <w:rPr>
          <w:rFonts w:eastAsia="Calibri"/>
        </w:rPr>
        <w:t xml:space="preserve">(A–C) </w:t>
      </w:r>
      <w:r w:rsidRPr="008851A7">
        <w:rPr>
          <w:rFonts w:eastAsia="Calibri"/>
        </w:rPr>
        <w:t xml:space="preserve">and the interviewee’s role in the provision of services, we will gather information from all </w:t>
      </w:r>
      <w:r w:rsidRPr="008851A7">
        <w:t>informants</w:t>
      </w:r>
      <w:r w:rsidRPr="008851A7">
        <w:rPr>
          <w:rFonts w:eastAsia="Calibri"/>
        </w:rPr>
        <w:t xml:space="preserve"> on their perceptions of the quality of care and health outcomes for RWHAP non-OAHS clients and opportunities to improve care</w:t>
      </w:r>
      <w:r w:rsidR="00511D85" w:rsidRPr="008851A7">
        <w:rPr>
          <w:rFonts w:eastAsia="Calibri"/>
        </w:rPr>
        <w:t>,</w:t>
      </w:r>
      <w:r w:rsidRPr="008851A7">
        <w:rPr>
          <w:rFonts w:eastAsia="Calibri"/>
        </w:rPr>
        <w:t xml:space="preserve"> coordination</w:t>
      </w:r>
      <w:r w:rsidR="00511D85" w:rsidRPr="008851A7">
        <w:rPr>
          <w:rFonts w:eastAsia="Calibri"/>
        </w:rPr>
        <w:t>,</w:t>
      </w:r>
      <w:r w:rsidRPr="008851A7">
        <w:rPr>
          <w:rFonts w:eastAsia="Calibri"/>
        </w:rPr>
        <w:t xml:space="preserve"> and data sharing across providers for this population</w:t>
      </w:r>
      <w:r w:rsidR="007C5D87" w:rsidRPr="008851A7">
        <w:rPr>
          <w:rFonts w:eastAsia="Calibri"/>
        </w:rPr>
        <w:t xml:space="preserve">. </w:t>
      </w:r>
    </w:p>
    <w:p w14:paraId="3706196C" w14:textId="77777777" w:rsidR="00D230D0" w:rsidRPr="008851A7" w:rsidRDefault="00D230D0" w:rsidP="00FB76D9">
      <w:pPr>
        <w:pStyle w:val="H4NumberNoTOC"/>
      </w:pPr>
      <w:r w:rsidRPr="008851A7">
        <w:t>A.2.</w:t>
      </w:r>
      <w:r w:rsidR="008D1D29" w:rsidRPr="008851A7">
        <w:t>2.</w:t>
      </w:r>
      <w:r w:rsidRPr="008851A7">
        <w:t xml:space="preserve"> </w:t>
      </w:r>
      <w:r w:rsidR="00FB76D9" w:rsidRPr="008851A7">
        <w:tab/>
      </w:r>
      <w:r w:rsidR="008E4E7E" w:rsidRPr="008851A7">
        <w:t>Semi</w:t>
      </w:r>
      <w:r w:rsidR="007B7749">
        <w:t>-</w:t>
      </w:r>
      <w:r w:rsidR="008E4E7E" w:rsidRPr="008851A7">
        <w:t xml:space="preserve">structured </w:t>
      </w:r>
      <w:r w:rsidRPr="008851A7">
        <w:t xml:space="preserve">interviews with </w:t>
      </w:r>
      <w:r w:rsidR="00EA19FE" w:rsidRPr="008851A7">
        <w:t xml:space="preserve">RWHAP </w:t>
      </w:r>
      <w:r w:rsidR="0097686F" w:rsidRPr="008851A7">
        <w:t xml:space="preserve">non-OAHS </w:t>
      </w:r>
      <w:r w:rsidRPr="008851A7">
        <w:t xml:space="preserve">clients </w:t>
      </w:r>
    </w:p>
    <w:p w14:paraId="000A1516" w14:textId="7E15121B" w:rsidR="00511D85" w:rsidRPr="008851A7" w:rsidRDefault="0097686F" w:rsidP="006E2484">
      <w:pPr>
        <w:pStyle w:val="NormalSS"/>
        <w:rPr>
          <w:rFonts w:eastAsia="Calibri"/>
        </w:rPr>
      </w:pPr>
      <w:r w:rsidRPr="008851A7">
        <w:rPr>
          <w:rFonts w:eastAsia="Calibri"/>
        </w:rPr>
        <w:t>We will</w:t>
      </w:r>
      <w:r w:rsidR="00B66337" w:rsidRPr="008851A7">
        <w:rPr>
          <w:rFonts w:eastAsia="Calibri"/>
        </w:rPr>
        <w:t xml:space="preserve"> conduct individual</w:t>
      </w:r>
      <w:r w:rsidRPr="008851A7">
        <w:rPr>
          <w:rFonts w:eastAsia="Calibri"/>
        </w:rPr>
        <w:t xml:space="preserve"> interview</w:t>
      </w:r>
      <w:r w:rsidR="00B66337" w:rsidRPr="008851A7">
        <w:rPr>
          <w:rFonts w:eastAsia="Calibri"/>
        </w:rPr>
        <w:t>s with</w:t>
      </w:r>
      <w:r w:rsidRPr="008851A7">
        <w:rPr>
          <w:rFonts w:eastAsia="Calibri"/>
        </w:rPr>
        <w:t xml:space="preserve"> up to </w:t>
      </w:r>
      <w:r w:rsidR="00E67A3C" w:rsidRPr="008851A7">
        <w:rPr>
          <w:rFonts w:eastAsia="Calibri"/>
        </w:rPr>
        <w:t>four</w:t>
      </w:r>
      <w:r w:rsidRPr="008851A7">
        <w:rPr>
          <w:rFonts w:eastAsia="Calibri"/>
        </w:rPr>
        <w:t xml:space="preserve"> </w:t>
      </w:r>
      <w:r w:rsidR="00E67A3C" w:rsidRPr="008851A7">
        <w:rPr>
          <w:rFonts w:eastAsia="Calibri"/>
        </w:rPr>
        <w:t xml:space="preserve">non-OAHS </w:t>
      </w:r>
      <w:r w:rsidRPr="008851A7">
        <w:rPr>
          <w:rFonts w:eastAsia="Calibri"/>
        </w:rPr>
        <w:t>clients at each of</w:t>
      </w:r>
      <w:r w:rsidR="00E67A3C" w:rsidRPr="008851A7">
        <w:rPr>
          <w:rFonts w:eastAsia="Calibri"/>
        </w:rPr>
        <w:t xml:space="preserve"> the 30 sampled Type 1 provider</w:t>
      </w:r>
      <w:r w:rsidR="00C3602B" w:rsidRPr="008851A7">
        <w:rPr>
          <w:rFonts w:eastAsia="Calibri"/>
        </w:rPr>
        <w:t>s</w:t>
      </w:r>
      <w:r w:rsidRPr="008851A7">
        <w:rPr>
          <w:rFonts w:eastAsia="Calibri"/>
        </w:rPr>
        <w:t xml:space="preserve">. </w:t>
      </w:r>
      <w:r w:rsidR="00150062" w:rsidRPr="008851A7">
        <w:rPr>
          <w:rFonts w:eastAsia="Calibri"/>
        </w:rPr>
        <w:t xml:space="preserve">In </w:t>
      </w:r>
      <w:r w:rsidR="00D230D0" w:rsidRPr="008851A7">
        <w:rPr>
          <w:rFonts w:eastAsia="Calibri"/>
        </w:rPr>
        <w:t xml:space="preserve">interviews with </w:t>
      </w:r>
      <w:r w:rsidR="00EA19FE" w:rsidRPr="008851A7">
        <w:rPr>
          <w:rFonts w:eastAsia="Calibri"/>
        </w:rPr>
        <w:t xml:space="preserve">non-OAHS </w:t>
      </w:r>
      <w:r w:rsidR="00D230D0" w:rsidRPr="008851A7">
        <w:rPr>
          <w:rFonts w:eastAsia="Calibri"/>
        </w:rPr>
        <w:t>clients, we will hear</w:t>
      </w:r>
      <w:r w:rsidR="000E7507">
        <w:rPr>
          <w:rFonts w:eastAsia="Calibri"/>
        </w:rPr>
        <w:t>,</w:t>
      </w:r>
      <w:r w:rsidR="00D230D0" w:rsidRPr="008851A7">
        <w:rPr>
          <w:rFonts w:eastAsia="Calibri"/>
        </w:rPr>
        <w:t xml:space="preserve"> in the</w:t>
      </w:r>
      <w:r w:rsidR="006C0DCC">
        <w:rPr>
          <w:rFonts w:eastAsia="Calibri"/>
        </w:rPr>
        <w:t xml:space="preserve"> clients’ </w:t>
      </w:r>
      <w:r w:rsidR="00D230D0" w:rsidRPr="008851A7">
        <w:rPr>
          <w:rFonts w:eastAsia="Calibri"/>
        </w:rPr>
        <w:t>own words</w:t>
      </w:r>
      <w:r w:rsidR="000E7507">
        <w:rPr>
          <w:rFonts w:eastAsia="Calibri"/>
        </w:rPr>
        <w:t>,</w:t>
      </w:r>
      <w:r w:rsidR="00D230D0" w:rsidRPr="008851A7">
        <w:rPr>
          <w:rFonts w:eastAsia="Calibri"/>
        </w:rPr>
        <w:t xml:space="preserve"> why they receive services from </w:t>
      </w:r>
      <w:r w:rsidR="005832BC" w:rsidRPr="008851A7">
        <w:rPr>
          <w:rFonts w:eastAsia="Calibri"/>
        </w:rPr>
        <w:t>non-OAHS funded</w:t>
      </w:r>
      <w:r w:rsidR="00D230D0" w:rsidRPr="008851A7">
        <w:rPr>
          <w:rFonts w:eastAsia="Calibri"/>
        </w:rPr>
        <w:t xml:space="preserve"> </w:t>
      </w:r>
      <w:r w:rsidR="005F7878" w:rsidRPr="008851A7">
        <w:rPr>
          <w:rFonts w:eastAsia="Calibri"/>
        </w:rPr>
        <w:t>medical</w:t>
      </w:r>
      <w:r w:rsidR="00D230D0" w:rsidRPr="008851A7">
        <w:rPr>
          <w:rFonts w:eastAsia="Calibri"/>
        </w:rPr>
        <w:t xml:space="preserve"> settings, </w:t>
      </w:r>
      <w:r w:rsidR="00EA19FE" w:rsidRPr="008851A7">
        <w:rPr>
          <w:rFonts w:eastAsia="Calibri"/>
        </w:rPr>
        <w:t xml:space="preserve">the </w:t>
      </w:r>
      <w:r w:rsidR="00D230D0" w:rsidRPr="008851A7">
        <w:rPr>
          <w:rFonts w:eastAsia="Calibri"/>
        </w:rPr>
        <w:t xml:space="preserve">benefits or challenges </w:t>
      </w:r>
      <w:r w:rsidR="00EA19FE" w:rsidRPr="008851A7">
        <w:rPr>
          <w:rFonts w:eastAsia="Calibri"/>
        </w:rPr>
        <w:t xml:space="preserve">they face </w:t>
      </w:r>
      <w:r w:rsidR="00D230D0" w:rsidRPr="008851A7">
        <w:rPr>
          <w:rFonts w:eastAsia="Calibri"/>
        </w:rPr>
        <w:t xml:space="preserve">receiving care across multiple settings, </w:t>
      </w:r>
      <w:r w:rsidR="00EA19FE" w:rsidRPr="008851A7">
        <w:rPr>
          <w:rFonts w:eastAsia="Calibri"/>
        </w:rPr>
        <w:t xml:space="preserve">their </w:t>
      </w:r>
      <w:r w:rsidR="005F7878" w:rsidRPr="008851A7">
        <w:rPr>
          <w:rFonts w:eastAsia="Calibri"/>
        </w:rPr>
        <w:t>medical</w:t>
      </w:r>
      <w:r w:rsidR="00D230D0" w:rsidRPr="008851A7">
        <w:rPr>
          <w:rFonts w:eastAsia="Calibri"/>
        </w:rPr>
        <w:t xml:space="preserve"> and non</w:t>
      </w:r>
      <w:r w:rsidR="005F7878" w:rsidRPr="008851A7">
        <w:rPr>
          <w:rFonts w:eastAsia="Calibri"/>
        </w:rPr>
        <w:t>medical</w:t>
      </w:r>
      <w:r w:rsidR="00D230D0" w:rsidRPr="008851A7">
        <w:rPr>
          <w:rFonts w:eastAsia="Calibri"/>
        </w:rPr>
        <w:t xml:space="preserve"> service </w:t>
      </w:r>
      <w:r w:rsidR="00EA19FE" w:rsidRPr="008851A7">
        <w:rPr>
          <w:rFonts w:eastAsia="Calibri"/>
        </w:rPr>
        <w:t>use</w:t>
      </w:r>
      <w:r w:rsidR="00D230D0" w:rsidRPr="008851A7">
        <w:rPr>
          <w:rFonts w:eastAsia="Calibri"/>
        </w:rPr>
        <w:t xml:space="preserve">, </w:t>
      </w:r>
      <w:r w:rsidR="00EA19FE" w:rsidRPr="008851A7">
        <w:rPr>
          <w:rFonts w:eastAsia="Calibri"/>
        </w:rPr>
        <w:t xml:space="preserve">their </w:t>
      </w:r>
      <w:r w:rsidR="00D230D0" w:rsidRPr="008851A7">
        <w:rPr>
          <w:rFonts w:eastAsia="Calibri"/>
        </w:rPr>
        <w:t xml:space="preserve">health outcomes, and </w:t>
      </w:r>
      <w:r w:rsidR="00EA19FE" w:rsidRPr="008851A7">
        <w:rPr>
          <w:rFonts w:eastAsia="Calibri"/>
        </w:rPr>
        <w:t xml:space="preserve">the </w:t>
      </w:r>
      <w:r w:rsidR="00D230D0" w:rsidRPr="008851A7">
        <w:rPr>
          <w:rFonts w:eastAsia="Calibri"/>
        </w:rPr>
        <w:t>supports that help them stay engaged in care</w:t>
      </w:r>
      <w:r w:rsidR="00EA19FE" w:rsidRPr="008851A7">
        <w:rPr>
          <w:rFonts w:eastAsia="Calibri"/>
        </w:rPr>
        <w:t>,</w:t>
      </w:r>
      <w:r w:rsidR="00D230D0" w:rsidRPr="008851A7">
        <w:rPr>
          <w:rFonts w:eastAsia="Calibri"/>
        </w:rPr>
        <w:t xml:space="preserve"> adherent to ART</w:t>
      </w:r>
      <w:r w:rsidR="00EA19FE" w:rsidRPr="008851A7">
        <w:rPr>
          <w:rFonts w:eastAsia="Calibri"/>
        </w:rPr>
        <w:t>, and virally suppressed</w:t>
      </w:r>
      <w:r w:rsidR="00D230D0" w:rsidRPr="008851A7">
        <w:rPr>
          <w:rFonts w:eastAsia="Calibri"/>
        </w:rPr>
        <w:t xml:space="preserve">. </w:t>
      </w:r>
    </w:p>
    <w:p w14:paraId="1DD7A018" w14:textId="77777777" w:rsidR="008D1D29" w:rsidRPr="008851A7" w:rsidRDefault="008D1D29" w:rsidP="00FB76D9">
      <w:pPr>
        <w:pStyle w:val="H4NumberNoTOC"/>
      </w:pPr>
      <w:r w:rsidRPr="008851A7">
        <w:t xml:space="preserve">A.2.3. </w:t>
      </w:r>
      <w:r w:rsidR="00FB76D9" w:rsidRPr="008851A7">
        <w:tab/>
      </w:r>
      <w:r w:rsidR="00636E0B">
        <w:t>Medical record</w:t>
      </w:r>
      <w:r w:rsidR="00636E0B" w:rsidRPr="008851A7">
        <w:t xml:space="preserve"> </w:t>
      </w:r>
      <w:r w:rsidRPr="008851A7">
        <w:t xml:space="preserve">abstractions </w:t>
      </w:r>
    </w:p>
    <w:p w14:paraId="74258DE9" w14:textId="0E9486BE" w:rsidR="00A97058" w:rsidRPr="008851A7" w:rsidRDefault="00420AC7" w:rsidP="006E2484">
      <w:pPr>
        <w:pStyle w:val="NormalSS"/>
      </w:pPr>
      <w:r w:rsidRPr="008851A7">
        <w:t xml:space="preserve">From each of the </w:t>
      </w:r>
      <w:r w:rsidR="00BB0FC0" w:rsidRPr="008851A7">
        <w:t xml:space="preserve">30 </w:t>
      </w:r>
      <w:r w:rsidRPr="008851A7">
        <w:t xml:space="preserve">selected provider sites, </w:t>
      </w:r>
      <w:r w:rsidR="005C50CA">
        <w:t xml:space="preserve">medical record data will be sought </w:t>
      </w:r>
      <w:r w:rsidRPr="008851A7">
        <w:t xml:space="preserve">for all of the RWHAP </w:t>
      </w:r>
      <w:r w:rsidR="00E67A3C" w:rsidRPr="008851A7">
        <w:t xml:space="preserve">non-OAHS </w:t>
      </w:r>
      <w:r w:rsidRPr="008851A7">
        <w:t xml:space="preserve">clients for whom </w:t>
      </w:r>
      <w:r w:rsidR="00E67A3C" w:rsidRPr="008851A7">
        <w:t xml:space="preserve">there is no </w:t>
      </w:r>
      <w:r w:rsidRPr="008851A7">
        <w:t xml:space="preserve">clinical data in the RSR. If a provider has more than </w:t>
      </w:r>
      <w:r w:rsidR="0069315F" w:rsidRPr="008851A7">
        <w:t xml:space="preserve">50 </w:t>
      </w:r>
      <w:r w:rsidR="00E67A3C" w:rsidRPr="008851A7">
        <w:t xml:space="preserve">non-OAHS </w:t>
      </w:r>
      <w:r w:rsidRPr="008851A7">
        <w:t xml:space="preserve">clients, we will select a </w:t>
      </w:r>
      <w:r w:rsidR="00C3602B" w:rsidRPr="008851A7">
        <w:t xml:space="preserve">stratified </w:t>
      </w:r>
      <w:r w:rsidRPr="008851A7">
        <w:t>random sample of 50</w:t>
      </w:r>
      <w:r w:rsidR="00565675" w:rsidRPr="008851A7">
        <w:t xml:space="preserve"> </w:t>
      </w:r>
      <w:r w:rsidR="00D3609E" w:rsidRPr="008851A7">
        <w:t xml:space="preserve">clients </w:t>
      </w:r>
      <w:r w:rsidR="00565675" w:rsidRPr="008851A7">
        <w:t>for a maximum of 1</w:t>
      </w:r>
      <w:r w:rsidR="00E67A3C" w:rsidRPr="008851A7">
        <w:t>,</w:t>
      </w:r>
      <w:r w:rsidR="00BB0FC0" w:rsidRPr="008851A7">
        <w:t>5</w:t>
      </w:r>
      <w:r w:rsidR="00565675" w:rsidRPr="008851A7">
        <w:t>00 chart reviews</w:t>
      </w:r>
      <w:r w:rsidR="00C3602B" w:rsidRPr="008851A7">
        <w:t xml:space="preserve"> in total for this study</w:t>
      </w:r>
      <w:r w:rsidRPr="008851A7">
        <w:t xml:space="preserve">. </w:t>
      </w:r>
      <w:r w:rsidR="008D1D29" w:rsidRPr="008851A7">
        <w:t xml:space="preserve">The purpose of the chart </w:t>
      </w:r>
      <w:r w:rsidR="008C6C70" w:rsidRPr="008851A7">
        <w:t>abstraction</w:t>
      </w:r>
      <w:r w:rsidR="00D3609E" w:rsidRPr="008851A7">
        <w:t>s</w:t>
      </w:r>
      <w:r w:rsidR="008C6C70" w:rsidRPr="008851A7">
        <w:t xml:space="preserve"> </w:t>
      </w:r>
      <w:r w:rsidR="008D1D29" w:rsidRPr="008851A7">
        <w:t xml:space="preserve">is to obtain </w:t>
      </w:r>
      <w:r w:rsidR="00A97058" w:rsidRPr="008851A7">
        <w:t xml:space="preserve">service use and </w:t>
      </w:r>
      <w:r w:rsidR="008D1D29" w:rsidRPr="008851A7">
        <w:t xml:space="preserve">clinical information on clients who do not receive </w:t>
      </w:r>
      <w:r w:rsidR="008264D0" w:rsidRPr="008851A7">
        <w:t>directly</w:t>
      </w:r>
      <w:r w:rsidR="008D1D29" w:rsidRPr="008851A7">
        <w:t>-funded OAHS</w:t>
      </w:r>
      <w:r w:rsidR="008264D0" w:rsidRPr="008851A7">
        <w:t xml:space="preserve"> through the RWHAP</w:t>
      </w:r>
      <w:r w:rsidR="008D1D29" w:rsidRPr="008851A7">
        <w:t xml:space="preserve">. </w:t>
      </w:r>
      <w:r w:rsidR="00A97058" w:rsidRPr="008851A7">
        <w:rPr>
          <w:szCs w:val="24"/>
        </w:rPr>
        <w:t>The data elements to be extracted from medical records include (1) date of initial HIV diagnosis, (2) dates of outpatient medical visits, (3) dates and types of ART prescriptions, and (4) dates and results of viral load lab tests. We will</w:t>
      </w:r>
      <w:r w:rsidR="005C50CA">
        <w:rPr>
          <w:szCs w:val="24"/>
        </w:rPr>
        <w:t xml:space="preserve"> </w:t>
      </w:r>
      <w:r w:rsidR="00A76A74">
        <w:rPr>
          <w:szCs w:val="24"/>
        </w:rPr>
        <w:t xml:space="preserve">limit </w:t>
      </w:r>
      <w:r w:rsidR="005C50CA">
        <w:rPr>
          <w:szCs w:val="24"/>
        </w:rPr>
        <w:t xml:space="preserve">the abstraction </w:t>
      </w:r>
      <w:r w:rsidR="00A97058" w:rsidRPr="008851A7">
        <w:rPr>
          <w:szCs w:val="24"/>
        </w:rPr>
        <w:t xml:space="preserve">to records with dates from January through December 2018. In addition, we will obtain </w:t>
      </w:r>
      <w:r w:rsidR="008264D0" w:rsidRPr="008851A7">
        <w:rPr>
          <w:szCs w:val="24"/>
        </w:rPr>
        <w:t xml:space="preserve">the clients’ encrypted unique identifier (eUCI), </w:t>
      </w:r>
      <w:r w:rsidR="00A97058" w:rsidRPr="008851A7">
        <w:rPr>
          <w:szCs w:val="24"/>
        </w:rPr>
        <w:t>ag</w:t>
      </w:r>
      <w:r w:rsidR="008264D0" w:rsidRPr="008851A7">
        <w:rPr>
          <w:szCs w:val="24"/>
        </w:rPr>
        <w:t>e, and gender from the 2017 RSR and merge this information onto the analytic file.</w:t>
      </w:r>
    </w:p>
    <w:p w14:paraId="5FC21F46" w14:textId="28D1F60E" w:rsidR="00A97058" w:rsidRPr="008851A7" w:rsidRDefault="00A97058" w:rsidP="00A97058">
      <w:pPr>
        <w:pStyle w:val="NormalSS"/>
        <w:rPr>
          <w:szCs w:val="24"/>
        </w:rPr>
      </w:pPr>
      <w:r w:rsidRPr="008851A7">
        <w:rPr>
          <w:szCs w:val="24"/>
        </w:rPr>
        <w:t xml:space="preserve">We will use the information collected in the abstraction tool to calculate the key outcomes of this study: (1) the percentage of non-OAHS clients who were retained in care, using a definition </w:t>
      </w:r>
      <w:r w:rsidR="009504A7">
        <w:rPr>
          <w:szCs w:val="24"/>
        </w:rPr>
        <w:t xml:space="preserve">we </w:t>
      </w:r>
      <w:r w:rsidRPr="008851A7">
        <w:rPr>
          <w:szCs w:val="24"/>
        </w:rPr>
        <w:t xml:space="preserve">developed, such as one visit during first </w:t>
      </w:r>
      <w:r w:rsidR="009E31CD">
        <w:rPr>
          <w:szCs w:val="24"/>
        </w:rPr>
        <w:t>nine</w:t>
      </w:r>
      <w:r w:rsidR="009E31CD" w:rsidRPr="008851A7">
        <w:rPr>
          <w:szCs w:val="24"/>
        </w:rPr>
        <w:t xml:space="preserve"> </w:t>
      </w:r>
      <w:r w:rsidRPr="008851A7">
        <w:rPr>
          <w:szCs w:val="24"/>
        </w:rPr>
        <w:t>months followed by second visit at least 90 days after first visit; (2) the percentage of non-OAHS clients for whom ART had been initiated; and (3) the percentage of clients who were virally suppressed. It will also allow us to assess the types of ART medications prescribed, relative to those covered under the AIDS Drug Assistance Program. Including the dates of each event will enable us to measure the average time from initial diagnosis to ART initiation and from ART initiation to viral suppression, critical measures of optimal HIV care and adherence. Finally, recording the actual lab results will enable us to assess the range of clinical outcomes, as well as the extent of virologic failure, persistent low-level viremia, and durable suppression.</w:t>
      </w:r>
    </w:p>
    <w:p w14:paraId="3536B58B" w14:textId="3C791A05" w:rsidR="009B047B" w:rsidRPr="008851A7" w:rsidRDefault="009B047B" w:rsidP="009B047B">
      <w:pPr>
        <w:pStyle w:val="NormalSS"/>
        <w:rPr>
          <w:szCs w:val="24"/>
        </w:rPr>
      </w:pPr>
      <w:r w:rsidRPr="008851A7">
        <w:rPr>
          <w:szCs w:val="24"/>
        </w:rPr>
        <w:t>In the event that some of the detailed information is not available in medical records, we will use a short</w:t>
      </w:r>
      <w:r w:rsidR="008264D0" w:rsidRPr="008851A7">
        <w:rPr>
          <w:szCs w:val="24"/>
        </w:rPr>
        <w:t>er</w:t>
      </w:r>
      <w:r w:rsidRPr="008851A7">
        <w:rPr>
          <w:szCs w:val="24"/>
        </w:rPr>
        <w:t xml:space="preserve"> version of the tool. In addition to the pre-populated eUCI, age, and gender of the client, the short version of the tool will include four key data elements: (1) count of the number of outpatient medical visits, (2) an indication of whether any HIV medications were prescribed, (3) an indication of whether any viral load lab tests were ordered, and (4) an indication of whether the viral load results were less than 200 copies/ml. </w:t>
      </w:r>
      <w:r w:rsidRPr="008851A7" w:rsidDel="008916E0">
        <w:rPr>
          <w:szCs w:val="24"/>
        </w:rPr>
        <w:t>The abstractors will use an Excel-based abstraction tool</w:t>
      </w:r>
      <w:r w:rsidRPr="008851A7">
        <w:rPr>
          <w:szCs w:val="24"/>
        </w:rPr>
        <w:t xml:space="preserve"> (full and short versions)</w:t>
      </w:r>
      <w:r w:rsidRPr="008851A7" w:rsidDel="008916E0">
        <w:rPr>
          <w:szCs w:val="24"/>
        </w:rPr>
        <w:t>, which will also include in</w:t>
      </w:r>
      <w:r w:rsidRPr="008851A7">
        <w:rPr>
          <w:szCs w:val="24"/>
        </w:rPr>
        <w:t xml:space="preserve">structions for abstracting the </w:t>
      </w:r>
      <w:r w:rsidRPr="008851A7" w:rsidDel="008916E0">
        <w:rPr>
          <w:szCs w:val="24"/>
        </w:rPr>
        <w:t xml:space="preserve">data elements. </w:t>
      </w:r>
      <w:r w:rsidRPr="008851A7">
        <w:rPr>
          <w:szCs w:val="24"/>
        </w:rPr>
        <w:t>To the extent possible, the cells will be pre-formatted to reflect the data field</w:t>
      </w:r>
      <w:r w:rsidR="008264D0" w:rsidRPr="008851A7">
        <w:rPr>
          <w:szCs w:val="24"/>
        </w:rPr>
        <w:t>s</w:t>
      </w:r>
      <w:r w:rsidRPr="008851A7">
        <w:rPr>
          <w:szCs w:val="24"/>
        </w:rPr>
        <w:t xml:space="preserve"> (such as dates) and may include a drop-down menu of acceptable response options (for example, ART drug codes).</w:t>
      </w:r>
    </w:p>
    <w:p w14:paraId="0EDF6BAB" w14:textId="77777777" w:rsidR="002C6900" w:rsidRPr="008851A7" w:rsidRDefault="002C6900" w:rsidP="002C6900">
      <w:pPr>
        <w:pStyle w:val="H3Alpha"/>
      </w:pPr>
      <w:bookmarkStart w:id="5" w:name="_Toc265323"/>
      <w:r w:rsidRPr="008851A7">
        <w:t xml:space="preserve">A.3. </w:t>
      </w:r>
      <w:r w:rsidRPr="008851A7">
        <w:tab/>
        <w:t>Use of improved information technology and burden reduction</w:t>
      </w:r>
      <w:bookmarkEnd w:id="5"/>
    </w:p>
    <w:p w14:paraId="2C322E41" w14:textId="77777777" w:rsidR="00C55A57" w:rsidRPr="008851A7" w:rsidRDefault="00646AA1" w:rsidP="00FB76D9">
      <w:pPr>
        <w:pStyle w:val="H4NumberNoTOC"/>
      </w:pPr>
      <w:r w:rsidRPr="008851A7">
        <w:t>A.3.1</w:t>
      </w:r>
      <w:r w:rsidR="00C55A57" w:rsidRPr="008851A7">
        <w:t xml:space="preserve">. </w:t>
      </w:r>
      <w:r w:rsidR="00FB76D9" w:rsidRPr="008851A7">
        <w:tab/>
      </w:r>
      <w:r w:rsidR="008E4E7E" w:rsidRPr="008851A7">
        <w:t>Semi</w:t>
      </w:r>
      <w:r w:rsidR="007B7749">
        <w:t>-</w:t>
      </w:r>
      <w:r w:rsidR="008E4E7E" w:rsidRPr="008851A7">
        <w:t xml:space="preserve">structured </w:t>
      </w:r>
      <w:r w:rsidR="00C55A57" w:rsidRPr="008851A7">
        <w:t xml:space="preserve">interviews with providers and clients </w:t>
      </w:r>
    </w:p>
    <w:p w14:paraId="1C2530C2" w14:textId="7080C770" w:rsidR="00E8383A" w:rsidRPr="008851A7" w:rsidRDefault="00C55A57" w:rsidP="006E2484">
      <w:pPr>
        <w:pStyle w:val="NormalSS"/>
        <w:spacing w:after="120"/>
        <w:rPr>
          <w:rFonts w:eastAsia="Calibri"/>
        </w:rPr>
      </w:pPr>
      <w:r w:rsidRPr="008851A7">
        <w:rPr>
          <w:rFonts w:eastAsia="Calibri"/>
        </w:rPr>
        <w:t xml:space="preserve">The project team plans to reduce qualitative data collection burden through </w:t>
      </w:r>
      <w:r w:rsidR="00F011B6" w:rsidRPr="008851A7">
        <w:rPr>
          <w:rFonts w:eastAsia="Calibri"/>
        </w:rPr>
        <w:t xml:space="preserve">three </w:t>
      </w:r>
      <w:r w:rsidRPr="008851A7">
        <w:rPr>
          <w:rFonts w:eastAsia="Calibri"/>
        </w:rPr>
        <w:t xml:space="preserve">strategies. First, we </w:t>
      </w:r>
      <w:r w:rsidR="00D45C11" w:rsidRPr="008851A7">
        <w:rPr>
          <w:rFonts w:eastAsia="Calibri"/>
        </w:rPr>
        <w:t xml:space="preserve">will </w:t>
      </w:r>
      <w:r w:rsidRPr="008851A7">
        <w:rPr>
          <w:rFonts w:eastAsia="Calibri"/>
        </w:rPr>
        <w:t xml:space="preserve">conduct </w:t>
      </w:r>
      <w:r w:rsidR="00134BE4" w:rsidRPr="008851A7">
        <w:rPr>
          <w:rFonts w:eastAsia="Calibri"/>
        </w:rPr>
        <w:t>tele</w:t>
      </w:r>
      <w:r w:rsidRPr="008851A7">
        <w:rPr>
          <w:rFonts w:eastAsia="Calibri"/>
        </w:rPr>
        <w:t>phone interviews with provider staff and clients</w:t>
      </w:r>
      <w:r w:rsidR="005C50CA">
        <w:rPr>
          <w:rFonts w:eastAsia="Calibri"/>
        </w:rPr>
        <w:t>, unless the provider site requests on-site interviews. This will reduce burden on provider sites with regard to scheduling</w:t>
      </w:r>
      <w:r w:rsidR="00A76A74">
        <w:rPr>
          <w:rFonts w:eastAsia="Calibri"/>
        </w:rPr>
        <w:t xml:space="preserve"> and space</w:t>
      </w:r>
      <w:r w:rsidR="005C50CA">
        <w:rPr>
          <w:rFonts w:eastAsia="Calibri"/>
        </w:rPr>
        <w:t xml:space="preserve">. </w:t>
      </w:r>
      <w:r w:rsidRPr="008851A7">
        <w:rPr>
          <w:rFonts w:eastAsia="Calibri"/>
        </w:rPr>
        <w:t xml:space="preserve">Second, we will research each provider </w:t>
      </w:r>
      <w:r w:rsidR="00134BE4" w:rsidRPr="008851A7">
        <w:rPr>
          <w:rFonts w:eastAsia="Calibri"/>
        </w:rPr>
        <w:t xml:space="preserve">before </w:t>
      </w:r>
      <w:r w:rsidRPr="008851A7">
        <w:rPr>
          <w:rFonts w:eastAsia="Calibri"/>
        </w:rPr>
        <w:t xml:space="preserve">the </w:t>
      </w:r>
      <w:r w:rsidR="00242001">
        <w:rPr>
          <w:rFonts w:eastAsia="Calibri"/>
        </w:rPr>
        <w:t>interview</w:t>
      </w:r>
      <w:r w:rsidRPr="008851A7">
        <w:rPr>
          <w:rFonts w:eastAsia="Calibri"/>
        </w:rPr>
        <w:t xml:space="preserve">, </w:t>
      </w:r>
      <w:r w:rsidR="00242001">
        <w:rPr>
          <w:rFonts w:eastAsia="Calibri"/>
        </w:rPr>
        <w:t xml:space="preserve">allowing the interview to elicit </w:t>
      </w:r>
      <w:r w:rsidRPr="008851A7">
        <w:rPr>
          <w:rFonts w:eastAsia="Calibri"/>
        </w:rPr>
        <w:t xml:space="preserve">information not available through other sources, such as </w:t>
      </w:r>
      <w:r w:rsidR="00D45C11" w:rsidRPr="008851A7">
        <w:rPr>
          <w:rFonts w:eastAsia="Calibri"/>
        </w:rPr>
        <w:t xml:space="preserve">the </w:t>
      </w:r>
      <w:r w:rsidRPr="008851A7">
        <w:rPr>
          <w:rFonts w:eastAsia="Calibri"/>
        </w:rPr>
        <w:t>RSR</w:t>
      </w:r>
      <w:r w:rsidR="00B66337" w:rsidRPr="008851A7">
        <w:rPr>
          <w:rFonts w:eastAsia="Calibri"/>
        </w:rPr>
        <w:t xml:space="preserve"> and </w:t>
      </w:r>
      <w:r w:rsidRPr="008851A7">
        <w:rPr>
          <w:rFonts w:eastAsia="Calibri"/>
        </w:rPr>
        <w:t>provider websites. We</w:t>
      </w:r>
      <w:r w:rsidR="00BF704B">
        <w:rPr>
          <w:rFonts w:eastAsia="Calibri"/>
        </w:rPr>
        <w:t xml:space="preserve"> </w:t>
      </w:r>
      <w:r w:rsidRPr="008851A7">
        <w:rPr>
          <w:rFonts w:eastAsia="Calibri"/>
        </w:rPr>
        <w:t>will create provider profiles on RWHAP funding sources, funded services, and client demographics to help inform the interviews without requesting duplicative information.</w:t>
      </w:r>
      <w:r w:rsidR="00F011B6" w:rsidRPr="008851A7">
        <w:rPr>
          <w:rFonts w:eastAsia="Calibri"/>
        </w:rPr>
        <w:t xml:space="preserve"> Finally, we will limit the duration of the interviews.</w:t>
      </w:r>
      <w:r w:rsidRPr="008851A7">
        <w:rPr>
          <w:rFonts w:eastAsia="Calibri"/>
        </w:rPr>
        <w:t xml:space="preserve"> </w:t>
      </w:r>
      <w:r w:rsidR="0052213A">
        <w:rPr>
          <w:rFonts w:eastAsia="Calibri"/>
        </w:rPr>
        <w:t>S</w:t>
      </w:r>
      <w:r w:rsidR="00F011B6" w:rsidRPr="008851A7">
        <w:rPr>
          <w:rFonts w:eastAsia="Calibri"/>
        </w:rPr>
        <w:t>taff interviews will take no more than 60 minutes to complete, and the client interviews will take no more than 30 minutes</w:t>
      </w:r>
      <w:r w:rsidR="00EA192B">
        <w:rPr>
          <w:rFonts w:eastAsia="Calibri"/>
        </w:rPr>
        <w:t xml:space="preserve"> to complete</w:t>
      </w:r>
      <w:r w:rsidR="007C5D87" w:rsidRPr="008851A7">
        <w:rPr>
          <w:rFonts w:eastAsia="Calibri"/>
        </w:rPr>
        <w:t xml:space="preserve">. </w:t>
      </w:r>
    </w:p>
    <w:p w14:paraId="59CC3E58" w14:textId="19ED7F1F" w:rsidR="00B8186C" w:rsidRPr="008851A7" w:rsidRDefault="00690DD5" w:rsidP="00B8186C">
      <w:pPr>
        <w:pStyle w:val="NormalSS"/>
        <w:rPr>
          <w:rFonts w:eastAsia="Calibri"/>
        </w:rPr>
      </w:pPr>
      <w:r w:rsidRPr="008851A7">
        <w:rPr>
          <w:rFonts w:eastAsia="Calibri"/>
        </w:rPr>
        <w:t xml:space="preserve">The study team will not rely heavily on information technology for the qualitative data </w:t>
      </w:r>
      <w:r w:rsidRPr="008851A7">
        <w:t>collection</w:t>
      </w:r>
      <w:r w:rsidRPr="008851A7">
        <w:rPr>
          <w:rFonts w:eastAsia="Calibri"/>
        </w:rPr>
        <w:t xml:space="preserve"> </w:t>
      </w:r>
      <w:r w:rsidR="00D45C11" w:rsidRPr="008851A7">
        <w:rPr>
          <w:rFonts w:eastAsia="Calibri"/>
        </w:rPr>
        <w:t>for</w:t>
      </w:r>
      <w:r w:rsidRPr="008851A7">
        <w:rPr>
          <w:rFonts w:eastAsia="Calibri"/>
        </w:rPr>
        <w:t xml:space="preserve"> this project. </w:t>
      </w:r>
      <w:r w:rsidR="00B8186C" w:rsidRPr="008851A7">
        <w:rPr>
          <w:rFonts w:eastAsia="Calibri"/>
        </w:rPr>
        <w:t>We will record interviews</w:t>
      </w:r>
      <w:r w:rsidR="00150062" w:rsidRPr="008851A7">
        <w:rPr>
          <w:rFonts w:eastAsia="Calibri"/>
        </w:rPr>
        <w:t xml:space="preserve"> on audio</w:t>
      </w:r>
      <w:r w:rsidR="00B8186C" w:rsidRPr="008851A7">
        <w:rPr>
          <w:rFonts w:eastAsia="Calibri"/>
        </w:rPr>
        <w:t xml:space="preserve">, allowing respondents to speak at their own pace without jeopardizing comprehensive data collection. </w:t>
      </w:r>
      <w:r w:rsidR="00986CDA" w:rsidRPr="00986CDA">
        <w:rPr>
          <w:rFonts w:eastAsia="Calibri"/>
        </w:rPr>
        <w:t>We</w:t>
      </w:r>
      <w:r w:rsidR="00BF704B">
        <w:rPr>
          <w:rFonts w:eastAsia="Calibri"/>
        </w:rPr>
        <w:t xml:space="preserve"> </w:t>
      </w:r>
      <w:r w:rsidR="00986CDA" w:rsidRPr="00986CDA">
        <w:rPr>
          <w:rFonts w:eastAsia="Calibri"/>
        </w:rPr>
        <w:t>will have the audio recordings of the provider and client interviews transcribed, and then code and analyz</w:t>
      </w:r>
      <w:r w:rsidR="00986CDA">
        <w:rPr>
          <w:rFonts w:eastAsia="Calibri"/>
        </w:rPr>
        <w:t xml:space="preserve">e the transcribed data in NVivo. </w:t>
      </w:r>
      <w:r w:rsidR="00702D68">
        <w:rPr>
          <w:rFonts w:eastAsia="Calibri"/>
        </w:rPr>
        <w:t xml:space="preserve">We will use the coded data to conduct a theme-based analysis </w:t>
      </w:r>
      <w:r w:rsidR="00981F8F">
        <w:rPr>
          <w:rFonts w:eastAsia="Calibri"/>
        </w:rPr>
        <w:t xml:space="preserve">based on the research questions. </w:t>
      </w:r>
      <w:r w:rsidR="00986CDA">
        <w:rPr>
          <w:rFonts w:eastAsia="Calibri"/>
        </w:rPr>
        <w:t>Additional details regarding the qualitative analysis can be found in Section A.16.1.</w:t>
      </w:r>
    </w:p>
    <w:p w14:paraId="3D546F63" w14:textId="77777777" w:rsidR="00091CC6" w:rsidRDefault="00091CC6" w:rsidP="00FB76D9">
      <w:pPr>
        <w:pStyle w:val="H4NumberNoTOC"/>
      </w:pPr>
      <w:r>
        <w:br w:type="page"/>
      </w:r>
    </w:p>
    <w:p w14:paraId="0B8094D5" w14:textId="30A4CCE0" w:rsidR="00646AA1" w:rsidRPr="008851A7" w:rsidRDefault="00646AA1" w:rsidP="00FB76D9">
      <w:pPr>
        <w:pStyle w:val="H4NumberNoTOC"/>
      </w:pPr>
      <w:r w:rsidRPr="008851A7">
        <w:t>A.3.2.</w:t>
      </w:r>
      <w:r w:rsidR="00FB76D9" w:rsidRPr="008851A7">
        <w:tab/>
      </w:r>
      <w:r w:rsidR="00854373">
        <w:t>Medical record</w:t>
      </w:r>
      <w:r w:rsidR="00854373" w:rsidRPr="008851A7">
        <w:t xml:space="preserve"> </w:t>
      </w:r>
      <w:r w:rsidRPr="008851A7">
        <w:t>abstractions</w:t>
      </w:r>
    </w:p>
    <w:p w14:paraId="5EDA6134" w14:textId="77777777" w:rsidR="002E7D29" w:rsidRPr="008851A7" w:rsidRDefault="008035BB" w:rsidP="006E2484">
      <w:pPr>
        <w:pStyle w:val="NormalSS"/>
        <w:spacing w:after="120"/>
      </w:pPr>
      <w:r w:rsidRPr="008851A7">
        <w:t xml:space="preserve">For the </w:t>
      </w:r>
      <w:r w:rsidR="00854373">
        <w:t>medical record</w:t>
      </w:r>
      <w:r w:rsidR="00854373" w:rsidRPr="008851A7">
        <w:t xml:space="preserve"> </w:t>
      </w:r>
      <w:r w:rsidRPr="008851A7">
        <w:t>abstraction</w:t>
      </w:r>
      <w:r w:rsidR="00D45C11" w:rsidRPr="008851A7">
        <w:t>s</w:t>
      </w:r>
      <w:r w:rsidRPr="008851A7">
        <w:t>,</w:t>
      </w:r>
      <w:r w:rsidR="00646AA1" w:rsidRPr="008851A7">
        <w:t xml:space="preserve"> </w:t>
      </w:r>
      <w:r w:rsidRPr="008851A7">
        <w:t>the study team</w:t>
      </w:r>
      <w:r w:rsidR="002E7D29" w:rsidRPr="008851A7">
        <w:t xml:space="preserve"> will develop an Excel-based data entry tool to collect the data elements for all sampled clients. The macro-enabled Excel abstraction tool will require little or no installation requirements. To begin the chart review, the abstractor will open the site’s Excel document and enable the content, which will display the abstraction worksheet. The study team will auto-populate the study-specific de-identified client ID number</w:t>
      </w:r>
      <w:r w:rsidR="008264D0" w:rsidRPr="008851A7">
        <w:t xml:space="preserve"> (EUCI)</w:t>
      </w:r>
      <w:r w:rsidR="002E7D29" w:rsidRPr="008851A7">
        <w:t>, client age, and client gender</w:t>
      </w:r>
      <w:r w:rsidR="00AD368A" w:rsidRPr="008851A7">
        <w:t xml:space="preserve"> into the data entry tool</w:t>
      </w:r>
      <w:r w:rsidR="00AF7CF8" w:rsidRPr="008851A7">
        <w:t>.</w:t>
      </w:r>
      <w:r w:rsidR="002E7D29" w:rsidRPr="008851A7">
        <w:t xml:space="preserve"> </w:t>
      </w:r>
      <w:r w:rsidR="008264D0" w:rsidRPr="008851A7">
        <w:t xml:space="preserve">Some </w:t>
      </w:r>
      <w:r w:rsidR="002E7D29" w:rsidRPr="008851A7">
        <w:t>data fields will have drop-down menus to ensure uniformity of reporting</w:t>
      </w:r>
      <w:r w:rsidR="00AF7CF8" w:rsidRPr="008851A7">
        <w:t xml:space="preserve"> and to reduce burden. </w:t>
      </w:r>
    </w:p>
    <w:p w14:paraId="7AD00013" w14:textId="18511B06" w:rsidR="00646AA1" w:rsidRPr="008851A7" w:rsidRDefault="00646AA1" w:rsidP="006E2484">
      <w:pPr>
        <w:pStyle w:val="NormalSS"/>
      </w:pPr>
      <w:r w:rsidRPr="008851A7">
        <w:t>T</w:t>
      </w:r>
      <w:r w:rsidR="007B47B3" w:rsidRPr="008851A7">
        <w:t>o reduce provider burden, t</w:t>
      </w:r>
      <w:r w:rsidRPr="008851A7">
        <w:t xml:space="preserve">he medical provider will decide </w:t>
      </w:r>
      <w:r w:rsidR="00242001">
        <w:t xml:space="preserve">if it is most efficient for them to do their own medical record abstraction or if they would prefer the study team perform </w:t>
      </w:r>
      <w:r w:rsidRPr="008851A7">
        <w:t>remote or on-site abstraction</w:t>
      </w:r>
      <w:r w:rsidR="00242001">
        <w:t>. For providers that elect to perform their own abstraction, we</w:t>
      </w:r>
      <w:r w:rsidR="004977E3">
        <w:t xml:space="preserve"> </w:t>
      </w:r>
      <w:r w:rsidR="00242001">
        <w:t xml:space="preserve">will provide training to ensure consistency in data collection across provider sites. </w:t>
      </w:r>
      <w:r w:rsidRPr="008851A7">
        <w:t xml:space="preserve">For providers that elect on-site chart review, we will provide </w:t>
      </w:r>
      <w:r w:rsidR="005C085D" w:rsidRPr="008851A7">
        <w:t xml:space="preserve">a </w:t>
      </w:r>
      <w:r w:rsidRPr="008851A7">
        <w:t xml:space="preserve">two-week advance notice of the </w:t>
      </w:r>
      <w:r w:rsidR="005C085D" w:rsidRPr="008851A7">
        <w:t xml:space="preserve">client </w:t>
      </w:r>
      <w:r w:rsidRPr="008851A7">
        <w:t xml:space="preserve">records </w:t>
      </w:r>
      <w:r w:rsidR="005C085D" w:rsidRPr="008851A7">
        <w:t xml:space="preserve">we want </w:t>
      </w:r>
      <w:r w:rsidRPr="008851A7">
        <w:t xml:space="preserve">to </w:t>
      </w:r>
      <w:r w:rsidR="005C085D" w:rsidRPr="008851A7">
        <w:t>review</w:t>
      </w:r>
      <w:r w:rsidRPr="008851A7">
        <w:t xml:space="preserve"> so that the </w:t>
      </w:r>
      <w:r w:rsidR="005C085D" w:rsidRPr="008851A7">
        <w:t xml:space="preserve">provider </w:t>
      </w:r>
      <w:r w:rsidRPr="008851A7">
        <w:t xml:space="preserve">has adequate time to collect all hard-copy and electronic records before the abstractor’s arrival. For providers that elect remote chart review, an abstractor will work with them to identify the </w:t>
      </w:r>
      <w:r w:rsidR="0047167D" w:rsidRPr="008851A7">
        <w:t xml:space="preserve">people </w:t>
      </w:r>
      <w:r w:rsidRPr="008851A7">
        <w:t xml:space="preserve">with whom they can coordinate information technology and security protocols. This communication will determine the most appropriate means for establishing remote access while maintaining privacy and security of confidential information. We will ask providers to appoint a contact person </w:t>
      </w:r>
      <w:r w:rsidR="0047167D" w:rsidRPr="008851A7">
        <w:t xml:space="preserve">to </w:t>
      </w:r>
      <w:r w:rsidRPr="008851A7">
        <w:t>facilitate access to the medical records (electronic and hard copy) and answer abstractors’ questions regarding missing or incomplete data.</w:t>
      </w:r>
      <w:r w:rsidR="00640E26" w:rsidRPr="008851A7">
        <w:t xml:space="preserve"> </w:t>
      </w:r>
      <w:r w:rsidR="00552F38">
        <w:t xml:space="preserve">Based on Mathematica’s experience with medical record chart abstraction on clinical quality measure development </w:t>
      </w:r>
      <w:r w:rsidR="00BC73C0">
        <w:t xml:space="preserve">and testing </w:t>
      </w:r>
      <w:r w:rsidR="00552F38">
        <w:t xml:space="preserve">work funded by the Centers for Medicare </w:t>
      </w:r>
      <w:r w:rsidR="00981F8F">
        <w:t>&amp;</w:t>
      </w:r>
      <w:r w:rsidR="00552F38">
        <w:t xml:space="preserve"> Medicaid Services (CMS), </w:t>
      </w:r>
      <w:r w:rsidR="00640E26" w:rsidRPr="008851A7">
        <w:t xml:space="preserve">we expect </w:t>
      </w:r>
      <w:r w:rsidR="00242001">
        <w:t xml:space="preserve">70 percent </w:t>
      </w:r>
      <w:r w:rsidR="00BC73C0">
        <w:t xml:space="preserve">of providers </w:t>
      </w:r>
      <w:r w:rsidR="00242001">
        <w:t xml:space="preserve">to perform their own abstractions, 20 percent to allow remote abstraction, and 10 percent to request on-site abstraction by members of the study team. </w:t>
      </w:r>
    </w:p>
    <w:p w14:paraId="189FC03B" w14:textId="77777777" w:rsidR="000F2273" w:rsidRPr="008851A7" w:rsidRDefault="007A6D3B" w:rsidP="000175C5">
      <w:pPr>
        <w:pStyle w:val="H3Alpha"/>
      </w:pPr>
      <w:bookmarkStart w:id="6" w:name="_Toc265324"/>
      <w:r w:rsidRPr="008851A7">
        <w:t>A.</w:t>
      </w:r>
      <w:r w:rsidR="009F6F3B" w:rsidRPr="008851A7">
        <w:t>4.</w:t>
      </w:r>
      <w:r w:rsidR="00FB76D9" w:rsidRPr="008851A7">
        <w:tab/>
      </w:r>
      <w:r w:rsidR="000F2273" w:rsidRPr="008851A7">
        <w:t xml:space="preserve">Efforts </w:t>
      </w:r>
      <w:r w:rsidR="0047167D" w:rsidRPr="008851A7">
        <w:t>to identify duplication and use of similar information</w:t>
      </w:r>
      <w:bookmarkEnd w:id="4"/>
      <w:bookmarkEnd w:id="6"/>
    </w:p>
    <w:p w14:paraId="439E5D7E" w14:textId="2457F2A7" w:rsidR="000F2273" w:rsidRPr="008851A7" w:rsidRDefault="000F2273" w:rsidP="00EE3BC8">
      <w:pPr>
        <w:pStyle w:val="NormalSS"/>
      </w:pPr>
      <w:r w:rsidRPr="008851A7">
        <w:t xml:space="preserve">The information collection </w:t>
      </w:r>
      <w:r w:rsidR="00134BE4" w:rsidRPr="008851A7">
        <w:t xml:space="preserve">will </w:t>
      </w:r>
      <w:r w:rsidRPr="008851A7">
        <w:t>not duplicate any other effort and will provide information unavailable from other source</w:t>
      </w:r>
      <w:r w:rsidR="00134BE4" w:rsidRPr="008851A7">
        <w:t>s</w:t>
      </w:r>
      <w:r w:rsidRPr="008851A7">
        <w:t xml:space="preserve">. </w:t>
      </w:r>
      <w:r w:rsidR="00EE3BC8" w:rsidRPr="008851A7">
        <w:t xml:space="preserve">HRSA does not use </w:t>
      </w:r>
      <w:r w:rsidR="00134BE4" w:rsidRPr="008851A7">
        <w:t xml:space="preserve">other </w:t>
      </w:r>
      <w:r w:rsidR="00EE3BC8" w:rsidRPr="008851A7">
        <w:t>collection instrument</w:t>
      </w:r>
      <w:r w:rsidR="00134BE4" w:rsidRPr="008851A7">
        <w:t>s</w:t>
      </w:r>
      <w:r w:rsidR="00EE3BC8" w:rsidRPr="008851A7">
        <w:t xml:space="preserve"> to obtain similar data</w:t>
      </w:r>
      <w:r w:rsidR="00134BE4" w:rsidRPr="008851A7">
        <w:t xml:space="preserve"> from its </w:t>
      </w:r>
      <w:r w:rsidR="008A0C7A" w:rsidRPr="008851A7">
        <w:t xml:space="preserve">recipient or subrecipient </w:t>
      </w:r>
      <w:r w:rsidR="00134BE4" w:rsidRPr="008851A7">
        <w:t>grantees</w:t>
      </w:r>
      <w:r w:rsidR="00EE3BC8" w:rsidRPr="008851A7">
        <w:t>. The staff</w:t>
      </w:r>
      <w:r w:rsidR="00881F80" w:rsidRPr="008851A7">
        <w:t xml:space="preserve"> and</w:t>
      </w:r>
      <w:r w:rsidR="00EE3BC8" w:rsidRPr="008851A7">
        <w:t xml:space="preserve"> client interviews and </w:t>
      </w:r>
      <w:r w:rsidR="00854373">
        <w:t>medical record</w:t>
      </w:r>
      <w:r w:rsidR="00854373" w:rsidRPr="008851A7">
        <w:t xml:space="preserve"> </w:t>
      </w:r>
      <w:r w:rsidR="00EE3BC8" w:rsidRPr="008851A7">
        <w:t>abstraction</w:t>
      </w:r>
      <w:r w:rsidR="00881F80" w:rsidRPr="008851A7">
        <w:t>s</w:t>
      </w:r>
      <w:r w:rsidR="00EE3BC8" w:rsidRPr="008851A7">
        <w:t xml:space="preserve"> will provide information </w:t>
      </w:r>
      <w:r w:rsidR="008A0C7A" w:rsidRPr="008851A7">
        <w:t xml:space="preserve">that </w:t>
      </w:r>
      <w:r w:rsidR="00EE3BC8" w:rsidRPr="008851A7">
        <w:t xml:space="preserve">HRSA </w:t>
      </w:r>
      <w:r w:rsidR="008A0C7A" w:rsidRPr="008851A7">
        <w:t xml:space="preserve">is unable to </w:t>
      </w:r>
      <w:r w:rsidR="00EE3BC8" w:rsidRPr="008851A7">
        <w:t xml:space="preserve">obtain through </w:t>
      </w:r>
      <w:r w:rsidR="00881F80" w:rsidRPr="008851A7">
        <w:t xml:space="preserve">regular </w:t>
      </w:r>
      <w:r w:rsidR="00EE3BC8" w:rsidRPr="008851A7">
        <w:t xml:space="preserve">program records. </w:t>
      </w:r>
      <w:r w:rsidR="003B77D0" w:rsidRPr="008851A7">
        <w:t xml:space="preserve">As stated above, </w:t>
      </w:r>
      <w:r w:rsidR="00E70EED" w:rsidRPr="008851A7">
        <w:t xml:space="preserve">HRSA currently does not collect </w:t>
      </w:r>
      <w:r w:rsidR="008A0C7A" w:rsidRPr="008851A7">
        <w:t xml:space="preserve">medical service use or </w:t>
      </w:r>
      <w:r w:rsidR="00E70EED" w:rsidRPr="008851A7">
        <w:t xml:space="preserve">clinical data for RWHAP clients who receive </w:t>
      </w:r>
      <w:r w:rsidR="008264D0" w:rsidRPr="008851A7">
        <w:t xml:space="preserve">OAHS </w:t>
      </w:r>
      <w:r w:rsidR="00E70EED" w:rsidRPr="008851A7">
        <w:t xml:space="preserve">from a provider not </w:t>
      </w:r>
      <w:r w:rsidR="008264D0" w:rsidRPr="008851A7">
        <w:t xml:space="preserve">directly </w:t>
      </w:r>
      <w:r w:rsidR="00E70EED" w:rsidRPr="008851A7">
        <w:t xml:space="preserve">funded </w:t>
      </w:r>
      <w:r w:rsidR="008264D0" w:rsidRPr="008851A7">
        <w:t xml:space="preserve">for such services </w:t>
      </w:r>
      <w:r w:rsidR="00E70EED" w:rsidRPr="008851A7">
        <w:t>by</w:t>
      </w:r>
      <w:r w:rsidR="00037858" w:rsidRPr="008851A7">
        <w:t xml:space="preserve"> the</w:t>
      </w:r>
      <w:r w:rsidR="00E70EED" w:rsidRPr="008851A7">
        <w:t xml:space="preserve"> RWHAP.</w:t>
      </w:r>
      <w:r w:rsidR="00881F80" w:rsidRPr="008851A7">
        <w:t xml:space="preserve"> </w:t>
      </w:r>
      <w:r w:rsidR="004977E3" w:rsidRPr="004977E3">
        <w:t xml:space="preserve">HRSA did consider </w:t>
      </w:r>
      <w:r w:rsidR="004977E3">
        <w:t xml:space="preserve">collecting these data at </w:t>
      </w:r>
      <w:r w:rsidR="004977E3" w:rsidRPr="004977E3">
        <w:t xml:space="preserve">the inception of </w:t>
      </w:r>
      <w:r w:rsidR="00D365CD">
        <w:t>its</w:t>
      </w:r>
      <w:r w:rsidR="004977E3">
        <w:t xml:space="preserve"> </w:t>
      </w:r>
      <w:r w:rsidR="004977E3" w:rsidRPr="004977E3">
        <w:t>client-level data collection in 2008</w:t>
      </w:r>
      <w:r w:rsidR="004977E3">
        <w:t xml:space="preserve">. However, </w:t>
      </w:r>
      <w:r w:rsidR="004977E3" w:rsidRPr="004977E3">
        <w:t>through a vetting process with service providers across the country, we learned that it would be an undue burden for many service providers who are not funded by RWHAP for their OAHS services or who do not provide OAHS services to collect clinical data for their RWHAP clients.</w:t>
      </w:r>
    </w:p>
    <w:p w14:paraId="2D757E3F" w14:textId="77777777" w:rsidR="000F2273" w:rsidRPr="008851A7" w:rsidRDefault="007A6D3B" w:rsidP="000175C5">
      <w:pPr>
        <w:pStyle w:val="H3Alpha"/>
      </w:pPr>
      <w:bookmarkStart w:id="7" w:name="_Toc306878119"/>
      <w:bookmarkStart w:id="8" w:name="_Toc265325"/>
      <w:r w:rsidRPr="008851A7">
        <w:t>A.</w:t>
      </w:r>
      <w:r w:rsidR="000F2273" w:rsidRPr="008851A7">
        <w:t>5.</w:t>
      </w:r>
      <w:r w:rsidR="000F2273" w:rsidRPr="008851A7">
        <w:tab/>
        <w:t xml:space="preserve">Impact on </w:t>
      </w:r>
      <w:r w:rsidR="0047167D" w:rsidRPr="008851A7">
        <w:t>small businesses or other small entities</w:t>
      </w:r>
      <w:bookmarkEnd w:id="7"/>
      <w:bookmarkEnd w:id="8"/>
    </w:p>
    <w:p w14:paraId="0F78F7B4" w14:textId="7A86728B" w:rsidR="000F2273" w:rsidRPr="008851A7" w:rsidRDefault="00B4325C" w:rsidP="00B4325C">
      <w:pPr>
        <w:pStyle w:val="NormalSS"/>
      </w:pPr>
      <w:r w:rsidRPr="008851A7">
        <w:t xml:space="preserve">Respondents </w:t>
      </w:r>
      <w:r w:rsidR="000F2273" w:rsidRPr="008851A7">
        <w:t>for the</w:t>
      </w:r>
      <w:r w:rsidR="00AA07E5" w:rsidRPr="008851A7">
        <w:t xml:space="preserve"> provider staff interviews are</w:t>
      </w:r>
      <w:r w:rsidR="000F2273" w:rsidRPr="008851A7">
        <w:t xml:space="preserve"> </w:t>
      </w:r>
      <w:r w:rsidR="00AA07E5" w:rsidRPr="008851A7">
        <w:t xml:space="preserve">program managers, </w:t>
      </w:r>
      <w:r w:rsidR="00881F80" w:rsidRPr="008851A7">
        <w:t xml:space="preserve">medical directors, and </w:t>
      </w:r>
      <w:r w:rsidR="00AA07E5" w:rsidRPr="008851A7">
        <w:t>case mangers</w:t>
      </w:r>
      <w:r w:rsidR="00881F80" w:rsidRPr="008851A7">
        <w:t xml:space="preserve"> or other frontline </w:t>
      </w:r>
      <w:r w:rsidR="00AA07E5" w:rsidRPr="008851A7">
        <w:t xml:space="preserve">service </w:t>
      </w:r>
      <w:r w:rsidR="00881F80" w:rsidRPr="008851A7">
        <w:t>providers</w:t>
      </w:r>
      <w:r w:rsidR="002F1319" w:rsidRPr="008851A7">
        <w:t>. T</w:t>
      </w:r>
      <w:r w:rsidR="000F2273" w:rsidRPr="008851A7">
        <w:t xml:space="preserve">he </w:t>
      </w:r>
      <w:r w:rsidR="00881F80" w:rsidRPr="008851A7">
        <w:t xml:space="preserve">sample of RWHAP </w:t>
      </w:r>
      <w:r w:rsidR="002F1319" w:rsidRPr="008851A7">
        <w:t>provider</w:t>
      </w:r>
      <w:r w:rsidR="00881F80" w:rsidRPr="008851A7">
        <w:t>s</w:t>
      </w:r>
      <w:r w:rsidR="000F2273" w:rsidRPr="008851A7">
        <w:t xml:space="preserve"> </w:t>
      </w:r>
      <w:r w:rsidR="00881F80" w:rsidRPr="008851A7">
        <w:t xml:space="preserve">selected for this study </w:t>
      </w:r>
      <w:r w:rsidR="000F2273" w:rsidRPr="008851A7">
        <w:t xml:space="preserve">might include small businesses. </w:t>
      </w:r>
      <w:r w:rsidR="00F102D8">
        <w:t>We have</w:t>
      </w:r>
      <w:r w:rsidR="000F2273" w:rsidRPr="008851A7">
        <w:t xml:space="preserve"> attempted to minimize the impact </w:t>
      </w:r>
      <w:r w:rsidRPr="008851A7">
        <w:t xml:space="preserve">on small businesses </w:t>
      </w:r>
      <w:r w:rsidR="000F2273" w:rsidRPr="008851A7">
        <w:t xml:space="preserve">by designing </w:t>
      </w:r>
      <w:r w:rsidR="002F1319" w:rsidRPr="008851A7">
        <w:t xml:space="preserve">interview protocols that should take no more than </w:t>
      </w:r>
      <w:r w:rsidR="00881F80" w:rsidRPr="008851A7">
        <w:t>30–</w:t>
      </w:r>
      <w:r w:rsidR="002F1319" w:rsidRPr="008851A7">
        <w:t>6</w:t>
      </w:r>
      <w:r w:rsidR="000F2273" w:rsidRPr="008851A7">
        <w:t xml:space="preserve">0 minutes to complete and by limiting the sample size to the minimum number needed to </w:t>
      </w:r>
      <w:r w:rsidR="008A0C7A" w:rsidRPr="008851A7">
        <w:t xml:space="preserve">produce generalizable </w:t>
      </w:r>
      <w:r w:rsidR="00CE3AA0" w:rsidRPr="008851A7">
        <w:t xml:space="preserve">population </w:t>
      </w:r>
      <w:r w:rsidR="008A0C7A" w:rsidRPr="008851A7">
        <w:t>estimates</w:t>
      </w:r>
      <w:r w:rsidR="000F2273" w:rsidRPr="008851A7">
        <w:t>.</w:t>
      </w:r>
      <w:r w:rsidR="00881F80" w:rsidRPr="008851A7">
        <w:t xml:space="preserve"> We may also choose to exclude provider</w:t>
      </w:r>
      <w:r w:rsidR="008264D0" w:rsidRPr="008851A7">
        <w:t>s</w:t>
      </w:r>
      <w:r w:rsidR="00881F80" w:rsidRPr="008851A7">
        <w:t xml:space="preserve"> from the study that serve </w:t>
      </w:r>
      <w:r w:rsidR="00873CCE">
        <w:t xml:space="preserve">10 or fewer </w:t>
      </w:r>
      <w:r w:rsidR="00881F80" w:rsidRPr="008851A7">
        <w:t>RWHAP clients</w:t>
      </w:r>
      <w:r w:rsidR="008A0C7A" w:rsidRPr="008851A7">
        <w:t>, given the limited benefit of such an effort</w:t>
      </w:r>
      <w:r w:rsidR="00881F80" w:rsidRPr="008851A7">
        <w:t>.</w:t>
      </w:r>
    </w:p>
    <w:p w14:paraId="2EC36C70" w14:textId="77777777" w:rsidR="000F2273" w:rsidRPr="008851A7" w:rsidRDefault="007A6D3B" w:rsidP="000175C5">
      <w:pPr>
        <w:pStyle w:val="H3Alpha"/>
      </w:pPr>
      <w:bookmarkStart w:id="9" w:name="_Toc306878120"/>
      <w:bookmarkStart w:id="10" w:name="_Toc265326"/>
      <w:r w:rsidRPr="008851A7">
        <w:t>A.</w:t>
      </w:r>
      <w:r w:rsidR="000F2273" w:rsidRPr="008851A7">
        <w:t>6.</w:t>
      </w:r>
      <w:r w:rsidR="000F2273" w:rsidRPr="008851A7">
        <w:tab/>
        <w:t xml:space="preserve">Consequences of </w:t>
      </w:r>
      <w:r w:rsidR="0047167D" w:rsidRPr="008851A7">
        <w:t>not collecting the information or collecting the information less frequently</w:t>
      </w:r>
      <w:bookmarkEnd w:id="9"/>
      <w:bookmarkEnd w:id="10"/>
    </w:p>
    <w:p w14:paraId="1A23D96F" w14:textId="77777777" w:rsidR="000F2273" w:rsidRPr="008851A7" w:rsidRDefault="000F2273" w:rsidP="000F2273">
      <w:pPr>
        <w:pStyle w:val="NormalSS"/>
      </w:pPr>
      <w:r w:rsidRPr="008851A7">
        <w:t xml:space="preserve">This is a one-time data collection </w:t>
      </w:r>
      <w:r w:rsidR="00BC76AD" w:rsidRPr="008851A7">
        <w:t>effort</w:t>
      </w:r>
      <w:r w:rsidRPr="008851A7">
        <w:t xml:space="preserve">. If the data are not collected, HRSA will be unable to </w:t>
      </w:r>
      <w:r w:rsidR="00E03257" w:rsidRPr="008851A7">
        <w:t>measure and monitor</w:t>
      </w:r>
      <w:r w:rsidRPr="008851A7">
        <w:t xml:space="preserve"> the </w:t>
      </w:r>
      <w:r w:rsidR="003B5782" w:rsidRPr="008851A7">
        <w:t>quality</w:t>
      </w:r>
      <w:r w:rsidR="00E03257" w:rsidRPr="008851A7">
        <w:t>-</w:t>
      </w:r>
      <w:r w:rsidR="003B5782" w:rsidRPr="008851A7">
        <w:t>of</w:t>
      </w:r>
      <w:r w:rsidR="00E03257" w:rsidRPr="008851A7">
        <w:t>-</w:t>
      </w:r>
      <w:r w:rsidR="003B5782" w:rsidRPr="008851A7">
        <w:t>care and health outcomes</w:t>
      </w:r>
      <w:r w:rsidR="00E03257" w:rsidRPr="008851A7">
        <w:t xml:space="preserve"> (</w:t>
      </w:r>
      <w:r w:rsidR="003B5782" w:rsidRPr="008851A7">
        <w:t xml:space="preserve">such as </w:t>
      </w:r>
      <w:r w:rsidR="00E03257" w:rsidRPr="008851A7">
        <w:t xml:space="preserve">retention in care and </w:t>
      </w:r>
      <w:r w:rsidR="003B5782" w:rsidRPr="008851A7">
        <w:t>viral suppression rate</w:t>
      </w:r>
      <w:r w:rsidR="00E03257" w:rsidRPr="008851A7">
        <w:t>s) for</w:t>
      </w:r>
      <w:r w:rsidR="003B5782" w:rsidRPr="008851A7">
        <w:t xml:space="preserve"> </w:t>
      </w:r>
      <w:r w:rsidR="00E03257" w:rsidRPr="008851A7">
        <w:t>the one-third of its</w:t>
      </w:r>
      <w:r w:rsidR="003B5782" w:rsidRPr="008851A7">
        <w:t xml:space="preserve"> clients </w:t>
      </w:r>
      <w:r w:rsidR="00E03257" w:rsidRPr="008851A7">
        <w:t xml:space="preserve">who </w:t>
      </w:r>
      <w:r w:rsidR="008264D0" w:rsidRPr="008851A7">
        <w:t xml:space="preserve">do not </w:t>
      </w:r>
      <w:r w:rsidR="00E03257" w:rsidRPr="008851A7">
        <w:t xml:space="preserve">receive OAHS </w:t>
      </w:r>
      <w:r w:rsidR="008264D0" w:rsidRPr="008851A7">
        <w:t xml:space="preserve">directly funded through </w:t>
      </w:r>
      <w:r w:rsidR="00E03257" w:rsidRPr="008851A7">
        <w:t xml:space="preserve">the RWHAP. </w:t>
      </w:r>
      <w:r w:rsidR="00BC76AD" w:rsidRPr="008851A7">
        <w:t>This would mean that</w:t>
      </w:r>
      <w:r w:rsidR="00E03257" w:rsidRPr="008851A7">
        <w:t xml:space="preserve"> the </w:t>
      </w:r>
      <w:r w:rsidR="002D05F0">
        <w:t>F</w:t>
      </w:r>
      <w:r w:rsidR="002D05F0" w:rsidRPr="008851A7">
        <w:t xml:space="preserve">ederal </w:t>
      </w:r>
      <w:r w:rsidR="00E03257" w:rsidRPr="008851A7">
        <w:t xml:space="preserve">agency </w:t>
      </w:r>
      <w:r w:rsidR="00BC76AD" w:rsidRPr="008851A7">
        <w:t xml:space="preserve">would not </w:t>
      </w:r>
      <w:r w:rsidR="00E03257" w:rsidRPr="008851A7">
        <w:t xml:space="preserve">be able </w:t>
      </w:r>
      <w:r w:rsidRPr="008851A7">
        <w:t xml:space="preserve">to develop effective </w:t>
      </w:r>
      <w:r w:rsidR="00E03257" w:rsidRPr="008851A7">
        <w:t>strategies</w:t>
      </w:r>
      <w:r w:rsidRPr="008851A7">
        <w:t xml:space="preserve"> for </w:t>
      </w:r>
      <w:r w:rsidR="008A0C7A" w:rsidRPr="008851A7">
        <w:t xml:space="preserve">coordinating care between RWHAP and </w:t>
      </w:r>
      <w:r w:rsidR="005832BC" w:rsidRPr="008851A7">
        <w:t>non-OAHS funded</w:t>
      </w:r>
      <w:r w:rsidR="008A0C7A" w:rsidRPr="008851A7">
        <w:t xml:space="preserve"> providers and ultimately </w:t>
      </w:r>
      <w:r w:rsidR="00E03257" w:rsidRPr="008851A7">
        <w:t>improv</w:t>
      </w:r>
      <w:r w:rsidR="0047167D" w:rsidRPr="008851A7">
        <w:t>e</w:t>
      </w:r>
      <w:r w:rsidR="00E03257" w:rsidRPr="008851A7">
        <w:t xml:space="preserve"> </w:t>
      </w:r>
      <w:r w:rsidR="008A0C7A" w:rsidRPr="008851A7">
        <w:t xml:space="preserve">the </w:t>
      </w:r>
      <w:r w:rsidR="00E03257" w:rsidRPr="008851A7">
        <w:t>process and clinical outcomes for th</w:t>
      </w:r>
      <w:r w:rsidR="008A0C7A" w:rsidRPr="008851A7">
        <w:t>e</w:t>
      </w:r>
      <w:r w:rsidR="00E03257" w:rsidRPr="008851A7">
        <w:t xml:space="preserve"> </w:t>
      </w:r>
      <w:r w:rsidR="008A0C7A" w:rsidRPr="008851A7">
        <w:t xml:space="preserve">study </w:t>
      </w:r>
      <w:r w:rsidR="00E03257" w:rsidRPr="008851A7">
        <w:t>population in the future</w:t>
      </w:r>
      <w:r w:rsidRPr="008851A7">
        <w:t>.</w:t>
      </w:r>
    </w:p>
    <w:p w14:paraId="6C593B82" w14:textId="77777777" w:rsidR="000F2273" w:rsidRPr="008851A7" w:rsidRDefault="007A6D3B" w:rsidP="000175C5">
      <w:pPr>
        <w:pStyle w:val="H3Alpha"/>
      </w:pPr>
      <w:bookmarkStart w:id="11" w:name="_Toc306878121"/>
      <w:bookmarkStart w:id="12" w:name="_Toc265327"/>
      <w:r w:rsidRPr="008851A7">
        <w:t>A.</w:t>
      </w:r>
      <w:r w:rsidR="000F2273" w:rsidRPr="008851A7">
        <w:t>7.</w:t>
      </w:r>
      <w:r w:rsidR="000F2273" w:rsidRPr="008851A7">
        <w:tab/>
        <w:t xml:space="preserve">Special </w:t>
      </w:r>
      <w:r w:rsidR="00264C45" w:rsidRPr="008851A7">
        <w:t xml:space="preserve">circumstances relating to the guidelines </w:t>
      </w:r>
      <w:r w:rsidR="000F2273" w:rsidRPr="008851A7">
        <w:t>of 5 CFR 1320.5</w:t>
      </w:r>
      <w:bookmarkEnd w:id="11"/>
      <w:bookmarkEnd w:id="12"/>
    </w:p>
    <w:p w14:paraId="364CCF4E" w14:textId="77777777" w:rsidR="000F2273" w:rsidRPr="008851A7" w:rsidRDefault="000F2273" w:rsidP="000F2273">
      <w:pPr>
        <w:pStyle w:val="NormalSS"/>
      </w:pPr>
      <w:r w:rsidRPr="008851A7">
        <w:t>There are no special circumstances related to the proposed data collection.</w:t>
      </w:r>
      <w:r w:rsidR="000C3145" w:rsidRPr="008851A7">
        <w:t xml:space="preserve"> The request fully complies with the regulation.</w:t>
      </w:r>
    </w:p>
    <w:p w14:paraId="3BB9BE86" w14:textId="77777777" w:rsidR="000F2273" w:rsidRPr="000E4D87" w:rsidRDefault="007A6D3B" w:rsidP="000175C5">
      <w:pPr>
        <w:pStyle w:val="H3Alpha"/>
      </w:pPr>
      <w:bookmarkStart w:id="13" w:name="_Toc306878122"/>
      <w:bookmarkStart w:id="14" w:name="_Toc265328"/>
      <w:r w:rsidRPr="000E4D87">
        <w:t>A.</w:t>
      </w:r>
      <w:r w:rsidR="000F2273" w:rsidRPr="000E4D87">
        <w:t>8.</w:t>
      </w:r>
      <w:r w:rsidR="000F2273" w:rsidRPr="000E4D87">
        <w:tab/>
        <w:t xml:space="preserve">Comments in </w:t>
      </w:r>
      <w:r w:rsidR="008B2924" w:rsidRPr="000E4D87">
        <w:t xml:space="preserve">response </w:t>
      </w:r>
      <w:r w:rsidR="000F2273" w:rsidRPr="000E4D87">
        <w:t xml:space="preserve">to the </w:t>
      </w:r>
      <w:r w:rsidR="000F2273" w:rsidRPr="000E4D87">
        <w:rPr>
          <w:i/>
        </w:rPr>
        <w:t>Federal Register</w:t>
      </w:r>
      <w:r w:rsidR="000F2273" w:rsidRPr="000E4D87">
        <w:t xml:space="preserve"> </w:t>
      </w:r>
      <w:r w:rsidR="008B2924" w:rsidRPr="000E4D87">
        <w:t>notice/outside consultation</w:t>
      </w:r>
      <w:bookmarkEnd w:id="13"/>
      <w:bookmarkEnd w:id="14"/>
    </w:p>
    <w:p w14:paraId="5FCEF6B1" w14:textId="77777777" w:rsidR="000F2273" w:rsidRPr="008851A7" w:rsidRDefault="000F2273" w:rsidP="000F2273">
      <w:pPr>
        <w:pStyle w:val="NormalSS"/>
      </w:pPr>
      <w:r w:rsidRPr="000E4D87">
        <w:t xml:space="preserve">A 60-day notice for this study was published in the </w:t>
      </w:r>
      <w:r w:rsidRPr="000E4D87">
        <w:rPr>
          <w:i/>
        </w:rPr>
        <w:t>Federal Register</w:t>
      </w:r>
      <w:r w:rsidR="000E4D87" w:rsidRPr="000E4D87">
        <w:t xml:space="preserve"> on</w:t>
      </w:r>
      <w:r w:rsidR="00BF1DE9">
        <w:t xml:space="preserve"> April 8, 201</w:t>
      </w:r>
      <w:r w:rsidR="000E4D87" w:rsidRPr="000E4D87">
        <w:t>9</w:t>
      </w:r>
      <w:r w:rsidRPr="000E4D87">
        <w:t xml:space="preserve"> Volume </w:t>
      </w:r>
      <w:r w:rsidR="000E4D87" w:rsidRPr="000E4D87">
        <w:t>84</w:t>
      </w:r>
      <w:r w:rsidRPr="000E4D87">
        <w:t xml:space="preserve">, No. </w:t>
      </w:r>
      <w:r w:rsidR="000E4D87" w:rsidRPr="000E4D87">
        <w:t>67</w:t>
      </w:r>
      <w:r w:rsidR="00BF1DE9">
        <w:t>, pp.</w:t>
      </w:r>
      <w:r w:rsidR="000E4D87" w:rsidRPr="000E4D87">
        <w:t>13934</w:t>
      </w:r>
      <w:r w:rsidRPr="000E4D87">
        <w:t>–</w:t>
      </w:r>
      <w:r w:rsidR="000E4D87" w:rsidRPr="000E4D87">
        <w:t>13935</w:t>
      </w:r>
      <w:r w:rsidRPr="000E4D87">
        <w:t xml:space="preserve">. </w:t>
      </w:r>
    </w:p>
    <w:p w14:paraId="21DAC03D" w14:textId="77777777" w:rsidR="000F2273" w:rsidRPr="008851A7" w:rsidRDefault="000F2273" w:rsidP="000F2273">
      <w:pPr>
        <w:pStyle w:val="NormalSS"/>
      </w:pPr>
      <w:r w:rsidRPr="008851A7">
        <w:rPr>
          <w:b/>
        </w:rPr>
        <w:t>Public comment and responses.</w:t>
      </w:r>
      <w:r w:rsidR="000B1998" w:rsidRPr="008851A7">
        <w:t xml:space="preserve"> </w:t>
      </w:r>
      <w:r w:rsidR="00C55A57" w:rsidRPr="008851A7">
        <w:t>Not applicable</w:t>
      </w:r>
    </w:p>
    <w:p w14:paraId="5651C0D1" w14:textId="77777777" w:rsidR="00C55A57" w:rsidRPr="008851A7" w:rsidRDefault="007A6D3B" w:rsidP="000175C5">
      <w:pPr>
        <w:pStyle w:val="H3Alpha"/>
      </w:pPr>
      <w:bookmarkStart w:id="15" w:name="_Toc265329"/>
      <w:bookmarkStart w:id="16" w:name="_Toc306878124"/>
      <w:r w:rsidRPr="008851A7">
        <w:t>A.</w:t>
      </w:r>
      <w:r w:rsidR="00C55A57" w:rsidRPr="008851A7">
        <w:t>9</w:t>
      </w:r>
      <w:r w:rsidR="000F2273" w:rsidRPr="008851A7">
        <w:t>.</w:t>
      </w:r>
      <w:r w:rsidR="000F2273" w:rsidRPr="008851A7">
        <w:tab/>
      </w:r>
      <w:r w:rsidR="00C55A57" w:rsidRPr="008851A7">
        <w:t>Explanation of any payment/gift to respondents</w:t>
      </w:r>
      <w:bookmarkEnd w:id="15"/>
    </w:p>
    <w:p w14:paraId="195F017F" w14:textId="77777777" w:rsidR="00C55A57" w:rsidRPr="008851A7" w:rsidRDefault="00646AA1" w:rsidP="00FB76D9">
      <w:pPr>
        <w:pStyle w:val="H4NumberNoTOC"/>
      </w:pPr>
      <w:r w:rsidRPr="008851A7">
        <w:t>A.</w:t>
      </w:r>
      <w:r w:rsidR="00C55A57" w:rsidRPr="008851A7">
        <w:t>9.</w:t>
      </w:r>
      <w:r w:rsidRPr="008851A7">
        <w:t>1</w:t>
      </w:r>
      <w:r w:rsidR="00C55A57" w:rsidRPr="008851A7">
        <w:t xml:space="preserve">. </w:t>
      </w:r>
      <w:r w:rsidR="00FB76D9" w:rsidRPr="008851A7">
        <w:tab/>
      </w:r>
      <w:r w:rsidR="00C55A57" w:rsidRPr="008851A7">
        <w:t>Client incentives</w:t>
      </w:r>
      <w:r w:rsidR="00AD5C6D" w:rsidRPr="008851A7">
        <w:t xml:space="preserve"> </w:t>
      </w:r>
    </w:p>
    <w:p w14:paraId="6CC92A5E" w14:textId="4F4609C7" w:rsidR="00646AA1" w:rsidRPr="008851A7" w:rsidRDefault="00646AA1" w:rsidP="00646AA1">
      <w:pPr>
        <w:pStyle w:val="NormalSS"/>
        <w:rPr>
          <w:rFonts w:eastAsiaTheme="minorHAnsi" w:cstheme="minorBidi"/>
        </w:rPr>
      </w:pPr>
      <w:r w:rsidRPr="008851A7">
        <w:rPr>
          <w:rFonts w:eastAsiaTheme="minorHAnsi" w:cstheme="minorBidi"/>
        </w:rPr>
        <w:t xml:space="preserve">The evaluation team will provide a $25 gift card to respondents who participate in the </w:t>
      </w:r>
      <w:r w:rsidR="008E4E7E" w:rsidRPr="008851A7">
        <w:rPr>
          <w:rFonts w:eastAsiaTheme="minorHAnsi" w:cstheme="minorBidi"/>
        </w:rPr>
        <w:t>semi</w:t>
      </w:r>
      <w:r w:rsidR="007B7749">
        <w:rPr>
          <w:rFonts w:eastAsiaTheme="minorHAnsi" w:cstheme="minorBidi"/>
        </w:rPr>
        <w:t>-</w:t>
      </w:r>
      <w:r w:rsidR="008E4E7E" w:rsidRPr="008851A7">
        <w:rPr>
          <w:rFonts w:eastAsiaTheme="minorHAnsi" w:cstheme="minorBidi"/>
        </w:rPr>
        <w:t xml:space="preserve">structured </w:t>
      </w:r>
      <w:r w:rsidR="00F011B6" w:rsidRPr="008851A7">
        <w:rPr>
          <w:rFonts w:eastAsiaTheme="minorHAnsi" w:cstheme="minorBidi"/>
        </w:rPr>
        <w:t xml:space="preserve">client </w:t>
      </w:r>
      <w:r w:rsidRPr="008851A7">
        <w:rPr>
          <w:rFonts w:eastAsiaTheme="minorHAnsi" w:cstheme="minorBidi"/>
        </w:rPr>
        <w:t>interviews</w:t>
      </w:r>
      <w:r w:rsidR="008B2924" w:rsidRPr="008851A7">
        <w:rPr>
          <w:rFonts w:eastAsiaTheme="minorHAnsi" w:cstheme="minorBidi"/>
        </w:rPr>
        <w:t>,</w:t>
      </w:r>
      <w:r w:rsidRPr="008851A7">
        <w:rPr>
          <w:rFonts w:eastAsiaTheme="minorHAnsi" w:cstheme="minorBidi"/>
        </w:rPr>
        <w:t xml:space="preserve"> to encourage participation and thank them for taking part. </w:t>
      </w:r>
      <w:r w:rsidR="00F102D8">
        <w:rPr>
          <w:rFonts w:eastAsiaTheme="minorHAnsi" w:cstheme="minorBidi"/>
        </w:rPr>
        <w:t xml:space="preserve">We </w:t>
      </w:r>
      <w:r w:rsidR="00293CA6">
        <w:rPr>
          <w:rFonts w:eastAsiaTheme="minorHAnsi" w:cstheme="minorBidi"/>
        </w:rPr>
        <w:t>will</w:t>
      </w:r>
      <w:r w:rsidR="00637373">
        <w:rPr>
          <w:rFonts w:eastAsiaTheme="minorHAnsi" w:cstheme="minorBidi"/>
        </w:rPr>
        <w:t xml:space="preserve"> provide gift cards </w:t>
      </w:r>
      <w:r w:rsidR="00293CA6">
        <w:rPr>
          <w:rFonts w:eastAsiaTheme="minorHAnsi" w:cstheme="minorBidi"/>
        </w:rPr>
        <w:t>from</w:t>
      </w:r>
      <w:r w:rsidR="00637373">
        <w:rPr>
          <w:rFonts w:eastAsiaTheme="minorHAnsi" w:cstheme="minorBidi"/>
        </w:rPr>
        <w:t xml:space="preserve"> a </w:t>
      </w:r>
      <w:r w:rsidR="00F102D8">
        <w:rPr>
          <w:rFonts w:eastAsiaTheme="minorHAnsi" w:cstheme="minorBidi"/>
        </w:rPr>
        <w:t xml:space="preserve">large </w:t>
      </w:r>
      <w:r w:rsidR="00637373">
        <w:rPr>
          <w:rFonts w:eastAsiaTheme="minorHAnsi" w:cstheme="minorBidi"/>
        </w:rPr>
        <w:t xml:space="preserve">retailer that can be accessed in-person or online (e.g., Target, Amazon, etc.) </w:t>
      </w:r>
      <w:r w:rsidR="009504A7">
        <w:rPr>
          <w:rFonts w:eastAsiaTheme="minorHAnsi" w:cstheme="minorBidi"/>
        </w:rPr>
        <w:t>I</w:t>
      </w:r>
      <w:r w:rsidR="00B726EA">
        <w:rPr>
          <w:rFonts w:eastAsiaTheme="minorHAnsi" w:cstheme="minorBidi"/>
        </w:rPr>
        <w:t xml:space="preserve">n </w:t>
      </w:r>
      <w:r w:rsidR="00B726EA" w:rsidRPr="00B726EA">
        <w:rPr>
          <w:rFonts w:eastAsiaTheme="minorHAnsi" w:cstheme="minorBidi"/>
        </w:rPr>
        <w:t xml:space="preserve">two </w:t>
      </w:r>
      <w:r w:rsidR="009504A7">
        <w:rPr>
          <w:rFonts w:eastAsiaTheme="minorHAnsi" w:cstheme="minorBidi"/>
        </w:rPr>
        <w:t xml:space="preserve">of our </w:t>
      </w:r>
      <w:r w:rsidR="00B726EA" w:rsidRPr="00B726EA">
        <w:rPr>
          <w:rFonts w:eastAsiaTheme="minorHAnsi" w:cstheme="minorBidi"/>
        </w:rPr>
        <w:t xml:space="preserve">recent </w:t>
      </w:r>
      <w:r w:rsidR="00B726EA">
        <w:rPr>
          <w:rFonts w:eastAsiaTheme="minorHAnsi" w:cstheme="minorBidi"/>
        </w:rPr>
        <w:t>HIV</w:t>
      </w:r>
      <w:r w:rsidR="00B726EA" w:rsidRPr="00B726EA">
        <w:rPr>
          <w:rFonts w:eastAsiaTheme="minorHAnsi" w:cstheme="minorBidi"/>
        </w:rPr>
        <w:t xml:space="preserve"> studies, client incentives were not offered and response rates were 35 percent and 41 percent</w:t>
      </w:r>
      <w:r w:rsidR="00981F8F">
        <w:rPr>
          <w:rFonts w:eastAsiaTheme="minorHAnsi" w:cstheme="minorBidi"/>
        </w:rPr>
        <w:t>, respectively</w:t>
      </w:r>
      <w:r w:rsidR="00B726EA" w:rsidRPr="00B726EA">
        <w:rPr>
          <w:rFonts w:eastAsiaTheme="minorHAnsi" w:cstheme="minorBidi"/>
        </w:rPr>
        <w:t>.</w:t>
      </w:r>
      <w:r w:rsidR="00B726EA">
        <w:rPr>
          <w:rFonts w:eastAsiaTheme="minorHAnsi" w:cstheme="minorBidi"/>
        </w:rPr>
        <w:t xml:space="preserve"> </w:t>
      </w:r>
      <w:r w:rsidR="00E20775">
        <w:rPr>
          <w:rFonts w:eastAsiaTheme="minorHAnsi" w:cstheme="minorBidi"/>
        </w:rPr>
        <w:t>With an incentive of $25, we hope that at least 6</w:t>
      </w:r>
      <w:r w:rsidR="003601A6">
        <w:rPr>
          <w:rFonts w:eastAsiaTheme="minorHAnsi" w:cstheme="minorBidi"/>
        </w:rPr>
        <w:t>5</w:t>
      </w:r>
      <w:r w:rsidR="00E20775">
        <w:rPr>
          <w:rFonts w:eastAsiaTheme="minorHAnsi" w:cstheme="minorBidi"/>
        </w:rPr>
        <w:t xml:space="preserve"> percent of those invited to participate in interviews complete the task. </w:t>
      </w:r>
      <w:r w:rsidR="00F011B6" w:rsidRPr="008851A7">
        <w:rPr>
          <w:rFonts w:eastAsiaTheme="minorHAnsi" w:cstheme="minorBidi"/>
        </w:rPr>
        <w:t>We believe that a $25 gift card is commensurate with the 30 minutes of a client’s time needed to conduct the interview.</w:t>
      </w:r>
    </w:p>
    <w:p w14:paraId="7C6B520E" w14:textId="77777777" w:rsidR="00646AA1" w:rsidRPr="008851A7" w:rsidRDefault="00646AA1" w:rsidP="00FB76D9">
      <w:pPr>
        <w:pStyle w:val="H4NumberNoTOC"/>
      </w:pPr>
      <w:r w:rsidRPr="008851A7">
        <w:t xml:space="preserve">A.9.2. </w:t>
      </w:r>
      <w:r w:rsidR="00FB76D9" w:rsidRPr="008851A7">
        <w:tab/>
      </w:r>
      <w:r w:rsidR="006E7400" w:rsidRPr="008851A7">
        <w:t>P</w:t>
      </w:r>
      <w:r w:rsidRPr="008851A7">
        <w:t xml:space="preserve">rovider </w:t>
      </w:r>
      <w:r w:rsidR="006E7400" w:rsidRPr="008851A7">
        <w:t>honoraria</w:t>
      </w:r>
    </w:p>
    <w:p w14:paraId="14F994BA" w14:textId="4CF1F8C6" w:rsidR="005D47B3" w:rsidRDefault="00F102D8" w:rsidP="00552A9D">
      <w:pPr>
        <w:pStyle w:val="NormalSS"/>
        <w:rPr>
          <w:rFonts w:eastAsia="Calibri"/>
        </w:rPr>
      </w:pPr>
      <w:r>
        <w:rPr>
          <w:rFonts w:eastAsia="Calibri"/>
        </w:rPr>
        <w:t xml:space="preserve">Because </w:t>
      </w:r>
      <w:r w:rsidR="005D47B3">
        <w:rPr>
          <w:rFonts w:eastAsia="Calibri"/>
        </w:rPr>
        <w:t xml:space="preserve">Type I providers receive federal funding through </w:t>
      </w:r>
      <w:r w:rsidR="00293CA6">
        <w:rPr>
          <w:rFonts w:eastAsia="Calibri"/>
        </w:rPr>
        <w:t xml:space="preserve">the </w:t>
      </w:r>
      <w:r w:rsidR="005D47B3">
        <w:rPr>
          <w:rFonts w:eastAsia="Calibri"/>
        </w:rPr>
        <w:t>RWHAP</w:t>
      </w:r>
      <w:r>
        <w:rPr>
          <w:rFonts w:eastAsia="Calibri"/>
        </w:rPr>
        <w:t>, we do not believe it is appropriate to offer them an honorarium for participating in this study (by assisting and medical record abstraction and/or participating in staff interviews)</w:t>
      </w:r>
      <w:r w:rsidR="005D47B3">
        <w:rPr>
          <w:rFonts w:eastAsia="Calibri"/>
        </w:rPr>
        <w:t xml:space="preserve">. </w:t>
      </w:r>
      <w:r>
        <w:rPr>
          <w:rFonts w:eastAsia="Calibri"/>
        </w:rPr>
        <w:t xml:space="preserve">We </w:t>
      </w:r>
      <w:r w:rsidR="00562C07">
        <w:rPr>
          <w:rFonts w:eastAsia="Calibri"/>
        </w:rPr>
        <w:t>consider</w:t>
      </w:r>
      <w:r>
        <w:rPr>
          <w:rFonts w:eastAsia="Calibri"/>
        </w:rPr>
        <w:t xml:space="preserve"> these activities to be</w:t>
      </w:r>
      <w:r w:rsidR="00562C07">
        <w:rPr>
          <w:rFonts w:eastAsia="Calibri"/>
        </w:rPr>
        <w:t xml:space="preserve"> part of their responsibilities as a RWHAP grantee</w:t>
      </w:r>
      <w:r w:rsidR="00721F31">
        <w:rPr>
          <w:rFonts w:eastAsia="Calibri"/>
        </w:rPr>
        <w:t xml:space="preserve"> or subgrantee</w:t>
      </w:r>
      <w:r>
        <w:rPr>
          <w:rFonts w:eastAsia="Calibri"/>
        </w:rPr>
        <w:t xml:space="preserve"> to improve the quality of care for their clients</w:t>
      </w:r>
      <w:r w:rsidR="00562C07">
        <w:rPr>
          <w:rFonts w:eastAsia="Calibri"/>
        </w:rPr>
        <w:t>.</w:t>
      </w:r>
      <w:r w:rsidR="005D47B3">
        <w:rPr>
          <w:rFonts w:eastAsia="Calibri"/>
        </w:rPr>
        <w:t xml:space="preserve"> </w:t>
      </w:r>
    </w:p>
    <w:p w14:paraId="00003746" w14:textId="77777777" w:rsidR="00091CC6" w:rsidRDefault="00091CC6" w:rsidP="00552A9D">
      <w:pPr>
        <w:pStyle w:val="NormalSS"/>
        <w:rPr>
          <w:rFonts w:eastAsia="Calibri"/>
        </w:rPr>
      </w:pPr>
      <w:r>
        <w:rPr>
          <w:rFonts w:eastAsia="Calibri"/>
        </w:rPr>
        <w:br w:type="page"/>
      </w:r>
    </w:p>
    <w:p w14:paraId="16657331" w14:textId="5881395B" w:rsidR="009D1EF0" w:rsidRPr="007902B0" w:rsidRDefault="003A5BD3" w:rsidP="009D1EF0">
      <w:pPr>
        <w:pStyle w:val="NormalSS"/>
        <w:rPr>
          <w:rFonts w:eastAsia="Calibri"/>
        </w:rPr>
      </w:pPr>
      <w:r>
        <w:rPr>
          <w:rFonts w:eastAsia="Calibri"/>
        </w:rPr>
        <w:t xml:space="preserve">Because </w:t>
      </w:r>
      <w:r w:rsidR="005320BB">
        <w:rPr>
          <w:rFonts w:eastAsia="Calibri"/>
        </w:rPr>
        <w:t>Type I</w:t>
      </w:r>
      <w:r w:rsidR="00690B16">
        <w:rPr>
          <w:rFonts w:eastAsia="Calibri"/>
        </w:rPr>
        <w:t xml:space="preserve">I providers are not funded through </w:t>
      </w:r>
      <w:r w:rsidR="00721F31">
        <w:rPr>
          <w:rFonts w:eastAsia="Calibri"/>
        </w:rPr>
        <w:t xml:space="preserve">the </w:t>
      </w:r>
      <w:r w:rsidR="00690B16">
        <w:rPr>
          <w:rFonts w:eastAsia="Calibri"/>
        </w:rPr>
        <w:t>RWHAP</w:t>
      </w:r>
      <w:r>
        <w:rPr>
          <w:rFonts w:eastAsia="Calibri"/>
        </w:rPr>
        <w:t>,</w:t>
      </w:r>
      <w:r w:rsidR="00690B16">
        <w:rPr>
          <w:rFonts w:eastAsia="Calibri"/>
        </w:rPr>
        <w:t xml:space="preserve"> </w:t>
      </w:r>
      <w:r>
        <w:rPr>
          <w:rFonts w:eastAsia="Calibri"/>
        </w:rPr>
        <w:t>we</w:t>
      </w:r>
      <w:r w:rsidR="001A2C69">
        <w:rPr>
          <w:rFonts w:eastAsia="Calibri"/>
        </w:rPr>
        <w:t xml:space="preserve"> will </w:t>
      </w:r>
      <w:r>
        <w:rPr>
          <w:rFonts w:eastAsia="Calibri"/>
        </w:rPr>
        <w:t xml:space="preserve">offer them two types of </w:t>
      </w:r>
      <w:r w:rsidR="00690B16">
        <w:rPr>
          <w:rFonts w:eastAsia="Calibri"/>
        </w:rPr>
        <w:t>honorari</w:t>
      </w:r>
      <w:r>
        <w:rPr>
          <w:rFonts w:eastAsia="Calibri"/>
        </w:rPr>
        <w:t>a for assisting us with data collection for this study</w:t>
      </w:r>
      <w:r w:rsidR="00690B16">
        <w:rPr>
          <w:rFonts w:eastAsia="Calibri"/>
        </w:rPr>
        <w:t xml:space="preserve">. </w:t>
      </w:r>
      <w:r w:rsidR="009D1EF0">
        <w:rPr>
          <w:rFonts w:eastAsia="Calibri"/>
        </w:rPr>
        <w:t>W</w:t>
      </w:r>
      <w:r w:rsidR="009D1EF0" w:rsidRPr="008851A7">
        <w:rPr>
          <w:rFonts w:eastAsia="Calibri"/>
        </w:rPr>
        <w:t xml:space="preserve">e will notify </w:t>
      </w:r>
      <w:r w:rsidR="009D1EF0">
        <w:rPr>
          <w:rFonts w:eastAsia="Calibri"/>
        </w:rPr>
        <w:t xml:space="preserve">Type II </w:t>
      </w:r>
      <w:r w:rsidR="009D1EF0" w:rsidRPr="008851A7">
        <w:rPr>
          <w:rFonts w:eastAsia="Calibri"/>
        </w:rPr>
        <w:t>provider</w:t>
      </w:r>
      <w:r w:rsidR="009D1EF0">
        <w:rPr>
          <w:rFonts w:eastAsia="Calibri"/>
        </w:rPr>
        <w:t xml:space="preserve">s about the </w:t>
      </w:r>
      <w:r w:rsidR="009D1EF0" w:rsidRPr="008851A7">
        <w:rPr>
          <w:rFonts w:eastAsia="Calibri"/>
        </w:rPr>
        <w:t>honorarium during the initial recruitment telephone calls.</w:t>
      </w:r>
      <w:r w:rsidR="009D1EF0" w:rsidRPr="00350DE4">
        <w:t xml:space="preserve"> </w:t>
      </w:r>
      <w:r w:rsidR="009D1EF0">
        <w:rPr>
          <w:rFonts w:eastAsia="Calibri"/>
        </w:rPr>
        <w:t xml:space="preserve">Providing an honorarium to Type II providers is important to maximize participation and minimize recruitment costs. </w:t>
      </w:r>
      <w:r w:rsidR="009D1EF0" w:rsidRPr="00350DE4">
        <w:rPr>
          <w:rFonts w:eastAsia="Calibri"/>
        </w:rPr>
        <w:t xml:space="preserve">In two </w:t>
      </w:r>
      <w:r w:rsidR="009D1EF0">
        <w:rPr>
          <w:rFonts w:eastAsia="Calibri"/>
        </w:rPr>
        <w:t xml:space="preserve">of our </w:t>
      </w:r>
      <w:r w:rsidR="009D1EF0" w:rsidRPr="00350DE4">
        <w:rPr>
          <w:rFonts w:eastAsia="Calibri"/>
        </w:rPr>
        <w:t>recent studies,</w:t>
      </w:r>
      <w:r w:rsidR="009D1EF0">
        <w:rPr>
          <w:rFonts w:eastAsia="Calibri"/>
        </w:rPr>
        <w:t xml:space="preserve"> similar in approach to our </w:t>
      </w:r>
      <w:r w:rsidR="00517025">
        <w:rPr>
          <w:rFonts w:eastAsia="Calibri"/>
        </w:rPr>
        <w:t xml:space="preserve">proposed </w:t>
      </w:r>
      <w:r w:rsidR="009D1EF0">
        <w:rPr>
          <w:rFonts w:eastAsia="Calibri"/>
        </w:rPr>
        <w:t xml:space="preserve">study, provider </w:t>
      </w:r>
      <w:r w:rsidR="009D1EF0" w:rsidRPr="00350DE4">
        <w:rPr>
          <w:rFonts w:eastAsia="Calibri"/>
        </w:rPr>
        <w:t xml:space="preserve">incentives were not offered and response rates were </w:t>
      </w:r>
      <w:r w:rsidR="009D1EF0">
        <w:rPr>
          <w:rFonts w:eastAsia="Calibri"/>
        </w:rPr>
        <w:t xml:space="preserve">only </w:t>
      </w:r>
      <w:r w:rsidR="009D1EF0" w:rsidRPr="00350DE4">
        <w:rPr>
          <w:rFonts w:eastAsia="Calibri"/>
        </w:rPr>
        <w:t>35 percent and 41 percent.</w:t>
      </w:r>
      <w:r w:rsidR="009D1EF0">
        <w:rPr>
          <w:rStyle w:val="FootnoteReference"/>
          <w:rFonts w:eastAsiaTheme="minorHAnsi" w:cstheme="minorBidi"/>
        </w:rPr>
        <w:footnoteReference w:id="3"/>
      </w:r>
      <w:r w:rsidR="009D1EF0">
        <w:rPr>
          <w:rFonts w:eastAsia="Calibri"/>
        </w:rPr>
        <w:t xml:space="preserve"> </w:t>
      </w:r>
      <w:r w:rsidR="009D1EF0" w:rsidRPr="00350DE4">
        <w:rPr>
          <w:rFonts w:eastAsia="Calibri"/>
        </w:rPr>
        <w:t xml:space="preserve"> </w:t>
      </w:r>
      <w:r w:rsidR="00CB4C8B" w:rsidRPr="007902B0">
        <w:rPr>
          <w:rFonts w:eastAsia="Calibri"/>
        </w:rPr>
        <w:t>Although offering an honoraria does not guarantee an improvement in the response rate, we are hopeful that it will increase participation in our study</w:t>
      </w:r>
      <w:r w:rsidR="00AF3B43" w:rsidRPr="007902B0">
        <w:rPr>
          <w:rFonts w:eastAsia="Calibri"/>
        </w:rPr>
        <w:t xml:space="preserve"> and provide the agency with information on the effectiveness of offering honoraria for future data collection efforts</w:t>
      </w:r>
      <w:r w:rsidR="00CB4C8B" w:rsidRPr="007902B0">
        <w:rPr>
          <w:rFonts w:eastAsia="Calibri"/>
        </w:rPr>
        <w:t>.</w:t>
      </w:r>
    </w:p>
    <w:p w14:paraId="5DC1275F" w14:textId="7DEE6975" w:rsidR="008021F8" w:rsidRPr="007902B0" w:rsidRDefault="008021F8" w:rsidP="00552A9D">
      <w:pPr>
        <w:pStyle w:val="NormalSS"/>
        <w:rPr>
          <w:rFonts w:eastAsia="Calibri"/>
        </w:rPr>
      </w:pPr>
      <w:r w:rsidRPr="007902B0">
        <w:rPr>
          <w:rFonts w:eastAsia="Calibri"/>
          <w:b/>
        </w:rPr>
        <w:t>Provider interviews.</w:t>
      </w:r>
      <w:r w:rsidRPr="007902B0">
        <w:rPr>
          <w:rFonts w:eastAsia="Calibri"/>
        </w:rPr>
        <w:t xml:space="preserve"> The first kind of honorari</w:t>
      </w:r>
      <w:r w:rsidR="00AF3B43" w:rsidRPr="007902B0">
        <w:rPr>
          <w:rFonts w:eastAsia="Calibri"/>
        </w:rPr>
        <w:t>um</w:t>
      </w:r>
      <w:r w:rsidRPr="007902B0">
        <w:rPr>
          <w:rFonts w:eastAsia="Calibri"/>
        </w:rPr>
        <w:t xml:space="preserve"> offered will be for provider interviews. We anticipate </w:t>
      </w:r>
      <w:r w:rsidR="00AF3B43" w:rsidRPr="007902B0">
        <w:rPr>
          <w:rFonts w:eastAsia="Calibri"/>
        </w:rPr>
        <w:t xml:space="preserve">that </w:t>
      </w:r>
      <w:r w:rsidRPr="007902B0">
        <w:rPr>
          <w:rFonts w:eastAsia="Calibri"/>
        </w:rPr>
        <w:t xml:space="preserve">three </w:t>
      </w:r>
      <w:r w:rsidR="00AF3B43" w:rsidRPr="007902B0">
        <w:rPr>
          <w:rFonts w:eastAsia="Calibri"/>
        </w:rPr>
        <w:t xml:space="preserve">staff members </w:t>
      </w:r>
      <w:r w:rsidRPr="007902B0">
        <w:rPr>
          <w:rFonts w:eastAsia="Calibri"/>
        </w:rPr>
        <w:t xml:space="preserve">at each Type II site </w:t>
      </w:r>
      <w:r w:rsidR="00AF3B43" w:rsidRPr="007902B0">
        <w:rPr>
          <w:rFonts w:eastAsia="Calibri"/>
        </w:rPr>
        <w:t>will</w:t>
      </w:r>
      <w:r w:rsidRPr="007902B0">
        <w:rPr>
          <w:rFonts w:eastAsia="Calibri"/>
        </w:rPr>
        <w:t xml:space="preserve"> participate in qualitative interviews. Each Type II site will receive </w:t>
      </w:r>
      <w:r w:rsidR="00C54AD7" w:rsidRPr="007902B0">
        <w:rPr>
          <w:rFonts w:eastAsia="Calibri"/>
        </w:rPr>
        <w:t xml:space="preserve">a maximum of </w:t>
      </w:r>
      <w:r w:rsidRPr="007902B0">
        <w:rPr>
          <w:rFonts w:eastAsia="Calibri"/>
        </w:rPr>
        <w:t>$150 for participation in this component of the study</w:t>
      </w:r>
      <w:r w:rsidR="00106F42" w:rsidRPr="007902B0">
        <w:rPr>
          <w:rFonts w:eastAsia="Calibri"/>
        </w:rPr>
        <w:t xml:space="preserve"> ($50 per interview)</w:t>
      </w:r>
      <w:r w:rsidRPr="007902B0">
        <w:rPr>
          <w:rFonts w:eastAsia="Calibri"/>
        </w:rPr>
        <w:t xml:space="preserve">. </w:t>
      </w:r>
      <w:r w:rsidR="00AF3B43" w:rsidRPr="007902B0">
        <w:rPr>
          <w:rFonts w:eastAsia="Calibri"/>
        </w:rPr>
        <w:t>The honorarium will be offered to the facility rather than to the individual staff members participating in the interviews</w:t>
      </w:r>
      <w:r w:rsidR="00106F42" w:rsidRPr="007902B0">
        <w:rPr>
          <w:rFonts w:eastAsia="Calibri"/>
        </w:rPr>
        <w:t xml:space="preserve"> because interviews will occur during working hours.</w:t>
      </w:r>
    </w:p>
    <w:p w14:paraId="6901200E" w14:textId="0A82DF13" w:rsidR="00476224" w:rsidRDefault="008021F8" w:rsidP="00552A9D">
      <w:pPr>
        <w:pStyle w:val="NormalSS"/>
        <w:rPr>
          <w:rFonts w:eastAsia="Calibri"/>
        </w:rPr>
      </w:pPr>
      <w:r w:rsidRPr="007902B0">
        <w:rPr>
          <w:rFonts w:eastAsia="Calibri"/>
          <w:b/>
        </w:rPr>
        <w:t>Medical record abstraction.</w:t>
      </w:r>
      <w:r w:rsidRPr="007902B0">
        <w:rPr>
          <w:rFonts w:eastAsia="Calibri"/>
        </w:rPr>
        <w:t xml:space="preserve"> W</w:t>
      </w:r>
      <w:r w:rsidR="003A5BD3" w:rsidRPr="007902B0">
        <w:rPr>
          <w:rFonts w:eastAsia="Calibri"/>
        </w:rPr>
        <w:t xml:space="preserve">e will offer </w:t>
      </w:r>
      <w:r w:rsidR="00D365CD" w:rsidRPr="007902B0">
        <w:rPr>
          <w:rFonts w:eastAsia="Calibri"/>
        </w:rPr>
        <w:t xml:space="preserve">Type II providers </w:t>
      </w:r>
      <w:r w:rsidR="003A5BD3" w:rsidRPr="007902B0">
        <w:rPr>
          <w:rFonts w:eastAsia="Calibri"/>
        </w:rPr>
        <w:t xml:space="preserve">that </w:t>
      </w:r>
      <w:r w:rsidR="00D365CD" w:rsidRPr="007902B0">
        <w:rPr>
          <w:rFonts w:eastAsia="Calibri"/>
        </w:rPr>
        <w:t xml:space="preserve">perform their own </w:t>
      </w:r>
      <w:r w:rsidR="00721F31" w:rsidRPr="007902B0">
        <w:rPr>
          <w:rFonts w:eastAsia="Calibri"/>
        </w:rPr>
        <w:t xml:space="preserve">data </w:t>
      </w:r>
      <w:r w:rsidR="00D365CD" w:rsidRPr="007902B0">
        <w:rPr>
          <w:rFonts w:eastAsia="Calibri"/>
        </w:rPr>
        <w:t xml:space="preserve">abstractions </w:t>
      </w:r>
      <w:r w:rsidR="00721F31" w:rsidRPr="007902B0">
        <w:rPr>
          <w:rFonts w:eastAsia="Calibri"/>
        </w:rPr>
        <w:t xml:space="preserve">an </w:t>
      </w:r>
      <w:r w:rsidR="00AF3B43" w:rsidRPr="007902B0">
        <w:rPr>
          <w:rFonts w:eastAsia="Calibri"/>
        </w:rPr>
        <w:t xml:space="preserve">additional </w:t>
      </w:r>
      <w:r w:rsidR="00D365CD" w:rsidRPr="007902B0">
        <w:rPr>
          <w:rFonts w:eastAsia="Calibri"/>
        </w:rPr>
        <w:t>honorari</w:t>
      </w:r>
      <w:r w:rsidR="00721F31" w:rsidRPr="007902B0">
        <w:rPr>
          <w:rFonts w:eastAsia="Calibri"/>
        </w:rPr>
        <w:t>um</w:t>
      </w:r>
      <w:r w:rsidR="00C54AD7" w:rsidRPr="007902B0">
        <w:rPr>
          <w:rFonts w:eastAsia="Calibri"/>
        </w:rPr>
        <w:t xml:space="preserve">. Type II providers will abstract 10 data elements from medical records for between 10–50 </w:t>
      </w:r>
      <w:r w:rsidR="00010126" w:rsidRPr="007902B0">
        <w:rPr>
          <w:rFonts w:eastAsia="Calibri"/>
        </w:rPr>
        <w:t>patients</w:t>
      </w:r>
      <w:r w:rsidR="00C54AD7" w:rsidRPr="007902B0">
        <w:rPr>
          <w:rFonts w:eastAsia="Calibri"/>
        </w:rPr>
        <w:t xml:space="preserve"> (depending in the size of their RWHAP patient population). Type II sites </w:t>
      </w:r>
      <w:r w:rsidRPr="007902B0">
        <w:rPr>
          <w:rFonts w:eastAsia="Calibri"/>
        </w:rPr>
        <w:t xml:space="preserve">that abstract between 10 and 25 records will receive </w:t>
      </w:r>
      <w:r w:rsidR="00010126" w:rsidRPr="007902B0">
        <w:rPr>
          <w:rFonts w:eastAsia="Calibri"/>
        </w:rPr>
        <w:t xml:space="preserve">an honorarium of </w:t>
      </w:r>
      <w:r w:rsidRPr="007902B0">
        <w:rPr>
          <w:rFonts w:eastAsia="Calibri"/>
        </w:rPr>
        <w:t xml:space="preserve">$300. Those that abstract </w:t>
      </w:r>
      <w:r w:rsidR="00C54AD7" w:rsidRPr="007902B0">
        <w:rPr>
          <w:rFonts w:eastAsia="Calibri"/>
        </w:rPr>
        <w:t xml:space="preserve">more than 25 records will receive a total of $500.  </w:t>
      </w:r>
      <w:r w:rsidR="001A2C69" w:rsidRPr="007902B0">
        <w:rPr>
          <w:rFonts w:eastAsia="Calibri"/>
        </w:rPr>
        <w:t>The maximum honorari</w:t>
      </w:r>
      <w:r w:rsidR="00721F31" w:rsidRPr="007902B0">
        <w:rPr>
          <w:rFonts w:eastAsia="Calibri"/>
        </w:rPr>
        <w:t>um</w:t>
      </w:r>
      <w:r w:rsidR="001A2C69" w:rsidRPr="007902B0">
        <w:rPr>
          <w:rFonts w:eastAsia="Calibri"/>
        </w:rPr>
        <w:t xml:space="preserve"> </w:t>
      </w:r>
      <w:r w:rsidR="00562C07" w:rsidRPr="007902B0">
        <w:rPr>
          <w:rFonts w:eastAsia="Calibri"/>
        </w:rPr>
        <w:t xml:space="preserve">for </w:t>
      </w:r>
      <w:r w:rsidR="00151A52" w:rsidRPr="007902B0">
        <w:rPr>
          <w:rFonts w:eastAsia="Calibri"/>
        </w:rPr>
        <w:t xml:space="preserve">a </w:t>
      </w:r>
      <w:r w:rsidR="00562C07" w:rsidRPr="007902B0">
        <w:rPr>
          <w:rFonts w:eastAsia="Calibri"/>
        </w:rPr>
        <w:t xml:space="preserve">Type II provider </w:t>
      </w:r>
      <w:r w:rsidR="001A2C69" w:rsidRPr="007902B0">
        <w:rPr>
          <w:rFonts w:eastAsia="Calibri"/>
        </w:rPr>
        <w:t>will be $</w:t>
      </w:r>
      <w:r w:rsidR="00721F31" w:rsidRPr="007902B0">
        <w:rPr>
          <w:rFonts w:eastAsia="Calibri"/>
        </w:rPr>
        <w:t>650</w:t>
      </w:r>
      <w:r w:rsidR="00562C07" w:rsidRPr="007902B0">
        <w:rPr>
          <w:rFonts w:eastAsia="Calibri"/>
        </w:rPr>
        <w:t xml:space="preserve"> if </w:t>
      </w:r>
      <w:r w:rsidR="00721F31" w:rsidRPr="007902B0">
        <w:rPr>
          <w:rFonts w:eastAsia="Calibri"/>
        </w:rPr>
        <w:t xml:space="preserve">they abstract </w:t>
      </w:r>
      <w:r w:rsidR="00562C07" w:rsidRPr="007902B0">
        <w:rPr>
          <w:rFonts w:eastAsia="Calibri"/>
        </w:rPr>
        <w:t xml:space="preserve">medical records </w:t>
      </w:r>
      <w:r w:rsidR="00721F31" w:rsidRPr="007902B0">
        <w:rPr>
          <w:rFonts w:eastAsia="Calibri"/>
        </w:rPr>
        <w:t xml:space="preserve">for </w:t>
      </w:r>
      <w:r w:rsidR="00C54AD7" w:rsidRPr="007902B0">
        <w:rPr>
          <w:rFonts w:eastAsia="Calibri"/>
        </w:rPr>
        <w:t xml:space="preserve">more than 25 </w:t>
      </w:r>
      <w:r w:rsidR="00721F31" w:rsidRPr="007902B0">
        <w:rPr>
          <w:rFonts w:eastAsia="Calibri"/>
        </w:rPr>
        <w:t>patients</w:t>
      </w:r>
      <w:r w:rsidR="00151A52" w:rsidRPr="007902B0">
        <w:rPr>
          <w:rFonts w:eastAsia="Calibri"/>
        </w:rPr>
        <w:t xml:space="preserve"> ($500)</w:t>
      </w:r>
      <w:r w:rsidR="00721F31" w:rsidRPr="007902B0">
        <w:rPr>
          <w:rFonts w:eastAsia="Calibri"/>
        </w:rPr>
        <w:t xml:space="preserve"> </w:t>
      </w:r>
      <w:r w:rsidR="00562C07" w:rsidRPr="007902B0">
        <w:rPr>
          <w:rFonts w:eastAsia="Calibri"/>
        </w:rPr>
        <w:t xml:space="preserve">and </w:t>
      </w:r>
      <w:r w:rsidR="00F65819" w:rsidRPr="007902B0">
        <w:rPr>
          <w:rFonts w:eastAsia="Calibri"/>
        </w:rPr>
        <w:t xml:space="preserve">participate in </w:t>
      </w:r>
      <w:r w:rsidR="00562C07" w:rsidRPr="007902B0">
        <w:rPr>
          <w:rFonts w:eastAsia="Calibri"/>
        </w:rPr>
        <w:t>staff interviews</w:t>
      </w:r>
      <w:r w:rsidR="00151A52" w:rsidRPr="007902B0">
        <w:rPr>
          <w:rFonts w:eastAsia="Calibri"/>
        </w:rPr>
        <w:t xml:space="preserve"> ($150)</w:t>
      </w:r>
      <w:r w:rsidR="00562C07" w:rsidRPr="007902B0">
        <w:rPr>
          <w:rFonts w:eastAsia="Calibri"/>
        </w:rPr>
        <w:t>.</w:t>
      </w:r>
      <w:r w:rsidR="006463AA" w:rsidRPr="007902B0">
        <w:rPr>
          <w:rFonts w:eastAsia="Calibri"/>
        </w:rPr>
        <w:t xml:space="preserve">The total maximum honoraria </w:t>
      </w:r>
      <w:r w:rsidR="00010126" w:rsidRPr="007902B0">
        <w:rPr>
          <w:rFonts w:eastAsia="Calibri"/>
        </w:rPr>
        <w:t xml:space="preserve">payment </w:t>
      </w:r>
      <w:r w:rsidR="006463AA" w:rsidRPr="007902B0">
        <w:rPr>
          <w:rFonts w:eastAsia="Calibri"/>
        </w:rPr>
        <w:t xml:space="preserve">across </w:t>
      </w:r>
      <w:r w:rsidR="00010126" w:rsidRPr="007902B0">
        <w:rPr>
          <w:rFonts w:eastAsia="Calibri"/>
        </w:rPr>
        <w:t xml:space="preserve">all </w:t>
      </w:r>
      <w:r w:rsidR="006463AA" w:rsidRPr="007902B0">
        <w:rPr>
          <w:rFonts w:eastAsia="Calibri"/>
        </w:rPr>
        <w:t xml:space="preserve">Type II providers </w:t>
      </w:r>
      <w:r w:rsidR="00010126" w:rsidRPr="007902B0">
        <w:rPr>
          <w:rFonts w:eastAsia="Calibri"/>
        </w:rPr>
        <w:t>will be</w:t>
      </w:r>
      <w:r w:rsidR="006463AA" w:rsidRPr="007902B0">
        <w:rPr>
          <w:rFonts w:eastAsia="Calibri"/>
        </w:rPr>
        <w:t xml:space="preserve"> $19,500 </w:t>
      </w:r>
      <w:r w:rsidR="00476224" w:rsidRPr="007902B0">
        <w:rPr>
          <w:rFonts w:eastAsia="Calibri"/>
        </w:rPr>
        <w:t>(assuming 30 Type II providers)</w:t>
      </w:r>
      <w:r w:rsidR="008E2D7E" w:rsidRPr="007902B0">
        <w:rPr>
          <w:rFonts w:eastAsia="Calibri"/>
        </w:rPr>
        <w:t>.</w:t>
      </w:r>
      <w:r w:rsidR="008E2D7E">
        <w:rPr>
          <w:rFonts w:eastAsia="Calibri"/>
        </w:rPr>
        <w:t xml:space="preserve"> </w:t>
      </w:r>
    </w:p>
    <w:p w14:paraId="44657EAB" w14:textId="1B6D5FE6" w:rsidR="000F2273" w:rsidRPr="008851A7" w:rsidRDefault="007A6D3B" w:rsidP="000175C5">
      <w:pPr>
        <w:pStyle w:val="H3Alpha"/>
      </w:pPr>
      <w:bookmarkStart w:id="17" w:name="_Toc265330"/>
      <w:r w:rsidRPr="008851A7">
        <w:t>A.</w:t>
      </w:r>
      <w:r w:rsidR="00DC0EF5" w:rsidRPr="008851A7">
        <w:t>10</w:t>
      </w:r>
      <w:r w:rsidR="00FB76D9" w:rsidRPr="008851A7">
        <w:t>.</w:t>
      </w:r>
      <w:r w:rsidR="00FB76D9" w:rsidRPr="008851A7">
        <w:tab/>
      </w:r>
      <w:r w:rsidR="000F2273" w:rsidRPr="008851A7">
        <w:t xml:space="preserve">Assurance of </w:t>
      </w:r>
      <w:r w:rsidR="008B2924" w:rsidRPr="008851A7">
        <w:t>confidentiality provided to respondents</w:t>
      </w:r>
      <w:bookmarkEnd w:id="16"/>
      <w:bookmarkEnd w:id="17"/>
      <w:r w:rsidR="008B2924" w:rsidRPr="008851A7">
        <w:t xml:space="preserve"> </w:t>
      </w:r>
    </w:p>
    <w:p w14:paraId="04B93E17" w14:textId="7E280D7F" w:rsidR="000F2273" w:rsidRPr="008851A7" w:rsidRDefault="000F2273" w:rsidP="00552A9D">
      <w:pPr>
        <w:pStyle w:val="NormalSS"/>
        <w:spacing w:after="120"/>
      </w:pPr>
      <w:r w:rsidRPr="008851A7">
        <w:t xml:space="preserve">HRSA has embedded protections for privacy and confidentiality in the study design. The proposed information collection will fully comply with all aspects of the Privacy Act. Individuals and practices will be ensured of the privacy of their replies under Section 934(c) of the Public Health Service Act, 42 USC 299c-3(c). </w:t>
      </w:r>
      <w:r w:rsidR="00EA5343" w:rsidRPr="008851A7">
        <w:t>We will explain to a</w:t>
      </w:r>
      <w:r w:rsidRPr="008851A7">
        <w:t xml:space="preserve">ll </w:t>
      </w:r>
      <w:r w:rsidR="00E84ABF" w:rsidRPr="008851A7">
        <w:t>interview</w:t>
      </w:r>
      <w:r w:rsidRPr="008851A7">
        <w:t xml:space="preserve"> participants that the data they provide will be kept private to the extent allowed by law, reported at the aggregate level, and used for research purposes only. </w:t>
      </w:r>
      <w:r w:rsidR="00544133" w:rsidRPr="008851A7">
        <w:t>We will explain t</w:t>
      </w:r>
      <w:r w:rsidRPr="008851A7">
        <w:t xml:space="preserve">he four elements of consent to each participant </w:t>
      </w:r>
      <w:r w:rsidR="006B61AD" w:rsidRPr="008851A7">
        <w:t xml:space="preserve">so that they </w:t>
      </w:r>
      <w:r w:rsidRPr="008851A7">
        <w:t xml:space="preserve">understand (1) the nature of the </w:t>
      </w:r>
      <w:r w:rsidR="00E84ABF" w:rsidRPr="008851A7">
        <w:t>interview</w:t>
      </w:r>
      <w:r w:rsidRPr="008851A7">
        <w:t xml:space="preserve"> (subject matter and duration)</w:t>
      </w:r>
      <w:r w:rsidR="006B61AD" w:rsidRPr="008851A7">
        <w:t>;</w:t>
      </w:r>
      <w:r w:rsidRPr="008851A7">
        <w:t xml:space="preserve"> (2) the privacy of the information he or she provides</w:t>
      </w:r>
      <w:r w:rsidR="006B61AD" w:rsidRPr="008851A7">
        <w:t>,</w:t>
      </w:r>
      <w:r w:rsidRPr="008851A7">
        <w:t xml:space="preserve"> as well as </w:t>
      </w:r>
      <w:r w:rsidR="006B61AD" w:rsidRPr="008851A7">
        <w:t xml:space="preserve">the </w:t>
      </w:r>
      <w:r w:rsidRPr="008851A7">
        <w:t>privacy of his or her identity</w:t>
      </w:r>
      <w:r w:rsidR="006B61AD" w:rsidRPr="008851A7">
        <w:t>;</w:t>
      </w:r>
      <w:r w:rsidRPr="008851A7">
        <w:t xml:space="preserve"> (3) the voluntary nature of participation</w:t>
      </w:r>
      <w:r w:rsidR="00BC73C0">
        <w:t xml:space="preserve"> (including ability to discontinue participation at any time)</w:t>
      </w:r>
      <w:r w:rsidRPr="008851A7">
        <w:t>; and (4) any benefits, risks, or discomfort</w:t>
      </w:r>
      <w:r w:rsidR="006B61AD" w:rsidRPr="008851A7">
        <w:t xml:space="preserve"> associated with participation</w:t>
      </w:r>
      <w:r w:rsidRPr="008851A7">
        <w:t xml:space="preserve">. </w:t>
      </w:r>
      <w:r w:rsidR="004E1167" w:rsidRPr="008851A7">
        <w:t xml:space="preserve">The data from the interviews and chart abstractions will not contain </w:t>
      </w:r>
      <w:r w:rsidR="0010542B" w:rsidRPr="008851A7">
        <w:t>personally identifiable information (</w:t>
      </w:r>
      <w:r w:rsidR="004E1167" w:rsidRPr="008851A7">
        <w:t>PII</w:t>
      </w:r>
      <w:r w:rsidR="0010542B" w:rsidRPr="008851A7">
        <w:t>)</w:t>
      </w:r>
      <w:r w:rsidR="004E1167" w:rsidRPr="008851A7">
        <w:t xml:space="preserve"> that could be linked to specific individuals, nor will it put individuals at risk for criminal or civil liability or be damaging to the individual’s financial standing, employability, or reputation.</w:t>
      </w:r>
    </w:p>
    <w:p w14:paraId="518FB545" w14:textId="0BD3BF64" w:rsidR="00A00E24" w:rsidRPr="008851A7" w:rsidRDefault="00A00E24" w:rsidP="00A00E24">
      <w:pPr>
        <w:pStyle w:val="NormalSS"/>
        <w:rPr>
          <w:szCs w:val="24"/>
        </w:rPr>
      </w:pPr>
      <w:r w:rsidRPr="008851A7">
        <w:rPr>
          <w:szCs w:val="24"/>
        </w:rPr>
        <w:t xml:space="preserve">We will start by sending a list of </w:t>
      </w:r>
      <w:r w:rsidR="00452390">
        <w:rPr>
          <w:szCs w:val="24"/>
        </w:rPr>
        <w:t xml:space="preserve">the sampled </w:t>
      </w:r>
      <w:r w:rsidRPr="008851A7">
        <w:rPr>
          <w:szCs w:val="24"/>
        </w:rPr>
        <w:t xml:space="preserve">clients’ encrypted unique client identifiers (eUCIs) used by </w:t>
      </w:r>
      <w:r w:rsidR="009504A7">
        <w:rPr>
          <w:szCs w:val="24"/>
        </w:rPr>
        <w:t>us</w:t>
      </w:r>
      <w:r w:rsidR="009504A7" w:rsidRPr="008851A7">
        <w:rPr>
          <w:szCs w:val="24"/>
        </w:rPr>
        <w:t xml:space="preserve"> </w:t>
      </w:r>
      <w:r w:rsidRPr="008851A7">
        <w:rPr>
          <w:szCs w:val="24"/>
        </w:rPr>
        <w:t>to deduplicate client records in the RSR to the Type 1 provider. We will ask the Type 1 provider to confirm that it can locate the list of clients in its records by the eUCI. If a Type 1 provider does not maintain the eUCIs in its records, we will offer assistance in generating these numbers based on its clients’ name and demographic characteristics. We will also ask the Type 1 provider to verify that the information need</w:t>
      </w:r>
      <w:r w:rsidR="00367D68">
        <w:rPr>
          <w:szCs w:val="24"/>
        </w:rPr>
        <w:t>ed</w:t>
      </w:r>
      <w:r w:rsidRPr="008851A7">
        <w:rPr>
          <w:szCs w:val="24"/>
        </w:rPr>
        <w:t xml:space="preserve"> is available in a format that is accessible to the abstraction team. If the Type 1 provider does not collect the information need</w:t>
      </w:r>
      <w:r w:rsidR="00367D68">
        <w:rPr>
          <w:szCs w:val="24"/>
        </w:rPr>
        <w:t>ed</w:t>
      </w:r>
      <w:r w:rsidRPr="008851A7">
        <w:rPr>
          <w:szCs w:val="24"/>
        </w:rPr>
        <w:t>, we will ask it to send the list of clients to the associated Type 2 providers. Because the (non-RWHAP) Type 2 providers do not use eUCIs, we will ask the Type 1 provider to append the first and last names, age, and gender of the clients to the list. We will then ask the Type 2 provider to confirm that it can locate the clients in its system and that the necessary data elements are accessible. The list with clients’ name, age, and gender will remain at the provider sites and will only be accessible to the abstractors</w:t>
      </w:r>
      <w:r w:rsidR="007E03F3">
        <w:rPr>
          <w:szCs w:val="24"/>
        </w:rPr>
        <w:t>.</w:t>
      </w:r>
      <w:r w:rsidRPr="008851A7">
        <w:t xml:space="preserve"> </w:t>
      </w:r>
    </w:p>
    <w:p w14:paraId="112A0BC2" w14:textId="20F5EA82" w:rsidR="000F2273" w:rsidRPr="008851A7" w:rsidRDefault="009B1193" w:rsidP="00552A9D">
      <w:pPr>
        <w:pStyle w:val="NormalSS"/>
        <w:spacing w:after="120"/>
      </w:pPr>
      <w:r w:rsidRPr="008851A7">
        <w:t xml:space="preserve">We will </w:t>
      </w:r>
      <w:r w:rsidR="000F2273" w:rsidRPr="008851A7">
        <w:t>process and store</w:t>
      </w:r>
      <w:r w:rsidRPr="008851A7">
        <w:t xml:space="preserve"> all data</w:t>
      </w:r>
      <w:r w:rsidR="000F2273" w:rsidRPr="008851A7">
        <w:t xml:space="preserve"> on </w:t>
      </w:r>
      <w:r w:rsidRPr="008851A7">
        <w:t xml:space="preserve">our </w:t>
      </w:r>
      <w:r w:rsidR="000F2273" w:rsidRPr="008851A7">
        <w:t xml:space="preserve">password-protected local area network (LAN). </w:t>
      </w:r>
      <w:r w:rsidRPr="008851A7">
        <w:t xml:space="preserve">We </w:t>
      </w:r>
      <w:r w:rsidR="000F2273" w:rsidRPr="008851A7">
        <w:t xml:space="preserve">protect </w:t>
      </w:r>
      <w:r w:rsidRPr="008851A7">
        <w:t xml:space="preserve">our </w:t>
      </w:r>
      <w:r w:rsidR="000F2273" w:rsidRPr="008851A7">
        <w:t xml:space="preserve">LAN with several security mechanisms. </w:t>
      </w:r>
      <w:r w:rsidRPr="008851A7">
        <w:t>We restrict a</w:t>
      </w:r>
      <w:r w:rsidR="000F2273" w:rsidRPr="008851A7">
        <w:t xml:space="preserve">ccess to private information stored on LAN directories to authorized project staff. In addition, </w:t>
      </w:r>
      <w:r w:rsidRPr="008851A7">
        <w:t xml:space="preserve">we keep the </w:t>
      </w:r>
      <w:r w:rsidR="000F2273" w:rsidRPr="008851A7">
        <w:t xml:space="preserve">network servers containing private information in a locked area. </w:t>
      </w:r>
      <w:r w:rsidR="00EA5343" w:rsidRPr="008851A7">
        <w:t>T</w:t>
      </w:r>
      <w:r w:rsidR="000F2273" w:rsidRPr="008851A7">
        <w:t xml:space="preserve">he data will not contain names or other personally identifying information. </w:t>
      </w:r>
      <w:r w:rsidRPr="008851A7">
        <w:t>We will report i</w:t>
      </w:r>
      <w:r w:rsidR="00A2302E" w:rsidRPr="008851A7">
        <w:t>nterview</w:t>
      </w:r>
      <w:r w:rsidR="000F2273" w:rsidRPr="008851A7">
        <w:t xml:space="preserve"> responses at the aggregate level</w:t>
      </w:r>
      <w:r w:rsidR="00290A63" w:rsidRPr="008851A7">
        <w:t xml:space="preserve"> only</w:t>
      </w:r>
      <w:r w:rsidR="007F4323" w:rsidRPr="008851A7">
        <w:t>, and</w:t>
      </w:r>
      <w:r w:rsidR="000F2273" w:rsidRPr="008851A7">
        <w:t xml:space="preserve"> </w:t>
      </w:r>
      <w:r w:rsidR="00290A63" w:rsidRPr="008851A7">
        <w:t xml:space="preserve">we will not attribute any </w:t>
      </w:r>
      <w:r w:rsidR="000F2273" w:rsidRPr="008851A7">
        <w:t xml:space="preserve">of the results to individual </w:t>
      </w:r>
      <w:r w:rsidR="00A2302E" w:rsidRPr="008851A7">
        <w:t>provider</w:t>
      </w:r>
      <w:r w:rsidR="00290A63" w:rsidRPr="008851A7">
        <w:t xml:space="preserve"> organizations, staff,</w:t>
      </w:r>
      <w:r w:rsidR="000F2273" w:rsidRPr="008851A7">
        <w:t xml:space="preserve"> or </w:t>
      </w:r>
      <w:r w:rsidR="00A2302E" w:rsidRPr="008851A7">
        <w:t>clients</w:t>
      </w:r>
      <w:r w:rsidR="000F2273" w:rsidRPr="008851A7">
        <w:t>.</w:t>
      </w:r>
    </w:p>
    <w:p w14:paraId="6166A53F" w14:textId="7AE1988F" w:rsidR="00EF0751" w:rsidRDefault="002853B1" w:rsidP="00EF0751">
      <w:pPr>
        <w:pStyle w:val="NormalSS"/>
        <w:spacing w:after="120"/>
      </w:pPr>
      <w:r>
        <w:t>During medical record abstraction, w</w:t>
      </w:r>
      <w:r w:rsidR="00290A63" w:rsidRPr="008851A7">
        <w:t xml:space="preserve">e </w:t>
      </w:r>
      <w:r w:rsidR="0050796A" w:rsidRPr="008851A7">
        <w:t xml:space="preserve">will collect confidential, patient-level data with the approval of the participating providers. Federal privacy regulations pursuant to the Health Insurance Portability and Accountability Act of 1996 </w:t>
      </w:r>
      <w:r w:rsidR="00C46E15">
        <w:t xml:space="preserve">(HIPAA) </w:t>
      </w:r>
      <w:r w:rsidR="0050796A" w:rsidRPr="008851A7">
        <w:t xml:space="preserve">will govern this process. </w:t>
      </w:r>
      <w:r w:rsidR="00EF0751">
        <w:t xml:space="preserve">A </w:t>
      </w:r>
      <w:r w:rsidR="00EF0751" w:rsidRPr="00EF0751">
        <w:t>Business Associat</w:t>
      </w:r>
      <w:r w:rsidR="00EF0751">
        <w:t>e</w:t>
      </w:r>
      <w:r w:rsidR="00EF0751" w:rsidRPr="00EF0751">
        <w:t xml:space="preserve"> Agreement will be executed at each provider site (‘covered entity’). The HIPAA Privacy Rule permits disclosure of protected health information (PHI) by covered entities, without an individual’s authorization or permission, for public health activities including those aimed and preventing or controlling disease.</w:t>
      </w:r>
      <w:r w:rsidR="00EF0751">
        <w:rPr>
          <w:rStyle w:val="FootnoteReference"/>
        </w:rPr>
        <w:footnoteReference w:id="4"/>
      </w:r>
      <w:r w:rsidR="00EF0751" w:rsidRPr="00EF0751">
        <w:t xml:space="preserve">  </w:t>
      </w:r>
      <w:r w:rsidR="00EF0751">
        <w:t>Although client authorization or permission is not necessary</w:t>
      </w:r>
      <w:r w:rsidR="004B7781">
        <w:t xml:space="preserve"> to access client data</w:t>
      </w:r>
      <w:r w:rsidR="00EF0751">
        <w:t>, from the HIPAA perspective,</w:t>
      </w:r>
      <w:r w:rsidR="004B7781">
        <w:t xml:space="preserve"> we believe it is important that clients are notified about the study</w:t>
      </w:r>
      <w:r w:rsidR="0042659B">
        <w:t xml:space="preserve"> and the use of their medical data</w:t>
      </w:r>
      <w:r w:rsidR="004B7781">
        <w:t xml:space="preserve">. </w:t>
      </w:r>
      <w:r w:rsidR="00527A07" w:rsidRPr="00527A07">
        <w:t>Prior to the chart abstraction, T</w:t>
      </w:r>
      <w:r w:rsidR="00527A07">
        <w:t xml:space="preserve">ype I providers will be asked to post </w:t>
      </w:r>
      <w:r w:rsidR="0042659B">
        <w:t xml:space="preserve">in a public place </w:t>
      </w:r>
      <w:r w:rsidR="00527A07">
        <w:t>a Study Notification S</w:t>
      </w:r>
      <w:r w:rsidR="000A0810">
        <w:t>ign</w:t>
      </w:r>
      <w:r w:rsidR="00527A07">
        <w:t xml:space="preserve"> in </w:t>
      </w:r>
      <w:r w:rsidR="00527A07" w:rsidRPr="00527A07">
        <w:t xml:space="preserve">one or more well-traveled areas of their physical location (Appendix </w:t>
      </w:r>
      <w:r w:rsidR="00527A07">
        <w:t>D</w:t>
      </w:r>
      <w:r w:rsidR="00527A07" w:rsidRPr="00527A07">
        <w:t>). This will alert patients to the fact that their data may be abstracted as part of this study and that any information resulting from the study will be kept confidential, with findings shared in aggregate only.</w:t>
      </w:r>
      <w:r w:rsidR="004B7781">
        <w:t xml:space="preserve"> </w:t>
      </w:r>
    </w:p>
    <w:p w14:paraId="1511D657" w14:textId="4056EA48" w:rsidR="0050796A" w:rsidRPr="008851A7" w:rsidRDefault="00290A63" w:rsidP="00552A9D">
      <w:pPr>
        <w:pStyle w:val="NormalSS"/>
        <w:spacing w:after="120"/>
      </w:pPr>
      <w:r w:rsidRPr="008851A7">
        <w:t>All c</w:t>
      </w:r>
      <w:r w:rsidR="00461E3F" w:rsidRPr="008851A7">
        <w:t xml:space="preserve">ontractor staff assigned to work on this project sign confidentiality pledges as a term of employment. The confidentiality pledge requires that </w:t>
      </w:r>
      <w:r w:rsidRPr="008851A7">
        <w:t xml:space="preserve">our </w:t>
      </w:r>
      <w:r w:rsidR="00461E3F" w:rsidRPr="008851A7">
        <w:t xml:space="preserve">staff maintain the confidentiality of all information collected. Attachment </w:t>
      </w:r>
      <w:r w:rsidR="009C0502" w:rsidRPr="008851A7">
        <w:t>D</w:t>
      </w:r>
      <w:r w:rsidR="00461E3F" w:rsidRPr="008851A7">
        <w:t xml:space="preserve"> provides a copy of </w:t>
      </w:r>
      <w:r w:rsidRPr="008851A7">
        <w:t>our</w:t>
      </w:r>
      <w:r w:rsidR="00461E3F" w:rsidRPr="008851A7">
        <w:t xml:space="preserve"> confidentiality pledge. </w:t>
      </w:r>
      <w:r w:rsidR="00204BA2" w:rsidRPr="008851A7">
        <w:t>All</w:t>
      </w:r>
      <w:r w:rsidR="0050796A" w:rsidRPr="008851A7">
        <w:t xml:space="preserve"> staff member</w:t>
      </w:r>
      <w:r w:rsidR="00461E3F" w:rsidRPr="008851A7">
        <w:t>s</w:t>
      </w:r>
      <w:r w:rsidR="00204BA2" w:rsidRPr="008851A7">
        <w:t xml:space="preserve"> associated with the study</w:t>
      </w:r>
      <w:r w:rsidR="0050796A" w:rsidRPr="008851A7">
        <w:t xml:space="preserve"> participate in annual training</w:t>
      </w:r>
      <w:r w:rsidR="00204BA2" w:rsidRPr="008851A7">
        <w:t>s</w:t>
      </w:r>
      <w:r w:rsidR="0050796A" w:rsidRPr="008851A7">
        <w:t xml:space="preserve"> regarding applicable </w:t>
      </w:r>
      <w:r w:rsidR="008633A2">
        <w:t>F</w:t>
      </w:r>
      <w:r w:rsidR="008633A2" w:rsidRPr="008851A7">
        <w:t xml:space="preserve">ederal </w:t>
      </w:r>
      <w:r w:rsidR="0050796A" w:rsidRPr="008851A7">
        <w:t xml:space="preserve">laws and regulations governing data security and confidentiality. </w:t>
      </w:r>
      <w:r w:rsidR="0000019B" w:rsidRPr="008851A7">
        <w:t>The study team will</w:t>
      </w:r>
      <w:r w:rsidR="0050796A" w:rsidRPr="008851A7">
        <w:t xml:space="preserve"> treat </w:t>
      </w:r>
      <w:r w:rsidR="0000019B" w:rsidRPr="008851A7">
        <w:t xml:space="preserve">any data </w:t>
      </w:r>
      <w:r w:rsidR="00213F3F">
        <w:t xml:space="preserve">that are </w:t>
      </w:r>
      <w:r w:rsidR="0000019B" w:rsidRPr="008851A7">
        <w:t xml:space="preserve">not de-identified, </w:t>
      </w:r>
      <w:r w:rsidR="00213F3F">
        <w:t xml:space="preserve">not </w:t>
      </w:r>
      <w:r w:rsidR="0000019B" w:rsidRPr="008851A7">
        <w:t xml:space="preserve">aggregated, </w:t>
      </w:r>
      <w:r w:rsidR="00213F3F">
        <w:t>and/</w:t>
      </w:r>
      <w:r w:rsidR="0000019B" w:rsidRPr="008851A7">
        <w:t xml:space="preserve">or </w:t>
      </w:r>
      <w:r w:rsidR="00213F3F">
        <w:t xml:space="preserve">not publicly </w:t>
      </w:r>
      <w:r w:rsidR="0000019B" w:rsidRPr="008851A7">
        <w:t xml:space="preserve">available as </w:t>
      </w:r>
      <w:r w:rsidR="0050796A" w:rsidRPr="008851A7">
        <w:t xml:space="preserve">confidential. Staff </w:t>
      </w:r>
      <w:r w:rsidR="008633A2">
        <w:t xml:space="preserve">will </w:t>
      </w:r>
      <w:r w:rsidR="0050796A" w:rsidRPr="008851A7">
        <w:t>read and sign the security and confidentiality agreement before they start</w:t>
      </w:r>
      <w:r w:rsidR="00F65FEB" w:rsidRPr="008851A7">
        <w:t xml:space="preserve"> work on this study. HRSA</w:t>
      </w:r>
      <w:r w:rsidR="0050796A" w:rsidRPr="008851A7">
        <w:t xml:space="preserve"> maintain</w:t>
      </w:r>
      <w:r w:rsidR="00F65FEB" w:rsidRPr="008851A7">
        <w:t>s</w:t>
      </w:r>
      <w:r w:rsidR="0050796A" w:rsidRPr="008851A7">
        <w:t xml:space="preserve"> electronic copies of the signed agreements as well as confidentiality and nondisclosure agreements.</w:t>
      </w:r>
    </w:p>
    <w:p w14:paraId="6858784F" w14:textId="488809AE" w:rsidR="00A019E0" w:rsidRPr="008851A7" w:rsidRDefault="00C678E8" w:rsidP="00A019E0">
      <w:pPr>
        <w:pStyle w:val="NormalSS"/>
      </w:pPr>
      <w:r w:rsidRPr="008851A7">
        <w:t xml:space="preserve">Additionally, </w:t>
      </w:r>
      <w:r w:rsidR="00290A63" w:rsidRPr="008851A7">
        <w:t xml:space="preserve">we </w:t>
      </w:r>
      <w:r w:rsidR="00986CDA">
        <w:t xml:space="preserve">have received </w:t>
      </w:r>
      <w:r w:rsidR="000F2273" w:rsidRPr="008851A7">
        <w:t xml:space="preserve">institutional review board </w:t>
      </w:r>
      <w:r w:rsidR="009D1967">
        <w:t xml:space="preserve">(IRB) </w:t>
      </w:r>
      <w:r w:rsidR="000F2273" w:rsidRPr="008851A7">
        <w:t>clearance</w:t>
      </w:r>
      <w:r w:rsidR="00290A63" w:rsidRPr="008851A7">
        <w:t xml:space="preserve"> for this study</w:t>
      </w:r>
      <w:r w:rsidRPr="008851A7">
        <w:t>.</w:t>
      </w:r>
      <w:r w:rsidR="000F2273" w:rsidRPr="008851A7">
        <w:t xml:space="preserve"> </w:t>
      </w:r>
    </w:p>
    <w:p w14:paraId="250C4B16" w14:textId="77777777" w:rsidR="00A019E0" w:rsidRPr="008851A7" w:rsidRDefault="007A6D3B" w:rsidP="000175C5">
      <w:pPr>
        <w:pStyle w:val="H3Alpha"/>
      </w:pPr>
      <w:bookmarkStart w:id="18" w:name="_Toc476059361"/>
      <w:bookmarkStart w:id="19" w:name="_Toc265331"/>
      <w:bookmarkStart w:id="20" w:name="_Toc306878129"/>
      <w:r w:rsidRPr="008851A7">
        <w:t>A.</w:t>
      </w:r>
      <w:r w:rsidR="00A019E0" w:rsidRPr="008851A7">
        <w:t>11.</w:t>
      </w:r>
      <w:r w:rsidR="00FB76D9" w:rsidRPr="008851A7">
        <w:tab/>
      </w:r>
      <w:r w:rsidR="00A019E0" w:rsidRPr="008851A7">
        <w:t>Justification for sensitive questions</w:t>
      </w:r>
      <w:bookmarkEnd w:id="18"/>
      <w:bookmarkEnd w:id="19"/>
      <w:r w:rsidR="00A019E0" w:rsidRPr="008851A7">
        <w:t xml:space="preserve"> </w:t>
      </w:r>
    </w:p>
    <w:p w14:paraId="63A96368" w14:textId="77777777" w:rsidR="00A019E0" w:rsidRPr="008851A7" w:rsidRDefault="00A019E0" w:rsidP="0010542B">
      <w:pPr>
        <w:pStyle w:val="NormalSS"/>
      </w:pPr>
      <w:bookmarkStart w:id="21" w:name="_Toc476059362"/>
      <w:r w:rsidRPr="008851A7">
        <w:t xml:space="preserve">The interview protocols that target provider staff have no sensitive questions. Interviews with HIV-positive clients that receive OAHS not </w:t>
      </w:r>
      <w:r w:rsidR="00247510" w:rsidRPr="008851A7">
        <w:t xml:space="preserve">directly </w:t>
      </w:r>
      <w:r w:rsidRPr="008851A7">
        <w:t xml:space="preserve">funded by </w:t>
      </w:r>
      <w:r w:rsidR="00037858" w:rsidRPr="008851A7">
        <w:t xml:space="preserve">the </w:t>
      </w:r>
      <w:r w:rsidRPr="008851A7">
        <w:t xml:space="preserve">RWHAP have sensitive questions related to </w:t>
      </w:r>
      <w:r w:rsidR="00B24F84" w:rsidRPr="008851A7">
        <w:t xml:space="preserve">their </w:t>
      </w:r>
      <w:r w:rsidRPr="008851A7">
        <w:t xml:space="preserve">utilization of health care </w:t>
      </w:r>
      <w:r w:rsidR="00B24F84" w:rsidRPr="008851A7">
        <w:t xml:space="preserve">services </w:t>
      </w:r>
      <w:r w:rsidRPr="008851A7">
        <w:t>and health status. These questions are essential for assessing the availability, quality</w:t>
      </w:r>
      <w:r w:rsidR="00B24F84" w:rsidRPr="008851A7">
        <w:t>,</w:t>
      </w:r>
      <w:r w:rsidRPr="008851A7">
        <w:t xml:space="preserve"> and outcomes of care </w:t>
      </w:r>
      <w:r w:rsidR="00D570AB" w:rsidRPr="008851A7">
        <w:t>for the study population</w:t>
      </w:r>
      <w:r w:rsidRPr="008851A7">
        <w:t xml:space="preserve">. </w:t>
      </w:r>
      <w:r w:rsidR="007F4323" w:rsidRPr="008851A7">
        <w:t xml:space="preserve">Given </w:t>
      </w:r>
      <w:r w:rsidR="00D570AB" w:rsidRPr="008851A7">
        <w:t xml:space="preserve">prior interview experience with this population, we believe </w:t>
      </w:r>
      <w:r w:rsidRPr="008851A7">
        <w:t xml:space="preserve">that clients will be comfortable discussing questions related to their HIV care and health status in an interview with a researcher </w:t>
      </w:r>
      <w:r w:rsidR="00885335" w:rsidRPr="008851A7">
        <w:t xml:space="preserve">who </w:t>
      </w:r>
      <w:r w:rsidR="00221C52" w:rsidRPr="008851A7">
        <w:t xml:space="preserve">is </w:t>
      </w:r>
      <w:r w:rsidR="00B24F84" w:rsidRPr="008851A7">
        <w:t>knowledgeable about</w:t>
      </w:r>
      <w:r w:rsidRPr="008851A7">
        <w:t xml:space="preserve"> the RWHAP and </w:t>
      </w:r>
      <w:r w:rsidR="00B24F84" w:rsidRPr="008851A7">
        <w:t xml:space="preserve">experienced </w:t>
      </w:r>
      <w:r w:rsidR="00221C52" w:rsidRPr="008851A7">
        <w:t>with</w:t>
      </w:r>
      <w:r w:rsidR="00885335" w:rsidRPr="008851A7">
        <w:t xml:space="preserve"> </w:t>
      </w:r>
      <w:r w:rsidR="00B24F84" w:rsidRPr="008851A7">
        <w:t xml:space="preserve">interviewing </w:t>
      </w:r>
      <w:r w:rsidR="00221C52" w:rsidRPr="008851A7">
        <w:t>PLWH</w:t>
      </w:r>
      <w:r w:rsidRPr="008851A7">
        <w:t>. However, as</w:t>
      </w:r>
      <w:r w:rsidR="00B24F84" w:rsidRPr="008851A7">
        <w:t xml:space="preserve"> will be</w:t>
      </w:r>
      <w:r w:rsidRPr="008851A7">
        <w:t xml:space="preserve"> stated in the consent form, participation is entirely voluntary. Participants do not have to answer any questions that make them feel uncomfortable, and participants can stop the interview at any time. In addition, when providers recruit clients</w:t>
      </w:r>
      <w:r w:rsidR="00D570AB" w:rsidRPr="008851A7">
        <w:t xml:space="preserve"> for the interview</w:t>
      </w:r>
      <w:r w:rsidRPr="008851A7">
        <w:t xml:space="preserve">, they will communicate with them </w:t>
      </w:r>
      <w:r w:rsidR="007F4323" w:rsidRPr="008851A7">
        <w:t xml:space="preserve">about </w:t>
      </w:r>
      <w:r w:rsidRPr="008851A7">
        <w:t>the topics to be covered in the interview, so clients are not surprised by questions asked</w:t>
      </w:r>
      <w:r w:rsidR="007C5D87" w:rsidRPr="008851A7">
        <w:t xml:space="preserve">. </w:t>
      </w:r>
    </w:p>
    <w:p w14:paraId="74577381" w14:textId="77777777" w:rsidR="00A019E0" w:rsidRPr="008851A7" w:rsidRDefault="007A6D3B" w:rsidP="000175C5">
      <w:pPr>
        <w:pStyle w:val="H3Alpha"/>
      </w:pPr>
      <w:bookmarkStart w:id="22" w:name="_Toc265332"/>
      <w:r w:rsidRPr="008851A7">
        <w:t>A.</w:t>
      </w:r>
      <w:r w:rsidR="00A019E0" w:rsidRPr="008851A7">
        <w:t>12.</w:t>
      </w:r>
      <w:r w:rsidR="00FB76D9" w:rsidRPr="008851A7">
        <w:tab/>
      </w:r>
      <w:r w:rsidR="00A019E0" w:rsidRPr="008851A7">
        <w:t>Estimates of annualized hour and cost burden</w:t>
      </w:r>
      <w:bookmarkEnd w:id="21"/>
      <w:bookmarkEnd w:id="22"/>
      <w:r w:rsidR="00A019E0" w:rsidRPr="008851A7">
        <w:t xml:space="preserve"> </w:t>
      </w:r>
    </w:p>
    <w:p w14:paraId="59F71D30" w14:textId="738E0D92" w:rsidR="00CB3B02" w:rsidRPr="008851A7" w:rsidRDefault="00CB3B02" w:rsidP="0010542B">
      <w:pPr>
        <w:pStyle w:val="NormalSS"/>
        <w:rPr>
          <w:rFonts w:eastAsia="Calibri"/>
        </w:rPr>
      </w:pPr>
      <w:bookmarkStart w:id="23" w:name="_Toc476059363"/>
      <w:r w:rsidRPr="008851A7">
        <w:rPr>
          <w:rFonts w:eastAsia="Calibri"/>
        </w:rPr>
        <w:t xml:space="preserve">For all </w:t>
      </w:r>
      <w:r w:rsidR="00D37CEF" w:rsidRPr="008851A7">
        <w:rPr>
          <w:rFonts w:eastAsia="Calibri"/>
        </w:rPr>
        <w:t xml:space="preserve">three </w:t>
      </w:r>
      <w:r w:rsidR="00C029DE" w:rsidRPr="008851A7">
        <w:rPr>
          <w:rFonts w:eastAsia="Calibri"/>
        </w:rPr>
        <w:t>s</w:t>
      </w:r>
      <w:r w:rsidRPr="008851A7">
        <w:rPr>
          <w:rFonts w:eastAsia="Calibri"/>
        </w:rPr>
        <w:t>cenarios</w:t>
      </w:r>
      <w:r w:rsidR="00C029DE" w:rsidRPr="008851A7">
        <w:rPr>
          <w:rFonts w:eastAsia="Calibri"/>
        </w:rPr>
        <w:t>,</w:t>
      </w:r>
      <w:r w:rsidR="00D37CEF" w:rsidRPr="008851A7">
        <w:rPr>
          <w:rFonts w:eastAsia="Calibri"/>
        </w:rPr>
        <w:t xml:space="preserve"> A–C</w:t>
      </w:r>
      <w:r w:rsidR="00C029DE" w:rsidRPr="008851A7">
        <w:rPr>
          <w:rFonts w:eastAsia="Calibri"/>
        </w:rPr>
        <w:t>,</w:t>
      </w:r>
      <w:r w:rsidR="00D37CEF" w:rsidRPr="008851A7">
        <w:rPr>
          <w:rFonts w:eastAsia="Calibri"/>
        </w:rPr>
        <w:t xml:space="preserve"> referenced earlier in this statement</w:t>
      </w:r>
      <w:r w:rsidRPr="008851A7">
        <w:rPr>
          <w:rFonts w:eastAsia="Calibri"/>
        </w:rPr>
        <w:t xml:space="preserve">, we will conduct one interview with a </w:t>
      </w:r>
      <w:r w:rsidR="00D37CEF" w:rsidRPr="008851A7">
        <w:rPr>
          <w:rFonts w:eastAsia="Calibri"/>
        </w:rPr>
        <w:t xml:space="preserve">Type 1 </w:t>
      </w:r>
      <w:r w:rsidRPr="008851A7">
        <w:rPr>
          <w:rFonts w:eastAsia="Calibri"/>
        </w:rPr>
        <w:t xml:space="preserve">program manager and </w:t>
      </w:r>
      <w:r w:rsidR="00D37CEF" w:rsidRPr="008851A7">
        <w:rPr>
          <w:rFonts w:eastAsia="Calibri"/>
        </w:rPr>
        <w:t xml:space="preserve">one interview with </w:t>
      </w:r>
      <w:r w:rsidRPr="008851A7">
        <w:rPr>
          <w:rFonts w:eastAsia="Calibri"/>
        </w:rPr>
        <w:t xml:space="preserve">a </w:t>
      </w:r>
      <w:r w:rsidR="00D37CEF" w:rsidRPr="008851A7">
        <w:rPr>
          <w:rFonts w:eastAsia="Calibri"/>
        </w:rPr>
        <w:t xml:space="preserve">Type 1 </w:t>
      </w:r>
      <w:r w:rsidRPr="008851A7">
        <w:rPr>
          <w:rFonts w:eastAsia="Calibri"/>
        </w:rPr>
        <w:t xml:space="preserve">case manager or direct service provider. </w:t>
      </w:r>
      <w:r w:rsidR="00214031" w:rsidRPr="008851A7">
        <w:rPr>
          <w:rFonts w:eastAsia="Calibri"/>
        </w:rPr>
        <w:t xml:space="preserve">The number of interviews with a medical director </w:t>
      </w:r>
      <w:r w:rsidR="0060622B">
        <w:rPr>
          <w:rFonts w:eastAsia="Calibri"/>
        </w:rPr>
        <w:t>or medical provider</w:t>
      </w:r>
      <w:r w:rsidRPr="008851A7">
        <w:rPr>
          <w:rFonts w:eastAsia="Calibri"/>
        </w:rPr>
        <w:t xml:space="preserve"> </w:t>
      </w:r>
      <w:r w:rsidR="002C6900" w:rsidRPr="008851A7">
        <w:rPr>
          <w:rFonts w:eastAsia="Calibri"/>
        </w:rPr>
        <w:t>will depend</w:t>
      </w:r>
      <w:r w:rsidRPr="008851A7">
        <w:rPr>
          <w:rFonts w:eastAsia="Calibri"/>
        </w:rPr>
        <w:t xml:space="preserve"> on the scenario. For Scenarios A and B (where the </w:t>
      </w:r>
      <w:r w:rsidR="002C6900" w:rsidRPr="008851A7">
        <w:rPr>
          <w:rFonts w:eastAsia="Calibri"/>
        </w:rPr>
        <w:t>Type 1</w:t>
      </w:r>
      <w:r w:rsidRPr="008851A7">
        <w:rPr>
          <w:rFonts w:eastAsia="Calibri"/>
        </w:rPr>
        <w:t xml:space="preserve"> provider is not funded to provide OAHS), will conduct </w:t>
      </w:r>
      <w:r w:rsidR="00D37CEF" w:rsidRPr="008851A7">
        <w:rPr>
          <w:rFonts w:eastAsia="Calibri"/>
        </w:rPr>
        <w:t xml:space="preserve">an additional </w:t>
      </w:r>
      <w:r w:rsidRPr="008851A7">
        <w:rPr>
          <w:rFonts w:eastAsia="Calibri"/>
        </w:rPr>
        <w:t xml:space="preserve">interview with a medical director or </w:t>
      </w:r>
      <w:r w:rsidR="0060622B">
        <w:rPr>
          <w:rFonts w:eastAsia="Calibri"/>
        </w:rPr>
        <w:t>medical provider</w:t>
      </w:r>
      <w:r w:rsidRPr="008851A7">
        <w:rPr>
          <w:rFonts w:eastAsia="Calibri"/>
        </w:rPr>
        <w:t xml:space="preserve">. For Scenario A, these interviews will take place with the </w:t>
      </w:r>
      <w:r w:rsidR="00D37CEF" w:rsidRPr="008851A7">
        <w:rPr>
          <w:rFonts w:eastAsia="Calibri"/>
        </w:rPr>
        <w:t xml:space="preserve">Type 2 </w:t>
      </w:r>
      <w:r w:rsidR="005832BC" w:rsidRPr="008851A7">
        <w:rPr>
          <w:rFonts w:eastAsia="Calibri"/>
        </w:rPr>
        <w:t>non-OAHS funded</w:t>
      </w:r>
      <w:r w:rsidRPr="008851A7">
        <w:rPr>
          <w:rFonts w:eastAsia="Calibri"/>
        </w:rPr>
        <w:t xml:space="preserve"> </w:t>
      </w:r>
      <w:r w:rsidR="005F7878" w:rsidRPr="008851A7">
        <w:rPr>
          <w:rFonts w:eastAsia="Calibri"/>
        </w:rPr>
        <w:t>medical provider</w:t>
      </w:r>
      <w:r w:rsidRPr="008851A7">
        <w:rPr>
          <w:rFonts w:eastAsia="Calibri"/>
        </w:rPr>
        <w:t xml:space="preserve">. For Scenario B, these interviews will take place </w:t>
      </w:r>
      <w:r w:rsidR="00D37CEF" w:rsidRPr="008851A7">
        <w:rPr>
          <w:rFonts w:eastAsia="Calibri"/>
        </w:rPr>
        <w:t xml:space="preserve">with </w:t>
      </w:r>
      <w:r w:rsidRPr="008851A7">
        <w:rPr>
          <w:rFonts w:eastAsia="Calibri"/>
        </w:rPr>
        <w:t xml:space="preserve">the </w:t>
      </w:r>
      <w:r w:rsidR="00D37CEF" w:rsidRPr="008851A7">
        <w:rPr>
          <w:rFonts w:eastAsia="Calibri"/>
        </w:rPr>
        <w:t xml:space="preserve">Type 1 </w:t>
      </w:r>
      <w:r w:rsidRPr="008851A7">
        <w:rPr>
          <w:rFonts w:eastAsia="Calibri"/>
        </w:rPr>
        <w:t xml:space="preserve">RWHAP </w:t>
      </w:r>
      <w:r w:rsidR="005F7878" w:rsidRPr="008851A7">
        <w:rPr>
          <w:rFonts w:eastAsia="Calibri"/>
        </w:rPr>
        <w:t>medical provider</w:t>
      </w:r>
      <w:r w:rsidRPr="008851A7">
        <w:rPr>
          <w:rFonts w:eastAsia="Calibri"/>
        </w:rPr>
        <w:t xml:space="preserve">. For Scenario C (where the </w:t>
      </w:r>
      <w:r w:rsidR="00D37CEF" w:rsidRPr="008851A7">
        <w:rPr>
          <w:rFonts w:eastAsia="Calibri"/>
        </w:rPr>
        <w:t xml:space="preserve">Type 1 provider </w:t>
      </w:r>
      <w:r w:rsidRPr="008851A7">
        <w:rPr>
          <w:rFonts w:eastAsia="Calibri"/>
        </w:rPr>
        <w:t>is funded for OAHS but does not provide this service to some of its clients), will conduct two interviews with medical directors/</w:t>
      </w:r>
      <w:r w:rsidR="0060622B">
        <w:rPr>
          <w:rFonts w:eastAsia="Calibri"/>
        </w:rPr>
        <w:t>providers</w:t>
      </w:r>
      <w:r w:rsidR="00D37CEF" w:rsidRPr="008851A7">
        <w:rPr>
          <w:rFonts w:eastAsia="Calibri"/>
        </w:rPr>
        <w:t xml:space="preserve">: </w:t>
      </w:r>
      <w:r w:rsidRPr="008851A7">
        <w:rPr>
          <w:rFonts w:eastAsia="Calibri"/>
        </w:rPr>
        <w:t xml:space="preserve">one at the </w:t>
      </w:r>
      <w:r w:rsidR="00D37CEF" w:rsidRPr="008851A7">
        <w:rPr>
          <w:rFonts w:eastAsia="Calibri"/>
        </w:rPr>
        <w:t xml:space="preserve">Type 1 </w:t>
      </w:r>
      <w:r w:rsidRPr="008851A7">
        <w:rPr>
          <w:rFonts w:eastAsia="Calibri"/>
        </w:rPr>
        <w:t xml:space="preserve">provider and one at the </w:t>
      </w:r>
      <w:r w:rsidR="00D37CEF" w:rsidRPr="008851A7">
        <w:rPr>
          <w:rFonts w:eastAsia="Calibri"/>
        </w:rPr>
        <w:t xml:space="preserve">Type 2 </w:t>
      </w:r>
      <w:r w:rsidR="005F7878" w:rsidRPr="008851A7">
        <w:rPr>
          <w:rFonts w:eastAsia="Calibri"/>
        </w:rPr>
        <w:t>provider</w:t>
      </w:r>
      <w:r w:rsidRPr="008851A7">
        <w:rPr>
          <w:rFonts w:eastAsia="Calibri"/>
        </w:rPr>
        <w:t xml:space="preserve">. Each of these interviews will take </w:t>
      </w:r>
      <w:r w:rsidR="00D37CEF" w:rsidRPr="008851A7">
        <w:rPr>
          <w:rFonts w:eastAsia="Calibri"/>
        </w:rPr>
        <w:t xml:space="preserve">at most </w:t>
      </w:r>
      <w:r w:rsidRPr="008851A7">
        <w:rPr>
          <w:rFonts w:eastAsia="Calibri"/>
        </w:rPr>
        <w:t xml:space="preserve">one hour. </w:t>
      </w:r>
      <w:r w:rsidR="00452390">
        <w:rPr>
          <w:rFonts w:eastAsia="Calibri"/>
        </w:rPr>
        <w:t xml:space="preserve">Both types of providers will also need to participate in a </w:t>
      </w:r>
      <w:r w:rsidR="00DC79ED">
        <w:rPr>
          <w:rFonts w:eastAsia="Calibri"/>
        </w:rPr>
        <w:t>1</w:t>
      </w:r>
      <w:r w:rsidR="004055CD">
        <w:rPr>
          <w:rFonts w:eastAsia="Calibri"/>
        </w:rPr>
        <w:t>5</w:t>
      </w:r>
      <w:r w:rsidR="00DC79ED">
        <w:rPr>
          <w:rFonts w:eastAsia="Calibri"/>
        </w:rPr>
        <w:t xml:space="preserve">-minute </w:t>
      </w:r>
      <w:r w:rsidR="00452390">
        <w:rPr>
          <w:rFonts w:eastAsia="Calibri"/>
        </w:rPr>
        <w:t xml:space="preserve">telephone screening to ensure they are eligible to participate in the study. </w:t>
      </w:r>
      <w:r w:rsidRPr="008851A7">
        <w:rPr>
          <w:rFonts w:eastAsia="Calibri"/>
        </w:rPr>
        <w:t xml:space="preserve">In addition, we will conduct up to four interviews with clients at each of the </w:t>
      </w:r>
      <w:r w:rsidR="00D37CEF" w:rsidRPr="008851A7">
        <w:rPr>
          <w:rFonts w:eastAsia="Calibri"/>
        </w:rPr>
        <w:t xml:space="preserve">Type 1 </w:t>
      </w:r>
      <w:r w:rsidRPr="008851A7">
        <w:rPr>
          <w:rFonts w:eastAsia="Calibri"/>
        </w:rPr>
        <w:t>provider</w:t>
      </w:r>
      <w:r w:rsidR="00D37CEF" w:rsidRPr="008851A7">
        <w:rPr>
          <w:rFonts w:eastAsia="Calibri"/>
        </w:rPr>
        <w:t>s</w:t>
      </w:r>
      <w:r w:rsidRPr="008851A7">
        <w:rPr>
          <w:rFonts w:eastAsia="Calibri"/>
        </w:rPr>
        <w:t xml:space="preserve">. These interviews will last 30 minutes each. Finally, either the </w:t>
      </w:r>
      <w:r w:rsidR="00D37CEF" w:rsidRPr="008851A7">
        <w:rPr>
          <w:rFonts w:eastAsia="Calibri"/>
        </w:rPr>
        <w:t xml:space="preserve">Type 1 </w:t>
      </w:r>
      <w:r w:rsidRPr="008851A7">
        <w:t>provider</w:t>
      </w:r>
      <w:r w:rsidRPr="008851A7">
        <w:rPr>
          <w:rFonts w:eastAsia="Calibri"/>
        </w:rPr>
        <w:t xml:space="preserve"> or the </w:t>
      </w:r>
      <w:r w:rsidR="00D37CEF" w:rsidRPr="008851A7">
        <w:rPr>
          <w:rFonts w:eastAsia="Calibri"/>
        </w:rPr>
        <w:t xml:space="preserve">Type 2 </w:t>
      </w:r>
      <w:r w:rsidRPr="008851A7">
        <w:rPr>
          <w:rFonts w:eastAsia="Calibri"/>
        </w:rPr>
        <w:t xml:space="preserve">provider (whichever one has </w:t>
      </w:r>
      <w:r w:rsidR="00D37CEF" w:rsidRPr="008851A7">
        <w:rPr>
          <w:rFonts w:eastAsia="Calibri"/>
        </w:rPr>
        <w:t xml:space="preserve">access to </w:t>
      </w:r>
      <w:r w:rsidRPr="008851A7">
        <w:rPr>
          <w:rFonts w:eastAsia="Calibri"/>
        </w:rPr>
        <w:t>the clinical information we need</w:t>
      </w:r>
      <w:r w:rsidR="00D37CEF" w:rsidRPr="008851A7">
        <w:rPr>
          <w:rFonts w:eastAsia="Calibri"/>
        </w:rPr>
        <w:t xml:space="preserve"> for this study</w:t>
      </w:r>
      <w:r w:rsidRPr="008851A7">
        <w:rPr>
          <w:rFonts w:eastAsia="Calibri"/>
        </w:rPr>
        <w:t xml:space="preserve">) will need to </w:t>
      </w:r>
      <w:r w:rsidR="00213F3F">
        <w:rPr>
          <w:rFonts w:eastAsia="Calibri"/>
        </w:rPr>
        <w:t>perform medical record abstractions (or allow a Mathematica abstractor to do so) for 50 sampled patients. W</w:t>
      </w:r>
      <w:r w:rsidRPr="008851A7">
        <w:rPr>
          <w:rFonts w:eastAsia="Calibri"/>
        </w:rPr>
        <w:t xml:space="preserve">e estimate </w:t>
      </w:r>
      <w:r w:rsidR="00213F3F">
        <w:rPr>
          <w:rFonts w:eastAsia="Calibri"/>
        </w:rPr>
        <w:t xml:space="preserve">each abstraction will take </w:t>
      </w:r>
      <w:r w:rsidR="0034790C">
        <w:rPr>
          <w:rFonts w:eastAsia="Calibri"/>
        </w:rPr>
        <w:t>4.8</w:t>
      </w:r>
      <w:r w:rsidR="00213F3F">
        <w:rPr>
          <w:rFonts w:eastAsia="Calibri"/>
        </w:rPr>
        <w:t xml:space="preserve"> minutes for a total of </w:t>
      </w:r>
      <w:r w:rsidR="0018484D" w:rsidRPr="008851A7">
        <w:rPr>
          <w:rFonts w:eastAsia="Calibri"/>
        </w:rPr>
        <w:t>four</w:t>
      </w:r>
      <w:r w:rsidRPr="008851A7">
        <w:rPr>
          <w:rFonts w:eastAsia="Calibri"/>
        </w:rPr>
        <w:t xml:space="preserve"> hours</w:t>
      </w:r>
      <w:r w:rsidR="0034790C">
        <w:rPr>
          <w:rFonts w:eastAsia="Calibri"/>
        </w:rPr>
        <w:t xml:space="preserve"> per provider site (4.8 minutes * 50 abstractions) or 120 hours across 30 provider sites</w:t>
      </w:r>
      <w:r w:rsidRPr="008851A7">
        <w:rPr>
          <w:rFonts w:eastAsia="Calibri"/>
        </w:rPr>
        <w:t xml:space="preserve">. </w:t>
      </w:r>
      <w:r w:rsidR="004719DD" w:rsidRPr="008851A7">
        <w:rPr>
          <w:rFonts w:eastAsia="Calibri"/>
        </w:rPr>
        <w:t>Table 12.1 summarizes the estimated burden hours by scenario and in total for this study.</w:t>
      </w:r>
    </w:p>
    <w:p w14:paraId="7827A80E" w14:textId="6DE2025C" w:rsidR="00CB3B02" w:rsidRPr="008851A7" w:rsidRDefault="00E75977" w:rsidP="00FB76D9">
      <w:pPr>
        <w:pStyle w:val="MarkforTableTitle"/>
        <w:rPr>
          <w:rFonts w:eastAsia="Calibri"/>
        </w:rPr>
      </w:pPr>
      <w:r w:rsidRPr="008851A7">
        <w:rPr>
          <w:rFonts w:eastAsia="Calibri"/>
        </w:rPr>
        <w:t xml:space="preserve">Table </w:t>
      </w:r>
      <w:r w:rsidR="00DA1312" w:rsidRPr="008851A7">
        <w:rPr>
          <w:rFonts w:eastAsia="Calibri"/>
        </w:rPr>
        <w:t>12.1</w:t>
      </w:r>
      <w:r w:rsidRPr="008851A7">
        <w:rPr>
          <w:rFonts w:eastAsia="Calibri"/>
        </w:rPr>
        <w:t xml:space="preserve">. </w:t>
      </w:r>
      <w:r w:rsidR="00256254" w:rsidRPr="008851A7">
        <w:rPr>
          <w:rFonts w:eastAsia="Calibri"/>
        </w:rPr>
        <w:t xml:space="preserve">Estimates of </w:t>
      </w:r>
      <w:r w:rsidR="00CB4C8B" w:rsidRPr="007902B0">
        <w:rPr>
          <w:rFonts w:eastAsia="Calibri"/>
        </w:rPr>
        <w:t>total</w:t>
      </w:r>
      <w:r w:rsidR="00CB4C8B">
        <w:rPr>
          <w:rFonts w:eastAsia="Calibri"/>
        </w:rPr>
        <w:t xml:space="preserve"> </w:t>
      </w:r>
      <w:r w:rsidR="00214031" w:rsidRPr="008851A7">
        <w:rPr>
          <w:rFonts w:eastAsia="Calibri"/>
        </w:rPr>
        <w:t xml:space="preserve">hour </w:t>
      </w:r>
      <w:r w:rsidR="00256254" w:rsidRPr="008851A7">
        <w:rPr>
          <w:rFonts w:eastAsia="Calibri"/>
        </w:rPr>
        <w:t>burden</w:t>
      </w:r>
    </w:p>
    <w:tbl>
      <w:tblPr>
        <w:tblW w:w="4988" w:type="pct"/>
        <w:tblBorders>
          <w:top w:val="single" w:sz="4" w:space="0" w:color="auto"/>
          <w:bottom w:val="single" w:sz="4" w:space="0" w:color="auto"/>
          <w:insideH w:val="dotted" w:sz="4" w:space="0" w:color="auto"/>
        </w:tblBorders>
        <w:tblLayout w:type="fixed"/>
        <w:tblLook w:val="04A0" w:firstRow="1" w:lastRow="0" w:firstColumn="1" w:lastColumn="0" w:noHBand="0" w:noVBand="1"/>
      </w:tblPr>
      <w:tblGrid>
        <w:gridCol w:w="3592"/>
        <w:gridCol w:w="1272"/>
        <w:gridCol w:w="1271"/>
        <w:gridCol w:w="1045"/>
        <w:gridCol w:w="1106"/>
        <w:gridCol w:w="1267"/>
      </w:tblGrid>
      <w:tr w:rsidR="00615773" w:rsidRPr="008851A7" w14:paraId="676819BD" w14:textId="77777777" w:rsidTr="00E20DBE">
        <w:trPr>
          <w:trHeight w:val="702"/>
          <w:tblHeader/>
        </w:trPr>
        <w:tc>
          <w:tcPr>
            <w:tcW w:w="1880" w:type="pct"/>
            <w:tcBorders>
              <w:top w:val="nil"/>
              <w:bottom w:val="nil"/>
              <w:right w:val="nil"/>
            </w:tcBorders>
            <w:shd w:val="clear" w:color="auto" w:fill="6C6F71"/>
            <w:vAlign w:val="bottom"/>
            <w:hideMark/>
          </w:tcPr>
          <w:p w14:paraId="24671753" w14:textId="77777777" w:rsidR="0051403C" w:rsidRPr="008851A7" w:rsidRDefault="0051403C" w:rsidP="00221F32">
            <w:pPr>
              <w:pStyle w:val="TableHeaderCenter"/>
              <w:rPr>
                <w:sz w:val="16"/>
                <w:szCs w:val="16"/>
              </w:rPr>
            </w:pPr>
            <w:r>
              <w:rPr>
                <w:sz w:val="16"/>
                <w:szCs w:val="16"/>
              </w:rPr>
              <w:t>Form name</w:t>
            </w:r>
          </w:p>
        </w:tc>
        <w:tc>
          <w:tcPr>
            <w:tcW w:w="666" w:type="pct"/>
            <w:tcBorders>
              <w:top w:val="nil"/>
              <w:left w:val="nil"/>
              <w:bottom w:val="nil"/>
              <w:right w:val="nil"/>
            </w:tcBorders>
            <w:shd w:val="clear" w:color="auto" w:fill="6C6F71"/>
            <w:vAlign w:val="bottom"/>
            <w:hideMark/>
          </w:tcPr>
          <w:p w14:paraId="21F696E8" w14:textId="77777777" w:rsidR="0051403C" w:rsidRPr="008851A7" w:rsidRDefault="0051403C" w:rsidP="00221F32">
            <w:pPr>
              <w:pStyle w:val="TableHeaderCenter"/>
              <w:rPr>
                <w:sz w:val="16"/>
                <w:szCs w:val="16"/>
              </w:rPr>
            </w:pPr>
            <w:r w:rsidRPr="008851A7">
              <w:rPr>
                <w:sz w:val="16"/>
                <w:szCs w:val="16"/>
              </w:rPr>
              <w:t>Number of respondents</w:t>
            </w:r>
          </w:p>
        </w:tc>
        <w:tc>
          <w:tcPr>
            <w:tcW w:w="665" w:type="pct"/>
            <w:tcBorders>
              <w:top w:val="nil"/>
              <w:left w:val="nil"/>
              <w:bottom w:val="nil"/>
              <w:right w:val="nil"/>
            </w:tcBorders>
            <w:shd w:val="clear" w:color="auto" w:fill="6C6F71"/>
            <w:vAlign w:val="bottom"/>
            <w:hideMark/>
          </w:tcPr>
          <w:p w14:paraId="0C080E43" w14:textId="77777777" w:rsidR="0051403C" w:rsidRPr="008851A7" w:rsidRDefault="0051403C" w:rsidP="00221F32">
            <w:pPr>
              <w:pStyle w:val="TableHeaderCenter"/>
              <w:rPr>
                <w:sz w:val="16"/>
                <w:szCs w:val="16"/>
              </w:rPr>
            </w:pPr>
            <w:r w:rsidRPr="008851A7">
              <w:rPr>
                <w:sz w:val="16"/>
                <w:szCs w:val="16"/>
              </w:rPr>
              <w:t>Number of responses per respondent</w:t>
            </w:r>
          </w:p>
        </w:tc>
        <w:tc>
          <w:tcPr>
            <w:tcW w:w="547" w:type="pct"/>
            <w:tcBorders>
              <w:top w:val="nil"/>
              <w:left w:val="nil"/>
              <w:bottom w:val="nil"/>
              <w:right w:val="nil"/>
            </w:tcBorders>
            <w:shd w:val="clear" w:color="auto" w:fill="6C6F71"/>
            <w:vAlign w:val="bottom"/>
            <w:hideMark/>
          </w:tcPr>
          <w:p w14:paraId="2C17DADC" w14:textId="77777777" w:rsidR="0051403C" w:rsidRPr="008851A7" w:rsidRDefault="0051403C" w:rsidP="00221F32">
            <w:pPr>
              <w:pStyle w:val="TableHeaderCenter"/>
              <w:rPr>
                <w:sz w:val="16"/>
                <w:szCs w:val="16"/>
              </w:rPr>
            </w:pPr>
            <w:r w:rsidRPr="008851A7">
              <w:rPr>
                <w:sz w:val="16"/>
                <w:szCs w:val="16"/>
              </w:rPr>
              <w:t>Total responses</w:t>
            </w:r>
          </w:p>
        </w:tc>
        <w:tc>
          <w:tcPr>
            <w:tcW w:w="579" w:type="pct"/>
            <w:tcBorders>
              <w:top w:val="nil"/>
              <w:left w:val="nil"/>
              <w:bottom w:val="nil"/>
              <w:right w:val="nil"/>
            </w:tcBorders>
            <w:shd w:val="clear" w:color="auto" w:fill="6C6F71"/>
            <w:vAlign w:val="bottom"/>
            <w:hideMark/>
          </w:tcPr>
          <w:p w14:paraId="2A33FE71" w14:textId="77777777" w:rsidR="0051403C" w:rsidRPr="008851A7" w:rsidRDefault="0051403C" w:rsidP="00221F32">
            <w:pPr>
              <w:pStyle w:val="TableHeaderCenter"/>
              <w:rPr>
                <w:sz w:val="16"/>
                <w:szCs w:val="16"/>
              </w:rPr>
            </w:pPr>
            <w:r w:rsidRPr="008851A7">
              <w:rPr>
                <w:sz w:val="16"/>
                <w:szCs w:val="16"/>
              </w:rPr>
              <w:t>Average burden per response (hours)</w:t>
            </w:r>
          </w:p>
        </w:tc>
        <w:tc>
          <w:tcPr>
            <w:tcW w:w="663" w:type="pct"/>
            <w:tcBorders>
              <w:top w:val="nil"/>
              <w:left w:val="nil"/>
              <w:bottom w:val="nil"/>
            </w:tcBorders>
            <w:shd w:val="clear" w:color="auto" w:fill="6C6F71"/>
            <w:vAlign w:val="bottom"/>
            <w:hideMark/>
          </w:tcPr>
          <w:p w14:paraId="27B50AB2" w14:textId="77777777" w:rsidR="0051403C" w:rsidRPr="008851A7" w:rsidRDefault="0051403C" w:rsidP="00221F32">
            <w:pPr>
              <w:pStyle w:val="TableHeaderCenter"/>
              <w:rPr>
                <w:sz w:val="16"/>
                <w:szCs w:val="16"/>
              </w:rPr>
            </w:pPr>
            <w:r w:rsidRPr="008851A7">
              <w:rPr>
                <w:sz w:val="16"/>
                <w:szCs w:val="16"/>
              </w:rPr>
              <w:t>Total burden (hours)</w:t>
            </w:r>
          </w:p>
        </w:tc>
      </w:tr>
      <w:tr w:rsidR="00A54E39" w:rsidRPr="008851A7" w14:paraId="206B3D24"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1FB06804" w14:textId="77777777" w:rsidR="00A54E39" w:rsidRPr="004055CD" w:rsidRDefault="00A54E39" w:rsidP="0051403C">
            <w:pPr>
              <w:pStyle w:val="Tabletext8"/>
              <w:spacing w:before="40" w:after="40"/>
              <w:rPr>
                <w:sz w:val="18"/>
              </w:rPr>
            </w:pPr>
            <w:r>
              <w:rPr>
                <w:sz w:val="18"/>
              </w:rPr>
              <w:t>Provider Interviews</w:t>
            </w:r>
          </w:p>
        </w:tc>
        <w:tc>
          <w:tcPr>
            <w:tcW w:w="666" w:type="pct"/>
            <w:tcBorders>
              <w:top w:val="nil"/>
              <w:bottom w:val="single" w:sz="2" w:space="0" w:color="BFBFBF" w:themeColor="background1" w:themeShade="BF"/>
            </w:tcBorders>
            <w:shd w:val="clear" w:color="auto" w:fill="auto"/>
            <w:vAlign w:val="center"/>
          </w:tcPr>
          <w:p w14:paraId="4D931AB3" w14:textId="77777777" w:rsidR="00A54E39" w:rsidRPr="004055CD" w:rsidRDefault="00A54E39" w:rsidP="0051403C">
            <w:pPr>
              <w:pStyle w:val="Tabletext8"/>
              <w:tabs>
                <w:tab w:val="decimal" w:pos="162"/>
              </w:tabs>
              <w:spacing w:before="40" w:after="40"/>
              <w:jc w:val="center"/>
              <w:rPr>
                <w:rFonts w:cs="Arial"/>
                <w:sz w:val="18"/>
              </w:rPr>
            </w:pPr>
          </w:p>
        </w:tc>
        <w:tc>
          <w:tcPr>
            <w:tcW w:w="665" w:type="pct"/>
            <w:tcBorders>
              <w:top w:val="nil"/>
              <w:bottom w:val="single" w:sz="2" w:space="0" w:color="BFBFBF" w:themeColor="background1" w:themeShade="BF"/>
            </w:tcBorders>
            <w:shd w:val="clear" w:color="auto" w:fill="auto"/>
            <w:vAlign w:val="center"/>
          </w:tcPr>
          <w:p w14:paraId="1F74162D" w14:textId="77777777" w:rsidR="00A54E39" w:rsidRPr="004055CD" w:rsidRDefault="00A54E39" w:rsidP="0051403C">
            <w:pPr>
              <w:pStyle w:val="Tabletext8"/>
              <w:tabs>
                <w:tab w:val="decimal" w:pos="153"/>
              </w:tabs>
              <w:spacing w:before="40" w:after="40"/>
              <w:jc w:val="center"/>
              <w:rPr>
                <w:rFonts w:cs="Arial"/>
                <w:sz w:val="18"/>
              </w:rPr>
            </w:pPr>
          </w:p>
        </w:tc>
        <w:tc>
          <w:tcPr>
            <w:tcW w:w="547" w:type="pct"/>
            <w:tcBorders>
              <w:top w:val="nil"/>
              <w:bottom w:val="single" w:sz="2" w:space="0" w:color="BFBFBF" w:themeColor="background1" w:themeShade="BF"/>
            </w:tcBorders>
            <w:shd w:val="clear" w:color="auto" w:fill="auto"/>
            <w:vAlign w:val="center"/>
          </w:tcPr>
          <w:p w14:paraId="43838B52" w14:textId="77777777" w:rsidR="00A54E39" w:rsidRPr="004055CD" w:rsidRDefault="00A54E39" w:rsidP="0051403C">
            <w:pPr>
              <w:pStyle w:val="Tabletext8"/>
              <w:tabs>
                <w:tab w:val="decimal" w:pos="153"/>
              </w:tabs>
              <w:spacing w:before="40" w:after="40"/>
              <w:jc w:val="center"/>
              <w:rPr>
                <w:rFonts w:cs="Arial"/>
                <w:sz w:val="18"/>
              </w:rPr>
            </w:pPr>
          </w:p>
        </w:tc>
        <w:tc>
          <w:tcPr>
            <w:tcW w:w="579" w:type="pct"/>
            <w:tcBorders>
              <w:top w:val="nil"/>
              <w:bottom w:val="single" w:sz="2" w:space="0" w:color="BFBFBF" w:themeColor="background1" w:themeShade="BF"/>
            </w:tcBorders>
            <w:shd w:val="clear" w:color="auto" w:fill="auto"/>
            <w:vAlign w:val="center"/>
          </w:tcPr>
          <w:p w14:paraId="2884B3DD" w14:textId="77777777" w:rsidR="00A54E39" w:rsidRPr="004055CD" w:rsidRDefault="00A54E39" w:rsidP="0051403C">
            <w:pPr>
              <w:pStyle w:val="Tabletext8"/>
              <w:tabs>
                <w:tab w:val="decimal" w:pos="153"/>
              </w:tabs>
              <w:spacing w:before="40" w:after="40"/>
              <w:jc w:val="center"/>
              <w:rPr>
                <w:rFonts w:cs="Arial"/>
                <w:sz w:val="18"/>
              </w:rPr>
            </w:pPr>
          </w:p>
        </w:tc>
        <w:tc>
          <w:tcPr>
            <w:tcW w:w="663" w:type="pct"/>
            <w:tcBorders>
              <w:top w:val="nil"/>
              <w:bottom w:val="single" w:sz="2" w:space="0" w:color="BFBFBF" w:themeColor="background1" w:themeShade="BF"/>
            </w:tcBorders>
            <w:shd w:val="clear" w:color="auto" w:fill="auto"/>
            <w:vAlign w:val="center"/>
          </w:tcPr>
          <w:p w14:paraId="05F4EE6B" w14:textId="77777777" w:rsidR="00A54E39" w:rsidRPr="004055CD" w:rsidRDefault="00A54E39" w:rsidP="0051403C">
            <w:pPr>
              <w:pStyle w:val="Tabletext8"/>
              <w:tabs>
                <w:tab w:val="decimal" w:pos="153"/>
              </w:tabs>
              <w:spacing w:before="40" w:after="40"/>
              <w:jc w:val="center"/>
              <w:rPr>
                <w:rFonts w:cs="Arial"/>
                <w:sz w:val="18"/>
              </w:rPr>
            </w:pPr>
          </w:p>
        </w:tc>
      </w:tr>
      <w:tr w:rsidR="00615773" w:rsidRPr="008851A7" w14:paraId="3D960AA2"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4D153F61" w14:textId="77777777" w:rsidR="0051403C" w:rsidRPr="004055CD" w:rsidRDefault="0051403C" w:rsidP="00E20DBE">
            <w:pPr>
              <w:pStyle w:val="Tabletext8"/>
              <w:spacing w:before="40" w:after="40"/>
              <w:ind w:left="432"/>
              <w:rPr>
                <w:sz w:val="18"/>
              </w:rPr>
            </w:pPr>
            <w:r w:rsidRPr="004055CD">
              <w:rPr>
                <w:sz w:val="18"/>
              </w:rPr>
              <w:t>Program</w:t>
            </w:r>
            <w:r w:rsidR="00EA00A0">
              <w:rPr>
                <w:sz w:val="18"/>
              </w:rPr>
              <w:t xml:space="preserve"> manager/ program</w:t>
            </w:r>
            <w:r w:rsidRPr="004055CD">
              <w:rPr>
                <w:sz w:val="18"/>
              </w:rPr>
              <w:t xml:space="preserve"> </w:t>
            </w:r>
            <w:r w:rsidR="00E20DBE">
              <w:rPr>
                <w:sz w:val="18"/>
              </w:rPr>
              <w:t>leadership</w:t>
            </w:r>
            <w:r w:rsidR="00D822F6">
              <w:rPr>
                <w:sz w:val="18"/>
              </w:rPr>
              <w:t xml:space="preserve"> interview</w:t>
            </w:r>
          </w:p>
        </w:tc>
        <w:tc>
          <w:tcPr>
            <w:tcW w:w="666" w:type="pct"/>
            <w:tcBorders>
              <w:top w:val="nil"/>
              <w:bottom w:val="single" w:sz="2" w:space="0" w:color="BFBFBF" w:themeColor="background1" w:themeShade="BF"/>
            </w:tcBorders>
            <w:shd w:val="clear" w:color="auto" w:fill="auto"/>
            <w:vAlign w:val="center"/>
          </w:tcPr>
          <w:p w14:paraId="432D5A02" w14:textId="77777777" w:rsidR="0051403C" w:rsidRPr="004055CD" w:rsidRDefault="0051403C" w:rsidP="0051403C">
            <w:pPr>
              <w:pStyle w:val="Tabletext8"/>
              <w:tabs>
                <w:tab w:val="decimal" w:pos="162"/>
              </w:tabs>
              <w:spacing w:before="40" w:after="40"/>
              <w:jc w:val="center"/>
              <w:rPr>
                <w:rFonts w:cs="Arial"/>
                <w:sz w:val="18"/>
              </w:rPr>
            </w:pPr>
            <w:r w:rsidRPr="004055CD">
              <w:rPr>
                <w:rFonts w:cs="Arial"/>
                <w:sz w:val="18"/>
              </w:rPr>
              <w:t>30</w:t>
            </w:r>
          </w:p>
        </w:tc>
        <w:tc>
          <w:tcPr>
            <w:tcW w:w="665" w:type="pct"/>
            <w:tcBorders>
              <w:top w:val="nil"/>
              <w:bottom w:val="single" w:sz="2" w:space="0" w:color="BFBFBF" w:themeColor="background1" w:themeShade="BF"/>
            </w:tcBorders>
            <w:shd w:val="clear" w:color="auto" w:fill="auto"/>
            <w:vAlign w:val="center"/>
          </w:tcPr>
          <w:p w14:paraId="3DE2DC8A"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547" w:type="pct"/>
            <w:tcBorders>
              <w:top w:val="nil"/>
              <w:bottom w:val="single" w:sz="2" w:space="0" w:color="BFBFBF" w:themeColor="background1" w:themeShade="BF"/>
            </w:tcBorders>
            <w:shd w:val="clear" w:color="auto" w:fill="auto"/>
            <w:vAlign w:val="center"/>
          </w:tcPr>
          <w:p w14:paraId="43335D7E"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30</w:t>
            </w:r>
          </w:p>
        </w:tc>
        <w:tc>
          <w:tcPr>
            <w:tcW w:w="579" w:type="pct"/>
            <w:tcBorders>
              <w:top w:val="nil"/>
              <w:bottom w:val="single" w:sz="2" w:space="0" w:color="BFBFBF" w:themeColor="background1" w:themeShade="BF"/>
            </w:tcBorders>
            <w:shd w:val="clear" w:color="auto" w:fill="auto"/>
            <w:vAlign w:val="center"/>
          </w:tcPr>
          <w:p w14:paraId="24968FEE"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663" w:type="pct"/>
            <w:tcBorders>
              <w:top w:val="nil"/>
              <w:bottom w:val="single" w:sz="2" w:space="0" w:color="BFBFBF" w:themeColor="background1" w:themeShade="BF"/>
            </w:tcBorders>
            <w:shd w:val="clear" w:color="auto" w:fill="auto"/>
            <w:vAlign w:val="center"/>
          </w:tcPr>
          <w:p w14:paraId="3F1C592E"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30</w:t>
            </w:r>
          </w:p>
        </w:tc>
      </w:tr>
      <w:tr w:rsidR="00615773" w:rsidRPr="008851A7" w14:paraId="2E7EE920"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4022C949" w14:textId="77777777" w:rsidR="0051403C" w:rsidRPr="004055CD" w:rsidRDefault="0051403C" w:rsidP="00A54E39">
            <w:pPr>
              <w:pStyle w:val="Tabletext8"/>
              <w:spacing w:before="40" w:after="40"/>
              <w:ind w:left="432"/>
              <w:rPr>
                <w:sz w:val="18"/>
              </w:rPr>
            </w:pPr>
            <w:r w:rsidRPr="004055CD">
              <w:rPr>
                <w:sz w:val="18"/>
              </w:rPr>
              <w:t>Case manager</w:t>
            </w:r>
            <w:r w:rsidR="00E20DBE">
              <w:rPr>
                <w:sz w:val="18"/>
              </w:rPr>
              <w:t xml:space="preserve"> / service delivery staff</w:t>
            </w:r>
            <w:r w:rsidR="00D822F6">
              <w:rPr>
                <w:sz w:val="18"/>
              </w:rPr>
              <w:t xml:space="preserve"> interview</w:t>
            </w:r>
          </w:p>
        </w:tc>
        <w:tc>
          <w:tcPr>
            <w:tcW w:w="666" w:type="pct"/>
            <w:tcBorders>
              <w:top w:val="nil"/>
              <w:bottom w:val="single" w:sz="2" w:space="0" w:color="BFBFBF" w:themeColor="background1" w:themeShade="BF"/>
            </w:tcBorders>
            <w:shd w:val="clear" w:color="auto" w:fill="auto"/>
            <w:vAlign w:val="center"/>
          </w:tcPr>
          <w:p w14:paraId="1190C698" w14:textId="77777777" w:rsidR="0051403C" w:rsidRPr="004055CD" w:rsidRDefault="0051403C" w:rsidP="0051403C">
            <w:pPr>
              <w:pStyle w:val="Tabletext8"/>
              <w:tabs>
                <w:tab w:val="decimal" w:pos="162"/>
              </w:tabs>
              <w:spacing w:before="40" w:after="40"/>
              <w:jc w:val="center"/>
              <w:rPr>
                <w:rFonts w:cs="Arial"/>
                <w:sz w:val="18"/>
              </w:rPr>
            </w:pPr>
            <w:r w:rsidRPr="004055CD">
              <w:rPr>
                <w:rFonts w:cs="Arial"/>
                <w:sz w:val="18"/>
              </w:rPr>
              <w:t>30</w:t>
            </w:r>
          </w:p>
        </w:tc>
        <w:tc>
          <w:tcPr>
            <w:tcW w:w="665" w:type="pct"/>
            <w:tcBorders>
              <w:top w:val="nil"/>
              <w:bottom w:val="single" w:sz="2" w:space="0" w:color="BFBFBF" w:themeColor="background1" w:themeShade="BF"/>
            </w:tcBorders>
            <w:shd w:val="clear" w:color="auto" w:fill="auto"/>
            <w:vAlign w:val="center"/>
          </w:tcPr>
          <w:p w14:paraId="7A1F7D39"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547" w:type="pct"/>
            <w:tcBorders>
              <w:top w:val="nil"/>
              <w:bottom w:val="single" w:sz="2" w:space="0" w:color="BFBFBF" w:themeColor="background1" w:themeShade="BF"/>
            </w:tcBorders>
            <w:shd w:val="clear" w:color="auto" w:fill="auto"/>
            <w:vAlign w:val="center"/>
          </w:tcPr>
          <w:p w14:paraId="2513E2E7"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30</w:t>
            </w:r>
          </w:p>
        </w:tc>
        <w:tc>
          <w:tcPr>
            <w:tcW w:w="579" w:type="pct"/>
            <w:tcBorders>
              <w:top w:val="nil"/>
              <w:bottom w:val="single" w:sz="2" w:space="0" w:color="BFBFBF" w:themeColor="background1" w:themeShade="BF"/>
            </w:tcBorders>
            <w:shd w:val="clear" w:color="auto" w:fill="auto"/>
            <w:vAlign w:val="center"/>
          </w:tcPr>
          <w:p w14:paraId="06F480AD"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663" w:type="pct"/>
            <w:tcBorders>
              <w:top w:val="nil"/>
              <w:bottom w:val="single" w:sz="2" w:space="0" w:color="BFBFBF" w:themeColor="background1" w:themeShade="BF"/>
            </w:tcBorders>
            <w:shd w:val="clear" w:color="auto" w:fill="auto"/>
            <w:vAlign w:val="center"/>
          </w:tcPr>
          <w:p w14:paraId="6CF92EA2"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30</w:t>
            </w:r>
          </w:p>
        </w:tc>
      </w:tr>
      <w:tr w:rsidR="00615773" w:rsidRPr="008851A7" w14:paraId="1C3D542A"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55C2363B" w14:textId="77777777" w:rsidR="0051403C" w:rsidRPr="004055CD" w:rsidRDefault="0051403C" w:rsidP="00E20DBE">
            <w:pPr>
              <w:pStyle w:val="Tabletext8"/>
              <w:spacing w:before="40" w:after="40"/>
              <w:ind w:left="432"/>
              <w:rPr>
                <w:sz w:val="18"/>
              </w:rPr>
            </w:pPr>
            <w:r w:rsidRPr="004055CD">
              <w:rPr>
                <w:sz w:val="18"/>
              </w:rPr>
              <w:t>Medical director</w:t>
            </w:r>
            <w:r w:rsidR="00E20DBE">
              <w:rPr>
                <w:sz w:val="18"/>
              </w:rPr>
              <w:t xml:space="preserve"> / medical provider</w:t>
            </w:r>
          </w:p>
        </w:tc>
        <w:tc>
          <w:tcPr>
            <w:tcW w:w="666" w:type="pct"/>
            <w:tcBorders>
              <w:top w:val="nil"/>
              <w:bottom w:val="single" w:sz="2" w:space="0" w:color="BFBFBF" w:themeColor="background1" w:themeShade="BF"/>
            </w:tcBorders>
            <w:shd w:val="clear" w:color="auto" w:fill="auto"/>
            <w:vAlign w:val="center"/>
          </w:tcPr>
          <w:p w14:paraId="16A76BD3" w14:textId="77777777" w:rsidR="0051403C" w:rsidRPr="004055CD" w:rsidRDefault="0051403C" w:rsidP="0051403C">
            <w:pPr>
              <w:pStyle w:val="Tabletext8"/>
              <w:tabs>
                <w:tab w:val="decimal" w:pos="162"/>
              </w:tabs>
              <w:spacing w:before="40" w:after="40"/>
              <w:jc w:val="center"/>
              <w:rPr>
                <w:rFonts w:cs="Arial"/>
                <w:sz w:val="18"/>
              </w:rPr>
            </w:pPr>
            <w:r w:rsidRPr="004055CD">
              <w:rPr>
                <w:rFonts w:cs="Arial"/>
                <w:sz w:val="18"/>
              </w:rPr>
              <w:t>40</w:t>
            </w:r>
          </w:p>
        </w:tc>
        <w:tc>
          <w:tcPr>
            <w:tcW w:w="665" w:type="pct"/>
            <w:tcBorders>
              <w:top w:val="nil"/>
              <w:bottom w:val="single" w:sz="2" w:space="0" w:color="BFBFBF" w:themeColor="background1" w:themeShade="BF"/>
            </w:tcBorders>
            <w:shd w:val="clear" w:color="auto" w:fill="auto"/>
            <w:vAlign w:val="center"/>
          </w:tcPr>
          <w:p w14:paraId="2FE030D4"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547" w:type="pct"/>
            <w:tcBorders>
              <w:top w:val="nil"/>
              <w:bottom w:val="single" w:sz="2" w:space="0" w:color="BFBFBF" w:themeColor="background1" w:themeShade="BF"/>
            </w:tcBorders>
            <w:shd w:val="clear" w:color="auto" w:fill="auto"/>
            <w:vAlign w:val="center"/>
          </w:tcPr>
          <w:p w14:paraId="46BE112D"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40</w:t>
            </w:r>
          </w:p>
        </w:tc>
        <w:tc>
          <w:tcPr>
            <w:tcW w:w="579" w:type="pct"/>
            <w:tcBorders>
              <w:top w:val="nil"/>
              <w:bottom w:val="single" w:sz="2" w:space="0" w:color="BFBFBF" w:themeColor="background1" w:themeShade="BF"/>
            </w:tcBorders>
            <w:shd w:val="clear" w:color="auto" w:fill="auto"/>
            <w:vAlign w:val="center"/>
          </w:tcPr>
          <w:p w14:paraId="04A5D53A"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663" w:type="pct"/>
            <w:tcBorders>
              <w:top w:val="nil"/>
              <w:bottom w:val="single" w:sz="2" w:space="0" w:color="BFBFBF" w:themeColor="background1" w:themeShade="BF"/>
            </w:tcBorders>
            <w:shd w:val="clear" w:color="auto" w:fill="auto"/>
            <w:vAlign w:val="center"/>
          </w:tcPr>
          <w:p w14:paraId="68F1B86E"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40</w:t>
            </w:r>
          </w:p>
        </w:tc>
      </w:tr>
      <w:tr w:rsidR="00615773" w:rsidRPr="008851A7" w14:paraId="6D91E238"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77D2A0ED" w14:textId="77777777" w:rsidR="0051403C" w:rsidRPr="004055CD" w:rsidRDefault="0051403C" w:rsidP="0051403C">
            <w:pPr>
              <w:pStyle w:val="Tabletext8"/>
              <w:spacing w:before="40" w:after="40"/>
              <w:rPr>
                <w:sz w:val="18"/>
              </w:rPr>
            </w:pPr>
            <w:r w:rsidRPr="004055CD">
              <w:rPr>
                <w:sz w:val="18"/>
              </w:rPr>
              <w:t>Client</w:t>
            </w:r>
            <w:r w:rsidR="00D822F6">
              <w:rPr>
                <w:sz w:val="18"/>
              </w:rPr>
              <w:t xml:space="preserve"> interview</w:t>
            </w:r>
          </w:p>
        </w:tc>
        <w:tc>
          <w:tcPr>
            <w:tcW w:w="666" w:type="pct"/>
            <w:tcBorders>
              <w:top w:val="nil"/>
              <w:bottom w:val="single" w:sz="2" w:space="0" w:color="BFBFBF" w:themeColor="background1" w:themeShade="BF"/>
            </w:tcBorders>
            <w:shd w:val="clear" w:color="auto" w:fill="auto"/>
            <w:vAlign w:val="center"/>
          </w:tcPr>
          <w:p w14:paraId="6674A3D9" w14:textId="77777777" w:rsidR="0051403C" w:rsidRPr="004055CD" w:rsidRDefault="0051403C" w:rsidP="0051403C">
            <w:pPr>
              <w:pStyle w:val="Tabletext8"/>
              <w:tabs>
                <w:tab w:val="decimal" w:pos="162"/>
              </w:tabs>
              <w:spacing w:before="40" w:after="40"/>
              <w:jc w:val="center"/>
              <w:rPr>
                <w:rFonts w:cs="Arial"/>
                <w:sz w:val="18"/>
              </w:rPr>
            </w:pPr>
            <w:r w:rsidRPr="004055CD">
              <w:rPr>
                <w:rFonts w:cs="Arial"/>
                <w:sz w:val="18"/>
              </w:rPr>
              <w:t>120</w:t>
            </w:r>
          </w:p>
        </w:tc>
        <w:tc>
          <w:tcPr>
            <w:tcW w:w="665" w:type="pct"/>
            <w:tcBorders>
              <w:top w:val="nil"/>
              <w:bottom w:val="single" w:sz="2" w:space="0" w:color="BFBFBF" w:themeColor="background1" w:themeShade="BF"/>
            </w:tcBorders>
            <w:shd w:val="clear" w:color="auto" w:fill="auto"/>
            <w:vAlign w:val="center"/>
          </w:tcPr>
          <w:p w14:paraId="23BEB07F"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w:t>
            </w:r>
          </w:p>
        </w:tc>
        <w:tc>
          <w:tcPr>
            <w:tcW w:w="547" w:type="pct"/>
            <w:tcBorders>
              <w:top w:val="nil"/>
              <w:bottom w:val="single" w:sz="2" w:space="0" w:color="BFBFBF" w:themeColor="background1" w:themeShade="BF"/>
            </w:tcBorders>
            <w:shd w:val="clear" w:color="auto" w:fill="auto"/>
            <w:vAlign w:val="center"/>
          </w:tcPr>
          <w:p w14:paraId="6585CADB"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120</w:t>
            </w:r>
          </w:p>
        </w:tc>
        <w:tc>
          <w:tcPr>
            <w:tcW w:w="579" w:type="pct"/>
            <w:tcBorders>
              <w:top w:val="nil"/>
              <w:bottom w:val="single" w:sz="2" w:space="0" w:color="BFBFBF" w:themeColor="background1" w:themeShade="BF"/>
            </w:tcBorders>
            <w:shd w:val="clear" w:color="auto" w:fill="auto"/>
            <w:vAlign w:val="center"/>
          </w:tcPr>
          <w:p w14:paraId="58C421C7"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0.50</w:t>
            </w:r>
          </w:p>
        </w:tc>
        <w:tc>
          <w:tcPr>
            <w:tcW w:w="663" w:type="pct"/>
            <w:tcBorders>
              <w:top w:val="nil"/>
              <w:bottom w:val="single" w:sz="2" w:space="0" w:color="BFBFBF" w:themeColor="background1" w:themeShade="BF"/>
            </w:tcBorders>
            <w:shd w:val="clear" w:color="auto" w:fill="auto"/>
            <w:vAlign w:val="center"/>
          </w:tcPr>
          <w:p w14:paraId="7750B08C"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60</w:t>
            </w:r>
          </w:p>
        </w:tc>
      </w:tr>
      <w:tr w:rsidR="00615773" w:rsidRPr="008851A7" w14:paraId="20B3B3EE"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10A065D3" w14:textId="77777777" w:rsidR="0051403C" w:rsidRPr="004055CD" w:rsidRDefault="00854373" w:rsidP="0051403C">
            <w:pPr>
              <w:pStyle w:val="Tabletext8"/>
              <w:spacing w:before="40" w:after="40"/>
              <w:rPr>
                <w:sz w:val="18"/>
              </w:rPr>
            </w:pPr>
            <w:r>
              <w:rPr>
                <w:sz w:val="18"/>
              </w:rPr>
              <w:t>Medical record</w:t>
            </w:r>
            <w:r w:rsidRPr="004055CD">
              <w:rPr>
                <w:sz w:val="18"/>
              </w:rPr>
              <w:t xml:space="preserve"> </w:t>
            </w:r>
            <w:r w:rsidR="0051403C" w:rsidRPr="004055CD">
              <w:rPr>
                <w:sz w:val="18"/>
              </w:rPr>
              <w:t>abstraction</w:t>
            </w:r>
          </w:p>
        </w:tc>
        <w:tc>
          <w:tcPr>
            <w:tcW w:w="666" w:type="pct"/>
            <w:tcBorders>
              <w:top w:val="nil"/>
              <w:bottom w:val="single" w:sz="2" w:space="0" w:color="BFBFBF" w:themeColor="background1" w:themeShade="BF"/>
            </w:tcBorders>
            <w:shd w:val="clear" w:color="auto" w:fill="auto"/>
            <w:vAlign w:val="center"/>
          </w:tcPr>
          <w:p w14:paraId="746EFD48" w14:textId="77777777" w:rsidR="0051403C" w:rsidRPr="004055CD" w:rsidRDefault="0051403C" w:rsidP="0051403C">
            <w:pPr>
              <w:pStyle w:val="Tabletext8"/>
              <w:tabs>
                <w:tab w:val="decimal" w:pos="162"/>
              </w:tabs>
              <w:spacing w:before="40" w:after="40"/>
              <w:jc w:val="center"/>
              <w:rPr>
                <w:rFonts w:cs="Arial"/>
                <w:sz w:val="18"/>
              </w:rPr>
            </w:pPr>
            <w:r w:rsidRPr="004055CD">
              <w:rPr>
                <w:rFonts w:cs="Arial"/>
                <w:sz w:val="18"/>
              </w:rPr>
              <w:t>30</w:t>
            </w:r>
          </w:p>
        </w:tc>
        <w:tc>
          <w:tcPr>
            <w:tcW w:w="665" w:type="pct"/>
            <w:tcBorders>
              <w:top w:val="nil"/>
              <w:bottom w:val="single" w:sz="2" w:space="0" w:color="BFBFBF" w:themeColor="background1" w:themeShade="BF"/>
            </w:tcBorders>
            <w:shd w:val="clear" w:color="auto" w:fill="auto"/>
            <w:vAlign w:val="center"/>
          </w:tcPr>
          <w:p w14:paraId="60F7A4BF"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50</w:t>
            </w:r>
          </w:p>
        </w:tc>
        <w:tc>
          <w:tcPr>
            <w:tcW w:w="547" w:type="pct"/>
            <w:tcBorders>
              <w:top w:val="nil"/>
              <w:bottom w:val="single" w:sz="2" w:space="0" w:color="BFBFBF" w:themeColor="background1" w:themeShade="BF"/>
            </w:tcBorders>
            <w:shd w:val="clear" w:color="auto" w:fill="auto"/>
            <w:vAlign w:val="center"/>
          </w:tcPr>
          <w:p w14:paraId="17781B51"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1,500</w:t>
            </w:r>
          </w:p>
        </w:tc>
        <w:tc>
          <w:tcPr>
            <w:tcW w:w="579" w:type="pct"/>
            <w:tcBorders>
              <w:top w:val="nil"/>
              <w:bottom w:val="single" w:sz="2" w:space="0" w:color="BFBFBF" w:themeColor="background1" w:themeShade="BF"/>
            </w:tcBorders>
            <w:shd w:val="clear" w:color="auto" w:fill="auto"/>
            <w:vAlign w:val="center"/>
          </w:tcPr>
          <w:p w14:paraId="75BCA36D"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0.08</w:t>
            </w:r>
          </w:p>
        </w:tc>
        <w:tc>
          <w:tcPr>
            <w:tcW w:w="663" w:type="pct"/>
            <w:tcBorders>
              <w:top w:val="nil"/>
              <w:bottom w:val="single" w:sz="2" w:space="0" w:color="BFBFBF" w:themeColor="background1" w:themeShade="BF"/>
            </w:tcBorders>
            <w:shd w:val="clear" w:color="auto" w:fill="auto"/>
            <w:vAlign w:val="center"/>
          </w:tcPr>
          <w:p w14:paraId="60D684DB" w14:textId="77777777" w:rsidR="0051403C" w:rsidRPr="004055CD" w:rsidRDefault="0051403C" w:rsidP="0051403C">
            <w:pPr>
              <w:pStyle w:val="Tabletext8"/>
              <w:tabs>
                <w:tab w:val="decimal" w:pos="153"/>
              </w:tabs>
              <w:spacing w:before="40" w:after="40"/>
              <w:jc w:val="center"/>
              <w:rPr>
                <w:rFonts w:cs="Arial"/>
                <w:sz w:val="18"/>
              </w:rPr>
            </w:pPr>
            <w:r w:rsidRPr="004055CD">
              <w:rPr>
                <w:rFonts w:cs="Arial"/>
                <w:sz w:val="18"/>
              </w:rPr>
              <w:t>120</w:t>
            </w:r>
          </w:p>
        </w:tc>
      </w:tr>
      <w:tr w:rsidR="00DC79ED" w:rsidRPr="008851A7" w14:paraId="44EA3998" w14:textId="77777777" w:rsidTr="00E20DBE">
        <w:trPr>
          <w:trHeight w:val="315"/>
        </w:trPr>
        <w:tc>
          <w:tcPr>
            <w:tcW w:w="1880" w:type="pct"/>
            <w:tcBorders>
              <w:top w:val="nil"/>
              <w:bottom w:val="single" w:sz="2" w:space="0" w:color="BFBFBF" w:themeColor="background1" w:themeShade="BF"/>
            </w:tcBorders>
            <w:shd w:val="clear" w:color="auto" w:fill="auto"/>
            <w:vAlign w:val="center"/>
          </w:tcPr>
          <w:p w14:paraId="290A7A4B" w14:textId="77777777" w:rsidR="00DC79ED" w:rsidRPr="004055CD" w:rsidRDefault="00DC79ED" w:rsidP="0051403C">
            <w:pPr>
              <w:pStyle w:val="Tabletext8"/>
              <w:spacing w:before="40" w:after="40"/>
              <w:rPr>
                <w:sz w:val="18"/>
              </w:rPr>
            </w:pPr>
            <w:r w:rsidRPr="004055CD">
              <w:rPr>
                <w:sz w:val="18"/>
              </w:rPr>
              <w:t>Telephone screening</w:t>
            </w:r>
            <w:r w:rsidR="00E31D5C" w:rsidRPr="004055CD">
              <w:rPr>
                <w:sz w:val="18"/>
                <w:vertAlign w:val="superscript"/>
              </w:rPr>
              <w:t>a</w:t>
            </w:r>
          </w:p>
        </w:tc>
        <w:tc>
          <w:tcPr>
            <w:tcW w:w="666" w:type="pct"/>
            <w:tcBorders>
              <w:top w:val="nil"/>
              <w:bottom w:val="single" w:sz="2" w:space="0" w:color="BFBFBF" w:themeColor="background1" w:themeShade="BF"/>
            </w:tcBorders>
            <w:shd w:val="clear" w:color="auto" w:fill="auto"/>
            <w:vAlign w:val="center"/>
          </w:tcPr>
          <w:p w14:paraId="12025801" w14:textId="77777777" w:rsidR="00DC79ED" w:rsidRPr="004055CD" w:rsidRDefault="004055CD" w:rsidP="0051403C">
            <w:pPr>
              <w:pStyle w:val="Tabletext8"/>
              <w:tabs>
                <w:tab w:val="decimal" w:pos="162"/>
              </w:tabs>
              <w:spacing w:before="40" w:after="40"/>
              <w:jc w:val="center"/>
              <w:rPr>
                <w:rFonts w:cs="Arial"/>
                <w:sz w:val="18"/>
              </w:rPr>
            </w:pPr>
            <w:r>
              <w:rPr>
                <w:rFonts w:cs="Arial"/>
                <w:sz w:val="18"/>
              </w:rPr>
              <w:t>45</w:t>
            </w:r>
          </w:p>
        </w:tc>
        <w:tc>
          <w:tcPr>
            <w:tcW w:w="665" w:type="pct"/>
            <w:tcBorders>
              <w:top w:val="nil"/>
              <w:bottom w:val="single" w:sz="2" w:space="0" w:color="BFBFBF" w:themeColor="background1" w:themeShade="BF"/>
            </w:tcBorders>
            <w:shd w:val="clear" w:color="auto" w:fill="auto"/>
            <w:vAlign w:val="center"/>
          </w:tcPr>
          <w:p w14:paraId="7EF6E026" w14:textId="77777777" w:rsidR="00DC79ED" w:rsidRPr="004055CD" w:rsidRDefault="004055CD" w:rsidP="0051403C">
            <w:pPr>
              <w:pStyle w:val="Tabletext8"/>
              <w:tabs>
                <w:tab w:val="decimal" w:pos="153"/>
              </w:tabs>
              <w:spacing w:before="40" w:after="40"/>
              <w:jc w:val="center"/>
              <w:rPr>
                <w:rFonts w:cs="Arial"/>
                <w:sz w:val="18"/>
              </w:rPr>
            </w:pPr>
            <w:r>
              <w:rPr>
                <w:rFonts w:cs="Arial"/>
                <w:sz w:val="18"/>
              </w:rPr>
              <w:t>1</w:t>
            </w:r>
          </w:p>
        </w:tc>
        <w:tc>
          <w:tcPr>
            <w:tcW w:w="547" w:type="pct"/>
            <w:tcBorders>
              <w:top w:val="nil"/>
              <w:bottom w:val="single" w:sz="2" w:space="0" w:color="BFBFBF" w:themeColor="background1" w:themeShade="BF"/>
            </w:tcBorders>
            <w:shd w:val="clear" w:color="auto" w:fill="auto"/>
            <w:vAlign w:val="center"/>
          </w:tcPr>
          <w:p w14:paraId="6001FE13" w14:textId="77777777" w:rsidR="00DC79ED" w:rsidRPr="004055CD" w:rsidRDefault="004055CD" w:rsidP="0051403C">
            <w:pPr>
              <w:pStyle w:val="Tabletext8"/>
              <w:tabs>
                <w:tab w:val="decimal" w:pos="153"/>
              </w:tabs>
              <w:spacing w:before="40" w:after="40"/>
              <w:jc w:val="center"/>
              <w:rPr>
                <w:rFonts w:cs="Arial"/>
                <w:sz w:val="18"/>
              </w:rPr>
            </w:pPr>
            <w:r>
              <w:rPr>
                <w:rFonts w:cs="Arial"/>
                <w:sz w:val="18"/>
              </w:rPr>
              <w:t>45</w:t>
            </w:r>
          </w:p>
        </w:tc>
        <w:tc>
          <w:tcPr>
            <w:tcW w:w="579" w:type="pct"/>
            <w:tcBorders>
              <w:top w:val="nil"/>
              <w:bottom w:val="single" w:sz="2" w:space="0" w:color="BFBFBF" w:themeColor="background1" w:themeShade="BF"/>
            </w:tcBorders>
            <w:shd w:val="clear" w:color="auto" w:fill="auto"/>
            <w:vAlign w:val="center"/>
          </w:tcPr>
          <w:p w14:paraId="477D0AE0" w14:textId="77777777" w:rsidR="00DC79ED" w:rsidRPr="004055CD" w:rsidRDefault="004055CD" w:rsidP="0051403C">
            <w:pPr>
              <w:pStyle w:val="Tabletext8"/>
              <w:tabs>
                <w:tab w:val="decimal" w:pos="153"/>
              </w:tabs>
              <w:spacing w:before="40" w:after="40"/>
              <w:jc w:val="center"/>
              <w:rPr>
                <w:rFonts w:cs="Arial"/>
                <w:sz w:val="18"/>
              </w:rPr>
            </w:pPr>
            <w:r>
              <w:rPr>
                <w:rFonts w:cs="Arial"/>
                <w:sz w:val="18"/>
              </w:rPr>
              <w:t>0.25</w:t>
            </w:r>
          </w:p>
        </w:tc>
        <w:tc>
          <w:tcPr>
            <w:tcW w:w="663" w:type="pct"/>
            <w:tcBorders>
              <w:top w:val="nil"/>
              <w:bottom w:val="single" w:sz="2" w:space="0" w:color="BFBFBF" w:themeColor="background1" w:themeShade="BF"/>
            </w:tcBorders>
            <w:shd w:val="clear" w:color="auto" w:fill="auto"/>
            <w:vAlign w:val="center"/>
          </w:tcPr>
          <w:p w14:paraId="23170367" w14:textId="77777777" w:rsidR="00DC79ED" w:rsidRPr="004055CD" w:rsidRDefault="004055CD" w:rsidP="0051403C">
            <w:pPr>
              <w:pStyle w:val="Tabletext8"/>
              <w:tabs>
                <w:tab w:val="decimal" w:pos="153"/>
              </w:tabs>
              <w:spacing w:before="40" w:after="40"/>
              <w:jc w:val="center"/>
              <w:rPr>
                <w:rFonts w:cs="Arial"/>
                <w:sz w:val="18"/>
              </w:rPr>
            </w:pPr>
            <w:r>
              <w:rPr>
                <w:rFonts w:cs="Arial"/>
                <w:sz w:val="18"/>
              </w:rPr>
              <w:t>12</w:t>
            </w:r>
          </w:p>
        </w:tc>
      </w:tr>
      <w:tr w:rsidR="00615773" w:rsidRPr="008851A7" w14:paraId="3C45E480" w14:textId="77777777" w:rsidTr="00E20DBE">
        <w:trPr>
          <w:trHeight w:val="315"/>
        </w:trPr>
        <w:tc>
          <w:tcPr>
            <w:tcW w:w="1880" w:type="pct"/>
            <w:tcBorders>
              <w:top w:val="single" w:sz="2" w:space="0" w:color="BFBFBF" w:themeColor="background1" w:themeShade="BF"/>
              <w:bottom w:val="single" w:sz="4" w:space="0" w:color="auto"/>
            </w:tcBorders>
            <w:shd w:val="clear" w:color="auto" w:fill="auto"/>
            <w:vAlign w:val="center"/>
            <w:hideMark/>
          </w:tcPr>
          <w:p w14:paraId="68B05861" w14:textId="77777777" w:rsidR="0051403C" w:rsidRPr="004055CD" w:rsidRDefault="0051403C" w:rsidP="0051403C">
            <w:pPr>
              <w:pStyle w:val="Tabletext8"/>
              <w:spacing w:before="40" w:after="40"/>
              <w:rPr>
                <w:bCs/>
                <w:sz w:val="18"/>
              </w:rPr>
            </w:pPr>
            <w:r w:rsidRPr="004055CD">
              <w:rPr>
                <w:sz w:val="18"/>
              </w:rPr>
              <w:t>Total</w:t>
            </w:r>
          </w:p>
        </w:tc>
        <w:tc>
          <w:tcPr>
            <w:tcW w:w="666" w:type="pct"/>
            <w:tcBorders>
              <w:top w:val="single" w:sz="2" w:space="0" w:color="BFBFBF" w:themeColor="background1" w:themeShade="BF"/>
              <w:bottom w:val="single" w:sz="4" w:space="0" w:color="auto"/>
            </w:tcBorders>
            <w:shd w:val="clear" w:color="auto" w:fill="auto"/>
            <w:vAlign w:val="center"/>
          </w:tcPr>
          <w:p w14:paraId="503B6B1C" w14:textId="77777777" w:rsidR="0051403C" w:rsidRPr="004055CD" w:rsidRDefault="0051403C" w:rsidP="00350DE4">
            <w:pPr>
              <w:pStyle w:val="Tabletext8"/>
              <w:tabs>
                <w:tab w:val="decimal" w:pos="162"/>
              </w:tabs>
              <w:spacing w:before="40" w:after="40"/>
              <w:jc w:val="center"/>
              <w:rPr>
                <w:rFonts w:cs="Arial"/>
                <w:bCs/>
                <w:sz w:val="18"/>
              </w:rPr>
            </w:pPr>
            <w:r w:rsidRPr="004055CD">
              <w:rPr>
                <w:rFonts w:cs="Arial"/>
                <w:sz w:val="18"/>
              </w:rPr>
              <w:t>2</w:t>
            </w:r>
            <w:r w:rsidR="00350DE4">
              <w:rPr>
                <w:rFonts w:cs="Arial"/>
                <w:sz w:val="18"/>
              </w:rPr>
              <w:t>95</w:t>
            </w:r>
          </w:p>
        </w:tc>
        <w:tc>
          <w:tcPr>
            <w:tcW w:w="665" w:type="pct"/>
            <w:tcBorders>
              <w:top w:val="single" w:sz="2" w:space="0" w:color="BFBFBF" w:themeColor="background1" w:themeShade="BF"/>
              <w:bottom w:val="single" w:sz="4" w:space="0" w:color="auto"/>
            </w:tcBorders>
            <w:shd w:val="clear" w:color="auto" w:fill="auto"/>
            <w:vAlign w:val="center"/>
          </w:tcPr>
          <w:p w14:paraId="12890444" w14:textId="77777777" w:rsidR="0051403C" w:rsidRPr="004055CD" w:rsidRDefault="0051403C" w:rsidP="0051403C">
            <w:pPr>
              <w:pStyle w:val="Tabletext8"/>
              <w:tabs>
                <w:tab w:val="decimal" w:pos="153"/>
              </w:tabs>
              <w:spacing w:before="40" w:after="40"/>
              <w:jc w:val="center"/>
              <w:rPr>
                <w:rFonts w:cs="Arial"/>
                <w:bCs/>
                <w:sz w:val="18"/>
              </w:rPr>
            </w:pPr>
          </w:p>
        </w:tc>
        <w:tc>
          <w:tcPr>
            <w:tcW w:w="547" w:type="pct"/>
            <w:tcBorders>
              <w:top w:val="single" w:sz="2" w:space="0" w:color="BFBFBF" w:themeColor="background1" w:themeShade="BF"/>
              <w:bottom w:val="single" w:sz="4" w:space="0" w:color="auto"/>
            </w:tcBorders>
            <w:shd w:val="clear" w:color="auto" w:fill="auto"/>
            <w:vAlign w:val="center"/>
          </w:tcPr>
          <w:p w14:paraId="2D75582E" w14:textId="77777777" w:rsidR="0051403C" w:rsidRPr="004055CD" w:rsidRDefault="0051403C" w:rsidP="00350DE4">
            <w:pPr>
              <w:pStyle w:val="Tabletext8"/>
              <w:tabs>
                <w:tab w:val="decimal" w:pos="153"/>
              </w:tabs>
              <w:spacing w:before="40" w:after="40"/>
              <w:jc w:val="center"/>
              <w:rPr>
                <w:rFonts w:cs="Arial"/>
                <w:bCs/>
                <w:sz w:val="18"/>
              </w:rPr>
            </w:pPr>
            <w:r w:rsidRPr="004055CD">
              <w:rPr>
                <w:rFonts w:cs="Arial"/>
                <w:sz w:val="18"/>
              </w:rPr>
              <w:t>1,7</w:t>
            </w:r>
            <w:r w:rsidR="00350DE4">
              <w:rPr>
                <w:rFonts w:cs="Arial"/>
                <w:sz w:val="18"/>
              </w:rPr>
              <w:t>65</w:t>
            </w:r>
          </w:p>
        </w:tc>
        <w:tc>
          <w:tcPr>
            <w:tcW w:w="579" w:type="pct"/>
            <w:tcBorders>
              <w:top w:val="single" w:sz="2" w:space="0" w:color="BFBFBF" w:themeColor="background1" w:themeShade="BF"/>
              <w:bottom w:val="single" w:sz="4" w:space="0" w:color="auto"/>
            </w:tcBorders>
            <w:shd w:val="clear" w:color="auto" w:fill="auto"/>
            <w:vAlign w:val="center"/>
          </w:tcPr>
          <w:p w14:paraId="09C4AE63" w14:textId="77777777" w:rsidR="0051403C" w:rsidRPr="004055CD" w:rsidRDefault="0051403C" w:rsidP="0051403C">
            <w:pPr>
              <w:pStyle w:val="Tabletext8"/>
              <w:tabs>
                <w:tab w:val="decimal" w:pos="153"/>
              </w:tabs>
              <w:spacing w:before="40" w:after="40"/>
              <w:jc w:val="center"/>
              <w:rPr>
                <w:rFonts w:cs="Arial"/>
                <w:bCs/>
                <w:sz w:val="18"/>
              </w:rPr>
            </w:pPr>
          </w:p>
        </w:tc>
        <w:tc>
          <w:tcPr>
            <w:tcW w:w="663" w:type="pct"/>
            <w:tcBorders>
              <w:top w:val="single" w:sz="2" w:space="0" w:color="BFBFBF" w:themeColor="background1" w:themeShade="BF"/>
              <w:bottom w:val="single" w:sz="4" w:space="0" w:color="auto"/>
            </w:tcBorders>
            <w:shd w:val="clear" w:color="auto" w:fill="auto"/>
            <w:vAlign w:val="center"/>
          </w:tcPr>
          <w:p w14:paraId="5962BEFD" w14:textId="77777777" w:rsidR="0051403C" w:rsidRPr="004055CD" w:rsidRDefault="00B754C5" w:rsidP="0051403C">
            <w:pPr>
              <w:pStyle w:val="Tabletext8"/>
              <w:tabs>
                <w:tab w:val="decimal" w:pos="153"/>
              </w:tabs>
              <w:spacing w:before="40" w:after="40"/>
              <w:jc w:val="center"/>
              <w:rPr>
                <w:rFonts w:cs="Arial"/>
                <w:bCs/>
                <w:sz w:val="18"/>
              </w:rPr>
            </w:pPr>
            <w:r>
              <w:rPr>
                <w:rFonts w:cs="Arial"/>
                <w:sz w:val="18"/>
              </w:rPr>
              <w:t>292</w:t>
            </w:r>
          </w:p>
        </w:tc>
      </w:tr>
    </w:tbl>
    <w:p w14:paraId="605BCE40" w14:textId="77777777" w:rsidR="00E31D5C" w:rsidRPr="00E31D5C" w:rsidRDefault="00E31D5C" w:rsidP="00221F32">
      <w:pPr>
        <w:pStyle w:val="TableSignificanceCaption"/>
      </w:pPr>
      <w:r w:rsidRPr="00E31D5C">
        <w:rPr>
          <w:vertAlign w:val="superscript"/>
        </w:rPr>
        <w:t>a</w:t>
      </w:r>
      <w:r w:rsidR="00620503">
        <w:rPr>
          <w:vertAlign w:val="superscript"/>
        </w:rPr>
        <w:t xml:space="preserve"> </w:t>
      </w:r>
      <w:r>
        <w:t xml:space="preserve">We assume that we will conduct </w:t>
      </w:r>
      <w:r w:rsidR="004055CD">
        <w:t xml:space="preserve">a </w:t>
      </w:r>
      <w:r>
        <w:t xml:space="preserve">telephone screening with all 30 Type 1 providers, plus </w:t>
      </w:r>
      <w:r w:rsidR="004055CD">
        <w:t>half of the Type 2 providers. We have budgeted the cost of the screening</w:t>
      </w:r>
      <w:r w:rsidR="00F12018">
        <w:t>s</w:t>
      </w:r>
      <w:r w:rsidR="004055CD">
        <w:t xml:space="preserve"> using the hourly rate of </w:t>
      </w:r>
      <w:r w:rsidR="00E20DBE">
        <w:t>a</w:t>
      </w:r>
      <w:r w:rsidR="004055CD">
        <w:t xml:space="preserve"> program manager.</w:t>
      </w:r>
    </w:p>
    <w:p w14:paraId="3D045F97" w14:textId="4CE1B831" w:rsidR="00CB3B02" w:rsidRPr="008851A7" w:rsidRDefault="00CB3B02" w:rsidP="00256254">
      <w:pPr>
        <w:pStyle w:val="NormalSS"/>
        <w:rPr>
          <w:rFonts w:eastAsia="Calibri"/>
        </w:rPr>
      </w:pPr>
      <w:r w:rsidRPr="008851A7">
        <w:rPr>
          <w:rFonts w:eastAsia="Calibri"/>
        </w:rPr>
        <w:t xml:space="preserve">The calculations </w:t>
      </w:r>
      <w:r w:rsidR="00270635" w:rsidRPr="008851A7">
        <w:rPr>
          <w:rFonts w:eastAsia="Calibri"/>
        </w:rPr>
        <w:t xml:space="preserve">in Table </w:t>
      </w:r>
      <w:r w:rsidR="00DA1312" w:rsidRPr="008851A7">
        <w:rPr>
          <w:rFonts w:eastAsia="Calibri"/>
        </w:rPr>
        <w:t xml:space="preserve">12.2 </w:t>
      </w:r>
      <w:r w:rsidRPr="008851A7">
        <w:rPr>
          <w:rFonts w:eastAsia="Calibri"/>
        </w:rPr>
        <w:t>assume an hourly wage of $</w:t>
      </w:r>
      <w:r w:rsidR="0034790C">
        <w:rPr>
          <w:rFonts w:eastAsia="Calibri"/>
        </w:rPr>
        <w:t>54.68</w:t>
      </w:r>
      <w:r w:rsidRPr="008851A7">
        <w:rPr>
          <w:rFonts w:eastAsia="Calibri"/>
        </w:rPr>
        <w:t xml:space="preserve"> for </w:t>
      </w:r>
      <w:r w:rsidR="00270635" w:rsidRPr="008851A7">
        <w:rPr>
          <w:rFonts w:eastAsia="Calibri"/>
        </w:rPr>
        <w:t>m</w:t>
      </w:r>
      <w:r w:rsidRPr="008851A7">
        <w:rPr>
          <w:rFonts w:eastAsia="Calibri"/>
        </w:rPr>
        <w:t>edical and health services managers (used for the program manager interviews); $</w:t>
      </w:r>
      <w:r w:rsidR="0034790C">
        <w:rPr>
          <w:rFonts w:eastAsia="Calibri"/>
        </w:rPr>
        <w:t>30.12</w:t>
      </w:r>
      <w:r w:rsidRPr="008851A7">
        <w:rPr>
          <w:rFonts w:eastAsia="Calibri"/>
        </w:rPr>
        <w:t xml:space="preserve"> for social workers (used for the case manager or other frontline service provider interviews and for chart abstraction support); and $100 for physicians (used for the medical director or </w:t>
      </w:r>
      <w:r w:rsidR="0060622B">
        <w:rPr>
          <w:rFonts w:eastAsia="Calibri"/>
        </w:rPr>
        <w:t>medical provider</w:t>
      </w:r>
      <w:r w:rsidRPr="008851A7">
        <w:rPr>
          <w:rFonts w:eastAsia="Calibri"/>
        </w:rPr>
        <w:t xml:space="preserve"> interviews).</w:t>
      </w:r>
      <w:r w:rsidRPr="008851A7">
        <w:rPr>
          <w:rFonts w:eastAsia="Calibri"/>
          <w:vertAlign w:val="superscript"/>
        </w:rPr>
        <w:footnoteReference w:id="5"/>
      </w:r>
      <w:r w:rsidRPr="008851A7">
        <w:rPr>
          <w:rFonts w:eastAsia="Calibri"/>
          <w:vertAlign w:val="superscript"/>
        </w:rPr>
        <w:t>,</w:t>
      </w:r>
      <w:r w:rsidRPr="008851A7">
        <w:rPr>
          <w:rFonts w:eastAsia="Calibri"/>
          <w:vertAlign w:val="superscript"/>
        </w:rPr>
        <w:footnoteReference w:id="6"/>
      </w:r>
      <w:r w:rsidRPr="008851A7">
        <w:rPr>
          <w:rFonts w:eastAsia="Calibri"/>
          <w:vertAlign w:val="superscript"/>
        </w:rPr>
        <w:t>,</w:t>
      </w:r>
      <w:r w:rsidRPr="008851A7">
        <w:rPr>
          <w:rFonts w:eastAsia="Calibri"/>
          <w:vertAlign w:val="superscript"/>
        </w:rPr>
        <w:footnoteReference w:id="7"/>
      </w:r>
      <w:r w:rsidR="00747820" w:rsidRPr="008851A7">
        <w:rPr>
          <w:rFonts w:eastAsia="Calibri"/>
        </w:rPr>
        <w:t xml:space="preserve"> </w:t>
      </w:r>
      <w:r w:rsidR="00E771E1">
        <w:rPr>
          <w:rFonts w:eastAsia="Calibri"/>
        </w:rPr>
        <w:t>Hourly wages for these professional staff have been doubled to account for fringe benefits and employer overhead.  In addition, t</w:t>
      </w:r>
      <w:r w:rsidRPr="008851A7">
        <w:rPr>
          <w:rFonts w:eastAsia="Calibri"/>
        </w:rPr>
        <w:t xml:space="preserve">he project team assumes </w:t>
      </w:r>
      <w:r w:rsidR="006D3CCE">
        <w:rPr>
          <w:rFonts w:eastAsia="Calibri"/>
        </w:rPr>
        <w:t xml:space="preserve">an </w:t>
      </w:r>
      <w:r w:rsidRPr="008851A7">
        <w:rPr>
          <w:rFonts w:eastAsia="Calibri"/>
        </w:rPr>
        <w:t xml:space="preserve">hourly wage </w:t>
      </w:r>
      <w:r w:rsidR="006D3CCE">
        <w:rPr>
          <w:rFonts w:eastAsia="Calibri"/>
        </w:rPr>
        <w:t xml:space="preserve">of $24.98 </w:t>
      </w:r>
      <w:r w:rsidRPr="008851A7">
        <w:rPr>
          <w:rFonts w:eastAsia="Calibri"/>
        </w:rPr>
        <w:t>for clients</w:t>
      </w:r>
      <w:r w:rsidR="006D3CCE">
        <w:rPr>
          <w:rFonts w:eastAsia="Calibri"/>
        </w:rPr>
        <w:t>, using ‘all occupation’ data available from the Bureau of Labor Statistics.</w:t>
      </w:r>
      <w:r w:rsidR="006D3CCE">
        <w:rPr>
          <w:rStyle w:val="FootnoteReference"/>
          <w:rFonts w:eastAsia="Calibri"/>
        </w:rPr>
        <w:footnoteReference w:id="8"/>
      </w:r>
      <w:r w:rsidRPr="008851A7">
        <w:rPr>
          <w:rFonts w:eastAsia="Calibri"/>
        </w:rPr>
        <w:t xml:space="preserve"> </w:t>
      </w:r>
      <w:r w:rsidR="005D5A97" w:rsidRPr="008851A7">
        <w:rPr>
          <w:rFonts w:eastAsia="Calibri"/>
        </w:rPr>
        <w:t>We will interview m</w:t>
      </w:r>
      <w:r w:rsidRPr="008851A7">
        <w:rPr>
          <w:rFonts w:eastAsia="Calibri"/>
        </w:rPr>
        <w:t xml:space="preserve">ost clients immediately </w:t>
      </w:r>
      <w:r w:rsidR="005D5A97" w:rsidRPr="008851A7">
        <w:rPr>
          <w:rFonts w:eastAsia="Calibri"/>
        </w:rPr>
        <w:t xml:space="preserve">after </w:t>
      </w:r>
      <w:r w:rsidRPr="008851A7">
        <w:rPr>
          <w:rFonts w:eastAsia="Calibri"/>
        </w:rPr>
        <w:t>a schedule</w:t>
      </w:r>
      <w:r w:rsidR="005D5A97" w:rsidRPr="008851A7">
        <w:rPr>
          <w:rFonts w:eastAsia="Calibri"/>
        </w:rPr>
        <w:t xml:space="preserve">d appointment, </w:t>
      </w:r>
      <w:r w:rsidR="006D3CCE">
        <w:rPr>
          <w:rFonts w:eastAsia="Calibri"/>
        </w:rPr>
        <w:t xml:space="preserve">minimizing </w:t>
      </w:r>
      <w:r w:rsidR="00E771E1">
        <w:rPr>
          <w:rFonts w:eastAsia="Calibri"/>
        </w:rPr>
        <w:t xml:space="preserve">competition with </w:t>
      </w:r>
      <w:r w:rsidR="005D5A97" w:rsidRPr="008851A7">
        <w:rPr>
          <w:rFonts w:eastAsia="Calibri"/>
        </w:rPr>
        <w:t>any other wage-earning opportunities</w:t>
      </w:r>
      <w:r w:rsidR="007C5D87" w:rsidRPr="008851A7">
        <w:rPr>
          <w:rFonts w:eastAsia="Calibri"/>
        </w:rPr>
        <w:t xml:space="preserve">. </w:t>
      </w:r>
    </w:p>
    <w:p w14:paraId="6BD404BC" w14:textId="47ECBA0C" w:rsidR="00E75977" w:rsidRPr="008851A7" w:rsidRDefault="00E75977" w:rsidP="00221F32">
      <w:pPr>
        <w:pStyle w:val="MarkforTableTitle"/>
        <w:rPr>
          <w:rFonts w:eastAsia="Calibri"/>
        </w:rPr>
      </w:pPr>
      <w:r w:rsidRPr="008851A7">
        <w:rPr>
          <w:rFonts w:eastAsia="Calibri"/>
        </w:rPr>
        <w:t>Table</w:t>
      </w:r>
      <w:r w:rsidR="00DA1312" w:rsidRPr="008851A7">
        <w:rPr>
          <w:rFonts w:eastAsia="Calibri"/>
        </w:rPr>
        <w:t xml:space="preserve"> 12.2</w:t>
      </w:r>
      <w:r w:rsidRPr="008851A7">
        <w:rPr>
          <w:rFonts w:eastAsia="Calibri"/>
        </w:rPr>
        <w:t xml:space="preserve">. </w:t>
      </w:r>
      <w:r w:rsidR="00214031" w:rsidRPr="008851A7">
        <w:rPr>
          <w:rFonts w:eastAsia="Calibri"/>
        </w:rPr>
        <w:t xml:space="preserve">Estimates of </w:t>
      </w:r>
      <w:r w:rsidR="00CB4C8B" w:rsidRPr="007902B0">
        <w:rPr>
          <w:rFonts w:eastAsia="Calibri"/>
        </w:rPr>
        <w:t>total</w:t>
      </w:r>
      <w:r w:rsidR="00CB4C8B">
        <w:rPr>
          <w:rFonts w:eastAsia="Calibri"/>
        </w:rPr>
        <w:t xml:space="preserve"> </w:t>
      </w:r>
      <w:r w:rsidR="00214031" w:rsidRPr="008851A7">
        <w:rPr>
          <w:rFonts w:eastAsia="Calibri"/>
        </w:rPr>
        <w:t>cost burden</w:t>
      </w:r>
    </w:p>
    <w:tbl>
      <w:tblPr>
        <w:tblW w:w="9180" w:type="dxa"/>
        <w:tblBorders>
          <w:top w:val="single" w:sz="4" w:space="0" w:color="auto"/>
          <w:bottom w:val="single" w:sz="4" w:space="0" w:color="auto"/>
          <w:insideH w:val="dotted" w:sz="4" w:space="0" w:color="auto"/>
        </w:tblBorders>
        <w:tblLayout w:type="fixed"/>
        <w:tblLook w:val="04A0" w:firstRow="1" w:lastRow="0" w:firstColumn="1" w:lastColumn="0" w:noHBand="0" w:noVBand="1"/>
      </w:tblPr>
      <w:tblGrid>
        <w:gridCol w:w="4230"/>
        <w:gridCol w:w="1530"/>
        <w:gridCol w:w="1440"/>
        <w:gridCol w:w="1980"/>
      </w:tblGrid>
      <w:tr w:rsidR="00CB3B02" w:rsidRPr="008851A7" w14:paraId="15751C01" w14:textId="77777777" w:rsidTr="00E771E1">
        <w:trPr>
          <w:trHeight w:val="548"/>
          <w:tblHeader/>
        </w:trPr>
        <w:tc>
          <w:tcPr>
            <w:tcW w:w="4230" w:type="dxa"/>
            <w:tcBorders>
              <w:top w:val="nil"/>
              <w:bottom w:val="nil"/>
              <w:right w:val="nil"/>
            </w:tcBorders>
            <w:shd w:val="clear" w:color="auto" w:fill="6C6F71"/>
            <w:vAlign w:val="bottom"/>
            <w:hideMark/>
          </w:tcPr>
          <w:p w14:paraId="3FC69B2E" w14:textId="77777777" w:rsidR="00CB3B02" w:rsidRPr="008851A7" w:rsidRDefault="00CB3B02" w:rsidP="00221F32">
            <w:pPr>
              <w:pStyle w:val="TableHeaderCenter"/>
              <w:keepNext/>
              <w:keepLines/>
            </w:pPr>
            <w:r w:rsidRPr="008851A7">
              <w:t>Data collection method</w:t>
            </w:r>
          </w:p>
        </w:tc>
        <w:tc>
          <w:tcPr>
            <w:tcW w:w="1530" w:type="dxa"/>
            <w:tcBorders>
              <w:top w:val="nil"/>
              <w:left w:val="nil"/>
              <w:bottom w:val="nil"/>
              <w:right w:val="nil"/>
            </w:tcBorders>
            <w:shd w:val="clear" w:color="auto" w:fill="6C6F71"/>
            <w:vAlign w:val="bottom"/>
            <w:hideMark/>
          </w:tcPr>
          <w:p w14:paraId="413C095B" w14:textId="77777777" w:rsidR="00CB3B02" w:rsidRPr="008851A7" w:rsidRDefault="00CB3B02" w:rsidP="00221F32">
            <w:pPr>
              <w:pStyle w:val="TableHeaderCenter"/>
              <w:keepNext/>
              <w:keepLines/>
            </w:pPr>
            <w:r w:rsidRPr="008851A7">
              <w:t>Total burden (hours)</w:t>
            </w:r>
          </w:p>
        </w:tc>
        <w:tc>
          <w:tcPr>
            <w:tcW w:w="1440" w:type="dxa"/>
            <w:tcBorders>
              <w:top w:val="nil"/>
              <w:left w:val="nil"/>
              <w:bottom w:val="nil"/>
              <w:right w:val="nil"/>
            </w:tcBorders>
            <w:shd w:val="clear" w:color="auto" w:fill="6C6F71"/>
            <w:vAlign w:val="bottom"/>
            <w:hideMark/>
          </w:tcPr>
          <w:p w14:paraId="373FB323" w14:textId="77777777" w:rsidR="00CB3B02" w:rsidRPr="008851A7" w:rsidRDefault="00CB3B02" w:rsidP="00221F32">
            <w:pPr>
              <w:pStyle w:val="TableHeaderCenter"/>
              <w:keepNext/>
              <w:keepLines/>
            </w:pPr>
            <w:r w:rsidRPr="008851A7">
              <w:t>Mean hourly wage</w:t>
            </w:r>
          </w:p>
        </w:tc>
        <w:tc>
          <w:tcPr>
            <w:tcW w:w="1980" w:type="dxa"/>
            <w:tcBorders>
              <w:top w:val="nil"/>
              <w:left w:val="nil"/>
              <w:bottom w:val="nil"/>
            </w:tcBorders>
            <w:shd w:val="clear" w:color="auto" w:fill="6C6F71"/>
            <w:vAlign w:val="bottom"/>
            <w:hideMark/>
          </w:tcPr>
          <w:p w14:paraId="21C81FB5" w14:textId="77777777" w:rsidR="00CB3B02" w:rsidRPr="008851A7" w:rsidRDefault="00CB3B02" w:rsidP="00221F32">
            <w:pPr>
              <w:pStyle w:val="TableHeaderCenter"/>
              <w:keepNext/>
              <w:keepLines/>
            </w:pPr>
            <w:r w:rsidRPr="008851A7">
              <w:t>Total respondent costs</w:t>
            </w:r>
          </w:p>
        </w:tc>
      </w:tr>
      <w:tr w:rsidR="00A54E39" w:rsidRPr="008851A7" w14:paraId="14F0FD6D" w14:textId="77777777" w:rsidTr="00E771E1">
        <w:trPr>
          <w:trHeight w:val="315"/>
        </w:trPr>
        <w:tc>
          <w:tcPr>
            <w:tcW w:w="4230" w:type="dxa"/>
            <w:tcBorders>
              <w:top w:val="nil"/>
              <w:bottom w:val="single" w:sz="2" w:space="0" w:color="BFBFBF" w:themeColor="background1" w:themeShade="BF"/>
            </w:tcBorders>
            <w:shd w:val="clear" w:color="auto" w:fill="auto"/>
            <w:vAlign w:val="center"/>
          </w:tcPr>
          <w:p w14:paraId="48BFFD26" w14:textId="77777777" w:rsidR="00A54E39" w:rsidRPr="008851A7" w:rsidRDefault="00A54E39" w:rsidP="00221F32">
            <w:pPr>
              <w:pStyle w:val="TableText"/>
              <w:keepNext/>
              <w:keepLines/>
              <w:spacing w:before="40" w:after="40"/>
            </w:pPr>
            <w:r>
              <w:t>Provider Interviews</w:t>
            </w:r>
          </w:p>
        </w:tc>
        <w:tc>
          <w:tcPr>
            <w:tcW w:w="1530" w:type="dxa"/>
            <w:tcBorders>
              <w:top w:val="nil"/>
              <w:bottom w:val="single" w:sz="2" w:space="0" w:color="BFBFBF" w:themeColor="background1" w:themeShade="BF"/>
            </w:tcBorders>
            <w:shd w:val="clear" w:color="auto" w:fill="auto"/>
            <w:vAlign w:val="center"/>
          </w:tcPr>
          <w:p w14:paraId="085F69C8" w14:textId="77777777" w:rsidR="00A54E39" w:rsidRDefault="00A54E39" w:rsidP="00221F32">
            <w:pPr>
              <w:pStyle w:val="TableText"/>
              <w:keepNext/>
              <w:keepLines/>
              <w:tabs>
                <w:tab w:val="decimal" w:pos="723"/>
              </w:tabs>
              <w:spacing w:before="40" w:after="40"/>
            </w:pPr>
          </w:p>
        </w:tc>
        <w:tc>
          <w:tcPr>
            <w:tcW w:w="1440" w:type="dxa"/>
            <w:tcBorders>
              <w:top w:val="nil"/>
              <w:bottom w:val="single" w:sz="2" w:space="0" w:color="BFBFBF" w:themeColor="background1" w:themeShade="BF"/>
            </w:tcBorders>
            <w:shd w:val="clear" w:color="auto" w:fill="auto"/>
            <w:vAlign w:val="center"/>
          </w:tcPr>
          <w:p w14:paraId="4F69E25D" w14:textId="77777777" w:rsidR="00A54E39" w:rsidRPr="008851A7" w:rsidRDefault="00A54E39" w:rsidP="008851A7">
            <w:pPr>
              <w:pStyle w:val="TableText"/>
              <w:keepNext/>
              <w:keepLines/>
              <w:tabs>
                <w:tab w:val="decimal" w:pos="612"/>
              </w:tabs>
              <w:spacing w:before="40" w:after="40"/>
              <w:ind w:right="-18"/>
            </w:pPr>
          </w:p>
        </w:tc>
        <w:tc>
          <w:tcPr>
            <w:tcW w:w="1980" w:type="dxa"/>
            <w:tcBorders>
              <w:top w:val="nil"/>
              <w:bottom w:val="single" w:sz="2" w:space="0" w:color="BFBFBF" w:themeColor="background1" w:themeShade="BF"/>
            </w:tcBorders>
            <w:shd w:val="clear" w:color="auto" w:fill="auto"/>
            <w:vAlign w:val="center"/>
          </w:tcPr>
          <w:p w14:paraId="2C1DF948" w14:textId="77777777" w:rsidR="00A54E39" w:rsidRPr="008851A7" w:rsidRDefault="00A54E39" w:rsidP="00B754C5">
            <w:pPr>
              <w:pStyle w:val="TableText"/>
              <w:keepNext/>
              <w:keepLines/>
              <w:tabs>
                <w:tab w:val="decimal" w:pos="972"/>
              </w:tabs>
              <w:spacing w:before="40" w:after="40"/>
            </w:pPr>
          </w:p>
        </w:tc>
      </w:tr>
      <w:tr w:rsidR="00CB3B02" w:rsidRPr="008851A7" w14:paraId="66839966" w14:textId="77777777" w:rsidTr="00E771E1">
        <w:trPr>
          <w:trHeight w:val="315"/>
        </w:trPr>
        <w:tc>
          <w:tcPr>
            <w:tcW w:w="4230" w:type="dxa"/>
            <w:tcBorders>
              <w:top w:val="nil"/>
              <w:bottom w:val="single" w:sz="2" w:space="0" w:color="BFBFBF" w:themeColor="background1" w:themeShade="BF"/>
            </w:tcBorders>
            <w:shd w:val="clear" w:color="auto" w:fill="auto"/>
            <w:vAlign w:val="center"/>
            <w:hideMark/>
          </w:tcPr>
          <w:p w14:paraId="7C36EFE6" w14:textId="77777777" w:rsidR="00CB3B02" w:rsidRPr="008851A7" w:rsidRDefault="00CB3B02" w:rsidP="00A54E39">
            <w:pPr>
              <w:pStyle w:val="TableText"/>
              <w:keepNext/>
              <w:keepLines/>
              <w:spacing w:before="40" w:after="40"/>
              <w:ind w:left="432"/>
            </w:pPr>
            <w:r w:rsidRPr="008851A7">
              <w:t>Program manager</w:t>
            </w:r>
            <w:r w:rsidR="0060622B">
              <w:t xml:space="preserve"> / program leadership</w:t>
            </w:r>
            <w:r w:rsidRPr="008851A7">
              <w:t xml:space="preserve"> interview</w:t>
            </w:r>
            <w:r w:rsidR="00B754C5">
              <w:t xml:space="preserve"> and screening</w:t>
            </w:r>
          </w:p>
        </w:tc>
        <w:tc>
          <w:tcPr>
            <w:tcW w:w="1530" w:type="dxa"/>
            <w:tcBorders>
              <w:top w:val="nil"/>
              <w:bottom w:val="single" w:sz="2" w:space="0" w:color="BFBFBF" w:themeColor="background1" w:themeShade="BF"/>
            </w:tcBorders>
            <w:shd w:val="clear" w:color="auto" w:fill="auto"/>
            <w:vAlign w:val="center"/>
            <w:hideMark/>
          </w:tcPr>
          <w:p w14:paraId="629E3853" w14:textId="77777777" w:rsidR="00CB3B02" w:rsidRPr="008851A7" w:rsidRDefault="00B754C5" w:rsidP="00221F32">
            <w:pPr>
              <w:pStyle w:val="TableText"/>
              <w:keepNext/>
              <w:keepLines/>
              <w:tabs>
                <w:tab w:val="decimal" w:pos="723"/>
              </w:tabs>
              <w:spacing w:before="40" w:after="40"/>
            </w:pPr>
            <w:r>
              <w:t>42</w:t>
            </w:r>
          </w:p>
        </w:tc>
        <w:tc>
          <w:tcPr>
            <w:tcW w:w="1440" w:type="dxa"/>
            <w:tcBorders>
              <w:top w:val="nil"/>
              <w:bottom w:val="single" w:sz="2" w:space="0" w:color="BFBFBF" w:themeColor="background1" w:themeShade="BF"/>
            </w:tcBorders>
            <w:shd w:val="clear" w:color="auto" w:fill="auto"/>
            <w:vAlign w:val="center"/>
            <w:hideMark/>
          </w:tcPr>
          <w:p w14:paraId="6AE3A609" w14:textId="36019B02" w:rsidR="00CB3B02" w:rsidRPr="008851A7" w:rsidRDefault="00CB3B02" w:rsidP="00E771E1">
            <w:pPr>
              <w:pStyle w:val="TableText"/>
              <w:keepNext/>
              <w:keepLines/>
              <w:tabs>
                <w:tab w:val="decimal" w:pos="612"/>
              </w:tabs>
              <w:spacing w:before="40" w:after="40"/>
              <w:ind w:right="-18"/>
            </w:pPr>
            <w:r w:rsidRPr="008851A7">
              <w:t>$</w:t>
            </w:r>
            <w:r w:rsidR="00E771E1">
              <w:t>109.36</w:t>
            </w:r>
          </w:p>
        </w:tc>
        <w:tc>
          <w:tcPr>
            <w:tcW w:w="1980" w:type="dxa"/>
            <w:tcBorders>
              <w:top w:val="nil"/>
              <w:bottom w:val="single" w:sz="2" w:space="0" w:color="BFBFBF" w:themeColor="background1" w:themeShade="BF"/>
            </w:tcBorders>
            <w:shd w:val="clear" w:color="auto" w:fill="auto"/>
            <w:vAlign w:val="center"/>
            <w:hideMark/>
          </w:tcPr>
          <w:p w14:paraId="3A6597F6" w14:textId="1FEEDEE0" w:rsidR="00CB3B02" w:rsidRPr="008851A7" w:rsidRDefault="00E771E1" w:rsidP="00B754C5">
            <w:pPr>
              <w:pStyle w:val="TableText"/>
              <w:keepNext/>
              <w:keepLines/>
              <w:tabs>
                <w:tab w:val="decimal" w:pos="972"/>
              </w:tabs>
              <w:spacing w:before="40" w:after="40"/>
            </w:pPr>
            <w:r>
              <w:t>$4,593.12</w:t>
            </w:r>
          </w:p>
        </w:tc>
      </w:tr>
      <w:tr w:rsidR="00615773" w:rsidRPr="008851A7" w14:paraId="5FE85316" w14:textId="77777777" w:rsidTr="00E771E1">
        <w:trPr>
          <w:trHeight w:val="315"/>
        </w:trPr>
        <w:tc>
          <w:tcPr>
            <w:tcW w:w="4230" w:type="dxa"/>
            <w:tcBorders>
              <w:top w:val="nil"/>
              <w:bottom w:val="single" w:sz="2" w:space="0" w:color="BFBFBF" w:themeColor="background1" w:themeShade="BF"/>
            </w:tcBorders>
            <w:shd w:val="clear" w:color="auto" w:fill="auto"/>
            <w:vAlign w:val="center"/>
          </w:tcPr>
          <w:p w14:paraId="61A0C082" w14:textId="77777777" w:rsidR="00615773" w:rsidRPr="008851A7" w:rsidRDefault="00615773" w:rsidP="00A54E39">
            <w:pPr>
              <w:pStyle w:val="TableText"/>
              <w:keepNext/>
              <w:keepLines/>
              <w:spacing w:before="40" w:after="40"/>
              <w:ind w:left="432"/>
            </w:pPr>
            <w:r>
              <w:t>Case manager</w:t>
            </w:r>
            <w:r w:rsidR="00B754C5">
              <w:t xml:space="preserve"> </w:t>
            </w:r>
            <w:r w:rsidR="0060622B">
              <w:t xml:space="preserve">/ service delivery staff </w:t>
            </w:r>
            <w:r w:rsidR="00B754C5">
              <w:t>interview</w:t>
            </w:r>
          </w:p>
        </w:tc>
        <w:tc>
          <w:tcPr>
            <w:tcW w:w="1530" w:type="dxa"/>
            <w:tcBorders>
              <w:top w:val="nil"/>
              <w:bottom w:val="single" w:sz="2" w:space="0" w:color="BFBFBF" w:themeColor="background1" w:themeShade="BF"/>
            </w:tcBorders>
            <w:shd w:val="clear" w:color="auto" w:fill="auto"/>
            <w:vAlign w:val="center"/>
          </w:tcPr>
          <w:p w14:paraId="6F062EFD" w14:textId="77777777" w:rsidR="00615773" w:rsidRPr="008851A7" w:rsidRDefault="00615773" w:rsidP="00615773">
            <w:pPr>
              <w:pStyle w:val="TableText"/>
              <w:keepNext/>
              <w:keepLines/>
              <w:tabs>
                <w:tab w:val="decimal" w:pos="723"/>
              </w:tabs>
              <w:spacing w:before="40" w:after="40"/>
            </w:pPr>
            <w:r w:rsidRPr="008851A7">
              <w:t>30</w:t>
            </w:r>
          </w:p>
        </w:tc>
        <w:tc>
          <w:tcPr>
            <w:tcW w:w="1440" w:type="dxa"/>
            <w:tcBorders>
              <w:top w:val="nil"/>
              <w:bottom w:val="single" w:sz="2" w:space="0" w:color="BFBFBF" w:themeColor="background1" w:themeShade="BF"/>
            </w:tcBorders>
            <w:shd w:val="clear" w:color="auto" w:fill="auto"/>
            <w:vAlign w:val="center"/>
          </w:tcPr>
          <w:p w14:paraId="5B459219" w14:textId="2847F9ED" w:rsidR="00615773" w:rsidRPr="008851A7" w:rsidRDefault="00615773" w:rsidP="00E771E1">
            <w:pPr>
              <w:pStyle w:val="TableText"/>
              <w:keepNext/>
              <w:keepLines/>
              <w:tabs>
                <w:tab w:val="decimal" w:pos="612"/>
              </w:tabs>
              <w:spacing w:before="40" w:after="40"/>
              <w:ind w:right="-18"/>
            </w:pPr>
            <w:r w:rsidRPr="008851A7">
              <w:t>$</w:t>
            </w:r>
            <w:r w:rsidR="00E771E1">
              <w:t>60.24</w:t>
            </w:r>
          </w:p>
        </w:tc>
        <w:tc>
          <w:tcPr>
            <w:tcW w:w="1980" w:type="dxa"/>
            <w:tcBorders>
              <w:top w:val="nil"/>
              <w:bottom w:val="single" w:sz="2" w:space="0" w:color="BFBFBF" w:themeColor="background1" w:themeShade="BF"/>
            </w:tcBorders>
            <w:shd w:val="clear" w:color="auto" w:fill="auto"/>
            <w:vAlign w:val="center"/>
          </w:tcPr>
          <w:p w14:paraId="1702C265" w14:textId="7F6C49EE" w:rsidR="00615773" w:rsidRPr="008851A7" w:rsidRDefault="00E771E1" w:rsidP="00615773">
            <w:pPr>
              <w:pStyle w:val="TableText"/>
              <w:keepNext/>
              <w:keepLines/>
              <w:tabs>
                <w:tab w:val="decimal" w:pos="972"/>
              </w:tabs>
              <w:spacing w:before="40" w:after="40"/>
            </w:pPr>
            <w:r>
              <w:t>$1807.20</w:t>
            </w:r>
          </w:p>
        </w:tc>
      </w:tr>
      <w:tr w:rsidR="00615773" w:rsidRPr="008851A7" w14:paraId="321BF22A" w14:textId="77777777" w:rsidTr="00E771E1">
        <w:trPr>
          <w:trHeight w:val="315"/>
        </w:trPr>
        <w:tc>
          <w:tcPr>
            <w:tcW w:w="4230" w:type="dxa"/>
            <w:tcBorders>
              <w:top w:val="single" w:sz="2" w:space="0" w:color="BFBFBF" w:themeColor="background1" w:themeShade="BF"/>
              <w:bottom w:val="single" w:sz="2" w:space="0" w:color="BFBFBF" w:themeColor="background1" w:themeShade="BF"/>
            </w:tcBorders>
            <w:shd w:val="clear" w:color="auto" w:fill="auto"/>
            <w:vAlign w:val="center"/>
          </w:tcPr>
          <w:p w14:paraId="6EC86E3F" w14:textId="77777777" w:rsidR="00615773" w:rsidRPr="008851A7" w:rsidRDefault="00615773" w:rsidP="0060622B">
            <w:pPr>
              <w:pStyle w:val="TableText"/>
              <w:keepNext/>
              <w:keepLines/>
              <w:spacing w:before="40" w:after="40"/>
              <w:ind w:left="432"/>
            </w:pPr>
            <w:r w:rsidRPr="008851A7">
              <w:t>Medical director</w:t>
            </w:r>
            <w:r w:rsidR="0060622B">
              <w:t xml:space="preserve"> or medical provider</w:t>
            </w:r>
            <w:r w:rsidRPr="008851A7">
              <w:t xml:space="preserve"> interview</w:t>
            </w:r>
          </w:p>
        </w:tc>
        <w:tc>
          <w:tcPr>
            <w:tcW w:w="1530" w:type="dxa"/>
            <w:tcBorders>
              <w:top w:val="single" w:sz="2" w:space="0" w:color="BFBFBF" w:themeColor="background1" w:themeShade="BF"/>
              <w:bottom w:val="single" w:sz="2" w:space="0" w:color="BFBFBF" w:themeColor="background1" w:themeShade="BF"/>
            </w:tcBorders>
            <w:shd w:val="clear" w:color="auto" w:fill="auto"/>
            <w:vAlign w:val="center"/>
          </w:tcPr>
          <w:p w14:paraId="1A3A5F60" w14:textId="77777777" w:rsidR="00615773" w:rsidRPr="008851A7" w:rsidRDefault="00615773" w:rsidP="00615773">
            <w:pPr>
              <w:pStyle w:val="TableText"/>
              <w:keepNext/>
              <w:keepLines/>
              <w:tabs>
                <w:tab w:val="decimal" w:pos="723"/>
              </w:tabs>
              <w:spacing w:before="40" w:after="40"/>
            </w:pPr>
            <w:r w:rsidRPr="008851A7">
              <w:t>40</w:t>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4C699C59" w14:textId="6A553F9F" w:rsidR="00615773" w:rsidRPr="008851A7" w:rsidRDefault="00E771E1" w:rsidP="00443827">
            <w:pPr>
              <w:pStyle w:val="TableText"/>
              <w:keepNext/>
              <w:keepLines/>
              <w:tabs>
                <w:tab w:val="decimal" w:pos="612"/>
              </w:tabs>
              <w:spacing w:before="40" w:after="40"/>
              <w:ind w:right="-18"/>
            </w:pPr>
            <w:r>
              <w:t>$200</w:t>
            </w:r>
            <w:r w:rsidR="00443827">
              <w:t>.00</w:t>
            </w:r>
          </w:p>
        </w:tc>
        <w:tc>
          <w:tcPr>
            <w:tcW w:w="1980" w:type="dxa"/>
            <w:tcBorders>
              <w:top w:val="single" w:sz="2" w:space="0" w:color="BFBFBF" w:themeColor="background1" w:themeShade="BF"/>
              <w:bottom w:val="single" w:sz="2" w:space="0" w:color="BFBFBF" w:themeColor="background1" w:themeShade="BF"/>
            </w:tcBorders>
            <w:shd w:val="clear" w:color="auto" w:fill="auto"/>
            <w:vAlign w:val="center"/>
          </w:tcPr>
          <w:p w14:paraId="0A9FDE33" w14:textId="38E34544" w:rsidR="00615773" w:rsidRPr="008851A7" w:rsidRDefault="00E771E1" w:rsidP="00443827">
            <w:pPr>
              <w:pStyle w:val="TableText"/>
              <w:keepNext/>
              <w:keepLines/>
              <w:tabs>
                <w:tab w:val="decimal" w:pos="972"/>
              </w:tabs>
              <w:spacing w:before="40" w:after="40"/>
            </w:pPr>
            <w:r>
              <w:t>$8,000</w:t>
            </w:r>
            <w:r w:rsidR="00443827">
              <w:t>.00</w:t>
            </w:r>
          </w:p>
        </w:tc>
      </w:tr>
      <w:tr w:rsidR="00615773" w:rsidRPr="008851A7" w14:paraId="74A5F69A" w14:textId="77777777" w:rsidTr="00E771E1">
        <w:trPr>
          <w:trHeight w:val="315"/>
        </w:trPr>
        <w:tc>
          <w:tcPr>
            <w:tcW w:w="4230" w:type="dxa"/>
            <w:tcBorders>
              <w:top w:val="single" w:sz="2" w:space="0" w:color="BFBFBF" w:themeColor="background1" w:themeShade="BF"/>
              <w:bottom w:val="single" w:sz="2" w:space="0" w:color="BFBFBF" w:themeColor="background1" w:themeShade="BF"/>
            </w:tcBorders>
            <w:shd w:val="clear" w:color="auto" w:fill="auto"/>
            <w:vAlign w:val="center"/>
            <w:hideMark/>
          </w:tcPr>
          <w:p w14:paraId="75261277" w14:textId="77777777" w:rsidR="00615773" w:rsidRPr="008851A7" w:rsidRDefault="00615773" w:rsidP="00615773">
            <w:pPr>
              <w:pStyle w:val="TableText"/>
              <w:keepNext/>
              <w:keepLines/>
              <w:spacing w:before="40" w:after="40"/>
            </w:pPr>
            <w:r w:rsidRPr="008851A7">
              <w:t>Client interview</w:t>
            </w:r>
          </w:p>
        </w:tc>
        <w:tc>
          <w:tcPr>
            <w:tcW w:w="1530" w:type="dxa"/>
            <w:tcBorders>
              <w:top w:val="single" w:sz="2" w:space="0" w:color="BFBFBF" w:themeColor="background1" w:themeShade="BF"/>
              <w:bottom w:val="single" w:sz="2" w:space="0" w:color="BFBFBF" w:themeColor="background1" w:themeShade="BF"/>
            </w:tcBorders>
            <w:shd w:val="clear" w:color="auto" w:fill="auto"/>
            <w:vAlign w:val="center"/>
            <w:hideMark/>
          </w:tcPr>
          <w:p w14:paraId="509F5DEF" w14:textId="77777777" w:rsidR="00615773" w:rsidRPr="008851A7" w:rsidRDefault="00615773" w:rsidP="00615773">
            <w:pPr>
              <w:pStyle w:val="TableText"/>
              <w:keepNext/>
              <w:keepLines/>
              <w:tabs>
                <w:tab w:val="decimal" w:pos="723"/>
              </w:tabs>
              <w:spacing w:before="40" w:after="40"/>
            </w:pPr>
            <w:r w:rsidRPr="008851A7">
              <w:t>60</w:t>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hideMark/>
          </w:tcPr>
          <w:p w14:paraId="0CE379A9" w14:textId="78CD7803" w:rsidR="00615773" w:rsidRPr="008851A7" w:rsidRDefault="00615773" w:rsidP="006D3CCE">
            <w:pPr>
              <w:pStyle w:val="TableText"/>
              <w:keepNext/>
              <w:keepLines/>
              <w:tabs>
                <w:tab w:val="decimal" w:pos="612"/>
              </w:tabs>
              <w:spacing w:before="40" w:after="40"/>
              <w:ind w:right="-18"/>
            </w:pPr>
            <w:r w:rsidRPr="008851A7">
              <w:t>$</w:t>
            </w:r>
            <w:r w:rsidR="006D3CCE">
              <w:t>24.98</w:t>
            </w:r>
          </w:p>
        </w:tc>
        <w:tc>
          <w:tcPr>
            <w:tcW w:w="1980" w:type="dxa"/>
            <w:tcBorders>
              <w:top w:val="single" w:sz="2" w:space="0" w:color="BFBFBF" w:themeColor="background1" w:themeShade="BF"/>
              <w:bottom w:val="single" w:sz="2" w:space="0" w:color="BFBFBF" w:themeColor="background1" w:themeShade="BF"/>
            </w:tcBorders>
            <w:shd w:val="clear" w:color="auto" w:fill="auto"/>
            <w:vAlign w:val="center"/>
            <w:hideMark/>
          </w:tcPr>
          <w:p w14:paraId="0DBF0816" w14:textId="042C1232" w:rsidR="00615773" w:rsidRPr="008851A7" w:rsidRDefault="00E771E1" w:rsidP="00615773">
            <w:pPr>
              <w:pStyle w:val="TableText"/>
              <w:keepNext/>
              <w:keepLines/>
              <w:tabs>
                <w:tab w:val="decimal" w:pos="972"/>
              </w:tabs>
              <w:spacing w:before="40" w:after="40"/>
            </w:pPr>
            <w:r>
              <w:t>$1498.80</w:t>
            </w:r>
          </w:p>
        </w:tc>
      </w:tr>
      <w:tr w:rsidR="00615773" w:rsidRPr="008851A7" w14:paraId="1D35E9F1" w14:textId="77777777" w:rsidTr="00E771E1">
        <w:trPr>
          <w:trHeight w:val="315"/>
        </w:trPr>
        <w:tc>
          <w:tcPr>
            <w:tcW w:w="4230" w:type="dxa"/>
            <w:tcBorders>
              <w:top w:val="single" w:sz="2" w:space="0" w:color="BFBFBF" w:themeColor="background1" w:themeShade="BF"/>
              <w:bottom w:val="single" w:sz="2" w:space="0" w:color="BFBFBF" w:themeColor="background1" w:themeShade="BF"/>
            </w:tcBorders>
            <w:shd w:val="clear" w:color="auto" w:fill="auto"/>
            <w:vAlign w:val="center"/>
            <w:hideMark/>
          </w:tcPr>
          <w:p w14:paraId="1DF25E25" w14:textId="77777777" w:rsidR="00615773" w:rsidRPr="008851A7" w:rsidRDefault="00854373" w:rsidP="00615773">
            <w:pPr>
              <w:pStyle w:val="TableText"/>
              <w:keepNext/>
              <w:keepLines/>
              <w:spacing w:before="40" w:after="40"/>
            </w:pPr>
            <w:r>
              <w:t>Medical record</w:t>
            </w:r>
            <w:r w:rsidRPr="008851A7">
              <w:t xml:space="preserve"> </w:t>
            </w:r>
            <w:r w:rsidR="00615773" w:rsidRPr="008851A7">
              <w:t>abstraction</w:t>
            </w:r>
          </w:p>
        </w:tc>
        <w:tc>
          <w:tcPr>
            <w:tcW w:w="1530" w:type="dxa"/>
            <w:tcBorders>
              <w:top w:val="single" w:sz="2" w:space="0" w:color="BFBFBF" w:themeColor="background1" w:themeShade="BF"/>
              <w:bottom w:val="single" w:sz="2" w:space="0" w:color="BFBFBF" w:themeColor="background1" w:themeShade="BF"/>
            </w:tcBorders>
            <w:shd w:val="clear" w:color="auto" w:fill="auto"/>
            <w:vAlign w:val="center"/>
            <w:hideMark/>
          </w:tcPr>
          <w:p w14:paraId="76127001" w14:textId="77777777" w:rsidR="00615773" w:rsidRPr="008851A7" w:rsidRDefault="00615773" w:rsidP="00615773">
            <w:pPr>
              <w:pStyle w:val="TableText"/>
              <w:keepNext/>
              <w:keepLines/>
              <w:tabs>
                <w:tab w:val="decimal" w:pos="723"/>
              </w:tabs>
              <w:spacing w:before="40" w:after="40"/>
            </w:pPr>
            <w:r w:rsidRPr="008851A7">
              <w:t>120</w:t>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hideMark/>
          </w:tcPr>
          <w:p w14:paraId="3C5FC9E7" w14:textId="77777777" w:rsidR="00615773" w:rsidRPr="008851A7" w:rsidRDefault="00615773" w:rsidP="00615773">
            <w:pPr>
              <w:pStyle w:val="TableText"/>
              <w:keepNext/>
              <w:keepLines/>
              <w:tabs>
                <w:tab w:val="decimal" w:pos="612"/>
              </w:tabs>
              <w:spacing w:before="40" w:after="40"/>
              <w:ind w:right="-18"/>
            </w:pPr>
            <w:r w:rsidRPr="008851A7">
              <w:t>$29.28</w:t>
            </w:r>
          </w:p>
        </w:tc>
        <w:tc>
          <w:tcPr>
            <w:tcW w:w="1980" w:type="dxa"/>
            <w:tcBorders>
              <w:top w:val="single" w:sz="2" w:space="0" w:color="BFBFBF" w:themeColor="background1" w:themeShade="BF"/>
              <w:bottom w:val="single" w:sz="2" w:space="0" w:color="BFBFBF" w:themeColor="background1" w:themeShade="BF"/>
            </w:tcBorders>
            <w:shd w:val="clear" w:color="auto" w:fill="auto"/>
            <w:vAlign w:val="center"/>
            <w:hideMark/>
          </w:tcPr>
          <w:p w14:paraId="41D1805B" w14:textId="77777777" w:rsidR="00615773" w:rsidRPr="008851A7" w:rsidRDefault="00615773" w:rsidP="00615773">
            <w:pPr>
              <w:pStyle w:val="TableText"/>
              <w:keepNext/>
              <w:keepLines/>
              <w:tabs>
                <w:tab w:val="decimal" w:pos="972"/>
              </w:tabs>
              <w:spacing w:before="40" w:after="40"/>
            </w:pPr>
            <w:r w:rsidRPr="008851A7">
              <w:t>$3,513.60</w:t>
            </w:r>
          </w:p>
        </w:tc>
      </w:tr>
      <w:tr w:rsidR="00615773" w:rsidRPr="008851A7" w14:paraId="4B53DE9B" w14:textId="77777777" w:rsidTr="00E771E1">
        <w:trPr>
          <w:trHeight w:val="315"/>
        </w:trPr>
        <w:tc>
          <w:tcPr>
            <w:tcW w:w="4230" w:type="dxa"/>
            <w:tcBorders>
              <w:top w:val="single" w:sz="2" w:space="0" w:color="BFBFBF" w:themeColor="background1" w:themeShade="BF"/>
              <w:bottom w:val="single" w:sz="4" w:space="0" w:color="auto"/>
            </w:tcBorders>
            <w:shd w:val="clear" w:color="auto" w:fill="auto"/>
            <w:vAlign w:val="center"/>
            <w:hideMark/>
          </w:tcPr>
          <w:p w14:paraId="385C95F2" w14:textId="77777777" w:rsidR="00615773" w:rsidRPr="008851A7" w:rsidRDefault="00615773" w:rsidP="00615773">
            <w:pPr>
              <w:pStyle w:val="TableText"/>
              <w:keepNext/>
              <w:keepLines/>
              <w:spacing w:before="40" w:after="40"/>
              <w:rPr>
                <w:bCs/>
              </w:rPr>
            </w:pPr>
            <w:r w:rsidRPr="008851A7">
              <w:rPr>
                <w:bCs/>
              </w:rPr>
              <w:t>Total</w:t>
            </w:r>
          </w:p>
        </w:tc>
        <w:tc>
          <w:tcPr>
            <w:tcW w:w="1530" w:type="dxa"/>
            <w:tcBorders>
              <w:top w:val="single" w:sz="2" w:space="0" w:color="BFBFBF" w:themeColor="background1" w:themeShade="BF"/>
              <w:bottom w:val="single" w:sz="4" w:space="0" w:color="auto"/>
            </w:tcBorders>
            <w:shd w:val="clear" w:color="auto" w:fill="auto"/>
            <w:vAlign w:val="center"/>
            <w:hideMark/>
          </w:tcPr>
          <w:p w14:paraId="52F1451F" w14:textId="77777777" w:rsidR="00615773" w:rsidRPr="008851A7" w:rsidRDefault="00615773" w:rsidP="00615773">
            <w:pPr>
              <w:pStyle w:val="TableText"/>
              <w:keepNext/>
              <w:keepLines/>
              <w:tabs>
                <w:tab w:val="decimal" w:pos="723"/>
              </w:tabs>
              <w:spacing w:before="40" w:after="40"/>
              <w:rPr>
                <w:bCs/>
              </w:rPr>
            </w:pPr>
            <w:r w:rsidRPr="008851A7">
              <w:t>250</w:t>
            </w:r>
          </w:p>
        </w:tc>
        <w:tc>
          <w:tcPr>
            <w:tcW w:w="1440" w:type="dxa"/>
            <w:tcBorders>
              <w:top w:val="single" w:sz="2" w:space="0" w:color="BFBFBF" w:themeColor="background1" w:themeShade="BF"/>
              <w:bottom w:val="single" w:sz="4" w:space="0" w:color="auto"/>
            </w:tcBorders>
            <w:shd w:val="clear" w:color="auto" w:fill="auto"/>
            <w:vAlign w:val="center"/>
            <w:hideMark/>
          </w:tcPr>
          <w:p w14:paraId="0CF598CC" w14:textId="77777777" w:rsidR="00615773" w:rsidRPr="008851A7" w:rsidRDefault="00615773" w:rsidP="00615773">
            <w:pPr>
              <w:pStyle w:val="TableText"/>
              <w:keepNext/>
              <w:keepLines/>
              <w:tabs>
                <w:tab w:val="decimal" w:pos="612"/>
              </w:tabs>
              <w:spacing w:before="40" w:after="40"/>
              <w:ind w:right="-18"/>
              <w:rPr>
                <w:bCs/>
              </w:rPr>
            </w:pPr>
          </w:p>
        </w:tc>
        <w:tc>
          <w:tcPr>
            <w:tcW w:w="1980" w:type="dxa"/>
            <w:tcBorders>
              <w:top w:val="single" w:sz="2" w:space="0" w:color="BFBFBF" w:themeColor="background1" w:themeShade="BF"/>
              <w:bottom w:val="single" w:sz="4" w:space="0" w:color="auto"/>
            </w:tcBorders>
            <w:shd w:val="clear" w:color="auto" w:fill="auto"/>
            <w:vAlign w:val="center"/>
            <w:hideMark/>
          </w:tcPr>
          <w:p w14:paraId="44F3781E" w14:textId="0036C1AA" w:rsidR="00615773" w:rsidRPr="008851A7" w:rsidRDefault="00615773" w:rsidP="00E771E1">
            <w:pPr>
              <w:pStyle w:val="TableText"/>
              <w:keepNext/>
              <w:keepLines/>
              <w:tabs>
                <w:tab w:val="decimal" w:pos="972"/>
              </w:tabs>
              <w:spacing w:before="40" w:after="40"/>
              <w:rPr>
                <w:bCs/>
              </w:rPr>
            </w:pPr>
            <w:r w:rsidRPr="008851A7">
              <w:rPr>
                <w:bCs/>
              </w:rPr>
              <w:t>$</w:t>
            </w:r>
            <w:r w:rsidR="00E771E1">
              <w:rPr>
                <w:bCs/>
              </w:rPr>
              <w:t>19,412.72</w:t>
            </w:r>
          </w:p>
        </w:tc>
      </w:tr>
    </w:tbl>
    <w:p w14:paraId="6B8FB3A0" w14:textId="77777777" w:rsidR="00A019E0" w:rsidRPr="008851A7" w:rsidRDefault="007A6D3B" w:rsidP="000175C5">
      <w:pPr>
        <w:pStyle w:val="H3Alpha"/>
      </w:pPr>
      <w:bookmarkStart w:id="24" w:name="_Toc265333"/>
      <w:r w:rsidRPr="008851A7">
        <w:t>A.</w:t>
      </w:r>
      <w:r w:rsidR="00A019E0" w:rsidRPr="008851A7">
        <w:t>13.</w:t>
      </w:r>
      <w:bookmarkEnd w:id="23"/>
      <w:r w:rsidR="00221F32" w:rsidRPr="008851A7">
        <w:tab/>
      </w:r>
      <w:r w:rsidR="00A019E0" w:rsidRPr="008851A7">
        <w:t xml:space="preserve">Estimates of other total annual cost burden to respondents or </w:t>
      </w:r>
      <w:r w:rsidR="0015068F" w:rsidRPr="008851A7">
        <w:t>record keepers</w:t>
      </w:r>
      <w:r w:rsidR="00A019E0" w:rsidRPr="008851A7">
        <w:t>/capital costs</w:t>
      </w:r>
      <w:bookmarkEnd w:id="24"/>
      <w:r w:rsidR="00A019E0" w:rsidRPr="008851A7">
        <w:t xml:space="preserve"> </w:t>
      </w:r>
    </w:p>
    <w:p w14:paraId="02EB00BB" w14:textId="77777777" w:rsidR="00972651" w:rsidRPr="008851A7" w:rsidRDefault="00972651" w:rsidP="00214031">
      <w:pPr>
        <w:pStyle w:val="NormalSS"/>
        <w:rPr>
          <w:highlight w:val="yellow"/>
        </w:rPr>
      </w:pPr>
      <w:r w:rsidRPr="008851A7">
        <w:t>This is a one-time data collection effort</w:t>
      </w:r>
      <w:r w:rsidR="0015068F" w:rsidRPr="008851A7">
        <w:t>. T</w:t>
      </w:r>
      <w:r w:rsidRPr="008851A7">
        <w:t xml:space="preserve">here are no capital or start-up costs </w:t>
      </w:r>
      <w:r w:rsidR="0015068F" w:rsidRPr="008851A7">
        <w:t>or</w:t>
      </w:r>
      <w:r w:rsidRPr="008851A7">
        <w:t xml:space="preserve"> costs to record keepers. There are no direct costs to respondents other than the time to participate in the study. </w:t>
      </w:r>
    </w:p>
    <w:p w14:paraId="0C87C64D" w14:textId="77777777" w:rsidR="00A019E0" w:rsidRPr="008851A7" w:rsidRDefault="007A6D3B" w:rsidP="000175C5">
      <w:pPr>
        <w:pStyle w:val="H3Alpha"/>
      </w:pPr>
      <w:bookmarkStart w:id="25" w:name="_Toc476059364"/>
      <w:bookmarkStart w:id="26" w:name="_Toc265334"/>
      <w:r w:rsidRPr="008851A7">
        <w:t>A.</w:t>
      </w:r>
      <w:r w:rsidR="00A019E0" w:rsidRPr="008851A7">
        <w:t>14.</w:t>
      </w:r>
      <w:r w:rsidR="00221F32" w:rsidRPr="008851A7">
        <w:tab/>
      </w:r>
      <w:r w:rsidR="00A019E0" w:rsidRPr="008851A7">
        <w:t>Annualized cost to federal government</w:t>
      </w:r>
      <w:bookmarkEnd w:id="25"/>
      <w:bookmarkEnd w:id="26"/>
      <w:r w:rsidR="00A019E0" w:rsidRPr="008851A7">
        <w:t xml:space="preserve"> </w:t>
      </w:r>
    </w:p>
    <w:p w14:paraId="253728EF" w14:textId="77777777" w:rsidR="005866BE" w:rsidRDefault="006A406C" w:rsidP="005866BE">
      <w:pPr>
        <w:pStyle w:val="NormalSS"/>
      </w:pPr>
      <w:r w:rsidRPr="008851A7">
        <w:t xml:space="preserve">The total cost of the study to the government is $1,170,962 ($38,290 in </w:t>
      </w:r>
      <w:r w:rsidR="00D842D7">
        <w:t>calendar [CY]</w:t>
      </w:r>
      <w:r w:rsidR="00986CDA">
        <w:t xml:space="preserve"> </w:t>
      </w:r>
      <w:r w:rsidRPr="008851A7">
        <w:t>2018; $435,728 in</w:t>
      </w:r>
      <w:r w:rsidR="00986CDA">
        <w:t xml:space="preserve"> </w:t>
      </w:r>
      <w:r w:rsidR="00D842D7">
        <w:t>CY</w:t>
      </w:r>
      <w:r w:rsidRPr="008851A7">
        <w:t xml:space="preserve">2019; and $696,944 in </w:t>
      </w:r>
      <w:r w:rsidR="00D842D7">
        <w:t>CY</w:t>
      </w:r>
      <w:r w:rsidRPr="008851A7">
        <w:t xml:space="preserve">2020). The total study cost was based on </w:t>
      </w:r>
      <w:r w:rsidR="005D5A97" w:rsidRPr="008851A7">
        <w:t>the project</w:t>
      </w:r>
      <w:r w:rsidRPr="008851A7">
        <w:t xml:space="preserve"> budget</w:t>
      </w:r>
      <w:r w:rsidR="005D5A97" w:rsidRPr="008851A7">
        <w:t xml:space="preserve">, which includes </w:t>
      </w:r>
      <w:r w:rsidRPr="008851A7">
        <w:t>wages and fringe benefits for all project staff</w:t>
      </w:r>
      <w:r w:rsidR="00747820" w:rsidRPr="008851A7">
        <w:t>;</w:t>
      </w:r>
      <w:r w:rsidRPr="008851A7">
        <w:t xml:space="preserve"> all interview costs</w:t>
      </w:r>
      <w:r w:rsidR="00747820" w:rsidRPr="008851A7">
        <w:t>,</w:t>
      </w:r>
      <w:r w:rsidRPr="008851A7">
        <w:t xml:space="preserve"> including respondent payments</w:t>
      </w:r>
      <w:r w:rsidR="00747820" w:rsidRPr="008851A7">
        <w:t>;</w:t>
      </w:r>
      <w:r w:rsidRPr="008851A7">
        <w:t xml:space="preserve"> travel, telephone</w:t>
      </w:r>
      <w:r w:rsidR="000B0784" w:rsidRPr="008851A7">
        <w:t>,</w:t>
      </w:r>
      <w:r w:rsidRPr="008851A7">
        <w:t xml:space="preserve"> computer charges, </w:t>
      </w:r>
      <w:r w:rsidR="000B0784" w:rsidRPr="008851A7">
        <w:t xml:space="preserve">and </w:t>
      </w:r>
      <w:r w:rsidRPr="008851A7">
        <w:t>other indirect overhead costs</w:t>
      </w:r>
      <w:r w:rsidR="000B0784" w:rsidRPr="008851A7">
        <w:t>;</w:t>
      </w:r>
      <w:r w:rsidRPr="008851A7">
        <w:t xml:space="preserve"> and contract fees per year. </w:t>
      </w:r>
      <w:r w:rsidR="005D5A97" w:rsidRPr="008851A7">
        <w:t>T</w:t>
      </w:r>
      <w:r w:rsidRPr="008851A7">
        <w:t xml:space="preserve">able </w:t>
      </w:r>
      <w:r w:rsidR="006E24EE" w:rsidRPr="008851A7">
        <w:t xml:space="preserve">14.1 </w:t>
      </w:r>
      <w:r w:rsidRPr="008851A7">
        <w:t>displays the project costs by year for both data collection activities and non-data collection activities.</w:t>
      </w:r>
    </w:p>
    <w:p w14:paraId="59EDE180" w14:textId="577100C3" w:rsidR="00016C4B" w:rsidRPr="008851A7" w:rsidRDefault="00016C4B" w:rsidP="005866BE">
      <w:pPr>
        <w:pStyle w:val="NormalSS"/>
        <w:ind w:firstLine="0"/>
        <w:rPr>
          <w:rFonts w:eastAsia="Calibri"/>
        </w:rPr>
      </w:pPr>
      <w:r w:rsidRPr="008851A7">
        <w:rPr>
          <w:rFonts w:eastAsia="Calibri"/>
        </w:rPr>
        <w:t xml:space="preserve">Table </w:t>
      </w:r>
      <w:r w:rsidR="006E24EE" w:rsidRPr="008851A7">
        <w:rPr>
          <w:rFonts w:eastAsia="Calibri"/>
        </w:rPr>
        <w:t>14.1</w:t>
      </w:r>
      <w:r w:rsidRPr="008851A7">
        <w:rPr>
          <w:rFonts w:eastAsia="Calibri"/>
        </w:rPr>
        <w:t xml:space="preserve">. </w:t>
      </w:r>
      <w:r w:rsidR="00E64BB7" w:rsidRPr="008851A7">
        <w:rPr>
          <w:rFonts w:eastAsia="Calibri"/>
        </w:rPr>
        <w:t>Annualized cost to federal government</w:t>
      </w:r>
    </w:p>
    <w:tbl>
      <w:tblPr>
        <w:tblW w:w="9720" w:type="dxa"/>
        <w:tblLayout w:type="fixed"/>
        <w:tblLook w:val="04A0" w:firstRow="1" w:lastRow="0" w:firstColumn="1" w:lastColumn="0" w:noHBand="0" w:noVBand="1"/>
      </w:tblPr>
      <w:tblGrid>
        <w:gridCol w:w="2160"/>
        <w:gridCol w:w="1890"/>
        <w:gridCol w:w="1890"/>
        <w:gridCol w:w="1890"/>
        <w:gridCol w:w="1890"/>
      </w:tblGrid>
      <w:tr w:rsidR="00336320" w:rsidRPr="008851A7" w14:paraId="2E1BDB12" w14:textId="77777777" w:rsidTr="008851A7">
        <w:trPr>
          <w:trHeight w:val="300"/>
        </w:trPr>
        <w:tc>
          <w:tcPr>
            <w:tcW w:w="2160" w:type="dxa"/>
            <w:shd w:val="clear" w:color="auto" w:fill="6C6F71"/>
            <w:noWrap/>
            <w:vAlign w:val="bottom"/>
            <w:hideMark/>
          </w:tcPr>
          <w:p w14:paraId="15F0E1D1" w14:textId="6B43F9C4" w:rsidR="00336320" w:rsidRPr="008851A7" w:rsidRDefault="00D842D7" w:rsidP="00D842D7">
            <w:pPr>
              <w:pStyle w:val="TableHeaderLeft"/>
            </w:pPr>
            <w:r>
              <w:t>Calendar y</w:t>
            </w:r>
            <w:r w:rsidR="00336320" w:rsidRPr="008851A7">
              <w:t>ear</w:t>
            </w:r>
          </w:p>
        </w:tc>
        <w:tc>
          <w:tcPr>
            <w:tcW w:w="1890" w:type="dxa"/>
            <w:shd w:val="clear" w:color="auto" w:fill="6C6F71"/>
          </w:tcPr>
          <w:p w14:paraId="5513BB22" w14:textId="77777777" w:rsidR="00336320" w:rsidRPr="008851A7" w:rsidRDefault="008E4E7E" w:rsidP="00221F32">
            <w:pPr>
              <w:pStyle w:val="TableHeaderCenter"/>
            </w:pPr>
            <w:r w:rsidRPr="008851A7">
              <w:t xml:space="preserve">Semistructured </w:t>
            </w:r>
            <w:r w:rsidR="00336320" w:rsidRPr="008851A7">
              <w:t>interview costs</w:t>
            </w:r>
          </w:p>
        </w:tc>
        <w:tc>
          <w:tcPr>
            <w:tcW w:w="1890" w:type="dxa"/>
            <w:shd w:val="clear" w:color="auto" w:fill="6C6F71"/>
            <w:noWrap/>
            <w:vAlign w:val="bottom"/>
            <w:hideMark/>
          </w:tcPr>
          <w:p w14:paraId="70FEE7A2" w14:textId="77777777" w:rsidR="00336320" w:rsidRPr="00854373" w:rsidRDefault="00854373" w:rsidP="00854373">
            <w:pPr>
              <w:pStyle w:val="TableHeaderCenter"/>
            </w:pPr>
            <w:r w:rsidRPr="00854373">
              <w:t xml:space="preserve">Medical record </w:t>
            </w:r>
            <w:r w:rsidR="00336320" w:rsidRPr="00854373">
              <w:t>abstraction costs</w:t>
            </w:r>
          </w:p>
        </w:tc>
        <w:tc>
          <w:tcPr>
            <w:tcW w:w="1890" w:type="dxa"/>
            <w:shd w:val="clear" w:color="auto" w:fill="6C6F71"/>
            <w:noWrap/>
            <w:vAlign w:val="bottom"/>
            <w:hideMark/>
          </w:tcPr>
          <w:p w14:paraId="7E091B59" w14:textId="77777777" w:rsidR="00336320" w:rsidRPr="008851A7" w:rsidRDefault="00336320" w:rsidP="00221F32">
            <w:pPr>
              <w:pStyle w:val="TableHeaderCenter"/>
            </w:pPr>
            <w:r w:rsidRPr="008851A7">
              <w:t>Non-data collection costs</w:t>
            </w:r>
          </w:p>
        </w:tc>
        <w:tc>
          <w:tcPr>
            <w:tcW w:w="1890" w:type="dxa"/>
            <w:shd w:val="clear" w:color="auto" w:fill="6C6F71"/>
            <w:noWrap/>
            <w:vAlign w:val="bottom"/>
            <w:hideMark/>
          </w:tcPr>
          <w:p w14:paraId="3E6B1BF2" w14:textId="77777777" w:rsidR="00336320" w:rsidRPr="008851A7" w:rsidRDefault="00336320" w:rsidP="00221F32">
            <w:pPr>
              <w:pStyle w:val="TableHeaderCenter"/>
            </w:pPr>
            <w:r w:rsidRPr="008851A7">
              <w:t>Total costs</w:t>
            </w:r>
          </w:p>
        </w:tc>
      </w:tr>
      <w:tr w:rsidR="00425E12" w:rsidRPr="008851A7" w14:paraId="355A22EC" w14:textId="77777777" w:rsidTr="008851A7">
        <w:trPr>
          <w:trHeight w:val="300"/>
        </w:trPr>
        <w:tc>
          <w:tcPr>
            <w:tcW w:w="2160" w:type="dxa"/>
            <w:tcBorders>
              <w:bottom w:val="single" w:sz="2" w:space="0" w:color="BFBFBF" w:themeColor="background1" w:themeShade="BF"/>
            </w:tcBorders>
            <w:shd w:val="clear" w:color="auto" w:fill="auto"/>
            <w:noWrap/>
            <w:vAlign w:val="center"/>
            <w:hideMark/>
          </w:tcPr>
          <w:p w14:paraId="7DB0184D" w14:textId="77777777" w:rsidR="00425E12" w:rsidRPr="008851A7" w:rsidRDefault="00425E12" w:rsidP="00221F32">
            <w:pPr>
              <w:pStyle w:val="TableText"/>
              <w:spacing w:before="40" w:after="40"/>
            </w:pPr>
            <w:r w:rsidRPr="008851A7">
              <w:t>2018</w:t>
            </w:r>
          </w:p>
        </w:tc>
        <w:tc>
          <w:tcPr>
            <w:tcW w:w="1890" w:type="dxa"/>
            <w:tcBorders>
              <w:bottom w:val="single" w:sz="2" w:space="0" w:color="BFBFBF" w:themeColor="background1" w:themeShade="BF"/>
            </w:tcBorders>
            <w:vAlign w:val="center"/>
          </w:tcPr>
          <w:p w14:paraId="67A14F36" w14:textId="77777777" w:rsidR="00425E12" w:rsidRPr="008851A7" w:rsidRDefault="00425E12" w:rsidP="008851A7">
            <w:pPr>
              <w:pStyle w:val="TableText"/>
              <w:tabs>
                <w:tab w:val="decimal" w:pos="702"/>
              </w:tabs>
              <w:spacing w:before="40" w:after="40"/>
              <w:jc w:val="center"/>
            </w:pPr>
            <w:r w:rsidRPr="008851A7">
              <w:t>$8,090</w:t>
            </w:r>
          </w:p>
        </w:tc>
        <w:tc>
          <w:tcPr>
            <w:tcW w:w="1890" w:type="dxa"/>
            <w:tcBorders>
              <w:bottom w:val="single" w:sz="2" w:space="0" w:color="BFBFBF" w:themeColor="background1" w:themeShade="BF"/>
            </w:tcBorders>
            <w:shd w:val="clear" w:color="auto" w:fill="auto"/>
            <w:noWrap/>
            <w:vAlign w:val="center"/>
          </w:tcPr>
          <w:p w14:paraId="3268B398" w14:textId="77777777" w:rsidR="00425E12" w:rsidRPr="008851A7" w:rsidRDefault="00425E12" w:rsidP="008851A7">
            <w:pPr>
              <w:pStyle w:val="TableText"/>
              <w:tabs>
                <w:tab w:val="decimal" w:pos="702"/>
              </w:tabs>
              <w:spacing w:before="40" w:after="40"/>
              <w:jc w:val="center"/>
            </w:pPr>
            <w:r w:rsidRPr="008851A7">
              <w:t>$8,090</w:t>
            </w:r>
          </w:p>
        </w:tc>
        <w:tc>
          <w:tcPr>
            <w:tcW w:w="1890" w:type="dxa"/>
            <w:tcBorders>
              <w:bottom w:val="single" w:sz="2" w:space="0" w:color="BFBFBF" w:themeColor="background1" w:themeShade="BF"/>
            </w:tcBorders>
            <w:shd w:val="clear" w:color="auto" w:fill="auto"/>
            <w:noWrap/>
            <w:vAlign w:val="center"/>
            <w:hideMark/>
          </w:tcPr>
          <w:p w14:paraId="75BE940D" w14:textId="77777777" w:rsidR="00425E12" w:rsidRPr="008851A7" w:rsidRDefault="00425E12" w:rsidP="008851A7">
            <w:pPr>
              <w:pStyle w:val="TableText"/>
              <w:tabs>
                <w:tab w:val="decimal" w:pos="702"/>
              </w:tabs>
              <w:spacing w:before="40" w:after="40"/>
              <w:jc w:val="center"/>
            </w:pPr>
            <w:r w:rsidRPr="008851A7">
              <w:t>$22,110</w:t>
            </w:r>
          </w:p>
        </w:tc>
        <w:tc>
          <w:tcPr>
            <w:tcW w:w="1890" w:type="dxa"/>
            <w:tcBorders>
              <w:bottom w:val="single" w:sz="2" w:space="0" w:color="BFBFBF" w:themeColor="background1" w:themeShade="BF"/>
            </w:tcBorders>
            <w:shd w:val="clear" w:color="auto" w:fill="auto"/>
            <w:noWrap/>
            <w:vAlign w:val="center"/>
            <w:hideMark/>
          </w:tcPr>
          <w:p w14:paraId="2B429BA7" w14:textId="77777777" w:rsidR="00425E12" w:rsidRPr="008851A7" w:rsidRDefault="00425E12" w:rsidP="008851A7">
            <w:pPr>
              <w:pStyle w:val="TableText"/>
              <w:tabs>
                <w:tab w:val="decimal" w:pos="702"/>
              </w:tabs>
              <w:spacing w:before="40" w:after="40"/>
              <w:jc w:val="center"/>
            </w:pPr>
            <w:r w:rsidRPr="008851A7">
              <w:t>$38,290</w:t>
            </w:r>
          </w:p>
        </w:tc>
      </w:tr>
      <w:tr w:rsidR="00425E12" w:rsidRPr="008851A7" w14:paraId="292A11F0" w14:textId="77777777" w:rsidTr="008851A7">
        <w:trPr>
          <w:trHeight w:val="300"/>
        </w:trPr>
        <w:tc>
          <w:tcPr>
            <w:tcW w:w="2160" w:type="dxa"/>
            <w:tcBorders>
              <w:top w:val="single" w:sz="2" w:space="0" w:color="BFBFBF" w:themeColor="background1" w:themeShade="BF"/>
              <w:bottom w:val="single" w:sz="2" w:space="0" w:color="BFBFBF" w:themeColor="background1" w:themeShade="BF"/>
            </w:tcBorders>
            <w:shd w:val="clear" w:color="auto" w:fill="auto"/>
            <w:noWrap/>
            <w:vAlign w:val="center"/>
            <w:hideMark/>
          </w:tcPr>
          <w:p w14:paraId="5DFA75A0" w14:textId="77777777" w:rsidR="00425E12" w:rsidRPr="008851A7" w:rsidRDefault="00425E12" w:rsidP="00221F32">
            <w:pPr>
              <w:pStyle w:val="TableText"/>
              <w:spacing w:before="40" w:after="40"/>
            </w:pPr>
            <w:r w:rsidRPr="008851A7">
              <w:t>2019</w:t>
            </w:r>
          </w:p>
        </w:tc>
        <w:tc>
          <w:tcPr>
            <w:tcW w:w="1890" w:type="dxa"/>
            <w:tcBorders>
              <w:top w:val="single" w:sz="2" w:space="0" w:color="BFBFBF" w:themeColor="background1" w:themeShade="BF"/>
              <w:bottom w:val="single" w:sz="2" w:space="0" w:color="BFBFBF" w:themeColor="background1" w:themeShade="BF"/>
            </w:tcBorders>
            <w:vAlign w:val="center"/>
          </w:tcPr>
          <w:p w14:paraId="6C7F564F" w14:textId="77777777" w:rsidR="00425E12" w:rsidRPr="008851A7" w:rsidRDefault="00425E12" w:rsidP="008851A7">
            <w:pPr>
              <w:pStyle w:val="TableText"/>
              <w:tabs>
                <w:tab w:val="decimal" w:pos="702"/>
              </w:tabs>
              <w:spacing w:before="40" w:after="40"/>
              <w:jc w:val="center"/>
            </w:pPr>
            <w:r w:rsidRPr="008851A7">
              <w:t>$166,334</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14:paraId="6C1F1712" w14:textId="77777777" w:rsidR="00425E12" w:rsidRPr="008851A7" w:rsidRDefault="00425E12" w:rsidP="008851A7">
            <w:pPr>
              <w:pStyle w:val="TableText"/>
              <w:tabs>
                <w:tab w:val="decimal" w:pos="702"/>
              </w:tabs>
              <w:spacing w:before="40" w:after="40"/>
              <w:jc w:val="center"/>
            </w:pPr>
            <w:r w:rsidRPr="008851A7">
              <w:t>$210,872</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14:paraId="7FC50FD6" w14:textId="77777777" w:rsidR="00425E12" w:rsidRPr="008851A7" w:rsidRDefault="00425E12" w:rsidP="008851A7">
            <w:pPr>
              <w:pStyle w:val="TableText"/>
              <w:tabs>
                <w:tab w:val="decimal" w:pos="702"/>
              </w:tabs>
              <w:spacing w:before="40" w:after="40"/>
              <w:jc w:val="center"/>
            </w:pPr>
            <w:r w:rsidRPr="008851A7">
              <w:t>$56,770</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14:paraId="45FD8026" w14:textId="77777777" w:rsidR="00425E12" w:rsidRPr="008851A7" w:rsidRDefault="00425E12" w:rsidP="008851A7">
            <w:pPr>
              <w:pStyle w:val="TableText"/>
              <w:tabs>
                <w:tab w:val="decimal" w:pos="702"/>
              </w:tabs>
              <w:spacing w:before="40" w:after="40"/>
              <w:jc w:val="center"/>
            </w:pPr>
            <w:r w:rsidRPr="008851A7">
              <w:t>$435,728</w:t>
            </w:r>
          </w:p>
        </w:tc>
      </w:tr>
      <w:tr w:rsidR="00425E12" w:rsidRPr="008851A7" w14:paraId="45EC4855" w14:textId="77777777" w:rsidTr="008851A7">
        <w:trPr>
          <w:trHeight w:val="300"/>
        </w:trPr>
        <w:tc>
          <w:tcPr>
            <w:tcW w:w="2160" w:type="dxa"/>
            <w:tcBorders>
              <w:top w:val="single" w:sz="2" w:space="0" w:color="BFBFBF" w:themeColor="background1" w:themeShade="BF"/>
              <w:bottom w:val="single" w:sz="2" w:space="0" w:color="BFBFBF" w:themeColor="background1" w:themeShade="BF"/>
            </w:tcBorders>
            <w:shd w:val="clear" w:color="auto" w:fill="auto"/>
            <w:noWrap/>
            <w:vAlign w:val="center"/>
            <w:hideMark/>
          </w:tcPr>
          <w:p w14:paraId="4DFEFFC0" w14:textId="77777777" w:rsidR="00425E12" w:rsidRPr="008851A7" w:rsidRDefault="00425E12" w:rsidP="00221F32">
            <w:pPr>
              <w:pStyle w:val="TableText"/>
              <w:spacing w:before="40" w:after="40"/>
            </w:pPr>
            <w:r w:rsidRPr="008851A7">
              <w:t>2020</w:t>
            </w:r>
          </w:p>
        </w:tc>
        <w:tc>
          <w:tcPr>
            <w:tcW w:w="1890" w:type="dxa"/>
            <w:tcBorders>
              <w:top w:val="single" w:sz="2" w:space="0" w:color="BFBFBF" w:themeColor="background1" w:themeShade="BF"/>
              <w:bottom w:val="single" w:sz="2" w:space="0" w:color="BFBFBF" w:themeColor="background1" w:themeShade="BF"/>
            </w:tcBorders>
            <w:vAlign w:val="center"/>
          </w:tcPr>
          <w:p w14:paraId="4AA6413D" w14:textId="77777777" w:rsidR="00425E12" w:rsidRPr="008851A7" w:rsidRDefault="00425E12" w:rsidP="008851A7">
            <w:pPr>
              <w:pStyle w:val="TableText"/>
              <w:tabs>
                <w:tab w:val="decimal" w:pos="702"/>
              </w:tabs>
              <w:spacing w:before="40" w:after="40"/>
              <w:jc w:val="center"/>
            </w:pPr>
            <w:r w:rsidRPr="008851A7">
              <w:t>$198,894</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14:paraId="6721AEDA" w14:textId="77777777" w:rsidR="00425E12" w:rsidRPr="008851A7" w:rsidRDefault="00425E12" w:rsidP="008851A7">
            <w:pPr>
              <w:pStyle w:val="TableText"/>
              <w:tabs>
                <w:tab w:val="decimal" w:pos="702"/>
              </w:tabs>
              <w:spacing w:before="40" w:after="40"/>
              <w:jc w:val="center"/>
            </w:pPr>
            <w:r w:rsidRPr="008851A7">
              <w:t>$297,454</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14:paraId="123DDE67" w14:textId="77777777" w:rsidR="00425E12" w:rsidRPr="008851A7" w:rsidRDefault="00425E12" w:rsidP="008851A7">
            <w:pPr>
              <w:pStyle w:val="TableText"/>
              <w:tabs>
                <w:tab w:val="decimal" w:pos="702"/>
              </w:tabs>
              <w:spacing w:before="40" w:after="40"/>
              <w:jc w:val="center"/>
            </w:pPr>
            <w:r w:rsidRPr="008851A7">
              <w:t>$202,348</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14:paraId="6A89DCE6" w14:textId="77777777" w:rsidR="00425E12" w:rsidRPr="008851A7" w:rsidRDefault="00425E12" w:rsidP="008851A7">
            <w:pPr>
              <w:pStyle w:val="TableText"/>
              <w:tabs>
                <w:tab w:val="decimal" w:pos="702"/>
              </w:tabs>
              <w:spacing w:before="40" w:after="40"/>
              <w:jc w:val="center"/>
            </w:pPr>
            <w:r w:rsidRPr="008851A7">
              <w:t>$696,944</w:t>
            </w:r>
          </w:p>
        </w:tc>
      </w:tr>
      <w:tr w:rsidR="00425E12" w:rsidRPr="008851A7" w14:paraId="05188D89" w14:textId="77777777" w:rsidTr="008851A7">
        <w:trPr>
          <w:trHeight w:val="300"/>
        </w:trPr>
        <w:tc>
          <w:tcPr>
            <w:tcW w:w="2160" w:type="dxa"/>
            <w:tcBorders>
              <w:top w:val="single" w:sz="2" w:space="0" w:color="BFBFBF" w:themeColor="background1" w:themeShade="BF"/>
              <w:bottom w:val="single" w:sz="4" w:space="0" w:color="auto"/>
            </w:tcBorders>
            <w:shd w:val="clear" w:color="auto" w:fill="auto"/>
            <w:noWrap/>
            <w:vAlign w:val="center"/>
            <w:hideMark/>
          </w:tcPr>
          <w:p w14:paraId="149FCA7C" w14:textId="77777777" w:rsidR="00425E12" w:rsidRPr="008851A7" w:rsidRDefault="00425E12" w:rsidP="00221F32">
            <w:pPr>
              <w:pStyle w:val="TableText"/>
              <w:spacing w:before="40" w:after="40"/>
            </w:pPr>
            <w:r w:rsidRPr="008851A7">
              <w:t>Total</w:t>
            </w:r>
          </w:p>
        </w:tc>
        <w:tc>
          <w:tcPr>
            <w:tcW w:w="1890" w:type="dxa"/>
            <w:tcBorders>
              <w:top w:val="single" w:sz="2" w:space="0" w:color="BFBFBF" w:themeColor="background1" w:themeShade="BF"/>
              <w:bottom w:val="single" w:sz="4" w:space="0" w:color="auto"/>
            </w:tcBorders>
            <w:vAlign w:val="center"/>
          </w:tcPr>
          <w:p w14:paraId="5127B636" w14:textId="77777777" w:rsidR="00425E12" w:rsidRPr="008851A7" w:rsidRDefault="00425E12" w:rsidP="008851A7">
            <w:pPr>
              <w:pStyle w:val="TableText"/>
              <w:tabs>
                <w:tab w:val="decimal" w:pos="702"/>
              </w:tabs>
              <w:spacing w:before="40" w:after="40"/>
              <w:jc w:val="center"/>
            </w:pPr>
            <w:r w:rsidRPr="008851A7">
              <w:t>$373,318</w:t>
            </w:r>
          </w:p>
        </w:tc>
        <w:tc>
          <w:tcPr>
            <w:tcW w:w="1890" w:type="dxa"/>
            <w:tcBorders>
              <w:top w:val="single" w:sz="2" w:space="0" w:color="BFBFBF" w:themeColor="background1" w:themeShade="BF"/>
              <w:bottom w:val="single" w:sz="4" w:space="0" w:color="auto"/>
            </w:tcBorders>
            <w:shd w:val="clear" w:color="auto" w:fill="auto"/>
            <w:noWrap/>
            <w:vAlign w:val="center"/>
          </w:tcPr>
          <w:p w14:paraId="7B86142C" w14:textId="77777777" w:rsidR="00425E12" w:rsidRPr="008851A7" w:rsidRDefault="00425E12" w:rsidP="008851A7">
            <w:pPr>
              <w:pStyle w:val="TableText"/>
              <w:tabs>
                <w:tab w:val="decimal" w:pos="702"/>
              </w:tabs>
              <w:spacing w:before="40" w:after="40"/>
              <w:jc w:val="center"/>
            </w:pPr>
            <w:r w:rsidRPr="008851A7">
              <w:t>$516,416</w:t>
            </w:r>
          </w:p>
        </w:tc>
        <w:tc>
          <w:tcPr>
            <w:tcW w:w="1890" w:type="dxa"/>
            <w:tcBorders>
              <w:top w:val="single" w:sz="2" w:space="0" w:color="BFBFBF" w:themeColor="background1" w:themeShade="BF"/>
              <w:bottom w:val="single" w:sz="4" w:space="0" w:color="auto"/>
            </w:tcBorders>
            <w:shd w:val="clear" w:color="auto" w:fill="auto"/>
            <w:noWrap/>
            <w:vAlign w:val="center"/>
            <w:hideMark/>
          </w:tcPr>
          <w:p w14:paraId="61C0E507" w14:textId="77777777" w:rsidR="00425E12" w:rsidRPr="008851A7" w:rsidRDefault="00425E12" w:rsidP="008851A7">
            <w:pPr>
              <w:pStyle w:val="TableText"/>
              <w:tabs>
                <w:tab w:val="decimal" w:pos="702"/>
              </w:tabs>
              <w:spacing w:before="40" w:after="40"/>
              <w:jc w:val="center"/>
            </w:pPr>
            <w:r w:rsidRPr="008851A7">
              <w:t>$281,228</w:t>
            </w:r>
          </w:p>
        </w:tc>
        <w:tc>
          <w:tcPr>
            <w:tcW w:w="1890" w:type="dxa"/>
            <w:tcBorders>
              <w:top w:val="single" w:sz="2" w:space="0" w:color="BFBFBF" w:themeColor="background1" w:themeShade="BF"/>
              <w:bottom w:val="single" w:sz="4" w:space="0" w:color="auto"/>
            </w:tcBorders>
            <w:shd w:val="clear" w:color="auto" w:fill="auto"/>
            <w:noWrap/>
            <w:vAlign w:val="center"/>
            <w:hideMark/>
          </w:tcPr>
          <w:p w14:paraId="401F1FED" w14:textId="77777777" w:rsidR="00425E12" w:rsidRPr="008851A7" w:rsidRDefault="00425E12" w:rsidP="008851A7">
            <w:pPr>
              <w:pStyle w:val="TableText"/>
              <w:tabs>
                <w:tab w:val="decimal" w:pos="702"/>
              </w:tabs>
              <w:spacing w:before="40" w:after="40"/>
              <w:jc w:val="center"/>
            </w:pPr>
            <w:r w:rsidRPr="008851A7">
              <w:t>$1,170,962</w:t>
            </w:r>
          </w:p>
        </w:tc>
      </w:tr>
    </w:tbl>
    <w:p w14:paraId="19FA6A5B" w14:textId="77777777" w:rsidR="006A406C" w:rsidRPr="008851A7" w:rsidRDefault="006A406C" w:rsidP="00221F32">
      <w:pPr>
        <w:spacing w:line="240" w:lineRule="auto"/>
      </w:pPr>
    </w:p>
    <w:p w14:paraId="36CEF7A1" w14:textId="77777777" w:rsidR="00CE3AA0" w:rsidRPr="008851A7" w:rsidRDefault="00CE3AA0" w:rsidP="008851A7">
      <w:pPr>
        <w:pStyle w:val="NormalSS"/>
      </w:pPr>
      <w:r w:rsidRPr="008851A7">
        <w:t>In addition, there will be the cost for a GS 14 (Step 7) at 15</w:t>
      </w:r>
      <w:r w:rsidR="00A14BB5" w:rsidRPr="008851A7">
        <w:t xml:space="preserve"> percent</w:t>
      </w:r>
      <w:r w:rsidRPr="008851A7">
        <w:t xml:space="preserve"> time (approximately $20,625 per year) to monitor the project. The average annual total cost of the project is $606</w:t>
      </w:r>
      <w:r w:rsidR="00A14BB5" w:rsidRPr="008851A7">
        <w:t>,</w:t>
      </w:r>
      <w:r w:rsidRPr="008851A7">
        <w:t>106 and the total cost of the two-year project is $1,212,212.</w:t>
      </w:r>
    </w:p>
    <w:p w14:paraId="3CFEBBC6" w14:textId="77777777" w:rsidR="000F2273" w:rsidRPr="008851A7" w:rsidRDefault="007A6D3B" w:rsidP="000175C5">
      <w:pPr>
        <w:pStyle w:val="H3Alpha"/>
      </w:pPr>
      <w:bookmarkStart w:id="27" w:name="_Toc265335"/>
      <w:r w:rsidRPr="008851A7">
        <w:t>A.</w:t>
      </w:r>
      <w:r w:rsidR="00A019E0" w:rsidRPr="008851A7">
        <w:t>15.</w:t>
      </w:r>
      <w:r w:rsidR="00221F32" w:rsidRPr="008851A7">
        <w:tab/>
      </w:r>
      <w:r w:rsidR="000F2273" w:rsidRPr="008851A7">
        <w:t xml:space="preserve">Explanation for </w:t>
      </w:r>
      <w:r w:rsidR="005D5A97" w:rsidRPr="008851A7">
        <w:t>p</w:t>
      </w:r>
      <w:r w:rsidR="000F2273" w:rsidRPr="008851A7">
        <w:t xml:space="preserve">rogram </w:t>
      </w:r>
      <w:r w:rsidR="005D5A97" w:rsidRPr="008851A7">
        <w:t>c</w:t>
      </w:r>
      <w:r w:rsidR="000F2273" w:rsidRPr="008851A7">
        <w:t xml:space="preserve">hanges or </w:t>
      </w:r>
      <w:r w:rsidR="005D5A97" w:rsidRPr="008851A7">
        <w:t>a</w:t>
      </w:r>
      <w:r w:rsidR="000F2273" w:rsidRPr="008851A7">
        <w:t>djustments</w:t>
      </w:r>
      <w:bookmarkEnd w:id="20"/>
      <w:bookmarkEnd w:id="27"/>
      <w:r w:rsidR="00817673" w:rsidRPr="008851A7">
        <w:t xml:space="preserve"> </w:t>
      </w:r>
    </w:p>
    <w:p w14:paraId="13765E12" w14:textId="77777777" w:rsidR="000F2273" w:rsidRPr="008851A7" w:rsidRDefault="000F2273" w:rsidP="000F2273">
      <w:pPr>
        <w:pStyle w:val="NormalSS"/>
      </w:pPr>
      <w:r w:rsidRPr="008851A7">
        <w:t xml:space="preserve">Data collection for </w:t>
      </w:r>
      <w:r w:rsidR="002253E1" w:rsidRPr="008851A7">
        <w:t>this study</w:t>
      </w:r>
      <w:r w:rsidR="00B6344E" w:rsidRPr="008851A7">
        <w:t xml:space="preserve"> </w:t>
      </w:r>
      <w:r w:rsidRPr="008851A7">
        <w:t xml:space="preserve">is new; there are no changes to </w:t>
      </w:r>
      <w:r w:rsidR="002253E1" w:rsidRPr="008851A7">
        <w:t xml:space="preserve">our </w:t>
      </w:r>
      <w:r w:rsidRPr="008851A7">
        <w:t>burden</w:t>
      </w:r>
      <w:r w:rsidR="002253E1" w:rsidRPr="008851A7">
        <w:t xml:space="preserve"> estimates</w:t>
      </w:r>
      <w:r w:rsidRPr="008851A7">
        <w:t>.</w:t>
      </w:r>
    </w:p>
    <w:p w14:paraId="3F03826D" w14:textId="77777777" w:rsidR="008864A9" w:rsidRPr="008851A7" w:rsidRDefault="008864A9" w:rsidP="000175C5">
      <w:pPr>
        <w:pStyle w:val="H3Alpha"/>
      </w:pPr>
      <w:bookmarkStart w:id="28" w:name="_Toc265336"/>
      <w:bookmarkStart w:id="29" w:name="_Toc476059366"/>
      <w:bookmarkStart w:id="30" w:name="_Toc306878131"/>
      <w:r w:rsidRPr="008851A7">
        <w:t>A.16.</w:t>
      </w:r>
      <w:r w:rsidR="00221F32" w:rsidRPr="008851A7">
        <w:tab/>
      </w:r>
      <w:r w:rsidRPr="008851A7">
        <w:t>Plans for tabulation, publication, and project time schedule</w:t>
      </w:r>
      <w:bookmarkEnd w:id="28"/>
      <w:r w:rsidRPr="008851A7">
        <w:t xml:space="preserve"> </w:t>
      </w:r>
    </w:p>
    <w:bookmarkEnd w:id="29"/>
    <w:p w14:paraId="04AF57AF" w14:textId="77777777" w:rsidR="00972651" w:rsidRPr="008851A7" w:rsidRDefault="00972651" w:rsidP="00FB76D9">
      <w:pPr>
        <w:pStyle w:val="H4NumberNoTOC"/>
      </w:pPr>
      <w:r w:rsidRPr="008851A7">
        <w:t>A.16.</w:t>
      </w:r>
      <w:r w:rsidR="00AD6830" w:rsidRPr="008851A7">
        <w:t>1</w:t>
      </w:r>
      <w:r w:rsidRPr="008851A7">
        <w:t>.</w:t>
      </w:r>
      <w:r w:rsidR="00221F32" w:rsidRPr="008851A7">
        <w:tab/>
      </w:r>
      <w:r w:rsidRPr="008851A7">
        <w:t>Analytic techniques, tabulations, and reporting</w:t>
      </w:r>
    </w:p>
    <w:p w14:paraId="55C37E02" w14:textId="4FF1ECC9" w:rsidR="00195C19" w:rsidRPr="008851A7" w:rsidRDefault="00195C19" w:rsidP="00195C19">
      <w:pPr>
        <w:pStyle w:val="NormalSS"/>
        <w:spacing w:after="120"/>
      </w:pPr>
      <w:r w:rsidRPr="008851A7">
        <w:rPr>
          <w:b/>
        </w:rPr>
        <w:t>Qualitative data analysis</w:t>
      </w:r>
      <w:r w:rsidRPr="008851A7">
        <w:t xml:space="preserve">. We will </w:t>
      </w:r>
      <w:r w:rsidR="009B047B" w:rsidRPr="008851A7">
        <w:t xml:space="preserve">have the audio recordings </w:t>
      </w:r>
      <w:r w:rsidR="005458EE" w:rsidRPr="008851A7">
        <w:t xml:space="preserve">of the provider and client interviews </w:t>
      </w:r>
      <w:r w:rsidR="009B047B" w:rsidRPr="008851A7">
        <w:t>transcribed</w:t>
      </w:r>
      <w:r w:rsidR="005458EE" w:rsidRPr="008851A7">
        <w:t xml:space="preserve">, and then </w:t>
      </w:r>
      <w:r w:rsidRPr="008851A7">
        <w:t xml:space="preserve">code and analyze the </w:t>
      </w:r>
      <w:r w:rsidR="009B047B" w:rsidRPr="008851A7">
        <w:t xml:space="preserve">transcribed </w:t>
      </w:r>
      <w:r w:rsidRPr="008851A7">
        <w:t xml:space="preserve">data in NVivo. After we complete about one-third of the site visits, the interview team will develop a high-level coding structure based on the themes that emerge from the initial interviews. </w:t>
      </w:r>
      <w:r w:rsidR="002853B1">
        <w:t xml:space="preserve">We </w:t>
      </w:r>
      <w:r w:rsidRPr="008851A7">
        <w:t>will align this preliminary code set with the research questions and share it with HRSA for review and approval. We</w:t>
      </w:r>
      <w:r w:rsidR="002853B1">
        <w:t xml:space="preserve"> </w:t>
      </w:r>
      <w:r w:rsidRPr="008851A7">
        <w:t xml:space="preserve">will revise and update the codes as data collection continues to reflect new or divergent themes. Throughout the </w:t>
      </w:r>
      <w:r w:rsidR="00374181">
        <w:t>interview</w:t>
      </w:r>
      <w:r w:rsidRPr="008851A7">
        <w:t xml:space="preserve"> process, we will conduct coding to ensure timely completion of materials. We</w:t>
      </w:r>
      <w:r w:rsidR="00374181" w:rsidRPr="008851A7">
        <w:t xml:space="preserve"> </w:t>
      </w:r>
      <w:r w:rsidRPr="008851A7">
        <w:t>will train the coding team, systematically code the interviews, and review the coded data to promote inter-rater reliability. We will meet regularly throughout the data collection process to discuss emerging themes or questions about how to code areas of content that span multiple themes.</w:t>
      </w:r>
    </w:p>
    <w:p w14:paraId="6219867C" w14:textId="77777777" w:rsidR="005866BE" w:rsidRDefault="00810369" w:rsidP="007D1EA9">
      <w:pPr>
        <w:pStyle w:val="NormalSS"/>
        <w:spacing w:after="120"/>
      </w:pPr>
      <w:r w:rsidRPr="008851A7">
        <w:t xml:space="preserve">By using NVivo, the interview team can group data by theme and compare findings across </w:t>
      </w:r>
      <w:r w:rsidR="008709D6" w:rsidRPr="008851A7">
        <w:t>S</w:t>
      </w:r>
      <w:r w:rsidRPr="008851A7">
        <w:t xml:space="preserve">cenarios A, B, </w:t>
      </w:r>
      <w:r w:rsidR="00747820" w:rsidRPr="008851A7">
        <w:t xml:space="preserve">and </w:t>
      </w:r>
      <w:r w:rsidRPr="008851A7">
        <w:t xml:space="preserve">C. For example, we might find that models of care differ between RWHAP-funded and </w:t>
      </w:r>
      <w:r w:rsidR="005832BC" w:rsidRPr="008851A7">
        <w:t>non-OAHS funded</w:t>
      </w:r>
      <w:r w:rsidRPr="008851A7">
        <w:t xml:space="preserve"> </w:t>
      </w:r>
      <w:r w:rsidR="005F7878" w:rsidRPr="008851A7">
        <w:t>medical provider</w:t>
      </w:r>
      <w:r w:rsidRPr="008851A7">
        <w:t xml:space="preserve">s. Clients who access care at a RWHAP-funded medical provider could receive more coordinated care than clients whose medical care is not co-located with their RWHAP-funded support service provider. </w:t>
      </w:r>
      <w:r w:rsidR="00195C19" w:rsidRPr="008851A7">
        <w:t xml:space="preserve">We will also use the qualitative data to extend our understanding of the quantitative data. For example, we might find through </w:t>
      </w:r>
      <w:r w:rsidR="00854373">
        <w:t>medical record</w:t>
      </w:r>
      <w:r w:rsidR="00854373" w:rsidRPr="008851A7">
        <w:t xml:space="preserve"> </w:t>
      </w:r>
      <w:r w:rsidR="00195C19" w:rsidRPr="008851A7">
        <w:t xml:space="preserve">abstraction that clients who receive medical care from a </w:t>
      </w:r>
      <w:r w:rsidR="005832BC" w:rsidRPr="008851A7">
        <w:t>non-OAHS funded</w:t>
      </w:r>
      <w:r w:rsidR="00195C19" w:rsidRPr="008851A7">
        <w:t xml:space="preserve"> medical provider have fewer medical visits than those who receive their medical care from a RWHAP-funded clinic. Through interviews, we can understand what drives this difference</w:t>
      </w:r>
      <w:r w:rsidR="00AF27C1" w:rsidRPr="008851A7">
        <w:t>—for example,</w:t>
      </w:r>
      <w:r w:rsidR="00195C19" w:rsidRPr="008851A7">
        <w:t xml:space="preserve"> clinical guidelines established by the RWHAP-affiliated providers</w:t>
      </w:r>
      <w:r w:rsidR="00C8056E" w:rsidRPr="008851A7">
        <w:t xml:space="preserve"> (separate from the actual clinical guidelines for HIV care and treatment)</w:t>
      </w:r>
      <w:r w:rsidR="00195C19" w:rsidRPr="008851A7">
        <w:t xml:space="preserve"> or challenges that clients accessing care at </w:t>
      </w:r>
      <w:r w:rsidR="005832BC" w:rsidRPr="008851A7">
        <w:t>non-OAHS funded</w:t>
      </w:r>
      <w:r w:rsidR="00195C19" w:rsidRPr="008851A7">
        <w:t xml:space="preserve"> clinics face </w:t>
      </w:r>
      <w:r w:rsidR="00AF27C1" w:rsidRPr="008851A7">
        <w:t xml:space="preserve">in </w:t>
      </w:r>
      <w:r w:rsidR="00195C19" w:rsidRPr="008851A7">
        <w:t>keeping appointments. To conduct these analyses, the task leads will coordinate closely to discuss findings from our respective data sources.</w:t>
      </w:r>
    </w:p>
    <w:p w14:paraId="4A0E10AF" w14:textId="43B06B84" w:rsidR="007D1EA9" w:rsidRPr="008851A7" w:rsidRDefault="007D1EA9" w:rsidP="007D1EA9">
      <w:pPr>
        <w:pStyle w:val="NormalSS"/>
        <w:spacing w:after="120"/>
      </w:pPr>
      <w:r w:rsidRPr="008851A7">
        <w:rPr>
          <w:b/>
        </w:rPr>
        <w:t>Quantitative data analysis</w:t>
      </w:r>
      <w:r w:rsidRPr="008851A7">
        <w:t>. We</w:t>
      </w:r>
      <w:r w:rsidR="00032925" w:rsidRPr="008851A7">
        <w:t xml:space="preserve"> </w:t>
      </w:r>
      <w:r w:rsidRPr="008851A7">
        <w:t xml:space="preserve">will conduct a descriptive analysis of quantitative data obtained from both the RSR and the </w:t>
      </w:r>
      <w:r w:rsidR="00854373">
        <w:t>medical record</w:t>
      </w:r>
      <w:r w:rsidR="00854373" w:rsidRPr="008851A7">
        <w:t xml:space="preserve"> </w:t>
      </w:r>
      <w:r w:rsidR="00D8023E" w:rsidRPr="008851A7">
        <w:t>abstractions</w:t>
      </w:r>
      <w:r w:rsidRPr="008851A7">
        <w:t xml:space="preserve">. Using the RSR, we will profile the characteristics of the RWHAP providers that do not provide </w:t>
      </w:r>
      <w:r w:rsidR="0018484D" w:rsidRPr="008851A7">
        <w:t xml:space="preserve">OAHS directly funded by the </w:t>
      </w:r>
      <w:r w:rsidRPr="008851A7">
        <w:t xml:space="preserve">RWHAP (location, organization type, number of clients served, and type of services provided). We will also profile the characteristics of RWHAP clients </w:t>
      </w:r>
      <w:r w:rsidR="00461452" w:rsidRPr="008851A7">
        <w:t xml:space="preserve">for whom HRSA does </w:t>
      </w:r>
      <w:r w:rsidRPr="008851A7">
        <w:t xml:space="preserve">not </w:t>
      </w:r>
      <w:r w:rsidR="00461452" w:rsidRPr="008851A7">
        <w:t xml:space="preserve">have </w:t>
      </w:r>
      <w:r w:rsidRPr="008851A7">
        <w:t>clinical data, including the number and percentage by demographic and risk group categories</w:t>
      </w:r>
      <w:r w:rsidR="00B11C45" w:rsidRPr="008851A7">
        <w:t>.</w:t>
      </w:r>
      <w:r w:rsidRPr="008851A7">
        <w:t xml:space="preserve"> For these clients, we</w:t>
      </w:r>
      <w:r w:rsidR="00032925" w:rsidRPr="008851A7">
        <w:t xml:space="preserve"> </w:t>
      </w:r>
      <w:r w:rsidRPr="008851A7">
        <w:t xml:space="preserve">will also calculate statistics on the number and percentage of clients using non-OAHS core medical and support services (by type of service). We will calculate this output for all </w:t>
      </w:r>
      <w:r w:rsidR="00B46D61" w:rsidRPr="008851A7">
        <w:t>study</w:t>
      </w:r>
      <w:r w:rsidRPr="008851A7">
        <w:t xml:space="preserve"> clients as well as the clients for the sampled sites, and compare the results with those for RWHAP clients who access OAHS under the program. We will test whether the differences between the two groups are statistically significant. We assume the size of the study population is about 144,000 clients (among a total of roughly 550,000 RWHAP clients). </w:t>
      </w:r>
    </w:p>
    <w:p w14:paraId="18A2E0DE" w14:textId="54E1BC0C" w:rsidR="005458EE" w:rsidRPr="008851A7" w:rsidRDefault="007D1EA9" w:rsidP="00CE6D67">
      <w:pPr>
        <w:pStyle w:val="NormalSS"/>
        <w:spacing w:after="120"/>
      </w:pPr>
      <w:r w:rsidRPr="008851A7">
        <w:t xml:space="preserve">In addition, we will use the </w:t>
      </w:r>
      <w:r w:rsidR="00B46D61" w:rsidRPr="008851A7">
        <w:t xml:space="preserve">service use and clinical </w:t>
      </w:r>
      <w:r w:rsidRPr="008851A7">
        <w:t>data from the chart abstractions to calculate statistics for the process and clinical outcomes. These include number of medical visits per year (a measure of retention in care), receipt of ART (an indicator of optimal treatment for people diagnosed with HIV), and the distribution of clients by viral load</w:t>
      </w:r>
      <w:r w:rsidR="00B46D61" w:rsidRPr="008851A7">
        <w:t xml:space="preserve"> (a measure of contagion)</w:t>
      </w:r>
      <w:r w:rsidRPr="008851A7">
        <w:t xml:space="preserve">. </w:t>
      </w:r>
      <w:r w:rsidR="00461452" w:rsidRPr="008851A7">
        <w:t xml:space="preserve">Specifically, </w:t>
      </w:r>
      <w:r w:rsidR="00FD71AC">
        <w:t>w</w:t>
      </w:r>
      <w:r w:rsidR="00461452" w:rsidRPr="008851A7">
        <w:t xml:space="preserve">e will assess the rate of viral suppression, durable suppression, virologic failure, and persistent low-level viremia. </w:t>
      </w:r>
      <w:r w:rsidR="0052312C" w:rsidRPr="008851A7">
        <w:t>W</w:t>
      </w:r>
      <w:r w:rsidRPr="008851A7">
        <w:t>e will use the analysis weights generated from sampling to produce generalizable estimates of viral load suppression among the study population relative to those who access RWHAP-funded OAHS, and will test for the statistical significance of the difference.</w:t>
      </w:r>
    </w:p>
    <w:p w14:paraId="3B996F94" w14:textId="6AB0B7AD" w:rsidR="005458EE" w:rsidRPr="008851A7" w:rsidRDefault="005458EE" w:rsidP="005458EE">
      <w:pPr>
        <w:pStyle w:val="NormalSS"/>
      </w:pPr>
      <w:r w:rsidRPr="008851A7">
        <w:t xml:space="preserve">It is possible that some non-OAHS clients are currently not receiving medical care from any provider. </w:t>
      </w:r>
      <w:r w:rsidR="00B36A15">
        <w:t xml:space="preserve">Although health </w:t>
      </w:r>
      <w:r w:rsidRPr="008851A7">
        <w:t>outcomes of the out-of-care subpopulation fall outside the scope of this study</w:t>
      </w:r>
      <w:r w:rsidR="00B36A15">
        <w:t xml:space="preserve">, it is desirable to have an estimate of the </w:t>
      </w:r>
      <w:r w:rsidRPr="008851A7">
        <w:t>size of this group</w:t>
      </w:r>
      <w:r w:rsidR="00B36A15">
        <w:t xml:space="preserve"> so that the findings of the proposed study are placed within the context of the </w:t>
      </w:r>
      <w:r w:rsidR="0042659B">
        <w:t>non-OAHS population</w:t>
      </w:r>
      <w:r w:rsidR="00B36A15">
        <w:t xml:space="preserve"> more broadly. </w:t>
      </w:r>
      <w:r w:rsidR="00443827">
        <w:t xml:space="preserve">We </w:t>
      </w:r>
      <w:r w:rsidRPr="008851A7">
        <w:t xml:space="preserve">will ask the sampled Type 1 RWHAP providers </w:t>
      </w:r>
      <w:r w:rsidR="00412808">
        <w:t xml:space="preserve">to </w:t>
      </w:r>
      <w:r w:rsidRPr="008851A7">
        <w:t>estimate the proportion of their non-OAHS clients who they believe do not regularly see a clinician for their HIV medical care</w:t>
      </w:r>
      <w:r w:rsidRPr="00CB4C8B">
        <w:t>.</w:t>
      </w:r>
      <w:r w:rsidR="00CB4C8B" w:rsidRPr="00CB4C8B">
        <w:t xml:space="preserve"> </w:t>
      </w:r>
      <w:r w:rsidR="00CB4C8B" w:rsidRPr="007902B0">
        <w:t>Since we anticipate that the estimate may have low precision, we do not intend to use it for weighting.</w:t>
      </w:r>
      <w:r w:rsidRPr="007902B0">
        <w:t xml:space="preserve"> </w:t>
      </w:r>
      <w:r w:rsidR="009D1EF0" w:rsidRPr="007902B0">
        <w:t xml:space="preserve">Rather, we will </w:t>
      </w:r>
      <w:r w:rsidR="00D30874" w:rsidRPr="007902B0">
        <w:t>use this information to conduct sensitivity analyses of the study results.</w:t>
      </w:r>
      <w:r w:rsidR="00D30874">
        <w:t xml:space="preserve"> For example, we will estimate viral suppression rates among non-OAHS clients with and without the out-of-care population to see how sensitive the study results are to the inclusion of this special population. </w:t>
      </w:r>
      <w:r w:rsidRPr="008851A7">
        <w:t>We will ask follow-up questions about the out-of-care subgroup of non-OAHS clients during the interviews with the provider staff.</w:t>
      </w:r>
    </w:p>
    <w:p w14:paraId="155EBAD1" w14:textId="1C61ED74" w:rsidR="00091CC6" w:rsidRDefault="00972651" w:rsidP="00972651">
      <w:pPr>
        <w:pStyle w:val="NormalSS"/>
        <w:spacing w:after="120"/>
      </w:pPr>
      <w:r w:rsidRPr="00C8755D">
        <w:rPr>
          <w:b/>
        </w:rPr>
        <w:t>Reporting</w:t>
      </w:r>
      <w:r w:rsidRPr="00C8755D">
        <w:t xml:space="preserve">. </w:t>
      </w:r>
      <w:r w:rsidR="00E45021" w:rsidRPr="00C8755D">
        <w:t xml:space="preserve">Mathematica </w:t>
      </w:r>
      <w:r w:rsidRPr="00C8755D">
        <w:t>will prepare</w:t>
      </w:r>
      <w:r w:rsidRPr="008851A7">
        <w:t xml:space="preserve"> and submit a draft report with the main findings from </w:t>
      </w:r>
      <w:r w:rsidR="00E45021">
        <w:t xml:space="preserve">the </w:t>
      </w:r>
      <w:r w:rsidRPr="008851A7">
        <w:t>data collection and analysis efforts</w:t>
      </w:r>
      <w:r w:rsidR="00262824" w:rsidRPr="008851A7">
        <w:t>. The report will</w:t>
      </w:r>
      <w:r w:rsidRPr="008851A7">
        <w:t xml:space="preserve"> includ</w:t>
      </w:r>
      <w:r w:rsidR="00262824" w:rsidRPr="008851A7">
        <w:t>e</w:t>
      </w:r>
      <w:r w:rsidRPr="008851A7">
        <w:t xml:space="preserve"> a discussion of the service use patterns and unmet needs among the RWHAP clients who do not receive their medical care from providers funded for OAHS; an estimation of the retention in care, treatment initiation, and viral suppression rates among this population; and recommendations for how to improve their process and clinical outcomes. In addition, the report will provide (1) an overview of the purpose and goals of the study; (2) the study’s research questions; (3) the methods used to sample RWHAP-funded providers that do not provide OAHS, and to collect and analyze the qualitative and quantitative data from these organizations; (4) tabular summaries of the qualitative and quantitative findings; and (5) discussion of the findings with recommendations.</w:t>
      </w:r>
    </w:p>
    <w:p w14:paraId="0B41D5C8" w14:textId="5896343C" w:rsidR="00972651" w:rsidRDefault="00E45021" w:rsidP="00972651">
      <w:pPr>
        <w:pStyle w:val="NormalSS"/>
        <w:spacing w:after="120"/>
      </w:pPr>
      <w:r>
        <w:t xml:space="preserve">The report </w:t>
      </w:r>
      <w:r w:rsidR="00972651" w:rsidRPr="008851A7">
        <w:t xml:space="preserve">will also include a three- to four-page executive summary designed for a nontechnical audience. </w:t>
      </w:r>
      <w:r w:rsidR="002D5123" w:rsidRPr="008851A7">
        <w:t>W</w:t>
      </w:r>
      <w:r w:rsidR="00972651" w:rsidRPr="008851A7">
        <w:t>e will work closely with our communications department to develop a brief, attractive, high-level summary that administrators</w:t>
      </w:r>
      <w:r w:rsidR="00262824" w:rsidRPr="008851A7">
        <w:t>,</w:t>
      </w:r>
      <w:r w:rsidR="00972651" w:rsidRPr="008851A7">
        <w:t xml:space="preserve"> policymakers</w:t>
      </w:r>
      <w:r w:rsidR="00262824" w:rsidRPr="008851A7">
        <w:t>,</w:t>
      </w:r>
      <w:r w:rsidR="00972651" w:rsidRPr="008851A7">
        <w:t xml:space="preserve"> and members of the public can use to quickly understand the purpose of the study, its findings, and policy implications.</w:t>
      </w:r>
      <w:r w:rsidR="002C4B34">
        <w:t xml:space="preserve"> </w:t>
      </w:r>
    </w:p>
    <w:p w14:paraId="4628F683" w14:textId="41FD4EEB" w:rsidR="002C4B34" w:rsidRPr="008851A7" w:rsidRDefault="002C4B34" w:rsidP="00972651">
      <w:pPr>
        <w:pStyle w:val="NormalSS"/>
        <w:spacing w:after="120"/>
      </w:pPr>
      <w:r>
        <w:t>In all reports, we will indicate that we used a nationally diverse convenience sample and we will provide both unweighted and weighted counts to inform the reader’s interpretation of the results.</w:t>
      </w:r>
    </w:p>
    <w:p w14:paraId="77B303B0" w14:textId="4F2592B1" w:rsidR="00972651" w:rsidRDefault="00972651" w:rsidP="00CE6D67">
      <w:pPr>
        <w:pStyle w:val="NormalSS"/>
      </w:pPr>
      <w:r w:rsidRPr="008851A7">
        <w:rPr>
          <w:b/>
        </w:rPr>
        <w:t>Manuscripts</w:t>
      </w:r>
      <w:r w:rsidRPr="008851A7">
        <w:t>.</w:t>
      </w:r>
      <w:r w:rsidRPr="008851A7">
        <w:rPr>
          <w:b/>
        </w:rPr>
        <w:t xml:space="preserve"> </w:t>
      </w:r>
      <w:r w:rsidR="00D30874">
        <w:t xml:space="preserve">Our contractor for this study </w:t>
      </w:r>
      <w:r w:rsidRPr="00CD49C5">
        <w:t>will</w:t>
      </w:r>
      <w:r w:rsidRPr="008851A7">
        <w:t xml:space="preserve"> summarize the results from </w:t>
      </w:r>
      <w:r w:rsidR="00E45021">
        <w:t>the</w:t>
      </w:r>
      <w:r w:rsidR="00E45021" w:rsidRPr="008851A7">
        <w:t xml:space="preserve"> </w:t>
      </w:r>
      <w:r w:rsidRPr="008851A7">
        <w:t xml:space="preserve">analyses in two journal manuscripts, each focusing on a different research question and audience. </w:t>
      </w:r>
      <w:r w:rsidR="002D5123" w:rsidRPr="008851A7">
        <w:t>We might use t</w:t>
      </w:r>
      <w:r w:rsidRPr="008851A7">
        <w:t xml:space="preserve">he first manuscript </w:t>
      </w:r>
      <w:r w:rsidR="002D5123" w:rsidRPr="008851A7">
        <w:t xml:space="preserve">to highlight </w:t>
      </w:r>
      <w:r w:rsidRPr="008851A7">
        <w:t xml:space="preserve">the characteristics and service use patterns of clients who do not receive RWHAP-funded OAHS, the reasons why they do not, and any unmet needs they face, highlighting the interconnections between RWHAP and </w:t>
      </w:r>
      <w:r w:rsidR="005832BC" w:rsidRPr="008851A7">
        <w:t>non-OAHS funded</w:t>
      </w:r>
      <w:r w:rsidRPr="008851A7">
        <w:t xml:space="preserve"> providers. The second manuscript could then provide a quantitative summary of the process and health outcomes (including the viral suppression rate) for this population (and its subgroups)</w:t>
      </w:r>
      <w:r w:rsidR="00262824" w:rsidRPr="008851A7">
        <w:t>—</w:t>
      </w:r>
      <w:r w:rsidRPr="008851A7">
        <w:t>compared with those of clients who receive RWHAP-funded OAHS</w:t>
      </w:r>
      <w:r w:rsidR="00262824" w:rsidRPr="008851A7">
        <w:t>—</w:t>
      </w:r>
      <w:r w:rsidRPr="008851A7">
        <w:t>and strategies for improving their access to medical care.</w:t>
      </w:r>
    </w:p>
    <w:p w14:paraId="7D5C860A" w14:textId="22328FCA" w:rsidR="002C4B34" w:rsidRPr="008851A7" w:rsidRDefault="002C4B34" w:rsidP="002C4B34">
      <w:pPr>
        <w:pStyle w:val="NormalSS"/>
        <w:spacing w:after="120"/>
      </w:pPr>
      <w:r>
        <w:t>In all manuscripts, we will indicate that we used a nationally diverse convenience sample and we will provide both unweighted and weighted counts to inform the reader’s interpretation of the results.</w:t>
      </w:r>
    </w:p>
    <w:p w14:paraId="29A17352" w14:textId="77777777" w:rsidR="00AD6830" w:rsidRPr="008851A7" w:rsidRDefault="00AD6830" w:rsidP="00FB76D9">
      <w:pPr>
        <w:pStyle w:val="H4NumberNoTOC"/>
      </w:pPr>
      <w:r w:rsidRPr="008851A7">
        <w:t>A.16.2.</w:t>
      </w:r>
      <w:r w:rsidR="00221F32" w:rsidRPr="008851A7">
        <w:tab/>
      </w:r>
      <w:r w:rsidRPr="008851A7">
        <w:t>Time schedule for analysis and reporting</w:t>
      </w:r>
    </w:p>
    <w:p w14:paraId="31D1D859" w14:textId="0E49FA4F" w:rsidR="00AD6830" w:rsidRPr="008851A7" w:rsidRDefault="00AD6830" w:rsidP="00AD6830">
      <w:pPr>
        <w:pStyle w:val="NormalSS"/>
        <w:spacing w:after="120"/>
      </w:pPr>
      <w:r w:rsidRPr="008851A7">
        <w:rPr>
          <w:b/>
        </w:rPr>
        <w:t>Overview</w:t>
      </w:r>
      <w:r w:rsidRPr="008851A7">
        <w:t xml:space="preserve">. We will conduct </w:t>
      </w:r>
      <w:r w:rsidR="00032925">
        <w:t xml:space="preserve">interviews at </w:t>
      </w:r>
      <w:r w:rsidRPr="008851A7">
        <w:t>30 site</w:t>
      </w:r>
      <w:r w:rsidR="00032925">
        <w:t xml:space="preserve">s </w:t>
      </w:r>
      <w:r w:rsidRPr="008851A7">
        <w:t xml:space="preserve">to understand the use of health services and process and clinical outcomes among clients who do not receive medical care and treatment funded under the RWHAP. </w:t>
      </w:r>
      <w:r w:rsidR="00032925">
        <w:t>T</w:t>
      </w:r>
      <w:r w:rsidRPr="008851A7">
        <w:t xml:space="preserve">asks include (1) selecting and recruiting the sites; (2) scheduling </w:t>
      </w:r>
      <w:r w:rsidR="007E03F3">
        <w:t>interviews</w:t>
      </w:r>
      <w:r w:rsidRPr="008851A7">
        <w:t xml:space="preserve">; (3) conducting the </w:t>
      </w:r>
      <w:r w:rsidR="00C8755D">
        <w:t xml:space="preserve">interviews and </w:t>
      </w:r>
      <w:r w:rsidR="007E03F3">
        <w:t xml:space="preserve">medical record </w:t>
      </w:r>
      <w:r w:rsidRPr="008851A7">
        <w:t>abstractions; (4) analyzing the qualitative and quantitative data; (5) summarizing the findings in two peer-reviewed manuscripts; and (6) submitting the data files to HRSA. We will sample up to 50 clients per site for chart review, for a total of 1,500 medical record abstractions.</w:t>
      </w:r>
    </w:p>
    <w:p w14:paraId="5A6593B7" w14:textId="527D7F40" w:rsidR="00AD6830" w:rsidRPr="008851A7" w:rsidRDefault="00AD6830" w:rsidP="00AD6830">
      <w:pPr>
        <w:pStyle w:val="NormalSS"/>
        <w:spacing w:after="120"/>
      </w:pPr>
      <w:r w:rsidRPr="008851A7">
        <w:rPr>
          <w:b/>
        </w:rPr>
        <w:t>Analysis timeline</w:t>
      </w:r>
      <w:r w:rsidRPr="008851A7">
        <w:t xml:space="preserve">. We will begin site recruitment in </w:t>
      </w:r>
      <w:r w:rsidR="00700739">
        <w:t>November</w:t>
      </w:r>
      <w:r w:rsidR="00700739" w:rsidRPr="008851A7">
        <w:t xml:space="preserve"> </w:t>
      </w:r>
      <w:r w:rsidRPr="008851A7">
        <w:t xml:space="preserve">2019 and will continue until </w:t>
      </w:r>
      <w:r w:rsidR="00032925">
        <w:t xml:space="preserve">a </w:t>
      </w:r>
      <w:r w:rsidRPr="008851A7">
        <w:t xml:space="preserve">total of 30 sites </w:t>
      </w:r>
      <w:r w:rsidR="00032925">
        <w:t xml:space="preserve">have been recruited </w:t>
      </w:r>
      <w:r w:rsidRPr="008851A7">
        <w:t xml:space="preserve">for the study. We will complete </w:t>
      </w:r>
      <w:r w:rsidR="00032925">
        <w:t>interview</w:t>
      </w:r>
      <w:r w:rsidR="00700739">
        <w:t>s</w:t>
      </w:r>
      <w:r w:rsidR="00032925">
        <w:t xml:space="preserve"> at the</w:t>
      </w:r>
      <w:r w:rsidRPr="008851A7">
        <w:t xml:space="preserve"> first 10 site</w:t>
      </w:r>
      <w:r w:rsidR="00032925">
        <w:t>s</w:t>
      </w:r>
      <w:r w:rsidRPr="008851A7">
        <w:t xml:space="preserve"> </w:t>
      </w:r>
      <w:r w:rsidR="00032925">
        <w:t xml:space="preserve">by late </w:t>
      </w:r>
      <w:r w:rsidR="00700739">
        <w:t xml:space="preserve">January </w:t>
      </w:r>
      <w:r w:rsidR="00CD49C5" w:rsidRPr="008851A7">
        <w:t>20</w:t>
      </w:r>
      <w:r w:rsidR="00CD49C5">
        <w:t>20</w:t>
      </w:r>
      <w:r w:rsidR="00262824" w:rsidRPr="008851A7">
        <w:t>,</w:t>
      </w:r>
      <w:r w:rsidRPr="008851A7">
        <w:t xml:space="preserve"> another 10 by </w:t>
      </w:r>
      <w:r w:rsidR="00700739">
        <w:t xml:space="preserve">late </w:t>
      </w:r>
      <w:r w:rsidR="00032925">
        <w:t>February</w:t>
      </w:r>
      <w:r w:rsidR="00032925" w:rsidRPr="008851A7">
        <w:t xml:space="preserve"> </w:t>
      </w:r>
      <w:r w:rsidRPr="008851A7">
        <w:t>2020</w:t>
      </w:r>
      <w:r w:rsidR="00262824" w:rsidRPr="008851A7">
        <w:t>,</w:t>
      </w:r>
      <w:r w:rsidRPr="008851A7">
        <w:t xml:space="preserve"> and the final 10 site</w:t>
      </w:r>
      <w:r w:rsidR="00032925">
        <w:t xml:space="preserve">s </w:t>
      </w:r>
      <w:r w:rsidRPr="008851A7">
        <w:t xml:space="preserve">by </w:t>
      </w:r>
      <w:r w:rsidR="00700739">
        <w:t xml:space="preserve">late </w:t>
      </w:r>
      <w:r w:rsidRPr="008851A7">
        <w:t xml:space="preserve">April 2020. </w:t>
      </w:r>
      <w:r w:rsidR="00443827">
        <w:t xml:space="preserve">We </w:t>
      </w:r>
      <w:r w:rsidRPr="008851A7">
        <w:t>will submit the results and data files to HRSA by the end of June 2020.</w:t>
      </w:r>
    </w:p>
    <w:p w14:paraId="05E0B4F7" w14:textId="47145103" w:rsidR="00AD6830" w:rsidRPr="008851A7" w:rsidRDefault="00AD6830" w:rsidP="00A86A8D">
      <w:pPr>
        <w:pStyle w:val="NormalSS"/>
      </w:pPr>
      <w:r w:rsidRPr="008851A7">
        <w:rPr>
          <w:b/>
        </w:rPr>
        <w:t>Reporting timeline</w:t>
      </w:r>
      <w:r w:rsidRPr="008851A7">
        <w:t xml:space="preserve">. </w:t>
      </w:r>
      <w:r w:rsidR="00D30874">
        <w:t xml:space="preserve">Our contractor for this study </w:t>
      </w:r>
      <w:r w:rsidRPr="008851A7">
        <w:t xml:space="preserve">will submit the final project report and executive summary to </w:t>
      </w:r>
      <w:r w:rsidR="00D30874">
        <w:t>us</w:t>
      </w:r>
      <w:r w:rsidR="00D30874" w:rsidRPr="008851A7">
        <w:t xml:space="preserve"> </w:t>
      </w:r>
      <w:r w:rsidRPr="008851A7">
        <w:t xml:space="preserve">by the end of July 2020. </w:t>
      </w:r>
      <w:r w:rsidR="00D30874">
        <w:t>The contractor will provide a</w:t>
      </w:r>
      <w:r w:rsidR="002E7973">
        <w:t xml:space="preserve">n oral presentation </w:t>
      </w:r>
      <w:r w:rsidR="00D30874">
        <w:t xml:space="preserve">at our headquarters in Rockville, Maryland </w:t>
      </w:r>
      <w:r w:rsidRPr="008851A7">
        <w:t xml:space="preserve">in September 2020. </w:t>
      </w:r>
      <w:r w:rsidR="00D30874">
        <w:t>Our contractor</w:t>
      </w:r>
      <w:r w:rsidR="002E7973" w:rsidRPr="008851A7">
        <w:t xml:space="preserve"> </w:t>
      </w:r>
      <w:r w:rsidRPr="008851A7">
        <w:t xml:space="preserve">will summarize the results from </w:t>
      </w:r>
      <w:r w:rsidR="002E7973">
        <w:t xml:space="preserve">the </w:t>
      </w:r>
      <w:r w:rsidRPr="008851A7">
        <w:t xml:space="preserve">analyses in the form of two manuscripts for publication in a peer-reviewed journal, each focusing on a different research question and audience, and submit them to </w:t>
      </w:r>
      <w:r w:rsidR="00D30874">
        <w:t>us</w:t>
      </w:r>
      <w:r w:rsidR="00D30874" w:rsidRPr="008851A7">
        <w:t xml:space="preserve"> </w:t>
      </w:r>
      <w:r w:rsidRPr="008851A7">
        <w:t xml:space="preserve">in September 2020. </w:t>
      </w:r>
    </w:p>
    <w:p w14:paraId="188B2746" w14:textId="77777777" w:rsidR="000F2273" w:rsidRPr="008851A7" w:rsidRDefault="007A6D3B" w:rsidP="000175C5">
      <w:pPr>
        <w:pStyle w:val="H3Alpha"/>
      </w:pPr>
      <w:bookmarkStart w:id="31" w:name="_Toc265337"/>
      <w:r w:rsidRPr="008851A7">
        <w:t>A.</w:t>
      </w:r>
      <w:r w:rsidR="00A019E0" w:rsidRPr="008851A7">
        <w:t>17.</w:t>
      </w:r>
      <w:r w:rsidR="00221F32" w:rsidRPr="008851A7">
        <w:tab/>
      </w:r>
      <w:r w:rsidR="000F2273" w:rsidRPr="008851A7">
        <w:t xml:space="preserve">Display of OMB </w:t>
      </w:r>
      <w:r w:rsidR="002E385C" w:rsidRPr="008851A7">
        <w:t>e</w:t>
      </w:r>
      <w:r w:rsidR="000F2273" w:rsidRPr="008851A7">
        <w:t xml:space="preserve">xpiration </w:t>
      </w:r>
      <w:r w:rsidR="002E385C" w:rsidRPr="008851A7">
        <w:t>d</w:t>
      </w:r>
      <w:r w:rsidR="000F2273" w:rsidRPr="008851A7">
        <w:t>ate</w:t>
      </w:r>
      <w:bookmarkEnd w:id="30"/>
      <w:bookmarkEnd w:id="31"/>
      <w:r w:rsidR="00A019E0" w:rsidRPr="008851A7">
        <w:t xml:space="preserve"> </w:t>
      </w:r>
    </w:p>
    <w:p w14:paraId="2D6E5D1B" w14:textId="7174AF49" w:rsidR="000F2273" w:rsidRPr="008851A7" w:rsidRDefault="003978F0" w:rsidP="000F2273">
      <w:pPr>
        <w:pStyle w:val="NormalSS"/>
      </w:pPr>
      <w:r w:rsidRPr="008851A7">
        <w:t>We will display t</w:t>
      </w:r>
      <w:r w:rsidR="000F2273" w:rsidRPr="008851A7">
        <w:t xml:space="preserve">he OMB number and expiration date on every document. Interviewers will be able to access the OMB number and expiration date at any point in the </w:t>
      </w:r>
      <w:r w:rsidR="00226FD5" w:rsidRPr="008851A7">
        <w:t>interview</w:t>
      </w:r>
      <w:r w:rsidR="000F2273" w:rsidRPr="008851A7">
        <w:t>.</w:t>
      </w:r>
    </w:p>
    <w:p w14:paraId="7DF6A2E1" w14:textId="77777777" w:rsidR="000F2273" w:rsidRPr="008851A7" w:rsidRDefault="007A6D3B" w:rsidP="00FB76D9">
      <w:pPr>
        <w:pStyle w:val="H3Alpha"/>
      </w:pPr>
      <w:bookmarkStart w:id="32" w:name="_Toc306878132"/>
      <w:bookmarkStart w:id="33" w:name="_Toc265338"/>
      <w:r w:rsidRPr="008851A7">
        <w:t>A.</w:t>
      </w:r>
      <w:r w:rsidR="000F2273" w:rsidRPr="008851A7">
        <w:t>18.</w:t>
      </w:r>
      <w:r w:rsidR="00221F32" w:rsidRPr="008851A7">
        <w:tab/>
      </w:r>
      <w:r w:rsidR="000F2273" w:rsidRPr="008851A7">
        <w:t xml:space="preserve">Exceptions to </w:t>
      </w:r>
      <w:r w:rsidR="002E385C" w:rsidRPr="008851A7">
        <w:t>c</w:t>
      </w:r>
      <w:r w:rsidR="000F2273" w:rsidRPr="008851A7">
        <w:t xml:space="preserve">ertification for Paperwork Reduction Act </w:t>
      </w:r>
      <w:r w:rsidR="002E385C" w:rsidRPr="008851A7">
        <w:t>s</w:t>
      </w:r>
      <w:r w:rsidR="000F2273" w:rsidRPr="008851A7">
        <w:t>ubmissions</w:t>
      </w:r>
      <w:bookmarkEnd w:id="32"/>
      <w:bookmarkEnd w:id="33"/>
      <w:r w:rsidR="00A019E0" w:rsidRPr="008851A7">
        <w:t xml:space="preserve"> </w:t>
      </w:r>
    </w:p>
    <w:p w14:paraId="79D39C47" w14:textId="77777777" w:rsidR="00891E0C" w:rsidRPr="008851A7" w:rsidRDefault="000F2273" w:rsidP="005F19D7">
      <w:pPr>
        <w:pStyle w:val="NormalSS"/>
      </w:pPr>
      <w:r w:rsidRPr="008851A7">
        <w:t xml:space="preserve">Data collection efforts for </w:t>
      </w:r>
      <w:r w:rsidR="003978F0" w:rsidRPr="008851A7">
        <w:t>this study</w:t>
      </w:r>
      <w:r w:rsidR="00E35877" w:rsidRPr="008851A7">
        <w:t xml:space="preserve"> </w:t>
      </w:r>
      <w:r w:rsidRPr="008851A7">
        <w:t>will conform to all provisions of the Paperwork Reduction Act. No exceptions are being sought.</w:t>
      </w:r>
    </w:p>
    <w:sectPr w:rsidR="00891E0C" w:rsidRPr="008851A7" w:rsidSect="00042E51">
      <w:headerReference w:type="default" r:id="rId15"/>
      <w:footerReference w:type="default" r:id="rId16"/>
      <w:endnotePr>
        <w:numFmt w:val="decimal"/>
      </w:endnotePr>
      <w:pgSz w:w="12240" w:h="15840" w:code="1"/>
      <w:pgMar w:top="1440" w:right="1440" w:bottom="576" w:left="1440" w:header="72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7CCF5" w16cid:durableId="1FC26169"/>
  <w16cid:commentId w16cid:paraId="3751DBC6" w16cid:durableId="1FC26375"/>
  <w16cid:commentId w16cid:paraId="554395CF" w16cid:durableId="1FC2651F"/>
  <w16cid:commentId w16cid:paraId="1DFBA013" w16cid:durableId="1FC2A367"/>
  <w16cid:commentId w16cid:paraId="7A057520" w16cid:durableId="1FC4B79A"/>
  <w16cid:commentId w16cid:paraId="309AC42C" w16cid:durableId="1FC2A52D"/>
  <w16cid:commentId w16cid:paraId="6C56E7D9" w16cid:durableId="1FC2A5D3"/>
  <w16cid:commentId w16cid:paraId="52B81DA5" w16cid:durableId="1FC34D0F"/>
  <w16cid:commentId w16cid:paraId="6D1F81C6" w16cid:durableId="1FC34D75"/>
  <w16cid:commentId w16cid:paraId="42660C8D" w16cid:durableId="1FC34F54"/>
  <w16cid:commentId w16cid:paraId="3FF9CA4A" w16cid:durableId="1FC35053"/>
  <w16cid:commentId w16cid:paraId="71021255" w16cid:durableId="1FC38F55"/>
  <w16cid:commentId w16cid:paraId="07FA96C6" w16cid:durableId="1FC38B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F9E36" w14:textId="77777777" w:rsidR="00F011D9" w:rsidRDefault="00F011D9">
      <w:pPr>
        <w:spacing w:line="240" w:lineRule="auto"/>
        <w:ind w:firstLine="0"/>
      </w:pPr>
    </w:p>
  </w:endnote>
  <w:endnote w:type="continuationSeparator" w:id="0">
    <w:p w14:paraId="6612E490" w14:textId="77777777" w:rsidR="00F011D9" w:rsidRDefault="00F011D9">
      <w:pPr>
        <w:spacing w:line="240" w:lineRule="auto"/>
        <w:ind w:firstLine="0"/>
      </w:pPr>
    </w:p>
  </w:endnote>
  <w:endnote w:type="continuationNotice" w:id="1">
    <w:p w14:paraId="4A8110C1" w14:textId="77777777" w:rsidR="00F011D9" w:rsidRDefault="00F011D9">
      <w:pPr>
        <w:spacing w:line="240" w:lineRule="auto"/>
        <w:ind w:firstLine="0"/>
      </w:pPr>
    </w:p>
    <w:p w14:paraId="546CAB62" w14:textId="77777777" w:rsidR="00F011D9" w:rsidRDefault="00F011D9"/>
    <w:p w14:paraId="67F79E53" w14:textId="77777777" w:rsidR="00F011D9" w:rsidRDefault="00F011D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C:\Users\kbarrett\AppData\Local\Microsoft\Windows\INetCache\Content.Outlook\B4OSATBQ\Supporting Statement A_revised_11_5_post_omb_convo_CLEAN.docx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88E89" w14:textId="77777777" w:rsidR="00721F31" w:rsidRDefault="00721F31" w:rsidP="00042E51">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ADE71" w14:textId="77777777" w:rsidR="00721F31" w:rsidRPr="00891E0C" w:rsidRDefault="00721F31" w:rsidP="00042E51">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122A0" w14:textId="77777777" w:rsidR="00721F31" w:rsidRPr="00FC45AE" w:rsidRDefault="00721F31" w:rsidP="00FC45AE">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94A17" w14:textId="77777777" w:rsidR="00721F31" w:rsidRPr="00A12B64" w:rsidRDefault="00721F31" w:rsidP="00042E51">
    <w:pPr>
      <w:pStyle w:val="Footer"/>
      <w:pBdr>
        <w:bottom w:val="none" w:sz="0" w:space="0" w:color="auto"/>
      </w:pBdr>
      <w:tabs>
        <w:tab w:val="clear" w:pos="4320"/>
        <w:tab w:val="right" w:leader="underscore" w:pos="8539"/>
      </w:tabs>
      <w:spacing w:line="192" w:lineRule="auto"/>
      <w:rPr>
        <w:rFonts w:cs="Arial"/>
        <w:snapToGrid w:val="0"/>
        <w:szCs w:val="14"/>
      </w:rPr>
    </w:pPr>
  </w:p>
  <w:p w14:paraId="7A6C1EE8" w14:textId="77777777" w:rsidR="00721F31" w:rsidRDefault="00721F31" w:rsidP="00042E51">
    <w:pPr>
      <w:pStyle w:val="Footer"/>
      <w:pBdr>
        <w:top w:val="single" w:sz="2" w:space="1" w:color="auto"/>
        <w:bottom w:val="none" w:sz="0" w:space="0" w:color="auto"/>
      </w:pBdr>
      <w:spacing w:line="192" w:lineRule="auto"/>
      <w:rPr>
        <w:rStyle w:val="PageNumber"/>
      </w:rPr>
    </w:pPr>
  </w:p>
  <w:p w14:paraId="20EAA038" w14:textId="3761EBFA" w:rsidR="00721F31" w:rsidRPr="00891E0C" w:rsidRDefault="00721F31" w:rsidP="00042E51">
    <w:pPr>
      <w:pStyle w:val="Footer"/>
      <w:pBdr>
        <w:top w:val="single" w:sz="2" w:space="1" w:color="auto"/>
        <w:bottom w:val="none" w:sz="0" w:space="0" w:color="auto"/>
      </w:pBdr>
      <w:rPr>
        <w:rStyle w:val="PageNumber"/>
      </w:rP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57B5C">
      <w:rPr>
        <w:rStyle w:val="PageNumber"/>
        <w:noProof/>
      </w:rPr>
      <w:t>16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8A152" w14:textId="77777777" w:rsidR="00F011D9" w:rsidRDefault="00F011D9">
      <w:pPr>
        <w:spacing w:line="240" w:lineRule="auto"/>
        <w:ind w:firstLine="0"/>
      </w:pPr>
      <w:r>
        <w:separator/>
      </w:r>
    </w:p>
  </w:footnote>
  <w:footnote w:type="continuationSeparator" w:id="0">
    <w:p w14:paraId="4659FF8A" w14:textId="77777777" w:rsidR="00F011D9" w:rsidRDefault="00F011D9">
      <w:pPr>
        <w:spacing w:line="240" w:lineRule="auto"/>
        <w:ind w:firstLine="0"/>
      </w:pPr>
      <w:r>
        <w:separator/>
      </w:r>
    </w:p>
    <w:p w14:paraId="05AD188B" w14:textId="77777777" w:rsidR="00F011D9" w:rsidRDefault="00F011D9">
      <w:pPr>
        <w:spacing w:line="240" w:lineRule="auto"/>
        <w:ind w:firstLine="0"/>
        <w:rPr>
          <w:i/>
        </w:rPr>
      </w:pPr>
      <w:r>
        <w:rPr>
          <w:i/>
        </w:rPr>
        <w:t>(continued)</w:t>
      </w:r>
    </w:p>
  </w:footnote>
  <w:footnote w:type="continuationNotice" w:id="1">
    <w:p w14:paraId="18A25E47" w14:textId="77777777" w:rsidR="00F011D9" w:rsidRDefault="00F011D9">
      <w:pPr>
        <w:pStyle w:val="Footer"/>
      </w:pPr>
    </w:p>
  </w:footnote>
  <w:footnote w:id="2">
    <w:p w14:paraId="3CDD5806" w14:textId="77777777" w:rsidR="00721F31" w:rsidRPr="008A5009" w:rsidRDefault="00721F31" w:rsidP="00111346">
      <w:pPr>
        <w:pStyle w:val="FootnoteText"/>
      </w:pPr>
      <w:r>
        <w:rPr>
          <w:rStyle w:val="FootnoteReference"/>
        </w:rPr>
        <w:footnoteRef/>
      </w:r>
      <w:r>
        <w:t xml:space="preserve"> </w:t>
      </w:r>
      <w:r w:rsidRPr="008A5009">
        <w:t xml:space="preserve">Health Resources and Services Administration. “Ryan White HIV/AIDS Program Annual Client-Level </w:t>
      </w:r>
      <w:r>
        <w:t>Data Report 2017</w:t>
      </w:r>
      <w:r w:rsidRPr="008A5009">
        <w:t xml:space="preserve">.” Available at </w:t>
      </w:r>
      <w:hyperlink r:id="rId1" w:history="1">
        <w:r w:rsidRPr="00B93817">
          <w:rPr>
            <w:rStyle w:val="Hyperlink"/>
          </w:rPr>
          <w:t>https://hab.hrsa.gov/sites/default/files/hab/data/datareports/RWHAP-annual-client-level-data-report-2017.pdf</w:t>
        </w:r>
      </w:hyperlink>
      <w:r w:rsidRPr="008A5009">
        <w:t>.</w:t>
      </w:r>
    </w:p>
  </w:footnote>
  <w:footnote w:id="3">
    <w:p w14:paraId="4D00EB27" w14:textId="77777777" w:rsidR="009D1EF0" w:rsidRDefault="009D1EF0" w:rsidP="009D1EF0">
      <w:pPr>
        <w:pStyle w:val="FootnoteText"/>
      </w:pPr>
      <w:r>
        <w:rPr>
          <w:rStyle w:val="FootnoteReference"/>
        </w:rPr>
        <w:footnoteRef/>
      </w:r>
      <w:r>
        <w:t xml:space="preserve"> Personal communication with Robert Mills, PhD, HRSA Project Officer.</w:t>
      </w:r>
    </w:p>
  </w:footnote>
  <w:footnote w:id="4">
    <w:p w14:paraId="5EDD8B17" w14:textId="49AE1D71" w:rsidR="00721F31" w:rsidRDefault="00721F31">
      <w:pPr>
        <w:pStyle w:val="FootnoteText"/>
      </w:pPr>
      <w:r>
        <w:rPr>
          <w:rStyle w:val="FootnoteReference"/>
        </w:rPr>
        <w:footnoteRef/>
      </w:r>
      <w:r>
        <w:t xml:space="preserve"> </w:t>
      </w:r>
      <w:r w:rsidRPr="00EF0751">
        <w:t>https://www.hhs.gov/hipaa/for-professionals/special-topics/public-health/index.html</w:t>
      </w:r>
    </w:p>
  </w:footnote>
  <w:footnote w:id="5">
    <w:p w14:paraId="5C92636C" w14:textId="17D862CE" w:rsidR="00721F31" w:rsidRPr="00EB3A35" w:rsidRDefault="00721F31" w:rsidP="00CB3B02">
      <w:pPr>
        <w:pStyle w:val="FootnoteText"/>
        <w:spacing w:after="0"/>
        <w:rPr>
          <w:sz w:val="22"/>
          <w:szCs w:val="22"/>
        </w:rPr>
      </w:pPr>
      <w:r w:rsidRPr="00EB3A35">
        <w:rPr>
          <w:rStyle w:val="FootnoteReference"/>
          <w:sz w:val="22"/>
          <w:szCs w:val="22"/>
        </w:rPr>
        <w:footnoteRef/>
      </w:r>
      <w:r w:rsidRPr="00EB3A35">
        <w:rPr>
          <w:sz w:val="22"/>
          <w:szCs w:val="22"/>
        </w:rPr>
        <w:t xml:space="preserve"> </w:t>
      </w:r>
      <w:r w:rsidR="00C8755D" w:rsidRPr="00C8755D">
        <w:rPr>
          <w:rStyle w:val="Hyperlink"/>
          <w:sz w:val="22"/>
          <w:szCs w:val="22"/>
        </w:rPr>
        <w:t>http://www.bls.gov/oes/current/oes119111.htm</w:t>
      </w:r>
      <w:r w:rsidRPr="00EB3A35">
        <w:rPr>
          <w:sz w:val="22"/>
          <w:szCs w:val="22"/>
        </w:rPr>
        <w:t xml:space="preserve"> </w:t>
      </w:r>
    </w:p>
  </w:footnote>
  <w:footnote w:id="6">
    <w:p w14:paraId="76FCFBF3" w14:textId="635327BD" w:rsidR="00721F31" w:rsidRDefault="00721F31" w:rsidP="00CB3B02">
      <w:pPr>
        <w:pStyle w:val="FootnoteText"/>
        <w:spacing w:after="0"/>
      </w:pPr>
      <w:r>
        <w:rPr>
          <w:rStyle w:val="FootnoteReference"/>
        </w:rPr>
        <w:footnoteRef/>
      </w:r>
      <w:r>
        <w:t xml:space="preserve"> </w:t>
      </w:r>
      <w:r w:rsidR="00C8755D" w:rsidRPr="00C8755D">
        <w:rPr>
          <w:rStyle w:val="Hyperlink"/>
        </w:rPr>
        <w:t>https://www.bls.gov/oes/current/oes211029.htm</w:t>
      </w:r>
      <w:r>
        <w:t xml:space="preserve"> </w:t>
      </w:r>
    </w:p>
  </w:footnote>
  <w:footnote w:id="7">
    <w:p w14:paraId="625A91AF" w14:textId="082872A0" w:rsidR="00721F31" w:rsidRDefault="00721F31" w:rsidP="00CB3B02">
      <w:pPr>
        <w:pStyle w:val="FootnoteText"/>
        <w:spacing w:after="0"/>
      </w:pPr>
      <w:r w:rsidRPr="00EB3A35">
        <w:rPr>
          <w:rStyle w:val="FootnoteReference"/>
          <w:sz w:val="22"/>
          <w:szCs w:val="22"/>
        </w:rPr>
        <w:footnoteRef/>
      </w:r>
      <w:r w:rsidRPr="00EB3A35">
        <w:rPr>
          <w:sz w:val="22"/>
          <w:szCs w:val="22"/>
        </w:rPr>
        <w:t xml:space="preserve"> </w:t>
      </w:r>
      <w:r w:rsidR="00C8755D" w:rsidRPr="00C8755D">
        <w:rPr>
          <w:rStyle w:val="Hyperlink"/>
        </w:rPr>
        <w:t>https://www.bls.gov/ooh/healthcare/physicians-and-surgeons.htm</w:t>
      </w:r>
      <w:r>
        <w:t xml:space="preserve"> </w:t>
      </w:r>
    </w:p>
  </w:footnote>
  <w:footnote w:id="8">
    <w:p w14:paraId="4793E2E1" w14:textId="12C22C5C" w:rsidR="00721F31" w:rsidRDefault="00721F31">
      <w:pPr>
        <w:pStyle w:val="FootnoteText"/>
      </w:pPr>
      <w:r>
        <w:rPr>
          <w:rStyle w:val="FootnoteReference"/>
        </w:rPr>
        <w:footnoteRef/>
      </w:r>
      <w:r>
        <w:t xml:space="preserve"> </w:t>
      </w:r>
      <w:r w:rsidR="00C8755D" w:rsidRPr="00C8755D">
        <w:rPr>
          <w:rStyle w:val="Hyperlink"/>
        </w:rPr>
        <w:t>https://www.bls.gov/oes/current/oes_nat.htm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A690" w14:textId="77777777" w:rsidR="00721F31" w:rsidRDefault="00721F31" w:rsidP="00042E5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0DA2E" w14:textId="77777777" w:rsidR="00721F31" w:rsidRPr="00D91EF0" w:rsidRDefault="00721F31" w:rsidP="00042E51">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B0D30" w14:textId="77777777" w:rsidR="00721F31" w:rsidRPr="00D91EF0" w:rsidRDefault="00721F31" w:rsidP="00FC45AE">
    <w:pPr>
      <w:pStyle w:val="Header"/>
      <w:pBdr>
        <w:bottom w:val="none" w:sz="0" w:space="0" w:color="auto"/>
      </w:pBd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0F5D" w14:textId="77777777" w:rsidR="00721F31" w:rsidRPr="00D91EF0" w:rsidRDefault="00721F31" w:rsidP="003352D4">
    <w:pPr>
      <w:pStyle w:val="Header"/>
      <w:rPr>
        <w:szCs w:val="22"/>
      </w:rPr>
    </w:pPr>
    <w:r>
      <w:rPr>
        <w:szCs w:val="22"/>
      </w:rPr>
      <w:t>rwhap omb 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0A35038"/>
    <w:multiLevelType w:val="hybridMultilevel"/>
    <w:tmpl w:val="1788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8307C2E"/>
    <w:multiLevelType w:val="hybridMultilevel"/>
    <w:tmpl w:val="62CEF2FC"/>
    <w:lvl w:ilvl="0" w:tplc="485200A0">
      <w:start w:val="3"/>
      <w:numFmt w:val="upperLetter"/>
      <w:lvlText w:val="Scenario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98E46CF"/>
    <w:multiLevelType w:val="hybridMultilevel"/>
    <w:tmpl w:val="ADFC12B4"/>
    <w:lvl w:ilvl="0" w:tplc="319CA44E">
      <w:start w:val="1"/>
      <w:numFmt w:val="upperLetter"/>
      <w:lvlText w:val="Scenario %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095E73"/>
    <w:multiLevelType w:val="hybridMultilevel"/>
    <w:tmpl w:val="562420E8"/>
    <w:lvl w:ilvl="0" w:tplc="ED5ED90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9B690F"/>
    <w:multiLevelType w:val="hybridMultilevel"/>
    <w:tmpl w:val="79BCA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0"/>
  </w:num>
  <w:num w:numId="6">
    <w:abstractNumId w:val="1"/>
  </w:num>
  <w:num w:numId="7">
    <w:abstractNumId w:val="9"/>
  </w:num>
  <w:num w:numId="8">
    <w:abstractNumId w:val="11"/>
  </w:num>
  <w:num w:numId="9">
    <w:abstractNumId w:val="14"/>
  </w:num>
  <w:num w:numId="10">
    <w:abstractNumId w:val="8"/>
  </w:num>
  <w:num w:numId="11">
    <w:abstractNumId w:val="17"/>
  </w:num>
  <w:num w:numId="12">
    <w:abstractNumId w:val="15"/>
  </w:num>
  <w:num w:numId="13">
    <w:abstractNumId w:val="7"/>
  </w:num>
  <w:num w:numId="14">
    <w:abstractNumId w:val="4"/>
  </w:num>
  <w:num w:numId="15">
    <w:abstractNumId w:val="12"/>
  </w:num>
  <w:num w:numId="16">
    <w:abstractNumId w:val="6"/>
  </w:num>
  <w:num w:numId="17">
    <w:abstractNumId w:val="13"/>
  </w:num>
  <w:num w:numId="1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B2"/>
    <w:rsid w:val="0000019B"/>
    <w:rsid w:val="00000930"/>
    <w:rsid w:val="000015FB"/>
    <w:rsid w:val="00005F28"/>
    <w:rsid w:val="00005FBF"/>
    <w:rsid w:val="00006E1F"/>
    <w:rsid w:val="00007CA0"/>
    <w:rsid w:val="00010126"/>
    <w:rsid w:val="0001119F"/>
    <w:rsid w:val="00012372"/>
    <w:rsid w:val="00012863"/>
    <w:rsid w:val="00016461"/>
    <w:rsid w:val="00016C4B"/>
    <w:rsid w:val="000175C5"/>
    <w:rsid w:val="00017DD1"/>
    <w:rsid w:val="00021A62"/>
    <w:rsid w:val="00023832"/>
    <w:rsid w:val="000300AF"/>
    <w:rsid w:val="00032925"/>
    <w:rsid w:val="00037098"/>
    <w:rsid w:val="00037858"/>
    <w:rsid w:val="00037CF1"/>
    <w:rsid w:val="00042E51"/>
    <w:rsid w:val="00043519"/>
    <w:rsid w:val="00046CA3"/>
    <w:rsid w:val="00046E51"/>
    <w:rsid w:val="00047283"/>
    <w:rsid w:val="00050D0B"/>
    <w:rsid w:val="00052499"/>
    <w:rsid w:val="000537EA"/>
    <w:rsid w:val="00053968"/>
    <w:rsid w:val="00053E8B"/>
    <w:rsid w:val="0006178A"/>
    <w:rsid w:val="00063123"/>
    <w:rsid w:val="00063FEF"/>
    <w:rsid w:val="00066AB9"/>
    <w:rsid w:val="00067FCC"/>
    <w:rsid w:val="00072DF1"/>
    <w:rsid w:val="00075B50"/>
    <w:rsid w:val="000769A1"/>
    <w:rsid w:val="00076CF0"/>
    <w:rsid w:val="00080DFA"/>
    <w:rsid w:val="000812AE"/>
    <w:rsid w:val="00081D47"/>
    <w:rsid w:val="00090529"/>
    <w:rsid w:val="00091CC6"/>
    <w:rsid w:val="00095392"/>
    <w:rsid w:val="000A06C2"/>
    <w:rsid w:val="000A0810"/>
    <w:rsid w:val="000A4439"/>
    <w:rsid w:val="000A544F"/>
    <w:rsid w:val="000A7AF8"/>
    <w:rsid w:val="000B0784"/>
    <w:rsid w:val="000B1998"/>
    <w:rsid w:val="000B2BD0"/>
    <w:rsid w:val="000B3A77"/>
    <w:rsid w:val="000B43A1"/>
    <w:rsid w:val="000B5991"/>
    <w:rsid w:val="000B6345"/>
    <w:rsid w:val="000B7E70"/>
    <w:rsid w:val="000C0118"/>
    <w:rsid w:val="000C0E19"/>
    <w:rsid w:val="000C11FC"/>
    <w:rsid w:val="000C15B4"/>
    <w:rsid w:val="000C21AF"/>
    <w:rsid w:val="000C3145"/>
    <w:rsid w:val="000C38DC"/>
    <w:rsid w:val="000C70DC"/>
    <w:rsid w:val="000C72F8"/>
    <w:rsid w:val="000D08BD"/>
    <w:rsid w:val="000D16C3"/>
    <w:rsid w:val="000D2CEB"/>
    <w:rsid w:val="000D709F"/>
    <w:rsid w:val="000E1D9E"/>
    <w:rsid w:val="000E4D87"/>
    <w:rsid w:val="000E6D11"/>
    <w:rsid w:val="000E6D87"/>
    <w:rsid w:val="000E7507"/>
    <w:rsid w:val="000F05A1"/>
    <w:rsid w:val="000F2273"/>
    <w:rsid w:val="000F79B9"/>
    <w:rsid w:val="001001FA"/>
    <w:rsid w:val="001025A6"/>
    <w:rsid w:val="00103DBD"/>
    <w:rsid w:val="0010542B"/>
    <w:rsid w:val="00105D23"/>
    <w:rsid w:val="00106F42"/>
    <w:rsid w:val="001073C9"/>
    <w:rsid w:val="00107DAA"/>
    <w:rsid w:val="001110F1"/>
    <w:rsid w:val="00111346"/>
    <w:rsid w:val="001139E9"/>
    <w:rsid w:val="00114999"/>
    <w:rsid w:val="001168CF"/>
    <w:rsid w:val="00117C63"/>
    <w:rsid w:val="00123A45"/>
    <w:rsid w:val="00123EF4"/>
    <w:rsid w:val="00130424"/>
    <w:rsid w:val="00132223"/>
    <w:rsid w:val="0013282C"/>
    <w:rsid w:val="00132E2F"/>
    <w:rsid w:val="001332C0"/>
    <w:rsid w:val="00134BE4"/>
    <w:rsid w:val="00135AF5"/>
    <w:rsid w:val="00141646"/>
    <w:rsid w:val="00141705"/>
    <w:rsid w:val="00141A0B"/>
    <w:rsid w:val="001425AF"/>
    <w:rsid w:val="00142AE3"/>
    <w:rsid w:val="00142D33"/>
    <w:rsid w:val="00142F47"/>
    <w:rsid w:val="0014362E"/>
    <w:rsid w:val="00144DA7"/>
    <w:rsid w:val="0014512F"/>
    <w:rsid w:val="00150062"/>
    <w:rsid w:val="0015068F"/>
    <w:rsid w:val="00151A52"/>
    <w:rsid w:val="0015677A"/>
    <w:rsid w:val="00160306"/>
    <w:rsid w:val="00160E09"/>
    <w:rsid w:val="00162191"/>
    <w:rsid w:val="00163702"/>
    <w:rsid w:val="001723C5"/>
    <w:rsid w:val="00172D53"/>
    <w:rsid w:val="001770B3"/>
    <w:rsid w:val="00181F53"/>
    <w:rsid w:val="00182E12"/>
    <w:rsid w:val="0018484D"/>
    <w:rsid w:val="0018564C"/>
    <w:rsid w:val="00191893"/>
    <w:rsid w:val="00192426"/>
    <w:rsid w:val="001933B1"/>
    <w:rsid w:val="00193EDB"/>
    <w:rsid w:val="0019486F"/>
    <w:rsid w:val="00195C19"/>
    <w:rsid w:val="001A07D4"/>
    <w:rsid w:val="001A2C69"/>
    <w:rsid w:val="001A5E80"/>
    <w:rsid w:val="001A7601"/>
    <w:rsid w:val="001B2E1C"/>
    <w:rsid w:val="001B360E"/>
    <w:rsid w:val="001B63FB"/>
    <w:rsid w:val="001B7611"/>
    <w:rsid w:val="001B7ADA"/>
    <w:rsid w:val="001C6B6E"/>
    <w:rsid w:val="001C6D08"/>
    <w:rsid w:val="001D11DE"/>
    <w:rsid w:val="001D247C"/>
    <w:rsid w:val="001D2876"/>
    <w:rsid w:val="001D39D4"/>
    <w:rsid w:val="001D3C41"/>
    <w:rsid w:val="001D4B73"/>
    <w:rsid w:val="001D4E94"/>
    <w:rsid w:val="001D532A"/>
    <w:rsid w:val="001D634E"/>
    <w:rsid w:val="001E045B"/>
    <w:rsid w:val="001E0AB2"/>
    <w:rsid w:val="001E466A"/>
    <w:rsid w:val="001E64A1"/>
    <w:rsid w:val="001F16BC"/>
    <w:rsid w:val="001F2FED"/>
    <w:rsid w:val="001F5410"/>
    <w:rsid w:val="00200B10"/>
    <w:rsid w:val="00200CC4"/>
    <w:rsid w:val="00204BA2"/>
    <w:rsid w:val="002053F3"/>
    <w:rsid w:val="0020644B"/>
    <w:rsid w:val="00210DAA"/>
    <w:rsid w:val="00211E16"/>
    <w:rsid w:val="00213D14"/>
    <w:rsid w:val="00213F3F"/>
    <w:rsid w:val="00214031"/>
    <w:rsid w:val="0021430D"/>
    <w:rsid w:val="00215381"/>
    <w:rsid w:val="002179B4"/>
    <w:rsid w:val="002202F3"/>
    <w:rsid w:val="00221C52"/>
    <w:rsid w:val="00221F32"/>
    <w:rsid w:val="002221A7"/>
    <w:rsid w:val="00223990"/>
    <w:rsid w:val="0022402B"/>
    <w:rsid w:val="002253E1"/>
    <w:rsid w:val="00226FD5"/>
    <w:rsid w:val="002317B6"/>
    <w:rsid w:val="002330BD"/>
    <w:rsid w:val="00236122"/>
    <w:rsid w:val="00237F6F"/>
    <w:rsid w:val="00242001"/>
    <w:rsid w:val="00242253"/>
    <w:rsid w:val="00243909"/>
    <w:rsid w:val="00243DEE"/>
    <w:rsid w:val="00244706"/>
    <w:rsid w:val="0024523F"/>
    <w:rsid w:val="00247510"/>
    <w:rsid w:val="0025182E"/>
    <w:rsid w:val="002529B7"/>
    <w:rsid w:val="00253083"/>
    <w:rsid w:val="00253CAA"/>
    <w:rsid w:val="00256254"/>
    <w:rsid w:val="002563C5"/>
    <w:rsid w:val="002613D2"/>
    <w:rsid w:val="00262824"/>
    <w:rsid w:val="00264716"/>
    <w:rsid w:val="00264C45"/>
    <w:rsid w:val="00265EE5"/>
    <w:rsid w:val="00267F6C"/>
    <w:rsid w:val="00270117"/>
    <w:rsid w:val="00270635"/>
    <w:rsid w:val="00271B2B"/>
    <w:rsid w:val="002735F9"/>
    <w:rsid w:val="00280AB2"/>
    <w:rsid w:val="002812A2"/>
    <w:rsid w:val="00281C08"/>
    <w:rsid w:val="00282FD0"/>
    <w:rsid w:val="002837D2"/>
    <w:rsid w:val="00284557"/>
    <w:rsid w:val="002849EE"/>
    <w:rsid w:val="002853B1"/>
    <w:rsid w:val="00287FD7"/>
    <w:rsid w:val="00290A63"/>
    <w:rsid w:val="002921C5"/>
    <w:rsid w:val="0029335E"/>
    <w:rsid w:val="00293CA6"/>
    <w:rsid w:val="002942FB"/>
    <w:rsid w:val="002A0847"/>
    <w:rsid w:val="002A1ADA"/>
    <w:rsid w:val="002A28C9"/>
    <w:rsid w:val="002A70E7"/>
    <w:rsid w:val="002A7359"/>
    <w:rsid w:val="002B1593"/>
    <w:rsid w:val="002B3FC9"/>
    <w:rsid w:val="002B68A5"/>
    <w:rsid w:val="002B6DA0"/>
    <w:rsid w:val="002B79A6"/>
    <w:rsid w:val="002C413C"/>
    <w:rsid w:val="002C4990"/>
    <w:rsid w:val="002C4B34"/>
    <w:rsid w:val="002C593B"/>
    <w:rsid w:val="002C64E8"/>
    <w:rsid w:val="002C6900"/>
    <w:rsid w:val="002C7011"/>
    <w:rsid w:val="002C734A"/>
    <w:rsid w:val="002D05F0"/>
    <w:rsid w:val="002D0A34"/>
    <w:rsid w:val="002D279D"/>
    <w:rsid w:val="002D5123"/>
    <w:rsid w:val="002D6999"/>
    <w:rsid w:val="002D789C"/>
    <w:rsid w:val="002E385C"/>
    <w:rsid w:val="002E5F10"/>
    <w:rsid w:val="002E706C"/>
    <w:rsid w:val="002E7973"/>
    <w:rsid w:val="002E7C38"/>
    <w:rsid w:val="002E7D29"/>
    <w:rsid w:val="002F1319"/>
    <w:rsid w:val="002F1E71"/>
    <w:rsid w:val="002F2386"/>
    <w:rsid w:val="002F36AD"/>
    <w:rsid w:val="002F440B"/>
    <w:rsid w:val="002F60A0"/>
    <w:rsid w:val="002F71D4"/>
    <w:rsid w:val="002F7C83"/>
    <w:rsid w:val="00300CE3"/>
    <w:rsid w:val="00301596"/>
    <w:rsid w:val="00303CF8"/>
    <w:rsid w:val="00313671"/>
    <w:rsid w:val="00313E69"/>
    <w:rsid w:val="00314255"/>
    <w:rsid w:val="003142E6"/>
    <w:rsid w:val="00317EDA"/>
    <w:rsid w:val="00320EB3"/>
    <w:rsid w:val="0032273D"/>
    <w:rsid w:val="00323932"/>
    <w:rsid w:val="003243B6"/>
    <w:rsid w:val="003262ED"/>
    <w:rsid w:val="0033248B"/>
    <w:rsid w:val="003329E8"/>
    <w:rsid w:val="003352D4"/>
    <w:rsid w:val="00336320"/>
    <w:rsid w:val="00336A60"/>
    <w:rsid w:val="00342CD8"/>
    <w:rsid w:val="00343A0C"/>
    <w:rsid w:val="0034438C"/>
    <w:rsid w:val="0034790C"/>
    <w:rsid w:val="00350399"/>
    <w:rsid w:val="00350DE4"/>
    <w:rsid w:val="00350E63"/>
    <w:rsid w:val="00353544"/>
    <w:rsid w:val="00353E51"/>
    <w:rsid w:val="00354942"/>
    <w:rsid w:val="00354C34"/>
    <w:rsid w:val="0035674B"/>
    <w:rsid w:val="00356AEE"/>
    <w:rsid w:val="00357B5C"/>
    <w:rsid w:val="00357CD1"/>
    <w:rsid w:val="003601A6"/>
    <w:rsid w:val="003607F3"/>
    <w:rsid w:val="00362133"/>
    <w:rsid w:val="00367D38"/>
    <w:rsid w:val="00367D68"/>
    <w:rsid w:val="00372AB1"/>
    <w:rsid w:val="00374181"/>
    <w:rsid w:val="00374549"/>
    <w:rsid w:val="00375EF8"/>
    <w:rsid w:val="00377293"/>
    <w:rsid w:val="00381A96"/>
    <w:rsid w:val="00381B5C"/>
    <w:rsid w:val="00386508"/>
    <w:rsid w:val="0039109D"/>
    <w:rsid w:val="00394752"/>
    <w:rsid w:val="00394AA4"/>
    <w:rsid w:val="00394EC6"/>
    <w:rsid w:val="00395EBE"/>
    <w:rsid w:val="003978F0"/>
    <w:rsid w:val="003A1506"/>
    <w:rsid w:val="003A1774"/>
    <w:rsid w:val="003A17E0"/>
    <w:rsid w:val="003A26BB"/>
    <w:rsid w:val="003A37F9"/>
    <w:rsid w:val="003A510F"/>
    <w:rsid w:val="003A5BD3"/>
    <w:rsid w:val="003B0CEE"/>
    <w:rsid w:val="003B1A29"/>
    <w:rsid w:val="003B1FFC"/>
    <w:rsid w:val="003B303A"/>
    <w:rsid w:val="003B55C9"/>
    <w:rsid w:val="003B5782"/>
    <w:rsid w:val="003B6E6B"/>
    <w:rsid w:val="003B77D0"/>
    <w:rsid w:val="003C0326"/>
    <w:rsid w:val="003C0A5F"/>
    <w:rsid w:val="003C0A84"/>
    <w:rsid w:val="003C25CE"/>
    <w:rsid w:val="003C27A1"/>
    <w:rsid w:val="003C2A99"/>
    <w:rsid w:val="003C4EF7"/>
    <w:rsid w:val="003C57EB"/>
    <w:rsid w:val="003D17C8"/>
    <w:rsid w:val="003D3478"/>
    <w:rsid w:val="003D44C4"/>
    <w:rsid w:val="003D660D"/>
    <w:rsid w:val="003D6988"/>
    <w:rsid w:val="003D77B2"/>
    <w:rsid w:val="003E03B0"/>
    <w:rsid w:val="003E0A97"/>
    <w:rsid w:val="003E0D48"/>
    <w:rsid w:val="003E10A4"/>
    <w:rsid w:val="003E4DE6"/>
    <w:rsid w:val="003E79C2"/>
    <w:rsid w:val="003F3C11"/>
    <w:rsid w:val="00401627"/>
    <w:rsid w:val="00404D84"/>
    <w:rsid w:val="004055CD"/>
    <w:rsid w:val="0040780A"/>
    <w:rsid w:val="00407BBB"/>
    <w:rsid w:val="00410D8F"/>
    <w:rsid w:val="00410F60"/>
    <w:rsid w:val="004118E0"/>
    <w:rsid w:val="00412808"/>
    <w:rsid w:val="00412D08"/>
    <w:rsid w:val="00413093"/>
    <w:rsid w:val="00414FF6"/>
    <w:rsid w:val="004178CB"/>
    <w:rsid w:val="00417B7A"/>
    <w:rsid w:val="0042039D"/>
    <w:rsid w:val="00420AC7"/>
    <w:rsid w:val="00422DF1"/>
    <w:rsid w:val="0042391D"/>
    <w:rsid w:val="0042461E"/>
    <w:rsid w:val="00425E12"/>
    <w:rsid w:val="0042659B"/>
    <w:rsid w:val="00426B1B"/>
    <w:rsid w:val="004338D1"/>
    <w:rsid w:val="004360F1"/>
    <w:rsid w:val="0043712B"/>
    <w:rsid w:val="00440709"/>
    <w:rsid w:val="00441988"/>
    <w:rsid w:val="00443827"/>
    <w:rsid w:val="00443873"/>
    <w:rsid w:val="0044551C"/>
    <w:rsid w:val="00446472"/>
    <w:rsid w:val="00446860"/>
    <w:rsid w:val="00446CE2"/>
    <w:rsid w:val="00447C62"/>
    <w:rsid w:val="00450873"/>
    <w:rsid w:val="00451062"/>
    <w:rsid w:val="00452390"/>
    <w:rsid w:val="00455C51"/>
    <w:rsid w:val="00455C7B"/>
    <w:rsid w:val="0045626C"/>
    <w:rsid w:val="004573B3"/>
    <w:rsid w:val="00461452"/>
    <w:rsid w:val="00461E3F"/>
    <w:rsid w:val="00463045"/>
    <w:rsid w:val="00466CFA"/>
    <w:rsid w:val="004674D0"/>
    <w:rsid w:val="0047167D"/>
    <w:rsid w:val="004719DD"/>
    <w:rsid w:val="0047398E"/>
    <w:rsid w:val="00474405"/>
    <w:rsid w:val="0047478B"/>
    <w:rsid w:val="00475483"/>
    <w:rsid w:val="00475863"/>
    <w:rsid w:val="00476224"/>
    <w:rsid w:val="00476CB1"/>
    <w:rsid w:val="00487EAF"/>
    <w:rsid w:val="00490847"/>
    <w:rsid w:val="00492B73"/>
    <w:rsid w:val="00494DE9"/>
    <w:rsid w:val="004977E3"/>
    <w:rsid w:val="004A0392"/>
    <w:rsid w:val="004A071B"/>
    <w:rsid w:val="004A46CC"/>
    <w:rsid w:val="004B0C56"/>
    <w:rsid w:val="004B0D54"/>
    <w:rsid w:val="004B3B04"/>
    <w:rsid w:val="004B7781"/>
    <w:rsid w:val="004C095A"/>
    <w:rsid w:val="004C4762"/>
    <w:rsid w:val="004C4A75"/>
    <w:rsid w:val="004C6B95"/>
    <w:rsid w:val="004D62CD"/>
    <w:rsid w:val="004E1167"/>
    <w:rsid w:val="004E1FB7"/>
    <w:rsid w:val="004E2E87"/>
    <w:rsid w:val="004E5746"/>
    <w:rsid w:val="004E7D79"/>
    <w:rsid w:val="004F0B74"/>
    <w:rsid w:val="004F0C71"/>
    <w:rsid w:val="004F493C"/>
    <w:rsid w:val="004F630B"/>
    <w:rsid w:val="004F7785"/>
    <w:rsid w:val="005001A3"/>
    <w:rsid w:val="0050112B"/>
    <w:rsid w:val="005034CB"/>
    <w:rsid w:val="00505470"/>
    <w:rsid w:val="005066FC"/>
    <w:rsid w:val="0050796A"/>
    <w:rsid w:val="00511D85"/>
    <w:rsid w:val="0051403C"/>
    <w:rsid w:val="005145B7"/>
    <w:rsid w:val="00514703"/>
    <w:rsid w:val="00517025"/>
    <w:rsid w:val="0052213A"/>
    <w:rsid w:val="0052312C"/>
    <w:rsid w:val="00525772"/>
    <w:rsid w:val="00527A07"/>
    <w:rsid w:val="00530955"/>
    <w:rsid w:val="00531424"/>
    <w:rsid w:val="005320BB"/>
    <w:rsid w:val="00532A31"/>
    <w:rsid w:val="00537F22"/>
    <w:rsid w:val="00542523"/>
    <w:rsid w:val="005429D9"/>
    <w:rsid w:val="00544133"/>
    <w:rsid w:val="005458EE"/>
    <w:rsid w:val="00550097"/>
    <w:rsid w:val="00552A9D"/>
    <w:rsid w:val="00552F38"/>
    <w:rsid w:val="00557BBE"/>
    <w:rsid w:val="00557FE1"/>
    <w:rsid w:val="005604DC"/>
    <w:rsid w:val="0056186F"/>
    <w:rsid w:val="00562C07"/>
    <w:rsid w:val="005637D0"/>
    <w:rsid w:val="0056487B"/>
    <w:rsid w:val="00565675"/>
    <w:rsid w:val="00571105"/>
    <w:rsid w:val="00575C45"/>
    <w:rsid w:val="00576C4F"/>
    <w:rsid w:val="00577A9F"/>
    <w:rsid w:val="005811B3"/>
    <w:rsid w:val="00581EE2"/>
    <w:rsid w:val="00582CD2"/>
    <w:rsid w:val="00583141"/>
    <w:rsid w:val="005832BC"/>
    <w:rsid w:val="00583B02"/>
    <w:rsid w:val="00584664"/>
    <w:rsid w:val="005866BE"/>
    <w:rsid w:val="0058753C"/>
    <w:rsid w:val="00591AE6"/>
    <w:rsid w:val="00592E1A"/>
    <w:rsid w:val="005944EC"/>
    <w:rsid w:val="00594C44"/>
    <w:rsid w:val="00596D71"/>
    <w:rsid w:val="00597C9C"/>
    <w:rsid w:val="00597FEB"/>
    <w:rsid w:val="005A0AAB"/>
    <w:rsid w:val="005A19C0"/>
    <w:rsid w:val="005A1E10"/>
    <w:rsid w:val="005A2799"/>
    <w:rsid w:val="005A3631"/>
    <w:rsid w:val="005A3D02"/>
    <w:rsid w:val="005A4A8A"/>
    <w:rsid w:val="005A4E2C"/>
    <w:rsid w:val="005A52EB"/>
    <w:rsid w:val="005A66CB"/>
    <w:rsid w:val="005A79B2"/>
    <w:rsid w:val="005B0472"/>
    <w:rsid w:val="005B0641"/>
    <w:rsid w:val="005B12CD"/>
    <w:rsid w:val="005B1798"/>
    <w:rsid w:val="005B1B69"/>
    <w:rsid w:val="005B2599"/>
    <w:rsid w:val="005C085D"/>
    <w:rsid w:val="005C228F"/>
    <w:rsid w:val="005C272F"/>
    <w:rsid w:val="005C50CA"/>
    <w:rsid w:val="005D01A8"/>
    <w:rsid w:val="005D47B3"/>
    <w:rsid w:val="005D5A97"/>
    <w:rsid w:val="005E05D8"/>
    <w:rsid w:val="005E1375"/>
    <w:rsid w:val="005E3F81"/>
    <w:rsid w:val="005E41E6"/>
    <w:rsid w:val="005E7695"/>
    <w:rsid w:val="005F1181"/>
    <w:rsid w:val="005F162C"/>
    <w:rsid w:val="005F19D7"/>
    <w:rsid w:val="005F3C55"/>
    <w:rsid w:val="005F430F"/>
    <w:rsid w:val="005F53E1"/>
    <w:rsid w:val="005F6935"/>
    <w:rsid w:val="005F7878"/>
    <w:rsid w:val="00600494"/>
    <w:rsid w:val="0060622B"/>
    <w:rsid w:val="006101DE"/>
    <w:rsid w:val="00610D4D"/>
    <w:rsid w:val="006150A8"/>
    <w:rsid w:val="00615773"/>
    <w:rsid w:val="00617A22"/>
    <w:rsid w:val="00620503"/>
    <w:rsid w:val="006207D0"/>
    <w:rsid w:val="0062522C"/>
    <w:rsid w:val="0062568C"/>
    <w:rsid w:val="00626C58"/>
    <w:rsid w:val="0063168E"/>
    <w:rsid w:val="006318B0"/>
    <w:rsid w:val="00635EC3"/>
    <w:rsid w:val="00636860"/>
    <w:rsid w:val="00636E0B"/>
    <w:rsid w:val="00636EDC"/>
    <w:rsid w:val="00637373"/>
    <w:rsid w:val="00637A61"/>
    <w:rsid w:val="0064008B"/>
    <w:rsid w:val="00640E26"/>
    <w:rsid w:val="0064188D"/>
    <w:rsid w:val="00641AC0"/>
    <w:rsid w:val="00641D4A"/>
    <w:rsid w:val="006449FE"/>
    <w:rsid w:val="0064524A"/>
    <w:rsid w:val="00645FA6"/>
    <w:rsid w:val="006463AA"/>
    <w:rsid w:val="00646AA1"/>
    <w:rsid w:val="00651CBD"/>
    <w:rsid w:val="00654594"/>
    <w:rsid w:val="00654C11"/>
    <w:rsid w:val="00655347"/>
    <w:rsid w:val="00656171"/>
    <w:rsid w:val="006571CE"/>
    <w:rsid w:val="00665738"/>
    <w:rsid w:val="00666769"/>
    <w:rsid w:val="00670448"/>
    <w:rsid w:val="006714AC"/>
    <w:rsid w:val="00671E2B"/>
    <w:rsid w:val="00672F90"/>
    <w:rsid w:val="0067684B"/>
    <w:rsid w:val="006777D9"/>
    <w:rsid w:val="00677990"/>
    <w:rsid w:val="00677AC5"/>
    <w:rsid w:val="00677BF6"/>
    <w:rsid w:val="006823EE"/>
    <w:rsid w:val="006824AB"/>
    <w:rsid w:val="00682BCD"/>
    <w:rsid w:val="006857E1"/>
    <w:rsid w:val="0068692D"/>
    <w:rsid w:val="00690B16"/>
    <w:rsid w:val="00690B57"/>
    <w:rsid w:val="00690DD5"/>
    <w:rsid w:val="0069315F"/>
    <w:rsid w:val="006959AF"/>
    <w:rsid w:val="006A16BA"/>
    <w:rsid w:val="006A1ED7"/>
    <w:rsid w:val="006A3DE8"/>
    <w:rsid w:val="006A406C"/>
    <w:rsid w:val="006A5367"/>
    <w:rsid w:val="006A574E"/>
    <w:rsid w:val="006A65E7"/>
    <w:rsid w:val="006A7614"/>
    <w:rsid w:val="006B0652"/>
    <w:rsid w:val="006B2B5D"/>
    <w:rsid w:val="006B43E8"/>
    <w:rsid w:val="006B4A56"/>
    <w:rsid w:val="006B61AD"/>
    <w:rsid w:val="006C02DC"/>
    <w:rsid w:val="006C0DCC"/>
    <w:rsid w:val="006C1321"/>
    <w:rsid w:val="006C52E4"/>
    <w:rsid w:val="006C5B99"/>
    <w:rsid w:val="006C5F78"/>
    <w:rsid w:val="006D3CCE"/>
    <w:rsid w:val="006D413F"/>
    <w:rsid w:val="006D4428"/>
    <w:rsid w:val="006D44FA"/>
    <w:rsid w:val="006D4E44"/>
    <w:rsid w:val="006D55F2"/>
    <w:rsid w:val="006D67B8"/>
    <w:rsid w:val="006D6B4E"/>
    <w:rsid w:val="006E2484"/>
    <w:rsid w:val="006E24EE"/>
    <w:rsid w:val="006E2AEF"/>
    <w:rsid w:val="006E3DE1"/>
    <w:rsid w:val="006E4976"/>
    <w:rsid w:val="006E7400"/>
    <w:rsid w:val="006F053F"/>
    <w:rsid w:val="006F0832"/>
    <w:rsid w:val="006F168E"/>
    <w:rsid w:val="006F24DF"/>
    <w:rsid w:val="006F5A1E"/>
    <w:rsid w:val="006F606B"/>
    <w:rsid w:val="006F6D44"/>
    <w:rsid w:val="00700739"/>
    <w:rsid w:val="007027AA"/>
    <w:rsid w:val="00702D34"/>
    <w:rsid w:val="00702D68"/>
    <w:rsid w:val="00707664"/>
    <w:rsid w:val="00711CA6"/>
    <w:rsid w:val="0071244B"/>
    <w:rsid w:val="007124A3"/>
    <w:rsid w:val="00712A21"/>
    <w:rsid w:val="00712BB2"/>
    <w:rsid w:val="00717B10"/>
    <w:rsid w:val="00720A3E"/>
    <w:rsid w:val="00720F11"/>
    <w:rsid w:val="007214EF"/>
    <w:rsid w:val="007218F5"/>
    <w:rsid w:val="00721F31"/>
    <w:rsid w:val="00723C00"/>
    <w:rsid w:val="007252F7"/>
    <w:rsid w:val="00726DD4"/>
    <w:rsid w:val="00727FBC"/>
    <w:rsid w:val="0073076D"/>
    <w:rsid w:val="00730892"/>
    <w:rsid w:val="00731A4C"/>
    <w:rsid w:val="00742342"/>
    <w:rsid w:val="00742C8C"/>
    <w:rsid w:val="00743504"/>
    <w:rsid w:val="00744CFB"/>
    <w:rsid w:val="0074653C"/>
    <w:rsid w:val="00747001"/>
    <w:rsid w:val="0074778F"/>
    <w:rsid w:val="00747820"/>
    <w:rsid w:val="00747B99"/>
    <w:rsid w:val="007525FD"/>
    <w:rsid w:val="00754E03"/>
    <w:rsid w:val="00763A57"/>
    <w:rsid w:val="007657DF"/>
    <w:rsid w:val="00773734"/>
    <w:rsid w:val="007761AF"/>
    <w:rsid w:val="0078127B"/>
    <w:rsid w:val="00784BA2"/>
    <w:rsid w:val="00785AB0"/>
    <w:rsid w:val="007877F3"/>
    <w:rsid w:val="007902B0"/>
    <w:rsid w:val="007906CE"/>
    <w:rsid w:val="00795293"/>
    <w:rsid w:val="007959C1"/>
    <w:rsid w:val="007A5803"/>
    <w:rsid w:val="007A6D3B"/>
    <w:rsid w:val="007B0068"/>
    <w:rsid w:val="007B2015"/>
    <w:rsid w:val="007B2F7F"/>
    <w:rsid w:val="007B37CB"/>
    <w:rsid w:val="007B47B3"/>
    <w:rsid w:val="007B51BA"/>
    <w:rsid w:val="007B53AC"/>
    <w:rsid w:val="007B5799"/>
    <w:rsid w:val="007B6D9E"/>
    <w:rsid w:val="007B705F"/>
    <w:rsid w:val="007B7749"/>
    <w:rsid w:val="007B77BE"/>
    <w:rsid w:val="007C0CD8"/>
    <w:rsid w:val="007C1E2F"/>
    <w:rsid w:val="007C21D9"/>
    <w:rsid w:val="007C3668"/>
    <w:rsid w:val="007C39E6"/>
    <w:rsid w:val="007C4167"/>
    <w:rsid w:val="007C5524"/>
    <w:rsid w:val="007C5D87"/>
    <w:rsid w:val="007D1991"/>
    <w:rsid w:val="007D1EA9"/>
    <w:rsid w:val="007D3520"/>
    <w:rsid w:val="007D4181"/>
    <w:rsid w:val="007D4918"/>
    <w:rsid w:val="007D4EE1"/>
    <w:rsid w:val="007D64C8"/>
    <w:rsid w:val="007E03F3"/>
    <w:rsid w:val="007E13D7"/>
    <w:rsid w:val="007E1553"/>
    <w:rsid w:val="007E4B90"/>
    <w:rsid w:val="007E53D9"/>
    <w:rsid w:val="007E6611"/>
    <w:rsid w:val="007E6625"/>
    <w:rsid w:val="007F005E"/>
    <w:rsid w:val="007F0AF5"/>
    <w:rsid w:val="007F0DA1"/>
    <w:rsid w:val="007F1C0F"/>
    <w:rsid w:val="007F1EC4"/>
    <w:rsid w:val="007F2742"/>
    <w:rsid w:val="007F3E0A"/>
    <w:rsid w:val="007F4323"/>
    <w:rsid w:val="007F48D8"/>
    <w:rsid w:val="007F58E6"/>
    <w:rsid w:val="007F686C"/>
    <w:rsid w:val="007F76BA"/>
    <w:rsid w:val="007F7BD6"/>
    <w:rsid w:val="0080100E"/>
    <w:rsid w:val="008021F8"/>
    <w:rsid w:val="008035BB"/>
    <w:rsid w:val="00806376"/>
    <w:rsid w:val="00810369"/>
    <w:rsid w:val="008125C9"/>
    <w:rsid w:val="00813568"/>
    <w:rsid w:val="00815170"/>
    <w:rsid w:val="00815ABB"/>
    <w:rsid w:val="008166FB"/>
    <w:rsid w:val="008169DF"/>
    <w:rsid w:val="00816DF1"/>
    <w:rsid w:val="00817673"/>
    <w:rsid w:val="00817C1F"/>
    <w:rsid w:val="00821DD9"/>
    <w:rsid w:val="008264D0"/>
    <w:rsid w:val="008328FA"/>
    <w:rsid w:val="00833128"/>
    <w:rsid w:val="00833D20"/>
    <w:rsid w:val="0083465A"/>
    <w:rsid w:val="008363B5"/>
    <w:rsid w:val="00840942"/>
    <w:rsid w:val="00840E7C"/>
    <w:rsid w:val="008421A1"/>
    <w:rsid w:val="008432EE"/>
    <w:rsid w:val="00845C01"/>
    <w:rsid w:val="00850CF2"/>
    <w:rsid w:val="00850ECA"/>
    <w:rsid w:val="00851DFB"/>
    <w:rsid w:val="00854373"/>
    <w:rsid w:val="00855573"/>
    <w:rsid w:val="00857845"/>
    <w:rsid w:val="0086108C"/>
    <w:rsid w:val="008614BB"/>
    <w:rsid w:val="0086314C"/>
    <w:rsid w:val="008633A2"/>
    <w:rsid w:val="0086519F"/>
    <w:rsid w:val="00865D38"/>
    <w:rsid w:val="008663FA"/>
    <w:rsid w:val="008709D6"/>
    <w:rsid w:val="00873331"/>
    <w:rsid w:val="00873713"/>
    <w:rsid w:val="00873CCE"/>
    <w:rsid w:val="00874265"/>
    <w:rsid w:val="008750FD"/>
    <w:rsid w:val="00877101"/>
    <w:rsid w:val="00880A7C"/>
    <w:rsid w:val="00881F80"/>
    <w:rsid w:val="00883BD4"/>
    <w:rsid w:val="008840EE"/>
    <w:rsid w:val="008851A7"/>
    <w:rsid w:val="00885335"/>
    <w:rsid w:val="008864A9"/>
    <w:rsid w:val="00887A63"/>
    <w:rsid w:val="00891E0C"/>
    <w:rsid w:val="00893B1D"/>
    <w:rsid w:val="00894485"/>
    <w:rsid w:val="00895A2A"/>
    <w:rsid w:val="008A04A8"/>
    <w:rsid w:val="008A0C7A"/>
    <w:rsid w:val="008A3B53"/>
    <w:rsid w:val="008A5C60"/>
    <w:rsid w:val="008A647E"/>
    <w:rsid w:val="008B032B"/>
    <w:rsid w:val="008B1F5A"/>
    <w:rsid w:val="008B2924"/>
    <w:rsid w:val="008B31F6"/>
    <w:rsid w:val="008B43D6"/>
    <w:rsid w:val="008B46DA"/>
    <w:rsid w:val="008B4D4F"/>
    <w:rsid w:val="008B5BAB"/>
    <w:rsid w:val="008C0261"/>
    <w:rsid w:val="008C0E52"/>
    <w:rsid w:val="008C0EA3"/>
    <w:rsid w:val="008C19DF"/>
    <w:rsid w:val="008C2A9A"/>
    <w:rsid w:val="008C4666"/>
    <w:rsid w:val="008C4ABA"/>
    <w:rsid w:val="008C6C70"/>
    <w:rsid w:val="008D0DC0"/>
    <w:rsid w:val="008D129A"/>
    <w:rsid w:val="008D1D29"/>
    <w:rsid w:val="008D5B53"/>
    <w:rsid w:val="008E12AE"/>
    <w:rsid w:val="008E27F1"/>
    <w:rsid w:val="008E2D7E"/>
    <w:rsid w:val="008E4E7E"/>
    <w:rsid w:val="008E602B"/>
    <w:rsid w:val="008F055B"/>
    <w:rsid w:val="008F0865"/>
    <w:rsid w:val="008F312B"/>
    <w:rsid w:val="008F3C4B"/>
    <w:rsid w:val="008F5A8F"/>
    <w:rsid w:val="009009D0"/>
    <w:rsid w:val="00902B68"/>
    <w:rsid w:val="00902D06"/>
    <w:rsid w:val="00903CAA"/>
    <w:rsid w:val="00912344"/>
    <w:rsid w:val="009123C2"/>
    <w:rsid w:val="009156D2"/>
    <w:rsid w:val="009175E9"/>
    <w:rsid w:val="00921338"/>
    <w:rsid w:val="0092134D"/>
    <w:rsid w:val="009231AA"/>
    <w:rsid w:val="00926A67"/>
    <w:rsid w:val="0092794B"/>
    <w:rsid w:val="00931BDB"/>
    <w:rsid w:val="00933AA1"/>
    <w:rsid w:val="00936037"/>
    <w:rsid w:val="009374E4"/>
    <w:rsid w:val="00942F0D"/>
    <w:rsid w:val="00943FF6"/>
    <w:rsid w:val="00944D67"/>
    <w:rsid w:val="00945642"/>
    <w:rsid w:val="00945D20"/>
    <w:rsid w:val="009504A7"/>
    <w:rsid w:val="00952494"/>
    <w:rsid w:val="009527CF"/>
    <w:rsid w:val="00952FE4"/>
    <w:rsid w:val="0095382C"/>
    <w:rsid w:val="00955CD5"/>
    <w:rsid w:val="00956F27"/>
    <w:rsid w:val="0095754B"/>
    <w:rsid w:val="009603FE"/>
    <w:rsid w:val="00964640"/>
    <w:rsid w:val="00964E79"/>
    <w:rsid w:val="00965B2D"/>
    <w:rsid w:val="009672E4"/>
    <w:rsid w:val="00972183"/>
    <w:rsid w:val="00972651"/>
    <w:rsid w:val="00972701"/>
    <w:rsid w:val="009740E3"/>
    <w:rsid w:val="00975026"/>
    <w:rsid w:val="0097686F"/>
    <w:rsid w:val="00980DB0"/>
    <w:rsid w:val="009813F7"/>
    <w:rsid w:val="00981F8F"/>
    <w:rsid w:val="00984B0B"/>
    <w:rsid w:val="00986CDA"/>
    <w:rsid w:val="009938E8"/>
    <w:rsid w:val="00994EDD"/>
    <w:rsid w:val="009962BE"/>
    <w:rsid w:val="00997375"/>
    <w:rsid w:val="009A1591"/>
    <w:rsid w:val="009A6429"/>
    <w:rsid w:val="009A64CB"/>
    <w:rsid w:val="009B047B"/>
    <w:rsid w:val="009B1193"/>
    <w:rsid w:val="009B20BD"/>
    <w:rsid w:val="009B4174"/>
    <w:rsid w:val="009B5E52"/>
    <w:rsid w:val="009B61A1"/>
    <w:rsid w:val="009B69DB"/>
    <w:rsid w:val="009C0502"/>
    <w:rsid w:val="009C0EAF"/>
    <w:rsid w:val="009C1F87"/>
    <w:rsid w:val="009C2336"/>
    <w:rsid w:val="009C4947"/>
    <w:rsid w:val="009C67C5"/>
    <w:rsid w:val="009D00C5"/>
    <w:rsid w:val="009D1967"/>
    <w:rsid w:val="009D1EF0"/>
    <w:rsid w:val="009E31CD"/>
    <w:rsid w:val="009E7EE8"/>
    <w:rsid w:val="009F0F58"/>
    <w:rsid w:val="009F3745"/>
    <w:rsid w:val="009F5B5A"/>
    <w:rsid w:val="009F6F3B"/>
    <w:rsid w:val="00A00E24"/>
    <w:rsid w:val="00A01202"/>
    <w:rsid w:val="00A019E0"/>
    <w:rsid w:val="00A05DE3"/>
    <w:rsid w:val="00A0718C"/>
    <w:rsid w:val="00A10ACD"/>
    <w:rsid w:val="00A1173C"/>
    <w:rsid w:val="00A129F1"/>
    <w:rsid w:val="00A14BB5"/>
    <w:rsid w:val="00A2302E"/>
    <w:rsid w:val="00A26CF0"/>
    <w:rsid w:val="00A274D2"/>
    <w:rsid w:val="00A31BC3"/>
    <w:rsid w:val="00A3304F"/>
    <w:rsid w:val="00A352D0"/>
    <w:rsid w:val="00A356E7"/>
    <w:rsid w:val="00A36752"/>
    <w:rsid w:val="00A368AC"/>
    <w:rsid w:val="00A37976"/>
    <w:rsid w:val="00A37EAD"/>
    <w:rsid w:val="00A42745"/>
    <w:rsid w:val="00A43B1C"/>
    <w:rsid w:val="00A467CE"/>
    <w:rsid w:val="00A4682E"/>
    <w:rsid w:val="00A46A43"/>
    <w:rsid w:val="00A51D1D"/>
    <w:rsid w:val="00A532C4"/>
    <w:rsid w:val="00A5366E"/>
    <w:rsid w:val="00A54E39"/>
    <w:rsid w:val="00A55276"/>
    <w:rsid w:val="00A55389"/>
    <w:rsid w:val="00A553D5"/>
    <w:rsid w:val="00A56BB5"/>
    <w:rsid w:val="00A56C6B"/>
    <w:rsid w:val="00A60FFF"/>
    <w:rsid w:val="00A61A2C"/>
    <w:rsid w:val="00A61FFC"/>
    <w:rsid w:val="00A6306A"/>
    <w:rsid w:val="00A63890"/>
    <w:rsid w:val="00A678FC"/>
    <w:rsid w:val="00A70374"/>
    <w:rsid w:val="00A71B7A"/>
    <w:rsid w:val="00A72CF0"/>
    <w:rsid w:val="00A76A74"/>
    <w:rsid w:val="00A80A4F"/>
    <w:rsid w:val="00A82430"/>
    <w:rsid w:val="00A86A8D"/>
    <w:rsid w:val="00A9065C"/>
    <w:rsid w:val="00A91891"/>
    <w:rsid w:val="00A91E4C"/>
    <w:rsid w:val="00A93248"/>
    <w:rsid w:val="00A9613A"/>
    <w:rsid w:val="00A97058"/>
    <w:rsid w:val="00A973B2"/>
    <w:rsid w:val="00A97E4D"/>
    <w:rsid w:val="00AA07E5"/>
    <w:rsid w:val="00AA1B8C"/>
    <w:rsid w:val="00AA420B"/>
    <w:rsid w:val="00AB0F92"/>
    <w:rsid w:val="00AB1CE3"/>
    <w:rsid w:val="00AB2777"/>
    <w:rsid w:val="00AB3A59"/>
    <w:rsid w:val="00AB567E"/>
    <w:rsid w:val="00AB5DDF"/>
    <w:rsid w:val="00AB6D60"/>
    <w:rsid w:val="00AC0727"/>
    <w:rsid w:val="00AC08A8"/>
    <w:rsid w:val="00AC3943"/>
    <w:rsid w:val="00AC4317"/>
    <w:rsid w:val="00AC5EBF"/>
    <w:rsid w:val="00AC60C4"/>
    <w:rsid w:val="00AC6981"/>
    <w:rsid w:val="00AC72C1"/>
    <w:rsid w:val="00AD2940"/>
    <w:rsid w:val="00AD368A"/>
    <w:rsid w:val="00AD4163"/>
    <w:rsid w:val="00AD5C6D"/>
    <w:rsid w:val="00AD6830"/>
    <w:rsid w:val="00AE3A26"/>
    <w:rsid w:val="00AE4168"/>
    <w:rsid w:val="00AF1485"/>
    <w:rsid w:val="00AF1AFC"/>
    <w:rsid w:val="00AF1B2F"/>
    <w:rsid w:val="00AF22D3"/>
    <w:rsid w:val="00AF27C1"/>
    <w:rsid w:val="00AF3B43"/>
    <w:rsid w:val="00AF7CF8"/>
    <w:rsid w:val="00B11C45"/>
    <w:rsid w:val="00B13000"/>
    <w:rsid w:val="00B15242"/>
    <w:rsid w:val="00B1621D"/>
    <w:rsid w:val="00B20019"/>
    <w:rsid w:val="00B21550"/>
    <w:rsid w:val="00B24137"/>
    <w:rsid w:val="00B24F84"/>
    <w:rsid w:val="00B30DB1"/>
    <w:rsid w:val="00B31D44"/>
    <w:rsid w:val="00B31FEF"/>
    <w:rsid w:val="00B32099"/>
    <w:rsid w:val="00B32171"/>
    <w:rsid w:val="00B325E1"/>
    <w:rsid w:val="00B32E5C"/>
    <w:rsid w:val="00B32F67"/>
    <w:rsid w:val="00B33882"/>
    <w:rsid w:val="00B3588C"/>
    <w:rsid w:val="00B36A15"/>
    <w:rsid w:val="00B40014"/>
    <w:rsid w:val="00B4325C"/>
    <w:rsid w:val="00B43736"/>
    <w:rsid w:val="00B46D61"/>
    <w:rsid w:val="00B4768C"/>
    <w:rsid w:val="00B5152B"/>
    <w:rsid w:val="00B518B0"/>
    <w:rsid w:val="00B528FB"/>
    <w:rsid w:val="00B559AA"/>
    <w:rsid w:val="00B55F5D"/>
    <w:rsid w:val="00B564BC"/>
    <w:rsid w:val="00B62E57"/>
    <w:rsid w:val="00B63270"/>
    <w:rsid w:val="00B6344E"/>
    <w:rsid w:val="00B64400"/>
    <w:rsid w:val="00B65228"/>
    <w:rsid w:val="00B653D8"/>
    <w:rsid w:val="00B66337"/>
    <w:rsid w:val="00B705CA"/>
    <w:rsid w:val="00B70CD9"/>
    <w:rsid w:val="00B71319"/>
    <w:rsid w:val="00B71450"/>
    <w:rsid w:val="00B714B7"/>
    <w:rsid w:val="00B71C1E"/>
    <w:rsid w:val="00B726EA"/>
    <w:rsid w:val="00B72FCC"/>
    <w:rsid w:val="00B754C5"/>
    <w:rsid w:val="00B76C6E"/>
    <w:rsid w:val="00B77158"/>
    <w:rsid w:val="00B80CFB"/>
    <w:rsid w:val="00B8186C"/>
    <w:rsid w:val="00B82337"/>
    <w:rsid w:val="00B82A29"/>
    <w:rsid w:val="00B82E71"/>
    <w:rsid w:val="00B83461"/>
    <w:rsid w:val="00B83493"/>
    <w:rsid w:val="00B879FA"/>
    <w:rsid w:val="00B90376"/>
    <w:rsid w:val="00B922C4"/>
    <w:rsid w:val="00B940DD"/>
    <w:rsid w:val="00B95847"/>
    <w:rsid w:val="00B966ED"/>
    <w:rsid w:val="00BA049F"/>
    <w:rsid w:val="00BA268A"/>
    <w:rsid w:val="00BA2A7B"/>
    <w:rsid w:val="00BA3D8F"/>
    <w:rsid w:val="00BA65A5"/>
    <w:rsid w:val="00BB0FC0"/>
    <w:rsid w:val="00BB5117"/>
    <w:rsid w:val="00BB6193"/>
    <w:rsid w:val="00BB6A0B"/>
    <w:rsid w:val="00BB756B"/>
    <w:rsid w:val="00BC0D9E"/>
    <w:rsid w:val="00BC15E4"/>
    <w:rsid w:val="00BC336B"/>
    <w:rsid w:val="00BC4F56"/>
    <w:rsid w:val="00BC73C0"/>
    <w:rsid w:val="00BC76AD"/>
    <w:rsid w:val="00BD0EB2"/>
    <w:rsid w:val="00BD1A05"/>
    <w:rsid w:val="00BD1B80"/>
    <w:rsid w:val="00BD5FBC"/>
    <w:rsid w:val="00BD690F"/>
    <w:rsid w:val="00BE335A"/>
    <w:rsid w:val="00BE33A2"/>
    <w:rsid w:val="00BE485A"/>
    <w:rsid w:val="00BE61B1"/>
    <w:rsid w:val="00BF02D5"/>
    <w:rsid w:val="00BF187B"/>
    <w:rsid w:val="00BF1DE9"/>
    <w:rsid w:val="00BF5B9C"/>
    <w:rsid w:val="00BF704B"/>
    <w:rsid w:val="00C0178C"/>
    <w:rsid w:val="00C028C4"/>
    <w:rsid w:val="00C02961"/>
    <w:rsid w:val="00C029DE"/>
    <w:rsid w:val="00C02B5E"/>
    <w:rsid w:val="00C057EF"/>
    <w:rsid w:val="00C0718B"/>
    <w:rsid w:val="00C07274"/>
    <w:rsid w:val="00C07D1C"/>
    <w:rsid w:val="00C1083E"/>
    <w:rsid w:val="00C13E73"/>
    <w:rsid w:val="00C14296"/>
    <w:rsid w:val="00C16B6E"/>
    <w:rsid w:val="00C179D4"/>
    <w:rsid w:val="00C2333D"/>
    <w:rsid w:val="00C24372"/>
    <w:rsid w:val="00C2452C"/>
    <w:rsid w:val="00C2695D"/>
    <w:rsid w:val="00C276C6"/>
    <w:rsid w:val="00C31892"/>
    <w:rsid w:val="00C32246"/>
    <w:rsid w:val="00C3602B"/>
    <w:rsid w:val="00C41693"/>
    <w:rsid w:val="00C4260B"/>
    <w:rsid w:val="00C430D5"/>
    <w:rsid w:val="00C43792"/>
    <w:rsid w:val="00C448F7"/>
    <w:rsid w:val="00C4505F"/>
    <w:rsid w:val="00C450AE"/>
    <w:rsid w:val="00C46E15"/>
    <w:rsid w:val="00C510A3"/>
    <w:rsid w:val="00C53387"/>
    <w:rsid w:val="00C546B7"/>
    <w:rsid w:val="00C54AD7"/>
    <w:rsid w:val="00C55A57"/>
    <w:rsid w:val="00C56ED2"/>
    <w:rsid w:val="00C5779E"/>
    <w:rsid w:val="00C578B4"/>
    <w:rsid w:val="00C6422F"/>
    <w:rsid w:val="00C64D72"/>
    <w:rsid w:val="00C65E9C"/>
    <w:rsid w:val="00C6623A"/>
    <w:rsid w:val="00C673E2"/>
    <w:rsid w:val="00C678E8"/>
    <w:rsid w:val="00C70000"/>
    <w:rsid w:val="00C70B6C"/>
    <w:rsid w:val="00C74089"/>
    <w:rsid w:val="00C758F5"/>
    <w:rsid w:val="00C8056E"/>
    <w:rsid w:val="00C8509E"/>
    <w:rsid w:val="00C8755D"/>
    <w:rsid w:val="00C90701"/>
    <w:rsid w:val="00C90E85"/>
    <w:rsid w:val="00C92E5D"/>
    <w:rsid w:val="00C93509"/>
    <w:rsid w:val="00C93C42"/>
    <w:rsid w:val="00C964E0"/>
    <w:rsid w:val="00C9777C"/>
    <w:rsid w:val="00CA0455"/>
    <w:rsid w:val="00CA2182"/>
    <w:rsid w:val="00CA4A39"/>
    <w:rsid w:val="00CA4C69"/>
    <w:rsid w:val="00CA4F79"/>
    <w:rsid w:val="00CA58CB"/>
    <w:rsid w:val="00CA5BC7"/>
    <w:rsid w:val="00CA6C43"/>
    <w:rsid w:val="00CA7CBA"/>
    <w:rsid w:val="00CB137C"/>
    <w:rsid w:val="00CB151F"/>
    <w:rsid w:val="00CB3618"/>
    <w:rsid w:val="00CB3B02"/>
    <w:rsid w:val="00CB4C8B"/>
    <w:rsid w:val="00CB4E54"/>
    <w:rsid w:val="00CB6AA7"/>
    <w:rsid w:val="00CC215D"/>
    <w:rsid w:val="00CC2211"/>
    <w:rsid w:val="00CC3F2F"/>
    <w:rsid w:val="00CC42AE"/>
    <w:rsid w:val="00CC4A3E"/>
    <w:rsid w:val="00CC561B"/>
    <w:rsid w:val="00CC602E"/>
    <w:rsid w:val="00CC62E0"/>
    <w:rsid w:val="00CC73F3"/>
    <w:rsid w:val="00CD0EB5"/>
    <w:rsid w:val="00CD296F"/>
    <w:rsid w:val="00CD2B17"/>
    <w:rsid w:val="00CD49C5"/>
    <w:rsid w:val="00CD6D27"/>
    <w:rsid w:val="00CD6F65"/>
    <w:rsid w:val="00CD70C4"/>
    <w:rsid w:val="00CE10C7"/>
    <w:rsid w:val="00CE16E0"/>
    <w:rsid w:val="00CE2F28"/>
    <w:rsid w:val="00CE3AA0"/>
    <w:rsid w:val="00CE59A6"/>
    <w:rsid w:val="00CE6D67"/>
    <w:rsid w:val="00CF1131"/>
    <w:rsid w:val="00CF1E5A"/>
    <w:rsid w:val="00CF39E1"/>
    <w:rsid w:val="00CF3E4E"/>
    <w:rsid w:val="00CF3F01"/>
    <w:rsid w:val="00CF4B28"/>
    <w:rsid w:val="00CF5581"/>
    <w:rsid w:val="00D00576"/>
    <w:rsid w:val="00D02D2E"/>
    <w:rsid w:val="00D11C16"/>
    <w:rsid w:val="00D1214E"/>
    <w:rsid w:val="00D14FDB"/>
    <w:rsid w:val="00D150CA"/>
    <w:rsid w:val="00D15D3F"/>
    <w:rsid w:val="00D179E5"/>
    <w:rsid w:val="00D20BD0"/>
    <w:rsid w:val="00D220DA"/>
    <w:rsid w:val="00D230D0"/>
    <w:rsid w:val="00D2311D"/>
    <w:rsid w:val="00D27605"/>
    <w:rsid w:val="00D30874"/>
    <w:rsid w:val="00D3609E"/>
    <w:rsid w:val="00D3638A"/>
    <w:rsid w:val="00D36521"/>
    <w:rsid w:val="00D365CD"/>
    <w:rsid w:val="00D373AF"/>
    <w:rsid w:val="00D37CEF"/>
    <w:rsid w:val="00D429C6"/>
    <w:rsid w:val="00D42C39"/>
    <w:rsid w:val="00D451FE"/>
    <w:rsid w:val="00D45C11"/>
    <w:rsid w:val="00D50188"/>
    <w:rsid w:val="00D50DB0"/>
    <w:rsid w:val="00D50E23"/>
    <w:rsid w:val="00D531A3"/>
    <w:rsid w:val="00D570AB"/>
    <w:rsid w:val="00D608FE"/>
    <w:rsid w:val="00D61BF4"/>
    <w:rsid w:val="00D627AE"/>
    <w:rsid w:val="00D62AA3"/>
    <w:rsid w:val="00D62DF9"/>
    <w:rsid w:val="00D6548C"/>
    <w:rsid w:val="00D67274"/>
    <w:rsid w:val="00D70295"/>
    <w:rsid w:val="00D7033D"/>
    <w:rsid w:val="00D741CC"/>
    <w:rsid w:val="00D77566"/>
    <w:rsid w:val="00D8023E"/>
    <w:rsid w:val="00D822F6"/>
    <w:rsid w:val="00D82FB6"/>
    <w:rsid w:val="00D842D7"/>
    <w:rsid w:val="00D904CD"/>
    <w:rsid w:val="00D90DB4"/>
    <w:rsid w:val="00D94283"/>
    <w:rsid w:val="00DA01D3"/>
    <w:rsid w:val="00DA1312"/>
    <w:rsid w:val="00DA1E4E"/>
    <w:rsid w:val="00DA1EF7"/>
    <w:rsid w:val="00DA2DBA"/>
    <w:rsid w:val="00DA371A"/>
    <w:rsid w:val="00DA39C5"/>
    <w:rsid w:val="00DA621C"/>
    <w:rsid w:val="00DB209E"/>
    <w:rsid w:val="00DB24A8"/>
    <w:rsid w:val="00DB3842"/>
    <w:rsid w:val="00DB38D9"/>
    <w:rsid w:val="00DB4896"/>
    <w:rsid w:val="00DB4CA9"/>
    <w:rsid w:val="00DB4D9B"/>
    <w:rsid w:val="00DB5A55"/>
    <w:rsid w:val="00DB6227"/>
    <w:rsid w:val="00DB625D"/>
    <w:rsid w:val="00DB7304"/>
    <w:rsid w:val="00DB783D"/>
    <w:rsid w:val="00DC00F2"/>
    <w:rsid w:val="00DC05C1"/>
    <w:rsid w:val="00DC0EF5"/>
    <w:rsid w:val="00DC1BE7"/>
    <w:rsid w:val="00DC79ED"/>
    <w:rsid w:val="00DD3A40"/>
    <w:rsid w:val="00DE1589"/>
    <w:rsid w:val="00DE1DED"/>
    <w:rsid w:val="00DE264C"/>
    <w:rsid w:val="00DE51B8"/>
    <w:rsid w:val="00DE5628"/>
    <w:rsid w:val="00DE6AD2"/>
    <w:rsid w:val="00DE6B65"/>
    <w:rsid w:val="00DE6C9E"/>
    <w:rsid w:val="00DE6E1C"/>
    <w:rsid w:val="00DE765C"/>
    <w:rsid w:val="00DF1DC7"/>
    <w:rsid w:val="00DF4385"/>
    <w:rsid w:val="00E00421"/>
    <w:rsid w:val="00E008D5"/>
    <w:rsid w:val="00E03257"/>
    <w:rsid w:val="00E03491"/>
    <w:rsid w:val="00E04753"/>
    <w:rsid w:val="00E04C81"/>
    <w:rsid w:val="00E0544B"/>
    <w:rsid w:val="00E07882"/>
    <w:rsid w:val="00E12C39"/>
    <w:rsid w:val="00E13871"/>
    <w:rsid w:val="00E16A37"/>
    <w:rsid w:val="00E1794C"/>
    <w:rsid w:val="00E17BA0"/>
    <w:rsid w:val="00E20775"/>
    <w:rsid w:val="00E20DBE"/>
    <w:rsid w:val="00E23E8C"/>
    <w:rsid w:val="00E25796"/>
    <w:rsid w:val="00E304BB"/>
    <w:rsid w:val="00E3155F"/>
    <w:rsid w:val="00E31D5C"/>
    <w:rsid w:val="00E33FB4"/>
    <w:rsid w:val="00E35802"/>
    <w:rsid w:val="00E35877"/>
    <w:rsid w:val="00E36342"/>
    <w:rsid w:val="00E36FE2"/>
    <w:rsid w:val="00E44C4F"/>
    <w:rsid w:val="00E45021"/>
    <w:rsid w:val="00E51F41"/>
    <w:rsid w:val="00E56656"/>
    <w:rsid w:val="00E5691B"/>
    <w:rsid w:val="00E576EB"/>
    <w:rsid w:val="00E57840"/>
    <w:rsid w:val="00E601F3"/>
    <w:rsid w:val="00E61505"/>
    <w:rsid w:val="00E6158B"/>
    <w:rsid w:val="00E62FE6"/>
    <w:rsid w:val="00E63ACD"/>
    <w:rsid w:val="00E64A8E"/>
    <w:rsid w:val="00E64BB7"/>
    <w:rsid w:val="00E673D2"/>
    <w:rsid w:val="00E67A3C"/>
    <w:rsid w:val="00E701E0"/>
    <w:rsid w:val="00E70EED"/>
    <w:rsid w:val="00E70F13"/>
    <w:rsid w:val="00E72220"/>
    <w:rsid w:val="00E72DF6"/>
    <w:rsid w:val="00E74213"/>
    <w:rsid w:val="00E75977"/>
    <w:rsid w:val="00E76CD9"/>
    <w:rsid w:val="00E771E1"/>
    <w:rsid w:val="00E80549"/>
    <w:rsid w:val="00E8383A"/>
    <w:rsid w:val="00E84ABF"/>
    <w:rsid w:val="00E85272"/>
    <w:rsid w:val="00E905C3"/>
    <w:rsid w:val="00E90D98"/>
    <w:rsid w:val="00E91E19"/>
    <w:rsid w:val="00E939BF"/>
    <w:rsid w:val="00E93A0D"/>
    <w:rsid w:val="00E95106"/>
    <w:rsid w:val="00E95F26"/>
    <w:rsid w:val="00EA00A0"/>
    <w:rsid w:val="00EA023E"/>
    <w:rsid w:val="00EA0EBF"/>
    <w:rsid w:val="00EA0F19"/>
    <w:rsid w:val="00EA17E4"/>
    <w:rsid w:val="00EA192B"/>
    <w:rsid w:val="00EA19FE"/>
    <w:rsid w:val="00EA5343"/>
    <w:rsid w:val="00EB18A2"/>
    <w:rsid w:val="00EB2F66"/>
    <w:rsid w:val="00EB5D97"/>
    <w:rsid w:val="00EC0B2E"/>
    <w:rsid w:val="00EC36D9"/>
    <w:rsid w:val="00EC5153"/>
    <w:rsid w:val="00ED1CC5"/>
    <w:rsid w:val="00ED32DD"/>
    <w:rsid w:val="00ED47C6"/>
    <w:rsid w:val="00ED534F"/>
    <w:rsid w:val="00ED5A61"/>
    <w:rsid w:val="00ED74EC"/>
    <w:rsid w:val="00ED79BB"/>
    <w:rsid w:val="00EE0957"/>
    <w:rsid w:val="00EE0E4E"/>
    <w:rsid w:val="00EE2ECB"/>
    <w:rsid w:val="00EE3425"/>
    <w:rsid w:val="00EE3BC8"/>
    <w:rsid w:val="00EE48F0"/>
    <w:rsid w:val="00EE7F91"/>
    <w:rsid w:val="00EF0715"/>
    <w:rsid w:val="00EF0751"/>
    <w:rsid w:val="00EF0B95"/>
    <w:rsid w:val="00EF1732"/>
    <w:rsid w:val="00EF2C83"/>
    <w:rsid w:val="00EF3ABF"/>
    <w:rsid w:val="00EF625F"/>
    <w:rsid w:val="00EF636A"/>
    <w:rsid w:val="00EF6795"/>
    <w:rsid w:val="00EF776D"/>
    <w:rsid w:val="00EF7F86"/>
    <w:rsid w:val="00F011B6"/>
    <w:rsid w:val="00F011D9"/>
    <w:rsid w:val="00F03412"/>
    <w:rsid w:val="00F03EFE"/>
    <w:rsid w:val="00F102D8"/>
    <w:rsid w:val="00F10312"/>
    <w:rsid w:val="00F11FE7"/>
    <w:rsid w:val="00F12018"/>
    <w:rsid w:val="00F142BF"/>
    <w:rsid w:val="00F1508D"/>
    <w:rsid w:val="00F16099"/>
    <w:rsid w:val="00F21363"/>
    <w:rsid w:val="00F30F6D"/>
    <w:rsid w:val="00F31F97"/>
    <w:rsid w:val="00F3319B"/>
    <w:rsid w:val="00F336F6"/>
    <w:rsid w:val="00F34328"/>
    <w:rsid w:val="00F348D1"/>
    <w:rsid w:val="00F350B9"/>
    <w:rsid w:val="00F357E6"/>
    <w:rsid w:val="00F35860"/>
    <w:rsid w:val="00F36A91"/>
    <w:rsid w:val="00F36C1D"/>
    <w:rsid w:val="00F40E54"/>
    <w:rsid w:val="00F42C01"/>
    <w:rsid w:val="00F45261"/>
    <w:rsid w:val="00F463E3"/>
    <w:rsid w:val="00F46B28"/>
    <w:rsid w:val="00F474CB"/>
    <w:rsid w:val="00F5243D"/>
    <w:rsid w:val="00F54BF4"/>
    <w:rsid w:val="00F570F0"/>
    <w:rsid w:val="00F5755F"/>
    <w:rsid w:val="00F62807"/>
    <w:rsid w:val="00F647CA"/>
    <w:rsid w:val="00F65819"/>
    <w:rsid w:val="00F65FEB"/>
    <w:rsid w:val="00F731D3"/>
    <w:rsid w:val="00F75041"/>
    <w:rsid w:val="00F75B6A"/>
    <w:rsid w:val="00F75DFE"/>
    <w:rsid w:val="00F77916"/>
    <w:rsid w:val="00F82CC8"/>
    <w:rsid w:val="00F87EAE"/>
    <w:rsid w:val="00F929DB"/>
    <w:rsid w:val="00F946ED"/>
    <w:rsid w:val="00F94D22"/>
    <w:rsid w:val="00F96808"/>
    <w:rsid w:val="00F968DD"/>
    <w:rsid w:val="00FA0704"/>
    <w:rsid w:val="00FA2139"/>
    <w:rsid w:val="00FA4BF0"/>
    <w:rsid w:val="00FA5463"/>
    <w:rsid w:val="00FA63D5"/>
    <w:rsid w:val="00FA7F74"/>
    <w:rsid w:val="00FB0335"/>
    <w:rsid w:val="00FB3929"/>
    <w:rsid w:val="00FB6B35"/>
    <w:rsid w:val="00FB6B9E"/>
    <w:rsid w:val="00FB76D9"/>
    <w:rsid w:val="00FC0EF5"/>
    <w:rsid w:val="00FC45AE"/>
    <w:rsid w:val="00FC5611"/>
    <w:rsid w:val="00FC5F8C"/>
    <w:rsid w:val="00FC64A6"/>
    <w:rsid w:val="00FC79B6"/>
    <w:rsid w:val="00FD0BBD"/>
    <w:rsid w:val="00FD1CCB"/>
    <w:rsid w:val="00FD3131"/>
    <w:rsid w:val="00FD71AC"/>
    <w:rsid w:val="00FE130F"/>
    <w:rsid w:val="00FE2767"/>
    <w:rsid w:val="00FE2D03"/>
    <w:rsid w:val="00FF0DCF"/>
    <w:rsid w:val="00FF22B0"/>
    <w:rsid w:val="00FF30A2"/>
    <w:rsid w:val="00FF30FC"/>
    <w:rsid w:val="00FF4B9F"/>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E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AE"/>
    <w:pPr>
      <w:spacing w:line="480" w:lineRule="auto"/>
      <w:ind w:firstLine="432"/>
    </w:pPr>
    <w:rPr>
      <w:rFonts w:ascii="Times New Roman" w:hAnsi="Times New Roman"/>
      <w:szCs w:val="20"/>
    </w:rPr>
  </w:style>
  <w:style w:type="paragraph" w:styleId="Heading1">
    <w:name w:val="heading 1"/>
    <w:basedOn w:val="Normal"/>
    <w:next w:val="NormalSS"/>
    <w:link w:val="Heading1Char"/>
    <w:semiHidden/>
    <w:qFormat/>
    <w:rsid w:val="00042E5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42E5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42E5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042E51"/>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042E51"/>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042E51"/>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semiHidden/>
    <w:qFormat/>
    <w:rsid w:val="00042E51"/>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semiHidden/>
    <w:qFormat/>
    <w:rsid w:val="00042E51"/>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semiHidden/>
    <w:rsid w:val="00042E51"/>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042E51"/>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042E51"/>
    <w:pPr>
      <w:spacing w:after="240" w:line="240" w:lineRule="auto"/>
    </w:pPr>
  </w:style>
  <w:style w:type="paragraph" w:styleId="Footer">
    <w:name w:val="footer"/>
    <w:basedOn w:val="Normal"/>
    <w:link w:val="FooterChar"/>
    <w:qFormat/>
    <w:rsid w:val="00042E51"/>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042E51"/>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FC45AE"/>
    <w:pPr>
      <w:tabs>
        <w:tab w:val="right" w:leader="dot" w:pos="9360"/>
      </w:tabs>
      <w:spacing w:after="180" w:line="240" w:lineRule="exact"/>
      <w:ind w:left="720" w:right="720" w:hanging="720"/>
    </w:pPr>
    <w:rPr>
      <w:rFonts w:ascii="Arial" w:hAnsi="Arial"/>
      <w:noProof/>
      <w:sz w:val="20"/>
      <w:szCs w:val="20"/>
    </w:rPr>
  </w:style>
  <w:style w:type="paragraph" w:styleId="TOC3">
    <w:name w:val="toc 3"/>
    <w:basedOn w:val="TOC2"/>
    <w:next w:val="Normal"/>
    <w:autoRedefine/>
    <w:qFormat/>
    <w:rsid w:val="00042E51"/>
    <w:pPr>
      <w:tabs>
        <w:tab w:val="left" w:pos="1440"/>
      </w:tabs>
      <w:spacing w:after="120"/>
      <w:ind w:left="1440"/>
    </w:pPr>
  </w:style>
  <w:style w:type="paragraph" w:styleId="TOC4">
    <w:name w:val="toc 4"/>
    <w:next w:val="Normal"/>
    <w:autoRedefine/>
    <w:qFormat/>
    <w:rsid w:val="00042E51"/>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042E51"/>
    <w:pPr>
      <w:spacing w:after="120" w:line="240" w:lineRule="auto"/>
      <w:ind w:firstLine="0"/>
    </w:pPr>
    <w:rPr>
      <w:sz w:val="20"/>
    </w:rPr>
  </w:style>
  <w:style w:type="paragraph" w:customStyle="1" w:styleId="Dash">
    <w:name w:val="Dash"/>
    <w:basedOn w:val="Normal"/>
    <w:qFormat/>
    <w:rsid w:val="00042E51"/>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042E51"/>
    <w:pPr>
      <w:tabs>
        <w:tab w:val="left" w:pos="432"/>
      </w:tabs>
      <w:spacing w:after="120" w:line="240" w:lineRule="auto"/>
      <w:ind w:left="432" w:hanging="432"/>
    </w:pPr>
  </w:style>
  <w:style w:type="paragraph" w:customStyle="1" w:styleId="Outline">
    <w:name w:val="Outline"/>
    <w:basedOn w:val="Normal"/>
    <w:semiHidden/>
    <w:unhideWhenUsed/>
    <w:qFormat/>
    <w:rsid w:val="00042E51"/>
    <w:pPr>
      <w:spacing w:after="240" w:line="240" w:lineRule="auto"/>
      <w:ind w:left="720" w:hanging="720"/>
    </w:pPr>
  </w:style>
  <w:style w:type="character" w:styleId="FootnoteReference">
    <w:name w:val="footnote reference"/>
    <w:basedOn w:val="DefaultParagraphFont"/>
    <w:qFormat/>
    <w:rsid w:val="00042E51"/>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042E51"/>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042E51"/>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042E51"/>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042E51"/>
    <w:pPr>
      <w:ind w:left="720"/>
      <w:contextualSpacing/>
    </w:pPr>
  </w:style>
  <w:style w:type="paragraph" w:styleId="Header">
    <w:name w:val="header"/>
    <w:basedOn w:val="Normal"/>
    <w:link w:val="HeaderChar"/>
    <w:qFormat/>
    <w:rsid w:val="00042E5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42E51"/>
    <w:rPr>
      <w:rFonts w:ascii="Arial" w:hAnsi="Arial"/>
      <w:caps/>
      <w:sz w:val="16"/>
      <w:szCs w:val="20"/>
    </w:rPr>
  </w:style>
  <w:style w:type="paragraph" w:styleId="BalloonText">
    <w:name w:val="Balloon Text"/>
    <w:basedOn w:val="Normal"/>
    <w:link w:val="BalloonTextChar"/>
    <w:uiPriority w:val="99"/>
    <w:semiHidden/>
    <w:unhideWhenUsed/>
    <w:rsid w:val="00042E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E51"/>
    <w:rPr>
      <w:rFonts w:ascii="Tahoma" w:hAnsi="Tahoma" w:cs="Tahoma"/>
      <w:sz w:val="16"/>
      <w:szCs w:val="16"/>
    </w:rPr>
  </w:style>
  <w:style w:type="paragraph" w:customStyle="1" w:styleId="TableFootnoteCaption">
    <w:name w:val="Table Footnote_Caption"/>
    <w:qFormat/>
    <w:rsid w:val="00042E51"/>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042E51"/>
    <w:pPr>
      <w:jc w:val="center"/>
    </w:pPr>
  </w:style>
  <w:style w:type="paragraph" w:customStyle="1" w:styleId="TableHeaderLeft">
    <w:name w:val="Table Header Left"/>
    <w:basedOn w:val="TableText"/>
    <w:next w:val="TableText"/>
    <w:qFormat/>
    <w:rsid w:val="00042E51"/>
    <w:pPr>
      <w:spacing w:before="120" w:after="60"/>
    </w:pPr>
    <w:rPr>
      <w:b/>
      <w:color w:val="FFFFFF" w:themeColor="background1"/>
    </w:rPr>
  </w:style>
  <w:style w:type="paragraph" w:customStyle="1" w:styleId="Normalcontinued">
    <w:name w:val="Normal (continued)"/>
    <w:basedOn w:val="Normal"/>
    <w:next w:val="Normal"/>
    <w:qFormat/>
    <w:rsid w:val="00042E51"/>
    <w:pPr>
      <w:ind w:firstLine="0"/>
    </w:pPr>
  </w:style>
  <w:style w:type="paragraph" w:customStyle="1" w:styleId="NormalSScontinued">
    <w:name w:val="NormalSS (continued)"/>
    <w:basedOn w:val="NormalSS"/>
    <w:next w:val="NormalSS"/>
    <w:qFormat/>
    <w:rsid w:val="00042E51"/>
    <w:pPr>
      <w:ind w:firstLine="0"/>
    </w:pPr>
  </w:style>
  <w:style w:type="paragraph" w:customStyle="1" w:styleId="TableText">
    <w:name w:val="Table Text"/>
    <w:basedOn w:val="Normal"/>
    <w:qFormat/>
    <w:rsid w:val="00042E51"/>
    <w:pPr>
      <w:spacing w:line="240" w:lineRule="auto"/>
      <w:ind w:firstLine="0"/>
    </w:pPr>
    <w:rPr>
      <w:rFonts w:ascii="Arial" w:hAnsi="Arial"/>
      <w:sz w:val="18"/>
    </w:rPr>
  </w:style>
  <w:style w:type="paragraph" w:customStyle="1" w:styleId="TableSourceCaption">
    <w:name w:val="Table Source_Caption"/>
    <w:qFormat/>
    <w:rsid w:val="00042E51"/>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042E51"/>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042E51"/>
    <w:pPr>
      <w:spacing w:after="320"/>
    </w:pPr>
  </w:style>
  <w:style w:type="paragraph" w:customStyle="1" w:styleId="TableSignificanceCaption">
    <w:name w:val="Table Significance_Caption"/>
    <w:basedOn w:val="TableFootnoteCaption"/>
    <w:qFormat/>
    <w:rsid w:val="00221F32"/>
    <w:pPr>
      <w:spacing w:after="240"/>
    </w:pPr>
    <w:rPr>
      <w:rFonts w:eastAsia="Calibri"/>
    </w:rPr>
  </w:style>
  <w:style w:type="paragraph" w:customStyle="1" w:styleId="TitleofDocumentVertical">
    <w:name w:val="Title of Document Vertical"/>
    <w:basedOn w:val="Normal"/>
    <w:qFormat/>
    <w:rsid w:val="00042E51"/>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042E51"/>
    <w:pPr>
      <w:spacing w:before="0" w:after="160"/>
    </w:pPr>
  </w:style>
  <w:style w:type="paragraph" w:customStyle="1" w:styleId="TitleofDocumentNoPhoto">
    <w:name w:val="Title of Document No Photo"/>
    <w:basedOn w:val="TitleofDocumentHorizontal"/>
    <w:qFormat/>
    <w:rsid w:val="00042E51"/>
  </w:style>
  <w:style w:type="paragraph" w:customStyle="1" w:styleId="TableSpace">
    <w:name w:val="TableSpace"/>
    <w:basedOn w:val="TableSourceCaption"/>
    <w:next w:val="TableFootnoteCaption"/>
    <w:semiHidden/>
    <w:qFormat/>
    <w:rsid w:val="00042E51"/>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42E51"/>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042E51"/>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042E51"/>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926A67"/>
    <w:rPr>
      <w:color w:val="0000FF" w:themeColor="hyperlink"/>
      <w:u w:val="single"/>
    </w:rPr>
  </w:style>
  <w:style w:type="paragraph" w:styleId="DocumentMap">
    <w:name w:val="Document Map"/>
    <w:basedOn w:val="Normal"/>
    <w:link w:val="DocumentMapChar"/>
    <w:semiHidden/>
    <w:unhideWhenUsed/>
    <w:rsid w:val="00042E5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42E51"/>
    <w:rPr>
      <w:rFonts w:asciiTheme="majorHAnsi" w:hAnsiTheme="majorHAnsi"/>
      <w:szCs w:val="20"/>
    </w:rPr>
  </w:style>
  <w:style w:type="paragraph" w:customStyle="1" w:styleId="DashLASTDS">
    <w:name w:val="Dash (LAST DS)"/>
    <w:basedOn w:val="Dash"/>
    <w:next w:val="Normal"/>
    <w:qFormat/>
    <w:rsid w:val="00042E51"/>
    <w:pPr>
      <w:spacing w:after="320"/>
    </w:pPr>
    <w:rPr>
      <w:szCs w:val="24"/>
    </w:rPr>
  </w:style>
  <w:style w:type="character" w:customStyle="1" w:styleId="FootnoteTextChar">
    <w:name w:val="Footnote Text Char"/>
    <w:basedOn w:val="DefaultParagraphFont"/>
    <w:link w:val="FootnoteText"/>
    <w:rsid w:val="00042E51"/>
    <w:rPr>
      <w:rFonts w:ascii="Times New Roman" w:hAnsi="Times New Roman"/>
      <w:sz w:val="20"/>
      <w:szCs w:val="20"/>
    </w:rPr>
  </w:style>
  <w:style w:type="character" w:customStyle="1" w:styleId="NormalSSChar">
    <w:name w:val="NormalSS Char"/>
    <w:basedOn w:val="DefaultParagraphFont"/>
    <w:link w:val="NormalSS"/>
    <w:locked/>
    <w:rsid w:val="00111346"/>
    <w:rPr>
      <w:rFonts w:ascii="Times New Roman" w:hAnsi="Times New Roman"/>
      <w:szCs w:val="20"/>
    </w:rPr>
  </w:style>
  <w:style w:type="paragraph" w:customStyle="1" w:styleId="MarkforTableTitle">
    <w:name w:val="Mark for Table Title"/>
    <w:basedOn w:val="Normal"/>
    <w:next w:val="NormalSS"/>
    <w:qFormat/>
    <w:rsid w:val="00042E51"/>
    <w:pPr>
      <w:keepNext/>
      <w:spacing w:after="60" w:line="240" w:lineRule="auto"/>
      <w:ind w:firstLine="0"/>
    </w:pPr>
    <w:rPr>
      <w:rFonts w:ascii="Arial Black" w:hAnsi="Arial Black"/>
      <w:sz w:val="22"/>
    </w:rPr>
  </w:style>
  <w:style w:type="table" w:customStyle="1" w:styleId="TableGrid1">
    <w:name w:val="Table Grid1"/>
    <w:basedOn w:val="TableNormal"/>
    <w:next w:val="TableGrid"/>
    <w:uiPriority w:val="59"/>
    <w:rsid w:val="00111346"/>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SS"/>
    <w:link w:val="H2ChapterChar"/>
    <w:qFormat/>
    <w:rsid w:val="00042E51"/>
    <w:pPr>
      <w:ind w:left="432" w:hanging="432"/>
      <w:outlineLvl w:val="1"/>
    </w:pPr>
  </w:style>
  <w:style w:type="character" w:customStyle="1" w:styleId="H2ChapterChar">
    <w:name w:val="H2_Chapter Char"/>
    <w:basedOn w:val="Heading1Char"/>
    <w:link w:val="H2Chapter"/>
    <w:rsid w:val="00042E51"/>
    <w:rPr>
      <w:rFonts w:ascii="Arial Black" w:hAnsi="Arial Black"/>
      <w:caps/>
      <w:sz w:val="22"/>
      <w:szCs w:val="20"/>
    </w:rPr>
  </w:style>
  <w:style w:type="paragraph" w:customStyle="1" w:styleId="H4NumberNoTOC">
    <w:name w:val="H4_Number_No TOC"/>
    <w:basedOn w:val="H4Number"/>
    <w:next w:val="NormalSS"/>
    <w:link w:val="H4NumberNoTOCChar"/>
    <w:qFormat/>
    <w:rsid w:val="00042E51"/>
    <w:pPr>
      <w:outlineLvl w:val="9"/>
    </w:pPr>
  </w:style>
  <w:style w:type="character" w:customStyle="1" w:styleId="H4NumberNoTOCChar">
    <w:name w:val="H4_Number_No TOC Char"/>
    <w:basedOn w:val="H4NumberChar"/>
    <w:link w:val="H4NumberNoTOC"/>
    <w:rsid w:val="00042E51"/>
    <w:rPr>
      <w:rFonts w:ascii="Times New Roman" w:hAnsi="Times New Roman"/>
      <w:b/>
      <w:sz w:val="22"/>
      <w:szCs w:val="20"/>
    </w:rPr>
  </w:style>
  <w:style w:type="character" w:styleId="CommentReference">
    <w:name w:val="annotation reference"/>
    <w:basedOn w:val="DefaultParagraphFont"/>
    <w:uiPriority w:val="99"/>
    <w:semiHidden/>
    <w:unhideWhenUsed/>
    <w:rsid w:val="00D230D0"/>
    <w:rPr>
      <w:sz w:val="16"/>
      <w:szCs w:val="16"/>
    </w:rPr>
  </w:style>
  <w:style w:type="paragraph" w:styleId="CommentText">
    <w:name w:val="annotation text"/>
    <w:basedOn w:val="Normal"/>
    <w:link w:val="CommentTextChar"/>
    <w:uiPriority w:val="99"/>
    <w:semiHidden/>
    <w:unhideWhenUsed/>
    <w:rsid w:val="00D230D0"/>
    <w:pPr>
      <w:spacing w:after="160" w:line="240" w:lineRule="auto"/>
      <w:ind w:firstLine="0"/>
    </w:pPr>
    <w:rPr>
      <w:rFonts w:eastAsiaTheme="minorHAnsi" w:cstheme="minorBidi"/>
      <w:sz w:val="20"/>
    </w:rPr>
  </w:style>
  <w:style w:type="character" w:customStyle="1" w:styleId="CommentTextChar">
    <w:name w:val="Comment Text Char"/>
    <w:basedOn w:val="DefaultParagraphFont"/>
    <w:link w:val="CommentText"/>
    <w:uiPriority w:val="99"/>
    <w:semiHidden/>
    <w:rsid w:val="00D230D0"/>
    <w:rPr>
      <w:rFonts w:ascii="Times New Roman" w:eastAsiaTheme="minorHAnsi" w:hAnsi="Times New Roman" w:cstheme="minorBidi"/>
      <w:sz w:val="20"/>
      <w:szCs w:val="20"/>
    </w:rPr>
  </w:style>
  <w:style w:type="paragraph" w:customStyle="1" w:styleId="H3Alpha">
    <w:name w:val="H3_Alpha"/>
    <w:basedOn w:val="Heading2"/>
    <w:next w:val="NormalSS"/>
    <w:link w:val="H3AlphaChar"/>
    <w:qFormat/>
    <w:rsid w:val="000175C5"/>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3AlphaChar">
    <w:name w:val="H3_Alpha Char"/>
    <w:basedOn w:val="Heading2Char"/>
    <w:link w:val="H3Alpha"/>
    <w:rsid w:val="000175C5"/>
    <w:rPr>
      <w:rFonts w:ascii="Arial Black" w:hAnsi="Arial Black"/>
      <w:caps w:val="0"/>
      <w:sz w:val="22"/>
      <w:szCs w:val="20"/>
    </w:rPr>
  </w:style>
  <w:style w:type="paragraph" w:customStyle="1" w:styleId="Bullet">
    <w:name w:val="Bullet"/>
    <w:basedOn w:val="Normal"/>
    <w:qFormat/>
    <w:rsid w:val="00042E51"/>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042E51"/>
    <w:pPr>
      <w:numPr>
        <w:numId w:val="10"/>
      </w:numPr>
      <w:spacing w:after="240"/>
      <w:ind w:left="432" w:hanging="432"/>
    </w:pPr>
  </w:style>
  <w:style w:type="paragraph" w:styleId="CommentSubject">
    <w:name w:val="annotation subject"/>
    <w:basedOn w:val="CommentText"/>
    <w:next w:val="CommentText"/>
    <w:link w:val="CommentSubjectChar"/>
    <w:uiPriority w:val="99"/>
    <w:semiHidden/>
    <w:unhideWhenUsed/>
    <w:rsid w:val="00C179D4"/>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C179D4"/>
    <w:rPr>
      <w:rFonts w:ascii="Times New Roman" w:eastAsiaTheme="minorHAnsi" w:hAnsi="Times New Roman" w:cstheme="minorBidi"/>
      <w:b/>
      <w:bCs/>
      <w:sz w:val="20"/>
      <w:szCs w:val="20"/>
    </w:rPr>
  </w:style>
  <w:style w:type="character" w:styleId="FollowedHyperlink">
    <w:name w:val="FollowedHyperlink"/>
    <w:basedOn w:val="DefaultParagraphFont"/>
    <w:uiPriority w:val="99"/>
    <w:semiHidden/>
    <w:unhideWhenUsed/>
    <w:rsid w:val="006A406C"/>
    <w:rPr>
      <w:color w:val="800080" w:themeColor="followedHyperlink"/>
      <w:u w:val="single"/>
    </w:rPr>
  </w:style>
  <w:style w:type="paragraph" w:styleId="Revision">
    <w:name w:val="Revision"/>
    <w:hidden/>
    <w:uiPriority w:val="99"/>
    <w:semiHidden/>
    <w:rsid w:val="00C64D72"/>
  </w:style>
  <w:style w:type="paragraph" w:customStyle="1" w:styleId="AcknowledgmentnoTOC">
    <w:name w:val="Acknowledgment no TOC"/>
    <w:basedOn w:val="Normal"/>
    <w:next w:val="Normal"/>
    <w:qFormat/>
    <w:rsid w:val="00042E5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042E51"/>
    <w:pPr>
      <w:numPr>
        <w:numId w:val="11"/>
      </w:numPr>
      <w:spacing w:after="320"/>
      <w:ind w:left="432" w:hanging="432"/>
    </w:pPr>
  </w:style>
  <w:style w:type="paragraph" w:customStyle="1" w:styleId="Center">
    <w:name w:val="Center"/>
    <w:basedOn w:val="Normal"/>
    <w:semiHidden/>
    <w:unhideWhenUsed/>
    <w:rsid w:val="00042E51"/>
    <w:pPr>
      <w:ind w:firstLine="0"/>
      <w:jc w:val="center"/>
    </w:pPr>
  </w:style>
  <w:style w:type="paragraph" w:customStyle="1" w:styleId="DashLASTSS">
    <w:name w:val="Dash (LAST SS)"/>
    <w:basedOn w:val="Dash"/>
    <w:next w:val="NormalSS"/>
    <w:qFormat/>
    <w:rsid w:val="00042E51"/>
    <w:pPr>
      <w:numPr>
        <w:numId w:val="12"/>
      </w:numPr>
      <w:spacing w:after="240"/>
    </w:pPr>
  </w:style>
  <w:style w:type="character" w:customStyle="1" w:styleId="FooterChar">
    <w:name w:val="Footer Char"/>
    <w:basedOn w:val="DefaultParagraphFont"/>
    <w:link w:val="Footer"/>
    <w:rsid w:val="00042E51"/>
    <w:rPr>
      <w:rFonts w:ascii="Arial" w:hAnsi="Arial"/>
      <w:sz w:val="20"/>
      <w:szCs w:val="20"/>
    </w:rPr>
  </w:style>
  <w:style w:type="character" w:customStyle="1" w:styleId="Heading1Char">
    <w:name w:val="Heading 1 Char"/>
    <w:basedOn w:val="DefaultParagraphFont"/>
    <w:link w:val="Heading1"/>
    <w:semiHidden/>
    <w:rsid w:val="00042E51"/>
    <w:rPr>
      <w:rFonts w:ascii="Arial Black" w:hAnsi="Arial Black"/>
      <w:caps/>
      <w:sz w:val="22"/>
      <w:szCs w:val="20"/>
    </w:rPr>
  </w:style>
  <w:style w:type="character" w:customStyle="1" w:styleId="Heading2Char">
    <w:name w:val="Heading 2 Char"/>
    <w:basedOn w:val="DefaultParagraphFont"/>
    <w:link w:val="Heading2"/>
    <w:semiHidden/>
    <w:rsid w:val="00042E51"/>
    <w:rPr>
      <w:rFonts w:ascii="Arial Black" w:hAnsi="Arial Black"/>
      <w:caps/>
      <w:sz w:val="22"/>
      <w:szCs w:val="20"/>
    </w:rPr>
  </w:style>
  <w:style w:type="character" w:customStyle="1" w:styleId="Heading3Char">
    <w:name w:val="Heading 3 Char"/>
    <w:basedOn w:val="DefaultParagraphFont"/>
    <w:link w:val="Heading3"/>
    <w:rsid w:val="00042E51"/>
    <w:rPr>
      <w:rFonts w:ascii="Arial Black" w:hAnsi="Arial Black"/>
      <w:sz w:val="22"/>
      <w:szCs w:val="20"/>
    </w:rPr>
  </w:style>
  <w:style w:type="paragraph" w:customStyle="1" w:styleId="Heading4NoTOC">
    <w:name w:val="Heading 4_No TOC"/>
    <w:basedOn w:val="Heading4"/>
    <w:next w:val="NormalSS"/>
    <w:semiHidden/>
    <w:qFormat/>
    <w:rsid w:val="00042E51"/>
    <w:pPr>
      <w:outlineLvl w:val="9"/>
    </w:pPr>
  </w:style>
  <w:style w:type="character" w:customStyle="1" w:styleId="Heading4Char">
    <w:name w:val="Heading 4 Char"/>
    <w:basedOn w:val="DefaultParagraphFont"/>
    <w:link w:val="Heading4"/>
    <w:rsid w:val="00042E51"/>
    <w:rPr>
      <w:rFonts w:ascii="Times New Roman" w:hAnsi="Times New Roman"/>
      <w:b/>
      <w:szCs w:val="20"/>
    </w:rPr>
  </w:style>
  <w:style w:type="character" w:customStyle="1" w:styleId="Heading5Char">
    <w:name w:val="Heading 5 Char"/>
    <w:aliases w:val="Heading 5 (business proposal only) Char"/>
    <w:basedOn w:val="DefaultParagraphFont"/>
    <w:link w:val="Heading5"/>
    <w:semiHidden/>
    <w:rsid w:val="00042E51"/>
    <w:rPr>
      <w:rFonts w:ascii="Times New Roman" w:hAnsi="Times New Roman"/>
      <w:b/>
      <w:szCs w:val="20"/>
    </w:rPr>
  </w:style>
  <w:style w:type="character" w:customStyle="1" w:styleId="Heading6Char">
    <w:name w:val="Heading 6 Char"/>
    <w:aliases w:val="Heading 6 (business proposal only) Char"/>
    <w:basedOn w:val="DefaultParagraphFont"/>
    <w:link w:val="Heading6"/>
    <w:semiHidden/>
    <w:rsid w:val="00042E51"/>
    <w:rPr>
      <w:rFonts w:ascii="Times New Roman" w:hAnsi="Times New Roman"/>
      <w:szCs w:val="20"/>
    </w:rPr>
  </w:style>
  <w:style w:type="character" w:customStyle="1" w:styleId="Heading7Char">
    <w:name w:val="Heading 7 Char"/>
    <w:aliases w:val="Heading 7 (business proposal only) Char"/>
    <w:basedOn w:val="DefaultParagraphFont"/>
    <w:link w:val="Heading7"/>
    <w:semiHidden/>
    <w:rsid w:val="00042E51"/>
    <w:rPr>
      <w:rFonts w:ascii="Times New Roman" w:hAnsi="Times New Roman"/>
      <w:szCs w:val="20"/>
    </w:rPr>
  </w:style>
  <w:style w:type="character" w:customStyle="1" w:styleId="Heading8Char">
    <w:name w:val="Heading 8 Char"/>
    <w:aliases w:val="Heading 8 (business proposal only) Char"/>
    <w:basedOn w:val="DefaultParagraphFont"/>
    <w:link w:val="Heading8"/>
    <w:semiHidden/>
    <w:rsid w:val="00042E51"/>
    <w:rPr>
      <w:rFonts w:ascii="Times New Roman" w:hAnsi="Times New Roman"/>
      <w:szCs w:val="20"/>
    </w:rPr>
  </w:style>
  <w:style w:type="character" w:customStyle="1" w:styleId="Heading9Char">
    <w:name w:val="Heading 9 Char"/>
    <w:aliases w:val="Heading 9 (business proposal only) Char"/>
    <w:basedOn w:val="DefaultParagraphFont"/>
    <w:link w:val="Heading9"/>
    <w:semiHidden/>
    <w:rsid w:val="00042E51"/>
    <w:rPr>
      <w:rFonts w:ascii="Times New Roman" w:hAnsi="Times New Roman"/>
      <w:szCs w:val="20"/>
    </w:rPr>
  </w:style>
  <w:style w:type="paragraph" w:customStyle="1" w:styleId="MarkforAppendixTitle">
    <w:name w:val="Mark for Appendix Title"/>
    <w:basedOn w:val="Normal"/>
    <w:next w:val="Normal"/>
    <w:qFormat/>
    <w:rsid w:val="00042E5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42E5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42E51"/>
  </w:style>
  <w:style w:type="paragraph" w:customStyle="1" w:styleId="MarkforFigureTitle">
    <w:name w:val="Mark for Figure Title"/>
    <w:basedOn w:val="MarkforTableTitle"/>
    <w:next w:val="NormalSS"/>
    <w:qFormat/>
    <w:rsid w:val="00042E51"/>
  </w:style>
  <w:style w:type="paragraph" w:customStyle="1" w:styleId="Tabletext8">
    <w:name w:val="Table text 8"/>
    <w:basedOn w:val="TableText"/>
    <w:qFormat/>
    <w:rsid w:val="00042E51"/>
    <w:rPr>
      <w:snapToGrid w:val="0"/>
      <w:sz w:val="16"/>
      <w:szCs w:val="16"/>
    </w:rPr>
  </w:style>
  <w:style w:type="paragraph" w:styleId="Title">
    <w:name w:val="Title"/>
    <w:basedOn w:val="Normal"/>
    <w:next w:val="Normal"/>
    <w:link w:val="TitleChar"/>
    <w:rsid w:val="00042E5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42E51"/>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042E51"/>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042E51"/>
    <w:rPr>
      <w:rFonts w:ascii="Times New Roman" w:hAnsi="Times New Roman"/>
      <w:szCs w:val="20"/>
    </w:rPr>
  </w:style>
  <w:style w:type="paragraph" w:customStyle="1" w:styleId="NumberedBulletLastSS0">
    <w:name w:val="Numbered Bullet (Last SS)"/>
    <w:basedOn w:val="NumberedBulletLastDS"/>
    <w:next w:val="NormalSS"/>
    <w:qFormat/>
    <w:rsid w:val="00042E51"/>
    <w:pPr>
      <w:spacing w:after="240"/>
    </w:pPr>
  </w:style>
  <w:style w:type="table" w:styleId="LightList">
    <w:name w:val="Light List"/>
    <w:basedOn w:val="TableNormal"/>
    <w:uiPriority w:val="61"/>
    <w:rsid w:val="00042E5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42E51"/>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42E51"/>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042E51"/>
    <w:rPr>
      <w:rFonts w:ascii="Arial Black" w:hAnsi="Arial Black"/>
      <w:color w:val="E70033"/>
      <w:sz w:val="37"/>
      <w:szCs w:val="20"/>
    </w:rPr>
  </w:style>
  <w:style w:type="paragraph" w:customStyle="1" w:styleId="H3AlphaNoTOC">
    <w:name w:val="H3_Alpha_No TOC"/>
    <w:basedOn w:val="H3Alpha"/>
    <w:next w:val="NormalSS"/>
    <w:link w:val="H3AlphaNoTOCChar"/>
    <w:qFormat/>
    <w:rsid w:val="00042E51"/>
    <w:pPr>
      <w:outlineLvl w:val="9"/>
    </w:pPr>
  </w:style>
  <w:style w:type="paragraph" w:customStyle="1" w:styleId="H4Number">
    <w:name w:val="H4_Number"/>
    <w:basedOn w:val="Heading3"/>
    <w:next w:val="NormalSS"/>
    <w:link w:val="H4NumberChar"/>
    <w:qFormat/>
    <w:rsid w:val="00FB76D9"/>
    <w:pPr>
      <w:outlineLvl w:val="3"/>
    </w:pPr>
    <w:rPr>
      <w:rFonts w:ascii="Times New Roman" w:hAnsi="Times New Roman"/>
      <w:b/>
      <w:sz w:val="24"/>
      <w:szCs w:val="24"/>
    </w:rPr>
  </w:style>
  <w:style w:type="character" w:customStyle="1" w:styleId="H3AlphaNoTOCChar">
    <w:name w:val="H3_Alpha_No TOC Char"/>
    <w:basedOn w:val="H3AlphaChar"/>
    <w:link w:val="H3AlphaNoTOC"/>
    <w:rsid w:val="00042E51"/>
    <w:rPr>
      <w:rFonts w:ascii="Arial Black" w:hAnsi="Arial Black"/>
      <w:caps w:val="0"/>
      <w:sz w:val="22"/>
      <w:szCs w:val="20"/>
    </w:rPr>
  </w:style>
  <w:style w:type="character" w:customStyle="1" w:styleId="H4NumberChar">
    <w:name w:val="H4_Number Char"/>
    <w:basedOn w:val="Heading3Char"/>
    <w:link w:val="H4Number"/>
    <w:rsid w:val="00FB76D9"/>
    <w:rPr>
      <w:rFonts w:ascii="Times New Roman" w:hAnsi="Times New Roman"/>
      <w:b/>
      <w:sz w:val="22"/>
      <w:szCs w:val="20"/>
    </w:rPr>
  </w:style>
  <w:style w:type="paragraph" w:customStyle="1" w:styleId="H5Lower">
    <w:name w:val="H5_Lower"/>
    <w:basedOn w:val="Heading4"/>
    <w:next w:val="NormalSS"/>
    <w:link w:val="H5LowerChar"/>
    <w:qFormat/>
    <w:rsid w:val="00042E51"/>
    <w:pPr>
      <w:outlineLvl w:val="4"/>
    </w:pPr>
  </w:style>
  <w:style w:type="character" w:customStyle="1" w:styleId="H5LowerChar">
    <w:name w:val="H5_Lower Char"/>
    <w:basedOn w:val="Heading4Char"/>
    <w:link w:val="H5Lower"/>
    <w:rsid w:val="00042E51"/>
    <w:rPr>
      <w:rFonts w:ascii="Times New Roman" w:hAnsi="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AE"/>
    <w:pPr>
      <w:spacing w:line="480" w:lineRule="auto"/>
      <w:ind w:firstLine="432"/>
    </w:pPr>
    <w:rPr>
      <w:rFonts w:ascii="Times New Roman" w:hAnsi="Times New Roman"/>
      <w:szCs w:val="20"/>
    </w:rPr>
  </w:style>
  <w:style w:type="paragraph" w:styleId="Heading1">
    <w:name w:val="heading 1"/>
    <w:basedOn w:val="Normal"/>
    <w:next w:val="NormalSS"/>
    <w:link w:val="Heading1Char"/>
    <w:semiHidden/>
    <w:qFormat/>
    <w:rsid w:val="00042E5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42E5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42E5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042E51"/>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042E51"/>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042E51"/>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semiHidden/>
    <w:qFormat/>
    <w:rsid w:val="00042E51"/>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semiHidden/>
    <w:qFormat/>
    <w:rsid w:val="00042E51"/>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semiHidden/>
    <w:rsid w:val="00042E51"/>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042E51"/>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042E51"/>
    <w:pPr>
      <w:spacing w:after="240" w:line="240" w:lineRule="auto"/>
    </w:pPr>
  </w:style>
  <w:style w:type="paragraph" w:styleId="Footer">
    <w:name w:val="footer"/>
    <w:basedOn w:val="Normal"/>
    <w:link w:val="FooterChar"/>
    <w:qFormat/>
    <w:rsid w:val="00042E51"/>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042E51"/>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FC45AE"/>
    <w:pPr>
      <w:tabs>
        <w:tab w:val="right" w:leader="dot" w:pos="9360"/>
      </w:tabs>
      <w:spacing w:after="180" w:line="240" w:lineRule="exact"/>
      <w:ind w:left="720" w:right="720" w:hanging="720"/>
    </w:pPr>
    <w:rPr>
      <w:rFonts w:ascii="Arial" w:hAnsi="Arial"/>
      <w:noProof/>
      <w:sz w:val="20"/>
      <w:szCs w:val="20"/>
    </w:rPr>
  </w:style>
  <w:style w:type="paragraph" w:styleId="TOC3">
    <w:name w:val="toc 3"/>
    <w:basedOn w:val="TOC2"/>
    <w:next w:val="Normal"/>
    <w:autoRedefine/>
    <w:qFormat/>
    <w:rsid w:val="00042E51"/>
    <w:pPr>
      <w:tabs>
        <w:tab w:val="left" w:pos="1440"/>
      </w:tabs>
      <w:spacing w:after="120"/>
      <w:ind w:left="1440"/>
    </w:pPr>
  </w:style>
  <w:style w:type="paragraph" w:styleId="TOC4">
    <w:name w:val="toc 4"/>
    <w:next w:val="Normal"/>
    <w:autoRedefine/>
    <w:qFormat/>
    <w:rsid w:val="00042E51"/>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042E51"/>
    <w:pPr>
      <w:spacing w:after="120" w:line="240" w:lineRule="auto"/>
      <w:ind w:firstLine="0"/>
    </w:pPr>
    <w:rPr>
      <w:sz w:val="20"/>
    </w:rPr>
  </w:style>
  <w:style w:type="paragraph" w:customStyle="1" w:styleId="Dash">
    <w:name w:val="Dash"/>
    <w:basedOn w:val="Normal"/>
    <w:qFormat/>
    <w:rsid w:val="00042E51"/>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042E51"/>
    <w:pPr>
      <w:tabs>
        <w:tab w:val="left" w:pos="432"/>
      </w:tabs>
      <w:spacing w:after="120" w:line="240" w:lineRule="auto"/>
      <w:ind w:left="432" w:hanging="432"/>
    </w:pPr>
  </w:style>
  <w:style w:type="paragraph" w:customStyle="1" w:styleId="Outline">
    <w:name w:val="Outline"/>
    <w:basedOn w:val="Normal"/>
    <w:semiHidden/>
    <w:unhideWhenUsed/>
    <w:qFormat/>
    <w:rsid w:val="00042E51"/>
    <w:pPr>
      <w:spacing w:after="240" w:line="240" w:lineRule="auto"/>
      <w:ind w:left="720" w:hanging="720"/>
    </w:pPr>
  </w:style>
  <w:style w:type="character" w:styleId="FootnoteReference">
    <w:name w:val="footnote reference"/>
    <w:basedOn w:val="DefaultParagraphFont"/>
    <w:qFormat/>
    <w:rsid w:val="00042E51"/>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042E51"/>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042E51"/>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042E51"/>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042E51"/>
    <w:pPr>
      <w:ind w:left="720"/>
      <w:contextualSpacing/>
    </w:pPr>
  </w:style>
  <w:style w:type="paragraph" w:styleId="Header">
    <w:name w:val="header"/>
    <w:basedOn w:val="Normal"/>
    <w:link w:val="HeaderChar"/>
    <w:qFormat/>
    <w:rsid w:val="00042E5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42E51"/>
    <w:rPr>
      <w:rFonts w:ascii="Arial" w:hAnsi="Arial"/>
      <w:caps/>
      <w:sz w:val="16"/>
      <w:szCs w:val="20"/>
    </w:rPr>
  </w:style>
  <w:style w:type="paragraph" w:styleId="BalloonText">
    <w:name w:val="Balloon Text"/>
    <w:basedOn w:val="Normal"/>
    <w:link w:val="BalloonTextChar"/>
    <w:uiPriority w:val="99"/>
    <w:semiHidden/>
    <w:unhideWhenUsed/>
    <w:rsid w:val="00042E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E51"/>
    <w:rPr>
      <w:rFonts w:ascii="Tahoma" w:hAnsi="Tahoma" w:cs="Tahoma"/>
      <w:sz w:val="16"/>
      <w:szCs w:val="16"/>
    </w:rPr>
  </w:style>
  <w:style w:type="paragraph" w:customStyle="1" w:styleId="TableFootnoteCaption">
    <w:name w:val="Table Footnote_Caption"/>
    <w:qFormat/>
    <w:rsid w:val="00042E51"/>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042E51"/>
    <w:pPr>
      <w:jc w:val="center"/>
    </w:pPr>
  </w:style>
  <w:style w:type="paragraph" w:customStyle="1" w:styleId="TableHeaderLeft">
    <w:name w:val="Table Header Left"/>
    <w:basedOn w:val="TableText"/>
    <w:next w:val="TableText"/>
    <w:qFormat/>
    <w:rsid w:val="00042E51"/>
    <w:pPr>
      <w:spacing w:before="120" w:after="60"/>
    </w:pPr>
    <w:rPr>
      <w:b/>
      <w:color w:val="FFFFFF" w:themeColor="background1"/>
    </w:rPr>
  </w:style>
  <w:style w:type="paragraph" w:customStyle="1" w:styleId="Normalcontinued">
    <w:name w:val="Normal (continued)"/>
    <w:basedOn w:val="Normal"/>
    <w:next w:val="Normal"/>
    <w:qFormat/>
    <w:rsid w:val="00042E51"/>
    <w:pPr>
      <w:ind w:firstLine="0"/>
    </w:pPr>
  </w:style>
  <w:style w:type="paragraph" w:customStyle="1" w:styleId="NormalSScontinued">
    <w:name w:val="NormalSS (continued)"/>
    <w:basedOn w:val="NormalSS"/>
    <w:next w:val="NormalSS"/>
    <w:qFormat/>
    <w:rsid w:val="00042E51"/>
    <w:pPr>
      <w:ind w:firstLine="0"/>
    </w:pPr>
  </w:style>
  <w:style w:type="paragraph" w:customStyle="1" w:styleId="TableText">
    <w:name w:val="Table Text"/>
    <w:basedOn w:val="Normal"/>
    <w:qFormat/>
    <w:rsid w:val="00042E51"/>
    <w:pPr>
      <w:spacing w:line="240" w:lineRule="auto"/>
      <w:ind w:firstLine="0"/>
    </w:pPr>
    <w:rPr>
      <w:rFonts w:ascii="Arial" w:hAnsi="Arial"/>
      <w:sz w:val="18"/>
    </w:rPr>
  </w:style>
  <w:style w:type="paragraph" w:customStyle="1" w:styleId="TableSourceCaption">
    <w:name w:val="Table Source_Caption"/>
    <w:qFormat/>
    <w:rsid w:val="00042E51"/>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042E51"/>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042E51"/>
    <w:pPr>
      <w:spacing w:after="320"/>
    </w:pPr>
  </w:style>
  <w:style w:type="paragraph" w:customStyle="1" w:styleId="TableSignificanceCaption">
    <w:name w:val="Table Significance_Caption"/>
    <w:basedOn w:val="TableFootnoteCaption"/>
    <w:qFormat/>
    <w:rsid w:val="00221F32"/>
    <w:pPr>
      <w:spacing w:after="240"/>
    </w:pPr>
    <w:rPr>
      <w:rFonts w:eastAsia="Calibri"/>
    </w:rPr>
  </w:style>
  <w:style w:type="paragraph" w:customStyle="1" w:styleId="TitleofDocumentVertical">
    <w:name w:val="Title of Document Vertical"/>
    <w:basedOn w:val="Normal"/>
    <w:qFormat/>
    <w:rsid w:val="00042E51"/>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042E51"/>
    <w:pPr>
      <w:spacing w:before="0" w:after="160"/>
    </w:pPr>
  </w:style>
  <w:style w:type="paragraph" w:customStyle="1" w:styleId="TitleofDocumentNoPhoto">
    <w:name w:val="Title of Document No Photo"/>
    <w:basedOn w:val="TitleofDocumentHorizontal"/>
    <w:qFormat/>
    <w:rsid w:val="00042E51"/>
  </w:style>
  <w:style w:type="paragraph" w:customStyle="1" w:styleId="TableSpace">
    <w:name w:val="TableSpace"/>
    <w:basedOn w:val="TableSourceCaption"/>
    <w:next w:val="TableFootnoteCaption"/>
    <w:semiHidden/>
    <w:qFormat/>
    <w:rsid w:val="00042E51"/>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42E51"/>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042E51"/>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042E51"/>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926A67"/>
    <w:rPr>
      <w:color w:val="0000FF" w:themeColor="hyperlink"/>
      <w:u w:val="single"/>
    </w:rPr>
  </w:style>
  <w:style w:type="paragraph" w:styleId="DocumentMap">
    <w:name w:val="Document Map"/>
    <w:basedOn w:val="Normal"/>
    <w:link w:val="DocumentMapChar"/>
    <w:semiHidden/>
    <w:unhideWhenUsed/>
    <w:rsid w:val="00042E5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42E51"/>
    <w:rPr>
      <w:rFonts w:asciiTheme="majorHAnsi" w:hAnsiTheme="majorHAnsi"/>
      <w:szCs w:val="20"/>
    </w:rPr>
  </w:style>
  <w:style w:type="paragraph" w:customStyle="1" w:styleId="DashLASTDS">
    <w:name w:val="Dash (LAST DS)"/>
    <w:basedOn w:val="Dash"/>
    <w:next w:val="Normal"/>
    <w:qFormat/>
    <w:rsid w:val="00042E51"/>
    <w:pPr>
      <w:spacing w:after="320"/>
    </w:pPr>
    <w:rPr>
      <w:szCs w:val="24"/>
    </w:rPr>
  </w:style>
  <w:style w:type="character" w:customStyle="1" w:styleId="FootnoteTextChar">
    <w:name w:val="Footnote Text Char"/>
    <w:basedOn w:val="DefaultParagraphFont"/>
    <w:link w:val="FootnoteText"/>
    <w:rsid w:val="00042E51"/>
    <w:rPr>
      <w:rFonts w:ascii="Times New Roman" w:hAnsi="Times New Roman"/>
      <w:sz w:val="20"/>
      <w:szCs w:val="20"/>
    </w:rPr>
  </w:style>
  <w:style w:type="character" w:customStyle="1" w:styleId="NormalSSChar">
    <w:name w:val="NormalSS Char"/>
    <w:basedOn w:val="DefaultParagraphFont"/>
    <w:link w:val="NormalSS"/>
    <w:locked/>
    <w:rsid w:val="00111346"/>
    <w:rPr>
      <w:rFonts w:ascii="Times New Roman" w:hAnsi="Times New Roman"/>
      <w:szCs w:val="20"/>
    </w:rPr>
  </w:style>
  <w:style w:type="paragraph" w:customStyle="1" w:styleId="MarkforTableTitle">
    <w:name w:val="Mark for Table Title"/>
    <w:basedOn w:val="Normal"/>
    <w:next w:val="NormalSS"/>
    <w:qFormat/>
    <w:rsid w:val="00042E51"/>
    <w:pPr>
      <w:keepNext/>
      <w:spacing w:after="60" w:line="240" w:lineRule="auto"/>
      <w:ind w:firstLine="0"/>
    </w:pPr>
    <w:rPr>
      <w:rFonts w:ascii="Arial Black" w:hAnsi="Arial Black"/>
      <w:sz w:val="22"/>
    </w:rPr>
  </w:style>
  <w:style w:type="table" w:customStyle="1" w:styleId="TableGrid1">
    <w:name w:val="Table Grid1"/>
    <w:basedOn w:val="TableNormal"/>
    <w:next w:val="TableGrid"/>
    <w:uiPriority w:val="59"/>
    <w:rsid w:val="00111346"/>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SS"/>
    <w:link w:val="H2ChapterChar"/>
    <w:qFormat/>
    <w:rsid w:val="00042E51"/>
    <w:pPr>
      <w:ind w:left="432" w:hanging="432"/>
      <w:outlineLvl w:val="1"/>
    </w:pPr>
  </w:style>
  <w:style w:type="character" w:customStyle="1" w:styleId="H2ChapterChar">
    <w:name w:val="H2_Chapter Char"/>
    <w:basedOn w:val="Heading1Char"/>
    <w:link w:val="H2Chapter"/>
    <w:rsid w:val="00042E51"/>
    <w:rPr>
      <w:rFonts w:ascii="Arial Black" w:hAnsi="Arial Black"/>
      <w:caps/>
      <w:sz w:val="22"/>
      <w:szCs w:val="20"/>
    </w:rPr>
  </w:style>
  <w:style w:type="paragraph" w:customStyle="1" w:styleId="H4NumberNoTOC">
    <w:name w:val="H4_Number_No TOC"/>
    <w:basedOn w:val="H4Number"/>
    <w:next w:val="NormalSS"/>
    <w:link w:val="H4NumberNoTOCChar"/>
    <w:qFormat/>
    <w:rsid w:val="00042E51"/>
    <w:pPr>
      <w:outlineLvl w:val="9"/>
    </w:pPr>
  </w:style>
  <w:style w:type="character" w:customStyle="1" w:styleId="H4NumberNoTOCChar">
    <w:name w:val="H4_Number_No TOC Char"/>
    <w:basedOn w:val="H4NumberChar"/>
    <w:link w:val="H4NumberNoTOC"/>
    <w:rsid w:val="00042E51"/>
    <w:rPr>
      <w:rFonts w:ascii="Times New Roman" w:hAnsi="Times New Roman"/>
      <w:b/>
      <w:sz w:val="22"/>
      <w:szCs w:val="20"/>
    </w:rPr>
  </w:style>
  <w:style w:type="character" w:styleId="CommentReference">
    <w:name w:val="annotation reference"/>
    <w:basedOn w:val="DefaultParagraphFont"/>
    <w:uiPriority w:val="99"/>
    <w:semiHidden/>
    <w:unhideWhenUsed/>
    <w:rsid w:val="00D230D0"/>
    <w:rPr>
      <w:sz w:val="16"/>
      <w:szCs w:val="16"/>
    </w:rPr>
  </w:style>
  <w:style w:type="paragraph" w:styleId="CommentText">
    <w:name w:val="annotation text"/>
    <w:basedOn w:val="Normal"/>
    <w:link w:val="CommentTextChar"/>
    <w:uiPriority w:val="99"/>
    <w:semiHidden/>
    <w:unhideWhenUsed/>
    <w:rsid w:val="00D230D0"/>
    <w:pPr>
      <w:spacing w:after="160" w:line="240" w:lineRule="auto"/>
      <w:ind w:firstLine="0"/>
    </w:pPr>
    <w:rPr>
      <w:rFonts w:eastAsiaTheme="minorHAnsi" w:cstheme="minorBidi"/>
      <w:sz w:val="20"/>
    </w:rPr>
  </w:style>
  <w:style w:type="character" w:customStyle="1" w:styleId="CommentTextChar">
    <w:name w:val="Comment Text Char"/>
    <w:basedOn w:val="DefaultParagraphFont"/>
    <w:link w:val="CommentText"/>
    <w:uiPriority w:val="99"/>
    <w:semiHidden/>
    <w:rsid w:val="00D230D0"/>
    <w:rPr>
      <w:rFonts w:ascii="Times New Roman" w:eastAsiaTheme="minorHAnsi" w:hAnsi="Times New Roman" w:cstheme="minorBidi"/>
      <w:sz w:val="20"/>
      <w:szCs w:val="20"/>
    </w:rPr>
  </w:style>
  <w:style w:type="paragraph" w:customStyle="1" w:styleId="H3Alpha">
    <w:name w:val="H3_Alpha"/>
    <w:basedOn w:val="Heading2"/>
    <w:next w:val="NormalSS"/>
    <w:link w:val="H3AlphaChar"/>
    <w:qFormat/>
    <w:rsid w:val="000175C5"/>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3AlphaChar">
    <w:name w:val="H3_Alpha Char"/>
    <w:basedOn w:val="Heading2Char"/>
    <w:link w:val="H3Alpha"/>
    <w:rsid w:val="000175C5"/>
    <w:rPr>
      <w:rFonts w:ascii="Arial Black" w:hAnsi="Arial Black"/>
      <w:caps w:val="0"/>
      <w:sz w:val="22"/>
      <w:szCs w:val="20"/>
    </w:rPr>
  </w:style>
  <w:style w:type="paragraph" w:customStyle="1" w:styleId="Bullet">
    <w:name w:val="Bullet"/>
    <w:basedOn w:val="Normal"/>
    <w:qFormat/>
    <w:rsid w:val="00042E51"/>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042E51"/>
    <w:pPr>
      <w:numPr>
        <w:numId w:val="10"/>
      </w:numPr>
      <w:spacing w:after="240"/>
      <w:ind w:left="432" w:hanging="432"/>
    </w:pPr>
  </w:style>
  <w:style w:type="paragraph" w:styleId="CommentSubject">
    <w:name w:val="annotation subject"/>
    <w:basedOn w:val="CommentText"/>
    <w:next w:val="CommentText"/>
    <w:link w:val="CommentSubjectChar"/>
    <w:uiPriority w:val="99"/>
    <w:semiHidden/>
    <w:unhideWhenUsed/>
    <w:rsid w:val="00C179D4"/>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C179D4"/>
    <w:rPr>
      <w:rFonts w:ascii="Times New Roman" w:eastAsiaTheme="minorHAnsi" w:hAnsi="Times New Roman" w:cstheme="minorBidi"/>
      <w:b/>
      <w:bCs/>
      <w:sz w:val="20"/>
      <w:szCs w:val="20"/>
    </w:rPr>
  </w:style>
  <w:style w:type="character" w:styleId="FollowedHyperlink">
    <w:name w:val="FollowedHyperlink"/>
    <w:basedOn w:val="DefaultParagraphFont"/>
    <w:uiPriority w:val="99"/>
    <w:semiHidden/>
    <w:unhideWhenUsed/>
    <w:rsid w:val="006A406C"/>
    <w:rPr>
      <w:color w:val="800080" w:themeColor="followedHyperlink"/>
      <w:u w:val="single"/>
    </w:rPr>
  </w:style>
  <w:style w:type="paragraph" w:styleId="Revision">
    <w:name w:val="Revision"/>
    <w:hidden/>
    <w:uiPriority w:val="99"/>
    <w:semiHidden/>
    <w:rsid w:val="00C64D72"/>
  </w:style>
  <w:style w:type="paragraph" w:customStyle="1" w:styleId="AcknowledgmentnoTOC">
    <w:name w:val="Acknowledgment no TOC"/>
    <w:basedOn w:val="Normal"/>
    <w:next w:val="Normal"/>
    <w:qFormat/>
    <w:rsid w:val="00042E5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042E51"/>
    <w:pPr>
      <w:numPr>
        <w:numId w:val="11"/>
      </w:numPr>
      <w:spacing w:after="320"/>
      <w:ind w:left="432" w:hanging="432"/>
    </w:pPr>
  </w:style>
  <w:style w:type="paragraph" w:customStyle="1" w:styleId="Center">
    <w:name w:val="Center"/>
    <w:basedOn w:val="Normal"/>
    <w:semiHidden/>
    <w:unhideWhenUsed/>
    <w:rsid w:val="00042E51"/>
    <w:pPr>
      <w:ind w:firstLine="0"/>
      <w:jc w:val="center"/>
    </w:pPr>
  </w:style>
  <w:style w:type="paragraph" w:customStyle="1" w:styleId="DashLASTSS">
    <w:name w:val="Dash (LAST SS)"/>
    <w:basedOn w:val="Dash"/>
    <w:next w:val="NormalSS"/>
    <w:qFormat/>
    <w:rsid w:val="00042E51"/>
    <w:pPr>
      <w:numPr>
        <w:numId w:val="12"/>
      </w:numPr>
      <w:spacing w:after="240"/>
    </w:pPr>
  </w:style>
  <w:style w:type="character" w:customStyle="1" w:styleId="FooterChar">
    <w:name w:val="Footer Char"/>
    <w:basedOn w:val="DefaultParagraphFont"/>
    <w:link w:val="Footer"/>
    <w:rsid w:val="00042E51"/>
    <w:rPr>
      <w:rFonts w:ascii="Arial" w:hAnsi="Arial"/>
      <w:sz w:val="20"/>
      <w:szCs w:val="20"/>
    </w:rPr>
  </w:style>
  <w:style w:type="character" w:customStyle="1" w:styleId="Heading1Char">
    <w:name w:val="Heading 1 Char"/>
    <w:basedOn w:val="DefaultParagraphFont"/>
    <w:link w:val="Heading1"/>
    <w:semiHidden/>
    <w:rsid w:val="00042E51"/>
    <w:rPr>
      <w:rFonts w:ascii="Arial Black" w:hAnsi="Arial Black"/>
      <w:caps/>
      <w:sz w:val="22"/>
      <w:szCs w:val="20"/>
    </w:rPr>
  </w:style>
  <w:style w:type="character" w:customStyle="1" w:styleId="Heading2Char">
    <w:name w:val="Heading 2 Char"/>
    <w:basedOn w:val="DefaultParagraphFont"/>
    <w:link w:val="Heading2"/>
    <w:semiHidden/>
    <w:rsid w:val="00042E51"/>
    <w:rPr>
      <w:rFonts w:ascii="Arial Black" w:hAnsi="Arial Black"/>
      <w:caps/>
      <w:sz w:val="22"/>
      <w:szCs w:val="20"/>
    </w:rPr>
  </w:style>
  <w:style w:type="character" w:customStyle="1" w:styleId="Heading3Char">
    <w:name w:val="Heading 3 Char"/>
    <w:basedOn w:val="DefaultParagraphFont"/>
    <w:link w:val="Heading3"/>
    <w:rsid w:val="00042E51"/>
    <w:rPr>
      <w:rFonts w:ascii="Arial Black" w:hAnsi="Arial Black"/>
      <w:sz w:val="22"/>
      <w:szCs w:val="20"/>
    </w:rPr>
  </w:style>
  <w:style w:type="paragraph" w:customStyle="1" w:styleId="Heading4NoTOC">
    <w:name w:val="Heading 4_No TOC"/>
    <w:basedOn w:val="Heading4"/>
    <w:next w:val="NormalSS"/>
    <w:semiHidden/>
    <w:qFormat/>
    <w:rsid w:val="00042E51"/>
    <w:pPr>
      <w:outlineLvl w:val="9"/>
    </w:pPr>
  </w:style>
  <w:style w:type="character" w:customStyle="1" w:styleId="Heading4Char">
    <w:name w:val="Heading 4 Char"/>
    <w:basedOn w:val="DefaultParagraphFont"/>
    <w:link w:val="Heading4"/>
    <w:rsid w:val="00042E51"/>
    <w:rPr>
      <w:rFonts w:ascii="Times New Roman" w:hAnsi="Times New Roman"/>
      <w:b/>
      <w:szCs w:val="20"/>
    </w:rPr>
  </w:style>
  <w:style w:type="character" w:customStyle="1" w:styleId="Heading5Char">
    <w:name w:val="Heading 5 Char"/>
    <w:aliases w:val="Heading 5 (business proposal only) Char"/>
    <w:basedOn w:val="DefaultParagraphFont"/>
    <w:link w:val="Heading5"/>
    <w:semiHidden/>
    <w:rsid w:val="00042E51"/>
    <w:rPr>
      <w:rFonts w:ascii="Times New Roman" w:hAnsi="Times New Roman"/>
      <w:b/>
      <w:szCs w:val="20"/>
    </w:rPr>
  </w:style>
  <w:style w:type="character" w:customStyle="1" w:styleId="Heading6Char">
    <w:name w:val="Heading 6 Char"/>
    <w:aliases w:val="Heading 6 (business proposal only) Char"/>
    <w:basedOn w:val="DefaultParagraphFont"/>
    <w:link w:val="Heading6"/>
    <w:semiHidden/>
    <w:rsid w:val="00042E51"/>
    <w:rPr>
      <w:rFonts w:ascii="Times New Roman" w:hAnsi="Times New Roman"/>
      <w:szCs w:val="20"/>
    </w:rPr>
  </w:style>
  <w:style w:type="character" w:customStyle="1" w:styleId="Heading7Char">
    <w:name w:val="Heading 7 Char"/>
    <w:aliases w:val="Heading 7 (business proposal only) Char"/>
    <w:basedOn w:val="DefaultParagraphFont"/>
    <w:link w:val="Heading7"/>
    <w:semiHidden/>
    <w:rsid w:val="00042E51"/>
    <w:rPr>
      <w:rFonts w:ascii="Times New Roman" w:hAnsi="Times New Roman"/>
      <w:szCs w:val="20"/>
    </w:rPr>
  </w:style>
  <w:style w:type="character" w:customStyle="1" w:styleId="Heading8Char">
    <w:name w:val="Heading 8 Char"/>
    <w:aliases w:val="Heading 8 (business proposal only) Char"/>
    <w:basedOn w:val="DefaultParagraphFont"/>
    <w:link w:val="Heading8"/>
    <w:semiHidden/>
    <w:rsid w:val="00042E51"/>
    <w:rPr>
      <w:rFonts w:ascii="Times New Roman" w:hAnsi="Times New Roman"/>
      <w:szCs w:val="20"/>
    </w:rPr>
  </w:style>
  <w:style w:type="character" w:customStyle="1" w:styleId="Heading9Char">
    <w:name w:val="Heading 9 Char"/>
    <w:aliases w:val="Heading 9 (business proposal only) Char"/>
    <w:basedOn w:val="DefaultParagraphFont"/>
    <w:link w:val="Heading9"/>
    <w:semiHidden/>
    <w:rsid w:val="00042E51"/>
    <w:rPr>
      <w:rFonts w:ascii="Times New Roman" w:hAnsi="Times New Roman"/>
      <w:szCs w:val="20"/>
    </w:rPr>
  </w:style>
  <w:style w:type="paragraph" w:customStyle="1" w:styleId="MarkforAppendixTitle">
    <w:name w:val="Mark for Appendix Title"/>
    <w:basedOn w:val="Normal"/>
    <w:next w:val="Normal"/>
    <w:qFormat/>
    <w:rsid w:val="00042E5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42E5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42E51"/>
  </w:style>
  <w:style w:type="paragraph" w:customStyle="1" w:styleId="MarkforFigureTitle">
    <w:name w:val="Mark for Figure Title"/>
    <w:basedOn w:val="MarkforTableTitle"/>
    <w:next w:val="NormalSS"/>
    <w:qFormat/>
    <w:rsid w:val="00042E51"/>
  </w:style>
  <w:style w:type="paragraph" w:customStyle="1" w:styleId="Tabletext8">
    <w:name w:val="Table text 8"/>
    <w:basedOn w:val="TableText"/>
    <w:qFormat/>
    <w:rsid w:val="00042E51"/>
    <w:rPr>
      <w:snapToGrid w:val="0"/>
      <w:sz w:val="16"/>
      <w:szCs w:val="16"/>
    </w:rPr>
  </w:style>
  <w:style w:type="paragraph" w:styleId="Title">
    <w:name w:val="Title"/>
    <w:basedOn w:val="Normal"/>
    <w:next w:val="Normal"/>
    <w:link w:val="TitleChar"/>
    <w:rsid w:val="00042E5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42E51"/>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042E51"/>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042E51"/>
    <w:rPr>
      <w:rFonts w:ascii="Times New Roman" w:hAnsi="Times New Roman"/>
      <w:szCs w:val="20"/>
    </w:rPr>
  </w:style>
  <w:style w:type="paragraph" w:customStyle="1" w:styleId="NumberedBulletLastSS0">
    <w:name w:val="Numbered Bullet (Last SS)"/>
    <w:basedOn w:val="NumberedBulletLastDS"/>
    <w:next w:val="NormalSS"/>
    <w:qFormat/>
    <w:rsid w:val="00042E51"/>
    <w:pPr>
      <w:spacing w:after="240"/>
    </w:pPr>
  </w:style>
  <w:style w:type="table" w:styleId="LightList">
    <w:name w:val="Light List"/>
    <w:basedOn w:val="TableNormal"/>
    <w:uiPriority w:val="61"/>
    <w:rsid w:val="00042E5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42E51"/>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42E51"/>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042E51"/>
    <w:rPr>
      <w:rFonts w:ascii="Arial Black" w:hAnsi="Arial Black"/>
      <w:color w:val="E70033"/>
      <w:sz w:val="37"/>
      <w:szCs w:val="20"/>
    </w:rPr>
  </w:style>
  <w:style w:type="paragraph" w:customStyle="1" w:styleId="H3AlphaNoTOC">
    <w:name w:val="H3_Alpha_No TOC"/>
    <w:basedOn w:val="H3Alpha"/>
    <w:next w:val="NormalSS"/>
    <w:link w:val="H3AlphaNoTOCChar"/>
    <w:qFormat/>
    <w:rsid w:val="00042E51"/>
    <w:pPr>
      <w:outlineLvl w:val="9"/>
    </w:pPr>
  </w:style>
  <w:style w:type="paragraph" w:customStyle="1" w:styleId="H4Number">
    <w:name w:val="H4_Number"/>
    <w:basedOn w:val="Heading3"/>
    <w:next w:val="NormalSS"/>
    <w:link w:val="H4NumberChar"/>
    <w:qFormat/>
    <w:rsid w:val="00FB76D9"/>
    <w:pPr>
      <w:outlineLvl w:val="3"/>
    </w:pPr>
    <w:rPr>
      <w:rFonts w:ascii="Times New Roman" w:hAnsi="Times New Roman"/>
      <w:b/>
      <w:sz w:val="24"/>
      <w:szCs w:val="24"/>
    </w:rPr>
  </w:style>
  <w:style w:type="character" w:customStyle="1" w:styleId="H3AlphaNoTOCChar">
    <w:name w:val="H3_Alpha_No TOC Char"/>
    <w:basedOn w:val="H3AlphaChar"/>
    <w:link w:val="H3AlphaNoTOC"/>
    <w:rsid w:val="00042E51"/>
    <w:rPr>
      <w:rFonts w:ascii="Arial Black" w:hAnsi="Arial Black"/>
      <w:caps w:val="0"/>
      <w:sz w:val="22"/>
      <w:szCs w:val="20"/>
    </w:rPr>
  </w:style>
  <w:style w:type="character" w:customStyle="1" w:styleId="H4NumberChar">
    <w:name w:val="H4_Number Char"/>
    <w:basedOn w:val="Heading3Char"/>
    <w:link w:val="H4Number"/>
    <w:rsid w:val="00FB76D9"/>
    <w:rPr>
      <w:rFonts w:ascii="Times New Roman" w:hAnsi="Times New Roman"/>
      <w:b/>
      <w:sz w:val="22"/>
      <w:szCs w:val="20"/>
    </w:rPr>
  </w:style>
  <w:style w:type="paragraph" w:customStyle="1" w:styleId="H5Lower">
    <w:name w:val="H5_Lower"/>
    <w:basedOn w:val="Heading4"/>
    <w:next w:val="NormalSS"/>
    <w:link w:val="H5LowerChar"/>
    <w:qFormat/>
    <w:rsid w:val="00042E51"/>
    <w:pPr>
      <w:outlineLvl w:val="4"/>
    </w:pPr>
  </w:style>
  <w:style w:type="character" w:customStyle="1" w:styleId="H5LowerChar">
    <w:name w:val="H5_Lower Char"/>
    <w:basedOn w:val="Heading4Char"/>
    <w:link w:val="H5Lower"/>
    <w:rsid w:val="00042E51"/>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19905">
      <w:bodyDiv w:val="1"/>
      <w:marLeft w:val="0"/>
      <w:marRight w:val="0"/>
      <w:marTop w:val="0"/>
      <w:marBottom w:val="0"/>
      <w:divBdr>
        <w:top w:val="none" w:sz="0" w:space="0" w:color="auto"/>
        <w:left w:val="none" w:sz="0" w:space="0" w:color="auto"/>
        <w:bottom w:val="none" w:sz="0" w:space="0" w:color="auto"/>
        <w:right w:val="none" w:sz="0" w:space="0" w:color="auto"/>
      </w:divBdr>
    </w:div>
    <w:div w:id="377046063">
      <w:bodyDiv w:val="1"/>
      <w:marLeft w:val="0"/>
      <w:marRight w:val="0"/>
      <w:marTop w:val="0"/>
      <w:marBottom w:val="0"/>
      <w:divBdr>
        <w:top w:val="none" w:sz="0" w:space="0" w:color="auto"/>
        <w:left w:val="none" w:sz="0" w:space="0" w:color="auto"/>
        <w:bottom w:val="none" w:sz="0" w:space="0" w:color="auto"/>
        <w:right w:val="none" w:sz="0" w:space="0" w:color="auto"/>
      </w:divBdr>
    </w:div>
    <w:div w:id="521826203">
      <w:bodyDiv w:val="1"/>
      <w:marLeft w:val="0"/>
      <w:marRight w:val="0"/>
      <w:marTop w:val="0"/>
      <w:marBottom w:val="0"/>
      <w:divBdr>
        <w:top w:val="none" w:sz="0" w:space="0" w:color="auto"/>
        <w:left w:val="none" w:sz="0" w:space="0" w:color="auto"/>
        <w:bottom w:val="none" w:sz="0" w:space="0" w:color="auto"/>
        <w:right w:val="none" w:sz="0" w:space="0" w:color="auto"/>
      </w:divBdr>
    </w:div>
    <w:div w:id="637030071">
      <w:bodyDiv w:val="1"/>
      <w:marLeft w:val="0"/>
      <w:marRight w:val="0"/>
      <w:marTop w:val="0"/>
      <w:marBottom w:val="0"/>
      <w:divBdr>
        <w:top w:val="none" w:sz="0" w:space="0" w:color="auto"/>
        <w:left w:val="none" w:sz="0" w:space="0" w:color="auto"/>
        <w:bottom w:val="none" w:sz="0" w:space="0" w:color="auto"/>
        <w:right w:val="none" w:sz="0" w:space="0" w:color="auto"/>
      </w:divBdr>
    </w:div>
    <w:div w:id="742293449">
      <w:bodyDiv w:val="1"/>
      <w:marLeft w:val="0"/>
      <w:marRight w:val="0"/>
      <w:marTop w:val="0"/>
      <w:marBottom w:val="0"/>
      <w:divBdr>
        <w:top w:val="none" w:sz="0" w:space="0" w:color="auto"/>
        <w:left w:val="none" w:sz="0" w:space="0" w:color="auto"/>
        <w:bottom w:val="none" w:sz="0" w:space="0" w:color="auto"/>
        <w:right w:val="none" w:sz="0" w:space="0" w:color="auto"/>
      </w:divBdr>
    </w:div>
    <w:div w:id="949166245">
      <w:bodyDiv w:val="1"/>
      <w:marLeft w:val="0"/>
      <w:marRight w:val="0"/>
      <w:marTop w:val="0"/>
      <w:marBottom w:val="0"/>
      <w:divBdr>
        <w:top w:val="none" w:sz="0" w:space="0" w:color="auto"/>
        <w:left w:val="none" w:sz="0" w:space="0" w:color="auto"/>
        <w:bottom w:val="none" w:sz="0" w:space="0" w:color="auto"/>
        <w:right w:val="none" w:sz="0" w:space="0" w:color="auto"/>
      </w:divBdr>
    </w:div>
    <w:div w:id="1257712019">
      <w:bodyDiv w:val="1"/>
      <w:marLeft w:val="0"/>
      <w:marRight w:val="0"/>
      <w:marTop w:val="0"/>
      <w:marBottom w:val="0"/>
      <w:divBdr>
        <w:top w:val="none" w:sz="0" w:space="0" w:color="auto"/>
        <w:left w:val="none" w:sz="0" w:space="0" w:color="auto"/>
        <w:bottom w:val="none" w:sz="0" w:space="0" w:color="auto"/>
        <w:right w:val="none" w:sz="0" w:space="0" w:color="auto"/>
      </w:divBdr>
    </w:div>
    <w:div w:id="1308126524">
      <w:bodyDiv w:val="1"/>
      <w:marLeft w:val="0"/>
      <w:marRight w:val="0"/>
      <w:marTop w:val="0"/>
      <w:marBottom w:val="0"/>
      <w:divBdr>
        <w:top w:val="none" w:sz="0" w:space="0" w:color="auto"/>
        <w:left w:val="none" w:sz="0" w:space="0" w:color="auto"/>
        <w:bottom w:val="none" w:sz="0" w:space="0" w:color="auto"/>
        <w:right w:val="none" w:sz="0" w:space="0" w:color="auto"/>
      </w:divBdr>
    </w:div>
    <w:div w:id="1438255365">
      <w:bodyDiv w:val="1"/>
      <w:marLeft w:val="0"/>
      <w:marRight w:val="0"/>
      <w:marTop w:val="0"/>
      <w:marBottom w:val="0"/>
      <w:divBdr>
        <w:top w:val="none" w:sz="0" w:space="0" w:color="auto"/>
        <w:left w:val="none" w:sz="0" w:space="0" w:color="auto"/>
        <w:bottom w:val="none" w:sz="0" w:space="0" w:color="auto"/>
        <w:right w:val="none" w:sz="0" w:space="0" w:color="auto"/>
      </w:divBdr>
    </w:div>
    <w:div w:id="1442191037">
      <w:bodyDiv w:val="1"/>
      <w:marLeft w:val="0"/>
      <w:marRight w:val="0"/>
      <w:marTop w:val="0"/>
      <w:marBottom w:val="0"/>
      <w:divBdr>
        <w:top w:val="none" w:sz="0" w:space="0" w:color="auto"/>
        <w:left w:val="none" w:sz="0" w:space="0" w:color="auto"/>
        <w:bottom w:val="none" w:sz="0" w:space="0" w:color="auto"/>
        <w:right w:val="none" w:sz="0" w:space="0" w:color="auto"/>
      </w:divBdr>
    </w:div>
    <w:div w:id="1575050278">
      <w:bodyDiv w:val="1"/>
      <w:marLeft w:val="0"/>
      <w:marRight w:val="0"/>
      <w:marTop w:val="0"/>
      <w:marBottom w:val="0"/>
      <w:divBdr>
        <w:top w:val="none" w:sz="0" w:space="0" w:color="auto"/>
        <w:left w:val="none" w:sz="0" w:space="0" w:color="auto"/>
        <w:bottom w:val="none" w:sz="0" w:space="0" w:color="auto"/>
        <w:right w:val="none" w:sz="0" w:space="0" w:color="auto"/>
      </w:divBdr>
    </w:div>
    <w:div w:id="1611355308">
      <w:bodyDiv w:val="1"/>
      <w:marLeft w:val="0"/>
      <w:marRight w:val="0"/>
      <w:marTop w:val="0"/>
      <w:marBottom w:val="0"/>
      <w:divBdr>
        <w:top w:val="none" w:sz="0" w:space="0" w:color="auto"/>
        <w:left w:val="none" w:sz="0" w:space="0" w:color="auto"/>
        <w:bottom w:val="none" w:sz="0" w:space="0" w:color="auto"/>
        <w:right w:val="none" w:sz="0" w:space="0" w:color="auto"/>
      </w:divBdr>
    </w:div>
    <w:div w:id="1707607195">
      <w:bodyDiv w:val="1"/>
      <w:marLeft w:val="0"/>
      <w:marRight w:val="0"/>
      <w:marTop w:val="0"/>
      <w:marBottom w:val="0"/>
      <w:divBdr>
        <w:top w:val="none" w:sz="0" w:space="0" w:color="auto"/>
        <w:left w:val="none" w:sz="0" w:space="0" w:color="auto"/>
        <w:bottom w:val="none" w:sz="0" w:space="0" w:color="auto"/>
        <w:right w:val="none" w:sz="0" w:space="0" w:color="auto"/>
      </w:divBdr>
    </w:div>
    <w:div w:id="2011104265">
      <w:bodyDiv w:val="1"/>
      <w:marLeft w:val="0"/>
      <w:marRight w:val="0"/>
      <w:marTop w:val="0"/>
      <w:marBottom w:val="0"/>
      <w:divBdr>
        <w:top w:val="none" w:sz="0" w:space="0" w:color="auto"/>
        <w:left w:val="none" w:sz="0" w:space="0" w:color="auto"/>
        <w:bottom w:val="none" w:sz="0" w:space="0" w:color="auto"/>
        <w:right w:val="none" w:sz="0" w:space="0" w:color="auto"/>
      </w:divBdr>
    </w:div>
    <w:div w:id="2046632088">
      <w:bodyDiv w:val="1"/>
      <w:marLeft w:val="0"/>
      <w:marRight w:val="0"/>
      <w:marTop w:val="0"/>
      <w:marBottom w:val="0"/>
      <w:divBdr>
        <w:top w:val="none" w:sz="0" w:space="0" w:color="auto"/>
        <w:left w:val="none" w:sz="0" w:space="0" w:color="auto"/>
        <w:bottom w:val="none" w:sz="0" w:space="0" w:color="auto"/>
        <w:right w:val="none" w:sz="0" w:space="0" w:color="auto"/>
      </w:divBdr>
    </w:div>
    <w:div w:id="20681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hab.hrsa.gov/sites/default/files/hab/data/datareports/RWHAP-annual-client-level-data-report-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FAF9-D9F2-44C4-A6B0-1C3A979A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2019-12-12T13:08:00Z</dcterms:created>
  <dcterms:modified xsi:type="dcterms:W3CDTF">2019-12-12T13:08:00Z</dcterms:modified>
  <cp:category/>
  <cp:contentStatus/>
</cp:coreProperties>
</file>