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114" w:rsidRPr="006246B5" w:rsidRDefault="00496114">
      <w:pPr>
        <w:jc w:val="center"/>
        <w:rPr>
          <w:b/>
        </w:rPr>
      </w:pPr>
      <w:bookmarkStart w:id="0" w:name="_GoBack"/>
      <w:bookmarkEnd w:id="0"/>
      <w:r w:rsidRPr="006246B5">
        <w:rPr>
          <w:b/>
        </w:rPr>
        <w:t>SUPPORTING STATEMENT FOR NEW AND</w:t>
      </w:r>
    </w:p>
    <w:p w:rsidR="00496114" w:rsidRPr="006246B5" w:rsidRDefault="00496114">
      <w:pPr>
        <w:jc w:val="center"/>
        <w:rPr>
          <w:b/>
        </w:rPr>
      </w:pPr>
      <w:r w:rsidRPr="006246B5">
        <w:rPr>
          <w:b/>
        </w:rPr>
        <w:t>REVISED INFORMATION COLLECTIONS</w:t>
      </w:r>
      <w:r w:rsidR="006246B5">
        <w:rPr>
          <w:b/>
        </w:rPr>
        <w:br/>
      </w:r>
    </w:p>
    <w:p w:rsidR="00496114" w:rsidRPr="006B1288" w:rsidRDefault="00496114" w:rsidP="00B7091B">
      <w:pPr>
        <w:tabs>
          <w:tab w:val="center" w:pos="5400"/>
          <w:tab w:val="left" w:pos="8002"/>
        </w:tabs>
        <w:jc w:val="center"/>
      </w:pPr>
      <w:r>
        <w:rPr>
          <w:b/>
        </w:rPr>
        <w:t>OMB CONTROL NUMBER 3038-0012</w:t>
      </w:r>
      <w:r w:rsidR="00FA3DDD">
        <w:rPr>
          <w:b/>
        </w:rPr>
        <w:br/>
      </w:r>
      <w:r w:rsidR="006246B5">
        <w:rPr>
          <w:b/>
        </w:rPr>
        <w:br/>
      </w:r>
      <w:r w:rsidR="00FA3DDD" w:rsidRPr="006B1288">
        <w:t>Futures Volume, Open Interest, Price, Deliveries and Purchases/Sales of Futures for Commodities or for Derivatives Positions</w:t>
      </w:r>
    </w:p>
    <w:p w:rsidR="00FA3DDD" w:rsidRPr="00B7091B" w:rsidRDefault="00FA3DDD" w:rsidP="00B7091B">
      <w:pPr>
        <w:tabs>
          <w:tab w:val="center" w:pos="5400"/>
          <w:tab w:val="left" w:pos="8002"/>
        </w:tabs>
        <w:jc w:val="center"/>
        <w:rPr>
          <w:u w:val="single"/>
        </w:rPr>
      </w:pPr>
    </w:p>
    <w:p w:rsidR="00496114" w:rsidRPr="006246B5" w:rsidRDefault="006246B5" w:rsidP="00B7091B">
      <w:pPr>
        <w:rPr>
          <w:b/>
        </w:rPr>
      </w:pPr>
      <w:r w:rsidRPr="006246B5">
        <w:rPr>
          <w:b/>
        </w:rPr>
        <w:t>Justification</w:t>
      </w:r>
    </w:p>
    <w:p w:rsidR="006246B5" w:rsidRDefault="006246B5">
      <w:pPr>
        <w:keepNext/>
        <w:ind w:left="720" w:hanging="720"/>
        <w:rPr>
          <w:b/>
        </w:rPr>
      </w:pPr>
    </w:p>
    <w:p w:rsidR="00496114" w:rsidRDefault="00496114">
      <w:pPr>
        <w:keepNext/>
        <w:ind w:left="720" w:hanging="720"/>
        <w:rPr>
          <w:b/>
        </w:rPr>
      </w:pPr>
      <w:r>
        <w:rPr>
          <w:b/>
        </w:rPr>
        <w:t>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96114" w:rsidRDefault="00496114">
      <w:pPr>
        <w:rPr>
          <w:b/>
        </w:rPr>
      </w:pPr>
    </w:p>
    <w:p w:rsidR="00496114" w:rsidRDefault="00496114">
      <w:pPr>
        <w:ind w:left="720"/>
      </w:pPr>
      <w:r>
        <w:t>Section 4g of the Commodity Exchange Act requires contract markets to make public the daily volume of trading on each type of contract and such other information as the Commission deems necessary in the public interest and prescrib</w:t>
      </w:r>
      <w:r w:rsidR="00C45C4D">
        <w:t xml:space="preserve">es by rule, order or regulation 7 </w:t>
      </w:r>
      <w:r>
        <w:t>U.S.C. §6g(5).  The Commission has determined that in addition to volume of trading, it is in the public interest and necessary for market surveillance that exchanges publish the following market information:</w:t>
      </w:r>
    </w:p>
    <w:p w:rsidR="00496114" w:rsidRDefault="00496114">
      <w:r>
        <w:tab/>
      </w:r>
    </w:p>
    <w:p w:rsidR="00496114" w:rsidRDefault="00496114">
      <w:pPr>
        <w:ind w:firstLine="720"/>
      </w:pPr>
      <w:r>
        <w:t>1.</w:t>
      </w:r>
      <w:r>
        <w:tab/>
      </w:r>
      <w:r w:rsidR="00000B5D">
        <w:t>Price</w:t>
      </w:r>
      <w:r>
        <w:t xml:space="preserve"> information;</w:t>
      </w:r>
    </w:p>
    <w:p w:rsidR="00496114" w:rsidRDefault="00496114">
      <w:r>
        <w:tab/>
        <w:t>2.</w:t>
      </w:r>
      <w:r>
        <w:tab/>
      </w:r>
      <w:r w:rsidR="00000B5D">
        <w:t>Open</w:t>
      </w:r>
      <w:r>
        <w:t xml:space="preserve"> interest;</w:t>
      </w:r>
    </w:p>
    <w:p w:rsidR="00496114" w:rsidRDefault="00496114">
      <w:r>
        <w:tab/>
        <w:t>3.</w:t>
      </w:r>
      <w:r>
        <w:tab/>
      </w:r>
      <w:r w:rsidR="00000B5D">
        <w:t>Exchanges</w:t>
      </w:r>
      <w:r>
        <w:t xml:space="preserve"> of futures for non-futures;</w:t>
      </w:r>
    </w:p>
    <w:p w:rsidR="00496114" w:rsidRDefault="00496114">
      <w:r>
        <w:tab/>
        <w:t>4.</w:t>
      </w:r>
      <w:r>
        <w:tab/>
      </w:r>
      <w:r w:rsidR="00000B5D">
        <w:t>Delivery</w:t>
      </w:r>
      <w:r>
        <w:t xml:space="preserve"> notices issued and stopped; and</w:t>
      </w:r>
    </w:p>
    <w:p w:rsidR="00496114" w:rsidRDefault="00496114">
      <w:pPr>
        <w:ind w:left="720"/>
      </w:pPr>
      <w:r>
        <w:t>5.</w:t>
      </w:r>
      <w:r>
        <w:tab/>
      </w:r>
      <w:r w:rsidR="00000B5D">
        <w:t>Delta</w:t>
      </w:r>
      <w:r>
        <w:t xml:space="preserve"> factors</w:t>
      </w:r>
    </w:p>
    <w:p w:rsidR="00496114" w:rsidRDefault="00496114">
      <w:pPr>
        <w:keepNext/>
        <w:ind w:left="720" w:hanging="720"/>
        <w:rPr>
          <w:b/>
        </w:rPr>
      </w:pPr>
    </w:p>
    <w:p w:rsidR="00496114" w:rsidRDefault="00496114">
      <w:pPr>
        <w:keepNext/>
        <w:ind w:left="720" w:hanging="720"/>
        <w:rPr>
          <w:b/>
        </w:rPr>
      </w:pPr>
      <w:r>
        <w:rPr>
          <w:b/>
        </w:rPr>
        <w:t>2.</w:t>
      </w:r>
      <w:r>
        <w:rPr>
          <w:b/>
        </w:rPr>
        <w:tab/>
        <w:t>Indicate how, by whom, and for what purpose the data would be used.  Except for a new collection, indicate the actual use the agency has made of the information received from the current collection.</w:t>
      </w:r>
    </w:p>
    <w:p w:rsidR="00496114" w:rsidRDefault="00496114">
      <w:pPr>
        <w:ind w:firstLine="720"/>
      </w:pPr>
    </w:p>
    <w:p w:rsidR="00496114" w:rsidRDefault="00496114">
      <w:pPr>
        <w:ind w:left="720"/>
      </w:pPr>
      <w:r>
        <w:t>The</w:t>
      </w:r>
      <w:r w:rsidR="001F6165">
        <w:t xml:space="preserve"> collected</w:t>
      </w:r>
      <w:r>
        <w:t xml:space="preserve"> information is used by the trading public, futures industry researchers, and the Commission to analyze the commodity futures and option marketplace.  The information is received from each exchange on a daily basis in conjunction with other data collected by the Commission to </w:t>
      </w:r>
      <w:r w:rsidR="001F6165">
        <w:t>support one of the agency’s core missions of determining</w:t>
      </w:r>
      <w:r>
        <w:t xml:space="preserve"> the potential for market disturbances and distortions.</w:t>
      </w:r>
      <w:r w:rsidR="00EE574D">
        <w:t xml:space="preserve"> Additionally, c</w:t>
      </w:r>
      <w:r>
        <w:t>ommission market analysts and researchers</w:t>
      </w:r>
      <w:r w:rsidR="001F6165">
        <w:t xml:space="preserve"> </w:t>
      </w:r>
      <w:r>
        <w:t>use this data on a frequent basis in contract market reviews and</w:t>
      </w:r>
      <w:r w:rsidR="00EE574D">
        <w:t xml:space="preserve"> research projects. Finally,</w:t>
      </w:r>
      <w:r>
        <w:t xml:space="preserve"> the Commission </w:t>
      </w:r>
      <w:r w:rsidR="001F6165">
        <w:t xml:space="preserve">also </w:t>
      </w:r>
      <w:r>
        <w:t xml:space="preserve">routinely </w:t>
      </w:r>
      <w:r w:rsidR="00BB29AF">
        <w:t xml:space="preserve">incorporates </w:t>
      </w:r>
      <w:r w:rsidR="00EE574D">
        <w:t xml:space="preserve">select data from this collection into </w:t>
      </w:r>
      <w:r w:rsidR="00BB29AF">
        <w:t xml:space="preserve">its </w:t>
      </w:r>
      <w:r>
        <w:t>public</w:t>
      </w:r>
      <w:r w:rsidR="00BB29AF">
        <w:t xml:space="preserve"> reports</w:t>
      </w:r>
      <w:r>
        <w:t>.</w:t>
      </w:r>
      <w:r w:rsidR="00731CBD">
        <w:br/>
      </w:r>
    </w:p>
    <w:p w:rsidR="00496114" w:rsidRDefault="00496114">
      <w:pPr>
        <w:keepNext/>
        <w:ind w:left="720" w:hanging="720"/>
        <w:rPr>
          <w:b/>
        </w:rPr>
      </w:pPr>
      <w:r>
        <w:rPr>
          <w:b/>
        </w:rPr>
        <w:lastRenderedPageBreak/>
        <w:t>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96114" w:rsidRDefault="00496114">
      <w:pPr>
        <w:ind w:firstLine="720"/>
      </w:pPr>
    </w:p>
    <w:p w:rsidR="00496114" w:rsidRDefault="005C51DE">
      <w:pPr>
        <w:ind w:left="720"/>
      </w:pPr>
      <w:r>
        <w:t>The</w:t>
      </w:r>
      <w:r w:rsidR="00D63F7A">
        <w:t xml:space="preserve"> collection information </w:t>
      </w:r>
      <w:r>
        <w:t>is submitted electronically through links to the Commission’s</w:t>
      </w:r>
      <w:r w:rsidR="001F6165">
        <w:t xml:space="preserve"> databases and</w:t>
      </w:r>
      <w:r>
        <w:t xml:space="preserve"> information systems.</w:t>
      </w:r>
      <w:r w:rsidR="00496114">
        <w:t xml:space="preserve">  </w:t>
      </w:r>
    </w:p>
    <w:p w:rsidR="00496114" w:rsidRDefault="00496114">
      <w:pPr>
        <w:ind w:left="720"/>
      </w:pPr>
    </w:p>
    <w:p w:rsidR="00496114" w:rsidRDefault="00496114">
      <w:pPr>
        <w:keepNext/>
        <w:ind w:left="720" w:hanging="720"/>
        <w:rPr>
          <w:b/>
        </w:rPr>
      </w:pPr>
      <w:r>
        <w:rPr>
          <w:b/>
        </w:rPr>
        <w:t>4.</w:t>
      </w:r>
      <w:r>
        <w:rPr>
          <w:b/>
        </w:rPr>
        <w:tab/>
        <w:t>Describe efforts to identify duplication.  Show specifically why any similar information already available cannot be used or modified for use for the purposes described in item 2 above.</w:t>
      </w:r>
    </w:p>
    <w:p w:rsidR="00496114" w:rsidRDefault="00496114">
      <w:pPr>
        <w:ind w:firstLine="720"/>
      </w:pPr>
    </w:p>
    <w:p w:rsidR="00C45C4D" w:rsidRDefault="00B65545" w:rsidP="00B65545">
      <w:pPr>
        <w:ind w:left="720"/>
        <w:jc w:val="both"/>
      </w:pPr>
      <w:r>
        <w:t xml:space="preserve">The Commission’s reporting rules are partially duplicative of the reporting requirements of the regulated markets.  It must be noted that the Commission, and the regulated markets, each have separate statutory mandates to establish and operate comprehensive </w:t>
      </w:r>
      <w:r w:rsidR="00D63F7A">
        <w:t xml:space="preserve">data collection programs for </w:t>
      </w:r>
      <w:r>
        <w:t>surveillance</w:t>
      </w:r>
      <w:r w:rsidR="00D63F7A">
        <w:t xml:space="preserve"> and market information</w:t>
      </w:r>
      <w:r>
        <w:t>.  Although partially duplicative of the efforts of the regulated markets, the Commission’s surveillance programs</w:t>
      </w:r>
      <w:r w:rsidR="00FA60A9">
        <w:t>;</w:t>
      </w:r>
      <w:r>
        <w:t xml:space="preserve"> </w:t>
      </w:r>
      <w:r w:rsidR="00FA60A9">
        <w:t>a</w:t>
      </w:r>
      <w:r>
        <w:t>s instituted pursuant to the reporting rules permits the Commission, among other things, to independently set</w:t>
      </w:r>
      <w:r w:rsidR="00FA60A9">
        <w:t xml:space="preserve"> data</w:t>
      </w:r>
      <w:r>
        <w:t xml:space="preserve"> reporting requirements, and surveil the activities of traders </w:t>
      </w:r>
      <w:r w:rsidR="00FA60A9">
        <w:t xml:space="preserve">and market information </w:t>
      </w:r>
      <w:r>
        <w:t xml:space="preserve">across different markets on a daily basis. </w:t>
      </w:r>
      <w:r w:rsidR="00FA60A9">
        <w:t xml:space="preserve"> </w:t>
      </w:r>
    </w:p>
    <w:p w:rsidR="00B65545" w:rsidRDefault="00FA60A9" w:rsidP="00B65545">
      <w:pPr>
        <w:ind w:left="720"/>
        <w:jc w:val="both"/>
        <w:rPr>
          <w:bCs/>
          <w:iCs/>
        </w:rPr>
      </w:pPr>
      <w:r>
        <w:t>Upon review</w:t>
      </w:r>
      <w:r w:rsidR="003B071F">
        <w:t>,</w:t>
      </w:r>
      <w:r>
        <w:t xml:space="preserve"> no collection information appears to be </w:t>
      </w:r>
      <w:r w:rsidR="00C45C4D">
        <w:t>neither fully duplicated nor</w:t>
      </w:r>
      <w:r>
        <w:t xml:space="preserve"> able to be replicated upon modification. </w:t>
      </w:r>
      <w:r w:rsidR="00B65545">
        <w:t xml:space="preserve"> In view of this, the Commission has determined to maintain an independent reporting framework.</w:t>
      </w:r>
    </w:p>
    <w:p w:rsidR="00496114" w:rsidRDefault="00496114">
      <w:pPr>
        <w:keepNext/>
        <w:ind w:left="720" w:hanging="720"/>
        <w:rPr>
          <w:b/>
        </w:rPr>
      </w:pPr>
    </w:p>
    <w:p w:rsidR="00496114" w:rsidRDefault="00496114">
      <w:pPr>
        <w:keepNext/>
        <w:ind w:left="720" w:hanging="720"/>
        <w:rPr>
          <w:b/>
        </w:rPr>
      </w:pPr>
      <w:r>
        <w:rPr>
          <w:b/>
        </w:rPr>
        <w:t>5.</w:t>
      </w:r>
      <w:r>
        <w:rPr>
          <w:b/>
        </w:rPr>
        <w:tab/>
        <w:t>If the collection of information involves small business or other small entities (Item 5 of OMB From 83-I), describe the methods used to minimize burden.</w:t>
      </w:r>
    </w:p>
    <w:p w:rsidR="00496114" w:rsidRDefault="00496114">
      <w:pPr>
        <w:ind w:firstLine="720"/>
      </w:pPr>
    </w:p>
    <w:p w:rsidR="00496114" w:rsidRDefault="00496114">
      <w:pPr>
        <w:ind w:firstLine="720"/>
      </w:pPr>
      <w:r>
        <w:t>The information collection does not involve small organizations.</w:t>
      </w:r>
    </w:p>
    <w:p w:rsidR="00496114" w:rsidRDefault="00496114">
      <w:pPr>
        <w:keepNext/>
        <w:ind w:left="720" w:hanging="720"/>
        <w:rPr>
          <w:b/>
        </w:rPr>
      </w:pPr>
    </w:p>
    <w:p w:rsidR="00496114" w:rsidRDefault="00496114">
      <w:pPr>
        <w:keepNext/>
        <w:ind w:left="720" w:hanging="720"/>
        <w:rPr>
          <w:b/>
        </w:rPr>
      </w:pPr>
      <w:r>
        <w:rPr>
          <w:b/>
        </w:rPr>
        <w:t>6.</w:t>
      </w:r>
      <w:r>
        <w:rPr>
          <w:b/>
        </w:rPr>
        <w:tab/>
        <w:t>Describe the consequence to the Federal Program or policy activities if the collection were conducted less frequently as well as any technical or legal obstacles to reducing burden.</w:t>
      </w:r>
    </w:p>
    <w:p w:rsidR="00496114" w:rsidRDefault="00496114">
      <w:pPr>
        <w:ind w:firstLine="720"/>
      </w:pPr>
    </w:p>
    <w:p w:rsidR="00496114" w:rsidRDefault="00D768B7">
      <w:pPr>
        <w:ind w:left="720"/>
      </w:pPr>
      <w:r>
        <w:t xml:space="preserve">The Commission would not be able to carry out its oversight responsibilities for these markets.  The collection requirements are essential to the Commission’s mission as mandated by the Commodity Exchange Act.  </w:t>
      </w:r>
      <w:r w:rsidR="00613D92">
        <w:t>Commodity m</w:t>
      </w:r>
      <w:r>
        <w:t>arket</w:t>
      </w:r>
      <w:r w:rsidR="00613D92">
        <w:t>s</w:t>
      </w:r>
      <w:r>
        <w:t xml:space="preserve"> require surveillance</w:t>
      </w:r>
      <w:r w:rsidR="00613D92" w:rsidRPr="00613D92">
        <w:t xml:space="preserve"> </w:t>
      </w:r>
      <w:r w:rsidR="00613D92">
        <w:t xml:space="preserve">on a daily basis to not only ensure </w:t>
      </w:r>
      <w:r w:rsidR="00C45C4D">
        <w:t>well-functioning</w:t>
      </w:r>
      <w:r w:rsidR="00613D92">
        <w:t xml:space="preserve"> markets</w:t>
      </w:r>
      <w:r w:rsidR="007A6B66">
        <w:t xml:space="preserve">; </w:t>
      </w:r>
      <w:r w:rsidR="00613D92">
        <w:t xml:space="preserve">but also to prevent and deter </w:t>
      </w:r>
      <w:r>
        <w:t>situations such as attem</w:t>
      </w:r>
      <w:r w:rsidR="00613D92">
        <w:t>pted manipulations or other significant market events</w:t>
      </w:r>
      <w:r w:rsidR="007A6B66">
        <w:t>,</w:t>
      </w:r>
      <w:r w:rsidR="00613D92">
        <w:t xml:space="preserve"> which tend to</w:t>
      </w:r>
      <w:r>
        <w:t xml:space="preserve"> develop rapidly.  Adequate surveillance would be impossible if position reports were received on less than a daily basis.</w:t>
      </w:r>
      <w:r w:rsidR="00496114">
        <w:t xml:space="preserve">  </w:t>
      </w:r>
    </w:p>
    <w:p w:rsidR="00496114" w:rsidRDefault="00496114">
      <w:pPr>
        <w:keepNext/>
        <w:ind w:left="720" w:hanging="720"/>
        <w:rPr>
          <w:b/>
        </w:rPr>
      </w:pPr>
      <w:r>
        <w:rPr>
          <w:b/>
        </w:rPr>
        <w:lastRenderedPageBreak/>
        <w:t>7.</w:t>
      </w:r>
      <w:r>
        <w:rPr>
          <w:b/>
        </w:rPr>
        <w:tab/>
        <w:t>Explain any special circumstances that require the collection to be conducted in a manner:</w:t>
      </w:r>
    </w:p>
    <w:p w:rsidR="00496114" w:rsidRDefault="00496114">
      <w:pPr>
        <w:keepNext/>
        <w:ind w:left="720"/>
        <w:rPr>
          <w:b/>
        </w:rPr>
      </w:pPr>
    </w:p>
    <w:p w:rsidR="00496114" w:rsidRDefault="00496114">
      <w:pPr>
        <w:keepNext/>
        <w:numPr>
          <w:ilvl w:val="0"/>
          <w:numId w:val="2"/>
        </w:numPr>
        <w:tabs>
          <w:tab w:val="clear" w:pos="720"/>
          <w:tab w:val="num" w:pos="1440"/>
        </w:tabs>
        <w:ind w:left="1440"/>
        <w:rPr>
          <w:b/>
        </w:rPr>
      </w:pPr>
      <w:r>
        <w:rPr>
          <w:b/>
        </w:rPr>
        <w:t>Requiring respondents to report information to the agency more often than quarterly.</w:t>
      </w:r>
    </w:p>
    <w:p w:rsidR="00496114" w:rsidRDefault="00496114">
      <w:pPr>
        <w:ind w:firstLine="720"/>
        <w:rPr>
          <w:b/>
        </w:rPr>
      </w:pPr>
      <w:r>
        <w:t xml:space="preserve"> </w:t>
      </w:r>
    </w:p>
    <w:p w:rsidR="00496114" w:rsidRDefault="00496114">
      <w:pPr>
        <w:keepNext/>
        <w:numPr>
          <w:ilvl w:val="0"/>
          <w:numId w:val="3"/>
        </w:numPr>
        <w:tabs>
          <w:tab w:val="clear" w:pos="720"/>
          <w:tab w:val="num" w:pos="1440"/>
        </w:tabs>
        <w:ind w:left="1440"/>
        <w:rPr>
          <w:b/>
        </w:rPr>
      </w:pPr>
      <w:r>
        <w:rPr>
          <w:b/>
        </w:rPr>
        <w:t>Requiring respondents to prepare a written response to a collection of information in fewer than 30 days after receipt of it.</w:t>
      </w:r>
    </w:p>
    <w:p w:rsidR="00496114" w:rsidRDefault="00496114">
      <w:pPr>
        <w:keepNext/>
        <w:ind w:left="720"/>
        <w:rPr>
          <w:b/>
        </w:rPr>
      </w:pPr>
    </w:p>
    <w:p w:rsidR="00DE5E41" w:rsidRDefault="00DE5E41" w:rsidP="00DE5E41">
      <w:pPr>
        <w:keepNext/>
        <w:ind w:left="720"/>
        <w:rPr>
          <w:b/>
        </w:rPr>
      </w:pPr>
      <w:r>
        <w:t xml:space="preserve">In order to adequately conduct market surveillance, our market and large trader reporting rules collect information on a daily basis, and when necessary, upon special call (upon the request of the Commission).  The Commission regulates the trading of commodity futures and options contracts that impact a vast array of commodity prices vital to national and international commerce.  The exercise of regulatory oversight for the purpose of conducting market surveillance, financial surveillance, and monitoring of trading for abusive conduct, by necessity, requires the collection of </w:t>
      </w:r>
      <w:r w:rsidR="00E27756">
        <w:t xml:space="preserve"> various data sets; including , </w:t>
      </w:r>
      <w:r>
        <w:t xml:space="preserve">transactional and position information on a daily basis.   </w:t>
      </w:r>
    </w:p>
    <w:p w:rsidR="00496114" w:rsidRDefault="00496114">
      <w:pPr>
        <w:keepNext/>
        <w:ind w:left="720"/>
        <w:rPr>
          <w:b/>
        </w:rPr>
      </w:pPr>
    </w:p>
    <w:p w:rsidR="00496114" w:rsidRDefault="00496114">
      <w:pPr>
        <w:keepNext/>
        <w:numPr>
          <w:ilvl w:val="0"/>
          <w:numId w:val="4"/>
        </w:numPr>
        <w:tabs>
          <w:tab w:val="clear" w:pos="720"/>
          <w:tab w:val="num" w:pos="1440"/>
        </w:tabs>
        <w:ind w:left="1440"/>
        <w:rPr>
          <w:b/>
        </w:rPr>
      </w:pPr>
      <w:r>
        <w:rPr>
          <w:b/>
        </w:rPr>
        <w:t>Requiring respondents to submit more that an original and two copies of any document.</w:t>
      </w:r>
    </w:p>
    <w:p w:rsidR="000D30E5" w:rsidRDefault="000D30E5" w:rsidP="000D30E5">
      <w:pPr>
        <w:keepNext/>
        <w:ind w:left="1440"/>
        <w:rPr>
          <w:b/>
        </w:rPr>
      </w:pPr>
    </w:p>
    <w:p w:rsidR="000D30E5" w:rsidRDefault="000D30E5" w:rsidP="000D30E5">
      <w:pPr>
        <w:ind w:firstLine="720"/>
      </w:pPr>
      <w:r>
        <w:t>Respondents are required to submit only a single copy to the Commission.</w:t>
      </w:r>
    </w:p>
    <w:p w:rsidR="00496114" w:rsidRDefault="00496114">
      <w:pPr>
        <w:keepNext/>
        <w:ind w:left="720"/>
        <w:rPr>
          <w:b/>
        </w:rPr>
      </w:pPr>
    </w:p>
    <w:p w:rsidR="00496114" w:rsidRDefault="00496114">
      <w:pPr>
        <w:keepNext/>
        <w:numPr>
          <w:ilvl w:val="0"/>
          <w:numId w:val="6"/>
        </w:numPr>
        <w:tabs>
          <w:tab w:val="clear" w:pos="720"/>
          <w:tab w:val="num" w:pos="1440"/>
        </w:tabs>
        <w:ind w:left="1440"/>
        <w:rPr>
          <w:b/>
        </w:rPr>
      </w:pPr>
      <w:r>
        <w:rPr>
          <w:b/>
        </w:rPr>
        <w:t>Requiring respondents to retain records other than health, medical, government contract, grant-in-aid, or tax records, for more than three years.</w:t>
      </w:r>
    </w:p>
    <w:p w:rsidR="00496114" w:rsidRDefault="00496114">
      <w:pPr>
        <w:keepNext/>
        <w:ind w:left="720"/>
        <w:rPr>
          <w:b/>
        </w:rPr>
      </w:pPr>
    </w:p>
    <w:p w:rsidR="00496114" w:rsidRDefault="00496114" w:rsidP="00FE55AC">
      <w:pPr>
        <w:ind w:left="720"/>
      </w:pPr>
      <w:r>
        <w:t>For the purpose of enforcing the provisions of the Act and the Commission's regulations thereunder, Commission rule 1.31 (17 CFR § 1.31) requires that:</w:t>
      </w:r>
    </w:p>
    <w:p w:rsidR="00FE55AC" w:rsidRDefault="00496114" w:rsidP="00FE55AC">
      <w:r>
        <w:tab/>
      </w:r>
    </w:p>
    <w:p w:rsidR="000B792D" w:rsidRDefault="00496114" w:rsidP="000B792D">
      <w:pPr>
        <w:ind w:left="720"/>
      </w:pPr>
      <w:r>
        <w:t xml:space="preserve">"All books and records required to be kept by the [Commodity Exchange] Act or by these regulations shall be kept </w:t>
      </w:r>
      <w:r w:rsidR="00376130">
        <w:t xml:space="preserve">in their original form (for paper records) or native file format (for electronic records) </w:t>
      </w:r>
      <w:r>
        <w:t xml:space="preserve">for a period of five years from the date thereof and shall be readily accessible during the first </w:t>
      </w:r>
      <w:r w:rsidR="00376130">
        <w:t>2</w:t>
      </w:r>
      <w:r>
        <w:t xml:space="preserve"> years of the </w:t>
      </w:r>
      <w:r w:rsidR="00376130">
        <w:t>5</w:t>
      </w:r>
      <w:r>
        <w:t>-year period</w:t>
      </w:r>
      <w:r w:rsidR="00376130">
        <w:t>”</w:t>
      </w:r>
      <w:r>
        <w:t xml:space="preserve">.  </w:t>
      </w:r>
      <w:r w:rsidR="00376130">
        <w:t>“</w:t>
      </w:r>
      <w:r>
        <w:t>All such books and records shall be open to inspection by any representative of the Commission</w:t>
      </w:r>
      <w:r w:rsidR="00376130">
        <w:t>,</w:t>
      </w:r>
      <w:r>
        <w:t xml:space="preserve"> or the U</w:t>
      </w:r>
      <w:r w:rsidR="00376130">
        <w:t>nited States Department</w:t>
      </w:r>
      <w:r>
        <w:t xml:space="preserve"> of Justice."</w:t>
      </w:r>
      <w:r w:rsidR="00FE55AC">
        <w:t xml:space="preserve"> </w:t>
      </w:r>
    </w:p>
    <w:p w:rsidR="00052338" w:rsidRDefault="00052338" w:rsidP="000B792D">
      <w:pPr>
        <w:ind w:left="720"/>
      </w:pPr>
    </w:p>
    <w:p w:rsidR="00496114" w:rsidRDefault="00496114" w:rsidP="000E6543">
      <w:pPr>
        <w:numPr>
          <w:ilvl w:val="0"/>
          <w:numId w:val="28"/>
        </w:numPr>
        <w:rPr>
          <w:b/>
        </w:rPr>
      </w:pPr>
      <w:r>
        <w:rPr>
          <w:b/>
        </w:rPr>
        <w:t>In connection with a statistical survey, that is not designed to produce valid and reliable results that can be generalized to the universe of study.</w:t>
      </w:r>
    </w:p>
    <w:p w:rsidR="0066429D" w:rsidRDefault="0066429D" w:rsidP="0066429D">
      <w:pPr>
        <w:ind w:left="1440"/>
      </w:pPr>
    </w:p>
    <w:p w:rsidR="0066429D" w:rsidRDefault="0066429D" w:rsidP="0066429D">
      <w:pPr>
        <w:keepNext/>
        <w:ind w:firstLine="720"/>
      </w:pPr>
      <w:r>
        <w:t>The current and proposed reporting rules do not involve statistical surveys.</w:t>
      </w:r>
    </w:p>
    <w:p w:rsidR="0066429D" w:rsidRDefault="0066429D" w:rsidP="0066429D">
      <w:pPr>
        <w:ind w:left="720"/>
        <w:rPr>
          <w:b/>
        </w:rPr>
      </w:pPr>
    </w:p>
    <w:p w:rsidR="00496114" w:rsidRDefault="00496114">
      <w:pPr>
        <w:keepNext/>
        <w:numPr>
          <w:ilvl w:val="0"/>
          <w:numId w:val="8"/>
        </w:numPr>
        <w:tabs>
          <w:tab w:val="clear" w:pos="720"/>
          <w:tab w:val="num" w:pos="1440"/>
        </w:tabs>
        <w:ind w:left="1440"/>
        <w:rPr>
          <w:b/>
        </w:rPr>
      </w:pPr>
      <w:r>
        <w:rPr>
          <w:b/>
        </w:rPr>
        <w:t>Requiring the use of a statistical data classification that has not been reviewed and approved by OMB.</w:t>
      </w:r>
    </w:p>
    <w:p w:rsidR="00355FF8" w:rsidRDefault="00355FF8" w:rsidP="00355FF8">
      <w:pPr>
        <w:keepNext/>
        <w:ind w:left="1440"/>
        <w:rPr>
          <w:b/>
        </w:rPr>
      </w:pPr>
    </w:p>
    <w:p w:rsidR="00355FF8" w:rsidRDefault="00355FF8" w:rsidP="00355FF8">
      <w:pPr>
        <w:keepNext/>
        <w:ind w:firstLine="720"/>
        <w:rPr>
          <w:b/>
        </w:rPr>
      </w:pPr>
      <w:r>
        <w:t>The current and proposed reporting rules do not involve statistical data classifications</w:t>
      </w:r>
    </w:p>
    <w:p w:rsidR="00496114" w:rsidRDefault="00496114">
      <w:pPr>
        <w:keepNext/>
        <w:ind w:left="720"/>
        <w:rPr>
          <w:b/>
        </w:rPr>
      </w:pPr>
    </w:p>
    <w:p w:rsidR="00496114" w:rsidRDefault="00496114">
      <w:pPr>
        <w:keepNext/>
        <w:numPr>
          <w:ilvl w:val="0"/>
          <w:numId w:val="9"/>
        </w:numPr>
        <w:tabs>
          <w:tab w:val="clear" w:pos="720"/>
          <w:tab w:val="num" w:pos="1440"/>
        </w:tabs>
        <w:ind w:left="1440"/>
        <w:rPr>
          <w:b/>
        </w:rPr>
      </w:pPr>
      <w:r>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0B792D" w:rsidRDefault="000B792D" w:rsidP="000B792D">
      <w:pPr>
        <w:keepNext/>
        <w:ind w:left="1440"/>
        <w:rPr>
          <w:b/>
        </w:rPr>
      </w:pPr>
    </w:p>
    <w:p w:rsidR="000B792D" w:rsidRDefault="000B792D" w:rsidP="000B792D">
      <w:pPr>
        <w:keepNext/>
        <w:ind w:left="720"/>
      </w:pPr>
      <w:r>
        <w:t>The current and proposed reporting rules do not directly involve any pledge of confidentiality regarding the collection of data (please see answer to question 10).</w:t>
      </w:r>
    </w:p>
    <w:p w:rsidR="00496114" w:rsidRDefault="00496114">
      <w:pPr>
        <w:keepNext/>
        <w:ind w:left="720"/>
        <w:rPr>
          <w:b/>
        </w:rPr>
      </w:pPr>
    </w:p>
    <w:p w:rsidR="00496114" w:rsidRDefault="00496114">
      <w:pPr>
        <w:keepNext/>
        <w:numPr>
          <w:ilvl w:val="0"/>
          <w:numId w:val="9"/>
        </w:numPr>
        <w:tabs>
          <w:tab w:val="clear" w:pos="720"/>
          <w:tab w:val="num" w:pos="1440"/>
        </w:tabs>
        <w:ind w:left="1440"/>
        <w:rPr>
          <w:b/>
        </w:rPr>
      </w:pPr>
      <w:r>
        <w:rPr>
          <w:b/>
        </w:rPr>
        <w:t>Requiring respondents to submit proprietary trade secrets, or other confidential information unless the agency can demonstrate that it has instituted procedures to protect the information's confidentiality to the extent permitted by law.</w:t>
      </w:r>
    </w:p>
    <w:p w:rsidR="000B792D" w:rsidRDefault="000B792D" w:rsidP="000B792D">
      <w:pPr>
        <w:keepNext/>
        <w:ind w:left="1440"/>
        <w:rPr>
          <w:b/>
        </w:rPr>
      </w:pPr>
    </w:p>
    <w:p w:rsidR="000B792D" w:rsidRDefault="000B792D" w:rsidP="000B792D">
      <w:pPr>
        <w:keepNext/>
        <w:ind w:left="720"/>
        <w:jc w:val="both"/>
      </w:pPr>
      <w:r>
        <w:t>The Commission will protect sensitive information according to the Freedom of Information Act and 17 CFR part 145, "Commission Records and Information."  In addition,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496114" w:rsidRDefault="00496114">
      <w:pPr>
        <w:keepNext/>
        <w:rPr>
          <w:b/>
        </w:rPr>
      </w:pPr>
    </w:p>
    <w:p w:rsidR="00496114" w:rsidRDefault="00496114">
      <w:pPr>
        <w:keepNext/>
        <w:ind w:left="720" w:hanging="720"/>
        <w:rPr>
          <w:b/>
        </w:rPr>
      </w:pPr>
      <w:r w:rsidRPr="0003416D">
        <w:rPr>
          <w:b/>
        </w:rPr>
        <w:t>8.</w:t>
      </w:r>
      <w:r w:rsidRPr="0003416D">
        <w:rPr>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97AFB" w:rsidRDefault="00497AFB">
      <w:pPr>
        <w:keepNext/>
        <w:ind w:left="720" w:hanging="720"/>
        <w:rPr>
          <w:b/>
        </w:rPr>
      </w:pPr>
    </w:p>
    <w:p w:rsidR="00150083" w:rsidRDefault="00150083" w:rsidP="00150083">
      <w:pPr>
        <w:ind w:left="720"/>
      </w:pPr>
      <w:r>
        <w:t xml:space="preserve">Opportunity for public comment is provided when regulations are initiated or amended.  Notice of intent to renew this collection was published in the </w:t>
      </w:r>
      <w:r>
        <w:rPr>
          <w:i/>
        </w:rPr>
        <w:t>Federal Register</w:t>
      </w:r>
      <w:r>
        <w:t xml:space="preserve"> (81 FR 17447,  Tuesday March 29, 2016).  One comment has been received in response to that notice.</w:t>
      </w:r>
    </w:p>
    <w:p w:rsidR="00150083" w:rsidRDefault="00150083" w:rsidP="00150083">
      <w:pPr>
        <w:ind w:left="720"/>
      </w:pPr>
    </w:p>
    <w:p w:rsidR="00150083" w:rsidRDefault="00150083" w:rsidP="00150083">
      <w:pPr>
        <w:ind w:left="720"/>
      </w:pPr>
      <w:r>
        <w:t xml:space="preserve">The Commission received one comment related to the proposed aggregate burden hour estimate.  ICE commented that the Commission should increase the regulatory burden estimate. Specifically, ICE stated that the various resources necessary to comply with all of the reporting requirements of  Regulation 16.01 exceeds the  burden 0.5 FTE hour per day estimate that was included in the collection. Rather, ICE  commented that the actual burden requires 29 FTE hours per day. ICE cited changes in market volume, technology, and the Commission reporting standards as reasons to warrant an increased number of burden hours. </w:t>
      </w:r>
    </w:p>
    <w:p w:rsidR="00150083" w:rsidRDefault="00150083" w:rsidP="00150083">
      <w:pPr>
        <w:ind w:left="720"/>
      </w:pPr>
    </w:p>
    <w:p w:rsidR="00150083" w:rsidRDefault="00150083" w:rsidP="00150083">
      <w:pPr>
        <w:ind w:left="720"/>
      </w:pPr>
      <w:r>
        <w:t>While the Commission acknowledges that reporting standards have changed since the last information collection renewal, it also notes that previously the PRA burden estimates for Regulation 16.01market data were solely contained within this collection. With the new post-Dodd-Frank Act reporting requirements, the Commission has revised Regulation 16.01 and the burden estimates were accounted</w:t>
      </w:r>
      <w:r w:rsidRPr="00150083">
        <w:t xml:space="preserve"> </w:t>
      </w:r>
      <w:r>
        <w:t>for in a separate PRA collection</w:t>
      </w:r>
      <w:r>
        <w:rPr>
          <w:rStyle w:val="FootnoteReference"/>
        </w:rPr>
        <w:footnoteReference w:id="1"/>
      </w:r>
      <w:r>
        <w:t xml:space="preserve">. Therefore, the burden figures associated with that information collection are not duplicated here. The estimates within this collection pertain to the burdens that are attributed to the publication of market data on futures contracts and trading volume.  </w:t>
      </w:r>
    </w:p>
    <w:p w:rsidR="00150083" w:rsidRDefault="00150083" w:rsidP="00150083">
      <w:pPr>
        <w:ind w:left="720"/>
      </w:pPr>
    </w:p>
    <w:p w:rsidR="00150083" w:rsidRDefault="00150083" w:rsidP="00150083">
      <w:pPr>
        <w:ind w:left="720"/>
      </w:pPr>
      <w:r>
        <w:t>Additionally, the Commission finds that the number of exchanges has remained consistent, and notes that 100% of the responses are now submitted electronically thereby sparing exchanges the greater burden associated with manual submissions. These factors result in aggregate estimates consistent with figures used in prior collections.</w:t>
      </w:r>
    </w:p>
    <w:p w:rsidR="00150083" w:rsidRDefault="00150083" w:rsidP="00150083">
      <w:pPr>
        <w:ind w:left="720"/>
      </w:pPr>
    </w:p>
    <w:p w:rsidR="00150083" w:rsidRDefault="00150083" w:rsidP="00150083">
      <w:pPr>
        <w:ind w:left="720"/>
      </w:pPr>
      <w:r>
        <w:t xml:space="preserve">Given these considerations. the Commission finds the proposed burden hour estimate remains unaffected. </w:t>
      </w:r>
    </w:p>
    <w:p w:rsidR="00496114" w:rsidRDefault="00150083">
      <w:pPr>
        <w:ind w:left="720" w:hanging="720"/>
        <w:rPr>
          <w:b/>
        </w:rPr>
      </w:pPr>
      <w:r>
        <w:rPr>
          <w:b/>
        </w:rPr>
        <w:tab/>
      </w:r>
      <w:r w:rsidR="00496114">
        <w:rPr>
          <w:b/>
        </w:rPr>
        <w:tab/>
      </w:r>
    </w:p>
    <w:p w:rsidR="00496114" w:rsidRDefault="00496114">
      <w:pPr>
        <w:ind w:left="720"/>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867BE" w:rsidRDefault="00C867BE">
      <w:pPr>
        <w:ind w:left="720"/>
        <w:rPr>
          <w:b/>
        </w:rPr>
      </w:pPr>
    </w:p>
    <w:p w:rsidR="00F7071B" w:rsidRDefault="00F7071B">
      <w:pPr>
        <w:ind w:left="720"/>
        <w:rPr>
          <w:b/>
        </w:rPr>
      </w:pPr>
      <w:r>
        <w:t>Opportunity for public comment is provided when regulations are initiated or amended.    Contact with derivatives markets and market participants is maintained on a continuous and on an ongoing basis to resolve reporting problems and address concerns.  The Commission has, and plans to continue, to solicit comments through publication of proposed rules in the Federal Register.  The Commission will also, on an ongoing basis, solicit public comments through the notice required by 5 CFR 1320.8(d).</w:t>
      </w:r>
    </w:p>
    <w:p w:rsidR="00496114" w:rsidRDefault="00496114">
      <w:pPr>
        <w:ind w:left="720" w:hanging="720"/>
        <w:rPr>
          <w:b/>
        </w:rPr>
      </w:pPr>
      <w:r>
        <w:rPr>
          <w:b/>
        </w:rPr>
        <w:tab/>
      </w:r>
    </w:p>
    <w:p w:rsidR="00496114" w:rsidRDefault="00496114">
      <w:pPr>
        <w:ind w:left="720"/>
      </w:pPr>
      <w:r>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96114" w:rsidRDefault="00496114">
      <w:pPr>
        <w:ind w:left="720"/>
      </w:pPr>
    </w:p>
    <w:p w:rsidR="00703F6E" w:rsidRDefault="00703F6E" w:rsidP="00703F6E">
      <w:pPr>
        <w:ind w:left="720"/>
      </w:pPr>
      <w:r>
        <w:t>No such circumstances are anticipated.</w:t>
      </w:r>
    </w:p>
    <w:p w:rsidR="00496114" w:rsidRDefault="00496114">
      <w:pPr>
        <w:ind w:firstLine="720"/>
      </w:pPr>
    </w:p>
    <w:p w:rsidR="00496114" w:rsidRDefault="00496114">
      <w:pPr>
        <w:keepNext/>
        <w:ind w:left="720" w:hanging="720"/>
        <w:rPr>
          <w:b/>
        </w:rPr>
      </w:pPr>
      <w:r>
        <w:rPr>
          <w:b/>
        </w:rPr>
        <w:t>9.</w:t>
      </w:r>
      <w:r>
        <w:rPr>
          <w:b/>
        </w:rPr>
        <w:tab/>
        <w:t>Explain any decision to provide any payment or gift to respondents, other than remuneration of contractors or grantees.</w:t>
      </w:r>
    </w:p>
    <w:p w:rsidR="00496114" w:rsidRDefault="00496114">
      <w:pPr>
        <w:ind w:firstLine="720"/>
      </w:pPr>
    </w:p>
    <w:p w:rsidR="00496114" w:rsidRDefault="00496114">
      <w:pPr>
        <w:ind w:firstLine="720"/>
      </w:pPr>
      <w:r>
        <w:t>This question does not apply.</w:t>
      </w:r>
    </w:p>
    <w:p w:rsidR="00496114" w:rsidRDefault="00496114">
      <w:pPr>
        <w:keepNext/>
        <w:ind w:left="720" w:hanging="720"/>
        <w:rPr>
          <w:b/>
        </w:rPr>
      </w:pPr>
    </w:p>
    <w:p w:rsidR="00496114" w:rsidRDefault="00496114">
      <w:pPr>
        <w:keepNext/>
        <w:ind w:left="720" w:hanging="720"/>
        <w:rPr>
          <w:b/>
        </w:rPr>
      </w:pPr>
      <w:r>
        <w:rPr>
          <w:b/>
        </w:rPr>
        <w:t>10.</w:t>
      </w:r>
      <w:r>
        <w:rPr>
          <w:b/>
        </w:rPr>
        <w:tab/>
        <w:t>Describe any assurance of confidentiality provided to respondents and the basis for the assurance in statute, regulations, or agency policy.</w:t>
      </w:r>
    </w:p>
    <w:p w:rsidR="00496114" w:rsidRDefault="00496114">
      <w:pPr>
        <w:ind w:firstLine="720"/>
      </w:pPr>
    </w:p>
    <w:p w:rsidR="00DF0D76" w:rsidRDefault="00DF0D76" w:rsidP="00DF0D76">
      <w:pPr>
        <w:keepNext/>
        <w:ind w:left="720"/>
      </w:pPr>
      <w:r>
        <w:t>The Commission</w:t>
      </w:r>
      <w:r w:rsidR="008E62AA">
        <w:t xml:space="preserve"> does not provide respondents with an assurance of confidentiality beyond that provided by applicable law</w:t>
      </w:r>
      <w:r>
        <w:t>.  In addition,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w:t>
      </w:r>
    </w:p>
    <w:p w:rsidR="00496114" w:rsidRDefault="00496114">
      <w:pPr>
        <w:keepNext/>
        <w:ind w:left="720" w:hanging="720"/>
        <w:rPr>
          <w:b/>
        </w:rPr>
      </w:pPr>
      <w:r>
        <w:tab/>
      </w:r>
    </w:p>
    <w:p w:rsidR="00496114" w:rsidRDefault="00496114">
      <w:pPr>
        <w:keepNext/>
        <w:ind w:left="720" w:hanging="720"/>
        <w:rPr>
          <w:b/>
        </w:rPr>
      </w:pPr>
      <w:r>
        <w:rPr>
          <w:b/>
        </w:rPr>
        <w:t>11.</w:t>
      </w:r>
      <w:r>
        <w:rPr>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96114" w:rsidRDefault="00496114">
      <w:pPr>
        <w:ind w:firstLine="720"/>
      </w:pPr>
    </w:p>
    <w:p w:rsidR="00496114" w:rsidRDefault="00496114">
      <w:pPr>
        <w:ind w:left="720"/>
      </w:pPr>
      <w:r>
        <w:t>The data collection requirements relating to market data contain no sensitive questions as that term is used in item 11.</w:t>
      </w:r>
    </w:p>
    <w:p w:rsidR="00496114" w:rsidRDefault="00496114">
      <w:pPr>
        <w:ind w:left="720" w:hanging="720"/>
        <w:rPr>
          <w:b/>
        </w:rPr>
      </w:pPr>
    </w:p>
    <w:p w:rsidR="00496114" w:rsidRDefault="00496114">
      <w:pPr>
        <w:ind w:left="720" w:hanging="720"/>
        <w:rPr>
          <w:b/>
        </w:rPr>
      </w:pPr>
      <w:r>
        <w:rPr>
          <w:b/>
        </w:rPr>
        <w:t>12.</w:t>
      </w:r>
      <w:r>
        <w:rPr>
          <w:b/>
        </w:rPr>
        <w:tab/>
        <w:t>Provide estimates of the hour burden of the collection of information.  The Statement should:</w:t>
      </w:r>
    </w:p>
    <w:p w:rsidR="00496114" w:rsidRDefault="00496114">
      <w:pPr>
        <w:ind w:left="720" w:hanging="720"/>
        <w:rPr>
          <w:b/>
        </w:rPr>
      </w:pPr>
    </w:p>
    <w:p w:rsidR="00496114" w:rsidRDefault="00496114">
      <w:pPr>
        <w:numPr>
          <w:ilvl w:val="0"/>
          <w:numId w:val="11"/>
        </w:numPr>
        <w:tabs>
          <w:tab w:val="clear" w:pos="720"/>
          <w:tab w:val="num" w:pos="1440"/>
        </w:tabs>
        <w:ind w:left="1440"/>
        <w:rPr>
          <w:b/>
        </w:rPr>
      </w:pPr>
      <w:r>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96114" w:rsidRDefault="00496114">
      <w:pPr>
        <w:ind w:left="720"/>
        <w:rPr>
          <w:b/>
        </w:rPr>
      </w:pPr>
    </w:p>
    <w:p w:rsidR="00496114" w:rsidRDefault="00496114">
      <w:pPr>
        <w:numPr>
          <w:ilvl w:val="0"/>
          <w:numId w:val="12"/>
        </w:numPr>
        <w:tabs>
          <w:tab w:val="clear" w:pos="720"/>
          <w:tab w:val="num" w:pos="1440"/>
        </w:tabs>
        <w:ind w:left="1440"/>
        <w:rPr>
          <w:b/>
        </w:rPr>
      </w:pPr>
      <w:r>
        <w:rPr>
          <w:b/>
        </w:rPr>
        <w:t>If the request for approval covers more than one form, provide separate hour burden estimates for each form and aggregate the hour burdens in Item 13 of OMB Form 83-I.</w:t>
      </w:r>
    </w:p>
    <w:p w:rsidR="00496114" w:rsidRDefault="00496114">
      <w:pPr>
        <w:ind w:left="720"/>
        <w:rPr>
          <w:b/>
        </w:rPr>
      </w:pPr>
    </w:p>
    <w:p w:rsidR="00496114" w:rsidRDefault="00496114">
      <w:pPr>
        <w:keepNext/>
        <w:numPr>
          <w:ilvl w:val="0"/>
          <w:numId w:val="13"/>
        </w:numPr>
        <w:tabs>
          <w:tab w:val="clear" w:pos="720"/>
          <w:tab w:val="num" w:pos="1440"/>
        </w:tabs>
        <w:ind w:left="1440"/>
        <w:rPr>
          <w:b/>
        </w:rPr>
      </w:pPr>
      <w:r>
        <w:rPr>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C966A9" w:rsidRDefault="00C966A9" w:rsidP="00C966A9">
      <w:pPr>
        <w:jc w:val="center"/>
        <w:rPr>
          <w:rFonts w:ascii="Arial" w:hAnsi="Arial"/>
          <w:b/>
        </w:rPr>
      </w:pPr>
    </w:p>
    <w:p w:rsidR="008B4709" w:rsidRDefault="008B4709" w:rsidP="00655BB1">
      <w:pPr>
        <w:ind w:left="720"/>
      </w:pPr>
      <w:r w:rsidRPr="00B7091B">
        <w:rPr>
          <w:i/>
        </w:rPr>
        <w:t>See</w:t>
      </w:r>
      <w:r>
        <w:t xml:space="preserve"> Attachment A.</w:t>
      </w:r>
    </w:p>
    <w:p w:rsidR="00F40479" w:rsidRDefault="00F40479" w:rsidP="00655BB1">
      <w:pPr>
        <w:ind w:left="720"/>
      </w:pPr>
    </w:p>
    <w:p w:rsidR="005B095E" w:rsidRDefault="005B095E" w:rsidP="005B095E">
      <w:pPr>
        <w:ind w:left="720"/>
        <w:jc w:val="both"/>
      </w:pPr>
      <w:r w:rsidRPr="0066679A">
        <w:t>In arriving at a wage rate for the hourly costs imposed, Commission staff used the</w:t>
      </w:r>
      <w:r>
        <w:t xml:space="preserve"> </w:t>
      </w:r>
      <w:r w:rsidRPr="002F610E">
        <w:rPr>
          <w:kern w:val="36"/>
        </w:rPr>
        <w:t>May 2017 National Occupational Employment and Wage Estimates United States, published by the Bureau of Labor Statistics.</w:t>
      </w:r>
      <w:r w:rsidRPr="002F610E">
        <w:rPr>
          <w:rStyle w:val="FootnoteReference"/>
          <w:kern w:val="36"/>
        </w:rPr>
        <w:footnoteReference w:id="2"/>
      </w:r>
      <w:r w:rsidRPr="0066679A">
        <w:t xml:space="preserve">  For the c</w:t>
      </w:r>
      <w:r>
        <w:t>ost calculations, as noted above</w:t>
      </w:r>
      <w:r w:rsidRPr="0066679A">
        <w:t xml:space="preserve">, </w:t>
      </w:r>
      <w:r w:rsidRPr="00EC1EF1">
        <w:t xml:space="preserve">Commission staff used a composite (blended) wage rate by averaging the hour wages </w:t>
      </w:r>
      <w:r w:rsidRPr="00A9654D">
        <w:t xml:space="preserve">of a Compliance Officer and a </w:t>
      </w:r>
      <w:r w:rsidRPr="00EC1EF1">
        <w:t>Software Developer</w:t>
      </w:r>
      <w:r>
        <w:t xml:space="preserve"> /</w:t>
      </w:r>
      <w:r w:rsidRPr="00EC1EF1">
        <w:t xml:space="preserve"> Programmer to arrive a</w:t>
      </w:r>
      <w:r w:rsidRPr="00A9654D">
        <w:t>t the hourly wage rate of $4</w:t>
      </w:r>
      <w:r>
        <w:t>2.</w:t>
      </w:r>
    </w:p>
    <w:p w:rsidR="004959AC" w:rsidRDefault="004959AC" w:rsidP="00655BB1">
      <w:pPr>
        <w:ind w:left="720"/>
      </w:pPr>
    </w:p>
    <w:p w:rsidR="00193642" w:rsidRDefault="00193642" w:rsidP="00F40479">
      <w:pPr>
        <w:ind w:left="720"/>
        <w:rPr>
          <w:b/>
        </w:rPr>
      </w:pPr>
      <w:r>
        <w:t xml:space="preserve">Commission staff chose this methodology to account for the variance in skill sets that may be used to accomplish the collection of information.  It is important to note that although the hourly wage referenced above does take </w:t>
      </w:r>
      <w:r w:rsidR="00313BED">
        <w:t xml:space="preserve">production </w:t>
      </w:r>
      <w:r>
        <w:t>bonuses into account, it</w:t>
      </w:r>
      <w:r w:rsidR="00313BED" w:rsidRPr="00313BED">
        <w:t xml:space="preserve"> </w:t>
      </w:r>
      <w:r w:rsidR="00313BED">
        <w:t>does not include other types of bonuses or consider certain variables such as employee benefits which can increase the cost of labor</w:t>
      </w:r>
      <w:r>
        <w:t>.</w:t>
      </w:r>
      <w:r w:rsidR="00F40479">
        <w:t xml:space="preserve"> </w:t>
      </w:r>
      <w:r>
        <w:t xml:space="preserve">The total information collection burden is approximately </w:t>
      </w:r>
      <w:r w:rsidR="00A04DC9">
        <w:t>3</w:t>
      </w:r>
      <w:r w:rsidR="00F964DD">
        <w:t>,</w:t>
      </w:r>
      <w:r w:rsidR="00A04DC9">
        <w:t>7</w:t>
      </w:r>
      <w:r w:rsidR="00F964DD">
        <w:t>5</w:t>
      </w:r>
      <w:r w:rsidR="00A04DC9">
        <w:t>0</w:t>
      </w:r>
      <w:r>
        <w:t xml:space="preserve"> hours.  </w:t>
      </w:r>
      <w:r w:rsidR="001644C8">
        <w:t xml:space="preserve">The total </w:t>
      </w:r>
      <w:r>
        <w:t xml:space="preserve">annualized cost </w:t>
      </w:r>
      <w:r w:rsidR="001644C8">
        <w:t>equates to</w:t>
      </w:r>
      <w:r>
        <w:t xml:space="preserve"> $</w:t>
      </w:r>
      <w:r w:rsidR="004A1CFB">
        <w:t>157,500</w:t>
      </w:r>
      <w:r>
        <w:t>.</w:t>
      </w:r>
      <w:r w:rsidR="001644C8">
        <w:t xml:space="preserve">  </w:t>
      </w:r>
    </w:p>
    <w:p w:rsidR="00496114" w:rsidRDefault="00496114">
      <w:pPr>
        <w:ind w:left="720" w:hanging="720"/>
        <w:rPr>
          <w:b/>
        </w:rPr>
      </w:pPr>
    </w:p>
    <w:p w:rsidR="00496114" w:rsidRDefault="00496114">
      <w:pPr>
        <w:ind w:left="720" w:hanging="720"/>
        <w:rPr>
          <w:b/>
        </w:rPr>
      </w:pPr>
      <w:r>
        <w:rPr>
          <w:b/>
        </w:rPr>
        <w:t>13.</w:t>
      </w:r>
      <w:r>
        <w:rPr>
          <w:b/>
        </w:rPr>
        <w:tab/>
        <w:t xml:space="preserve">Provide an estimate of the total annual cost burden to respondents or </w:t>
      </w:r>
      <w:r w:rsidR="00C45C4D">
        <w:rPr>
          <w:b/>
        </w:rPr>
        <w:t>record-keepers</w:t>
      </w:r>
      <w:r>
        <w:rPr>
          <w:b/>
        </w:rPr>
        <w:t xml:space="preserve"> resulting </w:t>
      </w:r>
      <w:r w:rsidR="00C45C4D">
        <w:rPr>
          <w:b/>
        </w:rPr>
        <w:t>from</w:t>
      </w:r>
      <w:r>
        <w:rPr>
          <w:b/>
        </w:rPr>
        <w:t xml:space="preserve"> the collection of information.  (Do not include the cost of any hour burden shown in Items 12 and 14).</w:t>
      </w:r>
    </w:p>
    <w:p w:rsidR="00496114" w:rsidRDefault="00496114">
      <w:pPr>
        <w:ind w:left="720" w:hanging="720"/>
        <w:rPr>
          <w:b/>
        </w:rPr>
      </w:pPr>
    </w:p>
    <w:p w:rsidR="00496114" w:rsidRDefault="00496114">
      <w:pPr>
        <w:numPr>
          <w:ilvl w:val="0"/>
          <w:numId w:val="14"/>
        </w:numPr>
        <w:tabs>
          <w:tab w:val="clear" w:pos="720"/>
          <w:tab w:val="num" w:pos="1440"/>
        </w:tabs>
        <w:ind w:left="1440"/>
        <w:rPr>
          <w:b/>
        </w:rPr>
      </w:pPr>
      <w:r>
        <w:rPr>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96114" w:rsidRDefault="00496114">
      <w:pPr>
        <w:ind w:left="720"/>
        <w:rPr>
          <w:b/>
        </w:rPr>
      </w:pPr>
    </w:p>
    <w:p w:rsidR="00496114" w:rsidRDefault="00496114">
      <w:pPr>
        <w:numPr>
          <w:ilvl w:val="0"/>
          <w:numId w:val="15"/>
        </w:numPr>
        <w:tabs>
          <w:tab w:val="clear" w:pos="720"/>
          <w:tab w:val="num" w:pos="1440"/>
        </w:tabs>
        <w:ind w:left="1440"/>
        <w:rPr>
          <w:b/>
        </w:rPr>
      </w:pPr>
      <w:r>
        <w:rPr>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496114" w:rsidRDefault="00496114">
      <w:pPr>
        <w:ind w:left="720"/>
        <w:rPr>
          <w:b/>
        </w:rPr>
      </w:pPr>
    </w:p>
    <w:p w:rsidR="00496114" w:rsidRDefault="00496114">
      <w:pPr>
        <w:keepNext/>
        <w:numPr>
          <w:ilvl w:val="0"/>
          <w:numId w:val="16"/>
        </w:numPr>
        <w:tabs>
          <w:tab w:val="clear" w:pos="720"/>
          <w:tab w:val="num" w:pos="1440"/>
        </w:tabs>
        <w:ind w:left="1440"/>
        <w:rPr>
          <w:b/>
        </w:rPr>
      </w:pPr>
      <w:r>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C45C4D">
        <w:rPr>
          <w:b/>
        </w:rPr>
        <w:t>government</w:t>
      </w:r>
      <w:r>
        <w:rPr>
          <w:b/>
        </w:rPr>
        <w:t xml:space="preserve"> or (4) as part of customary and usual business or private practices.</w:t>
      </w:r>
    </w:p>
    <w:p w:rsidR="00496114" w:rsidRDefault="00496114">
      <w:pPr>
        <w:ind w:left="720" w:firstLine="720"/>
      </w:pPr>
    </w:p>
    <w:p w:rsidR="0045726A" w:rsidRDefault="00D82F0B" w:rsidP="00BF5FF4">
      <w:pPr>
        <w:keepNext/>
        <w:ind w:left="720"/>
        <w:rPr>
          <w:b/>
        </w:rPr>
      </w:pPr>
      <w:r>
        <w:t>There are no applicable capital, start up, maintenance, or purchase of service cost component.</w:t>
      </w:r>
      <w:r w:rsidR="00BF5FF4">
        <w:rPr>
          <w:b/>
        </w:rPr>
        <w:t xml:space="preserve"> </w:t>
      </w:r>
    </w:p>
    <w:p w:rsidR="0045726A" w:rsidRDefault="0045726A" w:rsidP="00BF5FF4">
      <w:pPr>
        <w:keepNext/>
        <w:ind w:left="720"/>
        <w:rPr>
          <w:b/>
        </w:rPr>
      </w:pPr>
    </w:p>
    <w:p w:rsidR="00D82F0B" w:rsidRDefault="00BF5FF4" w:rsidP="00BF5FF4">
      <w:pPr>
        <w:keepNext/>
        <w:ind w:left="720"/>
        <w:rPr>
          <w:b/>
        </w:rPr>
      </w:pPr>
      <w:r>
        <w:rPr>
          <w:b/>
        </w:rPr>
        <w:t xml:space="preserve"> </w:t>
      </w:r>
      <w:r w:rsidR="00D82F0B">
        <w:t>It is important to note that the information collected under the reporting rules are basic transaction records that any exchange would create as a matter of sound business practices in the normal course of business operations and in response to requirements imposed by non-governmental financial self-regulatory bodies.  Because these records would be generated in any event, independently of any regulatory requirements, we estimate that the reporting rules impose no additional material costs on reporting markets that relate to recordkeeping and retention.</w:t>
      </w:r>
    </w:p>
    <w:p w:rsidR="00496114" w:rsidRDefault="00496114">
      <w:pPr>
        <w:ind w:left="1440"/>
      </w:pPr>
      <w:r>
        <w:t>.</w:t>
      </w:r>
    </w:p>
    <w:p w:rsidR="00496114" w:rsidRDefault="00496114">
      <w:pPr>
        <w:keepNext/>
        <w:ind w:left="720" w:hanging="720"/>
        <w:rPr>
          <w:b/>
        </w:rPr>
      </w:pPr>
      <w:r>
        <w:rPr>
          <w:b/>
        </w:rPr>
        <w:t>14.</w:t>
      </w:r>
      <w:r>
        <w:rPr>
          <w:b/>
        </w:rPr>
        <w:tab/>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96114" w:rsidRDefault="00496114">
      <w:pPr>
        <w:ind w:firstLine="720"/>
      </w:pPr>
    </w:p>
    <w:p w:rsidR="008859D3" w:rsidRDefault="00630C2C" w:rsidP="008859D3">
      <w:pPr>
        <w:ind w:left="720"/>
        <w:jc w:val="both"/>
      </w:pPr>
      <w:r>
        <w:t xml:space="preserve">The Commission estimates the equivalent mix of approximately 20 </w:t>
      </w:r>
      <w:r w:rsidR="00367D85">
        <w:t xml:space="preserve">Data, Market and </w:t>
      </w:r>
      <w:r>
        <w:t>Surveillance</w:t>
      </w:r>
      <w:r w:rsidR="00367D85">
        <w:t xml:space="preserve"> Staff </w:t>
      </w:r>
      <w:r>
        <w:t xml:space="preserve">will expend approximately 1 hour per day over 250 trading days to collect and analyze the information submitted.  </w:t>
      </w:r>
      <w:r w:rsidR="0045726A">
        <w:t>At an average salary rate of $55</w:t>
      </w:r>
      <w:r>
        <w:t xml:space="preserve"> per hour for a full-time employee, the Commission estimates that the cost to the government will be $275,000 annually.  </w:t>
      </w:r>
      <w:r w:rsidR="008859D3" w:rsidRPr="0066679A">
        <w:t>In arriving at a wage rate for the hourly costs imposed, Commission staff used the</w:t>
      </w:r>
      <w:r w:rsidR="008859D3">
        <w:t xml:space="preserve"> </w:t>
      </w:r>
      <w:r w:rsidR="00BF6ACD">
        <w:rPr>
          <w:kern w:val="36"/>
        </w:rPr>
        <w:t>May 2018</w:t>
      </w:r>
      <w:r w:rsidR="008859D3" w:rsidRPr="002F610E">
        <w:rPr>
          <w:kern w:val="36"/>
        </w:rPr>
        <w:t xml:space="preserve"> National Occupational Employment and Wage Estimates, published by the Bureau of Labor Statistics.</w:t>
      </w:r>
      <w:r w:rsidR="008859D3" w:rsidRPr="002F610E">
        <w:rPr>
          <w:rStyle w:val="FootnoteReference"/>
          <w:kern w:val="36"/>
        </w:rPr>
        <w:footnoteReference w:id="3"/>
      </w:r>
      <w:r w:rsidR="008859D3" w:rsidRPr="0066679A">
        <w:t xml:space="preserve">  </w:t>
      </w:r>
      <w:r w:rsidR="001714D9">
        <w:t>Specifically, C</w:t>
      </w:r>
      <w:r w:rsidR="008859D3" w:rsidRPr="00EC1EF1">
        <w:t>o</w:t>
      </w:r>
      <w:r w:rsidR="00BF6ACD">
        <w:t>mmission staff used Federal Executive Branch (OES Designation) salary</w:t>
      </w:r>
      <w:r w:rsidR="008859D3" w:rsidRPr="00EC1EF1">
        <w:t xml:space="preserve"> rate</w:t>
      </w:r>
      <w:r w:rsidR="00BF6ACD">
        <w:t>s</w:t>
      </w:r>
      <w:r w:rsidR="008859D3" w:rsidRPr="00EC1EF1">
        <w:t xml:space="preserve"> by </w:t>
      </w:r>
      <w:r w:rsidR="00BF6ACD">
        <w:t xml:space="preserve">considering the most applicable </w:t>
      </w:r>
      <w:r w:rsidR="008859D3" w:rsidRPr="00EC1EF1">
        <w:t>hour</w:t>
      </w:r>
      <w:r w:rsidR="00BF6ACD">
        <w:t>ly</w:t>
      </w:r>
      <w:r w:rsidR="008859D3" w:rsidRPr="00EC1EF1">
        <w:t xml:space="preserve"> wage</w:t>
      </w:r>
      <w:r w:rsidR="00B4220E">
        <w:t>s</w:t>
      </w:r>
      <w:r w:rsidR="008859D3" w:rsidRPr="00EC1EF1">
        <w:t xml:space="preserve"> </w:t>
      </w:r>
      <w:r w:rsidR="00BF6ACD">
        <w:t>of Research Analysts to a</w:t>
      </w:r>
      <w:r w:rsidR="008859D3" w:rsidRPr="00EC1EF1">
        <w:t>rrive a</w:t>
      </w:r>
      <w:r w:rsidR="008859D3" w:rsidRPr="00A9654D">
        <w:t>t the hourly wage rate</w:t>
      </w:r>
      <w:r w:rsidR="00F3030D">
        <w:t xml:space="preserve">. </w:t>
      </w:r>
    </w:p>
    <w:p w:rsidR="00630C2C" w:rsidRDefault="00630C2C" w:rsidP="00630C2C">
      <w:pPr>
        <w:ind w:left="720"/>
      </w:pPr>
    </w:p>
    <w:p w:rsidR="00496114" w:rsidRDefault="00496114">
      <w:pPr>
        <w:keepNext/>
        <w:ind w:left="720" w:hanging="720"/>
        <w:rPr>
          <w:b/>
        </w:rPr>
      </w:pPr>
      <w:r>
        <w:rPr>
          <w:b/>
        </w:rPr>
        <w:t>15.</w:t>
      </w:r>
      <w:r>
        <w:rPr>
          <w:b/>
        </w:rPr>
        <w:tab/>
        <w:t>Explain the reasons for any program changes or adjustments reported in Items 13 or 14 of the OMB Form 83-I.</w:t>
      </w:r>
    </w:p>
    <w:p w:rsidR="00496114" w:rsidRDefault="00496114">
      <w:pPr>
        <w:ind w:firstLine="720"/>
      </w:pPr>
    </w:p>
    <w:p w:rsidR="006E294C" w:rsidRDefault="006E294C" w:rsidP="006E294C">
      <w:pPr>
        <w:ind w:left="720"/>
      </w:pPr>
      <w:r>
        <w:t xml:space="preserve">While the total number of annual responses has remained unchanged from the previous PRA filing--at 3,750 responses--the average burden time for each response has doubled, due to an upward adjustment in time per response from .5 hours to 1 hour. This increase mainly reflects a greater quantity of records being submitted via new contracts, corrections to data and other technical related issues. Please note that, notwithstanding any efforts to improve data submission and quality standards, the cost burden provided above is expected to remain stable for the foreseeable future, independent of any unforeseeable or material changes to this program.       </w:t>
      </w:r>
    </w:p>
    <w:p w:rsidR="00496114" w:rsidRDefault="00496114" w:rsidP="00A11EAC">
      <w:pPr>
        <w:keepNext/>
        <w:ind w:left="720"/>
        <w:rPr>
          <w:b/>
        </w:rPr>
      </w:pPr>
    </w:p>
    <w:p w:rsidR="00496114" w:rsidRDefault="00496114">
      <w:pPr>
        <w:keepNext/>
        <w:ind w:left="720" w:hanging="720"/>
        <w:rPr>
          <w:b/>
        </w:rPr>
      </w:pPr>
      <w:r>
        <w:rPr>
          <w:b/>
        </w:rPr>
        <w:t>16.</w:t>
      </w:r>
      <w:r>
        <w:rPr>
          <w:b/>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496114" w:rsidRDefault="00496114">
      <w:pPr>
        <w:ind w:firstLine="720"/>
      </w:pPr>
    </w:p>
    <w:p w:rsidR="00496114" w:rsidRDefault="00496114">
      <w:pPr>
        <w:ind w:firstLine="720"/>
      </w:pPr>
      <w:r>
        <w:t>This question does not apply.</w:t>
      </w:r>
    </w:p>
    <w:p w:rsidR="00496114" w:rsidRDefault="00496114">
      <w:pPr>
        <w:ind w:firstLine="720"/>
      </w:pPr>
    </w:p>
    <w:p w:rsidR="00496114" w:rsidRDefault="00496114">
      <w:pPr>
        <w:keepNext/>
        <w:ind w:left="720" w:hanging="720"/>
        <w:rPr>
          <w:b/>
        </w:rPr>
      </w:pPr>
      <w:r>
        <w:rPr>
          <w:b/>
        </w:rPr>
        <w:t>17.</w:t>
      </w:r>
      <w:r>
        <w:rPr>
          <w:b/>
        </w:rPr>
        <w:tab/>
        <w:t>If seeking approval to not display the expiration date for OMB approval of the information collection, explain the reasons that display would be inappropriate.</w:t>
      </w:r>
    </w:p>
    <w:p w:rsidR="00496114" w:rsidRDefault="00496114">
      <w:pPr>
        <w:ind w:firstLine="720"/>
      </w:pPr>
    </w:p>
    <w:p w:rsidR="00496114" w:rsidRDefault="00496114">
      <w:pPr>
        <w:ind w:firstLine="720"/>
      </w:pPr>
      <w:r>
        <w:t>This question does not apply.</w:t>
      </w:r>
    </w:p>
    <w:p w:rsidR="00496114" w:rsidRDefault="00496114">
      <w:pPr>
        <w:ind w:firstLine="720"/>
      </w:pPr>
    </w:p>
    <w:p w:rsidR="00496114" w:rsidRDefault="00496114">
      <w:pPr>
        <w:keepNext/>
        <w:numPr>
          <w:ilvl w:val="0"/>
          <w:numId w:val="17"/>
        </w:numPr>
        <w:rPr>
          <w:b/>
        </w:rPr>
      </w:pPr>
      <w:r>
        <w:rPr>
          <w:b/>
        </w:rPr>
        <w:t>Explain each exception to the certification statement identified in Item 19, "Certification for Paperwork Reduction Act Submissions," of OMB Form 83-I.</w:t>
      </w:r>
    </w:p>
    <w:p w:rsidR="00496114" w:rsidRDefault="00496114">
      <w:pPr>
        <w:ind w:firstLine="720"/>
      </w:pPr>
    </w:p>
    <w:p w:rsidR="00496114" w:rsidRDefault="00496114" w:rsidP="00C966A9">
      <w:pPr>
        <w:ind w:firstLine="720"/>
      </w:pPr>
      <w:r>
        <w:t>There are no exceptions</w:t>
      </w:r>
      <w:r w:rsidR="005250DD">
        <w:t xml:space="preserve"> to the certification statement.</w:t>
      </w:r>
    </w:p>
    <w:p w:rsidR="00B13C4D" w:rsidRDefault="0066429D" w:rsidP="00C966A9">
      <w:pPr>
        <w:ind w:firstLine="720"/>
      </w:pPr>
      <w:r>
        <w:br/>
      </w:r>
    </w:p>
    <w:p w:rsidR="00B13C4D" w:rsidRDefault="00B13C4D" w:rsidP="00B7091B">
      <w:pPr>
        <w:ind w:left="2880" w:firstLine="720"/>
      </w:pPr>
      <w:r>
        <w:t xml:space="preserve">Attachment </w:t>
      </w:r>
      <w:r w:rsidR="008B4709">
        <w:t>A</w:t>
      </w:r>
    </w:p>
    <w:p w:rsidR="00B13C4D" w:rsidRDefault="00B13C4D" w:rsidP="00B7091B">
      <w:pPr>
        <w:ind w:firstLine="720"/>
        <w:jc w:val="center"/>
      </w:pPr>
    </w:p>
    <w:p w:rsidR="00B13C4D" w:rsidRDefault="00B13C4D" w:rsidP="00B7091B">
      <w:pPr>
        <w:ind w:left="720" w:firstLine="720"/>
        <w:rPr>
          <w:rFonts w:ascii="Arial" w:hAnsi="Arial"/>
          <w:b/>
        </w:rPr>
      </w:pPr>
      <w:r>
        <w:rPr>
          <w:rFonts w:ascii="Arial" w:hAnsi="Arial"/>
          <w:b/>
        </w:rPr>
        <w:t>Reporting Requirements for Options and Futures</w:t>
      </w:r>
    </w:p>
    <w:p w:rsidR="00B13C4D" w:rsidRDefault="00B13C4D" w:rsidP="00B7091B">
      <w:pPr>
        <w:jc w:val="center"/>
        <w:rPr>
          <w:rFonts w:ascii="Arial" w:hAnsi="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1800"/>
        <w:gridCol w:w="1620"/>
        <w:gridCol w:w="1620"/>
        <w:gridCol w:w="1471"/>
        <w:gridCol w:w="886"/>
      </w:tblGrid>
      <w:tr w:rsidR="00B13C4D" w:rsidTr="00B7091B">
        <w:trPr>
          <w:cantSplit/>
        </w:trPr>
        <w:tc>
          <w:tcPr>
            <w:tcW w:w="8855" w:type="dxa"/>
            <w:gridSpan w:val="6"/>
            <w:tcBorders>
              <w:top w:val="single" w:sz="4" w:space="0" w:color="auto"/>
              <w:left w:val="single" w:sz="4" w:space="0" w:color="auto"/>
              <w:bottom w:val="single" w:sz="4" w:space="0" w:color="auto"/>
              <w:right w:val="single" w:sz="4" w:space="0" w:color="auto"/>
            </w:tcBorders>
            <w:hideMark/>
          </w:tcPr>
          <w:p w:rsidR="00B13C4D" w:rsidRDefault="00B13C4D" w:rsidP="00B7091B">
            <w:pPr>
              <w:jc w:val="center"/>
              <w:rPr>
                <w:rFonts w:ascii="Arial" w:hAnsi="Arial"/>
              </w:rPr>
            </w:pPr>
            <w:r>
              <w:t>Estimated Annual Reporting Burden</w:t>
            </w:r>
          </w:p>
        </w:tc>
      </w:tr>
      <w:tr w:rsidR="00B13C4D" w:rsidRPr="00C966A9" w:rsidTr="00B7091B">
        <w:trPr>
          <w:cantSplit/>
          <w:trHeight w:val="926"/>
        </w:trPr>
        <w:tc>
          <w:tcPr>
            <w:tcW w:w="1458" w:type="dxa"/>
            <w:tcBorders>
              <w:top w:val="single" w:sz="4" w:space="0" w:color="auto"/>
              <w:left w:val="single" w:sz="4" w:space="0" w:color="auto"/>
              <w:bottom w:val="single" w:sz="4" w:space="0" w:color="auto"/>
              <w:right w:val="single" w:sz="4" w:space="0" w:color="auto"/>
            </w:tcBorders>
            <w:hideMark/>
          </w:tcPr>
          <w:p w:rsidR="00B13C4D" w:rsidRPr="00C966A9" w:rsidRDefault="00B13C4D" w:rsidP="00B7091B">
            <w:pPr>
              <w:jc w:val="center"/>
              <w:rPr>
                <w:rFonts w:ascii="Arial" w:hAnsi="Arial"/>
                <w:b/>
              </w:rPr>
            </w:pPr>
            <w:r w:rsidRPr="00C966A9">
              <w:rPr>
                <w:b/>
              </w:rPr>
              <w:t>17 CFR Section</w:t>
            </w:r>
          </w:p>
        </w:tc>
        <w:tc>
          <w:tcPr>
            <w:tcW w:w="1800" w:type="dxa"/>
            <w:tcBorders>
              <w:top w:val="single" w:sz="4" w:space="0" w:color="auto"/>
              <w:left w:val="single" w:sz="4" w:space="0" w:color="auto"/>
              <w:bottom w:val="single" w:sz="4" w:space="0" w:color="auto"/>
              <w:right w:val="single" w:sz="4" w:space="0" w:color="auto"/>
            </w:tcBorders>
            <w:hideMark/>
          </w:tcPr>
          <w:p w:rsidR="00B13C4D" w:rsidRPr="00C966A9" w:rsidRDefault="00B13C4D" w:rsidP="00B7091B">
            <w:pPr>
              <w:jc w:val="center"/>
              <w:rPr>
                <w:rFonts w:ascii="Arial" w:hAnsi="Arial"/>
                <w:b/>
              </w:rPr>
            </w:pPr>
            <w:r w:rsidRPr="00C966A9">
              <w:rPr>
                <w:b/>
              </w:rPr>
              <w:t>Annual Number of Respondents</w:t>
            </w:r>
          </w:p>
        </w:tc>
        <w:tc>
          <w:tcPr>
            <w:tcW w:w="1620" w:type="dxa"/>
            <w:tcBorders>
              <w:top w:val="single" w:sz="4" w:space="0" w:color="auto"/>
              <w:left w:val="single" w:sz="4" w:space="0" w:color="auto"/>
              <w:bottom w:val="single" w:sz="4" w:space="0" w:color="auto"/>
              <w:right w:val="single" w:sz="4" w:space="0" w:color="auto"/>
            </w:tcBorders>
            <w:hideMark/>
          </w:tcPr>
          <w:p w:rsidR="00B13C4D" w:rsidRPr="00C966A9" w:rsidRDefault="00B13C4D" w:rsidP="00B7091B">
            <w:pPr>
              <w:jc w:val="center"/>
              <w:rPr>
                <w:rFonts w:ascii="Arial" w:hAnsi="Arial"/>
                <w:b/>
              </w:rPr>
            </w:pPr>
            <w:r w:rsidRPr="00C966A9">
              <w:rPr>
                <w:b/>
              </w:rPr>
              <w:t>Frequency of Response</w:t>
            </w:r>
          </w:p>
        </w:tc>
        <w:tc>
          <w:tcPr>
            <w:tcW w:w="1620" w:type="dxa"/>
            <w:tcBorders>
              <w:top w:val="single" w:sz="4" w:space="0" w:color="auto"/>
              <w:left w:val="single" w:sz="4" w:space="0" w:color="auto"/>
              <w:bottom w:val="single" w:sz="4" w:space="0" w:color="auto"/>
              <w:right w:val="single" w:sz="4" w:space="0" w:color="auto"/>
            </w:tcBorders>
            <w:hideMark/>
          </w:tcPr>
          <w:p w:rsidR="00B13C4D" w:rsidRPr="00C966A9" w:rsidRDefault="00B13C4D" w:rsidP="00B7091B">
            <w:pPr>
              <w:jc w:val="center"/>
              <w:rPr>
                <w:rFonts w:ascii="Arial" w:hAnsi="Arial"/>
                <w:b/>
              </w:rPr>
            </w:pPr>
            <w:r w:rsidRPr="00C966A9">
              <w:rPr>
                <w:b/>
              </w:rPr>
              <w:t>Total Annual Responses</w:t>
            </w:r>
          </w:p>
        </w:tc>
        <w:tc>
          <w:tcPr>
            <w:tcW w:w="1471" w:type="dxa"/>
            <w:tcBorders>
              <w:top w:val="single" w:sz="4" w:space="0" w:color="auto"/>
              <w:left w:val="single" w:sz="4" w:space="0" w:color="auto"/>
              <w:bottom w:val="single" w:sz="4" w:space="0" w:color="auto"/>
              <w:right w:val="single" w:sz="4" w:space="0" w:color="auto"/>
            </w:tcBorders>
            <w:hideMark/>
          </w:tcPr>
          <w:p w:rsidR="00B13C4D" w:rsidRPr="00C966A9" w:rsidRDefault="00B13C4D" w:rsidP="00B7091B">
            <w:pPr>
              <w:jc w:val="center"/>
              <w:rPr>
                <w:rFonts w:ascii="Arial" w:hAnsi="Arial"/>
                <w:b/>
              </w:rPr>
            </w:pPr>
            <w:r w:rsidRPr="00C966A9">
              <w:rPr>
                <w:b/>
              </w:rPr>
              <w:t>Hours per Response</w:t>
            </w:r>
          </w:p>
        </w:tc>
        <w:tc>
          <w:tcPr>
            <w:tcW w:w="886" w:type="dxa"/>
            <w:tcBorders>
              <w:top w:val="single" w:sz="4" w:space="0" w:color="auto"/>
              <w:left w:val="single" w:sz="4" w:space="0" w:color="auto"/>
              <w:bottom w:val="single" w:sz="4" w:space="0" w:color="auto"/>
              <w:right w:val="single" w:sz="4" w:space="0" w:color="auto"/>
            </w:tcBorders>
            <w:hideMark/>
          </w:tcPr>
          <w:p w:rsidR="00B13C4D" w:rsidRPr="00C966A9" w:rsidRDefault="00B13C4D" w:rsidP="00B7091B">
            <w:pPr>
              <w:jc w:val="center"/>
              <w:rPr>
                <w:rFonts w:ascii="Arial" w:hAnsi="Arial"/>
                <w:b/>
              </w:rPr>
            </w:pPr>
            <w:r w:rsidRPr="00C966A9">
              <w:rPr>
                <w:b/>
              </w:rPr>
              <w:t>Total Hours</w:t>
            </w:r>
          </w:p>
        </w:tc>
      </w:tr>
      <w:tr w:rsidR="00B13C4D" w:rsidTr="00B7091B">
        <w:trPr>
          <w:cantSplit/>
        </w:trPr>
        <w:tc>
          <w:tcPr>
            <w:tcW w:w="1458" w:type="dxa"/>
            <w:tcBorders>
              <w:top w:val="single" w:sz="4" w:space="0" w:color="auto"/>
              <w:left w:val="single" w:sz="4" w:space="0" w:color="auto"/>
              <w:bottom w:val="single" w:sz="4" w:space="0" w:color="auto"/>
              <w:right w:val="single" w:sz="4" w:space="0" w:color="auto"/>
            </w:tcBorders>
            <w:hideMark/>
          </w:tcPr>
          <w:p w:rsidR="00B13C4D" w:rsidRDefault="00B13C4D" w:rsidP="00B7091B">
            <w:pPr>
              <w:jc w:val="center"/>
              <w:rPr>
                <w:rFonts w:ascii="Arial" w:hAnsi="Arial"/>
              </w:rPr>
            </w:pPr>
            <w:r>
              <w:t>16.01</w:t>
            </w:r>
          </w:p>
        </w:tc>
        <w:tc>
          <w:tcPr>
            <w:tcW w:w="1800" w:type="dxa"/>
            <w:tcBorders>
              <w:top w:val="single" w:sz="4" w:space="0" w:color="auto"/>
              <w:left w:val="single" w:sz="4" w:space="0" w:color="auto"/>
              <w:bottom w:val="single" w:sz="4" w:space="0" w:color="auto"/>
              <w:right w:val="single" w:sz="4" w:space="0" w:color="auto"/>
            </w:tcBorders>
            <w:hideMark/>
          </w:tcPr>
          <w:p w:rsidR="00B13C4D" w:rsidRDefault="00B13C4D" w:rsidP="00B7091B">
            <w:pPr>
              <w:jc w:val="center"/>
              <w:rPr>
                <w:rFonts w:ascii="Arial" w:hAnsi="Arial"/>
              </w:rPr>
            </w:pPr>
            <w:r>
              <w:t>15</w:t>
            </w:r>
          </w:p>
        </w:tc>
        <w:tc>
          <w:tcPr>
            <w:tcW w:w="1620" w:type="dxa"/>
            <w:tcBorders>
              <w:top w:val="single" w:sz="4" w:space="0" w:color="auto"/>
              <w:left w:val="single" w:sz="4" w:space="0" w:color="auto"/>
              <w:bottom w:val="single" w:sz="4" w:space="0" w:color="auto"/>
              <w:right w:val="single" w:sz="4" w:space="0" w:color="auto"/>
            </w:tcBorders>
            <w:hideMark/>
          </w:tcPr>
          <w:p w:rsidR="00B13C4D" w:rsidRDefault="00B13C4D" w:rsidP="00B7091B">
            <w:pPr>
              <w:jc w:val="center"/>
              <w:rPr>
                <w:rFonts w:ascii="Arial" w:hAnsi="Arial"/>
              </w:rPr>
            </w:pPr>
            <w:r>
              <w:t>Daily</w:t>
            </w:r>
          </w:p>
        </w:tc>
        <w:tc>
          <w:tcPr>
            <w:tcW w:w="1620" w:type="dxa"/>
            <w:tcBorders>
              <w:top w:val="single" w:sz="4" w:space="0" w:color="auto"/>
              <w:left w:val="single" w:sz="4" w:space="0" w:color="auto"/>
              <w:bottom w:val="single" w:sz="4" w:space="0" w:color="auto"/>
              <w:right w:val="single" w:sz="4" w:space="0" w:color="auto"/>
            </w:tcBorders>
            <w:hideMark/>
          </w:tcPr>
          <w:p w:rsidR="00B13C4D" w:rsidRDefault="00B13C4D" w:rsidP="00B7091B">
            <w:pPr>
              <w:jc w:val="center"/>
              <w:rPr>
                <w:rFonts w:ascii="Arial" w:hAnsi="Arial"/>
              </w:rPr>
            </w:pPr>
            <w:r>
              <w:t>3,750</w:t>
            </w:r>
          </w:p>
        </w:tc>
        <w:tc>
          <w:tcPr>
            <w:tcW w:w="1471" w:type="dxa"/>
            <w:tcBorders>
              <w:top w:val="single" w:sz="4" w:space="0" w:color="auto"/>
              <w:left w:val="single" w:sz="4" w:space="0" w:color="auto"/>
              <w:bottom w:val="single" w:sz="4" w:space="0" w:color="auto"/>
              <w:right w:val="single" w:sz="4" w:space="0" w:color="auto"/>
            </w:tcBorders>
            <w:hideMark/>
          </w:tcPr>
          <w:p w:rsidR="00B13C4D" w:rsidRDefault="0045726A" w:rsidP="00B7091B">
            <w:pPr>
              <w:jc w:val="center"/>
              <w:rPr>
                <w:rFonts w:ascii="Arial" w:hAnsi="Arial"/>
              </w:rPr>
            </w:pPr>
            <w:r>
              <w:t>1.0</w:t>
            </w:r>
          </w:p>
        </w:tc>
        <w:tc>
          <w:tcPr>
            <w:tcW w:w="886" w:type="dxa"/>
            <w:tcBorders>
              <w:top w:val="single" w:sz="4" w:space="0" w:color="auto"/>
              <w:left w:val="single" w:sz="4" w:space="0" w:color="auto"/>
              <w:bottom w:val="single" w:sz="4" w:space="0" w:color="auto"/>
              <w:right w:val="single" w:sz="4" w:space="0" w:color="auto"/>
            </w:tcBorders>
            <w:hideMark/>
          </w:tcPr>
          <w:p w:rsidR="00B13C4D" w:rsidRDefault="0045726A" w:rsidP="00B7091B">
            <w:pPr>
              <w:jc w:val="center"/>
              <w:rPr>
                <w:rFonts w:ascii="Arial" w:hAnsi="Arial"/>
              </w:rPr>
            </w:pPr>
            <w:r>
              <w:t>3,750</w:t>
            </w:r>
          </w:p>
        </w:tc>
      </w:tr>
    </w:tbl>
    <w:p w:rsidR="00B13C4D" w:rsidRDefault="00B13C4D" w:rsidP="00B7091B">
      <w:pPr>
        <w:ind w:firstLine="720"/>
        <w:jc w:val="center"/>
      </w:pPr>
    </w:p>
    <w:sectPr w:rsidR="00B13C4D" w:rsidSect="00731CBD">
      <w:footerReference w:type="even" r:id="rId12"/>
      <w:footerReference w:type="default" r:id="rId13"/>
      <w:footerReference w:type="first" r:id="rId14"/>
      <w:pgSz w:w="12240" w:h="15840" w:code="1"/>
      <w:pgMar w:top="1440" w:right="1440" w:bottom="1440" w:left="1440" w:header="432" w:footer="432"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C88" w:rsidRDefault="00481C88">
      <w:r>
        <w:separator/>
      </w:r>
    </w:p>
  </w:endnote>
  <w:endnote w:type="continuationSeparator" w:id="0">
    <w:p w:rsidR="00481C88" w:rsidRDefault="0048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114" w:rsidRDefault="004961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96114" w:rsidRDefault="004961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721644"/>
      <w:docPartObj>
        <w:docPartGallery w:val="Page Numbers (Bottom of Page)"/>
        <w:docPartUnique/>
      </w:docPartObj>
    </w:sdtPr>
    <w:sdtEndPr>
      <w:rPr>
        <w:noProof/>
      </w:rPr>
    </w:sdtEndPr>
    <w:sdtContent>
      <w:p w:rsidR="0066429D" w:rsidRDefault="0066429D">
        <w:pPr>
          <w:pStyle w:val="Footer"/>
          <w:jc w:val="center"/>
        </w:pPr>
        <w:r>
          <w:fldChar w:fldCharType="begin"/>
        </w:r>
        <w:r>
          <w:instrText xml:space="preserve"> PAGE   \* MERGEFORMAT </w:instrText>
        </w:r>
        <w:r>
          <w:fldChar w:fldCharType="separate"/>
        </w:r>
        <w:r w:rsidR="00207669">
          <w:rPr>
            <w:noProof/>
          </w:rPr>
          <w:t>2</w:t>
        </w:r>
        <w:r>
          <w:rPr>
            <w:noProof/>
          </w:rPr>
          <w:fldChar w:fldCharType="end"/>
        </w:r>
      </w:p>
    </w:sdtContent>
  </w:sdt>
  <w:p w:rsidR="0066429D" w:rsidRDefault="006642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CBD" w:rsidRDefault="00731CBD">
    <w:pPr>
      <w:pStyle w:val="Footer"/>
      <w:jc w:val="center"/>
    </w:pPr>
  </w:p>
  <w:p w:rsidR="00731CBD" w:rsidRDefault="00731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C88" w:rsidRDefault="00481C88">
      <w:r>
        <w:separator/>
      </w:r>
    </w:p>
  </w:footnote>
  <w:footnote w:type="continuationSeparator" w:id="0">
    <w:p w:rsidR="00481C88" w:rsidRDefault="00481C88">
      <w:r>
        <w:continuationSeparator/>
      </w:r>
    </w:p>
  </w:footnote>
  <w:footnote w:id="1">
    <w:p w:rsidR="00150083" w:rsidRDefault="00150083" w:rsidP="00150083">
      <w:pPr>
        <w:pStyle w:val="FootnoteText"/>
      </w:pPr>
      <w:r>
        <w:rPr>
          <w:rStyle w:val="FootnoteReference"/>
        </w:rPr>
        <w:footnoteRef/>
      </w:r>
      <w:r>
        <w:t xml:space="preserve"> </w:t>
      </w:r>
      <w:r w:rsidRPr="006924FE">
        <w:rPr>
          <w:sz w:val="22"/>
        </w:rPr>
        <w:t>The burden for swaps market data are accounted for in OMB Control Number</w:t>
      </w:r>
      <w:r w:rsidR="00C45C4D" w:rsidRPr="006924FE">
        <w:rPr>
          <w:sz w:val="22"/>
        </w:rPr>
        <w:t>: 3038</w:t>
      </w:r>
      <w:r w:rsidRPr="006924FE">
        <w:rPr>
          <w:sz w:val="22"/>
        </w:rPr>
        <w:t>-0052</w:t>
      </w:r>
      <w:r>
        <w:t>.</w:t>
      </w:r>
    </w:p>
  </w:footnote>
  <w:footnote w:id="2">
    <w:p w:rsidR="005B095E" w:rsidRDefault="005B095E" w:rsidP="005B095E">
      <w:pPr>
        <w:pStyle w:val="FootnoteText"/>
      </w:pPr>
      <w:r>
        <w:rPr>
          <w:rStyle w:val="FootnoteReference"/>
        </w:rPr>
        <w:footnoteRef/>
      </w:r>
      <w:r>
        <w:t xml:space="preserve"> </w:t>
      </w:r>
      <w:r w:rsidRPr="00397AAE">
        <w:rPr>
          <w:i/>
        </w:rPr>
        <w:t>Available at</w:t>
      </w:r>
      <w:r>
        <w:t xml:space="preserve"> </w:t>
      </w:r>
      <w:hyperlink r:id="rId1" w:history="1">
        <w:r w:rsidRPr="00DD6128">
          <w:rPr>
            <w:rStyle w:val="Hyperlink"/>
          </w:rPr>
          <w:t>https://www.bls.gov/oes/current/oes_nat.htm</w:t>
        </w:r>
      </w:hyperlink>
      <w:r>
        <w:t xml:space="preserve">. </w:t>
      </w:r>
    </w:p>
  </w:footnote>
  <w:footnote w:id="3">
    <w:p w:rsidR="008859D3" w:rsidRDefault="00207669" w:rsidP="008859D3">
      <w:pPr>
        <w:pStyle w:val="FootnoteText"/>
      </w:pPr>
      <w:hyperlink w:anchor="Available at https://www.bls.gov/oes/current/oes_nat.htm." w:history="1">
        <w:r w:rsidR="00B7091B" w:rsidRPr="00B7091B">
          <w:rPr>
            <w:rStyle w:val="Hyperlink"/>
            <w:vertAlign w:val="superscript"/>
          </w:rPr>
          <w:footnoteRef/>
        </w:r>
        <w:r w:rsidR="00B7091B" w:rsidRPr="00B7091B">
          <w:rPr>
            <w:rStyle w:val="Hyperlink"/>
            <w:i/>
          </w:rPr>
          <w:t>Available at</w:t>
        </w:r>
        <w:r w:rsidR="00B7091B" w:rsidRPr="00B7091B">
          <w:rPr>
            <w:rStyle w:val="Hyperlink"/>
          </w:rPr>
          <w:t xml:space="preserve"> https://www.bls.gov/oes/current/oes_nat.htm.</w:t>
        </w:r>
      </w:hyperlink>
      <w:r w:rsidR="008859D3">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1B0"/>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
    <w:nsid w:val="042249C4"/>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
    <w:nsid w:val="0531597B"/>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3">
    <w:nsid w:val="163A74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B3452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5">
    <w:nsid w:val="1C244709"/>
    <w:multiLevelType w:val="singleLevel"/>
    <w:tmpl w:val="E3CA438C"/>
    <w:lvl w:ilvl="0">
      <w:start w:val="18"/>
      <w:numFmt w:val="decimal"/>
      <w:lvlText w:val="%1."/>
      <w:lvlJc w:val="left"/>
      <w:pPr>
        <w:tabs>
          <w:tab w:val="num" w:pos="720"/>
        </w:tabs>
        <w:ind w:left="720" w:hanging="720"/>
      </w:pPr>
      <w:rPr>
        <w:rFonts w:hint="default"/>
      </w:rPr>
    </w:lvl>
  </w:abstractNum>
  <w:abstractNum w:abstractNumId="6">
    <w:nsid w:val="2152111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7">
    <w:nsid w:val="35EA7EF2"/>
    <w:multiLevelType w:val="singleLevel"/>
    <w:tmpl w:val="0409000F"/>
    <w:lvl w:ilvl="0">
      <w:start w:val="1"/>
      <w:numFmt w:val="decimal"/>
      <w:lvlText w:val="%1."/>
      <w:lvlJc w:val="left"/>
      <w:pPr>
        <w:tabs>
          <w:tab w:val="num" w:pos="360"/>
        </w:tabs>
        <w:ind w:left="360" w:hanging="360"/>
      </w:pPr>
      <w:rPr>
        <w:rFonts w:hint="default"/>
      </w:rPr>
    </w:lvl>
  </w:abstractNum>
  <w:abstractNum w:abstractNumId="8">
    <w:nsid w:val="3603402D"/>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3F235763"/>
    <w:multiLevelType w:val="hybridMultilevel"/>
    <w:tmpl w:val="5AD86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0345A4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1">
    <w:nsid w:val="47525CDF"/>
    <w:multiLevelType w:val="singleLevel"/>
    <w:tmpl w:val="5906CE08"/>
    <w:lvl w:ilvl="0">
      <w:start w:val="1"/>
      <w:numFmt w:val="decimal"/>
      <w:lvlText w:val="%1."/>
      <w:lvlJc w:val="left"/>
      <w:pPr>
        <w:tabs>
          <w:tab w:val="num" w:pos="432"/>
        </w:tabs>
        <w:ind w:left="432" w:hanging="432"/>
      </w:pPr>
      <w:rPr>
        <w:b/>
        <w:i w:val="0"/>
      </w:rPr>
    </w:lvl>
  </w:abstractNum>
  <w:abstractNum w:abstractNumId="12">
    <w:nsid w:val="47F36AE3"/>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3">
    <w:nsid w:val="483555B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4">
    <w:nsid w:val="49881951"/>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4BB76BB3"/>
    <w:multiLevelType w:val="singleLevel"/>
    <w:tmpl w:val="0409000F"/>
    <w:lvl w:ilvl="0">
      <w:start w:val="1"/>
      <w:numFmt w:val="decimal"/>
      <w:lvlText w:val="%1."/>
      <w:lvlJc w:val="left"/>
      <w:pPr>
        <w:tabs>
          <w:tab w:val="num" w:pos="360"/>
        </w:tabs>
        <w:ind w:left="360" w:hanging="360"/>
      </w:pPr>
      <w:rPr>
        <w:rFonts w:hint="default"/>
      </w:rPr>
    </w:lvl>
  </w:abstractNum>
  <w:abstractNum w:abstractNumId="16">
    <w:nsid w:val="4C331615"/>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7">
    <w:nsid w:val="4FFF29DD"/>
    <w:multiLevelType w:val="singleLevel"/>
    <w:tmpl w:val="0409000F"/>
    <w:lvl w:ilvl="0">
      <w:start w:val="1"/>
      <w:numFmt w:val="decimal"/>
      <w:lvlText w:val="%1."/>
      <w:lvlJc w:val="left"/>
      <w:pPr>
        <w:tabs>
          <w:tab w:val="num" w:pos="360"/>
        </w:tabs>
        <w:ind w:left="360" w:hanging="360"/>
      </w:pPr>
      <w:rPr>
        <w:rFonts w:hint="default"/>
      </w:rPr>
    </w:lvl>
  </w:abstractNum>
  <w:abstractNum w:abstractNumId="18">
    <w:nsid w:val="51A20C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9">
    <w:nsid w:val="549B0166"/>
    <w:multiLevelType w:val="hybridMultilevel"/>
    <w:tmpl w:val="99D4F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BF506A6"/>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1">
    <w:nsid w:val="6109749F"/>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2">
    <w:nsid w:val="61362DA2"/>
    <w:multiLevelType w:val="singleLevel"/>
    <w:tmpl w:val="0409000F"/>
    <w:lvl w:ilvl="0">
      <w:start w:val="1"/>
      <w:numFmt w:val="decimal"/>
      <w:lvlText w:val="%1."/>
      <w:lvlJc w:val="left"/>
      <w:pPr>
        <w:tabs>
          <w:tab w:val="num" w:pos="360"/>
        </w:tabs>
        <w:ind w:left="360" w:hanging="360"/>
      </w:pPr>
      <w:rPr>
        <w:rFonts w:hint="default"/>
      </w:rPr>
    </w:lvl>
  </w:abstractNum>
  <w:abstractNum w:abstractNumId="23">
    <w:nsid w:val="63BC735E"/>
    <w:multiLevelType w:val="singleLevel"/>
    <w:tmpl w:val="0409000F"/>
    <w:lvl w:ilvl="0">
      <w:start w:val="1"/>
      <w:numFmt w:val="decimal"/>
      <w:lvlText w:val="%1."/>
      <w:lvlJc w:val="left"/>
      <w:pPr>
        <w:tabs>
          <w:tab w:val="num" w:pos="360"/>
        </w:tabs>
        <w:ind w:left="360" w:hanging="360"/>
      </w:pPr>
      <w:rPr>
        <w:rFonts w:hint="default"/>
      </w:rPr>
    </w:lvl>
  </w:abstractNum>
  <w:abstractNum w:abstractNumId="24">
    <w:nsid w:val="66312B2C"/>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5">
    <w:nsid w:val="6F9E59C7"/>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6">
    <w:nsid w:val="7B3C0AC2"/>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27">
    <w:nsid w:val="7DC95F85"/>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1"/>
  </w:num>
  <w:num w:numId="3">
    <w:abstractNumId w:val="4"/>
  </w:num>
  <w:num w:numId="4">
    <w:abstractNumId w:val="26"/>
  </w:num>
  <w:num w:numId="5">
    <w:abstractNumId w:val="20"/>
  </w:num>
  <w:num w:numId="6">
    <w:abstractNumId w:val="13"/>
  </w:num>
  <w:num w:numId="7">
    <w:abstractNumId w:val="10"/>
  </w:num>
  <w:num w:numId="8">
    <w:abstractNumId w:val="12"/>
  </w:num>
  <w:num w:numId="9">
    <w:abstractNumId w:val="16"/>
  </w:num>
  <w:num w:numId="10">
    <w:abstractNumId w:val="24"/>
  </w:num>
  <w:num w:numId="11">
    <w:abstractNumId w:val="21"/>
  </w:num>
  <w:num w:numId="12">
    <w:abstractNumId w:val="18"/>
  </w:num>
  <w:num w:numId="13">
    <w:abstractNumId w:val="25"/>
  </w:num>
  <w:num w:numId="14">
    <w:abstractNumId w:val="0"/>
  </w:num>
  <w:num w:numId="15">
    <w:abstractNumId w:val="6"/>
  </w:num>
  <w:num w:numId="16">
    <w:abstractNumId w:val="2"/>
  </w:num>
  <w:num w:numId="17">
    <w:abstractNumId w:val="5"/>
  </w:num>
  <w:num w:numId="18">
    <w:abstractNumId w:val="23"/>
  </w:num>
  <w:num w:numId="19">
    <w:abstractNumId w:val="8"/>
  </w:num>
  <w:num w:numId="20">
    <w:abstractNumId w:val="15"/>
  </w:num>
  <w:num w:numId="21">
    <w:abstractNumId w:val="27"/>
  </w:num>
  <w:num w:numId="22">
    <w:abstractNumId w:val="7"/>
  </w:num>
  <w:num w:numId="23">
    <w:abstractNumId w:val="17"/>
  </w:num>
  <w:num w:numId="24">
    <w:abstractNumId w:val="14"/>
  </w:num>
  <w:num w:numId="25">
    <w:abstractNumId w:val="22"/>
  </w:num>
  <w:num w:numId="26">
    <w:abstractNumId w:val="11"/>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E47"/>
    <w:rsid w:val="00000B5D"/>
    <w:rsid w:val="0003416D"/>
    <w:rsid w:val="00052338"/>
    <w:rsid w:val="00054833"/>
    <w:rsid w:val="000576E3"/>
    <w:rsid w:val="00062B4C"/>
    <w:rsid w:val="000B07BC"/>
    <w:rsid w:val="000B792D"/>
    <w:rsid w:val="000D30E5"/>
    <w:rsid w:val="000E6543"/>
    <w:rsid w:val="00122FFB"/>
    <w:rsid w:val="00150083"/>
    <w:rsid w:val="001644C8"/>
    <w:rsid w:val="001714D9"/>
    <w:rsid w:val="00186BFF"/>
    <w:rsid w:val="00193642"/>
    <w:rsid w:val="001D4FAF"/>
    <w:rsid w:val="001F6165"/>
    <w:rsid w:val="0020361F"/>
    <w:rsid w:val="00207669"/>
    <w:rsid w:val="00215EF4"/>
    <w:rsid w:val="00220546"/>
    <w:rsid w:val="0025437E"/>
    <w:rsid w:val="00313BED"/>
    <w:rsid w:val="00337B04"/>
    <w:rsid w:val="00355FF8"/>
    <w:rsid w:val="00367D85"/>
    <w:rsid w:val="00376130"/>
    <w:rsid w:val="003B071F"/>
    <w:rsid w:val="003B2675"/>
    <w:rsid w:val="00410E98"/>
    <w:rsid w:val="00421C39"/>
    <w:rsid w:val="0045726A"/>
    <w:rsid w:val="004724C3"/>
    <w:rsid w:val="00481C88"/>
    <w:rsid w:val="004929F9"/>
    <w:rsid w:val="004959AC"/>
    <w:rsid w:val="00496114"/>
    <w:rsid w:val="00497AFB"/>
    <w:rsid w:val="004A1CFB"/>
    <w:rsid w:val="004A68CF"/>
    <w:rsid w:val="005250DD"/>
    <w:rsid w:val="00595555"/>
    <w:rsid w:val="005B095E"/>
    <w:rsid w:val="005C51DE"/>
    <w:rsid w:val="005D5C86"/>
    <w:rsid w:val="00613D92"/>
    <w:rsid w:val="006246B5"/>
    <w:rsid w:val="00630C2C"/>
    <w:rsid w:val="00655BB1"/>
    <w:rsid w:val="0066429D"/>
    <w:rsid w:val="006916C3"/>
    <w:rsid w:val="006B1288"/>
    <w:rsid w:val="006E294C"/>
    <w:rsid w:val="00703F6E"/>
    <w:rsid w:val="00716DEC"/>
    <w:rsid w:val="00731CBD"/>
    <w:rsid w:val="00751430"/>
    <w:rsid w:val="00783860"/>
    <w:rsid w:val="007A6B66"/>
    <w:rsid w:val="008438F4"/>
    <w:rsid w:val="0086773A"/>
    <w:rsid w:val="008747D1"/>
    <w:rsid w:val="008859D3"/>
    <w:rsid w:val="00892E47"/>
    <w:rsid w:val="008B4709"/>
    <w:rsid w:val="008E62AA"/>
    <w:rsid w:val="00907640"/>
    <w:rsid w:val="00916742"/>
    <w:rsid w:val="009707C2"/>
    <w:rsid w:val="00970B65"/>
    <w:rsid w:val="00A04DC9"/>
    <w:rsid w:val="00A11EAC"/>
    <w:rsid w:val="00A31835"/>
    <w:rsid w:val="00A40E33"/>
    <w:rsid w:val="00AB5622"/>
    <w:rsid w:val="00AF5200"/>
    <w:rsid w:val="00B073CD"/>
    <w:rsid w:val="00B13C4D"/>
    <w:rsid w:val="00B4220E"/>
    <w:rsid w:val="00B65545"/>
    <w:rsid w:val="00B7091B"/>
    <w:rsid w:val="00B833DF"/>
    <w:rsid w:val="00BB29AF"/>
    <w:rsid w:val="00BD0F6A"/>
    <w:rsid w:val="00BD5CFC"/>
    <w:rsid w:val="00BF5FF4"/>
    <w:rsid w:val="00BF6ACD"/>
    <w:rsid w:val="00C21D51"/>
    <w:rsid w:val="00C264A8"/>
    <w:rsid w:val="00C45C4D"/>
    <w:rsid w:val="00C867BE"/>
    <w:rsid w:val="00C966A9"/>
    <w:rsid w:val="00D13E21"/>
    <w:rsid w:val="00D20F94"/>
    <w:rsid w:val="00D63F7A"/>
    <w:rsid w:val="00D6502F"/>
    <w:rsid w:val="00D768B7"/>
    <w:rsid w:val="00D82F0B"/>
    <w:rsid w:val="00D86F48"/>
    <w:rsid w:val="00DA61EE"/>
    <w:rsid w:val="00DE5E41"/>
    <w:rsid w:val="00DF0D76"/>
    <w:rsid w:val="00E27756"/>
    <w:rsid w:val="00E65B10"/>
    <w:rsid w:val="00E75151"/>
    <w:rsid w:val="00EB566B"/>
    <w:rsid w:val="00EC30F0"/>
    <w:rsid w:val="00EC4507"/>
    <w:rsid w:val="00EE574D"/>
    <w:rsid w:val="00F3030D"/>
    <w:rsid w:val="00F40479"/>
    <w:rsid w:val="00F7071B"/>
    <w:rsid w:val="00F964DD"/>
    <w:rsid w:val="00FA3DDD"/>
    <w:rsid w:val="00FA60A9"/>
    <w:rsid w:val="00FE5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pPr>
      <w:spacing w:after="240"/>
    </w:pPr>
    <w:rPr>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spacing w:after="240"/>
    </w:pPr>
    <w:rPr>
      <w:szCs w:val="20"/>
    </w:rPr>
  </w:style>
  <w:style w:type="character" w:styleId="CommentReference">
    <w:name w:val="annotation reference"/>
    <w:uiPriority w:val="99"/>
    <w:semiHidden/>
    <w:unhideWhenUsed/>
    <w:rsid w:val="00150083"/>
    <w:rPr>
      <w:sz w:val="16"/>
      <w:szCs w:val="16"/>
    </w:rPr>
  </w:style>
  <w:style w:type="paragraph" w:styleId="CommentText">
    <w:name w:val="annotation text"/>
    <w:basedOn w:val="Normal"/>
    <w:link w:val="CommentTextChar"/>
    <w:uiPriority w:val="99"/>
    <w:semiHidden/>
    <w:unhideWhenUsed/>
    <w:rsid w:val="00150083"/>
    <w:rPr>
      <w:sz w:val="20"/>
      <w:szCs w:val="20"/>
    </w:rPr>
  </w:style>
  <w:style w:type="character" w:customStyle="1" w:styleId="CommentTextChar">
    <w:name w:val="Comment Text Char"/>
    <w:basedOn w:val="DefaultParagraphFont"/>
    <w:link w:val="CommentText"/>
    <w:uiPriority w:val="99"/>
    <w:semiHidden/>
    <w:rsid w:val="00150083"/>
  </w:style>
  <w:style w:type="paragraph" w:styleId="CommentSubject">
    <w:name w:val="annotation subject"/>
    <w:basedOn w:val="CommentText"/>
    <w:next w:val="CommentText"/>
    <w:link w:val="CommentSubjectChar"/>
    <w:uiPriority w:val="99"/>
    <w:semiHidden/>
    <w:unhideWhenUsed/>
    <w:rsid w:val="00150083"/>
    <w:rPr>
      <w:b/>
      <w:bCs/>
    </w:rPr>
  </w:style>
  <w:style w:type="character" w:customStyle="1" w:styleId="CommentSubjectChar">
    <w:name w:val="Comment Subject Char"/>
    <w:link w:val="CommentSubject"/>
    <w:uiPriority w:val="99"/>
    <w:semiHidden/>
    <w:rsid w:val="00150083"/>
    <w:rPr>
      <w:b/>
      <w:bCs/>
    </w:rPr>
  </w:style>
  <w:style w:type="paragraph" w:styleId="BalloonText">
    <w:name w:val="Balloon Text"/>
    <w:basedOn w:val="Normal"/>
    <w:link w:val="BalloonTextChar"/>
    <w:uiPriority w:val="99"/>
    <w:semiHidden/>
    <w:unhideWhenUsed/>
    <w:rsid w:val="00150083"/>
    <w:rPr>
      <w:rFonts w:ascii="Tahoma" w:hAnsi="Tahoma" w:cs="Tahoma"/>
      <w:sz w:val="16"/>
      <w:szCs w:val="16"/>
    </w:rPr>
  </w:style>
  <w:style w:type="character" w:customStyle="1" w:styleId="BalloonTextChar">
    <w:name w:val="Balloon Text Char"/>
    <w:link w:val="BalloonText"/>
    <w:uiPriority w:val="99"/>
    <w:semiHidden/>
    <w:rsid w:val="00150083"/>
    <w:rPr>
      <w:rFonts w:ascii="Tahoma" w:hAnsi="Tahoma" w:cs="Tahoma"/>
      <w:sz w:val="16"/>
      <w:szCs w:val="16"/>
    </w:rPr>
  </w:style>
  <w:style w:type="character" w:styleId="Hyperlink">
    <w:name w:val="Hyperlink"/>
    <w:rsid w:val="004959AC"/>
    <w:rPr>
      <w:color w:val="0000FF"/>
      <w:u w:val="single"/>
    </w:rPr>
  </w:style>
  <w:style w:type="character" w:styleId="FollowedHyperlink">
    <w:name w:val="FollowedHyperlink"/>
    <w:uiPriority w:val="99"/>
    <w:semiHidden/>
    <w:unhideWhenUsed/>
    <w:rsid w:val="005B095E"/>
    <w:rPr>
      <w:color w:val="800080"/>
      <w:u w:val="single"/>
    </w:rPr>
  </w:style>
  <w:style w:type="paragraph" w:styleId="Header">
    <w:name w:val="header"/>
    <w:basedOn w:val="Normal"/>
    <w:link w:val="HeaderChar"/>
    <w:uiPriority w:val="99"/>
    <w:unhideWhenUsed/>
    <w:rsid w:val="00731CBD"/>
    <w:pPr>
      <w:tabs>
        <w:tab w:val="center" w:pos="4680"/>
        <w:tab w:val="right" w:pos="9360"/>
      </w:tabs>
    </w:pPr>
  </w:style>
  <w:style w:type="character" w:customStyle="1" w:styleId="HeaderChar">
    <w:name w:val="Header Char"/>
    <w:basedOn w:val="DefaultParagraphFont"/>
    <w:link w:val="Header"/>
    <w:uiPriority w:val="99"/>
    <w:rsid w:val="00731CBD"/>
    <w:rPr>
      <w:sz w:val="24"/>
      <w:szCs w:val="24"/>
    </w:rPr>
  </w:style>
  <w:style w:type="character" w:customStyle="1" w:styleId="FooterChar">
    <w:name w:val="Footer Char"/>
    <w:basedOn w:val="DefaultParagraphFont"/>
    <w:link w:val="Footer"/>
    <w:uiPriority w:val="99"/>
    <w:rsid w:val="00731CBD"/>
    <w:rPr>
      <w:sz w:val="24"/>
    </w:rPr>
  </w:style>
  <w:style w:type="paragraph" w:styleId="ListParagraph">
    <w:name w:val="List Paragraph"/>
    <w:basedOn w:val="Normal"/>
    <w:uiPriority w:val="34"/>
    <w:qFormat/>
    <w:rsid w:val="00731CB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pPr>
      <w:spacing w:after="240"/>
    </w:pPr>
    <w:rPr>
      <w:szCs w:val="20"/>
    </w:rPr>
  </w:style>
  <w:style w:type="character" w:styleId="PageNumber">
    <w:name w:val="page number"/>
    <w:basedOn w:val="DefaultParagraphFont"/>
    <w:semiHidden/>
  </w:style>
  <w:style w:type="paragraph" w:styleId="Footer">
    <w:name w:val="footer"/>
    <w:basedOn w:val="Normal"/>
    <w:link w:val="FooterChar"/>
    <w:uiPriority w:val="99"/>
    <w:pPr>
      <w:tabs>
        <w:tab w:val="center" w:pos="4320"/>
        <w:tab w:val="right" w:pos="8640"/>
      </w:tabs>
      <w:spacing w:after="240"/>
    </w:pPr>
    <w:rPr>
      <w:szCs w:val="20"/>
    </w:rPr>
  </w:style>
  <w:style w:type="character" w:styleId="CommentReference">
    <w:name w:val="annotation reference"/>
    <w:uiPriority w:val="99"/>
    <w:semiHidden/>
    <w:unhideWhenUsed/>
    <w:rsid w:val="00150083"/>
    <w:rPr>
      <w:sz w:val="16"/>
      <w:szCs w:val="16"/>
    </w:rPr>
  </w:style>
  <w:style w:type="paragraph" w:styleId="CommentText">
    <w:name w:val="annotation text"/>
    <w:basedOn w:val="Normal"/>
    <w:link w:val="CommentTextChar"/>
    <w:uiPriority w:val="99"/>
    <w:semiHidden/>
    <w:unhideWhenUsed/>
    <w:rsid w:val="00150083"/>
    <w:rPr>
      <w:sz w:val="20"/>
      <w:szCs w:val="20"/>
    </w:rPr>
  </w:style>
  <w:style w:type="character" w:customStyle="1" w:styleId="CommentTextChar">
    <w:name w:val="Comment Text Char"/>
    <w:basedOn w:val="DefaultParagraphFont"/>
    <w:link w:val="CommentText"/>
    <w:uiPriority w:val="99"/>
    <w:semiHidden/>
    <w:rsid w:val="00150083"/>
  </w:style>
  <w:style w:type="paragraph" w:styleId="CommentSubject">
    <w:name w:val="annotation subject"/>
    <w:basedOn w:val="CommentText"/>
    <w:next w:val="CommentText"/>
    <w:link w:val="CommentSubjectChar"/>
    <w:uiPriority w:val="99"/>
    <w:semiHidden/>
    <w:unhideWhenUsed/>
    <w:rsid w:val="00150083"/>
    <w:rPr>
      <w:b/>
      <w:bCs/>
    </w:rPr>
  </w:style>
  <w:style w:type="character" w:customStyle="1" w:styleId="CommentSubjectChar">
    <w:name w:val="Comment Subject Char"/>
    <w:link w:val="CommentSubject"/>
    <w:uiPriority w:val="99"/>
    <w:semiHidden/>
    <w:rsid w:val="00150083"/>
    <w:rPr>
      <w:b/>
      <w:bCs/>
    </w:rPr>
  </w:style>
  <w:style w:type="paragraph" w:styleId="BalloonText">
    <w:name w:val="Balloon Text"/>
    <w:basedOn w:val="Normal"/>
    <w:link w:val="BalloonTextChar"/>
    <w:uiPriority w:val="99"/>
    <w:semiHidden/>
    <w:unhideWhenUsed/>
    <w:rsid w:val="00150083"/>
    <w:rPr>
      <w:rFonts w:ascii="Tahoma" w:hAnsi="Tahoma" w:cs="Tahoma"/>
      <w:sz w:val="16"/>
      <w:szCs w:val="16"/>
    </w:rPr>
  </w:style>
  <w:style w:type="character" w:customStyle="1" w:styleId="BalloonTextChar">
    <w:name w:val="Balloon Text Char"/>
    <w:link w:val="BalloonText"/>
    <w:uiPriority w:val="99"/>
    <w:semiHidden/>
    <w:rsid w:val="00150083"/>
    <w:rPr>
      <w:rFonts w:ascii="Tahoma" w:hAnsi="Tahoma" w:cs="Tahoma"/>
      <w:sz w:val="16"/>
      <w:szCs w:val="16"/>
    </w:rPr>
  </w:style>
  <w:style w:type="character" w:styleId="Hyperlink">
    <w:name w:val="Hyperlink"/>
    <w:rsid w:val="004959AC"/>
    <w:rPr>
      <w:color w:val="0000FF"/>
      <w:u w:val="single"/>
    </w:rPr>
  </w:style>
  <w:style w:type="character" w:styleId="FollowedHyperlink">
    <w:name w:val="FollowedHyperlink"/>
    <w:uiPriority w:val="99"/>
    <w:semiHidden/>
    <w:unhideWhenUsed/>
    <w:rsid w:val="005B095E"/>
    <w:rPr>
      <w:color w:val="800080"/>
      <w:u w:val="single"/>
    </w:rPr>
  </w:style>
  <w:style w:type="paragraph" w:styleId="Header">
    <w:name w:val="header"/>
    <w:basedOn w:val="Normal"/>
    <w:link w:val="HeaderChar"/>
    <w:uiPriority w:val="99"/>
    <w:unhideWhenUsed/>
    <w:rsid w:val="00731CBD"/>
    <w:pPr>
      <w:tabs>
        <w:tab w:val="center" w:pos="4680"/>
        <w:tab w:val="right" w:pos="9360"/>
      </w:tabs>
    </w:pPr>
  </w:style>
  <w:style w:type="character" w:customStyle="1" w:styleId="HeaderChar">
    <w:name w:val="Header Char"/>
    <w:basedOn w:val="DefaultParagraphFont"/>
    <w:link w:val="Header"/>
    <w:uiPriority w:val="99"/>
    <w:rsid w:val="00731CBD"/>
    <w:rPr>
      <w:sz w:val="24"/>
      <w:szCs w:val="24"/>
    </w:rPr>
  </w:style>
  <w:style w:type="character" w:customStyle="1" w:styleId="FooterChar">
    <w:name w:val="Footer Char"/>
    <w:basedOn w:val="DefaultParagraphFont"/>
    <w:link w:val="Footer"/>
    <w:uiPriority w:val="99"/>
    <w:rsid w:val="00731CBD"/>
    <w:rPr>
      <w:sz w:val="24"/>
    </w:rPr>
  </w:style>
  <w:style w:type="paragraph" w:styleId="ListParagraph">
    <w:name w:val="List Paragraph"/>
    <w:basedOn w:val="Normal"/>
    <w:uiPriority w:val="34"/>
    <w:qFormat/>
    <w:rsid w:val="00731C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9696">
      <w:bodyDiv w:val="1"/>
      <w:marLeft w:val="0"/>
      <w:marRight w:val="0"/>
      <w:marTop w:val="0"/>
      <w:marBottom w:val="0"/>
      <w:divBdr>
        <w:top w:val="none" w:sz="0" w:space="0" w:color="auto"/>
        <w:left w:val="none" w:sz="0" w:space="0" w:color="auto"/>
        <w:bottom w:val="none" w:sz="0" w:space="0" w:color="auto"/>
        <w:right w:val="none" w:sz="0" w:space="0" w:color="auto"/>
      </w:divBdr>
    </w:div>
    <w:div w:id="335033456">
      <w:bodyDiv w:val="1"/>
      <w:marLeft w:val="0"/>
      <w:marRight w:val="0"/>
      <w:marTop w:val="0"/>
      <w:marBottom w:val="0"/>
      <w:divBdr>
        <w:top w:val="none" w:sz="0" w:space="0" w:color="auto"/>
        <w:left w:val="none" w:sz="0" w:space="0" w:color="auto"/>
        <w:bottom w:val="none" w:sz="0" w:space="0" w:color="auto"/>
        <w:right w:val="none" w:sz="0" w:space="0" w:color="auto"/>
      </w:divBdr>
    </w:div>
    <w:div w:id="552423348">
      <w:bodyDiv w:val="1"/>
      <w:marLeft w:val="0"/>
      <w:marRight w:val="0"/>
      <w:marTop w:val="0"/>
      <w:marBottom w:val="0"/>
      <w:divBdr>
        <w:top w:val="none" w:sz="0" w:space="0" w:color="auto"/>
        <w:left w:val="none" w:sz="0" w:space="0" w:color="auto"/>
        <w:bottom w:val="none" w:sz="0" w:space="0" w:color="auto"/>
        <w:right w:val="none" w:sz="0" w:space="0" w:color="auto"/>
      </w:divBdr>
    </w:div>
    <w:div w:id="598568612">
      <w:bodyDiv w:val="1"/>
      <w:marLeft w:val="0"/>
      <w:marRight w:val="0"/>
      <w:marTop w:val="0"/>
      <w:marBottom w:val="0"/>
      <w:divBdr>
        <w:top w:val="none" w:sz="0" w:space="0" w:color="auto"/>
        <w:left w:val="none" w:sz="0" w:space="0" w:color="auto"/>
        <w:bottom w:val="none" w:sz="0" w:space="0" w:color="auto"/>
        <w:right w:val="none" w:sz="0" w:space="0" w:color="auto"/>
      </w:divBdr>
    </w:div>
    <w:div w:id="643312050">
      <w:bodyDiv w:val="1"/>
      <w:marLeft w:val="0"/>
      <w:marRight w:val="0"/>
      <w:marTop w:val="0"/>
      <w:marBottom w:val="0"/>
      <w:divBdr>
        <w:top w:val="none" w:sz="0" w:space="0" w:color="auto"/>
        <w:left w:val="none" w:sz="0" w:space="0" w:color="auto"/>
        <w:bottom w:val="none" w:sz="0" w:space="0" w:color="auto"/>
        <w:right w:val="none" w:sz="0" w:space="0" w:color="auto"/>
      </w:divBdr>
    </w:div>
    <w:div w:id="915213548">
      <w:bodyDiv w:val="1"/>
      <w:marLeft w:val="0"/>
      <w:marRight w:val="0"/>
      <w:marTop w:val="0"/>
      <w:marBottom w:val="0"/>
      <w:divBdr>
        <w:top w:val="none" w:sz="0" w:space="0" w:color="auto"/>
        <w:left w:val="none" w:sz="0" w:space="0" w:color="auto"/>
        <w:bottom w:val="none" w:sz="0" w:space="0" w:color="auto"/>
        <w:right w:val="none" w:sz="0" w:space="0" w:color="auto"/>
      </w:divBdr>
    </w:div>
    <w:div w:id="1064990666">
      <w:bodyDiv w:val="1"/>
      <w:marLeft w:val="0"/>
      <w:marRight w:val="0"/>
      <w:marTop w:val="0"/>
      <w:marBottom w:val="0"/>
      <w:divBdr>
        <w:top w:val="none" w:sz="0" w:space="0" w:color="auto"/>
        <w:left w:val="none" w:sz="0" w:space="0" w:color="auto"/>
        <w:bottom w:val="none" w:sz="0" w:space="0" w:color="auto"/>
        <w:right w:val="none" w:sz="0" w:space="0" w:color="auto"/>
      </w:divBdr>
    </w:div>
    <w:div w:id="1203205240">
      <w:bodyDiv w:val="1"/>
      <w:marLeft w:val="0"/>
      <w:marRight w:val="0"/>
      <w:marTop w:val="0"/>
      <w:marBottom w:val="0"/>
      <w:divBdr>
        <w:top w:val="none" w:sz="0" w:space="0" w:color="auto"/>
        <w:left w:val="none" w:sz="0" w:space="0" w:color="auto"/>
        <w:bottom w:val="none" w:sz="0" w:space="0" w:color="auto"/>
        <w:right w:val="none" w:sz="0" w:space="0" w:color="auto"/>
      </w:divBdr>
    </w:div>
    <w:div w:id="1630746637">
      <w:bodyDiv w:val="1"/>
      <w:marLeft w:val="0"/>
      <w:marRight w:val="0"/>
      <w:marTop w:val="0"/>
      <w:marBottom w:val="0"/>
      <w:divBdr>
        <w:top w:val="none" w:sz="0" w:space="0" w:color="auto"/>
        <w:left w:val="none" w:sz="0" w:space="0" w:color="auto"/>
        <w:bottom w:val="none" w:sz="0" w:space="0" w:color="auto"/>
        <w:right w:val="none" w:sz="0" w:space="0" w:color="auto"/>
      </w:divBdr>
    </w:div>
    <w:div w:id="1701782499">
      <w:bodyDiv w:val="1"/>
      <w:marLeft w:val="0"/>
      <w:marRight w:val="0"/>
      <w:marTop w:val="0"/>
      <w:marBottom w:val="0"/>
      <w:divBdr>
        <w:top w:val="none" w:sz="0" w:space="0" w:color="auto"/>
        <w:left w:val="none" w:sz="0" w:space="0" w:color="auto"/>
        <w:bottom w:val="none" w:sz="0" w:space="0" w:color="auto"/>
        <w:right w:val="none" w:sz="0" w:space="0" w:color="auto"/>
      </w:divBdr>
    </w:div>
    <w:div w:id="1725176270">
      <w:bodyDiv w:val="1"/>
      <w:marLeft w:val="0"/>
      <w:marRight w:val="0"/>
      <w:marTop w:val="0"/>
      <w:marBottom w:val="0"/>
      <w:divBdr>
        <w:top w:val="none" w:sz="0" w:space="0" w:color="auto"/>
        <w:left w:val="none" w:sz="0" w:space="0" w:color="auto"/>
        <w:bottom w:val="none" w:sz="0" w:space="0" w:color="auto"/>
        <w:right w:val="none" w:sz="0" w:space="0" w:color="auto"/>
      </w:divBdr>
    </w:div>
    <w:div w:id="1730880135">
      <w:bodyDiv w:val="1"/>
      <w:marLeft w:val="0"/>
      <w:marRight w:val="0"/>
      <w:marTop w:val="0"/>
      <w:marBottom w:val="0"/>
      <w:divBdr>
        <w:top w:val="none" w:sz="0" w:space="0" w:color="auto"/>
        <w:left w:val="none" w:sz="0" w:space="0" w:color="auto"/>
        <w:bottom w:val="none" w:sz="0" w:space="0" w:color="auto"/>
        <w:right w:val="none" w:sz="0" w:space="0" w:color="auto"/>
      </w:divBdr>
    </w:div>
    <w:div w:id="1822886971">
      <w:bodyDiv w:val="1"/>
      <w:marLeft w:val="0"/>
      <w:marRight w:val="0"/>
      <w:marTop w:val="0"/>
      <w:marBottom w:val="0"/>
      <w:divBdr>
        <w:top w:val="none" w:sz="0" w:space="0" w:color="auto"/>
        <w:left w:val="none" w:sz="0" w:space="0" w:color="auto"/>
        <w:bottom w:val="none" w:sz="0" w:space="0" w:color="auto"/>
        <w:right w:val="none" w:sz="0" w:space="0" w:color="auto"/>
      </w:divBdr>
    </w:div>
    <w:div w:id="187750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A445B-474C-4443-B3D0-C7155FFE00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197BCDB-48C0-40A9-BFF3-D99074880F9C}">
  <ds:schemaRefs>
    <ds:schemaRef ds:uri="http://schemas.microsoft.com/sharepoint/v3/contenttype/forms"/>
  </ds:schemaRefs>
</ds:datastoreItem>
</file>

<file path=customXml/itemProps3.xml><?xml version="1.0" encoding="utf-8"?>
<ds:datastoreItem xmlns:ds="http://schemas.openxmlformats.org/officeDocument/2006/customXml" ds:itemID="{020EFB10-87A8-4178-AB78-9D97C1010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F57F892-80E2-46E0-AB80-DF45A543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3148</Words>
  <Characters>17948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FOR NEW AND</vt:lpstr>
    </vt:vector>
  </TitlesOfParts>
  <Company>CFTC</Company>
  <LinksUpToDate>false</LinksUpToDate>
  <CharactersWithSpaces>21054</CharactersWithSpaces>
  <SharedDoc>false</SharedDoc>
  <HLinks>
    <vt:vector size="6" baseType="variant">
      <vt:variant>
        <vt:i4>4653106</vt:i4>
      </vt:variant>
      <vt:variant>
        <vt:i4>0</vt:i4>
      </vt:variant>
      <vt:variant>
        <vt:i4>0</vt:i4>
      </vt:variant>
      <vt:variant>
        <vt:i4>5</vt:i4>
      </vt:variant>
      <vt:variant>
        <vt:lpwstr>https://www.bls.gov/oes/current/oes_nat.htm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dc:title>
  <dc:creator>OIRM</dc:creator>
  <cp:lastModifiedBy>SYSTEM</cp:lastModifiedBy>
  <cp:revision>2</cp:revision>
  <cp:lastPrinted>2004-08-31T17:51:00Z</cp:lastPrinted>
  <dcterms:created xsi:type="dcterms:W3CDTF">2019-06-27T20:53:00Z</dcterms:created>
  <dcterms:modified xsi:type="dcterms:W3CDTF">2019-06-27T20:53:00Z</dcterms:modified>
</cp:coreProperties>
</file>