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DD655" w14:textId="77777777" w:rsidR="00F06B32" w:rsidRDefault="00F06B32">
      <w:pPr>
        <w:suppressAutoHyphens/>
        <w:jc w:val="center"/>
      </w:pPr>
      <w:bookmarkStart w:id="0" w:name="_GoBack"/>
      <w:bookmarkEnd w:id="0"/>
    </w:p>
    <w:p w14:paraId="12C470E5" w14:textId="77777777" w:rsidR="00F06B32" w:rsidRDefault="00F06B32">
      <w:pPr>
        <w:suppressAutoHyphens/>
        <w:jc w:val="center"/>
        <w:rPr>
          <w:rFonts w:ascii="Times New Roman" w:hAnsi="Times New Roman"/>
          <w:b/>
        </w:rPr>
      </w:pPr>
    </w:p>
    <w:p w14:paraId="152BB7E4" w14:textId="77777777" w:rsidR="008377C4" w:rsidRDefault="008377C4">
      <w:pPr>
        <w:suppressAutoHyphens/>
        <w:jc w:val="center"/>
        <w:rPr>
          <w:rFonts w:ascii="Times New Roman" w:hAnsi="Times New Roman"/>
          <w:b/>
        </w:rPr>
      </w:pPr>
      <w:r>
        <w:rPr>
          <w:rFonts w:ascii="Times New Roman" w:hAnsi="Times New Roman"/>
          <w:b/>
        </w:rPr>
        <w:t>SUPPORTING STATEMENT FOR NEW AND</w:t>
      </w:r>
    </w:p>
    <w:p w14:paraId="493A703B" w14:textId="77777777" w:rsidR="008377C4" w:rsidRDefault="008377C4">
      <w:pPr>
        <w:suppressAutoHyphens/>
        <w:spacing w:after="240"/>
        <w:jc w:val="center"/>
        <w:rPr>
          <w:rFonts w:ascii="Times New Roman" w:hAnsi="Times New Roman"/>
          <w:b/>
        </w:rPr>
      </w:pPr>
      <w:r>
        <w:rPr>
          <w:rFonts w:ascii="Times New Roman" w:hAnsi="Times New Roman"/>
          <w:b/>
        </w:rPr>
        <w:t>REVISED INFORMATION COLLECTIONS</w:t>
      </w:r>
    </w:p>
    <w:p w14:paraId="61F06F6F" w14:textId="77777777" w:rsidR="008377C4" w:rsidRDefault="008377C4">
      <w:pPr>
        <w:tabs>
          <w:tab w:val="center" w:pos="4680"/>
        </w:tabs>
        <w:suppressAutoHyphens/>
        <w:spacing w:after="240"/>
        <w:jc w:val="center"/>
        <w:rPr>
          <w:rFonts w:ascii="Times New Roman" w:hAnsi="Times New Roman"/>
          <w:b/>
        </w:rPr>
      </w:pPr>
      <w:r>
        <w:rPr>
          <w:rFonts w:ascii="Times New Roman" w:hAnsi="Times New Roman"/>
          <w:b/>
        </w:rPr>
        <w:t>OMB CONTROL NUMBER</w:t>
      </w:r>
      <w:r w:rsidR="00F27D9F">
        <w:rPr>
          <w:rFonts w:ascii="Times New Roman" w:hAnsi="Times New Roman"/>
          <w:b/>
        </w:rPr>
        <w:t>S</w:t>
      </w:r>
      <w:r>
        <w:rPr>
          <w:rFonts w:ascii="Times New Roman" w:hAnsi="Times New Roman"/>
          <w:b/>
        </w:rPr>
        <w:t xml:space="preserve"> </w:t>
      </w:r>
      <w:r w:rsidR="00F27D9F">
        <w:rPr>
          <w:rFonts w:ascii="Times New Roman" w:hAnsi="Times New Roman"/>
          <w:b/>
        </w:rPr>
        <w:t>3038-0023 AND 3038-0072</w:t>
      </w:r>
      <w:r w:rsidR="005C0B8C">
        <w:rPr>
          <w:rFonts w:ascii="Times New Roman" w:hAnsi="Times New Roman"/>
          <w:b/>
        </w:rPr>
        <w:t xml:space="preserve"> </w:t>
      </w:r>
    </w:p>
    <w:p w14:paraId="5FEFD3A8" w14:textId="77777777" w:rsidR="008377C4" w:rsidRDefault="008377C4">
      <w:pPr>
        <w:pStyle w:val="Heading1"/>
        <w:keepNext w:val="0"/>
        <w:rPr>
          <w:rFonts w:ascii="Times New Roman" w:hAnsi="Times New Roman"/>
          <w:szCs w:val="24"/>
        </w:rPr>
      </w:pPr>
      <w:r>
        <w:rPr>
          <w:rFonts w:ascii="Times New Roman" w:hAnsi="Times New Roman"/>
          <w:szCs w:val="24"/>
        </w:rPr>
        <w:t>Justification</w:t>
      </w:r>
    </w:p>
    <w:p w14:paraId="0E97C82C" w14:textId="77777777" w:rsidR="008377C4" w:rsidRDefault="008377C4">
      <w:pPr>
        <w:jc w:val="both"/>
      </w:pPr>
    </w:p>
    <w:p w14:paraId="6FE7084A" w14:textId="77777777" w:rsidR="008377C4" w:rsidRDefault="008377C4">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D35E397" w14:textId="77777777" w:rsidR="008377C4" w:rsidRDefault="008377C4">
      <w:pPr>
        <w:pStyle w:val="Default"/>
        <w:jc w:val="both"/>
        <w:rPr>
          <w:rFonts w:ascii="Times New Roman" w:hAnsi="Times New Roman" w:cs="Times New Roman"/>
        </w:rPr>
      </w:pPr>
    </w:p>
    <w:p w14:paraId="6768D020" w14:textId="77777777" w:rsidR="00D72B9C" w:rsidRPr="00D72B9C" w:rsidRDefault="00A743DF" w:rsidP="00AE73CD">
      <w:pPr>
        <w:pStyle w:val="Default"/>
        <w:ind w:firstLine="720"/>
        <w:jc w:val="both"/>
        <w:rPr>
          <w:rFonts w:ascii="Times New Roman" w:eastAsia="Calibri" w:hAnsi="Times New Roman" w:cs="Times New Roman"/>
          <w:color w:val="auto"/>
          <w:szCs w:val="22"/>
        </w:rPr>
      </w:pPr>
      <w:r>
        <w:rPr>
          <w:rFonts w:ascii="Times New Roman" w:hAnsi="Times New Roman" w:cs="Times New Roman"/>
        </w:rPr>
        <w:t>On March 11, 2019, t</w:t>
      </w:r>
      <w:r w:rsidR="00B537E7" w:rsidRPr="00B537E7">
        <w:rPr>
          <w:rFonts w:ascii="Times New Roman" w:hAnsi="Times New Roman" w:cs="Times New Roman"/>
        </w:rPr>
        <w:t xml:space="preserve">he Commodity </w:t>
      </w:r>
      <w:r w:rsidR="00AF2AA8">
        <w:rPr>
          <w:rFonts w:ascii="Times New Roman" w:hAnsi="Times New Roman" w:cs="Times New Roman"/>
        </w:rPr>
        <w:t>Futures Trading Commission (</w:t>
      </w:r>
      <w:r w:rsidR="00B537E7" w:rsidRPr="00B537E7">
        <w:rPr>
          <w:rFonts w:ascii="Times New Roman" w:hAnsi="Times New Roman" w:cs="Times New Roman"/>
        </w:rPr>
        <w:t>“Co</w:t>
      </w:r>
      <w:r w:rsidR="00D26794">
        <w:rPr>
          <w:rFonts w:ascii="Times New Roman" w:hAnsi="Times New Roman" w:cs="Times New Roman"/>
        </w:rPr>
        <w:t>mmission” or “CFTC”)</w:t>
      </w:r>
      <w:r w:rsidR="00C517F8">
        <w:rPr>
          <w:rFonts w:ascii="Times New Roman" w:hAnsi="Times New Roman" w:cs="Times New Roman"/>
        </w:rPr>
        <w:t xml:space="preserve"> amended </w:t>
      </w:r>
      <w:r w:rsidR="00B537E7" w:rsidRPr="00B537E7">
        <w:rPr>
          <w:rFonts w:ascii="Times New Roman" w:hAnsi="Times New Roman" w:cs="Times New Roman"/>
        </w:rPr>
        <w:t>Form</w:t>
      </w:r>
      <w:r w:rsidR="00D9315A">
        <w:rPr>
          <w:rFonts w:ascii="Times New Roman" w:hAnsi="Times New Roman" w:cs="Times New Roman"/>
        </w:rPr>
        <w:t xml:space="preserve"> </w:t>
      </w:r>
      <w:r w:rsidR="007932E0">
        <w:rPr>
          <w:rFonts w:ascii="Times New Roman" w:hAnsi="Times New Roman" w:cs="Times New Roman"/>
        </w:rPr>
        <w:t>7</w:t>
      </w:r>
      <w:r w:rsidR="00D9315A">
        <w:rPr>
          <w:rFonts w:ascii="Times New Roman" w:hAnsi="Times New Roman" w:cs="Times New Roman"/>
        </w:rPr>
        <w:t>-R.</w:t>
      </w:r>
      <w:r>
        <w:rPr>
          <w:rStyle w:val="FootnoteReference"/>
          <w:rFonts w:ascii="Times New Roman" w:hAnsi="Times New Roman"/>
        </w:rPr>
        <w:footnoteReference w:id="2"/>
      </w:r>
      <w:r w:rsidR="00D9315A">
        <w:rPr>
          <w:rFonts w:ascii="Times New Roman" w:hAnsi="Times New Roman" w:cs="Times New Roman"/>
        </w:rPr>
        <w:t xml:space="preserve">  </w:t>
      </w:r>
      <w:r w:rsidR="007D4A2C">
        <w:rPr>
          <w:rFonts w:ascii="Times New Roman" w:hAnsi="Times New Roman" w:cs="Times New Roman"/>
        </w:rPr>
        <w:t xml:space="preserve">Form </w:t>
      </w:r>
      <w:r w:rsidR="007932E0">
        <w:rPr>
          <w:rFonts w:ascii="Times New Roman" w:hAnsi="Times New Roman" w:cs="Times New Roman"/>
        </w:rPr>
        <w:t>7</w:t>
      </w:r>
      <w:r w:rsidR="00D9315A">
        <w:rPr>
          <w:rFonts w:ascii="Times New Roman" w:hAnsi="Times New Roman" w:cs="Times New Roman"/>
        </w:rPr>
        <w:t>-R</w:t>
      </w:r>
      <w:r w:rsidR="00B537E7" w:rsidRPr="00B537E7">
        <w:rPr>
          <w:rFonts w:ascii="Times New Roman" w:hAnsi="Times New Roman" w:cs="Times New Roman"/>
        </w:rPr>
        <w:t xml:space="preserve"> </w:t>
      </w:r>
      <w:r w:rsidR="007D4A2C">
        <w:rPr>
          <w:rFonts w:ascii="Times New Roman" w:hAnsi="Times New Roman" w:cs="Times New Roman"/>
        </w:rPr>
        <w:t xml:space="preserve">is </w:t>
      </w:r>
      <w:r w:rsidR="00B537E7" w:rsidRPr="00B537E7">
        <w:rPr>
          <w:rFonts w:ascii="Times New Roman" w:hAnsi="Times New Roman" w:cs="Times New Roman"/>
        </w:rPr>
        <w:t xml:space="preserve">the application form that </w:t>
      </w:r>
      <w:r w:rsidR="00481BF7">
        <w:rPr>
          <w:rFonts w:ascii="Times New Roman" w:hAnsi="Times New Roman" w:cs="Times New Roman"/>
        </w:rPr>
        <w:t>entities</w:t>
      </w:r>
      <w:r w:rsidR="00481BF7" w:rsidRPr="00B537E7">
        <w:rPr>
          <w:rFonts w:ascii="Times New Roman" w:hAnsi="Times New Roman" w:cs="Times New Roman"/>
        </w:rPr>
        <w:t xml:space="preserve"> </w:t>
      </w:r>
      <w:r w:rsidR="00B537E7" w:rsidRPr="00B537E7">
        <w:rPr>
          <w:rFonts w:ascii="Times New Roman" w:hAnsi="Times New Roman" w:cs="Times New Roman"/>
        </w:rPr>
        <w:t xml:space="preserve">must use to register with the Commission as </w:t>
      </w:r>
      <w:r w:rsidR="007932E0" w:rsidRPr="007932E0">
        <w:rPr>
          <w:rFonts w:ascii="Times New Roman" w:hAnsi="Times New Roman" w:cs="Times New Roman"/>
        </w:rPr>
        <w:t xml:space="preserve">a futures commission merchant, retail foreign exchange dealer, introducing broker, commodity trading advisor, commodity pool operator, leverage transaction merchant, swap dealer, major swap participant, or floor </w:t>
      </w:r>
      <w:r w:rsidR="00EE02B7">
        <w:rPr>
          <w:rFonts w:ascii="Times New Roman" w:hAnsi="Times New Roman" w:cs="Times New Roman"/>
        </w:rPr>
        <w:t>trader</w:t>
      </w:r>
      <w:r w:rsidR="00EE02B7" w:rsidRPr="007932E0">
        <w:rPr>
          <w:rFonts w:ascii="Times New Roman" w:hAnsi="Times New Roman" w:cs="Times New Roman"/>
        </w:rPr>
        <w:t xml:space="preserve"> </w:t>
      </w:r>
      <w:r w:rsidR="007932E0" w:rsidRPr="007932E0">
        <w:rPr>
          <w:rFonts w:ascii="Times New Roman" w:hAnsi="Times New Roman" w:cs="Times New Roman"/>
        </w:rPr>
        <w:t xml:space="preserve">firm </w:t>
      </w:r>
      <w:r w:rsidR="00B537E7" w:rsidRPr="00B537E7">
        <w:rPr>
          <w:rFonts w:ascii="Times New Roman" w:hAnsi="Times New Roman" w:cs="Times New Roman"/>
        </w:rPr>
        <w:t>(collectively, “applicants”).</w:t>
      </w:r>
      <w:r w:rsidR="00FD51E0">
        <w:rPr>
          <w:rFonts w:ascii="Times New Roman" w:hAnsi="Times New Roman" w:cs="Times New Roman"/>
        </w:rPr>
        <w:t xml:space="preserve">  </w:t>
      </w:r>
      <w:r w:rsidR="00FD51E0" w:rsidRPr="00FD51E0">
        <w:rPr>
          <w:rFonts w:ascii="Times New Roman" w:hAnsi="Times New Roman" w:cs="Times New Roman"/>
        </w:rPr>
        <w:t>17 CFR 3.10(a)(</w:t>
      </w:r>
      <w:r w:rsidR="00611806">
        <w:rPr>
          <w:rFonts w:ascii="Times New Roman" w:hAnsi="Times New Roman" w:cs="Times New Roman"/>
        </w:rPr>
        <w:t>1</w:t>
      </w:r>
      <w:r w:rsidR="00FD51E0" w:rsidRPr="00FD51E0">
        <w:rPr>
          <w:rFonts w:ascii="Times New Roman" w:hAnsi="Times New Roman" w:cs="Times New Roman"/>
        </w:rPr>
        <w:t>)</w:t>
      </w:r>
      <w:r w:rsidR="00937335">
        <w:rPr>
          <w:rFonts w:ascii="Times New Roman" w:hAnsi="Times New Roman" w:cs="Times New Roman"/>
        </w:rPr>
        <w:t>, 3.11(a)</w:t>
      </w:r>
      <w:r w:rsidR="00FD51E0" w:rsidRPr="00FD51E0">
        <w:rPr>
          <w:rFonts w:ascii="Times New Roman" w:hAnsi="Times New Roman" w:cs="Times New Roman"/>
        </w:rPr>
        <w:t>.</w:t>
      </w:r>
      <w:r w:rsidR="00FD51E0">
        <w:rPr>
          <w:rFonts w:ascii="Times New Roman" w:hAnsi="Times New Roman" w:cs="Times New Roman"/>
        </w:rPr>
        <w:t xml:space="preserve">  </w:t>
      </w:r>
      <w:r w:rsidR="006021CF">
        <w:rPr>
          <w:rFonts w:ascii="Times New Roman" w:hAnsi="Times New Roman" w:cs="Times New Roman"/>
        </w:rPr>
        <w:t>A</w:t>
      </w:r>
      <w:r w:rsidR="006021CF" w:rsidRPr="00FD51E0">
        <w:rPr>
          <w:rFonts w:ascii="Times New Roman" w:hAnsi="Times New Roman" w:cs="Times New Roman"/>
        </w:rPr>
        <w:t xml:space="preserve">pplicants </w:t>
      </w:r>
      <w:r w:rsidR="00FD51E0" w:rsidRPr="00FD51E0">
        <w:rPr>
          <w:rFonts w:ascii="Times New Roman" w:hAnsi="Times New Roman" w:cs="Times New Roman"/>
        </w:rPr>
        <w:t xml:space="preserve">have been required to use Form </w:t>
      </w:r>
      <w:r w:rsidR="006021CF">
        <w:rPr>
          <w:rFonts w:ascii="Times New Roman" w:hAnsi="Times New Roman" w:cs="Times New Roman"/>
        </w:rPr>
        <w:t>7</w:t>
      </w:r>
      <w:r w:rsidR="00FD51E0" w:rsidRPr="00FD51E0">
        <w:rPr>
          <w:rFonts w:ascii="Times New Roman" w:hAnsi="Times New Roman" w:cs="Times New Roman"/>
        </w:rPr>
        <w:t>-R since 1977.</w:t>
      </w:r>
      <w:r w:rsidR="00FD51E0">
        <w:rPr>
          <w:rFonts w:ascii="Times New Roman" w:hAnsi="Times New Roman" w:cs="Times New Roman"/>
        </w:rPr>
        <w:t xml:space="preserve">  </w:t>
      </w:r>
      <w:r w:rsidR="00FD51E0" w:rsidRPr="00FD51E0">
        <w:rPr>
          <w:rFonts w:ascii="Times New Roman" w:hAnsi="Times New Roman" w:cs="Times New Roman"/>
          <w:i/>
        </w:rPr>
        <w:t>Revision of Registration Forms and Amendment of Related Rules</w:t>
      </w:r>
      <w:r w:rsidR="00FD51E0" w:rsidRPr="00FD51E0">
        <w:rPr>
          <w:rFonts w:ascii="Times New Roman" w:hAnsi="Times New Roman" w:cs="Times New Roman"/>
        </w:rPr>
        <w:t xml:space="preserve">, 42 FR 23988 (May 11, 1977) (Form </w:t>
      </w:r>
      <w:r w:rsidR="002322EC">
        <w:rPr>
          <w:rFonts w:ascii="Times New Roman" w:hAnsi="Times New Roman" w:cs="Times New Roman"/>
        </w:rPr>
        <w:t>7</w:t>
      </w:r>
      <w:r w:rsidR="00FD51E0" w:rsidRPr="00FD51E0">
        <w:rPr>
          <w:rFonts w:ascii="Times New Roman" w:hAnsi="Times New Roman" w:cs="Times New Roman"/>
        </w:rPr>
        <w:t xml:space="preserve">-R replaced Forms </w:t>
      </w:r>
      <w:r w:rsidR="006021CF">
        <w:rPr>
          <w:rFonts w:ascii="Times New Roman" w:hAnsi="Times New Roman" w:cs="Times New Roman"/>
        </w:rPr>
        <w:t>1</w:t>
      </w:r>
      <w:r w:rsidR="00FD51E0" w:rsidRPr="00FD51E0">
        <w:rPr>
          <w:rFonts w:ascii="Times New Roman" w:hAnsi="Times New Roman" w:cs="Times New Roman"/>
        </w:rPr>
        <w:t xml:space="preserve">-R, </w:t>
      </w:r>
      <w:r w:rsidR="006021CF">
        <w:rPr>
          <w:rFonts w:ascii="Times New Roman" w:hAnsi="Times New Roman" w:cs="Times New Roman"/>
        </w:rPr>
        <w:t>5</w:t>
      </w:r>
      <w:r w:rsidR="00FD51E0" w:rsidRPr="00FD51E0">
        <w:rPr>
          <w:rFonts w:ascii="Times New Roman" w:hAnsi="Times New Roman" w:cs="Times New Roman"/>
        </w:rPr>
        <w:t xml:space="preserve">-R and </w:t>
      </w:r>
      <w:r w:rsidR="006021CF">
        <w:rPr>
          <w:rFonts w:ascii="Times New Roman" w:hAnsi="Times New Roman" w:cs="Times New Roman"/>
        </w:rPr>
        <w:t>6-R</w:t>
      </w:r>
      <w:r w:rsidR="00FD51E0" w:rsidRPr="00FD51E0">
        <w:rPr>
          <w:rFonts w:ascii="Times New Roman" w:hAnsi="Times New Roman" w:cs="Times New Roman"/>
        </w:rPr>
        <w:t>).</w:t>
      </w:r>
      <w:r w:rsidR="00B537E7" w:rsidRPr="00B537E7">
        <w:rPr>
          <w:rFonts w:ascii="Times New Roman" w:hAnsi="Times New Roman" w:cs="Times New Roman"/>
        </w:rPr>
        <w:t xml:space="preserve"> </w:t>
      </w:r>
      <w:r w:rsidR="003753E2">
        <w:rPr>
          <w:rFonts w:ascii="Times New Roman" w:hAnsi="Times New Roman" w:cs="Times New Roman"/>
        </w:rPr>
        <w:t xml:space="preserve"> </w:t>
      </w:r>
      <w:r w:rsidR="00B537E7" w:rsidRPr="00B537E7">
        <w:rPr>
          <w:rFonts w:ascii="Times New Roman" w:hAnsi="Times New Roman" w:cs="Times New Roman"/>
        </w:rPr>
        <w:t xml:space="preserve">Form </w:t>
      </w:r>
      <w:r w:rsidR="006021CF">
        <w:rPr>
          <w:rFonts w:ascii="Times New Roman" w:hAnsi="Times New Roman" w:cs="Times New Roman"/>
        </w:rPr>
        <w:t>7</w:t>
      </w:r>
      <w:r w:rsidR="00B537E7" w:rsidRPr="00B537E7">
        <w:rPr>
          <w:rFonts w:ascii="Times New Roman" w:hAnsi="Times New Roman" w:cs="Times New Roman"/>
        </w:rPr>
        <w:t>-R requests information a</w:t>
      </w:r>
      <w:r w:rsidR="00C517F8">
        <w:rPr>
          <w:rFonts w:ascii="Times New Roman" w:hAnsi="Times New Roman" w:cs="Times New Roman"/>
        </w:rPr>
        <w:t>bout the applicant that is</w:t>
      </w:r>
      <w:r w:rsidR="00B537E7" w:rsidRPr="00B537E7">
        <w:rPr>
          <w:rFonts w:ascii="Times New Roman" w:hAnsi="Times New Roman" w:cs="Times New Roman"/>
        </w:rPr>
        <w:t xml:space="preserve"> </w:t>
      </w:r>
      <w:r w:rsidR="00F008AD">
        <w:rPr>
          <w:rFonts w:ascii="Times New Roman" w:hAnsi="Times New Roman" w:cs="Times New Roman"/>
        </w:rPr>
        <w:t>necessary</w:t>
      </w:r>
      <w:r w:rsidR="00F008AD" w:rsidRPr="00B537E7">
        <w:rPr>
          <w:rFonts w:ascii="Times New Roman" w:hAnsi="Times New Roman" w:cs="Times New Roman"/>
        </w:rPr>
        <w:t xml:space="preserve"> </w:t>
      </w:r>
      <w:r w:rsidR="00B537E7" w:rsidRPr="00B537E7">
        <w:rPr>
          <w:rFonts w:ascii="Times New Roman" w:hAnsi="Times New Roman" w:cs="Times New Roman"/>
        </w:rPr>
        <w:t xml:space="preserve">to assess the applicant’s fitness to engage in business </w:t>
      </w:r>
      <w:r w:rsidR="00851E8B" w:rsidRPr="00851E8B">
        <w:rPr>
          <w:rFonts w:ascii="Times New Roman" w:hAnsi="Times New Roman" w:cs="Times New Roman"/>
        </w:rPr>
        <w:t>in the registration categories referenced above</w:t>
      </w:r>
      <w:r w:rsidR="00FD51E0">
        <w:rPr>
          <w:rFonts w:ascii="Times New Roman" w:hAnsi="Times New Roman" w:cs="Times New Roman"/>
        </w:rPr>
        <w:t>, subject to regulation and oversight by the Commission</w:t>
      </w:r>
      <w:r w:rsidR="00B537E7" w:rsidRPr="00B537E7">
        <w:rPr>
          <w:rFonts w:ascii="Times New Roman" w:hAnsi="Times New Roman" w:cs="Times New Roman"/>
        </w:rPr>
        <w:t>.</w:t>
      </w:r>
      <w:r w:rsidR="0041388A">
        <w:rPr>
          <w:rFonts w:ascii="Times New Roman" w:hAnsi="Times New Roman" w:cs="Times New Roman"/>
        </w:rPr>
        <w:t xml:space="preserve">  </w:t>
      </w:r>
      <w:r w:rsidR="0041388A" w:rsidRPr="0041388A">
        <w:rPr>
          <w:rFonts w:ascii="Times New Roman" w:hAnsi="Times New Roman" w:cs="Times New Roman"/>
        </w:rPr>
        <w:t xml:space="preserve">As indicated above, Form </w:t>
      </w:r>
      <w:r w:rsidR="006021CF">
        <w:rPr>
          <w:rFonts w:ascii="Times New Roman" w:hAnsi="Times New Roman" w:cs="Times New Roman"/>
        </w:rPr>
        <w:t>7</w:t>
      </w:r>
      <w:r w:rsidR="0041388A" w:rsidRPr="0041388A">
        <w:rPr>
          <w:rFonts w:ascii="Times New Roman" w:hAnsi="Times New Roman" w:cs="Times New Roman"/>
        </w:rPr>
        <w:t xml:space="preserve">-R is covered by two OMB control numbers.  OMB control number 3038-0023 applies to Form </w:t>
      </w:r>
      <w:r w:rsidR="00146FEB">
        <w:rPr>
          <w:rFonts w:ascii="Times New Roman" w:hAnsi="Times New Roman" w:cs="Times New Roman"/>
        </w:rPr>
        <w:t>7</w:t>
      </w:r>
      <w:r w:rsidR="0041388A" w:rsidRPr="0041388A">
        <w:rPr>
          <w:rFonts w:ascii="Times New Roman" w:hAnsi="Times New Roman" w:cs="Times New Roman"/>
        </w:rPr>
        <w:t>-R in connection with registering as a futures commission merchant, retail foreign exchange dealer, introducing broker, commodity trading advisor, commodity pool operator, floor trader firm or leverage transaction merchant</w:t>
      </w:r>
      <w:r w:rsidR="0041388A">
        <w:rPr>
          <w:rFonts w:ascii="Times New Roman" w:hAnsi="Times New Roman" w:cs="Times New Roman"/>
        </w:rPr>
        <w:t>.</w:t>
      </w:r>
      <w:r w:rsidR="0041388A">
        <w:rPr>
          <w:rStyle w:val="FootnoteReference"/>
          <w:rFonts w:ascii="Times New Roman" w:hAnsi="Times New Roman" w:cs="Times New Roman"/>
        </w:rPr>
        <w:footnoteReference w:id="3"/>
      </w:r>
      <w:r w:rsidR="0041388A">
        <w:rPr>
          <w:rFonts w:ascii="Times New Roman" w:hAnsi="Times New Roman" w:cs="Times New Roman"/>
        </w:rPr>
        <w:t xml:space="preserve">  </w:t>
      </w:r>
      <w:r w:rsidR="0041388A" w:rsidRPr="0041388A">
        <w:rPr>
          <w:rFonts w:ascii="Times New Roman" w:hAnsi="Times New Roman" w:cs="Times New Roman"/>
        </w:rPr>
        <w:t>OMB control number 3038-0072 applies to F</w:t>
      </w:r>
      <w:r w:rsidR="0041388A">
        <w:rPr>
          <w:rFonts w:ascii="Times New Roman" w:hAnsi="Times New Roman" w:cs="Times New Roman"/>
        </w:rPr>
        <w:t xml:space="preserve">orm </w:t>
      </w:r>
      <w:r w:rsidR="00146FEB">
        <w:rPr>
          <w:rFonts w:ascii="Times New Roman" w:hAnsi="Times New Roman" w:cs="Times New Roman"/>
        </w:rPr>
        <w:t>7</w:t>
      </w:r>
      <w:r w:rsidR="0041388A">
        <w:rPr>
          <w:rFonts w:ascii="Times New Roman" w:hAnsi="Times New Roman" w:cs="Times New Roman"/>
        </w:rPr>
        <w:t xml:space="preserve">-R in connection with applying </w:t>
      </w:r>
      <w:r w:rsidR="00146FEB">
        <w:rPr>
          <w:rFonts w:ascii="Times New Roman" w:hAnsi="Times New Roman" w:cs="Times New Roman"/>
        </w:rPr>
        <w:t>for registration as</w:t>
      </w:r>
      <w:r w:rsidR="0041388A" w:rsidRPr="0041388A">
        <w:rPr>
          <w:rFonts w:ascii="Times New Roman" w:hAnsi="Times New Roman" w:cs="Times New Roman"/>
        </w:rPr>
        <w:t xml:space="preserve"> a swap dealer or major swap participant</w:t>
      </w:r>
      <w:r w:rsidR="0041388A">
        <w:rPr>
          <w:rFonts w:ascii="Times New Roman" w:hAnsi="Times New Roman" w:cs="Times New Roman"/>
        </w:rPr>
        <w:t>.</w:t>
      </w:r>
      <w:r w:rsidR="0041388A">
        <w:rPr>
          <w:rStyle w:val="FootnoteReference"/>
          <w:rFonts w:ascii="Times New Roman" w:hAnsi="Times New Roman" w:cs="Times New Roman"/>
        </w:rPr>
        <w:footnoteReference w:id="4"/>
      </w:r>
      <w:r w:rsidR="009C6187">
        <w:rPr>
          <w:rFonts w:ascii="Times New Roman" w:hAnsi="Times New Roman" w:cs="Times New Roman"/>
        </w:rPr>
        <w:t xml:space="preserve">  </w:t>
      </w:r>
      <w:r w:rsidR="00FD51E0">
        <w:rPr>
          <w:rFonts w:ascii="Times New Roman" w:hAnsi="Times New Roman" w:cs="Times New Roman"/>
        </w:rPr>
        <w:t xml:space="preserve">In connection with the revision of Form </w:t>
      </w:r>
      <w:r w:rsidR="00146FEB">
        <w:rPr>
          <w:rFonts w:ascii="Times New Roman" w:hAnsi="Times New Roman" w:cs="Times New Roman"/>
        </w:rPr>
        <w:t>7</w:t>
      </w:r>
      <w:r w:rsidR="00FD51E0">
        <w:rPr>
          <w:rFonts w:ascii="Times New Roman" w:hAnsi="Times New Roman" w:cs="Times New Roman"/>
        </w:rPr>
        <w:t>-R, t</w:t>
      </w:r>
      <w:r w:rsidR="003753E2">
        <w:rPr>
          <w:rFonts w:ascii="Times New Roman" w:hAnsi="Times New Roman" w:cs="Times New Roman"/>
        </w:rPr>
        <w:t xml:space="preserve">he Commission is </w:t>
      </w:r>
      <w:r w:rsidR="00146FEB">
        <w:rPr>
          <w:rFonts w:ascii="Times New Roman" w:hAnsi="Times New Roman" w:cs="Times New Roman"/>
        </w:rPr>
        <w:t xml:space="preserve">making no change to </w:t>
      </w:r>
      <w:r w:rsidR="00397547">
        <w:rPr>
          <w:rFonts w:ascii="Times New Roman" w:hAnsi="Times New Roman" w:cs="Times New Roman"/>
        </w:rPr>
        <w:t xml:space="preserve">the burden estimates of </w:t>
      </w:r>
      <w:r w:rsidR="003753E2">
        <w:rPr>
          <w:rFonts w:ascii="Times New Roman" w:hAnsi="Times New Roman" w:cs="Times New Roman"/>
        </w:rPr>
        <w:t>collection</w:t>
      </w:r>
      <w:r w:rsidR="00B537E7">
        <w:rPr>
          <w:rFonts w:ascii="Times New Roman" w:hAnsi="Times New Roman" w:cs="Times New Roman"/>
        </w:rPr>
        <w:t>s</w:t>
      </w:r>
      <w:r w:rsidR="003753E2">
        <w:rPr>
          <w:rFonts w:ascii="Times New Roman" w:hAnsi="Times New Roman" w:cs="Times New Roman"/>
        </w:rPr>
        <w:t xml:space="preserve"> 3</w:t>
      </w:r>
      <w:r w:rsidR="00B537E7">
        <w:rPr>
          <w:rFonts w:ascii="Times New Roman" w:hAnsi="Times New Roman" w:cs="Times New Roman"/>
        </w:rPr>
        <w:t>038-0023 and 3038-0072</w:t>
      </w:r>
      <w:r w:rsidR="00E50DF5">
        <w:rPr>
          <w:rFonts w:ascii="Times New Roman" w:hAnsi="Times New Roman" w:cs="Times New Roman"/>
        </w:rPr>
        <w:t xml:space="preserve"> </w:t>
      </w:r>
      <w:r w:rsidR="00DA1F69">
        <w:rPr>
          <w:rFonts w:ascii="Times New Roman" w:hAnsi="Times New Roman" w:cs="Times New Roman"/>
        </w:rPr>
        <w:t xml:space="preserve">because </w:t>
      </w:r>
      <w:r w:rsidR="00590C1C">
        <w:rPr>
          <w:rFonts w:ascii="Times New Roman" w:hAnsi="Times New Roman" w:cs="Times New Roman"/>
        </w:rPr>
        <w:t xml:space="preserve">the changes to Form 7-R, when considered together in the aggregate, do not result in any </w:t>
      </w:r>
      <w:r w:rsidR="00146FEB">
        <w:rPr>
          <w:rFonts w:ascii="Times New Roman" w:hAnsi="Times New Roman" w:cs="Times New Roman"/>
        </w:rPr>
        <w:t xml:space="preserve"> net change</w:t>
      </w:r>
      <w:r w:rsidR="003753E2">
        <w:rPr>
          <w:rFonts w:ascii="Times New Roman" w:hAnsi="Times New Roman" w:cs="Times New Roman"/>
        </w:rPr>
        <w:t xml:space="preserve"> </w:t>
      </w:r>
      <w:r w:rsidR="00590C1C">
        <w:rPr>
          <w:rFonts w:ascii="Times New Roman" w:hAnsi="Times New Roman" w:cs="Times New Roman"/>
        </w:rPr>
        <w:t xml:space="preserve">to </w:t>
      </w:r>
      <w:r w:rsidR="003753E2">
        <w:rPr>
          <w:rFonts w:ascii="Times New Roman" w:hAnsi="Times New Roman" w:cs="Times New Roman"/>
        </w:rPr>
        <w:t xml:space="preserve">the </w:t>
      </w:r>
      <w:r w:rsidR="00FD51E0">
        <w:rPr>
          <w:rFonts w:ascii="Times New Roman" w:hAnsi="Times New Roman" w:cs="Times New Roman"/>
        </w:rPr>
        <w:t xml:space="preserve">information collection </w:t>
      </w:r>
      <w:r w:rsidR="003753E2">
        <w:rPr>
          <w:rFonts w:ascii="Times New Roman" w:hAnsi="Times New Roman" w:cs="Times New Roman"/>
        </w:rPr>
        <w:t>burden</w:t>
      </w:r>
      <w:r w:rsidR="00FD51E0">
        <w:rPr>
          <w:rFonts w:ascii="Times New Roman" w:hAnsi="Times New Roman" w:cs="Times New Roman"/>
        </w:rPr>
        <w:t>s</w:t>
      </w:r>
      <w:r w:rsidR="003753E2">
        <w:rPr>
          <w:rFonts w:ascii="Times New Roman" w:hAnsi="Times New Roman" w:cs="Times New Roman"/>
        </w:rPr>
        <w:t xml:space="preserve"> </w:t>
      </w:r>
      <w:r w:rsidR="00E50DF5">
        <w:rPr>
          <w:rFonts w:ascii="Times New Roman" w:hAnsi="Times New Roman" w:cs="Times New Roman"/>
        </w:rPr>
        <w:t xml:space="preserve">associated with the </w:t>
      </w:r>
      <w:r w:rsidR="00546C28">
        <w:rPr>
          <w:rFonts w:ascii="Times New Roman" w:hAnsi="Times New Roman" w:cs="Times New Roman"/>
        </w:rPr>
        <w:t xml:space="preserve">revised </w:t>
      </w:r>
      <w:r w:rsidR="00FD51E0">
        <w:rPr>
          <w:rFonts w:ascii="Times New Roman" w:hAnsi="Times New Roman" w:cs="Times New Roman"/>
        </w:rPr>
        <w:t xml:space="preserve">version of Form </w:t>
      </w:r>
      <w:r w:rsidR="00146FEB">
        <w:rPr>
          <w:rFonts w:ascii="Times New Roman" w:hAnsi="Times New Roman" w:cs="Times New Roman"/>
        </w:rPr>
        <w:t>7</w:t>
      </w:r>
      <w:r w:rsidR="00FD51E0">
        <w:rPr>
          <w:rFonts w:ascii="Times New Roman" w:hAnsi="Times New Roman" w:cs="Times New Roman"/>
        </w:rPr>
        <w:t>-R</w:t>
      </w:r>
      <w:r w:rsidR="001254E6">
        <w:rPr>
          <w:rFonts w:ascii="Times New Roman" w:hAnsi="Times New Roman" w:cs="Times New Roman"/>
        </w:rPr>
        <w:t>.</w:t>
      </w:r>
      <w:r w:rsidR="00F92F33" w:rsidRPr="00F92F33">
        <w:rPr>
          <w:rFonts w:ascii="Times New Roman" w:eastAsia="Calibri" w:hAnsi="Times New Roman" w:cs="Times New Roman"/>
          <w:color w:val="auto"/>
          <w:szCs w:val="22"/>
        </w:rPr>
        <w:t xml:space="preserve"> </w:t>
      </w:r>
    </w:p>
    <w:p w14:paraId="3B054546" w14:textId="77777777" w:rsidR="0070031C" w:rsidRDefault="0070031C" w:rsidP="00301D9B">
      <w:pPr>
        <w:pStyle w:val="Default"/>
        <w:jc w:val="both"/>
        <w:rPr>
          <w:rFonts w:ascii="Times New Roman" w:hAnsi="Times New Roman" w:cs="Times New Roman"/>
        </w:rPr>
      </w:pPr>
    </w:p>
    <w:p w14:paraId="543F6C9D" w14:textId="77777777" w:rsidR="008377C4" w:rsidRDefault="008377C4">
      <w:pPr>
        <w:tabs>
          <w:tab w:val="left" w:pos="-720"/>
        </w:tabs>
        <w:ind w:left="720" w:hanging="720"/>
        <w:jc w:val="both"/>
        <w:rPr>
          <w:rFonts w:ascii="Times New Roman" w:hAnsi="Times New Roman"/>
          <w:b/>
        </w:rPr>
      </w:pPr>
      <w:r>
        <w:rPr>
          <w:rFonts w:ascii="Times New Roman" w:hAnsi="Times New Roman"/>
          <w:b/>
        </w:rPr>
        <w:lastRenderedPageBreak/>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14:paraId="2036A93D" w14:textId="77777777" w:rsidR="008377C4" w:rsidRDefault="008377C4">
      <w:pPr>
        <w:jc w:val="both"/>
        <w:rPr>
          <w:rFonts w:ascii="Times New Roman" w:hAnsi="Times New Roman"/>
        </w:rPr>
      </w:pPr>
    </w:p>
    <w:p w14:paraId="6C0759B5" w14:textId="77777777" w:rsidR="008377C4" w:rsidRDefault="00C2245F" w:rsidP="00AE73CD">
      <w:pPr>
        <w:pStyle w:val="Default"/>
        <w:ind w:firstLine="720"/>
        <w:jc w:val="both"/>
        <w:rPr>
          <w:rFonts w:ascii="Times New Roman" w:hAnsi="Times New Roman" w:cs="Times New Roman"/>
        </w:rPr>
      </w:pPr>
      <w:r>
        <w:rPr>
          <w:rFonts w:ascii="Times New Roman" w:hAnsi="Times New Roman" w:cs="Times New Roman"/>
        </w:rPr>
        <w:t>The information</w:t>
      </w:r>
      <w:r w:rsidR="00EA7443">
        <w:rPr>
          <w:rFonts w:ascii="Times New Roman" w:hAnsi="Times New Roman" w:cs="Times New Roman"/>
        </w:rPr>
        <w:t xml:space="preserve"> requested on Form </w:t>
      </w:r>
      <w:r w:rsidR="006021CF">
        <w:rPr>
          <w:rFonts w:ascii="Times New Roman" w:hAnsi="Times New Roman" w:cs="Times New Roman"/>
        </w:rPr>
        <w:t>7</w:t>
      </w:r>
      <w:r w:rsidR="00EA7443">
        <w:rPr>
          <w:rFonts w:ascii="Times New Roman" w:hAnsi="Times New Roman" w:cs="Times New Roman"/>
        </w:rPr>
        <w:t>-R</w:t>
      </w:r>
      <w:r>
        <w:rPr>
          <w:rFonts w:ascii="Times New Roman" w:hAnsi="Times New Roman" w:cs="Times New Roman"/>
        </w:rPr>
        <w:t xml:space="preserve"> </w:t>
      </w:r>
      <w:r w:rsidR="007F60D3">
        <w:rPr>
          <w:rFonts w:ascii="Times New Roman" w:hAnsi="Times New Roman" w:cs="Times New Roman"/>
        </w:rPr>
        <w:t>is used by the Commission and the National Futures Association</w:t>
      </w:r>
      <w:r w:rsidR="00AF2AA8">
        <w:rPr>
          <w:rFonts w:ascii="Times New Roman" w:hAnsi="Times New Roman" w:cs="Times New Roman"/>
        </w:rPr>
        <w:t xml:space="preserve"> (“NFA”)</w:t>
      </w:r>
      <w:r w:rsidR="00A72917">
        <w:rPr>
          <w:rFonts w:ascii="Times New Roman" w:hAnsi="Times New Roman" w:cs="Times New Roman"/>
        </w:rPr>
        <w:t xml:space="preserve"> to assess the</w:t>
      </w:r>
      <w:r w:rsidR="00EA7443">
        <w:rPr>
          <w:rFonts w:ascii="Times New Roman" w:hAnsi="Times New Roman" w:cs="Times New Roman"/>
        </w:rPr>
        <w:t xml:space="preserve"> </w:t>
      </w:r>
      <w:r w:rsidR="00EA7443" w:rsidRPr="00EA7443">
        <w:rPr>
          <w:rFonts w:ascii="Times New Roman" w:hAnsi="Times New Roman" w:cs="Times New Roman"/>
        </w:rPr>
        <w:t xml:space="preserve">applicant’s fitness to engage in business </w:t>
      </w:r>
      <w:r w:rsidR="00BF5464">
        <w:rPr>
          <w:rFonts w:ascii="Times New Roman" w:hAnsi="Times New Roman" w:cs="Times New Roman"/>
        </w:rPr>
        <w:t>in the registration categories referenced above</w:t>
      </w:r>
      <w:r w:rsidR="00EA7443" w:rsidRPr="00EA7443">
        <w:rPr>
          <w:rFonts w:ascii="Times New Roman" w:hAnsi="Times New Roman" w:cs="Times New Roman"/>
        </w:rPr>
        <w:t>, subject to regulation and oversight by the Commission</w:t>
      </w:r>
      <w:r w:rsidR="00AF2AA8">
        <w:rPr>
          <w:rFonts w:ascii="Times New Roman" w:hAnsi="Times New Roman" w:cs="Times New Roman"/>
        </w:rPr>
        <w:t xml:space="preserve"> and NFA</w:t>
      </w:r>
      <w:r w:rsidR="00EA7443" w:rsidRPr="00EA7443">
        <w:rPr>
          <w:rFonts w:ascii="Times New Roman" w:hAnsi="Times New Roman" w:cs="Times New Roman"/>
        </w:rPr>
        <w:t>.</w:t>
      </w:r>
      <w:r w:rsidR="00A22FAB">
        <w:rPr>
          <w:rFonts w:ascii="Times New Roman" w:hAnsi="Times New Roman" w:cs="Times New Roman"/>
        </w:rPr>
        <w:t xml:space="preserve">  NFA is a registered futures association authorized by the Commission to perform certain registration functions for the Commission.</w:t>
      </w:r>
    </w:p>
    <w:p w14:paraId="710958B5" w14:textId="77777777" w:rsidR="008377C4" w:rsidRDefault="008377C4">
      <w:pPr>
        <w:jc w:val="both"/>
        <w:rPr>
          <w:rFonts w:ascii="Times New Roman" w:hAnsi="Times New Roman"/>
        </w:rPr>
      </w:pPr>
    </w:p>
    <w:p w14:paraId="0E9CFD6F" w14:textId="77777777" w:rsidR="000D0E60" w:rsidRDefault="008377C4" w:rsidP="000D0E60">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w:t>
      </w:r>
      <w:r w:rsidR="005556BF">
        <w:rPr>
          <w:rFonts w:ascii="Times New Roman" w:hAnsi="Times New Roman"/>
          <w:b/>
        </w:rPr>
        <w:t>,</w:t>
      </w:r>
      <w:r>
        <w:rPr>
          <w:rFonts w:ascii="Times New Roman" w:hAnsi="Times New Roman"/>
          <w:b/>
        </w:rPr>
        <w:t xml:space="preserve"> permitting electronic submission of responses, and the basis for the decision for adopting this means of collection.  Also describe any consideration of using information technology to reduce burden.</w:t>
      </w:r>
    </w:p>
    <w:p w14:paraId="37B35188" w14:textId="77777777" w:rsidR="00C85E9F" w:rsidRDefault="00AE73CD" w:rsidP="00C92A15">
      <w:pPr>
        <w:keepNext/>
        <w:tabs>
          <w:tab w:val="left" w:pos="-720"/>
        </w:tabs>
        <w:jc w:val="both"/>
        <w:rPr>
          <w:rFonts w:ascii="Times New Roman" w:hAnsi="Times New Roman"/>
        </w:rPr>
      </w:pPr>
      <w:r>
        <w:rPr>
          <w:rFonts w:ascii="Times New Roman" w:hAnsi="Times New Roman"/>
        </w:rPr>
        <w:tab/>
      </w:r>
      <w:r w:rsidR="00EA7443">
        <w:rPr>
          <w:rFonts w:ascii="Times New Roman" w:hAnsi="Times New Roman"/>
        </w:rPr>
        <w:t xml:space="preserve">The collection of information is completely electronic.  The Form </w:t>
      </w:r>
      <w:r w:rsidR="006021CF">
        <w:rPr>
          <w:rFonts w:ascii="Times New Roman" w:hAnsi="Times New Roman"/>
        </w:rPr>
        <w:t>7</w:t>
      </w:r>
      <w:r w:rsidR="00EA7443">
        <w:rPr>
          <w:rFonts w:ascii="Times New Roman" w:hAnsi="Times New Roman"/>
        </w:rPr>
        <w:t>-R must be completed and submitted online; it cannot be submitted manually in paper format.</w:t>
      </w:r>
    </w:p>
    <w:p w14:paraId="754BAFCF" w14:textId="77777777" w:rsidR="00C85E9F" w:rsidRDefault="00C85E9F" w:rsidP="00C92A15">
      <w:pPr>
        <w:keepNext/>
        <w:tabs>
          <w:tab w:val="left" w:pos="-720"/>
        </w:tabs>
        <w:jc w:val="both"/>
        <w:rPr>
          <w:rFonts w:ascii="Times New Roman" w:hAnsi="Times New Roman"/>
        </w:rPr>
      </w:pPr>
    </w:p>
    <w:p w14:paraId="73A49D7E"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14:paraId="0D3AF060" w14:textId="77777777" w:rsidR="008377C4" w:rsidRDefault="00AE73CD">
      <w:pPr>
        <w:tabs>
          <w:tab w:val="left" w:pos="-720"/>
        </w:tabs>
        <w:spacing w:after="240"/>
        <w:jc w:val="both"/>
        <w:rPr>
          <w:rFonts w:ascii="Times New Roman" w:hAnsi="Times New Roman"/>
        </w:rPr>
      </w:pPr>
      <w:r>
        <w:rPr>
          <w:rFonts w:ascii="Times New Roman" w:hAnsi="Times New Roman"/>
        </w:rPr>
        <w:tab/>
      </w:r>
      <w:r w:rsidR="00C85E9F">
        <w:rPr>
          <w:rFonts w:ascii="Times New Roman" w:hAnsi="Times New Roman"/>
        </w:rPr>
        <w:t>The required information is not already collected by the Co</w:t>
      </w:r>
      <w:r w:rsidR="0073607C">
        <w:rPr>
          <w:rFonts w:ascii="Times New Roman" w:hAnsi="Times New Roman"/>
        </w:rPr>
        <w:t xml:space="preserve">mmission for any other purpose </w:t>
      </w:r>
      <w:r w:rsidR="00C85E9F">
        <w:rPr>
          <w:rFonts w:ascii="Times New Roman" w:hAnsi="Times New Roman"/>
        </w:rPr>
        <w:t>or available for public disclosure through any other source.</w:t>
      </w:r>
      <w:r w:rsidR="0073607C">
        <w:rPr>
          <w:rFonts w:ascii="Times New Roman" w:hAnsi="Times New Roman"/>
        </w:rPr>
        <w:t xml:space="preserve">  As noted above, the required information is of an individualized nature, </w:t>
      </w:r>
      <w:r w:rsidR="00C01A7D">
        <w:rPr>
          <w:rFonts w:ascii="Times New Roman" w:hAnsi="Times New Roman"/>
        </w:rPr>
        <w:t xml:space="preserve">and </w:t>
      </w:r>
      <w:r w:rsidR="0073607C">
        <w:rPr>
          <w:rFonts w:ascii="Times New Roman" w:hAnsi="Times New Roman"/>
        </w:rPr>
        <w:t xml:space="preserve">permits NFA and the Commission to assess the applicant’s fitness to </w:t>
      </w:r>
      <w:r w:rsidR="00851E8B" w:rsidRPr="00851E8B">
        <w:rPr>
          <w:rFonts w:ascii="Times New Roman" w:hAnsi="Times New Roman"/>
        </w:rPr>
        <w:t>engage in business in the registration categories referenced above</w:t>
      </w:r>
      <w:r w:rsidR="0073607C">
        <w:rPr>
          <w:rFonts w:ascii="Times New Roman" w:hAnsi="Times New Roman"/>
        </w:rPr>
        <w:t>.</w:t>
      </w:r>
    </w:p>
    <w:p w14:paraId="29244142"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From 83-I), describe the methods used to minimize burden.</w:t>
      </w:r>
    </w:p>
    <w:p w14:paraId="6EE84529" w14:textId="77777777" w:rsidR="008377C4" w:rsidRDefault="00AE73CD" w:rsidP="00E611AC">
      <w:pPr>
        <w:tabs>
          <w:tab w:val="left" w:pos="-720"/>
        </w:tabs>
        <w:spacing w:after="240"/>
        <w:jc w:val="both"/>
        <w:rPr>
          <w:rFonts w:ascii="Times New Roman" w:hAnsi="Times New Roman"/>
        </w:rPr>
      </w:pPr>
      <w:r>
        <w:rPr>
          <w:rFonts w:ascii="Times New Roman" w:hAnsi="Times New Roman"/>
        </w:rPr>
        <w:tab/>
      </w:r>
      <w:r w:rsidR="007D4A2C" w:rsidRPr="007D4A2C">
        <w:rPr>
          <w:rFonts w:ascii="Times New Roman" w:hAnsi="Times New Roman"/>
        </w:rPr>
        <w:t xml:space="preserve">The </w:t>
      </w:r>
      <w:r w:rsidR="007D4A2C">
        <w:rPr>
          <w:rFonts w:ascii="Times New Roman" w:hAnsi="Times New Roman"/>
        </w:rPr>
        <w:t xml:space="preserve">Form </w:t>
      </w:r>
      <w:r w:rsidR="006021CF">
        <w:rPr>
          <w:rFonts w:ascii="Times New Roman" w:hAnsi="Times New Roman"/>
        </w:rPr>
        <w:t>7</w:t>
      </w:r>
      <w:r w:rsidR="007D4A2C" w:rsidRPr="007D4A2C">
        <w:rPr>
          <w:rFonts w:ascii="Times New Roman" w:hAnsi="Times New Roman"/>
        </w:rPr>
        <w:t xml:space="preserve">-R </w:t>
      </w:r>
      <w:r w:rsidR="007D4A2C">
        <w:rPr>
          <w:rFonts w:ascii="Times New Roman" w:hAnsi="Times New Roman"/>
        </w:rPr>
        <w:t xml:space="preserve">is </w:t>
      </w:r>
      <w:r w:rsidR="007D4A2C" w:rsidRPr="007D4A2C">
        <w:rPr>
          <w:rFonts w:ascii="Times New Roman" w:hAnsi="Times New Roman"/>
        </w:rPr>
        <w:t xml:space="preserve">the application form that </w:t>
      </w:r>
      <w:r w:rsidR="00481BF7">
        <w:rPr>
          <w:rFonts w:ascii="Times New Roman" w:hAnsi="Times New Roman"/>
        </w:rPr>
        <w:t>entities</w:t>
      </w:r>
      <w:r w:rsidR="00481BF7" w:rsidRPr="007D4A2C">
        <w:rPr>
          <w:rFonts w:ascii="Times New Roman" w:hAnsi="Times New Roman"/>
        </w:rPr>
        <w:t xml:space="preserve"> </w:t>
      </w:r>
      <w:r w:rsidR="007D4A2C" w:rsidRPr="007D4A2C">
        <w:rPr>
          <w:rFonts w:ascii="Times New Roman" w:hAnsi="Times New Roman"/>
        </w:rPr>
        <w:t xml:space="preserve">must use to register with the Commission as </w:t>
      </w:r>
      <w:r w:rsidR="006021CF" w:rsidRPr="006021CF">
        <w:rPr>
          <w:rFonts w:ascii="Times New Roman" w:hAnsi="Times New Roman"/>
        </w:rPr>
        <w:t xml:space="preserve">a futures commission merchant, retail foreign exchange dealer, introducing broker, commodity trading advisor, commodity pool operator, leverage transaction merchant, </w:t>
      </w:r>
      <w:r w:rsidR="002B2A19">
        <w:rPr>
          <w:rFonts w:ascii="Times New Roman" w:hAnsi="Times New Roman"/>
        </w:rPr>
        <w:t xml:space="preserve">floor trader firm, </w:t>
      </w:r>
      <w:r w:rsidR="006021CF" w:rsidRPr="006021CF">
        <w:rPr>
          <w:rFonts w:ascii="Times New Roman" w:hAnsi="Times New Roman"/>
        </w:rPr>
        <w:t xml:space="preserve">swap dealer, </w:t>
      </w:r>
      <w:r w:rsidR="002F64F9">
        <w:rPr>
          <w:rFonts w:ascii="Times New Roman" w:hAnsi="Times New Roman"/>
        </w:rPr>
        <w:t xml:space="preserve">or </w:t>
      </w:r>
      <w:r w:rsidR="006021CF" w:rsidRPr="006021CF">
        <w:rPr>
          <w:rFonts w:ascii="Times New Roman" w:hAnsi="Times New Roman"/>
        </w:rPr>
        <w:t>major swap participant</w:t>
      </w:r>
      <w:r w:rsidR="007D4A2C">
        <w:rPr>
          <w:rFonts w:ascii="Times New Roman" w:hAnsi="Times New Roman"/>
        </w:rPr>
        <w:t xml:space="preserve">. </w:t>
      </w:r>
      <w:r w:rsidR="007D4A2C" w:rsidRPr="007D4A2C">
        <w:rPr>
          <w:rFonts w:ascii="Times New Roman" w:hAnsi="Times New Roman"/>
        </w:rPr>
        <w:t xml:space="preserve"> </w:t>
      </w:r>
      <w:r w:rsidR="004C4DC8">
        <w:rPr>
          <w:rFonts w:ascii="Times New Roman" w:hAnsi="Times New Roman"/>
        </w:rPr>
        <w:t xml:space="preserve">The information required by the registration process is essentially limited to statutorily mandated information and basic identifying data. </w:t>
      </w:r>
      <w:r w:rsidR="001D5087">
        <w:rPr>
          <w:rFonts w:ascii="Times New Roman" w:hAnsi="Times New Roman"/>
        </w:rPr>
        <w:t xml:space="preserve"> </w:t>
      </w:r>
    </w:p>
    <w:p w14:paraId="5FB21AF9"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14:paraId="4EC19DA5" w14:textId="77777777" w:rsidR="008377C4" w:rsidRDefault="00033A5C" w:rsidP="00AE73CD">
      <w:pPr>
        <w:pStyle w:val="Default"/>
        <w:ind w:firstLine="720"/>
        <w:jc w:val="both"/>
        <w:rPr>
          <w:rFonts w:ascii="Times New Roman" w:hAnsi="Times New Roman" w:cs="Times New Roman"/>
        </w:rPr>
      </w:pPr>
      <w:r>
        <w:rPr>
          <w:rFonts w:ascii="Times New Roman" w:hAnsi="Times New Roman" w:cs="Times New Roman"/>
        </w:rPr>
        <w:t xml:space="preserve">The collection of information on Form </w:t>
      </w:r>
      <w:r w:rsidR="006021CF">
        <w:rPr>
          <w:rFonts w:ascii="Times New Roman" w:hAnsi="Times New Roman" w:cs="Times New Roman"/>
        </w:rPr>
        <w:t>7</w:t>
      </w:r>
      <w:r>
        <w:rPr>
          <w:rFonts w:ascii="Times New Roman" w:hAnsi="Times New Roman" w:cs="Times New Roman"/>
        </w:rPr>
        <w:t>-R</w:t>
      </w:r>
      <w:r w:rsidR="004C4DC8">
        <w:rPr>
          <w:rFonts w:ascii="Times New Roman" w:hAnsi="Times New Roman" w:cs="Times New Roman"/>
        </w:rPr>
        <w:t xml:space="preserve"> is utilized</w:t>
      </w:r>
      <w:r>
        <w:rPr>
          <w:rFonts w:ascii="Times New Roman" w:hAnsi="Times New Roman" w:cs="Times New Roman"/>
        </w:rPr>
        <w:t xml:space="preserve"> </w:t>
      </w:r>
      <w:r w:rsidR="00660886">
        <w:rPr>
          <w:rFonts w:ascii="Times New Roman" w:hAnsi="Times New Roman" w:cs="Times New Roman"/>
        </w:rPr>
        <w:t xml:space="preserve">initially </w:t>
      </w:r>
      <w:r w:rsidRPr="00033A5C">
        <w:rPr>
          <w:rFonts w:ascii="Times New Roman" w:hAnsi="Times New Roman" w:cs="Times New Roman"/>
        </w:rPr>
        <w:t xml:space="preserve">to assess the applicant’s fitness to engage in business </w:t>
      </w:r>
      <w:r w:rsidR="00851E8B" w:rsidRPr="00851E8B">
        <w:rPr>
          <w:rFonts w:ascii="Times New Roman" w:hAnsi="Times New Roman" w:cs="Times New Roman"/>
        </w:rPr>
        <w:t>in the registration categories referenced above</w:t>
      </w:r>
      <w:r w:rsidR="004C4DC8">
        <w:rPr>
          <w:rFonts w:ascii="Times New Roman" w:hAnsi="Times New Roman" w:cs="Times New Roman"/>
        </w:rPr>
        <w:t>, which</w:t>
      </w:r>
      <w:r w:rsidR="00486CBC">
        <w:rPr>
          <w:rFonts w:ascii="Times New Roman" w:hAnsi="Times New Roman" w:cs="Times New Roman"/>
        </w:rPr>
        <w:t xml:space="preserve"> </w:t>
      </w:r>
      <w:r>
        <w:rPr>
          <w:rFonts w:ascii="Times New Roman" w:hAnsi="Times New Roman" w:cs="Times New Roman"/>
        </w:rPr>
        <w:t xml:space="preserve">is an essential component of the Commission’s </w:t>
      </w:r>
      <w:r w:rsidR="00486CBC" w:rsidRPr="00486CBC">
        <w:rPr>
          <w:rFonts w:ascii="Times New Roman" w:hAnsi="Times New Roman" w:cs="Times New Roman"/>
        </w:rPr>
        <w:t>regulation and oversight</w:t>
      </w:r>
      <w:r>
        <w:rPr>
          <w:rFonts w:ascii="Times New Roman" w:hAnsi="Times New Roman" w:cs="Times New Roman"/>
        </w:rPr>
        <w:t xml:space="preserve"> of the derivatives markets.</w:t>
      </w:r>
      <w:r w:rsidR="004C4DC8">
        <w:rPr>
          <w:rFonts w:ascii="Times New Roman" w:hAnsi="Times New Roman" w:cs="Times New Roman"/>
        </w:rPr>
        <w:t xml:space="preserve"> </w:t>
      </w:r>
      <w:r>
        <w:rPr>
          <w:rFonts w:ascii="Times New Roman" w:hAnsi="Times New Roman" w:cs="Times New Roman"/>
        </w:rPr>
        <w:t xml:space="preserve"> </w:t>
      </w:r>
      <w:r w:rsidR="00AF2AA8">
        <w:rPr>
          <w:rFonts w:ascii="Times New Roman" w:hAnsi="Times New Roman" w:cs="Times New Roman"/>
        </w:rPr>
        <w:t xml:space="preserve">Applicants must complete Form </w:t>
      </w:r>
      <w:r w:rsidR="006021CF">
        <w:rPr>
          <w:rFonts w:ascii="Times New Roman" w:hAnsi="Times New Roman" w:cs="Times New Roman"/>
        </w:rPr>
        <w:t>7</w:t>
      </w:r>
      <w:r w:rsidR="00AF2AA8">
        <w:rPr>
          <w:rFonts w:ascii="Times New Roman" w:hAnsi="Times New Roman" w:cs="Times New Roman"/>
        </w:rPr>
        <w:t>-R to register w</w:t>
      </w:r>
      <w:r w:rsidR="004C4DC8">
        <w:rPr>
          <w:rFonts w:ascii="Times New Roman" w:hAnsi="Times New Roman" w:cs="Times New Roman"/>
        </w:rPr>
        <w:t>ith the Commission, and then</w:t>
      </w:r>
      <w:r w:rsidR="00DD6D57">
        <w:rPr>
          <w:rFonts w:ascii="Times New Roman" w:hAnsi="Times New Roman" w:cs="Times New Roman"/>
        </w:rPr>
        <w:t xml:space="preserve"> </w:t>
      </w:r>
      <w:r w:rsidR="00AF2AA8">
        <w:rPr>
          <w:rFonts w:ascii="Times New Roman" w:hAnsi="Times New Roman" w:cs="Times New Roman"/>
        </w:rPr>
        <w:t xml:space="preserve">must update their Form </w:t>
      </w:r>
      <w:r w:rsidR="006021CF">
        <w:rPr>
          <w:rFonts w:ascii="Times New Roman" w:hAnsi="Times New Roman" w:cs="Times New Roman"/>
        </w:rPr>
        <w:t>7</w:t>
      </w:r>
      <w:r w:rsidR="00AF2AA8">
        <w:rPr>
          <w:rFonts w:ascii="Times New Roman" w:hAnsi="Times New Roman" w:cs="Times New Roman"/>
        </w:rPr>
        <w:t xml:space="preserve">-R </w:t>
      </w:r>
      <w:r w:rsidR="00AF2AA8">
        <w:rPr>
          <w:rFonts w:ascii="Times New Roman" w:hAnsi="Times New Roman" w:cs="Times New Roman"/>
        </w:rPr>
        <w:lastRenderedPageBreak/>
        <w:t>when the information</w:t>
      </w:r>
      <w:r w:rsidR="004C4DC8">
        <w:rPr>
          <w:rFonts w:ascii="Times New Roman" w:hAnsi="Times New Roman" w:cs="Times New Roman"/>
        </w:rPr>
        <w:t xml:space="preserve"> that they</w:t>
      </w:r>
      <w:r w:rsidR="00FD6603">
        <w:rPr>
          <w:rFonts w:ascii="Times New Roman" w:hAnsi="Times New Roman" w:cs="Times New Roman"/>
        </w:rPr>
        <w:t xml:space="preserve"> previously supplied has changed</w:t>
      </w:r>
      <w:r w:rsidR="00AF2AA8">
        <w:rPr>
          <w:rFonts w:ascii="Times New Roman" w:hAnsi="Times New Roman" w:cs="Times New Roman"/>
        </w:rPr>
        <w:t xml:space="preserve">.  There is no requirement that applicants routinely or periodically complete Form </w:t>
      </w:r>
      <w:r w:rsidR="006021CF">
        <w:rPr>
          <w:rFonts w:ascii="Times New Roman" w:hAnsi="Times New Roman" w:cs="Times New Roman"/>
        </w:rPr>
        <w:t>7</w:t>
      </w:r>
      <w:r w:rsidR="00AF2AA8">
        <w:rPr>
          <w:rFonts w:ascii="Times New Roman" w:hAnsi="Times New Roman" w:cs="Times New Roman"/>
        </w:rPr>
        <w:t xml:space="preserve">-R. </w:t>
      </w:r>
      <w:r w:rsidR="00CC4B63">
        <w:rPr>
          <w:rFonts w:ascii="Times New Roman" w:hAnsi="Times New Roman" w:cs="Times New Roman"/>
        </w:rPr>
        <w:t xml:space="preserve">  </w:t>
      </w:r>
    </w:p>
    <w:p w14:paraId="74C99EF3" w14:textId="77777777" w:rsidR="008377C4" w:rsidRDefault="008377C4">
      <w:pPr>
        <w:pStyle w:val="Default"/>
        <w:jc w:val="both"/>
        <w:rPr>
          <w:rFonts w:ascii="Times New Roman" w:hAnsi="Times New Roman" w:cs="Times New Roman"/>
        </w:rPr>
      </w:pPr>
    </w:p>
    <w:p w14:paraId="75E3D293" w14:textId="77777777" w:rsidR="008377C4" w:rsidRDefault="008377C4">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14:paraId="40124CCF"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14:paraId="19198156" w14:textId="77777777"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This question does not apply</w:t>
      </w:r>
      <w:r w:rsidR="00F71793">
        <w:rPr>
          <w:rFonts w:ascii="Times New Roman" w:hAnsi="Times New Roman"/>
        </w:rPr>
        <w:t xml:space="preserve">; there is no requirement to report information more often </w:t>
      </w:r>
      <w:r w:rsidR="00F71793">
        <w:rPr>
          <w:rFonts w:ascii="Times New Roman" w:hAnsi="Times New Roman"/>
        </w:rPr>
        <w:tab/>
        <w:t>than quarterly</w:t>
      </w:r>
      <w:r w:rsidR="008377C4">
        <w:rPr>
          <w:rFonts w:ascii="Times New Roman" w:hAnsi="Times New Roman"/>
        </w:rPr>
        <w:t xml:space="preserve">.  </w:t>
      </w:r>
    </w:p>
    <w:p w14:paraId="02837572"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14:paraId="083D488B" w14:textId="77777777"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This question does not apply.</w:t>
      </w:r>
      <w:r w:rsidR="00F95239">
        <w:rPr>
          <w:rFonts w:ascii="Times New Roman" w:hAnsi="Times New Roman"/>
        </w:rPr>
        <w:t xml:space="preserve">  </w:t>
      </w:r>
    </w:p>
    <w:p w14:paraId="3214C3D5"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14:paraId="61A989D9" w14:textId="77777777"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w:t>
      </w:r>
    </w:p>
    <w:p w14:paraId="401A45BA"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14:paraId="4AF1C46A" w14:textId="77777777" w:rsidR="00D10C10" w:rsidRPr="0055257F" w:rsidRDefault="00AE73CD" w:rsidP="00D10C10">
      <w:pPr>
        <w:tabs>
          <w:tab w:val="left" w:pos="-720"/>
          <w:tab w:val="left" w:pos="0"/>
          <w:tab w:val="left" w:pos="720"/>
        </w:tabs>
        <w:spacing w:after="240"/>
        <w:jc w:val="both"/>
        <w:rPr>
          <w:rFonts w:ascii="Times New Roman" w:hAnsi="Times New Roman"/>
        </w:rPr>
      </w:pPr>
      <w:r>
        <w:rPr>
          <w:rFonts w:ascii="Times New Roman" w:hAnsi="Times New Roman"/>
        </w:rPr>
        <w:tab/>
      </w:r>
      <w:r w:rsidR="00D10C10" w:rsidRPr="0055257F">
        <w:rPr>
          <w:rFonts w:ascii="Times New Roman" w:hAnsi="Times New Roman"/>
        </w:rPr>
        <w:t>This question does not apply.</w:t>
      </w:r>
    </w:p>
    <w:p w14:paraId="3808FA2A"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14:paraId="4B71E710" w14:textId="77777777"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w:t>
      </w:r>
    </w:p>
    <w:p w14:paraId="6BBA276D"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14:paraId="5F877FE6" w14:textId="77777777"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w:t>
      </w:r>
    </w:p>
    <w:p w14:paraId="6C428BC5"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w:t>
      </w:r>
      <w:r w:rsidR="00B871D8">
        <w:rPr>
          <w:rFonts w:ascii="Times New Roman" w:hAnsi="Times New Roman"/>
          <w:b/>
        </w:rPr>
        <w:t>t</w:t>
      </w:r>
      <w:r>
        <w:rPr>
          <w:rFonts w:ascii="Times New Roman" w:hAnsi="Times New Roman"/>
          <w:b/>
        </w:rPr>
        <w:t>e or regulation, that is not supported by disclosure and data security policies that are consistent with the pledge, or which unnecessarily impedes sharing of data with other agencies for compatible confidential use; or</w:t>
      </w:r>
    </w:p>
    <w:p w14:paraId="4FF8F003" w14:textId="77777777"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w:t>
      </w:r>
    </w:p>
    <w:p w14:paraId="1C1C8F10" w14:textId="77777777" w:rsidR="008377C4" w:rsidRPr="00F74530"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requiring respondents to submit proprietary trade secrets, or other confidential information unless the agency can demonstrate that it has instituted procedures </w:t>
      </w:r>
      <w:r w:rsidRPr="00F74530">
        <w:rPr>
          <w:rFonts w:ascii="Times New Roman" w:hAnsi="Times New Roman"/>
          <w:b/>
        </w:rPr>
        <w:t>to protect the information's confidentiality to the extent permitted by law.</w:t>
      </w:r>
    </w:p>
    <w:p w14:paraId="0EA928D7" w14:textId="77777777" w:rsidR="00261931" w:rsidRPr="00261931" w:rsidRDefault="00295F14" w:rsidP="00261931">
      <w:pPr>
        <w:tabs>
          <w:tab w:val="left" w:pos="-720"/>
          <w:tab w:val="left" w:pos="0"/>
          <w:tab w:val="left" w:pos="720"/>
        </w:tabs>
        <w:spacing w:after="240"/>
        <w:jc w:val="both"/>
        <w:rPr>
          <w:rFonts w:ascii="Times New Roman" w:hAnsi="Times New Roman"/>
        </w:rPr>
      </w:pPr>
      <w:r>
        <w:rPr>
          <w:rFonts w:ascii="Times New Roman" w:hAnsi="Times New Roman"/>
        </w:rPr>
        <w:tab/>
      </w:r>
      <w:r w:rsidR="006914B0" w:rsidRPr="006914B0">
        <w:rPr>
          <w:rFonts w:ascii="Times New Roman" w:hAnsi="Times New Roman"/>
        </w:rPr>
        <w:t>The Commission has procedures (in Parts 145 and 147 of the Commission Regulations) to protect the confidentiality of information it receives from registrants and market participants.</w:t>
      </w:r>
    </w:p>
    <w:p w14:paraId="0A907349"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publication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19725E">
        <w:rPr>
          <w:rFonts w:ascii="Times New Roman" w:hAnsi="Times New Roman"/>
          <w:b/>
        </w:rPr>
        <w:t xml:space="preserve"> </w:t>
      </w:r>
    </w:p>
    <w:p w14:paraId="62A36D51" w14:textId="77777777" w:rsidR="008377C4" w:rsidRDefault="008377C4">
      <w:pPr>
        <w:tabs>
          <w:tab w:val="left" w:pos="-720"/>
        </w:tabs>
        <w:spacing w:after="240"/>
        <w:ind w:left="720"/>
        <w:jc w:val="both"/>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2A5A64D" w14:textId="5CC1CDAF" w:rsidR="00AF41F7" w:rsidRPr="008840F7" w:rsidRDefault="002A1F3D" w:rsidP="00693ECD">
      <w:pPr>
        <w:pStyle w:val="Default"/>
        <w:ind w:firstLine="720"/>
        <w:jc w:val="both"/>
        <w:rPr>
          <w:rFonts w:ascii="Times New Roman" w:hAnsi="Times New Roman"/>
          <w:b/>
        </w:rPr>
      </w:pPr>
      <w:r>
        <w:rPr>
          <w:rFonts w:ascii="Times New Roman" w:hAnsi="Times New Roman"/>
        </w:rPr>
        <w:t>In</w:t>
      </w:r>
      <w:r w:rsidRPr="002A1F3D">
        <w:rPr>
          <w:rFonts w:ascii="Times New Roman" w:hAnsi="Times New Roman"/>
        </w:rPr>
        <w:t xml:space="preserve"> </w:t>
      </w:r>
      <w:r w:rsidRPr="002A1F3D">
        <w:rPr>
          <w:rFonts w:ascii="Times New Roman" w:hAnsi="Times New Roman"/>
          <w:i/>
        </w:rPr>
        <w:t xml:space="preserve">Agency Information Collection Activities: </w:t>
      </w:r>
      <w:r w:rsidR="006021CF">
        <w:rPr>
          <w:rFonts w:ascii="Times New Roman" w:hAnsi="Times New Roman"/>
          <w:i/>
        </w:rPr>
        <w:t xml:space="preserve">Notice of Intent </w:t>
      </w:r>
      <w:r w:rsidR="008D3040">
        <w:rPr>
          <w:rFonts w:ascii="Times New Roman" w:hAnsi="Times New Roman"/>
          <w:i/>
        </w:rPr>
        <w:t xml:space="preserve">to </w:t>
      </w:r>
      <w:r w:rsidR="006021CF">
        <w:rPr>
          <w:rFonts w:ascii="Times New Roman" w:hAnsi="Times New Roman"/>
          <w:i/>
        </w:rPr>
        <w:t>Extend and Revise Collections 3038-0023 and 3038-0072;</w:t>
      </w:r>
      <w:r w:rsidRPr="002A1F3D">
        <w:rPr>
          <w:rFonts w:ascii="Times New Roman" w:hAnsi="Times New Roman"/>
          <w:i/>
        </w:rPr>
        <w:t xml:space="preserve"> Adoption of Revised Registration Form </w:t>
      </w:r>
      <w:r w:rsidR="006021CF">
        <w:rPr>
          <w:rFonts w:ascii="Times New Roman" w:hAnsi="Times New Roman"/>
          <w:i/>
        </w:rPr>
        <w:t>7</w:t>
      </w:r>
      <w:r w:rsidRPr="002A1F3D">
        <w:rPr>
          <w:rFonts w:ascii="Times New Roman" w:hAnsi="Times New Roman"/>
          <w:i/>
        </w:rPr>
        <w:t>-R</w:t>
      </w:r>
      <w:r w:rsidR="008E1ACE">
        <w:rPr>
          <w:rFonts w:ascii="Times New Roman" w:hAnsi="Times New Roman"/>
        </w:rPr>
        <w:t>, 84 FR 8696</w:t>
      </w:r>
      <w:r w:rsidRPr="002A1F3D">
        <w:rPr>
          <w:rFonts w:ascii="Times New Roman" w:hAnsi="Times New Roman"/>
          <w:i/>
        </w:rPr>
        <w:t xml:space="preserve"> </w:t>
      </w:r>
      <w:r w:rsidRPr="002A1F3D">
        <w:rPr>
          <w:rFonts w:ascii="Times New Roman" w:hAnsi="Times New Roman"/>
        </w:rPr>
        <w:t>(</w:t>
      </w:r>
      <w:r w:rsidR="006021CF">
        <w:rPr>
          <w:rFonts w:ascii="Times New Roman" w:hAnsi="Times New Roman"/>
        </w:rPr>
        <w:t>Mar. 11, 2019</w:t>
      </w:r>
      <w:r w:rsidRPr="002A1F3D">
        <w:rPr>
          <w:rFonts w:ascii="Times New Roman" w:hAnsi="Times New Roman"/>
        </w:rPr>
        <w:t>) (“60-Day Notice”)</w:t>
      </w:r>
      <w:r w:rsidR="006914B0" w:rsidRPr="006914B0">
        <w:rPr>
          <w:rFonts w:ascii="Times New Roman" w:hAnsi="Times New Roman"/>
        </w:rPr>
        <w:t xml:space="preserve">, </w:t>
      </w:r>
      <w:r w:rsidRPr="002A1F3D">
        <w:rPr>
          <w:rFonts w:ascii="Times New Roman" w:hAnsi="Times New Roman"/>
        </w:rPr>
        <w:t xml:space="preserve">the Commission addressed the PRA implications of the revisions to Form </w:t>
      </w:r>
      <w:r w:rsidR="006021CF">
        <w:rPr>
          <w:rFonts w:ascii="Times New Roman" w:hAnsi="Times New Roman"/>
        </w:rPr>
        <w:t>7</w:t>
      </w:r>
      <w:r w:rsidRPr="002A1F3D">
        <w:rPr>
          <w:rFonts w:ascii="Times New Roman" w:hAnsi="Times New Roman"/>
        </w:rPr>
        <w:t>-R</w:t>
      </w:r>
      <w:r w:rsidR="008E1ACE">
        <w:rPr>
          <w:rFonts w:ascii="Times New Roman" w:hAnsi="Times New Roman"/>
        </w:rPr>
        <w:t xml:space="preserve"> and </w:t>
      </w:r>
      <w:r w:rsidR="00F47E65">
        <w:rPr>
          <w:rFonts w:ascii="Times New Roman" w:hAnsi="Times New Roman"/>
        </w:rPr>
        <w:t>requested public comment on the PRA implications of the</w:t>
      </w:r>
      <w:r w:rsidR="008E1ACE">
        <w:rPr>
          <w:rFonts w:ascii="Times New Roman" w:hAnsi="Times New Roman"/>
        </w:rPr>
        <w:t>se</w:t>
      </w:r>
      <w:r w:rsidR="00F47E65">
        <w:rPr>
          <w:rFonts w:ascii="Times New Roman" w:hAnsi="Times New Roman"/>
        </w:rPr>
        <w:t xml:space="preserve"> revisions.</w:t>
      </w:r>
      <w:r w:rsidR="006914B0" w:rsidRPr="006914B0">
        <w:rPr>
          <w:rFonts w:ascii="Times New Roman" w:hAnsi="Times New Roman"/>
        </w:rPr>
        <w:t xml:space="preserve">  </w:t>
      </w:r>
      <w:r w:rsidR="00FC4918" w:rsidRPr="00FC4918">
        <w:rPr>
          <w:rFonts w:ascii="Times New Roman" w:eastAsia="Calibri" w:hAnsi="Times New Roman"/>
        </w:rPr>
        <w:t>The Commission received one relevant comment letter that: (1) contended that a new question that was added to Question E of Form 7-R directing the applicant to disclose whether it has ever been found to have “failed to supervise another person’s activities under any investment-related statute or regulation” is redundant because Question E already requires an applicant to disclose whether it has “violated any provision of any investment-related statute or regulation thereunder”; and (2) suggested broadening Question G of Form 7-R by deleting the portion of that question that only requires disclosure of self-regulatory organizations actions “that prevented or restricted the firm’s ability to engage in any business in the financial services industry.”</w:t>
      </w:r>
      <w:r w:rsidR="00FC4918" w:rsidRPr="00FC4918">
        <w:rPr>
          <w:rFonts w:ascii="Times New Roman" w:eastAsia="Calibri" w:hAnsi="Times New Roman"/>
          <w:vertAlign w:val="superscript"/>
        </w:rPr>
        <w:footnoteReference w:id="5"/>
      </w:r>
      <w:r w:rsidR="00FC4918" w:rsidRPr="00FC4918">
        <w:rPr>
          <w:rFonts w:ascii="Times New Roman" w:eastAsia="Calibri" w:hAnsi="Times New Roman"/>
        </w:rPr>
        <w:t xml:space="preserve">  The letter did not address or offer alternatives to the Commission’s estimates of the burden associated with revised Form 7-R.  The Commission has determined that no further changes to Form 7-R or the information collection burdens associated therewith are warranted in response to this comment because:  (1) the new required disclosure item in Question E </w:t>
      </w:r>
      <w:r w:rsidR="005F56DD">
        <w:rPr>
          <w:rFonts w:ascii="Times New Roman" w:eastAsia="Calibri" w:hAnsi="Times New Roman"/>
        </w:rPr>
        <w:t>asks for different information</w:t>
      </w:r>
      <w:r w:rsidR="00FC4918" w:rsidRPr="00FC4918">
        <w:rPr>
          <w:rFonts w:ascii="Times New Roman" w:eastAsia="Calibri" w:hAnsi="Times New Roman"/>
        </w:rPr>
        <w:t xml:space="preserve"> than the existing item</w:t>
      </w:r>
      <w:r w:rsidR="005F56DD">
        <w:rPr>
          <w:rFonts w:ascii="Times New Roman" w:eastAsia="Calibri" w:hAnsi="Times New Roman"/>
        </w:rPr>
        <w:t xml:space="preserve"> that was claimed to be redundant,</w:t>
      </w:r>
      <w:r w:rsidR="00FC4918" w:rsidRPr="00FC4918">
        <w:rPr>
          <w:rFonts w:ascii="Times New Roman" w:eastAsia="Calibri" w:hAnsi="Times New Roman"/>
        </w:rPr>
        <w:t xml:space="preserve"> and is intended to ensure complete disclosure of conduct that may result in a refusal or limitation on registration;</w:t>
      </w:r>
      <w:r w:rsidR="00FC4918" w:rsidRPr="00FC4918">
        <w:rPr>
          <w:rFonts w:ascii="Times New Roman" w:eastAsia="Calibri" w:hAnsi="Times New Roman"/>
          <w:vertAlign w:val="superscript"/>
        </w:rPr>
        <w:footnoteReference w:id="6"/>
      </w:r>
      <w:r w:rsidR="00FC4918" w:rsidRPr="00FC4918">
        <w:rPr>
          <w:rFonts w:ascii="Times New Roman" w:eastAsia="Calibri" w:hAnsi="Times New Roman"/>
        </w:rPr>
        <w:t xml:space="preserve"> and (2) the Commission believes that the suggested broadening of Question G would require disclosure of matters that are outside the jurisdiction of the Commission.</w:t>
      </w:r>
      <w:r w:rsidR="00FC4918" w:rsidRPr="00FC4918">
        <w:rPr>
          <w:rFonts w:ascii="Times New Roman" w:eastAsia="Calibri" w:hAnsi="Times New Roman"/>
          <w:vertAlign w:val="superscript"/>
        </w:rPr>
        <w:footnoteReference w:id="7"/>
      </w:r>
      <w:r w:rsidR="00FC4918" w:rsidRPr="00FC4918">
        <w:rPr>
          <w:rFonts w:ascii="Times New Roman" w:eastAsia="Calibri" w:hAnsi="Times New Roman"/>
        </w:rPr>
        <w:t xml:space="preserve">  </w:t>
      </w:r>
      <w:r w:rsidR="00594B5C">
        <w:rPr>
          <w:rFonts w:ascii="Times New Roman" w:hAnsi="Times New Roman"/>
        </w:rPr>
        <w:t xml:space="preserve">  </w:t>
      </w:r>
      <w:r w:rsidR="00693ECD">
        <w:rPr>
          <w:rFonts w:ascii="Times New Roman" w:hAnsi="Times New Roman"/>
        </w:rPr>
        <w:br/>
      </w:r>
    </w:p>
    <w:p w14:paraId="17E9A4B4" w14:textId="77777777" w:rsidR="008377C4" w:rsidRDefault="008377C4">
      <w:pPr>
        <w:tabs>
          <w:tab w:val="left" w:pos="-720"/>
        </w:tabs>
        <w:spacing w:after="240"/>
        <w:ind w:left="720"/>
        <w:jc w:val="both"/>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96040DD" w14:textId="77777777" w:rsidR="008377C4" w:rsidRDefault="00AE73CD">
      <w:pPr>
        <w:tabs>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No such circumstances are anticipated.  </w:t>
      </w:r>
    </w:p>
    <w:p w14:paraId="7CA55651"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 xml:space="preserve">Explain any decision to provide any payment or gift to respondents, other than </w:t>
      </w:r>
      <w:r w:rsidR="00304517">
        <w:rPr>
          <w:rFonts w:ascii="Times New Roman" w:hAnsi="Times New Roman"/>
          <w:b/>
        </w:rPr>
        <w:t>remuneration</w:t>
      </w:r>
      <w:r>
        <w:rPr>
          <w:rFonts w:ascii="Times New Roman" w:hAnsi="Times New Roman"/>
          <w:b/>
        </w:rPr>
        <w:t xml:space="preserve"> of contractors or grantees.</w:t>
      </w:r>
    </w:p>
    <w:p w14:paraId="6DED612D" w14:textId="77777777" w:rsidR="008377C4" w:rsidRDefault="00AE73CD">
      <w:pPr>
        <w:tabs>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w:t>
      </w:r>
      <w:r w:rsidR="00042BC8">
        <w:rPr>
          <w:rFonts w:ascii="Times New Roman" w:hAnsi="Times New Roman"/>
        </w:rPr>
        <w:t xml:space="preserve">The Commission has neither considered </w:t>
      </w:r>
      <w:r w:rsidR="0019725E">
        <w:rPr>
          <w:rFonts w:ascii="Times New Roman" w:hAnsi="Times New Roman"/>
        </w:rPr>
        <w:t xml:space="preserve">nor </w:t>
      </w:r>
      <w:r w:rsidR="00042BC8">
        <w:rPr>
          <w:rFonts w:ascii="Times New Roman" w:hAnsi="Times New Roman"/>
        </w:rPr>
        <w:t>made</w:t>
      </w:r>
      <w:r w:rsidR="0019725E">
        <w:rPr>
          <w:rFonts w:ascii="Times New Roman" w:hAnsi="Times New Roman"/>
        </w:rPr>
        <w:t xml:space="preserve"> </w:t>
      </w:r>
      <w:r w:rsidR="00042BC8">
        <w:rPr>
          <w:rFonts w:ascii="Times New Roman" w:hAnsi="Times New Roman"/>
        </w:rPr>
        <w:t xml:space="preserve">any </w:t>
      </w:r>
      <w:r w:rsidR="008377C4">
        <w:rPr>
          <w:rFonts w:ascii="Times New Roman" w:hAnsi="Times New Roman"/>
        </w:rPr>
        <w:t xml:space="preserve">payment or gift to </w:t>
      </w:r>
      <w:r w:rsidR="00042BC8">
        <w:rPr>
          <w:rFonts w:ascii="Times New Roman" w:hAnsi="Times New Roman"/>
        </w:rPr>
        <w:t xml:space="preserve">a </w:t>
      </w:r>
      <w:r w:rsidR="008377C4">
        <w:rPr>
          <w:rFonts w:ascii="Times New Roman" w:hAnsi="Times New Roman"/>
        </w:rPr>
        <w:t>respondent.</w:t>
      </w:r>
    </w:p>
    <w:p w14:paraId="46B5F003"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14:paraId="4CC575E3" w14:textId="77777777" w:rsidR="00295F14" w:rsidRDefault="00AE73CD" w:rsidP="00295F14">
      <w:pPr>
        <w:tabs>
          <w:tab w:val="left" w:pos="-720"/>
        </w:tabs>
        <w:spacing w:after="240"/>
        <w:jc w:val="both"/>
        <w:rPr>
          <w:rFonts w:ascii="Times New Roman" w:hAnsi="Times New Roman"/>
        </w:rPr>
      </w:pPr>
      <w:r>
        <w:rPr>
          <w:rFonts w:ascii="Times New Roman" w:hAnsi="Times New Roman"/>
        </w:rPr>
        <w:tab/>
      </w:r>
      <w:r w:rsidR="009176AC" w:rsidRPr="009176AC">
        <w:rPr>
          <w:rFonts w:ascii="Times New Roman" w:hAnsi="Times New Roman"/>
        </w:rPr>
        <w:t>The Commission does not provide respondents with an assurance of confidentiality.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(in Parts 145 and 147 of the Commission Regulations) to protect the confidentiality of information it receives from registrants and market participants.</w:t>
      </w:r>
    </w:p>
    <w:p w14:paraId="4E48544A"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7D67805" w14:textId="77777777" w:rsidR="008377C4" w:rsidRDefault="00AE73CD">
      <w:pPr>
        <w:tabs>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The </w:t>
      </w:r>
      <w:r w:rsidR="00014F76">
        <w:rPr>
          <w:rFonts w:ascii="Times New Roman" w:hAnsi="Times New Roman"/>
        </w:rPr>
        <w:t xml:space="preserve">Form </w:t>
      </w:r>
      <w:r w:rsidR="000D75EF">
        <w:rPr>
          <w:rFonts w:ascii="Times New Roman" w:hAnsi="Times New Roman"/>
        </w:rPr>
        <w:t>7</w:t>
      </w:r>
      <w:r w:rsidR="00014F76">
        <w:rPr>
          <w:rFonts w:ascii="Times New Roman" w:hAnsi="Times New Roman"/>
        </w:rPr>
        <w:t>-R</w:t>
      </w:r>
      <w:r w:rsidR="008377C4">
        <w:rPr>
          <w:rFonts w:ascii="Times New Roman" w:hAnsi="Times New Roman"/>
        </w:rPr>
        <w:t xml:space="preserve"> do</w:t>
      </w:r>
      <w:r w:rsidR="00E63490">
        <w:rPr>
          <w:rFonts w:ascii="Times New Roman" w:hAnsi="Times New Roman"/>
        </w:rPr>
        <w:t>es</w:t>
      </w:r>
      <w:r w:rsidR="008377C4">
        <w:rPr>
          <w:rFonts w:ascii="Times New Roman" w:hAnsi="Times New Roman"/>
        </w:rPr>
        <w:t xml:space="preserve"> not request or require the provision of sensitive information, </w:t>
      </w:r>
      <w:r w:rsidR="00D16AF5">
        <w:rPr>
          <w:rFonts w:ascii="Times New Roman" w:hAnsi="Times New Roman"/>
        </w:rPr>
        <w:t>as that term is used in Item</w:t>
      </w:r>
      <w:r w:rsidR="008377C4">
        <w:rPr>
          <w:rFonts w:ascii="Times New Roman" w:hAnsi="Times New Roman"/>
        </w:rPr>
        <w:t xml:space="preserve"> 11.</w:t>
      </w:r>
    </w:p>
    <w:p w14:paraId="09C72931"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14:paraId="3883FA51"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A26D423"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14:paraId="7EA50CF7"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1CEF6029" w14:textId="77777777" w:rsidR="000C47E7" w:rsidRPr="000C47E7" w:rsidRDefault="000D75EF" w:rsidP="00AE73CD">
      <w:pPr>
        <w:ind w:firstLine="720"/>
        <w:jc w:val="both"/>
        <w:rPr>
          <w:rFonts w:ascii="Times New Roman" w:hAnsi="Times New Roman"/>
        </w:rPr>
      </w:pPr>
      <w:r>
        <w:rPr>
          <w:rFonts w:ascii="Times New Roman" w:hAnsi="Times New Roman"/>
        </w:rPr>
        <w:t>The Commission believes that the revisions to Form 7-R will result in no net change to the information collection burdens associated with that form under</w:t>
      </w:r>
      <w:r w:rsidR="00AE0875">
        <w:rPr>
          <w:rFonts w:ascii="Times New Roman" w:hAnsi="Times New Roman"/>
        </w:rPr>
        <w:t xml:space="preserve"> OMB control number</w:t>
      </w:r>
      <w:r>
        <w:rPr>
          <w:rFonts w:ascii="Times New Roman" w:hAnsi="Times New Roman"/>
        </w:rPr>
        <w:t>s</w:t>
      </w:r>
      <w:r w:rsidR="00AE0875">
        <w:rPr>
          <w:rFonts w:ascii="Times New Roman" w:hAnsi="Times New Roman"/>
        </w:rPr>
        <w:t xml:space="preserve"> </w:t>
      </w:r>
      <w:r>
        <w:rPr>
          <w:rFonts w:ascii="Times New Roman" w:hAnsi="Times New Roman"/>
        </w:rPr>
        <w:t xml:space="preserve">3038-0023 and </w:t>
      </w:r>
      <w:r w:rsidR="00AE0875">
        <w:rPr>
          <w:rFonts w:ascii="Times New Roman" w:hAnsi="Times New Roman"/>
        </w:rPr>
        <w:t>3038-0072</w:t>
      </w:r>
      <w:r>
        <w:rPr>
          <w:rFonts w:ascii="Times New Roman" w:hAnsi="Times New Roman"/>
        </w:rPr>
        <w:t xml:space="preserve">.  With respect to control number 3038-0072, </w:t>
      </w:r>
      <w:r w:rsidR="00AE0875">
        <w:rPr>
          <w:rFonts w:ascii="Times New Roman" w:hAnsi="Times New Roman"/>
        </w:rPr>
        <w:t xml:space="preserve">which covers users of Form </w:t>
      </w:r>
      <w:r>
        <w:rPr>
          <w:rFonts w:ascii="Times New Roman" w:hAnsi="Times New Roman"/>
        </w:rPr>
        <w:t>7</w:t>
      </w:r>
      <w:r w:rsidR="000C34EF">
        <w:rPr>
          <w:rFonts w:ascii="Times New Roman" w:hAnsi="Times New Roman"/>
        </w:rPr>
        <w:noBreakHyphen/>
      </w:r>
      <w:r w:rsidR="00AE0875">
        <w:rPr>
          <w:rFonts w:ascii="Times New Roman" w:hAnsi="Times New Roman"/>
        </w:rPr>
        <w:t>R that are swap dealer</w:t>
      </w:r>
      <w:r>
        <w:rPr>
          <w:rFonts w:ascii="Times New Roman" w:hAnsi="Times New Roman"/>
        </w:rPr>
        <w:t>s</w:t>
      </w:r>
      <w:r w:rsidR="00AE0875">
        <w:rPr>
          <w:rFonts w:ascii="Times New Roman" w:hAnsi="Times New Roman"/>
        </w:rPr>
        <w:t xml:space="preserve"> or major swap participant</w:t>
      </w:r>
      <w:r>
        <w:rPr>
          <w:rFonts w:ascii="Times New Roman" w:hAnsi="Times New Roman"/>
        </w:rPr>
        <w:t>s</w:t>
      </w:r>
      <w:r w:rsidR="00AE0875">
        <w:rPr>
          <w:rFonts w:ascii="Times New Roman" w:hAnsi="Times New Roman"/>
        </w:rPr>
        <w:t>, t</w:t>
      </w:r>
      <w:r w:rsidR="001957A9">
        <w:rPr>
          <w:rFonts w:ascii="Times New Roman" w:hAnsi="Times New Roman"/>
        </w:rPr>
        <w:t>he</w:t>
      </w:r>
      <w:r w:rsidR="0019146A" w:rsidRPr="0019146A">
        <w:rPr>
          <w:rFonts w:ascii="Times New Roman" w:hAnsi="Times New Roman"/>
        </w:rPr>
        <w:t xml:space="preserve"> Commission staff estimates that </w:t>
      </w:r>
      <w:r w:rsidR="001108BD">
        <w:rPr>
          <w:rFonts w:ascii="Times New Roman" w:hAnsi="Times New Roman"/>
        </w:rPr>
        <w:t xml:space="preserve">in the aggregate </w:t>
      </w:r>
      <w:r w:rsidR="0019146A" w:rsidRPr="0019146A">
        <w:rPr>
          <w:rFonts w:ascii="Times New Roman" w:hAnsi="Times New Roman"/>
        </w:rPr>
        <w:t>the</w:t>
      </w:r>
      <w:r w:rsidR="009C508F">
        <w:rPr>
          <w:rFonts w:ascii="Times New Roman" w:hAnsi="Times New Roman"/>
        </w:rPr>
        <w:t>re are 772</w:t>
      </w:r>
      <w:r w:rsidR="00AE0875">
        <w:rPr>
          <w:rFonts w:ascii="Times New Roman" w:hAnsi="Times New Roman"/>
        </w:rPr>
        <w:t xml:space="preserve"> respondents that will experience an estim</w:t>
      </w:r>
      <w:r w:rsidR="009C508F">
        <w:rPr>
          <w:rFonts w:ascii="Times New Roman" w:hAnsi="Times New Roman"/>
        </w:rPr>
        <w:t xml:space="preserve">ated total annual burden of </w:t>
      </w:r>
      <w:r w:rsidR="00D72B9C">
        <w:rPr>
          <w:rFonts w:ascii="Times New Roman" w:hAnsi="Times New Roman"/>
        </w:rPr>
        <w:t>672</w:t>
      </w:r>
      <w:r w:rsidR="00AE0875">
        <w:rPr>
          <w:rFonts w:ascii="Times New Roman" w:hAnsi="Times New Roman"/>
        </w:rPr>
        <w:t xml:space="preserve"> hours</w:t>
      </w:r>
      <w:r>
        <w:rPr>
          <w:rFonts w:ascii="Times New Roman" w:hAnsi="Times New Roman"/>
        </w:rPr>
        <w:t>.</w:t>
      </w:r>
      <w:r w:rsidR="000C34EF">
        <w:rPr>
          <w:rStyle w:val="FootnoteReference"/>
          <w:rFonts w:ascii="Times New Roman" w:hAnsi="Times New Roman"/>
        </w:rPr>
        <w:footnoteReference w:id="8"/>
      </w:r>
      <w:r w:rsidR="00AE0875">
        <w:rPr>
          <w:rFonts w:ascii="Times New Roman" w:hAnsi="Times New Roman"/>
        </w:rPr>
        <w:t xml:space="preserve"> </w:t>
      </w:r>
      <w:r w:rsidR="003A7E40">
        <w:rPr>
          <w:rFonts w:ascii="Times New Roman" w:hAnsi="Times New Roman"/>
        </w:rPr>
        <w:t xml:space="preserve"> </w:t>
      </w:r>
      <w:r w:rsidR="00AE0875">
        <w:rPr>
          <w:rFonts w:ascii="Times New Roman" w:hAnsi="Times New Roman"/>
        </w:rPr>
        <w:t xml:space="preserve">Regarding OMB control number 3038-0023, which covers all other users of Form </w:t>
      </w:r>
      <w:r>
        <w:rPr>
          <w:rFonts w:ascii="Times New Roman" w:hAnsi="Times New Roman"/>
        </w:rPr>
        <w:t>7</w:t>
      </w:r>
      <w:r w:rsidR="00AE0875">
        <w:rPr>
          <w:rFonts w:ascii="Times New Roman" w:hAnsi="Times New Roman"/>
        </w:rPr>
        <w:t>-R</w:t>
      </w:r>
      <w:r w:rsidR="005E6DF6">
        <w:rPr>
          <w:rFonts w:ascii="Times New Roman" w:hAnsi="Times New Roman"/>
        </w:rPr>
        <w:t>, specifically</w:t>
      </w:r>
      <w:r w:rsidR="007847C9">
        <w:rPr>
          <w:rFonts w:ascii="Times New Roman" w:hAnsi="Times New Roman"/>
        </w:rPr>
        <w:t xml:space="preserve"> </w:t>
      </w:r>
      <w:r w:rsidRPr="000D75EF">
        <w:rPr>
          <w:rFonts w:ascii="Times New Roman" w:hAnsi="Times New Roman"/>
        </w:rPr>
        <w:t>futures commission merchant</w:t>
      </w:r>
      <w:r>
        <w:rPr>
          <w:rFonts w:ascii="Times New Roman" w:hAnsi="Times New Roman"/>
        </w:rPr>
        <w:t>s</w:t>
      </w:r>
      <w:r w:rsidRPr="000D75EF">
        <w:rPr>
          <w:rFonts w:ascii="Times New Roman" w:hAnsi="Times New Roman"/>
        </w:rPr>
        <w:t>, retail foreign exchange dealer</w:t>
      </w:r>
      <w:r>
        <w:rPr>
          <w:rFonts w:ascii="Times New Roman" w:hAnsi="Times New Roman"/>
        </w:rPr>
        <w:t>s</w:t>
      </w:r>
      <w:r w:rsidRPr="000D75EF">
        <w:rPr>
          <w:rFonts w:ascii="Times New Roman" w:hAnsi="Times New Roman"/>
        </w:rPr>
        <w:t>, introducing broker</w:t>
      </w:r>
      <w:r>
        <w:rPr>
          <w:rFonts w:ascii="Times New Roman" w:hAnsi="Times New Roman"/>
        </w:rPr>
        <w:t>s</w:t>
      </w:r>
      <w:r w:rsidRPr="000D75EF">
        <w:rPr>
          <w:rFonts w:ascii="Times New Roman" w:hAnsi="Times New Roman"/>
        </w:rPr>
        <w:t>, commodity trading advisor</w:t>
      </w:r>
      <w:r>
        <w:rPr>
          <w:rFonts w:ascii="Times New Roman" w:hAnsi="Times New Roman"/>
        </w:rPr>
        <w:t>s</w:t>
      </w:r>
      <w:r w:rsidRPr="000D75EF">
        <w:rPr>
          <w:rFonts w:ascii="Times New Roman" w:hAnsi="Times New Roman"/>
        </w:rPr>
        <w:t>, commodity pool operator</w:t>
      </w:r>
      <w:r>
        <w:rPr>
          <w:rFonts w:ascii="Times New Roman" w:hAnsi="Times New Roman"/>
        </w:rPr>
        <w:t>s</w:t>
      </w:r>
      <w:r w:rsidRPr="000D75EF">
        <w:rPr>
          <w:rFonts w:ascii="Times New Roman" w:hAnsi="Times New Roman"/>
        </w:rPr>
        <w:t xml:space="preserve">, </w:t>
      </w:r>
      <w:r w:rsidR="00803D4D">
        <w:rPr>
          <w:rFonts w:ascii="Times New Roman" w:hAnsi="Times New Roman"/>
        </w:rPr>
        <w:t xml:space="preserve">floor trader firms, </w:t>
      </w:r>
      <w:r>
        <w:rPr>
          <w:rFonts w:ascii="Times New Roman" w:hAnsi="Times New Roman"/>
        </w:rPr>
        <w:t xml:space="preserve">and </w:t>
      </w:r>
      <w:r w:rsidRPr="000D75EF">
        <w:rPr>
          <w:rFonts w:ascii="Times New Roman" w:hAnsi="Times New Roman"/>
        </w:rPr>
        <w:t>leverage transaction merchant</w:t>
      </w:r>
      <w:r>
        <w:rPr>
          <w:rFonts w:ascii="Times New Roman" w:hAnsi="Times New Roman"/>
        </w:rPr>
        <w:t>s</w:t>
      </w:r>
      <w:r w:rsidR="00AE0875">
        <w:rPr>
          <w:rFonts w:ascii="Times New Roman" w:hAnsi="Times New Roman"/>
        </w:rPr>
        <w:t>, the</w:t>
      </w:r>
      <w:r w:rsidR="00AE0875" w:rsidRPr="0019146A">
        <w:rPr>
          <w:rFonts w:ascii="Times New Roman" w:hAnsi="Times New Roman"/>
        </w:rPr>
        <w:t xml:space="preserve"> Commission staff estimates that </w:t>
      </w:r>
      <w:r w:rsidR="001108BD">
        <w:rPr>
          <w:rFonts w:ascii="Times New Roman" w:hAnsi="Times New Roman"/>
        </w:rPr>
        <w:t xml:space="preserve">in the aggregate </w:t>
      </w:r>
      <w:r w:rsidR="00AE0875" w:rsidRPr="0019146A">
        <w:rPr>
          <w:rFonts w:ascii="Times New Roman" w:hAnsi="Times New Roman"/>
        </w:rPr>
        <w:t>the</w:t>
      </w:r>
      <w:r w:rsidR="004B7838">
        <w:rPr>
          <w:rFonts w:ascii="Times New Roman" w:hAnsi="Times New Roman"/>
        </w:rPr>
        <w:t>re are 78,055</w:t>
      </w:r>
      <w:r w:rsidR="00AE0875">
        <w:rPr>
          <w:rFonts w:ascii="Times New Roman" w:hAnsi="Times New Roman"/>
        </w:rPr>
        <w:t xml:space="preserve"> respondents that will experience an estima</w:t>
      </w:r>
      <w:r w:rsidR="009C508F">
        <w:rPr>
          <w:rFonts w:ascii="Times New Roman" w:hAnsi="Times New Roman"/>
        </w:rPr>
        <w:t xml:space="preserve">ted total annual burden of </w:t>
      </w:r>
      <w:r w:rsidR="007847C9">
        <w:rPr>
          <w:rFonts w:ascii="Times New Roman" w:hAnsi="Times New Roman"/>
        </w:rPr>
        <w:t>7,735</w:t>
      </w:r>
      <w:r w:rsidR="00AE0875">
        <w:rPr>
          <w:rFonts w:ascii="Times New Roman" w:hAnsi="Times New Roman"/>
        </w:rPr>
        <w:t xml:space="preserve"> hours</w:t>
      </w:r>
      <w:r w:rsidR="00C60134">
        <w:rPr>
          <w:rFonts w:ascii="Times New Roman" w:hAnsi="Times New Roman"/>
        </w:rPr>
        <w:t>.</w:t>
      </w:r>
      <w:r w:rsidR="000C34EF">
        <w:rPr>
          <w:rStyle w:val="FootnoteReference"/>
          <w:rFonts w:ascii="Times New Roman" w:hAnsi="Times New Roman"/>
        </w:rPr>
        <w:footnoteReference w:id="9"/>
      </w:r>
    </w:p>
    <w:p w14:paraId="2648C51C" w14:textId="77777777" w:rsidR="00480313" w:rsidRDefault="00480313" w:rsidP="003F7819">
      <w:pPr>
        <w:jc w:val="both"/>
        <w:rPr>
          <w:rFonts w:ascii="Times New Roman" w:hAnsi="Times New Roman"/>
        </w:rPr>
      </w:pPr>
    </w:p>
    <w:p w14:paraId="50BE9033" w14:textId="77777777" w:rsidR="008377C4" w:rsidRDefault="008377C4">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14:paraId="39AEC3E1"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09D4FEE"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2E1011FD" w14:textId="77777777"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98ED70D" w14:textId="77777777" w:rsidR="00480313" w:rsidRPr="00480313" w:rsidRDefault="00E9442C" w:rsidP="00AE73CD">
      <w:pPr>
        <w:spacing w:after="240"/>
        <w:ind w:firstLine="720"/>
        <w:jc w:val="both"/>
        <w:rPr>
          <w:rFonts w:ascii="Times New Roman" w:hAnsi="Times New Roman"/>
        </w:rPr>
      </w:pPr>
      <w:r>
        <w:rPr>
          <w:rFonts w:ascii="Times New Roman" w:hAnsi="Times New Roman"/>
        </w:rPr>
        <w:t>The proposed rule involves no new start-up or operations and maintenance costs.</w:t>
      </w:r>
    </w:p>
    <w:p w14:paraId="37DCDF48"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2F6EAF50" w14:textId="77777777" w:rsidR="008377C4" w:rsidRDefault="00AE73CD">
      <w:pPr>
        <w:tabs>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It is not anticipated that the </w:t>
      </w:r>
      <w:r w:rsidR="003644D2">
        <w:rPr>
          <w:rFonts w:ascii="Times New Roman" w:hAnsi="Times New Roman"/>
        </w:rPr>
        <w:t xml:space="preserve">final </w:t>
      </w:r>
      <w:r w:rsidR="008377C4">
        <w:rPr>
          <w:rFonts w:ascii="Times New Roman" w:hAnsi="Times New Roman"/>
        </w:rPr>
        <w:t xml:space="preserve">regulations </w:t>
      </w:r>
      <w:r w:rsidR="00B86D95">
        <w:rPr>
          <w:rFonts w:ascii="Times New Roman" w:hAnsi="Times New Roman"/>
        </w:rPr>
        <w:t xml:space="preserve">will </w:t>
      </w:r>
      <w:r w:rsidR="008377C4">
        <w:rPr>
          <w:rFonts w:ascii="Times New Roman" w:hAnsi="Times New Roman"/>
        </w:rPr>
        <w:t>impose any additional costs to the Federal Government.</w:t>
      </w:r>
    </w:p>
    <w:p w14:paraId="444867F4"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14:paraId="28C8D7F4" w14:textId="77777777" w:rsidR="008377C4" w:rsidRDefault="00AE73CD">
      <w:pPr>
        <w:tabs>
          <w:tab w:val="left" w:pos="-720"/>
        </w:tabs>
        <w:spacing w:after="240"/>
        <w:jc w:val="both"/>
        <w:rPr>
          <w:rFonts w:ascii="Times New Roman" w:hAnsi="Times New Roman"/>
        </w:rPr>
      </w:pPr>
      <w:r>
        <w:rPr>
          <w:rFonts w:ascii="Times New Roman" w:hAnsi="Times New Roman"/>
        </w:rPr>
        <w:tab/>
      </w:r>
      <w:r w:rsidR="00C517F8">
        <w:rPr>
          <w:rFonts w:ascii="Times New Roman" w:hAnsi="Times New Roman"/>
        </w:rPr>
        <w:t>See response to 12</w:t>
      </w:r>
      <w:r w:rsidR="00E9442C">
        <w:rPr>
          <w:rFonts w:ascii="Times New Roman" w:hAnsi="Times New Roman"/>
        </w:rPr>
        <w:t>, above</w:t>
      </w:r>
      <w:r w:rsidR="008377C4">
        <w:rPr>
          <w:rFonts w:ascii="Times New Roman" w:hAnsi="Times New Roman"/>
        </w:rPr>
        <w:t xml:space="preserve">.  </w:t>
      </w:r>
    </w:p>
    <w:p w14:paraId="3C117D17"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05F89FD8" w14:textId="77777777" w:rsidR="008377C4" w:rsidRDefault="00AE73CD">
      <w:pPr>
        <w:tabs>
          <w:tab w:val="left" w:pos="-720"/>
        </w:tabs>
        <w:spacing w:after="240"/>
        <w:jc w:val="both"/>
        <w:rPr>
          <w:rFonts w:ascii="Times New Roman" w:hAnsi="Times New Roman"/>
        </w:rPr>
      </w:pPr>
      <w:r>
        <w:rPr>
          <w:rFonts w:ascii="Times New Roman" w:hAnsi="Times New Roman"/>
        </w:rPr>
        <w:tab/>
      </w:r>
      <w:r w:rsidR="00B86D95">
        <w:rPr>
          <w:rFonts w:ascii="Times New Roman" w:hAnsi="Times New Roman"/>
        </w:rPr>
        <w:t>N</w:t>
      </w:r>
      <w:r w:rsidR="008377C4">
        <w:rPr>
          <w:rFonts w:ascii="Times New Roman" w:hAnsi="Times New Roman"/>
        </w:rPr>
        <w:t xml:space="preserve">ot </w:t>
      </w:r>
      <w:r w:rsidR="00B86D95">
        <w:rPr>
          <w:rFonts w:ascii="Times New Roman" w:hAnsi="Times New Roman"/>
        </w:rPr>
        <w:t>applicable</w:t>
      </w:r>
      <w:r w:rsidR="008377C4">
        <w:rPr>
          <w:rFonts w:ascii="Times New Roman" w:hAnsi="Times New Roman"/>
        </w:rPr>
        <w:t>.</w:t>
      </w:r>
    </w:p>
    <w:p w14:paraId="2E18D5B2" w14:textId="77777777" w:rsidR="008377C4" w:rsidRDefault="008377C4">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14:paraId="09CAD84C" w14:textId="77777777" w:rsidR="008377C4" w:rsidRDefault="00AE73CD">
      <w:pPr>
        <w:tabs>
          <w:tab w:val="left" w:pos="-720"/>
        </w:tabs>
        <w:spacing w:after="240"/>
        <w:jc w:val="both"/>
        <w:rPr>
          <w:rFonts w:ascii="Times New Roman" w:hAnsi="Times New Roman"/>
        </w:rPr>
      </w:pPr>
      <w:r>
        <w:rPr>
          <w:rFonts w:ascii="Times New Roman" w:hAnsi="Times New Roman"/>
        </w:rPr>
        <w:tab/>
      </w:r>
      <w:r w:rsidR="00B86D95">
        <w:rPr>
          <w:rFonts w:ascii="Times New Roman" w:hAnsi="Times New Roman"/>
        </w:rPr>
        <w:t>N</w:t>
      </w:r>
      <w:r w:rsidR="008377C4">
        <w:rPr>
          <w:rFonts w:ascii="Times New Roman" w:hAnsi="Times New Roman"/>
        </w:rPr>
        <w:t>ot appl</w:t>
      </w:r>
      <w:r w:rsidR="00B86D95">
        <w:rPr>
          <w:rFonts w:ascii="Times New Roman" w:hAnsi="Times New Roman"/>
        </w:rPr>
        <w:t>icable</w:t>
      </w:r>
      <w:r w:rsidR="008377C4">
        <w:rPr>
          <w:rFonts w:ascii="Times New Roman" w:hAnsi="Times New Roman"/>
        </w:rPr>
        <w:t>.</w:t>
      </w:r>
    </w:p>
    <w:p w14:paraId="45D88BCA" w14:textId="77777777" w:rsidR="008377C4" w:rsidRDefault="008377C4">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 xml:space="preserve">Explain each exception to the certification statement identified in Item 19, </w:t>
      </w:r>
      <w:r w:rsidR="00B86D95">
        <w:rPr>
          <w:rFonts w:ascii="Times New Roman" w:hAnsi="Times New Roman"/>
          <w:b/>
        </w:rPr>
        <w:t>“</w:t>
      </w:r>
      <w:r>
        <w:rPr>
          <w:rFonts w:ascii="Times New Roman" w:hAnsi="Times New Roman"/>
          <w:b/>
        </w:rPr>
        <w:t>Certification for Paperwork Reduction Act Submissions,</w:t>
      </w:r>
      <w:r w:rsidR="00B86D95">
        <w:rPr>
          <w:rFonts w:ascii="Times New Roman" w:hAnsi="Times New Roman"/>
          <w:b/>
        </w:rPr>
        <w:t>”</w:t>
      </w:r>
      <w:r>
        <w:rPr>
          <w:rFonts w:ascii="Times New Roman" w:hAnsi="Times New Roman"/>
          <w:b/>
        </w:rPr>
        <w:t xml:space="preserve"> of OMB Form 83-I.</w:t>
      </w:r>
    </w:p>
    <w:p w14:paraId="1F77965B" w14:textId="77777777" w:rsidR="008377C4" w:rsidRDefault="00AE73CD">
      <w:pPr>
        <w:tabs>
          <w:tab w:val="left" w:pos="-720"/>
        </w:tabs>
        <w:spacing w:after="240"/>
        <w:jc w:val="both"/>
        <w:rPr>
          <w:rFonts w:ascii="Times New Roman" w:hAnsi="Times New Roman"/>
        </w:rPr>
      </w:pPr>
      <w:r>
        <w:rPr>
          <w:rFonts w:ascii="Times New Roman" w:hAnsi="Times New Roman"/>
        </w:rPr>
        <w:tab/>
      </w:r>
      <w:r w:rsidR="004A318D">
        <w:rPr>
          <w:rFonts w:ascii="Times New Roman" w:hAnsi="Times New Roman"/>
        </w:rPr>
        <w:t>No</w:t>
      </w:r>
      <w:r w:rsidR="00E9442C">
        <w:rPr>
          <w:rFonts w:ascii="Times New Roman" w:hAnsi="Times New Roman"/>
        </w:rPr>
        <w:t>t applicable</w:t>
      </w:r>
      <w:r w:rsidR="004A318D">
        <w:rPr>
          <w:rFonts w:ascii="Times New Roman" w:hAnsi="Times New Roman"/>
        </w:rPr>
        <w:t>.</w:t>
      </w:r>
    </w:p>
    <w:p w14:paraId="49CFEFF5" w14:textId="77777777" w:rsidR="00840F04" w:rsidRPr="005C5072" w:rsidRDefault="00D35F83" w:rsidP="005C5072">
      <w:pPr>
        <w:tabs>
          <w:tab w:val="left" w:pos="-720"/>
        </w:tabs>
        <w:spacing w:after="240"/>
        <w:jc w:val="center"/>
        <w:rPr>
          <w:rFonts w:ascii="Times New Roman" w:hAnsi="Times New Roman"/>
          <w:b/>
          <w:u w:val="single"/>
        </w:rPr>
      </w:pPr>
      <w:r>
        <w:rPr>
          <w:rFonts w:ascii="Times New Roman" w:hAnsi="Times New Roman"/>
        </w:rPr>
        <w:br w:type="page"/>
      </w:r>
      <w:r w:rsidR="00840F04" w:rsidRPr="002A334B">
        <w:rPr>
          <w:rFonts w:ascii="Times New Roman" w:hAnsi="Times New Roman"/>
          <w:b/>
          <w:u w:val="single"/>
        </w:rPr>
        <w:t>Attachment A</w:t>
      </w:r>
    </w:p>
    <w:p w14:paraId="49356E1C" w14:textId="77777777" w:rsidR="00B60F99" w:rsidRDefault="00E80CE6" w:rsidP="00840F04">
      <w:pPr>
        <w:jc w:val="center"/>
        <w:rPr>
          <w:rFonts w:ascii="Times New Roman" w:hAnsi="Times New Roman"/>
          <w:b/>
          <w:bCs/>
        </w:rPr>
      </w:pPr>
      <w:r w:rsidRPr="00E80CE6">
        <w:rPr>
          <w:rFonts w:ascii="Times New Roman" w:hAnsi="Times New Roman"/>
          <w:b/>
          <w:bCs/>
        </w:rPr>
        <w:t>Registration Under the Commodity Exchange Act</w:t>
      </w:r>
    </w:p>
    <w:p w14:paraId="21CDF56D" w14:textId="77777777" w:rsidR="002A334B" w:rsidRPr="002A334B" w:rsidRDefault="00E80CE6" w:rsidP="00D521A3">
      <w:pPr>
        <w:jc w:val="center"/>
        <w:rPr>
          <w:rFonts w:ascii="Times New Roman" w:hAnsi="Times New Roman"/>
        </w:rPr>
      </w:pPr>
      <w:r>
        <w:rPr>
          <w:rFonts w:ascii="Times New Roman" w:hAnsi="Times New Roman"/>
          <w:b/>
          <w:bCs/>
        </w:rPr>
        <w:t>(OMB Control No. 3038-00</w:t>
      </w:r>
      <w:r w:rsidR="000E14C4">
        <w:rPr>
          <w:rFonts w:ascii="Times New Roman" w:hAnsi="Times New Roman"/>
          <w:b/>
          <w:bCs/>
        </w:rPr>
        <w:t>23)</w:t>
      </w:r>
      <w:r w:rsidR="005C5072">
        <w:rPr>
          <w:rFonts w:ascii="Times New Roman" w:hAnsi="Times New Roman"/>
        </w:rPr>
        <w:t xml:space="preserve">           </w:t>
      </w:r>
      <w:r w:rsidR="00D35F83" w:rsidRPr="00D35F83">
        <w:rPr>
          <w:rFonts w:ascii="Times New Roman" w:hAnsi="Times New Roman"/>
        </w:rPr>
        <w:t xml:space="preserve">                             </w:t>
      </w:r>
    </w:p>
    <w:p w14:paraId="754D147C" w14:textId="77777777" w:rsidR="002A334B" w:rsidRPr="00CE2CC4" w:rsidRDefault="002A334B" w:rsidP="002A334B">
      <w:pPr>
        <w:overflowPunct w:val="0"/>
        <w:autoSpaceDE w:val="0"/>
        <w:autoSpaceDN w:val="0"/>
        <w:adjustRightInd w:val="0"/>
        <w:textAlignment w:val="baseline"/>
        <w:rPr>
          <w:rFonts w:ascii="Times New Roman" w:hAnsi="Times New Roman"/>
          <w:sz w:val="16"/>
          <w:szCs w:val="16"/>
        </w:rPr>
      </w:pPr>
      <w:r w:rsidRPr="00CE2CC4">
        <w:rPr>
          <w:rFonts w:ascii="Times New Roman" w:hAnsi="Times New Roman"/>
          <w:sz w:val="16"/>
          <w:szCs w:val="16"/>
        </w:rPr>
        <w:t xml:space="preserve">                                                     </w:t>
      </w:r>
      <w:r>
        <w:rPr>
          <w:rFonts w:ascii="Times New Roman" w:hAnsi="Times New Roman"/>
          <w:sz w:val="16"/>
          <w:szCs w:val="16"/>
        </w:rPr>
        <w:t xml:space="preserve">                             </w:t>
      </w:r>
      <w:r w:rsidR="005C5072">
        <w:rPr>
          <w:rFonts w:ascii="Times New Roman" w:hAnsi="Times New Roman"/>
          <w:sz w:val="16"/>
          <w:szCs w:val="16"/>
        </w:rPr>
        <w:t xml:space="preserve">                      </w:t>
      </w:r>
    </w:p>
    <w:p w14:paraId="2917DA9A" w14:textId="77777777" w:rsidR="002A334B" w:rsidRPr="00CE2CC4" w:rsidRDefault="002A334B" w:rsidP="002A334B">
      <w:pPr>
        <w:overflowPunct w:val="0"/>
        <w:autoSpaceDE w:val="0"/>
        <w:autoSpaceDN w:val="0"/>
        <w:adjustRightInd w:val="0"/>
        <w:textAlignment w:val="baseline"/>
        <w:rPr>
          <w:rFonts w:ascii="Times New Roman" w:hAnsi="Times New Roman"/>
          <w:b/>
          <w:bCs/>
          <w:sz w:val="16"/>
          <w:szCs w:val="16"/>
        </w:rPr>
      </w:pPr>
      <w:r w:rsidRPr="00CE2CC4">
        <w:rPr>
          <w:rFonts w:ascii="Times New Roman" w:hAnsi="Times New Roman"/>
          <w:b/>
          <w:bCs/>
          <w:sz w:val="16"/>
          <w:szCs w:val="16"/>
        </w:rPr>
        <w:t xml:space="preserve">                                                                                                                                                                                </w:t>
      </w:r>
    </w:p>
    <w:tbl>
      <w:tblPr>
        <w:tblW w:w="9296" w:type="dxa"/>
        <w:tblInd w:w="103" w:type="dxa"/>
        <w:tblLook w:val="04A0" w:firstRow="1" w:lastRow="0" w:firstColumn="1" w:lastColumn="0" w:noHBand="0" w:noVBand="1"/>
      </w:tblPr>
      <w:tblGrid>
        <w:gridCol w:w="2700"/>
        <w:gridCol w:w="1399"/>
        <w:gridCol w:w="1360"/>
        <w:gridCol w:w="1286"/>
        <w:gridCol w:w="1245"/>
        <w:gridCol w:w="1356"/>
      </w:tblGrid>
      <w:tr w:rsidR="002A334B" w:rsidRPr="00CE2CC4" w14:paraId="371EA86D" w14:textId="77777777" w:rsidTr="00B327A0">
        <w:trPr>
          <w:trHeight w:val="1440"/>
        </w:trPr>
        <w:tc>
          <w:tcPr>
            <w:tcW w:w="2700" w:type="dxa"/>
            <w:shd w:val="clear" w:color="auto" w:fill="auto"/>
            <w:noWrap/>
            <w:vAlign w:val="bottom"/>
            <w:hideMark/>
          </w:tcPr>
          <w:p w14:paraId="1329FBAC" w14:textId="77777777" w:rsidR="002A334B" w:rsidRPr="00CE2CC4" w:rsidRDefault="002A334B" w:rsidP="00B327A0">
            <w:pPr>
              <w:overflowPunct w:val="0"/>
              <w:autoSpaceDE w:val="0"/>
              <w:autoSpaceDN w:val="0"/>
              <w:adjustRightInd w:val="0"/>
              <w:textAlignment w:val="baseline"/>
              <w:rPr>
                <w:rFonts w:ascii="Times New Roman" w:hAnsi="Times New Roman"/>
                <w:b/>
                <w:bCs/>
                <w:color w:val="000000"/>
                <w:sz w:val="16"/>
                <w:szCs w:val="16"/>
              </w:rPr>
            </w:pPr>
            <w:r w:rsidRPr="00CE2CC4">
              <w:rPr>
                <w:rFonts w:ascii="Times New Roman" w:hAnsi="Times New Roman"/>
                <w:b/>
                <w:bCs/>
                <w:sz w:val="16"/>
                <w:szCs w:val="16"/>
              </w:rPr>
              <w:t xml:space="preserve">                                                                                                                                                                                 </w:t>
            </w:r>
            <w:r w:rsidRPr="00CE2CC4">
              <w:rPr>
                <w:rFonts w:ascii="Times New Roman" w:hAnsi="Times New Roman"/>
                <w:b/>
                <w:bCs/>
                <w:color w:val="000000"/>
                <w:sz w:val="16"/>
                <w:szCs w:val="16"/>
              </w:rPr>
              <w:t>COLLECTION </w:t>
            </w:r>
          </w:p>
        </w:tc>
        <w:tc>
          <w:tcPr>
            <w:tcW w:w="1399" w:type="dxa"/>
            <w:shd w:val="clear" w:color="auto" w:fill="auto"/>
            <w:vAlign w:val="bottom"/>
            <w:hideMark/>
          </w:tcPr>
          <w:p w14:paraId="4CA8B207" w14:textId="77777777" w:rsidR="002A334B" w:rsidRPr="00CE2CC4" w:rsidRDefault="002A334B" w:rsidP="00B327A0">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bCs/>
                <w:sz w:val="16"/>
                <w:szCs w:val="16"/>
              </w:rPr>
              <w:t xml:space="preserve"> </w:t>
            </w:r>
            <w:r w:rsidRPr="00CE2CC4">
              <w:rPr>
                <w:rFonts w:ascii="Times New Roman" w:hAnsi="Times New Roman"/>
                <w:b/>
                <w:sz w:val="16"/>
                <w:szCs w:val="16"/>
              </w:rPr>
              <w:t xml:space="preserve">ESTIMATED # OF RESPONDENTS OR RECORD KEEPERS PER YEAR  </w:t>
            </w:r>
          </w:p>
        </w:tc>
        <w:tc>
          <w:tcPr>
            <w:tcW w:w="1310" w:type="dxa"/>
            <w:shd w:val="clear" w:color="auto" w:fill="auto"/>
            <w:vAlign w:val="bottom"/>
            <w:hideMark/>
          </w:tcPr>
          <w:p w14:paraId="7EC28763" w14:textId="77777777" w:rsidR="002A334B" w:rsidRPr="00CE2CC4" w:rsidRDefault="002A334B" w:rsidP="00B327A0">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sz w:val="16"/>
                <w:szCs w:val="16"/>
              </w:rPr>
              <w:t>REPORTS ANNUALLY BY EACH RESPONDENT</w:t>
            </w:r>
            <w:r w:rsidR="00437B00">
              <w:rPr>
                <w:rStyle w:val="FootnoteReference"/>
                <w:rFonts w:ascii="Times New Roman" w:hAnsi="Times New Roman"/>
                <w:b/>
                <w:sz w:val="16"/>
                <w:szCs w:val="16"/>
              </w:rPr>
              <w:footnoteReference w:id="10"/>
            </w:r>
          </w:p>
        </w:tc>
        <w:tc>
          <w:tcPr>
            <w:tcW w:w="1286" w:type="dxa"/>
            <w:shd w:val="clear" w:color="auto" w:fill="auto"/>
            <w:vAlign w:val="bottom"/>
            <w:hideMark/>
          </w:tcPr>
          <w:p w14:paraId="07D0E0CC" w14:textId="77777777" w:rsidR="002A334B" w:rsidRPr="00CE2CC4" w:rsidRDefault="002A334B" w:rsidP="00B327A0">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sz w:val="16"/>
                <w:szCs w:val="16"/>
              </w:rPr>
              <w:t xml:space="preserve">TOTAL ANNUAL RESPONSES </w:t>
            </w:r>
          </w:p>
        </w:tc>
        <w:tc>
          <w:tcPr>
            <w:tcW w:w="1245" w:type="dxa"/>
            <w:shd w:val="clear" w:color="auto" w:fill="auto"/>
            <w:vAlign w:val="bottom"/>
            <w:hideMark/>
          </w:tcPr>
          <w:p w14:paraId="734CA0F0" w14:textId="77777777" w:rsidR="002A334B" w:rsidRPr="00CE2CC4" w:rsidRDefault="002A334B" w:rsidP="00B327A0">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sz w:val="16"/>
                <w:szCs w:val="16"/>
              </w:rPr>
              <w:t>ESTIMATED AVERAGE NUMBER OF HOURS PER RESPONSE</w:t>
            </w:r>
            <w:r w:rsidR="00437B00">
              <w:rPr>
                <w:rStyle w:val="FootnoteReference"/>
                <w:rFonts w:ascii="Times New Roman" w:hAnsi="Times New Roman"/>
                <w:b/>
                <w:sz w:val="16"/>
                <w:szCs w:val="16"/>
              </w:rPr>
              <w:footnoteReference w:id="11"/>
            </w:r>
          </w:p>
        </w:tc>
        <w:tc>
          <w:tcPr>
            <w:tcW w:w="1356" w:type="dxa"/>
            <w:shd w:val="clear" w:color="auto" w:fill="auto"/>
            <w:vAlign w:val="bottom"/>
            <w:hideMark/>
          </w:tcPr>
          <w:p w14:paraId="5DC7052E" w14:textId="77777777" w:rsidR="002A334B" w:rsidRPr="00CE2CC4" w:rsidRDefault="002A334B" w:rsidP="00B327A0">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sz w:val="16"/>
                <w:szCs w:val="16"/>
              </w:rPr>
              <w:t>ESTIMATED TOTAL NUMBER OF  HOURS OF ANNUAL BURDEN IN FISCAL YEAR</w:t>
            </w:r>
          </w:p>
        </w:tc>
      </w:tr>
      <w:tr w:rsidR="002A334B" w:rsidRPr="00CE2CC4" w14:paraId="020F7A03" w14:textId="77777777" w:rsidTr="005C5072">
        <w:trPr>
          <w:trHeight w:val="450"/>
        </w:trPr>
        <w:tc>
          <w:tcPr>
            <w:tcW w:w="2700" w:type="dxa"/>
            <w:shd w:val="clear" w:color="auto" w:fill="auto"/>
            <w:noWrap/>
            <w:vAlign w:val="bottom"/>
            <w:hideMark/>
          </w:tcPr>
          <w:p w14:paraId="2E303AF6" w14:textId="77777777" w:rsidR="002A334B" w:rsidRPr="00CE2CC4" w:rsidRDefault="002A334B" w:rsidP="00B327A0">
            <w:pPr>
              <w:overflowPunct w:val="0"/>
              <w:autoSpaceDE w:val="0"/>
              <w:autoSpaceDN w:val="0"/>
              <w:adjustRightInd w:val="0"/>
              <w:textAlignment w:val="baseline"/>
              <w:rPr>
                <w:rFonts w:ascii="Times New Roman" w:hAnsi="Times New Roman"/>
                <w:b/>
                <w:bCs/>
                <w:color w:val="000000"/>
                <w:sz w:val="16"/>
                <w:szCs w:val="16"/>
              </w:rPr>
            </w:pPr>
          </w:p>
          <w:p w14:paraId="0B52AF49" w14:textId="77777777" w:rsidR="002A334B" w:rsidRPr="00CE2CC4" w:rsidRDefault="002A334B" w:rsidP="00B327A0">
            <w:pPr>
              <w:overflowPunct w:val="0"/>
              <w:autoSpaceDE w:val="0"/>
              <w:autoSpaceDN w:val="0"/>
              <w:adjustRightInd w:val="0"/>
              <w:textAlignment w:val="baseline"/>
              <w:rPr>
                <w:rFonts w:ascii="Times New Roman" w:hAnsi="Times New Roman"/>
                <w:b/>
                <w:bCs/>
                <w:color w:val="000000"/>
                <w:sz w:val="16"/>
                <w:szCs w:val="16"/>
              </w:rPr>
            </w:pPr>
          </w:p>
          <w:p w14:paraId="7E1B34AB" w14:textId="77777777" w:rsidR="002A334B" w:rsidRPr="00CE2CC4" w:rsidRDefault="00B60F99" w:rsidP="00437B00">
            <w:pPr>
              <w:overflowPunct w:val="0"/>
              <w:autoSpaceDE w:val="0"/>
              <w:autoSpaceDN w:val="0"/>
              <w:adjustRightInd w:val="0"/>
              <w:textAlignment w:val="baseline"/>
              <w:rPr>
                <w:rFonts w:ascii="Times New Roman" w:hAnsi="Times New Roman"/>
                <w:b/>
                <w:bCs/>
                <w:color w:val="000000"/>
                <w:sz w:val="16"/>
                <w:szCs w:val="16"/>
              </w:rPr>
            </w:pPr>
            <w:r>
              <w:rPr>
                <w:rFonts w:ascii="Times New Roman" w:hAnsi="Times New Roman"/>
                <w:b/>
                <w:bCs/>
                <w:color w:val="000000"/>
                <w:sz w:val="16"/>
                <w:szCs w:val="16"/>
              </w:rPr>
              <w:t>#</w:t>
            </w:r>
            <w:r w:rsidR="00437B00">
              <w:rPr>
                <w:rFonts w:ascii="Times New Roman" w:hAnsi="Times New Roman"/>
                <w:b/>
                <w:bCs/>
                <w:color w:val="000000"/>
                <w:sz w:val="16"/>
                <w:szCs w:val="16"/>
              </w:rPr>
              <w:t>3</w:t>
            </w:r>
            <w:r>
              <w:rPr>
                <w:rFonts w:ascii="Times New Roman" w:hAnsi="Times New Roman"/>
                <w:b/>
                <w:bCs/>
                <w:color w:val="000000"/>
                <w:sz w:val="16"/>
                <w:szCs w:val="16"/>
              </w:rPr>
              <w:t>038-0023</w:t>
            </w:r>
            <w:r w:rsidR="00437B00">
              <w:rPr>
                <w:rFonts w:ascii="Times New Roman" w:hAnsi="Times New Roman"/>
                <w:b/>
                <w:bCs/>
                <w:color w:val="000000"/>
                <w:sz w:val="16"/>
                <w:szCs w:val="16"/>
              </w:rPr>
              <w:t xml:space="preserve"> (1</w:t>
            </w:r>
            <w:r w:rsidR="00437B00" w:rsidRPr="00437B00">
              <w:rPr>
                <w:rFonts w:ascii="Times New Roman" w:hAnsi="Times New Roman"/>
                <w:b/>
                <w:bCs/>
                <w:color w:val="000000"/>
                <w:sz w:val="16"/>
                <w:szCs w:val="16"/>
                <w:vertAlign w:val="superscript"/>
              </w:rPr>
              <w:t>st</w:t>
            </w:r>
            <w:r w:rsidR="00437B00">
              <w:rPr>
                <w:rFonts w:ascii="Times New Roman" w:hAnsi="Times New Roman"/>
                <w:b/>
                <w:bCs/>
                <w:color w:val="000000"/>
                <w:sz w:val="16"/>
                <w:szCs w:val="16"/>
              </w:rPr>
              <w:t xml:space="preserve"> IC)</w:t>
            </w:r>
            <w:r>
              <w:rPr>
                <w:rFonts w:ascii="Times New Roman" w:hAnsi="Times New Roman"/>
                <w:b/>
                <w:bCs/>
                <w:color w:val="000000"/>
                <w:sz w:val="16"/>
                <w:szCs w:val="16"/>
              </w:rPr>
              <w:t xml:space="preserve"> </w:t>
            </w:r>
            <w:r w:rsidR="002A334B" w:rsidRPr="00CE2CC4">
              <w:rPr>
                <w:rFonts w:ascii="Times New Roman" w:hAnsi="Times New Roman"/>
                <w:b/>
                <w:bCs/>
                <w:color w:val="000000"/>
                <w:sz w:val="16"/>
                <w:szCs w:val="16"/>
              </w:rPr>
              <w:t xml:space="preserve">                                                                          </w:t>
            </w:r>
          </w:p>
        </w:tc>
        <w:tc>
          <w:tcPr>
            <w:tcW w:w="1399" w:type="dxa"/>
            <w:shd w:val="clear" w:color="auto" w:fill="auto"/>
            <w:noWrap/>
            <w:vAlign w:val="bottom"/>
            <w:hideMark/>
          </w:tcPr>
          <w:p w14:paraId="74C08A51" w14:textId="77777777" w:rsidR="002A334B" w:rsidRPr="00CE2CC4" w:rsidRDefault="00B60F99" w:rsidP="00B327A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7</w:t>
            </w:r>
            <w:r w:rsidR="00437B00">
              <w:rPr>
                <w:rFonts w:ascii="Times New Roman" w:hAnsi="Times New Roman"/>
                <w:b/>
                <w:sz w:val="16"/>
                <w:szCs w:val="16"/>
              </w:rPr>
              <w:t>7,857</w:t>
            </w:r>
          </w:p>
        </w:tc>
        <w:tc>
          <w:tcPr>
            <w:tcW w:w="1310" w:type="dxa"/>
            <w:shd w:val="clear" w:color="auto" w:fill="auto"/>
            <w:noWrap/>
            <w:vAlign w:val="bottom"/>
            <w:hideMark/>
          </w:tcPr>
          <w:p w14:paraId="19872B8E" w14:textId="77777777" w:rsidR="002A334B" w:rsidRPr="00CE2CC4" w:rsidRDefault="00437B00" w:rsidP="00B327A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0.15</w:t>
            </w:r>
          </w:p>
        </w:tc>
        <w:tc>
          <w:tcPr>
            <w:tcW w:w="1286" w:type="dxa"/>
            <w:shd w:val="clear" w:color="auto" w:fill="auto"/>
            <w:noWrap/>
            <w:vAlign w:val="bottom"/>
            <w:hideMark/>
          </w:tcPr>
          <w:p w14:paraId="719EB03D" w14:textId="77777777" w:rsidR="002A334B" w:rsidRPr="00CE2CC4" w:rsidRDefault="00437B00" w:rsidP="00353D87">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12,067</w:t>
            </w:r>
          </w:p>
        </w:tc>
        <w:tc>
          <w:tcPr>
            <w:tcW w:w="1245" w:type="dxa"/>
            <w:shd w:val="clear" w:color="auto" w:fill="auto"/>
            <w:noWrap/>
            <w:vAlign w:val="bottom"/>
            <w:hideMark/>
          </w:tcPr>
          <w:p w14:paraId="6FDC0334" w14:textId="77777777" w:rsidR="002A334B" w:rsidRPr="00CE2CC4" w:rsidRDefault="00437B00" w:rsidP="006C44CB">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0.60</w:t>
            </w:r>
          </w:p>
        </w:tc>
        <w:tc>
          <w:tcPr>
            <w:tcW w:w="1356" w:type="dxa"/>
            <w:shd w:val="clear" w:color="auto" w:fill="auto"/>
            <w:noWrap/>
            <w:vAlign w:val="bottom"/>
            <w:hideMark/>
          </w:tcPr>
          <w:p w14:paraId="6673C312" w14:textId="77777777" w:rsidR="002A334B" w:rsidRPr="00CE2CC4" w:rsidRDefault="00437B00" w:rsidP="00B327A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7,240</w:t>
            </w:r>
          </w:p>
        </w:tc>
      </w:tr>
      <w:tr w:rsidR="00437B00" w:rsidRPr="00CE2CC4" w14:paraId="69225CF0" w14:textId="77777777" w:rsidTr="00B327A0">
        <w:trPr>
          <w:trHeight w:val="240"/>
        </w:trPr>
        <w:tc>
          <w:tcPr>
            <w:tcW w:w="2700" w:type="dxa"/>
            <w:shd w:val="clear" w:color="auto" w:fill="auto"/>
            <w:noWrap/>
            <w:vAlign w:val="bottom"/>
          </w:tcPr>
          <w:p w14:paraId="26C86ADB" w14:textId="77777777" w:rsidR="00437B00" w:rsidRDefault="00437B00" w:rsidP="00B327A0">
            <w:pPr>
              <w:overflowPunct w:val="0"/>
              <w:autoSpaceDE w:val="0"/>
              <w:autoSpaceDN w:val="0"/>
              <w:adjustRightInd w:val="0"/>
              <w:textAlignment w:val="baseline"/>
              <w:rPr>
                <w:rFonts w:ascii="Times New Roman" w:hAnsi="Times New Roman"/>
                <w:b/>
                <w:bCs/>
                <w:color w:val="000000"/>
                <w:sz w:val="16"/>
                <w:szCs w:val="16"/>
              </w:rPr>
            </w:pPr>
          </w:p>
          <w:p w14:paraId="71B81C04" w14:textId="77777777" w:rsidR="00437B00" w:rsidRDefault="00437B00" w:rsidP="00B327A0">
            <w:pPr>
              <w:overflowPunct w:val="0"/>
              <w:autoSpaceDE w:val="0"/>
              <w:autoSpaceDN w:val="0"/>
              <w:adjustRightInd w:val="0"/>
              <w:textAlignment w:val="baseline"/>
              <w:rPr>
                <w:rFonts w:ascii="Times New Roman" w:hAnsi="Times New Roman"/>
                <w:b/>
                <w:bCs/>
                <w:color w:val="000000"/>
                <w:sz w:val="16"/>
                <w:szCs w:val="16"/>
              </w:rPr>
            </w:pPr>
          </w:p>
          <w:p w14:paraId="3F17A8BC" w14:textId="77777777" w:rsidR="00437B00" w:rsidRPr="00CE2CC4" w:rsidRDefault="00437B00" w:rsidP="00437B00">
            <w:pPr>
              <w:overflowPunct w:val="0"/>
              <w:autoSpaceDE w:val="0"/>
              <w:autoSpaceDN w:val="0"/>
              <w:adjustRightInd w:val="0"/>
              <w:textAlignment w:val="baseline"/>
              <w:rPr>
                <w:rFonts w:ascii="Times New Roman" w:hAnsi="Times New Roman"/>
                <w:b/>
                <w:bCs/>
                <w:color w:val="000000"/>
                <w:sz w:val="16"/>
                <w:szCs w:val="16"/>
              </w:rPr>
            </w:pPr>
            <w:r>
              <w:rPr>
                <w:rFonts w:ascii="Times New Roman" w:hAnsi="Times New Roman"/>
                <w:b/>
                <w:bCs/>
                <w:color w:val="000000"/>
                <w:sz w:val="16"/>
                <w:szCs w:val="16"/>
              </w:rPr>
              <w:t>#3038-0023 (2</w:t>
            </w:r>
            <w:r w:rsidRPr="00437B00">
              <w:rPr>
                <w:rFonts w:ascii="Times New Roman" w:hAnsi="Times New Roman"/>
                <w:b/>
                <w:bCs/>
                <w:color w:val="000000"/>
                <w:sz w:val="16"/>
                <w:szCs w:val="16"/>
                <w:vertAlign w:val="superscript"/>
              </w:rPr>
              <w:t>nd</w:t>
            </w:r>
            <w:r>
              <w:rPr>
                <w:rFonts w:ascii="Times New Roman" w:hAnsi="Times New Roman"/>
                <w:b/>
                <w:bCs/>
                <w:color w:val="000000"/>
                <w:sz w:val="16"/>
                <w:szCs w:val="16"/>
              </w:rPr>
              <w:t xml:space="preserve"> </w:t>
            </w:r>
            <w:r w:rsidRPr="00437B00">
              <w:rPr>
                <w:rFonts w:ascii="Times New Roman" w:hAnsi="Times New Roman"/>
                <w:b/>
                <w:bCs/>
                <w:color w:val="000000"/>
                <w:sz w:val="16"/>
                <w:szCs w:val="16"/>
              </w:rPr>
              <w:t>IC)</w:t>
            </w:r>
          </w:p>
        </w:tc>
        <w:tc>
          <w:tcPr>
            <w:tcW w:w="1399" w:type="dxa"/>
            <w:shd w:val="clear" w:color="auto" w:fill="auto"/>
            <w:noWrap/>
            <w:vAlign w:val="bottom"/>
          </w:tcPr>
          <w:p w14:paraId="09B101B4" w14:textId="77777777" w:rsidR="00437B00" w:rsidRDefault="00437B00" w:rsidP="00B327A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198</w:t>
            </w:r>
          </w:p>
        </w:tc>
        <w:tc>
          <w:tcPr>
            <w:tcW w:w="1310" w:type="dxa"/>
            <w:shd w:val="clear" w:color="auto" w:fill="auto"/>
            <w:noWrap/>
            <w:vAlign w:val="bottom"/>
          </w:tcPr>
          <w:p w14:paraId="669AFBDA" w14:textId="77777777" w:rsidR="00437B00" w:rsidRDefault="00437B00" w:rsidP="00B327A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1</w:t>
            </w:r>
          </w:p>
        </w:tc>
        <w:tc>
          <w:tcPr>
            <w:tcW w:w="1286" w:type="dxa"/>
            <w:shd w:val="clear" w:color="auto" w:fill="auto"/>
            <w:noWrap/>
            <w:vAlign w:val="bottom"/>
          </w:tcPr>
          <w:p w14:paraId="62BCD381" w14:textId="77777777" w:rsidR="00437B00" w:rsidRDefault="00437B00" w:rsidP="00353D87">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198</w:t>
            </w:r>
          </w:p>
        </w:tc>
        <w:tc>
          <w:tcPr>
            <w:tcW w:w="1245" w:type="dxa"/>
            <w:shd w:val="clear" w:color="auto" w:fill="auto"/>
            <w:noWrap/>
            <w:vAlign w:val="bottom"/>
          </w:tcPr>
          <w:p w14:paraId="010AD8A1" w14:textId="77777777" w:rsidR="00437B00" w:rsidRDefault="00437B00" w:rsidP="006C44CB">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2.5</w:t>
            </w:r>
          </w:p>
        </w:tc>
        <w:tc>
          <w:tcPr>
            <w:tcW w:w="1356" w:type="dxa"/>
            <w:shd w:val="clear" w:color="auto" w:fill="auto"/>
            <w:noWrap/>
            <w:vAlign w:val="bottom"/>
          </w:tcPr>
          <w:p w14:paraId="18254706" w14:textId="77777777" w:rsidR="00437B00" w:rsidRDefault="00437B00" w:rsidP="00B327A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495</w:t>
            </w:r>
          </w:p>
        </w:tc>
      </w:tr>
    </w:tbl>
    <w:p w14:paraId="66544B86" w14:textId="77777777" w:rsidR="00885109" w:rsidRPr="00885109" w:rsidRDefault="00885109" w:rsidP="002A334B">
      <w:pPr>
        <w:overflowPunct w:val="0"/>
        <w:autoSpaceDE w:val="0"/>
        <w:autoSpaceDN w:val="0"/>
        <w:adjustRightInd w:val="0"/>
        <w:textAlignment w:val="baseline"/>
        <w:rPr>
          <w:rFonts w:ascii="Times New Roman" w:hAnsi="Times New Roman"/>
        </w:rPr>
      </w:pPr>
    </w:p>
    <w:p w14:paraId="4AE23E3A" w14:textId="77777777" w:rsidR="00B60F99" w:rsidRDefault="00885109" w:rsidP="00885109">
      <w:pPr>
        <w:jc w:val="center"/>
        <w:rPr>
          <w:rFonts w:ascii="Times New Roman" w:hAnsi="Times New Roman"/>
          <w:b/>
          <w:bCs/>
        </w:rPr>
      </w:pPr>
      <w:r w:rsidRPr="00885109">
        <w:rPr>
          <w:rFonts w:ascii="Times New Roman" w:hAnsi="Times New Roman"/>
          <w:b/>
          <w:bCs/>
        </w:rPr>
        <w:t>Registration of Swap Deal</w:t>
      </w:r>
      <w:r w:rsidR="00B60F99">
        <w:rPr>
          <w:rFonts w:ascii="Times New Roman" w:hAnsi="Times New Roman"/>
          <w:b/>
          <w:bCs/>
        </w:rPr>
        <w:t>ers and Major Swap Participants</w:t>
      </w:r>
    </w:p>
    <w:p w14:paraId="647A1C26" w14:textId="77777777" w:rsidR="00885109" w:rsidRPr="002A334B" w:rsidRDefault="00885109" w:rsidP="00BF5464">
      <w:pPr>
        <w:jc w:val="center"/>
        <w:rPr>
          <w:rFonts w:ascii="Times New Roman" w:hAnsi="Times New Roman"/>
        </w:rPr>
      </w:pPr>
      <w:r w:rsidRPr="00885109">
        <w:rPr>
          <w:rFonts w:ascii="Times New Roman" w:hAnsi="Times New Roman"/>
          <w:b/>
          <w:bCs/>
        </w:rPr>
        <w:t>(OMB Control No. 3038-0072)</w:t>
      </w:r>
      <w:r w:rsidRPr="00E80CE6">
        <w:rPr>
          <w:rFonts w:ascii="Times New Roman" w:hAnsi="Times New Roman"/>
          <w:b/>
          <w:bCs/>
        </w:rPr>
        <w:t xml:space="preserve"> </w:t>
      </w:r>
      <w:r w:rsidRPr="00D35F83">
        <w:rPr>
          <w:rFonts w:ascii="Times New Roman" w:hAnsi="Times New Roman"/>
        </w:rPr>
        <w:t xml:space="preserve">   </w:t>
      </w:r>
      <w:r>
        <w:rPr>
          <w:rFonts w:ascii="Times New Roman" w:hAnsi="Times New Roman"/>
        </w:rPr>
        <w:t xml:space="preserve">                               </w:t>
      </w:r>
      <w:r w:rsidR="005C5072">
        <w:rPr>
          <w:rFonts w:ascii="Times New Roman" w:hAnsi="Times New Roman"/>
        </w:rPr>
        <w:t xml:space="preserve">             </w:t>
      </w:r>
      <w:r w:rsidRPr="00D35F83">
        <w:rPr>
          <w:rFonts w:ascii="Times New Roman" w:hAnsi="Times New Roman"/>
        </w:rPr>
        <w:t xml:space="preserve">                              </w:t>
      </w:r>
    </w:p>
    <w:p w14:paraId="3B96B8EB" w14:textId="77777777" w:rsidR="00885109" w:rsidRPr="00CE2CC4" w:rsidRDefault="00885109" w:rsidP="00885109">
      <w:pPr>
        <w:overflowPunct w:val="0"/>
        <w:autoSpaceDE w:val="0"/>
        <w:autoSpaceDN w:val="0"/>
        <w:adjustRightInd w:val="0"/>
        <w:textAlignment w:val="baseline"/>
        <w:rPr>
          <w:rFonts w:ascii="Times New Roman" w:hAnsi="Times New Roman"/>
          <w:b/>
          <w:bCs/>
          <w:sz w:val="16"/>
          <w:szCs w:val="16"/>
        </w:rPr>
      </w:pPr>
      <w:r w:rsidRPr="00CE2CC4">
        <w:rPr>
          <w:rFonts w:ascii="Times New Roman" w:hAnsi="Times New Roman"/>
          <w:sz w:val="16"/>
          <w:szCs w:val="16"/>
        </w:rPr>
        <w:t xml:space="preserve"> </w:t>
      </w:r>
      <w:r w:rsidRPr="00CE2CC4">
        <w:rPr>
          <w:rFonts w:ascii="Times New Roman" w:hAnsi="Times New Roman"/>
          <w:b/>
          <w:bCs/>
          <w:sz w:val="16"/>
          <w:szCs w:val="16"/>
        </w:rPr>
        <w:t xml:space="preserve">                                                                                                                                                                                </w:t>
      </w:r>
    </w:p>
    <w:tbl>
      <w:tblPr>
        <w:tblW w:w="9296" w:type="dxa"/>
        <w:tblInd w:w="103" w:type="dxa"/>
        <w:tblLook w:val="04A0" w:firstRow="1" w:lastRow="0" w:firstColumn="1" w:lastColumn="0" w:noHBand="0" w:noVBand="1"/>
      </w:tblPr>
      <w:tblGrid>
        <w:gridCol w:w="2700"/>
        <w:gridCol w:w="1399"/>
        <w:gridCol w:w="1410"/>
        <w:gridCol w:w="1286"/>
        <w:gridCol w:w="1245"/>
        <w:gridCol w:w="1356"/>
      </w:tblGrid>
      <w:tr w:rsidR="00885109" w:rsidRPr="00CE2CC4" w14:paraId="7ECFF4D5" w14:textId="77777777" w:rsidTr="00F13E70">
        <w:trPr>
          <w:trHeight w:val="1440"/>
        </w:trPr>
        <w:tc>
          <w:tcPr>
            <w:tcW w:w="2700" w:type="dxa"/>
            <w:shd w:val="clear" w:color="auto" w:fill="auto"/>
            <w:noWrap/>
            <w:vAlign w:val="bottom"/>
            <w:hideMark/>
          </w:tcPr>
          <w:p w14:paraId="2040E46B" w14:textId="77777777" w:rsidR="00885109" w:rsidRPr="00CE2CC4" w:rsidRDefault="00885109" w:rsidP="00F13E70">
            <w:pPr>
              <w:overflowPunct w:val="0"/>
              <w:autoSpaceDE w:val="0"/>
              <w:autoSpaceDN w:val="0"/>
              <w:adjustRightInd w:val="0"/>
              <w:textAlignment w:val="baseline"/>
              <w:rPr>
                <w:rFonts w:ascii="Times New Roman" w:hAnsi="Times New Roman"/>
                <w:b/>
                <w:bCs/>
                <w:color w:val="000000"/>
                <w:sz w:val="16"/>
                <w:szCs w:val="16"/>
              </w:rPr>
            </w:pPr>
            <w:r w:rsidRPr="00CE2CC4">
              <w:rPr>
                <w:rFonts w:ascii="Times New Roman" w:hAnsi="Times New Roman"/>
                <w:b/>
                <w:bCs/>
                <w:sz w:val="16"/>
                <w:szCs w:val="16"/>
              </w:rPr>
              <w:t xml:space="preserve">                                                                                                                                                                                 </w:t>
            </w:r>
            <w:r w:rsidRPr="00CE2CC4">
              <w:rPr>
                <w:rFonts w:ascii="Times New Roman" w:hAnsi="Times New Roman"/>
                <w:b/>
                <w:bCs/>
                <w:color w:val="000000"/>
                <w:sz w:val="16"/>
                <w:szCs w:val="16"/>
              </w:rPr>
              <w:t>COLLECTION </w:t>
            </w:r>
          </w:p>
        </w:tc>
        <w:tc>
          <w:tcPr>
            <w:tcW w:w="1399" w:type="dxa"/>
            <w:shd w:val="clear" w:color="auto" w:fill="auto"/>
            <w:vAlign w:val="bottom"/>
            <w:hideMark/>
          </w:tcPr>
          <w:p w14:paraId="74879690" w14:textId="77777777" w:rsidR="00885109" w:rsidRPr="00CE2CC4" w:rsidRDefault="00885109" w:rsidP="00F13E70">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bCs/>
                <w:sz w:val="16"/>
                <w:szCs w:val="16"/>
              </w:rPr>
              <w:t xml:space="preserve"> </w:t>
            </w:r>
            <w:r w:rsidRPr="00CE2CC4">
              <w:rPr>
                <w:rFonts w:ascii="Times New Roman" w:hAnsi="Times New Roman"/>
                <w:b/>
                <w:sz w:val="16"/>
                <w:szCs w:val="16"/>
              </w:rPr>
              <w:t xml:space="preserve">ESTIMATED # OF RESPONDENTS OR RECORD KEEPERS PER YEAR  </w:t>
            </w:r>
          </w:p>
        </w:tc>
        <w:tc>
          <w:tcPr>
            <w:tcW w:w="1310" w:type="dxa"/>
            <w:shd w:val="clear" w:color="auto" w:fill="auto"/>
            <w:vAlign w:val="bottom"/>
            <w:hideMark/>
          </w:tcPr>
          <w:p w14:paraId="10A80D46" w14:textId="77777777" w:rsidR="00885109" w:rsidRPr="00CE2CC4" w:rsidRDefault="00885109" w:rsidP="00F13E70">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sz w:val="16"/>
                <w:szCs w:val="16"/>
              </w:rPr>
              <w:t>REPORTS ANNUALLY BY EACH RESPONDENT</w:t>
            </w:r>
            <w:r w:rsidR="005C5072">
              <w:rPr>
                <w:rStyle w:val="FootnoteReference"/>
                <w:rFonts w:ascii="Times New Roman" w:hAnsi="Times New Roman"/>
                <w:b/>
                <w:sz w:val="16"/>
                <w:szCs w:val="16"/>
              </w:rPr>
              <w:footnoteReference w:id="12"/>
            </w:r>
          </w:p>
        </w:tc>
        <w:tc>
          <w:tcPr>
            <w:tcW w:w="1286" w:type="dxa"/>
            <w:shd w:val="clear" w:color="auto" w:fill="auto"/>
            <w:vAlign w:val="bottom"/>
            <w:hideMark/>
          </w:tcPr>
          <w:p w14:paraId="1A11ECC1" w14:textId="77777777" w:rsidR="00885109" w:rsidRPr="00CE2CC4" w:rsidRDefault="00885109" w:rsidP="00F13E70">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sz w:val="16"/>
                <w:szCs w:val="16"/>
              </w:rPr>
              <w:t xml:space="preserve">TOTAL ANNUAL RESPONSES </w:t>
            </w:r>
          </w:p>
        </w:tc>
        <w:tc>
          <w:tcPr>
            <w:tcW w:w="1245" w:type="dxa"/>
            <w:shd w:val="clear" w:color="auto" w:fill="auto"/>
            <w:vAlign w:val="bottom"/>
            <w:hideMark/>
          </w:tcPr>
          <w:p w14:paraId="3CB4760A" w14:textId="77777777" w:rsidR="00885109" w:rsidRPr="00CE2CC4" w:rsidRDefault="00885109" w:rsidP="00F13E70">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sz w:val="16"/>
                <w:szCs w:val="16"/>
              </w:rPr>
              <w:t>ESTIMATED AVERAGE NUMBER OF HOURS PER RESPONSE</w:t>
            </w:r>
            <w:r w:rsidR="005C5072">
              <w:rPr>
                <w:rStyle w:val="FootnoteReference"/>
                <w:rFonts w:ascii="Times New Roman" w:hAnsi="Times New Roman"/>
                <w:b/>
                <w:sz w:val="16"/>
                <w:szCs w:val="16"/>
              </w:rPr>
              <w:footnoteReference w:id="13"/>
            </w:r>
          </w:p>
        </w:tc>
        <w:tc>
          <w:tcPr>
            <w:tcW w:w="1356" w:type="dxa"/>
            <w:shd w:val="clear" w:color="auto" w:fill="auto"/>
            <w:vAlign w:val="bottom"/>
            <w:hideMark/>
          </w:tcPr>
          <w:p w14:paraId="722133DF" w14:textId="77777777" w:rsidR="00885109" w:rsidRPr="00CE2CC4" w:rsidRDefault="00885109" w:rsidP="00F13E70">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sz w:val="16"/>
                <w:szCs w:val="16"/>
              </w:rPr>
              <w:t>ESTIMATED TOTAL NUMBER OF  HOURS OF ANNUAL BURDEN IN FISCAL YEAR</w:t>
            </w:r>
          </w:p>
        </w:tc>
      </w:tr>
      <w:tr w:rsidR="00885109" w:rsidRPr="00CE2CC4" w14:paraId="1AD2BA77" w14:textId="77777777" w:rsidTr="00F13E70">
        <w:trPr>
          <w:trHeight w:val="240"/>
        </w:trPr>
        <w:tc>
          <w:tcPr>
            <w:tcW w:w="2700" w:type="dxa"/>
            <w:shd w:val="clear" w:color="auto" w:fill="auto"/>
            <w:noWrap/>
            <w:vAlign w:val="bottom"/>
            <w:hideMark/>
          </w:tcPr>
          <w:p w14:paraId="0AF09521" w14:textId="77777777" w:rsidR="00885109" w:rsidRPr="00CE2CC4" w:rsidRDefault="00885109" w:rsidP="00F13E70">
            <w:pPr>
              <w:overflowPunct w:val="0"/>
              <w:autoSpaceDE w:val="0"/>
              <w:autoSpaceDN w:val="0"/>
              <w:adjustRightInd w:val="0"/>
              <w:textAlignment w:val="baseline"/>
              <w:rPr>
                <w:rFonts w:ascii="Times New Roman" w:hAnsi="Times New Roman"/>
                <w:b/>
                <w:bCs/>
                <w:color w:val="000000"/>
                <w:sz w:val="16"/>
                <w:szCs w:val="16"/>
              </w:rPr>
            </w:pPr>
          </w:p>
          <w:p w14:paraId="4A95CF4E" w14:textId="77777777" w:rsidR="00885109" w:rsidRPr="00CE2CC4" w:rsidRDefault="00885109" w:rsidP="00F13E70">
            <w:pPr>
              <w:overflowPunct w:val="0"/>
              <w:autoSpaceDE w:val="0"/>
              <w:autoSpaceDN w:val="0"/>
              <w:adjustRightInd w:val="0"/>
              <w:textAlignment w:val="baseline"/>
              <w:rPr>
                <w:rFonts w:ascii="Times New Roman" w:hAnsi="Times New Roman"/>
                <w:b/>
                <w:bCs/>
                <w:color w:val="000000"/>
                <w:sz w:val="16"/>
                <w:szCs w:val="16"/>
              </w:rPr>
            </w:pPr>
          </w:p>
          <w:p w14:paraId="703EC5A4" w14:textId="77777777" w:rsidR="00885109" w:rsidRPr="00CE2CC4" w:rsidRDefault="00437B00" w:rsidP="00F13E70">
            <w:pPr>
              <w:overflowPunct w:val="0"/>
              <w:autoSpaceDE w:val="0"/>
              <w:autoSpaceDN w:val="0"/>
              <w:adjustRightInd w:val="0"/>
              <w:textAlignment w:val="baseline"/>
              <w:rPr>
                <w:rFonts w:ascii="Times New Roman" w:hAnsi="Times New Roman"/>
                <w:b/>
                <w:bCs/>
                <w:color w:val="000000"/>
                <w:sz w:val="16"/>
                <w:szCs w:val="16"/>
              </w:rPr>
            </w:pPr>
            <w:r>
              <w:rPr>
                <w:rFonts w:ascii="Times New Roman" w:hAnsi="Times New Roman"/>
                <w:b/>
                <w:bCs/>
                <w:color w:val="000000"/>
                <w:sz w:val="16"/>
                <w:szCs w:val="16"/>
              </w:rPr>
              <w:t>#3</w:t>
            </w:r>
            <w:r w:rsidR="00B60F99">
              <w:rPr>
                <w:rFonts w:ascii="Times New Roman" w:hAnsi="Times New Roman"/>
                <w:b/>
                <w:bCs/>
                <w:color w:val="000000"/>
                <w:sz w:val="16"/>
                <w:szCs w:val="16"/>
              </w:rPr>
              <w:t>038-0072</w:t>
            </w:r>
            <w:r>
              <w:rPr>
                <w:rFonts w:ascii="Times New Roman" w:hAnsi="Times New Roman"/>
                <w:b/>
                <w:bCs/>
                <w:color w:val="000000"/>
                <w:sz w:val="16"/>
                <w:szCs w:val="16"/>
              </w:rPr>
              <w:t xml:space="preserve"> (1</w:t>
            </w:r>
            <w:r w:rsidRPr="00437B00">
              <w:rPr>
                <w:rFonts w:ascii="Times New Roman" w:hAnsi="Times New Roman"/>
                <w:b/>
                <w:bCs/>
                <w:color w:val="000000"/>
                <w:sz w:val="16"/>
                <w:szCs w:val="16"/>
                <w:vertAlign w:val="superscript"/>
              </w:rPr>
              <w:t>st</w:t>
            </w:r>
            <w:r>
              <w:rPr>
                <w:rFonts w:ascii="Times New Roman" w:hAnsi="Times New Roman"/>
                <w:b/>
                <w:bCs/>
                <w:color w:val="000000"/>
                <w:sz w:val="16"/>
                <w:szCs w:val="16"/>
              </w:rPr>
              <w:t xml:space="preserve"> IC)</w:t>
            </w:r>
            <w:r w:rsidR="00885109" w:rsidRPr="00CE2CC4">
              <w:rPr>
                <w:rFonts w:ascii="Times New Roman" w:hAnsi="Times New Roman"/>
                <w:b/>
                <w:bCs/>
                <w:color w:val="000000"/>
                <w:sz w:val="16"/>
                <w:szCs w:val="16"/>
              </w:rPr>
              <w:t xml:space="preserve">                                                                         </w:t>
            </w:r>
          </w:p>
        </w:tc>
        <w:tc>
          <w:tcPr>
            <w:tcW w:w="1399" w:type="dxa"/>
            <w:shd w:val="clear" w:color="auto" w:fill="auto"/>
            <w:noWrap/>
            <w:vAlign w:val="bottom"/>
            <w:hideMark/>
          </w:tcPr>
          <w:p w14:paraId="33310A68" w14:textId="77777777" w:rsidR="00885109" w:rsidRPr="00CE2CC4" w:rsidRDefault="00437B00"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770</w:t>
            </w:r>
          </w:p>
        </w:tc>
        <w:tc>
          <w:tcPr>
            <w:tcW w:w="1310" w:type="dxa"/>
            <w:shd w:val="clear" w:color="auto" w:fill="auto"/>
            <w:noWrap/>
            <w:vAlign w:val="bottom"/>
            <w:hideMark/>
          </w:tcPr>
          <w:p w14:paraId="7B690BEC" w14:textId="77777777" w:rsidR="00885109" w:rsidRPr="00CE2CC4" w:rsidRDefault="00437B00"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1.4</w:t>
            </w:r>
          </w:p>
        </w:tc>
        <w:tc>
          <w:tcPr>
            <w:tcW w:w="1286" w:type="dxa"/>
            <w:shd w:val="clear" w:color="auto" w:fill="auto"/>
            <w:noWrap/>
            <w:vAlign w:val="bottom"/>
            <w:hideMark/>
          </w:tcPr>
          <w:p w14:paraId="07FB5C44" w14:textId="77777777" w:rsidR="00885109" w:rsidRPr="00CE2CC4" w:rsidRDefault="00CD7645" w:rsidP="00CD7645">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1,112</w:t>
            </w:r>
          </w:p>
        </w:tc>
        <w:tc>
          <w:tcPr>
            <w:tcW w:w="1245" w:type="dxa"/>
            <w:shd w:val="clear" w:color="auto" w:fill="auto"/>
            <w:noWrap/>
            <w:vAlign w:val="bottom"/>
            <w:hideMark/>
          </w:tcPr>
          <w:p w14:paraId="510F5606" w14:textId="77777777" w:rsidR="00885109" w:rsidRPr="00CE2CC4" w:rsidRDefault="00437B00" w:rsidP="00150EB2">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0.60</w:t>
            </w:r>
          </w:p>
        </w:tc>
        <w:tc>
          <w:tcPr>
            <w:tcW w:w="1356" w:type="dxa"/>
            <w:shd w:val="clear" w:color="auto" w:fill="auto"/>
            <w:noWrap/>
            <w:vAlign w:val="bottom"/>
            <w:hideMark/>
          </w:tcPr>
          <w:p w14:paraId="5463FC4B" w14:textId="77777777" w:rsidR="00885109" w:rsidRPr="00CE2CC4" w:rsidRDefault="00CD7645" w:rsidP="00CD7645">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667</w:t>
            </w:r>
          </w:p>
        </w:tc>
      </w:tr>
      <w:tr w:rsidR="00437B00" w:rsidRPr="00CE2CC4" w14:paraId="44203ABF" w14:textId="77777777" w:rsidTr="00F13E70">
        <w:trPr>
          <w:trHeight w:val="240"/>
        </w:trPr>
        <w:tc>
          <w:tcPr>
            <w:tcW w:w="2700" w:type="dxa"/>
            <w:shd w:val="clear" w:color="auto" w:fill="auto"/>
            <w:noWrap/>
            <w:vAlign w:val="bottom"/>
          </w:tcPr>
          <w:p w14:paraId="21482C51" w14:textId="77777777" w:rsidR="00437B00" w:rsidRDefault="00437B00" w:rsidP="00F13E70">
            <w:pPr>
              <w:overflowPunct w:val="0"/>
              <w:autoSpaceDE w:val="0"/>
              <w:autoSpaceDN w:val="0"/>
              <w:adjustRightInd w:val="0"/>
              <w:textAlignment w:val="baseline"/>
              <w:rPr>
                <w:rFonts w:ascii="Times New Roman" w:hAnsi="Times New Roman"/>
                <w:b/>
                <w:bCs/>
                <w:color w:val="000000"/>
                <w:sz w:val="16"/>
                <w:szCs w:val="16"/>
              </w:rPr>
            </w:pPr>
          </w:p>
          <w:p w14:paraId="68D8E508" w14:textId="77777777" w:rsidR="00437B00" w:rsidRDefault="00437B00" w:rsidP="00F13E70">
            <w:pPr>
              <w:overflowPunct w:val="0"/>
              <w:autoSpaceDE w:val="0"/>
              <w:autoSpaceDN w:val="0"/>
              <w:adjustRightInd w:val="0"/>
              <w:textAlignment w:val="baseline"/>
              <w:rPr>
                <w:rFonts w:ascii="Times New Roman" w:hAnsi="Times New Roman"/>
                <w:b/>
                <w:bCs/>
                <w:color w:val="000000"/>
                <w:sz w:val="16"/>
                <w:szCs w:val="16"/>
              </w:rPr>
            </w:pPr>
          </w:p>
          <w:p w14:paraId="63D75A4B" w14:textId="77777777" w:rsidR="00437B00" w:rsidRPr="00CE2CC4" w:rsidRDefault="00437B00" w:rsidP="00437B00">
            <w:pPr>
              <w:overflowPunct w:val="0"/>
              <w:autoSpaceDE w:val="0"/>
              <w:autoSpaceDN w:val="0"/>
              <w:adjustRightInd w:val="0"/>
              <w:textAlignment w:val="baseline"/>
              <w:rPr>
                <w:rFonts w:ascii="Times New Roman" w:hAnsi="Times New Roman"/>
                <w:b/>
                <w:bCs/>
                <w:color w:val="000000"/>
                <w:sz w:val="16"/>
                <w:szCs w:val="16"/>
              </w:rPr>
            </w:pPr>
            <w:r>
              <w:rPr>
                <w:rFonts w:ascii="Times New Roman" w:hAnsi="Times New Roman"/>
                <w:b/>
                <w:bCs/>
                <w:color w:val="000000"/>
                <w:sz w:val="16"/>
                <w:szCs w:val="16"/>
              </w:rPr>
              <w:t>#3038-0072 (2</w:t>
            </w:r>
            <w:r w:rsidRPr="00437B00">
              <w:rPr>
                <w:rFonts w:ascii="Times New Roman" w:hAnsi="Times New Roman"/>
                <w:b/>
                <w:bCs/>
                <w:color w:val="000000"/>
                <w:sz w:val="16"/>
                <w:szCs w:val="16"/>
                <w:vertAlign w:val="superscript"/>
              </w:rPr>
              <w:t>nd</w:t>
            </w:r>
            <w:r>
              <w:rPr>
                <w:rFonts w:ascii="Times New Roman" w:hAnsi="Times New Roman"/>
                <w:b/>
                <w:bCs/>
                <w:color w:val="000000"/>
                <w:sz w:val="16"/>
                <w:szCs w:val="16"/>
              </w:rPr>
              <w:t xml:space="preserve"> </w:t>
            </w:r>
            <w:r w:rsidRPr="00437B00">
              <w:rPr>
                <w:rFonts w:ascii="Times New Roman" w:hAnsi="Times New Roman"/>
                <w:b/>
                <w:bCs/>
                <w:color w:val="000000"/>
                <w:sz w:val="16"/>
                <w:szCs w:val="16"/>
              </w:rPr>
              <w:t>IC)</w:t>
            </w:r>
          </w:p>
        </w:tc>
        <w:tc>
          <w:tcPr>
            <w:tcW w:w="1399" w:type="dxa"/>
            <w:shd w:val="clear" w:color="auto" w:fill="auto"/>
            <w:noWrap/>
            <w:vAlign w:val="bottom"/>
          </w:tcPr>
          <w:p w14:paraId="57AFC8C9" w14:textId="77777777" w:rsidR="00437B00" w:rsidRDefault="00437B00"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2</w:t>
            </w:r>
          </w:p>
        </w:tc>
        <w:tc>
          <w:tcPr>
            <w:tcW w:w="1310" w:type="dxa"/>
            <w:shd w:val="clear" w:color="auto" w:fill="auto"/>
            <w:noWrap/>
            <w:vAlign w:val="bottom"/>
          </w:tcPr>
          <w:p w14:paraId="0DB6A32F" w14:textId="77777777" w:rsidR="00437B00" w:rsidRDefault="00437B00"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1</w:t>
            </w:r>
          </w:p>
        </w:tc>
        <w:tc>
          <w:tcPr>
            <w:tcW w:w="1286" w:type="dxa"/>
            <w:shd w:val="clear" w:color="auto" w:fill="auto"/>
            <w:noWrap/>
            <w:vAlign w:val="bottom"/>
          </w:tcPr>
          <w:p w14:paraId="329F0596" w14:textId="77777777" w:rsidR="00437B00" w:rsidRDefault="00437B00"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2</w:t>
            </w:r>
          </w:p>
        </w:tc>
        <w:tc>
          <w:tcPr>
            <w:tcW w:w="1245" w:type="dxa"/>
            <w:shd w:val="clear" w:color="auto" w:fill="auto"/>
            <w:noWrap/>
            <w:vAlign w:val="bottom"/>
          </w:tcPr>
          <w:p w14:paraId="19A61839" w14:textId="77777777" w:rsidR="00437B00" w:rsidRDefault="00437B00" w:rsidP="00150EB2">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2.5</w:t>
            </w:r>
          </w:p>
        </w:tc>
        <w:tc>
          <w:tcPr>
            <w:tcW w:w="1356" w:type="dxa"/>
            <w:shd w:val="clear" w:color="auto" w:fill="auto"/>
            <w:noWrap/>
            <w:vAlign w:val="bottom"/>
          </w:tcPr>
          <w:p w14:paraId="13FBF630" w14:textId="77777777" w:rsidR="00437B00" w:rsidRDefault="00437B00"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5</w:t>
            </w:r>
          </w:p>
        </w:tc>
      </w:tr>
    </w:tbl>
    <w:p w14:paraId="237A8AC7" w14:textId="77777777" w:rsidR="00403C0A" w:rsidRDefault="00403C0A" w:rsidP="00BF5464">
      <w:pPr>
        <w:jc w:val="center"/>
        <w:rPr>
          <w:rFonts w:ascii="Times New Roman" w:hAnsi="Times New Roman"/>
        </w:rPr>
      </w:pPr>
    </w:p>
    <w:sectPr w:rsidR="00403C0A" w:rsidSect="00C14510">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114E1" w14:textId="77777777" w:rsidR="00E00C4C" w:rsidRDefault="00E00C4C">
      <w:r>
        <w:separator/>
      </w:r>
    </w:p>
  </w:endnote>
  <w:endnote w:type="continuationSeparator" w:id="0">
    <w:p w14:paraId="34D914DB" w14:textId="77777777" w:rsidR="00E00C4C" w:rsidRDefault="00E00C4C">
      <w:r>
        <w:continuationSeparator/>
      </w:r>
    </w:p>
  </w:endnote>
  <w:endnote w:type="continuationNotice" w:id="1">
    <w:p w14:paraId="6F109BD2" w14:textId="77777777" w:rsidR="00E00C4C" w:rsidRDefault="00E00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EA10D" w14:textId="77777777" w:rsidR="008426F3" w:rsidRDefault="008426F3">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687782">
      <w:rPr>
        <w:rFonts w:ascii="Times New Roman" w:hAnsi="Times New Roman"/>
        <w:noProof/>
        <w:sz w:val="20"/>
        <w:szCs w:val="20"/>
      </w:rPr>
      <w:t>1</w:t>
    </w:r>
    <w:r>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69F2A" w14:textId="77777777" w:rsidR="00E00C4C" w:rsidRDefault="00E00C4C">
      <w:r>
        <w:separator/>
      </w:r>
    </w:p>
  </w:footnote>
  <w:footnote w:type="continuationSeparator" w:id="0">
    <w:p w14:paraId="42E1BA95" w14:textId="77777777" w:rsidR="00E00C4C" w:rsidRDefault="00E00C4C">
      <w:r>
        <w:continuationSeparator/>
      </w:r>
    </w:p>
  </w:footnote>
  <w:footnote w:type="continuationNotice" w:id="1">
    <w:p w14:paraId="20BB13B6" w14:textId="77777777" w:rsidR="00E00C4C" w:rsidRDefault="00E00C4C"/>
  </w:footnote>
  <w:footnote w:id="2">
    <w:p w14:paraId="4CF538D4" w14:textId="77777777" w:rsidR="00A743DF" w:rsidRPr="00BF5464" w:rsidRDefault="00A743DF" w:rsidP="000C34EF">
      <w:pPr>
        <w:pStyle w:val="FootnoteText"/>
        <w:spacing w:after="120"/>
        <w:rPr>
          <w:sz w:val="20"/>
        </w:rPr>
      </w:pPr>
      <w:r w:rsidRPr="00BF5464">
        <w:rPr>
          <w:rStyle w:val="FootnoteReference"/>
          <w:sz w:val="20"/>
        </w:rPr>
        <w:footnoteRef/>
      </w:r>
      <w:r w:rsidRPr="00BF5464">
        <w:rPr>
          <w:sz w:val="20"/>
        </w:rPr>
        <w:t xml:space="preserve"> </w:t>
      </w:r>
      <w:r w:rsidR="00A97F8B">
        <w:rPr>
          <w:sz w:val="20"/>
        </w:rPr>
        <w:t xml:space="preserve"> </w:t>
      </w:r>
      <w:r w:rsidRPr="00BF5464">
        <w:rPr>
          <w:sz w:val="20"/>
        </w:rPr>
        <w:t>Adoption of Revised Registration Form 7-R, 84 FR 8671 (Mar. 11, 2019).</w:t>
      </w:r>
    </w:p>
  </w:footnote>
  <w:footnote w:id="3">
    <w:p w14:paraId="76920816" w14:textId="77777777" w:rsidR="0041388A" w:rsidRPr="0041388A" w:rsidRDefault="0041388A" w:rsidP="000C34EF">
      <w:pPr>
        <w:pStyle w:val="FootnoteText"/>
        <w:spacing w:after="120"/>
        <w:rPr>
          <w:sz w:val="20"/>
        </w:rPr>
      </w:pPr>
      <w:r>
        <w:rPr>
          <w:rStyle w:val="FootnoteReference"/>
        </w:rPr>
        <w:footnoteRef/>
      </w:r>
      <w:r>
        <w:t xml:space="preserve">  </w:t>
      </w:r>
      <w:r w:rsidRPr="0041388A">
        <w:rPr>
          <w:sz w:val="20"/>
        </w:rPr>
        <w:t>OMB control number 3038-0023</w:t>
      </w:r>
      <w:r w:rsidR="00217E38">
        <w:rPr>
          <w:sz w:val="20"/>
        </w:rPr>
        <w:t xml:space="preserve"> also covers Commission Forms </w:t>
      </w:r>
      <w:r w:rsidR="00146FEB">
        <w:rPr>
          <w:sz w:val="20"/>
        </w:rPr>
        <w:t>8</w:t>
      </w:r>
      <w:r w:rsidR="00217E38">
        <w:rPr>
          <w:sz w:val="20"/>
        </w:rPr>
        <w:t>-R, 7-W and 8-T</w:t>
      </w:r>
      <w:r w:rsidRPr="0041388A">
        <w:rPr>
          <w:sz w:val="20"/>
        </w:rPr>
        <w:t xml:space="preserve"> in connection with</w:t>
      </w:r>
      <w:r w:rsidR="00DD4CBA">
        <w:rPr>
          <w:sz w:val="20"/>
        </w:rPr>
        <w:t xml:space="preserve"> various</w:t>
      </w:r>
      <w:r w:rsidRPr="0041388A">
        <w:rPr>
          <w:sz w:val="20"/>
        </w:rPr>
        <w:t xml:space="preserve"> registration activities involving floor brokers, floor traders, futures commission merchants, retail foreign exchange dealers, introducing brokers, commodity trading advisors, commodity pool operators, floor trader firms or leverage transaction merchants, and their principals and associated persons, as applicable.  Forms </w:t>
      </w:r>
      <w:r w:rsidR="00146FEB">
        <w:rPr>
          <w:sz w:val="20"/>
        </w:rPr>
        <w:t>8</w:t>
      </w:r>
      <w:r w:rsidRPr="0041388A">
        <w:rPr>
          <w:sz w:val="20"/>
        </w:rPr>
        <w:t xml:space="preserve">-R, 7-W and 8-T were not amended in connection with the revision of Form </w:t>
      </w:r>
      <w:r w:rsidR="00146FEB">
        <w:rPr>
          <w:sz w:val="20"/>
        </w:rPr>
        <w:t>7</w:t>
      </w:r>
      <w:r w:rsidRPr="0041388A">
        <w:rPr>
          <w:sz w:val="20"/>
        </w:rPr>
        <w:t>-R.</w:t>
      </w:r>
    </w:p>
  </w:footnote>
  <w:footnote w:id="4">
    <w:p w14:paraId="5B4D237C" w14:textId="77777777" w:rsidR="0041388A" w:rsidRDefault="0041388A" w:rsidP="000C34EF">
      <w:pPr>
        <w:pStyle w:val="FootnoteText"/>
        <w:spacing w:after="120"/>
      </w:pPr>
      <w:r w:rsidRPr="0041388A">
        <w:rPr>
          <w:rStyle w:val="FootnoteReference"/>
          <w:sz w:val="20"/>
        </w:rPr>
        <w:footnoteRef/>
      </w:r>
      <w:r w:rsidRPr="0041388A">
        <w:rPr>
          <w:sz w:val="20"/>
        </w:rPr>
        <w:t xml:space="preserve">  OMB control number 3038-0072</w:t>
      </w:r>
      <w:r w:rsidR="00217E38">
        <w:rPr>
          <w:sz w:val="20"/>
        </w:rPr>
        <w:t xml:space="preserve"> also covers Commission Forms </w:t>
      </w:r>
      <w:r w:rsidR="00146FEB">
        <w:rPr>
          <w:sz w:val="20"/>
        </w:rPr>
        <w:t>8</w:t>
      </w:r>
      <w:r w:rsidR="00217E38">
        <w:rPr>
          <w:sz w:val="20"/>
        </w:rPr>
        <w:t>-R, 7-W and 8-T</w:t>
      </w:r>
      <w:r w:rsidRPr="0041388A">
        <w:rPr>
          <w:sz w:val="20"/>
        </w:rPr>
        <w:t xml:space="preserve"> in connection with</w:t>
      </w:r>
      <w:r w:rsidR="00DD4CBA">
        <w:rPr>
          <w:sz w:val="20"/>
        </w:rPr>
        <w:t xml:space="preserve"> various</w:t>
      </w:r>
      <w:r w:rsidRPr="0041388A">
        <w:rPr>
          <w:sz w:val="20"/>
        </w:rPr>
        <w:t xml:space="preserve"> registration activities involving swap dealers and major swap participants, and principals thereof.  Forms </w:t>
      </w:r>
      <w:r w:rsidR="00146FEB">
        <w:rPr>
          <w:sz w:val="20"/>
        </w:rPr>
        <w:t>8</w:t>
      </w:r>
      <w:r w:rsidRPr="0041388A">
        <w:rPr>
          <w:sz w:val="20"/>
        </w:rPr>
        <w:t xml:space="preserve">-R, 7-W and 8-T were not amended in connection with the revision of Form </w:t>
      </w:r>
      <w:r w:rsidR="00146FEB">
        <w:rPr>
          <w:sz w:val="20"/>
        </w:rPr>
        <w:t>7</w:t>
      </w:r>
      <w:r w:rsidRPr="0041388A">
        <w:rPr>
          <w:sz w:val="20"/>
        </w:rPr>
        <w:t>-R.</w:t>
      </w:r>
    </w:p>
  </w:footnote>
  <w:footnote w:id="5">
    <w:p w14:paraId="395730AD" w14:textId="06642EFE" w:rsidR="00FC4918" w:rsidRDefault="00FC4918" w:rsidP="00FC4918">
      <w:pPr>
        <w:pStyle w:val="FootnoteText"/>
        <w:spacing w:after="120"/>
      </w:pPr>
      <w:r>
        <w:rPr>
          <w:rStyle w:val="FootnoteReference"/>
        </w:rPr>
        <w:footnoteRef/>
      </w:r>
      <w:r>
        <w:t xml:space="preserve"> </w:t>
      </w:r>
      <w:r w:rsidRPr="00F42F12">
        <w:rPr>
          <w:u w:val="single"/>
        </w:rPr>
        <w:t>See</w:t>
      </w:r>
      <w:r w:rsidRPr="008B40FA">
        <w:t xml:space="preserve"> Letter from James </w:t>
      </w:r>
      <w:r>
        <w:t xml:space="preserve">L. </w:t>
      </w:r>
      <w:r w:rsidRPr="008B40FA">
        <w:t>Simon dated May 6, 2019</w:t>
      </w:r>
      <w:r w:rsidR="003A22DE">
        <w:t>, available at</w:t>
      </w:r>
      <w:r>
        <w:t xml:space="preserve"> </w:t>
      </w:r>
      <w:hyperlink r:id="rId1" w:history="1">
        <w:r w:rsidR="00183947" w:rsidRPr="00E061E7">
          <w:rPr>
            <w:rStyle w:val="Hyperlink"/>
          </w:rPr>
          <w:t>https://comments.cftc.gov/PublicComments/ViewComment.aspx?id=62116&amp;SearchText</w:t>
        </w:r>
      </w:hyperlink>
      <w:r w:rsidR="00183947" w:rsidRPr="00183947">
        <w:t>=</w:t>
      </w:r>
      <w:hyperlink w:history="1"/>
      <w:r>
        <w:t xml:space="preserve">. </w:t>
      </w:r>
    </w:p>
  </w:footnote>
  <w:footnote w:id="6">
    <w:p w14:paraId="60F33483" w14:textId="77777777" w:rsidR="00FC4918" w:rsidRDefault="00FC4918" w:rsidP="00FC4918">
      <w:pPr>
        <w:pStyle w:val="FootnoteText"/>
        <w:spacing w:after="120"/>
      </w:pPr>
      <w:r>
        <w:rPr>
          <w:rStyle w:val="FootnoteReference"/>
        </w:rPr>
        <w:footnoteRef/>
      </w:r>
      <w:r>
        <w:t xml:space="preserve"> </w:t>
      </w:r>
      <w:r w:rsidRPr="008B40FA">
        <w:rPr>
          <w:u w:val="single"/>
        </w:rPr>
        <w:t>See</w:t>
      </w:r>
      <w:r>
        <w:t xml:space="preserve"> </w:t>
      </w:r>
      <w:r w:rsidRPr="008B40FA">
        <w:rPr>
          <w:szCs w:val="24"/>
        </w:rPr>
        <w:t>Adoption of Revised Registration Form 7-R</w:t>
      </w:r>
      <w:r>
        <w:rPr>
          <w:szCs w:val="24"/>
        </w:rPr>
        <w:t>, 84 FR 8671, 8672 (Mar. 11, 2019).</w:t>
      </w:r>
    </w:p>
  </w:footnote>
  <w:footnote w:id="7">
    <w:p w14:paraId="6D32735B" w14:textId="77777777" w:rsidR="00FC4918" w:rsidRDefault="00FC4918" w:rsidP="00FC4918">
      <w:pPr>
        <w:pStyle w:val="FootnoteText"/>
        <w:spacing w:after="120"/>
      </w:pPr>
      <w:r>
        <w:rPr>
          <w:rStyle w:val="FootnoteReference"/>
        </w:rPr>
        <w:footnoteRef/>
      </w:r>
      <w:r>
        <w:t xml:space="preserve"> If Question G were revised as suggested, it would require the applicant to disclose whether it has been the subject of any order issued by or a party to any agreement with a U.S. or non-U.S. regulatory authority (other than the CFTC), including but not limited to a licensing authority, or self-regulatory organization (other than NFA or a U.S. futures exchange).</w:t>
      </w:r>
    </w:p>
  </w:footnote>
  <w:footnote w:id="8">
    <w:p w14:paraId="43806E3B" w14:textId="77777777" w:rsidR="000C34EF" w:rsidRDefault="000C34EF" w:rsidP="000C34EF">
      <w:pPr>
        <w:pStyle w:val="FootnoteText"/>
        <w:spacing w:after="120"/>
      </w:pPr>
      <w:r w:rsidRPr="000C34EF">
        <w:rPr>
          <w:rStyle w:val="FootnoteReference"/>
          <w:sz w:val="20"/>
        </w:rPr>
        <w:footnoteRef/>
      </w:r>
      <w:r w:rsidRPr="000C34EF">
        <w:rPr>
          <w:sz w:val="20"/>
        </w:rPr>
        <w:t xml:space="preserve"> Th</w:t>
      </w:r>
      <w:r>
        <w:rPr>
          <w:sz w:val="20"/>
        </w:rPr>
        <w:t>ese</w:t>
      </w:r>
      <w:r w:rsidRPr="000C34EF">
        <w:rPr>
          <w:sz w:val="20"/>
        </w:rPr>
        <w:t xml:space="preserve"> estimate</w:t>
      </w:r>
      <w:r>
        <w:rPr>
          <w:sz w:val="20"/>
        </w:rPr>
        <w:t>s include</w:t>
      </w:r>
      <w:r w:rsidRPr="000C34EF">
        <w:rPr>
          <w:sz w:val="20"/>
        </w:rPr>
        <w:t xml:space="preserve"> the collection burdens associated with Forms 7-R, 7-W, 8-R and 8-T, based on the historical practice of the Commission by addressing the burden estimates in aggregate, rather than separately on a form-by-form basis, for all of the registration forms: Forms 7-R, 7-W, 8-R, and 8-W.</w:t>
      </w:r>
    </w:p>
  </w:footnote>
  <w:footnote w:id="9">
    <w:p w14:paraId="3111B729" w14:textId="77777777" w:rsidR="000C34EF" w:rsidRPr="000C34EF" w:rsidRDefault="000C34EF" w:rsidP="000C34EF">
      <w:pPr>
        <w:pStyle w:val="FootnoteText"/>
        <w:spacing w:after="120"/>
        <w:rPr>
          <w:sz w:val="20"/>
        </w:rPr>
      </w:pPr>
      <w:r w:rsidRPr="000C34EF">
        <w:rPr>
          <w:rStyle w:val="FootnoteReference"/>
          <w:sz w:val="20"/>
        </w:rPr>
        <w:footnoteRef/>
      </w:r>
      <w:r w:rsidRPr="000C34EF">
        <w:rPr>
          <w:sz w:val="20"/>
        </w:rPr>
        <w:t xml:space="preserve"> These estimates include the collection burdens associated with Forms 7-R, 7-W, 8-R and 8-T, based on the historical practice of the Commission by addressing the burden estimates in aggregate, rather than separately on a form-by-form basis, for all of the registration forms: Forms 7-R, 7-W, 8-R, and 8-W.</w:t>
      </w:r>
    </w:p>
  </w:footnote>
  <w:footnote w:id="10">
    <w:p w14:paraId="0FAC5EB0" w14:textId="77777777" w:rsidR="00437B00" w:rsidRPr="005C5072" w:rsidRDefault="00437B00" w:rsidP="000C34EF">
      <w:pPr>
        <w:pStyle w:val="FootnoteText"/>
        <w:spacing w:after="120"/>
        <w:rPr>
          <w:sz w:val="20"/>
        </w:rPr>
      </w:pPr>
      <w:r w:rsidRPr="005C5072">
        <w:rPr>
          <w:rStyle w:val="FootnoteReference"/>
          <w:sz w:val="20"/>
        </w:rPr>
        <w:footnoteRef/>
      </w:r>
      <w:r w:rsidRPr="005C5072">
        <w:rPr>
          <w:sz w:val="20"/>
        </w:rPr>
        <w:t xml:space="preserve">  Respondents do not necessarily file a registration form (Forms 7-R, 8-R, 7-W, and 8-T) each year.  These registration forms are filed on an “as needed” basis, upon registering or when registration information changes, including withdrawal of registration.  Accordingly, the estimate of the number of reports filed annually by each respondent was arrived at by calculating an average number of reports based on the number of respondent and the number of annual responses. </w:t>
      </w:r>
    </w:p>
  </w:footnote>
  <w:footnote w:id="11">
    <w:p w14:paraId="62B941A7" w14:textId="4A10264C" w:rsidR="00437B00" w:rsidRPr="005C5072" w:rsidRDefault="00437B00" w:rsidP="000C34EF">
      <w:pPr>
        <w:pStyle w:val="FootnoteText"/>
        <w:spacing w:after="120"/>
        <w:rPr>
          <w:sz w:val="20"/>
        </w:rPr>
      </w:pPr>
      <w:r w:rsidRPr="005C5072">
        <w:rPr>
          <w:rStyle w:val="FootnoteReference"/>
          <w:sz w:val="20"/>
        </w:rPr>
        <w:footnoteRef/>
      </w:r>
      <w:r w:rsidRPr="005C5072">
        <w:rPr>
          <w:sz w:val="20"/>
        </w:rPr>
        <w:t xml:space="preserve">  </w:t>
      </w:r>
      <w:r w:rsidR="00B066D4">
        <w:rPr>
          <w:sz w:val="20"/>
        </w:rPr>
        <w:t>T</w:t>
      </w:r>
      <w:r w:rsidR="00EE5185">
        <w:rPr>
          <w:sz w:val="20"/>
        </w:rPr>
        <w:t xml:space="preserve">he </w:t>
      </w:r>
      <w:r w:rsidR="007D53F5">
        <w:rPr>
          <w:sz w:val="20"/>
        </w:rPr>
        <w:t xml:space="preserve">estimated </w:t>
      </w:r>
      <w:r w:rsidR="00EE5185">
        <w:rPr>
          <w:sz w:val="20"/>
        </w:rPr>
        <w:t xml:space="preserve">burden for the Form </w:t>
      </w:r>
      <w:r w:rsidR="00DE3A40">
        <w:rPr>
          <w:sz w:val="20"/>
        </w:rPr>
        <w:t>7</w:t>
      </w:r>
      <w:r w:rsidR="00EE5185">
        <w:rPr>
          <w:sz w:val="20"/>
        </w:rPr>
        <w:t xml:space="preserve">-R </w:t>
      </w:r>
      <w:r w:rsidR="007D53F5">
        <w:rPr>
          <w:sz w:val="20"/>
        </w:rPr>
        <w:t>across the different registration categories varies from 0.5 to 1.1 hour</w:t>
      </w:r>
      <w:r w:rsidR="00B066D4">
        <w:rPr>
          <w:sz w:val="20"/>
        </w:rPr>
        <w:t>.  However</w:t>
      </w:r>
      <w:r w:rsidR="00EE5185">
        <w:rPr>
          <w:sz w:val="20"/>
        </w:rPr>
        <w:t xml:space="preserve">, </w:t>
      </w:r>
      <w:r w:rsidR="007D53F5">
        <w:rPr>
          <w:sz w:val="20"/>
        </w:rPr>
        <w:t>t</w:t>
      </w:r>
      <w:r w:rsidR="007D53F5" w:rsidRPr="005C5072">
        <w:rPr>
          <w:sz w:val="20"/>
        </w:rPr>
        <w:t>h</w:t>
      </w:r>
      <w:r w:rsidR="007D53F5">
        <w:rPr>
          <w:sz w:val="20"/>
        </w:rPr>
        <w:t>e</w:t>
      </w:r>
      <w:r w:rsidR="007D53F5" w:rsidRPr="005C5072">
        <w:rPr>
          <w:sz w:val="20"/>
        </w:rPr>
        <w:t xml:space="preserve"> </w:t>
      </w:r>
      <w:r w:rsidRPr="005C5072">
        <w:rPr>
          <w:sz w:val="20"/>
        </w:rPr>
        <w:t xml:space="preserve">number </w:t>
      </w:r>
      <w:r w:rsidR="007D53F5">
        <w:rPr>
          <w:sz w:val="20"/>
        </w:rPr>
        <w:t xml:space="preserve">in this column </w:t>
      </w:r>
      <w:r w:rsidRPr="005C5072">
        <w:rPr>
          <w:sz w:val="20"/>
        </w:rPr>
        <w:t>reflects the average number of hours per response across all of the registration forms (Forms 7-R, 8-R, 7-W, and 8-T), which, as previousl</w:t>
      </w:r>
      <w:r w:rsidR="005C5072" w:rsidRPr="005C5072">
        <w:rPr>
          <w:sz w:val="20"/>
        </w:rPr>
        <w:t>y noted, is consistent with</w:t>
      </w:r>
      <w:r w:rsidRPr="005C5072">
        <w:rPr>
          <w:sz w:val="20"/>
        </w:rPr>
        <w:t xml:space="preserve"> </w:t>
      </w:r>
      <w:r w:rsidR="005C5072" w:rsidRPr="005C5072">
        <w:rPr>
          <w:sz w:val="20"/>
        </w:rPr>
        <w:t>the historical practice of the Commission by addressing the burden estimates in aggregate, rather than separately on a form-by-form basis.</w:t>
      </w:r>
      <w:r w:rsidRPr="005C5072">
        <w:rPr>
          <w:sz w:val="20"/>
        </w:rPr>
        <w:t xml:space="preserve"> </w:t>
      </w:r>
    </w:p>
  </w:footnote>
  <w:footnote w:id="12">
    <w:p w14:paraId="78189AF3" w14:textId="77777777" w:rsidR="005C5072" w:rsidRPr="005C5072" w:rsidRDefault="005C5072" w:rsidP="000C34EF">
      <w:pPr>
        <w:pStyle w:val="FootnoteText"/>
        <w:spacing w:after="120"/>
        <w:rPr>
          <w:sz w:val="20"/>
        </w:rPr>
      </w:pPr>
      <w:r w:rsidRPr="005C5072">
        <w:rPr>
          <w:rStyle w:val="FootnoteReference"/>
          <w:sz w:val="20"/>
        </w:rPr>
        <w:footnoteRef/>
      </w:r>
      <w:r w:rsidRPr="005C5072">
        <w:rPr>
          <w:sz w:val="20"/>
        </w:rPr>
        <w:t xml:space="preserve">  Respondents do not necessarily file a registration form (Forms 7-R, 8-R, 7-W, and 8-T) each year.  These registration forms are filed on an “as needed” basis, upon registering or when registration information changes, including withdrawal of registration.  Accordingly, the estimate of the number of reports filed annually by each respondent was arrived at by calculating an average number of reports based on the number of respondent and the number of annual responses.</w:t>
      </w:r>
    </w:p>
  </w:footnote>
  <w:footnote w:id="13">
    <w:p w14:paraId="62FD6312" w14:textId="204885A9" w:rsidR="005C5072" w:rsidRDefault="005C5072" w:rsidP="000C34EF">
      <w:pPr>
        <w:pStyle w:val="FootnoteText"/>
        <w:spacing w:after="120"/>
      </w:pPr>
      <w:r w:rsidRPr="005C5072">
        <w:rPr>
          <w:rStyle w:val="FootnoteReference"/>
          <w:sz w:val="20"/>
        </w:rPr>
        <w:footnoteRef/>
      </w:r>
      <w:r w:rsidRPr="005C5072">
        <w:rPr>
          <w:sz w:val="20"/>
        </w:rPr>
        <w:t xml:space="preserve">  </w:t>
      </w:r>
      <w:r w:rsidR="00B066D4">
        <w:rPr>
          <w:sz w:val="20"/>
        </w:rPr>
        <w:t>T</w:t>
      </w:r>
      <w:r w:rsidR="00EE5185" w:rsidRPr="00EE5185">
        <w:rPr>
          <w:sz w:val="20"/>
        </w:rPr>
        <w:t xml:space="preserve">he </w:t>
      </w:r>
      <w:r w:rsidR="007D53F5">
        <w:rPr>
          <w:sz w:val="20"/>
        </w:rPr>
        <w:t xml:space="preserve">estimated </w:t>
      </w:r>
      <w:r w:rsidR="00EE5185" w:rsidRPr="00EE5185">
        <w:rPr>
          <w:sz w:val="20"/>
        </w:rPr>
        <w:t xml:space="preserve">burden for the Form </w:t>
      </w:r>
      <w:r w:rsidR="00DE3A40">
        <w:rPr>
          <w:sz w:val="20"/>
        </w:rPr>
        <w:t>7</w:t>
      </w:r>
      <w:r w:rsidR="00EE5185" w:rsidRPr="00EE5185">
        <w:rPr>
          <w:sz w:val="20"/>
        </w:rPr>
        <w:t xml:space="preserve">-R </w:t>
      </w:r>
      <w:r w:rsidR="007D53F5">
        <w:rPr>
          <w:sz w:val="20"/>
        </w:rPr>
        <w:t>across the different registration categories varies from 0.5 to 1.1 hour</w:t>
      </w:r>
      <w:r w:rsidR="00B066D4">
        <w:rPr>
          <w:sz w:val="20"/>
        </w:rPr>
        <w:t>.  However</w:t>
      </w:r>
      <w:r w:rsidR="00EE5185" w:rsidRPr="00EE5185">
        <w:rPr>
          <w:sz w:val="20"/>
        </w:rPr>
        <w:t xml:space="preserve">, </w:t>
      </w:r>
      <w:r w:rsidR="007D53F5" w:rsidRPr="00EE5185">
        <w:rPr>
          <w:sz w:val="20"/>
        </w:rPr>
        <w:t>t</w:t>
      </w:r>
      <w:r w:rsidR="007D53F5" w:rsidRPr="005C5072">
        <w:rPr>
          <w:sz w:val="20"/>
        </w:rPr>
        <w:t>h</w:t>
      </w:r>
      <w:r w:rsidR="007D53F5">
        <w:rPr>
          <w:sz w:val="20"/>
        </w:rPr>
        <w:t>e</w:t>
      </w:r>
      <w:r w:rsidR="007D53F5" w:rsidRPr="005C5072">
        <w:rPr>
          <w:sz w:val="20"/>
        </w:rPr>
        <w:t xml:space="preserve"> </w:t>
      </w:r>
      <w:r w:rsidRPr="005C5072">
        <w:rPr>
          <w:sz w:val="20"/>
        </w:rPr>
        <w:t xml:space="preserve">number </w:t>
      </w:r>
      <w:r w:rsidR="007D53F5">
        <w:rPr>
          <w:sz w:val="20"/>
        </w:rPr>
        <w:t xml:space="preserve">in this column </w:t>
      </w:r>
      <w:r w:rsidRPr="005C5072">
        <w:rPr>
          <w:sz w:val="20"/>
        </w:rPr>
        <w:t xml:space="preserve">reflects the average number of hours per response across all of the registration forms (Forms 7-R, 8-R, 7-W, and 8-T), which, as previously noted, is consistent with the historical </w:t>
      </w:r>
      <w:r w:rsidRPr="00BF5464">
        <w:rPr>
          <w:sz w:val="20"/>
        </w:rPr>
        <w:t>practice of the Commission by addressing the burden estimates in aggregate, rather than separately on a form-by-form basis.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DD11D" w14:textId="77777777" w:rsidR="00EB2AE8" w:rsidRDefault="00EB2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8773F"/>
    <w:multiLevelType w:val="hybridMultilevel"/>
    <w:tmpl w:val="1A5A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ffice of the General Counsel">
    <w15:presenceInfo w15:providerId="None" w15:userId="Office of the General Couns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7997"/>
    <w:rsid w:val="000010C7"/>
    <w:rsid w:val="0000445D"/>
    <w:rsid w:val="00014431"/>
    <w:rsid w:val="00014F76"/>
    <w:rsid w:val="00015305"/>
    <w:rsid w:val="00020277"/>
    <w:rsid w:val="00020CEA"/>
    <w:rsid w:val="00032092"/>
    <w:rsid w:val="00032D8B"/>
    <w:rsid w:val="00033A5C"/>
    <w:rsid w:val="00035337"/>
    <w:rsid w:val="00041771"/>
    <w:rsid w:val="0004202D"/>
    <w:rsid w:val="00042BC8"/>
    <w:rsid w:val="00043FD2"/>
    <w:rsid w:val="000475B0"/>
    <w:rsid w:val="00060D90"/>
    <w:rsid w:val="00064EAC"/>
    <w:rsid w:val="00072F81"/>
    <w:rsid w:val="00076146"/>
    <w:rsid w:val="00077F85"/>
    <w:rsid w:val="00083EF4"/>
    <w:rsid w:val="00084F0F"/>
    <w:rsid w:val="00092A52"/>
    <w:rsid w:val="000949DB"/>
    <w:rsid w:val="000A07AA"/>
    <w:rsid w:val="000A0D3D"/>
    <w:rsid w:val="000A1686"/>
    <w:rsid w:val="000A2EAB"/>
    <w:rsid w:val="000A553C"/>
    <w:rsid w:val="000A6AC0"/>
    <w:rsid w:val="000A772F"/>
    <w:rsid w:val="000B12D0"/>
    <w:rsid w:val="000C217D"/>
    <w:rsid w:val="000C34EF"/>
    <w:rsid w:val="000C47E7"/>
    <w:rsid w:val="000C77F9"/>
    <w:rsid w:val="000D0E60"/>
    <w:rsid w:val="000D1EC3"/>
    <w:rsid w:val="000D33C7"/>
    <w:rsid w:val="000D574C"/>
    <w:rsid w:val="000D75EF"/>
    <w:rsid w:val="000E0785"/>
    <w:rsid w:val="000E14C4"/>
    <w:rsid w:val="000F17D3"/>
    <w:rsid w:val="000F3D15"/>
    <w:rsid w:val="000F7F1F"/>
    <w:rsid w:val="00101D8F"/>
    <w:rsid w:val="001037CB"/>
    <w:rsid w:val="00107020"/>
    <w:rsid w:val="001108BD"/>
    <w:rsid w:val="0011384E"/>
    <w:rsid w:val="00120865"/>
    <w:rsid w:val="001249F2"/>
    <w:rsid w:val="001254E6"/>
    <w:rsid w:val="00127669"/>
    <w:rsid w:val="0013292C"/>
    <w:rsid w:val="001357EC"/>
    <w:rsid w:val="00140524"/>
    <w:rsid w:val="001407CA"/>
    <w:rsid w:val="001442BB"/>
    <w:rsid w:val="00146FEB"/>
    <w:rsid w:val="00150EB2"/>
    <w:rsid w:val="00161CCE"/>
    <w:rsid w:val="00170EEE"/>
    <w:rsid w:val="00182054"/>
    <w:rsid w:val="0018311C"/>
    <w:rsid w:val="00183947"/>
    <w:rsid w:val="001873B8"/>
    <w:rsid w:val="0019146A"/>
    <w:rsid w:val="001951FD"/>
    <w:rsid w:val="001957A9"/>
    <w:rsid w:val="00195F8F"/>
    <w:rsid w:val="0019725E"/>
    <w:rsid w:val="001A03D7"/>
    <w:rsid w:val="001A1424"/>
    <w:rsid w:val="001A3CD6"/>
    <w:rsid w:val="001A74F6"/>
    <w:rsid w:val="001B1C89"/>
    <w:rsid w:val="001B7F70"/>
    <w:rsid w:val="001C04C3"/>
    <w:rsid w:val="001C18BF"/>
    <w:rsid w:val="001C2424"/>
    <w:rsid w:val="001D44B7"/>
    <w:rsid w:val="001D5087"/>
    <w:rsid w:val="001E1F52"/>
    <w:rsid w:val="001E3E6C"/>
    <w:rsid w:val="001E5BD7"/>
    <w:rsid w:val="001E6C74"/>
    <w:rsid w:val="001F3576"/>
    <w:rsid w:val="001F7836"/>
    <w:rsid w:val="00207BF1"/>
    <w:rsid w:val="00207E5E"/>
    <w:rsid w:val="00217E38"/>
    <w:rsid w:val="002200FA"/>
    <w:rsid w:val="00223D14"/>
    <w:rsid w:val="00224044"/>
    <w:rsid w:val="002268D5"/>
    <w:rsid w:val="0023195D"/>
    <w:rsid w:val="002322EC"/>
    <w:rsid w:val="00235507"/>
    <w:rsid w:val="00240F58"/>
    <w:rsid w:val="00243A14"/>
    <w:rsid w:val="00243E2F"/>
    <w:rsid w:val="00245AAC"/>
    <w:rsid w:val="00250BE2"/>
    <w:rsid w:val="00261931"/>
    <w:rsid w:val="00266FD7"/>
    <w:rsid w:val="00275DF9"/>
    <w:rsid w:val="0028022A"/>
    <w:rsid w:val="002830BB"/>
    <w:rsid w:val="002863B6"/>
    <w:rsid w:val="0029062F"/>
    <w:rsid w:val="00291570"/>
    <w:rsid w:val="00292699"/>
    <w:rsid w:val="00295E4B"/>
    <w:rsid w:val="00295F14"/>
    <w:rsid w:val="00297CD8"/>
    <w:rsid w:val="002A0792"/>
    <w:rsid w:val="002A1F3D"/>
    <w:rsid w:val="002A334B"/>
    <w:rsid w:val="002A7FEC"/>
    <w:rsid w:val="002B0123"/>
    <w:rsid w:val="002B1F68"/>
    <w:rsid w:val="002B2A19"/>
    <w:rsid w:val="002C052B"/>
    <w:rsid w:val="002C2B86"/>
    <w:rsid w:val="002C3693"/>
    <w:rsid w:val="002C371F"/>
    <w:rsid w:val="002C718A"/>
    <w:rsid w:val="002D42B8"/>
    <w:rsid w:val="002D57B5"/>
    <w:rsid w:val="002D59B8"/>
    <w:rsid w:val="002E32ED"/>
    <w:rsid w:val="002E35BC"/>
    <w:rsid w:val="002E502C"/>
    <w:rsid w:val="002E5E8C"/>
    <w:rsid w:val="002F64F9"/>
    <w:rsid w:val="003004E6"/>
    <w:rsid w:val="00301D9B"/>
    <w:rsid w:val="00304517"/>
    <w:rsid w:val="003057FD"/>
    <w:rsid w:val="00310014"/>
    <w:rsid w:val="00313455"/>
    <w:rsid w:val="00326F1A"/>
    <w:rsid w:val="00330927"/>
    <w:rsid w:val="00332327"/>
    <w:rsid w:val="00332877"/>
    <w:rsid w:val="003403F1"/>
    <w:rsid w:val="00340784"/>
    <w:rsid w:val="00340907"/>
    <w:rsid w:val="00340F14"/>
    <w:rsid w:val="00346637"/>
    <w:rsid w:val="00352A50"/>
    <w:rsid w:val="00353D87"/>
    <w:rsid w:val="00357332"/>
    <w:rsid w:val="003644D2"/>
    <w:rsid w:val="003647C6"/>
    <w:rsid w:val="00365E5E"/>
    <w:rsid w:val="0036681C"/>
    <w:rsid w:val="00366FA5"/>
    <w:rsid w:val="00367349"/>
    <w:rsid w:val="003753E2"/>
    <w:rsid w:val="003833E2"/>
    <w:rsid w:val="003834F1"/>
    <w:rsid w:val="00387E32"/>
    <w:rsid w:val="0039389F"/>
    <w:rsid w:val="00397547"/>
    <w:rsid w:val="003A22DE"/>
    <w:rsid w:val="003A3D3E"/>
    <w:rsid w:val="003A7E40"/>
    <w:rsid w:val="003B0CE7"/>
    <w:rsid w:val="003B2C78"/>
    <w:rsid w:val="003B37F4"/>
    <w:rsid w:val="003B3D53"/>
    <w:rsid w:val="003B4927"/>
    <w:rsid w:val="003C6827"/>
    <w:rsid w:val="003D2410"/>
    <w:rsid w:val="003D4261"/>
    <w:rsid w:val="003E4139"/>
    <w:rsid w:val="003E662A"/>
    <w:rsid w:val="003E6C98"/>
    <w:rsid w:val="003F2BAA"/>
    <w:rsid w:val="003F2D13"/>
    <w:rsid w:val="003F40AE"/>
    <w:rsid w:val="003F40D5"/>
    <w:rsid w:val="003F77D5"/>
    <w:rsid w:val="003F7819"/>
    <w:rsid w:val="004029DF"/>
    <w:rsid w:val="00403C0A"/>
    <w:rsid w:val="0040697E"/>
    <w:rsid w:val="00411D1A"/>
    <w:rsid w:val="00412195"/>
    <w:rsid w:val="0041388A"/>
    <w:rsid w:val="00421547"/>
    <w:rsid w:val="00422CED"/>
    <w:rsid w:val="00424858"/>
    <w:rsid w:val="00426C5A"/>
    <w:rsid w:val="00427F74"/>
    <w:rsid w:val="0043144C"/>
    <w:rsid w:val="00432704"/>
    <w:rsid w:val="00432927"/>
    <w:rsid w:val="00435157"/>
    <w:rsid w:val="00437B00"/>
    <w:rsid w:val="00440DCF"/>
    <w:rsid w:val="004506E8"/>
    <w:rsid w:val="00454D52"/>
    <w:rsid w:val="004570FB"/>
    <w:rsid w:val="004579B3"/>
    <w:rsid w:val="004579FC"/>
    <w:rsid w:val="004643C8"/>
    <w:rsid w:val="004710D6"/>
    <w:rsid w:val="00480313"/>
    <w:rsid w:val="0048095E"/>
    <w:rsid w:val="00481BF7"/>
    <w:rsid w:val="00486CBC"/>
    <w:rsid w:val="0049046F"/>
    <w:rsid w:val="0049088E"/>
    <w:rsid w:val="0049622C"/>
    <w:rsid w:val="004A1AA5"/>
    <w:rsid w:val="004A318D"/>
    <w:rsid w:val="004A3B5B"/>
    <w:rsid w:val="004A7768"/>
    <w:rsid w:val="004A7960"/>
    <w:rsid w:val="004A796E"/>
    <w:rsid w:val="004B4FEA"/>
    <w:rsid w:val="004B7838"/>
    <w:rsid w:val="004B7DD9"/>
    <w:rsid w:val="004C01A9"/>
    <w:rsid w:val="004C4DC8"/>
    <w:rsid w:val="004C5149"/>
    <w:rsid w:val="004C5A85"/>
    <w:rsid w:val="004C76BE"/>
    <w:rsid w:val="004D4EF9"/>
    <w:rsid w:val="004D789F"/>
    <w:rsid w:val="004E0CD4"/>
    <w:rsid w:val="004E3DC0"/>
    <w:rsid w:val="004F15A5"/>
    <w:rsid w:val="004F65EC"/>
    <w:rsid w:val="004F750F"/>
    <w:rsid w:val="00500D65"/>
    <w:rsid w:val="0050748B"/>
    <w:rsid w:val="00511AB5"/>
    <w:rsid w:val="00513D59"/>
    <w:rsid w:val="00515B95"/>
    <w:rsid w:val="00515EF7"/>
    <w:rsid w:val="00516209"/>
    <w:rsid w:val="00516BE5"/>
    <w:rsid w:val="00520A00"/>
    <w:rsid w:val="005266B9"/>
    <w:rsid w:val="005268A9"/>
    <w:rsid w:val="00527E7E"/>
    <w:rsid w:val="00532D76"/>
    <w:rsid w:val="005349A1"/>
    <w:rsid w:val="00542663"/>
    <w:rsid w:val="00546C28"/>
    <w:rsid w:val="00550079"/>
    <w:rsid w:val="005516A9"/>
    <w:rsid w:val="0055257F"/>
    <w:rsid w:val="005538D4"/>
    <w:rsid w:val="005556BF"/>
    <w:rsid w:val="00556053"/>
    <w:rsid w:val="0056081D"/>
    <w:rsid w:val="005609B9"/>
    <w:rsid w:val="00563112"/>
    <w:rsid w:val="00563D73"/>
    <w:rsid w:val="0056543C"/>
    <w:rsid w:val="00566079"/>
    <w:rsid w:val="0057254D"/>
    <w:rsid w:val="005758BB"/>
    <w:rsid w:val="00583619"/>
    <w:rsid w:val="00583BC3"/>
    <w:rsid w:val="00590C1C"/>
    <w:rsid w:val="005916D1"/>
    <w:rsid w:val="00591754"/>
    <w:rsid w:val="0059354E"/>
    <w:rsid w:val="00594B5C"/>
    <w:rsid w:val="00595441"/>
    <w:rsid w:val="00597B33"/>
    <w:rsid w:val="005A4E37"/>
    <w:rsid w:val="005A5DDF"/>
    <w:rsid w:val="005B3FC7"/>
    <w:rsid w:val="005B59C3"/>
    <w:rsid w:val="005C0B8C"/>
    <w:rsid w:val="005C17BF"/>
    <w:rsid w:val="005C4BD6"/>
    <w:rsid w:val="005C5072"/>
    <w:rsid w:val="005C7BFF"/>
    <w:rsid w:val="005D349F"/>
    <w:rsid w:val="005D39B5"/>
    <w:rsid w:val="005D4937"/>
    <w:rsid w:val="005D6E0D"/>
    <w:rsid w:val="005D6F81"/>
    <w:rsid w:val="005E2DD9"/>
    <w:rsid w:val="005E6DF6"/>
    <w:rsid w:val="005F4F54"/>
    <w:rsid w:val="005F56DD"/>
    <w:rsid w:val="005F6753"/>
    <w:rsid w:val="006007CB"/>
    <w:rsid w:val="006021CF"/>
    <w:rsid w:val="006034CA"/>
    <w:rsid w:val="00603F58"/>
    <w:rsid w:val="00606F90"/>
    <w:rsid w:val="00611806"/>
    <w:rsid w:val="00611EA7"/>
    <w:rsid w:val="0061444C"/>
    <w:rsid w:val="00634019"/>
    <w:rsid w:val="0063733A"/>
    <w:rsid w:val="00643291"/>
    <w:rsid w:val="00644A87"/>
    <w:rsid w:val="006523DF"/>
    <w:rsid w:val="006523F1"/>
    <w:rsid w:val="00653F9A"/>
    <w:rsid w:val="00660886"/>
    <w:rsid w:val="0066355C"/>
    <w:rsid w:val="00664DE6"/>
    <w:rsid w:val="0067168E"/>
    <w:rsid w:val="006764CB"/>
    <w:rsid w:val="006772A7"/>
    <w:rsid w:val="00683189"/>
    <w:rsid w:val="00687782"/>
    <w:rsid w:val="006914B0"/>
    <w:rsid w:val="00693ECD"/>
    <w:rsid w:val="006946B6"/>
    <w:rsid w:val="006B1332"/>
    <w:rsid w:val="006B22A0"/>
    <w:rsid w:val="006B56D9"/>
    <w:rsid w:val="006B6454"/>
    <w:rsid w:val="006C44CB"/>
    <w:rsid w:val="006D1E9C"/>
    <w:rsid w:val="006D268D"/>
    <w:rsid w:val="006D7103"/>
    <w:rsid w:val="006E0132"/>
    <w:rsid w:val="006E0B98"/>
    <w:rsid w:val="006E2540"/>
    <w:rsid w:val="006E6626"/>
    <w:rsid w:val="006E6660"/>
    <w:rsid w:val="006E691B"/>
    <w:rsid w:val="006F18E1"/>
    <w:rsid w:val="006F6E7A"/>
    <w:rsid w:val="0070031C"/>
    <w:rsid w:val="00710272"/>
    <w:rsid w:val="00715A20"/>
    <w:rsid w:val="007218CE"/>
    <w:rsid w:val="00722A68"/>
    <w:rsid w:val="00723A8D"/>
    <w:rsid w:val="00724767"/>
    <w:rsid w:val="00724FE7"/>
    <w:rsid w:val="0073607C"/>
    <w:rsid w:val="00736EA5"/>
    <w:rsid w:val="00737B34"/>
    <w:rsid w:val="00752ED8"/>
    <w:rsid w:val="00760DB4"/>
    <w:rsid w:val="0076103C"/>
    <w:rsid w:val="00765471"/>
    <w:rsid w:val="00782AB5"/>
    <w:rsid w:val="007847C9"/>
    <w:rsid w:val="00786394"/>
    <w:rsid w:val="007868C2"/>
    <w:rsid w:val="007906C6"/>
    <w:rsid w:val="007932E0"/>
    <w:rsid w:val="007A40B1"/>
    <w:rsid w:val="007A72E3"/>
    <w:rsid w:val="007B4189"/>
    <w:rsid w:val="007B6513"/>
    <w:rsid w:val="007B7681"/>
    <w:rsid w:val="007C0EF6"/>
    <w:rsid w:val="007C1371"/>
    <w:rsid w:val="007C5864"/>
    <w:rsid w:val="007C5A20"/>
    <w:rsid w:val="007D4A2C"/>
    <w:rsid w:val="007D53F5"/>
    <w:rsid w:val="007D60DD"/>
    <w:rsid w:val="007E179D"/>
    <w:rsid w:val="007E1B57"/>
    <w:rsid w:val="007F294A"/>
    <w:rsid w:val="007F3143"/>
    <w:rsid w:val="007F3C0A"/>
    <w:rsid w:val="007F60D3"/>
    <w:rsid w:val="00801EC7"/>
    <w:rsid w:val="00803D4D"/>
    <w:rsid w:val="00813AFD"/>
    <w:rsid w:val="008177C6"/>
    <w:rsid w:val="00817F61"/>
    <w:rsid w:val="00821207"/>
    <w:rsid w:val="00826EE1"/>
    <w:rsid w:val="008306BF"/>
    <w:rsid w:val="008377C4"/>
    <w:rsid w:val="00840F04"/>
    <w:rsid w:val="0084239F"/>
    <w:rsid w:val="008426F3"/>
    <w:rsid w:val="00845105"/>
    <w:rsid w:val="00851E8B"/>
    <w:rsid w:val="00852371"/>
    <w:rsid w:val="00863485"/>
    <w:rsid w:val="008758A1"/>
    <w:rsid w:val="00875F01"/>
    <w:rsid w:val="0087778A"/>
    <w:rsid w:val="00877E9E"/>
    <w:rsid w:val="00882744"/>
    <w:rsid w:val="008840F7"/>
    <w:rsid w:val="00885109"/>
    <w:rsid w:val="00885E01"/>
    <w:rsid w:val="00890179"/>
    <w:rsid w:val="0089603E"/>
    <w:rsid w:val="008A0131"/>
    <w:rsid w:val="008A015D"/>
    <w:rsid w:val="008A3A2E"/>
    <w:rsid w:val="008B78D8"/>
    <w:rsid w:val="008D0CBE"/>
    <w:rsid w:val="008D181A"/>
    <w:rsid w:val="008D3040"/>
    <w:rsid w:val="008E1ACE"/>
    <w:rsid w:val="008E4D04"/>
    <w:rsid w:val="008E517C"/>
    <w:rsid w:val="008E5212"/>
    <w:rsid w:val="008F482B"/>
    <w:rsid w:val="009118EA"/>
    <w:rsid w:val="00913E4C"/>
    <w:rsid w:val="009163D8"/>
    <w:rsid w:val="009176AC"/>
    <w:rsid w:val="009250EC"/>
    <w:rsid w:val="00925A79"/>
    <w:rsid w:val="00934BF1"/>
    <w:rsid w:val="00937335"/>
    <w:rsid w:val="009428D0"/>
    <w:rsid w:val="00943783"/>
    <w:rsid w:val="00945BEF"/>
    <w:rsid w:val="00945BF7"/>
    <w:rsid w:val="00947930"/>
    <w:rsid w:val="00951A20"/>
    <w:rsid w:val="00952EF5"/>
    <w:rsid w:val="009547C9"/>
    <w:rsid w:val="00956ACD"/>
    <w:rsid w:val="00957CF4"/>
    <w:rsid w:val="009651FE"/>
    <w:rsid w:val="00965E7E"/>
    <w:rsid w:val="00970B54"/>
    <w:rsid w:val="0097213C"/>
    <w:rsid w:val="00984168"/>
    <w:rsid w:val="00990E9A"/>
    <w:rsid w:val="009913CB"/>
    <w:rsid w:val="00991B54"/>
    <w:rsid w:val="009A0F0E"/>
    <w:rsid w:val="009A1F89"/>
    <w:rsid w:val="009A254B"/>
    <w:rsid w:val="009A3D21"/>
    <w:rsid w:val="009A5F7A"/>
    <w:rsid w:val="009A746B"/>
    <w:rsid w:val="009A7FB3"/>
    <w:rsid w:val="009B2C4D"/>
    <w:rsid w:val="009B322C"/>
    <w:rsid w:val="009B4263"/>
    <w:rsid w:val="009B6763"/>
    <w:rsid w:val="009C3089"/>
    <w:rsid w:val="009C3E37"/>
    <w:rsid w:val="009C508F"/>
    <w:rsid w:val="009C6187"/>
    <w:rsid w:val="009D5BF6"/>
    <w:rsid w:val="009D7F8D"/>
    <w:rsid w:val="009E1503"/>
    <w:rsid w:val="009F294D"/>
    <w:rsid w:val="009F5012"/>
    <w:rsid w:val="009F521C"/>
    <w:rsid w:val="00A018F5"/>
    <w:rsid w:val="00A056D1"/>
    <w:rsid w:val="00A117D6"/>
    <w:rsid w:val="00A11CFC"/>
    <w:rsid w:val="00A22A16"/>
    <w:rsid w:val="00A22FAB"/>
    <w:rsid w:val="00A340DB"/>
    <w:rsid w:val="00A42D21"/>
    <w:rsid w:val="00A42F08"/>
    <w:rsid w:val="00A442D7"/>
    <w:rsid w:val="00A446C5"/>
    <w:rsid w:val="00A46671"/>
    <w:rsid w:val="00A548F2"/>
    <w:rsid w:val="00A5567C"/>
    <w:rsid w:val="00A57452"/>
    <w:rsid w:val="00A62A1A"/>
    <w:rsid w:val="00A63F09"/>
    <w:rsid w:val="00A64B05"/>
    <w:rsid w:val="00A72917"/>
    <w:rsid w:val="00A743DF"/>
    <w:rsid w:val="00A7497E"/>
    <w:rsid w:val="00A7537C"/>
    <w:rsid w:val="00A76145"/>
    <w:rsid w:val="00A83889"/>
    <w:rsid w:val="00A918ED"/>
    <w:rsid w:val="00A92D61"/>
    <w:rsid w:val="00A97F8B"/>
    <w:rsid w:val="00AA5752"/>
    <w:rsid w:val="00AA6EE0"/>
    <w:rsid w:val="00AB0814"/>
    <w:rsid w:val="00AB1D4B"/>
    <w:rsid w:val="00AB713A"/>
    <w:rsid w:val="00AB768B"/>
    <w:rsid w:val="00AD30A0"/>
    <w:rsid w:val="00AE0875"/>
    <w:rsid w:val="00AE3881"/>
    <w:rsid w:val="00AE3ABB"/>
    <w:rsid w:val="00AE4C7A"/>
    <w:rsid w:val="00AE69BC"/>
    <w:rsid w:val="00AE73CD"/>
    <w:rsid w:val="00AF140B"/>
    <w:rsid w:val="00AF2AA8"/>
    <w:rsid w:val="00AF41F7"/>
    <w:rsid w:val="00AF5D0C"/>
    <w:rsid w:val="00B066D4"/>
    <w:rsid w:val="00B1028C"/>
    <w:rsid w:val="00B1072E"/>
    <w:rsid w:val="00B1396A"/>
    <w:rsid w:val="00B154CD"/>
    <w:rsid w:val="00B221AB"/>
    <w:rsid w:val="00B23151"/>
    <w:rsid w:val="00B26157"/>
    <w:rsid w:val="00B327A0"/>
    <w:rsid w:val="00B33DB2"/>
    <w:rsid w:val="00B36A01"/>
    <w:rsid w:val="00B41DD6"/>
    <w:rsid w:val="00B42A86"/>
    <w:rsid w:val="00B45310"/>
    <w:rsid w:val="00B537E7"/>
    <w:rsid w:val="00B60F99"/>
    <w:rsid w:val="00B71AEF"/>
    <w:rsid w:val="00B72131"/>
    <w:rsid w:val="00B7383D"/>
    <w:rsid w:val="00B74DC4"/>
    <w:rsid w:val="00B7727C"/>
    <w:rsid w:val="00B800E1"/>
    <w:rsid w:val="00B86D95"/>
    <w:rsid w:val="00B871D8"/>
    <w:rsid w:val="00B87856"/>
    <w:rsid w:val="00B90F44"/>
    <w:rsid w:val="00B97C28"/>
    <w:rsid w:val="00BA525C"/>
    <w:rsid w:val="00BA621A"/>
    <w:rsid w:val="00BB1C9F"/>
    <w:rsid w:val="00BB1E01"/>
    <w:rsid w:val="00BC4A87"/>
    <w:rsid w:val="00BC5D04"/>
    <w:rsid w:val="00BC6617"/>
    <w:rsid w:val="00BD3DF5"/>
    <w:rsid w:val="00BD5DA5"/>
    <w:rsid w:val="00BE20E6"/>
    <w:rsid w:val="00BE29BE"/>
    <w:rsid w:val="00BE7575"/>
    <w:rsid w:val="00BF4D14"/>
    <w:rsid w:val="00BF5464"/>
    <w:rsid w:val="00BF6A2E"/>
    <w:rsid w:val="00C00D4E"/>
    <w:rsid w:val="00C01A3E"/>
    <w:rsid w:val="00C01A7D"/>
    <w:rsid w:val="00C0349F"/>
    <w:rsid w:val="00C078CB"/>
    <w:rsid w:val="00C10516"/>
    <w:rsid w:val="00C13E5E"/>
    <w:rsid w:val="00C14510"/>
    <w:rsid w:val="00C163F8"/>
    <w:rsid w:val="00C2245F"/>
    <w:rsid w:val="00C267A4"/>
    <w:rsid w:val="00C27741"/>
    <w:rsid w:val="00C27A39"/>
    <w:rsid w:val="00C35777"/>
    <w:rsid w:val="00C371E8"/>
    <w:rsid w:val="00C46FDB"/>
    <w:rsid w:val="00C517F8"/>
    <w:rsid w:val="00C53772"/>
    <w:rsid w:val="00C56388"/>
    <w:rsid w:val="00C60134"/>
    <w:rsid w:val="00C60A34"/>
    <w:rsid w:val="00C679C7"/>
    <w:rsid w:val="00C8136B"/>
    <w:rsid w:val="00C81A39"/>
    <w:rsid w:val="00C85E9F"/>
    <w:rsid w:val="00C86AA5"/>
    <w:rsid w:val="00C87E17"/>
    <w:rsid w:val="00C90C08"/>
    <w:rsid w:val="00C928FE"/>
    <w:rsid w:val="00C92A15"/>
    <w:rsid w:val="00C937E6"/>
    <w:rsid w:val="00C949C4"/>
    <w:rsid w:val="00C94AB0"/>
    <w:rsid w:val="00C95310"/>
    <w:rsid w:val="00C961B6"/>
    <w:rsid w:val="00C97663"/>
    <w:rsid w:val="00C97B8E"/>
    <w:rsid w:val="00CA178E"/>
    <w:rsid w:val="00CA22C5"/>
    <w:rsid w:val="00CC2033"/>
    <w:rsid w:val="00CC3B42"/>
    <w:rsid w:val="00CC4B63"/>
    <w:rsid w:val="00CD7645"/>
    <w:rsid w:val="00CE2B1C"/>
    <w:rsid w:val="00CE5BAE"/>
    <w:rsid w:val="00CF216A"/>
    <w:rsid w:val="00CF2E59"/>
    <w:rsid w:val="00CF5B90"/>
    <w:rsid w:val="00D0272A"/>
    <w:rsid w:val="00D06E49"/>
    <w:rsid w:val="00D10C10"/>
    <w:rsid w:val="00D13B2F"/>
    <w:rsid w:val="00D13E00"/>
    <w:rsid w:val="00D16AF5"/>
    <w:rsid w:val="00D23AA6"/>
    <w:rsid w:val="00D2595B"/>
    <w:rsid w:val="00D263E8"/>
    <w:rsid w:val="00D26794"/>
    <w:rsid w:val="00D300B8"/>
    <w:rsid w:val="00D3264B"/>
    <w:rsid w:val="00D32D53"/>
    <w:rsid w:val="00D33C93"/>
    <w:rsid w:val="00D35F83"/>
    <w:rsid w:val="00D41243"/>
    <w:rsid w:val="00D441BB"/>
    <w:rsid w:val="00D47F98"/>
    <w:rsid w:val="00D521A3"/>
    <w:rsid w:val="00D56035"/>
    <w:rsid w:val="00D64CE9"/>
    <w:rsid w:val="00D72B9C"/>
    <w:rsid w:val="00D73C12"/>
    <w:rsid w:val="00D85F41"/>
    <w:rsid w:val="00D92CB2"/>
    <w:rsid w:val="00D9315A"/>
    <w:rsid w:val="00D97F50"/>
    <w:rsid w:val="00DA1F69"/>
    <w:rsid w:val="00DA2DE7"/>
    <w:rsid w:val="00DA4BAF"/>
    <w:rsid w:val="00DA5BE9"/>
    <w:rsid w:val="00DA6239"/>
    <w:rsid w:val="00DA6627"/>
    <w:rsid w:val="00DB190B"/>
    <w:rsid w:val="00DB2D39"/>
    <w:rsid w:val="00DB3265"/>
    <w:rsid w:val="00DB39BE"/>
    <w:rsid w:val="00DC1C65"/>
    <w:rsid w:val="00DC3AB1"/>
    <w:rsid w:val="00DD21B7"/>
    <w:rsid w:val="00DD2332"/>
    <w:rsid w:val="00DD3094"/>
    <w:rsid w:val="00DD30FC"/>
    <w:rsid w:val="00DD433E"/>
    <w:rsid w:val="00DD4CBA"/>
    <w:rsid w:val="00DD5718"/>
    <w:rsid w:val="00DD6D57"/>
    <w:rsid w:val="00DD7399"/>
    <w:rsid w:val="00DE1D2C"/>
    <w:rsid w:val="00DE3A40"/>
    <w:rsid w:val="00DF3B29"/>
    <w:rsid w:val="00DF7E86"/>
    <w:rsid w:val="00E00C4C"/>
    <w:rsid w:val="00E026C0"/>
    <w:rsid w:val="00E028A5"/>
    <w:rsid w:val="00E061F3"/>
    <w:rsid w:val="00E13759"/>
    <w:rsid w:val="00E32913"/>
    <w:rsid w:val="00E360E0"/>
    <w:rsid w:val="00E4575B"/>
    <w:rsid w:val="00E503E6"/>
    <w:rsid w:val="00E50DF5"/>
    <w:rsid w:val="00E5327B"/>
    <w:rsid w:val="00E57227"/>
    <w:rsid w:val="00E611AC"/>
    <w:rsid w:val="00E618B4"/>
    <w:rsid w:val="00E63490"/>
    <w:rsid w:val="00E64631"/>
    <w:rsid w:val="00E6523B"/>
    <w:rsid w:val="00E80CE6"/>
    <w:rsid w:val="00E8281A"/>
    <w:rsid w:val="00E837CE"/>
    <w:rsid w:val="00E84C22"/>
    <w:rsid w:val="00E84C9A"/>
    <w:rsid w:val="00E877A4"/>
    <w:rsid w:val="00E9260E"/>
    <w:rsid w:val="00E9442C"/>
    <w:rsid w:val="00EA2762"/>
    <w:rsid w:val="00EA2BB1"/>
    <w:rsid w:val="00EA35D7"/>
    <w:rsid w:val="00EA6094"/>
    <w:rsid w:val="00EA60AD"/>
    <w:rsid w:val="00EA7443"/>
    <w:rsid w:val="00EB226A"/>
    <w:rsid w:val="00EB2AE8"/>
    <w:rsid w:val="00EB2FBC"/>
    <w:rsid w:val="00EB4935"/>
    <w:rsid w:val="00EB6FF7"/>
    <w:rsid w:val="00EC0B10"/>
    <w:rsid w:val="00EC6335"/>
    <w:rsid w:val="00ED0CAE"/>
    <w:rsid w:val="00ED101F"/>
    <w:rsid w:val="00ED3E67"/>
    <w:rsid w:val="00EE02B7"/>
    <w:rsid w:val="00EE5185"/>
    <w:rsid w:val="00EE5918"/>
    <w:rsid w:val="00EE5EE3"/>
    <w:rsid w:val="00EF12B9"/>
    <w:rsid w:val="00EF1491"/>
    <w:rsid w:val="00EF60C3"/>
    <w:rsid w:val="00F008AD"/>
    <w:rsid w:val="00F020FB"/>
    <w:rsid w:val="00F06B32"/>
    <w:rsid w:val="00F100BF"/>
    <w:rsid w:val="00F11846"/>
    <w:rsid w:val="00F13E70"/>
    <w:rsid w:val="00F15B08"/>
    <w:rsid w:val="00F207C0"/>
    <w:rsid w:val="00F23092"/>
    <w:rsid w:val="00F2591A"/>
    <w:rsid w:val="00F26BF0"/>
    <w:rsid w:val="00F27D9F"/>
    <w:rsid w:val="00F31240"/>
    <w:rsid w:val="00F32CAE"/>
    <w:rsid w:val="00F37740"/>
    <w:rsid w:val="00F415A0"/>
    <w:rsid w:val="00F46494"/>
    <w:rsid w:val="00F4676A"/>
    <w:rsid w:val="00F4694C"/>
    <w:rsid w:val="00F47E65"/>
    <w:rsid w:val="00F50A23"/>
    <w:rsid w:val="00F519C1"/>
    <w:rsid w:val="00F51A33"/>
    <w:rsid w:val="00F62A29"/>
    <w:rsid w:val="00F660B4"/>
    <w:rsid w:val="00F66307"/>
    <w:rsid w:val="00F71793"/>
    <w:rsid w:val="00F74530"/>
    <w:rsid w:val="00F77CAA"/>
    <w:rsid w:val="00F813B1"/>
    <w:rsid w:val="00F840DD"/>
    <w:rsid w:val="00F92F33"/>
    <w:rsid w:val="00F95239"/>
    <w:rsid w:val="00F97914"/>
    <w:rsid w:val="00FA4257"/>
    <w:rsid w:val="00FB2C15"/>
    <w:rsid w:val="00FB4BE7"/>
    <w:rsid w:val="00FB73AA"/>
    <w:rsid w:val="00FB7997"/>
    <w:rsid w:val="00FB7CDC"/>
    <w:rsid w:val="00FC4918"/>
    <w:rsid w:val="00FC75C8"/>
    <w:rsid w:val="00FD4DDA"/>
    <w:rsid w:val="00FD4E71"/>
    <w:rsid w:val="00FD51E0"/>
    <w:rsid w:val="00FD6603"/>
    <w:rsid w:val="00FE631C"/>
    <w:rsid w:val="00FE7B1F"/>
    <w:rsid w:val="00FF0225"/>
    <w:rsid w:val="00FF1BE7"/>
    <w:rsid w:val="00FF2B1D"/>
    <w:rsid w:val="00FF77F9"/>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DD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0A"/>
    <w:rPr>
      <w:rFonts w:ascii="Arial" w:hAnsi="Arial"/>
      <w:sz w:val="24"/>
      <w:szCs w:val="24"/>
    </w:rPr>
  </w:style>
  <w:style w:type="paragraph" w:styleId="Heading1">
    <w:name w:val="heading 1"/>
    <w:basedOn w:val="Normal"/>
    <w:next w:val="Normal"/>
    <w:qFormat/>
    <w:rsid w:val="00C14510"/>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4510"/>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C14510"/>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fr,Style 19,Style 16,Style 35"/>
    <w:uiPriority w:val="99"/>
    <w:rsid w:val="00C14510"/>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C14510"/>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link w:val="FootnoteText"/>
    <w:uiPriority w:val="99"/>
    <w:rsid w:val="00C14510"/>
    <w:rPr>
      <w:sz w:val="24"/>
    </w:rPr>
  </w:style>
  <w:style w:type="paragraph" w:customStyle="1" w:styleId="Default">
    <w:name w:val="Default"/>
    <w:rsid w:val="00C14510"/>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C14510"/>
    <w:pPr>
      <w:tabs>
        <w:tab w:val="center" w:pos="4680"/>
        <w:tab w:val="right" w:pos="9360"/>
      </w:tabs>
    </w:pPr>
  </w:style>
  <w:style w:type="character" w:customStyle="1" w:styleId="HeaderChar">
    <w:name w:val="Header Char"/>
    <w:link w:val="Header"/>
    <w:rsid w:val="00C14510"/>
    <w:rPr>
      <w:rFonts w:ascii="Arial" w:hAnsi="Arial"/>
      <w:sz w:val="24"/>
      <w:szCs w:val="24"/>
    </w:rPr>
  </w:style>
  <w:style w:type="paragraph" w:styleId="Footer">
    <w:name w:val="footer"/>
    <w:basedOn w:val="Normal"/>
    <w:link w:val="FooterChar"/>
    <w:uiPriority w:val="99"/>
    <w:rsid w:val="00C14510"/>
    <w:pPr>
      <w:tabs>
        <w:tab w:val="center" w:pos="4680"/>
        <w:tab w:val="right" w:pos="9360"/>
      </w:tabs>
    </w:pPr>
  </w:style>
  <w:style w:type="character" w:customStyle="1" w:styleId="FooterChar">
    <w:name w:val="Footer Char"/>
    <w:link w:val="Footer"/>
    <w:uiPriority w:val="99"/>
    <w:rsid w:val="00C14510"/>
    <w:rPr>
      <w:rFonts w:ascii="Arial" w:hAnsi="Arial"/>
      <w:sz w:val="24"/>
      <w:szCs w:val="24"/>
    </w:rPr>
  </w:style>
  <w:style w:type="paragraph" w:styleId="PlainText">
    <w:name w:val="Plain Text"/>
    <w:basedOn w:val="Normal"/>
    <w:link w:val="PlainTextChar"/>
    <w:uiPriority w:val="99"/>
    <w:unhideWhenUsed/>
    <w:rsid w:val="00C14510"/>
    <w:rPr>
      <w:rFonts w:ascii="Calibri" w:hAnsi="Calibri"/>
      <w:color w:val="1F497D"/>
      <w:sz w:val="22"/>
      <w:szCs w:val="21"/>
    </w:rPr>
  </w:style>
  <w:style w:type="character" w:customStyle="1" w:styleId="PlainTextChar">
    <w:name w:val="Plain Text Char"/>
    <w:link w:val="PlainText"/>
    <w:uiPriority w:val="99"/>
    <w:rsid w:val="00C14510"/>
    <w:rPr>
      <w:rFonts w:ascii="Calibri" w:hAnsi="Calibri"/>
      <w:color w:val="1F497D"/>
      <w:sz w:val="22"/>
      <w:szCs w:val="21"/>
    </w:rPr>
  </w:style>
  <w:style w:type="paragraph" w:customStyle="1" w:styleId="CM3">
    <w:name w:val="CM3"/>
    <w:basedOn w:val="Default"/>
    <w:next w:val="Default"/>
    <w:uiPriority w:val="99"/>
    <w:rsid w:val="00C14510"/>
    <w:pPr>
      <w:spacing w:line="268" w:lineRule="atLeast"/>
    </w:pPr>
    <w:rPr>
      <w:rFonts w:cs="Times New Roman"/>
      <w:color w:val="auto"/>
    </w:rPr>
  </w:style>
  <w:style w:type="paragraph" w:styleId="Title">
    <w:name w:val="Title"/>
    <w:basedOn w:val="Normal"/>
    <w:link w:val="TitleChar"/>
    <w:qFormat/>
    <w:rsid w:val="00C14510"/>
    <w:pPr>
      <w:jc w:val="center"/>
    </w:pPr>
    <w:rPr>
      <w:rFonts w:ascii="Times New Roman" w:hAnsi="Times New Roman"/>
      <w:b/>
      <w:sz w:val="40"/>
      <w:szCs w:val="20"/>
    </w:rPr>
  </w:style>
  <w:style w:type="character" w:customStyle="1" w:styleId="TitleChar">
    <w:name w:val="Title Char"/>
    <w:link w:val="Title"/>
    <w:rsid w:val="00C14510"/>
    <w:rPr>
      <w:b/>
      <w:sz w:val="40"/>
    </w:rPr>
  </w:style>
  <w:style w:type="table" w:styleId="TableGrid">
    <w:name w:val="Table Grid"/>
    <w:basedOn w:val="TableNormal"/>
    <w:rsid w:val="0012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13B2F"/>
    <w:rPr>
      <w:b/>
      <w:bCs/>
      <w:strike w:val="0"/>
      <w:dstrike w:val="0"/>
      <w:color w:val="D65300"/>
      <w:u w:val="none"/>
      <w:effect w:val="none"/>
    </w:rPr>
  </w:style>
  <w:style w:type="paragraph" w:styleId="BalloonText">
    <w:name w:val="Balloon Text"/>
    <w:basedOn w:val="Normal"/>
    <w:link w:val="BalloonTextChar"/>
    <w:rsid w:val="00AF5D0C"/>
    <w:rPr>
      <w:rFonts w:ascii="Tahoma" w:hAnsi="Tahoma" w:cs="Tahoma"/>
      <w:sz w:val="16"/>
      <w:szCs w:val="16"/>
    </w:rPr>
  </w:style>
  <w:style w:type="character" w:customStyle="1" w:styleId="BalloonTextChar">
    <w:name w:val="Balloon Text Char"/>
    <w:link w:val="BalloonText"/>
    <w:rsid w:val="00AF5D0C"/>
    <w:rPr>
      <w:rFonts w:ascii="Tahoma" w:hAnsi="Tahoma" w:cs="Tahoma"/>
      <w:sz w:val="16"/>
      <w:szCs w:val="16"/>
    </w:rPr>
  </w:style>
  <w:style w:type="character" w:styleId="CommentReference">
    <w:name w:val="annotation reference"/>
    <w:uiPriority w:val="99"/>
    <w:rsid w:val="00357332"/>
    <w:rPr>
      <w:sz w:val="16"/>
      <w:szCs w:val="16"/>
    </w:rPr>
  </w:style>
  <w:style w:type="paragraph" w:styleId="CommentText">
    <w:name w:val="annotation text"/>
    <w:basedOn w:val="Normal"/>
    <w:link w:val="CommentTextChar"/>
    <w:rsid w:val="00357332"/>
    <w:rPr>
      <w:sz w:val="20"/>
      <w:szCs w:val="20"/>
    </w:rPr>
  </w:style>
  <w:style w:type="character" w:customStyle="1" w:styleId="CommentTextChar">
    <w:name w:val="Comment Text Char"/>
    <w:link w:val="CommentText"/>
    <w:rsid w:val="00357332"/>
    <w:rPr>
      <w:rFonts w:ascii="Arial" w:hAnsi="Arial"/>
    </w:rPr>
  </w:style>
  <w:style w:type="paragraph" w:styleId="CommentSubject">
    <w:name w:val="annotation subject"/>
    <w:basedOn w:val="CommentText"/>
    <w:next w:val="CommentText"/>
    <w:link w:val="CommentSubjectChar"/>
    <w:rsid w:val="00357332"/>
    <w:rPr>
      <w:b/>
      <w:bCs/>
    </w:rPr>
  </w:style>
  <w:style w:type="character" w:customStyle="1" w:styleId="CommentSubjectChar">
    <w:name w:val="Comment Subject Char"/>
    <w:link w:val="CommentSubject"/>
    <w:rsid w:val="00357332"/>
    <w:rPr>
      <w:rFonts w:ascii="Arial" w:hAnsi="Arial"/>
      <w:b/>
      <w:bCs/>
    </w:rPr>
  </w:style>
  <w:style w:type="paragraph" w:customStyle="1" w:styleId="ColorfulList-Accent11">
    <w:name w:val="Colorful List - Accent 11"/>
    <w:basedOn w:val="Normal"/>
    <w:uiPriority w:val="34"/>
    <w:qFormat/>
    <w:rsid w:val="002C718A"/>
    <w:pPr>
      <w:ind w:left="720"/>
      <w:contextualSpacing/>
    </w:pPr>
    <w:rPr>
      <w:rFonts w:ascii="Times New Roman" w:hAnsi="Times New Roman"/>
    </w:rPr>
  </w:style>
  <w:style w:type="paragraph" w:styleId="ListParagraph">
    <w:name w:val="List Paragraph"/>
    <w:basedOn w:val="Normal"/>
    <w:uiPriority w:val="34"/>
    <w:qFormat/>
    <w:rsid w:val="00261931"/>
    <w:pPr>
      <w:ind w:left="720"/>
      <w:contextualSpacing/>
    </w:pPr>
  </w:style>
  <w:style w:type="character" w:styleId="FollowedHyperlink">
    <w:name w:val="FollowedHyperlink"/>
    <w:rsid w:val="0048095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0A"/>
    <w:rPr>
      <w:rFonts w:ascii="Arial" w:hAnsi="Arial"/>
      <w:sz w:val="24"/>
      <w:szCs w:val="24"/>
    </w:rPr>
  </w:style>
  <w:style w:type="paragraph" w:styleId="Heading1">
    <w:name w:val="heading 1"/>
    <w:basedOn w:val="Normal"/>
    <w:next w:val="Normal"/>
    <w:qFormat/>
    <w:rsid w:val="00C14510"/>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4510"/>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C14510"/>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fr,Style 19,Style 16,Style 35"/>
    <w:uiPriority w:val="99"/>
    <w:rsid w:val="00C14510"/>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C14510"/>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link w:val="FootnoteText"/>
    <w:uiPriority w:val="99"/>
    <w:rsid w:val="00C14510"/>
    <w:rPr>
      <w:sz w:val="24"/>
    </w:rPr>
  </w:style>
  <w:style w:type="paragraph" w:customStyle="1" w:styleId="Default">
    <w:name w:val="Default"/>
    <w:rsid w:val="00C14510"/>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C14510"/>
    <w:pPr>
      <w:tabs>
        <w:tab w:val="center" w:pos="4680"/>
        <w:tab w:val="right" w:pos="9360"/>
      </w:tabs>
    </w:pPr>
  </w:style>
  <w:style w:type="character" w:customStyle="1" w:styleId="HeaderChar">
    <w:name w:val="Header Char"/>
    <w:link w:val="Header"/>
    <w:rsid w:val="00C14510"/>
    <w:rPr>
      <w:rFonts w:ascii="Arial" w:hAnsi="Arial"/>
      <w:sz w:val="24"/>
      <w:szCs w:val="24"/>
    </w:rPr>
  </w:style>
  <w:style w:type="paragraph" w:styleId="Footer">
    <w:name w:val="footer"/>
    <w:basedOn w:val="Normal"/>
    <w:link w:val="FooterChar"/>
    <w:uiPriority w:val="99"/>
    <w:rsid w:val="00C14510"/>
    <w:pPr>
      <w:tabs>
        <w:tab w:val="center" w:pos="4680"/>
        <w:tab w:val="right" w:pos="9360"/>
      </w:tabs>
    </w:pPr>
  </w:style>
  <w:style w:type="character" w:customStyle="1" w:styleId="FooterChar">
    <w:name w:val="Footer Char"/>
    <w:link w:val="Footer"/>
    <w:uiPriority w:val="99"/>
    <w:rsid w:val="00C14510"/>
    <w:rPr>
      <w:rFonts w:ascii="Arial" w:hAnsi="Arial"/>
      <w:sz w:val="24"/>
      <w:szCs w:val="24"/>
    </w:rPr>
  </w:style>
  <w:style w:type="paragraph" w:styleId="PlainText">
    <w:name w:val="Plain Text"/>
    <w:basedOn w:val="Normal"/>
    <w:link w:val="PlainTextChar"/>
    <w:uiPriority w:val="99"/>
    <w:unhideWhenUsed/>
    <w:rsid w:val="00C14510"/>
    <w:rPr>
      <w:rFonts w:ascii="Calibri" w:hAnsi="Calibri"/>
      <w:color w:val="1F497D"/>
      <w:sz w:val="22"/>
      <w:szCs w:val="21"/>
    </w:rPr>
  </w:style>
  <w:style w:type="character" w:customStyle="1" w:styleId="PlainTextChar">
    <w:name w:val="Plain Text Char"/>
    <w:link w:val="PlainText"/>
    <w:uiPriority w:val="99"/>
    <w:rsid w:val="00C14510"/>
    <w:rPr>
      <w:rFonts w:ascii="Calibri" w:hAnsi="Calibri"/>
      <w:color w:val="1F497D"/>
      <w:sz w:val="22"/>
      <w:szCs w:val="21"/>
    </w:rPr>
  </w:style>
  <w:style w:type="paragraph" w:customStyle="1" w:styleId="CM3">
    <w:name w:val="CM3"/>
    <w:basedOn w:val="Default"/>
    <w:next w:val="Default"/>
    <w:uiPriority w:val="99"/>
    <w:rsid w:val="00C14510"/>
    <w:pPr>
      <w:spacing w:line="268" w:lineRule="atLeast"/>
    </w:pPr>
    <w:rPr>
      <w:rFonts w:cs="Times New Roman"/>
      <w:color w:val="auto"/>
    </w:rPr>
  </w:style>
  <w:style w:type="paragraph" w:styleId="Title">
    <w:name w:val="Title"/>
    <w:basedOn w:val="Normal"/>
    <w:link w:val="TitleChar"/>
    <w:qFormat/>
    <w:rsid w:val="00C14510"/>
    <w:pPr>
      <w:jc w:val="center"/>
    </w:pPr>
    <w:rPr>
      <w:rFonts w:ascii="Times New Roman" w:hAnsi="Times New Roman"/>
      <w:b/>
      <w:sz w:val="40"/>
      <w:szCs w:val="20"/>
    </w:rPr>
  </w:style>
  <w:style w:type="character" w:customStyle="1" w:styleId="TitleChar">
    <w:name w:val="Title Char"/>
    <w:link w:val="Title"/>
    <w:rsid w:val="00C14510"/>
    <w:rPr>
      <w:b/>
      <w:sz w:val="40"/>
    </w:rPr>
  </w:style>
  <w:style w:type="table" w:styleId="TableGrid">
    <w:name w:val="Table Grid"/>
    <w:basedOn w:val="TableNormal"/>
    <w:rsid w:val="0012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13B2F"/>
    <w:rPr>
      <w:b/>
      <w:bCs/>
      <w:strike w:val="0"/>
      <w:dstrike w:val="0"/>
      <w:color w:val="D65300"/>
      <w:u w:val="none"/>
      <w:effect w:val="none"/>
    </w:rPr>
  </w:style>
  <w:style w:type="paragraph" w:styleId="BalloonText">
    <w:name w:val="Balloon Text"/>
    <w:basedOn w:val="Normal"/>
    <w:link w:val="BalloonTextChar"/>
    <w:rsid w:val="00AF5D0C"/>
    <w:rPr>
      <w:rFonts w:ascii="Tahoma" w:hAnsi="Tahoma" w:cs="Tahoma"/>
      <w:sz w:val="16"/>
      <w:szCs w:val="16"/>
    </w:rPr>
  </w:style>
  <w:style w:type="character" w:customStyle="1" w:styleId="BalloonTextChar">
    <w:name w:val="Balloon Text Char"/>
    <w:link w:val="BalloonText"/>
    <w:rsid w:val="00AF5D0C"/>
    <w:rPr>
      <w:rFonts w:ascii="Tahoma" w:hAnsi="Tahoma" w:cs="Tahoma"/>
      <w:sz w:val="16"/>
      <w:szCs w:val="16"/>
    </w:rPr>
  </w:style>
  <w:style w:type="character" w:styleId="CommentReference">
    <w:name w:val="annotation reference"/>
    <w:uiPriority w:val="99"/>
    <w:rsid w:val="00357332"/>
    <w:rPr>
      <w:sz w:val="16"/>
      <w:szCs w:val="16"/>
    </w:rPr>
  </w:style>
  <w:style w:type="paragraph" w:styleId="CommentText">
    <w:name w:val="annotation text"/>
    <w:basedOn w:val="Normal"/>
    <w:link w:val="CommentTextChar"/>
    <w:rsid w:val="00357332"/>
    <w:rPr>
      <w:sz w:val="20"/>
      <w:szCs w:val="20"/>
    </w:rPr>
  </w:style>
  <w:style w:type="character" w:customStyle="1" w:styleId="CommentTextChar">
    <w:name w:val="Comment Text Char"/>
    <w:link w:val="CommentText"/>
    <w:rsid w:val="00357332"/>
    <w:rPr>
      <w:rFonts w:ascii="Arial" w:hAnsi="Arial"/>
    </w:rPr>
  </w:style>
  <w:style w:type="paragraph" w:styleId="CommentSubject">
    <w:name w:val="annotation subject"/>
    <w:basedOn w:val="CommentText"/>
    <w:next w:val="CommentText"/>
    <w:link w:val="CommentSubjectChar"/>
    <w:rsid w:val="00357332"/>
    <w:rPr>
      <w:b/>
      <w:bCs/>
    </w:rPr>
  </w:style>
  <w:style w:type="character" w:customStyle="1" w:styleId="CommentSubjectChar">
    <w:name w:val="Comment Subject Char"/>
    <w:link w:val="CommentSubject"/>
    <w:rsid w:val="00357332"/>
    <w:rPr>
      <w:rFonts w:ascii="Arial" w:hAnsi="Arial"/>
      <w:b/>
      <w:bCs/>
    </w:rPr>
  </w:style>
  <w:style w:type="paragraph" w:customStyle="1" w:styleId="ColorfulList-Accent11">
    <w:name w:val="Colorful List - Accent 11"/>
    <w:basedOn w:val="Normal"/>
    <w:uiPriority w:val="34"/>
    <w:qFormat/>
    <w:rsid w:val="002C718A"/>
    <w:pPr>
      <w:ind w:left="720"/>
      <w:contextualSpacing/>
    </w:pPr>
    <w:rPr>
      <w:rFonts w:ascii="Times New Roman" w:hAnsi="Times New Roman"/>
    </w:rPr>
  </w:style>
  <w:style w:type="paragraph" w:styleId="ListParagraph">
    <w:name w:val="List Paragraph"/>
    <w:basedOn w:val="Normal"/>
    <w:uiPriority w:val="34"/>
    <w:qFormat/>
    <w:rsid w:val="00261931"/>
    <w:pPr>
      <w:ind w:left="720"/>
      <w:contextualSpacing/>
    </w:pPr>
  </w:style>
  <w:style w:type="character" w:styleId="FollowedHyperlink">
    <w:name w:val="FollowedHyperlink"/>
    <w:rsid w:val="0048095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174016">
      <w:bodyDiv w:val="1"/>
      <w:marLeft w:val="0"/>
      <w:marRight w:val="0"/>
      <w:marTop w:val="0"/>
      <w:marBottom w:val="0"/>
      <w:divBdr>
        <w:top w:val="none" w:sz="0" w:space="0" w:color="auto"/>
        <w:left w:val="none" w:sz="0" w:space="0" w:color="auto"/>
        <w:bottom w:val="none" w:sz="0" w:space="0" w:color="auto"/>
        <w:right w:val="none" w:sz="0" w:space="0" w:color="auto"/>
      </w:divBdr>
    </w:div>
    <w:div w:id="920261590">
      <w:bodyDiv w:val="1"/>
      <w:marLeft w:val="0"/>
      <w:marRight w:val="0"/>
      <w:marTop w:val="0"/>
      <w:marBottom w:val="0"/>
      <w:divBdr>
        <w:top w:val="none" w:sz="0" w:space="0" w:color="auto"/>
        <w:left w:val="none" w:sz="0" w:space="0" w:color="auto"/>
        <w:bottom w:val="none" w:sz="0" w:space="0" w:color="auto"/>
        <w:right w:val="none" w:sz="0" w:space="0" w:color="auto"/>
      </w:divBdr>
    </w:div>
    <w:div w:id="175867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omments.cftc.gov/PublicComments/ViewComment.aspx?id=62116&amp;Search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AC4FF-7EF0-4497-AAEC-F754C5633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2866</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19165</CharactersWithSpaces>
  <SharedDoc>false</SharedDoc>
  <HLinks>
    <vt:vector size="18" baseType="variant">
      <vt:variant>
        <vt:i4>6094869</vt:i4>
      </vt:variant>
      <vt:variant>
        <vt:i4>0</vt:i4>
      </vt:variant>
      <vt:variant>
        <vt:i4>0</vt:i4>
      </vt:variant>
      <vt:variant>
        <vt:i4>5</vt:i4>
      </vt:variant>
      <vt:variant>
        <vt:lpwstr>https://comments.cftc.gov/PublicComments/CommentList.aspx?id=2953</vt:lpwstr>
      </vt:variant>
      <vt:variant>
        <vt:lpwstr/>
      </vt:variant>
      <vt:variant>
        <vt:i4>7733369</vt:i4>
      </vt:variant>
      <vt:variant>
        <vt:i4>3</vt:i4>
      </vt:variant>
      <vt:variant>
        <vt:i4>0</vt:i4>
      </vt:variant>
      <vt:variant>
        <vt:i4>5</vt:i4>
      </vt:variant>
      <vt:variant>
        <vt:lpwstr>http://www.klgates.com/swaps-proficiency-requirements-for-associated-persons-revised-form-7-r-04-05-2019/?nomobile=perm</vt:lpwstr>
      </vt:variant>
      <vt:variant>
        <vt:lpwstr/>
      </vt:variant>
      <vt:variant>
        <vt:i4>7733369</vt:i4>
      </vt:variant>
      <vt:variant>
        <vt:i4>0</vt:i4>
      </vt:variant>
      <vt:variant>
        <vt:i4>0</vt:i4>
      </vt:variant>
      <vt:variant>
        <vt:i4>5</vt:i4>
      </vt:variant>
      <vt:variant>
        <vt:lpwstr>http://www.klgates.com/swaps-proficiency-requirements-for-associated-persons-revised-form-7-r-04-05-2019/?nomobile=perm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SYSTEM</cp:lastModifiedBy>
  <cp:revision>2</cp:revision>
  <cp:lastPrinted>2019-06-05T19:10:00Z</cp:lastPrinted>
  <dcterms:created xsi:type="dcterms:W3CDTF">2019-06-20T19:24:00Z</dcterms:created>
  <dcterms:modified xsi:type="dcterms:W3CDTF">2019-06-20T19:24:00Z</dcterms:modified>
</cp:coreProperties>
</file>