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7B" w:rsidRDefault="00867D7B" w:rsidP="000A2E8C">
      <w:pPr>
        <w:rPr>
          <w:b/>
          <w:bCs/>
          <w:color w:val="1F497D"/>
        </w:rPr>
      </w:pPr>
      <w:bookmarkStart w:id="0" w:name="_GoBack"/>
      <w:bookmarkEnd w:id="0"/>
    </w:p>
    <w:p w:rsidR="00867D7B" w:rsidRPr="00867D7B" w:rsidRDefault="00867D7B" w:rsidP="000A2E8C">
      <w:pPr>
        <w:rPr>
          <w:rFonts w:ascii="Times New Roman" w:hAnsi="Times New Roman" w:cs="Times New Roman"/>
          <w:bCs/>
          <w:color w:val="1F497D"/>
          <w:sz w:val="24"/>
          <w:szCs w:val="24"/>
        </w:rPr>
      </w:pPr>
      <w:r w:rsidRPr="00867D7B">
        <w:rPr>
          <w:rFonts w:ascii="Times New Roman" w:hAnsi="Times New Roman" w:cs="Times New Roman"/>
          <w:bCs/>
          <w:color w:val="1F497D"/>
          <w:sz w:val="24"/>
          <w:szCs w:val="24"/>
        </w:rPr>
        <w:t>Federal Aviation Administration Acquisition Management System (FAAAMS)</w:t>
      </w:r>
    </w:p>
    <w:p w:rsidR="00867D7B" w:rsidRPr="00867D7B" w:rsidRDefault="00867D7B" w:rsidP="000A2E8C">
      <w:pPr>
        <w:rPr>
          <w:rFonts w:ascii="Times New Roman" w:hAnsi="Times New Roman" w:cs="Times New Roman"/>
          <w:bCs/>
          <w:color w:val="1F497D"/>
          <w:sz w:val="24"/>
          <w:szCs w:val="24"/>
        </w:rPr>
      </w:pPr>
      <w:r w:rsidRPr="00867D7B">
        <w:rPr>
          <w:rFonts w:ascii="Times New Roman" w:hAnsi="Times New Roman" w:cs="Times New Roman"/>
          <w:bCs/>
          <w:color w:val="1F497D"/>
          <w:sz w:val="24"/>
          <w:szCs w:val="24"/>
        </w:rPr>
        <w:t>Paperwork Reduction Act Submission</w:t>
      </w:r>
    </w:p>
    <w:p w:rsidR="00867D7B" w:rsidRPr="00867D7B" w:rsidRDefault="00867D7B" w:rsidP="000A2E8C">
      <w:pPr>
        <w:rPr>
          <w:rFonts w:ascii="Times New Roman" w:hAnsi="Times New Roman" w:cs="Times New Roman"/>
          <w:bCs/>
          <w:color w:val="1F497D"/>
          <w:sz w:val="24"/>
          <w:szCs w:val="24"/>
        </w:rPr>
      </w:pPr>
      <w:r w:rsidRPr="00867D7B">
        <w:rPr>
          <w:rFonts w:ascii="Times New Roman" w:hAnsi="Times New Roman" w:cs="Times New Roman"/>
          <w:bCs/>
          <w:color w:val="1F497D"/>
          <w:sz w:val="24"/>
          <w:szCs w:val="24"/>
        </w:rPr>
        <w:t>Supplementary Document</w:t>
      </w:r>
    </w:p>
    <w:p w:rsidR="00867D7B" w:rsidRPr="00867D7B" w:rsidRDefault="00867D7B" w:rsidP="000A2E8C">
      <w:pPr>
        <w:rPr>
          <w:rFonts w:ascii="Times New Roman" w:hAnsi="Times New Roman" w:cs="Times New Roman"/>
          <w:bCs/>
          <w:color w:val="1F497D"/>
          <w:sz w:val="24"/>
          <w:szCs w:val="24"/>
        </w:rPr>
      </w:pPr>
      <w:r w:rsidRPr="00867D7B">
        <w:rPr>
          <w:rFonts w:ascii="Times New Roman" w:hAnsi="Times New Roman" w:cs="Times New Roman"/>
          <w:bCs/>
          <w:color w:val="1F497D"/>
          <w:sz w:val="24"/>
          <w:szCs w:val="24"/>
        </w:rPr>
        <w:t xml:space="preserve">Privacy Act </w:t>
      </w:r>
      <w:r>
        <w:rPr>
          <w:rFonts w:ascii="Times New Roman" w:hAnsi="Times New Roman" w:cs="Times New Roman"/>
          <w:bCs/>
          <w:color w:val="1F497D"/>
          <w:sz w:val="24"/>
          <w:szCs w:val="24"/>
        </w:rPr>
        <w:t>I</w:t>
      </w:r>
      <w:r w:rsidRPr="00867D7B">
        <w:rPr>
          <w:rFonts w:ascii="Times New Roman" w:hAnsi="Times New Roman" w:cs="Times New Roman"/>
          <w:bCs/>
          <w:color w:val="1F497D"/>
          <w:sz w:val="24"/>
          <w:szCs w:val="24"/>
        </w:rPr>
        <w:t>nformation</w:t>
      </w:r>
    </w:p>
    <w:p w:rsidR="00867D7B" w:rsidRPr="00867D7B" w:rsidRDefault="00867D7B" w:rsidP="000A2E8C">
      <w:pPr>
        <w:rPr>
          <w:rFonts w:ascii="Times New Roman" w:hAnsi="Times New Roman" w:cs="Times New Roman"/>
          <w:bCs/>
          <w:color w:val="1F497D"/>
          <w:sz w:val="24"/>
          <w:szCs w:val="24"/>
        </w:rPr>
      </w:pPr>
    </w:p>
    <w:p w:rsidR="00867D7B" w:rsidRDefault="00867D7B" w:rsidP="000A2E8C">
      <w:pPr>
        <w:rPr>
          <w:b/>
          <w:bCs/>
          <w:color w:val="1F497D"/>
        </w:rPr>
      </w:pPr>
    </w:p>
    <w:p w:rsidR="000A2E8C" w:rsidRDefault="000A2E8C" w:rsidP="000A2E8C">
      <w:pPr>
        <w:rPr>
          <w:color w:val="1F497D"/>
        </w:rPr>
      </w:pPr>
      <w:r>
        <w:rPr>
          <w:b/>
          <w:bCs/>
          <w:color w:val="1F497D"/>
        </w:rPr>
        <w:t>PTA file:</w:t>
      </w:r>
      <w:r>
        <w:rPr>
          <w:color w:val="1F497D"/>
        </w:rPr>
        <w:t xml:space="preserve"> Adjudicated-FAA-1672-FAST-PTA-06302017.pdf</w:t>
      </w:r>
    </w:p>
    <w:p w:rsidR="000A2E8C" w:rsidRDefault="000A2E8C" w:rsidP="000A2E8C">
      <w:pPr>
        <w:rPr>
          <w:color w:val="1F497D"/>
        </w:rPr>
      </w:pPr>
    </w:p>
    <w:p w:rsidR="000A2E8C" w:rsidRDefault="000A2E8C" w:rsidP="000A2E8C">
      <w:pPr>
        <w:rPr>
          <w:b/>
          <w:bCs/>
          <w:color w:val="1F497D"/>
        </w:rPr>
      </w:pPr>
      <w:r>
        <w:rPr>
          <w:b/>
          <w:bCs/>
          <w:color w:val="1F497D"/>
        </w:rPr>
        <w:t>PIA:</w:t>
      </w:r>
    </w:p>
    <w:p w:rsidR="000A2E8C" w:rsidRDefault="000A2E8C" w:rsidP="000A2E8C">
      <w:pPr>
        <w:pStyle w:val="Default"/>
        <w:rPr>
          <w:sz w:val="23"/>
          <w:szCs w:val="23"/>
        </w:rPr>
      </w:pPr>
      <w:r>
        <w:rPr>
          <w:b/>
          <w:bCs/>
          <w:i/>
          <w:iCs/>
          <w:sz w:val="23"/>
          <w:szCs w:val="23"/>
        </w:rPr>
        <w:t xml:space="preserve">2.9 Has a PRIVACY IMPACT ASSESSMENT (PIA) been published for this system? </w:t>
      </w:r>
    </w:p>
    <w:p w:rsidR="000A2E8C" w:rsidRDefault="000A2E8C" w:rsidP="000A2E8C">
      <w:pPr>
        <w:pStyle w:val="Default"/>
        <w:rPr>
          <w:rFonts w:ascii="MS Gothic" w:eastAsia="MS Gothic" w:hAnsi="MS Gothic"/>
          <w:sz w:val="23"/>
          <w:szCs w:val="23"/>
        </w:rPr>
      </w:pPr>
      <w:r>
        <w:rPr>
          <w:rFonts w:ascii="MS Gothic" w:eastAsia="MS Gothic" w:hAnsi="MS Gothic" w:hint="eastAsia"/>
          <w:sz w:val="23"/>
          <w:szCs w:val="23"/>
        </w:rPr>
        <w:t xml:space="preserve">☐ Yes: </w:t>
      </w:r>
    </w:p>
    <w:p w:rsidR="000A2E8C" w:rsidRDefault="000A2E8C" w:rsidP="000A2E8C">
      <w:pPr>
        <w:pStyle w:val="Default"/>
        <w:rPr>
          <w:sz w:val="23"/>
          <w:szCs w:val="23"/>
        </w:rPr>
      </w:pPr>
      <w:r>
        <w:rPr>
          <w:rFonts w:ascii="MS Gothic" w:eastAsia="MS Gothic" w:hAnsi="MS Gothic" w:hint="eastAsia"/>
          <w:sz w:val="23"/>
          <w:szCs w:val="23"/>
        </w:rPr>
        <w:t xml:space="preserve">☐ </w:t>
      </w:r>
      <w:r>
        <w:rPr>
          <w:b/>
          <w:bCs/>
          <w:sz w:val="23"/>
          <w:szCs w:val="23"/>
        </w:rPr>
        <w:t>No</w:t>
      </w:r>
      <w:r>
        <w:rPr>
          <w:sz w:val="23"/>
          <w:szCs w:val="23"/>
        </w:rPr>
        <w:t xml:space="preserve">: </w:t>
      </w:r>
    </w:p>
    <w:p w:rsidR="000A2E8C" w:rsidRDefault="000A2E8C" w:rsidP="000A2E8C">
      <w:pPr>
        <w:pStyle w:val="Default"/>
        <w:rPr>
          <w:sz w:val="23"/>
          <w:szCs w:val="23"/>
        </w:rPr>
      </w:pPr>
      <w:r>
        <w:rPr>
          <w:rFonts w:ascii="MS Gothic" w:eastAsia="MS Gothic" w:hAnsi="MS Gothic" w:hint="eastAsia"/>
          <w:sz w:val="23"/>
          <w:szCs w:val="23"/>
        </w:rPr>
        <w:t xml:space="preserve">☒ </w:t>
      </w:r>
      <w:r>
        <w:rPr>
          <w:b/>
          <w:bCs/>
          <w:sz w:val="23"/>
          <w:szCs w:val="23"/>
        </w:rPr>
        <w:t xml:space="preserve">Not Applicable: </w:t>
      </w:r>
      <w:r>
        <w:rPr>
          <w:sz w:val="23"/>
          <w:szCs w:val="23"/>
        </w:rPr>
        <w:t xml:space="preserve">The most recently adjudicated PTA indicated no PIA was required for this system. </w:t>
      </w:r>
    </w:p>
    <w:p w:rsidR="000A2E8C" w:rsidRDefault="000A2E8C" w:rsidP="000A2E8C">
      <w:pPr>
        <w:pStyle w:val="Default"/>
        <w:rPr>
          <w:sz w:val="23"/>
          <w:szCs w:val="23"/>
        </w:rPr>
      </w:pPr>
    </w:p>
    <w:p w:rsidR="000A2E8C" w:rsidRDefault="000A2E8C" w:rsidP="000A2E8C">
      <w:pPr>
        <w:pStyle w:val="Default"/>
        <w:rPr>
          <w:sz w:val="23"/>
          <w:szCs w:val="23"/>
        </w:rPr>
      </w:pPr>
      <w:r>
        <w:rPr>
          <w:sz w:val="23"/>
          <w:szCs w:val="23"/>
        </w:rPr>
        <w:t xml:space="preserve">The system was developed prior to 2002, and no modifications which create new privacy risks, have been identified; therefore the EGovernment Act requirements for a Privacy Impact Assessment (PIA) Do not apply, (see OMB M-02-22, OMB Guidance for Implementing the Privacy Provisions of the E-Government Act of 2002.)” </w:t>
      </w:r>
    </w:p>
    <w:p w:rsidR="000A2E8C" w:rsidRDefault="000A2E8C" w:rsidP="000A2E8C">
      <w:pPr>
        <w:rPr>
          <w:color w:val="1F497D"/>
        </w:rPr>
      </w:pPr>
    </w:p>
    <w:p w:rsidR="000A2E8C" w:rsidRDefault="000A2E8C" w:rsidP="000A2E8C">
      <w:pPr>
        <w:rPr>
          <w:color w:val="1F497D"/>
        </w:rPr>
      </w:pPr>
      <w:r>
        <w:rPr>
          <w:b/>
          <w:bCs/>
          <w:color w:val="1F497D"/>
        </w:rPr>
        <w:t>SORN:</w:t>
      </w:r>
      <w:r>
        <w:rPr>
          <w:color w:val="1F497D"/>
        </w:rPr>
        <w:t xml:space="preserve"> </w:t>
      </w:r>
    </w:p>
    <w:p w:rsidR="000A2E8C" w:rsidRDefault="000A2E8C" w:rsidP="000A2E8C">
      <w:pPr>
        <w:pStyle w:val="Default"/>
        <w:rPr>
          <w:rFonts w:ascii="Calibri" w:hAnsi="Calibri" w:cs="Calibri"/>
          <w:color w:val="1F497D"/>
          <w:sz w:val="22"/>
          <w:szCs w:val="22"/>
        </w:rPr>
      </w:pPr>
    </w:p>
    <w:p w:rsidR="000A2E8C" w:rsidRDefault="000A2E8C" w:rsidP="000A2E8C">
      <w:pPr>
        <w:pStyle w:val="Default"/>
        <w:rPr>
          <w:sz w:val="23"/>
          <w:szCs w:val="23"/>
        </w:rPr>
      </w:pPr>
      <w:r>
        <w:rPr>
          <w:b/>
          <w:bCs/>
          <w:i/>
          <w:iCs/>
          <w:sz w:val="23"/>
          <w:szCs w:val="23"/>
        </w:rPr>
        <w:t xml:space="preserve">2.7 Will information about individuals be retrieved or accessed by a UNIQUE IDENTIFIER associated with or assigned to an individual? </w:t>
      </w:r>
    </w:p>
    <w:p w:rsidR="000A2E8C" w:rsidRDefault="000A2E8C" w:rsidP="000A2E8C">
      <w:pPr>
        <w:pStyle w:val="Default"/>
        <w:rPr>
          <w:rFonts w:ascii="MS Gothic" w:eastAsia="MS Gothic" w:hAnsi="MS Gothic"/>
          <w:sz w:val="23"/>
          <w:szCs w:val="23"/>
        </w:rPr>
      </w:pPr>
      <w:r>
        <w:rPr>
          <w:rFonts w:ascii="MS Gothic" w:eastAsia="MS Gothic" w:hAnsi="MS Gothic" w:hint="eastAsia"/>
          <w:sz w:val="23"/>
          <w:szCs w:val="23"/>
        </w:rPr>
        <w:t xml:space="preserve">☒ Yes </w:t>
      </w:r>
    </w:p>
    <w:p w:rsidR="000A2E8C" w:rsidRDefault="000A2E8C" w:rsidP="000A2E8C">
      <w:pPr>
        <w:pStyle w:val="Default"/>
        <w:rPr>
          <w:sz w:val="23"/>
          <w:szCs w:val="23"/>
        </w:rPr>
      </w:pPr>
      <w:r>
        <w:rPr>
          <w:b/>
          <w:bCs/>
          <w:i/>
          <w:iCs/>
          <w:sz w:val="23"/>
          <w:szCs w:val="23"/>
        </w:rPr>
        <w:t xml:space="preserve">Is there an existing Privacy Act System of Records notice (SORN) for the records retrieved or accessed by a unique identifier? </w:t>
      </w:r>
    </w:p>
    <w:p w:rsidR="000A2E8C" w:rsidRDefault="000A2E8C" w:rsidP="000A2E8C">
      <w:pPr>
        <w:pStyle w:val="Default"/>
        <w:rPr>
          <w:rFonts w:ascii="MS Gothic" w:eastAsia="MS Gothic" w:hAnsi="MS Gothic"/>
          <w:sz w:val="23"/>
          <w:szCs w:val="23"/>
        </w:rPr>
      </w:pPr>
      <w:r>
        <w:rPr>
          <w:rFonts w:ascii="MS Gothic" w:eastAsia="MS Gothic" w:hAnsi="MS Gothic" w:hint="eastAsia"/>
          <w:sz w:val="23"/>
          <w:szCs w:val="23"/>
        </w:rPr>
        <w:t xml:space="preserve">☒ Yes: </w:t>
      </w:r>
    </w:p>
    <w:p w:rsidR="000A2E8C" w:rsidRDefault="000A2E8C" w:rsidP="000A2E8C">
      <w:pPr>
        <w:pStyle w:val="Default"/>
        <w:rPr>
          <w:b/>
          <w:bCs/>
          <w:i/>
          <w:iCs/>
          <w:sz w:val="23"/>
          <w:szCs w:val="23"/>
        </w:rPr>
      </w:pPr>
      <w:r>
        <w:rPr>
          <w:b/>
          <w:bCs/>
          <w:sz w:val="23"/>
          <w:szCs w:val="23"/>
        </w:rPr>
        <w:t>SORN</w:t>
      </w:r>
      <w:r>
        <w:rPr>
          <w:b/>
          <w:bCs/>
          <w:i/>
          <w:iCs/>
          <w:sz w:val="23"/>
          <w:szCs w:val="23"/>
        </w:rPr>
        <w:t xml:space="preserve">: </w:t>
      </w:r>
    </w:p>
    <w:p w:rsidR="000A2E8C" w:rsidRDefault="000A2E8C" w:rsidP="000A2E8C">
      <w:pPr>
        <w:pStyle w:val="Default"/>
        <w:rPr>
          <w:b/>
          <w:bCs/>
          <w:i/>
          <w:iCs/>
          <w:sz w:val="23"/>
          <w:szCs w:val="23"/>
        </w:rPr>
      </w:pPr>
    </w:p>
    <w:p w:rsidR="000A2E8C" w:rsidRDefault="000A2E8C" w:rsidP="000A2E8C">
      <w:pPr>
        <w:pStyle w:val="Default"/>
        <w:rPr>
          <w:sz w:val="20"/>
          <w:szCs w:val="20"/>
        </w:rPr>
      </w:pPr>
      <w:r>
        <w:rPr>
          <w:rFonts w:ascii="Times New Roman" w:hAnsi="Times New Roman"/>
          <w:sz w:val="20"/>
          <w:szCs w:val="20"/>
        </w:rPr>
        <w:t xml:space="preserve">DOT Privacy Program FAA/FAST Privacy Threshold Assessment (PTA) </w:t>
      </w:r>
    </w:p>
    <w:p w:rsidR="000A2E8C" w:rsidRDefault="000A2E8C" w:rsidP="000A2E8C">
      <w:pPr>
        <w:pStyle w:val="Default"/>
        <w:rPr>
          <w:sz w:val="20"/>
          <w:szCs w:val="20"/>
        </w:rPr>
      </w:pPr>
      <w:r>
        <w:rPr>
          <w:rFonts w:ascii="Times New Roman" w:hAnsi="Times New Roman"/>
          <w:sz w:val="20"/>
          <w:szCs w:val="20"/>
        </w:rPr>
        <w:t xml:space="preserve">May 15, 2015 PTA Template v 2.0 7 </w:t>
      </w:r>
    </w:p>
    <w:p w:rsidR="000A2E8C" w:rsidRDefault="000A2E8C" w:rsidP="000A2E8C">
      <w:pPr>
        <w:pStyle w:val="Default"/>
        <w:rPr>
          <w:rFonts w:ascii="Times New Roman" w:hAnsi="Times New Roman"/>
          <w:sz w:val="23"/>
          <w:szCs w:val="23"/>
        </w:rPr>
      </w:pPr>
      <w:r>
        <w:rPr>
          <w:rFonts w:ascii="Times New Roman" w:hAnsi="Times New Roman"/>
          <w:sz w:val="23"/>
          <w:szCs w:val="23"/>
        </w:rPr>
        <w:t xml:space="preserve">DOT/ALL 13, </w:t>
      </w:r>
      <w:r>
        <w:rPr>
          <w:rFonts w:ascii="Times New Roman" w:hAnsi="Times New Roman"/>
          <w:i/>
          <w:iCs/>
          <w:sz w:val="23"/>
          <w:szCs w:val="23"/>
        </w:rPr>
        <w:t>Internet/Intranet Activity and Access Records</w:t>
      </w:r>
      <w:r>
        <w:rPr>
          <w:rFonts w:ascii="Times New Roman" w:hAnsi="Times New Roman"/>
          <w:sz w:val="23"/>
          <w:szCs w:val="23"/>
        </w:rPr>
        <w:t xml:space="preserve">, May 7, 2002 67 FR 30757. </w:t>
      </w:r>
    </w:p>
    <w:p w:rsidR="000A2E8C" w:rsidRDefault="000A2E8C" w:rsidP="000A2E8C">
      <w:pPr>
        <w:pStyle w:val="Default"/>
        <w:rPr>
          <w:rFonts w:ascii="MS Gothic" w:eastAsia="MS Gothic" w:hAnsi="MS Gothic"/>
          <w:sz w:val="23"/>
          <w:szCs w:val="23"/>
        </w:rPr>
      </w:pPr>
      <w:r>
        <w:rPr>
          <w:rFonts w:ascii="MS Gothic" w:eastAsia="MS Gothic" w:hAnsi="MS Gothic" w:hint="eastAsia"/>
          <w:sz w:val="23"/>
          <w:szCs w:val="23"/>
        </w:rPr>
        <w:t xml:space="preserve">☐ No: </w:t>
      </w:r>
    </w:p>
    <w:p w:rsidR="000A2E8C" w:rsidRDefault="000A2E8C" w:rsidP="000A2E8C">
      <w:pPr>
        <w:pStyle w:val="Default"/>
        <w:rPr>
          <w:sz w:val="23"/>
          <w:szCs w:val="23"/>
        </w:rPr>
      </w:pPr>
      <w:r>
        <w:rPr>
          <w:b/>
          <w:bCs/>
          <w:sz w:val="23"/>
          <w:szCs w:val="23"/>
        </w:rPr>
        <w:t xml:space="preserve">Explanation: </w:t>
      </w:r>
    </w:p>
    <w:p w:rsidR="000A2E8C" w:rsidRDefault="000A2E8C" w:rsidP="000A2E8C">
      <w:pPr>
        <w:pStyle w:val="Default"/>
        <w:rPr>
          <w:sz w:val="23"/>
          <w:szCs w:val="23"/>
        </w:rPr>
      </w:pPr>
      <w:r>
        <w:rPr>
          <w:b/>
          <w:bCs/>
          <w:sz w:val="23"/>
          <w:szCs w:val="23"/>
        </w:rPr>
        <w:t xml:space="preserve">Expected Publication: </w:t>
      </w:r>
    </w:p>
    <w:p w:rsidR="000A2E8C" w:rsidRDefault="000A2E8C" w:rsidP="000A2E8C">
      <w:pPr>
        <w:pStyle w:val="Default"/>
        <w:rPr>
          <w:sz w:val="23"/>
          <w:szCs w:val="23"/>
        </w:rPr>
      </w:pPr>
      <w:r>
        <w:rPr>
          <w:rFonts w:ascii="MS Gothic" w:eastAsia="MS Gothic" w:hAnsi="MS Gothic" w:hint="eastAsia"/>
          <w:sz w:val="23"/>
          <w:szCs w:val="23"/>
        </w:rPr>
        <w:t xml:space="preserve">☐ </w:t>
      </w:r>
      <w:r>
        <w:rPr>
          <w:b/>
          <w:bCs/>
          <w:sz w:val="23"/>
          <w:szCs w:val="23"/>
        </w:rPr>
        <w:t xml:space="preserve">Not Applicable: </w:t>
      </w:r>
      <w:r>
        <w:rPr>
          <w:sz w:val="23"/>
          <w:szCs w:val="23"/>
        </w:rPr>
        <w:t xml:space="preserve">Proceed to question 2.9 </w:t>
      </w:r>
    </w:p>
    <w:p w:rsidR="000A2E8C" w:rsidRDefault="000A2E8C" w:rsidP="000A2E8C">
      <w:pPr>
        <w:pStyle w:val="Default"/>
        <w:rPr>
          <w:b/>
          <w:bCs/>
          <w:i/>
          <w:iCs/>
          <w:sz w:val="23"/>
          <w:szCs w:val="23"/>
        </w:rPr>
      </w:pPr>
    </w:p>
    <w:p w:rsidR="000A2E8C" w:rsidRDefault="000A2E8C" w:rsidP="000A2E8C">
      <w:pPr>
        <w:pStyle w:val="Default"/>
        <w:rPr>
          <w:sz w:val="23"/>
          <w:szCs w:val="23"/>
        </w:rPr>
      </w:pPr>
      <w:r>
        <w:rPr>
          <w:b/>
          <w:bCs/>
          <w:i/>
          <w:iCs/>
          <w:sz w:val="23"/>
          <w:szCs w:val="23"/>
        </w:rPr>
        <w:t xml:space="preserve">2.8 Has a Privacy Act EXEMPTION RULE been published in support of any Exemptions claimed in the SORN? </w:t>
      </w:r>
    </w:p>
    <w:p w:rsidR="000A2E8C" w:rsidRDefault="000A2E8C" w:rsidP="000A2E8C">
      <w:pPr>
        <w:pStyle w:val="Default"/>
        <w:rPr>
          <w:rFonts w:ascii="MS Gothic" w:eastAsia="MS Gothic" w:hAnsi="MS Gothic"/>
          <w:sz w:val="23"/>
          <w:szCs w:val="23"/>
        </w:rPr>
      </w:pPr>
      <w:r>
        <w:rPr>
          <w:rFonts w:ascii="MS Gothic" w:eastAsia="MS Gothic" w:hAnsi="MS Gothic" w:hint="eastAsia"/>
          <w:sz w:val="23"/>
          <w:szCs w:val="23"/>
        </w:rPr>
        <w:t xml:space="preserve">☐ Yes </w:t>
      </w:r>
    </w:p>
    <w:p w:rsidR="000A2E8C" w:rsidRDefault="000A2E8C" w:rsidP="000A2E8C">
      <w:pPr>
        <w:pStyle w:val="Default"/>
        <w:rPr>
          <w:sz w:val="23"/>
          <w:szCs w:val="23"/>
        </w:rPr>
      </w:pPr>
      <w:r>
        <w:rPr>
          <w:b/>
          <w:bCs/>
          <w:sz w:val="23"/>
          <w:szCs w:val="23"/>
        </w:rPr>
        <w:t xml:space="preserve">Exemption Rule: </w:t>
      </w:r>
    </w:p>
    <w:p w:rsidR="000A2E8C" w:rsidRDefault="000A2E8C" w:rsidP="000A2E8C">
      <w:pPr>
        <w:pStyle w:val="Default"/>
        <w:rPr>
          <w:rFonts w:ascii="MS Gothic" w:eastAsia="MS Gothic" w:hAnsi="MS Gothic"/>
          <w:sz w:val="23"/>
          <w:szCs w:val="23"/>
        </w:rPr>
      </w:pPr>
      <w:r>
        <w:rPr>
          <w:rFonts w:ascii="MS Gothic" w:eastAsia="MS Gothic" w:hAnsi="MS Gothic" w:hint="eastAsia"/>
          <w:sz w:val="23"/>
          <w:szCs w:val="23"/>
        </w:rPr>
        <w:t xml:space="preserve">☐ No </w:t>
      </w:r>
    </w:p>
    <w:p w:rsidR="000A2E8C" w:rsidRDefault="000A2E8C" w:rsidP="000A2E8C">
      <w:pPr>
        <w:pStyle w:val="Default"/>
        <w:rPr>
          <w:color w:val="auto"/>
          <w:sz w:val="23"/>
          <w:szCs w:val="23"/>
        </w:rPr>
      </w:pPr>
      <w:r>
        <w:rPr>
          <w:rFonts w:eastAsia="Times New Roman"/>
        </w:rPr>
        <w:br w:type="page"/>
      </w:r>
      <w:r>
        <w:rPr>
          <w:b/>
          <w:bCs/>
          <w:color w:val="auto"/>
          <w:sz w:val="23"/>
          <w:szCs w:val="23"/>
        </w:rPr>
        <w:lastRenderedPageBreak/>
        <w:t xml:space="preserve">Explanation: </w:t>
      </w:r>
    </w:p>
    <w:p w:rsidR="000A2E8C" w:rsidRDefault="000A2E8C" w:rsidP="000A2E8C">
      <w:pPr>
        <w:pStyle w:val="Default"/>
        <w:rPr>
          <w:color w:val="auto"/>
          <w:sz w:val="23"/>
          <w:szCs w:val="23"/>
        </w:rPr>
      </w:pPr>
      <w:r>
        <w:rPr>
          <w:b/>
          <w:bCs/>
          <w:color w:val="auto"/>
          <w:sz w:val="23"/>
          <w:szCs w:val="23"/>
        </w:rPr>
        <w:t xml:space="preserve">Expected Publication: </w:t>
      </w:r>
    </w:p>
    <w:p w:rsidR="000A2E8C" w:rsidRDefault="000A2E8C" w:rsidP="000A2E8C">
      <w:pPr>
        <w:pStyle w:val="Default"/>
        <w:rPr>
          <w:color w:val="auto"/>
          <w:sz w:val="23"/>
          <w:szCs w:val="23"/>
        </w:rPr>
      </w:pPr>
      <w:r>
        <w:rPr>
          <w:rFonts w:ascii="MS Gothic" w:eastAsia="MS Gothic" w:hAnsi="MS Gothic" w:hint="eastAsia"/>
          <w:color w:val="auto"/>
          <w:sz w:val="23"/>
          <w:szCs w:val="23"/>
        </w:rPr>
        <w:t xml:space="preserve">☒ </w:t>
      </w:r>
      <w:r>
        <w:rPr>
          <w:b/>
          <w:bCs/>
          <w:color w:val="auto"/>
          <w:sz w:val="23"/>
          <w:szCs w:val="23"/>
        </w:rPr>
        <w:t>Not Applicable</w:t>
      </w:r>
      <w:r>
        <w:rPr>
          <w:color w:val="auto"/>
          <w:sz w:val="23"/>
          <w:szCs w:val="23"/>
        </w:rPr>
        <w:t xml:space="preserve">: SORN does not claim Privacy Act exemptions. </w:t>
      </w:r>
    </w:p>
    <w:p w:rsidR="000A2E8C" w:rsidRDefault="000A2E8C" w:rsidP="000A2E8C">
      <w:pPr>
        <w:rPr>
          <w:b/>
          <w:bCs/>
          <w:i/>
          <w:iCs/>
          <w:sz w:val="23"/>
          <w:szCs w:val="23"/>
        </w:rPr>
      </w:pPr>
    </w:p>
    <w:p w:rsidR="000A2E8C" w:rsidRDefault="000A2E8C" w:rsidP="000A2E8C">
      <w:pPr>
        <w:rPr>
          <w:sz w:val="23"/>
          <w:szCs w:val="23"/>
        </w:rPr>
      </w:pPr>
      <w:r>
        <w:rPr>
          <w:b/>
          <w:bCs/>
          <w:i/>
          <w:iCs/>
          <w:sz w:val="23"/>
          <w:szCs w:val="23"/>
        </w:rPr>
        <w:t>….</w:t>
      </w:r>
      <w:r>
        <w:rPr>
          <w:sz w:val="23"/>
          <w:szCs w:val="23"/>
        </w:rPr>
        <w:t xml:space="preserve"> FAA personnel accessing the system adhere to agency-wide procedures for handling and safeguarding PII and receive annual privacy and security training. The records in the system are maintained in accordance with the following SORN: DOT/ALL 13, Internet/Intranet Activity and Access Records, May 7, 2002 67 FR 30757. The records in the system will also be maintained in accordance with National Archives and Records Administration (NARA) General Records Schedule 3.1, approved January 2017, General Technology Management Records </w:t>
      </w:r>
      <w:hyperlink r:id="rId5" w:history="1">
        <w:r>
          <w:rPr>
            <w:rStyle w:val="Hyperlink"/>
            <w:sz w:val="23"/>
            <w:szCs w:val="23"/>
          </w:rPr>
          <w:t>https://www.archives.gov/files/records-mgmt/grs/grs03-1.pdf</w:t>
        </w:r>
      </w:hyperlink>
      <w:r>
        <w:rPr>
          <w:sz w:val="23"/>
          <w:szCs w:val="23"/>
        </w:rPr>
        <w:t>.</w:t>
      </w:r>
    </w:p>
    <w:p w:rsidR="001B7CBE" w:rsidRDefault="001B7CBE"/>
    <w:sectPr w:rsidR="001B7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8C"/>
    <w:rsid w:val="000A2E8C"/>
    <w:rsid w:val="001B7CBE"/>
    <w:rsid w:val="001D1F14"/>
    <w:rsid w:val="00867D7B"/>
    <w:rsid w:val="0091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8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2E8C"/>
    <w:rPr>
      <w:color w:val="0563C1"/>
      <w:u w:val="single"/>
    </w:rPr>
  </w:style>
  <w:style w:type="paragraph" w:customStyle="1" w:styleId="Default">
    <w:name w:val="Default"/>
    <w:basedOn w:val="Normal"/>
    <w:rsid w:val="000A2E8C"/>
    <w:pPr>
      <w:autoSpaceDE w:val="0"/>
      <w:autoSpaceDN w:val="0"/>
    </w:pPr>
    <w:rPr>
      <w:rFonts w:ascii="Cambria" w:hAnsi="Cambria"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8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2E8C"/>
    <w:rPr>
      <w:color w:val="0563C1"/>
      <w:u w:val="single"/>
    </w:rPr>
  </w:style>
  <w:style w:type="paragraph" w:customStyle="1" w:styleId="Default">
    <w:name w:val="Default"/>
    <w:basedOn w:val="Normal"/>
    <w:rsid w:val="000A2E8C"/>
    <w:pPr>
      <w:autoSpaceDE w:val="0"/>
      <w:autoSpaceDN w:val="0"/>
    </w:pPr>
    <w:rPr>
      <w:rFonts w:ascii="Cambria" w:hAnsi="Cambr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rchives.gov/files/records-mgmt/grs/grs03-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Eckert, Tim (FAA)</dc:creator>
  <cp:keywords/>
  <dc:description/>
  <cp:lastModifiedBy>SYSTEM</cp:lastModifiedBy>
  <cp:revision>2</cp:revision>
  <dcterms:created xsi:type="dcterms:W3CDTF">2019-06-25T18:01:00Z</dcterms:created>
  <dcterms:modified xsi:type="dcterms:W3CDTF">2019-06-25T18:01:00Z</dcterms:modified>
</cp:coreProperties>
</file>