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287F" w:rsidRDefault="0035287F" w:rsidP="0035287F">
      <w:pPr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>Dear EIA Respondent,</w:t>
      </w:r>
    </w:p>
    <w:p w:rsidR="0035287F" w:rsidRDefault="0035287F" w:rsidP="0035287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This is a reminder that</w:t>
      </w:r>
      <w:r>
        <w:rPr>
          <w:rFonts w:ascii="Times New Roman" w:hAnsi="Times New Roman"/>
          <w:sz w:val="24"/>
          <w:szCs w:val="24"/>
          <w:shd w:val="clear" w:color="auto" w:fill="FFFFFF" w:themeFill="background1"/>
        </w:rPr>
        <w:t xml:space="preserve"> for the upcoming </w:t>
      </w:r>
      <w:r w:rsidR="0085266E">
        <w:rPr>
          <w:rFonts w:ascii="Times New Roman" w:hAnsi="Times New Roman"/>
          <w:sz w:val="24"/>
          <w:szCs w:val="24"/>
          <w:shd w:val="clear" w:color="auto" w:fill="FFFFFF" w:themeFill="background1"/>
        </w:rPr>
        <w:t>Columbus</w:t>
      </w:r>
      <w:r>
        <w:rPr>
          <w:rFonts w:ascii="Times New Roman" w:hAnsi="Times New Roman"/>
          <w:sz w:val="24"/>
          <w:szCs w:val="24"/>
          <w:shd w:val="clear" w:color="auto" w:fill="FFFFFF" w:themeFill="background1"/>
        </w:rPr>
        <w:t xml:space="preserve"> Day</w:t>
      </w:r>
      <w:r w:rsidR="00E13E78">
        <w:rPr>
          <w:rFonts w:ascii="Times New Roman" w:hAnsi="Times New Roman"/>
          <w:sz w:val="24"/>
          <w:szCs w:val="24"/>
          <w:shd w:val="clear" w:color="auto" w:fill="FFFFFF" w:themeFill="background1"/>
        </w:rPr>
        <w:t xml:space="preserve"> </w:t>
      </w:r>
      <w:r>
        <w:rPr>
          <w:rFonts w:ascii="Times New Roman" w:hAnsi="Times New Roman"/>
          <w:sz w:val="24"/>
          <w:szCs w:val="24"/>
          <w:shd w:val="clear" w:color="auto" w:fill="FFFFFF" w:themeFill="background1"/>
        </w:rPr>
        <w:t>Holiday</w:t>
      </w:r>
      <w:r>
        <w:rPr>
          <w:rFonts w:ascii="Times New Roman" w:hAnsi="Times New Roman"/>
          <w:sz w:val="24"/>
          <w:szCs w:val="24"/>
        </w:rPr>
        <w:t xml:space="preserve">, your company’s EIA Weekly Petroleum survey(s) are due on </w:t>
      </w:r>
      <w:r w:rsidRPr="00034F05">
        <w:rPr>
          <w:rFonts w:ascii="Times New Roman" w:hAnsi="Times New Roman"/>
          <w:color w:val="FF0000"/>
          <w:sz w:val="24"/>
          <w:szCs w:val="24"/>
        </w:rPr>
        <w:t xml:space="preserve">Tuesday, </w:t>
      </w:r>
      <w:r w:rsidR="0085266E" w:rsidRPr="00034F05">
        <w:rPr>
          <w:rFonts w:ascii="Times New Roman" w:hAnsi="Times New Roman"/>
          <w:color w:val="FF0000"/>
          <w:sz w:val="24"/>
          <w:szCs w:val="24"/>
        </w:rPr>
        <w:t>Octob</w:t>
      </w:r>
      <w:r w:rsidRPr="00034F05">
        <w:rPr>
          <w:rFonts w:ascii="Times New Roman" w:hAnsi="Times New Roman"/>
          <w:color w:val="FF0000"/>
          <w:sz w:val="24"/>
          <w:szCs w:val="24"/>
        </w:rPr>
        <w:t xml:space="preserve">er </w:t>
      </w:r>
      <w:r w:rsidR="000F2BA7" w:rsidRPr="00034F05">
        <w:rPr>
          <w:rFonts w:ascii="Times New Roman" w:hAnsi="Times New Roman"/>
          <w:color w:val="FF0000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, by </w:t>
      </w:r>
      <w:r w:rsidR="0085266E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:00 p.m. Eastern Time. </w:t>
      </w:r>
    </w:p>
    <w:p w:rsidR="0035287F" w:rsidRDefault="0035287F" w:rsidP="0035287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5287F" w:rsidRDefault="0035287F" w:rsidP="0035287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Please ensure that your reports, as usual, </w:t>
      </w:r>
      <w:r>
        <w:rPr>
          <w:rFonts w:ascii="Times New Roman" w:hAnsi="Times New Roman"/>
          <w:i/>
          <w:sz w:val="24"/>
          <w:szCs w:val="24"/>
          <w:u w:val="single"/>
        </w:rPr>
        <w:t>cover the seven day period</w:t>
      </w:r>
      <w:r>
        <w:rPr>
          <w:rFonts w:ascii="Times New Roman" w:hAnsi="Times New Roman"/>
          <w:sz w:val="24"/>
          <w:szCs w:val="24"/>
        </w:rPr>
        <w:t xml:space="preserve"> ending Friday at 7:00 a.m.</w:t>
      </w:r>
      <w:r w:rsidR="00446AB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If you plan to be out during the holiday, please make whatever arrangements are necessary to ensure that your company’s data is submitted by the Tuesday 5:00 p.m. reporting deadline, or your company will be considered a non-respondent.</w:t>
      </w:r>
    </w:p>
    <w:p w:rsidR="0035287F" w:rsidRDefault="0035287F" w:rsidP="0035287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34F05" w:rsidRDefault="00034F05" w:rsidP="00034F0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If you anticipate being </w:t>
      </w:r>
      <w:r w:rsidRPr="00CB7442">
        <w:rPr>
          <w:rFonts w:ascii="Times New Roman" w:hAnsi="Times New Roman"/>
          <w:sz w:val="24"/>
          <w:szCs w:val="24"/>
        </w:rPr>
        <w:t>unable to submit your company’s report</w:t>
      </w:r>
      <w:r w:rsidRPr="009406E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by </w:t>
      </w:r>
      <w:r w:rsidR="00CB706F">
        <w:rPr>
          <w:rFonts w:ascii="Times New Roman" w:hAnsi="Times New Roman"/>
          <w:sz w:val="24"/>
          <w:szCs w:val="24"/>
        </w:rPr>
        <w:t>Tues</w:t>
      </w:r>
      <w:r>
        <w:rPr>
          <w:rFonts w:ascii="Times New Roman" w:hAnsi="Times New Roman"/>
          <w:sz w:val="24"/>
          <w:szCs w:val="24"/>
        </w:rPr>
        <w:t>day’s</w:t>
      </w:r>
      <w:r w:rsidRPr="009406E8">
        <w:rPr>
          <w:rFonts w:ascii="Times New Roman" w:hAnsi="Times New Roman"/>
          <w:sz w:val="24"/>
          <w:szCs w:val="24"/>
        </w:rPr>
        <w:t xml:space="preserve"> reporting deadline,</w:t>
      </w:r>
      <w:r w:rsidRPr="00CB7442">
        <w:rPr>
          <w:rFonts w:ascii="Times New Roman" w:hAnsi="Times New Roman"/>
          <w:sz w:val="24"/>
          <w:szCs w:val="24"/>
        </w:rPr>
        <w:t xml:space="preserve"> please contact </w:t>
      </w:r>
      <w:hyperlink r:id="rId5" w:history="1">
        <w:r w:rsidRPr="003A0B22">
          <w:rPr>
            <w:rStyle w:val="Hyperlink"/>
            <w:sz w:val="24"/>
            <w:szCs w:val="24"/>
          </w:rPr>
          <w:t>OOG.Surveys@eia.gov</w:t>
        </w:r>
      </w:hyperlink>
      <w:r>
        <w:rPr>
          <w:rFonts w:ascii="Times New Roman" w:hAnsi="Times New Roman"/>
          <w:sz w:val="24"/>
          <w:szCs w:val="24"/>
        </w:rPr>
        <w:t>.</w:t>
      </w:r>
    </w:p>
    <w:p w:rsidR="0035287F" w:rsidRDefault="0035287F" w:rsidP="0035287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5287F" w:rsidRDefault="0035287F" w:rsidP="0035287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We appreciate and value your company’s continued participation in EIA’s important weekly petroleum survey program.</w:t>
      </w:r>
    </w:p>
    <w:p w:rsidR="0035287F" w:rsidRDefault="0035287F" w:rsidP="0035287F">
      <w:pPr>
        <w:rPr>
          <w:rFonts w:ascii="Times New Roman" w:hAnsi="Times New Roman"/>
          <w:sz w:val="24"/>
          <w:szCs w:val="24"/>
        </w:rPr>
      </w:pPr>
    </w:p>
    <w:p w:rsidR="0035287F" w:rsidRDefault="0035287F" w:rsidP="0035287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Respectfully,</w:t>
      </w:r>
    </w:p>
    <w:p w:rsidR="0035287F" w:rsidRDefault="0035287F" w:rsidP="0035287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5287F" w:rsidRDefault="0035287F" w:rsidP="0035287F">
      <w:pPr>
        <w:spacing w:after="0" w:line="240" w:lineRule="auto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Weekly Petroleum Status Report Team</w:t>
      </w:r>
    </w:p>
    <w:p w:rsidR="0035287F" w:rsidRDefault="0035287F" w:rsidP="0035287F">
      <w:pPr>
        <w:spacing w:after="0" w:line="240" w:lineRule="auto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Office of Petroleum and Biofuels Statistics</w:t>
      </w:r>
    </w:p>
    <w:p w:rsidR="0035287F" w:rsidRDefault="0035287F" w:rsidP="0035287F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U.S. Energy Information Administration</w:t>
      </w:r>
    </w:p>
    <w:p w:rsidR="00BE672E" w:rsidRDefault="00BE672E"/>
    <w:sectPr w:rsidR="00BE67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87F"/>
    <w:rsid w:val="00034F05"/>
    <w:rsid w:val="000F2BA7"/>
    <w:rsid w:val="00133861"/>
    <w:rsid w:val="0035287F"/>
    <w:rsid w:val="00382D26"/>
    <w:rsid w:val="003A0B22"/>
    <w:rsid w:val="00446AB0"/>
    <w:rsid w:val="0085266E"/>
    <w:rsid w:val="009406E8"/>
    <w:rsid w:val="00A06DB5"/>
    <w:rsid w:val="00BB1858"/>
    <w:rsid w:val="00BE672E"/>
    <w:rsid w:val="00C748C2"/>
    <w:rsid w:val="00C85CC0"/>
    <w:rsid w:val="00C9495A"/>
    <w:rsid w:val="00CB706F"/>
    <w:rsid w:val="00CB7442"/>
    <w:rsid w:val="00D009E3"/>
    <w:rsid w:val="00E13E78"/>
    <w:rsid w:val="00F64E35"/>
    <w:rsid w:val="00FB6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5287F"/>
    <w:pPr>
      <w:spacing w:after="200" w:line="276" w:lineRule="auto"/>
    </w:pPr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5287F"/>
    <w:rPr>
      <w:rFonts w:ascii="Times New Roman" w:hAnsi="Times New Roman" w:cs="Times New Roman"/>
      <w:color w:val="0096D7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5287F"/>
    <w:pPr>
      <w:spacing w:after="200" w:line="276" w:lineRule="auto"/>
    </w:pPr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5287F"/>
    <w:rPr>
      <w:rFonts w:ascii="Times New Roman" w:hAnsi="Times New Roman" w:cs="Times New Roman"/>
      <w:color w:val="0096D7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1249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OG.Surveys@eia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eia">
  <a:themeElements>
    <a:clrScheme name="EIA">
      <a:dk1>
        <a:srgbClr val="000000"/>
      </a:dk1>
      <a:lt1>
        <a:srgbClr val="FFFFFF"/>
      </a:lt1>
      <a:dk2>
        <a:srgbClr val="003953"/>
      </a:dk2>
      <a:lt2>
        <a:srgbClr val="333333"/>
      </a:lt2>
      <a:accent1>
        <a:srgbClr val="0096D7"/>
      </a:accent1>
      <a:accent2>
        <a:srgbClr val="BD732A"/>
      </a:accent2>
      <a:accent3>
        <a:srgbClr val="5D9732"/>
      </a:accent3>
      <a:accent4>
        <a:srgbClr val="FFC702"/>
      </a:accent4>
      <a:accent5>
        <a:srgbClr val="A33340"/>
      </a:accent5>
      <a:accent6>
        <a:srgbClr val="675005"/>
      </a:accent6>
      <a:hlink>
        <a:srgbClr val="0096D7"/>
      </a:hlink>
      <a:folHlink>
        <a:srgbClr val="5D9732"/>
      </a:folHlink>
    </a:clrScheme>
    <a:fontScheme name="EIA 1">
      <a:majorFont>
        <a:latin typeface="Times New Roman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xfrm>
          <a:off x="0" y="0"/>
          <a:ext cx="1" cy="1"/>
        </a:xfrm>
        <a:custGeom>
          <a:avLst/>
          <a:gdLst/>
          <a:ahLst/>
          <a:cxnLst/>
          <a:rect l="0" t="0" r="0" b="0"/>
          <a:pathLst/>
        </a:custGeom>
        <a:solidFill>
          <a:schemeClr val="accent1"/>
        </a:solidFill>
        <a:ln w="9525" cap="flat" cmpd="sng" algn="ctr">
          <a:solidFill>
            <a:schemeClr val="tx1"/>
          </a:solidFill>
          <a:prstDash val="solid"/>
          <a:round/>
          <a:headEnd type="none" w="med" len="med"/>
          <a:tailEnd type="none" w="med" len="med"/>
        </a:ln>
        <a:effectLst/>
      </a:spPr>
      <a:bodyPr vert="horz" wrap="square" lIns="91440" tIns="45720" rIns="91440" bIns="45720" numCol="1" anchor="t" anchorCtr="0" compatLnSpc="1">
        <a:prstTxWarp prst="textNoShape">
          <a:avLst/>
        </a:prstTxWarp>
      </a:bodyPr>
      <a:lstStyle>
        <a:defPPr marL="0" marR="0" indent="0" algn="l" defTabSz="914400" rtl="0" eaLnBrk="0" fontAlgn="base" latinLnBrk="0" hangingPunct="0">
          <a:lnSpc>
            <a:spcPct val="100000"/>
          </a:lnSpc>
          <a:spcBef>
            <a:spcPct val="0"/>
          </a:spcBef>
          <a:spcAft>
            <a:spcPct val="0"/>
          </a:spcAft>
          <a:buClrTx/>
          <a:buSzTx/>
          <a:buFontTx/>
          <a:buNone/>
          <a:tabLst/>
          <a:defRPr kumimoji="0" lang="en-US" sz="2400" b="0" i="0" u="none" strike="noStrike" cap="none" normalizeH="0" baseline="0">
            <a:ln>
              <a:noFill/>
            </a:ln>
            <a:solidFill>
              <a:schemeClr val="tx1"/>
            </a:solidFill>
            <a:effectLst/>
            <a:latin typeface="Arial" pitchFamily="-112" charset="0"/>
            <a:ea typeface="ＭＳ Ｐゴシック" pitchFamily="-112" charset="-128"/>
            <a:cs typeface="ＭＳ Ｐゴシック" pitchFamily="-112" charset="-128"/>
          </a:defRPr>
        </a:defPPr>
      </a:lstStyle>
    </a:spDef>
    <a:lnDef>
      <a:spPr bwMode="auto">
        <a:xfrm>
          <a:off x="0" y="0"/>
          <a:ext cx="1" cy="1"/>
        </a:xfrm>
        <a:custGeom>
          <a:avLst/>
          <a:gdLst/>
          <a:ahLst/>
          <a:cxnLst/>
          <a:rect l="0" t="0" r="0" b="0"/>
          <a:pathLst/>
        </a:custGeom>
        <a:solidFill>
          <a:schemeClr val="accent1"/>
        </a:solidFill>
        <a:ln w="9525" cap="flat" cmpd="sng" algn="ctr">
          <a:solidFill>
            <a:schemeClr val="tx1"/>
          </a:solidFill>
          <a:prstDash val="solid"/>
          <a:round/>
          <a:headEnd type="none" w="med" len="med"/>
          <a:tailEnd type="none" w="med" len="med"/>
        </a:ln>
        <a:effectLst/>
      </a:spPr>
      <a:bodyPr vert="horz" wrap="square" lIns="91440" tIns="45720" rIns="91440" bIns="45720" numCol="1" anchor="t" anchorCtr="0" compatLnSpc="1">
        <a:prstTxWarp prst="textNoShape">
          <a:avLst/>
        </a:prstTxWarp>
      </a:bodyPr>
      <a:lstStyle>
        <a:defPPr marL="0" marR="0" indent="0" algn="l" defTabSz="914400" rtl="0" eaLnBrk="0" fontAlgn="base" latinLnBrk="0" hangingPunct="0">
          <a:lnSpc>
            <a:spcPct val="100000"/>
          </a:lnSpc>
          <a:spcBef>
            <a:spcPct val="0"/>
          </a:spcBef>
          <a:spcAft>
            <a:spcPct val="0"/>
          </a:spcAft>
          <a:buClrTx/>
          <a:buSzTx/>
          <a:buFontTx/>
          <a:buNone/>
          <a:tabLst/>
          <a:defRPr kumimoji="0" lang="en-US" sz="2400" b="0" i="0" u="none" strike="noStrike" cap="none" normalizeH="0" baseline="0">
            <a:ln>
              <a:noFill/>
            </a:ln>
            <a:solidFill>
              <a:schemeClr val="tx1"/>
            </a:solidFill>
            <a:effectLst/>
            <a:latin typeface="Arial" pitchFamily="-112" charset="0"/>
            <a:ea typeface="ＭＳ Ｐゴシック" pitchFamily="-112" charset="-128"/>
            <a:cs typeface="ＭＳ Ｐゴシック" pitchFamily="-112" charset="-128"/>
          </a:defRPr>
        </a:defPPr>
      </a:lstStyle>
    </a:lnDef>
    <a:txDef>
      <a:spPr bwMode="auto">
        <a:noFill/>
        <a:ln w="9525">
          <a:noFill/>
          <a:miter lim="800000"/>
          <a:headEnd/>
          <a:tailEnd/>
        </a:ln>
      </a:spPr>
      <a:bodyPr lIns="0" tIns="0" rIns="0">
        <a:prstTxWarp prst="textNoShape">
          <a:avLst/>
        </a:prstTxWarp>
      </a:bodyPr>
      <a:lstStyle>
        <a:defPPr eaLnBrk="0" hangingPunct="0">
          <a:defRPr sz="1600" i="1" dirty="0" smtClean="0">
            <a:solidFill>
              <a:srgbClr val="333333"/>
            </a:solidFill>
            <a:latin typeface="Times New Roman" charset="0"/>
            <a:ea typeface="Times New Roman" charset="0"/>
            <a:cs typeface="Times New Roman" charset="0"/>
          </a:defRPr>
        </a:defPPr>
      </a:lstStyle>
    </a:txDef>
  </a:objectDefaults>
  <a:extraClrSchemeLst>
    <a:extraClrScheme>
      <a:clrScheme name="Blank Presentation 1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BBE0E3"/>
        </a:accent1>
        <a:accent2>
          <a:srgbClr val="333399"/>
        </a:accent2>
        <a:accent3>
          <a:srgbClr val="FFFFFF"/>
        </a:accent3>
        <a:accent4>
          <a:srgbClr val="000000"/>
        </a:accent4>
        <a:accent5>
          <a:srgbClr val="DAEDEF"/>
        </a:accent5>
        <a:accent6>
          <a:srgbClr val="2D2D8A"/>
        </a:accent6>
        <a:hlink>
          <a:srgbClr val="009999"/>
        </a:hlink>
        <a:folHlink>
          <a:srgbClr val="99CC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Blank Presentation 2">
        <a:dk1>
          <a:srgbClr val="000000"/>
        </a:dk1>
        <a:lt1>
          <a:srgbClr val="FFFFFF"/>
        </a:lt1>
        <a:dk2>
          <a:srgbClr val="000000"/>
        </a:dk2>
        <a:lt2>
          <a:srgbClr val="969696"/>
        </a:lt2>
        <a:accent1>
          <a:srgbClr val="FBDF53"/>
        </a:accent1>
        <a:accent2>
          <a:srgbClr val="FF9966"/>
        </a:accent2>
        <a:accent3>
          <a:srgbClr val="FFFFFF"/>
        </a:accent3>
        <a:accent4>
          <a:srgbClr val="000000"/>
        </a:accent4>
        <a:accent5>
          <a:srgbClr val="FDECB3"/>
        </a:accent5>
        <a:accent6>
          <a:srgbClr val="E78A5C"/>
        </a:accent6>
        <a:hlink>
          <a:srgbClr val="CC3300"/>
        </a:hlink>
        <a:folHlink>
          <a:srgbClr val="9966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Blank Presentation 3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99CCFF"/>
        </a:accent1>
        <a:accent2>
          <a:srgbClr val="CCCCFF"/>
        </a:accent2>
        <a:accent3>
          <a:srgbClr val="FFFFFF"/>
        </a:accent3>
        <a:accent4>
          <a:srgbClr val="000000"/>
        </a:accent4>
        <a:accent5>
          <a:srgbClr val="CAE2FF"/>
        </a:accent5>
        <a:accent6>
          <a:srgbClr val="B9B9E7"/>
        </a:accent6>
        <a:hlink>
          <a:srgbClr val="3333CC"/>
        </a:hlink>
        <a:folHlink>
          <a:srgbClr val="AF67FF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Blank Presentation 4">
        <a:dk1>
          <a:srgbClr val="000000"/>
        </a:dk1>
        <a:lt1>
          <a:srgbClr val="DEF6F1"/>
        </a:lt1>
        <a:dk2>
          <a:srgbClr val="000000"/>
        </a:dk2>
        <a:lt2>
          <a:srgbClr val="969696"/>
        </a:lt2>
        <a:accent1>
          <a:srgbClr val="FFFFFF"/>
        </a:accent1>
        <a:accent2>
          <a:srgbClr val="8DC6FF"/>
        </a:accent2>
        <a:accent3>
          <a:srgbClr val="ECFAF7"/>
        </a:accent3>
        <a:accent4>
          <a:srgbClr val="000000"/>
        </a:accent4>
        <a:accent5>
          <a:srgbClr val="FFFFFF"/>
        </a:accent5>
        <a:accent6>
          <a:srgbClr val="7FB3E7"/>
        </a:accent6>
        <a:hlink>
          <a:srgbClr val="0066CC"/>
        </a:hlink>
        <a:folHlink>
          <a:srgbClr val="00A8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Blank Presentation 5">
        <a:dk1>
          <a:srgbClr val="000000"/>
        </a:dk1>
        <a:lt1>
          <a:srgbClr val="FFFFD9"/>
        </a:lt1>
        <a:dk2>
          <a:srgbClr val="000000"/>
        </a:dk2>
        <a:lt2>
          <a:srgbClr val="777777"/>
        </a:lt2>
        <a:accent1>
          <a:srgbClr val="FFFFF7"/>
        </a:accent1>
        <a:accent2>
          <a:srgbClr val="33CCCC"/>
        </a:accent2>
        <a:accent3>
          <a:srgbClr val="FFFFE9"/>
        </a:accent3>
        <a:accent4>
          <a:srgbClr val="000000"/>
        </a:accent4>
        <a:accent5>
          <a:srgbClr val="FFFFFA"/>
        </a:accent5>
        <a:accent6>
          <a:srgbClr val="2DB9B9"/>
        </a:accent6>
        <a:hlink>
          <a:srgbClr val="FF5050"/>
        </a:hlink>
        <a:folHlink>
          <a:srgbClr val="FF99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Blank Presentation 6">
        <a:dk1>
          <a:srgbClr val="005A58"/>
        </a:dk1>
        <a:lt1>
          <a:srgbClr val="FFFFFF"/>
        </a:lt1>
        <a:dk2>
          <a:srgbClr val="008080"/>
        </a:dk2>
        <a:lt2>
          <a:srgbClr val="FFFF99"/>
        </a:lt2>
        <a:accent1>
          <a:srgbClr val="006462"/>
        </a:accent1>
        <a:accent2>
          <a:srgbClr val="6D6FC7"/>
        </a:accent2>
        <a:accent3>
          <a:srgbClr val="AAC0C0"/>
        </a:accent3>
        <a:accent4>
          <a:srgbClr val="DADADA"/>
        </a:accent4>
        <a:accent5>
          <a:srgbClr val="AAB8B7"/>
        </a:accent5>
        <a:accent6>
          <a:srgbClr val="6264B4"/>
        </a:accent6>
        <a:hlink>
          <a:srgbClr val="00FFFF"/>
        </a:hlink>
        <a:folHlink>
          <a:srgbClr val="00FF00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Blank Presentation 7">
        <a:dk1>
          <a:srgbClr val="5C1F00"/>
        </a:dk1>
        <a:lt1>
          <a:srgbClr val="FFFFFF"/>
        </a:lt1>
        <a:dk2>
          <a:srgbClr val="800000"/>
        </a:dk2>
        <a:lt2>
          <a:srgbClr val="DFD293"/>
        </a:lt2>
        <a:accent1>
          <a:srgbClr val="713E39"/>
        </a:accent1>
        <a:accent2>
          <a:srgbClr val="BE7960"/>
        </a:accent2>
        <a:accent3>
          <a:srgbClr val="C0AAAA"/>
        </a:accent3>
        <a:accent4>
          <a:srgbClr val="DADADA"/>
        </a:accent4>
        <a:accent5>
          <a:srgbClr val="BBAFAE"/>
        </a:accent5>
        <a:accent6>
          <a:srgbClr val="AC6D56"/>
        </a:accent6>
        <a:hlink>
          <a:srgbClr val="FFFF99"/>
        </a:hlink>
        <a:folHlink>
          <a:srgbClr val="D3A21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Blank Presentation 8">
        <a:dk1>
          <a:srgbClr val="003366"/>
        </a:dk1>
        <a:lt1>
          <a:srgbClr val="FFFFFF"/>
        </a:lt1>
        <a:dk2>
          <a:srgbClr val="000099"/>
        </a:dk2>
        <a:lt2>
          <a:srgbClr val="CCFFFF"/>
        </a:lt2>
        <a:accent1>
          <a:srgbClr val="3366CC"/>
        </a:accent1>
        <a:accent2>
          <a:srgbClr val="00B000"/>
        </a:accent2>
        <a:accent3>
          <a:srgbClr val="AAAACA"/>
        </a:accent3>
        <a:accent4>
          <a:srgbClr val="DADADA"/>
        </a:accent4>
        <a:accent5>
          <a:srgbClr val="ADB8E2"/>
        </a:accent5>
        <a:accent6>
          <a:srgbClr val="009F00"/>
        </a:accent6>
        <a:hlink>
          <a:srgbClr val="66CCFF"/>
        </a:hlink>
        <a:folHlink>
          <a:srgbClr val="FFE701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Blank Presentation 9">
        <a:dk1>
          <a:srgbClr val="336699"/>
        </a:dk1>
        <a:lt1>
          <a:srgbClr val="FFFFFF"/>
        </a:lt1>
        <a:dk2>
          <a:srgbClr val="000000"/>
        </a:dk2>
        <a:lt2>
          <a:srgbClr val="E3EBF1"/>
        </a:lt2>
        <a:accent1>
          <a:srgbClr val="003399"/>
        </a:accent1>
        <a:accent2>
          <a:srgbClr val="468A4B"/>
        </a:accent2>
        <a:accent3>
          <a:srgbClr val="AAAAAA"/>
        </a:accent3>
        <a:accent4>
          <a:srgbClr val="DADADA"/>
        </a:accent4>
        <a:accent5>
          <a:srgbClr val="AAADCA"/>
        </a:accent5>
        <a:accent6>
          <a:srgbClr val="3F7D43"/>
        </a:accent6>
        <a:hlink>
          <a:srgbClr val="66CCFF"/>
        </a:hlink>
        <a:folHlink>
          <a:srgbClr val="F0E500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Blank Presentation 10">
        <a:dk1>
          <a:srgbClr val="777777"/>
        </a:dk1>
        <a:lt1>
          <a:srgbClr val="FFFFFF"/>
        </a:lt1>
        <a:dk2>
          <a:srgbClr val="686B5D"/>
        </a:dk2>
        <a:lt2>
          <a:srgbClr val="D1D1CB"/>
        </a:lt2>
        <a:accent1>
          <a:srgbClr val="909082"/>
        </a:accent1>
        <a:accent2>
          <a:srgbClr val="809EA8"/>
        </a:accent2>
        <a:accent3>
          <a:srgbClr val="B9BAB6"/>
        </a:accent3>
        <a:accent4>
          <a:srgbClr val="DADADA"/>
        </a:accent4>
        <a:accent5>
          <a:srgbClr val="C6C6C1"/>
        </a:accent5>
        <a:accent6>
          <a:srgbClr val="738F98"/>
        </a:accent6>
        <a:hlink>
          <a:srgbClr val="FFCC66"/>
        </a:hlink>
        <a:folHlink>
          <a:srgbClr val="E9DCB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Blank Presentation 11">
        <a:dk1>
          <a:srgbClr val="3E3E5C"/>
        </a:dk1>
        <a:lt1>
          <a:srgbClr val="FFFFFF"/>
        </a:lt1>
        <a:dk2>
          <a:srgbClr val="666699"/>
        </a:dk2>
        <a:lt2>
          <a:srgbClr val="FFFFFF"/>
        </a:lt2>
        <a:accent1>
          <a:srgbClr val="60597B"/>
        </a:accent1>
        <a:accent2>
          <a:srgbClr val="6666FF"/>
        </a:accent2>
        <a:accent3>
          <a:srgbClr val="B8B8CA"/>
        </a:accent3>
        <a:accent4>
          <a:srgbClr val="DADADA"/>
        </a:accent4>
        <a:accent5>
          <a:srgbClr val="B6B5BF"/>
        </a:accent5>
        <a:accent6>
          <a:srgbClr val="5C5CE7"/>
        </a:accent6>
        <a:hlink>
          <a:srgbClr val="99CCFF"/>
        </a:hlink>
        <a:folHlink>
          <a:srgbClr val="FFFF9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Blank Presentation 12">
        <a:dk1>
          <a:srgbClr val="2D2015"/>
        </a:dk1>
        <a:lt1>
          <a:srgbClr val="FFFFFF"/>
        </a:lt1>
        <a:dk2>
          <a:srgbClr val="523E26"/>
        </a:dk2>
        <a:lt2>
          <a:srgbClr val="DFC08D"/>
        </a:lt2>
        <a:accent1>
          <a:srgbClr val="8C7B70"/>
        </a:accent1>
        <a:accent2>
          <a:srgbClr val="8F5F2F"/>
        </a:accent2>
        <a:accent3>
          <a:srgbClr val="B3AFAC"/>
        </a:accent3>
        <a:accent4>
          <a:srgbClr val="DADADA"/>
        </a:accent4>
        <a:accent5>
          <a:srgbClr val="C5BFBB"/>
        </a:accent5>
        <a:accent6>
          <a:srgbClr val="81552A"/>
        </a:accent6>
        <a:hlink>
          <a:srgbClr val="CCB400"/>
        </a:hlink>
        <a:folHlink>
          <a:srgbClr val="8C9EA0"/>
        </a:folHlink>
      </a:clrScheme>
      <a:clrMap bg1="dk2" tx1="lt1" bg2="dk1" tx2="lt2" accent1="accent1" accent2="accent2" accent3="accent3" accent4="accent4" accent5="accent5" accent6="accent6" hlink="hlink" folHlink="folHlink"/>
    </a:extraClrScheme>
  </a:extraClrScheme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EIA</Company>
  <LinksUpToDate>false</LinksUpToDate>
  <CharactersWithSpaces>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DeRosier, Clarise (CONTR)</dc:creator>
  <cp:keywords/>
  <dc:description/>
  <cp:lastModifiedBy>SYSTEM</cp:lastModifiedBy>
  <cp:revision>2</cp:revision>
  <dcterms:created xsi:type="dcterms:W3CDTF">2019-06-19T14:48:00Z</dcterms:created>
  <dcterms:modified xsi:type="dcterms:W3CDTF">2019-06-19T14:48:00Z</dcterms:modified>
</cp:coreProperties>
</file>