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77777777" w:rsidR="00EB3E6F" w:rsidRDefault="00FD66F1" w:rsidP="00A13882">
      <w:pPr>
        <w:tabs>
          <w:tab w:val="left" w:pos="1800"/>
        </w:tabs>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6FBC90F2" w14:textId="4D110F48" w:rsidR="00FD66F1" w:rsidRDefault="003B3B61"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413730">
        <w:rPr>
          <w:rFonts w:ascii="Times New Roman" w:hAnsi="Times New Roman" w:cs="Times New Roman"/>
          <w:b/>
          <w:sz w:val="24"/>
          <w:szCs w:val="24"/>
        </w:rPr>
        <w:t>E</w:t>
      </w:r>
      <w:r>
        <w:rPr>
          <w:rFonts w:ascii="Times New Roman" w:hAnsi="Times New Roman" w:cs="Times New Roman"/>
          <w:b/>
          <w:sz w:val="24"/>
          <w:szCs w:val="24"/>
        </w:rPr>
        <w:t>, Electric Rate Schedules and Tariff Filings</w:t>
      </w:r>
      <w:r w:rsidR="00FD66F1" w:rsidRPr="00035845">
        <w:rPr>
          <w:rFonts w:ascii="Times New Roman" w:hAnsi="Times New Roman" w:cs="Times New Roman"/>
          <w:b/>
          <w:sz w:val="24"/>
          <w:szCs w:val="24"/>
        </w:rPr>
        <w:t xml:space="preserve"> </w:t>
      </w:r>
      <w:r w:rsidR="0044687D">
        <w:rPr>
          <w:rFonts w:ascii="Times New Roman" w:hAnsi="Times New Roman" w:cs="Times New Roman"/>
          <w:b/>
          <w:sz w:val="24"/>
          <w:szCs w:val="24"/>
        </w:rPr>
        <w:t>and</w:t>
      </w:r>
    </w:p>
    <w:p w14:paraId="6FBC90F3" w14:textId="43220766" w:rsidR="00A96B65" w:rsidRDefault="003B3B61" w:rsidP="003B3B61">
      <w:pPr>
        <w:spacing w:after="0"/>
        <w:jc w:val="center"/>
        <w:rPr>
          <w:rFonts w:ascii="Times New Roman" w:hAnsi="Times New Roman" w:cs="Times New Roman"/>
          <w:b/>
          <w:sz w:val="24"/>
          <w:szCs w:val="24"/>
        </w:rPr>
      </w:pPr>
      <w:r>
        <w:rPr>
          <w:rFonts w:ascii="Times New Roman" w:hAnsi="Times New Roman" w:cs="Times New Roman"/>
          <w:b/>
          <w:sz w:val="24"/>
          <w:szCs w:val="24"/>
        </w:rPr>
        <w:t>FERC-717, Open Access Same-Time Information System and Standards for Business Practices and Communication Protocols</w:t>
      </w:r>
      <w:r w:rsidR="0044687D">
        <w:rPr>
          <w:rFonts w:ascii="Times New Roman" w:hAnsi="Times New Roman" w:cs="Times New Roman"/>
          <w:b/>
          <w:sz w:val="24"/>
          <w:szCs w:val="24"/>
        </w:rPr>
        <w:t>,</w:t>
      </w:r>
    </w:p>
    <w:p w14:paraId="7E3B1A56" w14:textId="132B896E" w:rsidR="003B3B61" w:rsidRDefault="00815DA7"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as modified by </w:t>
      </w:r>
      <w:r w:rsidR="00413730">
        <w:rPr>
          <w:rFonts w:ascii="Times New Roman" w:hAnsi="Times New Roman" w:cs="Times New Roman"/>
          <w:sz w:val="24"/>
          <w:szCs w:val="24"/>
        </w:rPr>
        <w:t>the Notice of Proposed Rulemaking (N</w:t>
      </w:r>
      <w:r w:rsidR="007A4963">
        <w:rPr>
          <w:rFonts w:ascii="Times New Roman" w:hAnsi="Times New Roman" w:cs="Times New Roman"/>
          <w:sz w:val="24"/>
          <w:szCs w:val="24"/>
        </w:rPr>
        <w:t>OPR) in Docket Number RM05-5-027 (issued on 5/16/2019</w:t>
      </w:r>
      <w:r w:rsidR="003B3B61">
        <w:rPr>
          <w:rFonts w:ascii="Times New Roman" w:hAnsi="Times New Roman" w:cs="Times New Roman"/>
          <w:sz w:val="24"/>
          <w:szCs w:val="24"/>
        </w:rPr>
        <w:t>)</w:t>
      </w:r>
    </w:p>
    <w:p w14:paraId="6FBC90F4" w14:textId="77777777" w:rsidR="00FD66F1" w:rsidRDefault="00FD66F1" w:rsidP="00F8440A">
      <w:pPr>
        <w:spacing w:after="0"/>
        <w:rPr>
          <w:rFonts w:ascii="Times New Roman" w:hAnsi="Times New Roman" w:cs="Times New Roman"/>
          <w:sz w:val="24"/>
          <w:szCs w:val="24"/>
        </w:rPr>
      </w:pPr>
    </w:p>
    <w:p w14:paraId="6232B100" w14:textId="32333C4B"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27783" w:rsidRPr="00F8440A">
        <w:rPr>
          <w:rFonts w:ascii="Times New Roman" w:hAnsi="Times New Roman" w:cs="Times New Roman"/>
          <w:sz w:val="24"/>
          <w:szCs w:val="24"/>
        </w:rPr>
        <w:t>FERC-516</w:t>
      </w:r>
      <w:r w:rsidR="00413730">
        <w:rPr>
          <w:rFonts w:ascii="Times New Roman" w:hAnsi="Times New Roman" w:cs="Times New Roman"/>
          <w:sz w:val="24"/>
          <w:szCs w:val="24"/>
        </w:rPr>
        <w:t>E</w:t>
      </w:r>
      <w:r w:rsidR="00B27783" w:rsidRPr="00F8440A">
        <w:rPr>
          <w:rFonts w:ascii="Times New Roman" w:hAnsi="Times New Roman" w:cs="Times New Roman"/>
          <w:sz w:val="24"/>
          <w:szCs w:val="24"/>
        </w:rPr>
        <w:t xml:space="preserve"> (Electric Rate</w:t>
      </w:r>
      <w:r w:rsidR="00B27783">
        <w:rPr>
          <w:rFonts w:ascii="Times New Roman" w:hAnsi="Times New Roman" w:cs="Times New Roman"/>
          <w:sz w:val="24"/>
          <w:szCs w:val="24"/>
        </w:rPr>
        <w:t xml:space="preserve"> Schedule and Tariff Filings)</w:t>
      </w:r>
      <w:r w:rsidR="00994512" w:rsidRPr="00AE188C">
        <w:rPr>
          <w:rStyle w:val="FootnoteReference"/>
          <w:rFonts w:ascii="Times New Roman" w:hAnsi="Times New Roman" w:cs="Times New Roman"/>
          <w:sz w:val="24"/>
          <w:szCs w:val="24"/>
          <w:vertAlign w:val="superscript"/>
        </w:rPr>
        <w:footnoteReference w:id="1"/>
      </w:r>
      <w:r w:rsidR="00B27783" w:rsidRPr="00AE188C">
        <w:rPr>
          <w:rFonts w:ascii="Times New Roman" w:hAnsi="Times New Roman" w:cs="Times New Roman"/>
          <w:sz w:val="24"/>
          <w:szCs w:val="24"/>
          <w:vertAlign w:val="superscript"/>
        </w:rPr>
        <w:t xml:space="preserve"> </w:t>
      </w:r>
      <w:r w:rsidR="00B27783">
        <w:rPr>
          <w:rFonts w:ascii="Times New Roman" w:hAnsi="Times New Roman" w:cs="Times New Roman"/>
          <w:sz w:val="24"/>
          <w:szCs w:val="24"/>
        </w:rPr>
        <w:t>and FERC-717 (</w:t>
      </w:r>
      <w:r w:rsidRPr="00F8440A">
        <w:rPr>
          <w:rFonts w:ascii="Times New Roman" w:hAnsi="Times New Roman" w:cs="Times New Roman"/>
          <w:sz w:val="24"/>
          <w:szCs w:val="24"/>
        </w:rPr>
        <w:t>Standards for Business Practices and Communication Protocols for Public Utilities)</w:t>
      </w:r>
      <w:r w:rsidR="0044687D">
        <w:rPr>
          <w:rFonts w:ascii="Times New Roman" w:hAnsi="Times New Roman" w:cs="Times New Roman"/>
          <w:sz w:val="24"/>
          <w:szCs w:val="24"/>
        </w:rPr>
        <w:t>, as revised by t</w:t>
      </w:r>
      <w:r w:rsidR="007A4963">
        <w:rPr>
          <w:rFonts w:ascii="Times New Roman" w:hAnsi="Times New Roman" w:cs="Times New Roman"/>
          <w:sz w:val="24"/>
          <w:szCs w:val="24"/>
        </w:rPr>
        <w:t>he NOPR in Docket No. RM05-5-027</w:t>
      </w:r>
      <w:r w:rsidRPr="00F8440A">
        <w:rPr>
          <w:rFonts w:ascii="Times New Roman" w:hAnsi="Times New Roman" w:cs="Times New Roman"/>
          <w:sz w:val="24"/>
          <w:szCs w:val="24"/>
        </w:rPr>
        <w:t>.  This is a consolidated supporting statement that will be subm</w:t>
      </w:r>
      <w:r w:rsidR="00413730">
        <w:rPr>
          <w:rFonts w:ascii="Times New Roman" w:hAnsi="Times New Roman" w:cs="Times New Roman"/>
          <w:sz w:val="24"/>
          <w:szCs w:val="24"/>
        </w:rPr>
        <w:t>itted to OMB under two separate</w:t>
      </w:r>
      <w:r w:rsidRPr="00F8440A">
        <w:rPr>
          <w:rFonts w:ascii="Times New Roman" w:hAnsi="Times New Roman" w:cs="Times New Roman"/>
          <w:sz w:val="24"/>
          <w:szCs w:val="24"/>
        </w:rPr>
        <w:t xml:space="preserve"> Information Collection Requests</w:t>
      </w:r>
      <w:r>
        <w:rPr>
          <w:rFonts w:ascii="Times New Roman" w:hAnsi="Times New Roman" w:cs="Times New Roman"/>
          <w:sz w:val="24"/>
          <w:szCs w:val="24"/>
        </w:rPr>
        <w:t>.</w:t>
      </w:r>
    </w:p>
    <w:p w14:paraId="4DBD4350"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FBC90F6" w14:textId="27E99669" w:rsidR="00A72E7B" w:rsidRDefault="00413730" w:rsidP="00F8440A">
      <w:pPr>
        <w:spacing w:after="0"/>
        <w:rPr>
          <w:rFonts w:ascii="Times New Roman" w:hAnsi="Times New Roman" w:cs="Times New Roman"/>
          <w:sz w:val="24"/>
          <w:szCs w:val="24"/>
        </w:rPr>
      </w:pPr>
      <w:r>
        <w:rPr>
          <w:rFonts w:ascii="Times New Roman" w:hAnsi="Times New Roman" w:cs="Times New Roman"/>
          <w:sz w:val="24"/>
          <w:szCs w:val="24"/>
        </w:rPr>
        <w:t>In this NOPR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7A4963">
        <w:rPr>
          <w:rFonts w:ascii="Times New Roman" w:hAnsi="Times New Roman" w:cs="Times New Roman"/>
          <w:sz w:val="24"/>
          <w:szCs w:val="24"/>
        </w:rPr>
        <w:t>proposes to</w:t>
      </w:r>
      <w:r w:rsidR="007A4963" w:rsidRPr="007A4963">
        <w:rPr>
          <w:rFonts w:ascii="Times New Roman" w:hAnsi="Times New Roman" w:cs="Times New Roman"/>
          <w:sz w:val="24"/>
          <w:szCs w:val="24"/>
        </w:rPr>
        <w:t xml:space="preserve"> amend its regulations to incorporate by reference, with certain enumerated exceptions, the latest version (Version 003.2) of certain Standards for Business Practices and Communication Protocols for Public Utilities adopted by the Wholesale Electric Quadrant (WEQ) of the North American Energy Standards Board (NAESB).  The WEQ Version 003.2 Standards build upon the standards included in the WEQ Version 003.1 Standards and include, in their entirety, the modifications submitted to the Commission in WEQ Version 003.1, which were the subject of an earlier notice of proposed rulemaking, with the addition of certain revisions and corrections.  The revisions made by NAESB in this version of the standards are designed to aid public utilities with the consistent and uniform implementation of requirements promulgated by the Commission as part of the </w:t>
      </w:r>
      <w:r w:rsidR="007A4963" w:rsidRPr="007A4963">
        <w:rPr>
          <w:rFonts w:ascii="Times New Roman" w:hAnsi="Times New Roman" w:cs="Times New Roman"/>
          <w:i/>
          <w:iCs/>
          <w:sz w:val="24"/>
          <w:szCs w:val="24"/>
        </w:rPr>
        <w:t xml:space="preserve">pro forma </w:t>
      </w:r>
      <w:r w:rsidR="007A4963" w:rsidRPr="007A4963">
        <w:rPr>
          <w:rFonts w:ascii="Times New Roman" w:hAnsi="Times New Roman" w:cs="Times New Roman"/>
          <w:sz w:val="24"/>
          <w:szCs w:val="24"/>
        </w:rPr>
        <w:t>Open Access Transmission Tariff</w:t>
      </w:r>
      <w:r w:rsidR="002E6E8A">
        <w:rPr>
          <w:rFonts w:ascii="Times New Roman" w:hAnsi="Times New Roman" w:cs="Times New Roman"/>
          <w:sz w:val="24"/>
          <w:szCs w:val="24"/>
        </w:rPr>
        <w:t>.</w:t>
      </w:r>
    </w:p>
    <w:p w14:paraId="6FBC90F8" w14:textId="77777777" w:rsidR="0002242D" w:rsidRDefault="0002242D" w:rsidP="00FD66F1">
      <w:pPr>
        <w:spacing w:after="0"/>
        <w:rPr>
          <w:rFonts w:ascii="Times New Roman" w:hAnsi="Times New Roman" w:cs="Times New Roman"/>
          <w:sz w:val="24"/>
          <w:szCs w:val="24"/>
        </w:rPr>
      </w:pPr>
    </w:p>
    <w:p w14:paraId="6FBC90F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FBC90FA" w14:textId="77777777" w:rsidR="00A72E7B" w:rsidRDefault="00A72E7B" w:rsidP="00EB3E6F">
      <w:pPr>
        <w:spacing w:after="0"/>
        <w:rPr>
          <w:rFonts w:ascii="Times New Roman" w:hAnsi="Times New Roman" w:cs="Times New Roman"/>
          <w:sz w:val="24"/>
          <w:szCs w:val="24"/>
        </w:rPr>
      </w:pPr>
    </w:p>
    <w:p w14:paraId="670C897F" w14:textId="227C363C" w:rsidR="00F14038" w:rsidRPr="00F14038" w:rsidRDefault="00F81142" w:rsidP="00F14038">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sidRPr="00F81142">
        <w:rPr>
          <w:rStyle w:val="FootnoteReference"/>
          <w:rFonts w:ascii="Times New Roman" w:hAnsi="Times New Roman" w:cs="Times New Roman"/>
          <w:sz w:val="24"/>
          <w:szCs w:val="24"/>
          <w:vertAlign w:val="superscript"/>
        </w:rPr>
        <w:footnoteReference w:id="2"/>
      </w:r>
      <w:r w:rsidR="00F14038" w:rsidRPr="00F14038">
        <w:rPr>
          <w:rFonts w:ascii="Times New Roman" w:hAnsi="Times New Roman" w:cs="Times New Roman"/>
          <w:sz w:val="24"/>
          <w:szCs w:val="24"/>
        </w:rPr>
        <w:t xml:space="preserve"> requires the Federal Energy Regulatory Commission to ensure that the rates and charges for the wholesale</w:t>
      </w:r>
      <w:r w:rsidR="00B047E2">
        <w:rPr>
          <w:rFonts w:ascii="Times New Roman" w:hAnsi="Times New Roman" w:cs="Times New Roman"/>
          <w:sz w:val="24"/>
          <w:szCs w:val="24"/>
        </w:rPr>
        <w:t xml:space="preserve"> sale of electric energy are</w:t>
      </w:r>
      <w:r w:rsidR="00F14038" w:rsidRPr="00F14038">
        <w:rPr>
          <w:rFonts w:ascii="Times New Roman" w:hAnsi="Times New Roman" w:cs="Times New Roman"/>
          <w:sz w:val="24"/>
          <w:szCs w:val="24"/>
        </w:rPr>
        <w:t xml:space="preserve"> just and reasonable.  Section 205 also requires that the rules and regulations affecting or pertaining to the rates and charges for the wholesale sale of electric energy be just and reasonable.  </w:t>
      </w:r>
    </w:p>
    <w:p w14:paraId="6703AA1F" w14:textId="77777777" w:rsidR="00F14038" w:rsidRPr="00F14038" w:rsidRDefault="00F14038" w:rsidP="00F14038">
      <w:pPr>
        <w:spacing w:after="0"/>
        <w:rPr>
          <w:rFonts w:ascii="Times New Roman" w:hAnsi="Times New Roman" w:cs="Times New Roman"/>
          <w:sz w:val="24"/>
          <w:szCs w:val="24"/>
        </w:rPr>
      </w:pPr>
    </w:p>
    <w:p w14:paraId="12A25110" w14:textId="363C406B" w:rsidR="00F14038" w:rsidRPr="00F14038" w:rsidRDefault="00B047E2" w:rsidP="00F14038">
      <w:pPr>
        <w:spacing w:after="0"/>
        <w:rPr>
          <w:rFonts w:ascii="Times New Roman" w:hAnsi="Times New Roman" w:cs="Times New Roman"/>
          <w:sz w:val="24"/>
          <w:szCs w:val="24"/>
        </w:rPr>
      </w:pPr>
      <w:r>
        <w:rPr>
          <w:rFonts w:ascii="Times New Roman" w:hAnsi="Times New Roman" w:cs="Times New Roman"/>
          <w:sz w:val="24"/>
          <w:szCs w:val="24"/>
        </w:rPr>
        <w:lastRenderedPageBreak/>
        <w:t>Industry-wide b</w:t>
      </w:r>
      <w:r w:rsidR="00F14038" w:rsidRPr="00F14038">
        <w:rPr>
          <w:rFonts w:ascii="Times New Roman" w:hAnsi="Times New Roman" w:cs="Times New Roman"/>
          <w:sz w:val="24"/>
          <w:szCs w:val="24"/>
        </w:rPr>
        <w:t xml:space="preserve">usiness practice standards help the industry achieve increased levels of efficiency. </w:t>
      </w:r>
      <w:r w:rsidR="00F14038" w:rsidRPr="009652A5">
        <w:rPr>
          <w:rFonts w:ascii="Times New Roman" w:hAnsi="Times New Roman" w:cs="Times New Roman"/>
          <w:sz w:val="24"/>
          <w:szCs w:val="24"/>
        </w:rPr>
        <w:t xml:space="preserve"> </w:t>
      </w:r>
      <w:r w:rsidR="009652A5" w:rsidRPr="009652A5">
        <w:rPr>
          <w:rFonts w:ascii="Times New Roman" w:hAnsi="Times New Roman" w:cs="Times New Roman"/>
          <w:sz w:val="24"/>
          <w:szCs w:val="24"/>
        </w:rPr>
        <w:t xml:space="preserve">The WEQ Version 003.1 </w:t>
      </w:r>
      <w:r w:rsidR="00E15527">
        <w:rPr>
          <w:rFonts w:ascii="Times New Roman" w:hAnsi="Times New Roman" w:cs="Times New Roman"/>
          <w:sz w:val="24"/>
          <w:szCs w:val="24"/>
        </w:rPr>
        <w:t xml:space="preserve">and Version 003.2 </w:t>
      </w:r>
      <w:r w:rsidR="009652A5" w:rsidRPr="009652A5">
        <w:rPr>
          <w:rFonts w:ascii="Times New Roman" w:hAnsi="Times New Roman" w:cs="Times New Roman"/>
          <w:sz w:val="24"/>
          <w:szCs w:val="24"/>
        </w:rPr>
        <w:t xml:space="preserve">Business Practice Standards </w:t>
      </w:r>
      <w:r w:rsidR="007F1D3B" w:rsidRPr="00F14038">
        <w:rPr>
          <w:rFonts w:ascii="Times New Roman" w:hAnsi="Times New Roman" w:cs="Times New Roman"/>
          <w:sz w:val="24"/>
          <w:szCs w:val="24"/>
        </w:rPr>
        <w:t>b</w:t>
      </w:r>
      <w:r w:rsidR="007F1D3B">
        <w:rPr>
          <w:rFonts w:ascii="Times New Roman" w:hAnsi="Times New Roman" w:cs="Times New Roman"/>
          <w:sz w:val="24"/>
          <w:szCs w:val="24"/>
        </w:rPr>
        <w:t>uild on the Commission’s work i</w:t>
      </w:r>
      <w:r w:rsidR="007F1D3B" w:rsidRPr="00F14038">
        <w:rPr>
          <w:rFonts w:ascii="Times New Roman" w:hAnsi="Times New Roman" w:cs="Times New Roman"/>
          <w:sz w:val="24"/>
          <w:szCs w:val="24"/>
        </w:rPr>
        <w:t>n preventing undue discrimination and preference in transmission service (</w:t>
      </w:r>
      <w:r w:rsidR="007F1D3B">
        <w:rPr>
          <w:rFonts w:ascii="Times New Roman" w:hAnsi="Times New Roman" w:cs="Times New Roman"/>
          <w:sz w:val="24"/>
          <w:szCs w:val="24"/>
        </w:rPr>
        <w:t xml:space="preserve">in </w:t>
      </w:r>
      <w:r w:rsidR="007F1D3B" w:rsidRPr="00F14038">
        <w:rPr>
          <w:rFonts w:ascii="Times New Roman" w:hAnsi="Times New Roman" w:cs="Times New Roman"/>
          <w:sz w:val="24"/>
          <w:szCs w:val="24"/>
        </w:rPr>
        <w:t>Order N</w:t>
      </w:r>
      <w:r w:rsidR="007F1D3B">
        <w:rPr>
          <w:rFonts w:ascii="Times New Roman" w:hAnsi="Times New Roman" w:cs="Times New Roman"/>
          <w:sz w:val="24"/>
          <w:szCs w:val="24"/>
        </w:rPr>
        <w:t xml:space="preserve">os. 890, 890-A, 890-B and 890-C, and </w:t>
      </w:r>
      <w:r w:rsidR="009652A5" w:rsidRPr="009652A5">
        <w:rPr>
          <w:rFonts w:ascii="Times New Roman" w:hAnsi="Times New Roman" w:cs="Times New Roman"/>
          <w:sz w:val="24"/>
          <w:szCs w:val="24"/>
        </w:rPr>
        <w:t>include</w:t>
      </w:r>
      <w:r w:rsidR="007F1D3B">
        <w:rPr>
          <w:rFonts w:ascii="Times New Roman" w:hAnsi="Times New Roman" w:cs="Times New Roman"/>
          <w:sz w:val="24"/>
          <w:szCs w:val="24"/>
        </w:rPr>
        <w:t>s</w:t>
      </w:r>
      <w:r w:rsidR="009652A5" w:rsidRPr="009652A5">
        <w:rPr>
          <w:rFonts w:ascii="Times New Roman" w:hAnsi="Times New Roman" w:cs="Times New Roman"/>
          <w:sz w:val="24"/>
          <w:szCs w:val="24"/>
        </w:rPr>
        <w:t xml:space="preserve"> six OASIS-related standards</w:t>
      </w:r>
      <w:r w:rsidR="009652A5" w:rsidRPr="009652A5">
        <w:rPr>
          <w:rStyle w:val="FootnoteReference"/>
          <w:rFonts w:ascii="Times New Roman" w:hAnsi="Times New Roman" w:cs="Times New Roman"/>
          <w:sz w:val="24"/>
          <w:szCs w:val="24"/>
          <w:vertAlign w:val="superscript"/>
        </w:rPr>
        <w:footnoteReference w:id="3"/>
      </w:r>
      <w:r w:rsidR="009652A5" w:rsidRPr="009652A5">
        <w:rPr>
          <w:rFonts w:ascii="Times New Roman" w:hAnsi="Times New Roman" w:cs="Times New Roman"/>
          <w:sz w:val="24"/>
          <w:szCs w:val="24"/>
        </w:rPr>
        <w:t xml:space="preserve"> that NAESB modified in response to directives and guidance provided in Order Nos. 676-E, 676-H, and 890</w:t>
      </w:r>
      <w:r w:rsidR="00E50372">
        <w:rPr>
          <w:rFonts w:ascii="Times New Roman" w:hAnsi="Times New Roman" w:cs="Times New Roman"/>
          <w:sz w:val="24"/>
          <w:szCs w:val="24"/>
        </w:rPr>
        <w:t>)</w:t>
      </w:r>
      <w:r w:rsidR="00F14038" w:rsidRPr="00F14038">
        <w:rPr>
          <w:rFonts w:ascii="Times New Roman" w:hAnsi="Times New Roman" w:cs="Times New Roman"/>
          <w:sz w:val="24"/>
          <w:szCs w:val="24"/>
        </w:rPr>
        <w:t xml:space="preserve">.  </w:t>
      </w:r>
    </w:p>
    <w:p w14:paraId="780C9891" w14:textId="77777777" w:rsidR="00F14038" w:rsidRPr="00F14038" w:rsidRDefault="00F14038" w:rsidP="00F14038">
      <w:pPr>
        <w:spacing w:after="0"/>
        <w:rPr>
          <w:rFonts w:ascii="Times New Roman" w:hAnsi="Times New Roman" w:cs="Times New Roman"/>
          <w:sz w:val="24"/>
          <w:szCs w:val="24"/>
        </w:rPr>
      </w:pPr>
    </w:p>
    <w:p w14:paraId="1A595D1F" w14:textId="13DBE88D" w:rsidR="00E15527" w:rsidRDefault="00F14038" w:rsidP="00E15527">
      <w:pPr>
        <w:spacing w:after="0"/>
        <w:rPr>
          <w:rFonts w:ascii="Times New Roman" w:hAnsi="Times New Roman" w:cs="Times New Roman"/>
          <w:sz w:val="24"/>
          <w:szCs w:val="24"/>
        </w:rPr>
      </w:pPr>
      <w:r w:rsidRPr="00D95053">
        <w:rPr>
          <w:rFonts w:ascii="Times New Roman" w:hAnsi="Times New Roman" w:cs="Times New Roman"/>
          <w:sz w:val="24"/>
          <w:szCs w:val="24"/>
        </w:rPr>
        <w:t xml:space="preserve">In addition, </w:t>
      </w:r>
      <w:r w:rsidR="00A11770">
        <w:rPr>
          <w:rFonts w:ascii="Times New Roman" w:hAnsi="Times New Roman" w:cs="Times New Roman"/>
          <w:sz w:val="24"/>
          <w:szCs w:val="24"/>
        </w:rPr>
        <w:t xml:space="preserve">in </w:t>
      </w:r>
      <w:r w:rsidR="00A11770" w:rsidRPr="009652A5">
        <w:rPr>
          <w:rFonts w:ascii="Times New Roman" w:hAnsi="Times New Roman" w:cs="Times New Roman"/>
          <w:sz w:val="24"/>
          <w:szCs w:val="24"/>
        </w:rPr>
        <w:t>WEQ Version 003.1</w:t>
      </w:r>
      <w:r w:rsidR="00A11770">
        <w:rPr>
          <w:rFonts w:ascii="Times New Roman" w:hAnsi="Times New Roman" w:cs="Times New Roman"/>
          <w:sz w:val="24"/>
          <w:szCs w:val="24"/>
        </w:rPr>
        <w:t xml:space="preserve">, </w:t>
      </w:r>
      <w:r w:rsidRPr="00D95053">
        <w:rPr>
          <w:rFonts w:ascii="Times New Roman" w:hAnsi="Times New Roman" w:cs="Times New Roman"/>
          <w:sz w:val="24"/>
          <w:szCs w:val="24"/>
        </w:rPr>
        <w:t>NAESB</w:t>
      </w:r>
      <w:r w:rsidR="00D95053" w:rsidRPr="00D95053">
        <w:rPr>
          <w:rFonts w:ascii="Times New Roman" w:hAnsi="Times New Roman" w:cs="Times New Roman"/>
          <w:sz w:val="24"/>
          <w:szCs w:val="24"/>
        </w:rPr>
        <w:t xml:space="preserve"> developed two new suites of standards in coordination with the </w:t>
      </w:r>
      <w:r w:rsidR="009652A5" w:rsidRPr="00D95053">
        <w:rPr>
          <w:rFonts w:ascii="Times New Roman" w:hAnsi="Times New Roman" w:cs="Times New Roman"/>
          <w:sz w:val="24"/>
          <w:szCs w:val="24"/>
        </w:rPr>
        <w:t>North American Electric Reliability Corporation (NERC).</w:t>
      </w:r>
      <w:r w:rsidR="00C703D4" w:rsidRPr="00D95053">
        <w:rPr>
          <w:rFonts w:ascii="Times New Roman" w:hAnsi="Times New Roman" w:cs="Times New Roman"/>
          <w:sz w:val="24"/>
          <w:szCs w:val="24"/>
        </w:rPr>
        <w:t xml:space="preserve">  </w:t>
      </w:r>
      <w:r w:rsidR="00D95053" w:rsidRPr="00EB2C05">
        <w:rPr>
          <w:rFonts w:ascii="Times New Roman" w:hAnsi="Times New Roman" w:cs="Times New Roman"/>
          <w:sz w:val="24"/>
          <w:szCs w:val="24"/>
        </w:rPr>
        <w:t xml:space="preserve">These two NAESB </w:t>
      </w:r>
      <w:r w:rsidR="00EB2C05">
        <w:rPr>
          <w:rFonts w:ascii="Times New Roman" w:hAnsi="Times New Roman" w:cs="Times New Roman"/>
          <w:sz w:val="24"/>
          <w:szCs w:val="24"/>
        </w:rPr>
        <w:t>new suites of standards</w:t>
      </w:r>
      <w:r w:rsidR="00D95053" w:rsidRPr="00EB2C05">
        <w:rPr>
          <w:rFonts w:ascii="Times New Roman" w:hAnsi="Times New Roman" w:cs="Times New Roman"/>
          <w:sz w:val="24"/>
          <w:szCs w:val="24"/>
        </w:rPr>
        <w:t xml:space="preserve"> would establish: (1) NAESB Electric Industry Registry (EIR) business practice standards that replace th</w:t>
      </w:r>
      <w:r w:rsidR="00D95053" w:rsidRPr="00D95053">
        <w:rPr>
          <w:rFonts w:ascii="Times New Roman" w:hAnsi="Times New Roman" w:cs="Times New Roman"/>
          <w:sz w:val="24"/>
          <w:szCs w:val="24"/>
        </w:rPr>
        <w:t>e NERC Transmission System Information Networks (TSIN) as the tool to be used by wholesale electric markets to conduct electronic transactions via electronic tagging (e-Tags); and (2) Modeling Business</w:t>
      </w:r>
      <w:r w:rsidR="00D95053">
        <w:rPr>
          <w:rFonts w:ascii="Times New Roman" w:hAnsi="Times New Roman" w:cs="Times New Roman"/>
          <w:sz w:val="24"/>
          <w:szCs w:val="24"/>
        </w:rPr>
        <w:t xml:space="preserve"> </w:t>
      </w:r>
      <w:r w:rsidR="00D95053" w:rsidRPr="00D95053">
        <w:rPr>
          <w:rFonts w:ascii="Times New Roman" w:hAnsi="Times New Roman" w:cs="Times New Roman"/>
          <w:sz w:val="24"/>
          <w:szCs w:val="24"/>
        </w:rPr>
        <w:t>Practice Standards to support and complement NERC’s proposed retirement of its “MOD A” Reliability Standards.</w:t>
      </w:r>
      <w:r w:rsidR="00D95053" w:rsidRPr="00D95053">
        <w:rPr>
          <w:rStyle w:val="FootnoteReference"/>
          <w:rFonts w:ascii="Times New Roman" w:hAnsi="Times New Roman" w:cs="Times New Roman"/>
          <w:sz w:val="24"/>
          <w:szCs w:val="24"/>
          <w:vertAlign w:val="superscript"/>
        </w:rPr>
        <w:footnoteReference w:id="4"/>
      </w:r>
      <w:r w:rsidR="0042669C">
        <w:rPr>
          <w:rFonts w:ascii="Times New Roman" w:hAnsi="Times New Roman" w:cs="Times New Roman"/>
          <w:sz w:val="24"/>
          <w:szCs w:val="24"/>
        </w:rPr>
        <w:t xml:space="preserve">  </w:t>
      </w:r>
      <w:r w:rsidR="00EB2C05">
        <w:rPr>
          <w:rFonts w:ascii="Times New Roman" w:hAnsi="Times New Roman" w:cs="Times New Roman"/>
          <w:sz w:val="24"/>
          <w:szCs w:val="24"/>
        </w:rPr>
        <w:t xml:space="preserve">NAESB also adopted revisions to NAESB standards that need to match up with NERC’s Interchange Scheduling and Coordination Reliability Standards.  </w:t>
      </w:r>
    </w:p>
    <w:p w14:paraId="767529F5" w14:textId="77777777" w:rsidR="00A11770" w:rsidRDefault="00A11770" w:rsidP="00E15527">
      <w:pPr>
        <w:spacing w:after="0"/>
        <w:rPr>
          <w:rFonts w:ascii="Times New Roman" w:hAnsi="Times New Roman" w:cs="Times New Roman"/>
          <w:sz w:val="24"/>
          <w:szCs w:val="24"/>
        </w:rPr>
      </w:pPr>
    </w:p>
    <w:p w14:paraId="797C0669" w14:textId="45CA6CBE" w:rsidR="00E15527" w:rsidRPr="00E15527" w:rsidRDefault="00E15527" w:rsidP="00E15527">
      <w:pPr>
        <w:spacing w:after="0"/>
        <w:rPr>
          <w:rFonts w:ascii="Times New Roman" w:hAnsi="Times New Roman" w:cs="Times New Roman"/>
          <w:sz w:val="24"/>
          <w:szCs w:val="24"/>
        </w:rPr>
      </w:pPr>
      <w:r w:rsidRPr="00E15527">
        <w:rPr>
          <w:rFonts w:ascii="Times New Roman" w:hAnsi="Times New Roman" w:cs="Times New Roman"/>
          <w:sz w:val="24"/>
          <w:szCs w:val="24"/>
        </w:rPr>
        <w:t xml:space="preserve">The WEQ Version 003.2 Standards include modifications and reservations to existing standards and newly developed standards made to support the short-term preemption process (WEQ-001-25) and the merger of like transmission reservations (WEQ-001-24) prescribed </w:t>
      </w:r>
      <w:r w:rsidR="00D823B2">
        <w:rPr>
          <w:rFonts w:ascii="Times New Roman" w:hAnsi="Times New Roman" w:cs="Times New Roman"/>
          <w:sz w:val="24"/>
          <w:szCs w:val="24"/>
        </w:rPr>
        <w:t>in the OASIS Suite of Standards.</w:t>
      </w:r>
      <w:r w:rsidR="00D823B2" w:rsidRPr="00D823B2">
        <w:rPr>
          <w:rStyle w:val="FootnoteReference"/>
          <w:rFonts w:ascii="Times New Roman" w:hAnsi="Times New Roman" w:cs="Times New Roman"/>
          <w:sz w:val="24"/>
          <w:szCs w:val="24"/>
          <w:vertAlign w:val="superscript"/>
        </w:rPr>
        <w:footnoteReference w:id="5"/>
      </w:r>
      <w:r w:rsidR="00A11770" w:rsidRPr="00D823B2">
        <w:rPr>
          <w:rFonts w:ascii="Times New Roman" w:hAnsi="Times New Roman" w:cs="Times New Roman"/>
          <w:sz w:val="24"/>
          <w:szCs w:val="24"/>
          <w:vertAlign w:val="superscript"/>
        </w:rPr>
        <w:t xml:space="preserve"> </w:t>
      </w:r>
      <w:r w:rsidR="00A11770">
        <w:rPr>
          <w:rFonts w:ascii="Times New Roman" w:hAnsi="Times New Roman" w:cs="Times New Roman"/>
          <w:sz w:val="24"/>
          <w:szCs w:val="24"/>
        </w:rPr>
        <w:t xml:space="preserve"> </w:t>
      </w:r>
      <w:r w:rsidRPr="00E15527">
        <w:rPr>
          <w:rFonts w:ascii="Times New Roman" w:hAnsi="Times New Roman" w:cs="Times New Roman"/>
          <w:sz w:val="24"/>
          <w:szCs w:val="24"/>
        </w:rPr>
        <w:t xml:space="preserve">The WEQ Version 003.2 Standards also included other changes that were made to support consistency with NERC Reliability Standards.  NAESB made these changes as a result of </w:t>
      </w:r>
      <w:r w:rsidR="00A11770">
        <w:rPr>
          <w:rFonts w:ascii="Times New Roman" w:hAnsi="Times New Roman" w:cs="Times New Roman"/>
          <w:sz w:val="24"/>
          <w:szCs w:val="24"/>
        </w:rPr>
        <w:t>continuing</w:t>
      </w:r>
      <w:r w:rsidRPr="00E15527">
        <w:rPr>
          <w:rFonts w:ascii="Times New Roman" w:hAnsi="Times New Roman" w:cs="Times New Roman"/>
          <w:sz w:val="24"/>
          <w:szCs w:val="24"/>
        </w:rPr>
        <w:t xml:space="preserve"> coordination with NERC regarding dynamic tagging and pseudo-ties, and the finalization of the transition of the industry registry tool from NERC to NAESB.  NAESB also made additional changes to seven suites of the WEQ Business Practices to ensure the standards accurately reflect revisions to the NERC Reliability Standards.  In addition, NAESB made changes to support market operator functionalities to support the full use of the market operator as a separate role within the EIR</w:t>
      </w:r>
      <w:r w:rsidR="00A11770">
        <w:rPr>
          <w:rFonts w:ascii="Times New Roman" w:hAnsi="Times New Roman" w:cs="Times New Roman"/>
          <w:sz w:val="24"/>
          <w:szCs w:val="24"/>
        </w:rPr>
        <w:t xml:space="preserve"> </w:t>
      </w:r>
      <w:r w:rsidRPr="00E15527">
        <w:rPr>
          <w:rFonts w:ascii="Times New Roman" w:hAnsi="Times New Roman" w:cs="Times New Roman"/>
          <w:sz w:val="24"/>
          <w:szCs w:val="24"/>
        </w:rPr>
        <w:t xml:space="preserve">and on e-Tags.  </w:t>
      </w:r>
    </w:p>
    <w:p w14:paraId="260EE5A1" w14:textId="77777777" w:rsidR="00E15527" w:rsidRPr="00E15527" w:rsidRDefault="00E15527" w:rsidP="00D95053">
      <w:pPr>
        <w:spacing w:after="0"/>
        <w:rPr>
          <w:rFonts w:ascii="Times New Roman" w:hAnsi="Times New Roman" w:cs="Times New Roman"/>
          <w:sz w:val="24"/>
          <w:szCs w:val="24"/>
        </w:rPr>
      </w:pPr>
    </w:p>
    <w:p w14:paraId="15218C73" w14:textId="77777777" w:rsidR="00F14038" w:rsidRPr="00F14038" w:rsidRDefault="00F14038" w:rsidP="00F14038">
      <w:pPr>
        <w:spacing w:after="0"/>
        <w:rPr>
          <w:rFonts w:ascii="Times New Roman" w:hAnsi="Times New Roman" w:cs="Times New Roman"/>
          <w:sz w:val="24"/>
          <w:szCs w:val="24"/>
        </w:rPr>
      </w:pPr>
    </w:p>
    <w:p w14:paraId="6FBC90F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43223228" w14:textId="661F847E"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FERC-516</w:t>
      </w:r>
      <w:r w:rsidR="00894980">
        <w:rPr>
          <w:rFonts w:ascii="Times New Roman" w:hAnsi="Times New Roman" w:cs="Times New Roman"/>
          <w:b/>
          <w:sz w:val="24"/>
          <w:szCs w:val="24"/>
        </w:rPr>
        <w:t>E</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 proposes to</w:t>
      </w:r>
      <w:r w:rsidRPr="004276A5">
        <w:rPr>
          <w:rFonts w:ascii="Times New Roman" w:hAnsi="Times New Roman" w:cs="Times New Roman"/>
          <w:sz w:val="24"/>
          <w:szCs w:val="24"/>
        </w:rPr>
        <w:t xml:space="preserve"> require public utilities that own and/or control facilities used for the transmission of electricity in interstate commerce (public utilities) to modify their </w:t>
      </w:r>
      <w:r w:rsidRPr="004276A5">
        <w:rPr>
          <w:rFonts w:ascii="Times New Roman" w:hAnsi="Times New Roman" w:cs="Times New Roman"/>
          <w:sz w:val="24"/>
          <w:szCs w:val="24"/>
        </w:rPr>
        <w:lastRenderedPageBreak/>
        <w:t>existing tariffs to reference the standards and state that transactions made under their respective tariffs would be performed in accordance with the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Tariffs provide the Commission and the public with information regarding a utility’s rates and service conditions.  Without tariffs, FERC and the public would not be able to properly evaluate rates.    </w:t>
      </w:r>
    </w:p>
    <w:p w14:paraId="11EB0392" w14:textId="77777777" w:rsidR="004276A5" w:rsidRPr="004276A5" w:rsidRDefault="004276A5" w:rsidP="004276A5">
      <w:pPr>
        <w:spacing w:after="0"/>
        <w:rPr>
          <w:rFonts w:ascii="Times New Roman" w:hAnsi="Times New Roman" w:cs="Times New Roman"/>
          <w:sz w:val="24"/>
          <w:szCs w:val="24"/>
        </w:rPr>
      </w:pPr>
    </w:p>
    <w:p w14:paraId="7FF4C61C" w14:textId="1F96728C"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FERC-717</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w:t>
      </w:r>
      <w:r w:rsidRPr="004276A5">
        <w:rPr>
          <w:rFonts w:ascii="Times New Roman" w:hAnsi="Times New Roman" w:cs="Times New Roman"/>
          <w:sz w:val="24"/>
          <w:szCs w:val="24"/>
        </w:rPr>
        <w:t xml:space="preserve"> require</w:t>
      </w:r>
      <w:r>
        <w:rPr>
          <w:rFonts w:ascii="Times New Roman" w:hAnsi="Times New Roman" w:cs="Times New Roman"/>
          <w:sz w:val="24"/>
          <w:szCs w:val="24"/>
        </w:rPr>
        <w:t>s</w:t>
      </w:r>
      <w:r w:rsidRPr="004276A5">
        <w:rPr>
          <w:rFonts w:ascii="Times New Roman" w:hAnsi="Times New Roman" w:cs="Times New Roman"/>
          <w:sz w:val="24"/>
          <w:szCs w:val="24"/>
        </w:rPr>
        <w:t xml:space="preserve"> public uti</w:t>
      </w:r>
      <w:r w:rsidR="00894980">
        <w:rPr>
          <w:rFonts w:ascii="Times New Roman" w:hAnsi="Times New Roman" w:cs="Times New Roman"/>
          <w:sz w:val="24"/>
          <w:szCs w:val="24"/>
        </w:rPr>
        <w:t>lities to operate in compliance</w:t>
      </w:r>
      <w:r w:rsidRPr="004276A5">
        <w:rPr>
          <w:rFonts w:ascii="Times New Roman" w:hAnsi="Times New Roman" w:cs="Times New Roman"/>
          <w:sz w:val="24"/>
          <w:szCs w:val="24"/>
        </w:rPr>
        <w:t xml:space="preserve"> with the WEQ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business practice standards. </w:t>
      </w:r>
    </w:p>
    <w:p w14:paraId="6C612AB6" w14:textId="77777777" w:rsidR="004276A5" w:rsidRPr="004276A5" w:rsidRDefault="004276A5" w:rsidP="004276A5">
      <w:pPr>
        <w:spacing w:after="0"/>
        <w:rPr>
          <w:rFonts w:ascii="Times New Roman" w:hAnsi="Times New Roman" w:cs="Times New Roman"/>
          <w:sz w:val="24"/>
          <w:szCs w:val="24"/>
        </w:rPr>
      </w:pPr>
    </w:p>
    <w:p w14:paraId="66B082C6" w14:textId="77E06ABF" w:rsidR="004276A5" w:rsidRPr="004276A5" w:rsidRDefault="004276A5" w:rsidP="004276A5">
      <w:pPr>
        <w:spacing w:after="0"/>
        <w:rPr>
          <w:rFonts w:ascii="Times New Roman" w:hAnsi="Times New Roman" w:cs="Times New Roman"/>
          <w:sz w:val="24"/>
          <w:szCs w:val="24"/>
        </w:rPr>
      </w:pPr>
      <w:r>
        <w:rPr>
          <w:rFonts w:ascii="Times New Roman" w:hAnsi="Times New Roman" w:cs="Times New Roman"/>
          <w:sz w:val="24"/>
          <w:szCs w:val="24"/>
        </w:rPr>
        <w:t>In a previous Final Rule</w:t>
      </w:r>
      <w:r w:rsidRPr="004276A5">
        <w:rPr>
          <w:rFonts w:ascii="Times New Roman" w:hAnsi="Times New Roman" w:cs="Times New Roman"/>
          <w:sz w:val="24"/>
          <w:szCs w:val="24"/>
        </w:rPr>
        <w:t xml:space="preserve"> </w:t>
      </w:r>
      <w:r>
        <w:rPr>
          <w:rFonts w:ascii="Times New Roman" w:hAnsi="Times New Roman" w:cs="Times New Roman"/>
          <w:sz w:val="24"/>
          <w:szCs w:val="24"/>
        </w:rPr>
        <w:t>(Order No. 889),</w:t>
      </w:r>
      <w:r w:rsidRPr="004276A5">
        <w:rPr>
          <w:rFonts w:ascii="Times New Roman" w:hAnsi="Times New Roman" w:cs="Times New Roman"/>
          <w:sz w:val="24"/>
          <w:szCs w:val="24"/>
        </w:rPr>
        <w:t xml:space="preserve"> the 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transmission customers must have simultaneous access to the same information available to the Transmission Provider in order to achieve nondiscriminatory transmission services.</w:t>
      </w:r>
    </w:p>
    <w:p w14:paraId="1C95CD1C" w14:textId="77777777" w:rsidR="004276A5" w:rsidRPr="004276A5" w:rsidRDefault="004276A5" w:rsidP="004276A5">
      <w:pPr>
        <w:spacing w:after="0"/>
        <w:rPr>
          <w:rFonts w:ascii="Times New Roman" w:hAnsi="Times New Roman" w:cs="Times New Roman"/>
          <w:sz w:val="24"/>
          <w:szCs w:val="24"/>
        </w:rPr>
      </w:pPr>
    </w:p>
    <w:p w14:paraId="39EA6338" w14:textId="77777777"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6FED3016" w14:textId="77777777" w:rsidR="004276A5" w:rsidRPr="004276A5" w:rsidRDefault="004276A5" w:rsidP="004276A5">
      <w:pPr>
        <w:spacing w:after="0"/>
        <w:rPr>
          <w:rFonts w:ascii="Times New Roman" w:hAnsi="Times New Roman" w:cs="Times New Roman"/>
          <w:sz w:val="24"/>
          <w:szCs w:val="24"/>
        </w:rPr>
      </w:pPr>
    </w:p>
    <w:p w14:paraId="6FBC90FE" w14:textId="521D5A00" w:rsidR="00EB3E6F"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public ut</w:t>
      </w:r>
      <w:r w:rsidR="00466C57">
        <w:rPr>
          <w:rFonts w:ascii="Times New Roman" w:hAnsi="Times New Roman" w:cs="Times New Roman"/>
          <w:sz w:val="24"/>
          <w:szCs w:val="24"/>
        </w:rPr>
        <w:t xml:space="preserve">ilities subject to this </w:t>
      </w:r>
      <w:r w:rsidR="00B63279">
        <w:rPr>
          <w:rFonts w:ascii="Times New Roman" w:hAnsi="Times New Roman" w:cs="Times New Roman"/>
          <w:sz w:val="24"/>
          <w:szCs w:val="24"/>
        </w:rPr>
        <w:t>NOPR</w:t>
      </w:r>
      <w:r w:rsidRPr="004276A5">
        <w:rPr>
          <w:rFonts w:ascii="Times New Roman" w:hAnsi="Times New Roman" w:cs="Times New Roman"/>
          <w:sz w:val="24"/>
          <w:szCs w:val="24"/>
        </w:rPr>
        <w:t xml:space="preserve"> will be required to make tariff filings (FERC-516</w:t>
      </w:r>
      <w:r w:rsidR="00937A85">
        <w:rPr>
          <w:rFonts w:ascii="Times New Roman" w:hAnsi="Times New Roman" w:cs="Times New Roman"/>
          <w:sz w:val="24"/>
          <w:szCs w:val="24"/>
        </w:rPr>
        <w:t>E</w:t>
      </w:r>
      <w:r w:rsidRPr="004276A5">
        <w:rPr>
          <w:rFonts w:ascii="Times New Roman" w:hAnsi="Times New Roman" w:cs="Times New Roman"/>
          <w:sz w:val="24"/>
          <w:szCs w:val="24"/>
        </w:rPr>
        <w:t xml:space="preserve">) referencing the </w:t>
      </w:r>
      <w:r w:rsidR="00EB2C05">
        <w:rPr>
          <w:rFonts w:ascii="Times New Roman" w:hAnsi="Times New Roman" w:cs="Times New Roman"/>
          <w:sz w:val="24"/>
          <w:szCs w:val="24"/>
        </w:rPr>
        <w:t xml:space="preserve">WEQ </w:t>
      </w:r>
      <w:r w:rsidRPr="004276A5">
        <w:rPr>
          <w:rFonts w:ascii="Times New Roman" w:hAnsi="Times New Roman" w:cs="Times New Roman"/>
          <w:sz w:val="24"/>
          <w:szCs w:val="24"/>
        </w:rPr>
        <w:t>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and stating that they will implement their tariff in accordance with the requirements of the WEQ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Public utilities currently collect and post information on various systems such as OASIS currently in us</w:t>
      </w:r>
      <w:r w:rsidR="00466C57">
        <w:rPr>
          <w:rFonts w:ascii="Times New Roman" w:hAnsi="Times New Roman" w:cs="Times New Roman"/>
          <w:sz w:val="24"/>
          <w:szCs w:val="24"/>
        </w:rPr>
        <w:t>e by the industry.  The</w:t>
      </w:r>
      <w:r w:rsidRPr="004276A5">
        <w:rPr>
          <w:rFonts w:ascii="Times New Roman" w:hAnsi="Times New Roman" w:cs="Times New Roman"/>
          <w:sz w:val="24"/>
          <w:szCs w:val="24"/>
        </w:rPr>
        <w:t xml:space="preserve"> revisions within these revised NAESB standards may adjust some of the business practices around this information but does not substantially affect the amount or content of the information</w:t>
      </w:r>
      <w:r>
        <w:rPr>
          <w:rFonts w:ascii="Times New Roman" w:hAnsi="Times New Roman" w:cs="Times New Roman"/>
          <w:sz w:val="24"/>
          <w:szCs w:val="24"/>
        </w:rPr>
        <w:t>.</w:t>
      </w:r>
      <w:r w:rsidR="00B047E2">
        <w:rPr>
          <w:rFonts w:ascii="Times New Roman" w:hAnsi="Times New Roman" w:cs="Times New Roman"/>
          <w:sz w:val="24"/>
          <w:szCs w:val="24"/>
        </w:rPr>
        <w:t xml:space="preserve">  Without these standards, the same transactions would occur.  However, the details regarding each transaction would vary from utility t</w:t>
      </w:r>
      <w:r w:rsidR="005D235C">
        <w:rPr>
          <w:rFonts w:ascii="Times New Roman" w:hAnsi="Times New Roman" w:cs="Times New Roman"/>
          <w:sz w:val="24"/>
          <w:szCs w:val="24"/>
        </w:rPr>
        <w:t>o utility hindering standardization</w:t>
      </w:r>
      <w:r w:rsidR="00B047E2">
        <w:rPr>
          <w:rFonts w:ascii="Times New Roman" w:hAnsi="Times New Roman" w:cs="Times New Roman"/>
          <w:sz w:val="24"/>
          <w:szCs w:val="24"/>
        </w:rPr>
        <w:t>.</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79AE7AAC"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FERC has made no significant changes in information technology use f</w:t>
      </w:r>
      <w:r>
        <w:rPr>
          <w:rFonts w:ascii="Times New Roman" w:hAnsi="Times New Roman" w:cs="Times New Roman"/>
          <w:sz w:val="24"/>
          <w:szCs w:val="24"/>
        </w:rPr>
        <w:t>or complying with the FERC-516</w:t>
      </w:r>
      <w:r w:rsidR="00B64E4C">
        <w:rPr>
          <w:rFonts w:ascii="Times New Roman" w:hAnsi="Times New Roman" w:cs="Times New Roman"/>
          <w:sz w:val="24"/>
          <w:szCs w:val="24"/>
        </w:rPr>
        <w:t>E</w:t>
      </w:r>
      <w:r>
        <w:rPr>
          <w:rFonts w:ascii="Times New Roman" w:hAnsi="Times New Roman" w:cs="Times New Roman"/>
          <w:sz w:val="24"/>
          <w:szCs w:val="24"/>
        </w:rPr>
        <w:t xml:space="preserve"> </w:t>
      </w:r>
      <w:r w:rsidRPr="00466C57">
        <w:rPr>
          <w:rFonts w:ascii="Times New Roman" w:hAnsi="Times New Roman" w:cs="Times New Roman"/>
          <w:sz w:val="24"/>
          <w:szCs w:val="24"/>
        </w:rPr>
        <w:t>as these issues were already addressed by FERC in a rule implementing the Commission’s eTariff system (fully implemented in 2010) for the electronic filing of tariffs.  Applicable entities also continue to use OASIS (under the FERC-717 collection), providing the public online access to transmission service information.</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171327E5"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Pr>
          <w:rFonts w:ascii="Times New Roman" w:hAnsi="Times New Roman" w:cs="Times New Roman"/>
          <w:sz w:val="24"/>
          <w:szCs w:val="24"/>
        </w:rPr>
        <w:t>or pos</w:t>
      </w:r>
      <w:r w:rsidR="00B64E4C">
        <w:rPr>
          <w:rFonts w:ascii="Times New Roman" w:hAnsi="Times New Roman" w:cs="Times New Roman"/>
          <w:sz w:val="24"/>
          <w:szCs w:val="24"/>
        </w:rPr>
        <w:t>ted, pursuant to this NOPR</w:t>
      </w:r>
      <w:r w:rsidRPr="00466C57">
        <w:rPr>
          <w:rFonts w:ascii="Times New Roman" w:hAnsi="Times New Roman" w:cs="Times New Roman"/>
          <w:sz w:val="24"/>
          <w:szCs w:val="24"/>
        </w:rPr>
        <w:t xml:space="preserve"> is not readi</w:t>
      </w:r>
      <w:r w:rsidR="001348AC">
        <w:rPr>
          <w:rFonts w:ascii="Times New Roman" w:hAnsi="Times New Roman" w:cs="Times New Roman"/>
          <w:sz w:val="24"/>
          <w:szCs w:val="24"/>
        </w:rPr>
        <w:t>ly available from other sources</w:t>
      </w:r>
      <w:r w:rsidRPr="00466C57">
        <w:rPr>
          <w:rFonts w:ascii="Times New Roman" w:hAnsi="Times New Roman" w:cs="Times New Roman"/>
          <w:sz w:val="24"/>
          <w:szCs w:val="24"/>
        </w:rPr>
        <w:t xml:space="preserve"> and</w:t>
      </w:r>
      <w:r w:rsidR="001348AC">
        <w:rPr>
          <w:rFonts w:ascii="Times New Roman" w:hAnsi="Times New Roman" w:cs="Times New Roman"/>
          <w:sz w:val="24"/>
          <w:szCs w:val="24"/>
        </w:rPr>
        <w:t>,</w:t>
      </w:r>
      <w:r w:rsidRPr="00466C57">
        <w:rPr>
          <w:rFonts w:ascii="Times New Roman" w:hAnsi="Times New Roman" w:cs="Times New Roman"/>
          <w:sz w:val="24"/>
          <w:szCs w:val="24"/>
        </w:rPr>
        <w:t xml:space="preserve"> therefore,</w:t>
      </w:r>
      <w:r w:rsidR="005D235C">
        <w:rPr>
          <w:rFonts w:ascii="Times New Roman" w:hAnsi="Times New Roman" w:cs="Times New Roman"/>
          <w:sz w:val="24"/>
          <w:szCs w:val="24"/>
        </w:rPr>
        <w:t xml:space="preserve"> no duplicate information is available that would serve as a substitute for this information and for performing </w:t>
      </w:r>
      <w:r w:rsidRPr="00466C57">
        <w:rPr>
          <w:rFonts w:ascii="Times New Roman" w:hAnsi="Times New Roman" w:cs="Times New Roman"/>
          <w:sz w:val="24"/>
          <w:szCs w:val="24"/>
        </w:rPr>
        <w:t>oversight and review responsibilities under appli</w:t>
      </w:r>
      <w:r w:rsidR="005D235C">
        <w:rPr>
          <w:rFonts w:ascii="Times New Roman" w:hAnsi="Times New Roman" w:cs="Times New Roman"/>
          <w:sz w:val="24"/>
          <w:szCs w:val="24"/>
        </w:rPr>
        <w:t>cable legislation (e.g. FPA</w:t>
      </w:r>
      <w:r w:rsidRPr="00466C57">
        <w:rPr>
          <w:rFonts w:ascii="Times New Roman" w:hAnsi="Times New Roman" w:cs="Times New Roman"/>
          <w:sz w:val="24"/>
          <w:szCs w:val="24"/>
        </w:rPr>
        <w:t>, Energy Policy Act of 1992 (EPAct)).</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6FBC9107" w14:textId="2BF29032"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D93334">
        <w:rPr>
          <w:rFonts w:ascii="Times New Roman" w:hAnsi="Times New Roman" w:cs="Times New Roman"/>
          <w:sz w:val="24"/>
          <w:szCs w:val="24"/>
        </w:rPr>
        <w:t>RC estimates that there are 6</w:t>
      </w:r>
      <w:r w:rsidR="00CF759C" w:rsidRPr="00CF759C">
        <w:rPr>
          <w:rStyle w:val="FootnoteReference"/>
          <w:rFonts w:ascii="Times New Roman" w:hAnsi="Times New Roman" w:cs="Times New Roman"/>
          <w:sz w:val="24"/>
          <w:szCs w:val="24"/>
          <w:vertAlign w:val="superscript"/>
        </w:rPr>
        <w:footnoteReference w:id="6"/>
      </w:r>
      <w:r w:rsidRPr="001348AC">
        <w:rPr>
          <w:rFonts w:ascii="Times New Roman" w:hAnsi="Times New Roman" w:cs="Times New Roman"/>
          <w:sz w:val="24"/>
          <w:szCs w:val="24"/>
        </w:rPr>
        <w:t xml:space="preserve"> small public utilities applicable to this rule.  FERC considers the impact of the rule to be very minimal.  The Commission does consider waivers for small entities, which serves as an option for small entities to reduce their burden.  The Commission grants these waivers on a case-by-case basis.</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FBC9109" w14:textId="77777777" w:rsidR="00EB3E6F" w:rsidRDefault="00EB3E6F" w:rsidP="00EB3E6F">
      <w:pPr>
        <w:spacing w:after="0"/>
        <w:rPr>
          <w:rFonts w:ascii="Times New Roman" w:hAnsi="Times New Roman" w:cs="Times New Roman"/>
          <w:sz w:val="24"/>
          <w:szCs w:val="24"/>
        </w:rPr>
      </w:pPr>
    </w:p>
    <w:p w14:paraId="6FBC910A" w14:textId="1392A323" w:rsidR="00EB3E6F" w:rsidRDefault="00CF759C" w:rsidP="00EB3E6F">
      <w:pPr>
        <w:spacing w:after="0"/>
        <w:rPr>
          <w:rFonts w:ascii="Times New Roman" w:hAnsi="Times New Roman" w:cs="Times New Roman"/>
          <w:sz w:val="24"/>
          <w:szCs w:val="24"/>
        </w:rPr>
      </w:pPr>
      <w:r w:rsidRPr="00CF759C">
        <w:rPr>
          <w:rFonts w:ascii="Times New Roman" w:hAnsi="Times New Roman" w:cs="Times New Roman"/>
          <w:sz w:val="24"/>
          <w:szCs w:val="24"/>
        </w:rPr>
        <w:t>The Commission promotes an open transmission system through its policies and regulations.  The NAESB WEQ Version 003</w:t>
      </w:r>
      <w:r w:rsidR="00D93334">
        <w:rPr>
          <w:rFonts w:ascii="Times New Roman" w:hAnsi="Times New Roman" w:cs="Times New Roman"/>
          <w:sz w:val="24"/>
          <w:szCs w:val="24"/>
        </w:rPr>
        <w:t>.2</w:t>
      </w:r>
      <w:r w:rsidRPr="00CF759C">
        <w:rPr>
          <w:rFonts w:ascii="Times New Roman" w:hAnsi="Times New Roman" w:cs="Times New Roman"/>
          <w:sz w:val="24"/>
          <w:szCs w:val="24"/>
        </w:rPr>
        <w:t xml:space="preserve"> standards were developed and vetted through an industry consensus process.  If the information collection components of the standards were conducted less frequently</w:t>
      </w:r>
      <w:r>
        <w:rPr>
          <w:rFonts w:ascii="Times New Roman" w:hAnsi="Times New Roman" w:cs="Times New Roman"/>
          <w:sz w:val="24"/>
          <w:szCs w:val="24"/>
        </w:rPr>
        <w:t>,</w:t>
      </w:r>
      <w:r w:rsidRPr="00CF759C">
        <w:rPr>
          <w:rFonts w:ascii="Times New Roman" w:hAnsi="Times New Roman" w:cs="Times New Roman"/>
          <w:sz w:val="24"/>
          <w:szCs w:val="24"/>
        </w:rPr>
        <w:t xml:space="preserve"> then the standards would not fully achieve their purpose of promoting efficiency in the wholesale electric industry.  Further, anything different from the standards under conside</w:t>
      </w:r>
      <w:r>
        <w:rPr>
          <w:rFonts w:ascii="Times New Roman" w:hAnsi="Times New Roman" w:cs="Times New Roman"/>
          <w:sz w:val="24"/>
          <w:szCs w:val="24"/>
        </w:rPr>
        <w:t>ration here would not</w:t>
      </w:r>
      <w:r w:rsidR="008D310F">
        <w:rPr>
          <w:rFonts w:ascii="Times New Roman" w:hAnsi="Times New Roman" w:cs="Times New Roman"/>
          <w:sz w:val="24"/>
          <w:szCs w:val="24"/>
        </w:rPr>
        <w:t xml:space="preserve"> be</w:t>
      </w:r>
      <w:r>
        <w:rPr>
          <w:rFonts w:ascii="Times New Roman" w:hAnsi="Times New Roman" w:cs="Times New Roman"/>
          <w:sz w:val="24"/>
          <w:szCs w:val="24"/>
        </w:rPr>
        <w:t xml:space="preserve"> in accordance</w:t>
      </w:r>
      <w:r w:rsidRPr="00CF759C">
        <w:rPr>
          <w:rFonts w:ascii="Times New Roman" w:hAnsi="Times New Roman" w:cs="Times New Roman"/>
          <w:sz w:val="24"/>
          <w:szCs w:val="24"/>
        </w:rPr>
        <w:t xml:space="preserve"> with what the industry has already vetted and approved in an open consensus building process through NAESB.</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FBC910C" w14:textId="77777777" w:rsidR="00EB3E6F" w:rsidRDefault="00EB3E6F" w:rsidP="00EB3E6F">
      <w:pPr>
        <w:spacing w:after="0"/>
        <w:rPr>
          <w:rFonts w:ascii="Times New Roman" w:hAnsi="Times New Roman" w:cs="Times New Roman"/>
          <w:sz w:val="24"/>
          <w:szCs w:val="24"/>
        </w:rPr>
      </w:pPr>
    </w:p>
    <w:p w14:paraId="6FBC910D" w14:textId="34A24F9F" w:rsidR="00EB3E6F" w:rsidRDefault="009B09B9" w:rsidP="00EB3E6F">
      <w:pPr>
        <w:spacing w:after="0"/>
        <w:rPr>
          <w:rFonts w:ascii="Times New Roman" w:hAnsi="Times New Roman" w:cs="Times New Roman"/>
          <w:sz w:val="24"/>
          <w:szCs w:val="24"/>
        </w:rPr>
      </w:pPr>
      <w:r>
        <w:rPr>
          <w:rFonts w:ascii="Times New Roman" w:hAnsi="Times New Roman" w:cs="Times New Roman"/>
          <w:sz w:val="24"/>
          <w:szCs w:val="24"/>
        </w:rPr>
        <w:t>FERC-717</w:t>
      </w:r>
      <w:r w:rsidR="008D310F" w:rsidRPr="008D310F">
        <w:rPr>
          <w:rFonts w:ascii="Times New Roman" w:hAnsi="Times New Roman" w:cs="Times New Roman"/>
          <w:sz w:val="24"/>
          <w:szCs w:val="24"/>
        </w:rPr>
        <w:t xml:space="preserve"> and FERC-516</w:t>
      </w:r>
      <w:r w:rsidR="008F74FD">
        <w:rPr>
          <w:rFonts w:ascii="Times New Roman" w:hAnsi="Times New Roman" w:cs="Times New Roman"/>
          <w:sz w:val="24"/>
          <w:szCs w:val="24"/>
        </w:rPr>
        <w:t>E</w:t>
      </w:r>
      <w:r w:rsidR="008D310F" w:rsidRPr="008D310F">
        <w:rPr>
          <w:rFonts w:ascii="Times New Roman" w:hAnsi="Times New Roman" w:cs="Times New Roman"/>
          <w:sz w:val="24"/>
          <w:szCs w:val="24"/>
        </w:rPr>
        <w:t xml:space="preserve"> are consistent with the guidelines in 5 CFR 1320.5(d)</w:t>
      </w:r>
      <w:r w:rsidR="008D310F">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FBC910F" w14:textId="77777777" w:rsidR="00EB3E6F" w:rsidRDefault="00EB3E6F" w:rsidP="00EB3E6F">
      <w:pPr>
        <w:spacing w:after="0"/>
        <w:rPr>
          <w:rFonts w:ascii="Times New Roman" w:hAnsi="Times New Roman" w:cs="Times New Roman"/>
          <w:sz w:val="24"/>
          <w:szCs w:val="24"/>
        </w:rPr>
      </w:pPr>
    </w:p>
    <w:p w14:paraId="4DC30113" w14:textId="17D60A02" w:rsidR="00F22CFE"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 xml:space="preserve">In the proposed </w:t>
      </w:r>
      <w:r w:rsidR="004E5616">
        <w:rPr>
          <w:rFonts w:ascii="Times New Roman" w:hAnsi="Times New Roman" w:cs="Times New Roman"/>
          <w:sz w:val="24"/>
          <w:szCs w:val="24"/>
        </w:rPr>
        <w:t>rule, the Commission seeks</w:t>
      </w:r>
      <w:r w:rsidRPr="008D310F">
        <w:rPr>
          <w:rFonts w:ascii="Times New Roman" w:hAnsi="Times New Roman" w:cs="Times New Roman"/>
          <w:sz w:val="24"/>
          <w:szCs w:val="24"/>
        </w:rPr>
        <w:t xml:space="preserve"> comment on various aspects of the </w:t>
      </w:r>
      <w:r>
        <w:rPr>
          <w:rFonts w:ascii="Times New Roman" w:hAnsi="Times New Roman" w:cs="Times New Roman"/>
          <w:sz w:val="24"/>
          <w:szCs w:val="24"/>
        </w:rPr>
        <w:t>new business practice standards</w:t>
      </w:r>
      <w:r w:rsidRPr="008D310F">
        <w:rPr>
          <w:rFonts w:ascii="Times New Roman" w:hAnsi="Times New Roman" w:cs="Times New Roman"/>
          <w:sz w:val="24"/>
          <w:szCs w:val="24"/>
        </w:rPr>
        <w:t xml:space="preserve"> including the burden estimates provided.  Further, the NAESB WEQ business practice standards are developed and voted on by industry representatives prior to submission to FERC.  For final approval, 67 percent of the WEQ’s general membership must ratify the standard.  Additionally, the standards have already gained approval among the industry sectors.</w:t>
      </w:r>
    </w:p>
    <w:p w14:paraId="0B04A7F9" w14:textId="77777777" w:rsidR="00F22CFE" w:rsidRDefault="00F22CFE" w:rsidP="00EB3E6F">
      <w:pPr>
        <w:spacing w:after="0"/>
        <w:rPr>
          <w:rFonts w:ascii="Times New Roman" w:hAnsi="Times New Roman" w:cs="Times New Roman"/>
          <w:sz w:val="24"/>
          <w:szCs w:val="24"/>
        </w:rPr>
      </w:pPr>
    </w:p>
    <w:p w14:paraId="6FBC9110" w14:textId="2D9E12A9" w:rsidR="00EB3E6F" w:rsidRPr="00EB3E6F" w:rsidRDefault="004E5616" w:rsidP="00EB3E6F">
      <w:pPr>
        <w:spacing w:after="0"/>
        <w:rPr>
          <w:rFonts w:ascii="Times New Roman" w:hAnsi="Times New Roman" w:cs="Times New Roman"/>
          <w:sz w:val="24"/>
          <w:szCs w:val="24"/>
        </w:rPr>
      </w:pPr>
      <w:r>
        <w:rPr>
          <w:rFonts w:ascii="Times New Roman" w:hAnsi="Times New Roman" w:cs="Times New Roman"/>
          <w:sz w:val="24"/>
          <w:szCs w:val="24"/>
        </w:rPr>
        <w:t>E</w:t>
      </w:r>
      <w:r w:rsidRPr="002C1BFB">
        <w:rPr>
          <w:rFonts w:ascii="Times New Roman" w:hAnsi="Times New Roman" w:cs="Times New Roman"/>
          <w:sz w:val="24"/>
          <w:szCs w:val="24"/>
        </w:rPr>
        <w:t>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D93334">
        <w:rPr>
          <w:rFonts w:ascii="Times New Roman" w:hAnsi="Times New Roman" w:cs="Times New Roman"/>
          <w:sz w:val="24"/>
          <w:szCs w:val="24"/>
        </w:rPr>
        <w:t>5</w:t>
      </w:r>
      <w:r w:rsidRPr="00236674">
        <w:rPr>
          <w:rFonts w:ascii="Times New Roman" w:hAnsi="Times New Roman" w:cs="Times New Roman"/>
          <w:sz w:val="24"/>
          <w:szCs w:val="24"/>
        </w:rPr>
        <w:t>/</w:t>
      </w:r>
      <w:r w:rsidR="00D93334">
        <w:rPr>
          <w:rFonts w:ascii="Times New Roman" w:hAnsi="Times New Roman" w:cs="Times New Roman"/>
          <w:sz w:val="24"/>
          <w:szCs w:val="24"/>
        </w:rPr>
        <w:t>24</w:t>
      </w:r>
      <w:r>
        <w:rPr>
          <w:rFonts w:ascii="Times New Roman" w:hAnsi="Times New Roman" w:cs="Times New Roman"/>
          <w:sz w:val="24"/>
          <w:szCs w:val="24"/>
        </w:rPr>
        <w:t>/</w:t>
      </w:r>
      <w:r w:rsidR="00D93334">
        <w:rPr>
          <w:rFonts w:ascii="Times New Roman" w:hAnsi="Times New Roman" w:cs="Times New Roman"/>
          <w:sz w:val="24"/>
          <w:szCs w:val="24"/>
        </w:rPr>
        <w:t>2019</w:t>
      </w:r>
      <w:r w:rsidRPr="009B09B9">
        <w:rPr>
          <w:rFonts w:ascii="Times New Roman" w:hAnsi="Times New Roman" w:cs="Times New Roman"/>
          <w:sz w:val="24"/>
          <w:szCs w:val="24"/>
        </w:rPr>
        <w:t xml:space="preserve"> (</w:t>
      </w:r>
      <w:r w:rsidR="00D93334">
        <w:rPr>
          <w:rFonts w:ascii="Times New Roman" w:hAnsi="Times New Roman" w:cs="Times New Roman"/>
          <w:sz w:val="24"/>
          <w:szCs w:val="24"/>
        </w:rPr>
        <w:t>84 FR 24050</w:t>
      </w:r>
      <w:r w:rsidRPr="009B09B9">
        <w:rPr>
          <w:rFonts w:ascii="Times New Roman" w:hAnsi="Times New Roman" w:cs="Times New Roman"/>
          <w:sz w:val="24"/>
          <w:szCs w:val="24"/>
        </w:rPr>
        <w:t>)</w:t>
      </w:r>
      <w:r w:rsidR="008D310F">
        <w:rPr>
          <w:rFonts w:ascii="Times New Roman" w:hAnsi="Times New Roman" w:cs="Times New Roman"/>
          <w:sz w:val="24"/>
          <w:szCs w:val="24"/>
        </w:rPr>
        <w:br/>
      </w: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44640C4D"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these collections.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20BC673B"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21631E43"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7BE52902" w14:textId="77777777" w:rsidR="0074195A" w:rsidRPr="00D80FBD" w:rsidRDefault="0074195A" w:rsidP="00D80FBD">
      <w:pPr>
        <w:spacing w:after="0"/>
        <w:rPr>
          <w:rFonts w:ascii="Times New Roman" w:hAnsi="Times New Roman" w:cs="Times New Roman"/>
          <w:sz w:val="24"/>
          <w:szCs w:val="24"/>
        </w:rPr>
      </w:pPr>
    </w:p>
    <w:p w14:paraId="6FBC911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41C565A" w14:textId="77777777" w:rsidR="00D80FBD" w:rsidRDefault="00D80FBD" w:rsidP="00D80FBD">
      <w:pPr>
        <w:spacing w:after="0"/>
        <w:rPr>
          <w:rFonts w:ascii="Times New Roman" w:hAnsi="Times New Roman" w:cs="Times New Roman"/>
          <w:sz w:val="24"/>
          <w:szCs w:val="24"/>
        </w:rPr>
      </w:pPr>
    </w:p>
    <w:p w14:paraId="3FDC189F" w14:textId="2C017312" w:rsidR="00FE1D65" w:rsidRDefault="00FE1D65"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361C4">
        <w:rPr>
          <w:rFonts w:ascii="Times New Roman" w:hAnsi="Times New Roman" w:cs="Times New Roman"/>
          <w:sz w:val="24"/>
          <w:szCs w:val="24"/>
        </w:rPr>
        <w:t>proposed revisions</w:t>
      </w:r>
      <w:r>
        <w:rPr>
          <w:rFonts w:ascii="Times New Roman" w:hAnsi="Times New Roman" w:cs="Times New Roman"/>
          <w:sz w:val="24"/>
          <w:szCs w:val="24"/>
        </w:rPr>
        <w:t xml:space="preserve"> for both the FERC-516E and FERC-717</w:t>
      </w:r>
      <w:r w:rsidR="00A361C4">
        <w:rPr>
          <w:rFonts w:ascii="Times New Roman" w:hAnsi="Times New Roman" w:cs="Times New Roman"/>
          <w:sz w:val="24"/>
          <w:szCs w:val="24"/>
        </w:rPr>
        <w:t xml:space="preserve"> are one-time in nature.</w:t>
      </w:r>
      <w:r w:rsidR="00522ED0">
        <w:rPr>
          <w:rFonts w:ascii="Times New Roman" w:hAnsi="Times New Roman" w:cs="Times New Roman"/>
          <w:sz w:val="24"/>
          <w:szCs w:val="24"/>
        </w:rPr>
        <w:t xml:space="preserve">  These one-time changes are expected to occur in Year 1 after implementation of the</w:t>
      </w:r>
      <w:r w:rsidR="00262395">
        <w:rPr>
          <w:rFonts w:ascii="Times New Roman" w:hAnsi="Times New Roman" w:cs="Times New Roman"/>
          <w:sz w:val="24"/>
          <w:szCs w:val="24"/>
        </w:rPr>
        <w:t xml:space="preserve"> requirements in the</w:t>
      </w:r>
      <w:r w:rsidR="00B019A1">
        <w:rPr>
          <w:rFonts w:ascii="Times New Roman" w:hAnsi="Times New Roman" w:cs="Times New Roman"/>
          <w:sz w:val="24"/>
          <w:szCs w:val="24"/>
        </w:rPr>
        <w:t xml:space="preserve"> </w:t>
      </w:r>
      <w:r w:rsidR="007011E2">
        <w:rPr>
          <w:rFonts w:ascii="Times New Roman" w:hAnsi="Times New Roman" w:cs="Times New Roman"/>
          <w:sz w:val="24"/>
          <w:szCs w:val="24"/>
        </w:rPr>
        <w:t>RM05-5-027</w:t>
      </w:r>
      <w:r w:rsidR="00262395">
        <w:rPr>
          <w:rFonts w:ascii="Times New Roman" w:hAnsi="Times New Roman" w:cs="Times New Roman"/>
          <w:sz w:val="24"/>
          <w:szCs w:val="24"/>
        </w:rPr>
        <w:t xml:space="preserve"> NOPR</w:t>
      </w:r>
      <w:r w:rsidR="00522ED0">
        <w:rPr>
          <w:rFonts w:ascii="Times New Roman" w:hAnsi="Times New Roman" w:cs="Times New Roman"/>
          <w:sz w:val="24"/>
          <w:szCs w:val="24"/>
        </w:rPr>
        <w:t>.</w:t>
      </w:r>
    </w:p>
    <w:p w14:paraId="79A9722F" w14:textId="77777777" w:rsidR="00FE1D65" w:rsidRDefault="00FE1D65" w:rsidP="00D80FBD">
      <w:pPr>
        <w:spacing w:after="0"/>
        <w:rPr>
          <w:rFonts w:ascii="Times New Roman" w:hAnsi="Times New Roman" w:cs="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D93334" w:rsidRPr="00D93334" w14:paraId="4BED0277" w14:textId="77777777" w:rsidTr="0038405A">
        <w:trPr>
          <w:cantSplit/>
        </w:trPr>
        <w:tc>
          <w:tcPr>
            <w:tcW w:w="9540" w:type="dxa"/>
            <w:gridSpan w:val="6"/>
            <w:tcBorders>
              <w:bottom w:val="single" w:sz="4" w:space="0" w:color="auto"/>
            </w:tcBorders>
            <w:shd w:val="clear" w:color="auto" w:fill="D9D9D9"/>
          </w:tcPr>
          <w:p w14:paraId="02608578" w14:textId="760BD156" w:rsidR="00D93334" w:rsidRPr="00D93334" w:rsidRDefault="00D93334" w:rsidP="00D93334">
            <w:pPr>
              <w:spacing w:after="0" w:line="240" w:lineRule="auto"/>
              <w:jc w:val="center"/>
              <w:rPr>
                <w:rFonts w:ascii="Times New Roman" w:hAnsi="Times New Roman" w:cs="Times New Roman"/>
                <w:b/>
                <w:sz w:val="20"/>
                <w:szCs w:val="20"/>
              </w:rPr>
            </w:pPr>
            <w:r w:rsidRPr="00D93334">
              <w:rPr>
                <w:rFonts w:ascii="Times New Roman" w:hAnsi="Times New Roman" w:cs="Times New Roman"/>
                <w:b/>
                <w:sz w:val="20"/>
                <w:szCs w:val="20"/>
              </w:rPr>
              <w:t>Revisions in NOPR in RM05-5-027</w:t>
            </w:r>
          </w:p>
        </w:tc>
      </w:tr>
      <w:tr w:rsidR="00D93334" w:rsidRPr="00D93334" w14:paraId="148B4BEE" w14:textId="77777777" w:rsidTr="0038405A">
        <w:trPr>
          <w:cantSplit/>
        </w:trPr>
        <w:tc>
          <w:tcPr>
            <w:tcW w:w="1584" w:type="dxa"/>
            <w:shd w:val="clear" w:color="auto" w:fill="D9D9D9"/>
          </w:tcPr>
          <w:p w14:paraId="5E848013" w14:textId="77777777" w:rsidR="00D93334" w:rsidRPr="00D93334" w:rsidRDefault="00D93334" w:rsidP="00D93334">
            <w:pPr>
              <w:spacing w:after="0" w:line="240" w:lineRule="auto"/>
              <w:rPr>
                <w:rFonts w:ascii="Times New Roman" w:hAnsi="Times New Roman" w:cs="Times New Roman"/>
                <w:b/>
                <w:sz w:val="20"/>
                <w:szCs w:val="20"/>
              </w:rPr>
            </w:pPr>
          </w:p>
        </w:tc>
        <w:tc>
          <w:tcPr>
            <w:tcW w:w="1674" w:type="dxa"/>
            <w:shd w:val="clear" w:color="auto" w:fill="D9D9D9"/>
            <w:vAlign w:val="bottom"/>
          </w:tcPr>
          <w:p w14:paraId="1C323883"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No. of Respondents</w:t>
            </w:r>
          </w:p>
          <w:p w14:paraId="4DAECABD"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(1)</w:t>
            </w:r>
          </w:p>
        </w:tc>
        <w:tc>
          <w:tcPr>
            <w:tcW w:w="1584" w:type="dxa"/>
            <w:shd w:val="clear" w:color="auto" w:fill="D9D9D9"/>
            <w:vAlign w:val="bottom"/>
          </w:tcPr>
          <w:p w14:paraId="45A483A2"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Annual No. of Responses Per Respondent</w:t>
            </w:r>
          </w:p>
          <w:p w14:paraId="535AC8EC"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(2)</w:t>
            </w:r>
          </w:p>
        </w:tc>
        <w:tc>
          <w:tcPr>
            <w:tcW w:w="1476" w:type="dxa"/>
            <w:shd w:val="clear" w:color="auto" w:fill="D9D9D9"/>
            <w:vAlign w:val="bottom"/>
          </w:tcPr>
          <w:p w14:paraId="5CDAF53A"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Total No. of Responses (1)*(2)=(3)</w:t>
            </w:r>
          </w:p>
        </w:tc>
        <w:tc>
          <w:tcPr>
            <w:tcW w:w="1584" w:type="dxa"/>
            <w:shd w:val="clear" w:color="auto" w:fill="D9D9D9"/>
            <w:vAlign w:val="bottom"/>
          </w:tcPr>
          <w:p w14:paraId="56FE96B3" w14:textId="525FB203"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Average Burden (Hrs.) &amp; Cost ($) Per Response</w:t>
            </w:r>
            <w:r w:rsidR="00015F6E" w:rsidRPr="00015F6E">
              <w:rPr>
                <w:rFonts w:ascii="Times New Roman" w:hAnsi="Times New Roman" w:cs="Times New Roman"/>
                <w:b/>
                <w:sz w:val="20"/>
                <w:szCs w:val="20"/>
                <w:vertAlign w:val="superscript"/>
              </w:rPr>
              <w:footnoteReference w:id="7"/>
            </w:r>
          </w:p>
          <w:p w14:paraId="7FE828B1"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(4)</w:t>
            </w:r>
          </w:p>
        </w:tc>
        <w:tc>
          <w:tcPr>
            <w:tcW w:w="1638" w:type="dxa"/>
            <w:shd w:val="clear" w:color="auto" w:fill="D9D9D9"/>
            <w:vAlign w:val="bottom"/>
          </w:tcPr>
          <w:p w14:paraId="086DFC13"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Total Annual Burden Hrs. &amp; Total Annual Cost ($)</w:t>
            </w:r>
          </w:p>
          <w:p w14:paraId="7E6C1C6C"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(3)*(4)=(5)</w:t>
            </w:r>
          </w:p>
        </w:tc>
      </w:tr>
      <w:tr w:rsidR="00D93334" w:rsidRPr="00D93334" w14:paraId="39922F01" w14:textId="77777777" w:rsidTr="0038405A">
        <w:trPr>
          <w:cantSplit/>
        </w:trPr>
        <w:tc>
          <w:tcPr>
            <w:tcW w:w="1584" w:type="dxa"/>
          </w:tcPr>
          <w:p w14:paraId="3EECA42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FERC-516E</w:t>
            </w:r>
            <w:r w:rsidRPr="00D93334">
              <w:rPr>
                <w:rFonts w:ascii="Times New Roman" w:hAnsi="Times New Roman" w:cs="Times New Roman"/>
                <w:b/>
                <w:sz w:val="20"/>
                <w:szCs w:val="20"/>
                <w:vertAlign w:val="superscript"/>
              </w:rPr>
              <w:footnoteReference w:id="8"/>
            </w:r>
            <w:r w:rsidRPr="00D93334">
              <w:rPr>
                <w:rFonts w:ascii="Times New Roman" w:hAnsi="Times New Roman" w:cs="Times New Roman"/>
                <w:sz w:val="20"/>
                <w:szCs w:val="20"/>
              </w:rPr>
              <w:t xml:space="preserve">, </w:t>
            </w:r>
            <w:r w:rsidRPr="00D93334">
              <w:rPr>
                <w:rFonts w:ascii="Times New Roman" w:hAnsi="Times New Roman" w:cs="Times New Roman"/>
                <w:b/>
                <w:sz w:val="20"/>
                <w:szCs w:val="20"/>
                <w:vertAlign w:val="superscript"/>
              </w:rPr>
              <w:footnoteReference w:id="9"/>
            </w:r>
          </w:p>
          <w:p w14:paraId="17616872"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(tariff filing)</w:t>
            </w:r>
          </w:p>
        </w:tc>
        <w:tc>
          <w:tcPr>
            <w:tcW w:w="1674" w:type="dxa"/>
          </w:tcPr>
          <w:p w14:paraId="0EF0AAD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41D5DFC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w:t>
            </w:r>
          </w:p>
        </w:tc>
        <w:tc>
          <w:tcPr>
            <w:tcW w:w="1476" w:type="dxa"/>
          </w:tcPr>
          <w:p w14:paraId="44F5C20F"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23229636"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6 hrs.;</w:t>
            </w:r>
          </w:p>
          <w:p w14:paraId="00E96A84"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$474</w:t>
            </w:r>
          </w:p>
        </w:tc>
        <w:tc>
          <w:tcPr>
            <w:tcW w:w="1638" w:type="dxa"/>
          </w:tcPr>
          <w:p w14:paraId="15A7F5B7"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990 hrs.;</w:t>
            </w:r>
          </w:p>
          <w:p w14:paraId="678A23F4"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$78,210</w:t>
            </w:r>
          </w:p>
        </w:tc>
      </w:tr>
      <w:tr w:rsidR="00D93334" w:rsidRPr="00D93334" w14:paraId="7EC43BC2" w14:textId="77777777" w:rsidTr="0038405A">
        <w:trPr>
          <w:cantSplit/>
        </w:trPr>
        <w:tc>
          <w:tcPr>
            <w:tcW w:w="1584" w:type="dxa"/>
          </w:tcPr>
          <w:p w14:paraId="382215FA"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FERC-717</w:t>
            </w:r>
          </w:p>
          <w:p w14:paraId="0EB1DEC8"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(compliance with standards)</w:t>
            </w:r>
            <w:r w:rsidRPr="00D93334">
              <w:rPr>
                <w:rFonts w:ascii="Times New Roman" w:hAnsi="Times New Roman" w:cs="Times New Roman"/>
                <w:b/>
                <w:sz w:val="20"/>
                <w:szCs w:val="20"/>
                <w:vertAlign w:val="superscript"/>
              </w:rPr>
              <w:footnoteReference w:id="10"/>
            </w:r>
          </w:p>
        </w:tc>
        <w:tc>
          <w:tcPr>
            <w:tcW w:w="1674" w:type="dxa"/>
          </w:tcPr>
          <w:p w14:paraId="58BC52A8"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4BBBD31E"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w:t>
            </w:r>
          </w:p>
        </w:tc>
        <w:tc>
          <w:tcPr>
            <w:tcW w:w="1476" w:type="dxa"/>
          </w:tcPr>
          <w:p w14:paraId="7F9F08CD"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p w14:paraId="132197B0" w14:textId="77777777" w:rsidR="00D93334" w:rsidRPr="00D93334" w:rsidRDefault="00D93334" w:rsidP="00D93334">
            <w:pPr>
              <w:spacing w:after="0" w:line="240" w:lineRule="auto"/>
              <w:rPr>
                <w:rFonts w:ascii="Times New Roman" w:hAnsi="Times New Roman" w:cs="Times New Roman"/>
                <w:sz w:val="20"/>
                <w:szCs w:val="20"/>
              </w:rPr>
            </w:pPr>
          </w:p>
        </w:tc>
        <w:tc>
          <w:tcPr>
            <w:tcW w:w="1584" w:type="dxa"/>
          </w:tcPr>
          <w:p w14:paraId="0AC4EE1E"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30 hrs.;</w:t>
            </w:r>
            <w:r w:rsidRPr="00D93334">
              <w:rPr>
                <w:rFonts w:ascii="Times New Roman" w:hAnsi="Times New Roman" w:cs="Times New Roman"/>
                <w:b/>
                <w:sz w:val="20"/>
                <w:szCs w:val="20"/>
                <w:vertAlign w:val="superscript"/>
              </w:rPr>
              <w:footnoteReference w:id="11"/>
            </w:r>
          </w:p>
          <w:p w14:paraId="3FEFAAB3"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$2,370</w:t>
            </w:r>
          </w:p>
        </w:tc>
        <w:tc>
          <w:tcPr>
            <w:tcW w:w="1638" w:type="dxa"/>
          </w:tcPr>
          <w:p w14:paraId="68745889"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4,950 hrs.;</w:t>
            </w:r>
          </w:p>
          <w:p w14:paraId="527572DC"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$391,050</w:t>
            </w:r>
          </w:p>
        </w:tc>
      </w:tr>
      <w:tr w:rsidR="00D93334" w:rsidRPr="00D93334" w14:paraId="7BC6C749" w14:textId="77777777" w:rsidTr="0038405A">
        <w:trPr>
          <w:cantSplit/>
        </w:trPr>
        <w:tc>
          <w:tcPr>
            <w:tcW w:w="1584" w:type="dxa"/>
          </w:tcPr>
          <w:p w14:paraId="49357983"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b/>
                <w:sz w:val="20"/>
                <w:szCs w:val="20"/>
              </w:rPr>
              <w:t>TOTAL</w:t>
            </w:r>
          </w:p>
        </w:tc>
        <w:tc>
          <w:tcPr>
            <w:tcW w:w="3258" w:type="dxa"/>
            <w:gridSpan w:val="2"/>
            <w:shd w:val="clear" w:color="auto" w:fill="BFBFBF" w:themeFill="background1" w:themeFillShade="BF"/>
          </w:tcPr>
          <w:p w14:paraId="23837022" w14:textId="77777777" w:rsidR="00D93334" w:rsidRPr="00D93334" w:rsidRDefault="00D93334" w:rsidP="00D93334">
            <w:pPr>
              <w:spacing w:after="0" w:line="240" w:lineRule="auto"/>
              <w:rPr>
                <w:rFonts w:ascii="Times New Roman" w:hAnsi="Times New Roman" w:cs="Times New Roman"/>
                <w:sz w:val="20"/>
                <w:szCs w:val="20"/>
              </w:rPr>
            </w:pPr>
          </w:p>
        </w:tc>
        <w:tc>
          <w:tcPr>
            <w:tcW w:w="1476" w:type="dxa"/>
          </w:tcPr>
          <w:p w14:paraId="04717E27"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330</w:t>
            </w:r>
          </w:p>
        </w:tc>
        <w:tc>
          <w:tcPr>
            <w:tcW w:w="1584" w:type="dxa"/>
            <w:shd w:val="clear" w:color="auto" w:fill="FFFFFF" w:themeFill="background1"/>
          </w:tcPr>
          <w:p w14:paraId="110161AE" w14:textId="77777777" w:rsidR="00D93334" w:rsidRPr="00D93334" w:rsidRDefault="00D93334" w:rsidP="00D93334">
            <w:pPr>
              <w:spacing w:after="0" w:line="240" w:lineRule="auto"/>
              <w:rPr>
                <w:rFonts w:ascii="Times New Roman" w:hAnsi="Times New Roman" w:cs="Times New Roman"/>
                <w:sz w:val="20"/>
                <w:szCs w:val="20"/>
              </w:rPr>
            </w:pPr>
          </w:p>
        </w:tc>
        <w:tc>
          <w:tcPr>
            <w:tcW w:w="1638" w:type="dxa"/>
          </w:tcPr>
          <w:p w14:paraId="7D0D1CEF"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5,940 hrs.;</w:t>
            </w:r>
          </w:p>
          <w:p w14:paraId="7B1BFD06"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$469,260</w:t>
            </w:r>
          </w:p>
        </w:tc>
      </w:tr>
    </w:tbl>
    <w:p w14:paraId="16B86E06" w14:textId="77777777" w:rsidR="008D310F" w:rsidRDefault="008D310F" w:rsidP="008D310F">
      <w:pPr>
        <w:spacing w:after="0"/>
        <w:rPr>
          <w:rFonts w:ascii="Times New Roman" w:hAnsi="Times New Roman" w:cs="Times New Roman"/>
          <w:sz w:val="24"/>
          <w:szCs w:val="24"/>
        </w:rPr>
      </w:pPr>
    </w:p>
    <w:p w14:paraId="12037933" w14:textId="369879DD" w:rsidR="00D93334" w:rsidRPr="00D93334" w:rsidRDefault="00D93334" w:rsidP="007011E2">
      <w:pPr>
        <w:spacing w:after="0"/>
        <w:rPr>
          <w:rFonts w:ascii="Times New Roman" w:hAnsi="Times New Roman" w:cs="Times New Roman"/>
          <w:sz w:val="24"/>
          <w:szCs w:val="24"/>
        </w:rPr>
      </w:pPr>
      <w:r w:rsidRPr="00D93334">
        <w:rPr>
          <w:rFonts w:ascii="Times New Roman" w:hAnsi="Times New Roman" w:cs="Times New Roman"/>
          <w:sz w:val="24"/>
          <w:szCs w:val="24"/>
        </w:rPr>
        <w:t>The one-time burden for the FERC-516E information collection will be averaged over three years:</w:t>
      </w:r>
      <w:r w:rsidR="007011E2">
        <w:rPr>
          <w:rFonts w:ascii="Times New Roman" w:hAnsi="Times New Roman" w:cs="Times New Roman"/>
          <w:sz w:val="24"/>
          <w:szCs w:val="24"/>
        </w:rPr>
        <w:t xml:space="preserve"> </w:t>
      </w:r>
      <w:r w:rsidRPr="00D93334">
        <w:rPr>
          <w:rFonts w:ascii="Times New Roman" w:hAnsi="Times New Roman" w:cs="Times New Roman"/>
          <w:sz w:val="24"/>
          <w:szCs w:val="24"/>
        </w:rPr>
        <w:t>990 hours ÷ 3 = 330 hours/year over three years</w:t>
      </w:r>
    </w:p>
    <w:p w14:paraId="0FDC3BC1" w14:textId="77777777" w:rsidR="002B295E" w:rsidRPr="00D80FBD" w:rsidRDefault="002B295E" w:rsidP="008D310F">
      <w:pPr>
        <w:spacing w:after="0"/>
        <w:rPr>
          <w:rFonts w:ascii="Times New Roman" w:hAnsi="Times New Roman" w:cs="Times New Roman"/>
          <w:sz w:val="24"/>
          <w:szCs w:val="24"/>
        </w:rPr>
      </w:pPr>
    </w:p>
    <w:p w14:paraId="6FBC911D"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BC911E" w14:textId="77777777" w:rsidR="00E636D7" w:rsidRDefault="00E636D7" w:rsidP="00E636D7">
      <w:pPr>
        <w:spacing w:after="0"/>
        <w:rPr>
          <w:rFonts w:ascii="Times New Roman" w:hAnsi="Times New Roman" w:cs="Times New Roman"/>
          <w:sz w:val="24"/>
          <w:szCs w:val="24"/>
        </w:rPr>
      </w:pPr>
    </w:p>
    <w:p w14:paraId="5F00C385" w14:textId="56C9BE1A"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 eith</w:t>
      </w:r>
      <w:r>
        <w:rPr>
          <w:rFonts w:ascii="Times New Roman" w:hAnsi="Times New Roman" w:cs="Times New Roman"/>
          <w:sz w:val="24"/>
          <w:szCs w:val="24"/>
        </w:rPr>
        <w:t>er the FERC-516</w:t>
      </w:r>
      <w:r w:rsidR="00E27F8F">
        <w:rPr>
          <w:rFonts w:ascii="Times New Roman" w:hAnsi="Times New Roman" w:cs="Times New Roman"/>
          <w:sz w:val="24"/>
          <w:szCs w:val="24"/>
        </w:rPr>
        <w:t>E</w:t>
      </w:r>
      <w:r>
        <w:rPr>
          <w:rFonts w:ascii="Times New Roman" w:hAnsi="Times New Roman" w:cs="Times New Roman"/>
          <w:sz w:val="24"/>
          <w:szCs w:val="24"/>
        </w:rPr>
        <w:t xml:space="preserve"> or the FERC-717</w:t>
      </w:r>
      <w:r w:rsidRPr="0074195A">
        <w:rPr>
          <w:rFonts w:ascii="Times New Roman" w:hAnsi="Times New Roman" w:cs="Times New Roman"/>
          <w:sz w:val="24"/>
          <w:szCs w:val="24"/>
        </w:rPr>
        <w:t>.</w:t>
      </w:r>
    </w:p>
    <w:p w14:paraId="3B59C119" w14:textId="77777777" w:rsidR="0074195A" w:rsidRPr="0074195A" w:rsidRDefault="0074195A" w:rsidP="0074195A">
      <w:pPr>
        <w:spacing w:after="0"/>
        <w:rPr>
          <w:rFonts w:ascii="Times New Roman" w:hAnsi="Times New Roman" w:cs="Times New Roman"/>
          <w:sz w:val="24"/>
          <w:szCs w:val="24"/>
        </w:rPr>
      </w:pPr>
    </w:p>
    <w:p w14:paraId="6FBC911F" w14:textId="1999F922"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774881">
        <w:rPr>
          <w:rFonts w:ascii="Times New Roman" w:hAnsi="Times New Roman" w:cs="Times New Roman"/>
          <w:sz w:val="24"/>
          <w:szCs w:val="24"/>
        </w:rPr>
        <w:t>NOPR</w:t>
      </w:r>
      <w:r w:rsidRPr="0074195A">
        <w:rPr>
          <w:rFonts w:ascii="Times New Roman" w:hAnsi="Times New Roman" w:cs="Times New Roman"/>
          <w:sz w:val="24"/>
          <w:szCs w:val="24"/>
        </w:rPr>
        <w:t xml:space="preserve"> are associated with labor and ar</w:t>
      </w:r>
      <w:r>
        <w:rPr>
          <w:rFonts w:ascii="Times New Roman" w:hAnsi="Times New Roman" w:cs="Times New Roman"/>
          <w:sz w:val="24"/>
          <w:szCs w:val="24"/>
        </w:rPr>
        <w:t>e not shown in ROCIS metadata.</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6FBC9123" w14:textId="3E3F7E4F"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630A34">
        <w:rPr>
          <w:rFonts w:ascii="Times New Roman" w:hAnsi="Times New Roman" w:cs="Times New Roman"/>
          <w:sz w:val="24"/>
          <w:szCs w:val="24"/>
        </w:rPr>
        <w:t xml:space="preserve">, as related to the requirements in the </w:t>
      </w:r>
      <w:r w:rsidR="00C41C13">
        <w:rPr>
          <w:rFonts w:ascii="Times New Roman" w:hAnsi="Times New Roman" w:cs="Times New Roman"/>
          <w:sz w:val="24"/>
          <w:szCs w:val="24"/>
        </w:rPr>
        <w:t>NOPR</w:t>
      </w:r>
      <w:r w:rsidR="00D93334">
        <w:rPr>
          <w:rFonts w:ascii="Times New Roman" w:hAnsi="Times New Roman" w:cs="Times New Roman"/>
          <w:sz w:val="24"/>
          <w:szCs w:val="24"/>
        </w:rPr>
        <w:t xml:space="preserve"> in RM05-5-027</w:t>
      </w:r>
      <w:r w:rsidRPr="00630A34">
        <w:rPr>
          <w:rFonts w:ascii="Times New Roman" w:hAnsi="Times New Roman" w:cs="Times New Roman"/>
          <w:sz w:val="24"/>
          <w:szCs w:val="24"/>
        </w:rPr>
        <w:t xml:space="preserve"> follows</w:t>
      </w:r>
      <w:r w:rsidR="00F04AAC">
        <w:rPr>
          <w:rFonts w:ascii="Times New Roman" w:hAnsi="Times New Roman" w:cs="Times New Roman"/>
          <w:sz w:val="24"/>
          <w:szCs w:val="24"/>
        </w:rPr>
        <w:t xml:space="preserve">. </w:t>
      </w:r>
      <w:r w:rsidR="009F0824">
        <w:rPr>
          <w:rFonts w:ascii="Times New Roman" w:hAnsi="Times New Roman" w:cs="Times New Roman"/>
          <w:sz w:val="24"/>
          <w:szCs w:val="24"/>
        </w:rPr>
        <w:t xml:space="preserve"> Please note that the federal cost for FERC-516E is already accounted for in the FERC-516 information collection (OMB Control No. 1902-0096). The federal effort as a result of</w:t>
      </w:r>
      <w:r w:rsidR="007F58A5">
        <w:rPr>
          <w:rFonts w:ascii="Times New Roman" w:hAnsi="Times New Roman" w:cs="Times New Roman"/>
          <w:sz w:val="24"/>
          <w:szCs w:val="24"/>
        </w:rPr>
        <w:t xml:space="preserve"> this</w:t>
      </w:r>
      <w:r w:rsidR="00D93334">
        <w:rPr>
          <w:rFonts w:ascii="Times New Roman" w:hAnsi="Times New Roman" w:cs="Times New Roman"/>
          <w:sz w:val="24"/>
          <w:szCs w:val="24"/>
        </w:rPr>
        <w:t xml:space="preserve"> RM05-5-027</w:t>
      </w:r>
      <w:r w:rsidR="007F58A5">
        <w:rPr>
          <w:rFonts w:ascii="Times New Roman" w:hAnsi="Times New Roman" w:cs="Times New Roman"/>
          <w:sz w:val="24"/>
          <w:szCs w:val="24"/>
        </w:rPr>
        <w:t xml:space="preserve"> NOPR is 2.5 FTEs</w:t>
      </w:r>
      <w:r w:rsidR="00C41C13">
        <w:rPr>
          <w:rFonts w:ascii="Times New Roman" w:hAnsi="Times New Roman" w:cs="Times New Roman"/>
          <w:sz w:val="24"/>
          <w:szCs w:val="24"/>
        </w:rPr>
        <w:t xml:space="preserve"> for analysis and processing of the filings</w:t>
      </w:r>
      <w:r w:rsidR="007F58A5">
        <w:rPr>
          <w:rFonts w:ascii="Times New Roman" w:hAnsi="Times New Roman" w:cs="Times New Roman"/>
          <w:sz w:val="24"/>
          <w:szCs w:val="24"/>
        </w:rPr>
        <w:t>.  This figure replaces the added federal effort i</w:t>
      </w:r>
      <w:r w:rsidR="00155CAC">
        <w:rPr>
          <w:rFonts w:ascii="Times New Roman" w:hAnsi="Times New Roman" w:cs="Times New Roman"/>
          <w:sz w:val="24"/>
          <w:szCs w:val="24"/>
        </w:rPr>
        <w:t>n FERC-516 due to the RM16-6-000</w:t>
      </w:r>
      <w:r w:rsidR="007F58A5">
        <w:rPr>
          <w:rFonts w:ascii="Times New Roman" w:hAnsi="Times New Roman" w:cs="Times New Roman"/>
          <w:sz w:val="24"/>
          <w:szCs w:val="24"/>
        </w:rPr>
        <w:t xml:space="preserve"> Fin</w:t>
      </w:r>
      <w:r w:rsidR="00155CAC">
        <w:rPr>
          <w:rFonts w:ascii="Times New Roman" w:hAnsi="Times New Roman" w:cs="Times New Roman"/>
          <w:sz w:val="24"/>
          <w:szCs w:val="24"/>
        </w:rPr>
        <w:t>al Rule (ICR No. 201710-1902-001</w:t>
      </w:r>
      <w:r w:rsidR="007F58A5">
        <w:rPr>
          <w:rFonts w:ascii="Times New Roman" w:hAnsi="Times New Roman" w:cs="Times New Roman"/>
          <w:sz w:val="24"/>
          <w:szCs w:val="24"/>
        </w:rPr>
        <w:t>).</w:t>
      </w:r>
      <w:r w:rsidR="009F0824">
        <w:rPr>
          <w:rFonts w:ascii="Times New Roman" w:hAnsi="Times New Roman" w:cs="Times New Roman"/>
          <w:sz w:val="24"/>
          <w:szCs w:val="24"/>
        </w:rPr>
        <w:t xml:space="preserve">  In the chart below, </w:t>
      </w:r>
      <w:r w:rsidR="00FC7D7A">
        <w:rPr>
          <w:rFonts w:ascii="Times New Roman" w:hAnsi="Times New Roman" w:cs="Times New Roman"/>
          <w:sz w:val="24"/>
          <w:szCs w:val="24"/>
        </w:rPr>
        <w:t>no federal effort is</w:t>
      </w:r>
      <w:r w:rsidR="009F0824">
        <w:rPr>
          <w:rFonts w:ascii="Times New Roman" w:hAnsi="Times New Roman" w:cs="Times New Roman"/>
          <w:sz w:val="24"/>
          <w:szCs w:val="24"/>
        </w:rPr>
        <w:t xml:space="preserve"> cited for FERC-516E</w:t>
      </w:r>
      <w:r w:rsidR="007F58A5">
        <w:rPr>
          <w:rFonts w:ascii="Times New Roman" w:hAnsi="Times New Roman" w:cs="Times New Roman"/>
          <w:sz w:val="24"/>
          <w:szCs w:val="24"/>
        </w:rPr>
        <w:t xml:space="preserve"> here to avo</w:t>
      </w:r>
      <w:r w:rsidR="00FC7D7A">
        <w:rPr>
          <w:rFonts w:ascii="Times New Roman" w:hAnsi="Times New Roman" w:cs="Times New Roman"/>
          <w:sz w:val="24"/>
          <w:szCs w:val="24"/>
        </w:rPr>
        <w:t>id duplicating federal effort between</w:t>
      </w:r>
      <w:r w:rsidR="007F58A5">
        <w:rPr>
          <w:rFonts w:ascii="Times New Roman" w:hAnsi="Times New Roman" w:cs="Times New Roman"/>
          <w:sz w:val="24"/>
          <w:szCs w:val="24"/>
        </w:rPr>
        <w:t xml:space="preserve"> this temporary collection (FERC-516E) and FERC-516:</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03A36F89" w:rsidR="00630A34" w:rsidRPr="00630A34" w:rsidRDefault="00630A34" w:rsidP="00C41C13">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sidR="00C41C13">
              <w:rPr>
                <w:rFonts w:ascii="Times New Roman" w:hAnsi="Times New Roman" w:cs="Times New Roman"/>
                <w:b/>
                <w:sz w:val="24"/>
                <w:szCs w:val="24"/>
              </w:rPr>
              <w:t xml:space="preserve">Full-Time Equivalent </w:t>
            </w:r>
            <w:r w:rsidRPr="00630A34">
              <w:rPr>
                <w:rFonts w:ascii="Times New Roman" w:hAnsi="Times New Roman" w:cs="Times New Roman"/>
                <w:b/>
                <w:sz w:val="24"/>
                <w:szCs w:val="24"/>
              </w:rPr>
              <w:t>Employees (FTE</w:t>
            </w:r>
            <w:r w:rsidR="00C41C13">
              <w:rPr>
                <w:rFonts w:ascii="Times New Roman" w:hAnsi="Times New Roman" w:cs="Times New Roman"/>
                <w:b/>
                <w:sz w:val="24"/>
                <w:szCs w:val="24"/>
              </w:rPr>
              <w:t>s</w:t>
            </w:r>
            <w:r w:rsidRPr="00630A34">
              <w:rPr>
                <w:rFonts w:ascii="Times New Roman" w:hAnsi="Times New Roman" w:cs="Times New Roman"/>
                <w:b/>
                <w:sz w:val="24"/>
                <w:szCs w:val="24"/>
              </w:rPr>
              <w:t>)</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B34F725"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4BF906EC" w14:textId="381EF05B"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FERC-516</w:t>
            </w:r>
            <w:r w:rsidR="00E27F8F">
              <w:rPr>
                <w:rFonts w:ascii="Times New Roman" w:hAnsi="Times New Roman" w:cs="Times New Roman"/>
                <w:sz w:val="24"/>
                <w:szCs w:val="24"/>
              </w:rPr>
              <w:t>E</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72BE155D" w:rsidR="00630A34" w:rsidRPr="00630A34" w:rsidRDefault="00F04AAC" w:rsidP="00630A34">
            <w:pPr>
              <w:spacing w:after="0"/>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6E21C5CD" w:rsidR="00630A34" w:rsidRPr="00630A34" w:rsidRDefault="00F04AAC" w:rsidP="00FC7D7A">
            <w:pPr>
              <w:spacing w:after="0"/>
              <w:rPr>
                <w:rFonts w:ascii="Times New Roman" w:hAnsi="Times New Roman" w:cs="Times New Roman"/>
                <w:sz w:val="24"/>
                <w:szCs w:val="24"/>
              </w:rPr>
            </w:pPr>
            <w:r>
              <w:rPr>
                <w:rFonts w:ascii="Times New Roman" w:hAnsi="Times New Roman" w:cs="Times New Roman"/>
                <w:sz w:val="24"/>
                <w:szCs w:val="24"/>
              </w:rPr>
              <w:t>-</w:t>
            </w:r>
          </w:p>
        </w:tc>
      </w:tr>
      <w:tr w:rsidR="00630A34" w:rsidRPr="00630A34" w14:paraId="262023DB" w14:textId="77777777" w:rsidTr="00A80014">
        <w:tc>
          <w:tcPr>
            <w:tcW w:w="3182" w:type="dxa"/>
            <w:tcBorders>
              <w:top w:val="single" w:sz="4" w:space="0" w:color="auto"/>
              <w:left w:val="single" w:sz="4" w:space="0" w:color="auto"/>
              <w:bottom w:val="single" w:sz="4" w:space="0" w:color="auto"/>
              <w:right w:val="single" w:sz="4" w:space="0" w:color="auto"/>
            </w:tcBorders>
          </w:tcPr>
          <w:p w14:paraId="5ED82DF7" w14:textId="15F7A376" w:rsid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FERC-717</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53C91C3E"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5BCF23B2" w:rsidR="00630A34" w:rsidRPr="00630A34"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155CAC">
              <w:rPr>
                <w:rFonts w:ascii="Times New Roman" w:hAnsi="Times New Roman" w:cs="Times New Roman"/>
                <w:sz w:val="24"/>
                <w:szCs w:val="24"/>
              </w:rPr>
              <w:t>82,410</w:t>
            </w:r>
          </w:p>
        </w:tc>
      </w:tr>
      <w:tr w:rsidR="00630A34" w:rsidRPr="00857577" w14:paraId="2CFB0721"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29FA1E1C" w14:textId="58469585"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PRA</w:t>
            </w:r>
            <w:bookmarkStart w:id="1" w:name="_Ref399416454"/>
            <w:r w:rsidR="00C41C13">
              <w:rPr>
                <w:rFonts w:ascii="Times New Roman" w:hAnsi="Times New Roman" w:cs="Times New Roman"/>
                <w:sz w:val="24"/>
                <w:szCs w:val="24"/>
              </w:rPr>
              <w:t>,</w:t>
            </w:r>
            <w:bookmarkStart w:id="2" w:name="_Ref457989750"/>
            <w:r w:rsidRPr="00857577">
              <w:rPr>
                <w:rFonts w:ascii="Times New Roman" w:hAnsi="Times New Roman" w:cs="Times New Roman"/>
                <w:sz w:val="24"/>
                <w:szCs w:val="24"/>
                <w:vertAlign w:val="superscript"/>
              </w:rPr>
              <w:footnoteReference w:id="13"/>
            </w:r>
            <w:bookmarkEnd w:id="1"/>
            <w:bookmarkEnd w:id="2"/>
            <w:r w:rsidRPr="00857577">
              <w:rPr>
                <w:rFonts w:ascii="Times New Roman" w:hAnsi="Times New Roman" w:cs="Times New Roman"/>
                <w:sz w:val="24"/>
                <w:szCs w:val="24"/>
              </w:rPr>
              <w:t xml:space="preserve"> Administrative Cost</w:t>
            </w:r>
            <w:r w:rsidR="00857577">
              <w:rPr>
                <w:rFonts w:ascii="Times New Roman" w:hAnsi="Times New Roman" w:cs="Times New Roman"/>
                <w:sz w:val="24"/>
                <w:szCs w:val="24"/>
              </w:rPr>
              <w:t xml:space="preserve"> (for FERC-516</w:t>
            </w:r>
            <w:r w:rsidR="00E27F8F">
              <w:rPr>
                <w:rFonts w:ascii="Times New Roman" w:hAnsi="Times New Roman" w:cs="Times New Roman"/>
                <w:sz w:val="24"/>
                <w:szCs w:val="24"/>
              </w:rPr>
              <w:t>E</w:t>
            </w:r>
            <w:r w:rsidR="00857577">
              <w:rPr>
                <w:rFonts w:ascii="Times New Roman" w:hAnsi="Times New Roman" w:cs="Times New Roman"/>
                <w:sz w:val="24"/>
                <w:szCs w:val="24"/>
              </w:rPr>
              <w: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B61DF93"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4CB0E93" w14:textId="353CA651" w:rsidR="00630A34"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D93334">
              <w:rPr>
                <w:rFonts w:ascii="Times New Roman" w:hAnsi="Times New Roman" w:cs="Times New Roman"/>
                <w:sz w:val="24"/>
                <w:szCs w:val="24"/>
              </w:rPr>
              <w:t>4,931</w:t>
            </w:r>
          </w:p>
        </w:tc>
      </w:tr>
      <w:tr w:rsidR="00857577" w:rsidRPr="00857577" w14:paraId="7CFA3F7B" w14:textId="77777777" w:rsidTr="00A80014">
        <w:tc>
          <w:tcPr>
            <w:tcW w:w="3182" w:type="dxa"/>
            <w:tcBorders>
              <w:top w:val="single" w:sz="4" w:space="0" w:color="auto"/>
              <w:left w:val="single" w:sz="4" w:space="0" w:color="auto"/>
              <w:bottom w:val="single" w:sz="4" w:space="0" w:color="auto"/>
              <w:right w:val="single" w:sz="4" w:space="0" w:color="auto"/>
            </w:tcBorders>
          </w:tcPr>
          <w:p w14:paraId="6E97BC7A" w14:textId="42F751E9" w:rsidR="00857577" w:rsidRPr="00857577" w:rsidRDefault="00857577" w:rsidP="00774881">
            <w:pPr>
              <w:spacing w:after="0"/>
              <w:rPr>
                <w:rFonts w:ascii="Times New Roman" w:hAnsi="Times New Roman" w:cs="Times New Roman"/>
                <w:sz w:val="24"/>
                <w:szCs w:val="24"/>
              </w:rPr>
            </w:pPr>
            <w:r>
              <w:rPr>
                <w:rFonts w:ascii="Times New Roman" w:hAnsi="Times New Roman" w:cs="Times New Roman"/>
                <w:sz w:val="24"/>
                <w:szCs w:val="24"/>
              </w:rPr>
              <w:t>PRA</w:t>
            </w:r>
            <w:r w:rsidR="00C41C13">
              <w:rPr>
                <w:rFonts w:ascii="Times New Roman" w:hAnsi="Times New Roman" w:cs="Times New Roman"/>
                <w:sz w:val="24"/>
                <w:szCs w:val="24"/>
              </w:rPr>
              <w:t>,</w:t>
            </w:r>
            <w:r w:rsidR="00774881">
              <w:rPr>
                <w:rFonts w:ascii="Times New Roman" w:hAnsi="Times New Roman" w:cs="Times New Roman"/>
                <w:sz w:val="24"/>
                <w:szCs w:val="24"/>
                <w:vertAlign w:val="superscript"/>
              </w:rPr>
              <w:fldChar w:fldCharType="begin"/>
            </w:r>
            <w:r w:rsidR="00774881">
              <w:rPr>
                <w:rFonts w:ascii="Times New Roman" w:hAnsi="Times New Roman" w:cs="Times New Roman"/>
                <w:sz w:val="24"/>
                <w:szCs w:val="24"/>
                <w:vertAlign w:val="superscript"/>
              </w:rPr>
              <w:instrText xml:space="preserve"> NOTEREF _Ref457989750 \h </w:instrText>
            </w:r>
            <w:r w:rsidR="00774881">
              <w:rPr>
                <w:rFonts w:ascii="Times New Roman" w:hAnsi="Times New Roman" w:cs="Times New Roman"/>
                <w:sz w:val="24"/>
                <w:szCs w:val="24"/>
                <w:vertAlign w:val="superscript"/>
              </w:rPr>
            </w:r>
            <w:r w:rsidR="00774881">
              <w:rPr>
                <w:rFonts w:ascii="Times New Roman" w:hAnsi="Times New Roman" w:cs="Times New Roman"/>
                <w:sz w:val="24"/>
                <w:szCs w:val="24"/>
                <w:vertAlign w:val="superscript"/>
              </w:rPr>
              <w:fldChar w:fldCharType="separate"/>
            </w:r>
            <w:r w:rsidR="00774881">
              <w:rPr>
                <w:rFonts w:ascii="Times New Roman" w:hAnsi="Times New Roman" w:cs="Times New Roman"/>
                <w:sz w:val="24"/>
                <w:szCs w:val="24"/>
                <w:vertAlign w:val="superscript"/>
              </w:rPr>
              <w:t>12</w:t>
            </w:r>
            <w:r w:rsidR="0077488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Administrative Cost (for FERC-717</w:t>
            </w:r>
            <w:r w:rsidR="00C41C13">
              <w:rPr>
                <w:rFonts w:ascii="Times New Roman" w:hAnsi="Times New Roman" w:cs="Times New Roman"/>
                <w:sz w:val="24"/>
                <w:szCs w:val="24"/>
              </w:rPr>
              <w:t>)</w:t>
            </w:r>
          </w:p>
        </w:tc>
        <w:tc>
          <w:tcPr>
            <w:tcW w:w="320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E2677F9" w14:textId="77777777" w:rsidR="00857577" w:rsidRPr="00857577" w:rsidRDefault="00857577"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4D57BC7" w14:textId="12B4E61B" w:rsidR="00857577"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D93334">
              <w:rPr>
                <w:rFonts w:ascii="Times New Roman" w:hAnsi="Times New Roman" w:cs="Times New Roman"/>
                <w:sz w:val="24"/>
                <w:szCs w:val="24"/>
              </w:rPr>
              <w:t>4,931</w:t>
            </w:r>
          </w:p>
        </w:tc>
      </w:tr>
      <w:tr w:rsidR="00630A34" w:rsidRPr="00857577" w14:paraId="29F0C4D2"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354D3BDB" w14:textId="77777777" w:rsidR="00630A34" w:rsidRPr="00857577" w:rsidRDefault="00630A3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033E"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1CF54B1" w14:textId="788290E2"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w:t>
            </w:r>
            <w:r w:rsidR="00155CAC">
              <w:rPr>
                <w:rFonts w:ascii="Times New Roman" w:hAnsi="Times New Roman" w:cs="Times New Roman"/>
                <w:sz w:val="24"/>
                <w:szCs w:val="24"/>
              </w:rPr>
              <w:t>92,272</w:t>
            </w:r>
          </w:p>
        </w:tc>
      </w:tr>
    </w:tbl>
    <w:p w14:paraId="64E41800" w14:textId="77777777" w:rsidR="00630A34" w:rsidRPr="00857577" w:rsidRDefault="00630A34" w:rsidP="00A276F5">
      <w:pPr>
        <w:spacing w:after="0"/>
        <w:rPr>
          <w:rFonts w:ascii="Times New Roman" w:hAnsi="Times New Roman" w:cs="Times New Roman"/>
          <w:sz w:val="24"/>
          <w:szCs w:val="24"/>
        </w:rPr>
      </w:pPr>
    </w:p>
    <w:p w14:paraId="0B3F5954" w14:textId="3DDA30CE" w:rsidR="00FB74C2" w:rsidRPr="006B437C" w:rsidRDefault="00FB74C2" w:rsidP="00FB74C2">
      <w:pPr>
        <w:spacing w:after="0"/>
        <w:rPr>
          <w:rFonts w:ascii="Times New Roman" w:hAnsi="Times New Roman" w:cs="Times New Roman"/>
          <w:sz w:val="24"/>
          <w:szCs w:val="24"/>
        </w:rPr>
      </w:pPr>
      <w:r w:rsidRPr="00857577">
        <w:rPr>
          <w:rFonts w:ascii="Times New Roman" w:hAnsi="Times New Roman" w:cs="Times New Roman"/>
          <w:sz w:val="24"/>
          <w:szCs w:val="24"/>
        </w:rPr>
        <w:t>Based on the above table, the total additional Federal C</w:t>
      </w:r>
      <w:r w:rsidR="00FC7D7A">
        <w:rPr>
          <w:rFonts w:ascii="Times New Roman" w:hAnsi="Times New Roman" w:cs="Times New Roman"/>
          <w:sz w:val="24"/>
          <w:szCs w:val="24"/>
        </w:rPr>
        <w:t>ost for</w:t>
      </w:r>
      <w:r w:rsidRPr="00857577">
        <w:rPr>
          <w:rFonts w:ascii="Times New Roman" w:hAnsi="Times New Roman" w:cs="Times New Roman"/>
          <w:sz w:val="24"/>
          <w:szCs w:val="24"/>
        </w:rPr>
        <w:t xml:space="preserve"> the FERC-717 </w:t>
      </w:r>
      <w:r w:rsidR="00155CAC">
        <w:rPr>
          <w:rFonts w:ascii="Times New Roman" w:hAnsi="Times New Roman" w:cs="Times New Roman"/>
          <w:sz w:val="24"/>
          <w:szCs w:val="24"/>
        </w:rPr>
        <w:t>is $87,341 ($82,410 + $4,931)</w:t>
      </w:r>
      <w:r w:rsidRPr="00857577">
        <w:rPr>
          <w:rFonts w:ascii="Times New Roman" w:hAnsi="Times New Roman" w:cs="Times New Roman"/>
          <w:sz w:val="24"/>
          <w:szCs w:val="24"/>
        </w:rPr>
        <w:t xml:space="preserve">.  </w:t>
      </w:r>
      <w:r w:rsidR="00FC7D7A">
        <w:rPr>
          <w:rFonts w:ascii="Times New Roman" w:hAnsi="Times New Roman" w:cs="Times New Roman"/>
          <w:sz w:val="24"/>
          <w:szCs w:val="24"/>
        </w:rPr>
        <w:t>The only additional cost to FERC-516E will be the</w:t>
      </w:r>
      <w:r w:rsidR="00155CAC">
        <w:rPr>
          <w:rFonts w:ascii="Times New Roman" w:hAnsi="Times New Roman" w:cs="Times New Roman"/>
          <w:sz w:val="24"/>
          <w:szCs w:val="24"/>
        </w:rPr>
        <w:t xml:space="preserve"> PRA administrative cost ($4,931</w:t>
      </w:r>
      <w:r w:rsidR="00FC7D7A">
        <w:rPr>
          <w:rFonts w:ascii="Times New Roman" w:hAnsi="Times New Roman" w:cs="Times New Roman"/>
          <w:sz w:val="24"/>
          <w:szCs w:val="24"/>
        </w:rPr>
        <w:t>)</w:t>
      </w:r>
      <w:r w:rsidR="00FC7D7A" w:rsidRPr="00C92F08">
        <w:rPr>
          <w:rStyle w:val="FootnoteReference"/>
          <w:rFonts w:ascii="Times New Roman" w:hAnsi="Times New Roman" w:cs="Times New Roman"/>
          <w:sz w:val="24"/>
          <w:szCs w:val="24"/>
          <w:vertAlign w:val="superscript"/>
        </w:rPr>
        <w:footnoteReference w:id="14"/>
      </w:r>
      <w:r w:rsidR="00FC7D7A">
        <w:rPr>
          <w:rFonts w:ascii="Times New Roman" w:hAnsi="Times New Roman" w:cs="Times New Roman"/>
          <w:sz w:val="24"/>
          <w:szCs w:val="24"/>
        </w:rPr>
        <w:t xml:space="preserve">.  </w:t>
      </w:r>
      <w:r>
        <w:rPr>
          <w:rFonts w:ascii="Times New Roman" w:hAnsi="Times New Roman" w:cs="Times New Roman"/>
          <w:sz w:val="24"/>
          <w:szCs w:val="24"/>
        </w:rPr>
        <w:t>The FERC total cost for the R</w:t>
      </w:r>
      <w:r w:rsidR="00FC7D7A">
        <w:rPr>
          <w:rFonts w:ascii="Times New Roman" w:hAnsi="Times New Roman" w:cs="Times New Roman"/>
          <w:sz w:val="24"/>
          <w:szCs w:val="24"/>
        </w:rPr>
        <w:t xml:space="preserve">M05-5-025 </w:t>
      </w:r>
      <w:r w:rsidR="00DC7349">
        <w:rPr>
          <w:rFonts w:ascii="Times New Roman" w:hAnsi="Times New Roman" w:cs="Times New Roman"/>
          <w:sz w:val="24"/>
          <w:szCs w:val="24"/>
        </w:rPr>
        <w:t>NOPR</w:t>
      </w:r>
      <w:r w:rsidR="00155CAC">
        <w:rPr>
          <w:rFonts w:ascii="Times New Roman" w:hAnsi="Times New Roman" w:cs="Times New Roman"/>
          <w:sz w:val="24"/>
          <w:szCs w:val="24"/>
        </w:rPr>
        <w:t xml:space="preserve"> is $92,272</w:t>
      </w:r>
      <w:r>
        <w:rPr>
          <w:rFonts w:ascii="Times New Roman" w:hAnsi="Times New Roman" w:cs="Times New Roman"/>
          <w:sz w:val="24"/>
          <w:szCs w:val="24"/>
        </w:rPr>
        <w:t>.</w:t>
      </w:r>
    </w:p>
    <w:p w14:paraId="48BC8A05" w14:textId="77777777" w:rsidR="006B437C" w:rsidRPr="006B437C" w:rsidRDefault="006B437C" w:rsidP="006B437C">
      <w:pPr>
        <w:spacing w:after="0"/>
        <w:rPr>
          <w:rFonts w:ascii="Times New Roman" w:hAnsi="Times New Roman" w:cs="Times New Roman"/>
          <w:sz w:val="24"/>
          <w:szCs w:val="24"/>
        </w:rPr>
      </w:pPr>
    </w:p>
    <w:p w14:paraId="42D17F53" w14:textId="3E5B6EBE"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w:t>
      </w:r>
      <w:r w:rsidR="00C05A45">
        <w:rPr>
          <w:rFonts w:ascii="Times New Roman" w:hAnsi="Times New Roman" w:cs="Times New Roman"/>
          <w:sz w:val="24"/>
          <w:szCs w:val="24"/>
        </w:rPr>
        <w:t>NOPR</w:t>
      </w:r>
      <w:r w:rsidRPr="006B437C">
        <w:rPr>
          <w:rFonts w:ascii="Times New Roman" w:hAnsi="Times New Roman" w:cs="Times New Roman"/>
          <w:sz w:val="24"/>
          <w:szCs w:val="24"/>
        </w:rPr>
        <w:t xml:space="preserve">.  </w:t>
      </w:r>
    </w:p>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11B0F04" w14:textId="77777777" w:rsidR="003316E0" w:rsidRPr="003316E0" w:rsidRDefault="003316E0" w:rsidP="003316E0">
      <w:pPr>
        <w:spacing w:after="0"/>
        <w:rPr>
          <w:rFonts w:ascii="Times New Roman" w:hAnsi="Times New Roman" w:cs="Times New Roman"/>
          <w:sz w:val="24"/>
          <w:szCs w:val="24"/>
        </w:rPr>
      </w:pPr>
    </w:p>
    <w:p w14:paraId="661BFD71" w14:textId="0E6CBE00"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both the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3316E0">
        <w:rPr>
          <w:rFonts w:ascii="Times New Roman" w:hAnsi="Times New Roman" w:cs="Times New Roman"/>
          <w:sz w:val="24"/>
          <w:szCs w:val="24"/>
        </w:rPr>
        <w:t xml:space="preserve"> information collections is increasing so that the industry can implement the new and revised business practice standards adopted by NAESB and </w:t>
      </w:r>
      <w:r w:rsidR="00E27F8F">
        <w:rPr>
          <w:rFonts w:ascii="Times New Roman" w:hAnsi="Times New Roman" w:cs="Times New Roman"/>
          <w:sz w:val="24"/>
          <w:szCs w:val="24"/>
        </w:rPr>
        <w:t>proposed</w:t>
      </w:r>
      <w:r w:rsidRPr="003316E0">
        <w:rPr>
          <w:rFonts w:ascii="Times New Roman" w:hAnsi="Times New Roman" w:cs="Times New Roman"/>
          <w:sz w:val="24"/>
          <w:szCs w:val="24"/>
        </w:rPr>
        <w:t xml:space="preserve"> in the </w:t>
      </w:r>
      <w:r w:rsidR="00E27F8F">
        <w:rPr>
          <w:rFonts w:ascii="Times New Roman" w:hAnsi="Times New Roman" w:cs="Times New Roman"/>
          <w:sz w:val="24"/>
          <w:szCs w:val="24"/>
        </w:rPr>
        <w:t>NOPR</w:t>
      </w:r>
      <w:r w:rsidRPr="003316E0">
        <w:rPr>
          <w:rFonts w:ascii="Times New Roman" w:hAnsi="Times New Roman" w:cs="Times New Roman"/>
          <w:sz w:val="24"/>
          <w:szCs w:val="24"/>
        </w:rPr>
        <w:t xml:space="preserve"> to be incorporated by refe</w:t>
      </w:r>
      <w:r w:rsidR="00E27F8F">
        <w:rPr>
          <w:rFonts w:ascii="Times New Roman" w:hAnsi="Times New Roman" w:cs="Times New Roman"/>
          <w:sz w:val="24"/>
          <w:szCs w:val="24"/>
        </w:rPr>
        <w:t>rence into FERC’s regulations.</w:t>
      </w:r>
    </w:p>
    <w:p w14:paraId="4A1FB19A" w14:textId="77777777" w:rsidR="00D76508" w:rsidRPr="00D76508" w:rsidRDefault="00D76508" w:rsidP="00D76508">
      <w:pPr>
        <w:spacing w:after="0"/>
        <w:rPr>
          <w:rFonts w:ascii="Times New Roman" w:hAnsi="Times New Roman" w:cs="Times New Roman"/>
          <w:sz w:val="24"/>
          <w:szCs w:val="24"/>
        </w:rPr>
      </w:pPr>
    </w:p>
    <w:p w14:paraId="3D5BF4D9" w14:textId="4643BC5C" w:rsidR="00D76508" w:rsidRDefault="00CF4B61" w:rsidP="003316E0">
      <w:pPr>
        <w:spacing w:after="0"/>
        <w:rPr>
          <w:rFonts w:ascii="Times New Roman" w:hAnsi="Times New Roman" w:cs="Times New Roman"/>
          <w:sz w:val="24"/>
          <w:szCs w:val="24"/>
        </w:rPr>
      </w:pPr>
      <w:r w:rsidRPr="00CF4B61">
        <w:rPr>
          <w:rFonts w:ascii="Times New Roman" w:hAnsi="Times New Roman" w:cs="Times New Roman"/>
          <w:sz w:val="24"/>
          <w:szCs w:val="24"/>
        </w:rPr>
        <w:t>The following table shows the total burden for the collection of information.  The format, labels, and definitions of the table follow the ROCIS submission system’s “Information Collection Request Summary of Burden” for the metadata</w:t>
      </w:r>
      <w:r>
        <w:rPr>
          <w:rFonts w:ascii="Times New Roman" w:hAnsi="Times New Roman" w:cs="Times New Roman"/>
          <w:sz w:val="24"/>
          <w:szCs w:val="24"/>
        </w:rPr>
        <w:t>.</w:t>
      </w:r>
    </w:p>
    <w:p w14:paraId="477DF599" w14:textId="77777777" w:rsidR="00CF4B61" w:rsidRDefault="00CF4B61"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7E1670" w14:paraId="2DDAFEBA" w14:textId="77777777" w:rsidTr="00A80014">
        <w:trPr>
          <w:trHeight w:val="870"/>
        </w:trPr>
        <w:tc>
          <w:tcPr>
            <w:tcW w:w="2589" w:type="dxa"/>
            <w:shd w:val="clear" w:color="auto" w:fill="D9D9D9"/>
            <w:vAlign w:val="bottom"/>
          </w:tcPr>
          <w:p w14:paraId="7714C46B" w14:textId="39344B90" w:rsidR="003316E0" w:rsidRPr="007E1670" w:rsidRDefault="00D76508"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FERC-516</w:t>
            </w:r>
            <w:r w:rsidR="00485B06" w:rsidRPr="007E1670">
              <w:rPr>
                <w:rFonts w:ascii="Times New Roman" w:hAnsi="Times New Roman" w:cs="Times New Roman"/>
                <w:b/>
                <w:sz w:val="24"/>
                <w:szCs w:val="24"/>
              </w:rPr>
              <w:t>E</w:t>
            </w:r>
          </w:p>
        </w:tc>
        <w:tc>
          <w:tcPr>
            <w:tcW w:w="1779" w:type="dxa"/>
            <w:shd w:val="clear" w:color="auto" w:fill="D9D9D9"/>
            <w:vAlign w:val="bottom"/>
          </w:tcPr>
          <w:p w14:paraId="72C021F2"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Change Due to Agency Discretion</w:t>
            </w:r>
          </w:p>
        </w:tc>
      </w:tr>
      <w:tr w:rsidR="003316E0" w:rsidRPr="007E1670" w14:paraId="0D5A36AF" w14:textId="77777777" w:rsidTr="00A80014">
        <w:trPr>
          <w:trHeight w:val="591"/>
        </w:trPr>
        <w:tc>
          <w:tcPr>
            <w:tcW w:w="2589" w:type="dxa"/>
          </w:tcPr>
          <w:p w14:paraId="456AFF09" w14:textId="77777777"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Number of Responses</w:t>
            </w:r>
          </w:p>
        </w:tc>
        <w:tc>
          <w:tcPr>
            <w:tcW w:w="1779" w:type="dxa"/>
            <w:vAlign w:val="center"/>
          </w:tcPr>
          <w:p w14:paraId="34C6D177" w14:textId="4450925D"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165</w:t>
            </w:r>
          </w:p>
        </w:tc>
        <w:tc>
          <w:tcPr>
            <w:tcW w:w="1959" w:type="dxa"/>
            <w:vAlign w:val="center"/>
          </w:tcPr>
          <w:p w14:paraId="4A5E89DD" w14:textId="5E5830A3" w:rsidR="003316E0" w:rsidRPr="007E1670" w:rsidRDefault="009B09B9"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27DBAFA4"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31EDDD94" w14:textId="7CFB3E37"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165</w:t>
            </w:r>
          </w:p>
        </w:tc>
      </w:tr>
      <w:tr w:rsidR="003316E0" w:rsidRPr="007E1670" w14:paraId="659E21F0" w14:textId="77777777" w:rsidTr="00A80014">
        <w:trPr>
          <w:trHeight w:val="575"/>
        </w:trPr>
        <w:tc>
          <w:tcPr>
            <w:tcW w:w="2589" w:type="dxa"/>
          </w:tcPr>
          <w:p w14:paraId="58F088BA" w14:textId="62B8C3C0"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Time Burden (Hr</w:t>
            </w:r>
            <w:r w:rsidR="00335D41" w:rsidRPr="007E1670">
              <w:rPr>
                <w:rFonts w:ascii="Times New Roman" w:hAnsi="Times New Roman" w:cs="Times New Roman"/>
                <w:sz w:val="24"/>
                <w:szCs w:val="24"/>
              </w:rPr>
              <w:t>.</w:t>
            </w:r>
            <w:r w:rsidRPr="007E1670">
              <w:rPr>
                <w:rFonts w:ascii="Times New Roman" w:hAnsi="Times New Roman" w:cs="Times New Roman"/>
                <w:sz w:val="24"/>
                <w:szCs w:val="24"/>
              </w:rPr>
              <w:t>)</w:t>
            </w:r>
          </w:p>
        </w:tc>
        <w:tc>
          <w:tcPr>
            <w:tcW w:w="1779" w:type="dxa"/>
            <w:vAlign w:val="center"/>
          </w:tcPr>
          <w:p w14:paraId="1EBA2768" w14:textId="32BD8116"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330</w:t>
            </w:r>
          </w:p>
        </w:tc>
        <w:tc>
          <w:tcPr>
            <w:tcW w:w="1959" w:type="dxa"/>
            <w:vAlign w:val="center"/>
          </w:tcPr>
          <w:p w14:paraId="66868078" w14:textId="02945A70" w:rsidR="003316E0" w:rsidRPr="007E1670" w:rsidRDefault="009B09B9"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50FB6491"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574DFADF" w14:textId="0B20B80B"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330</w:t>
            </w:r>
          </w:p>
        </w:tc>
      </w:tr>
      <w:tr w:rsidR="003316E0" w:rsidRPr="009F6B83" w14:paraId="4D61CA99" w14:textId="77777777" w:rsidTr="00A80014">
        <w:trPr>
          <w:trHeight w:val="295"/>
        </w:trPr>
        <w:tc>
          <w:tcPr>
            <w:tcW w:w="2589" w:type="dxa"/>
          </w:tcPr>
          <w:p w14:paraId="7E88E7B9" w14:textId="77777777"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Cost Burden ($)</w:t>
            </w:r>
          </w:p>
        </w:tc>
        <w:tc>
          <w:tcPr>
            <w:tcW w:w="1779" w:type="dxa"/>
            <w:vAlign w:val="center"/>
          </w:tcPr>
          <w:p w14:paraId="652EA7DB"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959" w:type="dxa"/>
            <w:vAlign w:val="center"/>
          </w:tcPr>
          <w:p w14:paraId="49EA5BF1"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3ED60F28"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35104CDF"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r>
    </w:tbl>
    <w:p w14:paraId="3AAC4ED7" w14:textId="77777777" w:rsidR="003316E0" w:rsidRPr="009F6B83" w:rsidRDefault="003316E0" w:rsidP="003316E0">
      <w:pPr>
        <w:spacing w:after="0"/>
        <w:rPr>
          <w:rFonts w:ascii="Times New Roman" w:hAnsi="Times New Roman" w:cs="Times New Roman"/>
          <w:sz w:val="24"/>
          <w:szCs w:val="24"/>
          <w:highlight w:val="yellow"/>
        </w:rPr>
      </w:pPr>
    </w:p>
    <w:p w14:paraId="34248DBA" w14:textId="77777777" w:rsidR="00D76508" w:rsidRPr="009F6B83" w:rsidRDefault="00D76508" w:rsidP="003316E0">
      <w:pPr>
        <w:spacing w:after="0"/>
        <w:rPr>
          <w:rFonts w:ascii="Times New Roman" w:hAnsi="Times New Roman" w:cs="Times New Roman"/>
          <w:sz w:val="24"/>
          <w:szCs w:val="24"/>
          <w:highlight w:val="yellow"/>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946982" w14:paraId="02505F7A" w14:textId="77777777" w:rsidTr="00A80014">
        <w:trPr>
          <w:trHeight w:val="870"/>
        </w:trPr>
        <w:tc>
          <w:tcPr>
            <w:tcW w:w="2589" w:type="dxa"/>
            <w:shd w:val="clear" w:color="auto" w:fill="D9D9D9"/>
            <w:vAlign w:val="bottom"/>
          </w:tcPr>
          <w:p w14:paraId="221B6F7C" w14:textId="3F2F9AA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FERC-717</w:t>
            </w:r>
          </w:p>
        </w:tc>
        <w:tc>
          <w:tcPr>
            <w:tcW w:w="1779" w:type="dxa"/>
            <w:shd w:val="clear" w:color="auto" w:fill="D9D9D9"/>
            <w:vAlign w:val="bottom"/>
          </w:tcPr>
          <w:p w14:paraId="1190B467"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Change Due to Agency Discretion</w:t>
            </w:r>
          </w:p>
        </w:tc>
      </w:tr>
      <w:tr w:rsidR="00D76508" w:rsidRPr="00946982" w14:paraId="0C4EA704" w14:textId="77777777" w:rsidTr="00A80014">
        <w:trPr>
          <w:trHeight w:val="591"/>
        </w:trPr>
        <w:tc>
          <w:tcPr>
            <w:tcW w:w="2589" w:type="dxa"/>
          </w:tcPr>
          <w:p w14:paraId="606B86E3"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Number of Responses</w:t>
            </w:r>
          </w:p>
        </w:tc>
        <w:tc>
          <w:tcPr>
            <w:tcW w:w="1779" w:type="dxa"/>
            <w:vAlign w:val="center"/>
          </w:tcPr>
          <w:p w14:paraId="18229BD2" w14:textId="2B00BCFF"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335</w:t>
            </w:r>
          </w:p>
        </w:tc>
        <w:tc>
          <w:tcPr>
            <w:tcW w:w="1959" w:type="dxa"/>
            <w:vAlign w:val="center"/>
          </w:tcPr>
          <w:p w14:paraId="02C07A3F" w14:textId="41CC5FE9"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170</w:t>
            </w:r>
          </w:p>
        </w:tc>
        <w:tc>
          <w:tcPr>
            <w:tcW w:w="1683" w:type="dxa"/>
            <w:vAlign w:val="center"/>
          </w:tcPr>
          <w:p w14:paraId="2D1E63C8" w14:textId="0AD33B5D" w:rsidR="00D76508" w:rsidRPr="00946982" w:rsidRDefault="00485B06"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01E6BF89" w14:textId="1D4D9E71"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165</w:t>
            </w:r>
          </w:p>
        </w:tc>
      </w:tr>
      <w:tr w:rsidR="00D76508" w:rsidRPr="00946982" w14:paraId="0C1C0BC2" w14:textId="77777777" w:rsidTr="00A80014">
        <w:trPr>
          <w:trHeight w:val="575"/>
        </w:trPr>
        <w:tc>
          <w:tcPr>
            <w:tcW w:w="2589" w:type="dxa"/>
          </w:tcPr>
          <w:p w14:paraId="4069F96E"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Time Burden (Hr)</w:t>
            </w:r>
          </w:p>
        </w:tc>
        <w:tc>
          <w:tcPr>
            <w:tcW w:w="1779" w:type="dxa"/>
            <w:vAlign w:val="center"/>
          </w:tcPr>
          <w:p w14:paraId="3C92CB8A" w14:textId="12C302F8"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10,050</w:t>
            </w:r>
          </w:p>
        </w:tc>
        <w:tc>
          <w:tcPr>
            <w:tcW w:w="1959" w:type="dxa"/>
            <w:vAlign w:val="center"/>
          </w:tcPr>
          <w:p w14:paraId="66974ED6" w14:textId="506C5ACB"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5,100</w:t>
            </w:r>
          </w:p>
        </w:tc>
        <w:tc>
          <w:tcPr>
            <w:tcW w:w="1683" w:type="dxa"/>
            <w:vAlign w:val="center"/>
          </w:tcPr>
          <w:p w14:paraId="55B8628C" w14:textId="5D3F1E74" w:rsidR="00D76508" w:rsidRPr="00946982" w:rsidRDefault="00485B06"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1DA989E6" w14:textId="75DAD602"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4,950</w:t>
            </w:r>
          </w:p>
        </w:tc>
      </w:tr>
      <w:tr w:rsidR="00D76508" w:rsidRPr="003316E0" w14:paraId="05B9B22E" w14:textId="77777777" w:rsidTr="00A80014">
        <w:trPr>
          <w:trHeight w:val="295"/>
        </w:trPr>
        <w:tc>
          <w:tcPr>
            <w:tcW w:w="2589" w:type="dxa"/>
          </w:tcPr>
          <w:p w14:paraId="2AFBC4BB"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Cost Burden ($)</w:t>
            </w:r>
          </w:p>
        </w:tc>
        <w:tc>
          <w:tcPr>
            <w:tcW w:w="1779" w:type="dxa"/>
            <w:vAlign w:val="center"/>
          </w:tcPr>
          <w:p w14:paraId="17B6F6B4" w14:textId="5ECCE218"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959" w:type="dxa"/>
            <w:vAlign w:val="center"/>
          </w:tcPr>
          <w:p w14:paraId="612316C7" w14:textId="4E1E1CF8"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683" w:type="dxa"/>
            <w:vAlign w:val="center"/>
          </w:tcPr>
          <w:p w14:paraId="1A2DC3C3" w14:textId="29CCCB52"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6FBC912A" w14:textId="7D3A6815"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3A80E0BC" w14:textId="77777777" w:rsidR="00197A36" w:rsidRPr="00414F32" w:rsidRDefault="00197A36"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FBC912C" w14:textId="77777777" w:rsidR="00414F32" w:rsidRDefault="00414F32" w:rsidP="00414F32">
      <w:pPr>
        <w:spacing w:after="0"/>
        <w:rPr>
          <w:rFonts w:ascii="Times New Roman" w:hAnsi="Times New Roman" w:cs="Times New Roman"/>
          <w:sz w:val="24"/>
          <w:szCs w:val="24"/>
        </w:rPr>
      </w:pPr>
    </w:p>
    <w:p w14:paraId="6FBC912D" w14:textId="7CF40394"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Pr>
          <w:rFonts w:ascii="Times New Roman" w:hAnsi="Times New Roman" w:cs="Times New Roman"/>
          <w:sz w:val="24"/>
          <w:szCs w:val="24"/>
        </w:rPr>
        <w:t>affecting FERC-516</w:t>
      </w:r>
      <w:r w:rsidR="009B09B9">
        <w:rPr>
          <w:rFonts w:ascii="Times New Roman" w:hAnsi="Times New Roman" w:cs="Times New Roman"/>
          <w:sz w:val="24"/>
          <w:szCs w:val="24"/>
        </w:rPr>
        <w:t>E</w:t>
      </w:r>
      <w:r>
        <w:rPr>
          <w:rFonts w:ascii="Times New Roman" w:hAnsi="Times New Roman" w:cs="Times New Roman"/>
          <w:sz w:val="24"/>
          <w:szCs w:val="24"/>
        </w:rPr>
        <w:t xml:space="preserve"> and FERC-717</w:t>
      </w:r>
      <w:r w:rsidRPr="00197A36">
        <w:rPr>
          <w:rFonts w:ascii="Times New Roman" w:hAnsi="Times New Roman" w:cs="Times New Roman"/>
          <w:sz w:val="24"/>
          <w:szCs w:val="24"/>
        </w:rPr>
        <w:t xml:space="preserve">. </w:t>
      </w:r>
      <w:r w:rsidR="008A76A0">
        <w:rPr>
          <w:rFonts w:ascii="Times New Roman" w:hAnsi="Times New Roman" w:cs="Times New Roman"/>
          <w:sz w:val="24"/>
          <w:szCs w:val="24"/>
        </w:rPr>
        <w:t xml:space="preserve"> </w:t>
      </w:r>
      <w:r w:rsidRPr="00197A36">
        <w:rPr>
          <w:rFonts w:ascii="Times New Roman" w:hAnsi="Times New Roman" w:cs="Times New Roman"/>
          <w:sz w:val="24"/>
          <w:szCs w:val="24"/>
        </w:rPr>
        <w:t>The substance of the requirements is incorporated by reference into FERC’s regulations at 18 CFR (making the standards mandatory).  However the standards themselves are copyrighted by NAESB, so the OMB Control Numbers and expiration dates are not displayed in the standards.</w:t>
      </w:r>
    </w:p>
    <w:p w14:paraId="136EBB9A" w14:textId="77777777" w:rsidR="00F50384" w:rsidRDefault="00F50384" w:rsidP="00414F32">
      <w:pPr>
        <w:spacing w:after="0"/>
        <w:rPr>
          <w:rFonts w:ascii="Times New Roman" w:hAnsi="Times New Roman" w:cs="Times New Roman"/>
          <w:sz w:val="24"/>
          <w:szCs w:val="24"/>
        </w:rPr>
      </w:pPr>
    </w:p>
    <w:p w14:paraId="623C5206" w14:textId="08E485A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 are available</w:t>
      </w:r>
      <w:r w:rsidRPr="00F50384">
        <w:rPr>
          <w:rFonts w:ascii="Times New Roman" w:hAnsi="Times New Roman" w:cs="Times New Roman"/>
          <w:sz w:val="24"/>
          <w:szCs w:val="24"/>
        </w:rPr>
        <w:t xml:space="preserve"> at </w:t>
      </w:r>
      <w:hyperlink r:id="rId14"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6FBC9131" w14:textId="7963C795"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sectPr w:rsidR="00414F32" w:rsidRPr="007A2F9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4BF01" w14:textId="77777777" w:rsidR="00A55855" w:rsidRDefault="00A55855" w:rsidP="00FD66F1">
      <w:pPr>
        <w:spacing w:after="0" w:line="240" w:lineRule="auto"/>
      </w:pPr>
      <w:r>
        <w:separator/>
      </w:r>
    </w:p>
  </w:endnote>
  <w:endnote w:type="continuationSeparator" w:id="0">
    <w:p w14:paraId="51EE97B3" w14:textId="77777777" w:rsidR="00A55855" w:rsidRDefault="00A5585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99159D">
          <w:rPr>
            <w:noProof/>
          </w:rPr>
          <w:t>1</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728FA" w14:textId="77777777" w:rsidR="00A55855" w:rsidRDefault="00A55855" w:rsidP="00FD66F1">
      <w:pPr>
        <w:spacing w:after="0" w:line="240" w:lineRule="auto"/>
      </w:pPr>
      <w:r>
        <w:separator/>
      </w:r>
    </w:p>
  </w:footnote>
  <w:footnote w:type="continuationSeparator" w:id="0">
    <w:p w14:paraId="4825FA7B" w14:textId="77777777" w:rsidR="00A55855" w:rsidRDefault="00A55855" w:rsidP="00FD66F1">
      <w:pPr>
        <w:spacing w:after="0" w:line="240" w:lineRule="auto"/>
      </w:pPr>
      <w:r>
        <w:continuationSeparator/>
      </w:r>
    </w:p>
  </w:footnote>
  <w:footnote w:id="1">
    <w:p w14:paraId="5056C811" w14:textId="0BA88465" w:rsidR="00994512" w:rsidRDefault="00994512" w:rsidP="00033E72">
      <w:pPr>
        <w:pStyle w:val="FootnoteText"/>
      </w:pPr>
      <w:r w:rsidRPr="00AE188C">
        <w:rPr>
          <w:rStyle w:val="FootnoteReference"/>
          <w:vertAlign w:val="superscript"/>
        </w:rPr>
        <w:footnoteRef/>
      </w:r>
      <w:r w:rsidRPr="00AE188C">
        <w:rPr>
          <w:vertAlign w:val="superscript"/>
        </w:rPr>
        <w:t xml:space="preserve"> </w:t>
      </w:r>
      <w:r w:rsidRPr="00994512">
        <w:t xml:space="preserve">This burden </w:t>
      </w:r>
      <w:r>
        <w:t>should be included in</w:t>
      </w:r>
      <w:r w:rsidRPr="00994512">
        <w:t xml:space="preserve"> “FERC-516”</w:t>
      </w:r>
      <w:r w:rsidR="00815DA7">
        <w:t xml:space="preserve"> (</w:t>
      </w:r>
      <w:r w:rsidRPr="00994512">
        <w:t>OMB Control No. 1902-0096 (Electric Rate Schedules and Tariff Filings)</w:t>
      </w:r>
      <w:r w:rsidR="00815DA7">
        <w:t>)</w:t>
      </w:r>
      <w:r w:rsidRPr="00994512">
        <w:t xml:space="preserve">. However, another unrelated item is pending OMB review </w:t>
      </w:r>
      <w:r w:rsidR="00FA025C">
        <w:t xml:space="preserve">under FERC-516, </w:t>
      </w:r>
      <w:r w:rsidRPr="00994512">
        <w:t xml:space="preserve">and only one item per OMB Control No. may be pending </w:t>
      </w:r>
      <w:r w:rsidR="00815DA7">
        <w:t xml:space="preserve">OMB review </w:t>
      </w:r>
      <w:r w:rsidRPr="00994512">
        <w:t>at a time.  Therefore, to ensure timely submission</w:t>
      </w:r>
      <w:r w:rsidR="00815DA7">
        <w:t xml:space="preserve"> to OMB of this package and the NOPR in RM05-5-025</w:t>
      </w:r>
      <w:r w:rsidRPr="00994512">
        <w:t xml:space="preserve">, Commission staff is using FERC-516E (OMB Control No. TBD), a temporary </w:t>
      </w:r>
      <w:r w:rsidR="00815DA7">
        <w:t xml:space="preserve">“placeholder” </w:t>
      </w:r>
      <w:r w:rsidRPr="00994512">
        <w:t>collection number.</w:t>
      </w:r>
    </w:p>
  </w:footnote>
  <w:footnote w:id="2">
    <w:p w14:paraId="5E79B7EA" w14:textId="6CB51B0B" w:rsidR="00255CCF" w:rsidRPr="00B3159E" w:rsidRDefault="00255CCF" w:rsidP="00033E72">
      <w:pPr>
        <w:pStyle w:val="FootnoteText"/>
      </w:pPr>
      <w:r w:rsidRPr="00B3159E">
        <w:rPr>
          <w:rStyle w:val="FootnoteReference"/>
          <w:vertAlign w:val="superscript"/>
        </w:rPr>
        <w:footnoteRef/>
      </w:r>
      <w:r w:rsidRPr="00B3159E">
        <w:t xml:space="preserve"> 16 U.S.C. 824d(a)</w:t>
      </w:r>
    </w:p>
  </w:footnote>
  <w:footnote w:id="3">
    <w:p w14:paraId="460C666F" w14:textId="77777777" w:rsidR="00F93C78" w:rsidRPr="00194065" w:rsidRDefault="00F93C78" w:rsidP="00033E72">
      <w:pPr>
        <w:spacing w:after="0" w:line="240" w:lineRule="auto"/>
      </w:pPr>
    </w:p>
  </w:footnote>
  <w:footnote w:id="4">
    <w:p w14:paraId="142A56BB" w14:textId="77777777" w:rsidR="00F93C78" w:rsidRPr="00D823B2" w:rsidRDefault="00F93C78" w:rsidP="00033E72">
      <w:pPr>
        <w:widowControl w:val="0"/>
        <w:spacing w:after="0" w:line="240" w:lineRule="auto"/>
      </w:pPr>
    </w:p>
  </w:footnote>
  <w:footnote w:id="5">
    <w:p w14:paraId="01BA7FBB" w14:textId="1C3A13AE" w:rsidR="00D823B2" w:rsidRDefault="00D823B2" w:rsidP="00033E72">
      <w:pPr>
        <w:pStyle w:val="FootnoteText"/>
      </w:pPr>
      <w:r>
        <w:rPr>
          <w:rStyle w:val="FootnoteReference"/>
        </w:rPr>
        <w:footnoteRef/>
      </w:r>
      <w:r>
        <w:t xml:space="preserve"> </w:t>
      </w:r>
      <w:r w:rsidRPr="00D823B2">
        <w:t>WEQ-001-25 addresses the preemption of previously queued short-term requests or reservations by a valid competing request.  WEQ-001-24 addresses the combination of multiple firm PTP Parent Reservations for which they are the owner into a single reservation in accordance with the following requirements</w:t>
      </w:r>
      <w:r w:rsidR="00F93C78">
        <w:t>.</w:t>
      </w:r>
    </w:p>
  </w:footnote>
  <w:footnote w:id="6">
    <w:p w14:paraId="4EE4699E" w14:textId="24BB274D" w:rsidR="00255CCF" w:rsidRPr="00B3159E" w:rsidRDefault="00255CCF" w:rsidP="00033E72">
      <w:pPr>
        <w:pStyle w:val="FootnoteText"/>
      </w:pPr>
      <w:r w:rsidRPr="00B3159E">
        <w:rPr>
          <w:rStyle w:val="FootnoteReference"/>
          <w:vertAlign w:val="superscript"/>
        </w:rPr>
        <w:footnoteRef/>
      </w:r>
      <w:r w:rsidRPr="00B3159E">
        <w:t xml:space="preserve"> </w:t>
      </w:r>
      <w:r w:rsidR="005D235C" w:rsidRPr="00B3159E">
        <w:t xml:space="preserve">This figure constitutes </w:t>
      </w:r>
      <w:r w:rsidR="00B64E4C" w:rsidRPr="00B3159E">
        <w:t>3.8</w:t>
      </w:r>
      <w:r w:rsidRPr="00B3159E">
        <w:t>% of</w:t>
      </w:r>
      <w:r w:rsidR="005D235C" w:rsidRPr="00B3159E">
        <w:t xml:space="preserve"> the</w:t>
      </w:r>
      <w:r w:rsidRPr="00B3159E">
        <w:t xml:space="preserve"> </w:t>
      </w:r>
      <w:r w:rsidR="00D93334">
        <w:t>165</w:t>
      </w:r>
      <w:r w:rsidR="005D235C" w:rsidRPr="00B3159E">
        <w:t xml:space="preserve"> </w:t>
      </w:r>
      <w:r w:rsidRPr="00B3159E">
        <w:t>affected entities</w:t>
      </w:r>
    </w:p>
  </w:footnote>
  <w:footnote w:id="7">
    <w:p w14:paraId="3C3CF8A7" w14:textId="77777777" w:rsidR="00015F6E" w:rsidRPr="00F4168E" w:rsidRDefault="00015F6E" w:rsidP="00015F6E">
      <w:pPr>
        <w:pStyle w:val="FootnoteText"/>
      </w:pPr>
      <w:r w:rsidRPr="00F4168E">
        <w:rPr>
          <w:b/>
          <w:vertAlign w:val="superscript"/>
        </w:rPr>
        <w:footnoteRef/>
      </w:r>
      <w:r w:rsidRPr="00F4168E">
        <w:t xml:space="preserve"> The Commission staff estimates that industry is similarly situated in terms of hourly cost (for wages plus benefits).  Based on the Commission’s FY (Fiscal Year) 2018 average cost (for wages plus benefits), $79.00/hour is used.</w:t>
      </w:r>
    </w:p>
  </w:footnote>
  <w:footnote w:id="8">
    <w:p w14:paraId="13D84252" w14:textId="77777777" w:rsidR="00D93334" w:rsidRPr="00F4168E" w:rsidRDefault="00D93334" w:rsidP="00033E72">
      <w:pPr>
        <w:pStyle w:val="FootnoteText"/>
      </w:pPr>
      <w:r w:rsidRPr="00F4168E">
        <w:rPr>
          <w:b/>
          <w:vertAlign w:val="superscript"/>
        </w:rPr>
        <w:footnoteRef/>
      </w:r>
      <w:r w:rsidRPr="00F4168E">
        <w:t xml:space="preserve"> This burden category is intended for FERC-516, the Commission’s identifier that corresponds to OMB Control No. 1902-0096 (Electric Rate Schedules and Tariff Filings).  However, another unrelated item is pending OMB review using this OMB Control No. and only one item per OMB Control No. may be pending at a time.  Therefore, to ensure timely submission, Commission staff is using FERC-516E (OMB Control No. </w:t>
      </w:r>
      <w:r>
        <w:t>1902-0290</w:t>
      </w:r>
      <w:r w:rsidRPr="00F4168E">
        <w:t>), a temporary collection number.</w:t>
      </w:r>
    </w:p>
  </w:footnote>
  <w:footnote w:id="9">
    <w:p w14:paraId="6A74EE92" w14:textId="77777777" w:rsidR="00D93334" w:rsidRPr="00F4168E" w:rsidRDefault="00D93334" w:rsidP="00033E72">
      <w:pPr>
        <w:pStyle w:val="FootnoteText"/>
      </w:pPr>
      <w:r w:rsidRPr="00F4168E">
        <w:rPr>
          <w:b/>
          <w:vertAlign w:val="superscript"/>
        </w:rPr>
        <w:footnoteRef/>
      </w:r>
      <w:r w:rsidRPr="00F4168E">
        <w:t xml:space="preserve"> These information collection requirements are one-time burden estimates.  After implementation in Year 1, the revision proposed in this NOPR would be complete.</w:t>
      </w:r>
    </w:p>
  </w:footnote>
  <w:footnote w:id="10">
    <w:p w14:paraId="22F14C61" w14:textId="7F11EDA7" w:rsidR="00D93334" w:rsidRPr="00F4168E" w:rsidRDefault="00D93334" w:rsidP="00033E72">
      <w:pPr>
        <w:pStyle w:val="FootnoteText"/>
      </w:pPr>
      <w:r w:rsidRPr="00F4168E">
        <w:rPr>
          <w:b/>
          <w:vertAlign w:val="superscript"/>
        </w:rPr>
        <w:footnoteRef/>
      </w:r>
      <w:r w:rsidRPr="00F4168E">
        <w:t xml:space="preserve"> FERC-717 is the Commission’s identifier that corresponds to OMB control</w:t>
      </w:r>
      <w:r w:rsidR="00015F6E">
        <w:t xml:space="preserve"> N</w:t>
      </w:r>
      <w:r w:rsidRPr="00F4168E">
        <w:t>o. 1902-0173 that identifies the information collection associated with Standards for Business Practices and Communication Protocols for Public Utilities.</w:t>
      </w:r>
    </w:p>
  </w:footnote>
  <w:footnote w:id="11">
    <w:p w14:paraId="1E0BE9F3" w14:textId="77777777" w:rsidR="00D93334" w:rsidRPr="00F4168E" w:rsidRDefault="00D93334" w:rsidP="00033E72">
      <w:pPr>
        <w:pStyle w:val="FootnoteText"/>
      </w:pPr>
      <w:r w:rsidRPr="00F4168E">
        <w:rPr>
          <w:b/>
          <w:vertAlign w:val="superscript"/>
        </w:rPr>
        <w:footnoteRef/>
      </w:r>
      <w:r w:rsidRPr="00F4168E">
        <w:t xml:space="preserve"> The 30-hour estimate was developed in Docket No. RM05-5-013, when the Commission prepared its estimate of the scope of work involved in transitioning to the NAESB Version 002.1 Business Practice Standards.  </w:t>
      </w:r>
      <w:r w:rsidRPr="00F4168E">
        <w:rPr>
          <w:i/>
        </w:rPr>
        <w:t>See</w:t>
      </w:r>
      <w:r w:rsidRPr="00F4168E">
        <w:t xml:space="preserve"> Order No. 676-E,</w:t>
      </w:r>
      <w:r>
        <w:t xml:space="preserve"> 129 FERC    ¶ 61,162 </w:t>
      </w:r>
      <w:r w:rsidRPr="00F4168E">
        <w:t>at P 134.  We have retained the same estimate here, because the scope of the tasks involved in the transition to Version 003.</w:t>
      </w:r>
      <w:r>
        <w:t>2</w:t>
      </w:r>
      <w:r w:rsidRPr="00F4168E">
        <w:t xml:space="preserve"> of the Business Practice Standards is very similar to that for the transition to the Version 003 Standards.</w:t>
      </w:r>
    </w:p>
  </w:footnote>
  <w:footnote w:id="12">
    <w:p w14:paraId="14BB80D0" w14:textId="7C92FD20" w:rsidR="00255CCF" w:rsidRPr="00B3159E" w:rsidRDefault="00255CCF" w:rsidP="00033E72">
      <w:pPr>
        <w:pStyle w:val="FootnoteText"/>
      </w:pPr>
      <w:r w:rsidRPr="00B3159E">
        <w:rPr>
          <w:rStyle w:val="FootnoteReference"/>
          <w:vertAlign w:val="superscript"/>
        </w:rPr>
        <w:footnoteRef/>
      </w:r>
      <w:r w:rsidRPr="00B3159E">
        <w:rPr>
          <w:vertAlign w:val="superscript"/>
        </w:rPr>
        <w:t xml:space="preserve"> </w:t>
      </w:r>
      <w:r w:rsidRPr="00B3159E">
        <w:t>Based upon FERC’s 201</w:t>
      </w:r>
      <w:r w:rsidR="00015F6E">
        <w:t>8</w:t>
      </w:r>
      <w:r w:rsidRPr="00B3159E">
        <w:t xml:space="preserve"> FTE average salary plus benefits ($1</w:t>
      </w:r>
      <w:r w:rsidR="00015F6E">
        <w:t>64,820</w:t>
      </w:r>
      <w:r w:rsidRPr="00B3159E">
        <w:t>)</w:t>
      </w:r>
    </w:p>
  </w:footnote>
  <w:footnote w:id="13">
    <w:p w14:paraId="78495AD7" w14:textId="3D792C6F" w:rsidR="00255CCF" w:rsidRPr="00B3159E" w:rsidRDefault="00255CCF" w:rsidP="00033E72">
      <w:pPr>
        <w:pStyle w:val="FootnoteText"/>
      </w:pPr>
      <w:r w:rsidRPr="00B3159E">
        <w:rPr>
          <w:rStyle w:val="FootnoteReference"/>
          <w:vertAlign w:val="superscript"/>
        </w:rPr>
        <w:footnoteRef/>
      </w:r>
      <w:r w:rsidRPr="00B3159E">
        <w:rPr>
          <w:vertAlign w:val="superscript"/>
        </w:rPr>
        <w:t xml:space="preserve"> </w:t>
      </w:r>
      <w:r w:rsidR="00A13882" w:rsidRPr="00B3159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14">
    <w:p w14:paraId="1A53FBF9" w14:textId="77777777" w:rsidR="00FC7D7A" w:rsidRDefault="00FC7D7A" w:rsidP="00033E72">
      <w:pPr>
        <w:pStyle w:val="FootnoteText"/>
      </w:pPr>
      <w:r w:rsidRPr="00AE188C">
        <w:rPr>
          <w:rStyle w:val="FootnoteReference"/>
          <w:vertAlign w:val="superscript"/>
        </w:rPr>
        <w:footnoteRef/>
      </w:r>
      <w:r>
        <w:t xml:space="preserve"> There is no existing cost for the FERC-516E information collection since it is a new (and temporary) collection. The costs associated with FERC-516E as a result of this NOPR will be added to FERC-516 (OMB Control No. 1902-0096) eventually.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74F1C" w14:textId="03E7B6FD" w:rsidR="00255CCF" w:rsidRDefault="007A4963" w:rsidP="00AD3DE5">
    <w:pPr>
      <w:pStyle w:val="Header"/>
      <w:rPr>
        <w:rFonts w:ascii="Times New Roman" w:hAnsi="Times New Roman" w:cs="Times New Roman"/>
        <w:sz w:val="24"/>
        <w:szCs w:val="24"/>
      </w:rPr>
    </w:pPr>
    <w:r>
      <w:rPr>
        <w:rFonts w:ascii="Times New Roman" w:hAnsi="Times New Roman" w:cs="Times New Roman"/>
        <w:sz w:val="24"/>
        <w:szCs w:val="24"/>
      </w:rPr>
      <w:t>OMB Control Number: 1902-0290</w:t>
    </w:r>
    <w:r w:rsidR="00255CCF">
      <w:rPr>
        <w:rFonts w:ascii="Times New Roman" w:hAnsi="Times New Roman" w:cs="Times New Roman"/>
        <w:sz w:val="24"/>
        <w:szCs w:val="24"/>
      </w:rPr>
      <w:t xml:space="preserve"> (FERC-516</w:t>
    </w:r>
    <w:r w:rsidR="00413730">
      <w:rPr>
        <w:rFonts w:ascii="Times New Roman" w:hAnsi="Times New Roman" w:cs="Times New Roman"/>
        <w:sz w:val="24"/>
        <w:szCs w:val="24"/>
      </w:rPr>
      <w:t>E</w:t>
    </w:r>
    <w:r w:rsidR="00255CCF">
      <w:rPr>
        <w:rFonts w:ascii="Times New Roman" w:hAnsi="Times New Roman" w:cs="Times New Roman"/>
        <w:sz w:val="24"/>
        <w:szCs w:val="24"/>
      </w:rPr>
      <w:t>); 1902-0173 (FERC-717)</w:t>
    </w:r>
  </w:p>
  <w:p w14:paraId="16DE9953" w14:textId="087FFB38" w:rsidR="000B6074" w:rsidRDefault="007A4963" w:rsidP="000B6074">
    <w:pPr>
      <w:pStyle w:val="Header"/>
      <w:rPr>
        <w:rFonts w:ascii="Times New Roman" w:hAnsi="Times New Roman" w:cs="Times New Roman"/>
        <w:sz w:val="24"/>
        <w:szCs w:val="24"/>
      </w:rPr>
    </w:pPr>
    <w:r>
      <w:rPr>
        <w:rFonts w:ascii="Times New Roman" w:hAnsi="Times New Roman" w:cs="Times New Roman"/>
        <w:sz w:val="24"/>
        <w:szCs w:val="24"/>
      </w:rPr>
      <w:t>Docket No. RM05-5-027</w:t>
    </w:r>
    <w:r w:rsidR="000B6074">
      <w:rPr>
        <w:rFonts w:ascii="Times New Roman" w:hAnsi="Times New Roman" w:cs="Times New Roman"/>
        <w:sz w:val="24"/>
        <w:szCs w:val="24"/>
      </w:rPr>
      <w:t xml:space="preserve">, Notice of </w:t>
    </w:r>
    <w:r>
      <w:rPr>
        <w:rFonts w:ascii="Times New Roman" w:hAnsi="Times New Roman" w:cs="Times New Roman"/>
        <w:sz w:val="24"/>
        <w:szCs w:val="24"/>
      </w:rPr>
      <w:t>Proposed Rulemaking (issued 5/16/2019</w:t>
    </w:r>
    <w:r w:rsidR="000B6074">
      <w:rPr>
        <w:rFonts w:ascii="Times New Roman" w:hAnsi="Times New Roman" w:cs="Times New Roman"/>
        <w:sz w:val="24"/>
        <w:szCs w:val="24"/>
      </w:rPr>
      <w:t>)</w:t>
    </w:r>
  </w:p>
  <w:p w14:paraId="447CC386" w14:textId="196B1A3C" w:rsidR="007D0FC9" w:rsidRPr="00FD66F1" w:rsidRDefault="007A4963" w:rsidP="00AD3DE5">
    <w:pPr>
      <w:pStyle w:val="Header"/>
      <w:rPr>
        <w:rFonts w:ascii="Times New Roman" w:hAnsi="Times New Roman" w:cs="Times New Roman"/>
        <w:sz w:val="24"/>
        <w:szCs w:val="24"/>
      </w:rPr>
    </w:pPr>
    <w:r>
      <w:rPr>
        <w:rFonts w:ascii="Times New Roman" w:hAnsi="Times New Roman" w:cs="Times New Roman"/>
        <w:sz w:val="24"/>
        <w:szCs w:val="24"/>
      </w:rPr>
      <w:t>RIN</w:t>
    </w:r>
    <w:r w:rsidRPr="00D823B2">
      <w:rPr>
        <w:rFonts w:ascii="Times New Roman" w:hAnsi="Times New Roman" w:cs="Times New Roman"/>
        <w:sz w:val="24"/>
        <w:szCs w:val="24"/>
      </w:rPr>
      <w:t>: 1902-AF</w:t>
    </w:r>
    <w:r w:rsidR="00D823B2" w:rsidRPr="00D823B2">
      <w:rPr>
        <w:rFonts w:ascii="Times New Roman" w:hAnsi="Times New Roman" w:cs="Times New Roman"/>
        <w:sz w:val="24"/>
        <w:szCs w:val="24"/>
      </w:rPr>
      <w:t>65</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D51"/>
    <w:multiLevelType w:val="hybridMultilevel"/>
    <w:tmpl w:val="B550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B09D3"/>
    <w:multiLevelType w:val="hybridMultilevel"/>
    <w:tmpl w:val="CBA4F348"/>
    <w:lvl w:ilvl="0" w:tplc="A886A3F8">
      <w:start w:val="1"/>
      <w:numFmt w:val="decimal"/>
      <w:lvlText w:val="%1."/>
      <w:lvlJc w:val="left"/>
      <w:pPr>
        <w:tabs>
          <w:tab w:val="num" w:pos="900"/>
        </w:tabs>
        <w:ind w:left="18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5F6E"/>
    <w:rsid w:val="0002242D"/>
    <w:rsid w:val="00033E72"/>
    <w:rsid w:val="00035845"/>
    <w:rsid w:val="00070A46"/>
    <w:rsid w:val="00074DC8"/>
    <w:rsid w:val="000B0C37"/>
    <w:rsid w:val="000B0F79"/>
    <w:rsid w:val="000B6074"/>
    <w:rsid w:val="000D0391"/>
    <w:rsid w:val="000E2FD6"/>
    <w:rsid w:val="000E34F4"/>
    <w:rsid w:val="000E6FDD"/>
    <w:rsid w:val="000E7517"/>
    <w:rsid w:val="000F0997"/>
    <w:rsid w:val="000F34E5"/>
    <w:rsid w:val="00100BA4"/>
    <w:rsid w:val="00122655"/>
    <w:rsid w:val="001348AC"/>
    <w:rsid w:val="00135F47"/>
    <w:rsid w:val="00137BA9"/>
    <w:rsid w:val="00143103"/>
    <w:rsid w:val="00155CAC"/>
    <w:rsid w:val="00171C0B"/>
    <w:rsid w:val="00181727"/>
    <w:rsid w:val="00185730"/>
    <w:rsid w:val="00194065"/>
    <w:rsid w:val="00197A36"/>
    <w:rsid w:val="001A7954"/>
    <w:rsid w:val="001C1550"/>
    <w:rsid w:val="001C1E51"/>
    <w:rsid w:val="001D3860"/>
    <w:rsid w:val="001F76EF"/>
    <w:rsid w:val="002005CF"/>
    <w:rsid w:val="00230C1A"/>
    <w:rsid w:val="00255CCF"/>
    <w:rsid w:val="00262395"/>
    <w:rsid w:val="0026674D"/>
    <w:rsid w:val="002753D2"/>
    <w:rsid w:val="002844F2"/>
    <w:rsid w:val="002B13E2"/>
    <w:rsid w:val="002B295E"/>
    <w:rsid w:val="002D71C9"/>
    <w:rsid w:val="002E6E8A"/>
    <w:rsid w:val="00313383"/>
    <w:rsid w:val="003316E0"/>
    <w:rsid w:val="00335D41"/>
    <w:rsid w:val="00340D44"/>
    <w:rsid w:val="003561B7"/>
    <w:rsid w:val="00381C80"/>
    <w:rsid w:val="00396A02"/>
    <w:rsid w:val="003A00A3"/>
    <w:rsid w:val="003B3B61"/>
    <w:rsid w:val="0040502E"/>
    <w:rsid w:val="00412B7F"/>
    <w:rsid w:val="00413730"/>
    <w:rsid w:val="00414F32"/>
    <w:rsid w:val="0042669C"/>
    <w:rsid w:val="004276A5"/>
    <w:rsid w:val="00440B52"/>
    <w:rsid w:val="0044687D"/>
    <w:rsid w:val="00466C57"/>
    <w:rsid w:val="00485B06"/>
    <w:rsid w:val="004A5202"/>
    <w:rsid w:val="004C1C28"/>
    <w:rsid w:val="004C4C89"/>
    <w:rsid w:val="004C5E0E"/>
    <w:rsid w:val="004E5616"/>
    <w:rsid w:val="004F6977"/>
    <w:rsid w:val="005013EC"/>
    <w:rsid w:val="00510222"/>
    <w:rsid w:val="00522ED0"/>
    <w:rsid w:val="00522F69"/>
    <w:rsid w:val="00525CAA"/>
    <w:rsid w:val="0053287C"/>
    <w:rsid w:val="00571C5E"/>
    <w:rsid w:val="00571EC8"/>
    <w:rsid w:val="0057700F"/>
    <w:rsid w:val="00596324"/>
    <w:rsid w:val="005A2792"/>
    <w:rsid w:val="005B77CE"/>
    <w:rsid w:val="005D235C"/>
    <w:rsid w:val="005F0D8E"/>
    <w:rsid w:val="005F1C3C"/>
    <w:rsid w:val="00605B9C"/>
    <w:rsid w:val="006166FA"/>
    <w:rsid w:val="00630A34"/>
    <w:rsid w:val="0064307E"/>
    <w:rsid w:val="00646D2D"/>
    <w:rsid w:val="0065527F"/>
    <w:rsid w:val="00664BC0"/>
    <w:rsid w:val="00690136"/>
    <w:rsid w:val="006A6AA1"/>
    <w:rsid w:val="006B3115"/>
    <w:rsid w:val="006B437C"/>
    <w:rsid w:val="006D51DD"/>
    <w:rsid w:val="006D5955"/>
    <w:rsid w:val="007011E2"/>
    <w:rsid w:val="0074195A"/>
    <w:rsid w:val="00773AEB"/>
    <w:rsid w:val="00774881"/>
    <w:rsid w:val="00787670"/>
    <w:rsid w:val="007876FD"/>
    <w:rsid w:val="007A2F92"/>
    <w:rsid w:val="007A4963"/>
    <w:rsid w:val="007B2E34"/>
    <w:rsid w:val="007D0FC9"/>
    <w:rsid w:val="007E0566"/>
    <w:rsid w:val="007E1670"/>
    <w:rsid w:val="007E7C0F"/>
    <w:rsid w:val="007F1D3B"/>
    <w:rsid w:val="007F58A5"/>
    <w:rsid w:val="00815DA7"/>
    <w:rsid w:val="00817B08"/>
    <w:rsid w:val="00824BC0"/>
    <w:rsid w:val="00832975"/>
    <w:rsid w:val="00857577"/>
    <w:rsid w:val="008619E1"/>
    <w:rsid w:val="00876F75"/>
    <w:rsid w:val="008911E8"/>
    <w:rsid w:val="00894980"/>
    <w:rsid w:val="008965A8"/>
    <w:rsid w:val="008A21A4"/>
    <w:rsid w:val="008A76A0"/>
    <w:rsid w:val="008B703B"/>
    <w:rsid w:val="008C238C"/>
    <w:rsid w:val="008C288D"/>
    <w:rsid w:val="008C560B"/>
    <w:rsid w:val="008D310F"/>
    <w:rsid w:val="008E70CD"/>
    <w:rsid w:val="008F74FD"/>
    <w:rsid w:val="00913A8B"/>
    <w:rsid w:val="00937A85"/>
    <w:rsid w:val="00946982"/>
    <w:rsid w:val="00950ECA"/>
    <w:rsid w:val="009652A5"/>
    <w:rsid w:val="00970FE4"/>
    <w:rsid w:val="0099159D"/>
    <w:rsid w:val="00994512"/>
    <w:rsid w:val="009B09B9"/>
    <w:rsid w:val="009E1190"/>
    <w:rsid w:val="009E7C72"/>
    <w:rsid w:val="009F0824"/>
    <w:rsid w:val="009F6B83"/>
    <w:rsid w:val="00A11770"/>
    <w:rsid w:val="00A13882"/>
    <w:rsid w:val="00A276F5"/>
    <w:rsid w:val="00A361C4"/>
    <w:rsid w:val="00A460EA"/>
    <w:rsid w:val="00A55855"/>
    <w:rsid w:val="00A63951"/>
    <w:rsid w:val="00A72E7B"/>
    <w:rsid w:val="00A80014"/>
    <w:rsid w:val="00A953D6"/>
    <w:rsid w:val="00A96B65"/>
    <w:rsid w:val="00AD3DE5"/>
    <w:rsid w:val="00AE188C"/>
    <w:rsid w:val="00AE709E"/>
    <w:rsid w:val="00B019A1"/>
    <w:rsid w:val="00B047E2"/>
    <w:rsid w:val="00B137F9"/>
    <w:rsid w:val="00B26FDC"/>
    <w:rsid w:val="00B27783"/>
    <w:rsid w:val="00B3159E"/>
    <w:rsid w:val="00B432B9"/>
    <w:rsid w:val="00B44020"/>
    <w:rsid w:val="00B63279"/>
    <w:rsid w:val="00B64E4C"/>
    <w:rsid w:val="00BA1C7D"/>
    <w:rsid w:val="00BA7C56"/>
    <w:rsid w:val="00BD46DC"/>
    <w:rsid w:val="00BF5BC2"/>
    <w:rsid w:val="00C01698"/>
    <w:rsid w:val="00C05A45"/>
    <w:rsid w:val="00C23104"/>
    <w:rsid w:val="00C3697E"/>
    <w:rsid w:val="00C41C13"/>
    <w:rsid w:val="00C510DD"/>
    <w:rsid w:val="00C66EC7"/>
    <w:rsid w:val="00C703D4"/>
    <w:rsid w:val="00C82796"/>
    <w:rsid w:val="00C92F08"/>
    <w:rsid w:val="00CA495F"/>
    <w:rsid w:val="00CA59C3"/>
    <w:rsid w:val="00CB4881"/>
    <w:rsid w:val="00CD70FB"/>
    <w:rsid w:val="00CF4B61"/>
    <w:rsid w:val="00CF759C"/>
    <w:rsid w:val="00D075A0"/>
    <w:rsid w:val="00D15D0C"/>
    <w:rsid w:val="00D16C6D"/>
    <w:rsid w:val="00D22362"/>
    <w:rsid w:val="00D349D4"/>
    <w:rsid w:val="00D34F2D"/>
    <w:rsid w:val="00D7505E"/>
    <w:rsid w:val="00D76508"/>
    <w:rsid w:val="00D80FBD"/>
    <w:rsid w:val="00D823B2"/>
    <w:rsid w:val="00D93334"/>
    <w:rsid w:val="00D95053"/>
    <w:rsid w:val="00DA208E"/>
    <w:rsid w:val="00DC4E36"/>
    <w:rsid w:val="00DC7349"/>
    <w:rsid w:val="00DD753C"/>
    <w:rsid w:val="00E11CA6"/>
    <w:rsid w:val="00E14565"/>
    <w:rsid w:val="00E15527"/>
    <w:rsid w:val="00E17FF1"/>
    <w:rsid w:val="00E20612"/>
    <w:rsid w:val="00E27F8F"/>
    <w:rsid w:val="00E50372"/>
    <w:rsid w:val="00E53446"/>
    <w:rsid w:val="00E636D7"/>
    <w:rsid w:val="00E87A4F"/>
    <w:rsid w:val="00E943F1"/>
    <w:rsid w:val="00EB2C05"/>
    <w:rsid w:val="00EB374E"/>
    <w:rsid w:val="00EB3E6F"/>
    <w:rsid w:val="00EB4FE8"/>
    <w:rsid w:val="00EC176A"/>
    <w:rsid w:val="00ED0B7B"/>
    <w:rsid w:val="00ED5560"/>
    <w:rsid w:val="00EF2673"/>
    <w:rsid w:val="00F04AAC"/>
    <w:rsid w:val="00F12DC2"/>
    <w:rsid w:val="00F14038"/>
    <w:rsid w:val="00F152DF"/>
    <w:rsid w:val="00F22CFE"/>
    <w:rsid w:val="00F50384"/>
    <w:rsid w:val="00F6280A"/>
    <w:rsid w:val="00F725E6"/>
    <w:rsid w:val="00F81142"/>
    <w:rsid w:val="00F8440A"/>
    <w:rsid w:val="00F93C78"/>
    <w:rsid w:val="00FA025C"/>
    <w:rsid w:val="00FB0244"/>
    <w:rsid w:val="00FB74C2"/>
    <w:rsid w:val="00FB7B6F"/>
    <w:rsid w:val="00FC34B1"/>
    <w:rsid w:val="00FC7D7A"/>
    <w:rsid w:val="00FD66F1"/>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
    <w:qFormat/>
    <w:rsid w:val="00D95053"/>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95053"/>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
    <w:qFormat/>
    <w:rsid w:val="00D95053"/>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95053"/>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3775">
      <w:bodyDiv w:val="1"/>
      <w:marLeft w:val="0"/>
      <w:marRight w:val="0"/>
      <w:marTop w:val="0"/>
      <w:marBottom w:val="0"/>
      <w:divBdr>
        <w:top w:val="none" w:sz="0" w:space="0" w:color="auto"/>
        <w:left w:val="none" w:sz="0" w:space="0" w:color="auto"/>
        <w:bottom w:val="none" w:sz="0" w:space="0" w:color="auto"/>
        <w:right w:val="none" w:sz="0" w:space="0" w:color="auto"/>
      </w:divBdr>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2019-07-12T00:00:00-04:00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516E</_x0031__x002e__x0020_Collection_x0020_Number>
    <Status xmlns="d6eefc7d-9817-4fa6-84d5-3bc009be21b8">Final</Status>
    <_x0032__x002e__x0020_Docket_x0020_Number xmlns="d6eefc7d-9817-4fa6-84d5-3bc009be21b8" xsi:nil="true"/>
    <_x0032__x002e__x0020_Collection_x0020_Number xmlns="d6eefc7d-9817-4fa6-84d5-3bc009be21b8">717</_x0032__x002e__x0020_Collection_x0020_Number>
    <_x0031__x002e__x0020_Docket_x0020_Number xmlns="d6eefc7d-9817-4fa6-84d5-3bc009be21b8">RM05-5-027</_x0031__x002e__x0020_Docket_x0020_Number>
    <_x0033__x002e__x0020_Collection_x0020_Number xmlns="d6eefc7d-9817-4fa6-84d5-3bc009be21b8" xsi:nil="true"/>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3.xml><?xml version="1.0" encoding="utf-8"?>
<ds:datastoreItem xmlns:ds="http://schemas.openxmlformats.org/officeDocument/2006/customXml" ds:itemID="{787CA0CD-4E16-449C-8D1A-51E9015A3983}">
  <ds:schemaRefs>
    <ds:schemaRef ds:uri="http://schemas.microsoft.com/office/2006/metadata/customXsn"/>
  </ds:schemaRefs>
</ds:datastoreItem>
</file>

<file path=customXml/itemProps4.xml><?xml version="1.0" encoding="utf-8"?>
<ds:datastoreItem xmlns:ds="http://schemas.openxmlformats.org/officeDocument/2006/customXml" ds:itemID="{4D548A14-2664-46AD-AD47-B4B2142BC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03B87F-FA81-4E3D-A718-49FB12EB3DA4}">
  <ds:schemaRefs>
    <ds:schemaRef ds:uri="Microsoft.SharePoint.Taxonomy.ContentTypeSync"/>
  </ds:schemaRefs>
</ds:datastoreItem>
</file>

<file path=customXml/itemProps6.xml><?xml version="1.0" encoding="utf-8"?>
<ds:datastoreItem xmlns:ds="http://schemas.openxmlformats.org/officeDocument/2006/customXml" ds:itemID="{5AF67320-1EF3-4B6D-950E-3F625D32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RM05-5-027 NOPR Supporting Statement</vt:lpstr>
    </vt:vector>
  </TitlesOfParts>
  <Company>FERC</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RM05-5-027 NOPR Supporting Statement</dc:title>
  <dc:creator>ferc</dc:creator>
  <cp:lastModifiedBy>SYSTEM</cp:lastModifiedBy>
  <cp:revision>2</cp:revision>
  <dcterms:created xsi:type="dcterms:W3CDTF">2019-07-12T18:46:00Z</dcterms:created>
  <dcterms:modified xsi:type="dcterms:W3CDTF">2019-07-12T18:46:00Z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