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1AFA90" w14:textId="77777777" w:rsidR="00183E3B" w:rsidRPr="00D44091" w:rsidRDefault="00FF6FA6" w:rsidP="00221900">
      <w:pPr>
        <w:ind w:right="-450"/>
        <w:jc w:val="center"/>
        <w:outlineLvl w:val="0"/>
        <w:rPr>
          <w:b/>
          <w:color w:val="000000" w:themeColor="text1"/>
        </w:rPr>
      </w:pPr>
      <w:bookmarkStart w:id="0" w:name="_GoBack"/>
      <w:bookmarkEnd w:id="0"/>
      <w:r w:rsidRPr="00D44091">
        <w:rPr>
          <w:b/>
          <w:color w:val="000000" w:themeColor="text1"/>
        </w:rPr>
        <w:t>Supporting Statement</w:t>
      </w:r>
    </w:p>
    <w:p w14:paraId="4A0B597A" w14:textId="77777777" w:rsidR="00183E3B" w:rsidRPr="00D44091" w:rsidRDefault="00FF6FA6" w:rsidP="00221900">
      <w:pPr>
        <w:ind w:right="-450"/>
        <w:jc w:val="center"/>
        <w:outlineLvl w:val="0"/>
        <w:rPr>
          <w:b/>
          <w:color w:val="000000" w:themeColor="text1"/>
        </w:rPr>
      </w:pPr>
      <w:r w:rsidRPr="00D44091">
        <w:rPr>
          <w:b/>
          <w:color w:val="000000" w:themeColor="text1"/>
        </w:rPr>
        <w:t xml:space="preserve">Disclosure and Reporting of CRA-Related Agreements </w:t>
      </w:r>
    </w:p>
    <w:p w14:paraId="30747E34" w14:textId="77777777" w:rsidR="00FF6FA6" w:rsidRPr="00D44091" w:rsidRDefault="00E17E1E" w:rsidP="00221900">
      <w:pPr>
        <w:tabs>
          <w:tab w:val="left" w:pos="720"/>
        </w:tabs>
        <w:ind w:right="-450"/>
        <w:jc w:val="center"/>
        <w:outlineLvl w:val="0"/>
        <w:rPr>
          <w:b/>
          <w:color w:val="000000" w:themeColor="text1"/>
        </w:rPr>
      </w:pPr>
      <w:r w:rsidRPr="00D44091">
        <w:rPr>
          <w:b/>
          <w:color w:val="000000" w:themeColor="text1"/>
        </w:rPr>
        <w:t>OMB Control No.</w:t>
      </w:r>
      <w:r w:rsidR="00FF6FA6" w:rsidRPr="00D44091">
        <w:rPr>
          <w:b/>
          <w:color w:val="000000" w:themeColor="text1"/>
        </w:rPr>
        <w:t xml:space="preserve"> 1557-0219</w:t>
      </w:r>
    </w:p>
    <w:p w14:paraId="001A656A" w14:textId="77777777" w:rsidR="00FF6FA6" w:rsidRPr="00D44091" w:rsidRDefault="00FF6FA6" w:rsidP="00221900">
      <w:pPr>
        <w:tabs>
          <w:tab w:val="left" w:pos="720"/>
        </w:tabs>
        <w:ind w:right="-450"/>
        <w:rPr>
          <w:color w:val="000000" w:themeColor="text1"/>
        </w:rPr>
      </w:pPr>
    </w:p>
    <w:p w14:paraId="0FB142CA" w14:textId="77777777" w:rsidR="00DD544B" w:rsidRPr="00D44091" w:rsidRDefault="00DD544B" w:rsidP="00221900">
      <w:pPr>
        <w:tabs>
          <w:tab w:val="left" w:pos="720"/>
        </w:tabs>
        <w:ind w:right="-450"/>
        <w:rPr>
          <w:b/>
          <w:color w:val="000000" w:themeColor="text1"/>
        </w:rPr>
      </w:pPr>
      <w:r w:rsidRPr="00D44091">
        <w:rPr>
          <w:b/>
          <w:color w:val="000000" w:themeColor="text1"/>
        </w:rPr>
        <w:t>A.  Justification.</w:t>
      </w:r>
    </w:p>
    <w:p w14:paraId="1E5C0A77" w14:textId="77777777" w:rsidR="00FF6FA6" w:rsidRPr="00D44091" w:rsidRDefault="00FF6FA6" w:rsidP="00221900">
      <w:pPr>
        <w:tabs>
          <w:tab w:val="left" w:pos="720"/>
        </w:tabs>
        <w:ind w:right="-450"/>
        <w:rPr>
          <w:color w:val="000000" w:themeColor="text1"/>
        </w:rPr>
      </w:pPr>
      <w:r w:rsidRPr="00D44091">
        <w:rPr>
          <w:color w:val="000000" w:themeColor="text1"/>
        </w:rPr>
        <w:tab/>
      </w:r>
    </w:p>
    <w:p w14:paraId="4C0A3939" w14:textId="77777777" w:rsidR="00FF6FA6" w:rsidRPr="00D44091" w:rsidRDefault="00FF6FA6" w:rsidP="00221900">
      <w:pPr>
        <w:tabs>
          <w:tab w:val="left" w:pos="720"/>
        </w:tabs>
        <w:ind w:right="-450"/>
        <w:rPr>
          <w:b/>
          <w:i/>
          <w:color w:val="000000" w:themeColor="text1"/>
        </w:rPr>
      </w:pPr>
      <w:r w:rsidRPr="00D44091">
        <w:rPr>
          <w:b/>
          <w:i/>
          <w:color w:val="000000" w:themeColor="text1"/>
        </w:rPr>
        <w:t>1.</w:t>
      </w:r>
      <w:r w:rsidRPr="00D44091">
        <w:rPr>
          <w:b/>
          <w:i/>
          <w:color w:val="000000" w:themeColor="text1"/>
        </w:rPr>
        <w:tab/>
        <w:t>Circumstances tha</w:t>
      </w:r>
      <w:r w:rsidR="00DD544B" w:rsidRPr="00D44091">
        <w:rPr>
          <w:b/>
          <w:i/>
          <w:color w:val="000000" w:themeColor="text1"/>
        </w:rPr>
        <w:t>t make the collection necessary:</w:t>
      </w:r>
    </w:p>
    <w:p w14:paraId="3F422263" w14:textId="77777777" w:rsidR="00FF6FA6" w:rsidRPr="00D44091" w:rsidRDefault="00FF6FA6" w:rsidP="00221900">
      <w:pPr>
        <w:ind w:right="-450"/>
        <w:rPr>
          <w:color w:val="000000" w:themeColor="text1"/>
        </w:rPr>
      </w:pPr>
    </w:p>
    <w:p w14:paraId="672E1245" w14:textId="44CCF394" w:rsidR="00DD544B" w:rsidRPr="00D44091" w:rsidRDefault="00DD544B" w:rsidP="00221900">
      <w:pPr>
        <w:tabs>
          <w:tab w:val="left" w:pos="720"/>
        </w:tabs>
        <w:ind w:right="-450"/>
        <w:rPr>
          <w:color w:val="000000" w:themeColor="text1"/>
        </w:rPr>
      </w:pPr>
      <w:r w:rsidRPr="00D44091">
        <w:rPr>
          <w:color w:val="000000" w:themeColor="text1"/>
        </w:rPr>
        <w:tab/>
        <w:t xml:space="preserve">National banks, </w:t>
      </w:r>
      <w:r w:rsidR="00843000">
        <w:rPr>
          <w:color w:val="000000" w:themeColor="text1"/>
        </w:rPr>
        <w:t>f</w:t>
      </w:r>
      <w:r w:rsidRPr="00D44091">
        <w:rPr>
          <w:color w:val="000000" w:themeColor="text1"/>
        </w:rPr>
        <w:t>ederal savings associations</w:t>
      </w:r>
      <w:r w:rsidR="00E56CCD" w:rsidRPr="00D44091">
        <w:rPr>
          <w:color w:val="000000" w:themeColor="text1"/>
        </w:rPr>
        <w:t>,</w:t>
      </w:r>
      <w:r w:rsidRPr="00D44091">
        <w:rPr>
          <w:color w:val="000000" w:themeColor="text1"/>
        </w:rPr>
        <w:t xml:space="preserve"> and their affiliates occasionally enter into agreements with nongovernmental entities or persons (NGEPs) that are related to their Community Reinvestment Act (CRA) responsibilities.  Section 48 of the Federal Deposit Insurance Act (FDI Act) requires disclosure of certain of these agreements and imposes </w:t>
      </w:r>
      <w:r w:rsidR="0025290E">
        <w:rPr>
          <w:color w:val="000000" w:themeColor="text1"/>
        </w:rPr>
        <w:t xml:space="preserve">related </w:t>
      </w:r>
      <w:r w:rsidRPr="00D44091">
        <w:rPr>
          <w:color w:val="000000" w:themeColor="text1"/>
        </w:rPr>
        <w:t>reporting requirements on insured depository institutions (IDIs)</w:t>
      </w:r>
      <w:r w:rsidR="00D33378" w:rsidRPr="00D44091">
        <w:rPr>
          <w:color w:val="000000" w:themeColor="text1"/>
        </w:rPr>
        <w:t>, their affiliates, and NGEPs.</w:t>
      </w:r>
      <w:r w:rsidR="00D33378" w:rsidRPr="00D44091">
        <w:rPr>
          <w:rStyle w:val="FootnoteReference"/>
          <w:color w:val="000000" w:themeColor="text1"/>
        </w:rPr>
        <w:footnoteReference w:id="1"/>
      </w:r>
      <w:r w:rsidR="00D33378" w:rsidRPr="00D44091">
        <w:rPr>
          <w:color w:val="000000" w:themeColor="text1"/>
        </w:rPr>
        <w:t xml:space="preserve">  </w:t>
      </w:r>
      <w:r w:rsidRPr="00D44091">
        <w:rPr>
          <w:color w:val="000000" w:themeColor="text1"/>
        </w:rPr>
        <w:t xml:space="preserve">As mandated by the FDI Act, the OCC, the Federal Deposit Insurance Corporation, and the Board </w:t>
      </w:r>
      <w:r w:rsidR="0025290E">
        <w:rPr>
          <w:color w:val="000000" w:themeColor="text1"/>
        </w:rPr>
        <w:t xml:space="preserve">of Governors of the </w:t>
      </w:r>
      <w:r w:rsidR="0025290E" w:rsidRPr="00D44091">
        <w:rPr>
          <w:color w:val="000000" w:themeColor="text1"/>
        </w:rPr>
        <w:t xml:space="preserve">Federal Reserve </w:t>
      </w:r>
      <w:r w:rsidR="00307387">
        <w:rPr>
          <w:color w:val="000000" w:themeColor="text1"/>
        </w:rPr>
        <w:t xml:space="preserve">System </w:t>
      </w:r>
      <w:r w:rsidRPr="00D44091">
        <w:rPr>
          <w:color w:val="000000" w:themeColor="text1"/>
        </w:rPr>
        <w:t xml:space="preserve">(hereinafter referred to collectively as the agencies) issued regulations to implement these disclosure and reporting requirements.  </w:t>
      </w:r>
    </w:p>
    <w:p w14:paraId="6D7FC6E4" w14:textId="77777777" w:rsidR="00DD544B" w:rsidRPr="00D44091" w:rsidRDefault="00DD544B" w:rsidP="00221900">
      <w:pPr>
        <w:ind w:right="-450"/>
        <w:rPr>
          <w:color w:val="000000" w:themeColor="text1"/>
        </w:rPr>
      </w:pPr>
    </w:p>
    <w:p w14:paraId="59FE1342" w14:textId="4EAF3886" w:rsidR="00C06C67" w:rsidRPr="00D44091" w:rsidRDefault="00C06C67" w:rsidP="00221900">
      <w:pPr>
        <w:ind w:right="-450" w:firstLine="720"/>
        <w:rPr>
          <w:color w:val="000000" w:themeColor="text1"/>
        </w:rPr>
      </w:pPr>
      <w:r w:rsidRPr="00D44091">
        <w:rPr>
          <w:color w:val="000000" w:themeColor="text1"/>
        </w:rPr>
        <w:t xml:space="preserve">Section 48 </w:t>
      </w:r>
      <w:r w:rsidR="00360801" w:rsidRPr="00D44091">
        <w:rPr>
          <w:color w:val="000000" w:themeColor="text1"/>
        </w:rPr>
        <w:t xml:space="preserve">of the FDI Act </w:t>
      </w:r>
      <w:r w:rsidRPr="00D44091">
        <w:rPr>
          <w:color w:val="000000" w:themeColor="text1"/>
        </w:rPr>
        <w:t>applies to written agreements that:  (1) are made in fulfillment of the CRA</w:t>
      </w:r>
      <w:r w:rsidR="00DF497A" w:rsidRPr="00D44091">
        <w:rPr>
          <w:color w:val="000000" w:themeColor="text1"/>
        </w:rPr>
        <w:t>;</w:t>
      </w:r>
      <w:r w:rsidRPr="00D44091">
        <w:rPr>
          <w:color w:val="000000" w:themeColor="text1"/>
        </w:rPr>
        <w:t xml:space="preserve"> (2) involve funds or other resources of an </w:t>
      </w:r>
      <w:r w:rsidR="00360801" w:rsidRPr="00D44091">
        <w:rPr>
          <w:color w:val="000000" w:themeColor="text1"/>
        </w:rPr>
        <w:t>IDI</w:t>
      </w:r>
      <w:r w:rsidRPr="00D44091">
        <w:rPr>
          <w:color w:val="000000" w:themeColor="text1"/>
        </w:rPr>
        <w:t xml:space="preserve"> or</w:t>
      </w:r>
      <w:r w:rsidR="002D50E0" w:rsidRPr="00D44091">
        <w:rPr>
          <w:color w:val="000000" w:themeColor="text1"/>
        </w:rPr>
        <w:t xml:space="preserve"> </w:t>
      </w:r>
      <w:r w:rsidRPr="00D44091">
        <w:rPr>
          <w:color w:val="000000" w:themeColor="text1"/>
        </w:rPr>
        <w:t>affiliate with an aggregate value</w:t>
      </w:r>
      <w:r w:rsidR="002D50E0" w:rsidRPr="00D44091">
        <w:rPr>
          <w:color w:val="000000" w:themeColor="text1"/>
        </w:rPr>
        <w:t xml:space="preserve"> of more than $10,000 in a year</w:t>
      </w:r>
      <w:r w:rsidRPr="00D44091">
        <w:rPr>
          <w:color w:val="000000" w:themeColor="text1"/>
        </w:rPr>
        <w:t xml:space="preserve"> or loans with an aggregate principal value of more than $50,000 in a year</w:t>
      </w:r>
      <w:r w:rsidR="00480571">
        <w:rPr>
          <w:rStyle w:val="FootnoteReference"/>
          <w:color w:val="000000" w:themeColor="text1"/>
        </w:rPr>
        <w:footnoteReference w:id="2"/>
      </w:r>
      <w:r w:rsidR="00DF497A" w:rsidRPr="00D44091">
        <w:rPr>
          <w:color w:val="000000" w:themeColor="text1"/>
        </w:rPr>
        <w:t>;</w:t>
      </w:r>
      <w:r w:rsidRPr="00D44091">
        <w:rPr>
          <w:color w:val="000000" w:themeColor="text1"/>
        </w:rPr>
        <w:t xml:space="preserve"> and (3) are entered into by an IDI or affiliate and a</w:t>
      </w:r>
      <w:r w:rsidR="00047092" w:rsidRPr="00D44091">
        <w:rPr>
          <w:color w:val="000000" w:themeColor="text1"/>
        </w:rPr>
        <w:t>n</w:t>
      </w:r>
      <w:r w:rsidRPr="00D44091">
        <w:rPr>
          <w:color w:val="000000" w:themeColor="text1"/>
        </w:rPr>
        <w:t xml:space="preserve"> NGEP.</w:t>
      </w:r>
      <w:r w:rsidR="00D33378" w:rsidRPr="00D44091">
        <w:rPr>
          <w:rStyle w:val="FootnoteReference"/>
          <w:color w:val="000000" w:themeColor="text1"/>
        </w:rPr>
        <w:footnoteReference w:id="3"/>
      </w:r>
      <w:r w:rsidRPr="00D44091">
        <w:rPr>
          <w:color w:val="000000" w:themeColor="text1"/>
        </w:rPr>
        <w:t xml:space="preserve"> </w:t>
      </w:r>
      <w:r w:rsidR="00D96B70" w:rsidRPr="00D44091">
        <w:rPr>
          <w:color w:val="000000" w:themeColor="text1"/>
        </w:rPr>
        <w:t xml:space="preserve"> </w:t>
      </w:r>
    </w:p>
    <w:p w14:paraId="0335C3B1" w14:textId="77777777" w:rsidR="00D33378" w:rsidRPr="00D44091" w:rsidRDefault="00D33378" w:rsidP="00221900">
      <w:pPr>
        <w:ind w:right="-450" w:firstLine="720"/>
        <w:rPr>
          <w:color w:val="000000" w:themeColor="text1"/>
        </w:rPr>
      </w:pPr>
    </w:p>
    <w:p w14:paraId="40A10251" w14:textId="258559EB" w:rsidR="00974F4F" w:rsidRPr="00D44091" w:rsidRDefault="000B10E4" w:rsidP="00221900">
      <w:pPr>
        <w:ind w:right="-450" w:firstLine="720"/>
        <w:rPr>
          <w:color w:val="000000" w:themeColor="text1"/>
        </w:rPr>
      </w:pPr>
      <w:r>
        <w:rPr>
          <w:color w:val="000000" w:themeColor="text1"/>
        </w:rPr>
        <w:t>Under section 48, t</w:t>
      </w:r>
      <w:r w:rsidR="00974F4F" w:rsidRPr="00D44091">
        <w:rPr>
          <w:color w:val="000000" w:themeColor="text1"/>
        </w:rPr>
        <w:t>he parties to a covered agreement must make the agreement available to the publ</w:t>
      </w:r>
      <w:r w:rsidR="00D33378" w:rsidRPr="00D44091">
        <w:rPr>
          <w:color w:val="000000" w:themeColor="text1"/>
        </w:rPr>
        <w:t>ic and the appropriate agency.</w:t>
      </w:r>
      <w:r w:rsidR="00D33378" w:rsidRPr="00D44091">
        <w:rPr>
          <w:rStyle w:val="FootnoteReference"/>
          <w:color w:val="000000" w:themeColor="text1"/>
        </w:rPr>
        <w:footnoteReference w:id="4"/>
      </w:r>
      <w:r w:rsidR="00D33378" w:rsidRPr="00D44091">
        <w:rPr>
          <w:color w:val="000000" w:themeColor="text1"/>
        </w:rPr>
        <w:t xml:space="preserve">  </w:t>
      </w:r>
      <w:r>
        <w:rPr>
          <w:color w:val="000000" w:themeColor="text1"/>
        </w:rPr>
        <w:t>This section also requires t</w:t>
      </w:r>
      <w:r w:rsidR="00974F4F" w:rsidRPr="00D44091">
        <w:rPr>
          <w:color w:val="000000" w:themeColor="text1"/>
        </w:rPr>
        <w:t>he parties</w:t>
      </w:r>
      <w:r>
        <w:rPr>
          <w:color w:val="000000" w:themeColor="text1"/>
        </w:rPr>
        <w:t xml:space="preserve"> to</w:t>
      </w:r>
      <w:r w:rsidR="00974F4F" w:rsidRPr="00D44091">
        <w:rPr>
          <w:color w:val="000000" w:themeColor="text1"/>
        </w:rPr>
        <w:t xml:space="preserve"> file a report annually with the appropriate agency concerning the disbursement, receipt</w:t>
      </w:r>
      <w:r w:rsidR="002D50E0" w:rsidRPr="00D44091">
        <w:rPr>
          <w:color w:val="000000" w:themeColor="text1"/>
        </w:rPr>
        <w:t>,</w:t>
      </w:r>
      <w:r w:rsidR="00974F4F" w:rsidRPr="00D44091">
        <w:rPr>
          <w:color w:val="000000" w:themeColor="text1"/>
        </w:rPr>
        <w:t xml:space="preserve"> and use of funds or other resources under the agreement.</w:t>
      </w:r>
      <w:r w:rsidR="00D33378" w:rsidRPr="00D44091">
        <w:rPr>
          <w:rStyle w:val="FootnoteReference"/>
          <w:color w:val="000000" w:themeColor="text1"/>
        </w:rPr>
        <w:footnoteReference w:id="5"/>
      </w:r>
      <w:r w:rsidR="00974F4F" w:rsidRPr="00D44091">
        <w:rPr>
          <w:color w:val="000000" w:themeColor="text1"/>
        </w:rPr>
        <w:t xml:space="preserve">  </w:t>
      </w:r>
      <w:r w:rsidRPr="000B10E4">
        <w:rPr>
          <w:color w:val="000000" w:themeColor="text1"/>
        </w:rPr>
        <w:t xml:space="preserve">The collections of information in </w:t>
      </w:r>
      <w:r>
        <w:rPr>
          <w:color w:val="000000" w:themeColor="text1"/>
        </w:rPr>
        <w:t xml:space="preserve">the OCC’s </w:t>
      </w:r>
      <w:r w:rsidRPr="000B10E4">
        <w:rPr>
          <w:color w:val="000000" w:themeColor="text1"/>
        </w:rPr>
        <w:t>regulation</w:t>
      </w:r>
      <w:r>
        <w:rPr>
          <w:color w:val="000000" w:themeColor="text1"/>
        </w:rPr>
        <w:t xml:space="preserve"> at 12 CFR </w:t>
      </w:r>
      <w:r w:rsidR="00B221BC">
        <w:rPr>
          <w:color w:val="000000" w:themeColor="text1"/>
        </w:rPr>
        <w:t>p</w:t>
      </w:r>
      <w:r>
        <w:rPr>
          <w:color w:val="000000" w:themeColor="text1"/>
        </w:rPr>
        <w:t>art 35</w:t>
      </w:r>
      <w:r w:rsidR="002C1412">
        <w:rPr>
          <w:color w:val="000000" w:themeColor="text1"/>
        </w:rPr>
        <w:t xml:space="preserve"> (CRA Sunshine regulation)</w:t>
      </w:r>
      <w:r w:rsidRPr="000B10E4">
        <w:rPr>
          <w:color w:val="000000" w:themeColor="text1"/>
        </w:rPr>
        <w:t xml:space="preserve"> implement these statutorily mandated disclosure and reporting requirements.</w:t>
      </w:r>
    </w:p>
    <w:p w14:paraId="7BE2ACEC" w14:textId="77777777" w:rsidR="00863BB3" w:rsidRPr="00D44091" w:rsidRDefault="00974F4F" w:rsidP="00221900">
      <w:pPr>
        <w:tabs>
          <w:tab w:val="center" w:pos="0"/>
          <w:tab w:val="left" w:pos="720"/>
        </w:tabs>
        <w:ind w:right="-450"/>
        <w:rPr>
          <w:rFonts w:ascii="Verdana" w:hAnsi="Verdana"/>
          <w:color w:val="000000" w:themeColor="text1"/>
          <w:sz w:val="19"/>
          <w:szCs w:val="19"/>
        </w:rPr>
      </w:pPr>
      <w:r w:rsidRPr="00D44091">
        <w:rPr>
          <w:color w:val="000000" w:themeColor="text1"/>
        </w:rPr>
        <w:tab/>
        <w:t xml:space="preserve"> </w:t>
      </w:r>
    </w:p>
    <w:p w14:paraId="4210E63A" w14:textId="77777777" w:rsidR="00FF6FA6" w:rsidRPr="00D44091" w:rsidRDefault="00FF6FA6" w:rsidP="00221900">
      <w:pPr>
        <w:tabs>
          <w:tab w:val="left" w:pos="720"/>
        </w:tabs>
        <w:ind w:right="-450"/>
        <w:rPr>
          <w:b/>
          <w:i/>
          <w:color w:val="000000" w:themeColor="text1"/>
        </w:rPr>
      </w:pPr>
      <w:r w:rsidRPr="00D44091">
        <w:rPr>
          <w:b/>
          <w:i/>
          <w:color w:val="000000" w:themeColor="text1"/>
        </w:rPr>
        <w:t>2.</w:t>
      </w:r>
      <w:r w:rsidRPr="00D44091">
        <w:rPr>
          <w:b/>
          <w:i/>
          <w:color w:val="000000" w:themeColor="text1"/>
        </w:rPr>
        <w:tab/>
      </w:r>
      <w:r w:rsidR="00DD544B" w:rsidRPr="00D44091">
        <w:rPr>
          <w:b/>
          <w:i/>
          <w:color w:val="000000" w:themeColor="text1"/>
        </w:rPr>
        <w:t>Use of Information:</w:t>
      </w:r>
    </w:p>
    <w:p w14:paraId="1D5D08BA" w14:textId="77777777" w:rsidR="00FF6FA6" w:rsidRPr="00D44091" w:rsidRDefault="00FF6FA6" w:rsidP="00221900">
      <w:pPr>
        <w:ind w:right="-450"/>
        <w:rPr>
          <w:color w:val="000000" w:themeColor="text1"/>
        </w:rPr>
      </w:pPr>
    </w:p>
    <w:p w14:paraId="15249041" w14:textId="07D7616B" w:rsidR="00FF6FA6" w:rsidRPr="00D44091" w:rsidRDefault="00B05867" w:rsidP="00221900">
      <w:pPr>
        <w:ind w:right="-450" w:firstLine="720"/>
        <w:rPr>
          <w:color w:val="000000" w:themeColor="text1"/>
        </w:rPr>
      </w:pPr>
      <w:r>
        <w:rPr>
          <w:color w:val="000000" w:themeColor="text1"/>
        </w:rPr>
        <w:t>D</w:t>
      </w:r>
      <w:r w:rsidR="00FF6FA6" w:rsidRPr="00D44091">
        <w:rPr>
          <w:color w:val="000000" w:themeColor="text1"/>
        </w:rPr>
        <w:t>isclos</w:t>
      </w:r>
      <w:r w:rsidR="004308B8" w:rsidRPr="00D44091">
        <w:rPr>
          <w:color w:val="000000" w:themeColor="text1"/>
        </w:rPr>
        <w:t>ure of covered agreements allow</w:t>
      </w:r>
      <w:r w:rsidR="00FF6FA6" w:rsidRPr="00D44091">
        <w:rPr>
          <w:color w:val="000000" w:themeColor="text1"/>
        </w:rPr>
        <w:t xml:space="preserve">s the public </w:t>
      </w:r>
      <w:r>
        <w:rPr>
          <w:color w:val="000000" w:themeColor="text1"/>
        </w:rPr>
        <w:t xml:space="preserve">and the OCC </w:t>
      </w:r>
      <w:r w:rsidR="00FF6FA6" w:rsidRPr="00D44091">
        <w:rPr>
          <w:color w:val="000000" w:themeColor="text1"/>
        </w:rPr>
        <w:t xml:space="preserve">to </w:t>
      </w:r>
      <w:r w:rsidR="004308B8" w:rsidRPr="00D44091">
        <w:rPr>
          <w:color w:val="000000" w:themeColor="text1"/>
        </w:rPr>
        <w:t>determine</w:t>
      </w:r>
      <w:r w:rsidR="00FF6FA6" w:rsidRPr="00D44091">
        <w:rPr>
          <w:color w:val="000000" w:themeColor="text1"/>
        </w:rPr>
        <w:t xml:space="preserve"> which </w:t>
      </w:r>
      <w:r w:rsidR="00916BC7">
        <w:rPr>
          <w:color w:val="000000" w:themeColor="text1"/>
        </w:rPr>
        <w:t>IDIs</w:t>
      </w:r>
      <w:r w:rsidR="00FF6FA6" w:rsidRPr="00D44091">
        <w:rPr>
          <w:color w:val="000000" w:themeColor="text1"/>
        </w:rPr>
        <w:t xml:space="preserve">, affiliates, and </w:t>
      </w:r>
      <w:r w:rsidR="002D50E0" w:rsidRPr="00D44091">
        <w:rPr>
          <w:color w:val="000000" w:themeColor="text1"/>
        </w:rPr>
        <w:t>NGEPs</w:t>
      </w:r>
      <w:r w:rsidR="00FF6FA6" w:rsidRPr="00D44091">
        <w:rPr>
          <w:color w:val="000000" w:themeColor="text1"/>
        </w:rPr>
        <w:t xml:space="preserve"> enter into such agreements, as well as the terms of the agreements.  </w:t>
      </w:r>
    </w:p>
    <w:p w14:paraId="36BEC86F" w14:textId="77777777" w:rsidR="009673D8" w:rsidRPr="00D44091" w:rsidRDefault="009673D8" w:rsidP="00221900">
      <w:pPr>
        <w:tabs>
          <w:tab w:val="left" w:pos="720"/>
        </w:tabs>
        <w:ind w:right="-450"/>
        <w:rPr>
          <w:b/>
          <w:i/>
          <w:color w:val="000000" w:themeColor="text1"/>
        </w:rPr>
      </w:pPr>
    </w:p>
    <w:p w14:paraId="501C145A" w14:textId="77777777" w:rsidR="00FF6FA6" w:rsidRPr="00D44091" w:rsidRDefault="00FF6FA6" w:rsidP="00221900">
      <w:pPr>
        <w:tabs>
          <w:tab w:val="left" w:pos="720"/>
        </w:tabs>
        <w:ind w:right="-450"/>
        <w:rPr>
          <w:b/>
          <w:i/>
          <w:color w:val="000000" w:themeColor="text1"/>
        </w:rPr>
      </w:pPr>
      <w:r w:rsidRPr="00D44091">
        <w:rPr>
          <w:b/>
          <w:i/>
          <w:color w:val="000000" w:themeColor="text1"/>
        </w:rPr>
        <w:t>3.</w:t>
      </w:r>
      <w:r w:rsidRPr="00D44091">
        <w:rPr>
          <w:b/>
          <w:i/>
          <w:color w:val="000000" w:themeColor="text1"/>
        </w:rPr>
        <w:tab/>
        <w:t>Consideration of the use of improved information technolog</w:t>
      </w:r>
      <w:r w:rsidR="00DD544B" w:rsidRPr="00D44091">
        <w:rPr>
          <w:b/>
          <w:i/>
          <w:color w:val="000000" w:themeColor="text1"/>
        </w:rPr>
        <w:t>y:</w:t>
      </w:r>
    </w:p>
    <w:p w14:paraId="6045AC37" w14:textId="77777777" w:rsidR="00FF6FA6" w:rsidRPr="00D44091" w:rsidRDefault="00FF6FA6" w:rsidP="00221900">
      <w:pPr>
        <w:ind w:left="360" w:right="-450"/>
        <w:rPr>
          <w:color w:val="000000" w:themeColor="text1"/>
          <w:u w:val="single"/>
        </w:rPr>
      </w:pPr>
    </w:p>
    <w:p w14:paraId="6BECACEB" w14:textId="77777777" w:rsidR="00FF6FA6" w:rsidRPr="00D44091" w:rsidRDefault="00FF6FA6" w:rsidP="00221900">
      <w:pPr>
        <w:pStyle w:val="BodyText2"/>
        <w:ind w:left="0" w:right="-450" w:firstLine="720"/>
        <w:rPr>
          <w:color w:val="000000" w:themeColor="text1"/>
        </w:rPr>
      </w:pPr>
      <w:r w:rsidRPr="00D44091">
        <w:rPr>
          <w:color w:val="000000" w:themeColor="text1"/>
        </w:rPr>
        <w:t>Each institution is free to use any technology that is reasonable and appropriate for its circumstances.</w:t>
      </w:r>
    </w:p>
    <w:p w14:paraId="71B2A5A2" w14:textId="77777777" w:rsidR="00DD544B" w:rsidRPr="00D44091" w:rsidRDefault="00DD544B" w:rsidP="00221900">
      <w:pPr>
        <w:ind w:left="360" w:right="-450"/>
        <w:rPr>
          <w:color w:val="000000" w:themeColor="text1"/>
        </w:rPr>
      </w:pPr>
    </w:p>
    <w:p w14:paraId="6D893834" w14:textId="77777777" w:rsidR="00462508" w:rsidRPr="00D44091" w:rsidRDefault="00462508" w:rsidP="00221900">
      <w:pPr>
        <w:tabs>
          <w:tab w:val="left" w:pos="720"/>
        </w:tabs>
        <w:ind w:right="-450"/>
        <w:rPr>
          <w:b/>
          <w:i/>
          <w:color w:val="000000" w:themeColor="text1"/>
        </w:rPr>
      </w:pPr>
    </w:p>
    <w:p w14:paraId="443E0293" w14:textId="77777777" w:rsidR="00462508" w:rsidRPr="00D44091" w:rsidRDefault="00462508" w:rsidP="00221900">
      <w:pPr>
        <w:tabs>
          <w:tab w:val="left" w:pos="720"/>
        </w:tabs>
        <w:ind w:right="-450"/>
        <w:rPr>
          <w:b/>
          <w:i/>
          <w:color w:val="000000" w:themeColor="text1"/>
        </w:rPr>
      </w:pPr>
    </w:p>
    <w:p w14:paraId="19F59998" w14:textId="77777777" w:rsidR="00462508" w:rsidRPr="00D44091" w:rsidRDefault="00462508" w:rsidP="00221900">
      <w:pPr>
        <w:tabs>
          <w:tab w:val="left" w:pos="720"/>
        </w:tabs>
        <w:ind w:right="-450"/>
        <w:rPr>
          <w:b/>
          <w:i/>
          <w:color w:val="000000" w:themeColor="text1"/>
        </w:rPr>
      </w:pPr>
    </w:p>
    <w:p w14:paraId="7E122E09" w14:textId="77777777" w:rsidR="00FF6FA6" w:rsidRPr="00D44091" w:rsidRDefault="00FF6FA6" w:rsidP="00221900">
      <w:pPr>
        <w:tabs>
          <w:tab w:val="left" w:pos="720"/>
        </w:tabs>
        <w:ind w:right="-450"/>
        <w:rPr>
          <w:b/>
          <w:i/>
          <w:color w:val="000000" w:themeColor="text1"/>
        </w:rPr>
      </w:pPr>
      <w:r w:rsidRPr="00D44091">
        <w:rPr>
          <w:b/>
          <w:i/>
          <w:color w:val="000000" w:themeColor="text1"/>
        </w:rPr>
        <w:t>4.</w:t>
      </w:r>
      <w:r w:rsidRPr="00D44091">
        <w:rPr>
          <w:b/>
          <w:i/>
          <w:color w:val="000000" w:themeColor="text1"/>
        </w:rPr>
        <w:tab/>
        <w:t>Efforts to identify duplication</w:t>
      </w:r>
      <w:r w:rsidR="00DD544B" w:rsidRPr="00D44091">
        <w:rPr>
          <w:b/>
          <w:i/>
          <w:color w:val="000000" w:themeColor="text1"/>
        </w:rPr>
        <w:t>:</w:t>
      </w:r>
    </w:p>
    <w:p w14:paraId="1A7D1CF6" w14:textId="77777777" w:rsidR="00FF6FA6" w:rsidRPr="00D44091" w:rsidRDefault="00FF6FA6" w:rsidP="00221900">
      <w:pPr>
        <w:ind w:left="360" w:right="-450"/>
        <w:rPr>
          <w:color w:val="000000" w:themeColor="text1"/>
        </w:rPr>
      </w:pPr>
    </w:p>
    <w:p w14:paraId="4CCCCF6D" w14:textId="6CC0FF90" w:rsidR="00FF6FA6" w:rsidRPr="00D44091" w:rsidRDefault="002C1412" w:rsidP="00221900">
      <w:pPr>
        <w:pStyle w:val="BodyText2"/>
        <w:ind w:left="0" w:right="-450" w:firstLine="720"/>
        <w:outlineLvl w:val="0"/>
        <w:rPr>
          <w:color w:val="000000" w:themeColor="text1"/>
        </w:rPr>
      </w:pPr>
      <w:r>
        <w:rPr>
          <w:color w:val="000000" w:themeColor="text1"/>
        </w:rPr>
        <w:t xml:space="preserve">The </w:t>
      </w:r>
      <w:r w:rsidR="00FF6FA6" w:rsidRPr="00D44091">
        <w:rPr>
          <w:color w:val="000000" w:themeColor="text1"/>
        </w:rPr>
        <w:t>CRA Sunshine</w:t>
      </w:r>
      <w:r>
        <w:rPr>
          <w:color w:val="000000" w:themeColor="text1"/>
        </w:rPr>
        <w:t xml:space="preserve"> regulation</w:t>
      </w:r>
      <w:r w:rsidR="00FF6FA6" w:rsidRPr="00D44091">
        <w:rPr>
          <w:color w:val="000000" w:themeColor="text1"/>
        </w:rPr>
        <w:t xml:space="preserve"> information does not duplicate information collected elsewhere.</w:t>
      </w:r>
      <w:r w:rsidR="003B603C" w:rsidRPr="00D44091">
        <w:rPr>
          <w:color w:val="000000" w:themeColor="text1"/>
        </w:rPr>
        <w:t xml:space="preserve">  </w:t>
      </w:r>
      <w:r w:rsidR="004F41D7">
        <w:rPr>
          <w:color w:val="000000" w:themeColor="text1"/>
        </w:rPr>
        <w:t>Twelve</w:t>
      </w:r>
      <w:r w:rsidR="003B603C" w:rsidRPr="00D44091">
        <w:rPr>
          <w:color w:val="000000" w:themeColor="text1"/>
        </w:rPr>
        <w:t xml:space="preserve"> CFR 35.7(d)(3), however, provides that the annual report filed by a NGEP may consist of </w:t>
      </w:r>
      <w:r w:rsidR="00C73DBD">
        <w:rPr>
          <w:color w:val="000000" w:themeColor="text1"/>
        </w:rPr>
        <w:t xml:space="preserve">or incorporate </w:t>
      </w:r>
      <w:r w:rsidR="003B603C" w:rsidRPr="00D44091">
        <w:rPr>
          <w:color w:val="000000" w:themeColor="text1"/>
        </w:rPr>
        <w:t>a report prepared for any other purpose.</w:t>
      </w:r>
    </w:p>
    <w:p w14:paraId="683E5C11" w14:textId="77777777" w:rsidR="00442F59" w:rsidRPr="00D44091" w:rsidRDefault="00442F59" w:rsidP="00221900">
      <w:pPr>
        <w:pStyle w:val="BodyText2"/>
        <w:ind w:left="0" w:right="-450" w:firstLine="720"/>
        <w:outlineLvl w:val="0"/>
        <w:rPr>
          <w:color w:val="000000" w:themeColor="text1"/>
        </w:rPr>
      </w:pPr>
    </w:p>
    <w:p w14:paraId="3B5EDF5A" w14:textId="77777777" w:rsidR="00442F59" w:rsidRPr="00D44091" w:rsidRDefault="00442F59" w:rsidP="00221900">
      <w:pPr>
        <w:pStyle w:val="BodyText"/>
        <w:widowControl w:val="0"/>
        <w:ind w:right="861"/>
        <w:rPr>
          <w:b/>
          <w:i/>
          <w:color w:val="000000" w:themeColor="text1"/>
          <w:u w:val="none"/>
        </w:rPr>
      </w:pPr>
      <w:r w:rsidRPr="00D44091">
        <w:rPr>
          <w:b/>
          <w:bCs/>
          <w:i/>
          <w:iCs/>
          <w:color w:val="000000" w:themeColor="text1"/>
          <w:u w:val="none"/>
        </w:rPr>
        <w:t>5.</w:t>
      </w:r>
      <w:r w:rsidRPr="00D44091">
        <w:rPr>
          <w:b/>
          <w:bCs/>
          <w:i/>
          <w:iCs/>
          <w:color w:val="000000" w:themeColor="text1"/>
          <w:u w:val="none"/>
        </w:rPr>
        <w:tab/>
      </w:r>
      <w:r w:rsidRPr="00D44091">
        <w:rPr>
          <w:b/>
          <w:i/>
          <w:color w:val="000000" w:themeColor="text1"/>
          <w:spacing w:val="-2"/>
          <w:u w:val="none"/>
        </w:rPr>
        <w:t>If</w:t>
      </w:r>
      <w:r w:rsidRPr="00D44091">
        <w:rPr>
          <w:b/>
          <w:i/>
          <w:color w:val="000000" w:themeColor="text1"/>
          <w:spacing w:val="-8"/>
          <w:u w:val="none"/>
        </w:rPr>
        <w:t xml:space="preserve"> </w:t>
      </w:r>
      <w:r w:rsidRPr="00D44091">
        <w:rPr>
          <w:b/>
          <w:i/>
          <w:color w:val="000000" w:themeColor="text1"/>
          <w:u w:val="none"/>
        </w:rPr>
        <w:t>the</w:t>
      </w:r>
      <w:r w:rsidRPr="00D44091">
        <w:rPr>
          <w:b/>
          <w:i/>
          <w:color w:val="000000" w:themeColor="text1"/>
          <w:spacing w:val="-7"/>
          <w:u w:val="none"/>
        </w:rPr>
        <w:t xml:space="preserve"> </w:t>
      </w:r>
      <w:r w:rsidRPr="00D44091">
        <w:rPr>
          <w:b/>
          <w:i/>
          <w:color w:val="000000" w:themeColor="text1"/>
          <w:spacing w:val="-1"/>
          <w:u w:val="none"/>
        </w:rPr>
        <w:t>collection</w:t>
      </w:r>
      <w:r w:rsidRPr="00D44091">
        <w:rPr>
          <w:b/>
          <w:i/>
          <w:color w:val="000000" w:themeColor="text1"/>
          <w:spacing w:val="-7"/>
          <w:u w:val="none"/>
        </w:rPr>
        <w:t xml:space="preserve"> </w:t>
      </w:r>
      <w:r w:rsidRPr="00D44091">
        <w:rPr>
          <w:b/>
          <w:i/>
          <w:color w:val="000000" w:themeColor="text1"/>
          <w:u w:val="none"/>
        </w:rPr>
        <w:t>of</w:t>
      </w:r>
      <w:r w:rsidRPr="00D44091">
        <w:rPr>
          <w:b/>
          <w:i/>
          <w:color w:val="000000" w:themeColor="text1"/>
          <w:spacing w:val="-8"/>
          <w:u w:val="none"/>
        </w:rPr>
        <w:t xml:space="preserve"> </w:t>
      </w:r>
      <w:r w:rsidRPr="00D44091">
        <w:rPr>
          <w:b/>
          <w:i/>
          <w:color w:val="000000" w:themeColor="text1"/>
          <w:spacing w:val="-1"/>
          <w:u w:val="none"/>
        </w:rPr>
        <w:t>information</w:t>
      </w:r>
      <w:r w:rsidRPr="00D44091">
        <w:rPr>
          <w:b/>
          <w:i/>
          <w:color w:val="000000" w:themeColor="text1"/>
          <w:spacing w:val="-7"/>
          <w:u w:val="none"/>
        </w:rPr>
        <w:t xml:space="preserve"> </w:t>
      </w:r>
      <w:r w:rsidRPr="00D44091">
        <w:rPr>
          <w:b/>
          <w:i/>
          <w:color w:val="000000" w:themeColor="text1"/>
          <w:spacing w:val="-1"/>
          <w:u w:val="none"/>
        </w:rPr>
        <w:t>impacts</w:t>
      </w:r>
      <w:r w:rsidRPr="00D44091">
        <w:rPr>
          <w:b/>
          <w:i/>
          <w:color w:val="000000" w:themeColor="text1"/>
          <w:spacing w:val="-6"/>
          <w:u w:val="none"/>
        </w:rPr>
        <w:t xml:space="preserve"> </w:t>
      </w:r>
      <w:r w:rsidRPr="00D44091">
        <w:rPr>
          <w:b/>
          <w:i/>
          <w:color w:val="000000" w:themeColor="text1"/>
          <w:spacing w:val="-1"/>
          <w:u w:val="none"/>
        </w:rPr>
        <w:t>small</w:t>
      </w:r>
      <w:r w:rsidRPr="00D44091">
        <w:rPr>
          <w:b/>
          <w:i/>
          <w:color w:val="000000" w:themeColor="text1"/>
          <w:spacing w:val="-7"/>
          <w:u w:val="none"/>
        </w:rPr>
        <w:t xml:space="preserve"> </w:t>
      </w:r>
      <w:r w:rsidRPr="00D44091">
        <w:rPr>
          <w:b/>
          <w:i/>
          <w:color w:val="000000" w:themeColor="text1"/>
          <w:spacing w:val="-1"/>
          <w:u w:val="none"/>
        </w:rPr>
        <w:t>businesses</w:t>
      </w:r>
      <w:r w:rsidRPr="00D44091">
        <w:rPr>
          <w:b/>
          <w:i/>
          <w:color w:val="000000" w:themeColor="text1"/>
          <w:spacing w:val="-6"/>
          <w:u w:val="none"/>
        </w:rPr>
        <w:t xml:space="preserve"> </w:t>
      </w:r>
      <w:r w:rsidRPr="00D44091">
        <w:rPr>
          <w:b/>
          <w:i/>
          <w:color w:val="000000" w:themeColor="text1"/>
          <w:u w:val="none"/>
        </w:rPr>
        <w:t>or</w:t>
      </w:r>
      <w:r w:rsidRPr="00D44091">
        <w:rPr>
          <w:b/>
          <w:i/>
          <w:color w:val="000000" w:themeColor="text1"/>
          <w:spacing w:val="-8"/>
          <w:u w:val="none"/>
        </w:rPr>
        <w:t xml:space="preserve"> </w:t>
      </w:r>
      <w:r w:rsidRPr="00D44091">
        <w:rPr>
          <w:b/>
          <w:i/>
          <w:color w:val="000000" w:themeColor="text1"/>
          <w:spacing w:val="1"/>
          <w:u w:val="none"/>
        </w:rPr>
        <w:t>other</w:t>
      </w:r>
      <w:r w:rsidRPr="00D44091">
        <w:rPr>
          <w:b/>
          <w:i/>
          <w:color w:val="000000" w:themeColor="text1"/>
          <w:spacing w:val="-7"/>
          <w:u w:val="none"/>
        </w:rPr>
        <w:t xml:space="preserve"> </w:t>
      </w:r>
      <w:r w:rsidRPr="00D44091">
        <w:rPr>
          <w:b/>
          <w:i/>
          <w:color w:val="000000" w:themeColor="text1"/>
          <w:spacing w:val="-1"/>
          <w:u w:val="none"/>
        </w:rPr>
        <w:t>small</w:t>
      </w:r>
      <w:r w:rsidRPr="00D44091">
        <w:rPr>
          <w:b/>
          <w:i/>
          <w:color w:val="000000" w:themeColor="text1"/>
          <w:spacing w:val="-6"/>
          <w:u w:val="none"/>
        </w:rPr>
        <w:t xml:space="preserve"> </w:t>
      </w:r>
      <w:r w:rsidRPr="00D44091">
        <w:rPr>
          <w:b/>
          <w:i/>
          <w:color w:val="000000" w:themeColor="text1"/>
          <w:u w:val="none"/>
        </w:rPr>
        <w:t>entities, describe</w:t>
      </w:r>
      <w:r w:rsidRPr="00D44091">
        <w:rPr>
          <w:b/>
          <w:i/>
          <w:color w:val="000000" w:themeColor="text1"/>
          <w:spacing w:val="-7"/>
          <w:u w:val="none"/>
        </w:rPr>
        <w:t xml:space="preserve"> </w:t>
      </w:r>
      <w:r w:rsidRPr="00D44091">
        <w:rPr>
          <w:b/>
          <w:i/>
          <w:color w:val="000000" w:themeColor="text1"/>
          <w:spacing w:val="1"/>
          <w:u w:val="none"/>
        </w:rPr>
        <w:t>any</w:t>
      </w:r>
      <w:r w:rsidRPr="00D44091">
        <w:rPr>
          <w:b/>
          <w:i/>
          <w:color w:val="000000" w:themeColor="text1"/>
          <w:spacing w:val="-11"/>
          <w:u w:val="none"/>
        </w:rPr>
        <w:t xml:space="preserve"> </w:t>
      </w:r>
      <w:r w:rsidRPr="00D44091">
        <w:rPr>
          <w:b/>
          <w:i/>
          <w:color w:val="000000" w:themeColor="text1"/>
          <w:spacing w:val="-1"/>
          <w:u w:val="none"/>
        </w:rPr>
        <w:t>methods</w:t>
      </w:r>
      <w:r w:rsidRPr="00D44091">
        <w:rPr>
          <w:b/>
          <w:i/>
          <w:color w:val="000000" w:themeColor="text1"/>
          <w:spacing w:val="-8"/>
          <w:u w:val="none"/>
        </w:rPr>
        <w:t xml:space="preserve"> </w:t>
      </w:r>
      <w:r w:rsidRPr="00D44091">
        <w:rPr>
          <w:b/>
          <w:i/>
          <w:color w:val="000000" w:themeColor="text1"/>
          <w:spacing w:val="-1"/>
          <w:u w:val="none"/>
        </w:rPr>
        <w:t>used</w:t>
      </w:r>
      <w:r w:rsidRPr="00D44091">
        <w:rPr>
          <w:b/>
          <w:i/>
          <w:color w:val="000000" w:themeColor="text1"/>
          <w:spacing w:val="-8"/>
          <w:u w:val="none"/>
        </w:rPr>
        <w:t xml:space="preserve"> </w:t>
      </w:r>
      <w:r w:rsidRPr="00D44091">
        <w:rPr>
          <w:b/>
          <w:i/>
          <w:color w:val="000000" w:themeColor="text1"/>
          <w:u w:val="none"/>
        </w:rPr>
        <w:t>to</w:t>
      </w:r>
      <w:r w:rsidRPr="00D44091">
        <w:rPr>
          <w:b/>
          <w:i/>
          <w:color w:val="000000" w:themeColor="text1"/>
          <w:spacing w:val="-8"/>
          <w:u w:val="none"/>
        </w:rPr>
        <w:t xml:space="preserve"> </w:t>
      </w:r>
      <w:r w:rsidRPr="00D44091">
        <w:rPr>
          <w:b/>
          <w:i/>
          <w:color w:val="000000" w:themeColor="text1"/>
          <w:u w:val="none"/>
        </w:rPr>
        <w:t>minimize</w:t>
      </w:r>
      <w:r w:rsidRPr="00D44091">
        <w:rPr>
          <w:b/>
          <w:i/>
          <w:color w:val="000000" w:themeColor="text1"/>
          <w:spacing w:val="-8"/>
          <w:u w:val="none"/>
        </w:rPr>
        <w:t xml:space="preserve"> </w:t>
      </w:r>
      <w:r w:rsidRPr="00D44091">
        <w:rPr>
          <w:b/>
          <w:i/>
          <w:color w:val="000000" w:themeColor="text1"/>
          <w:spacing w:val="-1"/>
          <w:u w:val="none"/>
        </w:rPr>
        <w:t>burden.</w:t>
      </w:r>
    </w:p>
    <w:p w14:paraId="41AB5E1B" w14:textId="77777777" w:rsidR="00442F59" w:rsidRPr="00D44091" w:rsidRDefault="00442F59" w:rsidP="00221900">
      <w:pPr>
        <w:rPr>
          <w:color w:val="000000" w:themeColor="text1"/>
        </w:rPr>
      </w:pPr>
    </w:p>
    <w:p w14:paraId="6646068D" w14:textId="43193245" w:rsidR="006B6545" w:rsidRDefault="006B6545" w:rsidP="00221900">
      <w:pPr>
        <w:ind w:firstLine="720"/>
        <w:rPr>
          <w:color w:val="000000" w:themeColor="text1"/>
          <w:szCs w:val="24"/>
        </w:rPr>
      </w:pPr>
      <w:r w:rsidRPr="00D44091">
        <w:rPr>
          <w:color w:val="000000" w:themeColor="text1"/>
          <w:szCs w:val="24"/>
        </w:rPr>
        <w:t xml:space="preserve">This regulation implements the requirements of 12 U.S.C. 1831y and applies regardless of the size of the </w:t>
      </w:r>
      <w:r w:rsidR="004F41D7" w:rsidRPr="00BD2333">
        <w:rPr>
          <w:color w:val="000000" w:themeColor="text1"/>
          <w:szCs w:val="24"/>
        </w:rPr>
        <w:t>IDI</w:t>
      </w:r>
      <w:r w:rsidRPr="00D44091">
        <w:rPr>
          <w:color w:val="000000" w:themeColor="text1"/>
          <w:szCs w:val="24"/>
        </w:rPr>
        <w:t>, affiliate, or NGEP.  Twelve U.S.C. 1831y does not permit exemptions based on size.  The collections of information in the rule require:</w:t>
      </w:r>
    </w:p>
    <w:p w14:paraId="7525E90B" w14:textId="77777777" w:rsidR="002617E1" w:rsidRPr="00D44091" w:rsidRDefault="002617E1" w:rsidP="00221900">
      <w:pPr>
        <w:ind w:firstLine="720"/>
        <w:rPr>
          <w:color w:val="000000" w:themeColor="text1"/>
          <w:szCs w:val="24"/>
        </w:rPr>
      </w:pPr>
    </w:p>
    <w:p w14:paraId="277639C6" w14:textId="77777777" w:rsidR="006B6545" w:rsidRPr="00D44091" w:rsidRDefault="006B6545" w:rsidP="00D44091">
      <w:pPr>
        <w:pStyle w:val="ListParagraph"/>
        <w:numPr>
          <w:ilvl w:val="0"/>
          <w:numId w:val="8"/>
        </w:numPr>
        <w:spacing w:line="240" w:lineRule="auto"/>
        <w:rPr>
          <w:rFonts w:ascii="Times New Roman" w:hAnsi="Times New Roman" w:cs="Times New Roman"/>
          <w:color w:val="000000" w:themeColor="text1"/>
          <w:sz w:val="24"/>
          <w:szCs w:val="24"/>
        </w:rPr>
      </w:pPr>
      <w:r w:rsidRPr="00D44091">
        <w:rPr>
          <w:rFonts w:ascii="Times New Roman" w:hAnsi="Times New Roman" w:cs="Times New Roman"/>
          <w:color w:val="000000" w:themeColor="text1"/>
          <w:sz w:val="24"/>
          <w:szCs w:val="24"/>
        </w:rPr>
        <w:t xml:space="preserve">IDIs or affiliates to notify NGEPs that are parties to certain agreements that these are agreements with a CRA affiliate; </w:t>
      </w:r>
    </w:p>
    <w:p w14:paraId="7D931FA4" w14:textId="38AA5DC1" w:rsidR="006B6545" w:rsidRPr="00D44091" w:rsidRDefault="006B6545" w:rsidP="00D44091">
      <w:pPr>
        <w:pStyle w:val="ListParagraph"/>
        <w:numPr>
          <w:ilvl w:val="0"/>
          <w:numId w:val="8"/>
        </w:numPr>
        <w:spacing w:line="240" w:lineRule="auto"/>
        <w:rPr>
          <w:rFonts w:ascii="Times New Roman" w:hAnsi="Times New Roman" w:cs="Times New Roman"/>
          <w:color w:val="000000" w:themeColor="text1"/>
          <w:sz w:val="24"/>
          <w:szCs w:val="24"/>
        </w:rPr>
      </w:pPr>
      <w:r w:rsidRPr="00D44091">
        <w:rPr>
          <w:rFonts w:ascii="Times New Roman" w:hAnsi="Times New Roman" w:cs="Times New Roman"/>
          <w:color w:val="000000" w:themeColor="text1"/>
          <w:sz w:val="24"/>
          <w:szCs w:val="24"/>
        </w:rPr>
        <w:t xml:space="preserve">NGEPs and IDIs </w:t>
      </w:r>
      <w:r w:rsidR="004D3493">
        <w:rPr>
          <w:rFonts w:ascii="Times New Roman" w:hAnsi="Times New Roman" w:cs="Times New Roman"/>
          <w:color w:val="000000" w:themeColor="text1"/>
          <w:sz w:val="24"/>
          <w:szCs w:val="24"/>
        </w:rPr>
        <w:t>or</w:t>
      </w:r>
      <w:r w:rsidRPr="00D44091">
        <w:rPr>
          <w:rFonts w:ascii="Times New Roman" w:hAnsi="Times New Roman" w:cs="Times New Roman"/>
          <w:color w:val="000000" w:themeColor="text1"/>
          <w:sz w:val="24"/>
          <w:szCs w:val="24"/>
        </w:rPr>
        <w:t xml:space="preserve"> their affiliates to make a copy of a covered agreement available to any individual or entity upon request; </w:t>
      </w:r>
    </w:p>
    <w:p w14:paraId="1031D80F" w14:textId="77777777" w:rsidR="006B6545" w:rsidRPr="00D44091" w:rsidRDefault="006B6545" w:rsidP="00D44091">
      <w:pPr>
        <w:pStyle w:val="ListParagraph"/>
        <w:numPr>
          <w:ilvl w:val="0"/>
          <w:numId w:val="8"/>
        </w:numPr>
        <w:spacing w:line="240" w:lineRule="auto"/>
        <w:rPr>
          <w:rFonts w:ascii="Times New Roman" w:hAnsi="Times New Roman" w:cs="Times New Roman"/>
          <w:color w:val="000000" w:themeColor="text1"/>
          <w:sz w:val="24"/>
          <w:szCs w:val="24"/>
        </w:rPr>
      </w:pPr>
      <w:r w:rsidRPr="00D44091">
        <w:rPr>
          <w:rFonts w:ascii="Times New Roman" w:hAnsi="Times New Roman" w:cs="Times New Roman"/>
          <w:color w:val="000000" w:themeColor="text1"/>
          <w:sz w:val="24"/>
          <w:szCs w:val="24"/>
        </w:rPr>
        <w:t xml:space="preserve">NGEPs to provide a copy of the covered agreement within 30 days of receiving a request from the relevant supervisory agency; </w:t>
      </w:r>
    </w:p>
    <w:p w14:paraId="633A6621" w14:textId="77777777" w:rsidR="006B6545" w:rsidRPr="00D44091" w:rsidRDefault="006B6545" w:rsidP="00D44091">
      <w:pPr>
        <w:pStyle w:val="ListParagraph"/>
        <w:numPr>
          <w:ilvl w:val="0"/>
          <w:numId w:val="8"/>
        </w:numPr>
        <w:spacing w:line="240" w:lineRule="auto"/>
        <w:rPr>
          <w:rFonts w:ascii="Times New Roman" w:hAnsi="Times New Roman" w:cs="Times New Roman"/>
          <w:color w:val="000000" w:themeColor="text1"/>
          <w:sz w:val="24"/>
          <w:szCs w:val="24"/>
        </w:rPr>
      </w:pPr>
      <w:r w:rsidRPr="00D44091">
        <w:rPr>
          <w:rFonts w:ascii="Times New Roman" w:hAnsi="Times New Roman" w:cs="Times New Roman"/>
          <w:color w:val="000000" w:themeColor="text1"/>
          <w:sz w:val="24"/>
          <w:szCs w:val="24"/>
        </w:rPr>
        <w:t>Each IDI and affiliate to provide each relevant supervisory agency with a copy of each covered agreement or a list of all covered agreements entered into during the calendar quarter, within 60 days of the end of each calendar quarter;</w:t>
      </w:r>
      <w:r w:rsidRPr="00D44091">
        <w:rPr>
          <w:rStyle w:val="FootnoteReference"/>
          <w:rFonts w:ascii="Times New Roman" w:hAnsi="Times New Roman" w:cs="Times New Roman"/>
          <w:color w:val="000000" w:themeColor="text1"/>
          <w:sz w:val="24"/>
          <w:szCs w:val="24"/>
        </w:rPr>
        <w:footnoteReference w:id="6"/>
      </w:r>
      <w:r w:rsidRPr="00D44091">
        <w:rPr>
          <w:rFonts w:ascii="Times New Roman" w:hAnsi="Times New Roman" w:cs="Times New Roman"/>
          <w:color w:val="000000" w:themeColor="text1"/>
          <w:sz w:val="24"/>
          <w:szCs w:val="24"/>
        </w:rPr>
        <w:t xml:space="preserve"> and </w:t>
      </w:r>
    </w:p>
    <w:p w14:paraId="526CE00C" w14:textId="77777777" w:rsidR="006B6545" w:rsidRPr="00D44091" w:rsidRDefault="006B6545" w:rsidP="00D44091">
      <w:pPr>
        <w:pStyle w:val="ListParagraph"/>
        <w:numPr>
          <w:ilvl w:val="0"/>
          <w:numId w:val="8"/>
        </w:numPr>
        <w:spacing w:line="240" w:lineRule="auto"/>
        <w:rPr>
          <w:rFonts w:ascii="Times New Roman" w:hAnsi="Times New Roman" w:cs="Times New Roman"/>
          <w:color w:val="000000" w:themeColor="text1"/>
          <w:sz w:val="24"/>
          <w:szCs w:val="24"/>
        </w:rPr>
      </w:pPr>
      <w:r w:rsidRPr="00D44091">
        <w:rPr>
          <w:rFonts w:ascii="Times New Roman" w:hAnsi="Times New Roman" w:cs="Times New Roman"/>
          <w:color w:val="000000" w:themeColor="text1"/>
          <w:sz w:val="24"/>
          <w:szCs w:val="24"/>
        </w:rPr>
        <w:t xml:space="preserve">Annual reporting.      </w:t>
      </w:r>
    </w:p>
    <w:p w14:paraId="35DC00F4" w14:textId="154F6AC6" w:rsidR="006B6545" w:rsidRPr="00D44091" w:rsidRDefault="006B6545" w:rsidP="00221900">
      <w:pPr>
        <w:ind w:firstLine="720"/>
        <w:rPr>
          <w:color w:val="000000" w:themeColor="text1"/>
          <w:szCs w:val="24"/>
        </w:rPr>
      </w:pPr>
      <w:r w:rsidRPr="00D44091">
        <w:rPr>
          <w:color w:val="000000" w:themeColor="text1"/>
          <w:szCs w:val="24"/>
        </w:rPr>
        <w:t>As part of the rulemaking, the OCC sought to reduce the burden of complying with the requirements of this rule wherever possible and consistent with 12 U.S.C. 1831y.  The rule permits NGEPs and IDIs and their affiliates to charge reasonable fees not to exceed the cost of copying and mailing the agreement when responding to an individual or entity’s request for a copy of a covered agreement.  The rule permits IDIs and affiliates to make covered agreements available to the public by placing copies of covered agreements in the IDI’s CRA public file.</w:t>
      </w:r>
      <w:r w:rsidRPr="00D44091">
        <w:rPr>
          <w:rStyle w:val="FootnoteReference"/>
          <w:color w:val="000000" w:themeColor="text1"/>
          <w:szCs w:val="24"/>
        </w:rPr>
        <w:footnoteReference w:id="7"/>
      </w:r>
      <w:r w:rsidRPr="00D44091">
        <w:rPr>
          <w:color w:val="000000" w:themeColor="text1"/>
          <w:szCs w:val="24"/>
        </w:rPr>
        <w:t xml:space="preserve">  The rule also permits IDIs and their affiliates to submit to the relevant supervisory agencies a list of covered agreements entered into within the last calendar quarter rather than copies of each covered agreement.  Finally, the rule permits joint filing of the quarterly disclosures in the event that two or more IDIs or affiliates are parties to a covered agreement.  Other alternatives were considered as part of the rulemaking, including more or less frequent reporting.  However, th</w:t>
      </w:r>
      <w:r w:rsidR="00843000">
        <w:rPr>
          <w:color w:val="000000" w:themeColor="text1"/>
          <w:szCs w:val="24"/>
        </w:rPr>
        <w:t>e required</w:t>
      </w:r>
      <w:r w:rsidRPr="00D44091">
        <w:rPr>
          <w:color w:val="000000" w:themeColor="text1"/>
          <w:szCs w:val="24"/>
        </w:rPr>
        <w:t xml:space="preserve"> notice and access allows the OCC to monitor compliance with the disclosure and reporting requirements of 12 U.S.C. 1831y and respond to requests from the public related to covered agreements.  The rulemaking sought to streamline agency disclosure obligations imposed on IDIs and affiliates in a manner consistent with these principles.  </w:t>
      </w:r>
    </w:p>
    <w:p w14:paraId="541D6D40" w14:textId="77777777" w:rsidR="006B6545" w:rsidRPr="00D44091" w:rsidRDefault="006B6545" w:rsidP="00D44091">
      <w:pPr>
        <w:ind w:firstLine="720"/>
        <w:rPr>
          <w:color w:val="000000" w:themeColor="text1"/>
          <w:szCs w:val="24"/>
        </w:rPr>
      </w:pPr>
      <w:r w:rsidRPr="00D44091">
        <w:rPr>
          <w:color w:val="000000" w:themeColor="text1"/>
          <w:szCs w:val="24"/>
        </w:rPr>
        <w:lastRenderedPageBreak/>
        <w:t xml:space="preserve">The rule reduces the burden of annual reporting by permitting NGEPs to use or incorporate other reports to meet the annual reporting requirement, provided that the annual report filed contains all the required information.  An NGEP that is a party to two or more covered agreements may file a consolidated annual report.  IDIs and affiliates may also file consolidated annual reports.    </w:t>
      </w:r>
    </w:p>
    <w:p w14:paraId="617C4467" w14:textId="77777777" w:rsidR="00FF6FA6" w:rsidRPr="00D44091" w:rsidRDefault="00FF6FA6" w:rsidP="00D44091">
      <w:pPr>
        <w:tabs>
          <w:tab w:val="left" w:pos="360"/>
          <w:tab w:val="left" w:pos="720"/>
        </w:tabs>
        <w:ind w:right="-450"/>
        <w:rPr>
          <w:color w:val="000000" w:themeColor="text1"/>
        </w:rPr>
      </w:pPr>
    </w:p>
    <w:p w14:paraId="7758FF80" w14:textId="37033B46" w:rsidR="00FF6FA6" w:rsidRPr="00D44091" w:rsidRDefault="00FF6FA6" w:rsidP="00D44091">
      <w:pPr>
        <w:tabs>
          <w:tab w:val="left" w:pos="720"/>
        </w:tabs>
        <w:ind w:left="720" w:right="-450" w:hanging="720"/>
        <w:rPr>
          <w:b/>
          <w:i/>
          <w:color w:val="000000" w:themeColor="text1"/>
        </w:rPr>
      </w:pPr>
      <w:r w:rsidRPr="00D44091">
        <w:rPr>
          <w:b/>
          <w:i/>
          <w:color w:val="000000" w:themeColor="text1"/>
        </w:rPr>
        <w:t>6.</w:t>
      </w:r>
      <w:r w:rsidRPr="00D44091">
        <w:rPr>
          <w:b/>
          <w:i/>
          <w:color w:val="000000" w:themeColor="text1"/>
        </w:rPr>
        <w:tab/>
        <w:t xml:space="preserve">Consequences to the </w:t>
      </w:r>
      <w:r w:rsidR="00843000">
        <w:rPr>
          <w:b/>
          <w:i/>
          <w:color w:val="000000" w:themeColor="text1"/>
        </w:rPr>
        <w:t>f</w:t>
      </w:r>
      <w:r w:rsidRPr="00D44091">
        <w:rPr>
          <w:b/>
          <w:i/>
          <w:color w:val="000000" w:themeColor="text1"/>
        </w:rPr>
        <w:t xml:space="preserve">ederal </w:t>
      </w:r>
      <w:r w:rsidR="00843000">
        <w:rPr>
          <w:b/>
          <w:i/>
          <w:color w:val="000000" w:themeColor="text1"/>
        </w:rPr>
        <w:t>p</w:t>
      </w:r>
      <w:r w:rsidRPr="00D44091">
        <w:rPr>
          <w:b/>
          <w:i/>
          <w:color w:val="000000" w:themeColor="text1"/>
        </w:rPr>
        <w:t>rogram if the collections</w:t>
      </w:r>
      <w:r w:rsidR="00DD544B" w:rsidRPr="00D44091">
        <w:rPr>
          <w:b/>
          <w:i/>
          <w:color w:val="000000" w:themeColor="text1"/>
        </w:rPr>
        <w:t xml:space="preserve"> were conducted less frequently:</w:t>
      </w:r>
    </w:p>
    <w:p w14:paraId="2C4EDAC5" w14:textId="77777777" w:rsidR="00FF6FA6" w:rsidRPr="00D44091" w:rsidRDefault="00FF6FA6" w:rsidP="00D44091">
      <w:pPr>
        <w:ind w:right="-450"/>
        <w:rPr>
          <w:color w:val="000000" w:themeColor="text1"/>
        </w:rPr>
      </w:pPr>
    </w:p>
    <w:p w14:paraId="682B8869" w14:textId="1205ADC5" w:rsidR="00FF6FA6" w:rsidRPr="00D44091" w:rsidRDefault="00FF6FA6" w:rsidP="00D44091">
      <w:pPr>
        <w:ind w:right="-450" w:firstLine="720"/>
        <w:outlineLvl w:val="0"/>
        <w:rPr>
          <w:color w:val="000000" w:themeColor="text1"/>
        </w:rPr>
      </w:pPr>
      <w:r w:rsidRPr="00D44091">
        <w:rPr>
          <w:color w:val="000000" w:themeColor="text1"/>
        </w:rPr>
        <w:t xml:space="preserve">Less frequent collection would be in violation of a </w:t>
      </w:r>
      <w:r w:rsidR="00843000">
        <w:rPr>
          <w:color w:val="000000" w:themeColor="text1"/>
        </w:rPr>
        <w:t>f</w:t>
      </w:r>
      <w:r w:rsidRPr="00D44091">
        <w:rPr>
          <w:color w:val="000000" w:themeColor="text1"/>
        </w:rPr>
        <w:t>ederal statute.</w:t>
      </w:r>
    </w:p>
    <w:p w14:paraId="691D23F8" w14:textId="77777777" w:rsidR="00FF6FA6" w:rsidRPr="00D44091" w:rsidRDefault="00FF6FA6" w:rsidP="00D44091">
      <w:pPr>
        <w:ind w:left="360" w:right="-450"/>
        <w:rPr>
          <w:color w:val="000000" w:themeColor="text1"/>
        </w:rPr>
      </w:pPr>
    </w:p>
    <w:p w14:paraId="1DF9DCA7" w14:textId="7EE82106" w:rsidR="00FF6FA6" w:rsidRPr="00D44091" w:rsidRDefault="00FF6FA6" w:rsidP="00D44091">
      <w:pPr>
        <w:tabs>
          <w:tab w:val="center" w:pos="0"/>
          <w:tab w:val="left" w:pos="720"/>
        </w:tabs>
        <w:ind w:right="-450"/>
        <w:rPr>
          <w:b/>
          <w:i/>
          <w:color w:val="000000" w:themeColor="text1"/>
        </w:rPr>
      </w:pPr>
      <w:r w:rsidRPr="00D44091">
        <w:rPr>
          <w:b/>
          <w:i/>
          <w:color w:val="000000" w:themeColor="text1"/>
        </w:rPr>
        <w:t>7.</w:t>
      </w:r>
      <w:r w:rsidRPr="00D44091">
        <w:rPr>
          <w:b/>
          <w:i/>
          <w:color w:val="000000" w:themeColor="text1"/>
        </w:rPr>
        <w:tab/>
        <w:t xml:space="preserve">Special </w:t>
      </w:r>
      <w:r w:rsidR="00843000">
        <w:rPr>
          <w:b/>
          <w:i/>
          <w:color w:val="000000" w:themeColor="text1"/>
        </w:rPr>
        <w:t>c</w:t>
      </w:r>
      <w:r w:rsidRPr="00D44091">
        <w:rPr>
          <w:b/>
          <w:i/>
          <w:color w:val="000000" w:themeColor="text1"/>
        </w:rPr>
        <w:t>ircumstances necessitating collecti</w:t>
      </w:r>
      <w:r w:rsidR="00DD544B" w:rsidRPr="00D44091">
        <w:rPr>
          <w:b/>
          <w:i/>
          <w:color w:val="000000" w:themeColor="text1"/>
        </w:rPr>
        <w:t xml:space="preserve">on inconsistent with 5 CFR </w:t>
      </w:r>
      <w:r w:rsidR="009673D8" w:rsidRPr="00D44091">
        <w:rPr>
          <w:b/>
          <w:i/>
          <w:color w:val="000000" w:themeColor="text1"/>
        </w:rPr>
        <w:t xml:space="preserve">part </w:t>
      </w:r>
      <w:r w:rsidR="00DD544B" w:rsidRPr="00D44091">
        <w:rPr>
          <w:b/>
          <w:i/>
          <w:color w:val="000000" w:themeColor="text1"/>
        </w:rPr>
        <w:t>1320:</w:t>
      </w:r>
    </w:p>
    <w:p w14:paraId="1592BA4D" w14:textId="77777777" w:rsidR="00FF6FA6" w:rsidRPr="00D44091" w:rsidRDefault="00FF6FA6" w:rsidP="00D44091">
      <w:pPr>
        <w:tabs>
          <w:tab w:val="center" w:pos="0"/>
          <w:tab w:val="left" w:pos="720"/>
        </w:tabs>
        <w:ind w:right="-450"/>
        <w:rPr>
          <w:color w:val="000000" w:themeColor="text1"/>
        </w:rPr>
      </w:pPr>
    </w:p>
    <w:p w14:paraId="3901E853" w14:textId="77777777" w:rsidR="00FF6FA6" w:rsidRPr="00D44091" w:rsidRDefault="00FF6FA6" w:rsidP="00D44091">
      <w:pPr>
        <w:tabs>
          <w:tab w:val="center" w:pos="0"/>
          <w:tab w:val="left" w:pos="720"/>
        </w:tabs>
        <w:ind w:right="-450"/>
        <w:outlineLvl w:val="0"/>
        <w:rPr>
          <w:color w:val="000000" w:themeColor="text1"/>
        </w:rPr>
      </w:pPr>
      <w:r w:rsidRPr="00D44091">
        <w:rPr>
          <w:color w:val="000000" w:themeColor="text1"/>
        </w:rPr>
        <w:tab/>
        <w:t xml:space="preserve">None.  </w:t>
      </w:r>
    </w:p>
    <w:p w14:paraId="193A9584" w14:textId="77777777" w:rsidR="00FF6FA6" w:rsidRPr="00D44091" w:rsidRDefault="00FF6FA6" w:rsidP="00D44091">
      <w:pPr>
        <w:tabs>
          <w:tab w:val="center" w:pos="0"/>
          <w:tab w:val="left" w:pos="720"/>
        </w:tabs>
        <w:ind w:right="-450"/>
        <w:rPr>
          <w:color w:val="000000" w:themeColor="text1"/>
        </w:rPr>
      </w:pPr>
    </w:p>
    <w:p w14:paraId="7786A8DD" w14:textId="77777777" w:rsidR="00FF6FA6" w:rsidRPr="00D44091" w:rsidRDefault="00FF6FA6" w:rsidP="00D44091">
      <w:pPr>
        <w:tabs>
          <w:tab w:val="center" w:pos="0"/>
          <w:tab w:val="left" w:pos="720"/>
        </w:tabs>
        <w:ind w:right="-450"/>
        <w:rPr>
          <w:b/>
          <w:i/>
          <w:color w:val="000000" w:themeColor="text1"/>
        </w:rPr>
      </w:pPr>
      <w:r w:rsidRPr="00D44091">
        <w:rPr>
          <w:b/>
          <w:i/>
          <w:color w:val="000000" w:themeColor="text1"/>
        </w:rPr>
        <w:t>8.</w:t>
      </w:r>
      <w:r w:rsidRPr="00D44091">
        <w:rPr>
          <w:b/>
          <w:i/>
          <w:color w:val="000000" w:themeColor="text1"/>
        </w:rPr>
        <w:tab/>
        <w:t xml:space="preserve">Efforts to consult </w:t>
      </w:r>
      <w:r w:rsidR="00DD544B" w:rsidRPr="00D44091">
        <w:rPr>
          <w:b/>
          <w:i/>
          <w:color w:val="000000" w:themeColor="text1"/>
        </w:rPr>
        <w:t>with persons outside the agency:</w:t>
      </w:r>
    </w:p>
    <w:p w14:paraId="3328EEAE" w14:textId="2D9540FC" w:rsidR="00F1738D" w:rsidRPr="00D44091" w:rsidRDefault="00D00ED1" w:rsidP="00D44091">
      <w:pPr>
        <w:rPr>
          <w:color w:val="000000" w:themeColor="text1"/>
          <w:szCs w:val="24"/>
        </w:rPr>
      </w:pPr>
      <w:r w:rsidRPr="00D44091">
        <w:rPr>
          <w:color w:val="000000" w:themeColor="text1"/>
          <w:szCs w:val="24"/>
        </w:rPr>
        <w:t xml:space="preserve">          </w:t>
      </w:r>
    </w:p>
    <w:p w14:paraId="61F818AC" w14:textId="76E03954" w:rsidR="00DE629F" w:rsidRDefault="00DE629F" w:rsidP="00DE629F">
      <w:pPr>
        <w:ind w:firstLine="720"/>
        <w:rPr>
          <w:szCs w:val="24"/>
        </w:rPr>
      </w:pPr>
      <w:r>
        <w:rPr>
          <w:szCs w:val="24"/>
        </w:rPr>
        <w:t>On March 29, 2019, the OCC issued a notice for 60-day of comment concerning this collection, 84 FR 12032.  The OCC received one comment from a trade association.  The commenter first urged a repeal of section 48 of the FDI Act (12 U.S.C. 1831y), arguing that the statute imposes a burdensome and costly reporting regime that inhibits IDIs interested in working with NGEPs.  The commenter cited a Federal Financial Institutions Examination Council (FFIEC) report to Congress, which stated that section 48’s reporting requirements are unduly burdensome.</w:t>
      </w:r>
      <w:r>
        <w:rPr>
          <w:rStyle w:val="FootnoteReference"/>
          <w:szCs w:val="24"/>
        </w:rPr>
        <w:footnoteReference w:id="8"/>
      </w:r>
      <w:r>
        <w:rPr>
          <w:szCs w:val="24"/>
        </w:rPr>
        <w:t xml:space="preserve">  The commenter also noted that examination teams rarely request information related to covered agreements, despite the resources required to properly report them.</w:t>
      </w:r>
    </w:p>
    <w:p w14:paraId="77AA6F43" w14:textId="77777777" w:rsidR="00577785" w:rsidRDefault="00577785" w:rsidP="00DE629F">
      <w:pPr>
        <w:ind w:firstLine="720"/>
        <w:rPr>
          <w:szCs w:val="24"/>
        </w:rPr>
      </w:pPr>
    </w:p>
    <w:p w14:paraId="05D75DB9" w14:textId="77777777" w:rsidR="00DE629F" w:rsidRDefault="00DE629F" w:rsidP="00DE629F">
      <w:pPr>
        <w:ind w:firstLine="720"/>
        <w:rPr>
          <w:szCs w:val="24"/>
        </w:rPr>
      </w:pPr>
      <w:r>
        <w:rPr>
          <w:szCs w:val="24"/>
        </w:rPr>
        <w:t xml:space="preserve">The commenter also requested two revisions to the OCC’s regulation.  First, the commenter requested that the OCC eliminate the quarterly reporting requirement, which the commenter believes is more burdensome than the annual reporting required by the statute.  The commenter stated that the FFIEC had considered eliminating the quarterly reporting requirement, citing the same FFIEC report to Congress.  Second, the commenter recommended that the OCC limit the regulation’s applicability to legally binding, written contracts, rather than applying it to agreements that reflect a mutual understanding and some oral communications.  The commenter argued that the existing approach increases burden and obstructs activity in low- and moderate-income communities.  </w:t>
      </w:r>
    </w:p>
    <w:p w14:paraId="607B57B2" w14:textId="77777777" w:rsidR="00577785" w:rsidRDefault="00577785" w:rsidP="00DE629F">
      <w:pPr>
        <w:ind w:firstLine="720"/>
        <w:rPr>
          <w:szCs w:val="24"/>
        </w:rPr>
      </w:pPr>
    </w:p>
    <w:p w14:paraId="32333084" w14:textId="77777777" w:rsidR="00DE629F" w:rsidRDefault="00DE629F" w:rsidP="00DE629F">
      <w:pPr>
        <w:ind w:firstLine="720"/>
        <w:rPr>
          <w:szCs w:val="24"/>
        </w:rPr>
      </w:pPr>
      <w:r>
        <w:rPr>
          <w:szCs w:val="24"/>
        </w:rPr>
        <w:t xml:space="preserve">The OCC appreciates the information provided by the commenter.  However, to the extent the commenter disagrees with the scope or requirements of section 48 or the OCC’s implementing regulation, the OCC cannot repeal the statute, nor can it revise the regulation through the PRA renewal process. </w:t>
      </w:r>
    </w:p>
    <w:p w14:paraId="3A03B612" w14:textId="76136AE0" w:rsidR="00FF6FA6" w:rsidRPr="00D44091" w:rsidRDefault="00FF6FA6" w:rsidP="00DE629F">
      <w:pPr>
        <w:rPr>
          <w:color w:val="000000" w:themeColor="text1"/>
        </w:rPr>
      </w:pPr>
    </w:p>
    <w:p w14:paraId="13043A6A" w14:textId="77777777" w:rsidR="00577785" w:rsidRDefault="00577785" w:rsidP="00D44091">
      <w:pPr>
        <w:tabs>
          <w:tab w:val="center" w:pos="0"/>
          <w:tab w:val="left" w:pos="720"/>
        </w:tabs>
        <w:ind w:right="-450"/>
        <w:rPr>
          <w:b/>
          <w:i/>
          <w:color w:val="000000" w:themeColor="text1"/>
        </w:rPr>
      </w:pPr>
    </w:p>
    <w:p w14:paraId="3B6CA6C8" w14:textId="77777777" w:rsidR="00FF6FA6" w:rsidRPr="00D44091" w:rsidRDefault="00FF6FA6" w:rsidP="00D44091">
      <w:pPr>
        <w:tabs>
          <w:tab w:val="center" w:pos="0"/>
          <w:tab w:val="left" w:pos="720"/>
        </w:tabs>
        <w:ind w:right="-450"/>
        <w:rPr>
          <w:b/>
          <w:i/>
          <w:color w:val="000000" w:themeColor="text1"/>
        </w:rPr>
      </w:pPr>
      <w:r w:rsidRPr="00D44091">
        <w:rPr>
          <w:b/>
          <w:i/>
          <w:color w:val="000000" w:themeColor="text1"/>
        </w:rPr>
        <w:t>9.</w:t>
      </w:r>
      <w:r w:rsidRPr="00D44091">
        <w:rPr>
          <w:b/>
          <w:i/>
          <w:color w:val="000000" w:themeColor="text1"/>
        </w:rPr>
        <w:tab/>
        <w:t>Payment to Respondents</w:t>
      </w:r>
      <w:r w:rsidR="00BF7901" w:rsidRPr="00D44091">
        <w:rPr>
          <w:b/>
          <w:i/>
          <w:color w:val="000000" w:themeColor="text1"/>
        </w:rPr>
        <w:t>.</w:t>
      </w:r>
    </w:p>
    <w:p w14:paraId="5247231E" w14:textId="77777777" w:rsidR="00FF6FA6" w:rsidRPr="00D44091" w:rsidRDefault="00FF6FA6" w:rsidP="00D44091">
      <w:pPr>
        <w:tabs>
          <w:tab w:val="center" w:pos="0"/>
          <w:tab w:val="left" w:pos="720"/>
        </w:tabs>
        <w:ind w:right="-450"/>
        <w:rPr>
          <w:color w:val="000000" w:themeColor="text1"/>
        </w:rPr>
      </w:pPr>
    </w:p>
    <w:p w14:paraId="0E1B1549" w14:textId="77777777" w:rsidR="00FF6FA6" w:rsidRPr="00D44091" w:rsidRDefault="00FF6FA6" w:rsidP="00D44091">
      <w:pPr>
        <w:tabs>
          <w:tab w:val="center" w:pos="0"/>
          <w:tab w:val="left" w:pos="720"/>
        </w:tabs>
        <w:ind w:right="-450"/>
        <w:outlineLvl w:val="0"/>
        <w:rPr>
          <w:color w:val="000000" w:themeColor="text1"/>
        </w:rPr>
      </w:pPr>
      <w:r w:rsidRPr="00D44091">
        <w:rPr>
          <w:color w:val="000000" w:themeColor="text1"/>
        </w:rPr>
        <w:tab/>
        <w:t>None.</w:t>
      </w:r>
    </w:p>
    <w:p w14:paraId="400C4DC3" w14:textId="77777777" w:rsidR="00744CEB" w:rsidRPr="00D44091" w:rsidRDefault="00744CEB" w:rsidP="00D44091">
      <w:pPr>
        <w:tabs>
          <w:tab w:val="center" w:pos="0"/>
          <w:tab w:val="left" w:pos="720"/>
        </w:tabs>
        <w:ind w:right="-450"/>
        <w:outlineLvl w:val="0"/>
        <w:rPr>
          <w:color w:val="000000" w:themeColor="text1"/>
        </w:rPr>
      </w:pPr>
    </w:p>
    <w:p w14:paraId="33100D2E" w14:textId="77777777" w:rsidR="00FF6FA6" w:rsidRPr="00D44091" w:rsidRDefault="00FF6FA6" w:rsidP="00D44091">
      <w:pPr>
        <w:tabs>
          <w:tab w:val="center" w:pos="0"/>
          <w:tab w:val="left" w:pos="720"/>
        </w:tabs>
        <w:ind w:right="-450"/>
        <w:rPr>
          <w:color w:val="000000" w:themeColor="text1"/>
        </w:rPr>
      </w:pPr>
    </w:p>
    <w:p w14:paraId="09D6614D" w14:textId="77777777" w:rsidR="00FF6FA6" w:rsidRPr="00D44091" w:rsidRDefault="00FF6FA6" w:rsidP="00D44091">
      <w:pPr>
        <w:tabs>
          <w:tab w:val="center" w:pos="0"/>
          <w:tab w:val="left" w:pos="720"/>
        </w:tabs>
        <w:ind w:right="-450"/>
        <w:rPr>
          <w:b/>
          <w:i/>
          <w:color w:val="000000" w:themeColor="text1"/>
        </w:rPr>
      </w:pPr>
      <w:r w:rsidRPr="00D44091">
        <w:rPr>
          <w:b/>
          <w:i/>
          <w:color w:val="000000" w:themeColor="text1"/>
        </w:rPr>
        <w:t>10.</w:t>
      </w:r>
      <w:r w:rsidRPr="00D44091">
        <w:rPr>
          <w:b/>
          <w:i/>
          <w:color w:val="000000" w:themeColor="text1"/>
        </w:rPr>
        <w:tab/>
      </w:r>
      <w:r w:rsidR="00DE4D18" w:rsidRPr="00D44091">
        <w:rPr>
          <w:b/>
          <w:i/>
          <w:color w:val="000000" w:themeColor="text1"/>
        </w:rPr>
        <w:t>Confidentiality:</w:t>
      </w:r>
    </w:p>
    <w:p w14:paraId="005F744F" w14:textId="77777777" w:rsidR="00FF6FA6" w:rsidRPr="00D44091" w:rsidRDefault="00FF6FA6" w:rsidP="00D44091">
      <w:pPr>
        <w:tabs>
          <w:tab w:val="center" w:pos="0"/>
          <w:tab w:val="left" w:pos="720"/>
        </w:tabs>
        <w:ind w:right="-450"/>
        <w:rPr>
          <w:color w:val="000000" w:themeColor="text1"/>
        </w:rPr>
      </w:pPr>
    </w:p>
    <w:p w14:paraId="68FDAA0D" w14:textId="77777777" w:rsidR="00FF6FA6" w:rsidRPr="00D44091" w:rsidRDefault="00FF6FA6" w:rsidP="00D44091">
      <w:pPr>
        <w:tabs>
          <w:tab w:val="center" w:pos="0"/>
          <w:tab w:val="left" w:pos="720"/>
        </w:tabs>
        <w:ind w:right="-450"/>
        <w:rPr>
          <w:color w:val="000000" w:themeColor="text1"/>
        </w:rPr>
      </w:pPr>
      <w:r w:rsidRPr="00D44091">
        <w:rPr>
          <w:color w:val="000000" w:themeColor="text1"/>
        </w:rPr>
        <w:tab/>
        <w:t xml:space="preserve">The statute provides that an agreement “shall be in its entirety fully disclosed.”  </w:t>
      </w:r>
      <w:r w:rsidR="00C659BB" w:rsidRPr="00D44091">
        <w:rPr>
          <w:color w:val="000000" w:themeColor="text1"/>
        </w:rPr>
        <w:t xml:space="preserve">12 U.S.C. 1831y(a)(1).  </w:t>
      </w:r>
      <w:r w:rsidRPr="00D44091">
        <w:rPr>
          <w:color w:val="000000" w:themeColor="text1"/>
        </w:rPr>
        <w:t xml:space="preserve">It also provides that in carrying out their responsibilities to prescribe regulations, “each appropriate Federal banking agency shall … ensure ... that proprietary and confidential information is protected.” </w:t>
      </w:r>
      <w:r w:rsidR="00C659BB" w:rsidRPr="00D44091">
        <w:rPr>
          <w:color w:val="000000" w:themeColor="text1"/>
        </w:rPr>
        <w:t xml:space="preserve"> 12 U.S.C. 1831y(h)(2)(A).</w:t>
      </w:r>
      <w:r w:rsidRPr="00D44091">
        <w:rPr>
          <w:color w:val="000000" w:themeColor="text1"/>
        </w:rPr>
        <w:t xml:space="preserve"> </w:t>
      </w:r>
    </w:p>
    <w:p w14:paraId="6671AD22" w14:textId="77777777" w:rsidR="00FF6FA6" w:rsidRPr="00D44091" w:rsidRDefault="00FF6FA6" w:rsidP="00D44091">
      <w:pPr>
        <w:tabs>
          <w:tab w:val="center" w:pos="0"/>
          <w:tab w:val="left" w:pos="720"/>
        </w:tabs>
        <w:ind w:right="-450"/>
        <w:rPr>
          <w:color w:val="000000" w:themeColor="text1"/>
        </w:rPr>
      </w:pPr>
    </w:p>
    <w:p w14:paraId="320BD59B" w14:textId="19B969F1" w:rsidR="00183E3B" w:rsidRPr="00D44091" w:rsidRDefault="00FF6FA6" w:rsidP="00D44091">
      <w:pPr>
        <w:tabs>
          <w:tab w:val="center" w:pos="0"/>
          <w:tab w:val="left" w:pos="720"/>
        </w:tabs>
        <w:ind w:right="-450"/>
        <w:rPr>
          <w:color w:val="000000" w:themeColor="text1"/>
        </w:rPr>
      </w:pPr>
      <w:r w:rsidRPr="00D44091">
        <w:rPr>
          <w:color w:val="000000" w:themeColor="text1"/>
        </w:rPr>
        <w:tab/>
        <w:t xml:space="preserve">The </w:t>
      </w:r>
      <w:r w:rsidR="009673D8" w:rsidRPr="00D44091">
        <w:rPr>
          <w:color w:val="000000" w:themeColor="text1"/>
        </w:rPr>
        <w:t>OCC’s</w:t>
      </w:r>
      <w:r w:rsidRPr="00D44091">
        <w:rPr>
          <w:color w:val="000000" w:themeColor="text1"/>
        </w:rPr>
        <w:t xml:space="preserve"> regulations provide that covered agreements will be made available to the public in accordance with the Freedom of Information Act (FOIA) and implementing regulations.  </w:t>
      </w:r>
      <w:r w:rsidR="003B603C" w:rsidRPr="00D44091">
        <w:rPr>
          <w:color w:val="000000" w:themeColor="text1"/>
        </w:rPr>
        <w:t>(</w:t>
      </w:r>
      <w:r w:rsidR="003B603C" w:rsidRPr="00D44091">
        <w:rPr>
          <w:color w:val="000000" w:themeColor="text1"/>
          <w:u w:val="single"/>
        </w:rPr>
        <w:t>See</w:t>
      </w:r>
      <w:r w:rsidR="003B603C" w:rsidRPr="00D44091">
        <w:rPr>
          <w:color w:val="000000" w:themeColor="text1"/>
        </w:rPr>
        <w:t xml:space="preserve"> 12 CFR 35.8)  </w:t>
      </w:r>
      <w:r w:rsidRPr="00D44091">
        <w:rPr>
          <w:color w:val="000000" w:themeColor="text1"/>
        </w:rPr>
        <w:t xml:space="preserve">The </w:t>
      </w:r>
      <w:r w:rsidR="009673D8" w:rsidRPr="00D44091">
        <w:rPr>
          <w:color w:val="000000" w:themeColor="text1"/>
        </w:rPr>
        <w:t>OCC’s</w:t>
      </w:r>
      <w:r w:rsidRPr="00D44091">
        <w:rPr>
          <w:color w:val="000000" w:themeColor="text1"/>
        </w:rPr>
        <w:t xml:space="preserve"> regulations also provide that a party to a covered agreement may request confidential treatment of proprietary and confidential information under those procedures</w:t>
      </w:r>
      <w:r w:rsidR="00156FC0">
        <w:rPr>
          <w:color w:val="000000" w:themeColor="text1"/>
        </w:rPr>
        <w:t xml:space="preserve"> </w:t>
      </w:r>
      <w:r w:rsidR="00156FC0">
        <w:t>and that they may withhold from public disclosure confidential or proprietary information in a covered agreement</w:t>
      </w:r>
      <w:r w:rsidRPr="00D44091">
        <w:rPr>
          <w:color w:val="000000" w:themeColor="text1"/>
        </w:rPr>
        <w:t>.</w:t>
      </w:r>
    </w:p>
    <w:p w14:paraId="0B0E7680" w14:textId="77777777" w:rsidR="00A53C7F" w:rsidRPr="00D44091" w:rsidRDefault="00A53C7F" w:rsidP="00D44091">
      <w:pPr>
        <w:tabs>
          <w:tab w:val="center" w:pos="0"/>
          <w:tab w:val="left" w:pos="720"/>
        </w:tabs>
        <w:ind w:right="-450"/>
        <w:rPr>
          <w:color w:val="000000" w:themeColor="text1"/>
        </w:rPr>
      </w:pPr>
    </w:p>
    <w:p w14:paraId="44E4C226" w14:textId="77777777" w:rsidR="00FF6FA6" w:rsidRPr="00D44091" w:rsidRDefault="00FF6FA6" w:rsidP="00D44091">
      <w:pPr>
        <w:tabs>
          <w:tab w:val="center" w:pos="0"/>
          <w:tab w:val="left" w:pos="720"/>
        </w:tabs>
        <w:ind w:right="-450"/>
        <w:rPr>
          <w:b/>
          <w:i/>
          <w:color w:val="000000" w:themeColor="text1"/>
        </w:rPr>
      </w:pPr>
      <w:r w:rsidRPr="00D44091">
        <w:rPr>
          <w:b/>
          <w:i/>
          <w:color w:val="000000" w:themeColor="text1"/>
        </w:rPr>
        <w:t>11.</w:t>
      </w:r>
      <w:r w:rsidRPr="00D44091">
        <w:rPr>
          <w:b/>
          <w:i/>
          <w:color w:val="000000" w:themeColor="text1"/>
        </w:rPr>
        <w:tab/>
        <w:t xml:space="preserve">Justification for </w:t>
      </w:r>
      <w:r w:rsidR="00DE4D18" w:rsidRPr="00D44091">
        <w:rPr>
          <w:b/>
          <w:i/>
          <w:color w:val="000000" w:themeColor="text1"/>
        </w:rPr>
        <w:t>questions of a sensitive nature:</w:t>
      </w:r>
    </w:p>
    <w:p w14:paraId="16F907BF" w14:textId="77777777" w:rsidR="00FF6FA6" w:rsidRPr="00D44091" w:rsidRDefault="00FF6FA6" w:rsidP="00D44091">
      <w:pPr>
        <w:tabs>
          <w:tab w:val="center" w:pos="0"/>
          <w:tab w:val="left" w:pos="720"/>
        </w:tabs>
        <w:ind w:right="-450"/>
        <w:rPr>
          <w:color w:val="000000" w:themeColor="text1"/>
          <w:u w:val="single"/>
        </w:rPr>
      </w:pPr>
    </w:p>
    <w:p w14:paraId="6AAAD8FD" w14:textId="77777777" w:rsidR="00FF6FA6" w:rsidRPr="00D44091" w:rsidRDefault="00DE4D18" w:rsidP="00D44091">
      <w:pPr>
        <w:tabs>
          <w:tab w:val="center" w:pos="0"/>
          <w:tab w:val="left" w:pos="720"/>
        </w:tabs>
        <w:ind w:right="-450"/>
        <w:outlineLvl w:val="0"/>
        <w:rPr>
          <w:color w:val="000000" w:themeColor="text1"/>
        </w:rPr>
      </w:pPr>
      <w:r w:rsidRPr="00D44091">
        <w:rPr>
          <w:color w:val="000000" w:themeColor="text1"/>
        </w:rPr>
        <w:tab/>
        <w:t>Not applicable.</w:t>
      </w:r>
    </w:p>
    <w:p w14:paraId="46780F9B" w14:textId="77777777" w:rsidR="00F25DC8" w:rsidRPr="00D44091" w:rsidRDefault="00F25DC8" w:rsidP="00D44091">
      <w:pPr>
        <w:tabs>
          <w:tab w:val="center" w:pos="0"/>
          <w:tab w:val="left" w:pos="720"/>
        </w:tabs>
        <w:ind w:right="-450"/>
        <w:rPr>
          <w:color w:val="000000" w:themeColor="text1"/>
        </w:rPr>
      </w:pPr>
    </w:p>
    <w:p w14:paraId="6BA2899B" w14:textId="77777777" w:rsidR="00357929" w:rsidRDefault="00357929">
      <w:pPr>
        <w:rPr>
          <w:b/>
          <w:i/>
          <w:color w:val="000000" w:themeColor="text1"/>
        </w:rPr>
      </w:pPr>
      <w:r>
        <w:rPr>
          <w:b/>
          <w:i/>
          <w:color w:val="000000" w:themeColor="text1"/>
        </w:rPr>
        <w:br w:type="page"/>
      </w:r>
    </w:p>
    <w:p w14:paraId="14CB0581" w14:textId="7ABACEF5" w:rsidR="00FF6FA6" w:rsidRPr="00D44091" w:rsidRDefault="00FF6FA6" w:rsidP="00D44091">
      <w:pPr>
        <w:tabs>
          <w:tab w:val="center" w:pos="0"/>
          <w:tab w:val="left" w:pos="720"/>
        </w:tabs>
        <w:ind w:right="-450"/>
        <w:rPr>
          <w:b/>
          <w:i/>
          <w:color w:val="000000" w:themeColor="text1"/>
        </w:rPr>
      </w:pPr>
      <w:r w:rsidRPr="00D44091">
        <w:rPr>
          <w:b/>
          <w:i/>
          <w:color w:val="000000" w:themeColor="text1"/>
        </w:rPr>
        <w:t>12.</w:t>
      </w:r>
      <w:r w:rsidRPr="00D44091">
        <w:rPr>
          <w:b/>
          <w:i/>
          <w:color w:val="000000" w:themeColor="text1"/>
        </w:rPr>
        <w:tab/>
      </w:r>
      <w:r w:rsidR="00DE4D18" w:rsidRPr="00D44091">
        <w:rPr>
          <w:b/>
          <w:i/>
          <w:color w:val="000000" w:themeColor="text1"/>
        </w:rPr>
        <w:t>Burden estimate:</w:t>
      </w:r>
    </w:p>
    <w:p w14:paraId="4B9EDBBD" w14:textId="77777777" w:rsidR="00A53DA9" w:rsidRPr="00D44091" w:rsidRDefault="00A53DA9" w:rsidP="00D44091">
      <w:pPr>
        <w:tabs>
          <w:tab w:val="center" w:pos="0"/>
          <w:tab w:val="left" w:pos="720"/>
        </w:tabs>
        <w:ind w:right="-450"/>
        <w:rPr>
          <w:color w:val="000000" w:themeColor="text1"/>
        </w:rPr>
      </w:pPr>
      <w:bookmarkStart w:id="1" w:name="OLE_LINK1"/>
      <w:bookmarkStart w:id="2" w:name="OLE_LINK2"/>
    </w:p>
    <w:tbl>
      <w:tblPr>
        <w:tblStyle w:val="TableGrid"/>
        <w:tblW w:w="9378" w:type="dxa"/>
        <w:tblLook w:val="04A0" w:firstRow="1" w:lastRow="0" w:firstColumn="1" w:lastColumn="0" w:noHBand="0" w:noVBand="1"/>
      </w:tblPr>
      <w:tblGrid>
        <w:gridCol w:w="1270"/>
        <w:gridCol w:w="3428"/>
        <w:gridCol w:w="1260"/>
        <w:gridCol w:w="1170"/>
        <w:gridCol w:w="990"/>
        <w:gridCol w:w="1260"/>
      </w:tblGrid>
      <w:tr w:rsidR="00D44091" w:rsidRPr="00D44091" w14:paraId="47B48F87" w14:textId="77777777" w:rsidTr="0091744E">
        <w:tc>
          <w:tcPr>
            <w:tcW w:w="1270" w:type="dxa"/>
            <w:tcBorders>
              <w:bottom w:val="single" w:sz="4" w:space="0" w:color="auto"/>
            </w:tcBorders>
            <w:shd w:val="pct20" w:color="auto" w:fill="auto"/>
          </w:tcPr>
          <w:p w14:paraId="2860AC24"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Section No.</w:t>
            </w:r>
          </w:p>
        </w:tc>
        <w:tc>
          <w:tcPr>
            <w:tcW w:w="3428" w:type="dxa"/>
            <w:tcBorders>
              <w:bottom w:val="single" w:sz="4" w:space="0" w:color="auto"/>
            </w:tcBorders>
            <w:shd w:val="pct20" w:color="auto" w:fill="auto"/>
          </w:tcPr>
          <w:p w14:paraId="1FB8A9B0"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Requirement</w:t>
            </w:r>
          </w:p>
        </w:tc>
        <w:tc>
          <w:tcPr>
            <w:tcW w:w="1260" w:type="dxa"/>
            <w:tcBorders>
              <w:bottom w:val="single" w:sz="4" w:space="0" w:color="auto"/>
            </w:tcBorders>
            <w:shd w:val="pct20" w:color="auto" w:fill="auto"/>
          </w:tcPr>
          <w:p w14:paraId="0A5278CB"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Number of</w:t>
            </w:r>
          </w:p>
          <w:p w14:paraId="18F0AB89"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Respondents</w:t>
            </w:r>
          </w:p>
        </w:tc>
        <w:tc>
          <w:tcPr>
            <w:tcW w:w="1170" w:type="dxa"/>
            <w:tcBorders>
              <w:bottom w:val="single" w:sz="4" w:space="0" w:color="auto"/>
            </w:tcBorders>
            <w:shd w:val="pct20" w:color="auto" w:fill="auto"/>
          </w:tcPr>
          <w:p w14:paraId="63F16B8D"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Total</w:t>
            </w:r>
          </w:p>
          <w:p w14:paraId="3FB7F6AF"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Number</w:t>
            </w:r>
          </w:p>
          <w:p w14:paraId="0F7F7816"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Of</w:t>
            </w:r>
          </w:p>
          <w:p w14:paraId="282E95AC"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Responses</w:t>
            </w:r>
          </w:p>
        </w:tc>
        <w:tc>
          <w:tcPr>
            <w:tcW w:w="990" w:type="dxa"/>
            <w:tcBorders>
              <w:bottom w:val="single" w:sz="4" w:space="0" w:color="auto"/>
            </w:tcBorders>
            <w:shd w:val="pct20" w:color="auto" w:fill="auto"/>
          </w:tcPr>
          <w:p w14:paraId="1E30AB5F"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Estimated</w:t>
            </w:r>
          </w:p>
          <w:p w14:paraId="4C2B24B7"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Response</w:t>
            </w:r>
          </w:p>
          <w:p w14:paraId="2E2C6C14"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Time</w:t>
            </w:r>
          </w:p>
        </w:tc>
        <w:tc>
          <w:tcPr>
            <w:tcW w:w="1260" w:type="dxa"/>
            <w:tcBorders>
              <w:bottom w:val="single" w:sz="4" w:space="0" w:color="auto"/>
            </w:tcBorders>
            <w:shd w:val="pct20" w:color="auto" w:fill="auto"/>
          </w:tcPr>
          <w:p w14:paraId="793B0ECF"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Estimated</w:t>
            </w:r>
          </w:p>
          <w:p w14:paraId="69B40957"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Annual</w:t>
            </w:r>
          </w:p>
          <w:p w14:paraId="3AD74F68"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Burden</w:t>
            </w:r>
          </w:p>
          <w:p w14:paraId="710E2BD5" w14:textId="77777777" w:rsidR="001C5BBD" w:rsidRPr="00D44091" w:rsidRDefault="001C5BBD" w:rsidP="00D44091">
            <w:pPr>
              <w:tabs>
                <w:tab w:val="center" w:pos="0"/>
                <w:tab w:val="left" w:pos="720"/>
              </w:tabs>
              <w:ind w:right="-450"/>
              <w:rPr>
                <w:b/>
                <w:color w:val="000000" w:themeColor="text1"/>
                <w:sz w:val="20"/>
              </w:rPr>
            </w:pPr>
            <w:r w:rsidRPr="00D44091">
              <w:rPr>
                <w:b/>
                <w:color w:val="000000" w:themeColor="text1"/>
                <w:sz w:val="20"/>
              </w:rPr>
              <w:t>Hours</w:t>
            </w:r>
          </w:p>
        </w:tc>
      </w:tr>
      <w:tr w:rsidR="00D44091" w:rsidRPr="00D44091" w14:paraId="72C48740" w14:textId="77777777" w:rsidTr="001C5BBD">
        <w:tc>
          <w:tcPr>
            <w:tcW w:w="1270" w:type="dxa"/>
          </w:tcPr>
          <w:p w14:paraId="74F2FF56" w14:textId="77777777" w:rsidR="001C5BBD" w:rsidRPr="00D44091" w:rsidRDefault="001C5BBD" w:rsidP="00221900">
            <w:pPr>
              <w:tabs>
                <w:tab w:val="center" w:pos="0"/>
                <w:tab w:val="left" w:pos="720"/>
              </w:tabs>
              <w:ind w:right="-450"/>
              <w:rPr>
                <w:color w:val="000000" w:themeColor="text1"/>
                <w:sz w:val="20"/>
              </w:rPr>
            </w:pPr>
            <w:r w:rsidRPr="00D44091">
              <w:rPr>
                <w:color w:val="000000" w:themeColor="text1"/>
                <w:sz w:val="20"/>
              </w:rPr>
              <w:t>35.4(b)</w:t>
            </w:r>
          </w:p>
          <w:p w14:paraId="293A8985" w14:textId="77777777" w:rsidR="001C5BBD" w:rsidRPr="00D44091" w:rsidRDefault="001C5BBD" w:rsidP="00D44091">
            <w:pPr>
              <w:tabs>
                <w:tab w:val="center" w:pos="0"/>
                <w:tab w:val="left" w:pos="720"/>
              </w:tabs>
              <w:ind w:right="-450"/>
              <w:rPr>
                <w:color w:val="000000" w:themeColor="text1"/>
                <w:sz w:val="20"/>
              </w:rPr>
            </w:pPr>
          </w:p>
          <w:p w14:paraId="45BA6FC9" w14:textId="77777777" w:rsidR="00FF784F" w:rsidRPr="00D44091" w:rsidRDefault="00FF784F" w:rsidP="00D44091">
            <w:pPr>
              <w:tabs>
                <w:tab w:val="center" w:pos="0"/>
                <w:tab w:val="left" w:pos="720"/>
              </w:tabs>
              <w:ind w:right="-450"/>
              <w:rPr>
                <w:i/>
                <w:color w:val="000000" w:themeColor="text1"/>
                <w:sz w:val="20"/>
              </w:rPr>
            </w:pPr>
            <w:r w:rsidRPr="00D44091">
              <w:rPr>
                <w:i/>
                <w:color w:val="000000" w:themeColor="text1"/>
                <w:sz w:val="20"/>
              </w:rPr>
              <w:t>Disclosure</w:t>
            </w:r>
          </w:p>
          <w:p w14:paraId="1C5F3BE7" w14:textId="77777777" w:rsidR="00FF784F" w:rsidRPr="00D44091" w:rsidRDefault="00FF784F" w:rsidP="00D44091">
            <w:pPr>
              <w:tabs>
                <w:tab w:val="center" w:pos="0"/>
                <w:tab w:val="left" w:pos="720"/>
              </w:tabs>
              <w:ind w:right="-450"/>
              <w:rPr>
                <w:color w:val="000000" w:themeColor="text1"/>
                <w:sz w:val="20"/>
              </w:rPr>
            </w:pPr>
          </w:p>
        </w:tc>
        <w:tc>
          <w:tcPr>
            <w:tcW w:w="3428" w:type="dxa"/>
          </w:tcPr>
          <w:p w14:paraId="0C89C425"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 xml:space="preserve">IDI notification to NGEP that it </w:t>
            </w:r>
          </w:p>
          <w:p w14:paraId="1C366DE6"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is party to CRA agreement</w:t>
            </w:r>
          </w:p>
          <w:p w14:paraId="6F22DBB5" w14:textId="77777777" w:rsidR="001C5BBD" w:rsidRPr="00D44091" w:rsidRDefault="001C5BBD" w:rsidP="00D44091">
            <w:pPr>
              <w:tabs>
                <w:tab w:val="center" w:pos="0"/>
                <w:tab w:val="left" w:pos="720"/>
              </w:tabs>
              <w:ind w:right="-450"/>
              <w:rPr>
                <w:color w:val="000000" w:themeColor="text1"/>
                <w:sz w:val="20"/>
              </w:rPr>
            </w:pPr>
          </w:p>
        </w:tc>
        <w:tc>
          <w:tcPr>
            <w:tcW w:w="1260" w:type="dxa"/>
          </w:tcPr>
          <w:p w14:paraId="27538FB7" w14:textId="72C85988" w:rsidR="001C5BBD" w:rsidRPr="00D44091" w:rsidRDefault="003554B5" w:rsidP="00D44091">
            <w:pPr>
              <w:tabs>
                <w:tab w:val="center" w:pos="0"/>
                <w:tab w:val="left" w:pos="720"/>
              </w:tabs>
              <w:ind w:right="-450"/>
              <w:jc w:val="center"/>
              <w:rPr>
                <w:color w:val="000000" w:themeColor="text1"/>
                <w:sz w:val="20"/>
              </w:rPr>
            </w:pPr>
            <w:r>
              <w:rPr>
                <w:color w:val="000000" w:themeColor="text1"/>
                <w:sz w:val="20"/>
              </w:rPr>
              <w:t>7</w:t>
            </w:r>
          </w:p>
        </w:tc>
        <w:tc>
          <w:tcPr>
            <w:tcW w:w="1170" w:type="dxa"/>
          </w:tcPr>
          <w:p w14:paraId="4BBD14C1" w14:textId="5974564B" w:rsidR="001C5BBD" w:rsidRPr="00D44091" w:rsidRDefault="003554B5" w:rsidP="00D44091">
            <w:pPr>
              <w:tabs>
                <w:tab w:val="center" w:pos="0"/>
                <w:tab w:val="left" w:pos="720"/>
              </w:tabs>
              <w:ind w:right="-450"/>
              <w:jc w:val="center"/>
              <w:rPr>
                <w:color w:val="000000" w:themeColor="text1"/>
                <w:sz w:val="20"/>
              </w:rPr>
            </w:pPr>
            <w:r>
              <w:rPr>
                <w:color w:val="000000" w:themeColor="text1"/>
                <w:sz w:val="20"/>
              </w:rPr>
              <w:t>186</w:t>
            </w:r>
          </w:p>
        </w:tc>
        <w:tc>
          <w:tcPr>
            <w:tcW w:w="990" w:type="dxa"/>
          </w:tcPr>
          <w:p w14:paraId="2FD20F93" w14:textId="77777777" w:rsidR="001C5BBD" w:rsidRPr="00D44091" w:rsidRDefault="001C5BBD" w:rsidP="00D44091">
            <w:pPr>
              <w:tabs>
                <w:tab w:val="center" w:pos="0"/>
                <w:tab w:val="left" w:pos="720"/>
              </w:tabs>
              <w:ind w:right="-450"/>
              <w:jc w:val="center"/>
              <w:rPr>
                <w:color w:val="000000" w:themeColor="text1"/>
                <w:sz w:val="20"/>
              </w:rPr>
            </w:pPr>
            <w:r w:rsidRPr="00D44091">
              <w:rPr>
                <w:color w:val="000000" w:themeColor="text1"/>
                <w:sz w:val="20"/>
              </w:rPr>
              <w:t>1</w:t>
            </w:r>
          </w:p>
        </w:tc>
        <w:tc>
          <w:tcPr>
            <w:tcW w:w="1260" w:type="dxa"/>
          </w:tcPr>
          <w:p w14:paraId="28AC3D9D" w14:textId="7C6D8D70" w:rsidR="001C5BBD" w:rsidRPr="00D44091" w:rsidRDefault="003554B5" w:rsidP="00D44091">
            <w:pPr>
              <w:tabs>
                <w:tab w:val="center" w:pos="0"/>
                <w:tab w:val="left" w:pos="720"/>
              </w:tabs>
              <w:ind w:right="-450"/>
              <w:jc w:val="center"/>
              <w:rPr>
                <w:color w:val="000000" w:themeColor="text1"/>
                <w:sz w:val="20"/>
              </w:rPr>
            </w:pPr>
            <w:r>
              <w:rPr>
                <w:color w:val="000000" w:themeColor="text1"/>
                <w:sz w:val="20"/>
              </w:rPr>
              <w:t>186</w:t>
            </w:r>
          </w:p>
        </w:tc>
      </w:tr>
      <w:tr w:rsidR="00D44091" w:rsidRPr="00D44091" w14:paraId="74F958B7" w14:textId="77777777" w:rsidTr="001C5BBD">
        <w:tc>
          <w:tcPr>
            <w:tcW w:w="1270" w:type="dxa"/>
          </w:tcPr>
          <w:p w14:paraId="78858C92" w14:textId="77777777" w:rsidR="001C5BBD" w:rsidRPr="00D44091" w:rsidRDefault="003B603C" w:rsidP="00221900">
            <w:pPr>
              <w:tabs>
                <w:tab w:val="center" w:pos="0"/>
                <w:tab w:val="left" w:pos="720"/>
              </w:tabs>
              <w:ind w:right="-450"/>
              <w:rPr>
                <w:color w:val="000000" w:themeColor="text1"/>
                <w:sz w:val="20"/>
              </w:rPr>
            </w:pPr>
            <w:r w:rsidRPr="00D44091">
              <w:rPr>
                <w:color w:val="000000" w:themeColor="text1"/>
                <w:sz w:val="20"/>
              </w:rPr>
              <w:t>35.6(b)</w:t>
            </w:r>
          </w:p>
          <w:p w14:paraId="366EB3A7" w14:textId="77777777" w:rsidR="001C5BBD" w:rsidRPr="00D44091" w:rsidRDefault="001C5BBD" w:rsidP="00D44091">
            <w:pPr>
              <w:tabs>
                <w:tab w:val="center" w:pos="0"/>
                <w:tab w:val="left" w:pos="720"/>
              </w:tabs>
              <w:ind w:right="-450"/>
              <w:rPr>
                <w:color w:val="000000" w:themeColor="text1"/>
                <w:sz w:val="20"/>
              </w:rPr>
            </w:pPr>
          </w:p>
          <w:p w14:paraId="4FEED5D3" w14:textId="77777777" w:rsidR="00FF784F" w:rsidRPr="00D44091" w:rsidRDefault="00FF784F" w:rsidP="00D44091">
            <w:pPr>
              <w:tabs>
                <w:tab w:val="center" w:pos="0"/>
                <w:tab w:val="left" w:pos="720"/>
              </w:tabs>
              <w:ind w:right="-450"/>
              <w:rPr>
                <w:i/>
                <w:color w:val="000000" w:themeColor="text1"/>
                <w:sz w:val="20"/>
              </w:rPr>
            </w:pPr>
            <w:r w:rsidRPr="00D44091">
              <w:rPr>
                <w:i/>
                <w:color w:val="000000" w:themeColor="text1"/>
                <w:sz w:val="20"/>
              </w:rPr>
              <w:t>Disclosure</w:t>
            </w:r>
          </w:p>
          <w:p w14:paraId="188DD66C" w14:textId="77777777" w:rsidR="00FF784F" w:rsidRPr="00D44091" w:rsidRDefault="00FF784F" w:rsidP="00D44091">
            <w:pPr>
              <w:tabs>
                <w:tab w:val="center" w:pos="0"/>
                <w:tab w:val="left" w:pos="720"/>
              </w:tabs>
              <w:ind w:right="-450"/>
              <w:rPr>
                <w:color w:val="000000" w:themeColor="text1"/>
                <w:sz w:val="20"/>
              </w:rPr>
            </w:pPr>
          </w:p>
        </w:tc>
        <w:tc>
          <w:tcPr>
            <w:tcW w:w="3428" w:type="dxa"/>
          </w:tcPr>
          <w:p w14:paraId="1467ADC0"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NGEP and IDI make copy of</w:t>
            </w:r>
          </w:p>
          <w:p w14:paraId="68816149"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 xml:space="preserve"> covered agreements available</w:t>
            </w:r>
          </w:p>
          <w:p w14:paraId="467E12BF" w14:textId="77777777" w:rsidR="001C5BBD" w:rsidRPr="00D44091" w:rsidRDefault="001C5BBD" w:rsidP="00D44091">
            <w:pPr>
              <w:tabs>
                <w:tab w:val="center" w:pos="0"/>
                <w:tab w:val="left" w:pos="720"/>
              </w:tabs>
              <w:ind w:right="-450"/>
              <w:rPr>
                <w:color w:val="000000" w:themeColor="text1"/>
                <w:sz w:val="20"/>
              </w:rPr>
            </w:pPr>
          </w:p>
        </w:tc>
        <w:tc>
          <w:tcPr>
            <w:tcW w:w="1260" w:type="dxa"/>
          </w:tcPr>
          <w:p w14:paraId="6DA2126F" w14:textId="241898D2" w:rsidR="001C5BBD" w:rsidRPr="00D44091" w:rsidRDefault="00F91A10" w:rsidP="00D44091">
            <w:pPr>
              <w:tabs>
                <w:tab w:val="center" w:pos="0"/>
                <w:tab w:val="left" w:pos="720"/>
              </w:tabs>
              <w:ind w:right="-450"/>
              <w:jc w:val="center"/>
              <w:rPr>
                <w:color w:val="000000" w:themeColor="text1"/>
                <w:sz w:val="20"/>
              </w:rPr>
            </w:pPr>
            <w:r w:rsidRPr="00D44091">
              <w:rPr>
                <w:color w:val="000000" w:themeColor="text1"/>
                <w:sz w:val="20"/>
              </w:rPr>
              <w:t>1</w:t>
            </w:r>
            <w:r w:rsidR="003554B5">
              <w:rPr>
                <w:color w:val="000000" w:themeColor="text1"/>
                <w:sz w:val="20"/>
              </w:rPr>
              <w:t>3</w:t>
            </w:r>
          </w:p>
        </w:tc>
        <w:tc>
          <w:tcPr>
            <w:tcW w:w="1170" w:type="dxa"/>
          </w:tcPr>
          <w:p w14:paraId="7DAA1F7C" w14:textId="15ADD75F" w:rsidR="001C5BBD" w:rsidRPr="00D44091" w:rsidRDefault="003554B5" w:rsidP="00D44091">
            <w:pPr>
              <w:tabs>
                <w:tab w:val="center" w:pos="0"/>
                <w:tab w:val="left" w:pos="720"/>
              </w:tabs>
              <w:ind w:right="-450"/>
              <w:jc w:val="center"/>
              <w:rPr>
                <w:color w:val="000000" w:themeColor="text1"/>
                <w:sz w:val="20"/>
              </w:rPr>
            </w:pPr>
            <w:r>
              <w:rPr>
                <w:color w:val="000000" w:themeColor="text1"/>
                <w:sz w:val="20"/>
              </w:rPr>
              <w:t>237</w:t>
            </w:r>
          </w:p>
        </w:tc>
        <w:tc>
          <w:tcPr>
            <w:tcW w:w="990" w:type="dxa"/>
          </w:tcPr>
          <w:p w14:paraId="0286DF4C" w14:textId="77777777" w:rsidR="001C5BBD" w:rsidRPr="00D44091" w:rsidRDefault="001C5BBD" w:rsidP="00D44091">
            <w:pPr>
              <w:tabs>
                <w:tab w:val="center" w:pos="0"/>
                <w:tab w:val="left" w:pos="720"/>
              </w:tabs>
              <w:ind w:right="-450"/>
              <w:jc w:val="center"/>
              <w:rPr>
                <w:color w:val="000000" w:themeColor="text1"/>
                <w:sz w:val="20"/>
              </w:rPr>
            </w:pPr>
            <w:r w:rsidRPr="00D44091">
              <w:rPr>
                <w:color w:val="000000" w:themeColor="text1"/>
                <w:sz w:val="20"/>
              </w:rPr>
              <w:t>1</w:t>
            </w:r>
          </w:p>
        </w:tc>
        <w:tc>
          <w:tcPr>
            <w:tcW w:w="1260" w:type="dxa"/>
          </w:tcPr>
          <w:p w14:paraId="0B3114D8" w14:textId="41B1C346" w:rsidR="001C5BBD" w:rsidRPr="00D44091" w:rsidRDefault="003554B5" w:rsidP="00D44091">
            <w:pPr>
              <w:tabs>
                <w:tab w:val="center" w:pos="0"/>
                <w:tab w:val="left" w:pos="720"/>
              </w:tabs>
              <w:ind w:right="-450"/>
              <w:jc w:val="center"/>
              <w:rPr>
                <w:color w:val="000000" w:themeColor="text1"/>
                <w:sz w:val="20"/>
              </w:rPr>
            </w:pPr>
            <w:r>
              <w:rPr>
                <w:color w:val="000000" w:themeColor="text1"/>
                <w:sz w:val="20"/>
              </w:rPr>
              <w:t>237</w:t>
            </w:r>
          </w:p>
        </w:tc>
      </w:tr>
      <w:tr w:rsidR="00D44091" w:rsidRPr="00D44091" w14:paraId="35C29419" w14:textId="77777777" w:rsidTr="001C5BBD">
        <w:tc>
          <w:tcPr>
            <w:tcW w:w="1270" w:type="dxa"/>
          </w:tcPr>
          <w:p w14:paraId="1CCD68CC" w14:textId="77777777" w:rsidR="003B603C" w:rsidRPr="00D44091" w:rsidRDefault="003B603C" w:rsidP="00221900">
            <w:pPr>
              <w:tabs>
                <w:tab w:val="center" w:pos="0"/>
                <w:tab w:val="left" w:pos="720"/>
              </w:tabs>
              <w:ind w:right="-450"/>
              <w:rPr>
                <w:color w:val="000000" w:themeColor="text1"/>
                <w:sz w:val="20"/>
              </w:rPr>
            </w:pPr>
            <w:r w:rsidRPr="00D44091">
              <w:rPr>
                <w:color w:val="000000" w:themeColor="text1"/>
                <w:sz w:val="20"/>
              </w:rPr>
              <w:t>35.6(c)</w:t>
            </w:r>
          </w:p>
          <w:p w14:paraId="0F3A1C46" w14:textId="77777777" w:rsidR="003B603C" w:rsidRPr="00D44091" w:rsidRDefault="003B603C" w:rsidP="00D44091">
            <w:pPr>
              <w:tabs>
                <w:tab w:val="center" w:pos="0"/>
                <w:tab w:val="left" w:pos="720"/>
              </w:tabs>
              <w:ind w:right="-450"/>
              <w:rPr>
                <w:color w:val="000000" w:themeColor="text1"/>
                <w:sz w:val="20"/>
              </w:rPr>
            </w:pPr>
          </w:p>
          <w:p w14:paraId="435B6BD1" w14:textId="77777777" w:rsidR="00FF784F" w:rsidRPr="00D44091" w:rsidRDefault="00FF784F" w:rsidP="00D44091">
            <w:pPr>
              <w:tabs>
                <w:tab w:val="center" w:pos="0"/>
                <w:tab w:val="left" w:pos="720"/>
              </w:tabs>
              <w:ind w:right="-450"/>
              <w:rPr>
                <w:i/>
                <w:color w:val="000000" w:themeColor="text1"/>
                <w:sz w:val="20"/>
              </w:rPr>
            </w:pPr>
            <w:r w:rsidRPr="00D44091">
              <w:rPr>
                <w:i/>
                <w:color w:val="000000" w:themeColor="text1"/>
                <w:sz w:val="20"/>
              </w:rPr>
              <w:t>Disclosure</w:t>
            </w:r>
          </w:p>
          <w:p w14:paraId="25440838" w14:textId="77777777" w:rsidR="003B603C" w:rsidRPr="00D44091" w:rsidRDefault="003B603C" w:rsidP="00D44091">
            <w:pPr>
              <w:tabs>
                <w:tab w:val="center" w:pos="0"/>
                <w:tab w:val="left" w:pos="720"/>
              </w:tabs>
              <w:ind w:right="-450"/>
              <w:rPr>
                <w:color w:val="000000" w:themeColor="text1"/>
                <w:sz w:val="20"/>
              </w:rPr>
            </w:pPr>
          </w:p>
        </w:tc>
        <w:tc>
          <w:tcPr>
            <w:tcW w:w="3428" w:type="dxa"/>
          </w:tcPr>
          <w:p w14:paraId="3DFC1746" w14:textId="77777777" w:rsidR="003B603C" w:rsidRPr="00D44091" w:rsidRDefault="003B603C" w:rsidP="00D44091">
            <w:pPr>
              <w:tabs>
                <w:tab w:val="center" w:pos="0"/>
                <w:tab w:val="left" w:pos="720"/>
              </w:tabs>
              <w:ind w:right="-450"/>
              <w:rPr>
                <w:color w:val="000000" w:themeColor="text1"/>
                <w:sz w:val="20"/>
              </w:rPr>
            </w:pPr>
            <w:r w:rsidRPr="00D44091">
              <w:rPr>
                <w:color w:val="000000" w:themeColor="text1"/>
                <w:sz w:val="20"/>
              </w:rPr>
              <w:t xml:space="preserve">NGEP </w:t>
            </w:r>
            <w:r w:rsidR="0093156A" w:rsidRPr="00D44091">
              <w:rPr>
                <w:color w:val="000000" w:themeColor="text1"/>
                <w:sz w:val="20"/>
              </w:rPr>
              <w:t>discloses covered agreements to</w:t>
            </w:r>
          </w:p>
          <w:p w14:paraId="0B15A47C" w14:textId="77777777" w:rsidR="0093156A" w:rsidRPr="00D44091" w:rsidRDefault="0093156A" w:rsidP="00D44091">
            <w:pPr>
              <w:tabs>
                <w:tab w:val="center" w:pos="0"/>
                <w:tab w:val="left" w:pos="720"/>
              </w:tabs>
              <w:ind w:right="-450"/>
              <w:rPr>
                <w:color w:val="000000" w:themeColor="text1"/>
                <w:sz w:val="20"/>
              </w:rPr>
            </w:pPr>
            <w:r w:rsidRPr="00D44091">
              <w:rPr>
                <w:color w:val="000000" w:themeColor="text1"/>
                <w:sz w:val="20"/>
              </w:rPr>
              <w:t>OCC</w:t>
            </w:r>
          </w:p>
        </w:tc>
        <w:tc>
          <w:tcPr>
            <w:tcW w:w="1260" w:type="dxa"/>
          </w:tcPr>
          <w:p w14:paraId="5853EA88" w14:textId="77777777" w:rsidR="003B603C" w:rsidRPr="00D44091" w:rsidRDefault="00EC1C19" w:rsidP="00D44091">
            <w:pPr>
              <w:tabs>
                <w:tab w:val="center" w:pos="0"/>
                <w:tab w:val="left" w:pos="720"/>
              </w:tabs>
              <w:ind w:right="-450"/>
              <w:jc w:val="center"/>
              <w:rPr>
                <w:color w:val="000000" w:themeColor="text1"/>
                <w:sz w:val="20"/>
              </w:rPr>
            </w:pPr>
            <w:r w:rsidRPr="00D44091">
              <w:rPr>
                <w:color w:val="000000" w:themeColor="text1"/>
                <w:sz w:val="20"/>
              </w:rPr>
              <w:t>0</w:t>
            </w:r>
          </w:p>
        </w:tc>
        <w:tc>
          <w:tcPr>
            <w:tcW w:w="1170" w:type="dxa"/>
          </w:tcPr>
          <w:p w14:paraId="26595A2B" w14:textId="77777777" w:rsidR="003B603C" w:rsidRPr="00D44091" w:rsidRDefault="0093156A" w:rsidP="00D44091">
            <w:pPr>
              <w:tabs>
                <w:tab w:val="center" w:pos="0"/>
                <w:tab w:val="left" w:pos="720"/>
              </w:tabs>
              <w:ind w:right="-450"/>
              <w:jc w:val="center"/>
              <w:rPr>
                <w:color w:val="000000" w:themeColor="text1"/>
                <w:sz w:val="20"/>
              </w:rPr>
            </w:pPr>
            <w:r w:rsidRPr="00D44091">
              <w:rPr>
                <w:color w:val="000000" w:themeColor="text1"/>
                <w:sz w:val="20"/>
              </w:rPr>
              <w:t>0</w:t>
            </w:r>
          </w:p>
        </w:tc>
        <w:tc>
          <w:tcPr>
            <w:tcW w:w="990" w:type="dxa"/>
          </w:tcPr>
          <w:p w14:paraId="4CE4F9A3" w14:textId="77777777" w:rsidR="003B603C" w:rsidRPr="00D44091" w:rsidRDefault="0093156A" w:rsidP="00D44091">
            <w:pPr>
              <w:tabs>
                <w:tab w:val="center" w:pos="0"/>
                <w:tab w:val="left" w:pos="720"/>
              </w:tabs>
              <w:ind w:right="-450"/>
              <w:jc w:val="center"/>
              <w:rPr>
                <w:color w:val="000000" w:themeColor="text1"/>
                <w:sz w:val="20"/>
              </w:rPr>
            </w:pPr>
            <w:r w:rsidRPr="00D44091">
              <w:rPr>
                <w:color w:val="000000" w:themeColor="text1"/>
                <w:sz w:val="20"/>
              </w:rPr>
              <w:t>0</w:t>
            </w:r>
          </w:p>
        </w:tc>
        <w:tc>
          <w:tcPr>
            <w:tcW w:w="1260" w:type="dxa"/>
          </w:tcPr>
          <w:p w14:paraId="0749D023" w14:textId="77777777" w:rsidR="003B603C" w:rsidRPr="00D44091" w:rsidRDefault="0093156A" w:rsidP="00D44091">
            <w:pPr>
              <w:tabs>
                <w:tab w:val="center" w:pos="0"/>
                <w:tab w:val="left" w:pos="720"/>
              </w:tabs>
              <w:ind w:right="-450"/>
              <w:jc w:val="center"/>
              <w:rPr>
                <w:color w:val="000000" w:themeColor="text1"/>
                <w:sz w:val="20"/>
              </w:rPr>
            </w:pPr>
            <w:r w:rsidRPr="00D44091">
              <w:rPr>
                <w:color w:val="000000" w:themeColor="text1"/>
                <w:sz w:val="20"/>
              </w:rPr>
              <w:t>0</w:t>
            </w:r>
          </w:p>
        </w:tc>
      </w:tr>
      <w:tr w:rsidR="00D44091" w:rsidRPr="00D44091" w14:paraId="3F17AEA0" w14:textId="77777777" w:rsidTr="001C5BBD">
        <w:tc>
          <w:tcPr>
            <w:tcW w:w="1270" w:type="dxa"/>
          </w:tcPr>
          <w:p w14:paraId="04B86491" w14:textId="77777777" w:rsidR="001C5BBD" w:rsidRPr="00D44091" w:rsidRDefault="003B603C" w:rsidP="00221900">
            <w:pPr>
              <w:tabs>
                <w:tab w:val="center" w:pos="0"/>
                <w:tab w:val="left" w:pos="720"/>
              </w:tabs>
              <w:ind w:right="-450"/>
              <w:rPr>
                <w:color w:val="000000" w:themeColor="text1"/>
                <w:sz w:val="20"/>
              </w:rPr>
            </w:pPr>
            <w:r w:rsidRPr="00D44091">
              <w:rPr>
                <w:color w:val="000000" w:themeColor="text1"/>
                <w:sz w:val="20"/>
              </w:rPr>
              <w:t>35.6(d)</w:t>
            </w:r>
          </w:p>
          <w:p w14:paraId="30F6CE37" w14:textId="77777777" w:rsidR="001C5BBD" w:rsidRPr="00D44091" w:rsidRDefault="001C5BBD" w:rsidP="00D44091">
            <w:pPr>
              <w:tabs>
                <w:tab w:val="center" w:pos="0"/>
                <w:tab w:val="left" w:pos="720"/>
              </w:tabs>
              <w:ind w:right="-450"/>
              <w:rPr>
                <w:color w:val="000000" w:themeColor="text1"/>
                <w:sz w:val="20"/>
              </w:rPr>
            </w:pPr>
          </w:p>
          <w:p w14:paraId="0751EF06" w14:textId="77777777" w:rsidR="00FF784F" w:rsidRPr="00D44091" w:rsidRDefault="00FF784F" w:rsidP="00D44091">
            <w:pPr>
              <w:tabs>
                <w:tab w:val="center" w:pos="0"/>
                <w:tab w:val="left" w:pos="720"/>
              </w:tabs>
              <w:ind w:right="-450"/>
              <w:rPr>
                <w:i/>
                <w:color w:val="000000" w:themeColor="text1"/>
                <w:sz w:val="20"/>
              </w:rPr>
            </w:pPr>
            <w:r w:rsidRPr="00D44091">
              <w:rPr>
                <w:i/>
                <w:color w:val="000000" w:themeColor="text1"/>
                <w:sz w:val="20"/>
              </w:rPr>
              <w:t>Disclosure</w:t>
            </w:r>
          </w:p>
        </w:tc>
        <w:tc>
          <w:tcPr>
            <w:tcW w:w="3428" w:type="dxa"/>
          </w:tcPr>
          <w:p w14:paraId="6D4B60E4"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 xml:space="preserve">IDI provides to OCC copy of </w:t>
            </w:r>
          </w:p>
          <w:p w14:paraId="7FD0EF01"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agreement or list of covered</w:t>
            </w:r>
          </w:p>
          <w:p w14:paraId="0D6DF406"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agreements</w:t>
            </w:r>
            <w:r w:rsidR="000E2A3B" w:rsidRPr="00D44091">
              <w:rPr>
                <w:color w:val="000000" w:themeColor="text1"/>
                <w:sz w:val="20"/>
              </w:rPr>
              <w:t>:</w:t>
            </w:r>
          </w:p>
          <w:p w14:paraId="4E374AFE" w14:textId="77777777" w:rsidR="001C5BBD" w:rsidRPr="00D44091" w:rsidRDefault="001C5BBD" w:rsidP="00D44091">
            <w:pPr>
              <w:tabs>
                <w:tab w:val="center" w:pos="0"/>
                <w:tab w:val="left" w:pos="720"/>
              </w:tabs>
              <w:ind w:right="-450"/>
              <w:rPr>
                <w:color w:val="000000" w:themeColor="text1"/>
                <w:sz w:val="20"/>
              </w:rPr>
            </w:pPr>
          </w:p>
        </w:tc>
        <w:tc>
          <w:tcPr>
            <w:tcW w:w="1260" w:type="dxa"/>
          </w:tcPr>
          <w:p w14:paraId="3A44D0AF" w14:textId="6E77ECC2" w:rsidR="001C5BBD" w:rsidRPr="00D44091" w:rsidRDefault="003554B5" w:rsidP="00D44091">
            <w:pPr>
              <w:tabs>
                <w:tab w:val="center" w:pos="0"/>
                <w:tab w:val="left" w:pos="720"/>
              </w:tabs>
              <w:ind w:right="-450"/>
              <w:jc w:val="center"/>
              <w:rPr>
                <w:color w:val="000000" w:themeColor="text1"/>
                <w:sz w:val="20"/>
              </w:rPr>
            </w:pPr>
            <w:r>
              <w:rPr>
                <w:color w:val="000000" w:themeColor="text1"/>
                <w:sz w:val="20"/>
              </w:rPr>
              <w:t>7</w:t>
            </w:r>
          </w:p>
        </w:tc>
        <w:tc>
          <w:tcPr>
            <w:tcW w:w="1170" w:type="dxa"/>
          </w:tcPr>
          <w:p w14:paraId="7D069E51" w14:textId="77777777" w:rsidR="001C5BBD" w:rsidRPr="00D44091" w:rsidRDefault="001C5BBD" w:rsidP="00D44091">
            <w:pPr>
              <w:tabs>
                <w:tab w:val="center" w:pos="0"/>
                <w:tab w:val="left" w:pos="720"/>
              </w:tabs>
              <w:ind w:right="-450"/>
              <w:jc w:val="center"/>
              <w:rPr>
                <w:color w:val="000000" w:themeColor="text1"/>
                <w:sz w:val="20"/>
              </w:rPr>
            </w:pPr>
          </w:p>
        </w:tc>
        <w:tc>
          <w:tcPr>
            <w:tcW w:w="990" w:type="dxa"/>
          </w:tcPr>
          <w:p w14:paraId="01F473FA" w14:textId="77777777" w:rsidR="001C5BBD" w:rsidRPr="00D44091" w:rsidRDefault="001C5BBD" w:rsidP="00D44091">
            <w:pPr>
              <w:tabs>
                <w:tab w:val="center" w:pos="0"/>
                <w:tab w:val="left" w:pos="720"/>
              </w:tabs>
              <w:ind w:right="-450"/>
              <w:jc w:val="center"/>
              <w:rPr>
                <w:color w:val="000000" w:themeColor="text1"/>
                <w:sz w:val="20"/>
              </w:rPr>
            </w:pPr>
          </w:p>
        </w:tc>
        <w:tc>
          <w:tcPr>
            <w:tcW w:w="1260" w:type="dxa"/>
          </w:tcPr>
          <w:p w14:paraId="1A11FCB0" w14:textId="77777777" w:rsidR="001C5BBD" w:rsidRPr="00D44091" w:rsidRDefault="001C5BBD" w:rsidP="00D44091">
            <w:pPr>
              <w:tabs>
                <w:tab w:val="center" w:pos="0"/>
                <w:tab w:val="left" w:pos="720"/>
              </w:tabs>
              <w:ind w:right="-450"/>
              <w:jc w:val="center"/>
              <w:rPr>
                <w:color w:val="000000" w:themeColor="text1"/>
                <w:sz w:val="20"/>
              </w:rPr>
            </w:pPr>
          </w:p>
        </w:tc>
      </w:tr>
      <w:tr w:rsidR="00D44091" w:rsidRPr="00D44091" w14:paraId="21B80E71" w14:textId="77777777" w:rsidTr="001C5BBD">
        <w:tc>
          <w:tcPr>
            <w:tcW w:w="1270" w:type="dxa"/>
          </w:tcPr>
          <w:p w14:paraId="0A9313EF" w14:textId="77777777" w:rsidR="001C5BBD" w:rsidRPr="00D44091" w:rsidRDefault="001C5BBD" w:rsidP="00221900">
            <w:pPr>
              <w:tabs>
                <w:tab w:val="center" w:pos="0"/>
                <w:tab w:val="left" w:pos="720"/>
              </w:tabs>
              <w:ind w:right="-450"/>
              <w:rPr>
                <w:color w:val="000000" w:themeColor="text1"/>
                <w:sz w:val="20"/>
              </w:rPr>
            </w:pPr>
          </w:p>
        </w:tc>
        <w:tc>
          <w:tcPr>
            <w:tcW w:w="3428" w:type="dxa"/>
          </w:tcPr>
          <w:p w14:paraId="47706934"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List of Agreements</w:t>
            </w:r>
          </w:p>
          <w:p w14:paraId="3E80BE44" w14:textId="77777777" w:rsidR="001C5BBD" w:rsidRPr="00D44091" w:rsidRDefault="001C5BBD" w:rsidP="00D44091">
            <w:pPr>
              <w:tabs>
                <w:tab w:val="center" w:pos="0"/>
                <w:tab w:val="left" w:pos="720"/>
              </w:tabs>
              <w:ind w:right="-450"/>
              <w:rPr>
                <w:color w:val="000000" w:themeColor="text1"/>
                <w:sz w:val="20"/>
              </w:rPr>
            </w:pPr>
          </w:p>
        </w:tc>
        <w:tc>
          <w:tcPr>
            <w:tcW w:w="1260" w:type="dxa"/>
          </w:tcPr>
          <w:p w14:paraId="6C101064" w14:textId="77777777" w:rsidR="001C5BBD" w:rsidRPr="00D44091" w:rsidRDefault="001C5BBD" w:rsidP="00D44091">
            <w:pPr>
              <w:tabs>
                <w:tab w:val="center" w:pos="0"/>
                <w:tab w:val="left" w:pos="720"/>
              </w:tabs>
              <w:ind w:right="-450"/>
              <w:jc w:val="center"/>
              <w:rPr>
                <w:color w:val="000000" w:themeColor="text1"/>
                <w:sz w:val="20"/>
              </w:rPr>
            </w:pPr>
          </w:p>
        </w:tc>
        <w:tc>
          <w:tcPr>
            <w:tcW w:w="1170" w:type="dxa"/>
          </w:tcPr>
          <w:p w14:paraId="3F51B66D" w14:textId="103809B4" w:rsidR="001C5BBD" w:rsidRPr="00D44091" w:rsidRDefault="00163B7E" w:rsidP="00D44091">
            <w:pPr>
              <w:tabs>
                <w:tab w:val="center" w:pos="0"/>
                <w:tab w:val="left" w:pos="720"/>
              </w:tabs>
              <w:ind w:right="-450"/>
              <w:jc w:val="center"/>
              <w:rPr>
                <w:color w:val="000000" w:themeColor="text1"/>
                <w:sz w:val="20"/>
              </w:rPr>
            </w:pPr>
            <w:r w:rsidRPr="00D44091">
              <w:rPr>
                <w:color w:val="000000" w:themeColor="text1"/>
                <w:sz w:val="20"/>
              </w:rPr>
              <w:t>1</w:t>
            </w:r>
            <w:r w:rsidR="003554B5">
              <w:rPr>
                <w:color w:val="000000" w:themeColor="text1"/>
                <w:sz w:val="20"/>
              </w:rPr>
              <w:t>4</w:t>
            </w:r>
          </w:p>
        </w:tc>
        <w:tc>
          <w:tcPr>
            <w:tcW w:w="990" w:type="dxa"/>
          </w:tcPr>
          <w:p w14:paraId="3CD0553B" w14:textId="77777777" w:rsidR="001C5BBD" w:rsidRPr="00D44091" w:rsidRDefault="001C5BBD" w:rsidP="00D44091">
            <w:pPr>
              <w:tabs>
                <w:tab w:val="center" w:pos="0"/>
                <w:tab w:val="left" w:pos="720"/>
              </w:tabs>
              <w:ind w:right="-450"/>
              <w:jc w:val="center"/>
              <w:rPr>
                <w:color w:val="000000" w:themeColor="text1"/>
                <w:sz w:val="20"/>
              </w:rPr>
            </w:pPr>
            <w:r w:rsidRPr="00D44091">
              <w:rPr>
                <w:color w:val="000000" w:themeColor="text1"/>
                <w:sz w:val="20"/>
              </w:rPr>
              <w:t>1</w:t>
            </w:r>
          </w:p>
        </w:tc>
        <w:tc>
          <w:tcPr>
            <w:tcW w:w="1260" w:type="dxa"/>
          </w:tcPr>
          <w:p w14:paraId="1F6285E9" w14:textId="494556D8" w:rsidR="001C5BBD" w:rsidRPr="00D44091" w:rsidRDefault="00163B7E" w:rsidP="00D44091">
            <w:pPr>
              <w:tabs>
                <w:tab w:val="center" w:pos="0"/>
                <w:tab w:val="left" w:pos="720"/>
              </w:tabs>
              <w:ind w:right="-450"/>
              <w:jc w:val="center"/>
              <w:rPr>
                <w:color w:val="000000" w:themeColor="text1"/>
                <w:sz w:val="20"/>
              </w:rPr>
            </w:pPr>
            <w:r w:rsidRPr="00D44091">
              <w:rPr>
                <w:color w:val="000000" w:themeColor="text1"/>
                <w:sz w:val="20"/>
              </w:rPr>
              <w:t>1</w:t>
            </w:r>
            <w:r w:rsidR="008D0DE7">
              <w:rPr>
                <w:color w:val="000000" w:themeColor="text1"/>
                <w:sz w:val="20"/>
              </w:rPr>
              <w:t>4</w:t>
            </w:r>
          </w:p>
        </w:tc>
      </w:tr>
      <w:tr w:rsidR="00D44091" w:rsidRPr="00D44091" w14:paraId="7EF08669" w14:textId="77777777" w:rsidTr="001C5BBD">
        <w:tc>
          <w:tcPr>
            <w:tcW w:w="1270" w:type="dxa"/>
          </w:tcPr>
          <w:p w14:paraId="2D0ED3E0" w14:textId="77777777" w:rsidR="001C5BBD" w:rsidRPr="00D44091" w:rsidRDefault="001C5BBD" w:rsidP="00221900">
            <w:pPr>
              <w:tabs>
                <w:tab w:val="center" w:pos="0"/>
                <w:tab w:val="left" w:pos="720"/>
              </w:tabs>
              <w:ind w:right="-450"/>
              <w:rPr>
                <w:color w:val="000000" w:themeColor="text1"/>
                <w:sz w:val="20"/>
              </w:rPr>
            </w:pPr>
          </w:p>
        </w:tc>
        <w:tc>
          <w:tcPr>
            <w:tcW w:w="3428" w:type="dxa"/>
          </w:tcPr>
          <w:p w14:paraId="2CE31583"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Copies of Agreements</w:t>
            </w:r>
          </w:p>
          <w:p w14:paraId="1EBD13F7" w14:textId="77777777" w:rsidR="001C5BBD" w:rsidRPr="00D44091" w:rsidRDefault="001C5BBD" w:rsidP="00D44091">
            <w:pPr>
              <w:tabs>
                <w:tab w:val="center" w:pos="0"/>
                <w:tab w:val="left" w:pos="720"/>
              </w:tabs>
              <w:ind w:right="-450"/>
              <w:rPr>
                <w:color w:val="000000" w:themeColor="text1"/>
                <w:sz w:val="20"/>
              </w:rPr>
            </w:pPr>
          </w:p>
        </w:tc>
        <w:tc>
          <w:tcPr>
            <w:tcW w:w="1260" w:type="dxa"/>
          </w:tcPr>
          <w:p w14:paraId="56B3A83F" w14:textId="77777777" w:rsidR="001C5BBD" w:rsidRPr="00D44091" w:rsidRDefault="001C5BBD" w:rsidP="00D44091">
            <w:pPr>
              <w:tabs>
                <w:tab w:val="center" w:pos="0"/>
                <w:tab w:val="left" w:pos="720"/>
              </w:tabs>
              <w:ind w:right="-450"/>
              <w:jc w:val="center"/>
              <w:rPr>
                <w:color w:val="000000" w:themeColor="text1"/>
                <w:sz w:val="20"/>
              </w:rPr>
            </w:pPr>
          </w:p>
        </w:tc>
        <w:tc>
          <w:tcPr>
            <w:tcW w:w="1170" w:type="dxa"/>
          </w:tcPr>
          <w:p w14:paraId="454A5799" w14:textId="05F374E5" w:rsidR="001C5BBD" w:rsidRPr="00D44091" w:rsidRDefault="003554B5" w:rsidP="00D44091">
            <w:pPr>
              <w:tabs>
                <w:tab w:val="center" w:pos="0"/>
                <w:tab w:val="left" w:pos="720"/>
              </w:tabs>
              <w:ind w:right="-450"/>
              <w:jc w:val="center"/>
              <w:rPr>
                <w:color w:val="000000" w:themeColor="text1"/>
                <w:sz w:val="20"/>
              </w:rPr>
            </w:pPr>
            <w:r>
              <w:rPr>
                <w:color w:val="000000" w:themeColor="text1"/>
                <w:sz w:val="20"/>
              </w:rPr>
              <w:t>54</w:t>
            </w:r>
          </w:p>
        </w:tc>
        <w:tc>
          <w:tcPr>
            <w:tcW w:w="990" w:type="dxa"/>
          </w:tcPr>
          <w:p w14:paraId="500F52D6" w14:textId="77777777" w:rsidR="001C5BBD" w:rsidRPr="00D44091" w:rsidRDefault="001C5BBD" w:rsidP="00D44091">
            <w:pPr>
              <w:tabs>
                <w:tab w:val="center" w:pos="0"/>
                <w:tab w:val="left" w:pos="720"/>
              </w:tabs>
              <w:ind w:right="-450"/>
              <w:jc w:val="center"/>
              <w:rPr>
                <w:color w:val="000000" w:themeColor="text1"/>
                <w:sz w:val="20"/>
              </w:rPr>
            </w:pPr>
            <w:r w:rsidRPr="00D44091">
              <w:rPr>
                <w:color w:val="000000" w:themeColor="text1"/>
                <w:sz w:val="20"/>
              </w:rPr>
              <w:t>1</w:t>
            </w:r>
          </w:p>
        </w:tc>
        <w:tc>
          <w:tcPr>
            <w:tcW w:w="1260" w:type="dxa"/>
          </w:tcPr>
          <w:p w14:paraId="76E9B5CE" w14:textId="4B684287" w:rsidR="001C5BBD" w:rsidRPr="00D44091" w:rsidRDefault="008D0DE7" w:rsidP="00D44091">
            <w:pPr>
              <w:tabs>
                <w:tab w:val="center" w:pos="0"/>
                <w:tab w:val="left" w:pos="720"/>
              </w:tabs>
              <w:ind w:right="-450"/>
              <w:jc w:val="center"/>
              <w:rPr>
                <w:color w:val="000000" w:themeColor="text1"/>
                <w:sz w:val="20"/>
              </w:rPr>
            </w:pPr>
            <w:r>
              <w:rPr>
                <w:color w:val="000000" w:themeColor="text1"/>
                <w:sz w:val="20"/>
              </w:rPr>
              <w:t>54</w:t>
            </w:r>
          </w:p>
        </w:tc>
      </w:tr>
      <w:tr w:rsidR="00D44091" w:rsidRPr="00D44091" w14:paraId="6DF9C88E" w14:textId="77777777" w:rsidTr="001C5BBD">
        <w:tc>
          <w:tcPr>
            <w:tcW w:w="1270" w:type="dxa"/>
          </w:tcPr>
          <w:p w14:paraId="6C615D9B" w14:textId="77777777" w:rsidR="001C5BBD" w:rsidRPr="00D44091" w:rsidRDefault="001C5BBD" w:rsidP="00221900">
            <w:pPr>
              <w:tabs>
                <w:tab w:val="center" w:pos="0"/>
                <w:tab w:val="left" w:pos="720"/>
              </w:tabs>
              <w:ind w:right="-450"/>
              <w:rPr>
                <w:color w:val="000000" w:themeColor="text1"/>
                <w:sz w:val="20"/>
              </w:rPr>
            </w:pPr>
            <w:r w:rsidRPr="00D44091">
              <w:rPr>
                <w:color w:val="000000" w:themeColor="text1"/>
                <w:sz w:val="20"/>
              </w:rPr>
              <w:t>35.7(b)</w:t>
            </w:r>
          </w:p>
          <w:p w14:paraId="6E510010" w14:textId="77777777" w:rsidR="001C5BBD" w:rsidRPr="00D44091" w:rsidRDefault="001C5BBD" w:rsidP="00D44091">
            <w:pPr>
              <w:tabs>
                <w:tab w:val="center" w:pos="0"/>
                <w:tab w:val="left" w:pos="720"/>
              </w:tabs>
              <w:ind w:right="-450"/>
              <w:rPr>
                <w:color w:val="000000" w:themeColor="text1"/>
                <w:sz w:val="20"/>
              </w:rPr>
            </w:pPr>
          </w:p>
          <w:p w14:paraId="347C5049" w14:textId="77777777" w:rsidR="00FF784F" w:rsidRPr="00D44091" w:rsidRDefault="00FF784F" w:rsidP="00D44091">
            <w:pPr>
              <w:tabs>
                <w:tab w:val="center" w:pos="0"/>
                <w:tab w:val="left" w:pos="720"/>
              </w:tabs>
              <w:ind w:right="-450"/>
              <w:rPr>
                <w:i/>
                <w:color w:val="000000" w:themeColor="text1"/>
                <w:sz w:val="20"/>
              </w:rPr>
            </w:pPr>
            <w:r w:rsidRPr="00D44091">
              <w:rPr>
                <w:i/>
                <w:color w:val="000000" w:themeColor="text1"/>
                <w:sz w:val="20"/>
              </w:rPr>
              <w:t>Reporting</w:t>
            </w:r>
          </w:p>
          <w:p w14:paraId="2020DEB5" w14:textId="77777777" w:rsidR="00FF784F" w:rsidRPr="00D44091" w:rsidRDefault="00FF784F" w:rsidP="00D44091">
            <w:pPr>
              <w:tabs>
                <w:tab w:val="center" w:pos="0"/>
                <w:tab w:val="left" w:pos="720"/>
              </w:tabs>
              <w:ind w:right="-450"/>
              <w:rPr>
                <w:i/>
                <w:color w:val="000000" w:themeColor="text1"/>
                <w:sz w:val="20"/>
              </w:rPr>
            </w:pPr>
          </w:p>
        </w:tc>
        <w:tc>
          <w:tcPr>
            <w:tcW w:w="3428" w:type="dxa"/>
          </w:tcPr>
          <w:p w14:paraId="280C8598" w14:textId="77777777" w:rsidR="001C5BBD" w:rsidRPr="00D44091" w:rsidRDefault="002037A1" w:rsidP="00D44091">
            <w:pPr>
              <w:tabs>
                <w:tab w:val="center" w:pos="0"/>
                <w:tab w:val="left" w:pos="720"/>
              </w:tabs>
              <w:ind w:right="-450"/>
              <w:rPr>
                <w:color w:val="000000" w:themeColor="text1"/>
                <w:sz w:val="20"/>
              </w:rPr>
            </w:pPr>
            <w:r w:rsidRPr="00D44091">
              <w:rPr>
                <w:color w:val="000000" w:themeColor="text1"/>
                <w:sz w:val="20"/>
              </w:rPr>
              <w:t xml:space="preserve">NGEP and IDI file annual </w:t>
            </w:r>
            <w:r w:rsidR="001C5BBD" w:rsidRPr="00D44091">
              <w:rPr>
                <w:color w:val="000000" w:themeColor="text1"/>
                <w:sz w:val="20"/>
              </w:rPr>
              <w:t>report</w:t>
            </w:r>
          </w:p>
          <w:p w14:paraId="036DE8C5"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with OCC</w:t>
            </w:r>
            <w:r w:rsidR="000E2A3B" w:rsidRPr="00D44091">
              <w:rPr>
                <w:color w:val="000000" w:themeColor="text1"/>
                <w:sz w:val="20"/>
              </w:rPr>
              <w:t>:</w:t>
            </w:r>
          </w:p>
          <w:p w14:paraId="2A878B29" w14:textId="77777777" w:rsidR="001C5BBD" w:rsidRPr="00D44091" w:rsidRDefault="001C5BBD" w:rsidP="00D44091">
            <w:pPr>
              <w:tabs>
                <w:tab w:val="center" w:pos="0"/>
                <w:tab w:val="left" w:pos="720"/>
              </w:tabs>
              <w:ind w:right="-450"/>
              <w:rPr>
                <w:color w:val="000000" w:themeColor="text1"/>
                <w:sz w:val="20"/>
              </w:rPr>
            </w:pPr>
          </w:p>
        </w:tc>
        <w:tc>
          <w:tcPr>
            <w:tcW w:w="1260" w:type="dxa"/>
          </w:tcPr>
          <w:p w14:paraId="2CF26336" w14:textId="77777777" w:rsidR="001C5BBD" w:rsidRPr="00D44091" w:rsidRDefault="001C5BBD" w:rsidP="00D44091">
            <w:pPr>
              <w:tabs>
                <w:tab w:val="center" w:pos="0"/>
                <w:tab w:val="left" w:pos="720"/>
              </w:tabs>
              <w:ind w:right="-450"/>
              <w:jc w:val="center"/>
              <w:rPr>
                <w:color w:val="000000" w:themeColor="text1"/>
                <w:sz w:val="20"/>
              </w:rPr>
            </w:pPr>
          </w:p>
        </w:tc>
        <w:tc>
          <w:tcPr>
            <w:tcW w:w="1170" w:type="dxa"/>
          </w:tcPr>
          <w:p w14:paraId="69D4D4BF" w14:textId="77777777" w:rsidR="001C5BBD" w:rsidRPr="00D44091" w:rsidRDefault="001C5BBD" w:rsidP="00D44091">
            <w:pPr>
              <w:tabs>
                <w:tab w:val="center" w:pos="0"/>
                <w:tab w:val="left" w:pos="720"/>
              </w:tabs>
              <w:ind w:right="-450"/>
              <w:jc w:val="center"/>
              <w:rPr>
                <w:color w:val="000000" w:themeColor="text1"/>
                <w:sz w:val="20"/>
              </w:rPr>
            </w:pPr>
          </w:p>
        </w:tc>
        <w:tc>
          <w:tcPr>
            <w:tcW w:w="990" w:type="dxa"/>
          </w:tcPr>
          <w:p w14:paraId="24F2A431" w14:textId="77777777" w:rsidR="001C5BBD" w:rsidRPr="00D44091" w:rsidRDefault="001C5BBD" w:rsidP="00D44091">
            <w:pPr>
              <w:tabs>
                <w:tab w:val="center" w:pos="0"/>
                <w:tab w:val="left" w:pos="720"/>
              </w:tabs>
              <w:ind w:right="-450"/>
              <w:jc w:val="center"/>
              <w:rPr>
                <w:color w:val="000000" w:themeColor="text1"/>
                <w:sz w:val="20"/>
              </w:rPr>
            </w:pPr>
          </w:p>
        </w:tc>
        <w:tc>
          <w:tcPr>
            <w:tcW w:w="1260" w:type="dxa"/>
          </w:tcPr>
          <w:p w14:paraId="0B91A87F" w14:textId="77777777" w:rsidR="001C5BBD" w:rsidRPr="00D44091" w:rsidRDefault="001C5BBD" w:rsidP="00D44091">
            <w:pPr>
              <w:tabs>
                <w:tab w:val="center" w:pos="0"/>
                <w:tab w:val="left" w:pos="720"/>
              </w:tabs>
              <w:ind w:right="-450"/>
              <w:jc w:val="center"/>
              <w:rPr>
                <w:color w:val="000000" w:themeColor="text1"/>
                <w:sz w:val="20"/>
              </w:rPr>
            </w:pPr>
          </w:p>
        </w:tc>
      </w:tr>
      <w:tr w:rsidR="00D44091" w:rsidRPr="00D44091" w14:paraId="21B380D2" w14:textId="77777777" w:rsidTr="001C5BBD">
        <w:tc>
          <w:tcPr>
            <w:tcW w:w="1270" w:type="dxa"/>
          </w:tcPr>
          <w:p w14:paraId="228FE72C" w14:textId="77777777" w:rsidR="001C5BBD" w:rsidRPr="00D44091" w:rsidRDefault="001C5BBD" w:rsidP="00221900">
            <w:pPr>
              <w:tabs>
                <w:tab w:val="center" w:pos="0"/>
                <w:tab w:val="left" w:pos="720"/>
              </w:tabs>
              <w:ind w:right="-450"/>
              <w:rPr>
                <w:color w:val="000000" w:themeColor="text1"/>
                <w:sz w:val="20"/>
              </w:rPr>
            </w:pPr>
          </w:p>
        </w:tc>
        <w:tc>
          <w:tcPr>
            <w:tcW w:w="3428" w:type="dxa"/>
          </w:tcPr>
          <w:p w14:paraId="05A458EE"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Annual reports filed by IDIs</w:t>
            </w:r>
          </w:p>
          <w:p w14:paraId="0CF4630D" w14:textId="77777777" w:rsidR="001C5BBD" w:rsidRPr="00D44091" w:rsidRDefault="001C5BBD" w:rsidP="00D44091">
            <w:pPr>
              <w:tabs>
                <w:tab w:val="center" w:pos="0"/>
                <w:tab w:val="left" w:pos="720"/>
              </w:tabs>
              <w:ind w:right="-450"/>
              <w:rPr>
                <w:color w:val="000000" w:themeColor="text1"/>
                <w:sz w:val="20"/>
              </w:rPr>
            </w:pPr>
          </w:p>
        </w:tc>
        <w:tc>
          <w:tcPr>
            <w:tcW w:w="1260" w:type="dxa"/>
          </w:tcPr>
          <w:p w14:paraId="1688B33B" w14:textId="77777777" w:rsidR="001C5BBD" w:rsidRPr="00D44091" w:rsidRDefault="001C5BBD" w:rsidP="00D44091">
            <w:pPr>
              <w:tabs>
                <w:tab w:val="center" w:pos="0"/>
                <w:tab w:val="left" w:pos="720"/>
              </w:tabs>
              <w:ind w:right="-450"/>
              <w:jc w:val="center"/>
              <w:rPr>
                <w:color w:val="000000" w:themeColor="text1"/>
                <w:sz w:val="20"/>
              </w:rPr>
            </w:pPr>
          </w:p>
        </w:tc>
        <w:tc>
          <w:tcPr>
            <w:tcW w:w="1170" w:type="dxa"/>
          </w:tcPr>
          <w:p w14:paraId="1550992E" w14:textId="77777777" w:rsidR="001C5BBD" w:rsidRPr="00D44091" w:rsidRDefault="00C82C8D" w:rsidP="00D44091">
            <w:pPr>
              <w:tabs>
                <w:tab w:val="center" w:pos="0"/>
                <w:tab w:val="left" w:pos="720"/>
              </w:tabs>
              <w:ind w:right="-450"/>
              <w:jc w:val="center"/>
              <w:rPr>
                <w:color w:val="000000" w:themeColor="text1"/>
                <w:sz w:val="20"/>
              </w:rPr>
            </w:pPr>
            <w:r w:rsidRPr="00D44091">
              <w:rPr>
                <w:color w:val="000000" w:themeColor="text1"/>
                <w:sz w:val="20"/>
              </w:rPr>
              <w:t>6</w:t>
            </w:r>
          </w:p>
        </w:tc>
        <w:tc>
          <w:tcPr>
            <w:tcW w:w="990" w:type="dxa"/>
          </w:tcPr>
          <w:p w14:paraId="50113CC5" w14:textId="77777777" w:rsidR="001C5BBD" w:rsidRPr="00D44091" w:rsidRDefault="001C5BBD" w:rsidP="00D44091">
            <w:pPr>
              <w:tabs>
                <w:tab w:val="center" w:pos="0"/>
                <w:tab w:val="left" w:pos="720"/>
              </w:tabs>
              <w:ind w:right="-450"/>
              <w:jc w:val="center"/>
              <w:rPr>
                <w:color w:val="000000" w:themeColor="text1"/>
                <w:sz w:val="20"/>
              </w:rPr>
            </w:pPr>
            <w:r w:rsidRPr="00D44091">
              <w:rPr>
                <w:color w:val="000000" w:themeColor="text1"/>
                <w:sz w:val="20"/>
              </w:rPr>
              <w:t>4</w:t>
            </w:r>
          </w:p>
        </w:tc>
        <w:tc>
          <w:tcPr>
            <w:tcW w:w="1260" w:type="dxa"/>
          </w:tcPr>
          <w:p w14:paraId="40554136" w14:textId="77777777" w:rsidR="001C5BBD" w:rsidRPr="00D44091" w:rsidRDefault="00F91A10" w:rsidP="00D44091">
            <w:pPr>
              <w:tabs>
                <w:tab w:val="center" w:pos="0"/>
                <w:tab w:val="left" w:pos="720"/>
              </w:tabs>
              <w:ind w:right="-450"/>
              <w:jc w:val="center"/>
              <w:rPr>
                <w:color w:val="000000" w:themeColor="text1"/>
                <w:sz w:val="20"/>
              </w:rPr>
            </w:pPr>
            <w:r w:rsidRPr="00D44091">
              <w:rPr>
                <w:color w:val="000000" w:themeColor="text1"/>
                <w:sz w:val="20"/>
              </w:rPr>
              <w:t>2</w:t>
            </w:r>
            <w:r w:rsidR="00C82C8D" w:rsidRPr="00D44091">
              <w:rPr>
                <w:color w:val="000000" w:themeColor="text1"/>
                <w:sz w:val="20"/>
              </w:rPr>
              <w:t>4</w:t>
            </w:r>
          </w:p>
        </w:tc>
      </w:tr>
      <w:tr w:rsidR="00D44091" w:rsidRPr="00D44091" w14:paraId="4831F7B5" w14:textId="77777777" w:rsidTr="001C5BBD">
        <w:tc>
          <w:tcPr>
            <w:tcW w:w="1270" w:type="dxa"/>
          </w:tcPr>
          <w:p w14:paraId="7E61C7B6" w14:textId="77777777" w:rsidR="001C5BBD" w:rsidRPr="00D44091" w:rsidRDefault="001C5BBD" w:rsidP="00221900">
            <w:pPr>
              <w:tabs>
                <w:tab w:val="center" w:pos="0"/>
                <w:tab w:val="left" w:pos="720"/>
              </w:tabs>
              <w:ind w:right="-450"/>
              <w:rPr>
                <w:color w:val="000000" w:themeColor="text1"/>
                <w:sz w:val="20"/>
              </w:rPr>
            </w:pPr>
          </w:p>
        </w:tc>
        <w:tc>
          <w:tcPr>
            <w:tcW w:w="3428" w:type="dxa"/>
          </w:tcPr>
          <w:p w14:paraId="08377FA4"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Annual Reports filed by NGEPs</w:t>
            </w:r>
          </w:p>
          <w:p w14:paraId="5428670E" w14:textId="77777777" w:rsidR="001C5BBD" w:rsidRPr="00D44091" w:rsidRDefault="001C5BBD" w:rsidP="00D44091">
            <w:pPr>
              <w:tabs>
                <w:tab w:val="center" w:pos="0"/>
                <w:tab w:val="left" w:pos="720"/>
              </w:tabs>
              <w:ind w:right="-450"/>
              <w:rPr>
                <w:color w:val="000000" w:themeColor="text1"/>
                <w:sz w:val="20"/>
              </w:rPr>
            </w:pPr>
          </w:p>
        </w:tc>
        <w:tc>
          <w:tcPr>
            <w:tcW w:w="1260" w:type="dxa"/>
          </w:tcPr>
          <w:p w14:paraId="2D0671EF" w14:textId="77777777" w:rsidR="001C5BBD" w:rsidRPr="00D44091" w:rsidRDefault="001C5BBD" w:rsidP="00D44091">
            <w:pPr>
              <w:tabs>
                <w:tab w:val="center" w:pos="0"/>
                <w:tab w:val="left" w:pos="720"/>
              </w:tabs>
              <w:ind w:right="-450"/>
              <w:jc w:val="center"/>
              <w:rPr>
                <w:color w:val="000000" w:themeColor="text1"/>
                <w:sz w:val="20"/>
              </w:rPr>
            </w:pPr>
          </w:p>
        </w:tc>
        <w:tc>
          <w:tcPr>
            <w:tcW w:w="1170" w:type="dxa"/>
          </w:tcPr>
          <w:p w14:paraId="6B4D9C3D" w14:textId="77777777" w:rsidR="001C5BBD" w:rsidRPr="00D44091" w:rsidRDefault="00F91A10" w:rsidP="00D44091">
            <w:pPr>
              <w:tabs>
                <w:tab w:val="center" w:pos="0"/>
                <w:tab w:val="left" w:pos="720"/>
              </w:tabs>
              <w:ind w:right="-450"/>
              <w:jc w:val="center"/>
              <w:rPr>
                <w:color w:val="000000" w:themeColor="text1"/>
                <w:sz w:val="20"/>
              </w:rPr>
            </w:pPr>
            <w:r w:rsidRPr="00D44091">
              <w:rPr>
                <w:color w:val="000000" w:themeColor="text1"/>
                <w:sz w:val="20"/>
              </w:rPr>
              <w:t>3</w:t>
            </w:r>
          </w:p>
        </w:tc>
        <w:tc>
          <w:tcPr>
            <w:tcW w:w="990" w:type="dxa"/>
          </w:tcPr>
          <w:p w14:paraId="1B6FB5C4" w14:textId="77777777" w:rsidR="001C5BBD" w:rsidRPr="00D44091" w:rsidRDefault="001C5BBD" w:rsidP="00D44091">
            <w:pPr>
              <w:tabs>
                <w:tab w:val="center" w:pos="0"/>
                <w:tab w:val="left" w:pos="720"/>
              </w:tabs>
              <w:ind w:right="-450"/>
              <w:jc w:val="center"/>
              <w:rPr>
                <w:color w:val="000000" w:themeColor="text1"/>
                <w:sz w:val="20"/>
              </w:rPr>
            </w:pPr>
            <w:r w:rsidRPr="00D44091">
              <w:rPr>
                <w:color w:val="000000" w:themeColor="text1"/>
                <w:sz w:val="20"/>
              </w:rPr>
              <w:t>4</w:t>
            </w:r>
          </w:p>
        </w:tc>
        <w:tc>
          <w:tcPr>
            <w:tcW w:w="1260" w:type="dxa"/>
          </w:tcPr>
          <w:p w14:paraId="279CDF5F" w14:textId="77777777" w:rsidR="001C5BBD" w:rsidRPr="00D44091" w:rsidRDefault="00F91A10" w:rsidP="00D44091">
            <w:pPr>
              <w:tabs>
                <w:tab w:val="center" w:pos="0"/>
                <w:tab w:val="left" w:pos="720"/>
              </w:tabs>
              <w:ind w:right="-450"/>
              <w:jc w:val="center"/>
              <w:rPr>
                <w:color w:val="000000" w:themeColor="text1"/>
                <w:sz w:val="20"/>
              </w:rPr>
            </w:pPr>
            <w:r w:rsidRPr="00D44091">
              <w:rPr>
                <w:color w:val="000000" w:themeColor="text1"/>
                <w:sz w:val="20"/>
              </w:rPr>
              <w:t>12</w:t>
            </w:r>
          </w:p>
        </w:tc>
      </w:tr>
      <w:tr w:rsidR="00D44091" w:rsidRPr="00D44091" w14:paraId="1EFF6800" w14:textId="77777777" w:rsidTr="001C5BBD">
        <w:tc>
          <w:tcPr>
            <w:tcW w:w="1270" w:type="dxa"/>
          </w:tcPr>
          <w:p w14:paraId="3FF8BD6F" w14:textId="77777777" w:rsidR="001C5BBD" w:rsidRPr="00D44091" w:rsidRDefault="003B603C" w:rsidP="00221900">
            <w:pPr>
              <w:tabs>
                <w:tab w:val="center" w:pos="0"/>
                <w:tab w:val="left" w:pos="720"/>
              </w:tabs>
              <w:ind w:right="-450"/>
              <w:rPr>
                <w:color w:val="000000" w:themeColor="text1"/>
                <w:sz w:val="20"/>
              </w:rPr>
            </w:pPr>
            <w:r w:rsidRPr="00D44091">
              <w:rPr>
                <w:color w:val="000000" w:themeColor="text1"/>
                <w:sz w:val="20"/>
              </w:rPr>
              <w:t>35.7(f)</w:t>
            </w:r>
          </w:p>
          <w:p w14:paraId="44882DA1" w14:textId="77777777" w:rsidR="001C5BBD" w:rsidRPr="00D44091" w:rsidRDefault="001C5BBD" w:rsidP="00D44091">
            <w:pPr>
              <w:tabs>
                <w:tab w:val="center" w:pos="0"/>
                <w:tab w:val="left" w:pos="720"/>
              </w:tabs>
              <w:ind w:right="-450"/>
              <w:rPr>
                <w:color w:val="000000" w:themeColor="text1"/>
                <w:sz w:val="20"/>
              </w:rPr>
            </w:pPr>
          </w:p>
          <w:p w14:paraId="374B5F51" w14:textId="77777777" w:rsidR="00FF784F" w:rsidRPr="00D44091" w:rsidRDefault="00FF784F" w:rsidP="00D44091">
            <w:pPr>
              <w:tabs>
                <w:tab w:val="center" w:pos="0"/>
                <w:tab w:val="left" w:pos="720"/>
              </w:tabs>
              <w:ind w:right="-450"/>
              <w:rPr>
                <w:i/>
                <w:color w:val="000000" w:themeColor="text1"/>
                <w:sz w:val="20"/>
              </w:rPr>
            </w:pPr>
            <w:r w:rsidRPr="00D44091">
              <w:rPr>
                <w:i/>
                <w:color w:val="000000" w:themeColor="text1"/>
                <w:sz w:val="20"/>
              </w:rPr>
              <w:t>Reporting</w:t>
            </w:r>
          </w:p>
        </w:tc>
        <w:tc>
          <w:tcPr>
            <w:tcW w:w="3428" w:type="dxa"/>
          </w:tcPr>
          <w:p w14:paraId="61947A7E"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IDI receives alternative version</w:t>
            </w:r>
          </w:p>
          <w:p w14:paraId="182C2C56"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 xml:space="preserve">of annual report from NGEP </w:t>
            </w:r>
          </w:p>
          <w:p w14:paraId="71AD9CAE" w14:textId="77777777" w:rsidR="001C5BBD" w:rsidRPr="00D44091" w:rsidRDefault="001C5BBD" w:rsidP="00D44091">
            <w:pPr>
              <w:tabs>
                <w:tab w:val="center" w:pos="0"/>
                <w:tab w:val="left" w:pos="720"/>
              </w:tabs>
              <w:ind w:right="-450"/>
              <w:rPr>
                <w:color w:val="000000" w:themeColor="text1"/>
                <w:sz w:val="20"/>
              </w:rPr>
            </w:pPr>
            <w:r w:rsidRPr="00D44091">
              <w:rPr>
                <w:color w:val="000000" w:themeColor="text1"/>
                <w:sz w:val="20"/>
              </w:rPr>
              <w:t>and files report with OCC</w:t>
            </w:r>
          </w:p>
          <w:p w14:paraId="2C60BD51" w14:textId="77777777" w:rsidR="001C5BBD" w:rsidRPr="00D44091" w:rsidRDefault="001C5BBD" w:rsidP="00D44091">
            <w:pPr>
              <w:tabs>
                <w:tab w:val="center" w:pos="0"/>
                <w:tab w:val="left" w:pos="720"/>
              </w:tabs>
              <w:ind w:right="-450"/>
              <w:rPr>
                <w:color w:val="000000" w:themeColor="text1"/>
                <w:sz w:val="20"/>
              </w:rPr>
            </w:pPr>
          </w:p>
        </w:tc>
        <w:tc>
          <w:tcPr>
            <w:tcW w:w="1260" w:type="dxa"/>
          </w:tcPr>
          <w:p w14:paraId="164B9AE1" w14:textId="77777777" w:rsidR="001C5BBD" w:rsidRPr="00D44091" w:rsidRDefault="001C5BBD" w:rsidP="00D44091">
            <w:pPr>
              <w:tabs>
                <w:tab w:val="center" w:pos="0"/>
                <w:tab w:val="left" w:pos="720"/>
              </w:tabs>
              <w:ind w:right="-450"/>
              <w:jc w:val="center"/>
              <w:rPr>
                <w:color w:val="000000" w:themeColor="text1"/>
                <w:sz w:val="20"/>
              </w:rPr>
            </w:pPr>
            <w:r w:rsidRPr="00D44091">
              <w:rPr>
                <w:color w:val="000000" w:themeColor="text1"/>
                <w:sz w:val="20"/>
              </w:rPr>
              <w:t>0</w:t>
            </w:r>
          </w:p>
        </w:tc>
        <w:tc>
          <w:tcPr>
            <w:tcW w:w="1170" w:type="dxa"/>
          </w:tcPr>
          <w:p w14:paraId="6D816408" w14:textId="77777777" w:rsidR="001C5BBD" w:rsidRPr="00D44091" w:rsidRDefault="001C5BBD" w:rsidP="00D44091">
            <w:pPr>
              <w:tabs>
                <w:tab w:val="center" w:pos="0"/>
                <w:tab w:val="left" w:pos="720"/>
              </w:tabs>
              <w:ind w:right="-450"/>
              <w:jc w:val="center"/>
              <w:rPr>
                <w:color w:val="000000" w:themeColor="text1"/>
                <w:sz w:val="20"/>
              </w:rPr>
            </w:pPr>
            <w:r w:rsidRPr="00D44091">
              <w:rPr>
                <w:color w:val="000000" w:themeColor="text1"/>
                <w:sz w:val="20"/>
              </w:rPr>
              <w:t>0</w:t>
            </w:r>
          </w:p>
        </w:tc>
        <w:tc>
          <w:tcPr>
            <w:tcW w:w="990" w:type="dxa"/>
          </w:tcPr>
          <w:p w14:paraId="17E76CE3" w14:textId="77777777" w:rsidR="001C5BBD" w:rsidRPr="00D44091" w:rsidRDefault="001C5BBD" w:rsidP="00D44091">
            <w:pPr>
              <w:tabs>
                <w:tab w:val="center" w:pos="0"/>
                <w:tab w:val="left" w:pos="720"/>
              </w:tabs>
              <w:ind w:right="-450"/>
              <w:jc w:val="center"/>
              <w:rPr>
                <w:color w:val="000000" w:themeColor="text1"/>
                <w:sz w:val="20"/>
              </w:rPr>
            </w:pPr>
            <w:r w:rsidRPr="00D44091">
              <w:rPr>
                <w:color w:val="000000" w:themeColor="text1"/>
                <w:sz w:val="20"/>
              </w:rPr>
              <w:t>0</w:t>
            </w:r>
          </w:p>
        </w:tc>
        <w:tc>
          <w:tcPr>
            <w:tcW w:w="1260" w:type="dxa"/>
          </w:tcPr>
          <w:p w14:paraId="2448FC2F" w14:textId="77777777" w:rsidR="001C5BBD" w:rsidRPr="00D44091" w:rsidRDefault="001C5BBD" w:rsidP="00D44091">
            <w:pPr>
              <w:tabs>
                <w:tab w:val="center" w:pos="0"/>
                <w:tab w:val="left" w:pos="720"/>
              </w:tabs>
              <w:ind w:right="-450"/>
              <w:jc w:val="center"/>
              <w:rPr>
                <w:color w:val="000000" w:themeColor="text1"/>
                <w:sz w:val="20"/>
              </w:rPr>
            </w:pPr>
            <w:r w:rsidRPr="00D44091">
              <w:rPr>
                <w:color w:val="000000" w:themeColor="text1"/>
                <w:sz w:val="20"/>
              </w:rPr>
              <w:t>0</w:t>
            </w:r>
          </w:p>
        </w:tc>
      </w:tr>
      <w:tr w:rsidR="00D44091" w:rsidRPr="00D44091" w14:paraId="46E5BD0C" w14:textId="77777777" w:rsidTr="001C5BBD">
        <w:tc>
          <w:tcPr>
            <w:tcW w:w="1270" w:type="dxa"/>
          </w:tcPr>
          <w:p w14:paraId="47458212" w14:textId="77777777" w:rsidR="001C5BBD" w:rsidRPr="00D44091" w:rsidRDefault="001C5BBD" w:rsidP="00221900">
            <w:pPr>
              <w:tabs>
                <w:tab w:val="center" w:pos="0"/>
                <w:tab w:val="left" w:pos="720"/>
              </w:tabs>
              <w:ind w:right="-450"/>
              <w:rPr>
                <w:color w:val="000000" w:themeColor="text1"/>
                <w:sz w:val="20"/>
              </w:rPr>
            </w:pPr>
            <w:r w:rsidRPr="00D44091">
              <w:rPr>
                <w:color w:val="000000" w:themeColor="text1"/>
                <w:sz w:val="20"/>
              </w:rPr>
              <w:t>Totals</w:t>
            </w:r>
          </w:p>
        </w:tc>
        <w:tc>
          <w:tcPr>
            <w:tcW w:w="3428" w:type="dxa"/>
          </w:tcPr>
          <w:p w14:paraId="509BBD9C" w14:textId="77777777" w:rsidR="001C5BBD" w:rsidRPr="00D44091" w:rsidRDefault="001C5BBD" w:rsidP="00D44091">
            <w:pPr>
              <w:tabs>
                <w:tab w:val="center" w:pos="0"/>
                <w:tab w:val="left" w:pos="720"/>
              </w:tabs>
              <w:ind w:right="-450"/>
              <w:rPr>
                <w:color w:val="000000" w:themeColor="text1"/>
                <w:sz w:val="20"/>
              </w:rPr>
            </w:pPr>
          </w:p>
        </w:tc>
        <w:tc>
          <w:tcPr>
            <w:tcW w:w="1260" w:type="dxa"/>
          </w:tcPr>
          <w:p w14:paraId="01C5F80C" w14:textId="13C17AFE" w:rsidR="001C5BBD" w:rsidRPr="00D44091" w:rsidRDefault="00727214" w:rsidP="00D44091">
            <w:pPr>
              <w:tabs>
                <w:tab w:val="center" w:pos="0"/>
                <w:tab w:val="left" w:pos="720"/>
              </w:tabs>
              <w:ind w:right="-450"/>
              <w:jc w:val="center"/>
              <w:rPr>
                <w:color w:val="000000" w:themeColor="text1"/>
                <w:sz w:val="20"/>
              </w:rPr>
            </w:pPr>
            <w:r w:rsidRPr="00D44091">
              <w:rPr>
                <w:color w:val="000000" w:themeColor="text1"/>
                <w:sz w:val="20"/>
              </w:rPr>
              <w:t>1</w:t>
            </w:r>
            <w:r w:rsidR="008D0DE7">
              <w:rPr>
                <w:color w:val="000000" w:themeColor="text1"/>
                <w:sz w:val="20"/>
              </w:rPr>
              <w:t>3</w:t>
            </w:r>
          </w:p>
        </w:tc>
        <w:tc>
          <w:tcPr>
            <w:tcW w:w="1170" w:type="dxa"/>
          </w:tcPr>
          <w:p w14:paraId="22C986D4" w14:textId="77777777" w:rsidR="001C5BBD" w:rsidRPr="00D44091" w:rsidRDefault="001C5BBD" w:rsidP="00D44091">
            <w:pPr>
              <w:tabs>
                <w:tab w:val="center" w:pos="0"/>
                <w:tab w:val="left" w:pos="720"/>
              </w:tabs>
              <w:ind w:right="-450"/>
              <w:jc w:val="center"/>
              <w:rPr>
                <w:color w:val="000000" w:themeColor="text1"/>
                <w:sz w:val="20"/>
              </w:rPr>
            </w:pPr>
          </w:p>
        </w:tc>
        <w:tc>
          <w:tcPr>
            <w:tcW w:w="990" w:type="dxa"/>
          </w:tcPr>
          <w:p w14:paraId="28463BC6" w14:textId="77777777" w:rsidR="001C5BBD" w:rsidRPr="00D44091" w:rsidRDefault="001C5BBD" w:rsidP="00D44091">
            <w:pPr>
              <w:tabs>
                <w:tab w:val="center" w:pos="0"/>
                <w:tab w:val="left" w:pos="720"/>
              </w:tabs>
              <w:ind w:right="-450"/>
              <w:jc w:val="center"/>
              <w:rPr>
                <w:color w:val="000000" w:themeColor="text1"/>
                <w:sz w:val="20"/>
              </w:rPr>
            </w:pPr>
          </w:p>
        </w:tc>
        <w:tc>
          <w:tcPr>
            <w:tcW w:w="1260" w:type="dxa"/>
          </w:tcPr>
          <w:p w14:paraId="296FF3B9" w14:textId="1F118B60" w:rsidR="001C5BBD" w:rsidRPr="00D44091" w:rsidRDefault="008D0DE7" w:rsidP="00D44091">
            <w:pPr>
              <w:tabs>
                <w:tab w:val="center" w:pos="0"/>
                <w:tab w:val="left" w:pos="720"/>
              </w:tabs>
              <w:ind w:right="-450"/>
              <w:jc w:val="center"/>
              <w:rPr>
                <w:color w:val="000000" w:themeColor="text1"/>
                <w:sz w:val="20"/>
              </w:rPr>
            </w:pPr>
            <w:r>
              <w:rPr>
                <w:color w:val="000000" w:themeColor="text1"/>
                <w:sz w:val="20"/>
              </w:rPr>
              <w:t>527</w:t>
            </w:r>
          </w:p>
        </w:tc>
      </w:tr>
    </w:tbl>
    <w:p w14:paraId="76926214" w14:textId="77777777" w:rsidR="00A53DA9" w:rsidRPr="00D44091" w:rsidRDefault="00A53DA9" w:rsidP="00221900">
      <w:pPr>
        <w:tabs>
          <w:tab w:val="center" w:pos="0"/>
          <w:tab w:val="left" w:pos="720"/>
        </w:tabs>
        <w:ind w:right="-450"/>
        <w:rPr>
          <w:color w:val="000000" w:themeColor="text1"/>
        </w:rPr>
      </w:pPr>
    </w:p>
    <w:bookmarkEnd w:id="1"/>
    <w:bookmarkEnd w:id="2"/>
    <w:p w14:paraId="68C9889B" w14:textId="377147AB" w:rsidR="00E05AB3" w:rsidRPr="00D44091" w:rsidRDefault="001768C6" w:rsidP="00D44091">
      <w:pPr>
        <w:tabs>
          <w:tab w:val="center" w:pos="0"/>
          <w:tab w:val="left" w:pos="720"/>
        </w:tabs>
        <w:ind w:right="-450"/>
        <w:rPr>
          <w:color w:val="000000" w:themeColor="text1"/>
        </w:rPr>
      </w:pPr>
      <w:r w:rsidRPr="00D44091">
        <w:rPr>
          <w:color w:val="000000" w:themeColor="text1"/>
        </w:rPr>
        <w:t>Number of IDIs that</w:t>
      </w:r>
      <w:r w:rsidR="00163B7E" w:rsidRPr="00D44091">
        <w:rPr>
          <w:color w:val="000000" w:themeColor="text1"/>
        </w:rPr>
        <w:t xml:space="preserve"> reported that they</w:t>
      </w:r>
      <w:r w:rsidRPr="00D44091">
        <w:rPr>
          <w:color w:val="000000" w:themeColor="text1"/>
        </w:rPr>
        <w:t xml:space="preserve"> were party to Agreements</w:t>
      </w:r>
      <w:r w:rsidR="000D7DA8" w:rsidRPr="00D44091">
        <w:rPr>
          <w:color w:val="000000" w:themeColor="text1"/>
        </w:rPr>
        <w:t xml:space="preserve"> and Number of Agreements</w:t>
      </w:r>
      <w:r w:rsidRPr="00D44091">
        <w:rPr>
          <w:color w:val="000000" w:themeColor="text1"/>
        </w:rPr>
        <w:t xml:space="preserve">:  </w:t>
      </w:r>
      <w:r w:rsidR="007F3951">
        <w:rPr>
          <w:color w:val="000000" w:themeColor="text1"/>
        </w:rPr>
        <w:t>7 and 186</w:t>
      </w:r>
      <w:r w:rsidR="000D7DA8" w:rsidRPr="00D44091">
        <w:rPr>
          <w:color w:val="000000" w:themeColor="text1"/>
        </w:rPr>
        <w:t>.</w:t>
      </w:r>
    </w:p>
    <w:p w14:paraId="168A9F84" w14:textId="3F9661C5" w:rsidR="001768C6" w:rsidRPr="00D44091" w:rsidRDefault="001768C6" w:rsidP="00D44091">
      <w:pPr>
        <w:tabs>
          <w:tab w:val="center" w:pos="0"/>
          <w:tab w:val="left" w:pos="720"/>
        </w:tabs>
        <w:ind w:right="-450"/>
        <w:rPr>
          <w:color w:val="000000" w:themeColor="text1"/>
        </w:rPr>
      </w:pPr>
      <w:r w:rsidRPr="00D44091">
        <w:rPr>
          <w:color w:val="000000" w:themeColor="text1"/>
        </w:rPr>
        <w:t xml:space="preserve">NGEPs that </w:t>
      </w:r>
      <w:r w:rsidR="00163B7E" w:rsidRPr="00D44091">
        <w:rPr>
          <w:color w:val="000000" w:themeColor="text1"/>
        </w:rPr>
        <w:t xml:space="preserve">reported that they </w:t>
      </w:r>
      <w:r w:rsidRPr="00D44091">
        <w:rPr>
          <w:color w:val="000000" w:themeColor="text1"/>
        </w:rPr>
        <w:t>were party to an Agreement</w:t>
      </w:r>
      <w:r w:rsidR="000D7DA8" w:rsidRPr="00D44091">
        <w:rPr>
          <w:color w:val="000000" w:themeColor="text1"/>
        </w:rPr>
        <w:t xml:space="preserve"> and Number of Agreements</w:t>
      </w:r>
      <w:r w:rsidRPr="00D44091">
        <w:rPr>
          <w:color w:val="000000" w:themeColor="text1"/>
        </w:rPr>
        <w:t xml:space="preserve">:  </w:t>
      </w:r>
      <w:r w:rsidR="007F3951">
        <w:rPr>
          <w:color w:val="000000" w:themeColor="text1"/>
        </w:rPr>
        <w:t>6</w:t>
      </w:r>
      <w:r w:rsidR="009607A2">
        <w:rPr>
          <w:color w:val="000000" w:themeColor="text1"/>
        </w:rPr>
        <w:t xml:space="preserve"> and 51</w:t>
      </w:r>
      <w:r w:rsidR="000D7DA8" w:rsidRPr="00D44091">
        <w:rPr>
          <w:color w:val="000000" w:themeColor="text1"/>
        </w:rPr>
        <w:t>.</w:t>
      </w:r>
    </w:p>
    <w:p w14:paraId="5F16526F" w14:textId="77777777" w:rsidR="001768C6" w:rsidRPr="00D44091" w:rsidRDefault="001768C6" w:rsidP="00D44091">
      <w:pPr>
        <w:tabs>
          <w:tab w:val="center" w:pos="0"/>
          <w:tab w:val="left" w:pos="720"/>
        </w:tabs>
        <w:ind w:right="-450"/>
        <w:rPr>
          <w:color w:val="000000" w:themeColor="text1"/>
        </w:rPr>
      </w:pPr>
      <w:r w:rsidRPr="00D44091">
        <w:rPr>
          <w:color w:val="000000" w:themeColor="text1"/>
        </w:rPr>
        <w:t xml:space="preserve">Number of Annual Reports Filed with OCC:  </w:t>
      </w:r>
      <w:r w:rsidR="000165AB" w:rsidRPr="00D44091">
        <w:rPr>
          <w:color w:val="000000" w:themeColor="text1"/>
        </w:rPr>
        <w:t>9</w:t>
      </w:r>
      <w:r w:rsidR="000D7DA8" w:rsidRPr="00D44091">
        <w:rPr>
          <w:color w:val="000000" w:themeColor="text1"/>
        </w:rPr>
        <w:t>.</w:t>
      </w:r>
    </w:p>
    <w:p w14:paraId="27E5380D" w14:textId="77777777" w:rsidR="00DE4D18" w:rsidRPr="00D44091" w:rsidRDefault="00DE4D18" w:rsidP="00D44091">
      <w:pPr>
        <w:tabs>
          <w:tab w:val="center" w:pos="0"/>
          <w:tab w:val="left" w:pos="720"/>
        </w:tabs>
        <w:ind w:right="-450"/>
        <w:rPr>
          <w:color w:val="000000" w:themeColor="text1"/>
        </w:rPr>
      </w:pPr>
    </w:p>
    <w:p w14:paraId="1FA409E4" w14:textId="77777777" w:rsidR="00DE4D18" w:rsidRPr="00D44091" w:rsidRDefault="00DE4D18" w:rsidP="00D44091">
      <w:pPr>
        <w:tabs>
          <w:tab w:val="center" w:pos="0"/>
          <w:tab w:val="left" w:pos="720"/>
        </w:tabs>
        <w:ind w:right="-450"/>
        <w:rPr>
          <w:b/>
          <w:color w:val="000000" w:themeColor="text1"/>
        </w:rPr>
      </w:pPr>
      <w:r w:rsidRPr="00D44091">
        <w:rPr>
          <w:b/>
          <w:color w:val="000000" w:themeColor="text1"/>
        </w:rPr>
        <w:t>Cost of Hour Burden</w:t>
      </w:r>
    </w:p>
    <w:p w14:paraId="731C2806" w14:textId="77777777" w:rsidR="00DE4D18" w:rsidRPr="00D44091" w:rsidRDefault="00DE4D18" w:rsidP="00D44091">
      <w:pPr>
        <w:tabs>
          <w:tab w:val="center" w:pos="0"/>
          <w:tab w:val="left" w:pos="720"/>
        </w:tabs>
        <w:ind w:right="-450"/>
        <w:rPr>
          <w:color w:val="000000" w:themeColor="text1"/>
        </w:rPr>
      </w:pPr>
    </w:p>
    <w:p w14:paraId="1A3850DD" w14:textId="74228C42" w:rsidR="00DE4D18" w:rsidRPr="00D44091" w:rsidRDefault="00FD059B" w:rsidP="00D44091">
      <w:pPr>
        <w:tabs>
          <w:tab w:val="center" w:pos="0"/>
          <w:tab w:val="left" w:pos="720"/>
        </w:tabs>
        <w:ind w:right="-450"/>
        <w:rPr>
          <w:b/>
          <w:color w:val="000000" w:themeColor="text1"/>
        </w:rPr>
      </w:pPr>
      <w:r>
        <w:rPr>
          <w:b/>
          <w:color w:val="000000" w:themeColor="text1"/>
        </w:rPr>
        <w:t>527</w:t>
      </w:r>
      <w:r w:rsidR="004E6E6C">
        <w:rPr>
          <w:b/>
          <w:color w:val="000000" w:themeColor="text1"/>
        </w:rPr>
        <w:t xml:space="preserve"> Hours x $11</w:t>
      </w:r>
      <w:r w:rsidR="00565633">
        <w:rPr>
          <w:b/>
          <w:color w:val="000000" w:themeColor="text1"/>
        </w:rPr>
        <w:t>4</w:t>
      </w:r>
      <w:r w:rsidR="00DE4D18" w:rsidRPr="00D44091">
        <w:rPr>
          <w:b/>
          <w:color w:val="000000" w:themeColor="text1"/>
        </w:rPr>
        <w:t xml:space="preserve"> = $</w:t>
      </w:r>
      <w:r>
        <w:rPr>
          <w:b/>
          <w:color w:val="000000" w:themeColor="text1"/>
        </w:rPr>
        <w:t>6</w:t>
      </w:r>
      <w:r w:rsidR="00565633">
        <w:rPr>
          <w:b/>
          <w:color w:val="000000" w:themeColor="text1"/>
        </w:rPr>
        <w:t>0,078,</w:t>
      </w:r>
    </w:p>
    <w:p w14:paraId="7D82EA4D" w14:textId="77777777" w:rsidR="00DE4D18" w:rsidRPr="00D44091" w:rsidRDefault="00DE4D18" w:rsidP="00D44091">
      <w:pPr>
        <w:tabs>
          <w:tab w:val="center" w:pos="0"/>
          <w:tab w:val="left" w:pos="720"/>
        </w:tabs>
        <w:ind w:right="-450"/>
        <w:rPr>
          <w:b/>
          <w:color w:val="000000" w:themeColor="text1"/>
        </w:rPr>
      </w:pPr>
    </w:p>
    <w:p w14:paraId="6D2AEBEB" w14:textId="77777777" w:rsidR="00565633" w:rsidRDefault="00565633" w:rsidP="00565633">
      <w:pPr>
        <w:rPr>
          <w:szCs w:val="24"/>
        </w:rPr>
      </w:pPr>
      <w:r>
        <w:rPr>
          <w:szCs w:val="24"/>
        </w:rPr>
        <w:t xml:space="preserve">To estimate wages we reviewed May 2018 data for wages (by industry and occupation) from the U.S. Bureau of Labor Statistics (BLS) for credit intermediation and related activities excluding nondepository credit intermediaries (NAICS 5220A1). To estimate compensation costs associated with the rule, we use </w:t>
      </w:r>
      <w:r>
        <w:rPr>
          <w:bCs/>
          <w:szCs w:val="24"/>
        </w:rPr>
        <w:t>$114</w:t>
      </w:r>
      <w:r>
        <w:rPr>
          <w:szCs w:val="24"/>
        </w:rPr>
        <w:t xml:space="preserve"> per hour, which is based on the average of the 90th percentile for nine occupations adjusted for inflation (2.8 percent as of Q1 2019 according to the BLS), plus an additional 33.2 percent for benefits (based on the percent of total compensation allocated to benefits as of Q4 2018 for NAICS 522: credit intermediation and related activities).</w:t>
      </w:r>
    </w:p>
    <w:p w14:paraId="5D1CED83" w14:textId="77777777" w:rsidR="001768C6" w:rsidRPr="00D44091" w:rsidRDefault="001768C6" w:rsidP="00D44091">
      <w:pPr>
        <w:tabs>
          <w:tab w:val="center" w:pos="0"/>
          <w:tab w:val="left" w:pos="720"/>
        </w:tabs>
        <w:ind w:right="-450"/>
        <w:rPr>
          <w:color w:val="000000" w:themeColor="text1"/>
        </w:rPr>
      </w:pPr>
    </w:p>
    <w:p w14:paraId="39D0B386" w14:textId="77777777" w:rsidR="00FF6FA6" w:rsidRPr="00D44091" w:rsidRDefault="00FF6FA6" w:rsidP="00D44091">
      <w:pPr>
        <w:keepLines/>
        <w:tabs>
          <w:tab w:val="left" w:pos="720"/>
        </w:tabs>
        <w:ind w:left="720" w:right="-450" w:hanging="720"/>
        <w:rPr>
          <w:b/>
          <w:i/>
          <w:color w:val="000000" w:themeColor="text1"/>
        </w:rPr>
      </w:pPr>
      <w:r w:rsidRPr="00D44091">
        <w:rPr>
          <w:b/>
          <w:i/>
          <w:color w:val="000000" w:themeColor="text1"/>
        </w:rPr>
        <w:t>13.</w:t>
      </w:r>
      <w:r w:rsidRPr="00D44091">
        <w:rPr>
          <w:b/>
          <w:i/>
          <w:color w:val="000000" w:themeColor="text1"/>
        </w:rPr>
        <w:tab/>
        <w:t xml:space="preserve">Estimate of </w:t>
      </w:r>
      <w:r w:rsidR="000E62EC" w:rsidRPr="00D44091">
        <w:rPr>
          <w:b/>
          <w:i/>
          <w:color w:val="000000" w:themeColor="text1"/>
        </w:rPr>
        <w:t>annualized costs to respondents</w:t>
      </w:r>
      <w:r w:rsidR="00CF3563" w:rsidRPr="00D44091">
        <w:rPr>
          <w:b/>
          <w:i/>
          <w:color w:val="000000" w:themeColor="text1"/>
        </w:rPr>
        <w:t>:</w:t>
      </w:r>
    </w:p>
    <w:p w14:paraId="1683FBF7" w14:textId="77777777" w:rsidR="00FF6FA6" w:rsidRPr="00D44091" w:rsidRDefault="00FF6FA6" w:rsidP="00D44091">
      <w:pPr>
        <w:keepLines/>
        <w:tabs>
          <w:tab w:val="center" w:pos="0"/>
          <w:tab w:val="left" w:pos="720"/>
        </w:tabs>
        <w:ind w:right="-450"/>
        <w:rPr>
          <w:color w:val="000000" w:themeColor="text1"/>
        </w:rPr>
      </w:pPr>
    </w:p>
    <w:p w14:paraId="6065F5DD" w14:textId="77777777" w:rsidR="00FF6FA6" w:rsidRPr="00D44091" w:rsidRDefault="00A46A76" w:rsidP="00D44091">
      <w:pPr>
        <w:keepLines/>
        <w:tabs>
          <w:tab w:val="center" w:pos="0"/>
          <w:tab w:val="left" w:pos="720"/>
        </w:tabs>
        <w:ind w:right="-450"/>
        <w:outlineLvl w:val="0"/>
        <w:rPr>
          <w:color w:val="000000" w:themeColor="text1"/>
        </w:rPr>
      </w:pPr>
      <w:r w:rsidRPr="00D44091">
        <w:rPr>
          <w:color w:val="000000" w:themeColor="text1"/>
        </w:rPr>
        <w:tab/>
        <w:t>Not applicable.</w:t>
      </w:r>
    </w:p>
    <w:p w14:paraId="429615E6" w14:textId="77777777" w:rsidR="00FF6FA6" w:rsidRPr="00D44091" w:rsidRDefault="00FF6FA6" w:rsidP="00D44091">
      <w:pPr>
        <w:tabs>
          <w:tab w:val="center" w:pos="0"/>
          <w:tab w:val="left" w:pos="720"/>
        </w:tabs>
        <w:ind w:right="-450"/>
        <w:rPr>
          <w:color w:val="000000" w:themeColor="text1"/>
        </w:rPr>
      </w:pPr>
    </w:p>
    <w:p w14:paraId="12D2E0A4" w14:textId="39FF0EBD" w:rsidR="00FF6FA6" w:rsidRPr="00D44091" w:rsidRDefault="00FF6FA6" w:rsidP="00D44091">
      <w:pPr>
        <w:tabs>
          <w:tab w:val="center" w:pos="0"/>
          <w:tab w:val="left" w:pos="720"/>
        </w:tabs>
        <w:ind w:right="-450"/>
        <w:rPr>
          <w:b/>
          <w:i/>
          <w:color w:val="000000" w:themeColor="text1"/>
        </w:rPr>
      </w:pPr>
      <w:r w:rsidRPr="00D44091">
        <w:rPr>
          <w:b/>
          <w:i/>
          <w:color w:val="000000" w:themeColor="text1"/>
        </w:rPr>
        <w:t>14.</w:t>
      </w:r>
      <w:r w:rsidRPr="00D44091">
        <w:rPr>
          <w:b/>
          <w:i/>
          <w:color w:val="000000" w:themeColor="text1"/>
        </w:rPr>
        <w:tab/>
        <w:t>Estimate of annualized</w:t>
      </w:r>
      <w:r w:rsidR="00CF3563" w:rsidRPr="00D44091">
        <w:rPr>
          <w:b/>
          <w:i/>
          <w:color w:val="000000" w:themeColor="text1"/>
        </w:rPr>
        <w:t xml:space="preserve"> cost to the </w:t>
      </w:r>
      <w:r w:rsidR="00843000">
        <w:rPr>
          <w:b/>
          <w:i/>
          <w:color w:val="000000" w:themeColor="text1"/>
        </w:rPr>
        <w:t>f</w:t>
      </w:r>
      <w:r w:rsidR="00CF3563" w:rsidRPr="00D44091">
        <w:rPr>
          <w:b/>
          <w:i/>
          <w:color w:val="000000" w:themeColor="text1"/>
        </w:rPr>
        <w:t xml:space="preserve">ederal </w:t>
      </w:r>
      <w:r w:rsidR="00843000">
        <w:rPr>
          <w:b/>
          <w:i/>
          <w:color w:val="000000" w:themeColor="text1"/>
        </w:rPr>
        <w:t>g</w:t>
      </w:r>
      <w:r w:rsidR="00CF3563" w:rsidRPr="00D44091">
        <w:rPr>
          <w:b/>
          <w:i/>
          <w:color w:val="000000" w:themeColor="text1"/>
        </w:rPr>
        <w:t>overnment:</w:t>
      </w:r>
    </w:p>
    <w:p w14:paraId="3F009D04" w14:textId="77777777" w:rsidR="00FF6FA6" w:rsidRPr="00D44091" w:rsidRDefault="00FF6FA6" w:rsidP="00D44091">
      <w:pPr>
        <w:pStyle w:val="BodyText2"/>
        <w:tabs>
          <w:tab w:val="center" w:pos="0"/>
          <w:tab w:val="left" w:pos="720"/>
        </w:tabs>
        <w:ind w:left="0" w:right="-450"/>
        <w:rPr>
          <w:color w:val="000000" w:themeColor="text1"/>
        </w:rPr>
      </w:pPr>
    </w:p>
    <w:p w14:paraId="15946717" w14:textId="77777777" w:rsidR="00FF6FA6" w:rsidRPr="00D44091" w:rsidRDefault="00FF6FA6" w:rsidP="00D44091">
      <w:pPr>
        <w:pStyle w:val="BodyText2"/>
        <w:tabs>
          <w:tab w:val="center" w:pos="0"/>
          <w:tab w:val="left" w:pos="720"/>
        </w:tabs>
        <w:ind w:left="0" w:right="-450"/>
        <w:outlineLvl w:val="0"/>
        <w:rPr>
          <w:color w:val="000000" w:themeColor="text1"/>
        </w:rPr>
      </w:pPr>
      <w:r w:rsidRPr="00D44091">
        <w:rPr>
          <w:color w:val="000000" w:themeColor="text1"/>
        </w:rPr>
        <w:tab/>
      </w:r>
      <w:r w:rsidR="00A46A76" w:rsidRPr="00D44091">
        <w:rPr>
          <w:color w:val="000000" w:themeColor="text1"/>
        </w:rPr>
        <w:t>Not applicable</w:t>
      </w:r>
      <w:r w:rsidRPr="00D44091">
        <w:rPr>
          <w:color w:val="000000" w:themeColor="text1"/>
        </w:rPr>
        <w:t xml:space="preserve">.  </w:t>
      </w:r>
    </w:p>
    <w:p w14:paraId="79439F84" w14:textId="77777777" w:rsidR="00FF6FA6" w:rsidRPr="00D44091" w:rsidRDefault="00FF6FA6" w:rsidP="00D44091">
      <w:pPr>
        <w:tabs>
          <w:tab w:val="center" w:pos="0"/>
          <w:tab w:val="left" w:pos="720"/>
        </w:tabs>
        <w:ind w:right="-450"/>
        <w:rPr>
          <w:b/>
          <w:i/>
          <w:color w:val="000000" w:themeColor="text1"/>
        </w:rPr>
      </w:pPr>
    </w:p>
    <w:p w14:paraId="324B73B4" w14:textId="77777777" w:rsidR="00FF6FA6" w:rsidRPr="00D44091" w:rsidRDefault="00FF6FA6" w:rsidP="00D44091">
      <w:pPr>
        <w:tabs>
          <w:tab w:val="center" w:pos="0"/>
          <w:tab w:val="left" w:pos="720"/>
        </w:tabs>
        <w:ind w:right="-450"/>
        <w:rPr>
          <w:b/>
          <w:i/>
          <w:color w:val="000000" w:themeColor="text1"/>
        </w:rPr>
      </w:pPr>
      <w:r w:rsidRPr="00D44091">
        <w:rPr>
          <w:b/>
          <w:i/>
          <w:color w:val="000000" w:themeColor="text1"/>
        </w:rPr>
        <w:t>15.</w:t>
      </w:r>
      <w:r w:rsidRPr="00D44091">
        <w:rPr>
          <w:b/>
          <w:i/>
          <w:color w:val="000000" w:themeColor="text1"/>
        </w:rPr>
        <w:tab/>
      </w:r>
      <w:r w:rsidR="00CF3563" w:rsidRPr="00D44091">
        <w:rPr>
          <w:b/>
          <w:i/>
          <w:color w:val="000000" w:themeColor="text1"/>
        </w:rPr>
        <w:t>Changes in burden:</w:t>
      </w:r>
    </w:p>
    <w:p w14:paraId="13A297D6" w14:textId="77777777" w:rsidR="00FF6FA6" w:rsidRPr="00D44091" w:rsidRDefault="00FF6FA6" w:rsidP="00D44091">
      <w:pPr>
        <w:pStyle w:val="BodyText2"/>
        <w:tabs>
          <w:tab w:val="center" w:pos="0"/>
          <w:tab w:val="left" w:pos="720"/>
        </w:tabs>
        <w:ind w:left="0" w:right="-450"/>
        <w:rPr>
          <w:color w:val="000000" w:themeColor="text1"/>
        </w:rPr>
      </w:pPr>
    </w:p>
    <w:p w14:paraId="5FA79F3E" w14:textId="63C404A1" w:rsidR="00FF6FA6" w:rsidRPr="00D44091" w:rsidRDefault="00FF6FA6" w:rsidP="00D44091">
      <w:pPr>
        <w:pStyle w:val="BodyText2"/>
        <w:tabs>
          <w:tab w:val="center" w:pos="0"/>
          <w:tab w:val="left" w:pos="720"/>
        </w:tabs>
        <w:ind w:left="0" w:right="-450"/>
        <w:rPr>
          <w:color w:val="000000" w:themeColor="text1"/>
          <w:u w:val="single"/>
        </w:rPr>
      </w:pPr>
      <w:r w:rsidRPr="00D44091">
        <w:rPr>
          <w:color w:val="000000" w:themeColor="text1"/>
        </w:rPr>
        <w:tab/>
      </w:r>
      <w:r w:rsidR="00DE4D18" w:rsidRPr="00D44091">
        <w:rPr>
          <w:color w:val="000000" w:themeColor="text1"/>
          <w:u w:val="single"/>
        </w:rPr>
        <w:t>Current</w:t>
      </w:r>
      <w:r w:rsidR="00DB6945" w:rsidRPr="00D44091">
        <w:rPr>
          <w:color w:val="000000" w:themeColor="text1"/>
          <w:u w:val="single"/>
        </w:rPr>
        <w:t xml:space="preserve"> burden</w:t>
      </w:r>
      <w:r w:rsidR="00DB6945" w:rsidRPr="00D44091">
        <w:rPr>
          <w:color w:val="000000" w:themeColor="text1"/>
        </w:rPr>
        <w:t xml:space="preserve">:  </w:t>
      </w:r>
      <w:r w:rsidR="00460401">
        <w:rPr>
          <w:color w:val="000000" w:themeColor="text1"/>
        </w:rPr>
        <w:t>1,026</w:t>
      </w:r>
      <w:r w:rsidR="00DE4D18" w:rsidRPr="00D44091">
        <w:rPr>
          <w:color w:val="000000" w:themeColor="text1"/>
        </w:rPr>
        <w:t xml:space="preserve"> hours.</w:t>
      </w:r>
    </w:p>
    <w:p w14:paraId="3C94F7B3" w14:textId="77777777" w:rsidR="00DB6945" w:rsidRPr="00D44091" w:rsidRDefault="00DB6945" w:rsidP="00D44091">
      <w:pPr>
        <w:pStyle w:val="BodyText2"/>
        <w:tabs>
          <w:tab w:val="center" w:pos="0"/>
          <w:tab w:val="left" w:pos="720"/>
        </w:tabs>
        <w:ind w:left="0" w:right="-450"/>
        <w:rPr>
          <w:color w:val="000000" w:themeColor="text1"/>
        </w:rPr>
      </w:pPr>
    </w:p>
    <w:p w14:paraId="39EF5044" w14:textId="73A628A6" w:rsidR="00DB6945" w:rsidRPr="00D44091" w:rsidRDefault="00DB6945" w:rsidP="00D44091">
      <w:pPr>
        <w:pStyle w:val="BodyText2"/>
        <w:tabs>
          <w:tab w:val="center" w:pos="0"/>
          <w:tab w:val="left" w:pos="720"/>
        </w:tabs>
        <w:ind w:left="0" w:right="-450"/>
        <w:rPr>
          <w:color w:val="000000" w:themeColor="text1"/>
          <w:u w:val="single"/>
        </w:rPr>
      </w:pPr>
      <w:r w:rsidRPr="00D44091">
        <w:rPr>
          <w:color w:val="000000" w:themeColor="text1"/>
        </w:rPr>
        <w:tab/>
      </w:r>
      <w:r w:rsidR="00DE4D18" w:rsidRPr="00D44091">
        <w:rPr>
          <w:color w:val="000000" w:themeColor="text1"/>
          <w:u w:val="single"/>
        </w:rPr>
        <w:t>Proposed burden</w:t>
      </w:r>
      <w:r w:rsidR="00DE4D18" w:rsidRPr="00D44091">
        <w:rPr>
          <w:color w:val="000000" w:themeColor="text1"/>
        </w:rPr>
        <w:t>:</w:t>
      </w:r>
      <w:r w:rsidR="00593E04" w:rsidRPr="00D44091">
        <w:rPr>
          <w:color w:val="000000" w:themeColor="text1"/>
        </w:rPr>
        <w:t xml:space="preserve">  </w:t>
      </w:r>
      <w:r w:rsidR="00460401">
        <w:rPr>
          <w:color w:val="000000" w:themeColor="text1"/>
        </w:rPr>
        <w:t>527</w:t>
      </w:r>
      <w:r w:rsidR="00593E04" w:rsidRPr="00D44091">
        <w:rPr>
          <w:color w:val="000000" w:themeColor="text1"/>
        </w:rPr>
        <w:t xml:space="preserve"> hours.</w:t>
      </w:r>
    </w:p>
    <w:p w14:paraId="2CE70A0F" w14:textId="77777777" w:rsidR="00DB6945" w:rsidRPr="00D44091" w:rsidRDefault="00DB6945" w:rsidP="00D44091">
      <w:pPr>
        <w:tabs>
          <w:tab w:val="center" w:pos="0"/>
          <w:tab w:val="left" w:pos="720"/>
        </w:tabs>
        <w:ind w:right="-450"/>
        <w:rPr>
          <w:color w:val="000000" w:themeColor="text1"/>
        </w:rPr>
      </w:pPr>
    </w:p>
    <w:p w14:paraId="3679B49F" w14:textId="440E1A51" w:rsidR="00DB6945" w:rsidRPr="00D44091" w:rsidRDefault="00DB6945" w:rsidP="00D44091">
      <w:pPr>
        <w:pStyle w:val="BodyText2"/>
        <w:tabs>
          <w:tab w:val="center" w:pos="0"/>
          <w:tab w:val="left" w:pos="720"/>
        </w:tabs>
        <w:ind w:left="0" w:right="-450"/>
        <w:rPr>
          <w:color w:val="000000" w:themeColor="text1"/>
        </w:rPr>
      </w:pPr>
      <w:r w:rsidRPr="00D44091">
        <w:rPr>
          <w:color w:val="000000" w:themeColor="text1"/>
        </w:rPr>
        <w:tab/>
      </w:r>
      <w:r w:rsidRPr="00D44091">
        <w:rPr>
          <w:color w:val="000000" w:themeColor="text1"/>
          <w:u w:val="single"/>
        </w:rPr>
        <w:t>Difference</w:t>
      </w:r>
      <w:r w:rsidRPr="00D44091">
        <w:rPr>
          <w:color w:val="000000" w:themeColor="text1"/>
        </w:rPr>
        <w:t>:</w:t>
      </w:r>
      <w:r w:rsidR="00460401">
        <w:rPr>
          <w:color w:val="000000" w:themeColor="text1"/>
        </w:rPr>
        <w:t xml:space="preserve">  - 499</w:t>
      </w:r>
      <w:r w:rsidR="00593E04" w:rsidRPr="00D44091">
        <w:rPr>
          <w:color w:val="000000" w:themeColor="text1"/>
        </w:rPr>
        <w:t xml:space="preserve"> hours.</w:t>
      </w:r>
    </w:p>
    <w:p w14:paraId="76130310" w14:textId="77777777" w:rsidR="00593E04" w:rsidRPr="00D44091" w:rsidRDefault="00593E04" w:rsidP="00D44091">
      <w:pPr>
        <w:pStyle w:val="BodyText2"/>
        <w:tabs>
          <w:tab w:val="center" w:pos="0"/>
          <w:tab w:val="left" w:pos="720"/>
        </w:tabs>
        <w:ind w:left="0" w:right="-450"/>
        <w:rPr>
          <w:color w:val="000000" w:themeColor="text1"/>
        </w:rPr>
      </w:pPr>
    </w:p>
    <w:p w14:paraId="52696BB5" w14:textId="2E5FB658" w:rsidR="00593E04" w:rsidRPr="00D44091" w:rsidRDefault="00593E04" w:rsidP="00D44091">
      <w:pPr>
        <w:pStyle w:val="BodyText2"/>
        <w:tabs>
          <w:tab w:val="center" w:pos="0"/>
          <w:tab w:val="left" w:pos="720"/>
        </w:tabs>
        <w:ind w:left="0" w:right="-450"/>
        <w:rPr>
          <w:color w:val="000000" w:themeColor="text1"/>
        </w:rPr>
      </w:pPr>
      <w:r w:rsidRPr="00D44091">
        <w:rPr>
          <w:color w:val="000000" w:themeColor="text1"/>
        </w:rPr>
        <w:t xml:space="preserve">The </w:t>
      </w:r>
      <w:r w:rsidR="00460401">
        <w:rPr>
          <w:color w:val="000000" w:themeColor="text1"/>
        </w:rPr>
        <w:t>de</w:t>
      </w:r>
      <w:r w:rsidRPr="00D44091">
        <w:rPr>
          <w:color w:val="000000" w:themeColor="text1"/>
        </w:rPr>
        <w:t>c</w:t>
      </w:r>
      <w:r w:rsidR="00460401">
        <w:rPr>
          <w:color w:val="000000" w:themeColor="text1"/>
        </w:rPr>
        <w:t>rease in burden is due to the de</w:t>
      </w:r>
      <w:r w:rsidRPr="00D44091">
        <w:rPr>
          <w:color w:val="000000" w:themeColor="text1"/>
        </w:rPr>
        <w:t>crease in the number of agreements.</w:t>
      </w:r>
    </w:p>
    <w:p w14:paraId="3155D200" w14:textId="77777777" w:rsidR="001C1D64" w:rsidRPr="00D44091" w:rsidRDefault="001C1D64" w:rsidP="00D44091">
      <w:pPr>
        <w:pStyle w:val="BodyText2"/>
        <w:tabs>
          <w:tab w:val="center" w:pos="0"/>
          <w:tab w:val="left" w:pos="720"/>
        </w:tabs>
        <w:ind w:left="0" w:right="-450"/>
        <w:rPr>
          <w:color w:val="000000" w:themeColor="text1"/>
        </w:rPr>
      </w:pPr>
    </w:p>
    <w:p w14:paraId="44661C45" w14:textId="77777777" w:rsidR="00FF6FA6" w:rsidRPr="00D44091" w:rsidRDefault="00FF6FA6" w:rsidP="00D44091">
      <w:pPr>
        <w:pStyle w:val="BodyText2"/>
        <w:tabs>
          <w:tab w:val="center" w:pos="0"/>
          <w:tab w:val="left" w:pos="720"/>
        </w:tabs>
        <w:ind w:left="0" w:right="-450"/>
        <w:rPr>
          <w:b/>
          <w:i/>
          <w:color w:val="000000" w:themeColor="text1"/>
        </w:rPr>
      </w:pPr>
      <w:r w:rsidRPr="00D44091">
        <w:rPr>
          <w:b/>
          <w:i/>
          <w:color w:val="000000" w:themeColor="text1"/>
        </w:rPr>
        <w:t>16.</w:t>
      </w:r>
      <w:r w:rsidRPr="00D44091">
        <w:rPr>
          <w:b/>
          <w:i/>
          <w:color w:val="000000" w:themeColor="text1"/>
        </w:rPr>
        <w:tab/>
        <w:t xml:space="preserve">Information regarding collections whose results are planned to be published for </w:t>
      </w:r>
    </w:p>
    <w:p w14:paraId="1C576DD7" w14:textId="77777777" w:rsidR="00FF6FA6" w:rsidRPr="00D44091" w:rsidRDefault="00FF6FA6" w:rsidP="00D44091">
      <w:pPr>
        <w:pStyle w:val="BodyText2"/>
        <w:tabs>
          <w:tab w:val="center" w:pos="0"/>
          <w:tab w:val="left" w:pos="720"/>
        </w:tabs>
        <w:ind w:right="-450"/>
        <w:rPr>
          <w:b/>
          <w:i/>
          <w:color w:val="000000" w:themeColor="text1"/>
        </w:rPr>
      </w:pPr>
      <w:r w:rsidRPr="00D44091">
        <w:rPr>
          <w:b/>
          <w:i/>
          <w:color w:val="000000" w:themeColor="text1"/>
        </w:rPr>
        <w:tab/>
        <w:t>statistical use</w:t>
      </w:r>
      <w:r w:rsidR="00CF3563" w:rsidRPr="00D44091">
        <w:rPr>
          <w:b/>
          <w:i/>
          <w:color w:val="000000" w:themeColor="text1"/>
        </w:rPr>
        <w:t>:</w:t>
      </w:r>
    </w:p>
    <w:p w14:paraId="611DA4B9" w14:textId="77777777" w:rsidR="00FF6FA6" w:rsidRPr="00D44091" w:rsidRDefault="00FF6FA6" w:rsidP="00D44091">
      <w:pPr>
        <w:pStyle w:val="BodyText2"/>
        <w:tabs>
          <w:tab w:val="center" w:pos="0"/>
          <w:tab w:val="left" w:pos="720"/>
        </w:tabs>
        <w:ind w:left="0" w:right="-450"/>
        <w:rPr>
          <w:color w:val="000000" w:themeColor="text1"/>
        </w:rPr>
      </w:pPr>
    </w:p>
    <w:p w14:paraId="49454252" w14:textId="77777777" w:rsidR="00FF6FA6" w:rsidRPr="00D44091" w:rsidRDefault="00FF6FA6" w:rsidP="00D44091">
      <w:pPr>
        <w:pStyle w:val="BodyText2"/>
        <w:tabs>
          <w:tab w:val="center" w:pos="0"/>
          <w:tab w:val="left" w:pos="720"/>
        </w:tabs>
        <w:ind w:left="0" w:right="-450"/>
        <w:outlineLvl w:val="0"/>
        <w:rPr>
          <w:color w:val="000000" w:themeColor="text1"/>
        </w:rPr>
      </w:pPr>
      <w:r w:rsidRPr="00D44091">
        <w:rPr>
          <w:color w:val="000000" w:themeColor="text1"/>
        </w:rPr>
        <w:tab/>
        <w:t>Not applicable.</w:t>
      </w:r>
    </w:p>
    <w:p w14:paraId="010E19F6" w14:textId="77777777" w:rsidR="00FF6FA6" w:rsidRPr="00D44091" w:rsidRDefault="00FF6FA6" w:rsidP="00D44091">
      <w:pPr>
        <w:pStyle w:val="BodyText2"/>
        <w:tabs>
          <w:tab w:val="center" w:pos="0"/>
          <w:tab w:val="left" w:pos="720"/>
        </w:tabs>
        <w:ind w:left="0" w:right="-450"/>
        <w:rPr>
          <w:color w:val="000000" w:themeColor="text1"/>
        </w:rPr>
      </w:pPr>
    </w:p>
    <w:p w14:paraId="1506A180" w14:textId="77777777" w:rsidR="00FF6FA6" w:rsidRPr="00D44091" w:rsidRDefault="00FF6FA6" w:rsidP="00D44091">
      <w:pPr>
        <w:pStyle w:val="BodyText2"/>
        <w:tabs>
          <w:tab w:val="center" w:pos="0"/>
          <w:tab w:val="left" w:pos="720"/>
        </w:tabs>
        <w:ind w:left="0" w:right="-450"/>
        <w:rPr>
          <w:b/>
          <w:i/>
          <w:color w:val="000000" w:themeColor="text1"/>
        </w:rPr>
      </w:pPr>
      <w:r w:rsidRPr="00D44091">
        <w:rPr>
          <w:b/>
          <w:i/>
          <w:color w:val="000000" w:themeColor="text1"/>
        </w:rPr>
        <w:t>17.</w:t>
      </w:r>
      <w:r w:rsidRPr="00D44091">
        <w:rPr>
          <w:b/>
          <w:i/>
          <w:color w:val="000000" w:themeColor="text1"/>
        </w:rPr>
        <w:tab/>
        <w:t>Display of Expiration Date</w:t>
      </w:r>
      <w:r w:rsidR="00CF3563" w:rsidRPr="00D44091">
        <w:rPr>
          <w:b/>
          <w:i/>
          <w:color w:val="000000" w:themeColor="text1"/>
        </w:rPr>
        <w:t>:</w:t>
      </w:r>
    </w:p>
    <w:p w14:paraId="3A6E68A5" w14:textId="77777777" w:rsidR="00FF6FA6" w:rsidRPr="00D44091" w:rsidRDefault="00FF6FA6" w:rsidP="00D44091">
      <w:pPr>
        <w:pStyle w:val="Footer"/>
        <w:tabs>
          <w:tab w:val="clear" w:pos="4320"/>
          <w:tab w:val="clear" w:pos="8640"/>
          <w:tab w:val="center" w:pos="0"/>
          <w:tab w:val="left" w:pos="720"/>
        </w:tabs>
        <w:ind w:right="-450"/>
        <w:rPr>
          <w:color w:val="000000" w:themeColor="text1"/>
        </w:rPr>
      </w:pPr>
    </w:p>
    <w:p w14:paraId="38B14950" w14:textId="77777777" w:rsidR="00FF6FA6" w:rsidRPr="00D44091" w:rsidRDefault="00FF6FA6" w:rsidP="00D44091">
      <w:pPr>
        <w:pStyle w:val="BodyText2"/>
        <w:tabs>
          <w:tab w:val="center" w:pos="0"/>
          <w:tab w:val="left" w:pos="720"/>
        </w:tabs>
        <w:ind w:left="720" w:right="-450"/>
        <w:outlineLvl w:val="0"/>
        <w:rPr>
          <w:color w:val="000000" w:themeColor="text1"/>
        </w:rPr>
      </w:pPr>
      <w:r w:rsidRPr="00D44091">
        <w:rPr>
          <w:color w:val="000000" w:themeColor="text1"/>
        </w:rPr>
        <w:t>Not applicable.</w:t>
      </w:r>
    </w:p>
    <w:p w14:paraId="04564940" w14:textId="77777777" w:rsidR="00FF6FA6" w:rsidRPr="00D44091" w:rsidRDefault="00FF6FA6" w:rsidP="00D44091">
      <w:pPr>
        <w:tabs>
          <w:tab w:val="left" w:pos="-540"/>
          <w:tab w:val="center" w:pos="0"/>
          <w:tab w:val="left" w:pos="720"/>
        </w:tabs>
        <w:ind w:right="-450"/>
        <w:rPr>
          <w:color w:val="000000" w:themeColor="text1"/>
        </w:rPr>
      </w:pPr>
    </w:p>
    <w:p w14:paraId="7D44BECA" w14:textId="77777777" w:rsidR="00FF6FA6" w:rsidRPr="00D44091" w:rsidRDefault="00FF6FA6" w:rsidP="00D44091">
      <w:pPr>
        <w:tabs>
          <w:tab w:val="left" w:pos="-540"/>
          <w:tab w:val="center" w:pos="0"/>
          <w:tab w:val="left" w:pos="720"/>
        </w:tabs>
        <w:ind w:right="-450"/>
        <w:rPr>
          <w:b/>
          <w:i/>
          <w:color w:val="000000" w:themeColor="text1"/>
        </w:rPr>
      </w:pPr>
      <w:r w:rsidRPr="00D44091">
        <w:rPr>
          <w:b/>
          <w:i/>
          <w:color w:val="000000" w:themeColor="text1"/>
        </w:rPr>
        <w:t>18.</w:t>
      </w:r>
      <w:r w:rsidRPr="00D44091">
        <w:rPr>
          <w:b/>
          <w:i/>
          <w:color w:val="000000" w:themeColor="text1"/>
        </w:rPr>
        <w:tab/>
        <w:t>Exceptions to the certification statement</w:t>
      </w:r>
      <w:r w:rsidR="00CF3563" w:rsidRPr="00D44091">
        <w:rPr>
          <w:b/>
          <w:i/>
          <w:color w:val="000000" w:themeColor="text1"/>
        </w:rPr>
        <w:t>:</w:t>
      </w:r>
    </w:p>
    <w:p w14:paraId="51584178" w14:textId="77777777" w:rsidR="00FF6FA6" w:rsidRPr="00D44091" w:rsidRDefault="00FF6FA6" w:rsidP="00D44091">
      <w:pPr>
        <w:tabs>
          <w:tab w:val="center" w:pos="0"/>
          <w:tab w:val="left" w:pos="720"/>
        </w:tabs>
        <w:ind w:right="-450"/>
        <w:rPr>
          <w:color w:val="000000" w:themeColor="text1"/>
        </w:rPr>
      </w:pPr>
    </w:p>
    <w:p w14:paraId="41D47CA0" w14:textId="77777777" w:rsidR="00FF6FA6" w:rsidRPr="00D44091" w:rsidRDefault="00FF6FA6" w:rsidP="00D44091">
      <w:pPr>
        <w:tabs>
          <w:tab w:val="center" w:pos="0"/>
          <w:tab w:val="left" w:pos="720"/>
        </w:tabs>
        <w:ind w:right="-450"/>
        <w:outlineLvl w:val="0"/>
        <w:rPr>
          <w:color w:val="000000" w:themeColor="text1"/>
        </w:rPr>
      </w:pPr>
      <w:r w:rsidRPr="00D44091">
        <w:rPr>
          <w:color w:val="000000" w:themeColor="text1"/>
        </w:rPr>
        <w:tab/>
        <w:t>None.</w:t>
      </w:r>
    </w:p>
    <w:p w14:paraId="0FBDCC69" w14:textId="77777777" w:rsidR="00FF6FA6" w:rsidRPr="00D44091" w:rsidRDefault="00FF6FA6" w:rsidP="00D44091">
      <w:pPr>
        <w:tabs>
          <w:tab w:val="center" w:pos="0"/>
          <w:tab w:val="left" w:pos="720"/>
        </w:tabs>
        <w:ind w:right="-450"/>
        <w:rPr>
          <w:color w:val="000000" w:themeColor="text1"/>
        </w:rPr>
      </w:pPr>
    </w:p>
    <w:p w14:paraId="7F579A27" w14:textId="77777777" w:rsidR="00FF6FA6" w:rsidRPr="00D44091" w:rsidRDefault="00183E3B" w:rsidP="00D44091">
      <w:pPr>
        <w:tabs>
          <w:tab w:val="center" w:pos="0"/>
          <w:tab w:val="left" w:pos="720"/>
        </w:tabs>
        <w:ind w:right="-450"/>
        <w:rPr>
          <w:b/>
          <w:color w:val="000000" w:themeColor="text1"/>
        </w:rPr>
      </w:pPr>
      <w:r w:rsidRPr="00D44091">
        <w:rPr>
          <w:b/>
          <w:color w:val="000000" w:themeColor="text1"/>
        </w:rPr>
        <w:t>B</w:t>
      </w:r>
      <w:r w:rsidR="00FF6FA6" w:rsidRPr="00D44091">
        <w:rPr>
          <w:b/>
          <w:color w:val="000000" w:themeColor="text1"/>
        </w:rPr>
        <w:t>.</w:t>
      </w:r>
      <w:r w:rsidR="00FF6FA6" w:rsidRPr="00D44091">
        <w:rPr>
          <w:b/>
          <w:color w:val="000000" w:themeColor="text1"/>
        </w:rPr>
        <w:tab/>
      </w:r>
      <w:r w:rsidR="00FF6FA6" w:rsidRPr="00D44091">
        <w:rPr>
          <w:b/>
          <w:color w:val="000000" w:themeColor="text1"/>
          <w:u w:val="single"/>
        </w:rPr>
        <w:t>Collections of Information Employing Statistical Methods.</w:t>
      </w:r>
    </w:p>
    <w:p w14:paraId="5EC1CB58" w14:textId="77777777" w:rsidR="00FF6FA6" w:rsidRPr="00D44091" w:rsidRDefault="00FF6FA6" w:rsidP="00D44091">
      <w:pPr>
        <w:tabs>
          <w:tab w:val="center" w:pos="0"/>
          <w:tab w:val="left" w:pos="720"/>
        </w:tabs>
        <w:ind w:right="-450"/>
        <w:rPr>
          <w:color w:val="000000" w:themeColor="text1"/>
        </w:rPr>
      </w:pPr>
    </w:p>
    <w:p w14:paraId="4BA2CE80" w14:textId="77777777" w:rsidR="00FF6FA6" w:rsidRPr="00D44091" w:rsidRDefault="00FF6FA6" w:rsidP="00D44091">
      <w:pPr>
        <w:pStyle w:val="BodyText2"/>
        <w:tabs>
          <w:tab w:val="center" w:pos="0"/>
          <w:tab w:val="left" w:pos="720"/>
        </w:tabs>
        <w:ind w:left="720" w:right="-450"/>
        <w:outlineLvl w:val="0"/>
        <w:rPr>
          <w:color w:val="000000" w:themeColor="text1"/>
        </w:rPr>
      </w:pPr>
      <w:r w:rsidRPr="00D44091">
        <w:rPr>
          <w:color w:val="000000" w:themeColor="text1"/>
        </w:rPr>
        <w:t>Not applicable.</w:t>
      </w:r>
    </w:p>
    <w:sectPr w:rsidR="00FF6FA6" w:rsidRPr="00D44091" w:rsidSect="001D0182">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DB07DC" w14:textId="77777777" w:rsidR="00091597" w:rsidRDefault="00091597">
      <w:r>
        <w:separator/>
      </w:r>
    </w:p>
  </w:endnote>
  <w:endnote w:type="continuationSeparator" w:id="0">
    <w:p w14:paraId="0F70830B" w14:textId="77777777" w:rsidR="00091597" w:rsidRDefault="00091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BEDCE" w14:textId="77777777" w:rsidR="003B603C" w:rsidRDefault="003B603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4B7E">
      <w:rPr>
        <w:rStyle w:val="PageNumber"/>
        <w:noProof/>
      </w:rPr>
      <w:t>2</w:t>
    </w:r>
    <w:r>
      <w:rPr>
        <w:rStyle w:val="PageNumber"/>
      </w:rPr>
      <w:fldChar w:fldCharType="end"/>
    </w:r>
  </w:p>
  <w:p w14:paraId="64AEB919" w14:textId="77777777" w:rsidR="003B603C" w:rsidRDefault="003B60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1F0C03" w14:textId="77777777" w:rsidR="00091597" w:rsidRDefault="00091597">
      <w:r>
        <w:separator/>
      </w:r>
    </w:p>
  </w:footnote>
  <w:footnote w:type="continuationSeparator" w:id="0">
    <w:p w14:paraId="6A150584" w14:textId="77777777" w:rsidR="00091597" w:rsidRDefault="00091597">
      <w:r>
        <w:continuationSeparator/>
      </w:r>
    </w:p>
  </w:footnote>
  <w:footnote w:id="1">
    <w:p w14:paraId="1741E1F0" w14:textId="77777777" w:rsidR="00D33378" w:rsidRPr="00D33378" w:rsidRDefault="00D33378">
      <w:pPr>
        <w:pStyle w:val="FootnoteText"/>
      </w:pPr>
      <w:r>
        <w:rPr>
          <w:rStyle w:val="FootnoteReference"/>
        </w:rPr>
        <w:footnoteRef/>
      </w:r>
      <w:r>
        <w:t xml:space="preserve"> </w:t>
      </w:r>
      <w:r w:rsidRPr="00D33378">
        <w:t xml:space="preserve">12 U.S.C. 1831y.  </w:t>
      </w:r>
    </w:p>
  </w:footnote>
  <w:footnote w:id="2">
    <w:p w14:paraId="4216599A" w14:textId="7A1B918D" w:rsidR="00480571" w:rsidRDefault="00480571">
      <w:pPr>
        <w:pStyle w:val="FootnoteText"/>
      </w:pPr>
      <w:r>
        <w:rPr>
          <w:rStyle w:val="FootnoteReference"/>
        </w:rPr>
        <w:footnoteRef/>
      </w:r>
      <w:r>
        <w:t xml:space="preserve"> The definition includes groups of substantially related agreements that satisfy these amounts in the aggregate.</w:t>
      </w:r>
    </w:p>
  </w:footnote>
  <w:footnote w:id="3">
    <w:p w14:paraId="55856F28" w14:textId="77777777" w:rsidR="00D33378" w:rsidRPr="00A53C7F" w:rsidRDefault="00D33378" w:rsidP="00677F68">
      <w:pPr>
        <w:pStyle w:val="NoSpacing"/>
        <w:rPr>
          <w:sz w:val="20"/>
        </w:rPr>
      </w:pPr>
      <w:r w:rsidRPr="00A53C7F">
        <w:rPr>
          <w:rStyle w:val="FootnoteReference"/>
          <w:sz w:val="20"/>
        </w:rPr>
        <w:footnoteRef/>
      </w:r>
      <w:r w:rsidRPr="00A53C7F">
        <w:rPr>
          <w:sz w:val="20"/>
        </w:rPr>
        <w:t xml:space="preserve"> 12 U.S.C. 1831y(e).</w:t>
      </w:r>
    </w:p>
  </w:footnote>
  <w:footnote w:id="4">
    <w:p w14:paraId="7B06297E" w14:textId="77777777" w:rsidR="00D33378" w:rsidRDefault="00D33378">
      <w:pPr>
        <w:pStyle w:val="FootnoteText"/>
      </w:pPr>
      <w:r>
        <w:rPr>
          <w:rStyle w:val="FootnoteReference"/>
        </w:rPr>
        <w:footnoteRef/>
      </w:r>
      <w:r>
        <w:t xml:space="preserve"> 12 U.S.C. 1831y(a).</w:t>
      </w:r>
    </w:p>
  </w:footnote>
  <w:footnote w:id="5">
    <w:p w14:paraId="3672D06B" w14:textId="77777777" w:rsidR="00D33378" w:rsidRDefault="00D33378">
      <w:pPr>
        <w:pStyle w:val="FootnoteText"/>
      </w:pPr>
      <w:r>
        <w:rPr>
          <w:rStyle w:val="FootnoteReference"/>
        </w:rPr>
        <w:footnoteRef/>
      </w:r>
      <w:r>
        <w:t xml:space="preserve"> 12 U.S.C. 1831y(b)-(c).  </w:t>
      </w:r>
    </w:p>
  </w:footnote>
  <w:footnote w:id="6">
    <w:p w14:paraId="6DB26645" w14:textId="77777777" w:rsidR="006B6545" w:rsidRDefault="006B6545" w:rsidP="006B6545">
      <w:pPr>
        <w:pStyle w:val="FootnoteText"/>
      </w:pPr>
      <w:r>
        <w:rPr>
          <w:rStyle w:val="FootnoteReference"/>
        </w:rPr>
        <w:footnoteRef/>
      </w:r>
      <w:r>
        <w:t xml:space="preserve"> If providing a list of covered agreements, the IDI or affiliate must provide a copy and public version of any agreement referenced in the list to any relevant supervisory agency within seven calendar days of receiving a request from the agency.</w:t>
      </w:r>
    </w:p>
  </w:footnote>
  <w:footnote w:id="7">
    <w:p w14:paraId="700A5741" w14:textId="77777777" w:rsidR="006B6545" w:rsidRDefault="006B6545" w:rsidP="006B6545">
      <w:pPr>
        <w:pStyle w:val="FootnoteText"/>
      </w:pPr>
      <w:r>
        <w:rPr>
          <w:rStyle w:val="FootnoteReference"/>
        </w:rPr>
        <w:footnoteRef/>
      </w:r>
      <w:r>
        <w:t xml:space="preserve"> A CRA public file is the public file maintained by an IDI and described in 12 CFR 25.43. </w:t>
      </w:r>
    </w:p>
  </w:footnote>
  <w:footnote w:id="8">
    <w:p w14:paraId="70D8F52B" w14:textId="77777777" w:rsidR="00DE629F" w:rsidRDefault="00DE629F" w:rsidP="00DE629F">
      <w:pPr>
        <w:pStyle w:val="FootnoteText"/>
      </w:pPr>
      <w:r>
        <w:rPr>
          <w:rStyle w:val="FootnoteReference"/>
        </w:rPr>
        <w:footnoteRef/>
      </w:r>
      <w:r>
        <w:t xml:space="preserve"> FFIEC </w:t>
      </w:r>
      <w:r>
        <w:rPr>
          <w:i/>
        </w:rPr>
        <w:t>Joint Report to Congress: Economic Growth and Regulatory Paperwork Reduction Act</w:t>
      </w:r>
      <w:r>
        <w:t xml:space="preserve">, 53-54, </w:t>
      </w:r>
      <w:r>
        <w:rPr>
          <w:i/>
        </w:rPr>
        <w:t>available at</w:t>
      </w:r>
      <w:r>
        <w:t xml:space="preserve"> </w:t>
      </w:r>
      <w:hyperlink r:id="rId1" w:history="1">
        <w:r>
          <w:rPr>
            <w:rStyle w:val="Hyperlink"/>
          </w:rPr>
          <w:t>https://www.occ.gov/news-issuances/news-releases/2017/nr-ia-2017-33a.pdf</w:t>
        </w:r>
      </w:hyperlink>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840F1"/>
    <w:multiLevelType w:val="hybridMultilevel"/>
    <w:tmpl w:val="968020C0"/>
    <w:lvl w:ilvl="0" w:tplc="2822FC6E">
      <w:start w:val="16"/>
      <w:numFmt w:val="decimal"/>
      <w:lvlText w:val="%1."/>
      <w:lvlJc w:val="left"/>
      <w:pPr>
        <w:tabs>
          <w:tab w:val="num" w:pos="1080"/>
        </w:tabs>
        <w:ind w:left="1080" w:hanging="720"/>
      </w:pPr>
      <w:rPr>
        <w:rFonts w:hint="default"/>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6357BB"/>
    <w:multiLevelType w:val="hybridMultilevel"/>
    <w:tmpl w:val="AFC254EA"/>
    <w:lvl w:ilvl="0" w:tplc="9FD67382">
      <w:start w:val="16"/>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546A49"/>
    <w:multiLevelType w:val="singleLevel"/>
    <w:tmpl w:val="0409000F"/>
    <w:lvl w:ilvl="0">
      <w:start w:val="1"/>
      <w:numFmt w:val="decimal"/>
      <w:lvlText w:val="%1."/>
      <w:lvlJc w:val="left"/>
      <w:pPr>
        <w:tabs>
          <w:tab w:val="num" w:pos="360"/>
        </w:tabs>
        <w:ind w:left="360" w:hanging="360"/>
      </w:pPr>
      <w:rPr>
        <w:rFonts w:hint="default"/>
      </w:rPr>
    </w:lvl>
  </w:abstractNum>
  <w:abstractNum w:abstractNumId="3">
    <w:nsid w:val="4A084B16"/>
    <w:multiLevelType w:val="singleLevel"/>
    <w:tmpl w:val="0409000F"/>
    <w:lvl w:ilvl="0">
      <w:start w:val="1"/>
      <w:numFmt w:val="decimal"/>
      <w:lvlText w:val="%1."/>
      <w:lvlJc w:val="left"/>
      <w:pPr>
        <w:tabs>
          <w:tab w:val="num" w:pos="360"/>
        </w:tabs>
        <w:ind w:left="360" w:hanging="360"/>
      </w:pPr>
    </w:lvl>
  </w:abstractNum>
  <w:abstractNum w:abstractNumId="4">
    <w:nsid w:val="55295410"/>
    <w:multiLevelType w:val="hybridMultilevel"/>
    <w:tmpl w:val="6E065D9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5">
    <w:nsid w:val="5BBD2E17"/>
    <w:multiLevelType w:val="hybridMultilevel"/>
    <w:tmpl w:val="E4066B96"/>
    <w:lvl w:ilvl="0" w:tplc="0E9CD96E">
      <w:start w:val="16"/>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82E7813"/>
    <w:multiLevelType w:val="hybridMultilevel"/>
    <w:tmpl w:val="BD32D5DE"/>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FF372CD"/>
    <w:multiLevelType w:val="hybridMultilevel"/>
    <w:tmpl w:val="6046ED4A"/>
    <w:lvl w:ilvl="0" w:tplc="C84698E0">
      <w:start w:val="10"/>
      <w:numFmt w:val="decimal"/>
      <w:lvlText w:val="%1."/>
      <w:lvlJc w:val="left"/>
      <w:pPr>
        <w:tabs>
          <w:tab w:val="num" w:pos="1080"/>
        </w:tabs>
        <w:ind w:left="1080" w:hanging="7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7"/>
  </w:num>
  <w:num w:numId="4">
    <w:abstractNumId w:val="6"/>
  </w:num>
  <w:num w:numId="5">
    <w:abstractNumId w:val="1"/>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187"/>
    <w:rsid w:val="00006B11"/>
    <w:rsid w:val="00010BB4"/>
    <w:rsid w:val="000165AB"/>
    <w:rsid w:val="000170A0"/>
    <w:rsid w:val="000245B3"/>
    <w:rsid w:val="00037FF2"/>
    <w:rsid w:val="00047092"/>
    <w:rsid w:val="00072ED9"/>
    <w:rsid w:val="00081E3E"/>
    <w:rsid w:val="00091597"/>
    <w:rsid w:val="00095143"/>
    <w:rsid w:val="000A2AC5"/>
    <w:rsid w:val="000B10E4"/>
    <w:rsid w:val="000D0091"/>
    <w:rsid w:val="000D7DA8"/>
    <w:rsid w:val="000E2A3B"/>
    <w:rsid w:val="000E62EC"/>
    <w:rsid w:val="000F21B1"/>
    <w:rsid w:val="000F42B5"/>
    <w:rsid w:val="0011093D"/>
    <w:rsid w:val="00120065"/>
    <w:rsid w:val="00132669"/>
    <w:rsid w:val="001338D4"/>
    <w:rsid w:val="001403F7"/>
    <w:rsid w:val="00156FC0"/>
    <w:rsid w:val="0016383D"/>
    <w:rsid w:val="00163B7E"/>
    <w:rsid w:val="00163C50"/>
    <w:rsid w:val="001768C6"/>
    <w:rsid w:val="00183E3B"/>
    <w:rsid w:val="00184345"/>
    <w:rsid w:val="00186C0B"/>
    <w:rsid w:val="0019368B"/>
    <w:rsid w:val="001967BB"/>
    <w:rsid w:val="001A30AA"/>
    <w:rsid w:val="001B1C59"/>
    <w:rsid w:val="001B51D4"/>
    <w:rsid w:val="001C1D64"/>
    <w:rsid w:val="001C5BBD"/>
    <w:rsid w:val="001D0182"/>
    <w:rsid w:val="001D79FB"/>
    <w:rsid w:val="001E4D00"/>
    <w:rsid w:val="002037A1"/>
    <w:rsid w:val="00221900"/>
    <w:rsid w:val="0024093D"/>
    <w:rsid w:val="00244B7E"/>
    <w:rsid w:val="0025128A"/>
    <w:rsid w:val="0025290E"/>
    <w:rsid w:val="002617E1"/>
    <w:rsid w:val="0026318E"/>
    <w:rsid w:val="002636BC"/>
    <w:rsid w:val="00272D4E"/>
    <w:rsid w:val="002774B2"/>
    <w:rsid w:val="00277C8C"/>
    <w:rsid w:val="002C1412"/>
    <w:rsid w:val="002D50E0"/>
    <w:rsid w:val="002E7198"/>
    <w:rsid w:val="0030352E"/>
    <w:rsid w:val="00304A6E"/>
    <w:rsid w:val="00307387"/>
    <w:rsid w:val="00335459"/>
    <w:rsid w:val="003554B5"/>
    <w:rsid w:val="0035648B"/>
    <w:rsid w:val="00357929"/>
    <w:rsid w:val="00360801"/>
    <w:rsid w:val="00372030"/>
    <w:rsid w:val="00384A17"/>
    <w:rsid w:val="00391B9F"/>
    <w:rsid w:val="003A1FAD"/>
    <w:rsid w:val="003A4B23"/>
    <w:rsid w:val="003B603C"/>
    <w:rsid w:val="003C7088"/>
    <w:rsid w:val="003E1A44"/>
    <w:rsid w:val="003E6580"/>
    <w:rsid w:val="00402C9A"/>
    <w:rsid w:val="0041247E"/>
    <w:rsid w:val="00427FEB"/>
    <w:rsid w:val="004308B8"/>
    <w:rsid w:val="00442F59"/>
    <w:rsid w:val="00447821"/>
    <w:rsid w:val="004550CF"/>
    <w:rsid w:val="00456956"/>
    <w:rsid w:val="00460401"/>
    <w:rsid w:val="00462508"/>
    <w:rsid w:val="00480571"/>
    <w:rsid w:val="00485371"/>
    <w:rsid w:val="004C10D4"/>
    <w:rsid w:val="004C195E"/>
    <w:rsid w:val="004D3493"/>
    <w:rsid w:val="004E6E6C"/>
    <w:rsid w:val="004E73C8"/>
    <w:rsid w:val="004F41D7"/>
    <w:rsid w:val="0050710E"/>
    <w:rsid w:val="0050741B"/>
    <w:rsid w:val="005115EF"/>
    <w:rsid w:val="00516A25"/>
    <w:rsid w:val="00517EA5"/>
    <w:rsid w:val="00546F01"/>
    <w:rsid w:val="00562BE4"/>
    <w:rsid w:val="00565633"/>
    <w:rsid w:val="00577351"/>
    <w:rsid w:val="00577785"/>
    <w:rsid w:val="005777D5"/>
    <w:rsid w:val="00580D34"/>
    <w:rsid w:val="00583870"/>
    <w:rsid w:val="0059084F"/>
    <w:rsid w:val="00593E04"/>
    <w:rsid w:val="005A2CEE"/>
    <w:rsid w:val="005E3BB7"/>
    <w:rsid w:val="005E5E83"/>
    <w:rsid w:val="006257B4"/>
    <w:rsid w:val="00637682"/>
    <w:rsid w:val="0067344C"/>
    <w:rsid w:val="00677F68"/>
    <w:rsid w:val="00690435"/>
    <w:rsid w:val="006A51A6"/>
    <w:rsid w:val="006B263D"/>
    <w:rsid w:val="006B6545"/>
    <w:rsid w:val="006D523F"/>
    <w:rsid w:val="006F154B"/>
    <w:rsid w:val="006F69ED"/>
    <w:rsid w:val="00701BCF"/>
    <w:rsid w:val="00704187"/>
    <w:rsid w:val="00712F88"/>
    <w:rsid w:val="00727214"/>
    <w:rsid w:val="00744CEB"/>
    <w:rsid w:val="00746ADA"/>
    <w:rsid w:val="0076216F"/>
    <w:rsid w:val="007A7A0C"/>
    <w:rsid w:val="007B5EBF"/>
    <w:rsid w:val="007E644A"/>
    <w:rsid w:val="007F3951"/>
    <w:rsid w:val="008024A4"/>
    <w:rsid w:val="00815CA1"/>
    <w:rsid w:val="00825074"/>
    <w:rsid w:val="00843000"/>
    <w:rsid w:val="00852278"/>
    <w:rsid w:val="0085235E"/>
    <w:rsid w:val="00852D5E"/>
    <w:rsid w:val="00863BB3"/>
    <w:rsid w:val="00877CE5"/>
    <w:rsid w:val="00881F85"/>
    <w:rsid w:val="00882501"/>
    <w:rsid w:val="008C0C4A"/>
    <w:rsid w:val="008D0DE7"/>
    <w:rsid w:val="00916BC7"/>
    <w:rsid w:val="0091744E"/>
    <w:rsid w:val="0093156A"/>
    <w:rsid w:val="009607A2"/>
    <w:rsid w:val="009673D8"/>
    <w:rsid w:val="00974F4F"/>
    <w:rsid w:val="009804F3"/>
    <w:rsid w:val="009F3E42"/>
    <w:rsid w:val="00A26476"/>
    <w:rsid w:val="00A46A76"/>
    <w:rsid w:val="00A53C7F"/>
    <w:rsid w:val="00A53DA9"/>
    <w:rsid w:val="00A839D9"/>
    <w:rsid w:val="00A84E6B"/>
    <w:rsid w:val="00A92898"/>
    <w:rsid w:val="00AC0F04"/>
    <w:rsid w:val="00AC1613"/>
    <w:rsid w:val="00AC6CC1"/>
    <w:rsid w:val="00AD6A03"/>
    <w:rsid w:val="00AE4C1E"/>
    <w:rsid w:val="00AF1634"/>
    <w:rsid w:val="00AF54EB"/>
    <w:rsid w:val="00B0522F"/>
    <w:rsid w:val="00B05867"/>
    <w:rsid w:val="00B106FC"/>
    <w:rsid w:val="00B17FED"/>
    <w:rsid w:val="00B221BC"/>
    <w:rsid w:val="00B22FD8"/>
    <w:rsid w:val="00B244F2"/>
    <w:rsid w:val="00B447C0"/>
    <w:rsid w:val="00B70110"/>
    <w:rsid w:val="00B96DFB"/>
    <w:rsid w:val="00BA3A6C"/>
    <w:rsid w:val="00BD19FC"/>
    <w:rsid w:val="00BD2333"/>
    <w:rsid w:val="00BE15DE"/>
    <w:rsid w:val="00BF7901"/>
    <w:rsid w:val="00C06C67"/>
    <w:rsid w:val="00C118F5"/>
    <w:rsid w:val="00C22BE2"/>
    <w:rsid w:val="00C24850"/>
    <w:rsid w:val="00C50C89"/>
    <w:rsid w:val="00C51792"/>
    <w:rsid w:val="00C57629"/>
    <w:rsid w:val="00C62D0A"/>
    <w:rsid w:val="00C659BB"/>
    <w:rsid w:val="00C73DBD"/>
    <w:rsid w:val="00C82C8D"/>
    <w:rsid w:val="00C86359"/>
    <w:rsid w:val="00CE5FF8"/>
    <w:rsid w:val="00CF3563"/>
    <w:rsid w:val="00D00ED1"/>
    <w:rsid w:val="00D3128E"/>
    <w:rsid w:val="00D33378"/>
    <w:rsid w:val="00D42237"/>
    <w:rsid w:val="00D44091"/>
    <w:rsid w:val="00D44117"/>
    <w:rsid w:val="00D54BAA"/>
    <w:rsid w:val="00D675F0"/>
    <w:rsid w:val="00D7797E"/>
    <w:rsid w:val="00D929BD"/>
    <w:rsid w:val="00D96B70"/>
    <w:rsid w:val="00DB14AE"/>
    <w:rsid w:val="00DB6945"/>
    <w:rsid w:val="00DC149E"/>
    <w:rsid w:val="00DC34BB"/>
    <w:rsid w:val="00DD11E7"/>
    <w:rsid w:val="00DD21B7"/>
    <w:rsid w:val="00DD544B"/>
    <w:rsid w:val="00DD6BFE"/>
    <w:rsid w:val="00DE2645"/>
    <w:rsid w:val="00DE4D18"/>
    <w:rsid w:val="00DE629F"/>
    <w:rsid w:val="00DF497A"/>
    <w:rsid w:val="00E03D8A"/>
    <w:rsid w:val="00E05AB3"/>
    <w:rsid w:val="00E15998"/>
    <w:rsid w:val="00E17E1E"/>
    <w:rsid w:val="00E23025"/>
    <w:rsid w:val="00E41EC9"/>
    <w:rsid w:val="00E56CCD"/>
    <w:rsid w:val="00E83704"/>
    <w:rsid w:val="00E877EB"/>
    <w:rsid w:val="00E9275D"/>
    <w:rsid w:val="00E96621"/>
    <w:rsid w:val="00EC1C19"/>
    <w:rsid w:val="00EE109C"/>
    <w:rsid w:val="00EE2924"/>
    <w:rsid w:val="00F1738D"/>
    <w:rsid w:val="00F23431"/>
    <w:rsid w:val="00F25DC8"/>
    <w:rsid w:val="00F30911"/>
    <w:rsid w:val="00F31B4C"/>
    <w:rsid w:val="00F4662A"/>
    <w:rsid w:val="00F5439C"/>
    <w:rsid w:val="00F84798"/>
    <w:rsid w:val="00F87DE1"/>
    <w:rsid w:val="00F91A10"/>
    <w:rsid w:val="00FD059B"/>
    <w:rsid w:val="00FE66B5"/>
    <w:rsid w:val="00FE736B"/>
    <w:rsid w:val="00FF1D98"/>
    <w:rsid w:val="00FF6FA6"/>
    <w:rsid w:val="00FF78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C7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182"/>
    <w:rPr>
      <w:sz w:val="24"/>
    </w:rPr>
  </w:style>
  <w:style w:type="paragraph" w:styleId="Heading6">
    <w:name w:val="heading 6"/>
    <w:basedOn w:val="Normal"/>
    <w:next w:val="Normal"/>
    <w:link w:val="Heading6Char"/>
    <w:qFormat/>
    <w:rsid w:val="004C195E"/>
    <w:pPr>
      <w:keepNext/>
      <w:tabs>
        <w:tab w:val="left" w:pos="-1440"/>
        <w:tab w:val="left" w:pos="-720"/>
        <w:tab w:val="left" w:pos="0"/>
        <w:tab w:val="left" w:pos="240"/>
        <w:tab w:val="left" w:pos="720"/>
        <w:tab w:val="left" w:pos="1440"/>
        <w:tab w:val="left" w:pos="2160"/>
        <w:tab w:val="left" w:pos="2880"/>
      </w:tabs>
      <w:spacing w:before="144"/>
      <w:outlineLvl w:val="5"/>
    </w:pPr>
    <w:rPr>
      <w:rFonts w:ascii="Times" w:hAnsi="Times"/>
      <w:i/>
      <w:i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D0182"/>
    <w:pPr>
      <w:ind w:left="360"/>
    </w:pPr>
  </w:style>
  <w:style w:type="paragraph" w:styleId="BodyText">
    <w:name w:val="Body Text"/>
    <w:basedOn w:val="Normal"/>
    <w:rsid w:val="001D0182"/>
    <w:pPr>
      <w:tabs>
        <w:tab w:val="left" w:pos="-450"/>
        <w:tab w:val="left" w:pos="720"/>
      </w:tabs>
    </w:pPr>
    <w:rPr>
      <w:u w:val="single"/>
    </w:rPr>
  </w:style>
  <w:style w:type="paragraph" w:styleId="Footer">
    <w:name w:val="footer"/>
    <w:basedOn w:val="Normal"/>
    <w:rsid w:val="001D0182"/>
    <w:pPr>
      <w:tabs>
        <w:tab w:val="center" w:pos="4320"/>
        <w:tab w:val="right" w:pos="8640"/>
      </w:tabs>
    </w:pPr>
  </w:style>
  <w:style w:type="character" w:styleId="PageNumber">
    <w:name w:val="page number"/>
    <w:basedOn w:val="DefaultParagraphFont"/>
    <w:rsid w:val="001D0182"/>
  </w:style>
  <w:style w:type="paragraph" w:styleId="FootnoteText">
    <w:name w:val="footnote text"/>
    <w:basedOn w:val="Normal"/>
    <w:link w:val="FootnoteTextChar"/>
    <w:uiPriority w:val="99"/>
    <w:semiHidden/>
    <w:rsid w:val="001D0182"/>
    <w:rPr>
      <w:sz w:val="20"/>
    </w:rPr>
  </w:style>
  <w:style w:type="character" w:styleId="FootnoteReference">
    <w:name w:val="footnote reference"/>
    <w:basedOn w:val="DefaultParagraphFont"/>
    <w:uiPriority w:val="99"/>
    <w:semiHidden/>
    <w:rsid w:val="001D0182"/>
    <w:rPr>
      <w:vertAlign w:val="superscript"/>
    </w:rPr>
  </w:style>
  <w:style w:type="paragraph" w:styleId="BalloonText">
    <w:name w:val="Balloon Text"/>
    <w:basedOn w:val="Normal"/>
    <w:semiHidden/>
    <w:rsid w:val="00B22FD8"/>
    <w:rPr>
      <w:rFonts w:ascii="Tahoma" w:hAnsi="Tahoma" w:cs="Tahoma"/>
      <w:sz w:val="16"/>
      <w:szCs w:val="16"/>
    </w:rPr>
  </w:style>
  <w:style w:type="paragraph" w:styleId="DocumentMap">
    <w:name w:val="Document Map"/>
    <w:basedOn w:val="Normal"/>
    <w:semiHidden/>
    <w:rsid w:val="007E644A"/>
    <w:pPr>
      <w:shd w:val="clear" w:color="auto" w:fill="000080"/>
    </w:pPr>
    <w:rPr>
      <w:rFonts w:ascii="Tahoma" w:hAnsi="Tahoma" w:cs="Tahoma"/>
      <w:sz w:val="20"/>
    </w:rPr>
  </w:style>
  <w:style w:type="character" w:customStyle="1" w:styleId="documentbody1">
    <w:name w:val="documentbody1"/>
    <w:basedOn w:val="DefaultParagraphFont"/>
    <w:rsid w:val="00974F4F"/>
    <w:rPr>
      <w:rFonts w:ascii="Verdana" w:hAnsi="Verdana" w:hint="default"/>
      <w:sz w:val="19"/>
      <w:szCs w:val="19"/>
    </w:rPr>
  </w:style>
  <w:style w:type="character" w:styleId="CommentReference">
    <w:name w:val="annotation reference"/>
    <w:basedOn w:val="DefaultParagraphFont"/>
    <w:rsid w:val="00B106FC"/>
    <w:rPr>
      <w:sz w:val="16"/>
      <w:szCs w:val="16"/>
    </w:rPr>
  </w:style>
  <w:style w:type="paragraph" w:styleId="CommentText">
    <w:name w:val="annotation text"/>
    <w:basedOn w:val="Normal"/>
    <w:link w:val="CommentTextChar"/>
    <w:rsid w:val="00B106FC"/>
    <w:rPr>
      <w:sz w:val="20"/>
    </w:rPr>
  </w:style>
  <w:style w:type="character" w:customStyle="1" w:styleId="CommentTextChar">
    <w:name w:val="Comment Text Char"/>
    <w:basedOn w:val="DefaultParagraphFont"/>
    <w:link w:val="CommentText"/>
    <w:rsid w:val="00B106FC"/>
  </w:style>
  <w:style w:type="paragraph" w:styleId="CommentSubject">
    <w:name w:val="annotation subject"/>
    <w:basedOn w:val="CommentText"/>
    <w:next w:val="CommentText"/>
    <w:link w:val="CommentSubjectChar"/>
    <w:rsid w:val="00B106FC"/>
    <w:rPr>
      <w:b/>
      <w:bCs/>
    </w:rPr>
  </w:style>
  <w:style w:type="character" w:customStyle="1" w:styleId="CommentSubjectChar">
    <w:name w:val="Comment Subject Char"/>
    <w:basedOn w:val="CommentTextChar"/>
    <w:link w:val="CommentSubject"/>
    <w:rsid w:val="00B106FC"/>
    <w:rPr>
      <w:b/>
      <w:bCs/>
    </w:rPr>
  </w:style>
  <w:style w:type="character" w:customStyle="1" w:styleId="Heading6Char">
    <w:name w:val="Heading 6 Char"/>
    <w:basedOn w:val="DefaultParagraphFont"/>
    <w:link w:val="Heading6"/>
    <w:rsid w:val="004C195E"/>
    <w:rPr>
      <w:rFonts w:ascii="Times" w:hAnsi="Times"/>
      <w:i/>
      <w:iCs/>
      <w:sz w:val="22"/>
      <w:szCs w:val="22"/>
      <w:u w:val="single"/>
    </w:rPr>
  </w:style>
  <w:style w:type="table" w:styleId="TableGrid">
    <w:name w:val="Table Grid"/>
    <w:basedOn w:val="TableNormal"/>
    <w:rsid w:val="00A53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7F68"/>
    <w:rPr>
      <w:sz w:val="24"/>
    </w:rPr>
  </w:style>
  <w:style w:type="character" w:customStyle="1" w:styleId="FootnoteTextChar">
    <w:name w:val="Footnote Text Char"/>
    <w:basedOn w:val="DefaultParagraphFont"/>
    <w:link w:val="FootnoteText"/>
    <w:uiPriority w:val="99"/>
    <w:semiHidden/>
    <w:rsid w:val="006B6545"/>
  </w:style>
  <w:style w:type="paragraph" w:styleId="ListParagraph">
    <w:name w:val="List Paragraph"/>
    <w:basedOn w:val="Normal"/>
    <w:uiPriority w:val="34"/>
    <w:qFormat/>
    <w:rsid w:val="006B6545"/>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semiHidden/>
    <w:unhideWhenUsed/>
    <w:rsid w:val="00DE62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0182"/>
    <w:rPr>
      <w:sz w:val="24"/>
    </w:rPr>
  </w:style>
  <w:style w:type="paragraph" w:styleId="Heading6">
    <w:name w:val="heading 6"/>
    <w:basedOn w:val="Normal"/>
    <w:next w:val="Normal"/>
    <w:link w:val="Heading6Char"/>
    <w:qFormat/>
    <w:rsid w:val="004C195E"/>
    <w:pPr>
      <w:keepNext/>
      <w:tabs>
        <w:tab w:val="left" w:pos="-1440"/>
        <w:tab w:val="left" w:pos="-720"/>
        <w:tab w:val="left" w:pos="0"/>
        <w:tab w:val="left" w:pos="240"/>
        <w:tab w:val="left" w:pos="720"/>
        <w:tab w:val="left" w:pos="1440"/>
        <w:tab w:val="left" w:pos="2160"/>
        <w:tab w:val="left" w:pos="2880"/>
      </w:tabs>
      <w:spacing w:before="144"/>
      <w:outlineLvl w:val="5"/>
    </w:pPr>
    <w:rPr>
      <w:rFonts w:ascii="Times" w:hAnsi="Times"/>
      <w:i/>
      <w:iCs/>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1D0182"/>
    <w:pPr>
      <w:ind w:left="360"/>
    </w:pPr>
  </w:style>
  <w:style w:type="paragraph" w:styleId="BodyText">
    <w:name w:val="Body Text"/>
    <w:basedOn w:val="Normal"/>
    <w:rsid w:val="001D0182"/>
    <w:pPr>
      <w:tabs>
        <w:tab w:val="left" w:pos="-450"/>
        <w:tab w:val="left" w:pos="720"/>
      </w:tabs>
    </w:pPr>
    <w:rPr>
      <w:u w:val="single"/>
    </w:rPr>
  </w:style>
  <w:style w:type="paragraph" w:styleId="Footer">
    <w:name w:val="footer"/>
    <w:basedOn w:val="Normal"/>
    <w:rsid w:val="001D0182"/>
    <w:pPr>
      <w:tabs>
        <w:tab w:val="center" w:pos="4320"/>
        <w:tab w:val="right" w:pos="8640"/>
      </w:tabs>
    </w:pPr>
  </w:style>
  <w:style w:type="character" w:styleId="PageNumber">
    <w:name w:val="page number"/>
    <w:basedOn w:val="DefaultParagraphFont"/>
    <w:rsid w:val="001D0182"/>
  </w:style>
  <w:style w:type="paragraph" w:styleId="FootnoteText">
    <w:name w:val="footnote text"/>
    <w:basedOn w:val="Normal"/>
    <w:link w:val="FootnoteTextChar"/>
    <w:uiPriority w:val="99"/>
    <w:semiHidden/>
    <w:rsid w:val="001D0182"/>
    <w:rPr>
      <w:sz w:val="20"/>
    </w:rPr>
  </w:style>
  <w:style w:type="character" w:styleId="FootnoteReference">
    <w:name w:val="footnote reference"/>
    <w:basedOn w:val="DefaultParagraphFont"/>
    <w:uiPriority w:val="99"/>
    <w:semiHidden/>
    <w:rsid w:val="001D0182"/>
    <w:rPr>
      <w:vertAlign w:val="superscript"/>
    </w:rPr>
  </w:style>
  <w:style w:type="paragraph" w:styleId="BalloonText">
    <w:name w:val="Balloon Text"/>
    <w:basedOn w:val="Normal"/>
    <w:semiHidden/>
    <w:rsid w:val="00B22FD8"/>
    <w:rPr>
      <w:rFonts w:ascii="Tahoma" w:hAnsi="Tahoma" w:cs="Tahoma"/>
      <w:sz w:val="16"/>
      <w:szCs w:val="16"/>
    </w:rPr>
  </w:style>
  <w:style w:type="paragraph" w:styleId="DocumentMap">
    <w:name w:val="Document Map"/>
    <w:basedOn w:val="Normal"/>
    <w:semiHidden/>
    <w:rsid w:val="007E644A"/>
    <w:pPr>
      <w:shd w:val="clear" w:color="auto" w:fill="000080"/>
    </w:pPr>
    <w:rPr>
      <w:rFonts w:ascii="Tahoma" w:hAnsi="Tahoma" w:cs="Tahoma"/>
      <w:sz w:val="20"/>
    </w:rPr>
  </w:style>
  <w:style w:type="character" w:customStyle="1" w:styleId="documentbody1">
    <w:name w:val="documentbody1"/>
    <w:basedOn w:val="DefaultParagraphFont"/>
    <w:rsid w:val="00974F4F"/>
    <w:rPr>
      <w:rFonts w:ascii="Verdana" w:hAnsi="Verdana" w:hint="default"/>
      <w:sz w:val="19"/>
      <w:szCs w:val="19"/>
    </w:rPr>
  </w:style>
  <w:style w:type="character" w:styleId="CommentReference">
    <w:name w:val="annotation reference"/>
    <w:basedOn w:val="DefaultParagraphFont"/>
    <w:rsid w:val="00B106FC"/>
    <w:rPr>
      <w:sz w:val="16"/>
      <w:szCs w:val="16"/>
    </w:rPr>
  </w:style>
  <w:style w:type="paragraph" w:styleId="CommentText">
    <w:name w:val="annotation text"/>
    <w:basedOn w:val="Normal"/>
    <w:link w:val="CommentTextChar"/>
    <w:rsid w:val="00B106FC"/>
    <w:rPr>
      <w:sz w:val="20"/>
    </w:rPr>
  </w:style>
  <w:style w:type="character" w:customStyle="1" w:styleId="CommentTextChar">
    <w:name w:val="Comment Text Char"/>
    <w:basedOn w:val="DefaultParagraphFont"/>
    <w:link w:val="CommentText"/>
    <w:rsid w:val="00B106FC"/>
  </w:style>
  <w:style w:type="paragraph" w:styleId="CommentSubject">
    <w:name w:val="annotation subject"/>
    <w:basedOn w:val="CommentText"/>
    <w:next w:val="CommentText"/>
    <w:link w:val="CommentSubjectChar"/>
    <w:rsid w:val="00B106FC"/>
    <w:rPr>
      <w:b/>
      <w:bCs/>
    </w:rPr>
  </w:style>
  <w:style w:type="character" w:customStyle="1" w:styleId="CommentSubjectChar">
    <w:name w:val="Comment Subject Char"/>
    <w:basedOn w:val="CommentTextChar"/>
    <w:link w:val="CommentSubject"/>
    <w:rsid w:val="00B106FC"/>
    <w:rPr>
      <w:b/>
      <w:bCs/>
    </w:rPr>
  </w:style>
  <w:style w:type="character" w:customStyle="1" w:styleId="Heading6Char">
    <w:name w:val="Heading 6 Char"/>
    <w:basedOn w:val="DefaultParagraphFont"/>
    <w:link w:val="Heading6"/>
    <w:rsid w:val="004C195E"/>
    <w:rPr>
      <w:rFonts w:ascii="Times" w:hAnsi="Times"/>
      <w:i/>
      <w:iCs/>
      <w:sz w:val="22"/>
      <w:szCs w:val="22"/>
      <w:u w:val="single"/>
    </w:rPr>
  </w:style>
  <w:style w:type="table" w:styleId="TableGrid">
    <w:name w:val="Table Grid"/>
    <w:basedOn w:val="TableNormal"/>
    <w:rsid w:val="00A53D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7F68"/>
    <w:rPr>
      <w:sz w:val="24"/>
    </w:rPr>
  </w:style>
  <w:style w:type="character" w:customStyle="1" w:styleId="FootnoteTextChar">
    <w:name w:val="Footnote Text Char"/>
    <w:basedOn w:val="DefaultParagraphFont"/>
    <w:link w:val="FootnoteText"/>
    <w:uiPriority w:val="99"/>
    <w:semiHidden/>
    <w:rsid w:val="006B6545"/>
  </w:style>
  <w:style w:type="paragraph" w:styleId="ListParagraph">
    <w:name w:val="List Paragraph"/>
    <w:basedOn w:val="Normal"/>
    <w:uiPriority w:val="34"/>
    <w:qFormat/>
    <w:rsid w:val="006B6545"/>
    <w:pPr>
      <w:spacing w:after="200" w:line="276"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semiHidden/>
    <w:unhideWhenUsed/>
    <w:rsid w:val="00DE62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595690">
      <w:bodyDiv w:val="1"/>
      <w:marLeft w:val="0"/>
      <w:marRight w:val="0"/>
      <w:marTop w:val="0"/>
      <w:marBottom w:val="0"/>
      <w:divBdr>
        <w:top w:val="none" w:sz="0" w:space="0" w:color="auto"/>
        <w:left w:val="none" w:sz="0" w:space="0" w:color="auto"/>
        <w:bottom w:val="none" w:sz="0" w:space="0" w:color="auto"/>
        <w:right w:val="none" w:sz="0" w:space="0" w:color="auto"/>
      </w:divBdr>
    </w:div>
    <w:div w:id="271672260">
      <w:bodyDiv w:val="1"/>
      <w:marLeft w:val="0"/>
      <w:marRight w:val="0"/>
      <w:marTop w:val="0"/>
      <w:marBottom w:val="0"/>
      <w:divBdr>
        <w:top w:val="none" w:sz="0" w:space="0" w:color="auto"/>
        <w:left w:val="none" w:sz="0" w:space="0" w:color="auto"/>
        <w:bottom w:val="none" w:sz="0" w:space="0" w:color="auto"/>
        <w:right w:val="none" w:sz="0" w:space="0" w:color="auto"/>
      </w:divBdr>
    </w:div>
    <w:div w:id="883634227">
      <w:bodyDiv w:val="1"/>
      <w:marLeft w:val="0"/>
      <w:marRight w:val="0"/>
      <w:marTop w:val="0"/>
      <w:marBottom w:val="0"/>
      <w:divBdr>
        <w:top w:val="none" w:sz="0" w:space="0" w:color="auto"/>
        <w:left w:val="none" w:sz="0" w:space="0" w:color="auto"/>
        <w:bottom w:val="none" w:sz="0" w:space="0" w:color="auto"/>
        <w:right w:val="none" w:sz="0" w:space="0" w:color="auto"/>
      </w:divBdr>
    </w:div>
    <w:div w:id="1042049346">
      <w:bodyDiv w:val="1"/>
      <w:marLeft w:val="0"/>
      <w:marRight w:val="0"/>
      <w:marTop w:val="0"/>
      <w:marBottom w:val="0"/>
      <w:divBdr>
        <w:top w:val="none" w:sz="0" w:space="0" w:color="auto"/>
        <w:left w:val="none" w:sz="0" w:space="0" w:color="auto"/>
        <w:bottom w:val="none" w:sz="0" w:space="0" w:color="auto"/>
        <w:right w:val="none" w:sz="0" w:space="0" w:color="auto"/>
      </w:divBdr>
    </w:div>
    <w:div w:id="1361126123">
      <w:bodyDiv w:val="1"/>
      <w:marLeft w:val="0"/>
      <w:marRight w:val="0"/>
      <w:marTop w:val="0"/>
      <w:marBottom w:val="0"/>
      <w:divBdr>
        <w:top w:val="none" w:sz="0" w:space="0" w:color="auto"/>
        <w:left w:val="none" w:sz="0" w:space="0" w:color="auto"/>
        <w:bottom w:val="none" w:sz="0" w:space="0" w:color="auto"/>
        <w:right w:val="none" w:sz="0" w:space="0" w:color="auto"/>
      </w:divBdr>
    </w:div>
    <w:div w:id="1612544464">
      <w:bodyDiv w:val="1"/>
      <w:marLeft w:val="0"/>
      <w:marRight w:val="0"/>
      <w:marTop w:val="0"/>
      <w:marBottom w:val="0"/>
      <w:divBdr>
        <w:top w:val="none" w:sz="0" w:space="0" w:color="auto"/>
        <w:left w:val="none" w:sz="0" w:space="0" w:color="auto"/>
        <w:bottom w:val="none" w:sz="0" w:space="0" w:color="auto"/>
        <w:right w:val="none" w:sz="0" w:space="0" w:color="auto"/>
      </w:divBdr>
    </w:div>
    <w:div w:id="1867786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cc.gov/news-issuances/news-releases/2017/nr-ia-2017-33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31C5A3-D0C4-425C-908B-ADD22A663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1602</Words>
  <Characters>9135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OMB Control No</vt:lpstr>
    </vt:vector>
  </TitlesOfParts>
  <Company>OTS</Company>
  <LinksUpToDate>false</LinksUpToDate>
  <CharactersWithSpaces>10716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OTS</dc:creator>
  <cp:lastModifiedBy>SYSTEM</cp:lastModifiedBy>
  <cp:revision>2</cp:revision>
  <cp:lastPrinted>2016-07-19T16:10:00Z</cp:lastPrinted>
  <dcterms:created xsi:type="dcterms:W3CDTF">2019-07-02T18:56:00Z</dcterms:created>
  <dcterms:modified xsi:type="dcterms:W3CDTF">2019-07-02T18:56:00Z</dcterms:modified>
</cp:coreProperties>
</file>