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43E26" w14:textId="77777777" w:rsidR="002520F0" w:rsidRDefault="002520F0" w:rsidP="009B633D">
      <w:pPr>
        <w:jc w:val="center"/>
        <w:rPr>
          <w:sz w:val="28"/>
          <w:szCs w:val="28"/>
        </w:rPr>
      </w:pPr>
      <w:bookmarkStart w:id="0" w:name="_GoBack"/>
      <w:bookmarkEnd w:id="0"/>
    </w:p>
    <w:p w14:paraId="4CF0F3EF" w14:textId="77777777" w:rsidR="002520F0" w:rsidRDefault="002520F0" w:rsidP="009B633D">
      <w:pPr>
        <w:jc w:val="center"/>
        <w:rPr>
          <w:sz w:val="28"/>
          <w:szCs w:val="28"/>
        </w:rPr>
      </w:pPr>
    </w:p>
    <w:p w14:paraId="52CAFBE4" w14:textId="77777777" w:rsidR="009B633D" w:rsidRDefault="009B633D" w:rsidP="009B633D">
      <w:pPr>
        <w:jc w:val="center"/>
        <w:rPr>
          <w:sz w:val="28"/>
          <w:szCs w:val="28"/>
        </w:rPr>
      </w:pPr>
    </w:p>
    <w:p w14:paraId="502E36BD" w14:textId="77777777" w:rsidR="009B633D" w:rsidRDefault="00456179" w:rsidP="009B633D">
      <w:pPr>
        <w:jc w:val="center"/>
        <w:rPr>
          <w:b/>
          <w:sz w:val="28"/>
          <w:szCs w:val="28"/>
        </w:rPr>
      </w:pPr>
      <w:r w:rsidRPr="00456179">
        <w:rPr>
          <w:b/>
          <w:sz w:val="28"/>
          <w:szCs w:val="28"/>
        </w:rPr>
        <w:t>SUPPORTING STATEMENT</w:t>
      </w:r>
    </w:p>
    <w:p w14:paraId="17F6D37E" w14:textId="77777777" w:rsidR="00635119" w:rsidRDefault="00635119" w:rsidP="009B633D">
      <w:pPr>
        <w:jc w:val="center"/>
        <w:rPr>
          <w:b/>
          <w:sz w:val="28"/>
          <w:szCs w:val="28"/>
        </w:rPr>
      </w:pPr>
    </w:p>
    <w:p w14:paraId="731C52A6" w14:textId="77777777" w:rsidR="009B633D" w:rsidRDefault="00456179" w:rsidP="009B633D">
      <w:pPr>
        <w:jc w:val="center"/>
        <w:rPr>
          <w:sz w:val="28"/>
          <w:szCs w:val="28"/>
        </w:rPr>
      </w:pPr>
      <w:r>
        <w:rPr>
          <w:b/>
          <w:sz w:val="28"/>
          <w:szCs w:val="28"/>
        </w:rPr>
        <w:t>Part A</w:t>
      </w:r>
    </w:p>
    <w:p w14:paraId="209BAE41" w14:textId="77777777" w:rsidR="009B633D" w:rsidRDefault="009B633D" w:rsidP="009B633D">
      <w:pPr>
        <w:jc w:val="center"/>
        <w:rPr>
          <w:sz w:val="28"/>
          <w:szCs w:val="28"/>
        </w:rPr>
      </w:pPr>
    </w:p>
    <w:p w14:paraId="0F78C883" w14:textId="77777777" w:rsidR="009B633D" w:rsidRDefault="009B633D" w:rsidP="009B633D">
      <w:pPr>
        <w:jc w:val="center"/>
        <w:rPr>
          <w:sz w:val="28"/>
          <w:szCs w:val="28"/>
        </w:rPr>
      </w:pPr>
    </w:p>
    <w:p w14:paraId="27B0F55A" w14:textId="77777777" w:rsidR="009B633D" w:rsidRDefault="009B633D" w:rsidP="009B633D">
      <w:pPr>
        <w:jc w:val="center"/>
        <w:rPr>
          <w:sz w:val="28"/>
          <w:szCs w:val="28"/>
        </w:rPr>
      </w:pPr>
    </w:p>
    <w:p w14:paraId="4AC1342B" w14:textId="77777777" w:rsidR="009B633D" w:rsidRDefault="009B633D" w:rsidP="009B633D">
      <w:pPr>
        <w:jc w:val="center"/>
        <w:rPr>
          <w:sz w:val="28"/>
          <w:szCs w:val="28"/>
        </w:rPr>
      </w:pPr>
    </w:p>
    <w:p w14:paraId="70FB317B" w14:textId="77777777" w:rsidR="009B633D" w:rsidRDefault="009B633D" w:rsidP="009B633D">
      <w:pPr>
        <w:jc w:val="center"/>
        <w:rPr>
          <w:sz w:val="28"/>
          <w:szCs w:val="28"/>
        </w:rPr>
      </w:pPr>
    </w:p>
    <w:p w14:paraId="6FA6300B" w14:textId="77777777" w:rsidR="009B633D" w:rsidRDefault="009B633D" w:rsidP="009B633D">
      <w:pPr>
        <w:jc w:val="center"/>
        <w:rPr>
          <w:sz w:val="28"/>
          <w:szCs w:val="28"/>
        </w:rPr>
      </w:pPr>
    </w:p>
    <w:p w14:paraId="558E19A5" w14:textId="77777777" w:rsidR="009B633D" w:rsidRPr="002520F0" w:rsidRDefault="002520F0" w:rsidP="009B633D">
      <w:pPr>
        <w:jc w:val="center"/>
        <w:rPr>
          <w:sz w:val="28"/>
          <w:szCs w:val="28"/>
        </w:rPr>
      </w:pPr>
      <w:r w:rsidRPr="002520F0">
        <w:rPr>
          <w:b/>
          <w:bCs/>
          <w:iCs/>
          <w:sz w:val="28"/>
          <w:szCs w:val="28"/>
        </w:rPr>
        <w:t>The AHRQ Safety Program for Improving Antibiotic Use</w:t>
      </w:r>
    </w:p>
    <w:p w14:paraId="477AAE53" w14:textId="77777777" w:rsidR="009B633D" w:rsidRDefault="009B633D" w:rsidP="009B633D">
      <w:pPr>
        <w:jc w:val="center"/>
        <w:rPr>
          <w:sz w:val="28"/>
          <w:szCs w:val="28"/>
        </w:rPr>
      </w:pPr>
    </w:p>
    <w:p w14:paraId="487E88C2" w14:textId="77777777" w:rsidR="009B633D" w:rsidRDefault="009B633D" w:rsidP="009B633D">
      <w:pPr>
        <w:jc w:val="center"/>
        <w:rPr>
          <w:sz w:val="28"/>
          <w:szCs w:val="28"/>
        </w:rPr>
      </w:pPr>
    </w:p>
    <w:p w14:paraId="395155D1" w14:textId="77777777" w:rsidR="009B633D" w:rsidRDefault="009B633D" w:rsidP="009B633D">
      <w:pPr>
        <w:jc w:val="center"/>
        <w:rPr>
          <w:sz w:val="28"/>
          <w:szCs w:val="28"/>
        </w:rPr>
      </w:pPr>
    </w:p>
    <w:p w14:paraId="0055F684" w14:textId="66E6060F" w:rsidR="009B633D" w:rsidRPr="002520F0" w:rsidRDefault="00BB1C2F" w:rsidP="009B633D">
      <w:pPr>
        <w:jc w:val="center"/>
        <w:rPr>
          <w:sz w:val="28"/>
          <w:szCs w:val="28"/>
        </w:rPr>
      </w:pPr>
      <w:r>
        <w:rPr>
          <w:b/>
          <w:sz w:val="28"/>
          <w:szCs w:val="28"/>
        </w:rPr>
        <w:t>Version</w:t>
      </w:r>
      <w:r w:rsidR="00FF42BD">
        <w:rPr>
          <w:b/>
          <w:sz w:val="28"/>
          <w:szCs w:val="28"/>
        </w:rPr>
        <w:t>:</w:t>
      </w:r>
      <w:r>
        <w:rPr>
          <w:b/>
          <w:sz w:val="28"/>
          <w:szCs w:val="28"/>
        </w:rPr>
        <w:t xml:space="preserve"> </w:t>
      </w:r>
      <w:r w:rsidR="00DF40ED">
        <w:rPr>
          <w:sz w:val="28"/>
          <w:szCs w:val="28"/>
        </w:rPr>
        <w:t>March 15</w:t>
      </w:r>
      <w:r w:rsidR="00210272">
        <w:rPr>
          <w:sz w:val="28"/>
          <w:szCs w:val="28"/>
        </w:rPr>
        <w:t>, 2019</w:t>
      </w:r>
    </w:p>
    <w:p w14:paraId="7CDED348" w14:textId="77777777" w:rsidR="009B633D" w:rsidRDefault="009B633D" w:rsidP="009B633D">
      <w:pPr>
        <w:jc w:val="center"/>
        <w:rPr>
          <w:i/>
          <w:sz w:val="28"/>
          <w:szCs w:val="28"/>
        </w:rPr>
      </w:pPr>
    </w:p>
    <w:p w14:paraId="0B5C6D3E" w14:textId="77777777" w:rsidR="009B633D" w:rsidRDefault="009B633D" w:rsidP="009B633D">
      <w:pPr>
        <w:jc w:val="center"/>
        <w:rPr>
          <w:sz w:val="28"/>
          <w:szCs w:val="28"/>
        </w:rPr>
      </w:pPr>
    </w:p>
    <w:p w14:paraId="73D79D97" w14:textId="77777777" w:rsidR="009B633D" w:rsidRDefault="009B633D" w:rsidP="009B633D">
      <w:pPr>
        <w:jc w:val="center"/>
        <w:rPr>
          <w:sz w:val="28"/>
          <w:szCs w:val="28"/>
        </w:rPr>
      </w:pPr>
    </w:p>
    <w:p w14:paraId="31C5A14B" w14:textId="77777777" w:rsidR="009B633D" w:rsidRDefault="009B633D" w:rsidP="009B633D">
      <w:pPr>
        <w:jc w:val="center"/>
        <w:rPr>
          <w:sz w:val="28"/>
          <w:szCs w:val="28"/>
        </w:rPr>
      </w:pPr>
    </w:p>
    <w:p w14:paraId="05C98268" w14:textId="77777777" w:rsidR="009B633D" w:rsidRDefault="009B633D" w:rsidP="009B633D">
      <w:pPr>
        <w:jc w:val="center"/>
        <w:rPr>
          <w:sz w:val="28"/>
          <w:szCs w:val="28"/>
        </w:rPr>
      </w:pPr>
    </w:p>
    <w:p w14:paraId="1E9C8030" w14:textId="77777777" w:rsidR="009B633D" w:rsidRDefault="009B633D" w:rsidP="009B633D">
      <w:pPr>
        <w:jc w:val="center"/>
        <w:rPr>
          <w:sz w:val="28"/>
          <w:szCs w:val="28"/>
        </w:rPr>
      </w:pPr>
    </w:p>
    <w:p w14:paraId="74EE71F3" w14:textId="641DBA78" w:rsidR="009B633D" w:rsidRDefault="009B633D" w:rsidP="009B633D">
      <w:pPr>
        <w:jc w:val="center"/>
        <w:rPr>
          <w:sz w:val="28"/>
          <w:szCs w:val="28"/>
        </w:rPr>
      </w:pPr>
      <w:r w:rsidRPr="00677A0B">
        <w:rPr>
          <w:sz w:val="28"/>
          <w:szCs w:val="28"/>
        </w:rPr>
        <w:t xml:space="preserve">Agency </w:t>
      </w:r>
      <w:r w:rsidR="00210272">
        <w:rPr>
          <w:sz w:val="28"/>
          <w:szCs w:val="28"/>
        </w:rPr>
        <w:t>for</w:t>
      </w:r>
      <w:r w:rsidRPr="00677A0B">
        <w:rPr>
          <w:sz w:val="28"/>
          <w:szCs w:val="28"/>
        </w:rPr>
        <w:t xml:space="preserve"> Healthcare Research and Quality (AHRQ)</w:t>
      </w:r>
    </w:p>
    <w:p w14:paraId="7A96602C" w14:textId="77777777" w:rsidR="009B633D" w:rsidRDefault="009B633D">
      <w:pPr>
        <w:rPr>
          <w:sz w:val="28"/>
          <w:szCs w:val="28"/>
        </w:rPr>
      </w:pPr>
    </w:p>
    <w:p w14:paraId="75F48393" w14:textId="77777777" w:rsidR="009B633D" w:rsidRDefault="009B633D">
      <w:pPr>
        <w:rPr>
          <w:sz w:val="28"/>
          <w:szCs w:val="28"/>
        </w:rPr>
      </w:pPr>
    </w:p>
    <w:p w14:paraId="40688787" w14:textId="77777777" w:rsidR="00EB58F3" w:rsidRDefault="00DB1BBA" w:rsidP="00233775">
      <w:pPr>
        <w:pStyle w:val="GridTable31"/>
        <w:rPr>
          <w:b w:val="0"/>
        </w:rPr>
      </w:pPr>
      <w:r>
        <w:rPr>
          <w:b w:val="0"/>
        </w:rPr>
        <w:br w:type="page"/>
      </w:r>
      <w:r w:rsidR="00233775" w:rsidRPr="006E43EA">
        <w:rPr>
          <w:b w:val="0"/>
          <w:color w:val="5B9BD5"/>
        </w:rPr>
        <w:lastRenderedPageBreak/>
        <w:t>Table of Contents</w:t>
      </w:r>
    </w:p>
    <w:p w14:paraId="052419E4" w14:textId="77777777" w:rsidR="00AF646B" w:rsidRPr="005951E8" w:rsidRDefault="009B633D">
      <w:pPr>
        <w:pStyle w:val="TOC1"/>
        <w:tabs>
          <w:tab w:val="right" w:leader="dot" w:pos="8630"/>
        </w:tabs>
        <w:rPr>
          <w:rFonts w:ascii="Calibri" w:hAnsi="Calibri"/>
          <w:noProof/>
          <w:sz w:val="22"/>
          <w:szCs w:val="22"/>
        </w:rPr>
      </w:pPr>
      <w:r>
        <w:rPr>
          <w:b/>
        </w:rPr>
        <w:fldChar w:fldCharType="begin"/>
      </w:r>
      <w:r>
        <w:rPr>
          <w:b/>
        </w:rPr>
        <w:instrText xml:space="preserve"> TOC \o "1-3" \h \z \u </w:instrText>
      </w:r>
      <w:r>
        <w:rPr>
          <w:b/>
        </w:rPr>
        <w:fldChar w:fldCharType="separate"/>
      </w:r>
      <w:hyperlink w:anchor="_Toc480808846" w:history="1">
        <w:r w:rsidR="00AF646B" w:rsidRPr="002B108F">
          <w:rPr>
            <w:rStyle w:val="Hyperlink"/>
            <w:noProof/>
          </w:rPr>
          <w:t>A. Justification</w:t>
        </w:r>
        <w:r w:rsidR="00AF646B">
          <w:rPr>
            <w:noProof/>
            <w:webHidden/>
          </w:rPr>
          <w:tab/>
        </w:r>
        <w:r w:rsidR="00AF646B">
          <w:rPr>
            <w:noProof/>
            <w:webHidden/>
          </w:rPr>
          <w:fldChar w:fldCharType="begin"/>
        </w:r>
        <w:r w:rsidR="00AF646B">
          <w:rPr>
            <w:noProof/>
            <w:webHidden/>
          </w:rPr>
          <w:instrText xml:space="preserve"> PAGEREF _Toc480808846 \h </w:instrText>
        </w:r>
        <w:r w:rsidR="00AF646B">
          <w:rPr>
            <w:noProof/>
            <w:webHidden/>
          </w:rPr>
        </w:r>
        <w:r w:rsidR="00AF646B">
          <w:rPr>
            <w:noProof/>
            <w:webHidden/>
          </w:rPr>
          <w:fldChar w:fldCharType="separate"/>
        </w:r>
        <w:r w:rsidR="00414A36">
          <w:rPr>
            <w:noProof/>
            <w:webHidden/>
          </w:rPr>
          <w:t>3</w:t>
        </w:r>
        <w:r w:rsidR="00AF646B">
          <w:rPr>
            <w:noProof/>
            <w:webHidden/>
          </w:rPr>
          <w:fldChar w:fldCharType="end"/>
        </w:r>
      </w:hyperlink>
    </w:p>
    <w:p w14:paraId="5501FD1E" w14:textId="77777777" w:rsidR="00AF646B" w:rsidRPr="005951E8" w:rsidRDefault="00CF19D6">
      <w:pPr>
        <w:pStyle w:val="TOC2"/>
        <w:tabs>
          <w:tab w:val="right" w:leader="dot" w:pos="8630"/>
        </w:tabs>
        <w:rPr>
          <w:rFonts w:ascii="Calibri" w:hAnsi="Calibri"/>
          <w:noProof/>
          <w:sz w:val="22"/>
          <w:szCs w:val="22"/>
        </w:rPr>
      </w:pPr>
      <w:hyperlink w:anchor="_Toc480808847" w:history="1">
        <w:r w:rsidR="00AF646B" w:rsidRPr="002B108F">
          <w:rPr>
            <w:rStyle w:val="Hyperlink"/>
            <w:noProof/>
          </w:rPr>
          <w:t>1. Circumstances that make the collection of information necessary</w:t>
        </w:r>
        <w:r w:rsidR="00AF646B">
          <w:rPr>
            <w:noProof/>
            <w:webHidden/>
          </w:rPr>
          <w:tab/>
        </w:r>
        <w:r w:rsidR="00AF646B">
          <w:rPr>
            <w:noProof/>
            <w:webHidden/>
          </w:rPr>
          <w:fldChar w:fldCharType="begin"/>
        </w:r>
        <w:r w:rsidR="00AF646B">
          <w:rPr>
            <w:noProof/>
            <w:webHidden/>
          </w:rPr>
          <w:instrText xml:space="preserve"> PAGEREF _Toc480808847 \h </w:instrText>
        </w:r>
        <w:r w:rsidR="00AF646B">
          <w:rPr>
            <w:noProof/>
            <w:webHidden/>
          </w:rPr>
        </w:r>
        <w:r w:rsidR="00AF646B">
          <w:rPr>
            <w:noProof/>
            <w:webHidden/>
          </w:rPr>
          <w:fldChar w:fldCharType="separate"/>
        </w:r>
        <w:r w:rsidR="00414A36">
          <w:rPr>
            <w:noProof/>
            <w:webHidden/>
          </w:rPr>
          <w:t>3</w:t>
        </w:r>
        <w:r w:rsidR="00AF646B">
          <w:rPr>
            <w:noProof/>
            <w:webHidden/>
          </w:rPr>
          <w:fldChar w:fldCharType="end"/>
        </w:r>
      </w:hyperlink>
    </w:p>
    <w:p w14:paraId="48585811" w14:textId="77777777" w:rsidR="00AF646B" w:rsidRPr="005951E8" w:rsidRDefault="00CF19D6">
      <w:pPr>
        <w:pStyle w:val="TOC2"/>
        <w:tabs>
          <w:tab w:val="right" w:leader="dot" w:pos="8630"/>
        </w:tabs>
        <w:rPr>
          <w:rFonts w:ascii="Calibri" w:hAnsi="Calibri"/>
          <w:noProof/>
          <w:sz w:val="22"/>
          <w:szCs w:val="22"/>
        </w:rPr>
      </w:pPr>
      <w:hyperlink w:anchor="_Toc480808848" w:history="1">
        <w:r w:rsidR="00AF646B" w:rsidRPr="002B108F">
          <w:rPr>
            <w:rStyle w:val="Hyperlink"/>
            <w:noProof/>
          </w:rPr>
          <w:t>2. Purpose and Use of Information</w:t>
        </w:r>
        <w:r w:rsidR="00AF646B">
          <w:rPr>
            <w:noProof/>
            <w:webHidden/>
          </w:rPr>
          <w:tab/>
        </w:r>
        <w:r w:rsidR="00AF646B">
          <w:rPr>
            <w:noProof/>
            <w:webHidden/>
          </w:rPr>
          <w:fldChar w:fldCharType="begin"/>
        </w:r>
        <w:r w:rsidR="00AF646B">
          <w:rPr>
            <w:noProof/>
            <w:webHidden/>
          </w:rPr>
          <w:instrText xml:space="preserve"> PAGEREF _Toc480808848 \h </w:instrText>
        </w:r>
        <w:r w:rsidR="00AF646B">
          <w:rPr>
            <w:noProof/>
            <w:webHidden/>
          </w:rPr>
        </w:r>
        <w:r w:rsidR="00AF646B">
          <w:rPr>
            <w:noProof/>
            <w:webHidden/>
          </w:rPr>
          <w:fldChar w:fldCharType="separate"/>
        </w:r>
        <w:r w:rsidR="00414A36">
          <w:rPr>
            <w:noProof/>
            <w:webHidden/>
          </w:rPr>
          <w:t>8</w:t>
        </w:r>
        <w:r w:rsidR="00AF646B">
          <w:rPr>
            <w:noProof/>
            <w:webHidden/>
          </w:rPr>
          <w:fldChar w:fldCharType="end"/>
        </w:r>
      </w:hyperlink>
    </w:p>
    <w:p w14:paraId="00375ACC" w14:textId="77777777" w:rsidR="00AF646B" w:rsidRPr="005951E8" w:rsidRDefault="00CF19D6">
      <w:pPr>
        <w:pStyle w:val="TOC2"/>
        <w:tabs>
          <w:tab w:val="right" w:leader="dot" w:pos="8630"/>
        </w:tabs>
        <w:rPr>
          <w:rFonts w:ascii="Calibri" w:hAnsi="Calibri"/>
          <w:noProof/>
          <w:sz w:val="22"/>
          <w:szCs w:val="22"/>
        </w:rPr>
      </w:pPr>
      <w:hyperlink w:anchor="_Toc480808849" w:history="1">
        <w:r w:rsidR="00AF646B" w:rsidRPr="002B108F">
          <w:rPr>
            <w:rStyle w:val="Hyperlink"/>
            <w:noProof/>
          </w:rPr>
          <w:t>3. Use of Improved Information Technology</w:t>
        </w:r>
        <w:r w:rsidR="00AF646B">
          <w:rPr>
            <w:noProof/>
            <w:webHidden/>
          </w:rPr>
          <w:tab/>
        </w:r>
        <w:r w:rsidR="00AF646B">
          <w:rPr>
            <w:noProof/>
            <w:webHidden/>
          </w:rPr>
          <w:fldChar w:fldCharType="begin"/>
        </w:r>
        <w:r w:rsidR="00AF646B">
          <w:rPr>
            <w:noProof/>
            <w:webHidden/>
          </w:rPr>
          <w:instrText xml:space="preserve"> PAGEREF _Toc480808849 \h </w:instrText>
        </w:r>
        <w:r w:rsidR="00AF646B">
          <w:rPr>
            <w:noProof/>
            <w:webHidden/>
          </w:rPr>
        </w:r>
        <w:r w:rsidR="00AF646B">
          <w:rPr>
            <w:noProof/>
            <w:webHidden/>
          </w:rPr>
          <w:fldChar w:fldCharType="separate"/>
        </w:r>
        <w:r w:rsidR="00414A36">
          <w:rPr>
            <w:noProof/>
            <w:webHidden/>
          </w:rPr>
          <w:t>10</w:t>
        </w:r>
        <w:r w:rsidR="00AF646B">
          <w:rPr>
            <w:noProof/>
            <w:webHidden/>
          </w:rPr>
          <w:fldChar w:fldCharType="end"/>
        </w:r>
      </w:hyperlink>
    </w:p>
    <w:p w14:paraId="66A2F6AF" w14:textId="77777777" w:rsidR="00AF646B" w:rsidRPr="005951E8" w:rsidRDefault="00CF19D6">
      <w:pPr>
        <w:pStyle w:val="TOC2"/>
        <w:tabs>
          <w:tab w:val="right" w:leader="dot" w:pos="8630"/>
        </w:tabs>
        <w:rPr>
          <w:rFonts w:ascii="Calibri" w:hAnsi="Calibri"/>
          <w:noProof/>
          <w:sz w:val="22"/>
          <w:szCs w:val="22"/>
        </w:rPr>
      </w:pPr>
      <w:hyperlink w:anchor="_Toc480808850" w:history="1">
        <w:r w:rsidR="00AF646B" w:rsidRPr="002B108F">
          <w:rPr>
            <w:rStyle w:val="Hyperlink"/>
            <w:noProof/>
          </w:rPr>
          <w:t>4. Efforts to Identify Duplication</w:t>
        </w:r>
        <w:r w:rsidR="00AF646B">
          <w:rPr>
            <w:noProof/>
            <w:webHidden/>
          </w:rPr>
          <w:tab/>
        </w:r>
        <w:r w:rsidR="00AF646B">
          <w:rPr>
            <w:noProof/>
            <w:webHidden/>
          </w:rPr>
          <w:fldChar w:fldCharType="begin"/>
        </w:r>
        <w:r w:rsidR="00AF646B">
          <w:rPr>
            <w:noProof/>
            <w:webHidden/>
          </w:rPr>
          <w:instrText xml:space="preserve"> PAGEREF _Toc480808850 \h </w:instrText>
        </w:r>
        <w:r w:rsidR="00AF646B">
          <w:rPr>
            <w:noProof/>
            <w:webHidden/>
          </w:rPr>
        </w:r>
        <w:r w:rsidR="00AF646B">
          <w:rPr>
            <w:noProof/>
            <w:webHidden/>
          </w:rPr>
          <w:fldChar w:fldCharType="separate"/>
        </w:r>
        <w:r w:rsidR="00414A36">
          <w:rPr>
            <w:noProof/>
            <w:webHidden/>
          </w:rPr>
          <w:t>11</w:t>
        </w:r>
        <w:r w:rsidR="00AF646B">
          <w:rPr>
            <w:noProof/>
            <w:webHidden/>
          </w:rPr>
          <w:fldChar w:fldCharType="end"/>
        </w:r>
      </w:hyperlink>
    </w:p>
    <w:p w14:paraId="14DE88B8" w14:textId="77777777" w:rsidR="00AF646B" w:rsidRPr="005951E8" w:rsidRDefault="00CF19D6">
      <w:pPr>
        <w:pStyle w:val="TOC2"/>
        <w:tabs>
          <w:tab w:val="right" w:leader="dot" w:pos="8630"/>
        </w:tabs>
        <w:rPr>
          <w:rFonts w:ascii="Calibri" w:hAnsi="Calibri"/>
          <w:noProof/>
          <w:sz w:val="22"/>
          <w:szCs w:val="22"/>
        </w:rPr>
      </w:pPr>
      <w:hyperlink w:anchor="_Toc480808851" w:history="1">
        <w:r w:rsidR="00AF646B" w:rsidRPr="002B108F">
          <w:rPr>
            <w:rStyle w:val="Hyperlink"/>
            <w:noProof/>
          </w:rPr>
          <w:t>5. Involvement of Small Entities</w:t>
        </w:r>
        <w:r w:rsidR="00AF646B">
          <w:rPr>
            <w:noProof/>
            <w:webHidden/>
          </w:rPr>
          <w:tab/>
        </w:r>
        <w:r w:rsidR="00AF646B">
          <w:rPr>
            <w:noProof/>
            <w:webHidden/>
          </w:rPr>
          <w:fldChar w:fldCharType="begin"/>
        </w:r>
        <w:r w:rsidR="00AF646B">
          <w:rPr>
            <w:noProof/>
            <w:webHidden/>
          </w:rPr>
          <w:instrText xml:space="preserve"> PAGEREF _Toc480808851 \h </w:instrText>
        </w:r>
        <w:r w:rsidR="00AF646B">
          <w:rPr>
            <w:noProof/>
            <w:webHidden/>
          </w:rPr>
        </w:r>
        <w:r w:rsidR="00AF646B">
          <w:rPr>
            <w:noProof/>
            <w:webHidden/>
          </w:rPr>
          <w:fldChar w:fldCharType="separate"/>
        </w:r>
        <w:r w:rsidR="00414A36">
          <w:rPr>
            <w:noProof/>
            <w:webHidden/>
          </w:rPr>
          <w:t>12</w:t>
        </w:r>
        <w:r w:rsidR="00AF646B">
          <w:rPr>
            <w:noProof/>
            <w:webHidden/>
          </w:rPr>
          <w:fldChar w:fldCharType="end"/>
        </w:r>
      </w:hyperlink>
    </w:p>
    <w:p w14:paraId="382FC759" w14:textId="77777777" w:rsidR="00AF646B" w:rsidRPr="005951E8" w:rsidRDefault="00CF19D6">
      <w:pPr>
        <w:pStyle w:val="TOC2"/>
        <w:tabs>
          <w:tab w:val="right" w:leader="dot" w:pos="8630"/>
        </w:tabs>
        <w:rPr>
          <w:rFonts w:ascii="Calibri" w:hAnsi="Calibri"/>
          <w:noProof/>
          <w:sz w:val="22"/>
          <w:szCs w:val="22"/>
        </w:rPr>
      </w:pPr>
      <w:hyperlink w:anchor="_Toc480808852" w:history="1">
        <w:r w:rsidR="00AF646B" w:rsidRPr="002B108F">
          <w:rPr>
            <w:rStyle w:val="Hyperlink"/>
            <w:noProof/>
          </w:rPr>
          <w:t>6. Consequences if Information Collected Less Frequently</w:t>
        </w:r>
        <w:r w:rsidR="00AF646B">
          <w:rPr>
            <w:noProof/>
            <w:webHidden/>
          </w:rPr>
          <w:tab/>
        </w:r>
        <w:r w:rsidR="00AF646B">
          <w:rPr>
            <w:noProof/>
            <w:webHidden/>
          </w:rPr>
          <w:fldChar w:fldCharType="begin"/>
        </w:r>
        <w:r w:rsidR="00AF646B">
          <w:rPr>
            <w:noProof/>
            <w:webHidden/>
          </w:rPr>
          <w:instrText xml:space="preserve"> PAGEREF _Toc480808852 \h </w:instrText>
        </w:r>
        <w:r w:rsidR="00AF646B">
          <w:rPr>
            <w:noProof/>
            <w:webHidden/>
          </w:rPr>
        </w:r>
        <w:r w:rsidR="00AF646B">
          <w:rPr>
            <w:noProof/>
            <w:webHidden/>
          </w:rPr>
          <w:fldChar w:fldCharType="separate"/>
        </w:r>
        <w:r w:rsidR="00414A36">
          <w:rPr>
            <w:noProof/>
            <w:webHidden/>
          </w:rPr>
          <w:t>12</w:t>
        </w:r>
        <w:r w:rsidR="00AF646B">
          <w:rPr>
            <w:noProof/>
            <w:webHidden/>
          </w:rPr>
          <w:fldChar w:fldCharType="end"/>
        </w:r>
      </w:hyperlink>
    </w:p>
    <w:p w14:paraId="1BFF6645" w14:textId="77777777" w:rsidR="00AF646B" w:rsidRPr="005951E8" w:rsidRDefault="00CF19D6">
      <w:pPr>
        <w:pStyle w:val="TOC2"/>
        <w:tabs>
          <w:tab w:val="right" w:leader="dot" w:pos="8630"/>
        </w:tabs>
        <w:rPr>
          <w:rFonts w:ascii="Calibri" w:hAnsi="Calibri"/>
          <w:noProof/>
          <w:sz w:val="22"/>
          <w:szCs w:val="22"/>
        </w:rPr>
      </w:pPr>
      <w:hyperlink w:anchor="_Toc480808853" w:history="1">
        <w:r w:rsidR="00AF646B" w:rsidRPr="002B108F">
          <w:rPr>
            <w:rStyle w:val="Hyperlink"/>
            <w:noProof/>
          </w:rPr>
          <w:t>7. Special Circumstances</w:t>
        </w:r>
        <w:r w:rsidR="00AF646B">
          <w:rPr>
            <w:noProof/>
            <w:webHidden/>
          </w:rPr>
          <w:tab/>
        </w:r>
        <w:r w:rsidR="00AF646B">
          <w:rPr>
            <w:noProof/>
            <w:webHidden/>
          </w:rPr>
          <w:fldChar w:fldCharType="begin"/>
        </w:r>
        <w:r w:rsidR="00AF646B">
          <w:rPr>
            <w:noProof/>
            <w:webHidden/>
          </w:rPr>
          <w:instrText xml:space="preserve"> PAGEREF _Toc480808853 \h </w:instrText>
        </w:r>
        <w:r w:rsidR="00AF646B">
          <w:rPr>
            <w:noProof/>
            <w:webHidden/>
          </w:rPr>
        </w:r>
        <w:r w:rsidR="00AF646B">
          <w:rPr>
            <w:noProof/>
            <w:webHidden/>
          </w:rPr>
          <w:fldChar w:fldCharType="separate"/>
        </w:r>
        <w:r w:rsidR="00414A36">
          <w:rPr>
            <w:noProof/>
            <w:webHidden/>
          </w:rPr>
          <w:t>12</w:t>
        </w:r>
        <w:r w:rsidR="00AF646B">
          <w:rPr>
            <w:noProof/>
            <w:webHidden/>
          </w:rPr>
          <w:fldChar w:fldCharType="end"/>
        </w:r>
      </w:hyperlink>
    </w:p>
    <w:p w14:paraId="30031CBD" w14:textId="77777777" w:rsidR="00AF646B" w:rsidRPr="005951E8" w:rsidRDefault="00CF19D6">
      <w:pPr>
        <w:pStyle w:val="TOC2"/>
        <w:tabs>
          <w:tab w:val="right" w:leader="dot" w:pos="8630"/>
        </w:tabs>
        <w:rPr>
          <w:rFonts w:ascii="Calibri" w:hAnsi="Calibri"/>
          <w:noProof/>
          <w:sz w:val="22"/>
          <w:szCs w:val="22"/>
        </w:rPr>
      </w:pPr>
      <w:hyperlink w:anchor="_Toc480808854" w:history="1">
        <w:r w:rsidR="00AF646B" w:rsidRPr="002B108F">
          <w:rPr>
            <w:rStyle w:val="Hyperlink"/>
            <w:noProof/>
          </w:rPr>
          <w:t>8. Federal Register Notice and Outside Consultations</w:t>
        </w:r>
        <w:r w:rsidR="00AF646B">
          <w:rPr>
            <w:noProof/>
            <w:webHidden/>
          </w:rPr>
          <w:tab/>
        </w:r>
        <w:r w:rsidR="00AF646B">
          <w:rPr>
            <w:noProof/>
            <w:webHidden/>
          </w:rPr>
          <w:fldChar w:fldCharType="begin"/>
        </w:r>
        <w:r w:rsidR="00AF646B">
          <w:rPr>
            <w:noProof/>
            <w:webHidden/>
          </w:rPr>
          <w:instrText xml:space="preserve"> PAGEREF _Toc480808854 \h </w:instrText>
        </w:r>
        <w:r w:rsidR="00AF646B">
          <w:rPr>
            <w:noProof/>
            <w:webHidden/>
          </w:rPr>
        </w:r>
        <w:r w:rsidR="00AF646B">
          <w:rPr>
            <w:noProof/>
            <w:webHidden/>
          </w:rPr>
          <w:fldChar w:fldCharType="separate"/>
        </w:r>
        <w:r w:rsidR="00414A36">
          <w:rPr>
            <w:noProof/>
            <w:webHidden/>
          </w:rPr>
          <w:t>13</w:t>
        </w:r>
        <w:r w:rsidR="00AF646B">
          <w:rPr>
            <w:noProof/>
            <w:webHidden/>
          </w:rPr>
          <w:fldChar w:fldCharType="end"/>
        </w:r>
      </w:hyperlink>
    </w:p>
    <w:p w14:paraId="027256EE" w14:textId="77777777" w:rsidR="00AF646B" w:rsidRPr="005951E8" w:rsidRDefault="00CF19D6">
      <w:pPr>
        <w:pStyle w:val="TOC2"/>
        <w:tabs>
          <w:tab w:val="right" w:leader="dot" w:pos="8630"/>
        </w:tabs>
        <w:rPr>
          <w:rFonts w:ascii="Calibri" w:hAnsi="Calibri"/>
          <w:noProof/>
          <w:sz w:val="22"/>
          <w:szCs w:val="22"/>
        </w:rPr>
      </w:pPr>
      <w:hyperlink w:anchor="_Toc480808855" w:history="1">
        <w:r w:rsidR="00AF646B" w:rsidRPr="002B108F">
          <w:rPr>
            <w:rStyle w:val="Hyperlink"/>
            <w:noProof/>
          </w:rPr>
          <w:t>8.a. Federal Register Notice</w:t>
        </w:r>
        <w:r w:rsidR="00AF646B">
          <w:rPr>
            <w:noProof/>
            <w:webHidden/>
          </w:rPr>
          <w:tab/>
        </w:r>
        <w:r w:rsidR="00AF646B">
          <w:rPr>
            <w:noProof/>
            <w:webHidden/>
          </w:rPr>
          <w:fldChar w:fldCharType="begin"/>
        </w:r>
        <w:r w:rsidR="00AF646B">
          <w:rPr>
            <w:noProof/>
            <w:webHidden/>
          </w:rPr>
          <w:instrText xml:space="preserve"> PAGEREF _Toc480808855 \h </w:instrText>
        </w:r>
        <w:r w:rsidR="00AF646B">
          <w:rPr>
            <w:noProof/>
            <w:webHidden/>
          </w:rPr>
        </w:r>
        <w:r w:rsidR="00AF646B">
          <w:rPr>
            <w:noProof/>
            <w:webHidden/>
          </w:rPr>
          <w:fldChar w:fldCharType="separate"/>
        </w:r>
        <w:r w:rsidR="00414A36">
          <w:rPr>
            <w:noProof/>
            <w:webHidden/>
          </w:rPr>
          <w:t>13</w:t>
        </w:r>
        <w:r w:rsidR="00AF646B">
          <w:rPr>
            <w:noProof/>
            <w:webHidden/>
          </w:rPr>
          <w:fldChar w:fldCharType="end"/>
        </w:r>
      </w:hyperlink>
    </w:p>
    <w:p w14:paraId="777D9AE2" w14:textId="77777777" w:rsidR="00AF646B" w:rsidRPr="005951E8" w:rsidRDefault="00CF19D6">
      <w:pPr>
        <w:pStyle w:val="TOC2"/>
        <w:tabs>
          <w:tab w:val="right" w:leader="dot" w:pos="8630"/>
        </w:tabs>
        <w:rPr>
          <w:rFonts w:ascii="Calibri" w:hAnsi="Calibri"/>
          <w:noProof/>
          <w:sz w:val="22"/>
          <w:szCs w:val="22"/>
        </w:rPr>
      </w:pPr>
      <w:hyperlink w:anchor="_Toc480808856" w:history="1">
        <w:r w:rsidR="00AF646B" w:rsidRPr="002B108F">
          <w:rPr>
            <w:rStyle w:val="Hyperlink"/>
            <w:noProof/>
          </w:rPr>
          <w:t>8.b. Outside Consultations</w:t>
        </w:r>
        <w:r w:rsidR="00AF646B">
          <w:rPr>
            <w:noProof/>
            <w:webHidden/>
          </w:rPr>
          <w:tab/>
        </w:r>
        <w:r w:rsidR="00AF646B">
          <w:rPr>
            <w:noProof/>
            <w:webHidden/>
          </w:rPr>
          <w:fldChar w:fldCharType="begin"/>
        </w:r>
        <w:r w:rsidR="00AF646B">
          <w:rPr>
            <w:noProof/>
            <w:webHidden/>
          </w:rPr>
          <w:instrText xml:space="preserve"> PAGEREF _Toc480808856 \h </w:instrText>
        </w:r>
        <w:r w:rsidR="00AF646B">
          <w:rPr>
            <w:noProof/>
            <w:webHidden/>
          </w:rPr>
        </w:r>
        <w:r w:rsidR="00AF646B">
          <w:rPr>
            <w:noProof/>
            <w:webHidden/>
          </w:rPr>
          <w:fldChar w:fldCharType="separate"/>
        </w:r>
        <w:r w:rsidR="00414A36">
          <w:rPr>
            <w:noProof/>
            <w:webHidden/>
          </w:rPr>
          <w:t>13</w:t>
        </w:r>
        <w:r w:rsidR="00AF646B">
          <w:rPr>
            <w:noProof/>
            <w:webHidden/>
          </w:rPr>
          <w:fldChar w:fldCharType="end"/>
        </w:r>
      </w:hyperlink>
    </w:p>
    <w:p w14:paraId="28ABD9AD" w14:textId="77777777" w:rsidR="00AF646B" w:rsidRPr="005951E8" w:rsidRDefault="00CF19D6">
      <w:pPr>
        <w:pStyle w:val="TOC2"/>
        <w:tabs>
          <w:tab w:val="right" w:leader="dot" w:pos="8630"/>
        </w:tabs>
        <w:rPr>
          <w:rFonts w:ascii="Calibri" w:hAnsi="Calibri"/>
          <w:noProof/>
          <w:sz w:val="22"/>
          <w:szCs w:val="22"/>
        </w:rPr>
      </w:pPr>
      <w:hyperlink w:anchor="_Toc480808857" w:history="1">
        <w:r w:rsidR="00AF646B" w:rsidRPr="002B108F">
          <w:rPr>
            <w:rStyle w:val="Hyperlink"/>
            <w:noProof/>
          </w:rPr>
          <w:t>9. Payments/Gifts to Respondents</w:t>
        </w:r>
        <w:r w:rsidR="00AF646B">
          <w:rPr>
            <w:noProof/>
            <w:webHidden/>
          </w:rPr>
          <w:tab/>
        </w:r>
        <w:r w:rsidR="00AF646B">
          <w:rPr>
            <w:noProof/>
            <w:webHidden/>
          </w:rPr>
          <w:fldChar w:fldCharType="begin"/>
        </w:r>
        <w:r w:rsidR="00AF646B">
          <w:rPr>
            <w:noProof/>
            <w:webHidden/>
          </w:rPr>
          <w:instrText xml:space="preserve"> PAGEREF _Toc480808857 \h </w:instrText>
        </w:r>
        <w:r w:rsidR="00AF646B">
          <w:rPr>
            <w:noProof/>
            <w:webHidden/>
          </w:rPr>
        </w:r>
        <w:r w:rsidR="00AF646B">
          <w:rPr>
            <w:noProof/>
            <w:webHidden/>
          </w:rPr>
          <w:fldChar w:fldCharType="separate"/>
        </w:r>
        <w:r w:rsidR="00414A36">
          <w:rPr>
            <w:noProof/>
            <w:webHidden/>
          </w:rPr>
          <w:t>14</w:t>
        </w:r>
        <w:r w:rsidR="00AF646B">
          <w:rPr>
            <w:noProof/>
            <w:webHidden/>
          </w:rPr>
          <w:fldChar w:fldCharType="end"/>
        </w:r>
      </w:hyperlink>
    </w:p>
    <w:p w14:paraId="63CA78EB" w14:textId="77777777" w:rsidR="00AF646B" w:rsidRPr="005951E8" w:rsidRDefault="00CF19D6">
      <w:pPr>
        <w:pStyle w:val="TOC2"/>
        <w:tabs>
          <w:tab w:val="right" w:leader="dot" w:pos="8630"/>
        </w:tabs>
        <w:rPr>
          <w:rFonts w:ascii="Calibri" w:hAnsi="Calibri"/>
          <w:noProof/>
          <w:sz w:val="22"/>
          <w:szCs w:val="22"/>
        </w:rPr>
      </w:pPr>
      <w:hyperlink w:anchor="_Toc480808858" w:history="1">
        <w:r w:rsidR="00AF646B" w:rsidRPr="002B108F">
          <w:rPr>
            <w:rStyle w:val="Hyperlink"/>
            <w:noProof/>
          </w:rPr>
          <w:t>10. Assurance of Confidentiality</w:t>
        </w:r>
        <w:r w:rsidR="00AF646B">
          <w:rPr>
            <w:noProof/>
            <w:webHidden/>
          </w:rPr>
          <w:tab/>
        </w:r>
        <w:r w:rsidR="00AF646B">
          <w:rPr>
            <w:noProof/>
            <w:webHidden/>
          </w:rPr>
          <w:fldChar w:fldCharType="begin"/>
        </w:r>
        <w:r w:rsidR="00AF646B">
          <w:rPr>
            <w:noProof/>
            <w:webHidden/>
          </w:rPr>
          <w:instrText xml:space="preserve"> PAGEREF _Toc480808858 \h </w:instrText>
        </w:r>
        <w:r w:rsidR="00AF646B">
          <w:rPr>
            <w:noProof/>
            <w:webHidden/>
          </w:rPr>
        </w:r>
        <w:r w:rsidR="00AF646B">
          <w:rPr>
            <w:noProof/>
            <w:webHidden/>
          </w:rPr>
          <w:fldChar w:fldCharType="separate"/>
        </w:r>
        <w:r w:rsidR="00414A36">
          <w:rPr>
            <w:noProof/>
            <w:webHidden/>
          </w:rPr>
          <w:t>14</w:t>
        </w:r>
        <w:r w:rsidR="00AF646B">
          <w:rPr>
            <w:noProof/>
            <w:webHidden/>
          </w:rPr>
          <w:fldChar w:fldCharType="end"/>
        </w:r>
      </w:hyperlink>
    </w:p>
    <w:p w14:paraId="698DBC9D" w14:textId="77777777" w:rsidR="00AF646B" w:rsidRPr="005951E8" w:rsidRDefault="00CF19D6">
      <w:pPr>
        <w:pStyle w:val="TOC2"/>
        <w:tabs>
          <w:tab w:val="right" w:leader="dot" w:pos="8630"/>
        </w:tabs>
        <w:rPr>
          <w:rFonts w:ascii="Calibri" w:hAnsi="Calibri"/>
          <w:noProof/>
          <w:sz w:val="22"/>
          <w:szCs w:val="22"/>
        </w:rPr>
      </w:pPr>
      <w:hyperlink w:anchor="_Toc480808859" w:history="1">
        <w:r w:rsidR="00AF646B" w:rsidRPr="002B108F">
          <w:rPr>
            <w:rStyle w:val="Hyperlink"/>
            <w:noProof/>
          </w:rPr>
          <w:t>11. Questions of a Sensitive Nature</w:t>
        </w:r>
        <w:r w:rsidR="00AF646B">
          <w:rPr>
            <w:noProof/>
            <w:webHidden/>
          </w:rPr>
          <w:tab/>
        </w:r>
        <w:r w:rsidR="00AF646B">
          <w:rPr>
            <w:noProof/>
            <w:webHidden/>
          </w:rPr>
          <w:fldChar w:fldCharType="begin"/>
        </w:r>
        <w:r w:rsidR="00AF646B">
          <w:rPr>
            <w:noProof/>
            <w:webHidden/>
          </w:rPr>
          <w:instrText xml:space="preserve"> PAGEREF _Toc480808859 \h </w:instrText>
        </w:r>
        <w:r w:rsidR="00AF646B">
          <w:rPr>
            <w:noProof/>
            <w:webHidden/>
          </w:rPr>
        </w:r>
        <w:r w:rsidR="00AF646B">
          <w:rPr>
            <w:noProof/>
            <w:webHidden/>
          </w:rPr>
          <w:fldChar w:fldCharType="separate"/>
        </w:r>
        <w:r w:rsidR="00414A36">
          <w:rPr>
            <w:noProof/>
            <w:webHidden/>
          </w:rPr>
          <w:t>14</w:t>
        </w:r>
        <w:r w:rsidR="00AF646B">
          <w:rPr>
            <w:noProof/>
            <w:webHidden/>
          </w:rPr>
          <w:fldChar w:fldCharType="end"/>
        </w:r>
      </w:hyperlink>
    </w:p>
    <w:p w14:paraId="7D89CCCA" w14:textId="77777777" w:rsidR="00AF646B" w:rsidRPr="005951E8" w:rsidRDefault="00CF19D6">
      <w:pPr>
        <w:pStyle w:val="TOC2"/>
        <w:tabs>
          <w:tab w:val="right" w:leader="dot" w:pos="8630"/>
        </w:tabs>
        <w:rPr>
          <w:rFonts w:ascii="Calibri" w:hAnsi="Calibri"/>
          <w:noProof/>
          <w:sz w:val="22"/>
          <w:szCs w:val="22"/>
        </w:rPr>
      </w:pPr>
      <w:hyperlink w:anchor="_Toc480808860" w:history="1">
        <w:r w:rsidR="00AF646B" w:rsidRPr="002B108F">
          <w:rPr>
            <w:rStyle w:val="Hyperlink"/>
            <w:noProof/>
          </w:rPr>
          <w:t>12. Estimates of Annualized Burden Hours and Costs</w:t>
        </w:r>
        <w:r w:rsidR="00AF646B">
          <w:rPr>
            <w:noProof/>
            <w:webHidden/>
          </w:rPr>
          <w:tab/>
        </w:r>
        <w:r w:rsidR="00AF646B">
          <w:rPr>
            <w:noProof/>
            <w:webHidden/>
          </w:rPr>
          <w:fldChar w:fldCharType="begin"/>
        </w:r>
        <w:r w:rsidR="00AF646B">
          <w:rPr>
            <w:noProof/>
            <w:webHidden/>
          </w:rPr>
          <w:instrText xml:space="preserve"> PAGEREF _Toc480808860 \h </w:instrText>
        </w:r>
        <w:r w:rsidR="00AF646B">
          <w:rPr>
            <w:noProof/>
            <w:webHidden/>
          </w:rPr>
        </w:r>
        <w:r w:rsidR="00AF646B">
          <w:rPr>
            <w:noProof/>
            <w:webHidden/>
          </w:rPr>
          <w:fldChar w:fldCharType="separate"/>
        </w:r>
        <w:r w:rsidR="00414A36">
          <w:rPr>
            <w:noProof/>
            <w:webHidden/>
          </w:rPr>
          <w:t>14</w:t>
        </w:r>
        <w:r w:rsidR="00AF646B">
          <w:rPr>
            <w:noProof/>
            <w:webHidden/>
          </w:rPr>
          <w:fldChar w:fldCharType="end"/>
        </w:r>
      </w:hyperlink>
    </w:p>
    <w:p w14:paraId="2A8267F5" w14:textId="77777777" w:rsidR="00AF646B" w:rsidRPr="005951E8" w:rsidRDefault="00CF19D6">
      <w:pPr>
        <w:pStyle w:val="TOC2"/>
        <w:tabs>
          <w:tab w:val="right" w:leader="dot" w:pos="8630"/>
        </w:tabs>
        <w:rPr>
          <w:rFonts w:ascii="Calibri" w:hAnsi="Calibri"/>
          <w:noProof/>
          <w:sz w:val="22"/>
          <w:szCs w:val="22"/>
        </w:rPr>
      </w:pPr>
      <w:hyperlink w:anchor="_Toc480808861" w:history="1">
        <w:r w:rsidR="00AF646B" w:rsidRPr="002B108F">
          <w:rPr>
            <w:rStyle w:val="Hyperlink"/>
            <w:noProof/>
          </w:rPr>
          <w:t>13. Estimates of Annualized Respondent Capital and Maintenance Costs</w:t>
        </w:r>
        <w:r w:rsidR="00AF646B">
          <w:rPr>
            <w:noProof/>
            <w:webHidden/>
          </w:rPr>
          <w:tab/>
        </w:r>
        <w:r w:rsidR="00AF646B">
          <w:rPr>
            <w:noProof/>
            <w:webHidden/>
          </w:rPr>
          <w:fldChar w:fldCharType="begin"/>
        </w:r>
        <w:r w:rsidR="00AF646B">
          <w:rPr>
            <w:noProof/>
            <w:webHidden/>
          </w:rPr>
          <w:instrText xml:space="preserve"> PAGEREF _Toc480808861 \h </w:instrText>
        </w:r>
        <w:r w:rsidR="00AF646B">
          <w:rPr>
            <w:noProof/>
            <w:webHidden/>
          </w:rPr>
        </w:r>
        <w:r w:rsidR="00AF646B">
          <w:rPr>
            <w:noProof/>
            <w:webHidden/>
          </w:rPr>
          <w:fldChar w:fldCharType="separate"/>
        </w:r>
        <w:r w:rsidR="00414A36">
          <w:rPr>
            <w:noProof/>
            <w:webHidden/>
          </w:rPr>
          <w:t>16</w:t>
        </w:r>
        <w:r w:rsidR="00AF646B">
          <w:rPr>
            <w:noProof/>
            <w:webHidden/>
          </w:rPr>
          <w:fldChar w:fldCharType="end"/>
        </w:r>
      </w:hyperlink>
    </w:p>
    <w:p w14:paraId="67DADE2B" w14:textId="77777777" w:rsidR="00AF646B" w:rsidRPr="005951E8" w:rsidRDefault="00CF19D6">
      <w:pPr>
        <w:pStyle w:val="TOC2"/>
        <w:tabs>
          <w:tab w:val="right" w:leader="dot" w:pos="8630"/>
        </w:tabs>
        <w:rPr>
          <w:rFonts w:ascii="Calibri" w:hAnsi="Calibri"/>
          <w:noProof/>
          <w:sz w:val="22"/>
          <w:szCs w:val="22"/>
        </w:rPr>
      </w:pPr>
      <w:hyperlink w:anchor="_Toc480808862" w:history="1">
        <w:r w:rsidR="00AF646B" w:rsidRPr="002B108F">
          <w:rPr>
            <w:rStyle w:val="Hyperlink"/>
            <w:noProof/>
          </w:rPr>
          <w:t>14. Estimates of Total and Annualized Cost to the Government</w:t>
        </w:r>
        <w:r w:rsidR="00AF646B">
          <w:rPr>
            <w:noProof/>
            <w:webHidden/>
          </w:rPr>
          <w:tab/>
        </w:r>
        <w:r w:rsidR="00AF646B">
          <w:rPr>
            <w:noProof/>
            <w:webHidden/>
          </w:rPr>
          <w:fldChar w:fldCharType="begin"/>
        </w:r>
        <w:r w:rsidR="00AF646B">
          <w:rPr>
            <w:noProof/>
            <w:webHidden/>
          </w:rPr>
          <w:instrText xml:space="preserve"> PAGEREF _Toc480808862 \h </w:instrText>
        </w:r>
        <w:r w:rsidR="00AF646B">
          <w:rPr>
            <w:noProof/>
            <w:webHidden/>
          </w:rPr>
        </w:r>
        <w:r w:rsidR="00AF646B">
          <w:rPr>
            <w:noProof/>
            <w:webHidden/>
          </w:rPr>
          <w:fldChar w:fldCharType="separate"/>
        </w:r>
        <w:r w:rsidR="00414A36">
          <w:rPr>
            <w:noProof/>
            <w:webHidden/>
          </w:rPr>
          <w:t>16</w:t>
        </w:r>
        <w:r w:rsidR="00AF646B">
          <w:rPr>
            <w:noProof/>
            <w:webHidden/>
          </w:rPr>
          <w:fldChar w:fldCharType="end"/>
        </w:r>
      </w:hyperlink>
    </w:p>
    <w:p w14:paraId="528A125A" w14:textId="77777777" w:rsidR="00AF646B" w:rsidRPr="005951E8" w:rsidRDefault="00CF19D6">
      <w:pPr>
        <w:pStyle w:val="TOC2"/>
        <w:tabs>
          <w:tab w:val="right" w:leader="dot" w:pos="8630"/>
        </w:tabs>
        <w:rPr>
          <w:rFonts w:ascii="Calibri" w:hAnsi="Calibri"/>
          <w:noProof/>
          <w:sz w:val="22"/>
          <w:szCs w:val="22"/>
        </w:rPr>
      </w:pPr>
      <w:hyperlink w:anchor="_Toc480808863" w:history="1">
        <w:r w:rsidR="00AF646B" w:rsidRPr="002B108F">
          <w:rPr>
            <w:rStyle w:val="Hyperlink"/>
            <w:noProof/>
          </w:rPr>
          <w:t>15. Changes in Hour Burden</w:t>
        </w:r>
        <w:r w:rsidR="00AF646B">
          <w:rPr>
            <w:noProof/>
            <w:webHidden/>
          </w:rPr>
          <w:tab/>
        </w:r>
        <w:r w:rsidR="00AF646B">
          <w:rPr>
            <w:noProof/>
            <w:webHidden/>
          </w:rPr>
          <w:fldChar w:fldCharType="begin"/>
        </w:r>
        <w:r w:rsidR="00AF646B">
          <w:rPr>
            <w:noProof/>
            <w:webHidden/>
          </w:rPr>
          <w:instrText xml:space="preserve"> PAGEREF _Toc480808863 \h </w:instrText>
        </w:r>
        <w:r w:rsidR="00AF646B">
          <w:rPr>
            <w:noProof/>
            <w:webHidden/>
          </w:rPr>
        </w:r>
        <w:r w:rsidR="00AF646B">
          <w:rPr>
            <w:noProof/>
            <w:webHidden/>
          </w:rPr>
          <w:fldChar w:fldCharType="separate"/>
        </w:r>
        <w:r w:rsidR="00414A36">
          <w:rPr>
            <w:noProof/>
            <w:webHidden/>
          </w:rPr>
          <w:t>16</w:t>
        </w:r>
        <w:r w:rsidR="00AF646B">
          <w:rPr>
            <w:noProof/>
            <w:webHidden/>
          </w:rPr>
          <w:fldChar w:fldCharType="end"/>
        </w:r>
      </w:hyperlink>
    </w:p>
    <w:p w14:paraId="15EEF4C5" w14:textId="77777777" w:rsidR="00AF646B" w:rsidRPr="005951E8" w:rsidRDefault="00CF19D6">
      <w:pPr>
        <w:pStyle w:val="TOC2"/>
        <w:tabs>
          <w:tab w:val="right" w:leader="dot" w:pos="8630"/>
        </w:tabs>
        <w:rPr>
          <w:rFonts w:ascii="Calibri" w:hAnsi="Calibri"/>
          <w:noProof/>
          <w:sz w:val="22"/>
          <w:szCs w:val="22"/>
        </w:rPr>
      </w:pPr>
      <w:hyperlink w:anchor="_Toc480808864" w:history="1">
        <w:r w:rsidR="00AF646B" w:rsidRPr="002B108F">
          <w:rPr>
            <w:rStyle w:val="Hyperlink"/>
            <w:noProof/>
          </w:rPr>
          <w:t>16. Time Schedule, Publication and Analysis Plans</w:t>
        </w:r>
        <w:r w:rsidR="00AF646B">
          <w:rPr>
            <w:noProof/>
            <w:webHidden/>
          </w:rPr>
          <w:tab/>
        </w:r>
        <w:r w:rsidR="00AF646B">
          <w:rPr>
            <w:noProof/>
            <w:webHidden/>
          </w:rPr>
          <w:fldChar w:fldCharType="begin"/>
        </w:r>
        <w:r w:rsidR="00AF646B">
          <w:rPr>
            <w:noProof/>
            <w:webHidden/>
          </w:rPr>
          <w:instrText xml:space="preserve"> PAGEREF _Toc480808864 \h </w:instrText>
        </w:r>
        <w:r w:rsidR="00AF646B">
          <w:rPr>
            <w:noProof/>
            <w:webHidden/>
          </w:rPr>
        </w:r>
        <w:r w:rsidR="00AF646B">
          <w:rPr>
            <w:noProof/>
            <w:webHidden/>
          </w:rPr>
          <w:fldChar w:fldCharType="separate"/>
        </w:r>
        <w:r w:rsidR="00414A36">
          <w:rPr>
            <w:noProof/>
            <w:webHidden/>
          </w:rPr>
          <w:t>16</w:t>
        </w:r>
        <w:r w:rsidR="00AF646B">
          <w:rPr>
            <w:noProof/>
            <w:webHidden/>
          </w:rPr>
          <w:fldChar w:fldCharType="end"/>
        </w:r>
      </w:hyperlink>
    </w:p>
    <w:p w14:paraId="0B30D687" w14:textId="77777777" w:rsidR="00AF646B" w:rsidRPr="005951E8" w:rsidRDefault="00CF19D6">
      <w:pPr>
        <w:pStyle w:val="TOC2"/>
        <w:tabs>
          <w:tab w:val="right" w:leader="dot" w:pos="8630"/>
        </w:tabs>
        <w:rPr>
          <w:rFonts w:ascii="Calibri" w:hAnsi="Calibri"/>
          <w:noProof/>
          <w:sz w:val="22"/>
          <w:szCs w:val="22"/>
        </w:rPr>
      </w:pPr>
      <w:hyperlink w:anchor="_Toc480808865" w:history="1">
        <w:r w:rsidR="00AF646B" w:rsidRPr="002B108F">
          <w:rPr>
            <w:rStyle w:val="Hyperlink"/>
            <w:noProof/>
          </w:rPr>
          <w:t>17. Exemption for Display of Expiration Date</w:t>
        </w:r>
        <w:r w:rsidR="00AF646B">
          <w:rPr>
            <w:noProof/>
            <w:webHidden/>
          </w:rPr>
          <w:tab/>
        </w:r>
        <w:r w:rsidR="00AF646B">
          <w:rPr>
            <w:noProof/>
            <w:webHidden/>
          </w:rPr>
          <w:fldChar w:fldCharType="begin"/>
        </w:r>
        <w:r w:rsidR="00AF646B">
          <w:rPr>
            <w:noProof/>
            <w:webHidden/>
          </w:rPr>
          <w:instrText xml:space="preserve"> PAGEREF _Toc480808865 \h </w:instrText>
        </w:r>
        <w:r w:rsidR="00AF646B">
          <w:rPr>
            <w:noProof/>
            <w:webHidden/>
          </w:rPr>
        </w:r>
        <w:r w:rsidR="00AF646B">
          <w:rPr>
            <w:noProof/>
            <w:webHidden/>
          </w:rPr>
          <w:fldChar w:fldCharType="separate"/>
        </w:r>
        <w:r w:rsidR="00414A36">
          <w:rPr>
            <w:noProof/>
            <w:webHidden/>
          </w:rPr>
          <w:t>17</w:t>
        </w:r>
        <w:r w:rsidR="00AF646B">
          <w:rPr>
            <w:noProof/>
            <w:webHidden/>
          </w:rPr>
          <w:fldChar w:fldCharType="end"/>
        </w:r>
      </w:hyperlink>
    </w:p>
    <w:p w14:paraId="6BA2ABEB" w14:textId="77777777" w:rsidR="00AF646B" w:rsidRPr="005951E8" w:rsidRDefault="00CF19D6">
      <w:pPr>
        <w:pStyle w:val="TOC2"/>
        <w:tabs>
          <w:tab w:val="right" w:leader="dot" w:pos="8630"/>
        </w:tabs>
        <w:rPr>
          <w:rFonts w:ascii="Calibri" w:hAnsi="Calibri"/>
          <w:noProof/>
          <w:sz w:val="22"/>
          <w:szCs w:val="22"/>
        </w:rPr>
      </w:pPr>
      <w:hyperlink w:anchor="_Toc480808866" w:history="1">
        <w:r w:rsidR="00AF646B" w:rsidRPr="002B108F">
          <w:rPr>
            <w:rStyle w:val="Hyperlink"/>
            <w:noProof/>
          </w:rPr>
          <w:t>List of Attachments</w:t>
        </w:r>
        <w:r w:rsidR="00AF646B">
          <w:rPr>
            <w:noProof/>
            <w:webHidden/>
          </w:rPr>
          <w:tab/>
        </w:r>
        <w:r w:rsidR="00AF646B">
          <w:rPr>
            <w:noProof/>
            <w:webHidden/>
          </w:rPr>
          <w:fldChar w:fldCharType="begin"/>
        </w:r>
        <w:r w:rsidR="00AF646B">
          <w:rPr>
            <w:noProof/>
            <w:webHidden/>
          </w:rPr>
          <w:instrText xml:space="preserve"> PAGEREF _Toc480808866 \h </w:instrText>
        </w:r>
        <w:r w:rsidR="00AF646B">
          <w:rPr>
            <w:noProof/>
            <w:webHidden/>
          </w:rPr>
        </w:r>
        <w:r w:rsidR="00AF646B">
          <w:rPr>
            <w:noProof/>
            <w:webHidden/>
          </w:rPr>
          <w:fldChar w:fldCharType="separate"/>
        </w:r>
        <w:r w:rsidR="00414A36">
          <w:rPr>
            <w:noProof/>
            <w:webHidden/>
          </w:rPr>
          <w:t>17</w:t>
        </w:r>
        <w:r w:rsidR="00AF646B">
          <w:rPr>
            <w:noProof/>
            <w:webHidden/>
          </w:rPr>
          <w:fldChar w:fldCharType="end"/>
        </w:r>
      </w:hyperlink>
    </w:p>
    <w:p w14:paraId="5AAA3D06" w14:textId="77777777" w:rsidR="009B633D" w:rsidRPr="001D0454" w:rsidRDefault="009B633D" w:rsidP="009B633D">
      <w:pPr>
        <w:jc w:val="center"/>
        <w:rPr>
          <w:b/>
        </w:rPr>
      </w:pPr>
      <w:r>
        <w:rPr>
          <w:b/>
        </w:rPr>
        <w:fldChar w:fldCharType="end"/>
      </w:r>
    </w:p>
    <w:p w14:paraId="4FF3E353" w14:textId="3B021905" w:rsidR="004614D4" w:rsidRPr="004614D4" w:rsidRDefault="009B633D" w:rsidP="004614D4">
      <w:pPr>
        <w:pStyle w:val="Heading1"/>
        <w:rPr>
          <w:rFonts w:ascii="Times New Roman" w:hAnsi="Times New Roman" w:cs="Times New Roman"/>
          <w:sz w:val="24"/>
          <w:szCs w:val="24"/>
          <w:highlight w:val="yellow"/>
        </w:rPr>
      </w:pPr>
      <w:r>
        <w:br w:type="page"/>
      </w:r>
      <w:bookmarkStart w:id="1" w:name="_Toc151782175"/>
      <w:bookmarkStart w:id="2" w:name="_Toc158526215"/>
      <w:bookmarkStart w:id="3" w:name="_Toc480808846"/>
      <w:r w:rsidR="004614D4" w:rsidRPr="004614D4">
        <w:rPr>
          <w:rFonts w:ascii="Times New Roman" w:hAnsi="Times New Roman" w:cs="Times New Roman"/>
          <w:sz w:val="24"/>
          <w:szCs w:val="24"/>
          <w:highlight w:val="yellow"/>
        </w:rPr>
        <w:t>Overview of Revision</w:t>
      </w:r>
      <w:r w:rsidR="00DF40ED">
        <w:rPr>
          <w:rFonts w:ascii="Times New Roman" w:hAnsi="Times New Roman" w:cs="Times New Roman"/>
          <w:sz w:val="24"/>
          <w:szCs w:val="24"/>
          <w:highlight w:val="yellow"/>
        </w:rPr>
        <w:t xml:space="preserve"> and Request for Extension</w:t>
      </w:r>
    </w:p>
    <w:p w14:paraId="5A64C051" w14:textId="77777777" w:rsidR="004614D4" w:rsidRPr="004614D4" w:rsidRDefault="004614D4" w:rsidP="004614D4">
      <w:pPr>
        <w:rPr>
          <w:highlight w:val="yellow"/>
        </w:rPr>
      </w:pPr>
    </w:p>
    <w:p w14:paraId="6632C31B" w14:textId="21834E42" w:rsidR="004614D4" w:rsidRPr="004614D4" w:rsidRDefault="004614D4" w:rsidP="004614D4">
      <w:pPr>
        <w:widowControl w:val="0"/>
        <w:autoSpaceDE w:val="0"/>
        <w:autoSpaceDN w:val="0"/>
        <w:adjustRightInd w:val="0"/>
        <w:rPr>
          <w:bCs/>
          <w:highlight w:val="yellow"/>
        </w:rPr>
      </w:pPr>
      <w:r w:rsidRPr="004614D4">
        <w:rPr>
          <w:highlight w:val="yellow"/>
        </w:rPr>
        <w:t xml:space="preserve">The Agency for Healthcare Research and Quality (AHRQ) requests to revise </w:t>
      </w:r>
      <w:r w:rsidR="00DF40ED">
        <w:rPr>
          <w:highlight w:val="yellow"/>
        </w:rPr>
        <w:t xml:space="preserve">and extend </w:t>
      </w:r>
      <w:r w:rsidRPr="004614D4">
        <w:rPr>
          <w:highlight w:val="yellow"/>
        </w:rPr>
        <w:t xml:space="preserve">the currently approved </w:t>
      </w:r>
      <w:r w:rsidRPr="004614D4">
        <w:rPr>
          <w:b/>
          <w:i/>
          <w:highlight w:val="yellow"/>
        </w:rPr>
        <w:t>AHRQ Safety Program for Improving Antibiotic Use</w:t>
      </w:r>
      <w:r w:rsidRPr="004614D4">
        <w:rPr>
          <w:i/>
          <w:highlight w:val="yellow"/>
        </w:rPr>
        <w:t xml:space="preserve">. </w:t>
      </w:r>
      <w:r w:rsidRPr="004614D4">
        <w:rPr>
          <w:bCs/>
          <w:highlight w:val="yellow"/>
        </w:rPr>
        <w:t xml:space="preserve">The AHRQ Safety Program for Improving Antibiotic Use aims </w:t>
      </w:r>
      <w:r w:rsidR="00D07CF6">
        <w:rPr>
          <w:bCs/>
          <w:highlight w:val="yellow"/>
        </w:rPr>
        <w:t xml:space="preserve">to </w:t>
      </w:r>
      <w:r w:rsidRPr="004614D4">
        <w:rPr>
          <w:bCs/>
          <w:highlight w:val="yellow"/>
        </w:rPr>
        <w:t xml:space="preserve">help facilities implement antibiotic stewardship programs and to reduce unnecessary antibiotic prescribing. The Safety Program has already been implemented in a pilot of integrated delivery systems and a national cohort of 400 acute care hospitals, and is </w:t>
      </w:r>
      <w:r w:rsidR="00D07CF6">
        <w:rPr>
          <w:bCs/>
          <w:highlight w:val="yellow"/>
        </w:rPr>
        <w:t xml:space="preserve">currently </w:t>
      </w:r>
      <w:r w:rsidRPr="004614D4">
        <w:rPr>
          <w:bCs/>
          <w:highlight w:val="yellow"/>
        </w:rPr>
        <w:t xml:space="preserve">being implemented in a national cohort of 500 long-term care facilities.  The AHRQ Safety Program for Improving Antibiotic Use was last approved by OMB on September 25, 2017 and will expire on September 30, 2020.  </w:t>
      </w:r>
      <w:r w:rsidR="00D07CF6" w:rsidRPr="00D07CF6">
        <w:rPr>
          <w:bCs/>
        </w:rPr>
        <w:t xml:space="preserve">The request for extension is to allow for completion of activities and data collection in the AHRQ Safety Program, which are scheduled to occur through March 30, 2021.  </w:t>
      </w:r>
      <w:r w:rsidRPr="004614D4">
        <w:rPr>
          <w:bCs/>
          <w:highlight w:val="yellow"/>
        </w:rPr>
        <w:t xml:space="preserve">The OMB control number for the AHRQ Safety Program for Improving Antibiotic Use is 0935-0238.  All of the supporting documents for the current AHRQ Safety Program for Improving Antibiotic Use can be downloaded from OMB’s website at </w:t>
      </w:r>
      <w:r w:rsidRPr="004614D4">
        <w:rPr>
          <w:bCs/>
          <w:color w:val="0000FF"/>
          <w:highlight w:val="yellow"/>
          <w:u w:val="single"/>
        </w:rPr>
        <w:t>https://www.reginfo.gov/public/do/PRAViewICR?ref_nbr=201707-0935-003</w:t>
      </w:r>
    </w:p>
    <w:p w14:paraId="4473E14A" w14:textId="77777777" w:rsidR="004614D4" w:rsidRPr="004614D4" w:rsidRDefault="004614D4" w:rsidP="004614D4">
      <w:pPr>
        <w:widowControl w:val="0"/>
        <w:autoSpaceDE w:val="0"/>
        <w:autoSpaceDN w:val="0"/>
        <w:adjustRightInd w:val="0"/>
        <w:rPr>
          <w:bCs/>
          <w:highlight w:val="yellow"/>
        </w:rPr>
      </w:pPr>
    </w:p>
    <w:p w14:paraId="29547DBF" w14:textId="4CADDAA8" w:rsidR="004614D4" w:rsidRPr="004614D4" w:rsidRDefault="004614D4" w:rsidP="004614D4">
      <w:pPr>
        <w:widowControl w:val="0"/>
        <w:autoSpaceDE w:val="0"/>
        <w:autoSpaceDN w:val="0"/>
        <w:adjustRightInd w:val="0"/>
        <w:rPr>
          <w:bCs/>
          <w:highlight w:val="yellow"/>
        </w:rPr>
      </w:pPr>
      <w:r w:rsidRPr="004614D4">
        <w:rPr>
          <w:bCs/>
          <w:highlight w:val="yellow"/>
        </w:rPr>
        <w:t>The 2017 AHRQ Safety Program for Improving Antibiotic Use OMB clearance included</w:t>
      </w:r>
      <w:r w:rsidR="00AF7930">
        <w:rPr>
          <w:bCs/>
          <w:highlight w:val="yellow"/>
        </w:rPr>
        <w:t xml:space="preserve"> one response for the </w:t>
      </w:r>
      <w:r w:rsidRPr="004614D4">
        <w:rPr>
          <w:bCs/>
          <w:highlight w:val="yellow"/>
        </w:rPr>
        <w:t xml:space="preserve">Structural Assessment </w:t>
      </w:r>
      <w:r w:rsidR="00AF7930">
        <w:rPr>
          <w:bCs/>
          <w:highlight w:val="yellow"/>
        </w:rPr>
        <w:t>and</w:t>
      </w:r>
      <w:r w:rsidRPr="004614D4">
        <w:rPr>
          <w:bCs/>
          <w:highlight w:val="yellow"/>
        </w:rPr>
        <w:t xml:space="preserve"> the</w:t>
      </w:r>
      <w:r w:rsidRPr="004614D4">
        <w:rPr>
          <w:bCs/>
          <w:i/>
          <w:highlight w:val="yellow"/>
        </w:rPr>
        <w:t xml:space="preserve"> Medical Office Survey on Patient Safety Culture (MOSOPS)</w:t>
      </w:r>
      <w:r w:rsidRPr="004614D4">
        <w:rPr>
          <w:bCs/>
          <w:highlight w:val="yellow"/>
        </w:rPr>
        <w:t xml:space="preserve"> but did not include electronic health record (EHR) data or a second response for the </w:t>
      </w:r>
      <w:r w:rsidR="00AF7930">
        <w:rPr>
          <w:bCs/>
          <w:highlight w:val="yellow"/>
        </w:rPr>
        <w:t xml:space="preserve">Structural Assessment or </w:t>
      </w:r>
      <w:r w:rsidRPr="004614D4">
        <w:rPr>
          <w:bCs/>
          <w:highlight w:val="yellow"/>
        </w:rPr>
        <w:t>MOSOPS.  This was because our OMB clearance expiration date fell in the middle of the planned 4</w:t>
      </w:r>
      <w:r w:rsidRPr="004614D4">
        <w:rPr>
          <w:bCs/>
          <w:highlight w:val="yellow"/>
          <w:vertAlign w:val="superscript"/>
        </w:rPr>
        <w:t>th</w:t>
      </w:r>
      <w:r w:rsidRPr="004614D4">
        <w:rPr>
          <w:bCs/>
          <w:highlight w:val="yellow"/>
        </w:rPr>
        <w:t xml:space="preserve"> cohort, set in ambulatory care settings, so the second </w:t>
      </w:r>
      <w:r w:rsidR="00AF7930">
        <w:rPr>
          <w:bCs/>
          <w:highlight w:val="yellow"/>
        </w:rPr>
        <w:t>Structural Assessment and MOSOPS were</w:t>
      </w:r>
      <w:r w:rsidRPr="004614D4">
        <w:rPr>
          <w:bCs/>
          <w:highlight w:val="yellow"/>
        </w:rPr>
        <w:t xml:space="preserve"> not within the timeframe, and EHR data collection would have been incomplete. In addition, we were not certain that the ambulatory care practices would be able to access EHR data</w:t>
      </w:r>
      <w:r>
        <w:rPr>
          <w:bCs/>
          <w:highlight w:val="yellow"/>
        </w:rPr>
        <w:t>, however based on the experience of the pilot cohort, we believe that many ambulatory practices can access this data, and that these practices are more likely to feasibly participate in the AHRQ Safety Program</w:t>
      </w:r>
      <w:r w:rsidRPr="004614D4">
        <w:rPr>
          <w:bCs/>
          <w:highlight w:val="yellow"/>
        </w:rPr>
        <w:t>.</w:t>
      </w:r>
      <w:r>
        <w:rPr>
          <w:bCs/>
          <w:highlight w:val="yellow"/>
        </w:rPr>
        <w:t xml:space="preserve"> </w:t>
      </w:r>
      <w:r w:rsidRPr="004614D4">
        <w:rPr>
          <w:bCs/>
          <w:highlight w:val="yellow"/>
        </w:rPr>
        <w:t>The revision also updates the estimated annual burden accordingly, and includes changes to the data collection forms which will be used for the ambulatory care cohort based on lessons learned during the pilot cohort.</w:t>
      </w:r>
    </w:p>
    <w:p w14:paraId="2968CDFF" w14:textId="77777777" w:rsidR="004614D4" w:rsidRPr="004614D4" w:rsidRDefault="004614D4" w:rsidP="004614D4">
      <w:pPr>
        <w:widowControl w:val="0"/>
        <w:autoSpaceDE w:val="0"/>
        <w:autoSpaceDN w:val="0"/>
        <w:adjustRightInd w:val="0"/>
        <w:rPr>
          <w:bCs/>
          <w:highlight w:val="yellow"/>
        </w:rPr>
      </w:pPr>
    </w:p>
    <w:p w14:paraId="7897306B" w14:textId="77777777" w:rsidR="009B633D" w:rsidRPr="006014DB" w:rsidRDefault="009B633D" w:rsidP="009B633D">
      <w:pPr>
        <w:pStyle w:val="Heading1"/>
        <w:rPr>
          <w:sz w:val="24"/>
          <w:szCs w:val="24"/>
        </w:rPr>
      </w:pPr>
      <w:r w:rsidRPr="006014DB">
        <w:rPr>
          <w:sz w:val="24"/>
          <w:szCs w:val="24"/>
        </w:rPr>
        <w:t>A. Justification</w:t>
      </w:r>
      <w:bookmarkEnd w:id="1"/>
      <w:bookmarkEnd w:id="2"/>
      <w:bookmarkEnd w:id="3"/>
    </w:p>
    <w:p w14:paraId="5B296BF6" w14:textId="77777777" w:rsidR="009B633D" w:rsidRPr="006014DB" w:rsidRDefault="009B633D" w:rsidP="009B633D"/>
    <w:p w14:paraId="5F1F9634" w14:textId="77777777" w:rsidR="009B633D" w:rsidRDefault="009B633D" w:rsidP="006014DB">
      <w:pPr>
        <w:pStyle w:val="Heading2"/>
        <w:spacing w:before="0" w:after="0"/>
        <w:rPr>
          <w:sz w:val="24"/>
          <w:szCs w:val="24"/>
        </w:rPr>
      </w:pPr>
      <w:bookmarkStart w:id="4" w:name="_Toc151782176"/>
      <w:bookmarkStart w:id="5" w:name="_Toc158526216"/>
      <w:bookmarkStart w:id="6" w:name="_Toc480808847"/>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59D240ED" w14:textId="77777777" w:rsidR="006014DB" w:rsidRDefault="006014DB" w:rsidP="006014DB"/>
    <w:p w14:paraId="72119D7C" w14:textId="77777777" w:rsidR="000A140E" w:rsidRDefault="000A140E" w:rsidP="000A140E">
      <w:r>
        <w:t xml:space="preserve">The mission of the Agency for Healthcare Research and Quality (AHRQ) set out in its authorizing legislation, The Healthcare Research and Quality Act of 1999 (see </w:t>
      </w:r>
      <w:hyperlink r:id="rId9" w:history="1">
        <w:r w:rsidR="00DB1BBA" w:rsidRPr="002F068C">
          <w:rPr>
            <w:rStyle w:val="Hyperlink"/>
          </w:rPr>
          <w:t>http://www.ahrq.gov/hrqa99.pdf</w:t>
        </w:r>
      </w:hyperlink>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28D392A3" w14:textId="77777777" w:rsidR="00606400" w:rsidRDefault="00606400" w:rsidP="00606400">
      <w:pPr>
        <w:tabs>
          <w:tab w:val="left" w:pos="360"/>
        </w:tabs>
      </w:pPr>
      <w:r>
        <w:tab/>
      </w:r>
    </w:p>
    <w:p w14:paraId="57AD42F7" w14:textId="77777777" w:rsidR="00606400" w:rsidRDefault="00606400" w:rsidP="00606400">
      <w:pPr>
        <w:tabs>
          <w:tab w:val="left" w:pos="360"/>
        </w:tabs>
        <w:ind w:left="360"/>
      </w:pPr>
      <w:r>
        <w:t>1.</w:t>
      </w:r>
      <w:r>
        <w:tab/>
      </w:r>
      <w:r w:rsidR="00DB1BBA">
        <w:t>R</w:t>
      </w:r>
      <w:r>
        <w:t>esearch that develops and presents scientific evidence regardi</w:t>
      </w:r>
      <w:r w:rsidR="00AA1DDC">
        <w:t xml:space="preserve">ng all aspects of </w:t>
      </w:r>
      <w:r w:rsidR="00AA1DDC">
        <w:tab/>
      </w:r>
      <w:r w:rsidR="00AA1DDC">
        <w:tab/>
        <w:t>health care</w:t>
      </w:r>
      <w:r w:rsidR="00325B9C">
        <w:t>;</w:t>
      </w:r>
      <w:r w:rsidR="00B645ED">
        <w:t xml:space="preserve"> and</w:t>
      </w:r>
    </w:p>
    <w:p w14:paraId="2CEEF013" w14:textId="77777777" w:rsidR="00325B9C" w:rsidRDefault="00325B9C" w:rsidP="00606400">
      <w:pPr>
        <w:tabs>
          <w:tab w:val="left" w:pos="360"/>
        </w:tabs>
        <w:ind w:left="360"/>
      </w:pPr>
    </w:p>
    <w:p w14:paraId="657CC36B" w14:textId="77777777" w:rsidR="00325B9C" w:rsidRDefault="00325B9C" w:rsidP="00606400">
      <w:pPr>
        <w:tabs>
          <w:tab w:val="left" w:pos="360"/>
        </w:tabs>
        <w:ind w:left="360"/>
      </w:pPr>
      <w:r>
        <w:t>2.</w:t>
      </w:r>
      <w:r>
        <w:tab/>
      </w:r>
      <w:r w:rsidR="00DB1BBA">
        <w:t>T</w:t>
      </w:r>
      <w:r w:rsidR="00B645ED">
        <w:t xml:space="preserve">he synthesis and dissemination of available scientific evidence for use by </w:t>
      </w:r>
      <w:r w:rsidR="00B645ED">
        <w:tab/>
        <w:t xml:space="preserve">patients, consumers, practitioners, providers, purchasers, policy makers, and </w:t>
      </w:r>
      <w:r w:rsidR="00B645ED">
        <w:tab/>
        <w:t>educators; and</w:t>
      </w:r>
    </w:p>
    <w:p w14:paraId="7E61DAC0" w14:textId="77777777" w:rsidR="00B645ED" w:rsidRDefault="00B645ED" w:rsidP="00606400">
      <w:pPr>
        <w:tabs>
          <w:tab w:val="left" w:pos="360"/>
        </w:tabs>
        <w:ind w:left="360"/>
      </w:pPr>
    </w:p>
    <w:p w14:paraId="0B11F3C3" w14:textId="77777777" w:rsidR="00B645ED" w:rsidRDefault="00DB1BBA" w:rsidP="00606400">
      <w:pPr>
        <w:tabs>
          <w:tab w:val="left" w:pos="360"/>
        </w:tabs>
        <w:ind w:left="360"/>
      </w:pPr>
      <w:r>
        <w:t>3.</w:t>
      </w:r>
      <w:r>
        <w:tab/>
        <w:t>I</w:t>
      </w:r>
      <w:r w:rsidR="00B645ED">
        <w:t>nitiatives to advance private and public efforts to improve health care quality.</w:t>
      </w:r>
    </w:p>
    <w:p w14:paraId="4AC124A1" w14:textId="77777777" w:rsidR="00B645ED" w:rsidRDefault="00B645ED" w:rsidP="00B645ED">
      <w:pPr>
        <w:tabs>
          <w:tab w:val="left" w:pos="360"/>
        </w:tabs>
      </w:pPr>
    </w:p>
    <w:p w14:paraId="6EA71571"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1AEE91E7" w14:textId="77777777" w:rsidR="00DB1BBA" w:rsidRDefault="00DB1BBA" w:rsidP="00B645ED">
      <w:pPr>
        <w:tabs>
          <w:tab w:val="left" w:pos="360"/>
        </w:tabs>
      </w:pPr>
    </w:p>
    <w:p w14:paraId="4D601C84" w14:textId="77777777" w:rsidR="00DB1BBA" w:rsidRPr="00DB1BBA" w:rsidRDefault="00DB1BBA" w:rsidP="00B645ED">
      <w:pPr>
        <w:tabs>
          <w:tab w:val="left" w:pos="360"/>
        </w:tabs>
        <w:rPr>
          <w:b/>
        </w:rPr>
      </w:pPr>
      <w:r>
        <w:rPr>
          <w:b/>
        </w:rPr>
        <w:t xml:space="preserve">Background </w:t>
      </w:r>
      <w:r w:rsidR="00420AEC">
        <w:rPr>
          <w:b/>
        </w:rPr>
        <w:t>for this Collection</w:t>
      </w:r>
    </w:p>
    <w:p w14:paraId="7B32C65F" w14:textId="77777777" w:rsidR="008450C0" w:rsidRDefault="008450C0" w:rsidP="00B645ED">
      <w:pPr>
        <w:tabs>
          <w:tab w:val="left" w:pos="360"/>
        </w:tabs>
      </w:pPr>
    </w:p>
    <w:p w14:paraId="65F12338" w14:textId="77777777" w:rsidR="00C07533" w:rsidRDefault="00C07533" w:rsidP="00CE54F9">
      <w:r w:rsidRPr="005C72EC">
        <w:t xml:space="preserve">As part of the </w:t>
      </w:r>
      <w:r w:rsidR="00753E41">
        <w:t xml:space="preserve">Department of </w:t>
      </w:r>
      <w:r w:rsidRPr="005C72EC">
        <w:t>H</w:t>
      </w:r>
      <w:r w:rsidR="00753E41">
        <w:t xml:space="preserve">ealth and </w:t>
      </w:r>
      <w:r w:rsidRPr="005C72EC">
        <w:t>H</w:t>
      </w:r>
      <w:r w:rsidR="00753E41">
        <w:t xml:space="preserve">uman </w:t>
      </w:r>
      <w:r w:rsidRPr="005C72EC">
        <w:t>S</w:t>
      </w:r>
      <w:r w:rsidR="00753E41">
        <w:t>ervices (DHHS)</w:t>
      </w:r>
      <w:r w:rsidRPr="005C72EC">
        <w:t xml:space="preserve"> H</w:t>
      </w:r>
      <w:r w:rsidR="00753E41">
        <w:t xml:space="preserve">ospital </w:t>
      </w:r>
      <w:r w:rsidRPr="005C72EC">
        <w:t>A</w:t>
      </w:r>
      <w:r w:rsidR="00753E41">
        <w:t xml:space="preserve">cquired </w:t>
      </w:r>
      <w:r w:rsidRPr="005C72EC">
        <w:t>I</w:t>
      </w:r>
      <w:r w:rsidR="00753E41">
        <w:t>nfection (HAI)</w:t>
      </w:r>
      <w:r w:rsidRPr="005C72EC">
        <w:t xml:space="preserve"> National Action Plan (NAP), AHRQ has supported the implementation and adoption of the Comprehensive Unit-based Safety Program (CUSP) to reduce Central-Line Associated Bloodstream Infections (CLABSI) and Catheter-Associated Urinary Tract Infections (CAUTI), and subsequently applied CUSP to other clinical challenges, including reducing surgical site infections and improving care for mechanically ventilated patients. As part of the National Action Plan for Combating Antibiotic-Resistant Bacteria (CARB NAP) to increase antibiotic stewardship</w:t>
      </w:r>
      <w:r w:rsidR="00A53D7C">
        <w:t xml:space="preserve"> (defined as organized efforts to promote the judicious use of antibiotics) across all healthcare settings</w:t>
      </w:r>
      <w:r w:rsidRPr="005C72EC">
        <w:t xml:space="preserve">, AHRQ </w:t>
      </w:r>
      <w:r w:rsidR="008D201C">
        <w:t>is applying</w:t>
      </w:r>
      <w:r w:rsidRPr="005C72EC">
        <w:t xml:space="preserve"> the principles and concepts that have been learned from these HAI reduction efforts to antibiotic stewardship</w:t>
      </w:r>
      <w:r>
        <w:t xml:space="preserve"> (AS)</w:t>
      </w:r>
      <w:r w:rsidRPr="005C72EC">
        <w:t>.</w:t>
      </w:r>
      <w:r w:rsidR="00753E41">
        <w:t xml:space="preserve"> </w:t>
      </w:r>
    </w:p>
    <w:p w14:paraId="6EE10D28" w14:textId="77777777" w:rsidR="000C490F" w:rsidRDefault="000C490F" w:rsidP="00CE54F9"/>
    <w:p w14:paraId="4AC2B45D" w14:textId="77777777" w:rsidR="002C5639" w:rsidRDefault="009A6802" w:rsidP="007A0320">
      <w:pPr>
        <w:autoSpaceDE w:val="0"/>
        <w:autoSpaceDN w:val="0"/>
        <w:adjustRightInd w:val="0"/>
      </w:pPr>
      <w:r>
        <w:t>Antibiotic therapy has</w:t>
      </w:r>
      <w:r w:rsidR="00561062">
        <w:t xml:space="preserve"> </w:t>
      </w:r>
      <w:r w:rsidR="002C5639">
        <w:t>saved countless lives over the past several decades</w:t>
      </w:r>
      <w:r>
        <w:t>.</w:t>
      </w:r>
      <w:r w:rsidR="007A1739">
        <w:rPr>
          <w:rStyle w:val="FootnoteReference"/>
        </w:rPr>
        <w:footnoteReference w:id="1"/>
      </w:r>
      <w:r w:rsidR="007A1739">
        <w:t xml:space="preserve"> </w:t>
      </w:r>
      <w:r>
        <w:t>However, bacterial resistance to antibiotics</w:t>
      </w:r>
      <w:r w:rsidR="00214DD5">
        <w:t xml:space="preserve"> </w:t>
      </w:r>
      <w:r>
        <w:t xml:space="preserve">has followed closely on the heels of each new </w:t>
      </w:r>
      <w:r w:rsidR="00214DD5">
        <w:t>agent’s</w:t>
      </w:r>
      <w:r w:rsidR="007A0320">
        <w:t xml:space="preserve"> </w:t>
      </w:r>
      <w:r>
        <w:t xml:space="preserve">introduction. </w:t>
      </w:r>
      <w:r w:rsidR="007A0320">
        <w:t xml:space="preserve"> </w:t>
      </w:r>
      <w:r w:rsidR="00214DD5">
        <w:t>This</w:t>
      </w:r>
      <w:r>
        <w:t xml:space="preserve"> has led to an epidemic of antibiotic resistance, with drug choices for some</w:t>
      </w:r>
      <w:r w:rsidR="007E6716">
        <w:t xml:space="preserve"> </w:t>
      </w:r>
      <w:r>
        <w:t>bacterial infections becoming increasingly limited, expensive, and in some cases</w:t>
      </w:r>
      <w:r w:rsidR="007A0320">
        <w:t xml:space="preserve"> </w:t>
      </w:r>
      <w:r>
        <w:t>nonexistent. While antibiotics remain a vital and necessary cornerstone to the treatment</w:t>
      </w:r>
      <w:r w:rsidR="007A0320">
        <w:t xml:space="preserve"> </w:t>
      </w:r>
      <w:r>
        <w:t>of infections, it is estimated that 20-50% of all antibiotics prescribed in U.S. acute care</w:t>
      </w:r>
      <w:r w:rsidR="007A0320">
        <w:t xml:space="preserve"> </w:t>
      </w:r>
      <w:r>
        <w:t>hospitals are either unnecessary or inappropriate.</w:t>
      </w:r>
      <w:r w:rsidR="007A1739" w:rsidRPr="00561062">
        <w:rPr>
          <w:rStyle w:val="FootnoteReference"/>
        </w:rPr>
        <w:footnoteReference w:id="2"/>
      </w:r>
      <w:r w:rsidR="00561062" w:rsidRPr="00561062">
        <w:rPr>
          <w:vertAlign w:val="superscript"/>
        </w:rPr>
        <w:t>,</w:t>
      </w:r>
      <w:r w:rsidR="007A1739" w:rsidRPr="00561062">
        <w:rPr>
          <w:rStyle w:val="FootnoteReference"/>
        </w:rPr>
        <w:footnoteReference w:id="3"/>
      </w:r>
      <w:r w:rsidR="00561062" w:rsidRPr="00561062">
        <w:rPr>
          <w:vertAlign w:val="superscript"/>
        </w:rPr>
        <w:t>,</w:t>
      </w:r>
      <w:r w:rsidR="007A1739" w:rsidRPr="00561062">
        <w:rPr>
          <w:rStyle w:val="FootnoteReference"/>
        </w:rPr>
        <w:footnoteReference w:id="4"/>
      </w:r>
      <w:r w:rsidR="00561062" w:rsidRPr="00561062">
        <w:rPr>
          <w:vertAlign w:val="superscript"/>
        </w:rPr>
        <w:t>,</w:t>
      </w:r>
      <w:r w:rsidR="007A1739" w:rsidRPr="00561062">
        <w:rPr>
          <w:rStyle w:val="FootnoteReference"/>
        </w:rPr>
        <w:footnoteReference w:id="5"/>
      </w:r>
      <w:r w:rsidR="00561062" w:rsidRPr="00561062">
        <w:rPr>
          <w:vertAlign w:val="superscript"/>
        </w:rPr>
        <w:t>,</w:t>
      </w:r>
      <w:r w:rsidR="007A1739" w:rsidRPr="00561062">
        <w:rPr>
          <w:rStyle w:val="FootnoteReference"/>
        </w:rPr>
        <w:footnoteReference w:id="6"/>
      </w:r>
      <w:r w:rsidR="00561062" w:rsidRPr="00561062">
        <w:rPr>
          <w:vertAlign w:val="superscript"/>
        </w:rPr>
        <w:t>,</w:t>
      </w:r>
      <w:r w:rsidR="007A1739" w:rsidRPr="00561062">
        <w:rPr>
          <w:rStyle w:val="FootnoteReference"/>
        </w:rPr>
        <w:footnoteReference w:id="7"/>
      </w:r>
      <w:r w:rsidR="007A1739">
        <w:t xml:space="preserve"> </w:t>
      </w:r>
      <w:r>
        <w:t>When antibiotics are used</w:t>
      </w:r>
      <w:r w:rsidR="007A0320">
        <w:t xml:space="preserve"> </w:t>
      </w:r>
      <w:r>
        <w:t xml:space="preserve">inappropriately, bacterial development of resistance is supported in the </w:t>
      </w:r>
      <w:r>
        <w:rPr>
          <w:i/>
          <w:iCs/>
        </w:rPr>
        <w:t xml:space="preserve">absence </w:t>
      </w:r>
      <w:r>
        <w:t>of any</w:t>
      </w:r>
      <w:r w:rsidR="007A0320">
        <w:t xml:space="preserve"> </w:t>
      </w:r>
      <w:r>
        <w:t>therapeutic benefit, and patients receiving unnecessary or inappropriate antibiotics are</w:t>
      </w:r>
      <w:r w:rsidR="007A0320">
        <w:t xml:space="preserve"> </w:t>
      </w:r>
      <w:r>
        <w:t>also exposed to the risk of adverse effects such as rash or renal injury as well as the risk</w:t>
      </w:r>
      <w:r w:rsidR="007A0320">
        <w:t xml:space="preserve"> </w:t>
      </w:r>
      <w:r>
        <w:t xml:space="preserve">of </w:t>
      </w:r>
      <w:r>
        <w:rPr>
          <w:i/>
          <w:iCs/>
        </w:rPr>
        <w:t xml:space="preserve">Clostridium difficile </w:t>
      </w:r>
      <w:r>
        <w:t>infection which can cause a deadly diarrhea.</w:t>
      </w:r>
      <w:r w:rsidR="007A1739">
        <w:rPr>
          <w:rStyle w:val="FootnoteReference"/>
        </w:rPr>
        <w:footnoteReference w:id="8"/>
      </w:r>
      <w:r w:rsidR="007A1739">
        <w:t xml:space="preserve"> </w:t>
      </w:r>
      <w:r>
        <w:t>Unlike misuse of</w:t>
      </w:r>
      <w:r w:rsidR="007A0320">
        <w:t xml:space="preserve"> </w:t>
      </w:r>
      <w:r>
        <w:t>other medications, the misuse of antibiotics can adversely impact the health of patients</w:t>
      </w:r>
      <w:r w:rsidR="007A0320">
        <w:t xml:space="preserve"> </w:t>
      </w:r>
      <w:r>
        <w:t>who are not even exposed to them because of the potential for spread of resistant</w:t>
      </w:r>
      <w:r w:rsidR="007A0320">
        <w:t xml:space="preserve"> </w:t>
      </w:r>
      <w:r>
        <w:t>organisms. The Centers for Disease Control and Prevention (CDC) estimates that each</w:t>
      </w:r>
      <w:r w:rsidR="007A0320">
        <w:t xml:space="preserve"> </w:t>
      </w:r>
      <w:r>
        <w:t>year at least two million illnesses and 23,000 deaths are caused by drug-resistant bacteria</w:t>
      </w:r>
      <w:r w:rsidR="007A0320">
        <w:t xml:space="preserve"> </w:t>
      </w:r>
      <w:r>
        <w:t>in the United States alone.</w:t>
      </w:r>
      <w:r w:rsidR="007A1739">
        <w:rPr>
          <w:rStyle w:val="FootnoteReference"/>
        </w:rPr>
        <w:footnoteReference w:id="9"/>
      </w:r>
    </w:p>
    <w:p w14:paraId="2A8E1EF1" w14:textId="77777777" w:rsidR="004A253F" w:rsidRDefault="004A253F" w:rsidP="00CE54F9"/>
    <w:p w14:paraId="2945BE25" w14:textId="77777777" w:rsidR="004A253F" w:rsidRDefault="004A253F" w:rsidP="004A253F">
      <w:pPr>
        <w:pStyle w:val="Default"/>
      </w:pPr>
      <w:r w:rsidRPr="00C07533">
        <w:t xml:space="preserve">While approaches including </w:t>
      </w:r>
      <w:r w:rsidR="009A6802">
        <w:t>development of new anti</w:t>
      </w:r>
      <w:r w:rsidR="00B105CD">
        <w:t>biotic</w:t>
      </w:r>
      <w:r w:rsidR="009A6802">
        <w:t xml:space="preserve"> agents, </w:t>
      </w:r>
      <w:r w:rsidRPr="00C07533">
        <w:t xml:space="preserve">increased surveillance </w:t>
      </w:r>
      <w:r w:rsidR="00A53D7C">
        <w:t>for</w:t>
      </w:r>
      <w:r w:rsidRPr="00C07533">
        <w:t xml:space="preserve"> antibiotic resistance, prevention of HAIs, and prevention of transmission of resistant infections are important efforts to combat antibiotic resistance, it is critical to curb the inappropriate use of antibiotics to slow the emergence of antibiotic resistance</w:t>
      </w:r>
      <w:r w:rsidR="00A53D7C">
        <w:t xml:space="preserve"> and</w:t>
      </w:r>
      <w:r w:rsidR="000C490F">
        <w:t xml:space="preserve"> </w:t>
      </w:r>
      <w:r w:rsidR="00B105CD">
        <w:t xml:space="preserve">to </w:t>
      </w:r>
      <w:r w:rsidRPr="00C07533">
        <w:t>preserve efficacy of existing antibiotics</w:t>
      </w:r>
      <w:r w:rsidR="00A53D7C">
        <w:t xml:space="preserve"> and those under development</w:t>
      </w:r>
      <w:r w:rsidRPr="00C07533">
        <w:t xml:space="preserve">. </w:t>
      </w:r>
    </w:p>
    <w:p w14:paraId="739C6CED" w14:textId="77777777" w:rsidR="004A253F" w:rsidRDefault="004A253F" w:rsidP="004A253F">
      <w:pPr>
        <w:pStyle w:val="Default"/>
        <w:rPr>
          <w:color w:val="auto"/>
        </w:rPr>
      </w:pPr>
    </w:p>
    <w:p w14:paraId="530BB7FB" w14:textId="77777777" w:rsidR="00E73A00" w:rsidRPr="00E73A00" w:rsidRDefault="00E73A00" w:rsidP="00E73A00">
      <w:pPr>
        <w:pStyle w:val="CommentText"/>
        <w:rPr>
          <w:sz w:val="24"/>
          <w:szCs w:val="24"/>
        </w:rPr>
      </w:pPr>
      <w:r>
        <w:rPr>
          <w:sz w:val="24"/>
          <w:szCs w:val="24"/>
        </w:rPr>
        <w:t>As of January 1</w:t>
      </w:r>
      <w:r w:rsidR="00B105CD" w:rsidRPr="007A1739">
        <w:rPr>
          <w:sz w:val="24"/>
          <w:szCs w:val="24"/>
          <w:vertAlign w:val="superscript"/>
        </w:rPr>
        <w:t>st</w:t>
      </w:r>
      <w:r>
        <w:rPr>
          <w:sz w:val="24"/>
          <w:szCs w:val="24"/>
        </w:rPr>
        <w:t xml:space="preserve">, 2017, The Joint Commission (TJC)’s new Antimicrobial Stewardship Standard requires that all </w:t>
      </w:r>
      <w:r w:rsidRPr="00E73A00">
        <w:rPr>
          <w:sz w:val="24"/>
          <w:szCs w:val="24"/>
        </w:rPr>
        <w:t xml:space="preserve">acute care hospitals have robust </w:t>
      </w:r>
      <w:r>
        <w:rPr>
          <w:sz w:val="24"/>
          <w:szCs w:val="24"/>
        </w:rPr>
        <w:t>antibiotic stewardship programs. In addition</w:t>
      </w:r>
      <w:r w:rsidR="000E3FB7">
        <w:rPr>
          <w:sz w:val="24"/>
          <w:szCs w:val="24"/>
        </w:rPr>
        <w:t xml:space="preserve">, starting on </w:t>
      </w:r>
      <w:r w:rsidRPr="00E73A00">
        <w:rPr>
          <w:sz w:val="24"/>
          <w:szCs w:val="24"/>
        </w:rPr>
        <w:t>November 28, 2017</w:t>
      </w:r>
      <w:r w:rsidR="00212B47">
        <w:rPr>
          <w:sz w:val="24"/>
          <w:szCs w:val="24"/>
        </w:rPr>
        <w:t>,</w:t>
      </w:r>
      <w:r w:rsidRPr="00E73A00">
        <w:rPr>
          <w:sz w:val="24"/>
          <w:szCs w:val="24"/>
        </w:rPr>
        <w:t xml:space="preserve"> </w:t>
      </w:r>
      <w:r w:rsidR="00C4209F">
        <w:rPr>
          <w:sz w:val="24"/>
          <w:szCs w:val="24"/>
        </w:rPr>
        <w:t>the Centers for Medicare &amp; Medicaid Services (</w:t>
      </w:r>
      <w:r w:rsidRPr="00E73A00">
        <w:rPr>
          <w:sz w:val="24"/>
          <w:szCs w:val="24"/>
        </w:rPr>
        <w:t>CMS</w:t>
      </w:r>
      <w:r w:rsidR="00C4209F">
        <w:rPr>
          <w:sz w:val="24"/>
          <w:szCs w:val="24"/>
        </w:rPr>
        <w:t>)</w:t>
      </w:r>
      <w:r w:rsidRPr="00E73A00">
        <w:rPr>
          <w:sz w:val="24"/>
          <w:szCs w:val="24"/>
        </w:rPr>
        <w:t xml:space="preserve"> </w:t>
      </w:r>
      <w:r w:rsidR="000E3FB7">
        <w:rPr>
          <w:sz w:val="24"/>
          <w:szCs w:val="24"/>
        </w:rPr>
        <w:t xml:space="preserve">will </w:t>
      </w:r>
      <w:r w:rsidRPr="00E73A00">
        <w:rPr>
          <w:sz w:val="24"/>
          <w:szCs w:val="24"/>
        </w:rPr>
        <w:t xml:space="preserve">require </w:t>
      </w:r>
      <w:r w:rsidR="000E3FB7">
        <w:rPr>
          <w:sz w:val="24"/>
          <w:szCs w:val="24"/>
        </w:rPr>
        <w:t xml:space="preserve">that all long-term care facilities </w:t>
      </w:r>
      <w:r w:rsidRPr="00E73A00">
        <w:rPr>
          <w:sz w:val="24"/>
          <w:szCs w:val="24"/>
        </w:rPr>
        <w:t>that re</w:t>
      </w:r>
      <w:r w:rsidR="000E3FB7">
        <w:rPr>
          <w:sz w:val="24"/>
          <w:szCs w:val="24"/>
        </w:rPr>
        <w:t xml:space="preserve">ceive reimbursement from CMS have antibiotic stewardship programs in place. </w:t>
      </w:r>
    </w:p>
    <w:p w14:paraId="039E0A01" w14:textId="77777777" w:rsidR="00E73A00" w:rsidRPr="00C07533" w:rsidRDefault="00E73A00" w:rsidP="004A253F">
      <w:pPr>
        <w:pStyle w:val="Default"/>
        <w:rPr>
          <w:color w:val="auto"/>
        </w:rPr>
      </w:pPr>
    </w:p>
    <w:p w14:paraId="60F27877" w14:textId="77777777" w:rsidR="004A253F" w:rsidRDefault="004A253F" w:rsidP="004A253F">
      <w:r w:rsidRPr="00C07533">
        <w:t xml:space="preserve">The Comprehensive Unit-Based Safety Program (CUSP), developed at </w:t>
      </w:r>
      <w:r w:rsidR="008B7CC6">
        <w:t xml:space="preserve">the Armstrong Institute at </w:t>
      </w:r>
      <w:r w:rsidRPr="00C07533">
        <w:t>Johns Hopkins University, combines improvement in patient safety culture, teamwork, and communication together with a technical bundle of interventions to improve patient safety. CUSP is a powerful culture change tool, which has been successfully utilized to reduce CLABSI in ICUs in Michigan and Rhode Island</w:t>
      </w:r>
      <w:r w:rsidR="00002C07">
        <w:rPr>
          <w:rStyle w:val="FootnoteReference"/>
        </w:rPr>
        <w:footnoteReference w:id="10"/>
      </w:r>
      <w:r w:rsidR="00592AF3" w:rsidRPr="00592AF3">
        <w:rPr>
          <w:vertAlign w:val="superscript"/>
        </w:rPr>
        <w:t>,</w:t>
      </w:r>
      <w:r w:rsidR="00002C07">
        <w:rPr>
          <w:rStyle w:val="FootnoteReference"/>
        </w:rPr>
        <w:footnoteReference w:id="11"/>
      </w:r>
      <w:r w:rsidRPr="00C07533">
        <w:t xml:space="preserve"> and subsequently</w:t>
      </w:r>
      <w:r>
        <w:rPr>
          <w:sz w:val="23"/>
          <w:szCs w:val="23"/>
        </w:rPr>
        <w:t xml:space="preserve"> to reduce CLABSI by 41% in more than 1,000 ICUs in 44 states, Puerto Rico and the District of Columbia.</w:t>
      </w:r>
      <w:r w:rsidR="00002C07">
        <w:rPr>
          <w:rStyle w:val="FootnoteReference"/>
          <w:sz w:val="23"/>
          <w:szCs w:val="23"/>
        </w:rPr>
        <w:footnoteReference w:id="12"/>
      </w:r>
      <w:r w:rsidR="00002C07">
        <w:rPr>
          <w:sz w:val="23"/>
          <w:szCs w:val="23"/>
        </w:rPr>
        <w:t xml:space="preserve"> </w:t>
      </w:r>
      <w:r w:rsidR="00A53D7C">
        <w:rPr>
          <w:sz w:val="23"/>
          <w:szCs w:val="23"/>
        </w:rPr>
        <w:t>Although</w:t>
      </w:r>
      <w:r>
        <w:rPr>
          <w:sz w:val="23"/>
          <w:szCs w:val="23"/>
        </w:rPr>
        <w:t xml:space="preserve"> evidence-based recommendations </w:t>
      </w:r>
      <w:r w:rsidR="00A53D7C">
        <w:rPr>
          <w:sz w:val="23"/>
          <w:szCs w:val="23"/>
        </w:rPr>
        <w:t xml:space="preserve">for prevention of CLABSI </w:t>
      </w:r>
      <w:r>
        <w:rPr>
          <w:sz w:val="23"/>
          <w:szCs w:val="23"/>
        </w:rPr>
        <w:t xml:space="preserve">had existed for years, the combination of </w:t>
      </w:r>
      <w:r w:rsidR="00A53D7C">
        <w:rPr>
          <w:sz w:val="23"/>
          <w:szCs w:val="23"/>
        </w:rPr>
        <w:t xml:space="preserve">safety </w:t>
      </w:r>
      <w:r>
        <w:rPr>
          <w:sz w:val="23"/>
          <w:szCs w:val="23"/>
        </w:rPr>
        <w:t>culture change</w:t>
      </w:r>
      <w:r w:rsidR="00A53D7C">
        <w:rPr>
          <w:sz w:val="23"/>
          <w:szCs w:val="23"/>
        </w:rPr>
        <w:t xml:space="preserve"> on units</w:t>
      </w:r>
      <w:r>
        <w:rPr>
          <w:sz w:val="23"/>
          <w:szCs w:val="23"/>
        </w:rPr>
        <w:t xml:space="preserve"> and </w:t>
      </w:r>
      <w:r w:rsidR="00A53D7C">
        <w:rPr>
          <w:sz w:val="23"/>
          <w:szCs w:val="23"/>
        </w:rPr>
        <w:t xml:space="preserve">implementation of </w:t>
      </w:r>
      <w:r>
        <w:rPr>
          <w:sz w:val="23"/>
          <w:szCs w:val="23"/>
        </w:rPr>
        <w:t xml:space="preserve">technical interventions </w:t>
      </w:r>
      <w:r w:rsidR="00A53D7C">
        <w:rPr>
          <w:sz w:val="23"/>
          <w:szCs w:val="23"/>
        </w:rPr>
        <w:t xml:space="preserve">that </w:t>
      </w:r>
      <w:r>
        <w:rPr>
          <w:sz w:val="23"/>
          <w:szCs w:val="23"/>
        </w:rPr>
        <w:t xml:space="preserve">resulted in significant reductions in CLABSI and introduced the concept that a rate </w:t>
      </w:r>
      <w:r w:rsidR="00A53D7C">
        <w:rPr>
          <w:sz w:val="23"/>
          <w:szCs w:val="23"/>
        </w:rPr>
        <w:t xml:space="preserve">of zero CLABSIs </w:t>
      </w:r>
      <w:r>
        <w:rPr>
          <w:sz w:val="23"/>
          <w:szCs w:val="23"/>
        </w:rPr>
        <w:t>is achievable. CUSP is also being used to reduce other HAIs in multiple settings (</w:t>
      </w:r>
      <w:hyperlink r:id="rId10" w:history="1">
        <w:r w:rsidR="00C9633D" w:rsidRPr="00544BE5">
          <w:rPr>
            <w:rStyle w:val="Hyperlink"/>
            <w:sz w:val="23"/>
            <w:szCs w:val="23"/>
          </w:rPr>
          <w:t>http://www.ahrq.gov/professionals/quality-patient-safety/hais/index.html</w:t>
        </w:r>
      </w:hyperlink>
      <w:r>
        <w:rPr>
          <w:sz w:val="23"/>
          <w:szCs w:val="23"/>
        </w:rPr>
        <w:t>).</w:t>
      </w:r>
    </w:p>
    <w:p w14:paraId="51045E99" w14:textId="77777777" w:rsidR="004A253F" w:rsidRDefault="004A253F" w:rsidP="00CE54F9"/>
    <w:p w14:paraId="2FADE69B" w14:textId="77777777" w:rsidR="00420AEC" w:rsidRPr="00E73A00" w:rsidRDefault="00420AEC" w:rsidP="00CE54F9">
      <w:r w:rsidRPr="00E73A00">
        <w:t xml:space="preserve">This project will assist </w:t>
      </w:r>
      <w:r w:rsidR="00A53D7C" w:rsidRPr="00E73A00">
        <w:t xml:space="preserve">hospitals, nursing homes, and ambulatory care sites </w:t>
      </w:r>
      <w:r w:rsidRPr="00E73A00">
        <w:t>across the United States in adopting and implementing antibiotic stewardship (AS) programs</w:t>
      </w:r>
      <w:r w:rsidR="00A53D7C" w:rsidRPr="00E73A00">
        <w:t xml:space="preserve"> and interventions</w:t>
      </w:r>
      <w:r w:rsidRPr="00E73A00">
        <w:t>.</w:t>
      </w:r>
    </w:p>
    <w:p w14:paraId="3D7485AD" w14:textId="77777777" w:rsidR="00420AEC" w:rsidRPr="00C8638B" w:rsidRDefault="00420AEC" w:rsidP="00C8638B"/>
    <w:p w14:paraId="3A390E9F" w14:textId="77777777" w:rsidR="00420AEC" w:rsidRPr="00C8638B" w:rsidRDefault="00705C8F" w:rsidP="00C8638B">
      <w:r>
        <w:t>T</w:t>
      </w:r>
      <w:r w:rsidR="00420AEC" w:rsidRPr="00C8638B">
        <w:t>his project has the following goals:</w:t>
      </w:r>
    </w:p>
    <w:p w14:paraId="39F2BC42" w14:textId="77777777" w:rsidR="00420AEC" w:rsidRPr="00C8638B" w:rsidRDefault="00420AEC" w:rsidP="00B27F17">
      <w:pPr>
        <w:pStyle w:val="ColorfulList-Accent11"/>
        <w:numPr>
          <w:ilvl w:val="0"/>
          <w:numId w:val="10"/>
        </w:numPr>
      </w:pPr>
      <w:r w:rsidRPr="00C8638B">
        <w:t>Identify best practices in the delivery of antibiotic stewardship in the acute care, long-term care and ambulatory care settings</w:t>
      </w:r>
    </w:p>
    <w:p w14:paraId="302D094B" w14:textId="77777777" w:rsidR="00420AEC" w:rsidRPr="00C8638B" w:rsidRDefault="00420AEC" w:rsidP="00B27F17">
      <w:pPr>
        <w:pStyle w:val="ColorfulList-Accent11"/>
        <w:numPr>
          <w:ilvl w:val="0"/>
          <w:numId w:val="10"/>
        </w:numPr>
      </w:pPr>
      <w:r w:rsidRPr="00C8638B">
        <w:t xml:space="preserve">Adapt the Comprehensive Unit-Based Safety Program (CUSP) model to enhance antibiotic stewardship efforts in the health care settings </w:t>
      </w:r>
    </w:p>
    <w:p w14:paraId="4ACA4981" w14:textId="77777777" w:rsidR="00420AEC" w:rsidRPr="00C8638B" w:rsidRDefault="00420AEC" w:rsidP="00B27F17">
      <w:pPr>
        <w:pStyle w:val="ColorfulList-Accent11"/>
        <w:numPr>
          <w:ilvl w:val="0"/>
          <w:numId w:val="10"/>
        </w:numPr>
      </w:pPr>
      <w:r w:rsidRPr="00C8638B">
        <w:t xml:space="preserve">Develop a bundle of technical and adaptive interventions and associated tools and educational materials designed to support enhanced antibiotic stewardship efforts </w:t>
      </w:r>
    </w:p>
    <w:p w14:paraId="4D72A9BD" w14:textId="77777777" w:rsidR="00420AEC" w:rsidRPr="00C8638B" w:rsidRDefault="00420AEC" w:rsidP="00B27F17">
      <w:pPr>
        <w:pStyle w:val="ColorfulList-Accent11"/>
        <w:numPr>
          <w:ilvl w:val="0"/>
          <w:numId w:val="10"/>
        </w:numPr>
      </w:pPr>
      <w:r w:rsidRPr="00C8638B">
        <w:t>Provide technical assistance and training to health care organizations nationwide (using a phased approach) to implement effective antibiotic stewardship programs and interventions</w:t>
      </w:r>
    </w:p>
    <w:p w14:paraId="42E68343" w14:textId="77777777" w:rsidR="00420AEC" w:rsidRPr="00C8638B" w:rsidRDefault="00420AEC" w:rsidP="00B27F17">
      <w:pPr>
        <w:pStyle w:val="ColorfulList-Accent11"/>
        <w:numPr>
          <w:ilvl w:val="0"/>
          <w:numId w:val="10"/>
        </w:numPr>
      </w:pPr>
      <w:r w:rsidRPr="00C8638B">
        <w:t>Improve communication and teamwork between health care workers surrounding antibiotic decision-making</w:t>
      </w:r>
    </w:p>
    <w:p w14:paraId="204685BF" w14:textId="77777777" w:rsidR="00420AEC" w:rsidRDefault="00420AEC" w:rsidP="00B27F17">
      <w:pPr>
        <w:pStyle w:val="ColorfulList-Accent11"/>
        <w:numPr>
          <w:ilvl w:val="0"/>
          <w:numId w:val="10"/>
        </w:numPr>
      </w:pPr>
      <w:r w:rsidRPr="00C8638B">
        <w:t>Improve communication between health care workers and patients</w:t>
      </w:r>
      <w:r w:rsidR="00A53D7C">
        <w:t xml:space="preserve"> and </w:t>
      </w:r>
      <w:r w:rsidRPr="00C8638B">
        <w:t>families surrounding antibiotic decision-making</w:t>
      </w:r>
    </w:p>
    <w:p w14:paraId="4C85B326" w14:textId="77777777" w:rsidR="008B7CC6" w:rsidRPr="00C8638B" w:rsidRDefault="008B7CC6" w:rsidP="00B27F17">
      <w:pPr>
        <w:pStyle w:val="ColorfulList-Accent11"/>
        <w:numPr>
          <w:ilvl w:val="0"/>
          <w:numId w:val="10"/>
        </w:numPr>
      </w:pPr>
      <w:r>
        <w:t xml:space="preserve">Conduct a comprehensive evaluation to assess the adoption of the </w:t>
      </w:r>
      <w:r w:rsidRPr="00C8638B">
        <w:t xml:space="preserve">Comprehensive Unit-Based Safety Program </w:t>
      </w:r>
      <w:r>
        <w:t xml:space="preserve">(CUSP) for antibiotic stewardship (AS) in </w:t>
      </w:r>
      <w:r w:rsidRPr="00C8638B">
        <w:t>acute care, long-term care and ambulatory care settings</w:t>
      </w:r>
      <w:r>
        <w:t xml:space="preserve"> to identify </w:t>
      </w:r>
      <w:r w:rsidR="00705C8F">
        <w:t xml:space="preserve">the effectiveness of the program, </w:t>
      </w:r>
      <w:r>
        <w:t>process outcomes</w:t>
      </w:r>
      <w:r w:rsidR="00705C8F">
        <w:t>,</w:t>
      </w:r>
      <w:r>
        <w:t xml:space="preserve"> and lessons learned. </w:t>
      </w:r>
    </w:p>
    <w:p w14:paraId="40368C93" w14:textId="77777777" w:rsidR="00420AEC" w:rsidRDefault="00420AEC" w:rsidP="00C8638B">
      <w:pPr>
        <w:pStyle w:val="ColorfulList-Accent11"/>
      </w:pPr>
    </w:p>
    <w:p w14:paraId="07BBC018" w14:textId="77777777" w:rsidR="00753E41" w:rsidRDefault="00753E41" w:rsidP="00D877F3">
      <w:pPr>
        <w:pStyle w:val="ColorfulList-Accent11"/>
        <w:ind w:left="0"/>
      </w:pPr>
      <w:r>
        <w:t xml:space="preserve">The project will be implemented in four cohorts; 1) Cohort 1 </w:t>
      </w:r>
      <w:r w:rsidR="009D4574">
        <w:t xml:space="preserve">is a pilot </w:t>
      </w:r>
      <w:r>
        <w:t xml:space="preserve">limited to </w:t>
      </w:r>
      <w:r w:rsidR="00705C8F">
        <w:t>10 facilities</w:t>
      </w:r>
      <w:r w:rsidR="00735869">
        <w:t xml:space="preserve"> each</w:t>
      </w:r>
      <w:r w:rsidR="00705C8F">
        <w:t xml:space="preserve"> in </w:t>
      </w:r>
      <w:r>
        <w:t xml:space="preserve">three integrated </w:t>
      </w:r>
      <w:r w:rsidR="00674D05">
        <w:t xml:space="preserve">delivery </w:t>
      </w:r>
      <w:r>
        <w:t>systems</w:t>
      </w:r>
      <w:r w:rsidR="00705C8F">
        <w:t xml:space="preserve"> spanning acute care, long-term care, and ambulatory settings</w:t>
      </w:r>
      <w:r>
        <w:t xml:space="preserve">; 2) Cohort 2 will </w:t>
      </w:r>
      <w:r w:rsidR="00735869">
        <w:t>expand to include 250-500</w:t>
      </w:r>
      <w:r>
        <w:t xml:space="preserve"> acute care hospitals; 3) Cohort 3 will include </w:t>
      </w:r>
      <w:r w:rsidR="00735869">
        <w:t xml:space="preserve">250-500 </w:t>
      </w:r>
      <w:r>
        <w:t xml:space="preserve">long-term care facilities; and 4) Cohort 4 will include </w:t>
      </w:r>
      <w:r w:rsidR="00735869">
        <w:t xml:space="preserve">250-500 </w:t>
      </w:r>
      <w:r>
        <w:t xml:space="preserve">ambulatory care facilities. </w:t>
      </w:r>
    </w:p>
    <w:p w14:paraId="48C50048" w14:textId="77777777" w:rsidR="00753E41" w:rsidRPr="00C8638B" w:rsidRDefault="00753E41" w:rsidP="00D877F3">
      <w:pPr>
        <w:pStyle w:val="ColorfulList-Accent11"/>
        <w:ind w:left="0"/>
      </w:pPr>
    </w:p>
    <w:p w14:paraId="48A8A066" w14:textId="77777777" w:rsidR="00DC1D2C" w:rsidRDefault="00420AEC" w:rsidP="00C8638B">
      <w:r w:rsidRPr="00C8638B">
        <w:t xml:space="preserve">To achieve the goals of </w:t>
      </w:r>
      <w:r w:rsidR="00DC1D2C">
        <w:rPr>
          <w:bCs/>
          <w:color w:val="000000"/>
        </w:rPr>
        <w:t>t</w:t>
      </w:r>
      <w:r w:rsidR="00DC1D2C" w:rsidRPr="00C8638B">
        <w:rPr>
          <w:bCs/>
          <w:color w:val="000000"/>
        </w:rPr>
        <w:t xml:space="preserve">he </w:t>
      </w:r>
      <w:r w:rsidR="00DC1D2C" w:rsidRPr="00C8638B">
        <w:rPr>
          <w:bCs/>
          <w:i/>
          <w:color w:val="000000"/>
        </w:rPr>
        <w:t>AHRQ Safety Program for Improving Antibiotic Use</w:t>
      </w:r>
      <w:r w:rsidR="00DC1D2C" w:rsidRPr="00C8638B">
        <w:rPr>
          <w:bCs/>
          <w:color w:val="000000"/>
        </w:rPr>
        <w:t xml:space="preserve"> </w:t>
      </w:r>
      <w:r w:rsidR="00DC1D2C">
        <w:rPr>
          <w:bCs/>
          <w:color w:val="000000"/>
        </w:rPr>
        <w:t xml:space="preserve">project, </w:t>
      </w:r>
      <w:r w:rsidRPr="00C8638B">
        <w:t>the following data collections will be implemented:</w:t>
      </w:r>
    </w:p>
    <w:p w14:paraId="081E4585" w14:textId="77777777" w:rsidR="00A53D7C" w:rsidRPr="00C8638B" w:rsidRDefault="00A53D7C" w:rsidP="00C8638B"/>
    <w:p w14:paraId="0C5DB857" w14:textId="77777777" w:rsidR="00DC1D2C" w:rsidRPr="00DC1D2C" w:rsidRDefault="00420AEC" w:rsidP="00B27F17">
      <w:pPr>
        <w:pStyle w:val="ColorfulList-Accent11"/>
        <w:numPr>
          <w:ilvl w:val="0"/>
          <w:numId w:val="11"/>
        </w:numPr>
      </w:pPr>
      <w:r w:rsidRPr="00A1314D">
        <w:rPr>
          <w:bCs/>
          <w:u w:val="single"/>
        </w:rPr>
        <w:t>Structural Assessments</w:t>
      </w:r>
      <w:r w:rsidRPr="00C8638B">
        <w:rPr>
          <w:bCs/>
        </w:rPr>
        <w:t xml:space="preserve">:  A brief (five to seven questions), online Structural Assessment Tool will be administered in all settings </w:t>
      </w:r>
      <w:r w:rsidR="00071306">
        <w:rPr>
          <w:bCs/>
        </w:rPr>
        <w:t>(</w:t>
      </w:r>
      <w:r w:rsidR="00071306" w:rsidRPr="00C8638B">
        <w:t>acute care, long-term care and ambulatory care</w:t>
      </w:r>
      <w:r w:rsidR="00071306">
        <w:t>)</w:t>
      </w:r>
      <w:r w:rsidR="00071306" w:rsidRPr="00C8638B">
        <w:t xml:space="preserve"> </w:t>
      </w:r>
      <w:r w:rsidRPr="00C8638B">
        <w:rPr>
          <w:bCs/>
        </w:rPr>
        <w:t>at baseline (pre-intervention) and at the end of the intervention period to obtain general information about facilities and existing stewardship infrastructure and changes in stewardship infrastructure and interventions as a result of the AHRQ Safety Program.</w:t>
      </w:r>
    </w:p>
    <w:p w14:paraId="02759DDA" w14:textId="77777777" w:rsidR="00420AEC" w:rsidRPr="00C8638B" w:rsidRDefault="00420AEC" w:rsidP="00DC1D2C">
      <w:pPr>
        <w:pStyle w:val="ColorfulList-Accent11"/>
      </w:pPr>
      <w:r w:rsidRPr="00C8638B">
        <w:rPr>
          <w:bCs/>
        </w:rPr>
        <w:t xml:space="preserve"> </w:t>
      </w:r>
    </w:p>
    <w:p w14:paraId="7535692B" w14:textId="77777777" w:rsidR="00420AEC" w:rsidRPr="00DC1D2C" w:rsidRDefault="00420AEC" w:rsidP="00B27F17">
      <w:pPr>
        <w:pStyle w:val="ColorfulList-Accent11"/>
        <w:numPr>
          <w:ilvl w:val="0"/>
          <w:numId w:val="11"/>
        </w:numPr>
      </w:pPr>
      <w:r w:rsidRPr="00A1314D">
        <w:rPr>
          <w:bCs/>
          <w:u w:val="single"/>
        </w:rPr>
        <w:t>Team Antibiotic Review Form</w:t>
      </w:r>
      <w:r w:rsidRPr="00C8638B">
        <w:rPr>
          <w:bCs/>
        </w:rPr>
        <w:t xml:space="preserve">:  </w:t>
      </w:r>
      <w:r w:rsidR="00F9475F">
        <w:rPr>
          <w:bCs/>
        </w:rPr>
        <w:t>T</w:t>
      </w:r>
      <w:r w:rsidRPr="00C8638B">
        <w:rPr>
          <w:bCs/>
        </w:rPr>
        <w:t xml:space="preserve">he Stewardship Team </w:t>
      </w:r>
      <w:r w:rsidR="00A53D7C">
        <w:rPr>
          <w:bCs/>
        </w:rPr>
        <w:t xml:space="preserve">in hospitals and nursing homes </w:t>
      </w:r>
      <w:r w:rsidRPr="00C8638B">
        <w:rPr>
          <w:bCs/>
        </w:rPr>
        <w:t xml:space="preserve">will conduct monthly reviews of at least 10 patients who received antibiotics and fill out an assessment tool in conjunction with frontline staff to determine if the “four moments of antibiotic decision-making” are being considered by providers. </w:t>
      </w:r>
      <w:r w:rsidR="00735869">
        <w:rPr>
          <w:bCs/>
        </w:rPr>
        <w:t xml:space="preserve">The four moments can be summarized as: 1) Is an infection present requiring antibiotics? 2) </w:t>
      </w:r>
      <w:r w:rsidR="00EC7262">
        <w:rPr>
          <w:bCs/>
        </w:rPr>
        <w:t>Are</w:t>
      </w:r>
      <w:r w:rsidR="00735869">
        <w:rPr>
          <w:bCs/>
        </w:rPr>
        <w:t xml:space="preserve"> appropriate cultures </w:t>
      </w:r>
      <w:r w:rsidR="00EC7262">
        <w:rPr>
          <w:bCs/>
        </w:rPr>
        <w:t xml:space="preserve">being </w:t>
      </w:r>
      <w:r w:rsidR="00735869">
        <w:rPr>
          <w:bCs/>
        </w:rPr>
        <w:t>ordered and</w:t>
      </w:r>
      <w:r w:rsidR="00EC7262">
        <w:rPr>
          <w:bCs/>
        </w:rPr>
        <w:t xml:space="preserve"> is the most optimal</w:t>
      </w:r>
      <w:r w:rsidR="00735869">
        <w:rPr>
          <w:bCs/>
        </w:rPr>
        <w:t xml:space="preserve"> initial choice of antibiotics </w:t>
      </w:r>
      <w:r w:rsidR="00EC7262">
        <w:rPr>
          <w:bCs/>
        </w:rPr>
        <w:t>being prescribed</w:t>
      </w:r>
      <w:r w:rsidR="00735869">
        <w:rPr>
          <w:bCs/>
        </w:rPr>
        <w:t xml:space="preserve">? 3) (after at least 24 hours) </w:t>
      </w:r>
      <w:r w:rsidR="00EC7262">
        <w:rPr>
          <w:bCs/>
        </w:rPr>
        <w:t>Is it appropriate to make changes to the antibiotic regimen (e.g., stop therapy, narrow therapy, change from intravenous to oral therapy)</w:t>
      </w:r>
      <w:r w:rsidR="00735869">
        <w:rPr>
          <w:bCs/>
        </w:rPr>
        <w:t>? 4) What duration of therapy is appropriate?</w:t>
      </w:r>
    </w:p>
    <w:p w14:paraId="1D108093" w14:textId="77777777" w:rsidR="00DC1D2C" w:rsidRPr="00C8638B" w:rsidRDefault="00DC1D2C" w:rsidP="00DC1D2C">
      <w:pPr>
        <w:pStyle w:val="ColorfulList-Accent11"/>
      </w:pPr>
    </w:p>
    <w:p w14:paraId="1D214BD0" w14:textId="77777777" w:rsidR="00420AEC" w:rsidRPr="00C8638B" w:rsidRDefault="00420AEC" w:rsidP="00B27F17">
      <w:pPr>
        <w:pStyle w:val="ColorfulList-Accent11"/>
        <w:numPr>
          <w:ilvl w:val="0"/>
          <w:numId w:val="11"/>
        </w:numPr>
        <w:tabs>
          <w:tab w:val="left" w:pos="360"/>
        </w:tabs>
        <w:rPr>
          <w:bCs/>
        </w:rPr>
      </w:pPr>
      <w:r w:rsidRPr="00A1314D">
        <w:rPr>
          <w:bCs/>
          <w:u w:val="single"/>
        </w:rPr>
        <w:t>The AHRQ Surveys on Patient Safety Culture</w:t>
      </w:r>
      <w:r w:rsidR="00104F3E">
        <w:rPr>
          <w:bCs/>
          <w:u w:val="single"/>
        </w:rPr>
        <w:t>:</w:t>
      </w:r>
      <w:r w:rsidR="00104F3E">
        <w:rPr>
          <w:bCs/>
        </w:rPr>
        <w:t xml:space="preserve"> The surveys </w:t>
      </w:r>
      <w:r w:rsidRPr="00C8638B">
        <w:rPr>
          <w:bCs/>
        </w:rPr>
        <w:t xml:space="preserve">will be administered to all participating staff at the beginning and end of the intervention. Each survey asks questions about patient safety issues, medical errors, and event reporting in the respective settings. </w:t>
      </w:r>
    </w:p>
    <w:p w14:paraId="21663E2F" w14:textId="77777777" w:rsidR="00420AEC" w:rsidRPr="00C8638B" w:rsidRDefault="00420AEC" w:rsidP="00B27F17">
      <w:pPr>
        <w:pStyle w:val="ColorfulList-Accent11"/>
        <w:numPr>
          <w:ilvl w:val="1"/>
          <w:numId w:val="11"/>
        </w:numPr>
        <w:tabs>
          <w:tab w:val="left" w:pos="360"/>
        </w:tabs>
        <w:rPr>
          <w:bCs/>
        </w:rPr>
      </w:pPr>
      <w:r w:rsidRPr="00C8638B">
        <w:rPr>
          <w:bCs/>
        </w:rPr>
        <w:t xml:space="preserve">The </w:t>
      </w:r>
      <w:r w:rsidRPr="00A1314D">
        <w:rPr>
          <w:bCs/>
          <w:i/>
        </w:rPr>
        <w:t>Hospital Survey on Patient Safety Culture (HSOPS)</w:t>
      </w:r>
      <w:r w:rsidRPr="00C8638B">
        <w:rPr>
          <w:bCs/>
        </w:rPr>
        <w:t xml:space="preserve"> will be utilized to evaluate safety culture for acute care hospitals.</w:t>
      </w:r>
    </w:p>
    <w:p w14:paraId="6A6C5FD2" w14:textId="77777777" w:rsidR="00420AEC" w:rsidRPr="00C8638B" w:rsidRDefault="00420AEC" w:rsidP="00B27F17">
      <w:pPr>
        <w:pStyle w:val="ColorfulList-Accent11"/>
        <w:numPr>
          <w:ilvl w:val="1"/>
          <w:numId w:val="11"/>
        </w:numPr>
        <w:tabs>
          <w:tab w:val="left" w:pos="360"/>
        </w:tabs>
        <w:rPr>
          <w:bCs/>
        </w:rPr>
      </w:pPr>
      <w:r w:rsidRPr="00C8638B">
        <w:rPr>
          <w:bCs/>
        </w:rPr>
        <w:t xml:space="preserve">The </w:t>
      </w:r>
      <w:r w:rsidRPr="00A1314D">
        <w:rPr>
          <w:bCs/>
          <w:i/>
        </w:rPr>
        <w:t>Nursing Home Survey on Patient Safety Culture (NHSOPS)</w:t>
      </w:r>
      <w:r w:rsidRPr="00C8638B">
        <w:rPr>
          <w:bCs/>
        </w:rPr>
        <w:t xml:space="preserve"> will be administered in long</w:t>
      </w:r>
      <w:r w:rsidR="00162728">
        <w:rPr>
          <w:bCs/>
        </w:rPr>
        <w:t>-</w:t>
      </w:r>
      <w:r w:rsidRPr="00C8638B">
        <w:rPr>
          <w:bCs/>
        </w:rPr>
        <w:t>term care.</w:t>
      </w:r>
    </w:p>
    <w:p w14:paraId="5AA4F7D2" w14:textId="77777777" w:rsidR="00420AEC" w:rsidRPr="00DC1D2C" w:rsidRDefault="00420AEC" w:rsidP="00B27F17">
      <w:pPr>
        <w:pStyle w:val="ColorfulList-Accent11"/>
        <w:numPr>
          <w:ilvl w:val="1"/>
          <w:numId w:val="11"/>
        </w:numPr>
        <w:tabs>
          <w:tab w:val="left" w:pos="360"/>
        </w:tabs>
      </w:pPr>
      <w:r w:rsidRPr="00C8638B">
        <w:rPr>
          <w:bCs/>
        </w:rPr>
        <w:t xml:space="preserve">The </w:t>
      </w:r>
      <w:r w:rsidRPr="00A1314D">
        <w:rPr>
          <w:bCs/>
          <w:i/>
        </w:rPr>
        <w:t>Medical Office Survey on Patient Safety Culture (MOSOPS)</w:t>
      </w:r>
      <w:r w:rsidRPr="00C8638B">
        <w:rPr>
          <w:bCs/>
        </w:rPr>
        <w:t xml:space="preserve"> will be administered in ambulatory care centers.</w:t>
      </w:r>
    </w:p>
    <w:p w14:paraId="05C408C9" w14:textId="77777777" w:rsidR="00DC1D2C" w:rsidRPr="00C8638B" w:rsidRDefault="00DC1D2C" w:rsidP="00DC1D2C">
      <w:pPr>
        <w:pStyle w:val="ColorfulList-Accent11"/>
        <w:tabs>
          <w:tab w:val="left" w:pos="360"/>
        </w:tabs>
        <w:ind w:left="1440"/>
      </w:pPr>
    </w:p>
    <w:p w14:paraId="4C91C429" w14:textId="77777777" w:rsidR="00420AEC" w:rsidRDefault="00420AEC" w:rsidP="00B27F17">
      <w:pPr>
        <w:pStyle w:val="ColorfulList-Accent11"/>
        <w:numPr>
          <w:ilvl w:val="0"/>
          <w:numId w:val="11"/>
        </w:numPr>
        <w:tabs>
          <w:tab w:val="left" w:pos="360"/>
        </w:tabs>
        <w:rPr>
          <w:bCs/>
        </w:rPr>
      </w:pPr>
      <w:r w:rsidRPr="00A1314D">
        <w:rPr>
          <w:bCs/>
          <w:u w:val="single"/>
        </w:rPr>
        <w:t>Semi-structured qualitative interviews</w:t>
      </w:r>
      <w:r w:rsidRPr="00C8638B">
        <w:rPr>
          <w:bCs/>
        </w:rPr>
        <w:t xml:space="preserve">: </w:t>
      </w:r>
      <w:r w:rsidR="00AE3C89">
        <w:rPr>
          <w:bCs/>
        </w:rPr>
        <w:t xml:space="preserve">During the project </w:t>
      </w:r>
      <w:r w:rsidR="00D877F3">
        <w:rPr>
          <w:bCs/>
        </w:rPr>
        <w:t xml:space="preserve">pilot </w:t>
      </w:r>
      <w:r w:rsidR="00672A73">
        <w:rPr>
          <w:bCs/>
        </w:rPr>
        <w:t xml:space="preserve">period </w:t>
      </w:r>
      <w:r w:rsidR="00D877F3">
        <w:rPr>
          <w:bCs/>
        </w:rPr>
        <w:t>with Cohort 1</w:t>
      </w:r>
      <w:r w:rsidR="00AE3C89">
        <w:rPr>
          <w:bCs/>
        </w:rPr>
        <w:t>, i</w:t>
      </w:r>
      <w:r w:rsidRPr="00C8638B">
        <w:rPr>
          <w:bCs/>
        </w:rPr>
        <w:t>n-person and/or telephone discussions will be held before and after implementation with stewardship champions/organizational leaders, physicians, pharmacists, nurse practitioners, physician assistants, nurses, certified nursing assistants and others deemed relevant, to learn about the facilitators and barriers to a successful antibiotic stewardship program. Specific areas of interest include stakeholder perceptions of  implementation process and outcomes, including successes and challenges with carrying out project tasks and perceived utility of the project; staff roles, engagement and support; and antibiotic prescribing etiquette &amp; culture (i.e., social norms and local cultural factors that contribute to prescribing behavior at the facility/unit-level).</w:t>
      </w:r>
    </w:p>
    <w:p w14:paraId="0F1F3B21" w14:textId="77777777" w:rsidR="00104F3E" w:rsidRPr="00C8638B" w:rsidRDefault="00104F3E" w:rsidP="00104F3E">
      <w:pPr>
        <w:pStyle w:val="ColorfulList-Accent11"/>
        <w:tabs>
          <w:tab w:val="left" w:pos="360"/>
        </w:tabs>
        <w:rPr>
          <w:bCs/>
        </w:rPr>
      </w:pPr>
    </w:p>
    <w:p w14:paraId="3C2C197C" w14:textId="77777777" w:rsidR="00420AEC" w:rsidRPr="004614D4" w:rsidRDefault="00420AEC" w:rsidP="00B27F17">
      <w:pPr>
        <w:pStyle w:val="ColorfulList-Accent11"/>
        <w:numPr>
          <w:ilvl w:val="0"/>
          <w:numId w:val="11"/>
        </w:numPr>
        <w:tabs>
          <w:tab w:val="left" w:pos="360"/>
        </w:tabs>
        <w:rPr>
          <w:bCs/>
        </w:rPr>
      </w:pPr>
      <w:r w:rsidRPr="00C8638B">
        <w:rPr>
          <w:bCs/>
          <w:u w:val="single"/>
        </w:rPr>
        <w:t>Electronic Health Record (EHR) data</w:t>
      </w:r>
      <w:r w:rsidRPr="00C8638B">
        <w:rPr>
          <w:bCs/>
        </w:rPr>
        <w:t>: Unit-level antibiotic usage and clinical outcomes will be extracted from the EHRs of participating healthcare facilities and used to assess the impact of the</w:t>
      </w:r>
      <w:r w:rsidRPr="00C8638B">
        <w:rPr>
          <w:bCs/>
          <w:color w:val="000000"/>
        </w:rPr>
        <w:t xml:space="preserve"> </w:t>
      </w:r>
      <w:r w:rsidR="00FD4B35" w:rsidRPr="00C8638B">
        <w:rPr>
          <w:bCs/>
          <w:i/>
          <w:color w:val="000000"/>
        </w:rPr>
        <w:t>AHRQ Safety Program for Improving Antibiotic Use</w:t>
      </w:r>
      <w:r w:rsidRPr="00C8638B">
        <w:rPr>
          <w:bCs/>
          <w:color w:val="000000"/>
        </w:rPr>
        <w:t>.</w:t>
      </w:r>
    </w:p>
    <w:p w14:paraId="02DA823E" w14:textId="77777777" w:rsidR="004614D4" w:rsidRDefault="004614D4" w:rsidP="004614D4">
      <w:pPr>
        <w:pStyle w:val="ListParagraph"/>
        <w:rPr>
          <w:bCs/>
        </w:rPr>
      </w:pPr>
    </w:p>
    <w:p w14:paraId="13C32FFC" w14:textId="77777777" w:rsidR="004614D4" w:rsidRDefault="004614D4" w:rsidP="004614D4">
      <w:pPr>
        <w:pStyle w:val="ListParagraph"/>
        <w:rPr>
          <w:bCs/>
          <w:i/>
        </w:rPr>
      </w:pPr>
      <w:r w:rsidRPr="004614D4">
        <w:rPr>
          <w:bCs/>
          <w:i/>
          <w:highlight w:val="yellow"/>
        </w:rPr>
        <w:t>Revision to original OMB Clearance:</w:t>
      </w:r>
    </w:p>
    <w:p w14:paraId="42149783" w14:textId="77777777" w:rsidR="004614D4" w:rsidRPr="004614D4" w:rsidRDefault="004614D4" w:rsidP="004614D4"/>
    <w:p w14:paraId="2B055994" w14:textId="60D8D1C8" w:rsidR="004614D4" w:rsidRPr="004614D4" w:rsidRDefault="004614D4" w:rsidP="004614D4">
      <w:pPr>
        <w:rPr>
          <w:highlight w:val="yellow"/>
        </w:rPr>
      </w:pPr>
      <w:r w:rsidRPr="004614D4">
        <w:rPr>
          <w:highlight w:val="yellow"/>
        </w:rPr>
        <w:t xml:space="preserve">To </w:t>
      </w:r>
      <w:r w:rsidR="00D32DD4">
        <w:rPr>
          <w:highlight w:val="yellow"/>
        </w:rPr>
        <w:t xml:space="preserve">further </w:t>
      </w:r>
      <w:r w:rsidRPr="004614D4">
        <w:rPr>
          <w:highlight w:val="yellow"/>
        </w:rPr>
        <w:t>achieve the</w:t>
      </w:r>
      <w:r w:rsidR="00D32DD4">
        <w:rPr>
          <w:highlight w:val="yellow"/>
        </w:rPr>
        <w:t>se</w:t>
      </w:r>
      <w:r w:rsidRPr="004614D4">
        <w:rPr>
          <w:highlight w:val="yellow"/>
        </w:rPr>
        <w:t xml:space="preserve"> goals of </w:t>
      </w:r>
      <w:r w:rsidRPr="004614D4">
        <w:rPr>
          <w:bCs/>
          <w:color w:val="000000"/>
          <w:highlight w:val="yellow"/>
        </w:rPr>
        <w:t xml:space="preserve">the </w:t>
      </w:r>
      <w:r w:rsidRPr="004614D4">
        <w:rPr>
          <w:bCs/>
          <w:i/>
          <w:color w:val="000000"/>
          <w:highlight w:val="yellow"/>
        </w:rPr>
        <w:t>AHRQ Safety Program for Improving Antibiotic Use</w:t>
      </w:r>
      <w:r w:rsidRPr="004614D4">
        <w:rPr>
          <w:bCs/>
          <w:color w:val="000000"/>
          <w:highlight w:val="yellow"/>
        </w:rPr>
        <w:t xml:space="preserve"> project, </w:t>
      </w:r>
      <w:r w:rsidRPr="004614D4">
        <w:rPr>
          <w:highlight w:val="yellow"/>
        </w:rPr>
        <w:t>the following data collection will be implemented for the ambulatory care cohort (Cohort 4), which will take place December 2019 – January 2021</w:t>
      </w:r>
      <w:r w:rsidR="008D4F07">
        <w:rPr>
          <w:highlight w:val="yellow"/>
        </w:rPr>
        <w:t>.  It is anticipated that data collection will be delayed by 1-3 months, therefore this request for extension is for data collection through March 2021.</w:t>
      </w:r>
      <w:r w:rsidRPr="004614D4">
        <w:rPr>
          <w:highlight w:val="yellow"/>
        </w:rPr>
        <w:t>:</w:t>
      </w:r>
    </w:p>
    <w:p w14:paraId="074A4634" w14:textId="77777777" w:rsidR="004614D4" w:rsidRPr="004614D4" w:rsidRDefault="004614D4" w:rsidP="004614D4">
      <w:pPr>
        <w:rPr>
          <w:highlight w:val="yellow"/>
        </w:rPr>
      </w:pPr>
    </w:p>
    <w:p w14:paraId="4773FEA6" w14:textId="4E2A2728" w:rsidR="004614D4" w:rsidRPr="004614D4" w:rsidRDefault="004614D4" w:rsidP="004614D4">
      <w:pPr>
        <w:numPr>
          <w:ilvl w:val="0"/>
          <w:numId w:val="27"/>
        </w:numPr>
        <w:rPr>
          <w:highlight w:val="yellow"/>
        </w:rPr>
      </w:pPr>
      <w:r w:rsidRPr="004614D4">
        <w:rPr>
          <w:bCs/>
          <w:highlight w:val="yellow"/>
          <w:u w:val="single"/>
        </w:rPr>
        <w:t>Structural Assessments</w:t>
      </w:r>
      <w:r w:rsidRPr="004614D4">
        <w:rPr>
          <w:bCs/>
          <w:highlight w:val="yellow"/>
        </w:rPr>
        <w:t xml:space="preserve">:  A brief, eight question, online Structural Assessment Tool will be administered at baseline (pre-intervention) and at the end of the intervention period to obtain general information about facilities and stewardship infrastructure and changes to that are anticipated to be sustained as a result of the AHRQ Safety Program </w:t>
      </w:r>
      <w:r w:rsidRPr="004614D4">
        <w:rPr>
          <w:bCs/>
          <w:i/>
          <w:highlight w:val="yellow"/>
        </w:rPr>
        <w:t>(</w:t>
      </w:r>
      <w:r w:rsidR="00D22FEE">
        <w:rPr>
          <w:bCs/>
          <w:i/>
          <w:highlight w:val="yellow"/>
        </w:rPr>
        <w:t xml:space="preserve">one response per facility was included in the original OMB review, this revision adds an additional response per facility). </w:t>
      </w:r>
    </w:p>
    <w:p w14:paraId="47FD0444" w14:textId="77777777" w:rsidR="004614D4" w:rsidRPr="004614D4" w:rsidRDefault="004614D4" w:rsidP="004614D4">
      <w:pPr>
        <w:ind w:left="720"/>
        <w:rPr>
          <w:highlight w:val="yellow"/>
        </w:rPr>
      </w:pPr>
      <w:r w:rsidRPr="004614D4">
        <w:rPr>
          <w:bCs/>
          <w:highlight w:val="yellow"/>
        </w:rPr>
        <w:t xml:space="preserve"> </w:t>
      </w:r>
    </w:p>
    <w:p w14:paraId="50997600" w14:textId="77777777" w:rsidR="004614D4" w:rsidRPr="004614D4" w:rsidRDefault="004614D4" w:rsidP="004614D4">
      <w:pPr>
        <w:numPr>
          <w:ilvl w:val="0"/>
          <w:numId w:val="27"/>
        </w:numPr>
        <w:tabs>
          <w:tab w:val="left" w:pos="360"/>
        </w:tabs>
        <w:rPr>
          <w:highlight w:val="yellow"/>
        </w:rPr>
      </w:pPr>
      <w:r w:rsidRPr="004614D4">
        <w:rPr>
          <w:bCs/>
          <w:highlight w:val="yellow"/>
          <w:u w:val="single"/>
        </w:rPr>
        <w:t>The AHRQ Surveys on Patient Safety Culture:</w:t>
      </w:r>
      <w:r w:rsidRPr="004614D4">
        <w:rPr>
          <w:bCs/>
          <w:highlight w:val="yellow"/>
        </w:rPr>
        <w:t xml:space="preserve"> The surveys will be administered to all participating staff at the beginning and end of the intervention. Each survey asks questions about patient safety issues, medical errors, and event reporting in the respective settings. The </w:t>
      </w:r>
      <w:r w:rsidRPr="004614D4">
        <w:rPr>
          <w:bCs/>
          <w:i/>
          <w:highlight w:val="yellow"/>
        </w:rPr>
        <w:t>Medical Office Survey on Patient Safety Culture (MOSOPS)</w:t>
      </w:r>
      <w:r w:rsidRPr="004614D4">
        <w:rPr>
          <w:bCs/>
          <w:highlight w:val="yellow"/>
        </w:rPr>
        <w:t xml:space="preserve"> will be administered in the participating ambulatory care units. </w:t>
      </w:r>
      <w:r w:rsidRPr="004614D4">
        <w:rPr>
          <w:bCs/>
          <w:i/>
          <w:highlight w:val="yellow"/>
        </w:rPr>
        <w:t>(one response per respondent was included in the original OMB review, this revision adds an additional response per respondent).</w:t>
      </w:r>
    </w:p>
    <w:p w14:paraId="2A50BAEA" w14:textId="77777777" w:rsidR="004614D4" w:rsidRPr="004614D4" w:rsidRDefault="004614D4" w:rsidP="004614D4">
      <w:pPr>
        <w:tabs>
          <w:tab w:val="left" w:pos="360"/>
        </w:tabs>
        <w:ind w:left="1440"/>
        <w:rPr>
          <w:highlight w:val="yellow"/>
        </w:rPr>
      </w:pPr>
    </w:p>
    <w:p w14:paraId="761F5F79" w14:textId="77777777" w:rsidR="004614D4" w:rsidRPr="004614D4" w:rsidRDefault="004614D4" w:rsidP="004614D4">
      <w:pPr>
        <w:pStyle w:val="ListParagraph"/>
        <w:ind w:hanging="360"/>
        <w:rPr>
          <w:bCs/>
          <w:i/>
        </w:rPr>
      </w:pPr>
      <w:r w:rsidRPr="004614D4">
        <w:rPr>
          <w:bCs/>
          <w:highlight w:val="yellow"/>
        </w:rPr>
        <w:t xml:space="preserve">3)   </w:t>
      </w:r>
      <w:r w:rsidRPr="004614D4">
        <w:rPr>
          <w:bCs/>
          <w:highlight w:val="yellow"/>
          <w:u w:val="single"/>
        </w:rPr>
        <w:t>Electronic Health Record (EHR) data</w:t>
      </w:r>
      <w:r w:rsidRPr="004614D4">
        <w:rPr>
          <w:bCs/>
          <w:highlight w:val="yellow"/>
        </w:rPr>
        <w:t>: Unit-level antibiotic therapy prescriptions and antibiotic use for diagnosed respiratory conditions will be extracted from the Electronic Health Records (EHRs) of participating ambulatory care units and used to assess the impact of the</w:t>
      </w:r>
      <w:r w:rsidRPr="004614D4">
        <w:rPr>
          <w:bCs/>
          <w:color w:val="000000"/>
          <w:highlight w:val="yellow"/>
        </w:rPr>
        <w:t xml:space="preserve"> </w:t>
      </w:r>
      <w:r w:rsidRPr="004614D4">
        <w:rPr>
          <w:bCs/>
          <w:i/>
          <w:color w:val="000000"/>
          <w:highlight w:val="yellow"/>
        </w:rPr>
        <w:t>AHRQ Safety Program for Improving Antibiotic Use</w:t>
      </w:r>
      <w:r w:rsidRPr="004614D4">
        <w:rPr>
          <w:bCs/>
          <w:color w:val="000000"/>
          <w:highlight w:val="yellow"/>
        </w:rPr>
        <w:t xml:space="preserve">. </w:t>
      </w:r>
      <w:r w:rsidRPr="004614D4">
        <w:rPr>
          <w:bCs/>
          <w:i/>
          <w:color w:val="000000"/>
          <w:highlight w:val="yellow"/>
        </w:rPr>
        <w:t>(new from original OMB review).</w:t>
      </w:r>
    </w:p>
    <w:p w14:paraId="2C9E9533" w14:textId="77777777" w:rsidR="004614D4" w:rsidRPr="00C8638B" w:rsidRDefault="004614D4" w:rsidP="004614D4">
      <w:pPr>
        <w:pStyle w:val="ColorfulList-Accent11"/>
        <w:tabs>
          <w:tab w:val="left" w:pos="360"/>
        </w:tabs>
        <w:rPr>
          <w:bCs/>
        </w:rPr>
      </w:pPr>
    </w:p>
    <w:p w14:paraId="5ACEA343" w14:textId="77777777" w:rsidR="00527BBD" w:rsidRPr="00C8638B" w:rsidRDefault="00527BBD" w:rsidP="00C8638B"/>
    <w:p w14:paraId="445A2418" w14:textId="32CCE0B4" w:rsidR="00527BBD" w:rsidRPr="00C8638B" w:rsidRDefault="00E24EA6" w:rsidP="00C8638B">
      <w:r>
        <w:t xml:space="preserve">The project </w:t>
      </w:r>
      <w:r w:rsidR="00527BBD" w:rsidRPr="00C8638B">
        <w:t>is being conducted by AHRQ through its contractor</w:t>
      </w:r>
      <w:r w:rsidR="006443DD">
        <w:t>s</w:t>
      </w:r>
      <w:r w:rsidR="00527BBD" w:rsidRPr="00C8638B">
        <w:t>,</w:t>
      </w:r>
      <w:r w:rsidR="00104F3E">
        <w:t xml:space="preserve"> Johns Hopkins University </w:t>
      </w:r>
      <w:r w:rsidR="00EA3BED">
        <w:t xml:space="preserve">(JHU) </w:t>
      </w:r>
      <w:r w:rsidR="00104F3E">
        <w:t xml:space="preserve">and </w:t>
      </w:r>
      <w:r w:rsidR="00EA3BED">
        <w:t xml:space="preserve">JHU’s subcontractor, </w:t>
      </w:r>
      <w:r w:rsidR="00104F3E">
        <w:t>NORC at the University of Chicago</w:t>
      </w:r>
      <w:r w:rsidR="00264B80">
        <w:t xml:space="preserve">.  </w:t>
      </w:r>
      <w:r w:rsidR="00264B80" w:rsidRPr="00766287">
        <w:rPr>
          <w:bCs/>
          <w:color w:val="000000"/>
        </w:rPr>
        <w:t xml:space="preserve">The </w:t>
      </w:r>
      <w:r w:rsidR="00264B80" w:rsidRPr="007D6434">
        <w:rPr>
          <w:bCs/>
          <w:i/>
          <w:color w:val="000000"/>
        </w:rPr>
        <w:t>AHRQ Safety Program for Improving Antibiotic Use</w:t>
      </w:r>
      <w:r w:rsidR="00264B80">
        <w:rPr>
          <w:bCs/>
          <w:color w:val="000000"/>
        </w:rPr>
        <w:t xml:space="preserve"> is being undertaken</w:t>
      </w:r>
      <w:r w:rsidR="00527BBD" w:rsidRPr="00C8638B">
        <w:t xml:space="preserve"> pursuant to </w:t>
      </w:r>
      <w:r w:rsidR="006E0A89">
        <w:rPr>
          <w:bCs/>
          <w:color w:val="000000"/>
        </w:rPr>
        <w:t>AHRQ’s mission</w:t>
      </w:r>
      <w:r w:rsidR="006E0A89" w:rsidRPr="007D6434">
        <w:rPr>
          <w:bCs/>
          <w:color w:val="000000"/>
        </w:rPr>
        <w:t xml:space="preserve">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r w:rsidR="006E0A89">
        <w:rPr>
          <w:bCs/>
          <w:color w:val="000000"/>
        </w:rPr>
        <w:t xml:space="preserve">  42 U.S.C. 299.</w:t>
      </w:r>
    </w:p>
    <w:p w14:paraId="512795FE" w14:textId="77777777" w:rsidR="009B633D" w:rsidRPr="00983636" w:rsidRDefault="009B633D" w:rsidP="009B633D">
      <w:pPr>
        <w:pStyle w:val="Heading2"/>
        <w:rPr>
          <w:sz w:val="24"/>
        </w:rPr>
      </w:pPr>
      <w:bookmarkStart w:id="7" w:name="_Toc151782177"/>
      <w:bookmarkStart w:id="8" w:name="_Toc158526217"/>
      <w:bookmarkStart w:id="9" w:name="_Toc480808848"/>
      <w:r w:rsidRPr="00983636">
        <w:rPr>
          <w:sz w:val="24"/>
        </w:rPr>
        <w:t>2. Purpose and Use of Information</w:t>
      </w:r>
      <w:bookmarkEnd w:id="7"/>
      <w:bookmarkEnd w:id="8"/>
      <w:bookmarkEnd w:id="9"/>
    </w:p>
    <w:p w14:paraId="76B212FA" w14:textId="77777777" w:rsidR="00C9633D" w:rsidRDefault="00C9633D" w:rsidP="009C155B">
      <w:pPr>
        <w:spacing w:before="240"/>
      </w:pPr>
      <w:r>
        <w:t xml:space="preserve">This data collection effort will be part of a comprehensive evaluation strategy to assess the adoption of </w:t>
      </w:r>
      <w:r w:rsidR="00334D06">
        <w:t xml:space="preserve">the </w:t>
      </w:r>
      <w:r w:rsidR="00334D06" w:rsidRPr="00C8638B">
        <w:t xml:space="preserve">Comprehensive Unit-Based Safety Program </w:t>
      </w:r>
      <w:r w:rsidR="00334D06">
        <w:t>(</w:t>
      </w:r>
      <w:r>
        <w:t>CUSP</w:t>
      </w:r>
      <w:r w:rsidR="00334D06">
        <w:t>)</w:t>
      </w:r>
      <w:r>
        <w:t xml:space="preserve"> for antibiotic stewardship (AS) in </w:t>
      </w:r>
      <w:r w:rsidRPr="00C8638B">
        <w:t>acute care, long-term care and ambulatory care settings</w:t>
      </w:r>
      <w:r>
        <w:t>; measure the effectiveness of the int</w:t>
      </w:r>
      <w:r w:rsidR="00334D06">
        <w:t>erventions in the participating facilities or units;</w:t>
      </w:r>
      <w:r>
        <w:t xml:space="preserve"> evaluate the characteristics of teams that are associated with successful implementation and improvements in outcomes</w:t>
      </w:r>
      <w:r w:rsidR="000641B3">
        <w:t>; and understand drivers of antibiotic prescribing.</w:t>
      </w:r>
    </w:p>
    <w:p w14:paraId="288EFBA1" w14:textId="77777777" w:rsidR="004A253F" w:rsidRDefault="004A253F" w:rsidP="004A253F">
      <w:pPr>
        <w:rPr>
          <w:sz w:val="23"/>
          <w:szCs w:val="23"/>
        </w:rPr>
      </w:pPr>
    </w:p>
    <w:p w14:paraId="10581E3E" w14:textId="77777777" w:rsidR="000C6243" w:rsidRDefault="000C6243" w:rsidP="000C6243">
      <w:r>
        <w:t xml:space="preserve">The evaluation is largely formative in nature as AHRQ seeks information on the implementation and effectiveness of </w:t>
      </w:r>
      <w:r w:rsidR="00334D06">
        <w:t xml:space="preserve">the </w:t>
      </w:r>
      <w:r>
        <w:t xml:space="preserve">CUSP for antibiotic stewardship program. </w:t>
      </w:r>
    </w:p>
    <w:p w14:paraId="1F8CE054" w14:textId="77777777" w:rsidR="006160E9" w:rsidRDefault="006160E9" w:rsidP="004A253F">
      <w:r>
        <w:t>The evaluation will utilize a pre-post design, comparing data from each of the three facility settings</w:t>
      </w:r>
      <w:r w:rsidR="00504583">
        <w:t xml:space="preserve"> (acute care, long-term care, and ambulatory care)</w:t>
      </w:r>
      <w:r>
        <w:t xml:space="preserve">. </w:t>
      </w:r>
    </w:p>
    <w:p w14:paraId="7A86CC01" w14:textId="77777777" w:rsidR="001C6800" w:rsidRDefault="001C6800" w:rsidP="004A253F"/>
    <w:p w14:paraId="204D4C3C" w14:textId="0DECA019" w:rsidR="001C6800" w:rsidRPr="002D74BF" w:rsidRDefault="001C6800" w:rsidP="005E492D">
      <w:pPr>
        <w:pStyle w:val="ColorfulList-Accent11"/>
        <w:numPr>
          <w:ilvl w:val="0"/>
          <w:numId w:val="18"/>
        </w:numPr>
        <w:rPr>
          <w:highlight w:val="yellow"/>
        </w:rPr>
      </w:pPr>
      <w:r w:rsidRPr="00A1314D">
        <w:rPr>
          <w:bCs/>
          <w:u w:val="single"/>
        </w:rPr>
        <w:t>Structural Assessments</w:t>
      </w:r>
      <w:r w:rsidRPr="00C8638B">
        <w:rPr>
          <w:bCs/>
        </w:rPr>
        <w:t xml:space="preserve">:  </w:t>
      </w:r>
      <w:r>
        <w:rPr>
          <w:bCs/>
        </w:rPr>
        <w:t xml:space="preserve">The structural assessment will be administered to the </w:t>
      </w:r>
      <w:r w:rsidR="00334D06" w:rsidRPr="00C8638B">
        <w:rPr>
          <w:bCs/>
          <w:i/>
          <w:color w:val="000000"/>
        </w:rPr>
        <w:t>AHRQ Safety Program for Improving Antibiotic Use</w:t>
      </w:r>
      <w:r>
        <w:rPr>
          <w:bCs/>
        </w:rPr>
        <w:t xml:space="preserve"> </w:t>
      </w:r>
      <w:r w:rsidR="00334D06">
        <w:rPr>
          <w:bCs/>
        </w:rPr>
        <w:t xml:space="preserve">antibiotic stewardship </w:t>
      </w:r>
      <w:r>
        <w:rPr>
          <w:bCs/>
        </w:rPr>
        <w:t>physician</w:t>
      </w:r>
      <w:r w:rsidR="000641B3">
        <w:rPr>
          <w:bCs/>
        </w:rPr>
        <w:t xml:space="preserve">, </w:t>
      </w:r>
      <w:r>
        <w:rPr>
          <w:bCs/>
        </w:rPr>
        <w:t xml:space="preserve">pharmacist </w:t>
      </w:r>
      <w:r w:rsidR="000641B3">
        <w:rPr>
          <w:bCs/>
        </w:rPr>
        <w:t xml:space="preserve">or nurse </w:t>
      </w:r>
      <w:r>
        <w:rPr>
          <w:bCs/>
        </w:rPr>
        <w:t>lead in all three facility settings. The assessment will be administered at baseline (pre-intervention)</w:t>
      </w:r>
      <w:r w:rsidR="00162728">
        <w:rPr>
          <w:bCs/>
        </w:rPr>
        <w:t xml:space="preserve"> and</w:t>
      </w:r>
      <w:r>
        <w:rPr>
          <w:bCs/>
        </w:rPr>
        <w:t xml:space="preserve"> at the end of the intervention</w:t>
      </w:r>
      <w:r w:rsidR="00162728">
        <w:rPr>
          <w:bCs/>
        </w:rPr>
        <w:t xml:space="preserve">. </w:t>
      </w:r>
      <w:r>
        <w:rPr>
          <w:bCs/>
        </w:rPr>
        <w:t>The data will provide information about the facilities, their existing stewardship infrastructure</w:t>
      </w:r>
      <w:r w:rsidR="001111D6">
        <w:rPr>
          <w:bCs/>
        </w:rPr>
        <w:t xml:space="preserve"> and capacity to carry out the program</w:t>
      </w:r>
      <w:r>
        <w:rPr>
          <w:bCs/>
        </w:rPr>
        <w:t>, a</w:t>
      </w:r>
      <w:r w:rsidR="001111D6">
        <w:rPr>
          <w:bCs/>
        </w:rPr>
        <w:t>s well as</w:t>
      </w:r>
      <w:r>
        <w:rPr>
          <w:bCs/>
        </w:rPr>
        <w:t xml:space="preserve"> changes in the stewardship infrastructure as a result of the implementation of the </w:t>
      </w:r>
      <w:r w:rsidR="00AE3C89">
        <w:rPr>
          <w:bCs/>
        </w:rPr>
        <w:t>antibiotic stewardship program</w:t>
      </w:r>
      <w:r>
        <w:rPr>
          <w:bCs/>
        </w:rPr>
        <w:t>. Data from the p</w:t>
      </w:r>
      <w:r w:rsidR="007A37C6">
        <w:rPr>
          <w:bCs/>
        </w:rPr>
        <w:t xml:space="preserve">re- and post-intervention time </w:t>
      </w:r>
      <w:r w:rsidRPr="001C6800">
        <w:rPr>
          <w:bCs/>
        </w:rPr>
        <w:t xml:space="preserve">points will be analyzed to assess the extent to which the program </w:t>
      </w:r>
      <w:r w:rsidR="00C12BF3">
        <w:rPr>
          <w:bCs/>
        </w:rPr>
        <w:t xml:space="preserve">had </w:t>
      </w:r>
      <w:r w:rsidR="00162728">
        <w:rPr>
          <w:bCs/>
        </w:rPr>
        <w:t>an impact</w:t>
      </w:r>
      <w:r w:rsidR="00C12BF3">
        <w:rPr>
          <w:bCs/>
        </w:rPr>
        <w:t xml:space="preserve"> on antibiotic stewardship infrastructure in the participating facilities</w:t>
      </w:r>
      <w:r w:rsidRPr="001C6800">
        <w:rPr>
          <w:bCs/>
        </w:rPr>
        <w:t xml:space="preserve">. </w:t>
      </w:r>
      <w:r w:rsidR="00FB1488" w:rsidRPr="00FB1488">
        <w:rPr>
          <w:b/>
          <w:bCs/>
        </w:rPr>
        <w:t>Attachments A, B, and C</w:t>
      </w:r>
      <w:r w:rsidR="00FB1488">
        <w:rPr>
          <w:bCs/>
        </w:rPr>
        <w:t xml:space="preserve"> contain the Structural Assessment forms for all three facility settings. </w:t>
      </w:r>
      <w:r w:rsidR="00D22FEE" w:rsidRPr="002D74BF">
        <w:rPr>
          <w:bCs/>
          <w:highlight w:val="yellow"/>
        </w:rPr>
        <w:t xml:space="preserve">The Structural Assessment for the ambulatory care setting has been </w:t>
      </w:r>
      <w:r w:rsidR="00F7706B">
        <w:rPr>
          <w:bCs/>
          <w:highlight w:val="yellow"/>
        </w:rPr>
        <w:t>updated</w:t>
      </w:r>
      <w:r w:rsidR="00D22FEE" w:rsidRPr="002D74BF">
        <w:rPr>
          <w:bCs/>
          <w:highlight w:val="yellow"/>
        </w:rPr>
        <w:t xml:space="preserve"> from the version included in the original OMB </w:t>
      </w:r>
      <w:r w:rsidR="0090143E">
        <w:rPr>
          <w:bCs/>
          <w:highlight w:val="yellow"/>
        </w:rPr>
        <w:t>review</w:t>
      </w:r>
      <w:r w:rsidR="00D22FEE" w:rsidRPr="002D74BF">
        <w:rPr>
          <w:bCs/>
          <w:highlight w:val="yellow"/>
        </w:rPr>
        <w:t xml:space="preserve">. </w:t>
      </w:r>
    </w:p>
    <w:p w14:paraId="507255AA" w14:textId="77777777" w:rsidR="007A37C6" w:rsidRPr="00C8638B" w:rsidRDefault="007A37C6" w:rsidP="007A37C6">
      <w:pPr>
        <w:pStyle w:val="ColorfulList-Accent11"/>
        <w:ind w:left="360"/>
      </w:pPr>
    </w:p>
    <w:p w14:paraId="4D4D399E" w14:textId="77777777" w:rsidR="00162728" w:rsidRPr="00DC1D2C" w:rsidRDefault="001C6800" w:rsidP="00CB6D49">
      <w:pPr>
        <w:pStyle w:val="ColorfulList-Accent11"/>
        <w:numPr>
          <w:ilvl w:val="0"/>
          <w:numId w:val="18"/>
        </w:numPr>
      </w:pPr>
      <w:r w:rsidRPr="00A1314D">
        <w:rPr>
          <w:bCs/>
          <w:u w:val="single"/>
        </w:rPr>
        <w:t>Team Antibiotic Review Form</w:t>
      </w:r>
      <w:r w:rsidRPr="00C8638B">
        <w:rPr>
          <w:bCs/>
        </w:rPr>
        <w:t xml:space="preserve">:  </w:t>
      </w:r>
      <w:r w:rsidR="00C12BF3">
        <w:rPr>
          <w:bCs/>
        </w:rPr>
        <w:t>A representative from the Antibiotic</w:t>
      </w:r>
      <w:r w:rsidRPr="00C8638B">
        <w:rPr>
          <w:bCs/>
        </w:rPr>
        <w:t xml:space="preserve"> </w:t>
      </w:r>
      <w:r w:rsidR="00016177">
        <w:rPr>
          <w:bCs/>
        </w:rPr>
        <w:t xml:space="preserve">Stewardship Teams </w:t>
      </w:r>
      <w:r w:rsidR="000641B3">
        <w:rPr>
          <w:bCs/>
        </w:rPr>
        <w:t xml:space="preserve">in hospitals and nursing homes </w:t>
      </w:r>
      <w:r w:rsidR="00016177">
        <w:rPr>
          <w:bCs/>
        </w:rPr>
        <w:t>will complete a monthly Team Antibiotic Review Form for patients who are prescribed antibiotics during the intervention period (at least 10 cases per month</w:t>
      </w:r>
      <w:r w:rsidR="00334D06">
        <w:rPr>
          <w:bCs/>
        </w:rPr>
        <w:t xml:space="preserve"> during the intervention period</w:t>
      </w:r>
      <w:r w:rsidR="00016177">
        <w:rPr>
          <w:bCs/>
        </w:rPr>
        <w:t xml:space="preserve">). The assessment tool is designed to help determine if the CUSP </w:t>
      </w:r>
      <w:r w:rsidRPr="00C8638B">
        <w:rPr>
          <w:bCs/>
        </w:rPr>
        <w:t>“four moments of antibiotic decision-making” are</w:t>
      </w:r>
      <w:r w:rsidR="00016177">
        <w:rPr>
          <w:bCs/>
        </w:rPr>
        <w:t xml:space="preserve"> being considered by providers. </w:t>
      </w:r>
      <w:r w:rsidR="00162728">
        <w:rPr>
          <w:bCs/>
        </w:rPr>
        <w:t xml:space="preserve">The four moments can be summarized as: </w:t>
      </w:r>
      <w:r w:rsidR="00FD6E34" w:rsidRPr="00FD6E34">
        <w:rPr>
          <w:bCs/>
        </w:rPr>
        <w:t>The four moments can be summarized as: 1) Is an infection present requiring antibiotics? 2) Are appropriate cultures being ordered and is the most optimal initial choice of antibiotics being prescribed? 3) (after at least 24 hours) Is it appropriate to make changes to the antibiotic regimen (e.g., stop therapy, narrow therapy, change from intravenous to oral therapy)? 4) What duration of therapy is appropriate?</w:t>
      </w:r>
    </w:p>
    <w:p w14:paraId="26A83A97" w14:textId="77777777" w:rsidR="001C6800" w:rsidRPr="00DC1D2C" w:rsidRDefault="001111D6" w:rsidP="001C6800">
      <w:pPr>
        <w:pStyle w:val="ColorfulList-Accent11"/>
        <w:numPr>
          <w:ilvl w:val="0"/>
          <w:numId w:val="18"/>
        </w:numPr>
      </w:pPr>
      <w:r>
        <w:rPr>
          <w:bCs/>
        </w:rPr>
        <w:t xml:space="preserve">The data from the assessments will provide a more detailed understanding of </w:t>
      </w:r>
      <w:r w:rsidR="000641B3">
        <w:rPr>
          <w:bCs/>
        </w:rPr>
        <w:t>whether the intervention is associated with improved antibiotic decision making by participating clinicians</w:t>
      </w:r>
      <w:r>
        <w:rPr>
          <w:bCs/>
        </w:rPr>
        <w:t xml:space="preserve">. </w:t>
      </w:r>
      <w:r w:rsidR="00FB1488" w:rsidRPr="00FB1488">
        <w:rPr>
          <w:b/>
          <w:bCs/>
        </w:rPr>
        <w:t>Attachment D</w:t>
      </w:r>
      <w:r w:rsidR="00FB1488">
        <w:rPr>
          <w:bCs/>
        </w:rPr>
        <w:t xml:space="preserve"> contains the </w:t>
      </w:r>
      <w:r w:rsidR="00C85EB7">
        <w:rPr>
          <w:bCs/>
        </w:rPr>
        <w:t xml:space="preserve">Team Antibiotic Review Form; </w:t>
      </w:r>
      <w:r w:rsidR="00C85EB7">
        <w:rPr>
          <w:b/>
          <w:bCs/>
        </w:rPr>
        <w:t xml:space="preserve">Attachment E </w:t>
      </w:r>
      <w:r w:rsidR="00C85EB7">
        <w:rPr>
          <w:bCs/>
        </w:rPr>
        <w:t xml:space="preserve">contains the Completion Guide for the Team Antibiotic Review Form. </w:t>
      </w:r>
    </w:p>
    <w:p w14:paraId="1EDC84AE" w14:textId="77777777" w:rsidR="001C6800" w:rsidRPr="00C8638B" w:rsidRDefault="001C6800" w:rsidP="001C6800">
      <w:pPr>
        <w:pStyle w:val="ColorfulList-Accent11"/>
      </w:pPr>
    </w:p>
    <w:p w14:paraId="0CDAC82D" w14:textId="77777777" w:rsidR="001C6800" w:rsidRPr="00C8638B" w:rsidRDefault="001C6800" w:rsidP="001C6800">
      <w:pPr>
        <w:pStyle w:val="ColorfulList-Accent11"/>
        <w:numPr>
          <w:ilvl w:val="0"/>
          <w:numId w:val="18"/>
        </w:numPr>
        <w:tabs>
          <w:tab w:val="left" w:pos="360"/>
        </w:tabs>
        <w:rPr>
          <w:bCs/>
        </w:rPr>
      </w:pPr>
      <w:r w:rsidRPr="00A1314D">
        <w:rPr>
          <w:bCs/>
          <w:u w:val="single"/>
        </w:rPr>
        <w:t>The AHRQ Surveys on Patient Safety Culture</w:t>
      </w:r>
      <w:r>
        <w:rPr>
          <w:bCs/>
          <w:u w:val="single"/>
        </w:rPr>
        <w:t>:</w:t>
      </w:r>
      <w:r>
        <w:rPr>
          <w:bCs/>
        </w:rPr>
        <w:t xml:space="preserve"> The surveys </w:t>
      </w:r>
      <w:r w:rsidRPr="00C8638B">
        <w:rPr>
          <w:bCs/>
        </w:rPr>
        <w:t xml:space="preserve">will be administered to all </w:t>
      </w:r>
      <w:r w:rsidR="00FD4B35" w:rsidRPr="00C8638B">
        <w:rPr>
          <w:bCs/>
          <w:i/>
          <w:color w:val="000000"/>
        </w:rPr>
        <w:t>AHRQ Safety Program for Improving Antibiotic Use</w:t>
      </w:r>
      <w:r w:rsidR="00FD4B35" w:rsidRPr="00C8638B">
        <w:rPr>
          <w:bCs/>
          <w:color w:val="000000"/>
        </w:rPr>
        <w:t xml:space="preserve"> </w:t>
      </w:r>
      <w:r w:rsidRPr="00C8638B">
        <w:rPr>
          <w:bCs/>
        </w:rPr>
        <w:t xml:space="preserve">participating staff at </w:t>
      </w:r>
      <w:r w:rsidR="002665A1">
        <w:rPr>
          <w:bCs/>
        </w:rPr>
        <w:t>baseline (pre-intervention)</w:t>
      </w:r>
      <w:r w:rsidRPr="00C8638B">
        <w:rPr>
          <w:bCs/>
        </w:rPr>
        <w:t xml:space="preserve"> and end of the intervention. </w:t>
      </w:r>
      <w:r w:rsidR="00A835C4">
        <w:rPr>
          <w:bCs/>
        </w:rPr>
        <w:t xml:space="preserve">The surveys </w:t>
      </w:r>
      <w:r w:rsidR="00C12BF3">
        <w:rPr>
          <w:bCs/>
        </w:rPr>
        <w:t>are</w:t>
      </w:r>
      <w:r w:rsidR="00A835C4">
        <w:rPr>
          <w:bCs/>
        </w:rPr>
        <w:t xml:space="preserve"> adapted for the three types of health care settings. The surveys collect information on patient safety issues</w:t>
      </w:r>
      <w:r w:rsidR="00C12BF3">
        <w:rPr>
          <w:bCs/>
        </w:rPr>
        <w:t>, unit culture</w:t>
      </w:r>
      <w:r w:rsidR="00A835C4">
        <w:rPr>
          <w:bCs/>
        </w:rPr>
        <w:t xml:space="preserve">, medical errors, and event reporting. The data will assess the changes in safety culture resulting from implementation of the </w:t>
      </w:r>
      <w:r w:rsidR="00FD4B35">
        <w:rPr>
          <w:bCs/>
        </w:rPr>
        <w:t>program</w:t>
      </w:r>
      <w:r w:rsidR="00A835C4">
        <w:rPr>
          <w:bCs/>
        </w:rPr>
        <w:t xml:space="preserve">. </w:t>
      </w:r>
      <w:r w:rsidR="00D10D99">
        <w:rPr>
          <w:bCs/>
        </w:rPr>
        <w:t xml:space="preserve">The questionnaires are contained in </w:t>
      </w:r>
      <w:r w:rsidR="00D10D99">
        <w:rPr>
          <w:b/>
          <w:bCs/>
        </w:rPr>
        <w:t>Attachments F through H</w:t>
      </w:r>
      <w:r w:rsidR="00D10D99">
        <w:rPr>
          <w:bCs/>
        </w:rPr>
        <w:t xml:space="preserve">. </w:t>
      </w:r>
    </w:p>
    <w:p w14:paraId="403E2C55" w14:textId="77777777" w:rsidR="001C6800" w:rsidRPr="00C8638B" w:rsidRDefault="001C6800" w:rsidP="001C6800">
      <w:pPr>
        <w:pStyle w:val="ColorfulList-Accent11"/>
        <w:numPr>
          <w:ilvl w:val="1"/>
          <w:numId w:val="18"/>
        </w:numPr>
        <w:tabs>
          <w:tab w:val="left" w:pos="360"/>
        </w:tabs>
        <w:rPr>
          <w:bCs/>
        </w:rPr>
      </w:pPr>
      <w:r w:rsidRPr="00C8638B">
        <w:rPr>
          <w:bCs/>
        </w:rPr>
        <w:t xml:space="preserve">The </w:t>
      </w:r>
      <w:r w:rsidRPr="00A1314D">
        <w:rPr>
          <w:bCs/>
          <w:i/>
        </w:rPr>
        <w:t>Hospital Survey on Patient Safety Culture (HSOPS)</w:t>
      </w:r>
      <w:r w:rsidRPr="00C8638B">
        <w:rPr>
          <w:bCs/>
        </w:rPr>
        <w:t xml:space="preserve"> will be utilized to evaluate safety culture for acute care hospitals.</w:t>
      </w:r>
    </w:p>
    <w:p w14:paraId="2C378562" w14:textId="77777777" w:rsidR="001C6800" w:rsidRPr="00C8638B" w:rsidRDefault="001C6800" w:rsidP="001C6800">
      <w:pPr>
        <w:pStyle w:val="ColorfulList-Accent11"/>
        <w:numPr>
          <w:ilvl w:val="1"/>
          <w:numId w:val="18"/>
        </w:numPr>
        <w:tabs>
          <w:tab w:val="left" w:pos="360"/>
        </w:tabs>
        <w:rPr>
          <w:bCs/>
        </w:rPr>
      </w:pPr>
      <w:r w:rsidRPr="00C8638B">
        <w:rPr>
          <w:bCs/>
        </w:rPr>
        <w:t xml:space="preserve">The </w:t>
      </w:r>
      <w:r w:rsidRPr="00A1314D">
        <w:rPr>
          <w:bCs/>
          <w:i/>
        </w:rPr>
        <w:t>Nursing Home Survey on Patient Safety Culture (NHSOPS)</w:t>
      </w:r>
      <w:r w:rsidRPr="00C8638B">
        <w:rPr>
          <w:bCs/>
        </w:rPr>
        <w:t xml:space="preserve"> will be administered in long term care.</w:t>
      </w:r>
    </w:p>
    <w:p w14:paraId="6904C589" w14:textId="77777777" w:rsidR="001C6800" w:rsidRPr="004459FD" w:rsidRDefault="001C6800" w:rsidP="001C6800">
      <w:pPr>
        <w:pStyle w:val="ColorfulList-Accent11"/>
        <w:numPr>
          <w:ilvl w:val="1"/>
          <w:numId w:val="18"/>
        </w:numPr>
        <w:tabs>
          <w:tab w:val="left" w:pos="360"/>
        </w:tabs>
      </w:pPr>
      <w:r w:rsidRPr="00C8638B">
        <w:rPr>
          <w:bCs/>
        </w:rPr>
        <w:t xml:space="preserve">The </w:t>
      </w:r>
      <w:r w:rsidRPr="00A1314D">
        <w:rPr>
          <w:bCs/>
          <w:i/>
        </w:rPr>
        <w:t>Medical Office Survey on Patient Safety Culture (MOSOPS)</w:t>
      </w:r>
      <w:r w:rsidRPr="00C8638B">
        <w:rPr>
          <w:bCs/>
        </w:rPr>
        <w:t xml:space="preserve"> will be administered in ambulatory care centers.</w:t>
      </w:r>
    </w:p>
    <w:p w14:paraId="771AF6CD" w14:textId="77777777" w:rsidR="004459FD" w:rsidRPr="00DC1D2C" w:rsidRDefault="004459FD" w:rsidP="000C490F">
      <w:pPr>
        <w:pStyle w:val="ColorfulList-Accent11"/>
        <w:tabs>
          <w:tab w:val="left" w:pos="360"/>
        </w:tabs>
        <w:ind w:left="0"/>
      </w:pPr>
    </w:p>
    <w:p w14:paraId="607B151A" w14:textId="77777777" w:rsidR="009A1C0E" w:rsidRPr="000C490F" w:rsidRDefault="001C6800" w:rsidP="000C490F">
      <w:pPr>
        <w:pStyle w:val="ColorfulList-Accent11"/>
        <w:numPr>
          <w:ilvl w:val="0"/>
          <w:numId w:val="18"/>
        </w:numPr>
        <w:tabs>
          <w:tab w:val="left" w:pos="360"/>
        </w:tabs>
        <w:rPr>
          <w:bCs/>
        </w:rPr>
      </w:pPr>
      <w:r w:rsidRPr="004459FD">
        <w:rPr>
          <w:bCs/>
          <w:u w:val="single"/>
        </w:rPr>
        <w:t>Semi-structured qualitative interviews</w:t>
      </w:r>
      <w:r w:rsidRPr="004459FD">
        <w:rPr>
          <w:bCs/>
        </w:rPr>
        <w:t xml:space="preserve">: </w:t>
      </w:r>
      <w:r w:rsidR="00AE3C89" w:rsidRPr="004459FD">
        <w:rPr>
          <w:bCs/>
        </w:rPr>
        <w:t xml:space="preserve">During the </w:t>
      </w:r>
      <w:r w:rsidR="005C4F72" w:rsidRPr="004459FD">
        <w:rPr>
          <w:bCs/>
        </w:rPr>
        <w:t>Cohort 1 pilot</w:t>
      </w:r>
      <w:r w:rsidR="00AE3C89" w:rsidRPr="004459FD">
        <w:rPr>
          <w:bCs/>
        </w:rPr>
        <w:t>, i</w:t>
      </w:r>
      <w:r w:rsidRPr="004459FD">
        <w:rPr>
          <w:bCs/>
        </w:rPr>
        <w:t xml:space="preserve">n-person and/or telephone discussions will be </w:t>
      </w:r>
      <w:r w:rsidR="002633DD" w:rsidRPr="00D13437">
        <w:rPr>
          <w:bCs/>
        </w:rPr>
        <w:t>administered</w:t>
      </w:r>
      <w:r w:rsidRPr="00D13437">
        <w:rPr>
          <w:bCs/>
        </w:rPr>
        <w:t xml:space="preserve"> before and after implementation with s</w:t>
      </w:r>
      <w:r w:rsidRPr="000C490F">
        <w:rPr>
          <w:bCs/>
        </w:rPr>
        <w:t>tewardship champions/organizational leaders, physicians, pharmacists, nurse practitioners, physician assistants, nurses, certified nursing assistants and others deemed relevant</w:t>
      </w:r>
      <w:r w:rsidR="00B7365A" w:rsidRPr="000C490F">
        <w:rPr>
          <w:bCs/>
        </w:rPr>
        <w:t xml:space="preserve"> to prescribing by setting</w:t>
      </w:r>
      <w:r w:rsidRPr="000C490F">
        <w:rPr>
          <w:bCs/>
        </w:rPr>
        <w:t xml:space="preserve">. </w:t>
      </w:r>
      <w:r w:rsidR="00A571F9" w:rsidRPr="000C490F">
        <w:rPr>
          <w:bCs/>
        </w:rPr>
        <w:t xml:space="preserve">The </w:t>
      </w:r>
      <w:r w:rsidR="00794D5E" w:rsidRPr="000C490F">
        <w:rPr>
          <w:bCs/>
        </w:rPr>
        <w:t xml:space="preserve">qualitative data </w:t>
      </w:r>
      <w:r w:rsidR="00A571F9" w:rsidRPr="000C490F">
        <w:rPr>
          <w:bCs/>
        </w:rPr>
        <w:t>collected will help AHRQ understand the characteristics of teams associated with successful implementation and improvements in outcomes, barriers to a successful implementation of an antibiotic stewardship program</w:t>
      </w:r>
      <w:r w:rsidR="009A1C0E" w:rsidRPr="000C490F">
        <w:rPr>
          <w:bCs/>
        </w:rPr>
        <w:t>, and understand drivers of antibiotic prescribing.</w:t>
      </w:r>
      <w:r w:rsidR="001F3D06">
        <w:rPr>
          <w:bCs/>
        </w:rPr>
        <w:t xml:space="preserve">  The data collected will be used to improve the implementation and intervention approaches in</w:t>
      </w:r>
      <w:r w:rsidR="0093389A">
        <w:rPr>
          <w:bCs/>
        </w:rPr>
        <w:t xml:space="preserve"> later expanded cohorts in each of the settings—acute care, long-term care, and ambulatory care.</w:t>
      </w:r>
      <w:r w:rsidR="00D10D99">
        <w:rPr>
          <w:bCs/>
        </w:rPr>
        <w:t xml:space="preserve"> </w:t>
      </w:r>
      <w:r w:rsidR="00D10D99">
        <w:rPr>
          <w:b/>
          <w:bCs/>
        </w:rPr>
        <w:t xml:space="preserve">Attachments I and J </w:t>
      </w:r>
      <w:r w:rsidR="00D10D99">
        <w:rPr>
          <w:bCs/>
        </w:rPr>
        <w:t xml:space="preserve">contain the draft interview guides for the Antibiotic Stewardship Leads and frontline healthcare workers. </w:t>
      </w:r>
    </w:p>
    <w:p w14:paraId="6CE55F62" w14:textId="77777777" w:rsidR="00A571F9" w:rsidRPr="00A571F9" w:rsidRDefault="00A571F9" w:rsidP="00A571F9">
      <w:pPr>
        <w:pStyle w:val="ColorfulList-Accent11"/>
        <w:tabs>
          <w:tab w:val="left" w:pos="360"/>
        </w:tabs>
        <w:ind w:left="360"/>
        <w:rPr>
          <w:bCs/>
        </w:rPr>
      </w:pPr>
    </w:p>
    <w:p w14:paraId="767617F5" w14:textId="5E1FAD62" w:rsidR="002D74BF" w:rsidRPr="002D74BF" w:rsidRDefault="001C6800" w:rsidP="002D74BF">
      <w:pPr>
        <w:pStyle w:val="ColorfulList-Accent11"/>
        <w:numPr>
          <w:ilvl w:val="0"/>
          <w:numId w:val="18"/>
        </w:numPr>
        <w:tabs>
          <w:tab w:val="left" w:pos="360"/>
        </w:tabs>
        <w:rPr>
          <w:bCs/>
          <w:i/>
          <w:highlight w:val="yellow"/>
        </w:rPr>
      </w:pPr>
      <w:r w:rsidRPr="00C8638B">
        <w:rPr>
          <w:bCs/>
          <w:u w:val="single"/>
        </w:rPr>
        <w:t>Electronic Health Record (EHR) data</w:t>
      </w:r>
      <w:r w:rsidRPr="00C8638B">
        <w:rPr>
          <w:bCs/>
        </w:rPr>
        <w:t xml:space="preserve">: </w:t>
      </w:r>
      <w:r w:rsidR="003A6468">
        <w:rPr>
          <w:bCs/>
        </w:rPr>
        <w:t xml:space="preserve">Every month </w:t>
      </w:r>
      <w:r w:rsidR="004459FD">
        <w:rPr>
          <w:bCs/>
        </w:rPr>
        <w:t xml:space="preserve">starting in the </w:t>
      </w:r>
      <w:r w:rsidR="003A6468">
        <w:rPr>
          <w:bCs/>
        </w:rPr>
        <w:t xml:space="preserve">baseline (pre-intervention) </w:t>
      </w:r>
      <w:r w:rsidR="004459FD">
        <w:rPr>
          <w:bCs/>
        </w:rPr>
        <w:t xml:space="preserve">period until </w:t>
      </w:r>
      <w:r w:rsidR="003A6468">
        <w:rPr>
          <w:bCs/>
        </w:rPr>
        <w:t xml:space="preserve">the end of the intervention, each participating facility will extract clinical measures data from their EHR system. The </w:t>
      </w:r>
      <w:r w:rsidR="00B7365A">
        <w:rPr>
          <w:bCs/>
        </w:rPr>
        <w:t>clinical measures will evaluate the changes in antibiotic usage</w:t>
      </w:r>
      <w:r w:rsidR="004E650A">
        <w:rPr>
          <w:bCs/>
        </w:rPr>
        <w:t xml:space="preserve">, </w:t>
      </w:r>
      <w:r w:rsidR="00B7365A">
        <w:rPr>
          <w:bCs/>
        </w:rPr>
        <w:t xml:space="preserve">clinical outcomes, and other effectiveness measures resulting from the </w:t>
      </w:r>
      <w:r w:rsidR="00FD4B35" w:rsidRPr="00C8638B">
        <w:rPr>
          <w:bCs/>
          <w:i/>
          <w:color w:val="000000"/>
        </w:rPr>
        <w:t>AHRQ Safety Program for Improving Antibiotic Use</w:t>
      </w:r>
      <w:r w:rsidR="00B7365A">
        <w:rPr>
          <w:bCs/>
        </w:rPr>
        <w:t xml:space="preserve">. </w:t>
      </w:r>
      <w:r w:rsidR="007F3599">
        <w:rPr>
          <w:bCs/>
        </w:rPr>
        <w:t xml:space="preserve">The clinical measures template is contained in </w:t>
      </w:r>
      <w:r w:rsidR="007F3599">
        <w:rPr>
          <w:b/>
          <w:bCs/>
        </w:rPr>
        <w:t xml:space="preserve">Attachment K </w:t>
      </w:r>
      <w:r w:rsidR="007F3599">
        <w:rPr>
          <w:bCs/>
        </w:rPr>
        <w:t>and the instructions for th</w:t>
      </w:r>
      <w:r w:rsidR="002D74BF">
        <w:rPr>
          <w:bCs/>
        </w:rPr>
        <w:t xml:space="preserve">e clinical measures extraction are </w:t>
      </w:r>
      <w:r w:rsidR="007F3599">
        <w:rPr>
          <w:bCs/>
        </w:rPr>
        <w:t xml:space="preserve">contained in </w:t>
      </w:r>
      <w:r w:rsidR="007F3599">
        <w:rPr>
          <w:b/>
          <w:bCs/>
        </w:rPr>
        <w:t xml:space="preserve">Attachment L. </w:t>
      </w:r>
      <w:r w:rsidR="002D74BF" w:rsidRPr="002D74BF">
        <w:rPr>
          <w:bCs/>
          <w:highlight w:val="yellow"/>
        </w:rPr>
        <w:t>Based on feedback from the pilot</w:t>
      </w:r>
      <w:r w:rsidR="002D74BF">
        <w:rPr>
          <w:bCs/>
          <w:highlight w:val="yellow"/>
        </w:rPr>
        <w:t xml:space="preserve"> cohort</w:t>
      </w:r>
      <w:r w:rsidR="002D74BF" w:rsidRPr="002D74BF">
        <w:rPr>
          <w:bCs/>
          <w:highlight w:val="yellow"/>
        </w:rPr>
        <w:t xml:space="preserve"> and input from the ambulatory technical expert panel for the program, the </w:t>
      </w:r>
      <w:r w:rsidR="002D74BF">
        <w:rPr>
          <w:bCs/>
          <w:highlight w:val="yellow"/>
        </w:rPr>
        <w:t>EHR</w:t>
      </w:r>
      <w:r w:rsidR="002D74BF" w:rsidRPr="002D74BF">
        <w:rPr>
          <w:bCs/>
          <w:highlight w:val="yellow"/>
        </w:rPr>
        <w:t xml:space="preserve"> template for the ambulatory care setting was revised. The ambulatory care template for collecting unit-level antibiotic therapy prescriptions and antibiotic use for diagnosed respiratory conditions is contained in </w:t>
      </w:r>
      <w:r w:rsidR="002D74BF" w:rsidRPr="002D74BF">
        <w:rPr>
          <w:b/>
          <w:bCs/>
          <w:highlight w:val="yellow"/>
        </w:rPr>
        <w:t xml:space="preserve">Attachment M. </w:t>
      </w:r>
    </w:p>
    <w:p w14:paraId="462D14A7" w14:textId="77777777" w:rsidR="009B633D" w:rsidRPr="00983636" w:rsidRDefault="009B633D" w:rsidP="009B633D">
      <w:pPr>
        <w:pStyle w:val="Heading2"/>
        <w:rPr>
          <w:sz w:val="24"/>
        </w:rPr>
      </w:pPr>
      <w:bookmarkStart w:id="10" w:name="_Toc151782178"/>
      <w:bookmarkStart w:id="11" w:name="_Toc158526218"/>
      <w:bookmarkStart w:id="12" w:name="_Toc480808849"/>
      <w:r w:rsidRPr="00983636">
        <w:rPr>
          <w:sz w:val="24"/>
        </w:rPr>
        <w:t>3. Use of Improved Information Technology</w:t>
      </w:r>
      <w:bookmarkEnd w:id="10"/>
      <w:bookmarkEnd w:id="11"/>
      <w:bookmarkEnd w:id="12"/>
    </w:p>
    <w:p w14:paraId="4A7E2255" w14:textId="77777777" w:rsidR="00432FD4" w:rsidRDefault="00432FD4" w:rsidP="009C155B">
      <w:pPr>
        <w:pStyle w:val="BodyText"/>
        <w:spacing w:before="240"/>
      </w:pPr>
      <w:r>
        <w:t xml:space="preserve">In order to </w:t>
      </w:r>
      <w:r w:rsidR="005D6D09">
        <w:t xml:space="preserve">minimize </w:t>
      </w:r>
      <w:r>
        <w:t xml:space="preserve">respondent burden and to permit the electronic submission of </w:t>
      </w:r>
      <w:r w:rsidR="00F30508">
        <w:t>survey responses and data collection forms</w:t>
      </w:r>
      <w:r>
        <w:t xml:space="preserve">, </w:t>
      </w:r>
      <w:r w:rsidR="005D6D09">
        <w:t>t</w:t>
      </w:r>
      <w:r w:rsidR="005D6D09" w:rsidRPr="00FE58E6">
        <w:t xml:space="preserve">he </w:t>
      </w:r>
      <w:r w:rsidR="005D6D09">
        <w:t xml:space="preserve">Structural Assessments, Team Antibiotic Review Form, and AHRQ Surveys on Patient Safety Culture Patient Safety </w:t>
      </w:r>
      <w:r w:rsidR="005D6D09" w:rsidRPr="00FE58E6">
        <w:t>will be web-based and deployed using a well-designed, low burden, and respondent-friendly survey administration process and instrument</w:t>
      </w:r>
      <w:r w:rsidR="00DA4AE8">
        <w:t>s</w:t>
      </w:r>
      <w:r w:rsidR="005D6D09" w:rsidRPr="00FE58E6">
        <w:t xml:space="preserve">. </w:t>
      </w:r>
      <w:r>
        <w:t xml:space="preserve">In addition, the EHR data will be extracted by facility staff from their electronic systems. </w:t>
      </w:r>
      <w:r w:rsidR="008B7CC6">
        <w:t xml:space="preserve">The EHR data requested for this project may already be collected by hospitals as part of their ongoing quality improvement initiatives. </w:t>
      </w:r>
    </w:p>
    <w:p w14:paraId="63F804A6" w14:textId="6B002D33" w:rsidR="005D6D09" w:rsidRPr="005D6D09" w:rsidRDefault="005D6D09" w:rsidP="009C155B">
      <w:pPr>
        <w:pStyle w:val="BodyText"/>
        <w:spacing w:before="240"/>
      </w:pPr>
      <w:r>
        <w:t xml:space="preserve">Facility respondents will receive access to the online data collection platform and detailed instructions on completing the online forms and EHR data submissions (see </w:t>
      </w:r>
      <w:r w:rsidRPr="003F7744">
        <w:rPr>
          <w:b/>
        </w:rPr>
        <w:t xml:space="preserve">Attachment </w:t>
      </w:r>
      <w:r w:rsidR="002D74BF">
        <w:rPr>
          <w:b/>
        </w:rPr>
        <w:t>N</w:t>
      </w:r>
      <w:r w:rsidR="003F7744">
        <w:rPr>
          <w:b/>
        </w:rPr>
        <w:t>:</w:t>
      </w:r>
      <w:r>
        <w:t xml:space="preserve"> </w:t>
      </w:r>
      <w:r>
        <w:rPr>
          <w:i/>
        </w:rPr>
        <w:t xml:space="preserve">AHRQ Safety Program for Improving Antibiotic Use </w:t>
      </w:r>
      <w:r w:rsidRPr="005D6D09">
        <w:t>Data Collection Frequently Asked Questions</w:t>
      </w:r>
      <w:r>
        <w:t xml:space="preserve"> and Timeline for Data Collection and Submission). </w:t>
      </w:r>
      <w:r>
        <w:rPr>
          <w:i/>
        </w:rPr>
        <w:t xml:space="preserve"> </w:t>
      </w:r>
    </w:p>
    <w:p w14:paraId="3CD7321E" w14:textId="77777777" w:rsidR="009B633D" w:rsidRDefault="009B633D" w:rsidP="009B633D">
      <w:pPr>
        <w:pStyle w:val="Heading2"/>
        <w:rPr>
          <w:sz w:val="24"/>
        </w:rPr>
      </w:pPr>
      <w:bookmarkStart w:id="13" w:name="_Toc151782179"/>
      <w:bookmarkStart w:id="14" w:name="_Toc158526219"/>
      <w:bookmarkStart w:id="15" w:name="_Toc480808850"/>
      <w:r w:rsidRPr="00983636">
        <w:rPr>
          <w:sz w:val="24"/>
        </w:rPr>
        <w:t>4. Efforts to Identify Duplication</w:t>
      </w:r>
      <w:bookmarkEnd w:id="13"/>
      <w:bookmarkEnd w:id="14"/>
      <w:bookmarkEnd w:id="15"/>
    </w:p>
    <w:p w14:paraId="26AA6C43" w14:textId="77777777" w:rsidR="00767BA0" w:rsidRPr="00767BA0" w:rsidRDefault="00767BA0" w:rsidP="009C155B">
      <w:pPr>
        <w:spacing w:before="240" w:after="160"/>
        <w:rPr>
          <w:rFonts w:eastAsia="Calibri"/>
        </w:rPr>
      </w:pPr>
      <w:r w:rsidRPr="00767BA0">
        <w:t xml:space="preserve">AHRQ is aware of </w:t>
      </w:r>
      <w:r w:rsidR="00525F8F">
        <w:t xml:space="preserve">two </w:t>
      </w:r>
      <w:r w:rsidRPr="00767BA0">
        <w:t xml:space="preserve">other </w:t>
      </w:r>
      <w:r>
        <w:rPr>
          <w:rFonts w:eastAsia="Calibri"/>
        </w:rPr>
        <w:t xml:space="preserve">national </w:t>
      </w:r>
      <w:r w:rsidRPr="00767BA0">
        <w:rPr>
          <w:rFonts w:eastAsia="Calibri"/>
        </w:rPr>
        <w:t>patient safety and antibiotic stewardship (AS) efforts underway in acute care hospitals across the United Stat</w:t>
      </w:r>
      <w:r>
        <w:rPr>
          <w:rFonts w:eastAsia="Calibri"/>
        </w:rPr>
        <w:t>es, and is working to identify potent</w:t>
      </w:r>
      <w:r w:rsidRPr="00767BA0">
        <w:rPr>
          <w:rFonts w:eastAsia="Calibri"/>
        </w:rPr>
        <w:t xml:space="preserve">ial opportunities for the </w:t>
      </w:r>
      <w:r w:rsidRPr="00767BA0">
        <w:rPr>
          <w:rFonts w:eastAsia="Calibri"/>
          <w:i/>
        </w:rPr>
        <w:t>AHRQ Safety Program for Improving Antibiotic Use</w:t>
      </w:r>
      <w:r w:rsidRPr="00767BA0">
        <w:rPr>
          <w:rFonts w:eastAsia="Calibri"/>
        </w:rPr>
        <w:t xml:space="preserve"> to leverage and align with these efforts.</w:t>
      </w:r>
      <w:r>
        <w:rPr>
          <w:rFonts w:eastAsia="Calibri"/>
        </w:rPr>
        <w:t xml:space="preserve"> They are described below. </w:t>
      </w:r>
      <w:r w:rsidRPr="00767BA0">
        <w:rPr>
          <w:rFonts w:eastAsia="Calibri"/>
        </w:rPr>
        <w:t xml:space="preserve"> </w:t>
      </w:r>
    </w:p>
    <w:p w14:paraId="73080521" w14:textId="77777777" w:rsidR="00767BA0" w:rsidRPr="009E5077" w:rsidRDefault="00767BA0" w:rsidP="00786E44">
      <w:pPr>
        <w:numPr>
          <w:ilvl w:val="0"/>
          <w:numId w:val="21"/>
        </w:numPr>
        <w:spacing w:after="160"/>
        <w:rPr>
          <w:lang w:val="en"/>
        </w:rPr>
      </w:pPr>
      <w:r w:rsidRPr="009E5077">
        <w:rPr>
          <w:rFonts w:eastAsia="Calibri"/>
          <w:b/>
          <w:i/>
        </w:rPr>
        <w:t xml:space="preserve">Centers for Medicare &amp; Medicaid Services (CMS) </w:t>
      </w:r>
      <w:r w:rsidRPr="009E5077">
        <w:rPr>
          <w:b/>
          <w:i/>
          <w:lang w:val="en"/>
        </w:rPr>
        <w:t xml:space="preserve">Hospital Improvement Innovation Networks. </w:t>
      </w:r>
      <w:r w:rsidRPr="009E5077">
        <w:rPr>
          <w:lang w:val="en"/>
        </w:rPr>
        <w:t xml:space="preserve">This effort involves </w:t>
      </w:r>
      <w:r w:rsidRPr="009E5077">
        <w:rPr>
          <w:rFonts w:eastAsia="Calibri"/>
        </w:rPr>
        <w:t xml:space="preserve">16 national, regional, or state hospital associations and health system organizations to serve as </w:t>
      </w:r>
      <w:r w:rsidRPr="009E5077">
        <w:rPr>
          <w:lang w:val="en"/>
        </w:rPr>
        <w:t>Hospital Improvement Innovation Networks</w:t>
      </w:r>
      <w:r w:rsidRPr="009E5077">
        <w:rPr>
          <w:vertAlign w:val="superscript"/>
          <w:lang w:val="en"/>
        </w:rPr>
        <w:t xml:space="preserve"> </w:t>
      </w:r>
      <w:r w:rsidRPr="009E5077">
        <w:rPr>
          <w:rFonts w:eastAsia="Calibri"/>
        </w:rPr>
        <w:t xml:space="preserve">(HIINs). The HIINs are working to reduce 11 areas of patient harm, including </w:t>
      </w:r>
      <w:r w:rsidRPr="009E5077">
        <w:rPr>
          <w:rFonts w:eastAsia="Calibri"/>
          <w:i/>
        </w:rPr>
        <w:t>C.</w:t>
      </w:r>
      <w:r w:rsidR="000460AA">
        <w:rPr>
          <w:rFonts w:eastAsia="Calibri"/>
          <w:i/>
        </w:rPr>
        <w:t xml:space="preserve"> d</w:t>
      </w:r>
      <w:r w:rsidRPr="009E5077">
        <w:rPr>
          <w:rFonts w:eastAsia="Calibri"/>
          <w:i/>
        </w:rPr>
        <w:t xml:space="preserve">ifficile </w:t>
      </w:r>
      <w:r w:rsidR="009E5077" w:rsidRPr="006414D8">
        <w:rPr>
          <w:rFonts w:eastAsia="Calibri"/>
        </w:rPr>
        <w:t>(CDI)</w:t>
      </w:r>
      <w:r w:rsidR="009E5077" w:rsidRPr="009E5077">
        <w:rPr>
          <w:rFonts w:eastAsia="Calibri"/>
          <w:i/>
        </w:rPr>
        <w:t xml:space="preserve"> </w:t>
      </w:r>
      <w:r w:rsidRPr="009E5077">
        <w:rPr>
          <w:rFonts w:eastAsia="Calibri"/>
        </w:rPr>
        <w:t>infections</w:t>
      </w:r>
      <w:r w:rsidR="00EE746E">
        <w:rPr>
          <w:rFonts w:eastAsia="Calibri"/>
        </w:rPr>
        <w:t>.</w:t>
      </w:r>
      <w:r w:rsidRPr="009E5077">
        <w:rPr>
          <w:rFonts w:eastAsia="Calibri"/>
        </w:rPr>
        <w:t xml:space="preserve"> The HIINs initiative began in September 2016 and will end in September 2019 and aims to recruit 4,000 short-stay, acute care hospitals in the United States to participate in the reduction of all-cause patient harm and readmissions. </w:t>
      </w:r>
      <w:r w:rsidR="009E5077" w:rsidRPr="009E5077">
        <w:rPr>
          <w:rFonts w:eastAsia="Calibri"/>
        </w:rPr>
        <w:t xml:space="preserve">The HIINs initiative tasks include </w:t>
      </w:r>
      <w:r w:rsidRPr="009E5077">
        <w:rPr>
          <w:rFonts w:eastAsia="Calibri"/>
        </w:rPr>
        <w:t>implement</w:t>
      </w:r>
      <w:r w:rsidR="009E5077" w:rsidRPr="009E5077">
        <w:rPr>
          <w:rFonts w:eastAsia="Calibri"/>
        </w:rPr>
        <w:t>ing</w:t>
      </w:r>
      <w:r w:rsidRPr="009E5077">
        <w:rPr>
          <w:rFonts w:eastAsia="Calibri"/>
        </w:rPr>
        <w:t xml:space="preserve"> and strengthen</w:t>
      </w:r>
      <w:r w:rsidR="009E5077" w:rsidRPr="009E5077">
        <w:rPr>
          <w:rFonts w:eastAsia="Calibri"/>
        </w:rPr>
        <w:t>ing</w:t>
      </w:r>
      <w:r w:rsidRPr="009E5077">
        <w:rPr>
          <w:rFonts w:eastAsia="Calibri"/>
        </w:rPr>
        <w:t xml:space="preserve"> hospitals’ </w:t>
      </w:r>
      <w:r w:rsidR="006211AD">
        <w:rPr>
          <w:rFonts w:eastAsia="Calibri"/>
        </w:rPr>
        <w:t>prevention of</w:t>
      </w:r>
      <w:r w:rsidRPr="009E5077">
        <w:rPr>
          <w:rFonts w:eastAsia="Calibri"/>
        </w:rPr>
        <w:t xml:space="preserve"> </w:t>
      </w:r>
      <w:r w:rsidRPr="006414D8">
        <w:rPr>
          <w:rFonts w:eastAsia="Calibri"/>
        </w:rPr>
        <w:t>CDI</w:t>
      </w:r>
      <w:r w:rsidR="006211AD">
        <w:rPr>
          <w:rFonts w:eastAsia="Calibri"/>
        </w:rPr>
        <w:t xml:space="preserve"> efforts</w:t>
      </w:r>
      <w:r w:rsidRPr="009E5077">
        <w:rPr>
          <w:rFonts w:eastAsia="Calibri"/>
        </w:rPr>
        <w:t xml:space="preserve">. </w:t>
      </w:r>
      <w:r w:rsidRPr="009E5077">
        <w:rPr>
          <w:lang w:val="en"/>
        </w:rPr>
        <w:t>The HIINs will evaluate their CDI reduction efforts according to their personalized CDI reduction plans</w:t>
      </w:r>
      <w:r w:rsidR="009E5077">
        <w:rPr>
          <w:lang w:val="en"/>
        </w:rPr>
        <w:t xml:space="preserve">, and CMS </w:t>
      </w:r>
      <w:r w:rsidRPr="009E5077">
        <w:rPr>
          <w:lang w:val="en"/>
        </w:rPr>
        <w:t xml:space="preserve">has recommended that they use the evaluation measures recommended by the CDC’s </w:t>
      </w:r>
      <w:r w:rsidRPr="00767BA0">
        <w:t xml:space="preserve">Core Elements of Hospital Antibiotic Stewardship Programs (ASPs). </w:t>
      </w:r>
    </w:p>
    <w:p w14:paraId="15B9A513" w14:textId="77777777" w:rsidR="00767BA0" w:rsidRPr="009E5077" w:rsidRDefault="00767BA0" w:rsidP="00786E44">
      <w:pPr>
        <w:numPr>
          <w:ilvl w:val="0"/>
          <w:numId w:val="21"/>
        </w:numPr>
        <w:spacing w:after="160"/>
        <w:rPr>
          <w:rFonts w:eastAsia="Calibri"/>
        </w:rPr>
      </w:pPr>
      <w:r w:rsidRPr="009E5077">
        <w:rPr>
          <w:rFonts w:eastAsia="Calibri"/>
          <w:b/>
          <w:i/>
        </w:rPr>
        <w:t>States Targeting Reduction in Infections via Engagement (STRIVE</w:t>
      </w:r>
      <w:r w:rsidR="009E5077" w:rsidRPr="009E5077">
        <w:rPr>
          <w:rFonts w:eastAsia="Calibri"/>
          <w:b/>
          <w:i/>
        </w:rPr>
        <w:t xml:space="preserve">). </w:t>
      </w:r>
      <w:r w:rsidRPr="009E5077">
        <w:rPr>
          <w:rFonts w:eastAsia="Calibri"/>
        </w:rPr>
        <w:t>As part of States Targeting Reduction in Infections via Engagement (STRIVE), the Centers for Disease Control</w:t>
      </w:r>
      <w:r w:rsidR="00D13437">
        <w:rPr>
          <w:rFonts w:eastAsia="Calibri"/>
        </w:rPr>
        <w:t xml:space="preserve"> and Prevention</w:t>
      </w:r>
      <w:r w:rsidRPr="009E5077">
        <w:rPr>
          <w:rFonts w:eastAsia="Calibri"/>
        </w:rPr>
        <w:t xml:space="preserve"> (CDC) funded the Health Research &amp; Educational Trust (HRET) of the American Hospital Association to bring together state hospital associations, state health departments, and CMS QIN-QIOs to 1</w:t>
      </w:r>
      <w:r w:rsidR="00DD73D1">
        <w:rPr>
          <w:rFonts w:eastAsia="Calibri"/>
        </w:rPr>
        <w:t>)</w:t>
      </w:r>
      <w:r w:rsidRPr="009E5077">
        <w:rPr>
          <w:rFonts w:eastAsia="Calibri"/>
        </w:rPr>
        <w:t xml:space="preserve"> improve general infection prevention and control practice</w:t>
      </w:r>
      <w:r w:rsidR="00DD73D1">
        <w:rPr>
          <w:rFonts w:eastAsia="Calibri"/>
        </w:rPr>
        <w:t>s in acute care hospitals and 2)</w:t>
      </w:r>
      <w:r w:rsidRPr="009E5077">
        <w:rPr>
          <w:rFonts w:eastAsia="Calibri"/>
        </w:rPr>
        <w:t xml:space="preserve"> to reduce healthcare associated infections (HAIs) such as </w:t>
      </w:r>
      <w:hyperlink r:id="rId11" w:tooltip="Clostridium difficile Infection, also known as C. diff" w:history="1">
        <w:r w:rsidRPr="009E5077">
          <w:rPr>
            <w:rFonts w:eastAsia="Calibri"/>
          </w:rPr>
          <w:t>CDI</w:t>
        </w:r>
      </w:hyperlink>
      <w:r w:rsidRPr="009E5077">
        <w:rPr>
          <w:rFonts w:eastAsia="Calibri"/>
        </w:rPr>
        <w:t xml:space="preserve">, </w:t>
      </w:r>
      <w:hyperlink r:id="rId12" w:tooltip="Central line-associated bloodstream infection. " w:history="1">
        <w:r w:rsidRPr="009E5077">
          <w:rPr>
            <w:rFonts w:eastAsia="Calibri"/>
          </w:rPr>
          <w:t>CLABSI</w:t>
        </w:r>
      </w:hyperlink>
      <w:r w:rsidRPr="009E5077">
        <w:rPr>
          <w:rFonts w:eastAsia="Calibri"/>
        </w:rPr>
        <w:t xml:space="preserve">, </w:t>
      </w:r>
      <w:hyperlink r:id="rId13" w:tooltip="Catheter-associated urinary tract infection.  " w:history="1">
        <w:r w:rsidRPr="009E5077">
          <w:rPr>
            <w:rFonts w:eastAsia="Calibri"/>
          </w:rPr>
          <w:t>CAUTI</w:t>
        </w:r>
      </w:hyperlink>
      <w:r w:rsidRPr="009E5077">
        <w:rPr>
          <w:rFonts w:eastAsia="Calibri"/>
        </w:rPr>
        <w:t xml:space="preserve"> and </w:t>
      </w:r>
      <w:hyperlink r:id="rId14" w:tooltip="Methicillin-resistant Staphylococcus aureus." w:history="1">
        <w:r w:rsidRPr="009E5077">
          <w:rPr>
            <w:rFonts w:eastAsia="Calibri"/>
          </w:rPr>
          <w:t>MRSA</w:t>
        </w:r>
      </w:hyperlink>
      <w:r w:rsidRPr="009E5077">
        <w:rPr>
          <w:rFonts w:eastAsia="Calibri"/>
        </w:rPr>
        <w:t xml:space="preserve">. STRIVE is a one-year program that begins in April 2017 and ends in June 2018. </w:t>
      </w:r>
    </w:p>
    <w:p w14:paraId="75C9932B" w14:textId="77777777" w:rsidR="00767BA0" w:rsidRPr="00971A60" w:rsidRDefault="00753A8A" w:rsidP="00971A60">
      <w:pPr>
        <w:spacing w:after="160"/>
        <w:contextualSpacing/>
      </w:pPr>
      <w:r>
        <w:t xml:space="preserve">AHRQ has engaged with CMS to explore possible collaboration and with the HIINs to familiarize them with the </w:t>
      </w:r>
      <w:r w:rsidRPr="006B0F22">
        <w:rPr>
          <w:rFonts w:eastAsia="Calibri"/>
          <w:i/>
        </w:rPr>
        <w:t>AHRQ Safety Program for Improving Antibiotic Use</w:t>
      </w:r>
      <w:r>
        <w:rPr>
          <w:rFonts w:eastAsia="Calibri"/>
          <w:i/>
        </w:rPr>
        <w:t xml:space="preserve"> </w:t>
      </w:r>
      <w:r>
        <w:rPr>
          <w:rFonts w:eastAsia="Calibri"/>
        </w:rPr>
        <w:t xml:space="preserve">and identify strategies on how best to coordinate efforts to avoid duplication. Additionally, AHRQ will engage with CDC and HRET STRIVE leadership </w:t>
      </w:r>
      <w:r w:rsidRPr="00767BA0">
        <w:t>to explore the potential to coordinate educational tools and resources.</w:t>
      </w:r>
      <w:r w:rsidR="00DA4AE8">
        <w:rPr>
          <w:rFonts w:eastAsia="Calibri"/>
        </w:rPr>
        <w:t xml:space="preserve"> </w:t>
      </w:r>
      <w:r>
        <w:rPr>
          <w:rFonts w:eastAsia="Calibri"/>
        </w:rPr>
        <w:t xml:space="preserve">The </w:t>
      </w:r>
      <w:r w:rsidRPr="00DA4AE8">
        <w:rPr>
          <w:rFonts w:eastAsia="Calibri"/>
          <w:i/>
        </w:rPr>
        <w:t>AHRQ Safety Program on Improving Antibiotic Use</w:t>
      </w:r>
      <w:r>
        <w:rPr>
          <w:rFonts w:eastAsia="Calibri"/>
        </w:rPr>
        <w:t xml:space="preserve"> can synergize with and compliment these</w:t>
      </w:r>
      <w:r w:rsidR="00DA4AE8">
        <w:rPr>
          <w:rFonts w:eastAsia="Calibri"/>
        </w:rPr>
        <w:t xml:space="preserve"> </w:t>
      </w:r>
      <w:r>
        <w:rPr>
          <w:rFonts w:eastAsia="Calibri"/>
        </w:rPr>
        <w:t xml:space="preserve">existing national incentives. The </w:t>
      </w:r>
      <w:r w:rsidRPr="00DA4AE8">
        <w:rPr>
          <w:rFonts w:eastAsia="Calibri"/>
          <w:i/>
        </w:rPr>
        <w:t>AHRQ Safety Program</w:t>
      </w:r>
      <w:r>
        <w:rPr>
          <w:rFonts w:eastAsia="Calibri"/>
        </w:rPr>
        <w:t xml:space="preserve"> </w:t>
      </w:r>
      <w:r w:rsidRPr="00753A8A">
        <w:rPr>
          <w:rFonts w:eastAsia="Calibri"/>
        </w:rPr>
        <w:t>provides extensive technical and adaptive tools and approaches to improving antibiotic use for both antibiotic stewardship teams and frontline providers. For facilities and practices that do not have stewardship programs, it provides details on how to develop an effective and sustainable stewardship program. In addition, it engages frontline providers to take ownership of improving their antibiotic prescribing and in effect teaches them to become their own stewards. Through engaging webinars and e</w:t>
      </w:r>
      <w:r w:rsidR="00DA4AE8">
        <w:rPr>
          <w:rFonts w:eastAsia="Calibri"/>
        </w:rPr>
        <w:t>-</w:t>
      </w:r>
      <w:r w:rsidRPr="00753A8A">
        <w:rPr>
          <w:rFonts w:eastAsia="Calibri"/>
        </w:rPr>
        <w:t>learning modules, participants will learn how to optimize their existing resources to develop local antibiotic prescribing guidelines, incorporate antibiotic-decision tools into their daily practice, and form multidisciplinary teams focused on a common goal of improving antibiotic use. Furthermore, the program is not limited on</w:t>
      </w:r>
      <w:r>
        <w:rPr>
          <w:rFonts w:eastAsia="Calibri"/>
        </w:rPr>
        <w:t>ly to the acute care setting, but</w:t>
      </w:r>
      <w:r w:rsidRPr="00753A8A">
        <w:rPr>
          <w:rFonts w:eastAsia="Calibri"/>
        </w:rPr>
        <w:t xml:space="preserve"> also includes long-term care and ambulatory settings. </w:t>
      </w:r>
    </w:p>
    <w:p w14:paraId="511FCBEF" w14:textId="77777777" w:rsidR="009B633D" w:rsidRPr="00983636" w:rsidRDefault="009B633D" w:rsidP="009B633D">
      <w:pPr>
        <w:pStyle w:val="Heading2"/>
        <w:rPr>
          <w:sz w:val="24"/>
        </w:rPr>
      </w:pPr>
      <w:bookmarkStart w:id="16" w:name="_Toc151782180"/>
      <w:bookmarkStart w:id="17" w:name="_Toc158526220"/>
      <w:bookmarkStart w:id="18" w:name="_Toc480808851"/>
      <w:r w:rsidRPr="00983636">
        <w:rPr>
          <w:sz w:val="24"/>
        </w:rPr>
        <w:t>5. Involvement of Small Entities</w:t>
      </w:r>
      <w:bookmarkEnd w:id="16"/>
      <w:bookmarkEnd w:id="17"/>
      <w:bookmarkEnd w:id="18"/>
    </w:p>
    <w:p w14:paraId="4BDF7EA5" w14:textId="77777777" w:rsidR="006D5791" w:rsidRPr="00EA3BED" w:rsidRDefault="006D5791" w:rsidP="00EA3BED">
      <w:pPr>
        <w:spacing w:before="100" w:beforeAutospacing="1" w:after="100" w:afterAutospacing="1"/>
        <w:rPr>
          <w:i/>
        </w:rPr>
      </w:pPr>
      <w:r>
        <w:t xml:space="preserve">The information collected may involve small entities, as </w:t>
      </w:r>
      <w:r w:rsidR="00DA3BCC">
        <w:t xml:space="preserve">some of the participating acute care, ambulatory care, and long term care facilities may involve smaller units. </w:t>
      </w:r>
      <w:r>
        <w:t xml:space="preserve">For this </w:t>
      </w:r>
      <w:r w:rsidR="009C155B">
        <w:t>project</w:t>
      </w:r>
      <w:r>
        <w:t xml:space="preserve">, only items that provide critical information for </w:t>
      </w:r>
      <w:r w:rsidR="00EA3BED">
        <w:t>conducting the evaluation</w:t>
      </w:r>
      <w:r>
        <w:t xml:space="preserve"> will be included</w:t>
      </w:r>
      <w:r w:rsidR="009B62E3">
        <w:t>, and the information being requested has been held to the absolute minimum required for the intended use.</w:t>
      </w:r>
    </w:p>
    <w:p w14:paraId="580A4C38" w14:textId="77777777" w:rsidR="009B633D" w:rsidRPr="00983636" w:rsidRDefault="009B633D" w:rsidP="009B633D">
      <w:pPr>
        <w:pStyle w:val="Heading2"/>
        <w:rPr>
          <w:sz w:val="24"/>
        </w:rPr>
      </w:pPr>
      <w:bookmarkStart w:id="19" w:name="_Toc151782181"/>
      <w:bookmarkStart w:id="20" w:name="_Toc158526221"/>
      <w:bookmarkStart w:id="21" w:name="_Toc480808852"/>
      <w:r w:rsidRPr="00983636">
        <w:rPr>
          <w:sz w:val="24"/>
        </w:rPr>
        <w:t>6. Consequences if Information Collected Less Frequently</w:t>
      </w:r>
      <w:bookmarkEnd w:id="19"/>
      <w:bookmarkEnd w:id="20"/>
      <w:bookmarkEnd w:id="21"/>
    </w:p>
    <w:p w14:paraId="1E1AD6BD" w14:textId="77777777" w:rsidR="002665A1" w:rsidRDefault="002665A1" w:rsidP="009C155B">
      <w:pPr>
        <w:spacing w:before="240"/>
      </w:pPr>
      <w:bookmarkStart w:id="22" w:name="_Toc151782182"/>
      <w:bookmarkStart w:id="23" w:name="_Toc158526222"/>
      <w:r>
        <w:t xml:space="preserve">This data collection effort will be part of a comprehensive evaluation strategy to assess the adoption of CUSP for antibiotic stewardship in </w:t>
      </w:r>
      <w:r w:rsidRPr="00C8638B">
        <w:t>acute care, long-term care and ambulatory care settings</w:t>
      </w:r>
      <w:r>
        <w:t xml:space="preserve">; measure the effectiveness of the </w:t>
      </w:r>
      <w:r w:rsidR="000722CE" w:rsidRPr="00C8638B">
        <w:rPr>
          <w:bCs/>
          <w:i/>
          <w:color w:val="000000"/>
        </w:rPr>
        <w:t>AHRQ Safety Program for Improving Antibiotic Use</w:t>
      </w:r>
      <w:r w:rsidR="000722CE">
        <w:t xml:space="preserve"> </w:t>
      </w:r>
      <w:r>
        <w:t xml:space="preserve">interventions in the participating facilities; and evaluate the characteristics of teams and senior leaders that are associated with successful implementation and improvements in outcomes. </w:t>
      </w:r>
      <w:r w:rsidR="009537FA">
        <w:t xml:space="preserve">The planned frequency of data </w:t>
      </w:r>
      <w:r>
        <w:t xml:space="preserve">collection is necessary to </w:t>
      </w:r>
      <w:r w:rsidR="009537FA">
        <w:t>accurately assess the adoption and effectiveness of the program</w:t>
      </w:r>
      <w:r>
        <w:t xml:space="preserve">. </w:t>
      </w:r>
    </w:p>
    <w:p w14:paraId="06ACD4B3" w14:textId="77777777" w:rsidR="002665A1" w:rsidRDefault="002665A1" w:rsidP="002665A1"/>
    <w:p w14:paraId="2F6887CF" w14:textId="77777777" w:rsidR="002665A1" w:rsidRDefault="002665A1" w:rsidP="002665A1">
      <w:pPr>
        <w:rPr>
          <w:bCs/>
        </w:rPr>
      </w:pPr>
      <w:r>
        <w:t xml:space="preserve">The Structural Assessments will be administered at </w:t>
      </w:r>
      <w:r>
        <w:rPr>
          <w:bCs/>
        </w:rPr>
        <w:t>baseline (pre-intervention)</w:t>
      </w:r>
      <w:r w:rsidR="00B92B52">
        <w:rPr>
          <w:bCs/>
        </w:rPr>
        <w:t xml:space="preserve"> and</w:t>
      </w:r>
      <w:r>
        <w:rPr>
          <w:bCs/>
        </w:rPr>
        <w:t xml:space="preserve"> at the end of the intervention</w:t>
      </w:r>
      <w:r w:rsidRPr="001C6800">
        <w:rPr>
          <w:bCs/>
        </w:rPr>
        <w:t xml:space="preserve"> to </w:t>
      </w:r>
      <w:r>
        <w:rPr>
          <w:bCs/>
        </w:rPr>
        <w:t>measure</w:t>
      </w:r>
      <w:r w:rsidRPr="001C6800">
        <w:rPr>
          <w:bCs/>
        </w:rPr>
        <w:t xml:space="preserve"> the extent to which the program was adopted by the participating facilities. </w:t>
      </w:r>
    </w:p>
    <w:p w14:paraId="582ECD31" w14:textId="77777777" w:rsidR="00F30508" w:rsidRDefault="00F30508" w:rsidP="002665A1">
      <w:pPr>
        <w:rPr>
          <w:bCs/>
        </w:rPr>
      </w:pPr>
    </w:p>
    <w:p w14:paraId="1682A519" w14:textId="77777777" w:rsidR="002665A1" w:rsidRPr="00DC1D2C" w:rsidRDefault="002665A1" w:rsidP="002665A1">
      <w:r>
        <w:rPr>
          <w:bCs/>
        </w:rPr>
        <w:t xml:space="preserve">The </w:t>
      </w:r>
      <w:r w:rsidRPr="002665A1">
        <w:rPr>
          <w:bCs/>
        </w:rPr>
        <w:t>Team Antibiotic Review Form</w:t>
      </w:r>
      <w:r>
        <w:rPr>
          <w:bCs/>
        </w:rPr>
        <w:t xml:space="preserve"> will be collected </w:t>
      </w:r>
      <w:r w:rsidR="00FA59B8">
        <w:rPr>
          <w:bCs/>
        </w:rPr>
        <w:t xml:space="preserve">on a sample of patients </w:t>
      </w:r>
      <w:r>
        <w:rPr>
          <w:bCs/>
        </w:rPr>
        <w:t xml:space="preserve">monthly </w:t>
      </w:r>
      <w:r w:rsidR="00474D22">
        <w:rPr>
          <w:bCs/>
        </w:rPr>
        <w:t xml:space="preserve">during the intervention </w:t>
      </w:r>
      <w:r w:rsidR="00D13437">
        <w:rPr>
          <w:bCs/>
        </w:rPr>
        <w:t xml:space="preserve">in the acute and long-term care settings </w:t>
      </w:r>
      <w:r>
        <w:rPr>
          <w:bCs/>
        </w:rPr>
        <w:t>to provide a more detailed understanding of the use of antibiotics being prescribed</w:t>
      </w:r>
      <w:r w:rsidR="00FA59B8">
        <w:rPr>
          <w:bCs/>
        </w:rPr>
        <w:t xml:space="preserve"> and provide to clinicians the opportunity to assess antibiotic use in the unit</w:t>
      </w:r>
      <w:r w:rsidR="00474D22">
        <w:rPr>
          <w:bCs/>
        </w:rPr>
        <w:t>.</w:t>
      </w:r>
      <w:r w:rsidR="00FA59B8">
        <w:rPr>
          <w:bCs/>
        </w:rPr>
        <w:t xml:space="preserve">  </w:t>
      </w:r>
      <w:r w:rsidR="00474D22">
        <w:rPr>
          <w:bCs/>
        </w:rPr>
        <w:t xml:space="preserve"> </w:t>
      </w:r>
      <w:r w:rsidR="00FA59B8">
        <w:rPr>
          <w:bCs/>
        </w:rPr>
        <w:t xml:space="preserve"> </w:t>
      </w:r>
    </w:p>
    <w:p w14:paraId="2D0470D2" w14:textId="77777777" w:rsidR="002665A1" w:rsidRPr="00C8638B" w:rsidRDefault="002665A1" w:rsidP="002665A1">
      <w:pPr>
        <w:pStyle w:val="ColorfulList-Accent11"/>
      </w:pPr>
    </w:p>
    <w:p w14:paraId="1E68FFBC" w14:textId="77777777" w:rsidR="002665A1" w:rsidRPr="00C8638B" w:rsidRDefault="002665A1" w:rsidP="002665A1">
      <w:pPr>
        <w:pStyle w:val="ColorfulList-Accent11"/>
        <w:tabs>
          <w:tab w:val="left" w:pos="360"/>
        </w:tabs>
        <w:ind w:left="0"/>
        <w:rPr>
          <w:bCs/>
        </w:rPr>
      </w:pPr>
      <w:r w:rsidRPr="002665A1">
        <w:rPr>
          <w:bCs/>
        </w:rPr>
        <w:t>The AHRQ Surveys on Patient Safety Culture</w:t>
      </w:r>
      <w:r>
        <w:rPr>
          <w:bCs/>
        </w:rPr>
        <w:t xml:space="preserve"> will be collected </w:t>
      </w:r>
      <w:r w:rsidRPr="00C8638B">
        <w:rPr>
          <w:bCs/>
        </w:rPr>
        <w:t xml:space="preserve">at the </w:t>
      </w:r>
      <w:r>
        <w:rPr>
          <w:bCs/>
        </w:rPr>
        <w:t>baseline (pre-intervention)</w:t>
      </w:r>
      <w:r w:rsidRPr="00C8638B">
        <w:rPr>
          <w:bCs/>
        </w:rPr>
        <w:t xml:space="preserve"> and end of the interventio</w:t>
      </w:r>
      <w:r>
        <w:rPr>
          <w:bCs/>
        </w:rPr>
        <w:t xml:space="preserve">n to measure the changes in safety culture resulting from implementation of the program. </w:t>
      </w:r>
    </w:p>
    <w:p w14:paraId="3D2781CD" w14:textId="77777777" w:rsidR="002665A1" w:rsidRPr="00C8638B" w:rsidRDefault="002665A1" w:rsidP="002665A1">
      <w:pPr>
        <w:pStyle w:val="ColorfulList-Accent11"/>
        <w:tabs>
          <w:tab w:val="left" w:pos="360"/>
        </w:tabs>
        <w:ind w:left="1440"/>
      </w:pPr>
    </w:p>
    <w:p w14:paraId="2FAB5949" w14:textId="77777777" w:rsidR="002665A1" w:rsidRDefault="0054079E" w:rsidP="0054079E">
      <w:pPr>
        <w:pStyle w:val="ColorfulList-Accent11"/>
        <w:tabs>
          <w:tab w:val="left" w:pos="360"/>
        </w:tabs>
        <w:ind w:left="0"/>
        <w:rPr>
          <w:bCs/>
        </w:rPr>
      </w:pPr>
      <w:r w:rsidRPr="0054079E">
        <w:rPr>
          <w:bCs/>
        </w:rPr>
        <w:t>The s</w:t>
      </w:r>
      <w:r w:rsidR="002665A1" w:rsidRPr="0054079E">
        <w:rPr>
          <w:bCs/>
        </w:rPr>
        <w:t>em</w:t>
      </w:r>
      <w:r>
        <w:rPr>
          <w:bCs/>
        </w:rPr>
        <w:t xml:space="preserve">i-structured </w:t>
      </w:r>
      <w:r w:rsidR="002665A1" w:rsidRPr="0054079E">
        <w:rPr>
          <w:bCs/>
        </w:rPr>
        <w:t>interviews</w:t>
      </w:r>
      <w:r w:rsidRPr="0054079E">
        <w:rPr>
          <w:bCs/>
        </w:rPr>
        <w:t xml:space="preserve"> </w:t>
      </w:r>
      <w:r w:rsidR="002665A1" w:rsidRPr="0054079E">
        <w:rPr>
          <w:bCs/>
        </w:rPr>
        <w:t>w</w:t>
      </w:r>
      <w:r w:rsidR="002665A1" w:rsidRPr="00A571F9">
        <w:rPr>
          <w:bCs/>
        </w:rPr>
        <w:t xml:space="preserve">ill be </w:t>
      </w:r>
      <w:r>
        <w:rPr>
          <w:bCs/>
        </w:rPr>
        <w:t>conducted</w:t>
      </w:r>
      <w:r w:rsidR="002665A1" w:rsidRPr="00A571F9">
        <w:rPr>
          <w:bCs/>
        </w:rPr>
        <w:t xml:space="preserve"> </w:t>
      </w:r>
      <w:r w:rsidR="00B2166E">
        <w:rPr>
          <w:bCs/>
        </w:rPr>
        <w:t xml:space="preserve">for </w:t>
      </w:r>
      <w:r w:rsidR="00402680">
        <w:rPr>
          <w:bCs/>
        </w:rPr>
        <w:t>the pilot period</w:t>
      </w:r>
      <w:r w:rsidR="009D4574">
        <w:rPr>
          <w:bCs/>
        </w:rPr>
        <w:t xml:space="preserve"> only </w:t>
      </w:r>
      <w:r w:rsidR="002665A1" w:rsidRPr="00A571F9">
        <w:rPr>
          <w:bCs/>
        </w:rPr>
        <w:t xml:space="preserve">before and after implementation </w:t>
      </w:r>
      <w:r>
        <w:rPr>
          <w:bCs/>
        </w:rPr>
        <w:t xml:space="preserve">to collect qualitative information on the </w:t>
      </w:r>
      <w:r w:rsidR="009D4574">
        <w:rPr>
          <w:bCs/>
        </w:rPr>
        <w:t xml:space="preserve">pilot </w:t>
      </w:r>
      <w:r w:rsidR="002665A1" w:rsidRPr="00A571F9">
        <w:rPr>
          <w:bCs/>
        </w:rPr>
        <w:t>implementation</w:t>
      </w:r>
      <w:r>
        <w:rPr>
          <w:bCs/>
        </w:rPr>
        <w:t xml:space="preserve"> of the program. </w:t>
      </w:r>
      <w:r w:rsidR="002665A1">
        <w:rPr>
          <w:bCs/>
        </w:rPr>
        <w:t xml:space="preserve"> </w:t>
      </w:r>
      <w:r w:rsidR="002665A1" w:rsidRPr="00A571F9">
        <w:rPr>
          <w:bCs/>
        </w:rPr>
        <w:t xml:space="preserve"> </w:t>
      </w:r>
    </w:p>
    <w:p w14:paraId="5B8D07C1" w14:textId="77777777" w:rsidR="002665A1" w:rsidRPr="00A571F9" w:rsidRDefault="002665A1" w:rsidP="002665A1">
      <w:pPr>
        <w:pStyle w:val="ColorfulList-Accent11"/>
        <w:tabs>
          <w:tab w:val="left" w:pos="360"/>
        </w:tabs>
        <w:ind w:left="360"/>
        <w:rPr>
          <w:bCs/>
        </w:rPr>
      </w:pPr>
    </w:p>
    <w:p w14:paraId="4C6F66D5" w14:textId="77777777" w:rsidR="006D5791" w:rsidRDefault="00AE1020" w:rsidP="00AE1020">
      <w:pPr>
        <w:spacing w:after="240"/>
        <w:rPr>
          <w:b/>
          <w:i/>
        </w:rPr>
      </w:pPr>
      <w:r w:rsidRPr="009C155B">
        <w:rPr>
          <w:bCs/>
        </w:rPr>
        <w:t xml:space="preserve">The </w:t>
      </w:r>
      <w:r w:rsidR="002665A1" w:rsidRPr="009C155B">
        <w:rPr>
          <w:bCs/>
        </w:rPr>
        <w:t>Electronic Health Record (EHR) data</w:t>
      </w:r>
      <w:r w:rsidRPr="009C155B">
        <w:rPr>
          <w:bCs/>
        </w:rPr>
        <w:t xml:space="preserve"> will be collected e</w:t>
      </w:r>
      <w:r w:rsidR="002665A1" w:rsidRPr="009C155B">
        <w:rPr>
          <w:bCs/>
        </w:rPr>
        <w:t>v</w:t>
      </w:r>
      <w:r w:rsidR="002665A1">
        <w:rPr>
          <w:bCs/>
        </w:rPr>
        <w:t xml:space="preserve">ery month </w:t>
      </w:r>
      <w:r w:rsidR="00D13437">
        <w:rPr>
          <w:bCs/>
        </w:rPr>
        <w:t>starting in the baseline (pre-intervention) period until the end of the intervention</w:t>
      </w:r>
      <w:r w:rsidR="00D13437" w:rsidDel="00D13437">
        <w:rPr>
          <w:bCs/>
        </w:rPr>
        <w:t xml:space="preserve"> </w:t>
      </w:r>
      <w:r>
        <w:rPr>
          <w:bCs/>
        </w:rPr>
        <w:t xml:space="preserve">to measure </w:t>
      </w:r>
      <w:r w:rsidR="002665A1">
        <w:rPr>
          <w:bCs/>
        </w:rPr>
        <w:t xml:space="preserve">changes in antibiotic usage, clinical outcomes, and other effectiveness measures resulting from the </w:t>
      </w:r>
      <w:r w:rsidR="002665A1" w:rsidRPr="00C8638B">
        <w:rPr>
          <w:bCs/>
          <w:i/>
          <w:color w:val="000000"/>
        </w:rPr>
        <w:t>AHRQ Safety Program for Improving Antibiotic Use</w:t>
      </w:r>
      <w:r w:rsidR="002665A1">
        <w:rPr>
          <w:bCs/>
        </w:rPr>
        <w:t>.</w:t>
      </w:r>
      <w:r w:rsidRPr="00FB6500">
        <w:rPr>
          <w:b/>
          <w:i/>
        </w:rPr>
        <w:t xml:space="preserve"> </w:t>
      </w:r>
    </w:p>
    <w:p w14:paraId="68C8CC8C" w14:textId="77777777" w:rsidR="009B633D" w:rsidRDefault="009B633D" w:rsidP="009B633D">
      <w:pPr>
        <w:pStyle w:val="Heading2"/>
        <w:rPr>
          <w:sz w:val="24"/>
        </w:rPr>
      </w:pPr>
      <w:bookmarkStart w:id="24" w:name="_Toc480808853"/>
      <w:r w:rsidRPr="00412C6F">
        <w:rPr>
          <w:sz w:val="24"/>
        </w:rPr>
        <w:t>7. Special Circumstances</w:t>
      </w:r>
      <w:bookmarkEnd w:id="22"/>
      <w:bookmarkEnd w:id="23"/>
      <w:bookmarkEnd w:id="24"/>
    </w:p>
    <w:p w14:paraId="7A5C0886"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37BFEB93" w14:textId="77777777" w:rsidR="004E3A1B" w:rsidRDefault="009B633D" w:rsidP="004E3A1B">
      <w:pPr>
        <w:pStyle w:val="Heading2"/>
        <w:rPr>
          <w:sz w:val="24"/>
          <w:szCs w:val="24"/>
        </w:rPr>
      </w:pPr>
      <w:bookmarkStart w:id="25" w:name="_Toc151782183"/>
      <w:bookmarkStart w:id="26" w:name="_Toc158526223"/>
      <w:bookmarkStart w:id="27" w:name="_Toc480808854"/>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58BD39A6" w14:textId="77777777" w:rsidR="00131443" w:rsidRDefault="004E3A1B" w:rsidP="00896D9C">
      <w:pPr>
        <w:pStyle w:val="Heading2"/>
        <w:spacing w:after="0"/>
      </w:pPr>
      <w:bookmarkStart w:id="28" w:name="_Toc480808855"/>
      <w:r w:rsidRPr="004E3A1B">
        <w:t>8.a.</w:t>
      </w:r>
      <w:r>
        <w:t xml:space="preserve"> </w:t>
      </w:r>
      <w:r w:rsidRPr="004E3A1B">
        <w:t>Federal Register Notice</w:t>
      </w:r>
      <w:bookmarkEnd w:id="28"/>
    </w:p>
    <w:p w14:paraId="6E596793" w14:textId="77777777" w:rsidR="007C1ECB" w:rsidRPr="007C1ECB" w:rsidRDefault="007C1ECB" w:rsidP="004E3A1B"/>
    <w:p w14:paraId="76E75D2C" w14:textId="08B480CC" w:rsidR="004E3A1B" w:rsidRPr="004E3A1B" w:rsidRDefault="00A30D9A" w:rsidP="004E3A1B">
      <w:bookmarkStart w:id="29" w:name="OLE_LINK3"/>
      <w:bookmarkStart w:id="30" w:name="OLE_LINK4"/>
      <w:r>
        <w:t xml:space="preserve">As required by </w:t>
      </w:r>
      <w:r w:rsidR="0037771B">
        <w:t>5 CFR 1320.8(d), n</w:t>
      </w:r>
      <w:r w:rsidR="009374DF" w:rsidRPr="007B4120">
        <w:t>otice was published in the Federal Register on</w:t>
      </w:r>
      <w:r w:rsidR="00EB5005">
        <w:t xml:space="preserve"> April 1, 2019, </w:t>
      </w:r>
      <w:r w:rsidR="00EB5005" w:rsidRPr="00EB5005">
        <w:t>Page 12251</w:t>
      </w:r>
      <w:r w:rsidR="009374DF" w:rsidRPr="007B4120">
        <w:t xml:space="preserve"> </w:t>
      </w:r>
      <w:r w:rsidR="00EB5005" w:rsidRPr="00EB5005">
        <w:t>for</w:t>
      </w:r>
      <w:r w:rsidR="00EB5005">
        <w:rPr>
          <w:i/>
        </w:rPr>
        <w:t xml:space="preserve"> </w:t>
      </w:r>
      <w:r w:rsidR="009374DF" w:rsidRPr="009C155B">
        <w:t>60 days</w:t>
      </w:r>
      <w:r w:rsidR="00016560" w:rsidRPr="009C155B">
        <w:t xml:space="preserve"> </w:t>
      </w:r>
      <w:r w:rsidR="00620B93" w:rsidRPr="009C155B">
        <w:t xml:space="preserve">(see </w:t>
      </w:r>
      <w:r w:rsidR="00620B93" w:rsidRPr="003F7744">
        <w:rPr>
          <w:b/>
        </w:rPr>
        <w:t>A</w:t>
      </w:r>
      <w:r w:rsidR="00EE4455" w:rsidRPr="003F7744">
        <w:rPr>
          <w:b/>
        </w:rPr>
        <w:t xml:space="preserve">ttachment </w:t>
      </w:r>
      <w:r w:rsidR="002D74BF">
        <w:rPr>
          <w:b/>
        </w:rPr>
        <w:t>O</w:t>
      </w:r>
      <w:r w:rsidR="00016560" w:rsidRPr="009C155B">
        <w:t>)</w:t>
      </w:r>
      <w:r w:rsidR="009374DF" w:rsidRPr="009C155B">
        <w:t xml:space="preserve">.  </w:t>
      </w:r>
      <w:bookmarkEnd w:id="29"/>
      <w:bookmarkEnd w:id="30"/>
      <w:r w:rsidR="009D0F7F" w:rsidRPr="00C913A8">
        <w:rPr>
          <w:bCs/>
          <w:iCs/>
        </w:rPr>
        <w:t xml:space="preserve">AHRQ </w:t>
      </w:r>
      <w:r w:rsidR="009D0F7F">
        <w:rPr>
          <w:bCs/>
          <w:iCs/>
        </w:rPr>
        <w:t>did not receive</w:t>
      </w:r>
      <w:r w:rsidR="009D0F7F" w:rsidRPr="00C913A8">
        <w:rPr>
          <w:bCs/>
          <w:iCs/>
        </w:rPr>
        <w:t xml:space="preserve"> substantive comments</w:t>
      </w:r>
      <w:r w:rsidR="009D0F7F">
        <w:rPr>
          <w:bCs/>
          <w:iCs/>
        </w:rPr>
        <w:t>.</w:t>
      </w:r>
    </w:p>
    <w:p w14:paraId="24EE5B0B" w14:textId="77777777" w:rsidR="009B633D" w:rsidRPr="00412C6F" w:rsidRDefault="00AF646B" w:rsidP="009B633D">
      <w:pPr>
        <w:pStyle w:val="Heading2"/>
        <w:rPr>
          <w:sz w:val="24"/>
        </w:rPr>
      </w:pPr>
      <w:bookmarkStart w:id="31" w:name="_Toc480808856"/>
      <w:r>
        <w:rPr>
          <w:sz w:val="24"/>
        </w:rPr>
        <w:t xml:space="preserve">8.b. </w:t>
      </w:r>
      <w:r w:rsidR="004E3A1B" w:rsidRPr="004E3A1B">
        <w:rPr>
          <w:sz w:val="24"/>
          <w:szCs w:val="24"/>
        </w:rPr>
        <w:t>Outside Consultations</w:t>
      </w:r>
      <w:bookmarkEnd w:id="31"/>
    </w:p>
    <w:p w14:paraId="67278AC9" w14:textId="48F0F316" w:rsidR="00E30599" w:rsidRDefault="009D4574" w:rsidP="00E30599">
      <w:pPr>
        <w:pStyle w:val="Default"/>
      </w:pPr>
      <w:bookmarkStart w:id="32" w:name="_Toc457285506"/>
      <w:bookmarkStart w:id="33" w:name="_Toc58725294"/>
      <w:bookmarkStart w:id="34" w:name="_Toc151782184"/>
      <w:bookmarkStart w:id="35" w:name="_Toc158526224"/>
      <w:r>
        <w:t xml:space="preserve">The JHU and NORC team </w:t>
      </w:r>
      <w:r w:rsidR="000840CC" w:rsidRPr="00E64791">
        <w:t>h</w:t>
      </w:r>
      <w:r w:rsidR="00041C74">
        <w:t>ave</w:t>
      </w:r>
      <w:r w:rsidR="000840CC" w:rsidRPr="00E64791">
        <w:t xml:space="preserve"> consulted with</w:t>
      </w:r>
      <w:r>
        <w:t xml:space="preserve"> a technical expert panel</w:t>
      </w:r>
      <w:r w:rsidR="001916C6">
        <w:t xml:space="preserve"> </w:t>
      </w:r>
      <w:r>
        <w:t>(TEP)</w:t>
      </w:r>
      <w:r w:rsidR="000840CC" w:rsidRPr="00E64791">
        <w:t xml:space="preserve"> to provide expertise and guidance to develop the plan and design for this project, and each phase, including the development of the antibiotic stewardship program and toolkit, and evaluation for which this data collection is designed. </w:t>
      </w:r>
      <w:r w:rsidR="0006612E" w:rsidRPr="00E64791">
        <w:t>The TEP consist</w:t>
      </w:r>
      <w:r w:rsidR="0006612E">
        <w:t>s</w:t>
      </w:r>
      <w:r w:rsidR="0006612E" w:rsidRPr="00E64791">
        <w:t xml:space="preserve"> of individuals with knowledge and experience in antibiotic stewardship</w:t>
      </w:r>
      <w:r w:rsidR="0006612E">
        <w:t xml:space="preserve">, including knowledge of </w:t>
      </w:r>
      <w:r w:rsidR="0006612E" w:rsidRPr="00E64791">
        <w:t xml:space="preserve">application of antibiotic stewardship to each of the settings: hospital, long-term care, and ambulatory settings, and also in integrated systems </w:t>
      </w:r>
      <w:r w:rsidR="0006612E">
        <w:t xml:space="preserve">(see </w:t>
      </w:r>
      <w:r w:rsidR="0006612E" w:rsidRPr="003F7744">
        <w:rPr>
          <w:b/>
        </w:rPr>
        <w:t xml:space="preserve">Attachment </w:t>
      </w:r>
      <w:r w:rsidR="002D74BF">
        <w:rPr>
          <w:b/>
        </w:rPr>
        <w:t>P</w:t>
      </w:r>
      <w:r w:rsidR="0006612E">
        <w:t xml:space="preserve"> for list of TEP members). </w:t>
      </w:r>
      <w:r w:rsidR="009F37BA" w:rsidRPr="009F37BA">
        <w:rPr>
          <w:highlight w:val="yellow"/>
        </w:rPr>
        <w:t>Four TEP meetings and one Ambulatory sub-TEP meeting have taken place. The TEP meetings were held as follows: TEP 1 – in-person, January 12, 2017; TEP 2 – virtual, May 9, 2017; TEP 3 – in-person, September 28, 2017; TEP 4 – in-person, September 7, 2018. The Ambulatory sub-TEP was a one-time meeting held on November 16, 2018.</w:t>
      </w:r>
      <w:r w:rsidR="009F37BA">
        <w:t xml:space="preserve">    </w:t>
      </w:r>
    </w:p>
    <w:p w14:paraId="73044065" w14:textId="77777777" w:rsidR="00E30599" w:rsidRDefault="00E30599" w:rsidP="00582705"/>
    <w:p w14:paraId="05275ACE" w14:textId="77777777" w:rsidR="009F37BA" w:rsidRDefault="00041C74" w:rsidP="00582705">
      <w:r>
        <w:t>The TEP</w:t>
      </w:r>
      <w:r w:rsidR="00971A60">
        <w:t xml:space="preserve"> </w:t>
      </w:r>
      <w:r>
        <w:t>is tasked with providing critical feedback on all aspects of this program</w:t>
      </w:r>
      <w:r w:rsidR="0006612E">
        <w:t xml:space="preserve">, including reviewing </w:t>
      </w:r>
      <w:r w:rsidR="000840CC">
        <w:t xml:space="preserve">the evidence review report, </w:t>
      </w:r>
      <w:r w:rsidR="0006612E">
        <w:t xml:space="preserve">providing </w:t>
      </w:r>
      <w:r w:rsidR="009D4574">
        <w:t>expert input on</w:t>
      </w:r>
      <w:r w:rsidR="000840CC">
        <w:t xml:space="preserve"> the essentials of antibiotic stewardship and the </w:t>
      </w:r>
      <w:r w:rsidR="009D4574">
        <w:t xml:space="preserve">information </w:t>
      </w:r>
      <w:r w:rsidR="000840CC">
        <w:t xml:space="preserve">most appropriate to include </w:t>
      </w:r>
      <w:r w:rsidR="009D4574">
        <w:t xml:space="preserve">in the educational toolkits </w:t>
      </w:r>
      <w:r w:rsidR="000840CC">
        <w:t>for each setting, and measures to assess the effectiveness of the program</w:t>
      </w:r>
      <w:r w:rsidR="000840CC" w:rsidRPr="0048769A">
        <w:t xml:space="preserve">. </w:t>
      </w:r>
      <w:r w:rsidR="00582705" w:rsidRPr="0048769A">
        <w:t xml:space="preserve">The TEP provided feedback regarding data collection for the </w:t>
      </w:r>
      <w:r w:rsidR="00582705" w:rsidRPr="0048769A">
        <w:rPr>
          <w:i/>
        </w:rPr>
        <w:t>AHRQ Safety Program for Improving Antibiotic Use</w:t>
      </w:r>
      <w:r w:rsidR="00582705" w:rsidRPr="0048769A">
        <w:t>. TEP members recommended evaluation measures and practices that would reduce the burden on participating facilities; for example, they suggested administering the HSOPS for a participating unit rather than an entire hospital in the acute care setting</w:t>
      </w:r>
      <w:r w:rsidR="00502C17">
        <w:t>, which was incorporated into the evaluation plan</w:t>
      </w:r>
      <w:r w:rsidR="00582705" w:rsidRPr="0048769A">
        <w:t xml:space="preserve">. </w:t>
      </w:r>
    </w:p>
    <w:p w14:paraId="51D34AE8" w14:textId="77777777" w:rsidR="009F37BA" w:rsidRPr="0048769A" w:rsidRDefault="009F37BA" w:rsidP="00582705">
      <w:pPr>
        <w:rPr>
          <w:sz w:val="22"/>
          <w:szCs w:val="22"/>
        </w:rPr>
      </w:pPr>
    </w:p>
    <w:p w14:paraId="31ED775B" w14:textId="0771DBFA" w:rsidR="009F37BA" w:rsidRPr="0048769A" w:rsidRDefault="009F37BA" w:rsidP="009F37BA">
      <w:r w:rsidRPr="009F37BA">
        <w:rPr>
          <w:highlight w:val="yellow"/>
        </w:rPr>
        <w:t xml:space="preserve">The Ambulatory TEP consists of individuals with experience in the implementation of quality improvement programs in the ambulatory care setting. The sub-TEP was tasked with providing guidance and feedback for the implementation of the AHRQ Safety Program for Improving Antibiotic Use in the ambulatory care medicine sector. This includes curriculum focus, the delivery mode of the curriculum and data collection and analysis. Ambulatory TEP members are included in </w:t>
      </w:r>
      <w:r w:rsidRPr="002D74BF">
        <w:rPr>
          <w:b/>
          <w:highlight w:val="yellow"/>
        </w:rPr>
        <w:t>Attachment</w:t>
      </w:r>
      <w:r w:rsidR="00F772D3">
        <w:rPr>
          <w:b/>
        </w:rPr>
        <w:t xml:space="preserve"> Q</w:t>
      </w:r>
      <w:r w:rsidR="002D74BF">
        <w:t xml:space="preserve">. </w:t>
      </w:r>
    </w:p>
    <w:p w14:paraId="7E08A610" w14:textId="77777777" w:rsidR="009F37BA" w:rsidRPr="0048769A" w:rsidRDefault="009F37BA" w:rsidP="009F37BA">
      <w:pPr>
        <w:pStyle w:val="Default"/>
        <w:rPr>
          <w:color w:val="auto"/>
        </w:rPr>
      </w:pPr>
    </w:p>
    <w:p w14:paraId="2CD7A302" w14:textId="77777777" w:rsidR="009F37BA" w:rsidRDefault="009F37BA" w:rsidP="009F37BA">
      <w:pPr>
        <w:pStyle w:val="Default"/>
      </w:pPr>
      <w:r w:rsidRPr="0048769A">
        <w:rPr>
          <w:color w:val="auto"/>
        </w:rPr>
        <w:t>AHRQ has consulted with other federal partners including CMS and the CDC to ensure synergistic efforts across the AS efforts being undertaken as part of the HIIN and</w:t>
      </w:r>
      <w:r>
        <w:t xml:space="preserve"> STRIVE initiatives. </w:t>
      </w:r>
    </w:p>
    <w:p w14:paraId="67954C7B" w14:textId="77777777" w:rsidR="00582705" w:rsidRPr="0048769A" w:rsidRDefault="00582705" w:rsidP="000840CC">
      <w:pPr>
        <w:pStyle w:val="Default"/>
        <w:rPr>
          <w:color w:val="auto"/>
        </w:rPr>
      </w:pPr>
    </w:p>
    <w:p w14:paraId="65A3F2D5" w14:textId="77777777" w:rsidR="009D4574" w:rsidRPr="0048769A" w:rsidRDefault="009D4574" w:rsidP="000840CC">
      <w:pPr>
        <w:pStyle w:val="Default"/>
        <w:rPr>
          <w:color w:val="auto"/>
        </w:rPr>
      </w:pPr>
    </w:p>
    <w:p w14:paraId="5DA7C1A6" w14:textId="77777777" w:rsidR="00DA69BC" w:rsidRDefault="009D4574" w:rsidP="000840CC">
      <w:pPr>
        <w:pStyle w:val="Default"/>
      </w:pPr>
      <w:r w:rsidRPr="0048769A">
        <w:rPr>
          <w:color w:val="auto"/>
        </w:rPr>
        <w:t>AHRQ has consulted with other federal partners including CMS and the CDC to ensure synergistic efforts across the AS efforts being undertaken as part of the HIIN and</w:t>
      </w:r>
      <w:r>
        <w:t xml:space="preserve"> STRIVE initiatives. </w:t>
      </w:r>
    </w:p>
    <w:p w14:paraId="07BCE935" w14:textId="77777777" w:rsidR="0038217D" w:rsidRPr="0038217D" w:rsidRDefault="009B633D" w:rsidP="00C218DB">
      <w:pPr>
        <w:pStyle w:val="Heading2"/>
        <w:spacing w:after="0"/>
        <w:rPr>
          <w:sz w:val="24"/>
        </w:rPr>
      </w:pPr>
      <w:bookmarkStart w:id="36" w:name="_Toc480808857"/>
      <w:r w:rsidRPr="00412C6F">
        <w:t>9. Payments/Gifts to Respondents</w:t>
      </w:r>
      <w:bookmarkEnd w:id="32"/>
      <w:bookmarkEnd w:id="33"/>
      <w:bookmarkEnd w:id="34"/>
      <w:bookmarkEnd w:id="35"/>
      <w:bookmarkEnd w:id="36"/>
    </w:p>
    <w:p w14:paraId="754B38F1" w14:textId="77777777" w:rsidR="009B633D" w:rsidRDefault="009B633D" w:rsidP="009B633D">
      <w:pPr>
        <w:jc w:val="both"/>
        <w:rPr>
          <w:i/>
        </w:rPr>
      </w:pPr>
    </w:p>
    <w:p w14:paraId="61D47993" w14:textId="77777777" w:rsidR="00B915F1" w:rsidRPr="00825DA9" w:rsidRDefault="006D5791" w:rsidP="009B633D">
      <w:pPr>
        <w:jc w:val="both"/>
        <w:rPr>
          <w:i/>
        </w:rPr>
      </w:pPr>
      <w:r w:rsidRPr="007E1674">
        <w:t xml:space="preserve">No remuneration of respondents </w:t>
      </w:r>
      <w:r w:rsidR="00302210">
        <w:t xml:space="preserve">or </w:t>
      </w:r>
      <w:r w:rsidR="009C155B">
        <w:t xml:space="preserve">participating </w:t>
      </w:r>
      <w:r w:rsidR="00302210">
        <w:t xml:space="preserve">facilities </w:t>
      </w:r>
      <w:r w:rsidRPr="007E1674">
        <w:t>is planned.</w:t>
      </w:r>
    </w:p>
    <w:p w14:paraId="2F48D857" w14:textId="77777777" w:rsidR="009B633D" w:rsidRPr="00412C6F" w:rsidRDefault="009B633D" w:rsidP="009B633D">
      <w:pPr>
        <w:pStyle w:val="Heading2"/>
        <w:rPr>
          <w:sz w:val="24"/>
        </w:rPr>
      </w:pPr>
      <w:bookmarkStart w:id="37" w:name="_Toc151782185"/>
      <w:bookmarkStart w:id="38" w:name="_Toc158526225"/>
      <w:bookmarkStart w:id="39" w:name="_Toc480808858"/>
      <w:r w:rsidRPr="00412C6F">
        <w:rPr>
          <w:sz w:val="24"/>
        </w:rPr>
        <w:t>10. Assurance of Confidentiality</w:t>
      </w:r>
      <w:bookmarkEnd w:id="37"/>
      <w:bookmarkEnd w:id="38"/>
      <w:bookmarkEnd w:id="39"/>
    </w:p>
    <w:p w14:paraId="18A05694" w14:textId="77777777" w:rsidR="009C155B" w:rsidRDefault="009C155B" w:rsidP="009C155B">
      <w:pPr>
        <w:autoSpaceDE w:val="0"/>
        <w:autoSpaceDN w:val="0"/>
        <w:adjustRightInd w:val="0"/>
      </w:pPr>
      <w:r w:rsidRPr="00012921">
        <w:t>Individuals will be assured of the confidentiality of their replies under Section 944(c) of the Public Health Service Act</w:t>
      </w:r>
      <w:r>
        <w:t xml:space="preserve">. </w:t>
      </w:r>
      <w:r w:rsidRPr="00012921">
        <w:t>42 U.S.C. 299c-3(c)</w:t>
      </w:r>
      <w:r>
        <w:t xml:space="preserve">. </w:t>
      </w:r>
      <w:r w:rsidRPr="00012921">
        <w:t>That law requires that information collected for research conducted or supported by AHRQ that identifies individuals or establishments be used only for the purpose for which it was supplied</w:t>
      </w:r>
      <w:r>
        <w:t xml:space="preserve">. </w:t>
      </w:r>
    </w:p>
    <w:p w14:paraId="5A261E7E" w14:textId="77777777" w:rsidR="009C155B" w:rsidRDefault="009C155B" w:rsidP="009C155B">
      <w:pPr>
        <w:autoSpaceDE w:val="0"/>
        <w:autoSpaceDN w:val="0"/>
        <w:adjustRightInd w:val="0"/>
      </w:pPr>
    </w:p>
    <w:p w14:paraId="036CA07E" w14:textId="77777777" w:rsidR="009C155B" w:rsidRDefault="009C155B" w:rsidP="009C155B">
      <w:pPr>
        <w:autoSpaceDE w:val="0"/>
        <w:autoSpaceDN w:val="0"/>
        <w:adjustRightInd w:val="0"/>
      </w:pPr>
      <w:r>
        <w:t>Information that can directly identify the respondent, such as name and/or social security number will not</w:t>
      </w:r>
      <w:r w:rsidRPr="00B825D0">
        <w:t xml:space="preserve"> </w:t>
      </w:r>
      <w:r>
        <w:t>be collected. A statement of confidentiality will appear on the online survey and contain the following statement:</w:t>
      </w:r>
    </w:p>
    <w:p w14:paraId="7955B7A5" w14:textId="77777777" w:rsidR="009C155B" w:rsidRPr="005A44CD" w:rsidRDefault="009C155B" w:rsidP="00F30508">
      <w:pPr>
        <w:autoSpaceDE w:val="0"/>
        <w:autoSpaceDN w:val="0"/>
        <w:adjustRightInd w:val="0"/>
        <w:ind w:left="720"/>
      </w:pPr>
      <w:r w:rsidRPr="005A44CD">
        <w:t>The confidentiality of your responses are protected by Sections 944(c) and 308(d) of the Public Health Service Act [42 U.S.C. 299c-3(c) and 42 U.S.C. 242m(d)]. Information that could identify you will not be disclosed unless you have consented to that disclosure.</w:t>
      </w:r>
    </w:p>
    <w:p w14:paraId="687325C8" w14:textId="77777777" w:rsidR="007208E0" w:rsidRPr="009C155B" w:rsidRDefault="002403AE" w:rsidP="002403AE">
      <w:pPr>
        <w:spacing w:before="100" w:beforeAutospacing="1" w:after="100" w:afterAutospacing="1"/>
      </w:pPr>
      <w:r>
        <w:t xml:space="preserve">The </w:t>
      </w:r>
      <w:r w:rsidR="009C155B">
        <w:t xml:space="preserve">data will be collected by AHRQ’s contractor, NORC at the University of Chicago. All facility and respondent-level data, as well as survey response data, </w:t>
      </w:r>
      <w:r>
        <w:t xml:space="preserve">will be stored on </w:t>
      </w:r>
      <w:r w:rsidR="00F30508">
        <w:t xml:space="preserve">NORC’s </w:t>
      </w:r>
      <w:r>
        <w:t>secure serve</w:t>
      </w:r>
      <w:r w:rsidR="00F30508">
        <w:t>r</w:t>
      </w:r>
      <w:r>
        <w:t xml:space="preserve">s. </w:t>
      </w:r>
    </w:p>
    <w:p w14:paraId="247D58C7" w14:textId="77777777" w:rsidR="009B633D" w:rsidRPr="00412C6F" w:rsidRDefault="009B633D" w:rsidP="009B633D">
      <w:pPr>
        <w:pStyle w:val="Heading2"/>
        <w:rPr>
          <w:sz w:val="24"/>
        </w:rPr>
      </w:pPr>
      <w:bookmarkStart w:id="40" w:name="_Toc151782186"/>
      <w:bookmarkStart w:id="41" w:name="_Toc158526226"/>
      <w:bookmarkStart w:id="42" w:name="_Toc480808859"/>
      <w:r w:rsidRPr="00412C6F">
        <w:rPr>
          <w:sz w:val="24"/>
        </w:rPr>
        <w:t>11. Questions of a Sensitive Nature</w:t>
      </w:r>
      <w:bookmarkEnd w:id="40"/>
      <w:bookmarkEnd w:id="41"/>
      <w:bookmarkEnd w:id="42"/>
    </w:p>
    <w:p w14:paraId="77C38C14" w14:textId="77777777" w:rsidR="00E24EA6" w:rsidRDefault="00E24EA6" w:rsidP="00E47851">
      <w:pPr>
        <w:spacing w:after="240"/>
        <w:rPr>
          <w:i/>
        </w:rPr>
      </w:pPr>
      <w:r>
        <w:t xml:space="preserve">There are no questions of a sensitive nature. </w:t>
      </w:r>
      <w:r w:rsidRPr="00E47851">
        <w:rPr>
          <w:i/>
        </w:rPr>
        <w:t xml:space="preserve"> </w:t>
      </w:r>
    </w:p>
    <w:p w14:paraId="23E1C78A" w14:textId="77777777" w:rsidR="009B633D" w:rsidRPr="00412C6F" w:rsidRDefault="009B633D" w:rsidP="009B633D">
      <w:pPr>
        <w:pStyle w:val="Heading2"/>
        <w:rPr>
          <w:sz w:val="24"/>
        </w:rPr>
      </w:pPr>
      <w:bookmarkStart w:id="43" w:name="_Toc151782187"/>
      <w:bookmarkStart w:id="44" w:name="_Toc158526227"/>
      <w:bookmarkStart w:id="45" w:name="_Toc480808860"/>
      <w:r w:rsidRPr="00412C6F">
        <w:rPr>
          <w:sz w:val="24"/>
        </w:rPr>
        <w:t>12. Estimates of Annualized Burden Hours and Costs</w:t>
      </w:r>
      <w:bookmarkEnd w:id="43"/>
      <w:bookmarkEnd w:id="44"/>
      <w:bookmarkEnd w:id="45"/>
    </w:p>
    <w:p w14:paraId="27B0BEBE" w14:textId="58AA7541" w:rsidR="00654F33" w:rsidRDefault="00654F33" w:rsidP="00E24EA6">
      <w:pPr>
        <w:rPr>
          <w:rStyle w:val="Strong"/>
          <w:b w:val="0"/>
        </w:rPr>
      </w:pPr>
      <w:r>
        <w:rPr>
          <w:rStyle w:val="Strong"/>
          <w:b w:val="0"/>
        </w:rPr>
        <w:t xml:space="preserve">Exhibit </w:t>
      </w:r>
      <w:r w:rsidR="001C1E5C">
        <w:rPr>
          <w:rStyle w:val="Strong"/>
          <w:b w:val="0"/>
        </w:rPr>
        <w:t>A.</w:t>
      </w:r>
      <w:r>
        <w:rPr>
          <w:rStyle w:val="Strong"/>
          <w:b w:val="0"/>
        </w:rPr>
        <w:t xml:space="preserve">1 shows the estimated annualized burden hours for the respondents’ time to </w:t>
      </w:r>
      <w:r w:rsidR="0082220D">
        <w:rPr>
          <w:rStyle w:val="Strong"/>
          <w:b w:val="0"/>
        </w:rPr>
        <w:t xml:space="preserve">complete the Structural Assessments, Team Antibiotic Review Forms, AHRQ Patient Safety Culture Surveys, </w:t>
      </w:r>
      <w:r w:rsidR="007D52B2">
        <w:rPr>
          <w:rStyle w:val="Strong"/>
          <w:b w:val="0"/>
        </w:rPr>
        <w:t>s</w:t>
      </w:r>
      <w:r w:rsidR="0082220D">
        <w:rPr>
          <w:rStyle w:val="Strong"/>
          <w:b w:val="0"/>
        </w:rPr>
        <w:t>emi-structured qualitative interviews, and EHR data extractions.</w:t>
      </w:r>
      <w:r w:rsidR="007E4DF4">
        <w:rPr>
          <w:rStyle w:val="Strong"/>
          <w:b w:val="0"/>
        </w:rPr>
        <w:t xml:space="preserve"> Data will be collected from 30 </w:t>
      </w:r>
      <w:r w:rsidR="00672A73">
        <w:rPr>
          <w:rStyle w:val="Strong"/>
          <w:b w:val="0"/>
        </w:rPr>
        <w:t xml:space="preserve">acute care, long-term care, and ambulatory care </w:t>
      </w:r>
      <w:r w:rsidR="007E4DF4">
        <w:rPr>
          <w:rStyle w:val="Strong"/>
          <w:b w:val="0"/>
        </w:rPr>
        <w:t xml:space="preserve">sites during </w:t>
      </w:r>
      <w:r w:rsidR="00672A73">
        <w:rPr>
          <w:rStyle w:val="Strong"/>
          <w:b w:val="0"/>
        </w:rPr>
        <w:t xml:space="preserve">the </w:t>
      </w:r>
      <w:r w:rsidR="009D4574">
        <w:rPr>
          <w:rStyle w:val="Strong"/>
          <w:b w:val="0"/>
        </w:rPr>
        <w:t>Cohort 1</w:t>
      </w:r>
      <w:r w:rsidR="00672A73">
        <w:rPr>
          <w:rStyle w:val="Strong"/>
          <w:b w:val="0"/>
        </w:rPr>
        <w:t xml:space="preserve"> one</w:t>
      </w:r>
      <w:r w:rsidR="009D4574">
        <w:rPr>
          <w:rStyle w:val="Strong"/>
          <w:b w:val="0"/>
        </w:rPr>
        <w:t>-year</w:t>
      </w:r>
      <w:r w:rsidR="00D65943">
        <w:rPr>
          <w:rStyle w:val="Strong"/>
          <w:b w:val="0"/>
        </w:rPr>
        <w:t xml:space="preserve"> </w:t>
      </w:r>
      <w:r w:rsidR="007E4DF4">
        <w:rPr>
          <w:rStyle w:val="Strong"/>
          <w:b w:val="0"/>
        </w:rPr>
        <w:t>pilot period</w:t>
      </w:r>
      <w:r w:rsidR="00672A73">
        <w:rPr>
          <w:rStyle w:val="Strong"/>
          <w:b w:val="0"/>
        </w:rPr>
        <w:t>; up to 500 acute care hospitals in Cohort 2; up to 500 long-te</w:t>
      </w:r>
      <w:r w:rsidR="00805877">
        <w:rPr>
          <w:rStyle w:val="Strong"/>
          <w:b w:val="0"/>
        </w:rPr>
        <w:t xml:space="preserve">rm care facilities in Cohort 3; </w:t>
      </w:r>
      <w:r w:rsidR="00E538AD">
        <w:rPr>
          <w:rStyle w:val="Strong"/>
          <w:b w:val="0"/>
        </w:rPr>
        <w:t xml:space="preserve">and </w:t>
      </w:r>
      <w:r w:rsidR="00672A73">
        <w:rPr>
          <w:rStyle w:val="Strong"/>
          <w:b w:val="0"/>
        </w:rPr>
        <w:t xml:space="preserve">up to 500 ambulatory care sites in Cohort 4. </w:t>
      </w:r>
      <w:r w:rsidR="007D52B2">
        <w:rPr>
          <w:rStyle w:val="Strong"/>
          <w:b w:val="0"/>
        </w:rPr>
        <w:t xml:space="preserve">For the three-year clearance period, the estimated annualized burden hours for the data collection activities are </w:t>
      </w:r>
      <w:r w:rsidR="0020314C">
        <w:rPr>
          <w:rStyle w:val="Strong"/>
          <w:b w:val="0"/>
        </w:rPr>
        <w:t>27,059</w:t>
      </w:r>
      <w:r w:rsidR="0021671A">
        <w:rPr>
          <w:rStyle w:val="Strong"/>
          <w:b w:val="0"/>
        </w:rPr>
        <w:t xml:space="preserve">. </w:t>
      </w:r>
    </w:p>
    <w:p w14:paraId="42924F0C" w14:textId="3E998311" w:rsidR="00945E34" w:rsidRDefault="00945E34" w:rsidP="00E24EA6">
      <w:pPr>
        <w:rPr>
          <w:rStyle w:val="Strong"/>
          <w:b w:val="0"/>
        </w:rPr>
      </w:pPr>
    </w:p>
    <w:p w14:paraId="2245EBA2" w14:textId="3182AD64" w:rsidR="00D32DD4" w:rsidRDefault="00D32DD4" w:rsidP="00E24EA6">
      <w:pPr>
        <w:rPr>
          <w:rStyle w:val="Strong"/>
          <w:b w:val="0"/>
        </w:rPr>
      </w:pPr>
    </w:p>
    <w:p w14:paraId="7D429ADC" w14:textId="5BE7E486" w:rsidR="00D32DD4" w:rsidRDefault="00D32DD4" w:rsidP="00E24EA6">
      <w:pPr>
        <w:rPr>
          <w:rStyle w:val="Strong"/>
          <w:b w:val="0"/>
        </w:rPr>
      </w:pPr>
    </w:p>
    <w:p w14:paraId="6A36BED8" w14:textId="3EA169F9" w:rsidR="00D32DD4" w:rsidRDefault="00D32DD4" w:rsidP="00E24EA6">
      <w:pPr>
        <w:rPr>
          <w:rStyle w:val="Strong"/>
          <w:b w:val="0"/>
        </w:rPr>
      </w:pPr>
    </w:p>
    <w:p w14:paraId="516B572A" w14:textId="081BB983" w:rsidR="00D32DD4" w:rsidRDefault="00D32DD4" w:rsidP="00E24EA6">
      <w:pPr>
        <w:rPr>
          <w:rStyle w:val="Strong"/>
          <w:b w:val="0"/>
        </w:rPr>
      </w:pPr>
    </w:p>
    <w:p w14:paraId="2AA88B57" w14:textId="77777777" w:rsidR="00D32DD4" w:rsidRDefault="00D32DD4" w:rsidP="00E24EA6">
      <w:pPr>
        <w:rPr>
          <w:rStyle w:val="Strong"/>
          <w:b w:val="0"/>
        </w:rPr>
      </w:pPr>
    </w:p>
    <w:p w14:paraId="7E9C0F54" w14:textId="60302FCA" w:rsidR="00D32DD4" w:rsidRDefault="00D32DD4" w:rsidP="00E24EA6">
      <w:pPr>
        <w:rPr>
          <w:rStyle w:val="Strong"/>
          <w:b w:val="0"/>
        </w:rPr>
      </w:pPr>
    </w:p>
    <w:p w14:paraId="33A63405" w14:textId="77777777" w:rsidR="00D32DD4" w:rsidRDefault="00D32DD4" w:rsidP="00E24EA6">
      <w:pPr>
        <w:rPr>
          <w:rStyle w:val="Strong"/>
          <w:b w:val="0"/>
        </w:rPr>
      </w:pPr>
    </w:p>
    <w:p w14:paraId="01EF58E7" w14:textId="77777777" w:rsidR="00E24EA6" w:rsidRPr="0073565C" w:rsidRDefault="00E24EA6" w:rsidP="00E24EA6">
      <w:r w:rsidRPr="0073565C">
        <w:rPr>
          <w:b/>
          <w:bCs/>
          <w:color w:val="000000"/>
        </w:rPr>
        <w:t xml:space="preserve">Exhibit </w:t>
      </w:r>
      <w:r w:rsidR="001C1E5C">
        <w:rPr>
          <w:b/>
          <w:bCs/>
          <w:color w:val="000000"/>
        </w:rPr>
        <w:t>A.</w:t>
      </w:r>
      <w:r w:rsidRPr="0073565C">
        <w:rPr>
          <w:b/>
          <w:bCs/>
          <w:color w:val="000000"/>
        </w:rPr>
        <w:t>1  Estimated annualized burden hours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0"/>
        <w:gridCol w:w="1336"/>
        <w:gridCol w:w="1094"/>
        <w:gridCol w:w="810"/>
        <w:gridCol w:w="1260"/>
      </w:tblGrid>
      <w:tr w:rsidR="00D65943" w:rsidRPr="00E24EA6" w14:paraId="585C5BEE" w14:textId="77777777" w:rsidTr="00E738AF">
        <w:tc>
          <w:tcPr>
            <w:tcW w:w="3960" w:type="dxa"/>
            <w:shd w:val="clear" w:color="auto" w:fill="auto"/>
            <w:tcMar>
              <w:top w:w="0" w:type="dxa"/>
              <w:left w:w="108" w:type="dxa"/>
              <w:bottom w:w="0" w:type="dxa"/>
              <w:right w:w="108" w:type="dxa"/>
            </w:tcMar>
          </w:tcPr>
          <w:p w14:paraId="56324BB7" w14:textId="77777777" w:rsidR="00D65943" w:rsidRPr="00E24EA6" w:rsidRDefault="00D65943" w:rsidP="00F603E3">
            <w:pPr>
              <w:rPr>
                <w:sz w:val="20"/>
                <w:szCs w:val="20"/>
              </w:rPr>
            </w:pPr>
            <w:r w:rsidRPr="00E24EA6">
              <w:rPr>
                <w:color w:val="000000"/>
                <w:sz w:val="20"/>
                <w:szCs w:val="20"/>
              </w:rPr>
              <w:t>Form Name</w:t>
            </w:r>
          </w:p>
        </w:tc>
        <w:tc>
          <w:tcPr>
            <w:tcW w:w="1336" w:type="dxa"/>
            <w:shd w:val="clear" w:color="auto" w:fill="auto"/>
            <w:tcMar>
              <w:top w:w="0" w:type="dxa"/>
              <w:left w:w="108" w:type="dxa"/>
              <w:bottom w:w="0" w:type="dxa"/>
              <w:right w:w="108" w:type="dxa"/>
            </w:tcMar>
          </w:tcPr>
          <w:p w14:paraId="628F955B" w14:textId="77777777" w:rsidR="00D65943" w:rsidRPr="00E24EA6" w:rsidRDefault="00D65943" w:rsidP="00B27F17">
            <w:pPr>
              <w:jc w:val="center"/>
              <w:rPr>
                <w:sz w:val="20"/>
                <w:szCs w:val="20"/>
              </w:rPr>
            </w:pPr>
            <w:r w:rsidRPr="00E24EA6">
              <w:rPr>
                <w:color w:val="000000"/>
                <w:sz w:val="20"/>
                <w:szCs w:val="20"/>
              </w:rPr>
              <w:t>Number of Respondents</w:t>
            </w:r>
          </w:p>
        </w:tc>
        <w:tc>
          <w:tcPr>
            <w:tcW w:w="1094" w:type="dxa"/>
            <w:shd w:val="clear" w:color="auto" w:fill="auto"/>
            <w:tcMar>
              <w:top w:w="0" w:type="dxa"/>
              <w:left w:w="108" w:type="dxa"/>
              <w:bottom w:w="0" w:type="dxa"/>
              <w:right w:w="108" w:type="dxa"/>
            </w:tcMar>
          </w:tcPr>
          <w:p w14:paraId="3961A7CA" w14:textId="77777777" w:rsidR="00D65943" w:rsidRPr="00E24EA6" w:rsidRDefault="00D65943" w:rsidP="00B27F17">
            <w:pPr>
              <w:jc w:val="center"/>
              <w:rPr>
                <w:sz w:val="20"/>
                <w:szCs w:val="20"/>
              </w:rPr>
            </w:pPr>
            <w:r w:rsidRPr="00E24EA6">
              <w:rPr>
                <w:sz w:val="20"/>
                <w:szCs w:val="20"/>
              </w:rPr>
              <w:t>Number of responses per respondent</w:t>
            </w:r>
          </w:p>
        </w:tc>
        <w:tc>
          <w:tcPr>
            <w:tcW w:w="810" w:type="dxa"/>
          </w:tcPr>
          <w:p w14:paraId="726EC127" w14:textId="77777777" w:rsidR="00D65943" w:rsidRPr="00E24EA6" w:rsidRDefault="00D65943" w:rsidP="00B27F17">
            <w:pPr>
              <w:jc w:val="center"/>
              <w:rPr>
                <w:sz w:val="20"/>
                <w:szCs w:val="20"/>
              </w:rPr>
            </w:pPr>
            <w:r w:rsidRPr="00E24EA6">
              <w:rPr>
                <w:color w:val="000000"/>
                <w:sz w:val="20"/>
                <w:szCs w:val="20"/>
              </w:rPr>
              <w:t>Hours per response</w:t>
            </w:r>
          </w:p>
        </w:tc>
        <w:tc>
          <w:tcPr>
            <w:tcW w:w="1260" w:type="dxa"/>
            <w:shd w:val="clear" w:color="auto" w:fill="auto"/>
            <w:tcMar>
              <w:top w:w="0" w:type="dxa"/>
              <w:left w:w="108" w:type="dxa"/>
              <w:bottom w:w="0" w:type="dxa"/>
              <w:right w:w="108" w:type="dxa"/>
            </w:tcMar>
          </w:tcPr>
          <w:p w14:paraId="1DF4EE08" w14:textId="77777777" w:rsidR="00D65943" w:rsidRPr="00E24EA6" w:rsidRDefault="00D65943" w:rsidP="00B27F17">
            <w:pPr>
              <w:jc w:val="center"/>
              <w:rPr>
                <w:sz w:val="20"/>
                <w:szCs w:val="20"/>
              </w:rPr>
            </w:pPr>
            <w:r w:rsidRPr="00E24EA6">
              <w:rPr>
                <w:color w:val="000000"/>
                <w:sz w:val="20"/>
                <w:szCs w:val="20"/>
              </w:rPr>
              <w:t>Total Burden hours</w:t>
            </w:r>
          </w:p>
        </w:tc>
      </w:tr>
      <w:tr w:rsidR="00D65943" w:rsidRPr="00E24EA6" w14:paraId="0C552CE5" w14:textId="77777777" w:rsidTr="00E738AF">
        <w:tc>
          <w:tcPr>
            <w:tcW w:w="3960" w:type="dxa"/>
            <w:shd w:val="clear" w:color="auto" w:fill="auto"/>
            <w:tcMar>
              <w:top w:w="0" w:type="dxa"/>
              <w:left w:w="108" w:type="dxa"/>
              <w:bottom w:w="0" w:type="dxa"/>
              <w:right w:w="108" w:type="dxa"/>
            </w:tcMar>
          </w:tcPr>
          <w:p w14:paraId="6A3FAE0C" w14:textId="77777777" w:rsidR="00D65943" w:rsidRPr="00E24EA6" w:rsidRDefault="00D65943" w:rsidP="00E175C4">
            <w:pPr>
              <w:pStyle w:val="ColorfulList-Accent11"/>
              <w:numPr>
                <w:ilvl w:val="0"/>
                <w:numId w:val="12"/>
              </w:numPr>
              <w:rPr>
                <w:sz w:val="20"/>
                <w:szCs w:val="20"/>
              </w:rPr>
            </w:pPr>
            <w:r w:rsidRPr="00E24EA6">
              <w:rPr>
                <w:sz w:val="20"/>
                <w:szCs w:val="20"/>
              </w:rPr>
              <w:t>Structural Assessment</w:t>
            </w:r>
            <w:r w:rsidR="00E175C4">
              <w:rPr>
                <w:sz w:val="20"/>
                <w:szCs w:val="20"/>
              </w:rPr>
              <w:t>s</w:t>
            </w:r>
            <w:r w:rsidR="00B51378">
              <w:rPr>
                <w:sz w:val="20"/>
                <w:szCs w:val="20"/>
              </w:rPr>
              <w:t>:</w:t>
            </w:r>
          </w:p>
        </w:tc>
        <w:tc>
          <w:tcPr>
            <w:tcW w:w="1336" w:type="dxa"/>
            <w:shd w:val="clear" w:color="auto" w:fill="auto"/>
            <w:tcMar>
              <w:top w:w="0" w:type="dxa"/>
              <w:left w:w="108" w:type="dxa"/>
              <w:bottom w:w="0" w:type="dxa"/>
              <w:right w:w="108" w:type="dxa"/>
            </w:tcMar>
          </w:tcPr>
          <w:p w14:paraId="2804F47A" w14:textId="77777777" w:rsidR="00D65943" w:rsidRPr="00E24EA6" w:rsidRDefault="00D65943" w:rsidP="00B27F17">
            <w:pPr>
              <w:jc w:val="center"/>
              <w:rPr>
                <w:sz w:val="20"/>
                <w:szCs w:val="20"/>
              </w:rPr>
            </w:pPr>
          </w:p>
        </w:tc>
        <w:tc>
          <w:tcPr>
            <w:tcW w:w="1094" w:type="dxa"/>
            <w:shd w:val="clear" w:color="auto" w:fill="auto"/>
            <w:tcMar>
              <w:top w:w="0" w:type="dxa"/>
              <w:left w:w="108" w:type="dxa"/>
              <w:bottom w:w="0" w:type="dxa"/>
              <w:right w:w="108" w:type="dxa"/>
            </w:tcMar>
          </w:tcPr>
          <w:p w14:paraId="6123B84C" w14:textId="77777777" w:rsidR="00D65943" w:rsidRPr="00E24EA6" w:rsidRDefault="00D65943" w:rsidP="00B27F17">
            <w:pPr>
              <w:jc w:val="center"/>
              <w:rPr>
                <w:sz w:val="20"/>
                <w:szCs w:val="20"/>
              </w:rPr>
            </w:pPr>
          </w:p>
        </w:tc>
        <w:tc>
          <w:tcPr>
            <w:tcW w:w="810" w:type="dxa"/>
          </w:tcPr>
          <w:p w14:paraId="32621C7E" w14:textId="77777777" w:rsidR="00D65943" w:rsidRPr="00E24EA6" w:rsidRDefault="00D65943" w:rsidP="00B27F17">
            <w:pPr>
              <w:jc w:val="center"/>
              <w:rPr>
                <w:sz w:val="20"/>
                <w:szCs w:val="20"/>
              </w:rPr>
            </w:pPr>
          </w:p>
        </w:tc>
        <w:tc>
          <w:tcPr>
            <w:tcW w:w="1260" w:type="dxa"/>
            <w:shd w:val="clear" w:color="auto" w:fill="auto"/>
            <w:tcMar>
              <w:top w:w="0" w:type="dxa"/>
              <w:left w:w="108" w:type="dxa"/>
              <w:bottom w:w="0" w:type="dxa"/>
              <w:right w:w="108" w:type="dxa"/>
            </w:tcMar>
          </w:tcPr>
          <w:p w14:paraId="78EBE24A" w14:textId="77777777" w:rsidR="00D65943" w:rsidRPr="00E24EA6" w:rsidRDefault="00D65943" w:rsidP="00E738AF">
            <w:pPr>
              <w:jc w:val="center"/>
              <w:rPr>
                <w:sz w:val="20"/>
                <w:szCs w:val="20"/>
              </w:rPr>
            </w:pPr>
          </w:p>
        </w:tc>
      </w:tr>
      <w:tr w:rsidR="00E175C4" w:rsidRPr="00E24EA6" w14:paraId="7C50EDA6" w14:textId="77777777" w:rsidTr="00E738AF">
        <w:tc>
          <w:tcPr>
            <w:tcW w:w="3960" w:type="dxa"/>
            <w:shd w:val="clear" w:color="auto" w:fill="auto"/>
            <w:tcMar>
              <w:top w:w="0" w:type="dxa"/>
              <w:left w:w="108" w:type="dxa"/>
              <w:bottom w:w="0" w:type="dxa"/>
              <w:right w:w="108" w:type="dxa"/>
            </w:tcMar>
          </w:tcPr>
          <w:p w14:paraId="3AA7F1FB" w14:textId="77777777" w:rsidR="00E175C4" w:rsidRDefault="00E175C4" w:rsidP="00DA4AE8">
            <w:pPr>
              <w:pStyle w:val="ColorfulList-Accent11"/>
              <w:numPr>
                <w:ilvl w:val="0"/>
                <w:numId w:val="22"/>
              </w:numPr>
              <w:ind w:left="702" w:hanging="270"/>
              <w:rPr>
                <w:sz w:val="20"/>
                <w:szCs w:val="20"/>
              </w:rPr>
            </w:pPr>
            <w:r>
              <w:rPr>
                <w:sz w:val="20"/>
                <w:szCs w:val="20"/>
              </w:rPr>
              <w:t xml:space="preserve">Structural Assessments – Cohorts </w:t>
            </w:r>
            <w:r w:rsidR="00DA4AE8">
              <w:rPr>
                <w:sz w:val="20"/>
                <w:szCs w:val="20"/>
              </w:rPr>
              <w:t xml:space="preserve">1, </w:t>
            </w:r>
            <w:r>
              <w:rPr>
                <w:sz w:val="20"/>
                <w:szCs w:val="20"/>
              </w:rPr>
              <w:t>2 and 3 (baseline, post-intervention)</w:t>
            </w:r>
          </w:p>
        </w:tc>
        <w:tc>
          <w:tcPr>
            <w:tcW w:w="1336" w:type="dxa"/>
            <w:shd w:val="clear" w:color="auto" w:fill="auto"/>
            <w:tcMar>
              <w:top w:w="0" w:type="dxa"/>
              <w:left w:w="108" w:type="dxa"/>
              <w:bottom w:w="0" w:type="dxa"/>
              <w:right w:w="108" w:type="dxa"/>
            </w:tcMar>
          </w:tcPr>
          <w:p w14:paraId="57FB0B24" w14:textId="77777777" w:rsidR="00E175C4" w:rsidRPr="00E24EA6" w:rsidRDefault="00DA4AE8" w:rsidP="00DA4AE8">
            <w:pPr>
              <w:jc w:val="center"/>
              <w:rPr>
                <w:sz w:val="20"/>
                <w:szCs w:val="20"/>
              </w:rPr>
            </w:pPr>
            <w:r>
              <w:rPr>
                <w:sz w:val="20"/>
                <w:szCs w:val="20"/>
              </w:rPr>
              <w:t>343</w:t>
            </w:r>
          </w:p>
        </w:tc>
        <w:tc>
          <w:tcPr>
            <w:tcW w:w="1094" w:type="dxa"/>
            <w:shd w:val="clear" w:color="auto" w:fill="auto"/>
            <w:tcMar>
              <w:top w:w="0" w:type="dxa"/>
              <w:left w:w="108" w:type="dxa"/>
              <w:bottom w:w="0" w:type="dxa"/>
              <w:right w:w="108" w:type="dxa"/>
            </w:tcMar>
          </w:tcPr>
          <w:p w14:paraId="54E73F91" w14:textId="77777777" w:rsidR="00E175C4" w:rsidRPr="00E24EA6" w:rsidRDefault="00E175C4" w:rsidP="00B27F17">
            <w:pPr>
              <w:jc w:val="center"/>
              <w:rPr>
                <w:sz w:val="20"/>
                <w:szCs w:val="20"/>
              </w:rPr>
            </w:pPr>
            <w:r>
              <w:rPr>
                <w:sz w:val="20"/>
                <w:szCs w:val="20"/>
              </w:rPr>
              <w:t>2</w:t>
            </w:r>
          </w:p>
        </w:tc>
        <w:tc>
          <w:tcPr>
            <w:tcW w:w="810" w:type="dxa"/>
          </w:tcPr>
          <w:p w14:paraId="467E6F33" w14:textId="77777777" w:rsidR="00E175C4" w:rsidRPr="00E24EA6" w:rsidRDefault="00E175C4" w:rsidP="00B27F17">
            <w:pPr>
              <w:jc w:val="center"/>
              <w:rPr>
                <w:sz w:val="20"/>
                <w:szCs w:val="20"/>
              </w:rPr>
            </w:pPr>
            <w:r>
              <w:rPr>
                <w:sz w:val="20"/>
                <w:szCs w:val="20"/>
              </w:rPr>
              <w:t>0.2</w:t>
            </w:r>
          </w:p>
        </w:tc>
        <w:tc>
          <w:tcPr>
            <w:tcW w:w="1260" w:type="dxa"/>
            <w:shd w:val="clear" w:color="auto" w:fill="auto"/>
            <w:tcMar>
              <w:top w:w="0" w:type="dxa"/>
              <w:left w:w="108" w:type="dxa"/>
              <w:bottom w:w="0" w:type="dxa"/>
              <w:right w:w="108" w:type="dxa"/>
            </w:tcMar>
          </w:tcPr>
          <w:p w14:paraId="7B7CC2FA" w14:textId="77777777" w:rsidR="00E175C4" w:rsidRPr="00E24EA6" w:rsidRDefault="00DA4AE8" w:rsidP="00DA4AE8">
            <w:pPr>
              <w:jc w:val="center"/>
              <w:rPr>
                <w:sz w:val="20"/>
                <w:szCs w:val="20"/>
              </w:rPr>
            </w:pPr>
            <w:r>
              <w:rPr>
                <w:sz w:val="20"/>
                <w:szCs w:val="20"/>
              </w:rPr>
              <w:t>137</w:t>
            </w:r>
          </w:p>
        </w:tc>
      </w:tr>
      <w:tr w:rsidR="00E175C4" w:rsidRPr="00E24EA6" w14:paraId="08750811" w14:textId="77777777" w:rsidTr="00E738AF">
        <w:tc>
          <w:tcPr>
            <w:tcW w:w="3960" w:type="dxa"/>
            <w:shd w:val="clear" w:color="auto" w:fill="auto"/>
            <w:tcMar>
              <w:top w:w="0" w:type="dxa"/>
              <w:left w:w="108" w:type="dxa"/>
              <w:bottom w:w="0" w:type="dxa"/>
              <w:right w:w="108" w:type="dxa"/>
            </w:tcMar>
          </w:tcPr>
          <w:p w14:paraId="47B9EAD2" w14:textId="74E1A201" w:rsidR="00E175C4" w:rsidRPr="00D67A20" w:rsidRDefault="00E175C4" w:rsidP="00E175C4">
            <w:pPr>
              <w:pStyle w:val="ColorfulList-Accent11"/>
              <w:numPr>
                <w:ilvl w:val="0"/>
                <w:numId w:val="22"/>
              </w:numPr>
              <w:ind w:left="702" w:hanging="270"/>
              <w:rPr>
                <w:sz w:val="20"/>
                <w:szCs w:val="20"/>
                <w:highlight w:val="yellow"/>
              </w:rPr>
            </w:pPr>
            <w:r w:rsidRPr="00D67A20">
              <w:rPr>
                <w:sz w:val="20"/>
                <w:szCs w:val="20"/>
                <w:highlight w:val="yellow"/>
              </w:rPr>
              <w:t>Structural Assessments – Cohort 4 (baseline</w:t>
            </w:r>
            <w:r w:rsidR="00D67A20">
              <w:rPr>
                <w:sz w:val="20"/>
                <w:szCs w:val="20"/>
                <w:highlight w:val="yellow"/>
              </w:rPr>
              <w:t xml:space="preserve"> and endline</w:t>
            </w:r>
            <w:r w:rsidRPr="00D67A20">
              <w:rPr>
                <w:sz w:val="20"/>
                <w:szCs w:val="20"/>
                <w:highlight w:val="yellow"/>
              </w:rPr>
              <w:t>)</w:t>
            </w:r>
          </w:p>
        </w:tc>
        <w:tc>
          <w:tcPr>
            <w:tcW w:w="1336" w:type="dxa"/>
            <w:shd w:val="clear" w:color="auto" w:fill="auto"/>
            <w:tcMar>
              <w:top w:w="0" w:type="dxa"/>
              <w:left w:w="108" w:type="dxa"/>
              <w:bottom w:w="0" w:type="dxa"/>
              <w:right w:w="108" w:type="dxa"/>
            </w:tcMar>
          </w:tcPr>
          <w:p w14:paraId="42725B52" w14:textId="77777777" w:rsidR="00E175C4" w:rsidRPr="00D67A20" w:rsidRDefault="00E175C4" w:rsidP="00B27F17">
            <w:pPr>
              <w:jc w:val="center"/>
              <w:rPr>
                <w:sz w:val="20"/>
                <w:szCs w:val="20"/>
                <w:highlight w:val="yellow"/>
              </w:rPr>
            </w:pPr>
            <w:r w:rsidRPr="00D67A20">
              <w:rPr>
                <w:sz w:val="20"/>
                <w:szCs w:val="20"/>
                <w:highlight w:val="yellow"/>
              </w:rPr>
              <w:t>167</w:t>
            </w:r>
          </w:p>
        </w:tc>
        <w:tc>
          <w:tcPr>
            <w:tcW w:w="1094" w:type="dxa"/>
            <w:shd w:val="clear" w:color="auto" w:fill="auto"/>
            <w:tcMar>
              <w:top w:w="0" w:type="dxa"/>
              <w:left w:w="108" w:type="dxa"/>
              <w:bottom w:w="0" w:type="dxa"/>
              <w:right w:w="108" w:type="dxa"/>
            </w:tcMar>
          </w:tcPr>
          <w:p w14:paraId="38263B3F" w14:textId="198095BD" w:rsidR="00E175C4" w:rsidRPr="00D67A20" w:rsidRDefault="00D67A20" w:rsidP="00B27F17">
            <w:pPr>
              <w:jc w:val="center"/>
              <w:rPr>
                <w:sz w:val="20"/>
                <w:szCs w:val="20"/>
                <w:highlight w:val="yellow"/>
              </w:rPr>
            </w:pPr>
            <w:r>
              <w:rPr>
                <w:sz w:val="20"/>
                <w:szCs w:val="20"/>
                <w:highlight w:val="yellow"/>
              </w:rPr>
              <w:t>2</w:t>
            </w:r>
          </w:p>
        </w:tc>
        <w:tc>
          <w:tcPr>
            <w:tcW w:w="810" w:type="dxa"/>
          </w:tcPr>
          <w:p w14:paraId="2DBBAD4A" w14:textId="77777777" w:rsidR="00E175C4" w:rsidRPr="00D67A20" w:rsidRDefault="00E175C4" w:rsidP="00B27F17">
            <w:pPr>
              <w:jc w:val="center"/>
              <w:rPr>
                <w:sz w:val="20"/>
                <w:szCs w:val="20"/>
                <w:highlight w:val="yellow"/>
              </w:rPr>
            </w:pPr>
            <w:r w:rsidRPr="00D67A20">
              <w:rPr>
                <w:sz w:val="20"/>
                <w:szCs w:val="20"/>
                <w:highlight w:val="yellow"/>
              </w:rPr>
              <w:t>0.2</w:t>
            </w:r>
          </w:p>
        </w:tc>
        <w:tc>
          <w:tcPr>
            <w:tcW w:w="1260" w:type="dxa"/>
            <w:shd w:val="clear" w:color="auto" w:fill="auto"/>
            <w:tcMar>
              <w:top w:w="0" w:type="dxa"/>
              <w:left w:w="108" w:type="dxa"/>
              <w:bottom w:w="0" w:type="dxa"/>
              <w:right w:w="108" w:type="dxa"/>
            </w:tcMar>
          </w:tcPr>
          <w:p w14:paraId="13F3BBB7" w14:textId="2E4661BA" w:rsidR="00E175C4" w:rsidRPr="00D67A20" w:rsidRDefault="00D67A20" w:rsidP="00E738AF">
            <w:pPr>
              <w:jc w:val="center"/>
              <w:rPr>
                <w:sz w:val="20"/>
                <w:szCs w:val="20"/>
                <w:highlight w:val="yellow"/>
              </w:rPr>
            </w:pPr>
            <w:r>
              <w:rPr>
                <w:sz w:val="20"/>
                <w:szCs w:val="20"/>
                <w:highlight w:val="yellow"/>
              </w:rPr>
              <w:t>67</w:t>
            </w:r>
          </w:p>
        </w:tc>
      </w:tr>
      <w:tr w:rsidR="00672A73" w:rsidRPr="00E24EA6" w14:paraId="613C7FF6" w14:textId="77777777" w:rsidTr="00E738AF">
        <w:tc>
          <w:tcPr>
            <w:tcW w:w="3960" w:type="dxa"/>
            <w:shd w:val="clear" w:color="auto" w:fill="auto"/>
            <w:tcMar>
              <w:top w:w="0" w:type="dxa"/>
              <w:left w:w="108" w:type="dxa"/>
              <w:bottom w:w="0" w:type="dxa"/>
              <w:right w:w="108" w:type="dxa"/>
            </w:tcMar>
          </w:tcPr>
          <w:p w14:paraId="0CC32A94" w14:textId="77777777" w:rsidR="00672A73" w:rsidRPr="00E24EA6" w:rsidRDefault="001916C6" w:rsidP="00B51378">
            <w:pPr>
              <w:pStyle w:val="ColorfulList-Accent11"/>
              <w:numPr>
                <w:ilvl w:val="0"/>
                <w:numId w:val="12"/>
              </w:numPr>
              <w:ind w:left="432" w:hanging="432"/>
              <w:rPr>
                <w:sz w:val="20"/>
                <w:szCs w:val="20"/>
              </w:rPr>
            </w:pPr>
            <w:r w:rsidRPr="00E24EA6">
              <w:rPr>
                <w:sz w:val="20"/>
                <w:szCs w:val="20"/>
              </w:rPr>
              <w:t>Team Antibiotic Review Form</w:t>
            </w:r>
            <w:r w:rsidR="00B51378">
              <w:rPr>
                <w:sz w:val="20"/>
                <w:szCs w:val="20"/>
              </w:rPr>
              <w:t xml:space="preserve"> (</w:t>
            </w:r>
            <w:r>
              <w:rPr>
                <w:sz w:val="20"/>
                <w:szCs w:val="20"/>
              </w:rPr>
              <w:t>Cohorts 1, 2, and 3</w:t>
            </w:r>
            <w:r w:rsidR="00B51378">
              <w:rPr>
                <w:sz w:val="20"/>
                <w:szCs w:val="20"/>
              </w:rPr>
              <w:t>)</w:t>
            </w:r>
          </w:p>
        </w:tc>
        <w:tc>
          <w:tcPr>
            <w:tcW w:w="1336" w:type="dxa"/>
            <w:shd w:val="clear" w:color="auto" w:fill="auto"/>
            <w:tcMar>
              <w:top w:w="0" w:type="dxa"/>
              <w:left w:w="108" w:type="dxa"/>
              <w:bottom w:w="0" w:type="dxa"/>
              <w:right w:w="108" w:type="dxa"/>
            </w:tcMar>
          </w:tcPr>
          <w:p w14:paraId="36451E4C" w14:textId="77777777" w:rsidR="00672A73" w:rsidRPr="00E24EA6" w:rsidRDefault="00E175C4" w:rsidP="007E47B3">
            <w:pPr>
              <w:jc w:val="center"/>
              <w:rPr>
                <w:sz w:val="20"/>
                <w:szCs w:val="20"/>
              </w:rPr>
            </w:pPr>
            <w:r>
              <w:rPr>
                <w:sz w:val="20"/>
                <w:szCs w:val="20"/>
              </w:rPr>
              <w:t>33</w:t>
            </w:r>
            <w:r w:rsidR="007E47B3">
              <w:rPr>
                <w:sz w:val="20"/>
                <w:szCs w:val="20"/>
              </w:rPr>
              <w:t>7</w:t>
            </w:r>
          </w:p>
        </w:tc>
        <w:tc>
          <w:tcPr>
            <w:tcW w:w="1094" w:type="dxa"/>
            <w:shd w:val="clear" w:color="auto" w:fill="auto"/>
            <w:tcMar>
              <w:top w:w="0" w:type="dxa"/>
              <w:left w:w="108" w:type="dxa"/>
              <w:bottom w:w="0" w:type="dxa"/>
              <w:right w:w="108" w:type="dxa"/>
            </w:tcMar>
          </w:tcPr>
          <w:p w14:paraId="14A81BBC" w14:textId="77777777" w:rsidR="00672A73" w:rsidRPr="00E24EA6" w:rsidRDefault="00E175C4" w:rsidP="00B27F17">
            <w:pPr>
              <w:jc w:val="center"/>
              <w:rPr>
                <w:sz w:val="20"/>
                <w:szCs w:val="20"/>
              </w:rPr>
            </w:pPr>
            <w:r>
              <w:rPr>
                <w:sz w:val="20"/>
                <w:szCs w:val="20"/>
              </w:rPr>
              <w:t>9</w:t>
            </w:r>
            <w:r w:rsidR="007E47B3">
              <w:rPr>
                <w:sz w:val="20"/>
                <w:szCs w:val="20"/>
              </w:rPr>
              <w:t>0</w:t>
            </w:r>
          </w:p>
        </w:tc>
        <w:tc>
          <w:tcPr>
            <w:tcW w:w="810" w:type="dxa"/>
          </w:tcPr>
          <w:p w14:paraId="103CB1C6" w14:textId="77777777" w:rsidR="00672A73" w:rsidRPr="00E24EA6" w:rsidRDefault="00E175C4" w:rsidP="00B27F17">
            <w:pPr>
              <w:jc w:val="center"/>
              <w:rPr>
                <w:sz w:val="20"/>
                <w:szCs w:val="20"/>
              </w:rPr>
            </w:pPr>
            <w:r>
              <w:rPr>
                <w:sz w:val="20"/>
                <w:szCs w:val="20"/>
              </w:rPr>
              <w:t>0.25</w:t>
            </w:r>
          </w:p>
        </w:tc>
        <w:tc>
          <w:tcPr>
            <w:tcW w:w="1260" w:type="dxa"/>
            <w:shd w:val="clear" w:color="auto" w:fill="auto"/>
            <w:tcMar>
              <w:top w:w="0" w:type="dxa"/>
              <w:left w:w="108" w:type="dxa"/>
              <w:bottom w:w="0" w:type="dxa"/>
              <w:right w:w="108" w:type="dxa"/>
            </w:tcMar>
          </w:tcPr>
          <w:p w14:paraId="037CAE6F" w14:textId="7482DBBC" w:rsidR="00672A73" w:rsidRPr="00E24EA6" w:rsidRDefault="00E175C4">
            <w:pPr>
              <w:jc w:val="center"/>
              <w:rPr>
                <w:sz w:val="20"/>
                <w:szCs w:val="20"/>
              </w:rPr>
            </w:pPr>
            <w:r>
              <w:rPr>
                <w:sz w:val="20"/>
                <w:szCs w:val="20"/>
              </w:rPr>
              <w:t>7,</w:t>
            </w:r>
            <w:r w:rsidR="00AA1B15">
              <w:rPr>
                <w:sz w:val="20"/>
                <w:szCs w:val="20"/>
              </w:rPr>
              <w:t>583</w:t>
            </w:r>
          </w:p>
        </w:tc>
      </w:tr>
      <w:tr w:rsidR="00D65943" w:rsidRPr="00E24EA6" w14:paraId="6305A6DC" w14:textId="77777777" w:rsidTr="00E738AF">
        <w:tc>
          <w:tcPr>
            <w:tcW w:w="3960" w:type="dxa"/>
            <w:shd w:val="clear" w:color="auto" w:fill="auto"/>
            <w:tcMar>
              <w:top w:w="0" w:type="dxa"/>
              <w:left w:w="108" w:type="dxa"/>
              <w:bottom w:w="0" w:type="dxa"/>
              <w:right w:w="108" w:type="dxa"/>
            </w:tcMar>
          </w:tcPr>
          <w:p w14:paraId="6905DD93" w14:textId="77777777" w:rsidR="00D65943" w:rsidRPr="00E24EA6" w:rsidRDefault="00E175C4" w:rsidP="00E175C4">
            <w:pPr>
              <w:pStyle w:val="ColorfulList-Accent11"/>
              <w:numPr>
                <w:ilvl w:val="0"/>
                <w:numId w:val="12"/>
              </w:numPr>
              <w:rPr>
                <w:bCs/>
                <w:color w:val="000000"/>
                <w:sz w:val="20"/>
                <w:szCs w:val="20"/>
              </w:rPr>
            </w:pPr>
            <w:r>
              <w:rPr>
                <w:bCs/>
                <w:color w:val="000000"/>
                <w:sz w:val="20"/>
                <w:szCs w:val="20"/>
              </w:rPr>
              <w:t>AHRQ Patient Safety Culture Surveys</w:t>
            </w:r>
            <w:r w:rsidR="00B51378">
              <w:rPr>
                <w:bCs/>
                <w:color w:val="000000"/>
                <w:sz w:val="20"/>
                <w:szCs w:val="20"/>
              </w:rPr>
              <w:t>:</w:t>
            </w:r>
          </w:p>
        </w:tc>
        <w:tc>
          <w:tcPr>
            <w:tcW w:w="1336" w:type="dxa"/>
            <w:shd w:val="clear" w:color="auto" w:fill="auto"/>
            <w:tcMar>
              <w:top w:w="0" w:type="dxa"/>
              <w:left w:w="108" w:type="dxa"/>
              <w:bottom w:w="0" w:type="dxa"/>
              <w:right w:w="108" w:type="dxa"/>
            </w:tcMar>
          </w:tcPr>
          <w:p w14:paraId="21124F1C" w14:textId="77777777" w:rsidR="00D65943" w:rsidRPr="00E24EA6" w:rsidRDefault="00D65943" w:rsidP="00B27F17">
            <w:pPr>
              <w:jc w:val="center"/>
              <w:rPr>
                <w:sz w:val="20"/>
                <w:szCs w:val="20"/>
              </w:rPr>
            </w:pPr>
          </w:p>
        </w:tc>
        <w:tc>
          <w:tcPr>
            <w:tcW w:w="1094" w:type="dxa"/>
            <w:shd w:val="clear" w:color="auto" w:fill="auto"/>
            <w:tcMar>
              <w:top w:w="0" w:type="dxa"/>
              <w:left w:w="108" w:type="dxa"/>
              <w:bottom w:w="0" w:type="dxa"/>
              <w:right w:w="108" w:type="dxa"/>
            </w:tcMar>
          </w:tcPr>
          <w:p w14:paraId="56719E91" w14:textId="77777777" w:rsidR="00D65943" w:rsidRPr="00E24EA6" w:rsidRDefault="00D65943" w:rsidP="00B27F17">
            <w:pPr>
              <w:jc w:val="center"/>
              <w:rPr>
                <w:sz w:val="20"/>
                <w:szCs w:val="20"/>
                <w:vertAlign w:val="superscript"/>
              </w:rPr>
            </w:pPr>
          </w:p>
        </w:tc>
        <w:tc>
          <w:tcPr>
            <w:tcW w:w="810" w:type="dxa"/>
          </w:tcPr>
          <w:p w14:paraId="5FDCFFC2" w14:textId="77777777" w:rsidR="00D65943" w:rsidRPr="00E24EA6" w:rsidRDefault="00D65943" w:rsidP="00B27F17">
            <w:pPr>
              <w:jc w:val="center"/>
              <w:rPr>
                <w:sz w:val="20"/>
                <w:szCs w:val="20"/>
              </w:rPr>
            </w:pPr>
          </w:p>
        </w:tc>
        <w:tc>
          <w:tcPr>
            <w:tcW w:w="1260" w:type="dxa"/>
            <w:shd w:val="clear" w:color="auto" w:fill="auto"/>
            <w:tcMar>
              <w:top w:w="0" w:type="dxa"/>
              <w:left w:w="108" w:type="dxa"/>
              <w:bottom w:w="0" w:type="dxa"/>
              <w:right w:w="108" w:type="dxa"/>
            </w:tcMar>
          </w:tcPr>
          <w:p w14:paraId="3C4CA293" w14:textId="77777777" w:rsidR="00D65943" w:rsidRPr="00E24EA6" w:rsidRDefault="00D65943" w:rsidP="00E738AF">
            <w:pPr>
              <w:jc w:val="center"/>
              <w:rPr>
                <w:sz w:val="20"/>
                <w:szCs w:val="20"/>
              </w:rPr>
            </w:pPr>
          </w:p>
        </w:tc>
      </w:tr>
      <w:tr w:rsidR="00D65943" w:rsidRPr="00E24EA6" w14:paraId="6BFAD77D" w14:textId="77777777" w:rsidTr="00E738AF">
        <w:tc>
          <w:tcPr>
            <w:tcW w:w="3960" w:type="dxa"/>
            <w:shd w:val="clear" w:color="auto" w:fill="auto"/>
            <w:tcMar>
              <w:top w:w="0" w:type="dxa"/>
              <w:left w:w="108" w:type="dxa"/>
              <w:bottom w:w="0" w:type="dxa"/>
              <w:right w:w="108" w:type="dxa"/>
            </w:tcMar>
          </w:tcPr>
          <w:p w14:paraId="6ADF2E5F" w14:textId="77777777" w:rsidR="00D65943" w:rsidRPr="00E24EA6" w:rsidRDefault="00D65943" w:rsidP="00F161E2">
            <w:pPr>
              <w:pStyle w:val="ColorfulList-Accent11"/>
              <w:numPr>
                <w:ilvl w:val="1"/>
                <w:numId w:val="12"/>
              </w:numPr>
              <w:ind w:left="702" w:hanging="270"/>
              <w:rPr>
                <w:bCs/>
                <w:color w:val="000000"/>
                <w:sz w:val="20"/>
                <w:szCs w:val="20"/>
              </w:rPr>
            </w:pPr>
            <w:r w:rsidRPr="00E24EA6">
              <w:rPr>
                <w:bCs/>
                <w:color w:val="000000"/>
                <w:sz w:val="20"/>
                <w:szCs w:val="20"/>
              </w:rPr>
              <w:t>HSOPS</w:t>
            </w:r>
            <w:r w:rsidR="00F161E2">
              <w:rPr>
                <w:bCs/>
                <w:color w:val="000000"/>
                <w:sz w:val="20"/>
                <w:szCs w:val="20"/>
              </w:rPr>
              <w:t>, NHSOPS, MOSOPS</w:t>
            </w:r>
            <w:r w:rsidR="00E175C4">
              <w:rPr>
                <w:bCs/>
                <w:color w:val="000000"/>
                <w:sz w:val="20"/>
                <w:szCs w:val="20"/>
              </w:rPr>
              <w:t xml:space="preserve"> (Cohort 1)</w:t>
            </w:r>
          </w:p>
        </w:tc>
        <w:tc>
          <w:tcPr>
            <w:tcW w:w="1336" w:type="dxa"/>
            <w:shd w:val="clear" w:color="auto" w:fill="auto"/>
            <w:tcMar>
              <w:top w:w="0" w:type="dxa"/>
              <w:left w:w="108" w:type="dxa"/>
              <w:bottom w:w="0" w:type="dxa"/>
              <w:right w:w="108" w:type="dxa"/>
            </w:tcMar>
          </w:tcPr>
          <w:p w14:paraId="0F02D44C" w14:textId="77777777" w:rsidR="00D65943" w:rsidRPr="00E24EA6" w:rsidRDefault="00F161E2" w:rsidP="00B27F17">
            <w:pPr>
              <w:jc w:val="center"/>
              <w:rPr>
                <w:sz w:val="20"/>
                <w:szCs w:val="20"/>
              </w:rPr>
            </w:pPr>
            <w:r>
              <w:rPr>
                <w:sz w:val="20"/>
                <w:szCs w:val="20"/>
              </w:rPr>
              <w:t>83</w:t>
            </w:r>
          </w:p>
        </w:tc>
        <w:tc>
          <w:tcPr>
            <w:tcW w:w="1094" w:type="dxa"/>
            <w:shd w:val="clear" w:color="auto" w:fill="auto"/>
            <w:tcMar>
              <w:top w:w="0" w:type="dxa"/>
              <w:left w:w="108" w:type="dxa"/>
              <w:bottom w:w="0" w:type="dxa"/>
              <w:right w:w="108" w:type="dxa"/>
            </w:tcMar>
          </w:tcPr>
          <w:p w14:paraId="7A971CBB" w14:textId="77777777" w:rsidR="00D65943" w:rsidRPr="00E24EA6" w:rsidRDefault="00F161E2" w:rsidP="00B27F17">
            <w:pPr>
              <w:jc w:val="center"/>
              <w:rPr>
                <w:sz w:val="20"/>
                <w:szCs w:val="20"/>
              </w:rPr>
            </w:pPr>
            <w:r>
              <w:rPr>
                <w:sz w:val="20"/>
                <w:szCs w:val="20"/>
              </w:rPr>
              <w:t>2</w:t>
            </w:r>
          </w:p>
        </w:tc>
        <w:tc>
          <w:tcPr>
            <w:tcW w:w="810" w:type="dxa"/>
          </w:tcPr>
          <w:p w14:paraId="123629D2" w14:textId="77777777" w:rsidR="00D65943" w:rsidRPr="00E24EA6" w:rsidRDefault="00F161E2" w:rsidP="00B27F17">
            <w:pPr>
              <w:jc w:val="center"/>
              <w:rPr>
                <w:sz w:val="20"/>
                <w:szCs w:val="20"/>
              </w:rPr>
            </w:pPr>
            <w:r>
              <w:rPr>
                <w:sz w:val="20"/>
                <w:szCs w:val="20"/>
              </w:rPr>
              <w:t>0.5</w:t>
            </w:r>
          </w:p>
        </w:tc>
        <w:tc>
          <w:tcPr>
            <w:tcW w:w="1260" w:type="dxa"/>
            <w:shd w:val="clear" w:color="auto" w:fill="auto"/>
            <w:tcMar>
              <w:top w:w="0" w:type="dxa"/>
              <w:left w:w="108" w:type="dxa"/>
              <w:bottom w:w="0" w:type="dxa"/>
              <w:right w:w="108" w:type="dxa"/>
            </w:tcMar>
          </w:tcPr>
          <w:p w14:paraId="42EF28BE" w14:textId="77777777" w:rsidR="00D65943" w:rsidRPr="00E24EA6" w:rsidRDefault="00F161E2" w:rsidP="00E738AF">
            <w:pPr>
              <w:jc w:val="center"/>
              <w:rPr>
                <w:sz w:val="20"/>
                <w:szCs w:val="20"/>
              </w:rPr>
            </w:pPr>
            <w:r>
              <w:rPr>
                <w:sz w:val="20"/>
                <w:szCs w:val="20"/>
              </w:rPr>
              <w:t>83</w:t>
            </w:r>
          </w:p>
        </w:tc>
      </w:tr>
      <w:tr w:rsidR="00F161E2" w:rsidRPr="00E24EA6" w14:paraId="3DF20865" w14:textId="77777777" w:rsidTr="00E738AF">
        <w:tc>
          <w:tcPr>
            <w:tcW w:w="3960" w:type="dxa"/>
            <w:shd w:val="clear" w:color="auto" w:fill="auto"/>
            <w:tcMar>
              <w:top w:w="0" w:type="dxa"/>
              <w:left w:w="108" w:type="dxa"/>
              <w:bottom w:w="0" w:type="dxa"/>
              <w:right w:w="108" w:type="dxa"/>
            </w:tcMar>
          </w:tcPr>
          <w:p w14:paraId="1129C7C8" w14:textId="77777777" w:rsidR="00F161E2" w:rsidRPr="00E24EA6" w:rsidRDefault="00F161E2" w:rsidP="00F161E2">
            <w:pPr>
              <w:pStyle w:val="ColorfulList-Accent11"/>
              <w:numPr>
                <w:ilvl w:val="1"/>
                <w:numId w:val="12"/>
              </w:numPr>
              <w:ind w:hanging="648"/>
              <w:rPr>
                <w:bCs/>
                <w:color w:val="000000"/>
                <w:sz w:val="20"/>
                <w:szCs w:val="20"/>
              </w:rPr>
            </w:pPr>
            <w:r>
              <w:rPr>
                <w:bCs/>
                <w:color w:val="000000"/>
                <w:sz w:val="20"/>
                <w:szCs w:val="20"/>
              </w:rPr>
              <w:t>HSOPS (Cohort 2)</w:t>
            </w:r>
          </w:p>
        </w:tc>
        <w:tc>
          <w:tcPr>
            <w:tcW w:w="1336" w:type="dxa"/>
            <w:shd w:val="clear" w:color="auto" w:fill="auto"/>
            <w:tcMar>
              <w:top w:w="0" w:type="dxa"/>
              <w:left w:w="108" w:type="dxa"/>
              <w:bottom w:w="0" w:type="dxa"/>
              <w:right w:w="108" w:type="dxa"/>
            </w:tcMar>
          </w:tcPr>
          <w:p w14:paraId="0AE1F064" w14:textId="77777777" w:rsidR="00F161E2" w:rsidRPr="00E24EA6" w:rsidRDefault="00F161E2" w:rsidP="00B27F17">
            <w:pPr>
              <w:jc w:val="center"/>
              <w:rPr>
                <w:sz w:val="20"/>
                <w:szCs w:val="20"/>
              </w:rPr>
            </w:pPr>
            <w:r>
              <w:rPr>
                <w:sz w:val="20"/>
                <w:szCs w:val="20"/>
              </w:rPr>
              <w:t>4,167</w:t>
            </w:r>
          </w:p>
        </w:tc>
        <w:tc>
          <w:tcPr>
            <w:tcW w:w="1094" w:type="dxa"/>
            <w:shd w:val="clear" w:color="auto" w:fill="auto"/>
            <w:tcMar>
              <w:top w:w="0" w:type="dxa"/>
              <w:left w:w="108" w:type="dxa"/>
              <w:bottom w:w="0" w:type="dxa"/>
              <w:right w:w="108" w:type="dxa"/>
            </w:tcMar>
          </w:tcPr>
          <w:p w14:paraId="18CFF0AA" w14:textId="77777777" w:rsidR="00F161E2" w:rsidRPr="00E24EA6" w:rsidRDefault="00F161E2" w:rsidP="00B27F17">
            <w:pPr>
              <w:jc w:val="center"/>
              <w:rPr>
                <w:sz w:val="20"/>
                <w:szCs w:val="20"/>
              </w:rPr>
            </w:pPr>
            <w:r>
              <w:rPr>
                <w:sz w:val="20"/>
                <w:szCs w:val="20"/>
              </w:rPr>
              <w:t>2</w:t>
            </w:r>
          </w:p>
        </w:tc>
        <w:tc>
          <w:tcPr>
            <w:tcW w:w="810" w:type="dxa"/>
          </w:tcPr>
          <w:p w14:paraId="7C507668" w14:textId="77777777" w:rsidR="00F161E2" w:rsidRDefault="00F161E2" w:rsidP="00B27F17">
            <w:pPr>
              <w:jc w:val="center"/>
              <w:rPr>
                <w:sz w:val="20"/>
                <w:szCs w:val="20"/>
              </w:rPr>
            </w:pPr>
            <w:r>
              <w:rPr>
                <w:sz w:val="20"/>
                <w:szCs w:val="20"/>
              </w:rPr>
              <w:t>0.5</w:t>
            </w:r>
          </w:p>
        </w:tc>
        <w:tc>
          <w:tcPr>
            <w:tcW w:w="1260" w:type="dxa"/>
            <w:shd w:val="clear" w:color="auto" w:fill="auto"/>
            <w:tcMar>
              <w:top w:w="0" w:type="dxa"/>
              <w:left w:w="108" w:type="dxa"/>
              <w:bottom w:w="0" w:type="dxa"/>
              <w:right w:w="108" w:type="dxa"/>
            </w:tcMar>
          </w:tcPr>
          <w:p w14:paraId="35DB6D04" w14:textId="77777777" w:rsidR="00F161E2" w:rsidRPr="00E24EA6" w:rsidRDefault="00F161E2" w:rsidP="00E738AF">
            <w:pPr>
              <w:jc w:val="center"/>
              <w:rPr>
                <w:sz w:val="20"/>
                <w:szCs w:val="20"/>
              </w:rPr>
            </w:pPr>
            <w:r>
              <w:rPr>
                <w:sz w:val="20"/>
                <w:szCs w:val="20"/>
              </w:rPr>
              <w:t>4,167</w:t>
            </w:r>
          </w:p>
        </w:tc>
      </w:tr>
      <w:tr w:rsidR="00D65943" w:rsidRPr="00E24EA6" w14:paraId="093323B1" w14:textId="77777777" w:rsidTr="00E738AF">
        <w:tc>
          <w:tcPr>
            <w:tcW w:w="3960" w:type="dxa"/>
            <w:shd w:val="clear" w:color="auto" w:fill="auto"/>
            <w:tcMar>
              <w:top w:w="0" w:type="dxa"/>
              <w:left w:w="108" w:type="dxa"/>
              <w:bottom w:w="0" w:type="dxa"/>
              <w:right w:w="108" w:type="dxa"/>
            </w:tcMar>
          </w:tcPr>
          <w:p w14:paraId="0938F1A6" w14:textId="77777777" w:rsidR="00D65943" w:rsidRPr="00E24EA6" w:rsidRDefault="00D65943" w:rsidP="00F161E2">
            <w:pPr>
              <w:pStyle w:val="ColorfulList-Accent11"/>
              <w:numPr>
                <w:ilvl w:val="1"/>
                <w:numId w:val="12"/>
              </w:numPr>
              <w:ind w:hanging="648"/>
              <w:rPr>
                <w:bCs/>
                <w:color w:val="000000"/>
                <w:sz w:val="20"/>
                <w:szCs w:val="20"/>
              </w:rPr>
            </w:pPr>
            <w:r w:rsidRPr="00E24EA6">
              <w:rPr>
                <w:bCs/>
                <w:color w:val="000000"/>
                <w:sz w:val="20"/>
                <w:szCs w:val="20"/>
              </w:rPr>
              <w:t>NHSOPS</w:t>
            </w:r>
            <w:r w:rsidR="00E175C4">
              <w:rPr>
                <w:bCs/>
                <w:color w:val="000000"/>
                <w:sz w:val="20"/>
                <w:szCs w:val="20"/>
              </w:rPr>
              <w:t xml:space="preserve"> (Cohort 3)</w:t>
            </w:r>
          </w:p>
        </w:tc>
        <w:tc>
          <w:tcPr>
            <w:tcW w:w="1336" w:type="dxa"/>
            <w:shd w:val="clear" w:color="auto" w:fill="auto"/>
            <w:tcMar>
              <w:top w:w="0" w:type="dxa"/>
              <w:left w:w="108" w:type="dxa"/>
              <w:bottom w:w="0" w:type="dxa"/>
              <w:right w:w="108" w:type="dxa"/>
            </w:tcMar>
          </w:tcPr>
          <w:p w14:paraId="689B1072" w14:textId="77777777" w:rsidR="00D65943" w:rsidRPr="00E24EA6" w:rsidRDefault="00F161E2" w:rsidP="00B27F17">
            <w:pPr>
              <w:jc w:val="center"/>
              <w:rPr>
                <w:sz w:val="20"/>
                <w:szCs w:val="20"/>
              </w:rPr>
            </w:pPr>
            <w:r>
              <w:rPr>
                <w:sz w:val="20"/>
                <w:szCs w:val="20"/>
              </w:rPr>
              <w:t>4,167</w:t>
            </w:r>
          </w:p>
        </w:tc>
        <w:tc>
          <w:tcPr>
            <w:tcW w:w="1094" w:type="dxa"/>
            <w:shd w:val="clear" w:color="auto" w:fill="auto"/>
            <w:tcMar>
              <w:top w:w="0" w:type="dxa"/>
              <w:left w:w="108" w:type="dxa"/>
              <w:bottom w:w="0" w:type="dxa"/>
              <w:right w:w="108" w:type="dxa"/>
            </w:tcMar>
          </w:tcPr>
          <w:p w14:paraId="1FD2C686" w14:textId="77777777" w:rsidR="00D65943" w:rsidRPr="00E24EA6" w:rsidRDefault="00F161E2" w:rsidP="00B27F17">
            <w:pPr>
              <w:jc w:val="center"/>
              <w:rPr>
                <w:sz w:val="20"/>
                <w:szCs w:val="20"/>
              </w:rPr>
            </w:pPr>
            <w:r>
              <w:rPr>
                <w:sz w:val="20"/>
                <w:szCs w:val="20"/>
              </w:rPr>
              <w:t>2</w:t>
            </w:r>
          </w:p>
        </w:tc>
        <w:tc>
          <w:tcPr>
            <w:tcW w:w="810" w:type="dxa"/>
          </w:tcPr>
          <w:p w14:paraId="7416C5BD" w14:textId="77777777" w:rsidR="00D65943" w:rsidRPr="00E24EA6" w:rsidRDefault="00F161E2" w:rsidP="00B27F17">
            <w:pPr>
              <w:jc w:val="center"/>
              <w:rPr>
                <w:sz w:val="20"/>
                <w:szCs w:val="20"/>
              </w:rPr>
            </w:pPr>
            <w:r>
              <w:rPr>
                <w:sz w:val="20"/>
                <w:szCs w:val="20"/>
              </w:rPr>
              <w:t>0.5</w:t>
            </w:r>
          </w:p>
        </w:tc>
        <w:tc>
          <w:tcPr>
            <w:tcW w:w="1260" w:type="dxa"/>
            <w:shd w:val="clear" w:color="auto" w:fill="auto"/>
            <w:tcMar>
              <w:top w:w="0" w:type="dxa"/>
              <w:left w:w="108" w:type="dxa"/>
              <w:bottom w:w="0" w:type="dxa"/>
              <w:right w:w="108" w:type="dxa"/>
            </w:tcMar>
          </w:tcPr>
          <w:p w14:paraId="28ACD34E" w14:textId="77777777" w:rsidR="00D65943" w:rsidRPr="00E24EA6" w:rsidRDefault="00F161E2" w:rsidP="00E738AF">
            <w:pPr>
              <w:jc w:val="center"/>
              <w:rPr>
                <w:sz w:val="20"/>
                <w:szCs w:val="20"/>
              </w:rPr>
            </w:pPr>
            <w:r>
              <w:rPr>
                <w:sz w:val="20"/>
                <w:szCs w:val="20"/>
              </w:rPr>
              <w:t>4,167</w:t>
            </w:r>
          </w:p>
        </w:tc>
      </w:tr>
      <w:tr w:rsidR="00F161E2" w:rsidRPr="00E24EA6" w14:paraId="079149D7" w14:textId="77777777" w:rsidTr="00E738AF">
        <w:tc>
          <w:tcPr>
            <w:tcW w:w="3960" w:type="dxa"/>
            <w:shd w:val="clear" w:color="auto" w:fill="auto"/>
            <w:tcMar>
              <w:top w:w="0" w:type="dxa"/>
              <w:left w:w="108" w:type="dxa"/>
              <w:bottom w:w="0" w:type="dxa"/>
              <w:right w:w="108" w:type="dxa"/>
            </w:tcMar>
          </w:tcPr>
          <w:p w14:paraId="09ECF44D" w14:textId="77777777" w:rsidR="00F161E2" w:rsidRPr="00D67A20" w:rsidRDefault="00F161E2" w:rsidP="00F161E2">
            <w:pPr>
              <w:pStyle w:val="ColorfulList-Accent11"/>
              <w:numPr>
                <w:ilvl w:val="1"/>
                <w:numId w:val="12"/>
              </w:numPr>
              <w:ind w:hanging="648"/>
              <w:rPr>
                <w:bCs/>
                <w:color w:val="000000"/>
                <w:sz w:val="20"/>
                <w:szCs w:val="20"/>
                <w:highlight w:val="yellow"/>
              </w:rPr>
            </w:pPr>
            <w:r w:rsidRPr="00D67A20">
              <w:rPr>
                <w:bCs/>
                <w:color w:val="000000"/>
                <w:sz w:val="20"/>
                <w:szCs w:val="20"/>
                <w:highlight w:val="yellow"/>
              </w:rPr>
              <w:t>MOSOPS (Cohort 4)</w:t>
            </w:r>
          </w:p>
        </w:tc>
        <w:tc>
          <w:tcPr>
            <w:tcW w:w="1336" w:type="dxa"/>
            <w:shd w:val="clear" w:color="auto" w:fill="auto"/>
            <w:tcMar>
              <w:top w:w="0" w:type="dxa"/>
              <w:left w:w="108" w:type="dxa"/>
              <w:bottom w:w="0" w:type="dxa"/>
              <w:right w:w="108" w:type="dxa"/>
            </w:tcMar>
          </w:tcPr>
          <w:p w14:paraId="6264EDE2" w14:textId="77777777" w:rsidR="00F161E2" w:rsidRPr="00D67A20" w:rsidRDefault="00F161E2" w:rsidP="00B27F17">
            <w:pPr>
              <w:jc w:val="center"/>
              <w:rPr>
                <w:sz w:val="20"/>
                <w:szCs w:val="20"/>
                <w:highlight w:val="yellow"/>
              </w:rPr>
            </w:pPr>
            <w:r w:rsidRPr="00D67A20">
              <w:rPr>
                <w:sz w:val="20"/>
                <w:szCs w:val="20"/>
                <w:highlight w:val="yellow"/>
              </w:rPr>
              <w:t>4,167</w:t>
            </w:r>
          </w:p>
        </w:tc>
        <w:tc>
          <w:tcPr>
            <w:tcW w:w="1094" w:type="dxa"/>
            <w:shd w:val="clear" w:color="auto" w:fill="auto"/>
            <w:tcMar>
              <w:top w:w="0" w:type="dxa"/>
              <w:left w:w="108" w:type="dxa"/>
              <w:bottom w:w="0" w:type="dxa"/>
              <w:right w:w="108" w:type="dxa"/>
            </w:tcMar>
          </w:tcPr>
          <w:p w14:paraId="5506F4FB" w14:textId="29F2DD38" w:rsidR="00F161E2" w:rsidRPr="00D67A20" w:rsidRDefault="00D67A20" w:rsidP="00B27F17">
            <w:pPr>
              <w:jc w:val="center"/>
              <w:rPr>
                <w:sz w:val="20"/>
                <w:szCs w:val="20"/>
                <w:highlight w:val="yellow"/>
              </w:rPr>
            </w:pPr>
            <w:r>
              <w:rPr>
                <w:sz w:val="20"/>
                <w:szCs w:val="20"/>
                <w:highlight w:val="yellow"/>
              </w:rPr>
              <w:t>2</w:t>
            </w:r>
          </w:p>
        </w:tc>
        <w:tc>
          <w:tcPr>
            <w:tcW w:w="810" w:type="dxa"/>
          </w:tcPr>
          <w:p w14:paraId="06F12105" w14:textId="77777777" w:rsidR="00F161E2" w:rsidRPr="00D67A20" w:rsidRDefault="00F161E2" w:rsidP="00B27F17">
            <w:pPr>
              <w:jc w:val="center"/>
              <w:rPr>
                <w:sz w:val="20"/>
                <w:szCs w:val="20"/>
                <w:highlight w:val="yellow"/>
              </w:rPr>
            </w:pPr>
            <w:r w:rsidRPr="00D67A20">
              <w:rPr>
                <w:sz w:val="20"/>
                <w:szCs w:val="20"/>
                <w:highlight w:val="yellow"/>
              </w:rPr>
              <w:t>0.5</w:t>
            </w:r>
          </w:p>
        </w:tc>
        <w:tc>
          <w:tcPr>
            <w:tcW w:w="1260" w:type="dxa"/>
            <w:shd w:val="clear" w:color="auto" w:fill="auto"/>
            <w:tcMar>
              <w:top w:w="0" w:type="dxa"/>
              <w:left w:w="108" w:type="dxa"/>
              <w:bottom w:w="0" w:type="dxa"/>
              <w:right w:w="108" w:type="dxa"/>
            </w:tcMar>
          </w:tcPr>
          <w:p w14:paraId="6B8C7C81" w14:textId="38FA6632" w:rsidR="00F161E2" w:rsidRPr="00D67A20" w:rsidRDefault="00D67A20" w:rsidP="00E738AF">
            <w:pPr>
              <w:jc w:val="center"/>
              <w:rPr>
                <w:sz w:val="20"/>
                <w:szCs w:val="20"/>
                <w:highlight w:val="yellow"/>
              </w:rPr>
            </w:pPr>
            <w:r>
              <w:rPr>
                <w:sz w:val="20"/>
                <w:szCs w:val="20"/>
                <w:highlight w:val="yellow"/>
              </w:rPr>
              <w:t>4,167</w:t>
            </w:r>
          </w:p>
        </w:tc>
      </w:tr>
      <w:tr w:rsidR="00D65943" w:rsidRPr="00E24EA6" w14:paraId="2D6ABCCB" w14:textId="77777777" w:rsidTr="00E738AF">
        <w:trPr>
          <w:trHeight w:val="503"/>
        </w:trPr>
        <w:tc>
          <w:tcPr>
            <w:tcW w:w="3960" w:type="dxa"/>
            <w:shd w:val="clear" w:color="auto" w:fill="auto"/>
            <w:tcMar>
              <w:top w:w="0" w:type="dxa"/>
              <w:left w:w="108" w:type="dxa"/>
              <w:bottom w:w="0" w:type="dxa"/>
              <w:right w:w="108" w:type="dxa"/>
            </w:tcMar>
          </w:tcPr>
          <w:p w14:paraId="6BCA8303" w14:textId="77777777" w:rsidR="00D65943" w:rsidRDefault="00D65943" w:rsidP="00B27F17">
            <w:pPr>
              <w:pStyle w:val="ColorfulList-Accent11"/>
              <w:numPr>
                <w:ilvl w:val="0"/>
                <w:numId w:val="12"/>
              </w:numPr>
              <w:rPr>
                <w:bCs/>
                <w:color w:val="000000"/>
                <w:sz w:val="20"/>
                <w:szCs w:val="20"/>
              </w:rPr>
            </w:pPr>
            <w:r w:rsidRPr="00E24EA6">
              <w:rPr>
                <w:bCs/>
                <w:color w:val="000000"/>
                <w:sz w:val="20"/>
                <w:szCs w:val="20"/>
              </w:rPr>
              <w:t>Semi-st</w:t>
            </w:r>
            <w:r>
              <w:rPr>
                <w:bCs/>
                <w:color w:val="000000"/>
                <w:sz w:val="20"/>
                <w:szCs w:val="20"/>
              </w:rPr>
              <w:t>ructured qualitative interviews</w:t>
            </w:r>
            <w:r w:rsidR="00F161E2">
              <w:rPr>
                <w:bCs/>
                <w:color w:val="000000"/>
                <w:sz w:val="20"/>
                <w:szCs w:val="20"/>
              </w:rPr>
              <w:t xml:space="preserve"> (Cohort 1)</w:t>
            </w:r>
            <w:r>
              <w:rPr>
                <w:bCs/>
                <w:color w:val="000000"/>
                <w:sz w:val="20"/>
                <w:szCs w:val="20"/>
              </w:rPr>
              <w:t>:</w:t>
            </w:r>
          </w:p>
          <w:p w14:paraId="5310F5FC" w14:textId="77777777" w:rsidR="00D65943" w:rsidRPr="00E24EA6" w:rsidRDefault="00D65943" w:rsidP="00B27F17">
            <w:pPr>
              <w:pStyle w:val="ColorfulList-Accent11"/>
              <w:numPr>
                <w:ilvl w:val="1"/>
                <w:numId w:val="12"/>
              </w:numPr>
              <w:rPr>
                <w:bCs/>
                <w:color w:val="000000"/>
                <w:sz w:val="20"/>
                <w:szCs w:val="20"/>
              </w:rPr>
            </w:pPr>
            <w:r w:rsidRPr="007374BC">
              <w:rPr>
                <w:bCs/>
                <w:color w:val="000000"/>
                <w:sz w:val="20"/>
                <w:szCs w:val="20"/>
              </w:rPr>
              <w:t xml:space="preserve">Physicians </w:t>
            </w:r>
          </w:p>
        </w:tc>
        <w:tc>
          <w:tcPr>
            <w:tcW w:w="1336" w:type="dxa"/>
            <w:shd w:val="clear" w:color="auto" w:fill="auto"/>
            <w:tcMar>
              <w:top w:w="0" w:type="dxa"/>
              <w:left w:w="108" w:type="dxa"/>
              <w:bottom w:w="0" w:type="dxa"/>
              <w:right w:w="108" w:type="dxa"/>
            </w:tcMar>
          </w:tcPr>
          <w:p w14:paraId="4CB9B3F7" w14:textId="77777777" w:rsidR="00D65943" w:rsidRPr="00E24EA6" w:rsidRDefault="00F161E2" w:rsidP="00B27F17">
            <w:pPr>
              <w:jc w:val="center"/>
              <w:rPr>
                <w:sz w:val="20"/>
                <w:szCs w:val="20"/>
              </w:rPr>
            </w:pPr>
            <w:r>
              <w:rPr>
                <w:sz w:val="20"/>
                <w:szCs w:val="20"/>
              </w:rPr>
              <w:t>30</w:t>
            </w:r>
          </w:p>
        </w:tc>
        <w:tc>
          <w:tcPr>
            <w:tcW w:w="1094" w:type="dxa"/>
            <w:shd w:val="clear" w:color="auto" w:fill="auto"/>
            <w:tcMar>
              <w:top w:w="0" w:type="dxa"/>
              <w:left w:w="108" w:type="dxa"/>
              <w:bottom w:w="0" w:type="dxa"/>
              <w:right w:w="108" w:type="dxa"/>
            </w:tcMar>
          </w:tcPr>
          <w:p w14:paraId="0B39E865" w14:textId="77777777" w:rsidR="00D65943" w:rsidRPr="00E24EA6" w:rsidRDefault="00F161E2" w:rsidP="00B27F17">
            <w:pPr>
              <w:jc w:val="center"/>
              <w:rPr>
                <w:sz w:val="20"/>
                <w:szCs w:val="20"/>
              </w:rPr>
            </w:pPr>
            <w:r>
              <w:rPr>
                <w:sz w:val="20"/>
                <w:szCs w:val="20"/>
              </w:rPr>
              <w:t>2</w:t>
            </w:r>
          </w:p>
        </w:tc>
        <w:tc>
          <w:tcPr>
            <w:tcW w:w="810" w:type="dxa"/>
          </w:tcPr>
          <w:p w14:paraId="4795201D" w14:textId="77777777" w:rsidR="00D65943" w:rsidRPr="00E24EA6" w:rsidRDefault="00F161E2" w:rsidP="00B27F17">
            <w:pPr>
              <w:jc w:val="center"/>
              <w:rPr>
                <w:sz w:val="20"/>
                <w:szCs w:val="20"/>
              </w:rPr>
            </w:pPr>
            <w:r>
              <w:rPr>
                <w:sz w:val="20"/>
                <w:szCs w:val="20"/>
              </w:rPr>
              <w:t>1</w:t>
            </w:r>
          </w:p>
        </w:tc>
        <w:tc>
          <w:tcPr>
            <w:tcW w:w="1260" w:type="dxa"/>
            <w:shd w:val="clear" w:color="auto" w:fill="auto"/>
            <w:tcMar>
              <w:top w:w="0" w:type="dxa"/>
              <w:left w:w="108" w:type="dxa"/>
              <w:bottom w:w="0" w:type="dxa"/>
              <w:right w:w="108" w:type="dxa"/>
            </w:tcMar>
          </w:tcPr>
          <w:p w14:paraId="3EFDE5EE" w14:textId="77777777" w:rsidR="00D65943" w:rsidRPr="00E24EA6" w:rsidRDefault="00F161E2" w:rsidP="00E738AF">
            <w:pPr>
              <w:jc w:val="center"/>
              <w:rPr>
                <w:sz w:val="20"/>
                <w:szCs w:val="20"/>
              </w:rPr>
            </w:pPr>
            <w:r>
              <w:rPr>
                <w:sz w:val="20"/>
                <w:szCs w:val="20"/>
              </w:rPr>
              <w:t>60</w:t>
            </w:r>
          </w:p>
        </w:tc>
      </w:tr>
      <w:tr w:rsidR="00D65943" w:rsidRPr="00E24EA6" w14:paraId="72F5AC69" w14:textId="77777777" w:rsidTr="00E738AF">
        <w:trPr>
          <w:trHeight w:val="260"/>
        </w:trPr>
        <w:tc>
          <w:tcPr>
            <w:tcW w:w="3960" w:type="dxa"/>
            <w:shd w:val="clear" w:color="auto" w:fill="auto"/>
            <w:tcMar>
              <w:top w:w="0" w:type="dxa"/>
              <w:left w:w="108" w:type="dxa"/>
              <w:bottom w:w="0" w:type="dxa"/>
              <w:right w:w="108" w:type="dxa"/>
            </w:tcMar>
          </w:tcPr>
          <w:p w14:paraId="72D98FB6" w14:textId="77777777" w:rsidR="00D65943" w:rsidRPr="00E24EA6" w:rsidRDefault="00D65943" w:rsidP="00B27F17">
            <w:pPr>
              <w:pStyle w:val="ColorfulList-Accent11"/>
              <w:numPr>
                <w:ilvl w:val="1"/>
                <w:numId w:val="12"/>
              </w:numPr>
              <w:rPr>
                <w:bCs/>
                <w:color w:val="000000"/>
                <w:sz w:val="20"/>
                <w:szCs w:val="20"/>
              </w:rPr>
            </w:pPr>
            <w:r>
              <w:rPr>
                <w:bCs/>
                <w:color w:val="000000"/>
                <w:sz w:val="20"/>
                <w:szCs w:val="20"/>
              </w:rPr>
              <w:t>Other Health Practitioners</w:t>
            </w:r>
          </w:p>
        </w:tc>
        <w:tc>
          <w:tcPr>
            <w:tcW w:w="1336" w:type="dxa"/>
            <w:shd w:val="clear" w:color="auto" w:fill="auto"/>
            <w:tcMar>
              <w:top w:w="0" w:type="dxa"/>
              <w:left w:w="108" w:type="dxa"/>
              <w:bottom w:w="0" w:type="dxa"/>
              <w:right w:w="108" w:type="dxa"/>
            </w:tcMar>
          </w:tcPr>
          <w:p w14:paraId="1F6B1C66" w14:textId="77777777" w:rsidR="00D65943" w:rsidRPr="00E24EA6" w:rsidDel="00535E4A" w:rsidRDefault="00F161E2" w:rsidP="00B27F17">
            <w:pPr>
              <w:jc w:val="center"/>
              <w:rPr>
                <w:sz w:val="20"/>
                <w:szCs w:val="20"/>
              </w:rPr>
            </w:pPr>
            <w:r>
              <w:rPr>
                <w:sz w:val="20"/>
                <w:szCs w:val="20"/>
              </w:rPr>
              <w:t>60</w:t>
            </w:r>
          </w:p>
        </w:tc>
        <w:tc>
          <w:tcPr>
            <w:tcW w:w="1094" w:type="dxa"/>
            <w:shd w:val="clear" w:color="auto" w:fill="auto"/>
            <w:tcMar>
              <w:top w:w="0" w:type="dxa"/>
              <w:left w:w="108" w:type="dxa"/>
              <w:bottom w:w="0" w:type="dxa"/>
              <w:right w:w="108" w:type="dxa"/>
            </w:tcMar>
          </w:tcPr>
          <w:p w14:paraId="6B2D4274" w14:textId="77777777" w:rsidR="00D65943" w:rsidRPr="00E24EA6" w:rsidRDefault="00F161E2" w:rsidP="00B27F17">
            <w:pPr>
              <w:jc w:val="center"/>
              <w:rPr>
                <w:sz w:val="20"/>
                <w:szCs w:val="20"/>
              </w:rPr>
            </w:pPr>
            <w:r>
              <w:rPr>
                <w:sz w:val="20"/>
                <w:szCs w:val="20"/>
              </w:rPr>
              <w:t>2</w:t>
            </w:r>
          </w:p>
        </w:tc>
        <w:tc>
          <w:tcPr>
            <w:tcW w:w="810" w:type="dxa"/>
          </w:tcPr>
          <w:p w14:paraId="425B4E55" w14:textId="77777777" w:rsidR="00D65943" w:rsidRPr="00E24EA6" w:rsidRDefault="00F161E2" w:rsidP="00B27F17">
            <w:pPr>
              <w:jc w:val="center"/>
              <w:rPr>
                <w:sz w:val="20"/>
                <w:szCs w:val="20"/>
              </w:rPr>
            </w:pPr>
            <w:r>
              <w:rPr>
                <w:sz w:val="20"/>
                <w:szCs w:val="20"/>
              </w:rPr>
              <w:t>1</w:t>
            </w:r>
          </w:p>
        </w:tc>
        <w:tc>
          <w:tcPr>
            <w:tcW w:w="1260" w:type="dxa"/>
            <w:shd w:val="clear" w:color="auto" w:fill="auto"/>
            <w:tcMar>
              <w:top w:w="0" w:type="dxa"/>
              <w:left w:w="108" w:type="dxa"/>
              <w:bottom w:w="0" w:type="dxa"/>
              <w:right w:w="108" w:type="dxa"/>
            </w:tcMar>
          </w:tcPr>
          <w:p w14:paraId="43D8E5D3" w14:textId="77777777" w:rsidR="00D65943" w:rsidRPr="00E24EA6" w:rsidRDefault="00F161E2" w:rsidP="00E738AF">
            <w:pPr>
              <w:jc w:val="center"/>
              <w:rPr>
                <w:sz w:val="20"/>
                <w:szCs w:val="20"/>
              </w:rPr>
            </w:pPr>
            <w:r>
              <w:rPr>
                <w:sz w:val="20"/>
                <w:szCs w:val="20"/>
              </w:rPr>
              <w:t>120</w:t>
            </w:r>
          </w:p>
        </w:tc>
      </w:tr>
      <w:tr w:rsidR="00D65943" w:rsidRPr="00E24EA6" w14:paraId="3CC712F2" w14:textId="77777777" w:rsidTr="00E738AF">
        <w:tc>
          <w:tcPr>
            <w:tcW w:w="3960" w:type="dxa"/>
            <w:shd w:val="clear" w:color="auto" w:fill="auto"/>
            <w:tcMar>
              <w:top w:w="0" w:type="dxa"/>
              <w:left w:w="108" w:type="dxa"/>
              <w:bottom w:w="0" w:type="dxa"/>
              <w:right w:w="108" w:type="dxa"/>
            </w:tcMar>
          </w:tcPr>
          <w:p w14:paraId="55E43367" w14:textId="77777777" w:rsidR="00D65943" w:rsidRPr="00E24EA6" w:rsidRDefault="00D65943" w:rsidP="00B27F17">
            <w:pPr>
              <w:pStyle w:val="ColorfulList-Accent11"/>
              <w:numPr>
                <w:ilvl w:val="0"/>
                <w:numId w:val="12"/>
              </w:numPr>
              <w:rPr>
                <w:sz w:val="20"/>
                <w:szCs w:val="20"/>
              </w:rPr>
            </w:pPr>
            <w:r w:rsidRPr="00E24EA6">
              <w:rPr>
                <w:sz w:val="20"/>
                <w:szCs w:val="20"/>
              </w:rPr>
              <w:t>EHR data</w:t>
            </w:r>
            <w:r w:rsidR="00F161E2">
              <w:rPr>
                <w:sz w:val="20"/>
                <w:szCs w:val="20"/>
              </w:rPr>
              <w:t xml:space="preserve"> (Cohorts 1, 2, and 3)</w:t>
            </w:r>
          </w:p>
        </w:tc>
        <w:tc>
          <w:tcPr>
            <w:tcW w:w="1336" w:type="dxa"/>
            <w:shd w:val="clear" w:color="auto" w:fill="auto"/>
            <w:tcMar>
              <w:top w:w="0" w:type="dxa"/>
              <w:left w:w="108" w:type="dxa"/>
              <w:bottom w:w="0" w:type="dxa"/>
              <w:right w:w="108" w:type="dxa"/>
            </w:tcMar>
          </w:tcPr>
          <w:p w14:paraId="2E94C89E" w14:textId="77777777" w:rsidR="00D65943" w:rsidRPr="00E24EA6" w:rsidRDefault="00F161E2" w:rsidP="00B27F17">
            <w:pPr>
              <w:jc w:val="center"/>
              <w:rPr>
                <w:sz w:val="20"/>
                <w:szCs w:val="20"/>
              </w:rPr>
            </w:pPr>
            <w:r>
              <w:rPr>
                <w:sz w:val="20"/>
                <w:szCs w:val="20"/>
              </w:rPr>
              <w:t>334</w:t>
            </w:r>
          </w:p>
        </w:tc>
        <w:tc>
          <w:tcPr>
            <w:tcW w:w="1094" w:type="dxa"/>
            <w:shd w:val="clear" w:color="auto" w:fill="auto"/>
            <w:tcMar>
              <w:top w:w="0" w:type="dxa"/>
              <w:left w:w="108" w:type="dxa"/>
              <w:bottom w:w="0" w:type="dxa"/>
              <w:right w:w="108" w:type="dxa"/>
            </w:tcMar>
          </w:tcPr>
          <w:p w14:paraId="1CE112D8" w14:textId="77777777" w:rsidR="00D65943" w:rsidRPr="00E24EA6" w:rsidRDefault="00F161E2" w:rsidP="00B27F17">
            <w:pPr>
              <w:jc w:val="center"/>
              <w:rPr>
                <w:sz w:val="20"/>
                <w:szCs w:val="20"/>
              </w:rPr>
            </w:pPr>
            <w:r>
              <w:rPr>
                <w:sz w:val="20"/>
                <w:szCs w:val="20"/>
              </w:rPr>
              <w:t>12</w:t>
            </w:r>
          </w:p>
        </w:tc>
        <w:tc>
          <w:tcPr>
            <w:tcW w:w="810" w:type="dxa"/>
          </w:tcPr>
          <w:p w14:paraId="019C99DA" w14:textId="77777777" w:rsidR="00D65943" w:rsidRPr="00E24EA6" w:rsidRDefault="00F161E2" w:rsidP="00B27F17">
            <w:pPr>
              <w:jc w:val="center"/>
              <w:rPr>
                <w:bCs/>
                <w:color w:val="000000"/>
                <w:sz w:val="20"/>
                <w:szCs w:val="20"/>
              </w:rPr>
            </w:pPr>
            <w:r>
              <w:rPr>
                <w:bCs/>
                <w:color w:val="000000"/>
                <w:sz w:val="20"/>
                <w:szCs w:val="20"/>
              </w:rPr>
              <w:t>1</w:t>
            </w:r>
          </w:p>
        </w:tc>
        <w:tc>
          <w:tcPr>
            <w:tcW w:w="1260" w:type="dxa"/>
            <w:shd w:val="clear" w:color="auto" w:fill="auto"/>
            <w:tcMar>
              <w:top w:w="0" w:type="dxa"/>
              <w:left w:w="108" w:type="dxa"/>
              <w:bottom w:w="0" w:type="dxa"/>
              <w:right w:w="108" w:type="dxa"/>
            </w:tcMar>
          </w:tcPr>
          <w:p w14:paraId="6FC6E834" w14:textId="5B349E5A" w:rsidR="00D65943" w:rsidRPr="00E24EA6" w:rsidRDefault="00F161E2">
            <w:pPr>
              <w:jc w:val="center"/>
              <w:rPr>
                <w:sz w:val="20"/>
                <w:szCs w:val="20"/>
              </w:rPr>
            </w:pPr>
            <w:r>
              <w:rPr>
                <w:sz w:val="20"/>
                <w:szCs w:val="20"/>
              </w:rPr>
              <w:t>4,</w:t>
            </w:r>
            <w:r w:rsidR="00AA1B15">
              <w:rPr>
                <w:sz w:val="20"/>
                <w:szCs w:val="20"/>
              </w:rPr>
              <w:t>008</w:t>
            </w:r>
          </w:p>
        </w:tc>
      </w:tr>
      <w:tr w:rsidR="00D67A20" w:rsidRPr="00E24EA6" w14:paraId="419E692C" w14:textId="77777777" w:rsidTr="00E738AF">
        <w:tc>
          <w:tcPr>
            <w:tcW w:w="3960" w:type="dxa"/>
            <w:shd w:val="clear" w:color="auto" w:fill="auto"/>
            <w:tcMar>
              <w:top w:w="0" w:type="dxa"/>
              <w:left w:w="108" w:type="dxa"/>
              <w:bottom w:w="0" w:type="dxa"/>
              <w:right w:w="108" w:type="dxa"/>
            </w:tcMar>
          </w:tcPr>
          <w:p w14:paraId="654FE056" w14:textId="1E8DA855" w:rsidR="00D67A20" w:rsidRPr="00D67A20" w:rsidRDefault="00D67A20" w:rsidP="00B27F17">
            <w:pPr>
              <w:pStyle w:val="ColorfulList-Accent11"/>
              <w:numPr>
                <w:ilvl w:val="0"/>
                <w:numId w:val="12"/>
              </w:numPr>
              <w:rPr>
                <w:sz w:val="20"/>
                <w:szCs w:val="20"/>
                <w:highlight w:val="yellow"/>
              </w:rPr>
            </w:pPr>
            <w:r w:rsidRPr="00D67A20">
              <w:rPr>
                <w:sz w:val="20"/>
                <w:szCs w:val="20"/>
                <w:highlight w:val="yellow"/>
              </w:rPr>
              <w:t>EHR data (Cohort 4)</w:t>
            </w:r>
          </w:p>
        </w:tc>
        <w:tc>
          <w:tcPr>
            <w:tcW w:w="1336" w:type="dxa"/>
            <w:shd w:val="clear" w:color="auto" w:fill="auto"/>
            <w:tcMar>
              <w:top w:w="0" w:type="dxa"/>
              <w:left w:w="108" w:type="dxa"/>
              <w:bottom w:w="0" w:type="dxa"/>
              <w:right w:w="108" w:type="dxa"/>
            </w:tcMar>
          </w:tcPr>
          <w:p w14:paraId="445E368F" w14:textId="0DE9DACC" w:rsidR="00D67A20" w:rsidRPr="00D67A20" w:rsidRDefault="00D67A20" w:rsidP="00B27F17">
            <w:pPr>
              <w:jc w:val="center"/>
              <w:rPr>
                <w:sz w:val="20"/>
                <w:szCs w:val="20"/>
                <w:highlight w:val="yellow"/>
              </w:rPr>
            </w:pPr>
            <w:r w:rsidRPr="00D67A20">
              <w:rPr>
                <w:sz w:val="20"/>
                <w:szCs w:val="20"/>
                <w:highlight w:val="yellow"/>
              </w:rPr>
              <w:t>167</w:t>
            </w:r>
          </w:p>
        </w:tc>
        <w:tc>
          <w:tcPr>
            <w:tcW w:w="1094" w:type="dxa"/>
            <w:shd w:val="clear" w:color="auto" w:fill="auto"/>
            <w:tcMar>
              <w:top w:w="0" w:type="dxa"/>
              <w:left w:w="108" w:type="dxa"/>
              <w:bottom w:w="0" w:type="dxa"/>
              <w:right w:w="108" w:type="dxa"/>
            </w:tcMar>
          </w:tcPr>
          <w:p w14:paraId="6D5FD454" w14:textId="3B7F76A2" w:rsidR="00D67A20" w:rsidRPr="00D67A20" w:rsidRDefault="00D67A20" w:rsidP="00B27F17">
            <w:pPr>
              <w:jc w:val="center"/>
              <w:rPr>
                <w:sz w:val="20"/>
                <w:szCs w:val="20"/>
                <w:highlight w:val="yellow"/>
              </w:rPr>
            </w:pPr>
            <w:r w:rsidRPr="00D67A20">
              <w:rPr>
                <w:sz w:val="20"/>
                <w:szCs w:val="20"/>
                <w:highlight w:val="yellow"/>
              </w:rPr>
              <w:t>15</w:t>
            </w:r>
          </w:p>
        </w:tc>
        <w:tc>
          <w:tcPr>
            <w:tcW w:w="810" w:type="dxa"/>
          </w:tcPr>
          <w:p w14:paraId="10618631" w14:textId="23F6EFB5" w:rsidR="00D67A20" w:rsidRPr="00D67A20" w:rsidRDefault="00D67A20" w:rsidP="00B27F17">
            <w:pPr>
              <w:jc w:val="center"/>
              <w:rPr>
                <w:bCs/>
                <w:color w:val="000000"/>
                <w:sz w:val="20"/>
                <w:szCs w:val="20"/>
                <w:highlight w:val="yellow"/>
              </w:rPr>
            </w:pPr>
            <w:r w:rsidRPr="00D67A20">
              <w:rPr>
                <w:bCs/>
                <w:color w:val="000000"/>
                <w:sz w:val="20"/>
                <w:szCs w:val="20"/>
                <w:highlight w:val="yellow"/>
              </w:rPr>
              <w:t>1</w:t>
            </w:r>
          </w:p>
        </w:tc>
        <w:tc>
          <w:tcPr>
            <w:tcW w:w="1260" w:type="dxa"/>
            <w:shd w:val="clear" w:color="auto" w:fill="auto"/>
            <w:tcMar>
              <w:top w:w="0" w:type="dxa"/>
              <w:left w:w="108" w:type="dxa"/>
              <w:bottom w:w="0" w:type="dxa"/>
              <w:right w:w="108" w:type="dxa"/>
            </w:tcMar>
          </w:tcPr>
          <w:p w14:paraId="0865BA08" w14:textId="766B3266" w:rsidR="00D67A20" w:rsidRPr="00D67A20" w:rsidRDefault="00D67A20" w:rsidP="00E738AF">
            <w:pPr>
              <w:jc w:val="center"/>
              <w:rPr>
                <w:sz w:val="20"/>
                <w:szCs w:val="20"/>
                <w:highlight w:val="yellow"/>
              </w:rPr>
            </w:pPr>
            <w:r w:rsidRPr="00D67A20">
              <w:rPr>
                <w:sz w:val="20"/>
                <w:szCs w:val="20"/>
                <w:highlight w:val="yellow"/>
              </w:rPr>
              <w:t>2,505</w:t>
            </w:r>
          </w:p>
        </w:tc>
      </w:tr>
      <w:tr w:rsidR="00D65943" w:rsidRPr="00E24EA6" w14:paraId="460067DB" w14:textId="77777777" w:rsidTr="00E738AF">
        <w:tc>
          <w:tcPr>
            <w:tcW w:w="3960" w:type="dxa"/>
            <w:shd w:val="clear" w:color="auto" w:fill="auto"/>
            <w:tcMar>
              <w:top w:w="0" w:type="dxa"/>
              <w:left w:w="108" w:type="dxa"/>
              <w:bottom w:w="0" w:type="dxa"/>
              <w:right w:w="108" w:type="dxa"/>
            </w:tcMar>
          </w:tcPr>
          <w:p w14:paraId="3C2E9D44" w14:textId="77777777" w:rsidR="00D65943" w:rsidRPr="00D67A20" w:rsidRDefault="00D65943" w:rsidP="00B27F17">
            <w:pPr>
              <w:rPr>
                <w:b/>
                <w:sz w:val="20"/>
                <w:szCs w:val="20"/>
                <w:highlight w:val="yellow"/>
              </w:rPr>
            </w:pPr>
            <w:r w:rsidRPr="00D67A20">
              <w:rPr>
                <w:b/>
                <w:sz w:val="20"/>
                <w:szCs w:val="20"/>
                <w:highlight w:val="yellow"/>
              </w:rPr>
              <w:t>Total</w:t>
            </w:r>
          </w:p>
        </w:tc>
        <w:tc>
          <w:tcPr>
            <w:tcW w:w="1336" w:type="dxa"/>
            <w:shd w:val="clear" w:color="auto" w:fill="auto"/>
            <w:tcMar>
              <w:top w:w="0" w:type="dxa"/>
              <w:left w:w="108" w:type="dxa"/>
              <w:bottom w:w="0" w:type="dxa"/>
              <w:right w:w="108" w:type="dxa"/>
            </w:tcMar>
          </w:tcPr>
          <w:p w14:paraId="6353FAE4" w14:textId="50C4B4E1" w:rsidR="00D65943" w:rsidRPr="00D67A20" w:rsidRDefault="000F4A54" w:rsidP="00B27F17">
            <w:pPr>
              <w:jc w:val="center"/>
              <w:rPr>
                <w:b/>
                <w:sz w:val="20"/>
                <w:szCs w:val="20"/>
                <w:highlight w:val="yellow"/>
              </w:rPr>
            </w:pPr>
            <w:r>
              <w:rPr>
                <w:b/>
                <w:sz w:val="20"/>
                <w:szCs w:val="20"/>
                <w:highlight w:val="yellow"/>
              </w:rPr>
              <w:t>14,022</w:t>
            </w:r>
          </w:p>
        </w:tc>
        <w:tc>
          <w:tcPr>
            <w:tcW w:w="1094" w:type="dxa"/>
            <w:shd w:val="clear" w:color="auto" w:fill="auto"/>
            <w:tcMar>
              <w:top w:w="0" w:type="dxa"/>
              <w:left w:w="108" w:type="dxa"/>
              <w:bottom w:w="0" w:type="dxa"/>
              <w:right w:w="108" w:type="dxa"/>
            </w:tcMar>
          </w:tcPr>
          <w:p w14:paraId="27CCD7B8" w14:textId="77777777" w:rsidR="00D65943" w:rsidRPr="00D67A20" w:rsidRDefault="00D65943" w:rsidP="00B27F17">
            <w:pPr>
              <w:jc w:val="center"/>
              <w:rPr>
                <w:b/>
                <w:sz w:val="20"/>
                <w:szCs w:val="20"/>
                <w:highlight w:val="yellow"/>
              </w:rPr>
            </w:pPr>
          </w:p>
        </w:tc>
        <w:tc>
          <w:tcPr>
            <w:tcW w:w="810" w:type="dxa"/>
          </w:tcPr>
          <w:p w14:paraId="787C6DFB" w14:textId="77777777" w:rsidR="00D65943" w:rsidRPr="00D67A20" w:rsidRDefault="00D65943" w:rsidP="00B27F17">
            <w:pPr>
              <w:jc w:val="center"/>
              <w:rPr>
                <w:b/>
                <w:bCs/>
                <w:color w:val="000000"/>
                <w:sz w:val="20"/>
                <w:szCs w:val="20"/>
                <w:highlight w:val="yellow"/>
              </w:rPr>
            </w:pPr>
          </w:p>
        </w:tc>
        <w:tc>
          <w:tcPr>
            <w:tcW w:w="1260" w:type="dxa"/>
            <w:shd w:val="clear" w:color="auto" w:fill="auto"/>
            <w:tcMar>
              <w:top w:w="0" w:type="dxa"/>
              <w:left w:w="108" w:type="dxa"/>
              <w:bottom w:w="0" w:type="dxa"/>
              <w:right w:w="108" w:type="dxa"/>
            </w:tcMar>
          </w:tcPr>
          <w:p w14:paraId="5894229B" w14:textId="0CABC1A2" w:rsidR="00D65943" w:rsidRPr="00D67A20" w:rsidRDefault="0020314C">
            <w:pPr>
              <w:jc w:val="center"/>
              <w:rPr>
                <w:b/>
                <w:sz w:val="20"/>
                <w:szCs w:val="20"/>
                <w:highlight w:val="yellow"/>
              </w:rPr>
            </w:pPr>
            <w:r>
              <w:rPr>
                <w:b/>
                <w:sz w:val="20"/>
                <w:szCs w:val="20"/>
                <w:highlight w:val="yellow"/>
              </w:rPr>
              <w:t>27,</w:t>
            </w:r>
            <w:r w:rsidR="00AA1B15">
              <w:rPr>
                <w:b/>
                <w:sz w:val="20"/>
                <w:szCs w:val="20"/>
                <w:highlight w:val="yellow"/>
              </w:rPr>
              <w:t>064</w:t>
            </w:r>
          </w:p>
        </w:tc>
      </w:tr>
    </w:tbl>
    <w:p w14:paraId="189D0458" w14:textId="77777777" w:rsidR="00654F33" w:rsidRDefault="00654F33" w:rsidP="00654F33"/>
    <w:p w14:paraId="5ABC57E5" w14:textId="72034010" w:rsidR="00654F33" w:rsidRDefault="00654F33" w:rsidP="00654F33">
      <w:r>
        <w:t xml:space="preserve">Exhibit </w:t>
      </w:r>
      <w:r w:rsidR="001C1E5C">
        <w:t>A.</w:t>
      </w:r>
      <w:r>
        <w:t xml:space="preserve">2 shows the estimated annualized cost burden based on the respondents’ time to </w:t>
      </w:r>
      <w:r w:rsidR="0082220D">
        <w:t>complete the data collection forms</w:t>
      </w:r>
      <w:r>
        <w:t xml:space="preserve">. The total cost burden is estimated to be </w:t>
      </w:r>
      <w:r w:rsidR="009F1091" w:rsidRPr="009F1091">
        <w:rPr>
          <w:b/>
        </w:rPr>
        <w:t>$1,3</w:t>
      </w:r>
      <w:r w:rsidR="00407D15">
        <w:rPr>
          <w:b/>
        </w:rPr>
        <w:t>11,096</w:t>
      </w:r>
      <w:r>
        <w:t>.</w:t>
      </w:r>
    </w:p>
    <w:p w14:paraId="5B1B178F" w14:textId="010B8983" w:rsidR="00D32DD4" w:rsidRDefault="00D32DD4" w:rsidP="00654F33"/>
    <w:p w14:paraId="32A722D5" w14:textId="77777777" w:rsidR="00D32DD4" w:rsidRDefault="00D32DD4" w:rsidP="00654F33"/>
    <w:p w14:paraId="0684C150" w14:textId="13C6BC16" w:rsidR="00EC3197" w:rsidRDefault="00EC3197" w:rsidP="00654F33"/>
    <w:p w14:paraId="4A2A5E33" w14:textId="0608C7D6" w:rsidR="00D32DD4" w:rsidRDefault="00D32DD4" w:rsidP="00654F33"/>
    <w:p w14:paraId="19E702A9" w14:textId="47318B57" w:rsidR="00D32DD4" w:rsidRDefault="00D32DD4" w:rsidP="00654F33"/>
    <w:p w14:paraId="52BB65E4" w14:textId="0CB82970" w:rsidR="00D32DD4" w:rsidRDefault="00D32DD4" w:rsidP="00654F33"/>
    <w:p w14:paraId="101A6CB5" w14:textId="44891A80" w:rsidR="00D32DD4" w:rsidRDefault="00D32DD4" w:rsidP="00654F33"/>
    <w:p w14:paraId="5ACA747E" w14:textId="3C95B10A" w:rsidR="00D32DD4" w:rsidRDefault="00D32DD4" w:rsidP="00654F33"/>
    <w:p w14:paraId="55B5AB31" w14:textId="0017D685" w:rsidR="00D32DD4" w:rsidRDefault="00D32DD4" w:rsidP="00654F33"/>
    <w:p w14:paraId="2D8D4C63" w14:textId="7376D3C7" w:rsidR="00D32DD4" w:rsidRDefault="00D32DD4" w:rsidP="00654F33"/>
    <w:p w14:paraId="30A76411" w14:textId="6FCE7463" w:rsidR="00D32DD4" w:rsidRDefault="00D32DD4" w:rsidP="00654F33"/>
    <w:p w14:paraId="5E53F465" w14:textId="1134794D" w:rsidR="00D32DD4" w:rsidRDefault="00D32DD4" w:rsidP="00654F33"/>
    <w:p w14:paraId="251E3D77" w14:textId="283F894E" w:rsidR="00D32DD4" w:rsidRDefault="00D32DD4" w:rsidP="00654F33"/>
    <w:p w14:paraId="28834A88" w14:textId="5F1E34A1" w:rsidR="00D32DD4" w:rsidRDefault="00D32DD4" w:rsidP="00654F33"/>
    <w:p w14:paraId="24D5F2C9" w14:textId="08CEBE4F" w:rsidR="00D32DD4" w:rsidRDefault="00D32DD4" w:rsidP="00654F33"/>
    <w:p w14:paraId="7E67860E" w14:textId="3F5E76C7" w:rsidR="00D32DD4" w:rsidRDefault="00D32DD4" w:rsidP="00654F33"/>
    <w:p w14:paraId="25FF8830" w14:textId="7E5E2D2B" w:rsidR="00D32DD4" w:rsidRDefault="00D32DD4" w:rsidP="00654F33"/>
    <w:p w14:paraId="7DF7B4B8" w14:textId="2BE43DD6" w:rsidR="00D32DD4" w:rsidRDefault="00D32DD4" w:rsidP="00654F33"/>
    <w:p w14:paraId="6E25043F" w14:textId="412C5D7D" w:rsidR="00D32DD4" w:rsidRDefault="00D32DD4" w:rsidP="00654F33"/>
    <w:p w14:paraId="5E0B5841" w14:textId="77777777" w:rsidR="00D32DD4" w:rsidRDefault="00D32DD4" w:rsidP="00654F33"/>
    <w:p w14:paraId="5C05190B" w14:textId="77777777" w:rsidR="00D32DD4" w:rsidRDefault="00D32DD4" w:rsidP="00654F33"/>
    <w:p w14:paraId="2DF8DABA" w14:textId="77777777" w:rsidR="00B51378" w:rsidRPr="0073565C" w:rsidRDefault="00E738AF" w:rsidP="00B51378">
      <w:r>
        <w:rPr>
          <w:b/>
          <w:bCs/>
          <w:color w:val="000000"/>
        </w:rPr>
        <w:t xml:space="preserve">Exhibit </w:t>
      </w:r>
      <w:r w:rsidR="001C1E5C">
        <w:rPr>
          <w:b/>
          <w:bCs/>
          <w:color w:val="000000"/>
        </w:rPr>
        <w:t>A.</w:t>
      </w:r>
      <w:r>
        <w:rPr>
          <w:b/>
          <w:bCs/>
          <w:color w:val="000000"/>
        </w:rPr>
        <w:t>2</w:t>
      </w:r>
      <w:r w:rsidR="00B51378" w:rsidRPr="0073565C">
        <w:rPr>
          <w:b/>
          <w:bCs/>
          <w:color w:val="000000"/>
        </w:rPr>
        <w:t xml:space="preserve"> </w:t>
      </w:r>
      <w:r w:rsidR="00B51378" w:rsidRPr="0073565C">
        <w:rPr>
          <w:b/>
        </w:rPr>
        <w:t>Estimated annualized cost burden</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0"/>
        <w:gridCol w:w="1336"/>
        <w:gridCol w:w="1094"/>
        <w:gridCol w:w="810"/>
        <w:gridCol w:w="1440"/>
      </w:tblGrid>
      <w:tr w:rsidR="00C93CCC" w:rsidRPr="00C93CCC" w14:paraId="2F1555E8" w14:textId="77777777" w:rsidTr="00E738AF">
        <w:tc>
          <w:tcPr>
            <w:tcW w:w="3960" w:type="dxa"/>
            <w:shd w:val="clear" w:color="auto" w:fill="auto"/>
            <w:tcMar>
              <w:top w:w="0" w:type="dxa"/>
              <w:left w:w="108" w:type="dxa"/>
              <w:bottom w:w="0" w:type="dxa"/>
              <w:right w:w="108" w:type="dxa"/>
            </w:tcMar>
          </w:tcPr>
          <w:p w14:paraId="3EEBE20B" w14:textId="77777777" w:rsidR="00B51378" w:rsidRPr="00C93CCC" w:rsidRDefault="00B51378" w:rsidP="00B51378">
            <w:pPr>
              <w:rPr>
                <w:sz w:val="20"/>
                <w:szCs w:val="20"/>
              </w:rPr>
            </w:pPr>
            <w:r w:rsidRPr="00C93CCC">
              <w:rPr>
                <w:sz w:val="20"/>
                <w:szCs w:val="20"/>
              </w:rPr>
              <w:t>Form Name</w:t>
            </w:r>
          </w:p>
        </w:tc>
        <w:tc>
          <w:tcPr>
            <w:tcW w:w="1336" w:type="dxa"/>
            <w:shd w:val="clear" w:color="auto" w:fill="auto"/>
            <w:tcMar>
              <w:top w:w="0" w:type="dxa"/>
              <w:left w:w="108" w:type="dxa"/>
              <w:bottom w:w="0" w:type="dxa"/>
              <w:right w:w="108" w:type="dxa"/>
            </w:tcMar>
          </w:tcPr>
          <w:p w14:paraId="7A4B9CFB" w14:textId="77777777" w:rsidR="00B51378" w:rsidRPr="00C93CCC" w:rsidRDefault="00B51378" w:rsidP="00B51378">
            <w:pPr>
              <w:rPr>
                <w:sz w:val="20"/>
                <w:szCs w:val="20"/>
              </w:rPr>
            </w:pPr>
            <w:r w:rsidRPr="00C93CCC">
              <w:rPr>
                <w:sz w:val="20"/>
                <w:szCs w:val="20"/>
              </w:rPr>
              <w:t>Number of Respondents</w:t>
            </w:r>
          </w:p>
        </w:tc>
        <w:tc>
          <w:tcPr>
            <w:tcW w:w="1094" w:type="dxa"/>
            <w:shd w:val="clear" w:color="auto" w:fill="auto"/>
            <w:tcMar>
              <w:top w:w="0" w:type="dxa"/>
              <w:left w:w="108" w:type="dxa"/>
              <w:bottom w:w="0" w:type="dxa"/>
              <w:right w:w="108" w:type="dxa"/>
            </w:tcMar>
          </w:tcPr>
          <w:p w14:paraId="41D232FC" w14:textId="77777777" w:rsidR="00B51378" w:rsidRPr="00C93CCC" w:rsidRDefault="00B51378" w:rsidP="00B51378">
            <w:pPr>
              <w:rPr>
                <w:sz w:val="20"/>
                <w:szCs w:val="20"/>
              </w:rPr>
            </w:pPr>
            <w:r w:rsidRPr="00C93CCC">
              <w:rPr>
                <w:sz w:val="20"/>
                <w:szCs w:val="20"/>
              </w:rPr>
              <w:t>Total Burden hours</w:t>
            </w:r>
          </w:p>
        </w:tc>
        <w:tc>
          <w:tcPr>
            <w:tcW w:w="810" w:type="dxa"/>
          </w:tcPr>
          <w:p w14:paraId="37FAB34E" w14:textId="77777777" w:rsidR="00B51378" w:rsidRPr="00C93CCC" w:rsidRDefault="00B51378" w:rsidP="00B51378">
            <w:pPr>
              <w:rPr>
                <w:sz w:val="20"/>
                <w:szCs w:val="20"/>
              </w:rPr>
            </w:pPr>
            <w:r w:rsidRPr="00C93CCC">
              <w:rPr>
                <w:sz w:val="20"/>
                <w:szCs w:val="20"/>
              </w:rPr>
              <w:t>Average Hourly Wage Rate*</w:t>
            </w:r>
          </w:p>
        </w:tc>
        <w:tc>
          <w:tcPr>
            <w:tcW w:w="1440" w:type="dxa"/>
            <w:shd w:val="clear" w:color="auto" w:fill="auto"/>
            <w:tcMar>
              <w:top w:w="0" w:type="dxa"/>
              <w:left w:w="108" w:type="dxa"/>
              <w:bottom w:w="0" w:type="dxa"/>
              <w:right w:w="108" w:type="dxa"/>
            </w:tcMar>
          </w:tcPr>
          <w:p w14:paraId="27BD954C" w14:textId="77777777" w:rsidR="00B51378" w:rsidRPr="00C93CCC" w:rsidRDefault="00B51378" w:rsidP="00B51378">
            <w:pPr>
              <w:rPr>
                <w:sz w:val="20"/>
                <w:szCs w:val="20"/>
              </w:rPr>
            </w:pPr>
            <w:r w:rsidRPr="00C93CCC">
              <w:rPr>
                <w:sz w:val="20"/>
                <w:szCs w:val="20"/>
              </w:rPr>
              <w:t>Total  Cost Burden</w:t>
            </w:r>
          </w:p>
        </w:tc>
      </w:tr>
      <w:tr w:rsidR="00C93CCC" w:rsidRPr="00C93CCC" w14:paraId="08281FDF" w14:textId="77777777" w:rsidTr="00E738AF">
        <w:tc>
          <w:tcPr>
            <w:tcW w:w="3960" w:type="dxa"/>
            <w:shd w:val="clear" w:color="auto" w:fill="auto"/>
            <w:tcMar>
              <w:top w:w="0" w:type="dxa"/>
              <w:left w:w="108" w:type="dxa"/>
              <w:bottom w:w="0" w:type="dxa"/>
              <w:right w:w="108" w:type="dxa"/>
            </w:tcMar>
          </w:tcPr>
          <w:p w14:paraId="608D8231" w14:textId="77777777" w:rsidR="00B51378" w:rsidRPr="00C93CCC" w:rsidRDefault="00B51378" w:rsidP="00B51378">
            <w:pPr>
              <w:pStyle w:val="ColorfulList-Accent11"/>
              <w:numPr>
                <w:ilvl w:val="0"/>
                <w:numId w:val="23"/>
              </w:numPr>
              <w:rPr>
                <w:sz w:val="20"/>
                <w:szCs w:val="20"/>
              </w:rPr>
            </w:pPr>
            <w:r w:rsidRPr="00C93CCC">
              <w:rPr>
                <w:sz w:val="20"/>
                <w:szCs w:val="20"/>
              </w:rPr>
              <w:t>Structural Assessments:</w:t>
            </w:r>
          </w:p>
        </w:tc>
        <w:tc>
          <w:tcPr>
            <w:tcW w:w="1336" w:type="dxa"/>
            <w:shd w:val="clear" w:color="auto" w:fill="auto"/>
            <w:tcMar>
              <w:top w:w="0" w:type="dxa"/>
              <w:left w:w="108" w:type="dxa"/>
              <w:bottom w:w="0" w:type="dxa"/>
              <w:right w:w="108" w:type="dxa"/>
            </w:tcMar>
          </w:tcPr>
          <w:p w14:paraId="2FC874A2" w14:textId="77777777" w:rsidR="00B51378" w:rsidRPr="00C93CCC" w:rsidRDefault="00B51378" w:rsidP="00646624">
            <w:pPr>
              <w:jc w:val="center"/>
              <w:rPr>
                <w:sz w:val="20"/>
                <w:szCs w:val="20"/>
              </w:rPr>
            </w:pPr>
          </w:p>
        </w:tc>
        <w:tc>
          <w:tcPr>
            <w:tcW w:w="1094" w:type="dxa"/>
            <w:shd w:val="clear" w:color="auto" w:fill="auto"/>
            <w:tcMar>
              <w:top w:w="0" w:type="dxa"/>
              <w:left w:w="108" w:type="dxa"/>
              <w:bottom w:w="0" w:type="dxa"/>
              <w:right w:w="108" w:type="dxa"/>
            </w:tcMar>
          </w:tcPr>
          <w:p w14:paraId="382F34BB" w14:textId="77777777" w:rsidR="00B51378" w:rsidRPr="00C93CCC" w:rsidRDefault="00B51378" w:rsidP="00646624">
            <w:pPr>
              <w:jc w:val="center"/>
              <w:rPr>
                <w:sz w:val="20"/>
                <w:szCs w:val="20"/>
              </w:rPr>
            </w:pPr>
          </w:p>
        </w:tc>
        <w:tc>
          <w:tcPr>
            <w:tcW w:w="810" w:type="dxa"/>
          </w:tcPr>
          <w:p w14:paraId="0606C786" w14:textId="77777777" w:rsidR="00B51378" w:rsidRPr="00C93CCC" w:rsidRDefault="00B51378" w:rsidP="00646624">
            <w:pPr>
              <w:jc w:val="center"/>
              <w:rPr>
                <w:sz w:val="20"/>
                <w:szCs w:val="20"/>
              </w:rPr>
            </w:pPr>
          </w:p>
        </w:tc>
        <w:tc>
          <w:tcPr>
            <w:tcW w:w="1440" w:type="dxa"/>
            <w:shd w:val="clear" w:color="auto" w:fill="auto"/>
            <w:tcMar>
              <w:top w:w="0" w:type="dxa"/>
              <w:left w:w="108" w:type="dxa"/>
              <w:bottom w:w="0" w:type="dxa"/>
              <w:right w:w="108" w:type="dxa"/>
            </w:tcMar>
          </w:tcPr>
          <w:p w14:paraId="4D210E22" w14:textId="77777777" w:rsidR="00B51378" w:rsidRPr="00C93CCC" w:rsidRDefault="00B51378" w:rsidP="00646624">
            <w:pPr>
              <w:jc w:val="right"/>
              <w:rPr>
                <w:sz w:val="20"/>
                <w:szCs w:val="20"/>
              </w:rPr>
            </w:pPr>
          </w:p>
        </w:tc>
      </w:tr>
      <w:tr w:rsidR="00C93CCC" w:rsidRPr="00C93CCC" w14:paraId="3975D5D7" w14:textId="77777777" w:rsidTr="00E738AF">
        <w:tc>
          <w:tcPr>
            <w:tcW w:w="3960" w:type="dxa"/>
            <w:shd w:val="clear" w:color="auto" w:fill="auto"/>
            <w:tcMar>
              <w:top w:w="0" w:type="dxa"/>
              <w:left w:w="108" w:type="dxa"/>
              <w:bottom w:w="0" w:type="dxa"/>
              <w:right w:w="108" w:type="dxa"/>
            </w:tcMar>
          </w:tcPr>
          <w:p w14:paraId="065B689C" w14:textId="77777777" w:rsidR="00B51378" w:rsidRPr="00C93CCC" w:rsidRDefault="00B51378" w:rsidP="00896D9C">
            <w:pPr>
              <w:pStyle w:val="ColorfulList-Accent11"/>
              <w:numPr>
                <w:ilvl w:val="0"/>
                <w:numId w:val="26"/>
              </w:numPr>
              <w:ind w:left="702" w:hanging="270"/>
              <w:rPr>
                <w:sz w:val="20"/>
                <w:szCs w:val="20"/>
              </w:rPr>
            </w:pPr>
            <w:r w:rsidRPr="00C93CCC">
              <w:rPr>
                <w:sz w:val="20"/>
                <w:szCs w:val="20"/>
              </w:rPr>
              <w:t xml:space="preserve">Structural Assessments – Cohorts </w:t>
            </w:r>
            <w:r w:rsidR="004C4C52">
              <w:rPr>
                <w:sz w:val="20"/>
                <w:szCs w:val="20"/>
              </w:rPr>
              <w:t xml:space="preserve">1, </w:t>
            </w:r>
            <w:r w:rsidRPr="00C93CCC">
              <w:rPr>
                <w:sz w:val="20"/>
                <w:szCs w:val="20"/>
              </w:rPr>
              <w:t>2 and 3 (baseline, post-intervention)</w:t>
            </w:r>
          </w:p>
        </w:tc>
        <w:tc>
          <w:tcPr>
            <w:tcW w:w="1336" w:type="dxa"/>
            <w:shd w:val="clear" w:color="auto" w:fill="auto"/>
            <w:tcMar>
              <w:top w:w="0" w:type="dxa"/>
              <w:left w:w="108" w:type="dxa"/>
              <w:bottom w:w="0" w:type="dxa"/>
              <w:right w:w="108" w:type="dxa"/>
            </w:tcMar>
          </w:tcPr>
          <w:p w14:paraId="7BC8DDCB" w14:textId="77777777" w:rsidR="00B51378" w:rsidRPr="00C93CCC" w:rsidRDefault="004C4C52" w:rsidP="004C4C52">
            <w:pPr>
              <w:jc w:val="center"/>
              <w:rPr>
                <w:sz w:val="20"/>
                <w:szCs w:val="20"/>
              </w:rPr>
            </w:pPr>
            <w:r w:rsidRPr="00C93CCC">
              <w:rPr>
                <w:sz w:val="20"/>
                <w:szCs w:val="20"/>
              </w:rPr>
              <w:t>3</w:t>
            </w:r>
            <w:r>
              <w:rPr>
                <w:sz w:val="20"/>
                <w:szCs w:val="20"/>
              </w:rPr>
              <w:t>4</w:t>
            </w:r>
            <w:r w:rsidRPr="00C93CCC">
              <w:rPr>
                <w:sz w:val="20"/>
                <w:szCs w:val="20"/>
              </w:rPr>
              <w:t>3</w:t>
            </w:r>
          </w:p>
        </w:tc>
        <w:tc>
          <w:tcPr>
            <w:tcW w:w="1094" w:type="dxa"/>
            <w:shd w:val="clear" w:color="auto" w:fill="auto"/>
            <w:tcMar>
              <w:top w:w="0" w:type="dxa"/>
              <w:left w:w="108" w:type="dxa"/>
              <w:bottom w:w="0" w:type="dxa"/>
              <w:right w:w="108" w:type="dxa"/>
            </w:tcMar>
          </w:tcPr>
          <w:p w14:paraId="63F1ACA1" w14:textId="77777777" w:rsidR="00B51378" w:rsidRPr="00C93CCC" w:rsidRDefault="004C4C52" w:rsidP="004C4C52">
            <w:pPr>
              <w:jc w:val="right"/>
              <w:rPr>
                <w:sz w:val="20"/>
                <w:szCs w:val="20"/>
              </w:rPr>
            </w:pPr>
            <w:r w:rsidRPr="00C93CCC">
              <w:rPr>
                <w:sz w:val="20"/>
                <w:szCs w:val="20"/>
              </w:rPr>
              <w:t>13</w:t>
            </w:r>
            <w:r>
              <w:rPr>
                <w:sz w:val="20"/>
                <w:szCs w:val="20"/>
              </w:rPr>
              <w:t>7</w:t>
            </w:r>
          </w:p>
        </w:tc>
        <w:tc>
          <w:tcPr>
            <w:tcW w:w="810" w:type="dxa"/>
          </w:tcPr>
          <w:p w14:paraId="49788E4E" w14:textId="77777777" w:rsidR="00B51378" w:rsidRPr="00C93CCC" w:rsidRDefault="00E738AF" w:rsidP="00B51378">
            <w:pPr>
              <w:jc w:val="center"/>
              <w:rPr>
                <w:sz w:val="20"/>
                <w:szCs w:val="20"/>
              </w:rPr>
            </w:pPr>
            <w:r w:rsidRPr="00C93CCC">
              <w:rPr>
                <w:sz w:val="20"/>
                <w:szCs w:val="20"/>
              </w:rPr>
              <w:t>$98.83</w:t>
            </w:r>
            <w:r w:rsidRPr="00C93CCC">
              <w:rPr>
                <w:sz w:val="20"/>
                <w:szCs w:val="20"/>
                <w:vertAlign w:val="superscript"/>
              </w:rPr>
              <w:t>a</w:t>
            </w:r>
          </w:p>
        </w:tc>
        <w:tc>
          <w:tcPr>
            <w:tcW w:w="1440" w:type="dxa"/>
            <w:shd w:val="clear" w:color="auto" w:fill="auto"/>
            <w:tcMar>
              <w:top w:w="0" w:type="dxa"/>
              <w:left w:w="108" w:type="dxa"/>
              <w:bottom w:w="0" w:type="dxa"/>
              <w:right w:w="108" w:type="dxa"/>
            </w:tcMar>
          </w:tcPr>
          <w:p w14:paraId="30F81CCE" w14:textId="77777777" w:rsidR="00B51378" w:rsidRPr="00C93CCC" w:rsidRDefault="00C93CCC" w:rsidP="004C4C52">
            <w:pPr>
              <w:jc w:val="right"/>
              <w:rPr>
                <w:sz w:val="20"/>
                <w:szCs w:val="20"/>
              </w:rPr>
            </w:pPr>
            <w:r w:rsidRPr="00C93CCC">
              <w:rPr>
                <w:sz w:val="20"/>
                <w:szCs w:val="20"/>
              </w:rPr>
              <w:t>$13,</w:t>
            </w:r>
            <w:r w:rsidR="004C4C52">
              <w:rPr>
                <w:sz w:val="20"/>
                <w:szCs w:val="20"/>
              </w:rPr>
              <w:t>540</w:t>
            </w:r>
          </w:p>
        </w:tc>
      </w:tr>
      <w:tr w:rsidR="00C93CCC" w:rsidRPr="00C93CCC" w14:paraId="0D439ED7" w14:textId="77777777" w:rsidTr="00E738AF">
        <w:tc>
          <w:tcPr>
            <w:tcW w:w="3960" w:type="dxa"/>
            <w:shd w:val="clear" w:color="auto" w:fill="auto"/>
            <w:tcMar>
              <w:top w:w="0" w:type="dxa"/>
              <w:left w:w="108" w:type="dxa"/>
              <w:bottom w:w="0" w:type="dxa"/>
              <w:right w:w="108" w:type="dxa"/>
            </w:tcMar>
          </w:tcPr>
          <w:p w14:paraId="78996C1F" w14:textId="6FC056E6" w:rsidR="00B51378" w:rsidRPr="00626C2D" w:rsidRDefault="00B51378" w:rsidP="001B5923">
            <w:pPr>
              <w:pStyle w:val="ColorfulList-Accent11"/>
              <w:numPr>
                <w:ilvl w:val="0"/>
                <w:numId w:val="26"/>
              </w:numPr>
              <w:ind w:left="702" w:hanging="270"/>
              <w:rPr>
                <w:sz w:val="20"/>
                <w:szCs w:val="20"/>
                <w:highlight w:val="yellow"/>
              </w:rPr>
            </w:pPr>
            <w:r w:rsidRPr="00626C2D">
              <w:rPr>
                <w:sz w:val="20"/>
                <w:szCs w:val="20"/>
                <w:highlight w:val="yellow"/>
              </w:rPr>
              <w:t>Structural Assessments – Cohort 4 (baseline</w:t>
            </w:r>
            <w:r w:rsidR="00626C2D" w:rsidRPr="00626C2D">
              <w:rPr>
                <w:sz w:val="20"/>
                <w:szCs w:val="20"/>
                <w:highlight w:val="yellow"/>
              </w:rPr>
              <w:t xml:space="preserve"> and endline</w:t>
            </w:r>
            <w:r w:rsidRPr="00626C2D">
              <w:rPr>
                <w:sz w:val="20"/>
                <w:szCs w:val="20"/>
                <w:highlight w:val="yellow"/>
              </w:rPr>
              <w:t>)</w:t>
            </w:r>
          </w:p>
        </w:tc>
        <w:tc>
          <w:tcPr>
            <w:tcW w:w="1336" w:type="dxa"/>
            <w:shd w:val="clear" w:color="auto" w:fill="auto"/>
            <w:tcMar>
              <w:top w:w="0" w:type="dxa"/>
              <w:left w:w="108" w:type="dxa"/>
              <w:bottom w:w="0" w:type="dxa"/>
              <w:right w:w="108" w:type="dxa"/>
            </w:tcMar>
          </w:tcPr>
          <w:p w14:paraId="30D5EB5B" w14:textId="77777777" w:rsidR="00B51378" w:rsidRPr="00626C2D" w:rsidRDefault="00B51378" w:rsidP="00B51378">
            <w:pPr>
              <w:jc w:val="center"/>
              <w:rPr>
                <w:sz w:val="20"/>
                <w:szCs w:val="20"/>
                <w:highlight w:val="yellow"/>
              </w:rPr>
            </w:pPr>
            <w:r w:rsidRPr="00626C2D">
              <w:rPr>
                <w:sz w:val="20"/>
                <w:szCs w:val="20"/>
                <w:highlight w:val="yellow"/>
              </w:rPr>
              <w:t>167</w:t>
            </w:r>
          </w:p>
        </w:tc>
        <w:tc>
          <w:tcPr>
            <w:tcW w:w="1094" w:type="dxa"/>
            <w:shd w:val="clear" w:color="auto" w:fill="auto"/>
            <w:tcMar>
              <w:top w:w="0" w:type="dxa"/>
              <w:left w:w="108" w:type="dxa"/>
              <w:bottom w:w="0" w:type="dxa"/>
              <w:right w:w="108" w:type="dxa"/>
            </w:tcMar>
          </w:tcPr>
          <w:p w14:paraId="19B2D2E9" w14:textId="01BD8EA4" w:rsidR="00B51378" w:rsidRPr="00626C2D" w:rsidRDefault="00407D15" w:rsidP="00B51378">
            <w:pPr>
              <w:jc w:val="right"/>
              <w:rPr>
                <w:sz w:val="20"/>
                <w:szCs w:val="20"/>
                <w:highlight w:val="yellow"/>
              </w:rPr>
            </w:pPr>
            <w:r>
              <w:rPr>
                <w:sz w:val="20"/>
                <w:szCs w:val="20"/>
                <w:highlight w:val="yellow"/>
              </w:rPr>
              <w:t>67</w:t>
            </w:r>
          </w:p>
        </w:tc>
        <w:tc>
          <w:tcPr>
            <w:tcW w:w="810" w:type="dxa"/>
          </w:tcPr>
          <w:p w14:paraId="7C51E7BE" w14:textId="77777777" w:rsidR="00B51378" w:rsidRPr="00626C2D" w:rsidRDefault="00E738AF" w:rsidP="00B51378">
            <w:pPr>
              <w:jc w:val="center"/>
              <w:rPr>
                <w:sz w:val="20"/>
                <w:szCs w:val="20"/>
                <w:highlight w:val="yellow"/>
              </w:rPr>
            </w:pPr>
            <w:r w:rsidRPr="00626C2D">
              <w:rPr>
                <w:sz w:val="20"/>
                <w:szCs w:val="20"/>
                <w:highlight w:val="yellow"/>
              </w:rPr>
              <w:t>$98.83</w:t>
            </w:r>
            <w:r w:rsidRPr="00626C2D">
              <w:rPr>
                <w:sz w:val="20"/>
                <w:szCs w:val="20"/>
                <w:highlight w:val="yellow"/>
                <w:vertAlign w:val="superscript"/>
              </w:rPr>
              <w:t>a</w:t>
            </w:r>
          </w:p>
        </w:tc>
        <w:tc>
          <w:tcPr>
            <w:tcW w:w="1440" w:type="dxa"/>
            <w:shd w:val="clear" w:color="auto" w:fill="auto"/>
            <w:tcMar>
              <w:top w:w="0" w:type="dxa"/>
              <w:left w:w="108" w:type="dxa"/>
              <w:bottom w:w="0" w:type="dxa"/>
              <w:right w:w="108" w:type="dxa"/>
            </w:tcMar>
          </w:tcPr>
          <w:p w14:paraId="6D345F94" w14:textId="6015E18C" w:rsidR="00B51378" w:rsidRPr="00626C2D" w:rsidRDefault="00C93CCC" w:rsidP="00B51378">
            <w:pPr>
              <w:jc w:val="right"/>
              <w:rPr>
                <w:sz w:val="20"/>
                <w:szCs w:val="20"/>
                <w:highlight w:val="yellow"/>
              </w:rPr>
            </w:pPr>
            <w:r w:rsidRPr="00626C2D">
              <w:rPr>
                <w:sz w:val="20"/>
                <w:szCs w:val="20"/>
                <w:highlight w:val="yellow"/>
              </w:rPr>
              <w:t>$</w:t>
            </w:r>
            <w:r w:rsidR="00407D15">
              <w:rPr>
                <w:sz w:val="20"/>
                <w:szCs w:val="20"/>
                <w:highlight w:val="yellow"/>
              </w:rPr>
              <w:t>6,622</w:t>
            </w:r>
          </w:p>
        </w:tc>
      </w:tr>
      <w:tr w:rsidR="00C93CCC" w:rsidRPr="00C93CCC" w14:paraId="76D96DFD" w14:textId="77777777" w:rsidTr="00E738AF">
        <w:tc>
          <w:tcPr>
            <w:tcW w:w="3960" w:type="dxa"/>
            <w:shd w:val="clear" w:color="auto" w:fill="auto"/>
            <w:tcMar>
              <w:top w:w="0" w:type="dxa"/>
              <w:left w:w="108" w:type="dxa"/>
              <w:bottom w:w="0" w:type="dxa"/>
              <w:right w:w="108" w:type="dxa"/>
            </w:tcMar>
          </w:tcPr>
          <w:p w14:paraId="76314B22" w14:textId="77777777" w:rsidR="00B51378" w:rsidRPr="00C93CCC" w:rsidRDefault="00B51378" w:rsidP="00B51378">
            <w:pPr>
              <w:pStyle w:val="ColorfulList-Accent11"/>
              <w:numPr>
                <w:ilvl w:val="0"/>
                <w:numId w:val="23"/>
              </w:numPr>
              <w:ind w:left="432" w:hanging="432"/>
              <w:rPr>
                <w:sz w:val="20"/>
                <w:szCs w:val="20"/>
              </w:rPr>
            </w:pPr>
            <w:r w:rsidRPr="00C93CCC">
              <w:rPr>
                <w:sz w:val="20"/>
                <w:szCs w:val="20"/>
              </w:rPr>
              <w:t>Team Antibiotic Review Form (Cohorts 1, 2, and 3)</w:t>
            </w:r>
          </w:p>
        </w:tc>
        <w:tc>
          <w:tcPr>
            <w:tcW w:w="1336" w:type="dxa"/>
            <w:shd w:val="clear" w:color="auto" w:fill="auto"/>
            <w:tcMar>
              <w:top w:w="0" w:type="dxa"/>
              <w:left w:w="108" w:type="dxa"/>
              <w:bottom w:w="0" w:type="dxa"/>
              <w:right w:w="108" w:type="dxa"/>
            </w:tcMar>
          </w:tcPr>
          <w:p w14:paraId="5C1C5DEC" w14:textId="77777777" w:rsidR="00B51378" w:rsidRPr="00C93CCC" w:rsidRDefault="00B51378" w:rsidP="007E47B3">
            <w:pPr>
              <w:jc w:val="center"/>
              <w:rPr>
                <w:sz w:val="20"/>
                <w:szCs w:val="20"/>
              </w:rPr>
            </w:pPr>
            <w:r w:rsidRPr="00C93CCC">
              <w:rPr>
                <w:sz w:val="20"/>
                <w:szCs w:val="20"/>
              </w:rPr>
              <w:t>337</w:t>
            </w:r>
          </w:p>
        </w:tc>
        <w:tc>
          <w:tcPr>
            <w:tcW w:w="1094" w:type="dxa"/>
            <w:shd w:val="clear" w:color="auto" w:fill="auto"/>
            <w:tcMar>
              <w:top w:w="0" w:type="dxa"/>
              <w:left w:w="108" w:type="dxa"/>
              <w:bottom w:w="0" w:type="dxa"/>
              <w:right w:w="108" w:type="dxa"/>
            </w:tcMar>
          </w:tcPr>
          <w:p w14:paraId="474C0944" w14:textId="427AAC00" w:rsidR="00B51378" w:rsidRPr="00C93CCC" w:rsidRDefault="00B51378">
            <w:pPr>
              <w:jc w:val="right"/>
              <w:rPr>
                <w:sz w:val="20"/>
                <w:szCs w:val="20"/>
              </w:rPr>
            </w:pPr>
            <w:r w:rsidRPr="00C93CCC">
              <w:rPr>
                <w:sz w:val="20"/>
                <w:szCs w:val="20"/>
              </w:rPr>
              <w:t>7,</w:t>
            </w:r>
            <w:r w:rsidR="00AA1B15" w:rsidRPr="00C93CCC">
              <w:rPr>
                <w:sz w:val="20"/>
                <w:szCs w:val="20"/>
              </w:rPr>
              <w:t>5</w:t>
            </w:r>
            <w:r w:rsidR="00AA1B15">
              <w:rPr>
                <w:sz w:val="20"/>
                <w:szCs w:val="20"/>
              </w:rPr>
              <w:t>83</w:t>
            </w:r>
          </w:p>
        </w:tc>
        <w:tc>
          <w:tcPr>
            <w:tcW w:w="810" w:type="dxa"/>
          </w:tcPr>
          <w:p w14:paraId="4B0C4A12" w14:textId="77777777" w:rsidR="00B51378" w:rsidRPr="00C93CCC" w:rsidRDefault="00E738AF" w:rsidP="00B51378">
            <w:pPr>
              <w:jc w:val="center"/>
              <w:rPr>
                <w:sz w:val="20"/>
                <w:szCs w:val="20"/>
              </w:rPr>
            </w:pPr>
            <w:r w:rsidRPr="00C93CCC">
              <w:rPr>
                <w:sz w:val="20"/>
                <w:szCs w:val="20"/>
              </w:rPr>
              <w:t>$98.83</w:t>
            </w:r>
            <w:r w:rsidRPr="00C93CCC">
              <w:rPr>
                <w:sz w:val="20"/>
                <w:szCs w:val="20"/>
                <w:vertAlign w:val="superscript"/>
              </w:rPr>
              <w:t>a</w:t>
            </w:r>
          </w:p>
        </w:tc>
        <w:tc>
          <w:tcPr>
            <w:tcW w:w="1440" w:type="dxa"/>
            <w:shd w:val="clear" w:color="auto" w:fill="auto"/>
            <w:tcMar>
              <w:top w:w="0" w:type="dxa"/>
              <w:left w:w="108" w:type="dxa"/>
              <w:bottom w:w="0" w:type="dxa"/>
              <w:right w:w="108" w:type="dxa"/>
            </w:tcMar>
          </w:tcPr>
          <w:p w14:paraId="3182829C" w14:textId="6F2CC155" w:rsidR="00B51378" w:rsidRPr="00C93CCC" w:rsidRDefault="00C93CCC">
            <w:pPr>
              <w:jc w:val="right"/>
              <w:rPr>
                <w:sz w:val="20"/>
                <w:szCs w:val="20"/>
              </w:rPr>
            </w:pPr>
            <w:r w:rsidRPr="00C93CCC">
              <w:rPr>
                <w:sz w:val="20"/>
                <w:szCs w:val="20"/>
              </w:rPr>
              <w:t>$74</w:t>
            </w:r>
            <w:r w:rsidR="009F1091">
              <w:rPr>
                <w:sz w:val="20"/>
                <w:szCs w:val="20"/>
              </w:rPr>
              <w:t>9</w:t>
            </w:r>
            <w:r w:rsidRPr="00C93CCC">
              <w:rPr>
                <w:sz w:val="20"/>
                <w:szCs w:val="20"/>
              </w:rPr>
              <w:t>,</w:t>
            </w:r>
            <w:r w:rsidR="009F1091">
              <w:rPr>
                <w:sz w:val="20"/>
                <w:szCs w:val="20"/>
              </w:rPr>
              <w:t>428</w:t>
            </w:r>
          </w:p>
        </w:tc>
      </w:tr>
      <w:tr w:rsidR="00C93CCC" w:rsidRPr="00C93CCC" w14:paraId="145C62F9" w14:textId="77777777" w:rsidTr="00E738AF">
        <w:tc>
          <w:tcPr>
            <w:tcW w:w="3960" w:type="dxa"/>
            <w:shd w:val="clear" w:color="auto" w:fill="auto"/>
            <w:tcMar>
              <w:top w:w="0" w:type="dxa"/>
              <w:left w:w="108" w:type="dxa"/>
              <w:bottom w:w="0" w:type="dxa"/>
              <w:right w:w="108" w:type="dxa"/>
            </w:tcMar>
          </w:tcPr>
          <w:p w14:paraId="0E5D8284" w14:textId="77777777" w:rsidR="00B51378" w:rsidRPr="00C93CCC" w:rsidRDefault="00B51378" w:rsidP="00B51378">
            <w:pPr>
              <w:pStyle w:val="ColorfulList-Accent11"/>
              <w:numPr>
                <w:ilvl w:val="0"/>
                <w:numId w:val="23"/>
              </w:numPr>
              <w:rPr>
                <w:bCs/>
                <w:sz w:val="20"/>
                <w:szCs w:val="20"/>
              </w:rPr>
            </w:pPr>
            <w:r w:rsidRPr="00C93CCC">
              <w:rPr>
                <w:bCs/>
                <w:sz w:val="20"/>
                <w:szCs w:val="20"/>
              </w:rPr>
              <w:t>AHRQ Patient Safety Culture Surveys:</w:t>
            </w:r>
          </w:p>
        </w:tc>
        <w:tc>
          <w:tcPr>
            <w:tcW w:w="1336" w:type="dxa"/>
            <w:shd w:val="clear" w:color="auto" w:fill="auto"/>
            <w:tcMar>
              <w:top w:w="0" w:type="dxa"/>
              <w:left w:w="108" w:type="dxa"/>
              <w:bottom w:w="0" w:type="dxa"/>
              <w:right w:w="108" w:type="dxa"/>
            </w:tcMar>
          </w:tcPr>
          <w:p w14:paraId="3464C251" w14:textId="77777777" w:rsidR="00B51378" w:rsidRPr="00C93CCC" w:rsidRDefault="00B51378" w:rsidP="00B51378">
            <w:pPr>
              <w:jc w:val="center"/>
              <w:rPr>
                <w:sz w:val="20"/>
                <w:szCs w:val="20"/>
              </w:rPr>
            </w:pPr>
          </w:p>
        </w:tc>
        <w:tc>
          <w:tcPr>
            <w:tcW w:w="1094" w:type="dxa"/>
            <w:shd w:val="clear" w:color="auto" w:fill="auto"/>
            <w:tcMar>
              <w:top w:w="0" w:type="dxa"/>
              <w:left w:w="108" w:type="dxa"/>
              <w:bottom w:w="0" w:type="dxa"/>
              <w:right w:w="108" w:type="dxa"/>
            </w:tcMar>
          </w:tcPr>
          <w:p w14:paraId="187F7864" w14:textId="77777777" w:rsidR="00B51378" w:rsidRPr="00C93CCC" w:rsidRDefault="00B51378" w:rsidP="00B51378">
            <w:pPr>
              <w:jc w:val="right"/>
              <w:rPr>
                <w:sz w:val="20"/>
                <w:szCs w:val="20"/>
              </w:rPr>
            </w:pPr>
          </w:p>
        </w:tc>
        <w:tc>
          <w:tcPr>
            <w:tcW w:w="810" w:type="dxa"/>
          </w:tcPr>
          <w:p w14:paraId="6D3A5B6F" w14:textId="77777777" w:rsidR="00B51378" w:rsidRPr="00C93CCC" w:rsidRDefault="00B51378" w:rsidP="00B51378">
            <w:pPr>
              <w:jc w:val="center"/>
              <w:rPr>
                <w:sz w:val="20"/>
                <w:szCs w:val="20"/>
              </w:rPr>
            </w:pPr>
          </w:p>
        </w:tc>
        <w:tc>
          <w:tcPr>
            <w:tcW w:w="1440" w:type="dxa"/>
            <w:shd w:val="clear" w:color="auto" w:fill="auto"/>
            <w:tcMar>
              <w:top w:w="0" w:type="dxa"/>
              <w:left w:w="108" w:type="dxa"/>
              <w:bottom w:w="0" w:type="dxa"/>
              <w:right w:w="108" w:type="dxa"/>
            </w:tcMar>
          </w:tcPr>
          <w:p w14:paraId="72D2999F" w14:textId="77777777" w:rsidR="00B51378" w:rsidRPr="00C93CCC" w:rsidRDefault="00B51378" w:rsidP="00B51378">
            <w:pPr>
              <w:jc w:val="right"/>
              <w:rPr>
                <w:sz w:val="20"/>
                <w:szCs w:val="20"/>
              </w:rPr>
            </w:pPr>
          </w:p>
        </w:tc>
      </w:tr>
      <w:tr w:rsidR="00C93CCC" w:rsidRPr="00C93CCC" w14:paraId="6C5F2EEA" w14:textId="77777777" w:rsidTr="00E738AF">
        <w:tc>
          <w:tcPr>
            <w:tcW w:w="3960" w:type="dxa"/>
            <w:shd w:val="clear" w:color="auto" w:fill="auto"/>
            <w:tcMar>
              <w:top w:w="0" w:type="dxa"/>
              <w:left w:w="108" w:type="dxa"/>
              <w:bottom w:w="0" w:type="dxa"/>
              <w:right w:w="108" w:type="dxa"/>
            </w:tcMar>
          </w:tcPr>
          <w:p w14:paraId="374DA7D3" w14:textId="77777777" w:rsidR="00B51378" w:rsidRPr="00C93CCC" w:rsidRDefault="00B51378" w:rsidP="00B51378">
            <w:pPr>
              <w:pStyle w:val="ColorfulList-Accent11"/>
              <w:numPr>
                <w:ilvl w:val="1"/>
                <w:numId w:val="23"/>
              </w:numPr>
              <w:ind w:left="702" w:hanging="270"/>
              <w:rPr>
                <w:bCs/>
                <w:sz w:val="20"/>
                <w:szCs w:val="20"/>
              </w:rPr>
            </w:pPr>
            <w:r w:rsidRPr="00C93CCC">
              <w:rPr>
                <w:bCs/>
                <w:sz w:val="20"/>
                <w:szCs w:val="20"/>
              </w:rPr>
              <w:t>HSOPS, NHSOPS, MOSOPS (Cohort 1)</w:t>
            </w:r>
          </w:p>
        </w:tc>
        <w:tc>
          <w:tcPr>
            <w:tcW w:w="1336" w:type="dxa"/>
            <w:shd w:val="clear" w:color="auto" w:fill="auto"/>
            <w:tcMar>
              <w:top w:w="0" w:type="dxa"/>
              <w:left w:w="108" w:type="dxa"/>
              <w:bottom w:w="0" w:type="dxa"/>
              <w:right w:w="108" w:type="dxa"/>
            </w:tcMar>
          </w:tcPr>
          <w:p w14:paraId="392C1A6D" w14:textId="77777777" w:rsidR="00B51378" w:rsidRPr="00C93CCC" w:rsidRDefault="00B51378" w:rsidP="00B51378">
            <w:pPr>
              <w:jc w:val="center"/>
              <w:rPr>
                <w:sz w:val="20"/>
                <w:szCs w:val="20"/>
              </w:rPr>
            </w:pPr>
            <w:r w:rsidRPr="00C93CCC">
              <w:rPr>
                <w:sz w:val="20"/>
                <w:szCs w:val="20"/>
              </w:rPr>
              <w:t>83</w:t>
            </w:r>
          </w:p>
        </w:tc>
        <w:tc>
          <w:tcPr>
            <w:tcW w:w="1094" w:type="dxa"/>
            <w:shd w:val="clear" w:color="auto" w:fill="auto"/>
            <w:tcMar>
              <w:top w:w="0" w:type="dxa"/>
              <w:left w:w="108" w:type="dxa"/>
              <w:bottom w:w="0" w:type="dxa"/>
              <w:right w:w="108" w:type="dxa"/>
            </w:tcMar>
          </w:tcPr>
          <w:p w14:paraId="6BFE9A17" w14:textId="77777777" w:rsidR="00B51378" w:rsidRPr="00C93CCC" w:rsidRDefault="00B51378" w:rsidP="00B51378">
            <w:pPr>
              <w:jc w:val="right"/>
              <w:rPr>
                <w:sz w:val="20"/>
                <w:szCs w:val="20"/>
              </w:rPr>
            </w:pPr>
            <w:r w:rsidRPr="00C93CCC">
              <w:rPr>
                <w:sz w:val="20"/>
                <w:szCs w:val="20"/>
              </w:rPr>
              <w:t>83</w:t>
            </w:r>
          </w:p>
        </w:tc>
        <w:tc>
          <w:tcPr>
            <w:tcW w:w="810" w:type="dxa"/>
          </w:tcPr>
          <w:p w14:paraId="216A6409" w14:textId="77777777" w:rsidR="00B51378" w:rsidRPr="00C93CCC" w:rsidRDefault="00E738AF" w:rsidP="00B51378">
            <w:pPr>
              <w:jc w:val="center"/>
              <w:rPr>
                <w:sz w:val="20"/>
                <w:szCs w:val="20"/>
              </w:rPr>
            </w:pPr>
            <w:r w:rsidRPr="00C93CCC">
              <w:rPr>
                <w:sz w:val="20"/>
                <w:szCs w:val="20"/>
              </w:rPr>
              <w:t>$27.87</w:t>
            </w:r>
            <w:r w:rsidRPr="00C93CCC">
              <w:rPr>
                <w:sz w:val="20"/>
                <w:szCs w:val="20"/>
                <w:vertAlign w:val="superscript"/>
              </w:rPr>
              <w:t>b</w:t>
            </w:r>
          </w:p>
        </w:tc>
        <w:tc>
          <w:tcPr>
            <w:tcW w:w="1440" w:type="dxa"/>
            <w:shd w:val="clear" w:color="auto" w:fill="auto"/>
            <w:tcMar>
              <w:top w:w="0" w:type="dxa"/>
              <w:left w:w="108" w:type="dxa"/>
              <w:bottom w:w="0" w:type="dxa"/>
              <w:right w:w="108" w:type="dxa"/>
            </w:tcMar>
          </w:tcPr>
          <w:p w14:paraId="098C7488" w14:textId="77777777" w:rsidR="00B51378" w:rsidRPr="00C93CCC" w:rsidRDefault="00C93CCC" w:rsidP="00B51378">
            <w:pPr>
              <w:jc w:val="right"/>
              <w:rPr>
                <w:sz w:val="20"/>
                <w:szCs w:val="20"/>
              </w:rPr>
            </w:pPr>
            <w:r>
              <w:rPr>
                <w:sz w:val="20"/>
                <w:szCs w:val="20"/>
              </w:rPr>
              <w:t>$2,313</w:t>
            </w:r>
          </w:p>
        </w:tc>
      </w:tr>
      <w:tr w:rsidR="00C93CCC" w:rsidRPr="00C93CCC" w14:paraId="599A3924" w14:textId="77777777" w:rsidTr="00E738AF">
        <w:tc>
          <w:tcPr>
            <w:tcW w:w="3960" w:type="dxa"/>
            <w:shd w:val="clear" w:color="auto" w:fill="auto"/>
            <w:tcMar>
              <w:top w:w="0" w:type="dxa"/>
              <w:left w:w="108" w:type="dxa"/>
              <w:bottom w:w="0" w:type="dxa"/>
              <w:right w:w="108" w:type="dxa"/>
            </w:tcMar>
          </w:tcPr>
          <w:p w14:paraId="1A97B8FA" w14:textId="77777777" w:rsidR="00B51378" w:rsidRPr="00C93CCC" w:rsidRDefault="00B51378" w:rsidP="00B51378">
            <w:pPr>
              <w:pStyle w:val="ColorfulList-Accent11"/>
              <w:numPr>
                <w:ilvl w:val="1"/>
                <w:numId w:val="23"/>
              </w:numPr>
              <w:ind w:hanging="648"/>
              <w:rPr>
                <w:bCs/>
                <w:sz w:val="20"/>
                <w:szCs w:val="20"/>
              </w:rPr>
            </w:pPr>
            <w:r w:rsidRPr="00C93CCC">
              <w:rPr>
                <w:bCs/>
                <w:sz w:val="20"/>
                <w:szCs w:val="20"/>
              </w:rPr>
              <w:t>HSOPS (Cohort 2)</w:t>
            </w:r>
          </w:p>
        </w:tc>
        <w:tc>
          <w:tcPr>
            <w:tcW w:w="1336" w:type="dxa"/>
            <w:shd w:val="clear" w:color="auto" w:fill="auto"/>
            <w:tcMar>
              <w:top w:w="0" w:type="dxa"/>
              <w:left w:w="108" w:type="dxa"/>
              <w:bottom w:w="0" w:type="dxa"/>
              <w:right w:w="108" w:type="dxa"/>
            </w:tcMar>
          </w:tcPr>
          <w:p w14:paraId="49A00CF0" w14:textId="77777777" w:rsidR="00B51378" w:rsidRPr="00C93CCC" w:rsidRDefault="00B51378" w:rsidP="00B51378">
            <w:pPr>
              <w:jc w:val="center"/>
              <w:rPr>
                <w:sz w:val="20"/>
                <w:szCs w:val="20"/>
              </w:rPr>
            </w:pPr>
            <w:r w:rsidRPr="00C93CCC">
              <w:rPr>
                <w:sz w:val="20"/>
                <w:szCs w:val="20"/>
              </w:rPr>
              <w:t>4,167</w:t>
            </w:r>
          </w:p>
        </w:tc>
        <w:tc>
          <w:tcPr>
            <w:tcW w:w="1094" w:type="dxa"/>
            <w:shd w:val="clear" w:color="auto" w:fill="auto"/>
            <w:tcMar>
              <w:top w:w="0" w:type="dxa"/>
              <w:left w:w="108" w:type="dxa"/>
              <w:bottom w:w="0" w:type="dxa"/>
              <w:right w:w="108" w:type="dxa"/>
            </w:tcMar>
          </w:tcPr>
          <w:p w14:paraId="1C1D1CEB" w14:textId="77777777" w:rsidR="00B51378" w:rsidRPr="00C93CCC" w:rsidRDefault="00B51378" w:rsidP="00B51378">
            <w:pPr>
              <w:jc w:val="right"/>
              <w:rPr>
                <w:sz w:val="20"/>
                <w:szCs w:val="20"/>
              </w:rPr>
            </w:pPr>
            <w:r w:rsidRPr="00C93CCC">
              <w:rPr>
                <w:sz w:val="20"/>
                <w:szCs w:val="20"/>
              </w:rPr>
              <w:t>4,167</w:t>
            </w:r>
          </w:p>
        </w:tc>
        <w:tc>
          <w:tcPr>
            <w:tcW w:w="810" w:type="dxa"/>
          </w:tcPr>
          <w:p w14:paraId="23EB3306" w14:textId="77777777" w:rsidR="00B51378" w:rsidRPr="00C93CCC" w:rsidRDefault="00E738AF" w:rsidP="00B51378">
            <w:pPr>
              <w:jc w:val="center"/>
              <w:rPr>
                <w:sz w:val="20"/>
                <w:szCs w:val="20"/>
              </w:rPr>
            </w:pPr>
            <w:r w:rsidRPr="00C93CCC">
              <w:rPr>
                <w:sz w:val="20"/>
                <w:szCs w:val="20"/>
              </w:rPr>
              <w:t>$27.87</w:t>
            </w:r>
            <w:r w:rsidRPr="00C93CCC">
              <w:rPr>
                <w:sz w:val="20"/>
                <w:szCs w:val="20"/>
                <w:vertAlign w:val="superscript"/>
              </w:rPr>
              <w:t>b</w:t>
            </w:r>
          </w:p>
        </w:tc>
        <w:tc>
          <w:tcPr>
            <w:tcW w:w="1440" w:type="dxa"/>
            <w:shd w:val="clear" w:color="auto" w:fill="auto"/>
            <w:tcMar>
              <w:top w:w="0" w:type="dxa"/>
              <w:left w:w="108" w:type="dxa"/>
              <w:bottom w:w="0" w:type="dxa"/>
              <w:right w:w="108" w:type="dxa"/>
            </w:tcMar>
          </w:tcPr>
          <w:p w14:paraId="111123E1" w14:textId="77777777" w:rsidR="00B51378" w:rsidRPr="00C93CCC" w:rsidRDefault="00C93CCC" w:rsidP="00B51378">
            <w:pPr>
              <w:jc w:val="right"/>
              <w:rPr>
                <w:sz w:val="20"/>
                <w:szCs w:val="20"/>
              </w:rPr>
            </w:pPr>
            <w:r>
              <w:rPr>
                <w:sz w:val="20"/>
                <w:szCs w:val="20"/>
              </w:rPr>
              <w:t>$116,134</w:t>
            </w:r>
          </w:p>
        </w:tc>
      </w:tr>
      <w:tr w:rsidR="00C93CCC" w:rsidRPr="00C93CCC" w14:paraId="610DBEE1" w14:textId="77777777" w:rsidTr="00E738AF">
        <w:tc>
          <w:tcPr>
            <w:tcW w:w="3960" w:type="dxa"/>
            <w:shd w:val="clear" w:color="auto" w:fill="auto"/>
            <w:tcMar>
              <w:top w:w="0" w:type="dxa"/>
              <w:left w:w="108" w:type="dxa"/>
              <w:bottom w:w="0" w:type="dxa"/>
              <w:right w:w="108" w:type="dxa"/>
            </w:tcMar>
          </w:tcPr>
          <w:p w14:paraId="0C8F0215" w14:textId="77777777" w:rsidR="00B51378" w:rsidRPr="00C93CCC" w:rsidRDefault="00B51378" w:rsidP="00B51378">
            <w:pPr>
              <w:pStyle w:val="ColorfulList-Accent11"/>
              <w:numPr>
                <w:ilvl w:val="1"/>
                <w:numId w:val="23"/>
              </w:numPr>
              <w:ind w:hanging="648"/>
              <w:rPr>
                <w:bCs/>
                <w:sz w:val="20"/>
                <w:szCs w:val="20"/>
              </w:rPr>
            </w:pPr>
            <w:r w:rsidRPr="00C93CCC">
              <w:rPr>
                <w:bCs/>
                <w:sz w:val="20"/>
                <w:szCs w:val="20"/>
              </w:rPr>
              <w:t>NHSOPS (Cohort 3)</w:t>
            </w:r>
          </w:p>
        </w:tc>
        <w:tc>
          <w:tcPr>
            <w:tcW w:w="1336" w:type="dxa"/>
            <w:shd w:val="clear" w:color="auto" w:fill="auto"/>
            <w:tcMar>
              <w:top w:w="0" w:type="dxa"/>
              <w:left w:w="108" w:type="dxa"/>
              <w:bottom w:w="0" w:type="dxa"/>
              <w:right w:w="108" w:type="dxa"/>
            </w:tcMar>
          </w:tcPr>
          <w:p w14:paraId="654F9799" w14:textId="77777777" w:rsidR="00B51378" w:rsidRPr="00C93CCC" w:rsidRDefault="00B51378" w:rsidP="00B51378">
            <w:pPr>
              <w:jc w:val="center"/>
              <w:rPr>
                <w:sz w:val="20"/>
                <w:szCs w:val="20"/>
              </w:rPr>
            </w:pPr>
            <w:r w:rsidRPr="00C93CCC">
              <w:rPr>
                <w:sz w:val="20"/>
                <w:szCs w:val="20"/>
              </w:rPr>
              <w:t>4,167</w:t>
            </w:r>
          </w:p>
        </w:tc>
        <w:tc>
          <w:tcPr>
            <w:tcW w:w="1094" w:type="dxa"/>
            <w:shd w:val="clear" w:color="auto" w:fill="auto"/>
            <w:tcMar>
              <w:top w:w="0" w:type="dxa"/>
              <w:left w:w="108" w:type="dxa"/>
              <w:bottom w:w="0" w:type="dxa"/>
              <w:right w:w="108" w:type="dxa"/>
            </w:tcMar>
          </w:tcPr>
          <w:p w14:paraId="3977BCB9" w14:textId="77777777" w:rsidR="00B51378" w:rsidRPr="00C93CCC" w:rsidRDefault="00B51378" w:rsidP="00B51378">
            <w:pPr>
              <w:jc w:val="right"/>
              <w:rPr>
                <w:sz w:val="20"/>
                <w:szCs w:val="20"/>
              </w:rPr>
            </w:pPr>
            <w:r w:rsidRPr="00C93CCC">
              <w:rPr>
                <w:sz w:val="20"/>
                <w:szCs w:val="20"/>
              </w:rPr>
              <w:t>4,167</w:t>
            </w:r>
          </w:p>
        </w:tc>
        <w:tc>
          <w:tcPr>
            <w:tcW w:w="810" w:type="dxa"/>
          </w:tcPr>
          <w:p w14:paraId="418FCD83" w14:textId="77777777" w:rsidR="00B51378" w:rsidRPr="00C93CCC" w:rsidRDefault="00E738AF" w:rsidP="00B51378">
            <w:pPr>
              <w:jc w:val="center"/>
              <w:rPr>
                <w:sz w:val="20"/>
                <w:szCs w:val="20"/>
              </w:rPr>
            </w:pPr>
            <w:r w:rsidRPr="00C93CCC">
              <w:rPr>
                <w:sz w:val="20"/>
                <w:szCs w:val="20"/>
              </w:rPr>
              <w:t>$27.87</w:t>
            </w:r>
            <w:r w:rsidRPr="00C93CCC">
              <w:rPr>
                <w:sz w:val="20"/>
                <w:szCs w:val="20"/>
                <w:vertAlign w:val="superscript"/>
              </w:rPr>
              <w:t>b</w:t>
            </w:r>
          </w:p>
        </w:tc>
        <w:tc>
          <w:tcPr>
            <w:tcW w:w="1440" w:type="dxa"/>
            <w:shd w:val="clear" w:color="auto" w:fill="auto"/>
            <w:tcMar>
              <w:top w:w="0" w:type="dxa"/>
              <w:left w:w="108" w:type="dxa"/>
              <w:bottom w:w="0" w:type="dxa"/>
              <w:right w:w="108" w:type="dxa"/>
            </w:tcMar>
          </w:tcPr>
          <w:p w14:paraId="44CBFF4B" w14:textId="77777777" w:rsidR="00B51378" w:rsidRPr="00C93CCC" w:rsidRDefault="00C93CCC" w:rsidP="00B51378">
            <w:pPr>
              <w:jc w:val="right"/>
              <w:rPr>
                <w:sz w:val="20"/>
                <w:szCs w:val="20"/>
              </w:rPr>
            </w:pPr>
            <w:r>
              <w:rPr>
                <w:sz w:val="20"/>
                <w:szCs w:val="20"/>
              </w:rPr>
              <w:t>$116,134</w:t>
            </w:r>
          </w:p>
        </w:tc>
      </w:tr>
      <w:tr w:rsidR="00C93CCC" w:rsidRPr="00C93CCC" w14:paraId="4B6C9693" w14:textId="77777777" w:rsidTr="00E738AF">
        <w:tc>
          <w:tcPr>
            <w:tcW w:w="3960" w:type="dxa"/>
            <w:shd w:val="clear" w:color="auto" w:fill="auto"/>
            <w:tcMar>
              <w:top w:w="0" w:type="dxa"/>
              <w:left w:w="108" w:type="dxa"/>
              <w:bottom w:w="0" w:type="dxa"/>
              <w:right w:w="108" w:type="dxa"/>
            </w:tcMar>
          </w:tcPr>
          <w:p w14:paraId="6760A763" w14:textId="77777777" w:rsidR="00B51378" w:rsidRPr="00D67A20" w:rsidRDefault="00B51378" w:rsidP="00B51378">
            <w:pPr>
              <w:pStyle w:val="ColorfulList-Accent11"/>
              <w:numPr>
                <w:ilvl w:val="1"/>
                <w:numId w:val="23"/>
              </w:numPr>
              <w:ind w:hanging="648"/>
              <w:rPr>
                <w:bCs/>
                <w:sz w:val="20"/>
                <w:szCs w:val="20"/>
                <w:highlight w:val="yellow"/>
              </w:rPr>
            </w:pPr>
            <w:r w:rsidRPr="00D67A20">
              <w:rPr>
                <w:bCs/>
                <w:sz w:val="20"/>
                <w:szCs w:val="20"/>
                <w:highlight w:val="yellow"/>
              </w:rPr>
              <w:t>MOSOPS (Cohort 4)</w:t>
            </w:r>
          </w:p>
        </w:tc>
        <w:tc>
          <w:tcPr>
            <w:tcW w:w="1336" w:type="dxa"/>
            <w:shd w:val="clear" w:color="auto" w:fill="auto"/>
            <w:tcMar>
              <w:top w:w="0" w:type="dxa"/>
              <w:left w:w="108" w:type="dxa"/>
              <w:bottom w:w="0" w:type="dxa"/>
              <w:right w:w="108" w:type="dxa"/>
            </w:tcMar>
          </w:tcPr>
          <w:p w14:paraId="02025F27" w14:textId="77777777" w:rsidR="00B51378" w:rsidRPr="00D67A20" w:rsidRDefault="00B51378" w:rsidP="00B51378">
            <w:pPr>
              <w:jc w:val="center"/>
              <w:rPr>
                <w:sz w:val="20"/>
                <w:szCs w:val="20"/>
                <w:highlight w:val="yellow"/>
              </w:rPr>
            </w:pPr>
            <w:r w:rsidRPr="00D67A20">
              <w:rPr>
                <w:sz w:val="20"/>
                <w:szCs w:val="20"/>
                <w:highlight w:val="yellow"/>
              </w:rPr>
              <w:t>4,167</w:t>
            </w:r>
          </w:p>
        </w:tc>
        <w:tc>
          <w:tcPr>
            <w:tcW w:w="1094" w:type="dxa"/>
            <w:shd w:val="clear" w:color="auto" w:fill="auto"/>
            <w:tcMar>
              <w:top w:w="0" w:type="dxa"/>
              <w:left w:w="108" w:type="dxa"/>
              <w:bottom w:w="0" w:type="dxa"/>
              <w:right w:w="108" w:type="dxa"/>
            </w:tcMar>
          </w:tcPr>
          <w:p w14:paraId="30091B02" w14:textId="3BE3865E" w:rsidR="00B51378" w:rsidRPr="00D67A20" w:rsidRDefault="00626C2D" w:rsidP="00B51378">
            <w:pPr>
              <w:jc w:val="right"/>
              <w:rPr>
                <w:sz w:val="20"/>
                <w:szCs w:val="20"/>
                <w:highlight w:val="yellow"/>
              </w:rPr>
            </w:pPr>
            <w:r>
              <w:rPr>
                <w:sz w:val="20"/>
                <w:szCs w:val="20"/>
                <w:highlight w:val="yellow"/>
              </w:rPr>
              <w:t>4,167</w:t>
            </w:r>
          </w:p>
        </w:tc>
        <w:tc>
          <w:tcPr>
            <w:tcW w:w="810" w:type="dxa"/>
          </w:tcPr>
          <w:p w14:paraId="685DEC46" w14:textId="77777777" w:rsidR="00B51378" w:rsidRPr="00D67A20" w:rsidRDefault="00E738AF" w:rsidP="00B51378">
            <w:pPr>
              <w:jc w:val="center"/>
              <w:rPr>
                <w:sz w:val="20"/>
                <w:szCs w:val="20"/>
                <w:highlight w:val="yellow"/>
              </w:rPr>
            </w:pPr>
            <w:r w:rsidRPr="00D67A20">
              <w:rPr>
                <w:sz w:val="20"/>
                <w:szCs w:val="20"/>
                <w:highlight w:val="yellow"/>
              </w:rPr>
              <w:t>$27.87</w:t>
            </w:r>
            <w:r w:rsidRPr="00D67A20">
              <w:rPr>
                <w:sz w:val="20"/>
                <w:szCs w:val="20"/>
                <w:highlight w:val="yellow"/>
                <w:vertAlign w:val="superscript"/>
              </w:rPr>
              <w:t>b</w:t>
            </w:r>
          </w:p>
        </w:tc>
        <w:tc>
          <w:tcPr>
            <w:tcW w:w="1440" w:type="dxa"/>
            <w:shd w:val="clear" w:color="auto" w:fill="auto"/>
            <w:tcMar>
              <w:top w:w="0" w:type="dxa"/>
              <w:left w:w="108" w:type="dxa"/>
              <w:bottom w:w="0" w:type="dxa"/>
              <w:right w:w="108" w:type="dxa"/>
            </w:tcMar>
          </w:tcPr>
          <w:p w14:paraId="763E3462" w14:textId="6BFF507A" w:rsidR="00B51378" w:rsidRPr="00D67A20" w:rsidRDefault="00C93CCC" w:rsidP="00626C2D">
            <w:pPr>
              <w:jc w:val="right"/>
              <w:rPr>
                <w:sz w:val="20"/>
                <w:szCs w:val="20"/>
                <w:highlight w:val="yellow"/>
              </w:rPr>
            </w:pPr>
            <w:r w:rsidRPr="00D67A20">
              <w:rPr>
                <w:sz w:val="20"/>
                <w:szCs w:val="20"/>
                <w:highlight w:val="yellow"/>
              </w:rPr>
              <w:t>$</w:t>
            </w:r>
            <w:r w:rsidR="00626C2D">
              <w:rPr>
                <w:sz w:val="20"/>
                <w:szCs w:val="20"/>
                <w:highlight w:val="yellow"/>
              </w:rPr>
              <w:t>116,134</w:t>
            </w:r>
          </w:p>
        </w:tc>
      </w:tr>
      <w:tr w:rsidR="00C93CCC" w:rsidRPr="00C93CCC" w14:paraId="36F8032E" w14:textId="77777777" w:rsidTr="00E738AF">
        <w:trPr>
          <w:trHeight w:val="503"/>
        </w:trPr>
        <w:tc>
          <w:tcPr>
            <w:tcW w:w="3960" w:type="dxa"/>
            <w:shd w:val="clear" w:color="auto" w:fill="auto"/>
            <w:tcMar>
              <w:top w:w="0" w:type="dxa"/>
              <w:left w:w="108" w:type="dxa"/>
              <w:bottom w:w="0" w:type="dxa"/>
              <w:right w:w="108" w:type="dxa"/>
            </w:tcMar>
          </w:tcPr>
          <w:p w14:paraId="1FD972BA" w14:textId="77777777" w:rsidR="00B51378" w:rsidRPr="00C93CCC" w:rsidRDefault="00B51378" w:rsidP="00B51378">
            <w:pPr>
              <w:pStyle w:val="ColorfulList-Accent11"/>
              <w:numPr>
                <w:ilvl w:val="0"/>
                <w:numId w:val="23"/>
              </w:numPr>
              <w:rPr>
                <w:bCs/>
                <w:sz w:val="20"/>
                <w:szCs w:val="20"/>
              </w:rPr>
            </w:pPr>
            <w:r w:rsidRPr="00C93CCC">
              <w:rPr>
                <w:bCs/>
                <w:sz w:val="20"/>
                <w:szCs w:val="20"/>
              </w:rPr>
              <w:t>Semi-structured qualitative interviews (Cohort 1):</w:t>
            </w:r>
          </w:p>
          <w:p w14:paraId="7412FD91" w14:textId="77777777" w:rsidR="00B51378" w:rsidRPr="00C93CCC" w:rsidRDefault="00B51378" w:rsidP="00B51378">
            <w:pPr>
              <w:pStyle w:val="ColorfulList-Accent11"/>
              <w:numPr>
                <w:ilvl w:val="1"/>
                <w:numId w:val="23"/>
              </w:numPr>
              <w:rPr>
                <w:bCs/>
                <w:sz w:val="20"/>
                <w:szCs w:val="20"/>
              </w:rPr>
            </w:pPr>
            <w:r w:rsidRPr="00C93CCC">
              <w:rPr>
                <w:bCs/>
                <w:sz w:val="20"/>
                <w:szCs w:val="20"/>
              </w:rPr>
              <w:t xml:space="preserve">Physicians </w:t>
            </w:r>
          </w:p>
        </w:tc>
        <w:tc>
          <w:tcPr>
            <w:tcW w:w="1336" w:type="dxa"/>
            <w:shd w:val="clear" w:color="auto" w:fill="auto"/>
            <w:tcMar>
              <w:top w:w="0" w:type="dxa"/>
              <w:left w:w="108" w:type="dxa"/>
              <w:bottom w:w="0" w:type="dxa"/>
              <w:right w:w="108" w:type="dxa"/>
            </w:tcMar>
          </w:tcPr>
          <w:p w14:paraId="1796A621" w14:textId="77777777" w:rsidR="00E738AF" w:rsidRPr="00C93CCC" w:rsidRDefault="00E738AF" w:rsidP="00B51378">
            <w:pPr>
              <w:jc w:val="center"/>
              <w:rPr>
                <w:sz w:val="20"/>
                <w:szCs w:val="20"/>
              </w:rPr>
            </w:pPr>
          </w:p>
          <w:p w14:paraId="096FFC9C" w14:textId="77777777" w:rsidR="00E738AF" w:rsidRPr="00C93CCC" w:rsidRDefault="00E738AF" w:rsidP="00B51378">
            <w:pPr>
              <w:jc w:val="center"/>
              <w:rPr>
                <w:sz w:val="20"/>
                <w:szCs w:val="20"/>
              </w:rPr>
            </w:pPr>
          </w:p>
          <w:p w14:paraId="283A9E20" w14:textId="77777777" w:rsidR="00B51378" w:rsidRPr="00C93CCC" w:rsidRDefault="00B51378" w:rsidP="00B51378">
            <w:pPr>
              <w:jc w:val="center"/>
              <w:rPr>
                <w:sz w:val="20"/>
                <w:szCs w:val="20"/>
              </w:rPr>
            </w:pPr>
            <w:r w:rsidRPr="00C93CCC">
              <w:rPr>
                <w:sz w:val="20"/>
                <w:szCs w:val="20"/>
              </w:rPr>
              <w:t>30</w:t>
            </w:r>
          </w:p>
        </w:tc>
        <w:tc>
          <w:tcPr>
            <w:tcW w:w="1094" w:type="dxa"/>
            <w:shd w:val="clear" w:color="auto" w:fill="auto"/>
            <w:tcMar>
              <w:top w:w="0" w:type="dxa"/>
              <w:left w:w="108" w:type="dxa"/>
              <w:bottom w:w="0" w:type="dxa"/>
              <w:right w:w="108" w:type="dxa"/>
            </w:tcMar>
          </w:tcPr>
          <w:p w14:paraId="6BD106F7" w14:textId="77777777" w:rsidR="00E738AF" w:rsidRPr="00C93CCC" w:rsidRDefault="00E738AF" w:rsidP="00B51378">
            <w:pPr>
              <w:jc w:val="right"/>
              <w:rPr>
                <w:sz w:val="20"/>
                <w:szCs w:val="20"/>
              </w:rPr>
            </w:pPr>
          </w:p>
          <w:p w14:paraId="4D052DA9" w14:textId="77777777" w:rsidR="00E738AF" w:rsidRPr="00C93CCC" w:rsidRDefault="00E738AF" w:rsidP="00B51378">
            <w:pPr>
              <w:jc w:val="right"/>
              <w:rPr>
                <w:sz w:val="20"/>
                <w:szCs w:val="20"/>
              </w:rPr>
            </w:pPr>
          </w:p>
          <w:p w14:paraId="5AB59704" w14:textId="77777777" w:rsidR="00B51378" w:rsidRPr="00C93CCC" w:rsidRDefault="00B51378" w:rsidP="00B51378">
            <w:pPr>
              <w:jc w:val="right"/>
              <w:rPr>
                <w:sz w:val="20"/>
                <w:szCs w:val="20"/>
              </w:rPr>
            </w:pPr>
            <w:r w:rsidRPr="00C93CCC">
              <w:rPr>
                <w:sz w:val="20"/>
                <w:szCs w:val="20"/>
              </w:rPr>
              <w:t>60</w:t>
            </w:r>
          </w:p>
        </w:tc>
        <w:tc>
          <w:tcPr>
            <w:tcW w:w="810" w:type="dxa"/>
          </w:tcPr>
          <w:p w14:paraId="036F6081" w14:textId="77777777" w:rsidR="00E738AF" w:rsidRPr="00C93CCC" w:rsidRDefault="00E738AF" w:rsidP="00B51378">
            <w:pPr>
              <w:jc w:val="center"/>
              <w:rPr>
                <w:sz w:val="20"/>
                <w:szCs w:val="20"/>
              </w:rPr>
            </w:pPr>
          </w:p>
          <w:p w14:paraId="62D5E57D" w14:textId="77777777" w:rsidR="00E738AF" w:rsidRPr="00C93CCC" w:rsidRDefault="00E738AF" w:rsidP="00B51378">
            <w:pPr>
              <w:jc w:val="center"/>
              <w:rPr>
                <w:sz w:val="20"/>
                <w:szCs w:val="20"/>
              </w:rPr>
            </w:pPr>
          </w:p>
          <w:p w14:paraId="42D1E831" w14:textId="77777777" w:rsidR="00B51378" w:rsidRPr="00C93CCC" w:rsidRDefault="00E738AF" w:rsidP="00B51378">
            <w:pPr>
              <w:jc w:val="center"/>
              <w:rPr>
                <w:sz w:val="20"/>
                <w:szCs w:val="20"/>
              </w:rPr>
            </w:pPr>
            <w:r w:rsidRPr="00C93CCC">
              <w:rPr>
                <w:sz w:val="20"/>
                <w:szCs w:val="20"/>
              </w:rPr>
              <w:t>$98.83</w:t>
            </w:r>
            <w:r w:rsidRPr="00C93CCC">
              <w:rPr>
                <w:sz w:val="20"/>
                <w:szCs w:val="20"/>
                <w:vertAlign w:val="superscript"/>
              </w:rPr>
              <w:t>a</w:t>
            </w:r>
          </w:p>
        </w:tc>
        <w:tc>
          <w:tcPr>
            <w:tcW w:w="1440" w:type="dxa"/>
            <w:shd w:val="clear" w:color="auto" w:fill="auto"/>
            <w:tcMar>
              <w:top w:w="0" w:type="dxa"/>
              <w:left w:w="108" w:type="dxa"/>
              <w:bottom w:w="0" w:type="dxa"/>
              <w:right w:w="108" w:type="dxa"/>
            </w:tcMar>
          </w:tcPr>
          <w:p w14:paraId="09C57C57" w14:textId="77777777" w:rsidR="00B51378" w:rsidRDefault="00B51378" w:rsidP="00B51378">
            <w:pPr>
              <w:jc w:val="right"/>
              <w:rPr>
                <w:sz w:val="20"/>
                <w:szCs w:val="20"/>
              </w:rPr>
            </w:pPr>
          </w:p>
          <w:p w14:paraId="783FD597" w14:textId="77777777" w:rsidR="00C93CCC" w:rsidRDefault="00C93CCC" w:rsidP="00B51378">
            <w:pPr>
              <w:jc w:val="right"/>
              <w:rPr>
                <w:sz w:val="20"/>
                <w:szCs w:val="20"/>
              </w:rPr>
            </w:pPr>
          </w:p>
          <w:p w14:paraId="43F206B4" w14:textId="77777777" w:rsidR="00C93CCC" w:rsidRPr="00C93CCC" w:rsidRDefault="00C93CCC" w:rsidP="00B51378">
            <w:pPr>
              <w:jc w:val="right"/>
              <w:rPr>
                <w:sz w:val="20"/>
                <w:szCs w:val="20"/>
              </w:rPr>
            </w:pPr>
            <w:r>
              <w:rPr>
                <w:sz w:val="20"/>
                <w:szCs w:val="20"/>
              </w:rPr>
              <w:t>$5,930</w:t>
            </w:r>
          </w:p>
        </w:tc>
      </w:tr>
      <w:tr w:rsidR="00C93CCC" w:rsidRPr="00C93CCC" w14:paraId="32CD9B06" w14:textId="77777777" w:rsidTr="00E738AF">
        <w:trPr>
          <w:trHeight w:val="260"/>
        </w:trPr>
        <w:tc>
          <w:tcPr>
            <w:tcW w:w="3960" w:type="dxa"/>
            <w:shd w:val="clear" w:color="auto" w:fill="auto"/>
            <w:tcMar>
              <w:top w:w="0" w:type="dxa"/>
              <w:left w:w="108" w:type="dxa"/>
              <w:bottom w:w="0" w:type="dxa"/>
              <w:right w:w="108" w:type="dxa"/>
            </w:tcMar>
          </w:tcPr>
          <w:p w14:paraId="639EC2BE" w14:textId="77777777" w:rsidR="00B51378" w:rsidRPr="00C93CCC" w:rsidRDefault="00B51378" w:rsidP="00B51378">
            <w:pPr>
              <w:pStyle w:val="ColorfulList-Accent11"/>
              <w:numPr>
                <w:ilvl w:val="1"/>
                <w:numId w:val="23"/>
              </w:numPr>
              <w:rPr>
                <w:bCs/>
                <w:sz w:val="20"/>
                <w:szCs w:val="20"/>
              </w:rPr>
            </w:pPr>
            <w:r w:rsidRPr="00C93CCC">
              <w:rPr>
                <w:bCs/>
                <w:sz w:val="20"/>
                <w:szCs w:val="20"/>
              </w:rPr>
              <w:t>Other Health Practitioners</w:t>
            </w:r>
          </w:p>
        </w:tc>
        <w:tc>
          <w:tcPr>
            <w:tcW w:w="1336" w:type="dxa"/>
            <w:shd w:val="clear" w:color="auto" w:fill="auto"/>
            <w:tcMar>
              <w:top w:w="0" w:type="dxa"/>
              <w:left w:w="108" w:type="dxa"/>
              <w:bottom w:w="0" w:type="dxa"/>
              <w:right w:w="108" w:type="dxa"/>
            </w:tcMar>
          </w:tcPr>
          <w:p w14:paraId="5CA1D45B" w14:textId="77777777" w:rsidR="00B51378" w:rsidRPr="00C93CCC" w:rsidDel="00535E4A" w:rsidRDefault="00B51378" w:rsidP="00B51378">
            <w:pPr>
              <w:jc w:val="center"/>
              <w:rPr>
                <w:sz w:val="20"/>
                <w:szCs w:val="20"/>
              </w:rPr>
            </w:pPr>
            <w:r w:rsidRPr="00C93CCC">
              <w:rPr>
                <w:sz w:val="20"/>
                <w:szCs w:val="20"/>
              </w:rPr>
              <w:t>60</w:t>
            </w:r>
          </w:p>
        </w:tc>
        <w:tc>
          <w:tcPr>
            <w:tcW w:w="1094" w:type="dxa"/>
            <w:shd w:val="clear" w:color="auto" w:fill="auto"/>
            <w:tcMar>
              <w:top w:w="0" w:type="dxa"/>
              <w:left w:w="108" w:type="dxa"/>
              <w:bottom w:w="0" w:type="dxa"/>
              <w:right w:w="108" w:type="dxa"/>
            </w:tcMar>
          </w:tcPr>
          <w:p w14:paraId="475C7F06" w14:textId="77777777" w:rsidR="00B51378" w:rsidRPr="00C93CCC" w:rsidRDefault="00B51378" w:rsidP="00B51378">
            <w:pPr>
              <w:jc w:val="right"/>
              <w:rPr>
                <w:sz w:val="20"/>
                <w:szCs w:val="20"/>
              </w:rPr>
            </w:pPr>
            <w:r w:rsidRPr="00C93CCC">
              <w:rPr>
                <w:sz w:val="20"/>
                <w:szCs w:val="20"/>
              </w:rPr>
              <w:t>120</w:t>
            </w:r>
          </w:p>
        </w:tc>
        <w:tc>
          <w:tcPr>
            <w:tcW w:w="810" w:type="dxa"/>
          </w:tcPr>
          <w:p w14:paraId="4281EC76" w14:textId="77777777" w:rsidR="00B51378" w:rsidRPr="00C93CCC" w:rsidRDefault="00E738AF" w:rsidP="00B51378">
            <w:pPr>
              <w:jc w:val="center"/>
              <w:rPr>
                <w:sz w:val="20"/>
                <w:szCs w:val="20"/>
              </w:rPr>
            </w:pPr>
            <w:r w:rsidRPr="00C93CCC">
              <w:rPr>
                <w:sz w:val="20"/>
                <w:szCs w:val="20"/>
              </w:rPr>
              <w:t>$27.87</w:t>
            </w:r>
            <w:r w:rsidRPr="00C93CCC">
              <w:rPr>
                <w:sz w:val="20"/>
                <w:szCs w:val="20"/>
                <w:vertAlign w:val="superscript"/>
              </w:rPr>
              <w:t>b</w:t>
            </w:r>
          </w:p>
        </w:tc>
        <w:tc>
          <w:tcPr>
            <w:tcW w:w="1440" w:type="dxa"/>
            <w:shd w:val="clear" w:color="auto" w:fill="auto"/>
            <w:tcMar>
              <w:top w:w="0" w:type="dxa"/>
              <w:left w:w="108" w:type="dxa"/>
              <w:bottom w:w="0" w:type="dxa"/>
              <w:right w:w="108" w:type="dxa"/>
            </w:tcMar>
          </w:tcPr>
          <w:p w14:paraId="0D593832" w14:textId="77777777" w:rsidR="00B51378" w:rsidRPr="00C93CCC" w:rsidRDefault="00C93CCC" w:rsidP="00B51378">
            <w:pPr>
              <w:jc w:val="right"/>
              <w:rPr>
                <w:sz w:val="20"/>
                <w:szCs w:val="20"/>
              </w:rPr>
            </w:pPr>
            <w:r>
              <w:rPr>
                <w:sz w:val="20"/>
                <w:szCs w:val="20"/>
              </w:rPr>
              <w:t>$3,344</w:t>
            </w:r>
          </w:p>
        </w:tc>
      </w:tr>
      <w:tr w:rsidR="00C93CCC" w:rsidRPr="00C93CCC" w14:paraId="5EBCDD18" w14:textId="77777777" w:rsidTr="00E738AF">
        <w:tc>
          <w:tcPr>
            <w:tcW w:w="3960" w:type="dxa"/>
            <w:shd w:val="clear" w:color="auto" w:fill="auto"/>
            <w:tcMar>
              <w:top w:w="0" w:type="dxa"/>
              <w:left w:w="108" w:type="dxa"/>
              <w:bottom w:w="0" w:type="dxa"/>
              <w:right w:w="108" w:type="dxa"/>
            </w:tcMar>
          </w:tcPr>
          <w:p w14:paraId="14C10C40" w14:textId="77777777" w:rsidR="00B51378" w:rsidRPr="00C93CCC" w:rsidRDefault="00B51378" w:rsidP="00B51378">
            <w:pPr>
              <w:pStyle w:val="ColorfulList-Accent11"/>
              <w:numPr>
                <w:ilvl w:val="0"/>
                <w:numId w:val="23"/>
              </w:numPr>
              <w:rPr>
                <w:sz w:val="20"/>
                <w:szCs w:val="20"/>
              </w:rPr>
            </w:pPr>
            <w:r w:rsidRPr="00C93CCC">
              <w:rPr>
                <w:sz w:val="20"/>
                <w:szCs w:val="20"/>
              </w:rPr>
              <w:t>EHR data (Cohorts 1, 2, and 3)</w:t>
            </w:r>
          </w:p>
        </w:tc>
        <w:tc>
          <w:tcPr>
            <w:tcW w:w="1336" w:type="dxa"/>
            <w:shd w:val="clear" w:color="auto" w:fill="auto"/>
            <w:tcMar>
              <w:top w:w="0" w:type="dxa"/>
              <w:left w:w="108" w:type="dxa"/>
              <w:bottom w:w="0" w:type="dxa"/>
              <w:right w:w="108" w:type="dxa"/>
            </w:tcMar>
          </w:tcPr>
          <w:p w14:paraId="4CFFA946" w14:textId="77777777" w:rsidR="00B51378" w:rsidRPr="00C93CCC" w:rsidRDefault="00B51378" w:rsidP="00B51378">
            <w:pPr>
              <w:jc w:val="center"/>
              <w:rPr>
                <w:sz w:val="20"/>
                <w:szCs w:val="20"/>
              </w:rPr>
            </w:pPr>
            <w:r w:rsidRPr="00C93CCC">
              <w:rPr>
                <w:sz w:val="20"/>
                <w:szCs w:val="20"/>
              </w:rPr>
              <w:t>334</w:t>
            </w:r>
          </w:p>
        </w:tc>
        <w:tc>
          <w:tcPr>
            <w:tcW w:w="1094" w:type="dxa"/>
            <w:shd w:val="clear" w:color="auto" w:fill="auto"/>
            <w:tcMar>
              <w:top w:w="0" w:type="dxa"/>
              <w:left w:w="108" w:type="dxa"/>
              <w:bottom w:w="0" w:type="dxa"/>
              <w:right w:w="108" w:type="dxa"/>
            </w:tcMar>
          </w:tcPr>
          <w:p w14:paraId="070DBAD9" w14:textId="2301DFC7" w:rsidR="00B51378" w:rsidRPr="00C93CCC" w:rsidRDefault="00B51378">
            <w:pPr>
              <w:jc w:val="right"/>
              <w:rPr>
                <w:sz w:val="20"/>
                <w:szCs w:val="20"/>
              </w:rPr>
            </w:pPr>
            <w:r w:rsidRPr="00C93CCC">
              <w:rPr>
                <w:sz w:val="20"/>
                <w:szCs w:val="20"/>
              </w:rPr>
              <w:t>4,0</w:t>
            </w:r>
            <w:r w:rsidR="009F1091">
              <w:rPr>
                <w:sz w:val="20"/>
                <w:szCs w:val="20"/>
              </w:rPr>
              <w:t>08</w:t>
            </w:r>
          </w:p>
        </w:tc>
        <w:tc>
          <w:tcPr>
            <w:tcW w:w="810" w:type="dxa"/>
          </w:tcPr>
          <w:p w14:paraId="34C5D732" w14:textId="77777777" w:rsidR="00B51378" w:rsidRPr="00C93CCC" w:rsidRDefault="00E738AF" w:rsidP="00B51378">
            <w:pPr>
              <w:jc w:val="center"/>
              <w:rPr>
                <w:bCs/>
                <w:sz w:val="20"/>
                <w:szCs w:val="20"/>
              </w:rPr>
            </w:pPr>
            <w:r w:rsidRPr="00C93CCC">
              <w:rPr>
                <w:sz w:val="20"/>
                <w:szCs w:val="20"/>
              </w:rPr>
              <w:t>$27.87</w:t>
            </w:r>
            <w:r w:rsidRPr="00C93CCC">
              <w:rPr>
                <w:sz w:val="20"/>
                <w:szCs w:val="20"/>
                <w:vertAlign w:val="superscript"/>
              </w:rPr>
              <w:t>b</w:t>
            </w:r>
          </w:p>
        </w:tc>
        <w:tc>
          <w:tcPr>
            <w:tcW w:w="1440" w:type="dxa"/>
            <w:shd w:val="clear" w:color="auto" w:fill="auto"/>
            <w:tcMar>
              <w:top w:w="0" w:type="dxa"/>
              <w:left w:w="108" w:type="dxa"/>
              <w:bottom w:w="0" w:type="dxa"/>
              <w:right w:w="108" w:type="dxa"/>
            </w:tcMar>
          </w:tcPr>
          <w:p w14:paraId="24DD7421" w14:textId="19F29F8D" w:rsidR="00B51378" w:rsidRPr="00C93CCC" w:rsidRDefault="00C93CCC" w:rsidP="00B51378">
            <w:pPr>
              <w:jc w:val="right"/>
              <w:rPr>
                <w:sz w:val="20"/>
                <w:szCs w:val="20"/>
              </w:rPr>
            </w:pPr>
            <w:r>
              <w:rPr>
                <w:sz w:val="20"/>
                <w:szCs w:val="20"/>
              </w:rPr>
              <w:t>$111,</w:t>
            </w:r>
            <w:r w:rsidR="00790329">
              <w:rPr>
                <w:sz w:val="20"/>
                <w:szCs w:val="20"/>
              </w:rPr>
              <w:t>703</w:t>
            </w:r>
          </w:p>
        </w:tc>
      </w:tr>
      <w:tr w:rsidR="00626C2D" w:rsidRPr="00C93CCC" w14:paraId="2920709B" w14:textId="77777777" w:rsidTr="00E738AF">
        <w:tc>
          <w:tcPr>
            <w:tcW w:w="3960" w:type="dxa"/>
            <w:shd w:val="clear" w:color="auto" w:fill="auto"/>
            <w:tcMar>
              <w:top w:w="0" w:type="dxa"/>
              <w:left w:w="108" w:type="dxa"/>
              <w:bottom w:w="0" w:type="dxa"/>
              <w:right w:w="108" w:type="dxa"/>
            </w:tcMar>
          </w:tcPr>
          <w:p w14:paraId="30B8AF7B" w14:textId="62236289" w:rsidR="00626C2D" w:rsidRPr="00626C2D" w:rsidRDefault="00626C2D" w:rsidP="00B51378">
            <w:pPr>
              <w:pStyle w:val="ColorfulList-Accent11"/>
              <w:numPr>
                <w:ilvl w:val="0"/>
                <w:numId w:val="23"/>
              </w:numPr>
              <w:rPr>
                <w:sz w:val="20"/>
                <w:szCs w:val="20"/>
                <w:highlight w:val="yellow"/>
              </w:rPr>
            </w:pPr>
            <w:r w:rsidRPr="00626C2D">
              <w:rPr>
                <w:sz w:val="20"/>
                <w:szCs w:val="20"/>
                <w:highlight w:val="yellow"/>
              </w:rPr>
              <w:t>EHR data (Cohort 4)</w:t>
            </w:r>
          </w:p>
        </w:tc>
        <w:tc>
          <w:tcPr>
            <w:tcW w:w="1336" w:type="dxa"/>
            <w:shd w:val="clear" w:color="auto" w:fill="auto"/>
            <w:tcMar>
              <w:top w:w="0" w:type="dxa"/>
              <w:left w:w="108" w:type="dxa"/>
              <w:bottom w:w="0" w:type="dxa"/>
              <w:right w:w="108" w:type="dxa"/>
            </w:tcMar>
          </w:tcPr>
          <w:p w14:paraId="3830D215" w14:textId="02880068" w:rsidR="00626C2D" w:rsidRPr="00626C2D" w:rsidRDefault="00626C2D" w:rsidP="00B51378">
            <w:pPr>
              <w:jc w:val="center"/>
              <w:rPr>
                <w:sz w:val="20"/>
                <w:szCs w:val="20"/>
                <w:highlight w:val="yellow"/>
              </w:rPr>
            </w:pPr>
            <w:r w:rsidRPr="00626C2D">
              <w:rPr>
                <w:sz w:val="20"/>
                <w:szCs w:val="20"/>
                <w:highlight w:val="yellow"/>
              </w:rPr>
              <w:t>167</w:t>
            </w:r>
          </w:p>
        </w:tc>
        <w:tc>
          <w:tcPr>
            <w:tcW w:w="1094" w:type="dxa"/>
            <w:shd w:val="clear" w:color="auto" w:fill="auto"/>
            <w:tcMar>
              <w:top w:w="0" w:type="dxa"/>
              <w:left w:w="108" w:type="dxa"/>
              <w:bottom w:w="0" w:type="dxa"/>
              <w:right w:w="108" w:type="dxa"/>
            </w:tcMar>
          </w:tcPr>
          <w:p w14:paraId="43F845A6" w14:textId="0E59BF5E" w:rsidR="00626C2D" w:rsidRPr="00626C2D" w:rsidRDefault="00626C2D" w:rsidP="00B51378">
            <w:pPr>
              <w:jc w:val="right"/>
              <w:rPr>
                <w:sz w:val="20"/>
                <w:szCs w:val="20"/>
                <w:highlight w:val="yellow"/>
              </w:rPr>
            </w:pPr>
            <w:r w:rsidRPr="00626C2D">
              <w:rPr>
                <w:sz w:val="20"/>
                <w:szCs w:val="20"/>
                <w:highlight w:val="yellow"/>
              </w:rPr>
              <w:t>2,505</w:t>
            </w:r>
          </w:p>
        </w:tc>
        <w:tc>
          <w:tcPr>
            <w:tcW w:w="810" w:type="dxa"/>
          </w:tcPr>
          <w:p w14:paraId="2694B8DD" w14:textId="74BCCCF8" w:rsidR="00626C2D" w:rsidRPr="00626C2D" w:rsidRDefault="00626C2D" w:rsidP="00B51378">
            <w:pPr>
              <w:jc w:val="center"/>
              <w:rPr>
                <w:sz w:val="20"/>
                <w:szCs w:val="20"/>
                <w:highlight w:val="yellow"/>
              </w:rPr>
            </w:pPr>
            <w:r w:rsidRPr="00626C2D">
              <w:rPr>
                <w:sz w:val="20"/>
                <w:szCs w:val="20"/>
                <w:highlight w:val="yellow"/>
              </w:rPr>
              <w:t>$27.87</w:t>
            </w:r>
            <w:r w:rsidRPr="00626C2D">
              <w:rPr>
                <w:sz w:val="20"/>
                <w:szCs w:val="20"/>
                <w:highlight w:val="yellow"/>
                <w:vertAlign w:val="superscript"/>
              </w:rPr>
              <w:t>b</w:t>
            </w:r>
          </w:p>
        </w:tc>
        <w:tc>
          <w:tcPr>
            <w:tcW w:w="1440" w:type="dxa"/>
            <w:shd w:val="clear" w:color="auto" w:fill="auto"/>
            <w:tcMar>
              <w:top w:w="0" w:type="dxa"/>
              <w:left w:w="108" w:type="dxa"/>
              <w:bottom w:w="0" w:type="dxa"/>
              <w:right w:w="108" w:type="dxa"/>
            </w:tcMar>
          </w:tcPr>
          <w:p w14:paraId="3284BBAB" w14:textId="12F626F7" w:rsidR="00626C2D" w:rsidRPr="00626C2D" w:rsidRDefault="00626C2D" w:rsidP="00B51378">
            <w:pPr>
              <w:jc w:val="right"/>
              <w:rPr>
                <w:sz w:val="20"/>
                <w:szCs w:val="20"/>
                <w:highlight w:val="yellow"/>
              </w:rPr>
            </w:pPr>
            <w:r>
              <w:rPr>
                <w:sz w:val="20"/>
                <w:szCs w:val="20"/>
                <w:highlight w:val="yellow"/>
              </w:rPr>
              <w:t>$69,814</w:t>
            </w:r>
          </w:p>
        </w:tc>
      </w:tr>
      <w:tr w:rsidR="00C93CCC" w:rsidRPr="00C93CCC" w14:paraId="46030D56" w14:textId="77777777" w:rsidTr="00E738AF">
        <w:tc>
          <w:tcPr>
            <w:tcW w:w="3960" w:type="dxa"/>
            <w:shd w:val="clear" w:color="auto" w:fill="auto"/>
            <w:tcMar>
              <w:top w:w="0" w:type="dxa"/>
              <w:left w:w="108" w:type="dxa"/>
              <w:bottom w:w="0" w:type="dxa"/>
              <w:right w:w="108" w:type="dxa"/>
            </w:tcMar>
          </w:tcPr>
          <w:p w14:paraId="0E7ACA06" w14:textId="77777777" w:rsidR="00B51378" w:rsidRPr="000F4A54" w:rsidRDefault="00B51378" w:rsidP="00646624">
            <w:pPr>
              <w:rPr>
                <w:b/>
                <w:sz w:val="20"/>
                <w:szCs w:val="20"/>
                <w:highlight w:val="yellow"/>
              </w:rPr>
            </w:pPr>
            <w:r w:rsidRPr="000F4A54">
              <w:rPr>
                <w:b/>
                <w:sz w:val="20"/>
                <w:szCs w:val="20"/>
                <w:highlight w:val="yellow"/>
              </w:rPr>
              <w:t>Total</w:t>
            </w:r>
          </w:p>
        </w:tc>
        <w:tc>
          <w:tcPr>
            <w:tcW w:w="1336" w:type="dxa"/>
            <w:shd w:val="clear" w:color="auto" w:fill="auto"/>
            <w:tcMar>
              <w:top w:w="0" w:type="dxa"/>
              <w:left w:w="108" w:type="dxa"/>
              <w:bottom w:w="0" w:type="dxa"/>
              <w:right w:w="108" w:type="dxa"/>
            </w:tcMar>
          </w:tcPr>
          <w:p w14:paraId="17A4F5AA" w14:textId="49FF1384" w:rsidR="00B51378" w:rsidRPr="000F4A54" w:rsidRDefault="000F4A54" w:rsidP="00646624">
            <w:pPr>
              <w:jc w:val="center"/>
              <w:rPr>
                <w:b/>
                <w:sz w:val="20"/>
                <w:szCs w:val="20"/>
                <w:highlight w:val="yellow"/>
              </w:rPr>
            </w:pPr>
            <w:r w:rsidRPr="000F4A54">
              <w:rPr>
                <w:b/>
                <w:sz w:val="20"/>
                <w:szCs w:val="20"/>
                <w:highlight w:val="yellow"/>
              </w:rPr>
              <w:t>14,022</w:t>
            </w:r>
          </w:p>
        </w:tc>
        <w:tc>
          <w:tcPr>
            <w:tcW w:w="1094" w:type="dxa"/>
            <w:shd w:val="clear" w:color="auto" w:fill="auto"/>
            <w:tcMar>
              <w:top w:w="0" w:type="dxa"/>
              <w:left w:w="108" w:type="dxa"/>
              <w:bottom w:w="0" w:type="dxa"/>
              <w:right w:w="108" w:type="dxa"/>
            </w:tcMar>
          </w:tcPr>
          <w:p w14:paraId="2E71380D" w14:textId="33C20D17" w:rsidR="00B51378" w:rsidRPr="000F4A54" w:rsidRDefault="000F4A54" w:rsidP="00407D15">
            <w:pPr>
              <w:jc w:val="center"/>
              <w:rPr>
                <w:b/>
                <w:sz w:val="20"/>
                <w:szCs w:val="20"/>
                <w:highlight w:val="yellow"/>
              </w:rPr>
            </w:pPr>
            <w:r w:rsidRPr="000F4A54">
              <w:rPr>
                <w:b/>
                <w:sz w:val="20"/>
                <w:szCs w:val="20"/>
                <w:highlight w:val="yellow"/>
              </w:rPr>
              <w:t>27,</w:t>
            </w:r>
            <w:r w:rsidR="00407D15">
              <w:rPr>
                <w:b/>
                <w:sz w:val="20"/>
                <w:szCs w:val="20"/>
                <w:highlight w:val="yellow"/>
              </w:rPr>
              <w:t>064</w:t>
            </w:r>
          </w:p>
        </w:tc>
        <w:tc>
          <w:tcPr>
            <w:tcW w:w="810" w:type="dxa"/>
          </w:tcPr>
          <w:p w14:paraId="48801487" w14:textId="77777777" w:rsidR="00B51378" w:rsidRPr="000F4A54" w:rsidRDefault="00B51378" w:rsidP="00646624">
            <w:pPr>
              <w:jc w:val="center"/>
              <w:rPr>
                <w:b/>
                <w:bCs/>
                <w:sz w:val="20"/>
                <w:szCs w:val="20"/>
                <w:highlight w:val="yellow"/>
              </w:rPr>
            </w:pPr>
          </w:p>
        </w:tc>
        <w:tc>
          <w:tcPr>
            <w:tcW w:w="1440" w:type="dxa"/>
            <w:shd w:val="clear" w:color="auto" w:fill="auto"/>
            <w:tcMar>
              <w:top w:w="0" w:type="dxa"/>
              <w:left w:w="108" w:type="dxa"/>
              <w:bottom w:w="0" w:type="dxa"/>
              <w:right w:w="108" w:type="dxa"/>
            </w:tcMar>
          </w:tcPr>
          <w:p w14:paraId="74A055A8" w14:textId="65278943" w:rsidR="00B51378" w:rsidRPr="000F4A54" w:rsidRDefault="00C93CCC" w:rsidP="00407D15">
            <w:pPr>
              <w:jc w:val="right"/>
              <w:rPr>
                <w:b/>
                <w:sz w:val="20"/>
                <w:szCs w:val="20"/>
                <w:highlight w:val="yellow"/>
              </w:rPr>
            </w:pPr>
            <w:r w:rsidRPr="000F4A54">
              <w:rPr>
                <w:b/>
                <w:sz w:val="20"/>
                <w:szCs w:val="20"/>
                <w:highlight w:val="yellow"/>
              </w:rPr>
              <w:t>$1,</w:t>
            </w:r>
            <w:r w:rsidR="00626C2D" w:rsidRPr="000F4A54">
              <w:rPr>
                <w:b/>
                <w:sz w:val="20"/>
                <w:szCs w:val="20"/>
                <w:highlight w:val="yellow"/>
              </w:rPr>
              <w:t>3</w:t>
            </w:r>
            <w:r w:rsidR="00407D15">
              <w:rPr>
                <w:b/>
                <w:sz w:val="20"/>
                <w:szCs w:val="20"/>
                <w:highlight w:val="yellow"/>
              </w:rPr>
              <w:t>11,096</w:t>
            </w:r>
          </w:p>
        </w:tc>
      </w:tr>
    </w:tbl>
    <w:p w14:paraId="7E236718" w14:textId="77777777" w:rsidR="00B51378" w:rsidRPr="0006429A" w:rsidRDefault="00B51378" w:rsidP="00B51378">
      <w:pPr>
        <w:rPr>
          <w:sz w:val="20"/>
          <w:szCs w:val="20"/>
        </w:rPr>
      </w:pPr>
      <w:r>
        <w:rPr>
          <w:sz w:val="20"/>
          <w:szCs w:val="20"/>
        </w:rPr>
        <w:t>*</w:t>
      </w:r>
      <w:r w:rsidRPr="0006429A">
        <w:rPr>
          <w:sz w:val="20"/>
          <w:szCs w:val="20"/>
        </w:rPr>
        <w:t>National Compensation Survey: Occupational wages in the United States May 201</w:t>
      </w:r>
      <w:r>
        <w:rPr>
          <w:sz w:val="20"/>
          <w:szCs w:val="20"/>
        </w:rPr>
        <w:t>6</w:t>
      </w:r>
      <w:r w:rsidRPr="0006429A">
        <w:rPr>
          <w:sz w:val="20"/>
          <w:szCs w:val="20"/>
        </w:rPr>
        <w:t xml:space="preserve"> “U.S. Department of Labor, Bureau of Labor Statistics:” </w:t>
      </w:r>
      <w:hyperlink r:id="rId15" w:history="1">
        <w:r w:rsidRPr="0006429A">
          <w:rPr>
            <w:rStyle w:val="Hyperlink"/>
            <w:sz w:val="20"/>
            <w:szCs w:val="20"/>
          </w:rPr>
          <w:t>http://www.bls.gov/oes/current/oes_stru.htm</w:t>
        </w:r>
      </w:hyperlink>
    </w:p>
    <w:p w14:paraId="2F36EF2B" w14:textId="77777777" w:rsidR="00B51378" w:rsidRPr="0006429A" w:rsidRDefault="00B51378" w:rsidP="00B51378">
      <w:pPr>
        <w:rPr>
          <w:i/>
          <w:sz w:val="20"/>
          <w:szCs w:val="20"/>
        </w:rPr>
      </w:pPr>
      <w:r w:rsidRPr="0006429A">
        <w:rPr>
          <w:sz w:val="20"/>
          <w:szCs w:val="20"/>
          <w:vertAlign w:val="superscript"/>
        </w:rPr>
        <w:t>a</w:t>
      </w:r>
      <w:r w:rsidRPr="0006429A">
        <w:rPr>
          <w:b/>
          <w:sz w:val="20"/>
          <w:szCs w:val="20"/>
        </w:rPr>
        <w:t xml:space="preserve"> </w:t>
      </w:r>
      <w:r w:rsidRPr="0006429A">
        <w:rPr>
          <w:sz w:val="20"/>
          <w:szCs w:val="20"/>
        </w:rPr>
        <w:t xml:space="preserve">Based on the mean wages for </w:t>
      </w:r>
      <w:r w:rsidRPr="0006429A">
        <w:rPr>
          <w:i/>
          <w:sz w:val="20"/>
          <w:szCs w:val="20"/>
        </w:rPr>
        <w:t>29-1069 Physicians and Surgeons, All Other</w:t>
      </w:r>
    </w:p>
    <w:p w14:paraId="69820A61" w14:textId="77777777" w:rsidR="00B51378" w:rsidRPr="0006429A" w:rsidRDefault="00B51378" w:rsidP="00B51378">
      <w:pPr>
        <w:rPr>
          <w:sz w:val="20"/>
          <w:szCs w:val="20"/>
        </w:rPr>
      </w:pPr>
      <w:r>
        <w:rPr>
          <w:sz w:val="20"/>
          <w:szCs w:val="20"/>
          <w:vertAlign w:val="superscript"/>
        </w:rPr>
        <w:t>b</w:t>
      </w:r>
      <w:r w:rsidRPr="0006429A">
        <w:rPr>
          <w:sz w:val="20"/>
          <w:szCs w:val="20"/>
        </w:rPr>
        <w:t xml:space="preserve"> Based on the mean wages for </w:t>
      </w:r>
      <w:r w:rsidRPr="0006429A">
        <w:rPr>
          <w:i/>
          <w:sz w:val="20"/>
          <w:szCs w:val="20"/>
        </w:rPr>
        <w:t>29-9099 Miscellaneous Health Practitioners and Technical Workers: Healthcare Practitioners and Technical Workers, All Other</w:t>
      </w:r>
    </w:p>
    <w:p w14:paraId="3CD50933" w14:textId="77777777" w:rsidR="009B633D" w:rsidRPr="00412C6F" w:rsidRDefault="009B633D" w:rsidP="009B633D">
      <w:pPr>
        <w:pStyle w:val="Heading2"/>
        <w:rPr>
          <w:sz w:val="24"/>
        </w:rPr>
      </w:pPr>
      <w:bookmarkStart w:id="46" w:name="_Toc151782188"/>
      <w:bookmarkStart w:id="47" w:name="_Toc158526228"/>
      <w:bookmarkStart w:id="48" w:name="_Toc480808861"/>
      <w:r w:rsidRPr="00412C6F">
        <w:rPr>
          <w:sz w:val="24"/>
        </w:rPr>
        <w:t>13. Estimates of Annualized Respondent Capital and Maintenance Costs</w:t>
      </w:r>
      <w:bookmarkEnd w:id="46"/>
      <w:bookmarkEnd w:id="47"/>
      <w:bookmarkEnd w:id="48"/>
    </w:p>
    <w:p w14:paraId="53CEBAD3" w14:textId="77777777" w:rsidR="00E14FC3" w:rsidRDefault="00B762E0" w:rsidP="00C205C8">
      <w:pPr>
        <w:spacing w:before="120"/>
      </w:pPr>
      <w:r w:rsidRPr="006C45D0">
        <w:t xml:space="preserve">Capital and maintenance costs include the purchase of </w:t>
      </w:r>
      <w:r w:rsidR="00C205C8" w:rsidRPr="006C45D0">
        <w:t xml:space="preserve">equipment, </w:t>
      </w:r>
      <w:r w:rsidRPr="006C45D0">
        <w:t>computer</w:t>
      </w:r>
      <w:r w:rsidR="00C205C8" w:rsidRPr="006C45D0">
        <w:t>s or computer software or services, or storage facilities for records, as a result of complying with this data collection.</w:t>
      </w:r>
      <w:r w:rsidR="00C205C8" w:rsidRPr="00A65884">
        <w:rPr>
          <w:i/>
        </w:rPr>
        <w:t xml:space="preserve"> </w:t>
      </w:r>
      <w:r w:rsidR="00C205C8">
        <w:t>T</w:t>
      </w:r>
      <w:r w:rsidR="0080612B">
        <w:t xml:space="preserve">here are no direct costs to respondents other than their time to participate in the </w:t>
      </w:r>
      <w:r w:rsidR="003B6873">
        <w:t>project</w:t>
      </w:r>
      <w:r w:rsidR="0080612B">
        <w:t>.</w:t>
      </w:r>
    </w:p>
    <w:p w14:paraId="3CE20D90" w14:textId="77777777" w:rsidR="009B633D" w:rsidRPr="00412C6F" w:rsidRDefault="009B633D" w:rsidP="009B633D">
      <w:pPr>
        <w:pStyle w:val="Heading2"/>
        <w:rPr>
          <w:sz w:val="24"/>
        </w:rPr>
      </w:pPr>
      <w:bookmarkStart w:id="49" w:name="_Toc58725299"/>
      <w:bookmarkStart w:id="50" w:name="_Toc151782189"/>
      <w:bookmarkStart w:id="51" w:name="_Toc158526229"/>
      <w:bookmarkStart w:id="52" w:name="_Toc480808862"/>
      <w:r w:rsidRPr="00412C6F">
        <w:rPr>
          <w:sz w:val="24"/>
        </w:rPr>
        <w:t xml:space="preserve">14. Estimates of </w:t>
      </w:r>
      <w:r w:rsidR="00DA79B5">
        <w:rPr>
          <w:sz w:val="24"/>
        </w:rPr>
        <w:t xml:space="preserve">Total and </w:t>
      </w:r>
      <w:r w:rsidRPr="00412C6F">
        <w:rPr>
          <w:sz w:val="24"/>
        </w:rPr>
        <w:t>Annualized Cost to the Government</w:t>
      </w:r>
      <w:bookmarkEnd w:id="49"/>
      <w:bookmarkEnd w:id="50"/>
      <w:bookmarkEnd w:id="51"/>
      <w:bookmarkEnd w:id="52"/>
    </w:p>
    <w:p w14:paraId="472F3025" w14:textId="7F269ED7" w:rsidR="00D57118" w:rsidRDefault="00D57118" w:rsidP="00D57118">
      <w:bookmarkStart w:id="53" w:name="_Toc151782190"/>
      <w:bookmarkStart w:id="54" w:name="_Toc158526230"/>
      <w:r>
        <w:t xml:space="preserve">Exhibit </w:t>
      </w:r>
      <w:r w:rsidR="00633677">
        <w:t>A.</w:t>
      </w:r>
      <w:r>
        <w:t>3</w:t>
      </w:r>
      <w:r w:rsidR="00633677">
        <w:t>a</w:t>
      </w:r>
      <w:r>
        <w:t xml:space="preserve"> and Exhibit </w:t>
      </w:r>
      <w:r w:rsidR="00633677">
        <w:t>A.</w:t>
      </w:r>
      <w:r>
        <w:t xml:space="preserve">3b show the estimated annualized cost to the government for the contractors and government personnel. The cost is estimated to </w:t>
      </w:r>
      <w:r w:rsidRPr="00F77E14">
        <w:t xml:space="preserve">be </w:t>
      </w:r>
      <w:r w:rsidR="00C854A0" w:rsidRPr="00C854A0">
        <w:t>$1,887,609</w:t>
      </w:r>
      <w:r>
        <w:t>annually.</w:t>
      </w:r>
    </w:p>
    <w:p w14:paraId="7856C551" w14:textId="77777777" w:rsidR="00D65943" w:rsidRDefault="00D65943" w:rsidP="00012FB9">
      <w:pPr>
        <w:rPr>
          <w:b/>
          <w:bCs/>
          <w:color w:val="000000"/>
        </w:rPr>
      </w:pPr>
    </w:p>
    <w:p w14:paraId="33DCB860" w14:textId="77777777" w:rsidR="00980528" w:rsidRPr="00B07FB4" w:rsidRDefault="00980528" w:rsidP="00980528">
      <w:r w:rsidRPr="00B07FB4">
        <w:t>The costs associated with the data collection activities for the project include the contractor project development costs and project management costs, as well as the costs to design the data collection protocols, develop and host an online data collection platform, develop and program the online instruments, provide technical assistance and support to facilities for submission of data, data processing, and data analysis.  </w:t>
      </w:r>
    </w:p>
    <w:p w14:paraId="359A0FC5" w14:textId="77777777" w:rsidR="00980528" w:rsidRDefault="00980528" w:rsidP="00980528">
      <w:pPr>
        <w:rPr>
          <w:color w:val="1F497D"/>
        </w:rPr>
      </w:pPr>
    </w:p>
    <w:p w14:paraId="77867808" w14:textId="77777777" w:rsidR="00D32DD4" w:rsidRDefault="00D32DD4" w:rsidP="00980528">
      <w:pPr>
        <w:rPr>
          <w:b/>
          <w:bCs/>
          <w:color w:val="000000"/>
        </w:rPr>
      </w:pPr>
    </w:p>
    <w:p w14:paraId="3FB5F8C5" w14:textId="77777777" w:rsidR="00D32DD4" w:rsidRDefault="00D32DD4" w:rsidP="00980528">
      <w:pPr>
        <w:rPr>
          <w:b/>
          <w:bCs/>
          <w:color w:val="000000"/>
        </w:rPr>
      </w:pPr>
    </w:p>
    <w:p w14:paraId="53D2FAA7" w14:textId="77777777" w:rsidR="00D32DD4" w:rsidRDefault="00D32DD4" w:rsidP="00980528">
      <w:pPr>
        <w:rPr>
          <w:b/>
          <w:bCs/>
          <w:color w:val="000000"/>
        </w:rPr>
      </w:pPr>
    </w:p>
    <w:p w14:paraId="725BCAAF" w14:textId="498D7BCB" w:rsidR="00980528" w:rsidRDefault="00980528" w:rsidP="00980528">
      <w:pPr>
        <w:rPr>
          <w:sz w:val="22"/>
          <w:szCs w:val="22"/>
        </w:rPr>
      </w:pPr>
      <w:r>
        <w:rPr>
          <w:b/>
          <w:bCs/>
          <w:color w:val="000000"/>
        </w:rPr>
        <w:t>Exhibit A.3.a Estimated Total and Annualized Cost</w:t>
      </w:r>
    </w:p>
    <w:tbl>
      <w:tblPr>
        <w:tblW w:w="0" w:type="auto"/>
        <w:tblInd w:w="108" w:type="dxa"/>
        <w:tblCellMar>
          <w:left w:w="0" w:type="dxa"/>
          <w:right w:w="0" w:type="dxa"/>
        </w:tblCellMar>
        <w:tblLook w:val="04A0" w:firstRow="1" w:lastRow="0" w:firstColumn="1" w:lastColumn="0" w:noHBand="0" w:noVBand="1"/>
      </w:tblPr>
      <w:tblGrid>
        <w:gridCol w:w="3600"/>
        <w:gridCol w:w="1440"/>
        <w:gridCol w:w="1980"/>
      </w:tblGrid>
      <w:tr w:rsidR="00980528" w14:paraId="7382B07C" w14:textId="77777777" w:rsidTr="006D7C70">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7B9EC6" w14:textId="77777777" w:rsidR="00980528" w:rsidRDefault="00980528" w:rsidP="006D7C70">
            <w:r>
              <w:rPr>
                <w:b/>
                <w:bCs/>
                <w:color w:val="000000"/>
                <w:sz w:val="20"/>
                <w:szCs w:val="2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86EDDF" w14:textId="77777777" w:rsidR="00980528" w:rsidRDefault="00980528" w:rsidP="006D7C70">
            <w:pPr>
              <w:jc w:val="center"/>
            </w:pPr>
            <w:r>
              <w:rPr>
                <w:b/>
                <w:bCs/>
                <w:sz w:val="20"/>
                <w:szCs w:val="20"/>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0329E" w14:textId="77777777" w:rsidR="00980528" w:rsidRDefault="00980528" w:rsidP="006D7C70">
            <w:pPr>
              <w:jc w:val="center"/>
            </w:pPr>
            <w:r>
              <w:rPr>
                <w:b/>
                <w:bCs/>
                <w:sz w:val="20"/>
                <w:szCs w:val="20"/>
              </w:rPr>
              <w:t>Annualized Cost</w:t>
            </w:r>
          </w:p>
        </w:tc>
      </w:tr>
      <w:tr w:rsidR="00980528" w14:paraId="3F3102AE" w14:textId="77777777" w:rsidTr="006D7C70">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9841F" w14:textId="77777777" w:rsidR="00980528" w:rsidRDefault="00980528" w:rsidP="006D7C70">
            <w:r>
              <w:rPr>
                <w:sz w:val="20"/>
                <w:szCs w:val="20"/>
              </w:rP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E9BDD" w14:textId="77777777" w:rsidR="00980528" w:rsidRDefault="00980528" w:rsidP="006D7C70">
            <w:pPr>
              <w:jc w:val="center"/>
            </w:pPr>
            <w:r>
              <w:rPr>
                <w:sz w:val="20"/>
                <w:szCs w:val="20"/>
              </w:rPr>
              <w:t>$1,335,385</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E37D8" w14:textId="77777777" w:rsidR="00980528" w:rsidRDefault="00980528" w:rsidP="006D7C70">
            <w:pPr>
              <w:jc w:val="center"/>
            </w:pPr>
            <w:r>
              <w:rPr>
                <w:sz w:val="20"/>
                <w:szCs w:val="20"/>
              </w:rPr>
              <w:t>$445,128</w:t>
            </w:r>
          </w:p>
        </w:tc>
      </w:tr>
      <w:tr w:rsidR="00980528" w14:paraId="6D32F926" w14:textId="77777777" w:rsidTr="006D7C70">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0A34E" w14:textId="77777777" w:rsidR="00980528" w:rsidRDefault="00980528" w:rsidP="006D7C70">
            <w:r>
              <w:rPr>
                <w:sz w:val="20"/>
                <w:szCs w:val="20"/>
              </w:rPr>
              <w:t>Data Collection,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5CCDE" w14:textId="77777777" w:rsidR="00980528" w:rsidRDefault="00980528" w:rsidP="006D7C70">
            <w:pPr>
              <w:jc w:val="center"/>
            </w:pPr>
            <w:r>
              <w:rPr>
                <w:sz w:val="20"/>
                <w:szCs w:val="20"/>
              </w:rPr>
              <w:t>$2,683,392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118D9" w14:textId="77777777" w:rsidR="00980528" w:rsidRDefault="00980528" w:rsidP="006D7C70">
            <w:pPr>
              <w:jc w:val="center"/>
            </w:pPr>
            <w:r>
              <w:rPr>
                <w:sz w:val="20"/>
                <w:szCs w:val="20"/>
              </w:rPr>
              <w:t>$894,464</w:t>
            </w:r>
          </w:p>
        </w:tc>
      </w:tr>
      <w:tr w:rsidR="00980528" w14:paraId="6D1D8DBC" w14:textId="77777777" w:rsidTr="006D7C70">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D091C" w14:textId="77777777" w:rsidR="00980528" w:rsidRDefault="00980528" w:rsidP="006D7C70">
            <w:r>
              <w:rPr>
                <w:sz w:val="20"/>
                <w:szCs w:val="20"/>
              </w:rP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35D00" w14:textId="77777777" w:rsidR="00980528" w:rsidRDefault="00980528" w:rsidP="006D7C70">
            <w:pPr>
              <w:jc w:val="center"/>
            </w:pPr>
            <w:r>
              <w:rPr>
                <w:sz w:val="20"/>
                <w:szCs w:val="20"/>
              </w:rPr>
              <w:t>$475,530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39D13" w14:textId="77777777" w:rsidR="00980528" w:rsidRDefault="00980528" w:rsidP="006D7C70">
            <w:pPr>
              <w:jc w:val="center"/>
            </w:pPr>
            <w:r>
              <w:rPr>
                <w:sz w:val="20"/>
                <w:szCs w:val="20"/>
              </w:rPr>
              <w:t>$158,510</w:t>
            </w:r>
          </w:p>
        </w:tc>
      </w:tr>
      <w:tr w:rsidR="00980528" w14:paraId="6D1F7A40" w14:textId="77777777" w:rsidTr="006D7C70">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3491B" w14:textId="77777777" w:rsidR="00980528" w:rsidRDefault="00980528" w:rsidP="006D7C70">
            <w:r>
              <w:rPr>
                <w:sz w:val="20"/>
                <w:szCs w:val="20"/>
              </w:rPr>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84230" w14:textId="77777777" w:rsidR="00980528" w:rsidRDefault="00980528" w:rsidP="006D7C70">
            <w:pPr>
              <w:jc w:val="center"/>
            </w:pPr>
            <w:r>
              <w:rPr>
                <w:sz w:val="20"/>
                <w:szCs w:val="20"/>
              </w:rPr>
              <w:t>$1,168,520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FF9CF" w14:textId="77777777" w:rsidR="00980528" w:rsidRDefault="00980528" w:rsidP="006D7C70">
            <w:pPr>
              <w:jc w:val="center"/>
            </w:pPr>
            <w:r>
              <w:rPr>
                <w:sz w:val="20"/>
                <w:szCs w:val="20"/>
              </w:rPr>
              <w:t>$389,507</w:t>
            </w:r>
          </w:p>
        </w:tc>
      </w:tr>
      <w:tr w:rsidR="00980528" w14:paraId="6DFA9903" w14:textId="77777777" w:rsidTr="006D7C70">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1D36C" w14:textId="77777777" w:rsidR="00980528" w:rsidRDefault="00980528" w:rsidP="006D7C70">
            <w:r>
              <w:rPr>
                <w:b/>
                <w:bCs/>
                <w:color w:val="000000"/>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8BEE9" w14:textId="77777777" w:rsidR="00980528" w:rsidRPr="00980528" w:rsidRDefault="00980528" w:rsidP="006D7C70">
            <w:pPr>
              <w:jc w:val="center"/>
              <w:rPr>
                <w:b/>
              </w:rPr>
            </w:pPr>
            <w:r w:rsidRPr="00980528">
              <w:rPr>
                <w:b/>
                <w:sz w:val="20"/>
                <w:szCs w:val="20"/>
              </w:rPr>
              <w:t>$5,662,827</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0C10B" w14:textId="77777777" w:rsidR="00980528" w:rsidRPr="00980528" w:rsidRDefault="00980528" w:rsidP="006D7C70">
            <w:pPr>
              <w:jc w:val="center"/>
              <w:rPr>
                <w:b/>
              </w:rPr>
            </w:pPr>
            <w:r w:rsidRPr="00980528">
              <w:rPr>
                <w:b/>
                <w:sz w:val="20"/>
                <w:szCs w:val="20"/>
              </w:rPr>
              <w:t>$1,887,609</w:t>
            </w:r>
          </w:p>
        </w:tc>
      </w:tr>
    </w:tbl>
    <w:p w14:paraId="41CCF603" w14:textId="77777777" w:rsidR="00980528" w:rsidRDefault="00980528" w:rsidP="00D20C47">
      <w:pPr>
        <w:ind w:firstLine="90"/>
        <w:rPr>
          <w:b/>
        </w:rPr>
      </w:pPr>
    </w:p>
    <w:p w14:paraId="6F06968C" w14:textId="77777777" w:rsidR="00D20C47" w:rsidRPr="00DA79B5" w:rsidRDefault="00D20C47" w:rsidP="00D20C47">
      <w:pPr>
        <w:ind w:firstLine="90"/>
        <w:rPr>
          <w:b/>
        </w:rPr>
      </w:pPr>
      <w:r w:rsidRPr="00DA79B5">
        <w:rPr>
          <w:b/>
        </w:rPr>
        <w:t xml:space="preserve">Exhibit </w:t>
      </w:r>
      <w:r w:rsidR="00633677">
        <w:rPr>
          <w:b/>
        </w:rPr>
        <w:t>A.3.b</w:t>
      </w:r>
      <w:r w:rsidRPr="00DA79B5">
        <w:rPr>
          <w:b/>
        </w:rPr>
        <w:t xml:space="preserve">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2781"/>
        <w:gridCol w:w="2250"/>
        <w:gridCol w:w="1440"/>
        <w:gridCol w:w="1132"/>
        <w:gridCol w:w="1123"/>
      </w:tblGrid>
      <w:tr w:rsidR="00D20C47" w:rsidRPr="00ED1100" w14:paraId="1CC9584F" w14:textId="77777777" w:rsidTr="00980528">
        <w:trPr>
          <w:cantSplit/>
          <w:trHeight w:val="403"/>
          <w:jc w:val="center"/>
        </w:trPr>
        <w:tc>
          <w:tcPr>
            <w:tcW w:w="2781" w:type="dxa"/>
            <w:tcBorders>
              <w:top w:val="single" w:sz="6" w:space="0" w:color="auto"/>
              <w:left w:val="single" w:sz="6" w:space="0" w:color="auto"/>
              <w:bottom w:val="nil"/>
              <w:right w:val="nil"/>
            </w:tcBorders>
            <w:vAlign w:val="bottom"/>
          </w:tcPr>
          <w:p w14:paraId="6ACA614F" w14:textId="77777777" w:rsidR="00D20C47" w:rsidRPr="00ED1100" w:rsidRDefault="00D20C47" w:rsidP="00A74E0A">
            <w:pPr>
              <w:jc w:val="center"/>
              <w:rPr>
                <w:b/>
                <w:bCs/>
                <w:sz w:val="20"/>
                <w:szCs w:val="20"/>
              </w:rPr>
            </w:pPr>
            <w:r w:rsidRPr="00ED1100">
              <w:rPr>
                <w:b/>
                <w:bCs/>
                <w:sz w:val="20"/>
                <w:szCs w:val="20"/>
              </w:rPr>
              <w:t>Activity</w:t>
            </w:r>
          </w:p>
        </w:tc>
        <w:tc>
          <w:tcPr>
            <w:tcW w:w="2250" w:type="dxa"/>
            <w:tcBorders>
              <w:top w:val="single" w:sz="6" w:space="0" w:color="auto"/>
              <w:left w:val="single" w:sz="6" w:space="0" w:color="auto"/>
              <w:bottom w:val="single" w:sz="6" w:space="0" w:color="auto"/>
              <w:right w:val="nil"/>
            </w:tcBorders>
            <w:vAlign w:val="bottom"/>
          </w:tcPr>
          <w:p w14:paraId="7103F5A1" w14:textId="77777777" w:rsidR="00D20C47" w:rsidRPr="00ED1100" w:rsidRDefault="00D20C47" w:rsidP="00A74E0A">
            <w:pPr>
              <w:jc w:val="center"/>
              <w:rPr>
                <w:b/>
                <w:bCs/>
                <w:sz w:val="20"/>
                <w:szCs w:val="20"/>
              </w:rPr>
            </w:pPr>
            <w:r w:rsidRPr="00ED1100">
              <w:rPr>
                <w:b/>
                <w:bCs/>
                <w:sz w:val="20"/>
                <w:szCs w:val="20"/>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14:paraId="3FF30AEA" w14:textId="77777777" w:rsidR="00D20C47" w:rsidRPr="00ED1100" w:rsidRDefault="00197272" w:rsidP="00A74E0A">
            <w:pPr>
              <w:jc w:val="center"/>
              <w:rPr>
                <w:b/>
                <w:bCs/>
                <w:sz w:val="20"/>
                <w:szCs w:val="20"/>
              </w:rPr>
            </w:pPr>
            <w:r>
              <w:rPr>
                <w:b/>
                <w:bCs/>
                <w:sz w:val="20"/>
                <w:szCs w:val="20"/>
              </w:rPr>
              <w:t>Annual Salary</w:t>
            </w:r>
          </w:p>
        </w:tc>
        <w:tc>
          <w:tcPr>
            <w:tcW w:w="1132" w:type="dxa"/>
            <w:tcBorders>
              <w:top w:val="single" w:sz="6" w:space="0" w:color="auto"/>
              <w:left w:val="single" w:sz="6" w:space="0" w:color="auto"/>
              <w:bottom w:val="single" w:sz="6" w:space="0" w:color="auto"/>
              <w:right w:val="nil"/>
            </w:tcBorders>
            <w:vAlign w:val="bottom"/>
          </w:tcPr>
          <w:p w14:paraId="69F67C5C" w14:textId="77777777" w:rsidR="00D20C47" w:rsidRPr="00ED1100" w:rsidRDefault="00197272" w:rsidP="00A74E0A">
            <w:pPr>
              <w:jc w:val="center"/>
              <w:rPr>
                <w:b/>
                <w:bCs/>
                <w:sz w:val="20"/>
                <w:szCs w:val="20"/>
              </w:rPr>
            </w:pPr>
            <w:r>
              <w:rPr>
                <w:b/>
                <w:bCs/>
                <w:sz w:val="20"/>
                <w:szCs w:val="20"/>
              </w:rPr>
              <w:t>% of time</w:t>
            </w:r>
          </w:p>
        </w:tc>
        <w:tc>
          <w:tcPr>
            <w:tcW w:w="1123" w:type="dxa"/>
            <w:tcBorders>
              <w:top w:val="single" w:sz="6" w:space="0" w:color="auto"/>
              <w:left w:val="single" w:sz="6" w:space="0" w:color="auto"/>
              <w:bottom w:val="single" w:sz="6" w:space="0" w:color="auto"/>
              <w:right w:val="single" w:sz="6" w:space="0" w:color="auto"/>
            </w:tcBorders>
            <w:vAlign w:val="bottom"/>
          </w:tcPr>
          <w:p w14:paraId="300DCEF5" w14:textId="77777777" w:rsidR="00D20C47" w:rsidRPr="00ED1100" w:rsidRDefault="00D20C47" w:rsidP="00A74E0A">
            <w:pPr>
              <w:jc w:val="center"/>
              <w:rPr>
                <w:b/>
                <w:bCs/>
                <w:sz w:val="20"/>
                <w:szCs w:val="20"/>
              </w:rPr>
            </w:pPr>
            <w:r w:rsidRPr="00ED1100">
              <w:rPr>
                <w:b/>
                <w:bCs/>
                <w:sz w:val="20"/>
                <w:szCs w:val="20"/>
              </w:rPr>
              <w:t>Cost</w:t>
            </w:r>
          </w:p>
        </w:tc>
      </w:tr>
      <w:tr w:rsidR="00D20C47" w:rsidRPr="00ED1100" w14:paraId="6E4ABDDF" w14:textId="77777777" w:rsidTr="00980528">
        <w:trPr>
          <w:cantSplit/>
          <w:trHeight w:val="403"/>
          <w:jc w:val="center"/>
        </w:trPr>
        <w:tc>
          <w:tcPr>
            <w:tcW w:w="2781" w:type="dxa"/>
            <w:tcBorders>
              <w:top w:val="single" w:sz="6" w:space="0" w:color="auto"/>
              <w:left w:val="single" w:sz="6" w:space="0" w:color="auto"/>
              <w:bottom w:val="nil"/>
              <w:right w:val="nil"/>
            </w:tcBorders>
            <w:vAlign w:val="bottom"/>
          </w:tcPr>
          <w:p w14:paraId="734D973A" w14:textId="77777777" w:rsidR="00D20C47" w:rsidRPr="00ED1100" w:rsidRDefault="00197272" w:rsidP="00A74E0A">
            <w:pPr>
              <w:rPr>
                <w:sz w:val="20"/>
                <w:szCs w:val="20"/>
              </w:rPr>
            </w:pPr>
            <w:r>
              <w:rPr>
                <w:sz w:val="20"/>
                <w:szCs w:val="20"/>
              </w:rPr>
              <w:t>Management Support:  GS-15, Step 5 average</w:t>
            </w:r>
          </w:p>
        </w:tc>
        <w:tc>
          <w:tcPr>
            <w:tcW w:w="2250" w:type="dxa"/>
            <w:tcBorders>
              <w:top w:val="single" w:sz="6" w:space="0" w:color="auto"/>
              <w:left w:val="single" w:sz="6" w:space="0" w:color="auto"/>
              <w:bottom w:val="single" w:sz="6" w:space="0" w:color="auto"/>
              <w:right w:val="nil"/>
            </w:tcBorders>
          </w:tcPr>
          <w:p w14:paraId="02AF85AF" w14:textId="77777777" w:rsidR="00D20C47" w:rsidRPr="00ED1100" w:rsidRDefault="00197272" w:rsidP="00A74E0A">
            <w:pPr>
              <w:jc w:val="center"/>
              <w:rPr>
                <w:sz w:val="20"/>
                <w:szCs w:val="20"/>
              </w:rPr>
            </w:pPr>
            <w:r>
              <w:rPr>
                <w:sz w:val="20"/>
                <w:szCs w:val="20"/>
              </w:rPr>
              <w:t>2</w:t>
            </w:r>
          </w:p>
        </w:tc>
        <w:tc>
          <w:tcPr>
            <w:tcW w:w="1440" w:type="dxa"/>
            <w:tcBorders>
              <w:top w:val="single" w:sz="6" w:space="0" w:color="auto"/>
              <w:left w:val="single" w:sz="6" w:space="0" w:color="auto"/>
              <w:bottom w:val="single" w:sz="6" w:space="0" w:color="auto"/>
              <w:right w:val="single" w:sz="6" w:space="0" w:color="auto"/>
            </w:tcBorders>
            <w:vAlign w:val="bottom"/>
          </w:tcPr>
          <w:p w14:paraId="22A8368F" w14:textId="77777777" w:rsidR="00D20C47" w:rsidRPr="00ED1100" w:rsidRDefault="00D20C47" w:rsidP="00AE1382">
            <w:pPr>
              <w:jc w:val="center"/>
              <w:rPr>
                <w:sz w:val="20"/>
                <w:szCs w:val="20"/>
              </w:rPr>
            </w:pPr>
            <w:r w:rsidRPr="00ED1100">
              <w:rPr>
                <w:sz w:val="20"/>
                <w:szCs w:val="20"/>
              </w:rPr>
              <w:t xml:space="preserve"> </w:t>
            </w:r>
            <w:r w:rsidR="00AE1382">
              <w:rPr>
                <w:sz w:val="20"/>
                <w:szCs w:val="20"/>
              </w:rPr>
              <w:t>149,337</w:t>
            </w:r>
          </w:p>
        </w:tc>
        <w:tc>
          <w:tcPr>
            <w:tcW w:w="1132" w:type="dxa"/>
            <w:tcBorders>
              <w:top w:val="single" w:sz="6" w:space="0" w:color="auto"/>
              <w:left w:val="single" w:sz="6" w:space="0" w:color="auto"/>
              <w:bottom w:val="single" w:sz="6" w:space="0" w:color="auto"/>
              <w:right w:val="nil"/>
            </w:tcBorders>
            <w:vAlign w:val="bottom"/>
          </w:tcPr>
          <w:p w14:paraId="2A41D755" w14:textId="77777777" w:rsidR="00D20C47" w:rsidRPr="00ED1100" w:rsidRDefault="00197272" w:rsidP="00A74E0A">
            <w:pPr>
              <w:jc w:val="center"/>
              <w:rPr>
                <w:sz w:val="20"/>
                <w:szCs w:val="20"/>
              </w:rPr>
            </w:pPr>
            <w:r>
              <w:rPr>
                <w:sz w:val="20"/>
                <w:szCs w:val="20"/>
              </w:rPr>
              <w:t>25%</w:t>
            </w:r>
          </w:p>
        </w:tc>
        <w:tc>
          <w:tcPr>
            <w:tcW w:w="1123" w:type="dxa"/>
            <w:tcBorders>
              <w:top w:val="single" w:sz="6" w:space="0" w:color="auto"/>
              <w:left w:val="single" w:sz="6" w:space="0" w:color="auto"/>
              <w:bottom w:val="single" w:sz="6" w:space="0" w:color="auto"/>
              <w:right w:val="single" w:sz="6" w:space="0" w:color="auto"/>
            </w:tcBorders>
            <w:vAlign w:val="bottom"/>
          </w:tcPr>
          <w:p w14:paraId="3AEE9805" w14:textId="77777777" w:rsidR="00D20C47" w:rsidRPr="00ED1100" w:rsidRDefault="00AE1382" w:rsidP="00A74E0A">
            <w:pPr>
              <w:jc w:val="center"/>
              <w:rPr>
                <w:sz w:val="20"/>
                <w:szCs w:val="20"/>
              </w:rPr>
            </w:pPr>
            <w:r>
              <w:rPr>
                <w:sz w:val="20"/>
                <w:szCs w:val="20"/>
              </w:rPr>
              <w:t>$74,669</w:t>
            </w:r>
          </w:p>
        </w:tc>
      </w:tr>
      <w:tr w:rsidR="00D20C47" w:rsidRPr="00ED1100" w14:paraId="279D879D" w14:textId="77777777" w:rsidTr="00980528">
        <w:trPr>
          <w:cantSplit/>
          <w:trHeight w:val="403"/>
          <w:jc w:val="center"/>
        </w:trPr>
        <w:tc>
          <w:tcPr>
            <w:tcW w:w="2781" w:type="dxa"/>
            <w:tcBorders>
              <w:top w:val="single" w:sz="6" w:space="0" w:color="auto"/>
              <w:left w:val="single" w:sz="6" w:space="0" w:color="auto"/>
              <w:bottom w:val="nil"/>
              <w:right w:val="nil"/>
            </w:tcBorders>
            <w:vAlign w:val="bottom"/>
          </w:tcPr>
          <w:p w14:paraId="44630DD8" w14:textId="77777777" w:rsidR="00D20C47" w:rsidRPr="00ED1100" w:rsidRDefault="00AE1382" w:rsidP="00A74E0A">
            <w:pPr>
              <w:rPr>
                <w:sz w:val="20"/>
                <w:szCs w:val="20"/>
              </w:rPr>
            </w:pPr>
            <w:r>
              <w:rPr>
                <w:sz w:val="20"/>
                <w:szCs w:val="20"/>
              </w:rPr>
              <w:t>Program Management Analysis:  GS-13, Step 5 average</w:t>
            </w:r>
          </w:p>
        </w:tc>
        <w:tc>
          <w:tcPr>
            <w:tcW w:w="2250" w:type="dxa"/>
            <w:tcBorders>
              <w:top w:val="single" w:sz="6" w:space="0" w:color="auto"/>
              <w:left w:val="single" w:sz="6" w:space="0" w:color="auto"/>
              <w:bottom w:val="single" w:sz="6" w:space="0" w:color="auto"/>
              <w:right w:val="nil"/>
            </w:tcBorders>
          </w:tcPr>
          <w:p w14:paraId="2716FECC" w14:textId="77777777" w:rsidR="00D20C47" w:rsidRPr="00ED1100" w:rsidRDefault="00AE1382" w:rsidP="00A74E0A">
            <w:pPr>
              <w:jc w:val="center"/>
              <w:rPr>
                <w:sz w:val="20"/>
                <w:szCs w:val="20"/>
              </w:rPr>
            </w:pPr>
            <w:r>
              <w:rPr>
                <w:sz w:val="20"/>
                <w:szCs w:val="20"/>
              </w:rPr>
              <w:t>1</w:t>
            </w:r>
          </w:p>
        </w:tc>
        <w:tc>
          <w:tcPr>
            <w:tcW w:w="1440" w:type="dxa"/>
            <w:tcBorders>
              <w:top w:val="single" w:sz="6" w:space="0" w:color="auto"/>
              <w:left w:val="single" w:sz="6" w:space="0" w:color="auto"/>
              <w:bottom w:val="single" w:sz="6" w:space="0" w:color="auto"/>
              <w:right w:val="single" w:sz="6" w:space="0" w:color="auto"/>
            </w:tcBorders>
            <w:vAlign w:val="bottom"/>
          </w:tcPr>
          <w:p w14:paraId="38399E18" w14:textId="77777777" w:rsidR="00D20C47" w:rsidRPr="00ED1100" w:rsidRDefault="00AE1382" w:rsidP="00A74E0A">
            <w:pPr>
              <w:jc w:val="center"/>
              <w:rPr>
                <w:sz w:val="20"/>
                <w:szCs w:val="20"/>
              </w:rPr>
            </w:pPr>
            <w:r w:rsidRPr="00AE1382">
              <w:rPr>
                <w:sz w:val="20"/>
                <w:szCs w:val="20"/>
              </w:rPr>
              <w:t>107,435</w:t>
            </w:r>
          </w:p>
        </w:tc>
        <w:tc>
          <w:tcPr>
            <w:tcW w:w="1132" w:type="dxa"/>
            <w:tcBorders>
              <w:top w:val="single" w:sz="6" w:space="0" w:color="auto"/>
              <w:left w:val="single" w:sz="6" w:space="0" w:color="auto"/>
              <w:bottom w:val="single" w:sz="6" w:space="0" w:color="auto"/>
              <w:right w:val="nil"/>
            </w:tcBorders>
            <w:vAlign w:val="bottom"/>
          </w:tcPr>
          <w:p w14:paraId="1572CB39" w14:textId="77777777" w:rsidR="00D20C47" w:rsidRPr="00ED1100" w:rsidRDefault="00AE1382" w:rsidP="00A74E0A">
            <w:pPr>
              <w:jc w:val="center"/>
              <w:rPr>
                <w:sz w:val="20"/>
                <w:szCs w:val="20"/>
              </w:rPr>
            </w:pPr>
            <w:r>
              <w:rPr>
                <w:sz w:val="20"/>
                <w:szCs w:val="20"/>
              </w:rPr>
              <w:t>20%</w:t>
            </w:r>
            <w:r w:rsidR="00D20C47" w:rsidRPr="00ED1100">
              <w:rPr>
                <w:sz w:val="20"/>
                <w:szCs w:val="20"/>
              </w:rPr>
              <w:t xml:space="preserve"> </w:t>
            </w:r>
          </w:p>
        </w:tc>
        <w:tc>
          <w:tcPr>
            <w:tcW w:w="1123" w:type="dxa"/>
            <w:tcBorders>
              <w:top w:val="single" w:sz="6" w:space="0" w:color="auto"/>
              <w:left w:val="single" w:sz="6" w:space="0" w:color="auto"/>
              <w:bottom w:val="single" w:sz="6" w:space="0" w:color="auto"/>
              <w:right w:val="single" w:sz="6" w:space="0" w:color="auto"/>
            </w:tcBorders>
            <w:vAlign w:val="bottom"/>
          </w:tcPr>
          <w:p w14:paraId="6FEB0EA3" w14:textId="77777777" w:rsidR="00D20C47" w:rsidRPr="00ED1100" w:rsidRDefault="00AE1382" w:rsidP="00980528">
            <w:pPr>
              <w:rPr>
                <w:sz w:val="20"/>
                <w:szCs w:val="20"/>
              </w:rPr>
            </w:pPr>
            <w:r>
              <w:rPr>
                <w:sz w:val="20"/>
                <w:szCs w:val="20"/>
              </w:rPr>
              <w:t>$21,487</w:t>
            </w:r>
          </w:p>
        </w:tc>
      </w:tr>
      <w:tr w:rsidR="00D20C47" w:rsidRPr="00ED1100" w14:paraId="271559F0" w14:textId="77777777" w:rsidTr="00980528">
        <w:trPr>
          <w:cantSplit/>
          <w:trHeight w:val="403"/>
          <w:jc w:val="center"/>
        </w:trPr>
        <w:tc>
          <w:tcPr>
            <w:tcW w:w="7603" w:type="dxa"/>
            <w:gridSpan w:val="4"/>
            <w:tcBorders>
              <w:top w:val="single" w:sz="6" w:space="0" w:color="auto"/>
              <w:left w:val="single" w:sz="6" w:space="0" w:color="auto"/>
              <w:bottom w:val="single" w:sz="6" w:space="0" w:color="auto"/>
              <w:right w:val="nil"/>
            </w:tcBorders>
            <w:vAlign w:val="bottom"/>
            <w:hideMark/>
          </w:tcPr>
          <w:p w14:paraId="61686A60" w14:textId="77777777" w:rsidR="00D20C47" w:rsidRPr="00ED1100" w:rsidRDefault="00D20C47" w:rsidP="00A74E0A">
            <w:pPr>
              <w:rPr>
                <w:b/>
                <w:bCs/>
                <w:sz w:val="20"/>
                <w:szCs w:val="20"/>
              </w:rPr>
            </w:pPr>
            <w:r w:rsidRPr="00ED1100">
              <w:rPr>
                <w:b/>
                <w:bCs/>
                <w:sz w:val="20"/>
                <w:szCs w:val="20"/>
              </w:rPr>
              <w:t>Total</w:t>
            </w:r>
          </w:p>
        </w:tc>
        <w:tc>
          <w:tcPr>
            <w:tcW w:w="1123" w:type="dxa"/>
            <w:tcBorders>
              <w:top w:val="single" w:sz="6" w:space="0" w:color="auto"/>
              <w:left w:val="single" w:sz="6" w:space="0" w:color="auto"/>
              <w:bottom w:val="single" w:sz="6" w:space="0" w:color="auto"/>
              <w:right w:val="single" w:sz="6" w:space="0" w:color="auto"/>
            </w:tcBorders>
            <w:vAlign w:val="bottom"/>
            <w:hideMark/>
          </w:tcPr>
          <w:p w14:paraId="7DC5C4A1" w14:textId="77777777" w:rsidR="00D20C47" w:rsidRPr="00ED1100" w:rsidRDefault="00D20C47" w:rsidP="00A74E0A">
            <w:pPr>
              <w:jc w:val="center"/>
              <w:rPr>
                <w:b/>
                <w:bCs/>
                <w:sz w:val="20"/>
                <w:szCs w:val="20"/>
              </w:rPr>
            </w:pPr>
            <w:r w:rsidRPr="00ED1100">
              <w:rPr>
                <w:b/>
                <w:bCs/>
                <w:sz w:val="20"/>
                <w:szCs w:val="20"/>
              </w:rPr>
              <w:t xml:space="preserve"> </w:t>
            </w:r>
            <w:r w:rsidR="00AE1382">
              <w:rPr>
                <w:b/>
                <w:bCs/>
                <w:sz w:val="20"/>
                <w:szCs w:val="20"/>
              </w:rPr>
              <w:t>$96,156</w:t>
            </w:r>
          </w:p>
        </w:tc>
      </w:tr>
    </w:tbl>
    <w:p w14:paraId="792812FE" w14:textId="77777777" w:rsidR="004131BC" w:rsidRDefault="004131BC" w:rsidP="004131BC">
      <w:pPr>
        <w:rPr>
          <w:rStyle w:val="Hyperlink"/>
          <w:sz w:val="22"/>
          <w:szCs w:val="22"/>
        </w:rPr>
      </w:pPr>
      <w:r w:rsidRPr="00F43FE9">
        <w:rPr>
          <w:color w:val="000000"/>
          <w:sz w:val="22"/>
          <w:szCs w:val="22"/>
        </w:rPr>
        <w:t>Annual salaries based on 201</w:t>
      </w:r>
      <w:r w:rsidR="0033389C">
        <w:rPr>
          <w:color w:val="000000"/>
          <w:sz w:val="22"/>
          <w:szCs w:val="22"/>
        </w:rPr>
        <w:t>7</w:t>
      </w:r>
      <w:r w:rsidRPr="00F43FE9">
        <w:rPr>
          <w:color w:val="000000"/>
          <w:sz w:val="22"/>
          <w:szCs w:val="22"/>
        </w:rPr>
        <w:t xml:space="preserve"> OPM Pay Schedule for Washington/DC area:</w:t>
      </w:r>
      <w:r w:rsidRPr="00F43FE9">
        <w:rPr>
          <w:sz w:val="22"/>
          <w:szCs w:val="22"/>
        </w:rPr>
        <w:t xml:space="preserve"> </w:t>
      </w:r>
      <w:r w:rsidR="00AE1382">
        <w:rPr>
          <w:rStyle w:val="Hyperlink"/>
          <w:sz w:val="22"/>
          <w:szCs w:val="22"/>
        </w:rPr>
        <w:t xml:space="preserve"> </w:t>
      </w:r>
    </w:p>
    <w:p w14:paraId="116D8D11" w14:textId="77777777" w:rsidR="00AE1382" w:rsidRDefault="00CF19D6" w:rsidP="004131BC">
      <w:pPr>
        <w:rPr>
          <w:sz w:val="22"/>
          <w:szCs w:val="22"/>
        </w:rPr>
      </w:pPr>
      <w:hyperlink r:id="rId16" w:history="1">
        <w:r w:rsidR="00AE1382" w:rsidRPr="008D48AC">
          <w:rPr>
            <w:rStyle w:val="Hyperlink"/>
            <w:sz w:val="22"/>
            <w:szCs w:val="22"/>
          </w:rPr>
          <w:t>https://www.opm.gov/policy-data-oversight/pay-leave/salaries-wages/salary-tables/pdf/2017/DCB.pdf</w:t>
        </w:r>
      </w:hyperlink>
    </w:p>
    <w:p w14:paraId="32C98325" w14:textId="77777777" w:rsidR="00AE1382" w:rsidRPr="00F43FE9" w:rsidRDefault="00AE1382" w:rsidP="004131BC">
      <w:pPr>
        <w:rPr>
          <w:sz w:val="22"/>
          <w:szCs w:val="22"/>
        </w:rPr>
      </w:pPr>
    </w:p>
    <w:p w14:paraId="77B8DE3B" w14:textId="77777777" w:rsidR="009B633D" w:rsidRPr="00412C6F" w:rsidRDefault="009B633D" w:rsidP="009B633D">
      <w:pPr>
        <w:pStyle w:val="Heading2"/>
        <w:rPr>
          <w:sz w:val="24"/>
        </w:rPr>
      </w:pPr>
      <w:bookmarkStart w:id="55" w:name="_Toc480808863"/>
      <w:r w:rsidRPr="00412C6F">
        <w:rPr>
          <w:sz w:val="24"/>
        </w:rPr>
        <w:t>15. Changes in Hour Burden</w:t>
      </w:r>
      <w:bookmarkEnd w:id="53"/>
      <w:bookmarkEnd w:id="54"/>
      <w:bookmarkEnd w:id="55"/>
    </w:p>
    <w:p w14:paraId="0A327BB1" w14:textId="6A9C8804" w:rsidR="00231D00" w:rsidRPr="00231D00" w:rsidRDefault="00231D00" w:rsidP="00231D00">
      <w:pPr>
        <w:spacing w:after="120"/>
        <w:ind w:left="100" w:right="203"/>
      </w:pPr>
      <w:bookmarkStart w:id="56" w:name="_Toc151782191"/>
      <w:bookmarkStart w:id="57" w:name="_Toc158526231"/>
      <w:bookmarkStart w:id="58" w:name="_Toc480808864"/>
      <w:r w:rsidRPr="00231D00">
        <w:t xml:space="preserve">As noted earlier, this revision to the current clearance </w:t>
      </w:r>
      <w:r w:rsidR="000F4A54">
        <w:t>adds</w:t>
      </w:r>
      <w:r w:rsidRPr="00231D00">
        <w:t xml:space="preserve"> the </w:t>
      </w:r>
      <w:r w:rsidR="003A2ADB">
        <w:t xml:space="preserve">monthly HER data collection and endline </w:t>
      </w:r>
      <w:r w:rsidRPr="00231D00">
        <w:t xml:space="preserve">data collection activities for the ambulatory care cohort, which are scheduled to begin in December 2019 and end in January 2021. The estimated annual burden has been adjusted accordingly. </w:t>
      </w:r>
    </w:p>
    <w:p w14:paraId="4DBFEB53" w14:textId="77777777" w:rsidR="00FA6388" w:rsidRDefault="009B633D" w:rsidP="009B633D">
      <w:pPr>
        <w:pStyle w:val="Heading2"/>
        <w:rPr>
          <w:sz w:val="24"/>
        </w:rPr>
      </w:pPr>
      <w:r w:rsidRPr="00412C6F">
        <w:rPr>
          <w:sz w:val="24"/>
        </w:rPr>
        <w:t>16. Time Schedule, Publication and Analysis Plans</w:t>
      </w:r>
      <w:bookmarkEnd w:id="56"/>
      <w:bookmarkEnd w:id="57"/>
      <w:bookmarkEnd w:id="58"/>
    </w:p>
    <w:p w14:paraId="56B3A791" w14:textId="1705BEE7" w:rsidR="003B21D0" w:rsidRDefault="003B21D0" w:rsidP="00FA6388">
      <w:pPr>
        <w:pStyle w:val="CommentText"/>
        <w:rPr>
          <w:sz w:val="24"/>
          <w:szCs w:val="24"/>
        </w:rPr>
      </w:pPr>
      <w:r>
        <w:rPr>
          <w:sz w:val="24"/>
          <w:szCs w:val="24"/>
        </w:rPr>
        <w:t xml:space="preserve">The draft schedule of evaluation activities </w:t>
      </w:r>
      <w:r w:rsidR="00464B30">
        <w:rPr>
          <w:sz w:val="24"/>
          <w:szCs w:val="24"/>
        </w:rPr>
        <w:t>is</w:t>
      </w:r>
      <w:r>
        <w:rPr>
          <w:sz w:val="24"/>
          <w:szCs w:val="24"/>
        </w:rPr>
        <w:t xml:space="preserve"> contained in </w:t>
      </w:r>
      <w:r>
        <w:rPr>
          <w:b/>
          <w:sz w:val="24"/>
          <w:szCs w:val="24"/>
        </w:rPr>
        <w:t xml:space="preserve">Attachment </w:t>
      </w:r>
      <w:r w:rsidR="00791549">
        <w:rPr>
          <w:b/>
          <w:sz w:val="24"/>
          <w:szCs w:val="24"/>
        </w:rPr>
        <w:t>R</w:t>
      </w:r>
      <w:r>
        <w:rPr>
          <w:b/>
          <w:sz w:val="24"/>
          <w:szCs w:val="24"/>
        </w:rPr>
        <w:t xml:space="preserve">. </w:t>
      </w:r>
      <w:r>
        <w:rPr>
          <w:sz w:val="24"/>
          <w:szCs w:val="24"/>
        </w:rPr>
        <w:t xml:space="preserve">The exact </w:t>
      </w:r>
      <w:r w:rsidR="00D9045B">
        <w:rPr>
          <w:sz w:val="24"/>
          <w:szCs w:val="24"/>
        </w:rPr>
        <w:t>start date</w:t>
      </w:r>
      <w:r>
        <w:rPr>
          <w:sz w:val="24"/>
          <w:szCs w:val="24"/>
        </w:rPr>
        <w:t xml:space="preserve"> for data collection activities </w:t>
      </w:r>
      <w:r w:rsidR="00D9045B">
        <w:rPr>
          <w:sz w:val="24"/>
          <w:szCs w:val="24"/>
        </w:rPr>
        <w:t>is</w:t>
      </w:r>
      <w:r>
        <w:rPr>
          <w:sz w:val="24"/>
          <w:szCs w:val="24"/>
        </w:rPr>
        <w:t xml:space="preserve"> contingent on the OMB clearance date. </w:t>
      </w:r>
    </w:p>
    <w:p w14:paraId="45304C67" w14:textId="77777777" w:rsidR="003B21D0" w:rsidRDefault="003B21D0" w:rsidP="00FA6388">
      <w:pPr>
        <w:pStyle w:val="CommentText"/>
        <w:rPr>
          <w:sz w:val="24"/>
          <w:szCs w:val="24"/>
        </w:rPr>
      </w:pPr>
    </w:p>
    <w:p w14:paraId="68EFE661" w14:textId="77777777" w:rsidR="00FA6388" w:rsidRPr="00FA6388" w:rsidRDefault="00FA6388" w:rsidP="00FA6388">
      <w:pPr>
        <w:pStyle w:val="CommentText"/>
        <w:rPr>
          <w:sz w:val="24"/>
          <w:szCs w:val="24"/>
        </w:rPr>
      </w:pPr>
      <w:r w:rsidRPr="00FA6388">
        <w:rPr>
          <w:sz w:val="24"/>
          <w:szCs w:val="24"/>
        </w:rPr>
        <w:t>AHRQ will</w:t>
      </w:r>
      <w:r>
        <w:rPr>
          <w:sz w:val="24"/>
          <w:szCs w:val="24"/>
        </w:rPr>
        <w:t xml:space="preserve"> make the final toolkit publically available on its website. The findings from the project will be submitted for publication in academic journals. </w:t>
      </w:r>
    </w:p>
    <w:p w14:paraId="566604B5" w14:textId="77777777" w:rsidR="009B633D" w:rsidRPr="00424E6E" w:rsidRDefault="009B633D" w:rsidP="009B633D">
      <w:pPr>
        <w:pStyle w:val="Heading2"/>
        <w:rPr>
          <w:sz w:val="24"/>
        </w:rPr>
      </w:pPr>
      <w:bookmarkStart w:id="59" w:name="_Toc151782196"/>
      <w:bookmarkStart w:id="60" w:name="_Toc158526232"/>
      <w:bookmarkStart w:id="61" w:name="_Toc480808865"/>
      <w:r w:rsidRPr="00424E6E">
        <w:rPr>
          <w:sz w:val="24"/>
        </w:rPr>
        <w:t>17. Exemption for Display of Expiration Date</w:t>
      </w:r>
      <w:bookmarkEnd w:id="59"/>
      <w:bookmarkEnd w:id="60"/>
      <w:bookmarkEnd w:id="61"/>
    </w:p>
    <w:p w14:paraId="22CF7C0E" w14:textId="77777777" w:rsidR="009B633D" w:rsidRDefault="009B633D" w:rsidP="009B633D">
      <w:r w:rsidRPr="004F03D2">
        <w:t>AHRQ does not seek this exemption</w:t>
      </w:r>
      <w:r>
        <w:t>.</w:t>
      </w:r>
    </w:p>
    <w:p w14:paraId="0CD6F8EF" w14:textId="77777777" w:rsidR="00016560" w:rsidRPr="00016560" w:rsidRDefault="00904CC3" w:rsidP="00F43FE9">
      <w:pPr>
        <w:pStyle w:val="Heading2"/>
      </w:pPr>
      <w:bookmarkStart w:id="62" w:name="_Toc480808866"/>
      <w:r>
        <w:t xml:space="preserve">List of </w:t>
      </w:r>
      <w:r w:rsidR="00016560" w:rsidRPr="00016560">
        <w:t>Attachments</w:t>
      </w:r>
      <w:bookmarkEnd w:id="62"/>
    </w:p>
    <w:p w14:paraId="2E18A61E" w14:textId="77777777" w:rsidR="007336F6" w:rsidRDefault="008573ED" w:rsidP="009957EF">
      <w:r w:rsidRPr="00F43FE9">
        <w:t xml:space="preserve">Attachment </w:t>
      </w:r>
      <w:r w:rsidR="00FB1488">
        <w:t>A</w:t>
      </w:r>
      <w:r w:rsidR="00302210">
        <w:t xml:space="preserve">: Structural Assessment for </w:t>
      </w:r>
      <w:r w:rsidR="007336F6">
        <w:t>Acute Care Setting</w:t>
      </w:r>
    </w:p>
    <w:p w14:paraId="02A996B5" w14:textId="259BCF08" w:rsidR="007336F6" w:rsidRDefault="007336F6" w:rsidP="009957EF">
      <w:r w:rsidRPr="007D66B2">
        <w:rPr>
          <w:highlight w:val="yellow"/>
        </w:rPr>
        <w:t xml:space="preserve">Attachment </w:t>
      </w:r>
      <w:r w:rsidR="00FB1488" w:rsidRPr="007D66B2">
        <w:rPr>
          <w:highlight w:val="yellow"/>
        </w:rPr>
        <w:t>B</w:t>
      </w:r>
      <w:r w:rsidRPr="007D66B2">
        <w:rPr>
          <w:highlight w:val="yellow"/>
        </w:rPr>
        <w:t xml:space="preserve"> Structural Assessment for Ambulatory Care Setting</w:t>
      </w:r>
      <w:r w:rsidR="007D66B2" w:rsidRPr="007D66B2">
        <w:rPr>
          <w:highlight w:val="yellow"/>
        </w:rPr>
        <w:t xml:space="preserve"> (</w:t>
      </w:r>
      <w:r w:rsidR="007D66B2">
        <w:rPr>
          <w:highlight w:val="yellow"/>
        </w:rPr>
        <w:t>updated</w:t>
      </w:r>
      <w:r w:rsidR="007D66B2" w:rsidRPr="007D66B2">
        <w:rPr>
          <w:highlight w:val="yellow"/>
        </w:rPr>
        <w:t>)</w:t>
      </w:r>
    </w:p>
    <w:p w14:paraId="3F074E02" w14:textId="77777777" w:rsidR="007336F6" w:rsidRDefault="007336F6" w:rsidP="009957EF">
      <w:r>
        <w:t xml:space="preserve">Attachment </w:t>
      </w:r>
      <w:r w:rsidR="00FB1488">
        <w:t>C</w:t>
      </w:r>
      <w:r>
        <w:t>: Structural Assessment for Long Term Care Setting</w:t>
      </w:r>
    </w:p>
    <w:p w14:paraId="16487BAC" w14:textId="77777777" w:rsidR="007336F6" w:rsidRDefault="007336F6" w:rsidP="009957EF">
      <w:r>
        <w:t xml:space="preserve">Attachment </w:t>
      </w:r>
      <w:r w:rsidR="00C85EB7">
        <w:t>D</w:t>
      </w:r>
      <w:r>
        <w:t>: Team Antibiotic Review Form</w:t>
      </w:r>
    </w:p>
    <w:p w14:paraId="75BD30E6" w14:textId="77777777" w:rsidR="007336F6" w:rsidRDefault="007336F6" w:rsidP="009957EF">
      <w:r>
        <w:t xml:space="preserve">Attachment </w:t>
      </w:r>
      <w:r w:rsidR="00C85EB7">
        <w:t>E</w:t>
      </w:r>
      <w:r>
        <w:t>: Completion Guide for Team Antibiotic Review Form</w:t>
      </w:r>
    </w:p>
    <w:p w14:paraId="7609E954" w14:textId="77777777" w:rsidR="009957EF" w:rsidRDefault="009957EF" w:rsidP="009957EF">
      <w:pPr>
        <w:pStyle w:val="ColorfulList-Accent11"/>
        <w:tabs>
          <w:tab w:val="left" w:pos="360"/>
        </w:tabs>
        <w:ind w:left="0"/>
        <w:rPr>
          <w:bCs/>
        </w:rPr>
      </w:pPr>
      <w:r>
        <w:t xml:space="preserve">Attachment </w:t>
      </w:r>
      <w:r w:rsidR="00D10D99">
        <w:t>F</w:t>
      </w:r>
      <w:r>
        <w:t xml:space="preserve">: </w:t>
      </w:r>
      <w:r w:rsidRPr="008B65BC">
        <w:rPr>
          <w:bCs/>
        </w:rPr>
        <w:t>The Hospital Survey on Patient Safety</w:t>
      </w:r>
      <w:r>
        <w:rPr>
          <w:bCs/>
        </w:rPr>
        <w:t xml:space="preserve"> Culture (HSOPS)</w:t>
      </w:r>
    </w:p>
    <w:p w14:paraId="75492C6E" w14:textId="77777777" w:rsidR="009957EF" w:rsidRDefault="009957EF" w:rsidP="009957EF">
      <w:pPr>
        <w:pStyle w:val="ColorfulList-Accent11"/>
        <w:tabs>
          <w:tab w:val="left" w:pos="360"/>
        </w:tabs>
        <w:ind w:left="0"/>
        <w:rPr>
          <w:bCs/>
        </w:rPr>
      </w:pPr>
      <w:r>
        <w:t xml:space="preserve">Attachment </w:t>
      </w:r>
      <w:r w:rsidR="00D10D99">
        <w:t>G</w:t>
      </w:r>
      <w:r>
        <w:t xml:space="preserve">: </w:t>
      </w:r>
      <w:r>
        <w:rPr>
          <w:bCs/>
        </w:rPr>
        <w:t>T</w:t>
      </w:r>
      <w:r w:rsidRPr="008B65BC">
        <w:rPr>
          <w:bCs/>
        </w:rPr>
        <w:t>he Nursing Home Survey on Patient Safety</w:t>
      </w:r>
      <w:r>
        <w:rPr>
          <w:bCs/>
        </w:rPr>
        <w:t xml:space="preserve"> Culture</w:t>
      </w:r>
      <w:r w:rsidRPr="008B65BC">
        <w:rPr>
          <w:bCs/>
        </w:rPr>
        <w:t xml:space="preserve"> (NHSOPS) </w:t>
      </w:r>
    </w:p>
    <w:p w14:paraId="133A6DFA" w14:textId="77777777" w:rsidR="009957EF" w:rsidRDefault="009957EF" w:rsidP="009957EF">
      <w:pPr>
        <w:pStyle w:val="ColorfulList-Accent11"/>
        <w:tabs>
          <w:tab w:val="left" w:pos="360"/>
        </w:tabs>
        <w:ind w:left="0"/>
        <w:rPr>
          <w:bCs/>
        </w:rPr>
      </w:pPr>
      <w:r>
        <w:t xml:space="preserve">Attachment </w:t>
      </w:r>
      <w:r w:rsidR="00D10D99">
        <w:t>H</w:t>
      </w:r>
      <w:r>
        <w:t xml:space="preserve">: </w:t>
      </w:r>
      <w:r>
        <w:rPr>
          <w:bCs/>
        </w:rPr>
        <w:t>T</w:t>
      </w:r>
      <w:r w:rsidRPr="006A2419">
        <w:rPr>
          <w:bCs/>
        </w:rPr>
        <w:t xml:space="preserve">he Medical Office Survey on Patient Safety Culture (MOSOPS) </w:t>
      </w:r>
    </w:p>
    <w:p w14:paraId="4399C698" w14:textId="77777777" w:rsidR="004626E9" w:rsidRDefault="004626E9" w:rsidP="009957EF">
      <w:pPr>
        <w:pStyle w:val="ColorfulList-Accent11"/>
        <w:tabs>
          <w:tab w:val="left" w:pos="360"/>
        </w:tabs>
        <w:ind w:left="0"/>
      </w:pPr>
      <w:r>
        <w:t xml:space="preserve">Attachment </w:t>
      </w:r>
      <w:r w:rsidR="00D10D99">
        <w:t>I</w:t>
      </w:r>
      <w:r>
        <w:t>: Draft Interview Guide for Semi-Structured Interviews – Antibiotic Stewardship Leads</w:t>
      </w:r>
    </w:p>
    <w:p w14:paraId="7D648696" w14:textId="77777777" w:rsidR="004626E9" w:rsidRDefault="004626E9" w:rsidP="004626E9">
      <w:pPr>
        <w:pStyle w:val="ColorfulList-Accent11"/>
        <w:tabs>
          <w:tab w:val="left" w:pos="360"/>
        </w:tabs>
        <w:ind w:left="0"/>
      </w:pPr>
      <w:r>
        <w:t xml:space="preserve">Attachment </w:t>
      </w:r>
      <w:r w:rsidR="00D10D99">
        <w:t>J</w:t>
      </w:r>
      <w:r>
        <w:t>: Draft Interview Guide for Semi-Structured Interviews – Frontline workers</w:t>
      </w:r>
    </w:p>
    <w:p w14:paraId="148C32BD" w14:textId="77777777" w:rsidR="00136013" w:rsidRDefault="00136013" w:rsidP="00136013">
      <w:pPr>
        <w:pStyle w:val="ColorfulList-Accent11"/>
        <w:tabs>
          <w:tab w:val="left" w:pos="360"/>
        </w:tabs>
        <w:ind w:left="0"/>
      </w:pPr>
      <w:r>
        <w:t xml:space="preserve">Attachment </w:t>
      </w:r>
      <w:r w:rsidR="007F3599">
        <w:t>K</w:t>
      </w:r>
      <w:r>
        <w:t>: Clinical measures template for EHR data extracts</w:t>
      </w:r>
    </w:p>
    <w:p w14:paraId="61833514" w14:textId="77777777" w:rsidR="00136013" w:rsidRDefault="00136013" w:rsidP="00136013">
      <w:pPr>
        <w:pStyle w:val="ColorfulList-Accent11"/>
        <w:tabs>
          <w:tab w:val="left" w:pos="360"/>
        </w:tabs>
        <w:ind w:left="0"/>
      </w:pPr>
      <w:r>
        <w:t xml:space="preserve">Attachment </w:t>
      </w:r>
      <w:r w:rsidR="007F3599">
        <w:t>L</w:t>
      </w:r>
      <w:r>
        <w:t>: Instructions for Clinical measures template for EHR data extracts</w:t>
      </w:r>
    </w:p>
    <w:p w14:paraId="749A5B04" w14:textId="2C03B893" w:rsidR="007D66B2" w:rsidRDefault="007D66B2" w:rsidP="00136013">
      <w:pPr>
        <w:pStyle w:val="ColorfulList-Accent11"/>
        <w:tabs>
          <w:tab w:val="left" w:pos="360"/>
        </w:tabs>
        <w:ind w:left="0"/>
      </w:pPr>
      <w:r w:rsidRPr="007D66B2">
        <w:rPr>
          <w:highlight w:val="yellow"/>
        </w:rPr>
        <w:t xml:space="preserve">Attachment M: Monthly </w:t>
      </w:r>
      <w:r w:rsidR="00034580">
        <w:rPr>
          <w:highlight w:val="yellow"/>
        </w:rPr>
        <w:t>template</w:t>
      </w:r>
      <w:r w:rsidRPr="007D66B2">
        <w:rPr>
          <w:highlight w:val="yellow"/>
        </w:rPr>
        <w:t xml:space="preserve"> for </w:t>
      </w:r>
      <w:r w:rsidR="00034580">
        <w:rPr>
          <w:highlight w:val="yellow"/>
        </w:rPr>
        <w:t>a</w:t>
      </w:r>
      <w:r w:rsidRPr="007D66B2">
        <w:rPr>
          <w:highlight w:val="yellow"/>
        </w:rPr>
        <w:t xml:space="preserve">mbulatory </w:t>
      </w:r>
      <w:r w:rsidR="00034580">
        <w:rPr>
          <w:highlight w:val="yellow"/>
        </w:rPr>
        <w:t>c</w:t>
      </w:r>
      <w:r w:rsidRPr="007D66B2">
        <w:rPr>
          <w:highlight w:val="yellow"/>
        </w:rPr>
        <w:t>are EHR data extra</w:t>
      </w:r>
      <w:r w:rsidRPr="003063EE">
        <w:rPr>
          <w:highlight w:val="yellow"/>
        </w:rPr>
        <w:t>cts</w:t>
      </w:r>
      <w:r w:rsidR="003063EE" w:rsidRPr="003063EE">
        <w:rPr>
          <w:highlight w:val="yellow"/>
        </w:rPr>
        <w:t xml:space="preserve"> (updated)</w:t>
      </w:r>
      <w:r>
        <w:t xml:space="preserve"> </w:t>
      </w:r>
    </w:p>
    <w:p w14:paraId="019837DB" w14:textId="77296274" w:rsidR="005D6D09" w:rsidRDefault="005D6D09" w:rsidP="00136013">
      <w:pPr>
        <w:pStyle w:val="ColorfulList-Accent11"/>
        <w:tabs>
          <w:tab w:val="left" w:pos="360"/>
        </w:tabs>
        <w:ind w:left="0"/>
      </w:pPr>
      <w:r>
        <w:t xml:space="preserve">Attachment </w:t>
      </w:r>
      <w:r w:rsidR="007D66B2">
        <w:t>N</w:t>
      </w:r>
      <w:r w:rsidR="003F7744">
        <w:t>:</w:t>
      </w:r>
      <w:r>
        <w:t xml:space="preserve"> </w:t>
      </w:r>
      <w:r>
        <w:rPr>
          <w:i/>
        </w:rPr>
        <w:t xml:space="preserve">AHRQ Safety Program for Improving Antibiotic Use </w:t>
      </w:r>
      <w:r w:rsidRPr="005D6D09">
        <w:t>Data Collection Frequently Asked Questions</w:t>
      </w:r>
      <w:r>
        <w:t xml:space="preserve"> and Timeline for Data Collection and Submission</w:t>
      </w:r>
    </w:p>
    <w:p w14:paraId="47A37C23" w14:textId="2F4E92C2" w:rsidR="00A15D49" w:rsidRDefault="00136013" w:rsidP="008A2A14">
      <w:r>
        <w:t>A</w:t>
      </w:r>
      <w:r w:rsidR="007336F6">
        <w:t xml:space="preserve">ttachment </w:t>
      </w:r>
      <w:r w:rsidR="007D66B2">
        <w:t>O</w:t>
      </w:r>
      <w:r w:rsidR="00F43FE9">
        <w:t xml:space="preserve">: </w:t>
      </w:r>
      <w:r w:rsidR="00A15D49" w:rsidRPr="00F43FE9">
        <w:t>Federal Register Notice</w:t>
      </w:r>
    </w:p>
    <w:p w14:paraId="65DE31AA" w14:textId="45CAFF20" w:rsidR="00582705" w:rsidRDefault="007D66B2" w:rsidP="008A2A14">
      <w:r>
        <w:t>Attachment P</w:t>
      </w:r>
      <w:r w:rsidR="00582705" w:rsidRPr="00582705">
        <w:t>: Technical Expert Panel Members</w:t>
      </w:r>
    </w:p>
    <w:p w14:paraId="78FE6A4A" w14:textId="2D3FFD2C" w:rsidR="00034580" w:rsidRDefault="00034580" w:rsidP="008A2A14">
      <w:r w:rsidRPr="00034580">
        <w:rPr>
          <w:highlight w:val="yellow"/>
        </w:rPr>
        <w:t>Attachment Q: Ambulatory Care Technical Expert Panel Members</w:t>
      </w:r>
    </w:p>
    <w:p w14:paraId="18244218" w14:textId="5B9347A0" w:rsidR="00541453" w:rsidRDefault="00034580" w:rsidP="008A2A14">
      <w:pPr>
        <w:pStyle w:val="Header"/>
        <w:spacing w:before="0"/>
        <w:jc w:val="left"/>
      </w:pPr>
      <w:r>
        <w:t>Attachment R</w:t>
      </w:r>
      <w:r w:rsidR="00541453">
        <w:t xml:space="preserve">: </w:t>
      </w:r>
      <w:r w:rsidR="008A2A14">
        <w:rPr>
          <w:i/>
        </w:rPr>
        <w:t>AHRQ Safety Program for Improving Antibiotic Use</w:t>
      </w:r>
      <w:r w:rsidR="00541453">
        <w:t>: Schedule of evaluation activities, 2017-2021</w:t>
      </w:r>
    </w:p>
    <w:p w14:paraId="42084572" w14:textId="77777777" w:rsidR="00AE1382" w:rsidRPr="00582705" w:rsidRDefault="00AE1382" w:rsidP="009957EF"/>
    <w:p w14:paraId="525CFF21" w14:textId="77777777" w:rsidR="00DA79B5" w:rsidRPr="00535B56" w:rsidRDefault="00A15D49" w:rsidP="00CE6B10">
      <w:pPr>
        <w:pStyle w:val="NormalWeb"/>
        <w:tabs>
          <w:tab w:val="left" w:pos="360"/>
        </w:tabs>
      </w:pPr>
      <w:r>
        <w:rPr>
          <w:rFonts w:ascii="Arial" w:hAnsi="Arial" w:cs="Arial"/>
          <w:sz w:val="20"/>
          <w:szCs w:val="20"/>
        </w:rPr>
        <w:tab/>
      </w:r>
    </w:p>
    <w:sectPr w:rsidR="00DA79B5" w:rsidRPr="00535B56" w:rsidSect="00F43FE9">
      <w:footerReference w:type="even" r:id="rId17"/>
      <w:footerReference w:type="default" r:id="rId18"/>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C3F44" w14:textId="77777777" w:rsidR="00283E7E" w:rsidRDefault="00283E7E">
      <w:r>
        <w:separator/>
      </w:r>
    </w:p>
  </w:endnote>
  <w:endnote w:type="continuationSeparator" w:id="0">
    <w:p w14:paraId="56095EAA" w14:textId="77777777" w:rsidR="00283E7E" w:rsidRDefault="0028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8A3C2" w14:textId="77777777" w:rsidR="00283E7E" w:rsidRDefault="00283E7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8F1800" w14:textId="77777777" w:rsidR="00283E7E" w:rsidRDefault="0028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9EFB" w14:textId="6447A166" w:rsidR="00283E7E" w:rsidRDefault="00283E7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0F7F">
      <w:rPr>
        <w:rStyle w:val="PageNumber"/>
        <w:noProof/>
      </w:rPr>
      <w:t>13</w:t>
    </w:r>
    <w:r>
      <w:rPr>
        <w:rStyle w:val="PageNumber"/>
      </w:rPr>
      <w:fldChar w:fldCharType="end"/>
    </w:r>
  </w:p>
  <w:p w14:paraId="374FE5B7" w14:textId="77777777" w:rsidR="00283E7E" w:rsidRDefault="00283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AF13B" w14:textId="77777777" w:rsidR="00283E7E" w:rsidRDefault="00283E7E">
      <w:r>
        <w:separator/>
      </w:r>
    </w:p>
  </w:footnote>
  <w:footnote w:type="continuationSeparator" w:id="0">
    <w:p w14:paraId="11B5D615" w14:textId="77777777" w:rsidR="00283E7E" w:rsidRDefault="00283E7E">
      <w:r>
        <w:continuationSeparator/>
      </w:r>
    </w:p>
  </w:footnote>
  <w:footnote w:id="1">
    <w:p w14:paraId="3035FE21" w14:textId="77777777" w:rsidR="00283E7E" w:rsidRPr="007A1739" w:rsidRDefault="00283E7E" w:rsidP="007A1739">
      <w:pPr>
        <w:autoSpaceDE w:val="0"/>
        <w:autoSpaceDN w:val="0"/>
        <w:adjustRightInd w:val="0"/>
        <w:rPr>
          <w:sz w:val="20"/>
          <w:szCs w:val="20"/>
        </w:rPr>
      </w:pPr>
      <w:r>
        <w:rPr>
          <w:rStyle w:val="FootnoteReference"/>
        </w:rPr>
        <w:footnoteRef/>
      </w:r>
      <w:r>
        <w:t xml:space="preserve"> </w:t>
      </w:r>
      <w:r w:rsidRPr="007A1739">
        <w:rPr>
          <w:color w:val="000000"/>
          <w:sz w:val="20"/>
          <w:szCs w:val="20"/>
        </w:rPr>
        <w:t xml:space="preserve">Davies, J. and D. Davies, </w:t>
      </w:r>
      <w:r w:rsidRPr="007A1739">
        <w:rPr>
          <w:i/>
          <w:iCs/>
          <w:color w:val="000000"/>
          <w:sz w:val="20"/>
          <w:szCs w:val="20"/>
        </w:rPr>
        <w:t>Origins and evolution of antibiotic resistance.</w:t>
      </w:r>
      <w:r w:rsidRPr="007A1739">
        <w:rPr>
          <w:color w:val="000000"/>
          <w:sz w:val="20"/>
          <w:szCs w:val="20"/>
        </w:rPr>
        <w:t xml:space="preserve"> Microbiol Mol Biol Rev, 2010. </w:t>
      </w:r>
      <w:r w:rsidRPr="007A1739">
        <w:rPr>
          <w:bCs/>
          <w:color w:val="000000"/>
          <w:sz w:val="20"/>
          <w:szCs w:val="20"/>
        </w:rPr>
        <w:t>74</w:t>
      </w:r>
      <w:r w:rsidRPr="007A1739">
        <w:rPr>
          <w:color w:val="000000"/>
          <w:sz w:val="20"/>
          <w:szCs w:val="20"/>
        </w:rPr>
        <w:t>(3): p. 417-33.</w:t>
      </w:r>
    </w:p>
  </w:footnote>
  <w:footnote w:id="2">
    <w:p w14:paraId="2263119B"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Camins, B.C., et al., </w:t>
      </w:r>
      <w:r w:rsidRPr="007A1739">
        <w:rPr>
          <w:i/>
          <w:iCs/>
          <w:color w:val="000000"/>
          <w:sz w:val="20"/>
          <w:szCs w:val="20"/>
        </w:rPr>
        <w:t>Impact of an antimicrobial utilization program on</w:t>
      </w:r>
      <w:r>
        <w:rPr>
          <w:i/>
          <w:iCs/>
          <w:color w:val="000000"/>
          <w:sz w:val="20"/>
          <w:szCs w:val="20"/>
        </w:rPr>
        <w:t xml:space="preserve"> </w:t>
      </w:r>
      <w:r w:rsidRPr="007A1739">
        <w:rPr>
          <w:i/>
          <w:iCs/>
          <w:color w:val="000000"/>
          <w:sz w:val="20"/>
          <w:szCs w:val="20"/>
        </w:rPr>
        <w:t>antimicrobial use at a large teaching hospital: a randomized controlled trial.</w:t>
      </w:r>
      <w:r>
        <w:rPr>
          <w:i/>
          <w:iCs/>
          <w:color w:val="000000"/>
          <w:sz w:val="20"/>
          <w:szCs w:val="20"/>
        </w:rPr>
        <w:t xml:space="preserve"> </w:t>
      </w:r>
      <w:r w:rsidRPr="007A1739">
        <w:rPr>
          <w:color w:val="000000"/>
          <w:sz w:val="20"/>
          <w:szCs w:val="20"/>
        </w:rPr>
        <w:t xml:space="preserve">Infect Control Hosp Epidemiol, 2009. </w:t>
      </w:r>
      <w:r w:rsidRPr="007A1739">
        <w:rPr>
          <w:bCs/>
          <w:color w:val="000000"/>
          <w:sz w:val="20"/>
          <w:szCs w:val="20"/>
        </w:rPr>
        <w:t>30</w:t>
      </w:r>
      <w:r w:rsidRPr="007A1739">
        <w:rPr>
          <w:color w:val="000000"/>
          <w:sz w:val="20"/>
          <w:szCs w:val="20"/>
        </w:rPr>
        <w:t>(10): p. 931-8.</w:t>
      </w:r>
    </w:p>
  </w:footnote>
  <w:footnote w:id="3">
    <w:p w14:paraId="4DA72413"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Dellit, T.H., et al., </w:t>
      </w:r>
      <w:r w:rsidRPr="007A1739">
        <w:rPr>
          <w:i/>
          <w:iCs/>
          <w:color w:val="000000"/>
          <w:sz w:val="20"/>
          <w:szCs w:val="20"/>
        </w:rPr>
        <w:t>Infectious Diseases Society of America and the Society for</w:t>
      </w:r>
      <w:r>
        <w:rPr>
          <w:i/>
          <w:iCs/>
          <w:color w:val="000000"/>
          <w:sz w:val="20"/>
          <w:szCs w:val="20"/>
        </w:rPr>
        <w:t xml:space="preserve"> </w:t>
      </w:r>
      <w:r w:rsidRPr="007A1739">
        <w:rPr>
          <w:i/>
          <w:iCs/>
          <w:color w:val="000000"/>
          <w:sz w:val="20"/>
          <w:szCs w:val="20"/>
        </w:rPr>
        <w:t>Healthcare Epidemiology of America guidelines for developing an institutional</w:t>
      </w:r>
      <w:r>
        <w:rPr>
          <w:i/>
          <w:iCs/>
          <w:color w:val="000000"/>
          <w:sz w:val="20"/>
          <w:szCs w:val="20"/>
        </w:rPr>
        <w:t xml:space="preserve"> </w:t>
      </w:r>
      <w:r w:rsidRPr="007A1739">
        <w:rPr>
          <w:i/>
          <w:iCs/>
          <w:color w:val="000000"/>
          <w:sz w:val="20"/>
          <w:szCs w:val="20"/>
        </w:rPr>
        <w:t xml:space="preserve">program to enhance antimicrobial stewardship. </w:t>
      </w:r>
      <w:r w:rsidRPr="007A1739">
        <w:rPr>
          <w:color w:val="000000"/>
          <w:sz w:val="20"/>
          <w:szCs w:val="20"/>
        </w:rPr>
        <w:t xml:space="preserve">Clin Infect Dis, 2007. </w:t>
      </w:r>
      <w:r w:rsidRPr="007A1739">
        <w:rPr>
          <w:bCs/>
          <w:color w:val="000000"/>
          <w:sz w:val="20"/>
          <w:szCs w:val="20"/>
        </w:rPr>
        <w:t>44</w:t>
      </w:r>
      <w:r w:rsidRPr="007A1739">
        <w:rPr>
          <w:color w:val="000000"/>
          <w:sz w:val="20"/>
          <w:szCs w:val="20"/>
        </w:rPr>
        <w:t>(2): p.</w:t>
      </w:r>
      <w:r>
        <w:rPr>
          <w:color w:val="000000"/>
          <w:sz w:val="20"/>
          <w:szCs w:val="20"/>
        </w:rPr>
        <w:t xml:space="preserve"> </w:t>
      </w:r>
      <w:r w:rsidRPr="007A1739">
        <w:rPr>
          <w:color w:val="000000"/>
          <w:sz w:val="20"/>
          <w:szCs w:val="20"/>
        </w:rPr>
        <w:t>159-77.</w:t>
      </w:r>
    </w:p>
  </w:footnote>
  <w:footnote w:id="4">
    <w:p w14:paraId="201FD2A8"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 Fridkin, S., et al., </w:t>
      </w:r>
      <w:r w:rsidRPr="007A1739">
        <w:rPr>
          <w:i/>
          <w:iCs/>
          <w:color w:val="000000"/>
          <w:sz w:val="20"/>
          <w:szCs w:val="20"/>
        </w:rPr>
        <w:t>Vital signs: improving antibiotic use among hospitalized</w:t>
      </w:r>
      <w:r>
        <w:rPr>
          <w:i/>
          <w:iCs/>
          <w:color w:val="000000"/>
          <w:sz w:val="20"/>
          <w:szCs w:val="20"/>
        </w:rPr>
        <w:t xml:space="preserve"> </w:t>
      </w:r>
      <w:r w:rsidRPr="007A1739">
        <w:rPr>
          <w:i/>
          <w:iCs/>
          <w:color w:val="000000"/>
          <w:sz w:val="20"/>
          <w:szCs w:val="20"/>
        </w:rPr>
        <w:t xml:space="preserve">patients. </w:t>
      </w:r>
      <w:r w:rsidRPr="007A1739">
        <w:rPr>
          <w:color w:val="000000"/>
          <w:sz w:val="20"/>
          <w:szCs w:val="20"/>
        </w:rPr>
        <w:t xml:space="preserve">MMWR Morb Mortal Wkly Rep, 2014. </w:t>
      </w:r>
      <w:r w:rsidRPr="007A1739">
        <w:rPr>
          <w:bCs/>
          <w:color w:val="000000"/>
          <w:sz w:val="20"/>
          <w:szCs w:val="20"/>
        </w:rPr>
        <w:t>63</w:t>
      </w:r>
      <w:r w:rsidRPr="007A1739">
        <w:rPr>
          <w:color w:val="000000"/>
          <w:sz w:val="20"/>
          <w:szCs w:val="20"/>
        </w:rPr>
        <w:t>(9): p. 194-200.</w:t>
      </w:r>
    </w:p>
  </w:footnote>
  <w:footnote w:id="5">
    <w:p w14:paraId="7FE14421"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Ingram, P.R., et al., </w:t>
      </w:r>
      <w:r w:rsidRPr="007A1739">
        <w:rPr>
          <w:i/>
          <w:iCs/>
          <w:color w:val="000000"/>
          <w:sz w:val="20"/>
          <w:szCs w:val="20"/>
        </w:rPr>
        <w:t>Point-prevalence study of inappropriate antibiotic use at a</w:t>
      </w:r>
      <w:r>
        <w:rPr>
          <w:i/>
          <w:iCs/>
          <w:color w:val="000000"/>
          <w:sz w:val="20"/>
          <w:szCs w:val="20"/>
        </w:rPr>
        <w:t xml:space="preserve"> </w:t>
      </w:r>
      <w:r w:rsidRPr="007A1739">
        <w:rPr>
          <w:i/>
          <w:iCs/>
          <w:color w:val="000000"/>
          <w:sz w:val="20"/>
          <w:szCs w:val="20"/>
        </w:rPr>
        <w:t xml:space="preserve">tertiary Australian hospital. </w:t>
      </w:r>
      <w:r w:rsidRPr="007A1739">
        <w:rPr>
          <w:color w:val="000000"/>
          <w:sz w:val="20"/>
          <w:szCs w:val="20"/>
        </w:rPr>
        <w:t xml:space="preserve">Intern Med J, 2012. </w:t>
      </w:r>
      <w:r w:rsidRPr="007A1739">
        <w:rPr>
          <w:bCs/>
          <w:color w:val="000000"/>
          <w:sz w:val="20"/>
          <w:szCs w:val="20"/>
        </w:rPr>
        <w:t>42</w:t>
      </w:r>
      <w:r w:rsidRPr="007A1739">
        <w:rPr>
          <w:color w:val="000000"/>
          <w:sz w:val="20"/>
          <w:szCs w:val="20"/>
        </w:rPr>
        <w:t>(6): p. 719-21.</w:t>
      </w:r>
    </w:p>
  </w:footnote>
  <w:footnote w:id="6">
    <w:p w14:paraId="7FFFA2AA"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Levin, P.D., et al., </w:t>
      </w:r>
      <w:r w:rsidRPr="007A1739">
        <w:rPr>
          <w:i/>
          <w:iCs/>
          <w:color w:val="000000"/>
          <w:sz w:val="20"/>
          <w:szCs w:val="20"/>
        </w:rPr>
        <w:t>Antimicrobial use in the ICU: indications and accuracy</w:t>
      </w:r>
      <w:r>
        <w:rPr>
          <w:i/>
          <w:iCs/>
          <w:color w:val="000000"/>
          <w:sz w:val="20"/>
          <w:szCs w:val="20"/>
        </w:rPr>
        <w:t>—</w:t>
      </w:r>
      <w:r w:rsidRPr="007A1739">
        <w:rPr>
          <w:i/>
          <w:iCs/>
          <w:color w:val="000000"/>
          <w:sz w:val="20"/>
          <w:szCs w:val="20"/>
        </w:rPr>
        <w:t>an</w:t>
      </w:r>
      <w:r>
        <w:rPr>
          <w:i/>
          <w:iCs/>
          <w:color w:val="000000"/>
          <w:sz w:val="20"/>
          <w:szCs w:val="20"/>
        </w:rPr>
        <w:t xml:space="preserve"> </w:t>
      </w:r>
      <w:r w:rsidRPr="007A1739">
        <w:rPr>
          <w:i/>
          <w:iCs/>
          <w:color w:val="000000"/>
          <w:sz w:val="20"/>
          <w:szCs w:val="20"/>
        </w:rPr>
        <w:t xml:space="preserve">observational trial. </w:t>
      </w:r>
      <w:r w:rsidRPr="007A1739">
        <w:rPr>
          <w:color w:val="000000"/>
          <w:sz w:val="20"/>
          <w:szCs w:val="20"/>
        </w:rPr>
        <w:t xml:space="preserve">J Hosp Med, 2012. </w:t>
      </w:r>
      <w:r w:rsidRPr="007A1739">
        <w:rPr>
          <w:bCs/>
          <w:color w:val="000000"/>
          <w:sz w:val="20"/>
          <w:szCs w:val="20"/>
        </w:rPr>
        <w:t>7</w:t>
      </w:r>
      <w:r w:rsidRPr="007A1739">
        <w:rPr>
          <w:color w:val="000000"/>
          <w:sz w:val="20"/>
          <w:szCs w:val="20"/>
        </w:rPr>
        <w:t>(9): p. 672-8.</w:t>
      </w:r>
    </w:p>
  </w:footnote>
  <w:footnote w:id="7">
    <w:p w14:paraId="0D105D8E"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Patel, S.J., et al., </w:t>
      </w:r>
      <w:r w:rsidRPr="007A1739">
        <w:rPr>
          <w:i/>
          <w:iCs/>
          <w:color w:val="000000"/>
          <w:sz w:val="20"/>
          <w:szCs w:val="20"/>
        </w:rPr>
        <w:t>Antibiotic use in neonatal intensive care units and adherence</w:t>
      </w:r>
      <w:r>
        <w:rPr>
          <w:i/>
          <w:iCs/>
          <w:color w:val="000000"/>
          <w:sz w:val="20"/>
          <w:szCs w:val="20"/>
        </w:rPr>
        <w:t xml:space="preserve"> </w:t>
      </w:r>
      <w:r w:rsidRPr="007A1739">
        <w:rPr>
          <w:i/>
          <w:iCs/>
          <w:color w:val="000000"/>
          <w:sz w:val="20"/>
          <w:szCs w:val="20"/>
        </w:rPr>
        <w:t>with Centers for Disease Control and Prevention 12 Step Campaign to Prevent</w:t>
      </w:r>
      <w:r>
        <w:rPr>
          <w:i/>
          <w:iCs/>
          <w:color w:val="000000"/>
          <w:sz w:val="20"/>
          <w:szCs w:val="20"/>
        </w:rPr>
        <w:t xml:space="preserve"> </w:t>
      </w:r>
      <w:r w:rsidRPr="007A1739">
        <w:rPr>
          <w:i/>
          <w:iCs/>
          <w:color w:val="000000"/>
          <w:sz w:val="20"/>
          <w:szCs w:val="20"/>
        </w:rPr>
        <w:t xml:space="preserve">Antimicrobial Resistance. </w:t>
      </w:r>
      <w:r w:rsidRPr="007A1739">
        <w:rPr>
          <w:color w:val="000000"/>
          <w:sz w:val="20"/>
          <w:szCs w:val="20"/>
        </w:rPr>
        <w:t xml:space="preserve">Pediatr Infect Dis J, 2009. </w:t>
      </w:r>
      <w:r w:rsidRPr="007A1739">
        <w:rPr>
          <w:bCs/>
          <w:color w:val="000000"/>
          <w:sz w:val="20"/>
          <w:szCs w:val="20"/>
        </w:rPr>
        <w:t>28</w:t>
      </w:r>
      <w:r w:rsidRPr="007A1739">
        <w:rPr>
          <w:color w:val="000000"/>
          <w:sz w:val="20"/>
          <w:szCs w:val="20"/>
        </w:rPr>
        <w:t>(12): p. 1047-51.</w:t>
      </w:r>
    </w:p>
  </w:footnote>
  <w:footnote w:id="8">
    <w:p w14:paraId="47E1C58F"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Hensgens, M.P., et al., </w:t>
      </w:r>
      <w:r w:rsidRPr="007A1739">
        <w:rPr>
          <w:i/>
          <w:iCs/>
          <w:color w:val="000000"/>
          <w:sz w:val="20"/>
          <w:szCs w:val="20"/>
        </w:rPr>
        <w:t>Time interval of increased risk for Clostridium difficile</w:t>
      </w:r>
      <w:r>
        <w:rPr>
          <w:i/>
          <w:iCs/>
          <w:color w:val="000000"/>
          <w:sz w:val="20"/>
          <w:szCs w:val="20"/>
        </w:rPr>
        <w:t xml:space="preserve"> </w:t>
      </w:r>
      <w:r w:rsidRPr="007A1739">
        <w:rPr>
          <w:i/>
          <w:iCs/>
          <w:color w:val="000000"/>
          <w:sz w:val="20"/>
          <w:szCs w:val="20"/>
        </w:rPr>
        <w:t xml:space="preserve">infection after exposure to antibiotics. </w:t>
      </w:r>
      <w:r w:rsidRPr="007A1739">
        <w:rPr>
          <w:color w:val="000000"/>
          <w:sz w:val="20"/>
          <w:szCs w:val="20"/>
        </w:rPr>
        <w:t xml:space="preserve">J Antimicrob Chemother, 2012. </w:t>
      </w:r>
      <w:r w:rsidRPr="007A1739">
        <w:rPr>
          <w:bCs/>
          <w:color w:val="000000"/>
          <w:sz w:val="20"/>
          <w:szCs w:val="20"/>
        </w:rPr>
        <w:t>67</w:t>
      </w:r>
      <w:r w:rsidRPr="007A1739">
        <w:rPr>
          <w:color w:val="000000"/>
          <w:sz w:val="20"/>
          <w:szCs w:val="20"/>
        </w:rPr>
        <w:t>(3): p.742-8.</w:t>
      </w:r>
    </w:p>
  </w:footnote>
  <w:footnote w:id="9">
    <w:p w14:paraId="3B64E8E6" w14:textId="77777777" w:rsidR="00283E7E" w:rsidRPr="007A1739" w:rsidRDefault="00283E7E" w:rsidP="007A1739">
      <w:pPr>
        <w:autoSpaceDE w:val="0"/>
        <w:autoSpaceDN w:val="0"/>
        <w:adjustRightInd w:val="0"/>
        <w:rPr>
          <w:sz w:val="20"/>
          <w:szCs w:val="20"/>
        </w:rPr>
      </w:pPr>
      <w:r w:rsidRPr="007A1739">
        <w:rPr>
          <w:rStyle w:val="FootnoteReference"/>
          <w:sz w:val="20"/>
          <w:szCs w:val="20"/>
        </w:rPr>
        <w:footnoteRef/>
      </w:r>
      <w:r w:rsidRPr="007A1739">
        <w:rPr>
          <w:sz w:val="20"/>
          <w:szCs w:val="20"/>
        </w:rPr>
        <w:t xml:space="preserve"> </w:t>
      </w:r>
      <w:r w:rsidRPr="007A1739">
        <w:rPr>
          <w:color w:val="000000"/>
          <w:sz w:val="20"/>
          <w:szCs w:val="20"/>
        </w:rPr>
        <w:t xml:space="preserve">Center for Disease Control and Prevention, N.C.f.E.a.Z.I.D. </w:t>
      </w:r>
      <w:r w:rsidRPr="007A1739">
        <w:rPr>
          <w:i/>
          <w:iCs/>
          <w:color w:val="000000"/>
          <w:sz w:val="20"/>
          <w:szCs w:val="20"/>
        </w:rPr>
        <w:t>Making Healthcare</w:t>
      </w:r>
      <w:r>
        <w:rPr>
          <w:i/>
          <w:iCs/>
          <w:color w:val="000000"/>
          <w:sz w:val="20"/>
          <w:szCs w:val="20"/>
        </w:rPr>
        <w:t xml:space="preserve"> </w:t>
      </w:r>
      <w:r w:rsidRPr="007A1739">
        <w:rPr>
          <w:i/>
          <w:iCs/>
          <w:color w:val="000000"/>
          <w:sz w:val="20"/>
          <w:szCs w:val="20"/>
        </w:rPr>
        <w:t>Safer: Stop Spread of Antibiotic Resistance</w:t>
      </w:r>
      <w:r w:rsidRPr="007A1739">
        <w:rPr>
          <w:color w:val="000000"/>
          <w:sz w:val="20"/>
          <w:szCs w:val="20"/>
        </w:rPr>
        <w:t>. CDC Vital Signs August 2015;</w:t>
      </w:r>
      <w:r>
        <w:rPr>
          <w:color w:val="000000"/>
          <w:sz w:val="20"/>
          <w:szCs w:val="20"/>
        </w:rPr>
        <w:t xml:space="preserve"> </w:t>
      </w:r>
      <w:r w:rsidRPr="007A1739">
        <w:rPr>
          <w:color w:val="000000"/>
          <w:sz w:val="20"/>
          <w:szCs w:val="20"/>
        </w:rPr>
        <w:t xml:space="preserve">Available from: </w:t>
      </w:r>
      <w:r w:rsidRPr="007A1739">
        <w:rPr>
          <w:color w:val="0000FF"/>
          <w:sz w:val="20"/>
          <w:szCs w:val="20"/>
        </w:rPr>
        <w:t>http://www.cdc.gov/vitalsigns/pdf/2015-08-vitalsigns.pdf</w:t>
      </w:r>
      <w:r w:rsidRPr="007A1739">
        <w:rPr>
          <w:color w:val="000000"/>
          <w:sz w:val="20"/>
          <w:szCs w:val="20"/>
        </w:rPr>
        <w:t>.</w:t>
      </w:r>
    </w:p>
  </w:footnote>
  <w:footnote w:id="10">
    <w:p w14:paraId="29479340" w14:textId="77777777" w:rsidR="00283E7E" w:rsidRPr="007A1739" w:rsidRDefault="00283E7E">
      <w:pPr>
        <w:pStyle w:val="FootnoteText"/>
      </w:pPr>
      <w:r w:rsidRPr="007A1739">
        <w:rPr>
          <w:rStyle w:val="FootnoteReference"/>
        </w:rPr>
        <w:footnoteRef/>
      </w:r>
      <w:r w:rsidRPr="007A1739">
        <w:t xml:space="preserve"> DePalo, V.A., et al., </w:t>
      </w:r>
      <w:r w:rsidRPr="007A1739">
        <w:rPr>
          <w:i/>
          <w:iCs/>
        </w:rPr>
        <w:t xml:space="preserve">The Rhode Island ICU collaborative: a model for reducing central line-associated bloodstream infection and ventilator-associated pneumonia statewide. </w:t>
      </w:r>
      <w:r w:rsidRPr="007A1739">
        <w:t xml:space="preserve">Qual Saf Health Care, 2010. </w:t>
      </w:r>
      <w:r w:rsidRPr="007A1739">
        <w:rPr>
          <w:bCs/>
        </w:rPr>
        <w:t>19</w:t>
      </w:r>
      <w:r w:rsidRPr="007A1739">
        <w:t>(6): p. 555-61.</w:t>
      </w:r>
    </w:p>
  </w:footnote>
  <w:footnote w:id="11">
    <w:p w14:paraId="39E8D3F8" w14:textId="77777777" w:rsidR="00283E7E" w:rsidRPr="007A1739" w:rsidRDefault="00283E7E">
      <w:pPr>
        <w:pStyle w:val="FootnoteText"/>
      </w:pPr>
      <w:r w:rsidRPr="007A1739">
        <w:rPr>
          <w:rStyle w:val="FootnoteReference"/>
        </w:rPr>
        <w:footnoteRef/>
      </w:r>
      <w:r w:rsidRPr="007A1739">
        <w:t xml:space="preserve"> Pronovost, P., et al., </w:t>
      </w:r>
      <w:r w:rsidRPr="007A1739">
        <w:rPr>
          <w:i/>
          <w:iCs/>
        </w:rPr>
        <w:t xml:space="preserve">An intervention to decrease catheter-related bloodstream infections in the ICU. </w:t>
      </w:r>
      <w:r w:rsidRPr="007A1739">
        <w:t xml:space="preserve">N Engl J Med, 2006. </w:t>
      </w:r>
      <w:r w:rsidRPr="007A1739">
        <w:rPr>
          <w:bCs/>
        </w:rPr>
        <w:t>355</w:t>
      </w:r>
      <w:r w:rsidRPr="007A1739">
        <w:t>(26): p. 2725-32.</w:t>
      </w:r>
    </w:p>
  </w:footnote>
  <w:footnote w:id="12">
    <w:p w14:paraId="3418A324" w14:textId="77777777" w:rsidR="00283E7E" w:rsidRDefault="00283E7E">
      <w:pPr>
        <w:pStyle w:val="FootnoteText"/>
      </w:pPr>
      <w:r w:rsidRPr="007A1739">
        <w:rPr>
          <w:rStyle w:val="FootnoteReference"/>
        </w:rPr>
        <w:footnoteRef/>
      </w:r>
      <w:r w:rsidRPr="007A1739">
        <w:t xml:space="preserve"> Quality, A.f.H.R.a. </w:t>
      </w:r>
      <w:r w:rsidRPr="007A1739">
        <w:rPr>
          <w:i/>
          <w:iCs/>
        </w:rPr>
        <w:t>Eliminating CLABSI, A National Patient Safety Imperative: Final Report</w:t>
      </w:r>
      <w:r w:rsidRPr="007A1739">
        <w:t xml:space="preserve">. January 2013 [cited 2016 February 29]; Available from: </w:t>
      </w:r>
      <w:hyperlink r:id="rId1" w:history="1">
        <w:r w:rsidRPr="00803791">
          <w:rPr>
            <w:rStyle w:val="Hyperlink"/>
          </w:rPr>
          <w:t>http://www.ahrq.gov/professionals/quality-patient-safety/cusp/clabsi-final/index.html</w:t>
        </w:r>
      </w:hyperlink>
    </w:p>
    <w:p w14:paraId="303771F2" w14:textId="77777777" w:rsidR="00283E7E" w:rsidRPr="007A1739" w:rsidRDefault="00283E7E" w:rsidP="007A1739">
      <w:pPr>
        <w:pStyle w:val="FootnoteText"/>
        <w:jc w:val="cen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FA4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A7CFE"/>
    <w:multiLevelType w:val="hybridMultilevel"/>
    <w:tmpl w:val="DC4C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D6D6A"/>
    <w:multiLevelType w:val="hybridMultilevel"/>
    <w:tmpl w:val="9312C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C7048"/>
    <w:multiLevelType w:val="hybridMultilevel"/>
    <w:tmpl w:val="5D365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7632F6"/>
    <w:multiLevelType w:val="hybridMultilevel"/>
    <w:tmpl w:val="A6B05B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863E75"/>
    <w:multiLevelType w:val="hybridMultilevel"/>
    <w:tmpl w:val="23B6478C"/>
    <w:lvl w:ilvl="0" w:tplc="752EE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0B4A36"/>
    <w:multiLevelType w:val="hybridMultilevel"/>
    <w:tmpl w:val="77AA2D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B3C0E"/>
    <w:multiLevelType w:val="hybridMultilevel"/>
    <w:tmpl w:val="5D365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584802"/>
    <w:multiLevelType w:val="hybridMultilevel"/>
    <w:tmpl w:val="A6B05B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326627D4"/>
    <w:multiLevelType w:val="hybridMultilevel"/>
    <w:tmpl w:val="D06A1A0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DF467D"/>
    <w:multiLevelType w:val="hybridMultilevel"/>
    <w:tmpl w:val="EF845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5511F0"/>
    <w:multiLevelType w:val="hybridMultilevel"/>
    <w:tmpl w:val="A6B05B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1F5EE1"/>
    <w:multiLevelType w:val="hybridMultilevel"/>
    <w:tmpl w:val="3CD2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0">
    <w:nsid w:val="5B8132EC"/>
    <w:multiLevelType w:val="hybridMultilevel"/>
    <w:tmpl w:val="7A38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AD16D9"/>
    <w:multiLevelType w:val="hybridMultilevel"/>
    <w:tmpl w:val="8898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77C46"/>
    <w:multiLevelType w:val="hybridMultilevel"/>
    <w:tmpl w:val="77AA2D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06650"/>
    <w:multiLevelType w:val="hybridMultilevel"/>
    <w:tmpl w:val="054EF1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122FCF"/>
    <w:multiLevelType w:val="hybridMultilevel"/>
    <w:tmpl w:val="371A6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26"/>
  </w:num>
  <w:num w:numId="2">
    <w:abstractNumId w:val="19"/>
  </w:num>
  <w:num w:numId="3">
    <w:abstractNumId w:val="13"/>
  </w:num>
  <w:num w:numId="4">
    <w:abstractNumId w:val="18"/>
  </w:num>
  <w:num w:numId="5">
    <w:abstractNumId w:val="21"/>
  </w:num>
  <w:num w:numId="6">
    <w:abstractNumId w:val="7"/>
  </w:num>
  <w:num w:numId="7">
    <w:abstractNumId w:val="2"/>
  </w:num>
  <w:num w:numId="8">
    <w:abstractNumId w:val="16"/>
  </w:num>
  <w:num w:numId="9">
    <w:abstractNumId w:val="14"/>
  </w:num>
  <w:num w:numId="10">
    <w:abstractNumId w:val="1"/>
  </w:num>
  <w:num w:numId="11">
    <w:abstractNumId w:val="8"/>
  </w:num>
  <w:num w:numId="12">
    <w:abstractNumId w:val="4"/>
  </w:num>
  <w:num w:numId="13">
    <w:abstractNumId w:val="24"/>
  </w:num>
  <w:num w:numId="14">
    <w:abstractNumId w:val="20"/>
  </w:num>
  <w:num w:numId="15">
    <w:abstractNumId w:val="22"/>
  </w:num>
  <w:num w:numId="16">
    <w:abstractNumId w:val="6"/>
  </w:num>
  <w:num w:numId="17">
    <w:abstractNumId w:val="17"/>
  </w:num>
  <w:num w:numId="18">
    <w:abstractNumId w:val="11"/>
  </w:num>
  <w:num w:numId="19">
    <w:abstractNumId w:val="25"/>
  </w:num>
  <w:num w:numId="20">
    <w:abstractNumId w:val="3"/>
  </w:num>
  <w:num w:numId="21">
    <w:abstractNumId w:val="12"/>
  </w:num>
  <w:num w:numId="22">
    <w:abstractNumId w:val="5"/>
  </w:num>
  <w:num w:numId="23">
    <w:abstractNumId w:val="9"/>
  </w:num>
  <w:num w:numId="24">
    <w:abstractNumId w:val="10"/>
  </w:num>
  <w:num w:numId="25">
    <w:abstractNumId w:val="0"/>
  </w:num>
  <w:num w:numId="26">
    <w:abstractNumId w:val="15"/>
  </w:num>
  <w:num w:numId="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C07"/>
    <w:rsid w:val="00005358"/>
    <w:rsid w:val="00011E85"/>
    <w:rsid w:val="00012921"/>
    <w:rsid w:val="00012FB9"/>
    <w:rsid w:val="00015AAF"/>
    <w:rsid w:val="00016177"/>
    <w:rsid w:val="00016560"/>
    <w:rsid w:val="000244EB"/>
    <w:rsid w:val="00024FEE"/>
    <w:rsid w:val="00033301"/>
    <w:rsid w:val="000334DE"/>
    <w:rsid w:val="00034580"/>
    <w:rsid w:val="00037998"/>
    <w:rsid w:val="00041C74"/>
    <w:rsid w:val="00043473"/>
    <w:rsid w:val="00045959"/>
    <w:rsid w:val="000460AA"/>
    <w:rsid w:val="00046359"/>
    <w:rsid w:val="00046F6E"/>
    <w:rsid w:val="0006207D"/>
    <w:rsid w:val="000641B3"/>
    <w:rsid w:val="0006612E"/>
    <w:rsid w:val="00071306"/>
    <w:rsid w:val="000722CE"/>
    <w:rsid w:val="00074B31"/>
    <w:rsid w:val="000769F7"/>
    <w:rsid w:val="000779A9"/>
    <w:rsid w:val="00082047"/>
    <w:rsid w:val="000840CC"/>
    <w:rsid w:val="00085627"/>
    <w:rsid w:val="00094648"/>
    <w:rsid w:val="00095F3B"/>
    <w:rsid w:val="000A016A"/>
    <w:rsid w:val="000A140E"/>
    <w:rsid w:val="000A3475"/>
    <w:rsid w:val="000B78CB"/>
    <w:rsid w:val="000C2BA8"/>
    <w:rsid w:val="000C490F"/>
    <w:rsid w:val="000C6243"/>
    <w:rsid w:val="000D429E"/>
    <w:rsid w:val="000E01D1"/>
    <w:rsid w:val="000E3FB7"/>
    <w:rsid w:val="000E4300"/>
    <w:rsid w:val="000E65BF"/>
    <w:rsid w:val="000E6855"/>
    <w:rsid w:val="000F1328"/>
    <w:rsid w:val="000F2AE2"/>
    <w:rsid w:val="000F2B59"/>
    <w:rsid w:val="000F4A54"/>
    <w:rsid w:val="00104F3E"/>
    <w:rsid w:val="00105AA9"/>
    <w:rsid w:val="001111D6"/>
    <w:rsid w:val="00112DF2"/>
    <w:rsid w:val="00120A0C"/>
    <w:rsid w:val="00124917"/>
    <w:rsid w:val="00125566"/>
    <w:rsid w:val="001301AA"/>
    <w:rsid w:val="00131443"/>
    <w:rsid w:val="00131E5B"/>
    <w:rsid w:val="00135E3C"/>
    <w:rsid w:val="00136013"/>
    <w:rsid w:val="0014301C"/>
    <w:rsid w:val="00143AA5"/>
    <w:rsid w:val="00162728"/>
    <w:rsid w:val="00165DE6"/>
    <w:rsid w:val="00166A69"/>
    <w:rsid w:val="001868E0"/>
    <w:rsid w:val="00187A50"/>
    <w:rsid w:val="001916C6"/>
    <w:rsid w:val="00197272"/>
    <w:rsid w:val="001A28C0"/>
    <w:rsid w:val="001B1C61"/>
    <w:rsid w:val="001B3427"/>
    <w:rsid w:val="001B5923"/>
    <w:rsid w:val="001C06AD"/>
    <w:rsid w:val="001C1E5C"/>
    <w:rsid w:val="001C2BB5"/>
    <w:rsid w:val="001C59E4"/>
    <w:rsid w:val="001C6800"/>
    <w:rsid w:val="001E63C6"/>
    <w:rsid w:val="001F3D06"/>
    <w:rsid w:val="0020064B"/>
    <w:rsid w:val="0020314C"/>
    <w:rsid w:val="00210272"/>
    <w:rsid w:val="00211E70"/>
    <w:rsid w:val="00212B47"/>
    <w:rsid w:val="00214DD5"/>
    <w:rsid w:val="0021671A"/>
    <w:rsid w:val="0022366A"/>
    <w:rsid w:val="00231D00"/>
    <w:rsid w:val="0023294F"/>
    <w:rsid w:val="00233459"/>
    <w:rsid w:val="00233775"/>
    <w:rsid w:val="002403AE"/>
    <w:rsid w:val="00241AF2"/>
    <w:rsid w:val="002520F0"/>
    <w:rsid w:val="002633DD"/>
    <w:rsid w:val="0026424E"/>
    <w:rsid w:val="00264B80"/>
    <w:rsid w:val="00265B6B"/>
    <w:rsid w:val="002665A1"/>
    <w:rsid w:val="0027083C"/>
    <w:rsid w:val="0027090B"/>
    <w:rsid w:val="00272E29"/>
    <w:rsid w:val="00283E7E"/>
    <w:rsid w:val="00285724"/>
    <w:rsid w:val="00291B73"/>
    <w:rsid w:val="00294AE7"/>
    <w:rsid w:val="0029734C"/>
    <w:rsid w:val="002A1DCF"/>
    <w:rsid w:val="002A3F6F"/>
    <w:rsid w:val="002B382B"/>
    <w:rsid w:val="002B7635"/>
    <w:rsid w:val="002C5639"/>
    <w:rsid w:val="002D74BF"/>
    <w:rsid w:val="002D7F74"/>
    <w:rsid w:val="002E54EF"/>
    <w:rsid w:val="002F285E"/>
    <w:rsid w:val="002F4DE8"/>
    <w:rsid w:val="00302210"/>
    <w:rsid w:val="003063EE"/>
    <w:rsid w:val="00307733"/>
    <w:rsid w:val="00322589"/>
    <w:rsid w:val="00325B9C"/>
    <w:rsid w:val="003270FA"/>
    <w:rsid w:val="00330F72"/>
    <w:rsid w:val="0033389C"/>
    <w:rsid w:val="00334D06"/>
    <w:rsid w:val="00340D97"/>
    <w:rsid w:val="0034325D"/>
    <w:rsid w:val="00343F93"/>
    <w:rsid w:val="00350E4E"/>
    <w:rsid w:val="00360CFC"/>
    <w:rsid w:val="00361F52"/>
    <w:rsid w:val="00363525"/>
    <w:rsid w:val="00364867"/>
    <w:rsid w:val="00365B7B"/>
    <w:rsid w:val="00370BAC"/>
    <w:rsid w:val="0037254D"/>
    <w:rsid w:val="0037427A"/>
    <w:rsid w:val="00377301"/>
    <w:rsid w:val="0037771B"/>
    <w:rsid w:val="00377D80"/>
    <w:rsid w:val="0038217D"/>
    <w:rsid w:val="003967CD"/>
    <w:rsid w:val="003A0672"/>
    <w:rsid w:val="003A14B4"/>
    <w:rsid w:val="003A2ADB"/>
    <w:rsid w:val="003A606E"/>
    <w:rsid w:val="003A6468"/>
    <w:rsid w:val="003B21D0"/>
    <w:rsid w:val="003B2951"/>
    <w:rsid w:val="003B5859"/>
    <w:rsid w:val="003B6873"/>
    <w:rsid w:val="003B6B41"/>
    <w:rsid w:val="003C4640"/>
    <w:rsid w:val="003C60BD"/>
    <w:rsid w:val="003D097C"/>
    <w:rsid w:val="003D21A7"/>
    <w:rsid w:val="003D3937"/>
    <w:rsid w:val="003D73D8"/>
    <w:rsid w:val="003E2801"/>
    <w:rsid w:val="003F5921"/>
    <w:rsid w:val="003F7744"/>
    <w:rsid w:val="003F7F8C"/>
    <w:rsid w:val="00402680"/>
    <w:rsid w:val="00407D15"/>
    <w:rsid w:val="004131BC"/>
    <w:rsid w:val="00414A36"/>
    <w:rsid w:val="00414C80"/>
    <w:rsid w:val="004155E1"/>
    <w:rsid w:val="00420AEC"/>
    <w:rsid w:val="00423E8F"/>
    <w:rsid w:val="00424D53"/>
    <w:rsid w:val="00425974"/>
    <w:rsid w:val="00432FD4"/>
    <w:rsid w:val="0043596B"/>
    <w:rsid w:val="00436244"/>
    <w:rsid w:val="004459FD"/>
    <w:rsid w:val="0044769A"/>
    <w:rsid w:val="00450538"/>
    <w:rsid w:val="00452268"/>
    <w:rsid w:val="00456179"/>
    <w:rsid w:val="004614D4"/>
    <w:rsid w:val="004626E9"/>
    <w:rsid w:val="00464B30"/>
    <w:rsid w:val="004670C2"/>
    <w:rsid w:val="00467163"/>
    <w:rsid w:val="00474D22"/>
    <w:rsid w:val="0047504D"/>
    <w:rsid w:val="00476288"/>
    <w:rsid w:val="00480523"/>
    <w:rsid w:val="004811AD"/>
    <w:rsid w:val="004811DF"/>
    <w:rsid w:val="0048366A"/>
    <w:rsid w:val="004847BF"/>
    <w:rsid w:val="0048769A"/>
    <w:rsid w:val="00492F5F"/>
    <w:rsid w:val="004A253F"/>
    <w:rsid w:val="004A624D"/>
    <w:rsid w:val="004B171F"/>
    <w:rsid w:val="004C1DFE"/>
    <w:rsid w:val="004C3BA7"/>
    <w:rsid w:val="004C4A74"/>
    <w:rsid w:val="004C4C52"/>
    <w:rsid w:val="004D0DBD"/>
    <w:rsid w:val="004E16F6"/>
    <w:rsid w:val="004E3A1B"/>
    <w:rsid w:val="004E650A"/>
    <w:rsid w:val="00501308"/>
    <w:rsid w:val="00501370"/>
    <w:rsid w:val="00502C17"/>
    <w:rsid w:val="00502C39"/>
    <w:rsid w:val="00504583"/>
    <w:rsid w:val="00510909"/>
    <w:rsid w:val="00520CE0"/>
    <w:rsid w:val="00521868"/>
    <w:rsid w:val="00523E79"/>
    <w:rsid w:val="00525317"/>
    <w:rsid w:val="00525F8F"/>
    <w:rsid w:val="00527BBD"/>
    <w:rsid w:val="00531857"/>
    <w:rsid w:val="005357C3"/>
    <w:rsid w:val="00535B56"/>
    <w:rsid w:val="00536D59"/>
    <w:rsid w:val="0054079E"/>
    <w:rsid w:val="00541453"/>
    <w:rsid w:val="00555932"/>
    <w:rsid w:val="00556066"/>
    <w:rsid w:val="00561062"/>
    <w:rsid w:val="0056238F"/>
    <w:rsid w:val="00570161"/>
    <w:rsid w:val="00572183"/>
    <w:rsid w:val="0058162F"/>
    <w:rsid w:val="00581FD2"/>
    <w:rsid w:val="00582705"/>
    <w:rsid w:val="00590844"/>
    <w:rsid w:val="0059189B"/>
    <w:rsid w:val="00592AF3"/>
    <w:rsid w:val="00593E67"/>
    <w:rsid w:val="005951E8"/>
    <w:rsid w:val="005A44CD"/>
    <w:rsid w:val="005B2955"/>
    <w:rsid w:val="005B3C01"/>
    <w:rsid w:val="005B62CF"/>
    <w:rsid w:val="005B6FAA"/>
    <w:rsid w:val="005B715B"/>
    <w:rsid w:val="005C1681"/>
    <w:rsid w:val="005C4F72"/>
    <w:rsid w:val="005C72EC"/>
    <w:rsid w:val="005C762B"/>
    <w:rsid w:val="005D6D09"/>
    <w:rsid w:val="005E492D"/>
    <w:rsid w:val="005E49B8"/>
    <w:rsid w:val="005F4B12"/>
    <w:rsid w:val="0060047D"/>
    <w:rsid w:val="006014DB"/>
    <w:rsid w:val="00604437"/>
    <w:rsid w:val="00606400"/>
    <w:rsid w:val="006130BA"/>
    <w:rsid w:val="00613C05"/>
    <w:rsid w:val="006160E9"/>
    <w:rsid w:val="00620B93"/>
    <w:rsid w:val="006211AD"/>
    <w:rsid w:val="00625C1B"/>
    <w:rsid w:val="00626C2D"/>
    <w:rsid w:val="00626D1D"/>
    <w:rsid w:val="00631C81"/>
    <w:rsid w:val="00633677"/>
    <w:rsid w:val="00635119"/>
    <w:rsid w:val="00636A0C"/>
    <w:rsid w:val="00636EEF"/>
    <w:rsid w:val="006414D8"/>
    <w:rsid w:val="006443DD"/>
    <w:rsid w:val="00646624"/>
    <w:rsid w:val="0064723A"/>
    <w:rsid w:val="0065029F"/>
    <w:rsid w:val="00654F33"/>
    <w:rsid w:val="0065583B"/>
    <w:rsid w:val="00655A17"/>
    <w:rsid w:val="006722B0"/>
    <w:rsid w:val="00672A73"/>
    <w:rsid w:val="00673146"/>
    <w:rsid w:val="00673643"/>
    <w:rsid w:val="00674D05"/>
    <w:rsid w:val="0069176B"/>
    <w:rsid w:val="006934CA"/>
    <w:rsid w:val="006A28E1"/>
    <w:rsid w:val="006A4D4E"/>
    <w:rsid w:val="006B0F22"/>
    <w:rsid w:val="006C45D0"/>
    <w:rsid w:val="006D1BEB"/>
    <w:rsid w:val="006D1C5E"/>
    <w:rsid w:val="006D5791"/>
    <w:rsid w:val="006D6164"/>
    <w:rsid w:val="006D7479"/>
    <w:rsid w:val="006D7C70"/>
    <w:rsid w:val="006E0A89"/>
    <w:rsid w:val="006E43EA"/>
    <w:rsid w:val="006E5349"/>
    <w:rsid w:val="006F1B69"/>
    <w:rsid w:val="0070072D"/>
    <w:rsid w:val="00703573"/>
    <w:rsid w:val="00705C8F"/>
    <w:rsid w:val="007109B1"/>
    <w:rsid w:val="00710C91"/>
    <w:rsid w:val="007129F5"/>
    <w:rsid w:val="007208E0"/>
    <w:rsid w:val="007226BE"/>
    <w:rsid w:val="00723075"/>
    <w:rsid w:val="00733323"/>
    <w:rsid w:val="007336F6"/>
    <w:rsid w:val="00734613"/>
    <w:rsid w:val="00735869"/>
    <w:rsid w:val="007374BC"/>
    <w:rsid w:val="00744D19"/>
    <w:rsid w:val="00744E84"/>
    <w:rsid w:val="00747A7E"/>
    <w:rsid w:val="00747D2F"/>
    <w:rsid w:val="00752EA8"/>
    <w:rsid w:val="00753A8A"/>
    <w:rsid w:val="00753D93"/>
    <w:rsid w:val="00753E41"/>
    <w:rsid w:val="00765D1A"/>
    <w:rsid w:val="00767BA0"/>
    <w:rsid w:val="007700A7"/>
    <w:rsid w:val="007721F3"/>
    <w:rsid w:val="007728CE"/>
    <w:rsid w:val="00773900"/>
    <w:rsid w:val="00776654"/>
    <w:rsid w:val="00780979"/>
    <w:rsid w:val="00784A8B"/>
    <w:rsid w:val="00786B01"/>
    <w:rsid w:val="00786E44"/>
    <w:rsid w:val="00790329"/>
    <w:rsid w:val="00791549"/>
    <w:rsid w:val="00794D5E"/>
    <w:rsid w:val="007A0320"/>
    <w:rsid w:val="007A1739"/>
    <w:rsid w:val="007A265C"/>
    <w:rsid w:val="007A37C6"/>
    <w:rsid w:val="007B0CF3"/>
    <w:rsid w:val="007B3A8E"/>
    <w:rsid w:val="007C1ECB"/>
    <w:rsid w:val="007D03F7"/>
    <w:rsid w:val="007D4F9F"/>
    <w:rsid w:val="007D52B2"/>
    <w:rsid w:val="007D66B2"/>
    <w:rsid w:val="007E4359"/>
    <w:rsid w:val="007E47B3"/>
    <w:rsid w:val="007E4DF4"/>
    <w:rsid w:val="007E6716"/>
    <w:rsid w:val="007F3599"/>
    <w:rsid w:val="007F7A36"/>
    <w:rsid w:val="00805877"/>
    <w:rsid w:val="0080612B"/>
    <w:rsid w:val="00811735"/>
    <w:rsid w:val="00817DA0"/>
    <w:rsid w:val="0082220D"/>
    <w:rsid w:val="00825DA9"/>
    <w:rsid w:val="00830154"/>
    <w:rsid w:val="0083145C"/>
    <w:rsid w:val="0084059E"/>
    <w:rsid w:val="00841047"/>
    <w:rsid w:val="008450C0"/>
    <w:rsid w:val="008463CF"/>
    <w:rsid w:val="008573ED"/>
    <w:rsid w:val="00861E61"/>
    <w:rsid w:val="00873F74"/>
    <w:rsid w:val="00880DFE"/>
    <w:rsid w:val="00880F8C"/>
    <w:rsid w:val="00887F65"/>
    <w:rsid w:val="00892655"/>
    <w:rsid w:val="00896D9C"/>
    <w:rsid w:val="008A2A14"/>
    <w:rsid w:val="008A30B9"/>
    <w:rsid w:val="008A61AE"/>
    <w:rsid w:val="008B593F"/>
    <w:rsid w:val="008B7CC6"/>
    <w:rsid w:val="008C580E"/>
    <w:rsid w:val="008D028E"/>
    <w:rsid w:val="008D201C"/>
    <w:rsid w:val="008D4F07"/>
    <w:rsid w:val="008E4FC9"/>
    <w:rsid w:val="008E567E"/>
    <w:rsid w:val="008F0B8B"/>
    <w:rsid w:val="008F5093"/>
    <w:rsid w:val="008F7E01"/>
    <w:rsid w:val="0090143E"/>
    <w:rsid w:val="0090243A"/>
    <w:rsid w:val="00904CC3"/>
    <w:rsid w:val="009162B1"/>
    <w:rsid w:val="0093389A"/>
    <w:rsid w:val="00934E48"/>
    <w:rsid w:val="009374DF"/>
    <w:rsid w:val="00937941"/>
    <w:rsid w:val="009416D7"/>
    <w:rsid w:val="00945E34"/>
    <w:rsid w:val="009537FA"/>
    <w:rsid w:val="00955553"/>
    <w:rsid w:val="00963274"/>
    <w:rsid w:val="00971A60"/>
    <w:rsid w:val="009746A1"/>
    <w:rsid w:val="00980528"/>
    <w:rsid w:val="0098580E"/>
    <w:rsid w:val="009943E2"/>
    <w:rsid w:val="009943E4"/>
    <w:rsid w:val="00994C16"/>
    <w:rsid w:val="009957EF"/>
    <w:rsid w:val="0099646C"/>
    <w:rsid w:val="009A1C0E"/>
    <w:rsid w:val="009A237A"/>
    <w:rsid w:val="009A49A7"/>
    <w:rsid w:val="009A6802"/>
    <w:rsid w:val="009B251D"/>
    <w:rsid w:val="009B3622"/>
    <w:rsid w:val="009B62E3"/>
    <w:rsid w:val="009B633D"/>
    <w:rsid w:val="009C155B"/>
    <w:rsid w:val="009C4881"/>
    <w:rsid w:val="009C607B"/>
    <w:rsid w:val="009D0F7F"/>
    <w:rsid w:val="009D3DBB"/>
    <w:rsid w:val="009D4574"/>
    <w:rsid w:val="009E5077"/>
    <w:rsid w:val="009F1091"/>
    <w:rsid w:val="009F299E"/>
    <w:rsid w:val="009F37BA"/>
    <w:rsid w:val="009F43EA"/>
    <w:rsid w:val="009F597D"/>
    <w:rsid w:val="00A070AD"/>
    <w:rsid w:val="00A1314D"/>
    <w:rsid w:val="00A13D8D"/>
    <w:rsid w:val="00A15D49"/>
    <w:rsid w:val="00A2465B"/>
    <w:rsid w:val="00A30D9A"/>
    <w:rsid w:val="00A32A89"/>
    <w:rsid w:val="00A401EF"/>
    <w:rsid w:val="00A44855"/>
    <w:rsid w:val="00A44891"/>
    <w:rsid w:val="00A4694A"/>
    <w:rsid w:val="00A53D7C"/>
    <w:rsid w:val="00A571F9"/>
    <w:rsid w:val="00A6155E"/>
    <w:rsid w:val="00A64E80"/>
    <w:rsid w:val="00A65884"/>
    <w:rsid w:val="00A7414B"/>
    <w:rsid w:val="00A74E0A"/>
    <w:rsid w:val="00A777E1"/>
    <w:rsid w:val="00A817F5"/>
    <w:rsid w:val="00A835C4"/>
    <w:rsid w:val="00A835E4"/>
    <w:rsid w:val="00A905D8"/>
    <w:rsid w:val="00A94219"/>
    <w:rsid w:val="00AA0B6B"/>
    <w:rsid w:val="00AA1B15"/>
    <w:rsid w:val="00AA1DDC"/>
    <w:rsid w:val="00AA3F0B"/>
    <w:rsid w:val="00AA788A"/>
    <w:rsid w:val="00AB1EB8"/>
    <w:rsid w:val="00AD6516"/>
    <w:rsid w:val="00AE1020"/>
    <w:rsid w:val="00AE1382"/>
    <w:rsid w:val="00AE3C89"/>
    <w:rsid w:val="00AE4702"/>
    <w:rsid w:val="00AF646B"/>
    <w:rsid w:val="00AF7930"/>
    <w:rsid w:val="00B105CD"/>
    <w:rsid w:val="00B138B2"/>
    <w:rsid w:val="00B2166E"/>
    <w:rsid w:val="00B238AD"/>
    <w:rsid w:val="00B257FE"/>
    <w:rsid w:val="00B26450"/>
    <w:rsid w:val="00B27F17"/>
    <w:rsid w:val="00B51378"/>
    <w:rsid w:val="00B519B4"/>
    <w:rsid w:val="00B52533"/>
    <w:rsid w:val="00B61C73"/>
    <w:rsid w:val="00B61FEB"/>
    <w:rsid w:val="00B645ED"/>
    <w:rsid w:val="00B720EC"/>
    <w:rsid w:val="00B7365A"/>
    <w:rsid w:val="00B762E0"/>
    <w:rsid w:val="00B76712"/>
    <w:rsid w:val="00B80669"/>
    <w:rsid w:val="00B825D0"/>
    <w:rsid w:val="00B83929"/>
    <w:rsid w:val="00B915F1"/>
    <w:rsid w:val="00B92B52"/>
    <w:rsid w:val="00BA7DEC"/>
    <w:rsid w:val="00BB1C2F"/>
    <w:rsid w:val="00BB2479"/>
    <w:rsid w:val="00BB7136"/>
    <w:rsid w:val="00BC2E2E"/>
    <w:rsid w:val="00BC5EC6"/>
    <w:rsid w:val="00BD357C"/>
    <w:rsid w:val="00BD6053"/>
    <w:rsid w:val="00BE0430"/>
    <w:rsid w:val="00BF3E48"/>
    <w:rsid w:val="00BF514B"/>
    <w:rsid w:val="00BF735E"/>
    <w:rsid w:val="00C0644C"/>
    <w:rsid w:val="00C07533"/>
    <w:rsid w:val="00C12BF3"/>
    <w:rsid w:val="00C163C6"/>
    <w:rsid w:val="00C205C8"/>
    <w:rsid w:val="00C218DB"/>
    <w:rsid w:val="00C4006D"/>
    <w:rsid w:val="00C4209F"/>
    <w:rsid w:val="00C46919"/>
    <w:rsid w:val="00C65B05"/>
    <w:rsid w:val="00C73F08"/>
    <w:rsid w:val="00C77433"/>
    <w:rsid w:val="00C84911"/>
    <w:rsid w:val="00C854A0"/>
    <w:rsid w:val="00C85EB7"/>
    <w:rsid w:val="00C8638B"/>
    <w:rsid w:val="00C9214F"/>
    <w:rsid w:val="00C924F6"/>
    <w:rsid w:val="00C929D4"/>
    <w:rsid w:val="00C933ED"/>
    <w:rsid w:val="00C93CCC"/>
    <w:rsid w:val="00C9633D"/>
    <w:rsid w:val="00CA059C"/>
    <w:rsid w:val="00CA0D09"/>
    <w:rsid w:val="00CA136B"/>
    <w:rsid w:val="00CA5CDA"/>
    <w:rsid w:val="00CA7470"/>
    <w:rsid w:val="00CB6D49"/>
    <w:rsid w:val="00CC2FEA"/>
    <w:rsid w:val="00CC7166"/>
    <w:rsid w:val="00CD6234"/>
    <w:rsid w:val="00CD655B"/>
    <w:rsid w:val="00CE01D2"/>
    <w:rsid w:val="00CE54F9"/>
    <w:rsid w:val="00CE6533"/>
    <w:rsid w:val="00CE6B10"/>
    <w:rsid w:val="00CF19D6"/>
    <w:rsid w:val="00CF3861"/>
    <w:rsid w:val="00D001F8"/>
    <w:rsid w:val="00D04EFA"/>
    <w:rsid w:val="00D0660C"/>
    <w:rsid w:val="00D07CF6"/>
    <w:rsid w:val="00D106CB"/>
    <w:rsid w:val="00D10D99"/>
    <w:rsid w:val="00D11271"/>
    <w:rsid w:val="00D13437"/>
    <w:rsid w:val="00D150A9"/>
    <w:rsid w:val="00D17FB9"/>
    <w:rsid w:val="00D20C47"/>
    <w:rsid w:val="00D22FEE"/>
    <w:rsid w:val="00D2521F"/>
    <w:rsid w:val="00D27D52"/>
    <w:rsid w:val="00D32DD4"/>
    <w:rsid w:val="00D44D4E"/>
    <w:rsid w:val="00D474B5"/>
    <w:rsid w:val="00D543D5"/>
    <w:rsid w:val="00D57118"/>
    <w:rsid w:val="00D65943"/>
    <w:rsid w:val="00D66E74"/>
    <w:rsid w:val="00D67A20"/>
    <w:rsid w:val="00D71264"/>
    <w:rsid w:val="00D72090"/>
    <w:rsid w:val="00D749E2"/>
    <w:rsid w:val="00D877F3"/>
    <w:rsid w:val="00D9045B"/>
    <w:rsid w:val="00DA097F"/>
    <w:rsid w:val="00DA3BCC"/>
    <w:rsid w:val="00DA3E7C"/>
    <w:rsid w:val="00DA4AE8"/>
    <w:rsid w:val="00DA69BC"/>
    <w:rsid w:val="00DA73A3"/>
    <w:rsid w:val="00DA79B5"/>
    <w:rsid w:val="00DB1BBA"/>
    <w:rsid w:val="00DB3948"/>
    <w:rsid w:val="00DB49A0"/>
    <w:rsid w:val="00DB4C23"/>
    <w:rsid w:val="00DC0C55"/>
    <w:rsid w:val="00DC10BD"/>
    <w:rsid w:val="00DC1D2C"/>
    <w:rsid w:val="00DC3288"/>
    <w:rsid w:val="00DC728E"/>
    <w:rsid w:val="00DD0A49"/>
    <w:rsid w:val="00DD0D2D"/>
    <w:rsid w:val="00DD73D1"/>
    <w:rsid w:val="00DE2E04"/>
    <w:rsid w:val="00DF240D"/>
    <w:rsid w:val="00DF40ED"/>
    <w:rsid w:val="00DF4A5E"/>
    <w:rsid w:val="00DF4F3C"/>
    <w:rsid w:val="00DF4F6F"/>
    <w:rsid w:val="00E06A23"/>
    <w:rsid w:val="00E076A3"/>
    <w:rsid w:val="00E14FC3"/>
    <w:rsid w:val="00E175C4"/>
    <w:rsid w:val="00E24EA6"/>
    <w:rsid w:val="00E2592B"/>
    <w:rsid w:val="00E30599"/>
    <w:rsid w:val="00E329EE"/>
    <w:rsid w:val="00E43EBB"/>
    <w:rsid w:val="00E47851"/>
    <w:rsid w:val="00E52235"/>
    <w:rsid w:val="00E538AD"/>
    <w:rsid w:val="00E56716"/>
    <w:rsid w:val="00E706B3"/>
    <w:rsid w:val="00E738AF"/>
    <w:rsid w:val="00E73A00"/>
    <w:rsid w:val="00E7422B"/>
    <w:rsid w:val="00E74D15"/>
    <w:rsid w:val="00E771C3"/>
    <w:rsid w:val="00E90F16"/>
    <w:rsid w:val="00E962DA"/>
    <w:rsid w:val="00E97584"/>
    <w:rsid w:val="00EA2662"/>
    <w:rsid w:val="00EA3BED"/>
    <w:rsid w:val="00EA608F"/>
    <w:rsid w:val="00EA766F"/>
    <w:rsid w:val="00EB229C"/>
    <w:rsid w:val="00EB5005"/>
    <w:rsid w:val="00EB58F3"/>
    <w:rsid w:val="00EC3197"/>
    <w:rsid w:val="00EC7262"/>
    <w:rsid w:val="00ED0EBB"/>
    <w:rsid w:val="00ED1100"/>
    <w:rsid w:val="00EE29DC"/>
    <w:rsid w:val="00EE4455"/>
    <w:rsid w:val="00EE746E"/>
    <w:rsid w:val="00F00EF3"/>
    <w:rsid w:val="00F04055"/>
    <w:rsid w:val="00F122B9"/>
    <w:rsid w:val="00F161E2"/>
    <w:rsid w:val="00F2110F"/>
    <w:rsid w:val="00F21CD9"/>
    <w:rsid w:val="00F22750"/>
    <w:rsid w:val="00F26DA1"/>
    <w:rsid w:val="00F30508"/>
    <w:rsid w:val="00F30951"/>
    <w:rsid w:val="00F3207F"/>
    <w:rsid w:val="00F35343"/>
    <w:rsid w:val="00F3541A"/>
    <w:rsid w:val="00F43FE9"/>
    <w:rsid w:val="00F46275"/>
    <w:rsid w:val="00F5665F"/>
    <w:rsid w:val="00F603E3"/>
    <w:rsid w:val="00F60488"/>
    <w:rsid w:val="00F631B6"/>
    <w:rsid w:val="00F63BC0"/>
    <w:rsid w:val="00F640FB"/>
    <w:rsid w:val="00F666DD"/>
    <w:rsid w:val="00F70715"/>
    <w:rsid w:val="00F71926"/>
    <w:rsid w:val="00F719B8"/>
    <w:rsid w:val="00F7706B"/>
    <w:rsid w:val="00F772D3"/>
    <w:rsid w:val="00F822C5"/>
    <w:rsid w:val="00F86247"/>
    <w:rsid w:val="00F9475F"/>
    <w:rsid w:val="00F94B00"/>
    <w:rsid w:val="00FA03AD"/>
    <w:rsid w:val="00FA2E89"/>
    <w:rsid w:val="00FA4E42"/>
    <w:rsid w:val="00FA59B8"/>
    <w:rsid w:val="00FA6388"/>
    <w:rsid w:val="00FB0826"/>
    <w:rsid w:val="00FB1488"/>
    <w:rsid w:val="00FB4BFF"/>
    <w:rsid w:val="00FB6500"/>
    <w:rsid w:val="00FC430C"/>
    <w:rsid w:val="00FC7332"/>
    <w:rsid w:val="00FD1D9C"/>
    <w:rsid w:val="00FD4B35"/>
    <w:rsid w:val="00FD6E34"/>
    <w:rsid w:val="00FE0D9B"/>
    <w:rsid w:val="00FF1A56"/>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paragraph" w:styleId="ListParagraph">
    <w:name w:val="List Paragraph"/>
    <w:basedOn w:val="Normal"/>
    <w:uiPriority w:val="34"/>
    <w:qFormat/>
    <w:rsid w:val="004614D4"/>
    <w:pPr>
      <w:ind w:left="720"/>
    </w:pPr>
  </w:style>
  <w:style w:type="paragraph" w:customStyle="1" w:styleId="ColorfulList-Accent110">
    <w:name w:val="Colorful List - Accent 11"/>
    <w:basedOn w:val="Normal"/>
    <w:uiPriority w:val="34"/>
    <w:qFormat/>
    <w:rsid w:val="00AF793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paragraph" w:styleId="ListParagraph">
    <w:name w:val="List Paragraph"/>
    <w:basedOn w:val="Normal"/>
    <w:uiPriority w:val="34"/>
    <w:qFormat/>
    <w:rsid w:val="004614D4"/>
    <w:pPr>
      <w:ind w:left="720"/>
    </w:pPr>
  </w:style>
  <w:style w:type="paragraph" w:customStyle="1" w:styleId="ColorfulList-Accent110">
    <w:name w:val="Colorful List - Accent 11"/>
    <w:basedOn w:val="Normal"/>
    <w:uiPriority w:val="34"/>
    <w:qFormat/>
    <w:rsid w:val="00AF79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13839433">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0302233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7891459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7764040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qinstitute.org/glossa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qinstitute.org/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7/DC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qinstitute.org/glossary" TargetMode="External"/><Relationship Id="rId5" Type="http://schemas.openxmlformats.org/officeDocument/2006/relationships/settings" Target="settings.xml"/><Relationship Id="rId15" Type="http://schemas.openxmlformats.org/officeDocument/2006/relationships/hyperlink" Target="http://www.bls.gov/oes/current/oes_stru.htm" TargetMode="External"/><Relationship Id="rId10" Type="http://schemas.openxmlformats.org/officeDocument/2006/relationships/hyperlink" Target="http://www.ahrq.gov/professionals/quality-patient-safety/hais/index.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hrq.gov/hrqa99.pdf" TargetMode="External"/><Relationship Id="rId14" Type="http://schemas.openxmlformats.org/officeDocument/2006/relationships/hyperlink" Target="http://www.hqinstitute.org/glossa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hrq.gov/professionals/quality-patient-safety/cusp/clabsi-fin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03BFE-D8D8-4064-A0AE-21846FF4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42014</CharactersWithSpaces>
  <SharedDoc>false</SharedDoc>
  <HLinks>
    <vt:vector size="180" baseType="variant">
      <vt:variant>
        <vt:i4>1703963</vt:i4>
      </vt:variant>
      <vt:variant>
        <vt:i4>150</vt:i4>
      </vt:variant>
      <vt:variant>
        <vt:i4>0</vt:i4>
      </vt:variant>
      <vt:variant>
        <vt:i4>5</vt:i4>
      </vt:variant>
      <vt:variant>
        <vt:lpwstr>https://www.opm.gov/policy-data-oversight/pay-leave/salaries-wages/salary-tables/pdf/2017/DCB.pdf</vt:lpwstr>
      </vt:variant>
      <vt:variant>
        <vt:lpwstr/>
      </vt:variant>
      <vt:variant>
        <vt:i4>7340045</vt:i4>
      </vt:variant>
      <vt:variant>
        <vt:i4>147</vt:i4>
      </vt:variant>
      <vt:variant>
        <vt:i4>0</vt:i4>
      </vt:variant>
      <vt:variant>
        <vt:i4>5</vt:i4>
      </vt:variant>
      <vt:variant>
        <vt:lpwstr>http://www.bls.gov/oes/current/oes_stru.htm</vt:lpwstr>
      </vt:variant>
      <vt:variant>
        <vt:lpwstr/>
      </vt:variant>
      <vt:variant>
        <vt:i4>2162742</vt:i4>
      </vt:variant>
      <vt:variant>
        <vt:i4>144</vt:i4>
      </vt:variant>
      <vt:variant>
        <vt:i4>0</vt:i4>
      </vt:variant>
      <vt:variant>
        <vt:i4>5</vt:i4>
      </vt:variant>
      <vt:variant>
        <vt:lpwstr>http://www.hqinstitute.org/glossary</vt:lpwstr>
      </vt:variant>
      <vt:variant>
        <vt:lpwstr/>
      </vt:variant>
      <vt:variant>
        <vt:i4>2162742</vt:i4>
      </vt:variant>
      <vt:variant>
        <vt:i4>141</vt:i4>
      </vt:variant>
      <vt:variant>
        <vt:i4>0</vt:i4>
      </vt:variant>
      <vt:variant>
        <vt:i4>5</vt:i4>
      </vt:variant>
      <vt:variant>
        <vt:lpwstr>http://www.hqinstitute.org/glossary</vt:lpwstr>
      </vt:variant>
      <vt:variant>
        <vt:lpwstr/>
      </vt:variant>
      <vt:variant>
        <vt:i4>2162742</vt:i4>
      </vt:variant>
      <vt:variant>
        <vt:i4>138</vt:i4>
      </vt:variant>
      <vt:variant>
        <vt:i4>0</vt:i4>
      </vt:variant>
      <vt:variant>
        <vt:i4>5</vt:i4>
      </vt:variant>
      <vt:variant>
        <vt:lpwstr>http://www.hqinstitute.org/glossary</vt:lpwstr>
      </vt:variant>
      <vt:variant>
        <vt:lpwstr/>
      </vt:variant>
      <vt:variant>
        <vt:i4>2162742</vt:i4>
      </vt:variant>
      <vt:variant>
        <vt:i4>135</vt:i4>
      </vt:variant>
      <vt:variant>
        <vt:i4>0</vt:i4>
      </vt:variant>
      <vt:variant>
        <vt:i4>5</vt:i4>
      </vt:variant>
      <vt:variant>
        <vt:lpwstr>http://www.hqinstitute.org/glossary</vt:lpwstr>
      </vt:variant>
      <vt:variant>
        <vt:lpwstr/>
      </vt:variant>
      <vt:variant>
        <vt:i4>1048597</vt:i4>
      </vt:variant>
      <vt:variant>
        <vt:i4>132</vt:i4>
      </vt:variant>
      <vt:variant>
        <vt:i4>0</vt:i4>
      </vt:variant>
      <vt:variant>
        <vt:i4>5</vt:i4>
      </vt:variant>
      <vt:variant>
        <vt:lpwstr>http://www.ahrq.gov/professionals/quality-patient-safety/hais/index.html</vt:lpwstr>
      </vt:variant>
      <vt:variant>
        <vt:lpwstr/>
      </vt:variant>
      <vt:variant>
        <vt:i4>6946866</vt:i4>
      </vt:variant>
      <vt:variant>
        <vt:i4>129</vt:i4>
      </vt:variant>
      <vt:variant>
        <vt:i4>0</vt:i4>
      </vt:variant>
      <vt:variant>
        <vt:i4>5</vt:i4>
      </vt:variant>
      <vt:variant>
        <vt:lpwstr>http://www.ahrq.gov/hrqa99.pdf</vt:lpwstr>
      </vt:variant>
      <vt:variant>
        <vt:lpwstr/>
      </vt:variant>
      <vt:variant>
        <vt:i4>1638460</vt:i4>
      </vt:variant>
      <vt:variant>
        <vt:i4>122</vt:i4>
      </vt:variant>
      <vt:variant>
        <vt:i4>0</vt:i4>
      </vt:variant>
      <vt:variant>
        <vt:i4>5</vt:i4>
      </vt:variant>
      <vt:variant>
        <vt:lpwstr/>
      </vt:variant>
      <vt:variant>
        <vt:lpwstr>_Toc480808866</vt:lpwstr>
      </vt:variant>
      <vt:variant>
        <vt:i4>1638460</vt:i4>
      </vt:variant>
      <vt:variant>
        <vt:i4>116</vt:i4>
      </vt:variant>
      <vt:variant>
        <vt:i4>0</vt:i4>
      </vt:variant>
      <vt:variant>
        <vt:i4>5</vt:i4>
      </vt:variant>
      <vt:variant>
        <vt:lpwstr/>
      </vt:variant>
      <vt:variant>
        <vt:lpwstr>_Toc480808865</vt:lpwstr>
      </vt:variant>
      <vt:variant>
        <vt:i4>1638460</vt:i4>
      </vt:variant>
      <vt:variant>
        <vt:i4>110</vt:i4>
      </vt:variant>
      <vt:variant>
        <vt:i4>0</vt:i4>
      </vt:variant>
      <vt:variant>
        <vt:i4>5</vt:i4>
      </vt:variant>
      <vt:variant>
        <vt:lpwstr/>
      </vt:variant>
      <vt:variant>
        <vt:lpwstr>_Toc480808864</vt:lpwstr>
      </vt:variant>
      <vt:variant>
        <vt:i4>1638460</vt:i4>
      </vt:variant>
      <vt:variant>
        <vt:i4>104</vt:i4>
      </vt:variant>
      <vt:variant>
        <vt:i4>0</vt:i4>
      </vt:variant>
      <vt:variant>
        <vt:i4>5</vt:i4>
      </vt:variant>
      <vt:variant>
        <vt:lpwstr/>
      </vt:variant>
      <vt:variant>
        <vt:lpwstr>_Toc480808863</vt:lpwstr>
      </vt:variant>
      <vt:variant>
        <vt:i4>1638460</vt:i4>
      </vt:variant>
      <vt:variant>
        <vt:i4>98</vt:i4>
      </vt:variant>
      <vt:variant>
        <vt:i4>0</vt:i4>
      </vt:variant>
      <vt:variant>
        <vt:i4>5</vt:i4>
      </vt:variant>
      <vt:variant>
        <vt:lpwstr/>
      </vt:variant>
      <vt:variant>
        <vt:lpwstr>_Toc480808862</vt:lpwstr>
      </vt:variant>
      <vt:variant>
        <vt:i4>1638460</vt:i4>
      </vt:variant>
      <vt:variant>
        <vt:i4>92</vt:i4>
      </vt:variant>
      <vt:variant>
        <vt:i4>0</vt:i4>
      </vt:variant>
      <vt:variant>
        <vt:i4>5</vt:i4>
      </vt:variant>
      <vt:variant>
        <vt:lpwstr/>
      </vt:variant>
      <vt:variant>
        <vt:lpwstr>_Toc480808861</vt:lpwstr>
      </vt:variant>
      <vt:variant>
        <vt:i4>1638460</vt:i4>
      </vt:variant>
      <vt:variant>
        <vt:i4>86</vt:i4>
      </vt:variant>
      <vt:variant>
        <vt:i4>0</vt:i4>
      </vt:variant>
      <vt:variant>
        <vt:i4>5</vt:i4>
      </vt:variant>
      <vt:variant>
        <vt:lpwstr/>
      </vt:variant>
      <vt:variant>
        <vt:lpwstr>_Toc480808860</vt:lpwstr>
      </vt:variant>
      <vt:variant>
        <vt:i4>1703996</vt:i4>
      </vt:variant>
      <vt:variant>
        <vt:i4>80</vt:i4>
      </vt:variant>
      <vt:variant>
        <vt:i4>0</vt:i4>
      </vt:variant>
      <vt:variant>
        <vt:i4>5</vt:i4>
      </vt:variant>
      <vt:variant>
        <vt:lpwstr/>
      </vt:variant>
      <vt:variant>
        <vt:lpwstr>_Toc480808859</vt:lpwstr>
      </vt:variant>
      <vt:variant>
        <vt:i4>1703996</vt:i4>
      </vt:variant>
      <vt:variant>
        <vt:i4>74</vt:i4>
      </vt:variant>
      <vt:variant>
        <vt:i4>0</vt:i4>
      </vt:variant>
      <vt:variant>
        <vt:i4>5</vt:i4>
      </vt:variant>
      <vt:variant>
        <vt:lpwstr/>
      </vt:variant>
      <vt:variant>
        <vt:lpwstr>_Toc480808858</vt:lpwstr>
      </vt:variant>
      <vt:variant>
        <vt:i4>1703996</vt:i4>
      </vt:variant>
      <vt:variant>
        <vt:i4>68</vt:i4>
      </vt:variant>
      <vt:variant>
        <vt:i4>0</vt:i4>
      </vt:variant>
      <vt:variant>
        <vt:i4>5</vt:i4>
      </vt:variant>
      <vt:variant>
        <vt:lpwstr/>
      </vt:variant>
      <vt:variant>
        <vt:lpwstr>_Toc480808857</vt:lpwstr>
      </vt:variant>
      <vt:variant>
        <vt:i4>1703996</vt:i4>
      </vt:variant>
      <vt:variant>
        <vt:i4>62</vt:i4>
      </vt:variant>
      <vt:variant>
        <vt:i4>0</vt:i4>
      </vt:variant>
      <vt:variant>
        <vt:i4>5</vt:i4>
      </vt:variant>
      <vt:variant>
        <vt:lpwstr/>
      </vt:variant>
      <vt:variant>
        <vt:lpwstr>_Toc480808856</vt:lpwstr>
      </vt:variant>
      <vt:variant>
        <vt:i4>1703996</vt:i4>
      </vt:variant>
      <vt:variant>
        <vt:i4>56</vt:i4>
      </vt:variant>
      <vt:variant>
        <vt:i4>0</vt:i4>
      </vt:variant>
      <vt:variant>
        <vt:i4>5</vt:i4>
      </vt:variant>
      <vt:variant>
        <vt:lpwstr/>
      </vt:variant>
      <vt:variant>
        <vt:lpwstr>_Toc480808855</vt:lpwstr>
      </vt:variant>
      <vt:variant>
        <vt:i4>1703996</vt:i4>
      </vt:variant>
      <vt:variant>
        <vt:i4>50</vt:i4>
      </vt:variant>
      <vt:variant>
        <vt:i4>0</vt:i4>
      </vt:variant>
      <vt:variant>
        <vt:i4>5</vt:i4>
      </vt:variant>
      <vt:variant>
        <vt:lpwstr/>
      </vt:variant>
      <vt:variant>
        <vt:lpwstr>_Toc480808854</vt:lpwstr>
      </vt:variant>
      <vt:variant>
        <vt:i4>1703996</vt:i4>
      </vt:variant>
      <vt:variant>
        <vt:i4>44</vt:i4>
      </vt:variant>
      <vt:variant>
        <vt:i4>0</vt:i4>
      </vt:variant>
      <vt:variant>
        <vt:i4>5</vt:i4>
      </vt:variant>
      <vt:variant>
        <vt:lpwstr/>
      </vt:variant>
      <vt:variant>
        <vt:lpwstr>_Toc480808853</vt:lpwstr>
      </vt:variant>
      <vt:variant>
        <vt:i4>1703996</vt:i4>
      </vt:variant>
      <vt:variant>
        <vt:i4>38</vt:i4>
      </vt:variant>
      <vt:variant>
        <vt:i4>0</vt:i4>
      </vt:variant>
      <vt:variant>
        <vt:i4>5</vt:i4>
      </vt:variant>
      <vt:variant>
        <vt:lpwstr/>
      </vt:variant>
      <vt:variant>
        <vt:lpwstr>_Toc480808852</vt:lpwstr>
      </vt:variant>
      <vt:variant>
        <vt:i4>1703996</vt:i4>
      </vt:variant>
      <vt:variant>
        <vt:i4>32</vt:i4>
      </vt:variant>
      <vt:variant>
        <vt:i4>0</vt:i4>
      </vt:variant>
      <vt:variant>
        <vt:i4>5</vt:i4>
      </vt:variant>
      <vt:variant>
        <vt:lpwstr/>
      </vt:variant>
      <vt:variant>
        <vt:lpwstr>_Toc480808851</vt:lpwstr>
      </vt:variant>
      <vt:variant>
        <vt:i4>1703996</vt:i4>
      </vt:variant>
      <vt:variant>
        <vt:i4>26</vt:i4>
      </vt:variant>
      <vt:variant>
        <vt:i4>0</vt:i4>
      </vt:variant>
      <vt:variant>
        <vt:i4>5</vt:i4>
      </vt:variant>
      <vt:variant>
        <vt:lpwstr/>
      </vt:variant>
      <vt:variant>
        <vt:lpwstr>_Toc480808850</vt:lpwstr>
      </vt:variant>
      <vt:variant>
        <vt:i4>1769532</vt:i4>
      </vt:variant>
      <vt:variant>
        <vt:i4>20</vt:i4>
      </vt:variant>
      <vt:variant>
        <vt:i4>0</vt:i4>
      </vt:variant>
      <vt:variant>
        <vt:i4>5</vt:i4>
      </vt:variant>
      <vt:variant>
        <vt:lpwstr/>
      </vt:variant>
      <vt:variant>
        <vt:lpwstr>_Toc480808849</vt:lpwstr>
      </vt:variant>
      <vt:variant>
        <vt:i4>1769532</vt:i4>
      </vt:variant>
      <vt:variant>
        <vt:i4>14</vt:i4>
      </vt:variant>
      <vt:variant>
        <vt:i4>0</vt:i4>
      </vt:variant>
      <vt:variant>
        <vt:i4>5</vt:i4>
      </vt:variant>
      <vt:variant>
        <vt:lpwstr/>
      </vt:variant>
      <vt:variant>
        <vt:lpwstr>_Toc480808848</vt:lpwstr>
      </vt:variant>
      <vt:variant>
        <vt:i4>1769532</vt:i4>
      </vt:variant>
      <vt:variant>
        <vt:i4>8</vt:i4>
      </vt:variant>
      <vt:variant>
        <vt:i4>0</vt:i4>
      </vt:variant>
      <vt:variant>
        <vt:i4>5</vt:i4>
      </vt:variant>
      <vt:variant>
        <vt:lpwstr/>
      </vt:variant>
      <vt:variant>
        <vt:lpwstr>_Toc480808847</vt:lpwstr>
      </vt:variant>
      <vt:variant>
        <vt:i4>1769532</vt:i4>
      </vt:variant>
      <vt:variant>
        <vt:i4>2</vt:i4>
      </vt:variant>
      <vt:variant>
        <vt:i4>0</vt:i4>
      </vt:variant>
      <vt:variant>
        <vt:i4>5</vt:i4>
      </vt:variant>
      <vt:variant>
        <vt:lpwstr/>
      </vt:variant>
      <vt:variant>
        <vt:lpwstr>_Toc480808846</vt:lpwstr>
      </vt:variant>
      <vt:variant>
        <vt:i4>5177432</vt:i4>
      </vt:variant>
      <vt:variant>
        <vt:i4>0</vt:i4>
      </vt:variant>
      <vt:variant>
        <vt:i4>0</vt:i4>
      </vt:variant>
      <vt:variant>
        <vt:i4>5</vt:i4>
      </vt:variant>
      <vt:variant>
        <vt:lpwstr>http://www.ahrq.gov/professionals/quality-patient-safety/cusp/clabsi-final/index.html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SYSTEM</cp:lastModifiedBy>
  <cp:revision>2</cp:revision>
  <cp:lastPrinted>2019-01-23T23:14:00Z</cp:lastPrinted>
  <dcterms:created xsi:type="dcterms:W3CDTF">2019-06-26T18:53:00Z</dcterms:created>
  <dcterms:modified xsi:type="dcterms:W3CDTF">2019-06-26T18:53:00Z</dcterms:modified>
</cp:coreProperties>
</file>