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31"/>
        <w:gridCol w:w="4382"/>
        <w:gridCol w:w="234"/>
        <w:gridCol w:w="235"/>
        <w:gridCol w:w="235"/>
        <w:gridCol w:w="238"/>
        <w:gridCol w:w="180"/>
        <w:gridCol w:w="180"/>
        <w:gridCol w:w="180"/>
        <w:gridCol w:w="270"/>
        <w:gridCol w:w="270"/>
        <w:gridCol w:w="270"/>
        <w:gridCol w:w="306"/>
        <w:gridCol w:w="234"/>
        <w:gridCol w:w="242"/>
        <w:gridCol w:w="236"/>
        <w:gridCol w:w="236"/>
        <w:gridCol w:w="239"/>
        <w:gridCol w:w="236"/>
        <w:gridCol w:w="236"/>
        <w:gridCol w:w="236"/>
        <w:gridCol w:w="239"/>
        <w:gridCol w:w="237"/>
        <w:gridCol w:w="236"/>
        <w:gridCol w:w="236"/>
        <w:gridCol w:w="236"/>
        <w:gridCol w:w="26"/>
      </w:tblGrid>
      <w:tr w:rsidR="00AF6479" w:rsidRPr="0031214E" w:rsidTr="00A43224">
        <w:trPr>
          <w:trHeight w:val="188"/>
          <w:jc w:val="center"/>
        </w:trPr>
        <w:tc>
          <w:tcPr>
            <w:tcW w:w="10516" w:type="dxa"/>
            <w:gridSpan w:val="27"/>
            <w:shd w:val="clear" w:color="000000" w:fill="A3C3B7"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6"/>
              </w:rPr>
            </w:pPr>
            <w:bookmarkStart w:id="0" w:name="_GoBack"/>
            <w:bookmarkEnd w:id="0"/>
          </w:p>
        </w:tc>
      </w:tr>
      <w:tr w:rsidR="00AF6479" w:rsidRPr="0031214E" w:rsidTr="00A72D67">
        <w:trPr>
          <w:trHeight w:val="273"/>
          <w:jc w:val="center"/>
        </w:trPr>
        <w:tc>
          <w:tcPr>
            <w:tcW w:w="431" w:type="dxa"/>
            <w:shd w:val="clear" w:color="000000" w:fill="CCDDD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shd w:val="clear" w:color="000000" w:fill="CCDDD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</w:p>
        </w:tc>
        <w:tc>
          <w:tcPr>
            <w:tcW w:w="942" w:type="dxa"/>
            <w:gridSpan w:val="4"/>
            <w:shd w:val="clear" w:color="000000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2016</w:t>
            </w:r>
          </w:p>
        </w:tc>
        <w:tc>
          <w:tcPr>
            <w:tcW w:w="810" w:type="dxa"/>
            <w:gridSpan w:val="4"/>
            <w:shd w:val="clear" w:color="000000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2017</w:t>
            </w:r>
          </w:p>
        </w:tc>
        <w:tc>
          <w:tcPr>
            <w:tcW w:w="1080" w:type="dxa"/>
            <w:gridSpan w:val="4"/>
            <w:shd w:val="clear" w:color="000000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2018</w:t>
            </w:r>
          </w:p>
        </w:tc>
        <w:tc>
          <w:tcPr>
            <w:tcW w:w="953" w:type="dxa"/>
            <w:gridSpan w:val="4"/>
            <w:shd w:val="clear" w:color="000000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2019</w:t>
            </w:r>
          </w:p>
        </w:tc>
        <w:tc>
          <w:tcPr>
            <w:tcW w:w="947" w:type="dxa"/>
            <w:gridSpan w:val="4"/>
            <w:shd w:val="clear" w:color="000000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2020</w:t>
            </w:r>
          </w:p>
        </w:tc>
        <w:tc>
          <w:tcPr>
            <w:tcW w:w="971" w:type="dxa"/>
            <w:gridSpan w:val="5"/>
            <w:shd w:val="clear" w:color="000000" w:fill="CCDDD6"/>
            <w:vAlign w:val="bottom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2021</w:t>
            </w:r>
          </w:p>
        </w:tc>
      </w:tr>
      <w:tr w:rsidR="00A43224" w:rsidRPr="0031214E" w:rsidTr="00A72D67">
        <w:trPr>
          <w:gridAfter w:val="1"/>
          <w:wAfter w:w="26" w:type="dxa"/>
          <w:trHeight w:val="393"/>
          <w:jc w:val="center"/>
        </w:trPr>
        <w:tc>
          <w:tcPr>
            <w:tcW w:w="431" w:type="dxa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4" w:space="0" w:color="000000" w:themeColor="text1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5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5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8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180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180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180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 w:rsidR="00A43224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4</w:t>
            </w:r>
            <w:r w:rsidR="00A43224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 w:rsidR="00A43224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1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 w:rsidR="00A43224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2</w:t>
            </w:r>
          </w:p>
        </w:tc>
        <w:tc>
          <w:tcPr>
            <w:tcW w:w="306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 w:rsidR="00A43224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3</w:t>
            </w:r>
          </w:p>
        </w:tc>
        <w:tc>
          <w:tcPr>
            <w:tcW w:w="234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42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bottom w:val="single" w:sz="4" w:space="0" w:color="000000" w:themeColor="text1"/>
            </w:tcBorders>
            <w:shd w:val="clear" w:color="000000" w:fill="CCDDD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37" w:type="dxa"/>
            <w:tcBorders>
              <w:bottom w:val="single" w:sz="4" w:space="0" w:color="000000" w:themeColor="text1"/>
            </w:tcBorders>
            <w:shd w:val="clear" w:color="000000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000000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</w:tr>
      <w:tr w:rsidR="00A43224" w:rsidRPr="0031214E" w:rsidTr="00D54839">
        <w:trPr>
          <w:gridAfter w:val="1"/>
          <w:wAfter w:w="26" w:type="dxa"/>
          <w:trHeight w:val="39"/>
          <w:jc w:val="center"/>
        </w:trPr>
        <w:tc>
          <w:tcPr>
            <w:tcW w:w="431" w:type="dxa"/>
            <w:vMerge w:val="restart"/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Pr="0031214E" w:rsidRDefault="00D54839" w:rsidP="00D54839">
            <w:pPr>
              <w:keepNext/>
              <w:keepLines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Cohort 1 (Base Period)</w:t>
            </w: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Pr="00826757" w:rsidRDefault="00AF6479" w:rsidP="00A4322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26757">
              <w:rPr>
                <w:rFonts w:ascii="Arial" w:hAnsi="Arial" w:cs="Arial"/>
                <w:color w:val="000000"/>
                <w:sz w:val="15"/>
                <w:szCs w:val="15"/>
              </w:rPr>
              <w:t>Collect baseline data for Structural Assessment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 in all three care settings</w:t>
            </w:r>
            <w:r w:rsidRPr="00826757">
              <w:rPr>
                <w:rFonts w:ascii="Arial" w:hAnsi="Arial" w:cs="Arial"/>
                <w:color w:val="000000"/>
                <w:sz w:val="15"/>
                <w:szCs w:val="15"/>
              </w:rPr>
              <w:t xml:space="preserve"> at all three IDSs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(TBD, sometime in Fall 2017)</w:t>
            </w:r>
          </w:p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73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Pr="00A43224" w:rsidRDefault="00AF6479" w:rsidP="00A43224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 w:rsidRPr="00826757">
              <w:rPr>
                <w:rFonts w:ascii="Calibri" w:hAnsi="Calibri"/>
                <w:color w:val="000000"/>
                <w:sz w:val="15"/>
                <w:szCs w:val="15"/>
              </w:rPr>
              <w:t>Collect baseline data for HSOPS, MOSOPS, NHSOPS</w:t>
            </w: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 at all three IDSs (TBD, sometime in Fall 2017)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73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D54839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baseline clinical outcome facility (TBD, sometime in Fall 2017)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Conduct baseline week long qualitative interview baseline site visits at each IDS (TBD)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D54839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real-time team antibiotic review forms in acute care only  (TBD-3/31/1</w:t>
            </w:r>
            <w:r w:rsidR="00D54839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intervention clinical outcome facility data (TBD- 4/9/18)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Structural Assessments in all three care settings at all three IDSs (4/2/18-4/13/18)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HSOPS/MOSOPS/NHSOPS at all three IDSs (3/6/18-5/4/18)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week long qualitative interview site visits at each IDS(4/2/18-5/18/18)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Analyze pre/post mixed methods evaluation data (5/28/18-6/15/18)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Draft base period report to AHRQ (7/13/18)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43224" w:rsidRPr="0031214E" w:rsidTr="00A72D67">
        <w:trPr>
          <w:gridAfter w:val="1"/>
          <w:wAfter w:w="26" w:type="dxa"/>
          <w:trHeight w:val="240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auto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Final base period report to AHRQ (8/16/18)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000000" w:themeColor="text1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Cohort 2 (Acute Care)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Data Collection and Analysis Plan due to AHRQ for OY 1 (TBD ~8/1/2017-10/2/2017)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baseline data for Acute Care Structural Assessments (12/1/2017-2/1/2018)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baseline data for HSOPS (12/1/2017-2/1/2018)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F6479" w:rsidRPr="00392381" w:rsidRDefault="00AF6479" w:rsidP="00D54839">
            <w:pPr>
              <w:keepNext/>
              <w:keepLines/>
              <w:rPr>
                <w:rFonts w:ascii="Acute" w:eastAsia="Times New Roman" w:hAnsi="Acute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baseline acute care clinical outcome facility data (1/1/2018-3/1/2018)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D54839" w:rsidRPr="0031214E" w:rsidTr="00D54839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7334B0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real-time team antibiotic review forms during intervention period (3/1/2018-11/30/2018)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2E74B5" w:themeFill="accent1" w:themeFillShade="BF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Pr="006C5AFF" w:rsidRDefault="00AF6479" w:rsidP="00D54839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intervention acute care clinical outcome facility data (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/1/2018-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Acute Care Structural Assessments (12/1/2018-12/21/2018)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22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HSOPS (12/1/2018-12/21/2018)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73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Analyze pre/post mixed methods evaluation data (1/2/2019-1/19/2019)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73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Draft base period report to AHRQ (TBD February 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73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Final base period report to AHRQ (TBD March 2019)</w:t>
            </w:r>
          </w:p>
          <w:p w:rsidR="00A72D67" w:rsidRDefault="00A72D67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A72D67" w:rsidRDefault="00A72D67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A72D67" w:rsidRDefault="00A72D67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A72D67" w:rsidRDefault="00A72D67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339"/>
          <w:jc w:val="center"/>
        </w:trPr>
        <w:tc>
          <w:tcPr>
            <w:tcW w:w="431" w:type="dxa"/>
            <w:shd w:val="clear" w:color="auto" w:fill="CCDDD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2016</w:t>
            </w:r>
          </w:p>
        </w:tc>
        <w:tc>
          <w:tcPr>
            <w:tcW w:w="810" w:type="dxa"/>
            <w:gridSpan w:val="4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Pr="00C14B1A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 w:rsidRPr="00C14B1A"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2017</w:t>
            </w:r>
          </w:p>
        </w:tc>
        <w:tc>
          <w:tcPr>
            <w:tcW w:w="1080" w:type="dxa"/>
            <w:gridSpan w:val="4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Pr="007C0AD3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 w:rsidRPr="007C0AD3"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2018</w:t>
            </w:r>
          </w:p>
        </w:tc>
        <w:tc>
          <w:tcPr>
            <w:tcW w:w="953" w:type="dxa"/>
            <w:gridSpan w:val="4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Pr="007C0AD3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 w:rsidRPr="007C0AD3"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2019</w:t>
            </w:r>
          </w:p>
        </w:tc>
        <w:tc>
          <w:tcPr>
            <w:tcW w:w="947" w:type="dxa"/>
            <w:gridSpan w:val="4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F6479" w:rsidRPr="007C0AD3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 w:rsidRPr="007C0AD3"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2020</w:t>
            </w:r>
          </w:p>
        </w:tc>
        <w:tc>
          <w:tcPr>
            <w:tcW w:w="945" w:type="dxa"/>
            <w:gridSpan w:val="4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CCDDD6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  <w:p w:rsidR="00AF6479" w:rsidRPr="007C0AD3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 w:rsidRPr="007C0AD3"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2021</w:t>
            </w:r>
          </w:p>
        </w:tc>
      </w:tr>
      <w:tr w:rsidR="00A43224" w:rsidRPr="0031214E" w:rsidTr="00A72D67">
        <w:trPr>
          <w:gridAfter w:val="1"/>
          <w:wAfter w:w="26" w:type="dxa"/>
          <w:trHeight w:val="339"/>
          <w:jc w:val="center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uto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uto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3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1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CCDDD6"/>
            <w:noWrap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CCDDD6"/>
            <w:vAlign w:val="center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</w:tr>
      <w:tr w:rsidR="00AF6479" w:rsidRPr="0031214E" w:rsidTr="00A72D67">
        <w:trPr>
          <w:gridAfter w:val="1"/>
          <w:wAfter w:w="26" w:type="dxa"/>
          <w:trHeight w:val="339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Cohort 3 (Long-Term Care)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Data Collection and Analysis Plan due to AHRQ for OY 2 (TBD ~8/1/2018-10/2/2018)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34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baseline data for LTC Structural Assessments (12/1/2018-2/1/2019)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  <w:hideMark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baseline data for NHSOPS (12/1/2018-2/1/2019)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160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Pr="00C14B1A" w:rsidRDefault="00AF6479" w:rsidP="00D54839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baseline LTC clinical outcome facility data (1/1/2019-3/1/2019)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D54839" w:rsidRPr="0031214E" w:rsidTr="00D5483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7E0B7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real-time team antibiotic review forms during intervention period (3/1/2019-11/30/2019)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2E74B5" w:themeFill="accent1" w:themeFillShade="BF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Pr="006C5AFF" w:rsidRDefault="00AF6479" w:rsidP="00D54839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intervention acute care clinical outcome facility data (/1/2019-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LTC Structural Assessments (12/1/2019-12/21/2019)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A72D67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NHSOPS (12/1/2019-12/21/2019)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Analyze pre/post mixed methods evaluation data (1/2/2020-1/19/2020)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51"/>
          <w:jc w:val="center"/>
        </w:trPr>
        <w:tc>
          <w:tcPr>
            <w:tcW w:w="431" w:type="dxa"/>
            <w:vMerge/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bottom w:val="single" w:sz="4" w:space="0" w:color="auto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Draft base period report to AHRQ (TBD February 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31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Final base period report to AHRQ (TBD March 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F6479" w:rsidRPr="0031214E" w:rsidRDefault="00AF6479" w:rsidP="00A43224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Cohort 4 (Ambulatory Care)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7E0B7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Data Collection and Analysis Plan due to AHRQ for OY 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3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(TBD ~8/1/2019-10/2/2019)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baseline data for Amb Care Structural Assessments (12/1/2019-2/1/2020)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baseline data for MOSOPS (12/1/2019-2/1/2020)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Pr="00C14B1A" w:rsidRDefault="00AF6479" w:rsidP="00D54839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baseline Amb care clinical outcome facility data (1/1/2020-3/1/2020)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Pr="007F4C35" w:rsidRDefault="00AF6479" w:rsidP="00D54839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intervention Amb care clinical outcome facility data (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/1/2020-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</w:t>
            </w:r>
            <w:r w:rsidR="007E0B74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/2020)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Amb Care Structural Assessments (12/1/2020-12/21/2020)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uto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MOSOPS (12/1/2020-12/21/2020)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Analyze pre/post mixed methods evaluation data (1/2/2021-1/19/2021)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4472C4" w:themeFill="accent5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left w:val="single" w:sz="4" w:space="0" w:color="auto"/>
              <w:bottom w:val="single" w:sz="4" w:space="0" w:color="A29B96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Draft base period report to AHRQ (TBD February 2021)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4472C4" w:themeFill="accent5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:rsidR="00AF6479" w:rsidRPr="0031214E" w:rsidTr="001A17B9">
        <w:trPr>
          <w:gridAfter w:val="1"/>
          <w:wAfter w:w="26" w:type="dxa"/>
          <w:trHeight w:val="258"/>
          <w:jc w:val="center"/>
        </w:trPr>
        <w:tc>
          <w:tcPr>
            <w:tcW w:w="431" w:type="dxa"/>
            <w:vMerge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F6479" w:rsidRPr="0031214E" w:rsidRDefault="00AF6479" w:rsidP="00A432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29B96"/>
              <w:left w:val="single" w:sz="4" w:space="0" w:color="auto"/>
              <w:right w:val="single" w:sz="4" w:space="0" w:color="A29B96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Final base period report to AHRQ (TBD March 2021)</w:t>
            </w:r>
          </w:p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F6479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29B96"/>
              <w:left w:val="single" w:sz="4" w:space="0" w:color="A29B96"/>
            </w:tcBorders>
            <w:shd w:val="clear" w:color="auto" w:fill="4472C4" w:themeFill="accent5"/>
            <w:vAlign w:val="bottom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</w:tcBorders>
            <w:shd w:val="clear" w:color="auto" w:fill="auto"/>
          </w:tcPr>
          <w:p w:rsidR="00AF6479" w:rsidRPr="0031214E" w:rsidRDefault="00AF6479" w:rsidP="00A4322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</w:tbl>
    <w:p w:rsidR="00AF6479" w:rsidRDefault="00AF6479" w:rsidP="00AF6479"/>
    <w:sectPr w:rsidR="00AF6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3A" w:rsidRDefault="00C7303A" w:rsidP="00AF6479">
      <w:r>
        <w:separator/>
      </w:r>
    </w:p>
  </w:endnote>
  <w:endnote w:type="continuationSeparator" w:id="0">
    <w:p w:rsidR="00C7303A" w:rsidRDefault="00C7303A" w:rsidP="00AF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ut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C7" w:rsidRDefault="00263A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C7" w:rsidRDefault="00263A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C7" w:rsidRDefault="00263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3A" w:rsidRDefault="00C7303A" w:rsidP="00AF6479">
      <w:r>
        <w:separator/>
      </w:r>
    </w:p>
  </w:footnote>
  <w:footnote w:type="continuationSeparator" w:id="0">
    <w:p w:rsidR="00C7303A" w:rsidRDefault="00C7303A" w:rsidP="00AF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C7" w:rsidRDefault="00263A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74" w:rsidRDefault="00D54839">
    <w:pPr>
      <w:pStyle w:val="Header"/>
    </w:pPr>
    <w:r>
      <w:t xml:space="preserve">Attachment P: </w:t>
    </w:r>
    <w:r w:rsidR="007E0B74">
      <w:t>AHRQ SAFETY PROGRAM FOR IMPROVING ANTIBIOTIC USE: Schedule of evaluation activities</w:t>
    </w:r>
    <w:r w:rsidR="00263AC7">
      <w:t>,</w:t>
    </w:r>
    <w:r w:rsidR="007E0B74">
      <w:t xml:space="preserve"> 2017-2021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C7" w:rsidRDefault="00263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264A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F101B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9E69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DEE7CA"/>
    <w:lvl w:ilvl="0">
      <w:start w:val="1"/>
      <w:numFmt w:val="lowerLetter"/>
      <w:pStyle w:val="ListNumber2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2"/>
      </w:rPr>
    </w:lvl>
  </w:abstractNum>
  <w:abstractNum w:abstractNumId="4">
    <w:nsid w:val="FFFFFF80"/>
    <w:multiLevelType w:val="singleLevel"/>
    <w:tmpl w:val="CA2EBF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7274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6AFA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BC81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B6B7E"/>
      </w:rPr>
    </w:lvl>
  </w:abstractNum>
  <w:abstractNum w:abstractNumId="8">
    <w:nsid w:val="FFFFFF88"/>
    <w:multiLevelType w:val="singleLevel"/>
    <w:tmpl w:val="1E146D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E6B4FE1"/>
    <w:multiLevelType w:val="hybridMultilevel"/>
    <w:tmpl w:val="5CE40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C5CD3"/>
    <w:multiLevelType w:val="singleLevel"/>
    <w:tmpl w:val="2D242DDA"/>
    <w:lvl w:ilvl="0">
      <w:start w:val="1"/>
      <w:numFmt w:val="bullet"/>
      <w:pStyle w:val="ListBullet"/>
      <w:lvlText w:val="■"/>
      <w:lvlJc w:val="left"/>
      <w:pPr>
        <w:ind w:left="720" w:hanging="360"/>
      </w:pPr>
      <w:rPr>
        <w:rFonts w:ascii="Garamond" w:hAnsi="Garamond" w:cs="Times New Roman" w:hint="default"/>
        <w:color w:val="8AB3A4"/>
        <w:sz w:val="16"/>
      </w:rPr>
    </w:lvl>
  </w:abstractNum>
  <w:abstractNum w:abstractNumId="11">
    <w:nsid w:val="38FB2464"/>
    <w:multiLevelType w:val="hybridMultilevel"/>
    <w:tmpl w:val="E0F6CECE"/>
    <w:lvl w:ilvl="0" w:tplc="7384F92C">
      <w:start w:val="1"/>
      <w:numFmt w:val="bullet"/>
      <w:pStyle w:val="NORCBullet3"/>
      <w:lvlText w:val="►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AB3A4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A482623"/>
    <w:multiLevelType w:val="hybridMultilevel"/>
    <w:tmpl w:val="8F148AB0"/>
    <w:lvl w:ilvl="0" w:tplc="23AE1696">
      <w:start w:val="1"/>
      <w:numFmt w:val="bullet"/>
      <w:pStyle w:val="TaskInnovationsListBullet1"/>
      <w:lvlText w:val="■"/>
      <w:lvlJc w:val="left"/>
      <w:pPr>
        <w:ind w:left="360" w:hanging="360"/>
      </w:pPr>
      <w:rPr>
        <w:rFonts w:ascii="Garamond" w:hAnsi="Garamond" w:hint="default"/>
        <w:color w:val="000000" w:themeColor="text1"/>
        <w:sz w:val="14"/>
      </w:rPr>
    </w:lvl>
    <w:lvl w:ilvl="1" w:tplc="04090003">
      <w:start w:val="1"/>
      <w:numFmt w:val="bullet"/>
      <w:pStyle w:val="TaskInnovationsListBullet2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643BF"/>
    <w:multiLevelType w:val="hybridMultilevel"/>
    <w:tmpl w:val="7A24571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49E8135C"/>
    <w:multiLevelType w:val="hybridMultilevel"/>
    <w:tmpl w:val="3968D8A6"/>
    <w:lvl w:ilvl="0" w:tplc="F6AE2D6E">
      <w:start w:val="1"/>
      <w:numFmt w:val="bullet"/>
      <w:pStyle w:val="NORCTableBullet2Arial"/>
      <w:lvlText w:val="●"/>
      <w:lvlJc w:val="left"/>
      <w:pPr>
        <w:ind w:left="864" w:hanging="360"/>
      </w:pPr>
      <w:rPr>
        <w:rFonts w:ascii="Arial" w:hAnsi="Arial" w:hint="default"/>
        <w:color w:val="8AB3A4"/>
        <w:position w:val="2"/>
        <w:sz w:val="15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>
    <w:nsid w:val="4EE56B82"/>
    <w:multiLevelType w:val="hybridMultilevel"/>
    <w:tmpl w:val="4A8A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0067D"/>
    <w:multiLevelType w:val="hybridMultilevel"/>
    <w:tmpl w:val="4C6C4804"/>
    <w:lvl w:ilvl="0" w:tplc="1E1201CA">
      <w:start w:val="1"/>
      <w:numFmt w:val="bullet"/>
      <w:pStyle w:val="NORCBullet2"/>
      <w:lvlText w:val="●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AB3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132377"/>
    <w:multiLevelType w:val="hybridMultilevel"/>
    <w:tmpl w:val="5E50933C"/>
    <w:lvl w:ilvl="0" w:tplc="EE12F1D2">
      <w:start w:val="1"/>
      <w:numFmt w:val="bullet"/>
      <w:pStyle w:val="NORCTableBullet1Arial"/>
      <w:lvlText w:val="■"/>
      <w:lvlJc w:val="left"/>
      <w:pPr>
        <w:ind w:left="504" w:hanging="360"/>
      </w:pPr>
      <w:rPr>
        <w:rFonts w:ascii="Arial" w:hAnsi="Arial" w:hint="default"/>
        <w:color w:val="8AB3A4"/>
        <w:position w:val="2"/>
        <w:sz w:val="15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>
    <w:nsid w:val="645C7C8B"/>
    <w:multiLevelType w:val="hybridMultilevel"/>
    <w:tmpl w:val="4A06187C"/>
    <w:lvl w:ilvl="0" w:tplc="C65A1C84">
      <w:start w:val="1"/>
      <w:numFmt w:val="bullet"/>
      <w:pStyle w:val="NORCBullet1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8AB3A4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7"/>
  </w:num>
  <w:num w:numId="16">
    <w:abstractNumId w:val="14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79"/>
    <w:rsid w:val="001A17B9"/>
    <w:rsid w:val="00263AC7"/>
    <w:rsid w:val="002928A2"/>
    <w:rsid w:val="004B3801"/>
    <w:rsid w:val="00556983"/>
    <w:rsid w:val="005A597B"/>
    <w:rsid w:val="00607950"/>
    <w:rsid w:val="007334B0"/>
    <w:rsid w:val="007E0B74"/>
    <w:rsid w:val="00A43224"/>
    <w:rsid w:val="00A72D67"/>
    <w:rsid w:val="00AF6479"/>
    <w:rsid w:val="00C7303A"/>
    <w:rsid w:val="00D54839"/>
    <w:rsid w:val="00E1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79"/>
    <w:pPr>
      <w:spacing w:after="0" w:line="240" w:lineRule="auto"/>
    </w:pPr>
    <w:rPr>
      <w:rFonts w:ascii="Garamond" w:hAnsi="Garamond" w:cs="Times New Roman"/>
    </w:rPr>
  </w:style>
  <w:style w:type="paragraph" w:styleId="Heading1">
    <w:name w:val="heading 1"/>
    <w:basedOn w:val="Normal"/>
    <w:next w:val="Normal"/>
    <w:link w:val="Heading1Char"/>
    <w:uiPriority w:val="5"/>
    <w:qFormat/>
    <w:rsid w:val="00AF6479"/>
    <w:pPr>
      <w:keepNext/>
      <w:keepLines/>
      <w:pBdr>
        <w:top w:val="single" w:sz="4" w:space="9" w:color="8AB3A4"/>
        <w:left w:val="single" w:sz="4" w:space="4" w:color="8AB3A4"/>
        <w:bottom w:val="single" w:sz="4" w:space="1" w:color="8AB3A4"/>
        <w:right w:val="single" w:sz="4" w:space="4" w:color="8AB3A4"/>
      </w:pBdr>
      <w:shd w:val="clear" w:color="auto" w:fill="8AB3A4"/>
      <w:tabs>
        <w:tab w:val="left" w:pos="216"/>
        <w:tab w:val="left" w:pos="1728"/>
      </w:tabs>
      <w:spacing w:before="240" w:after="360" w:line="360" w:lineRule="auto"/>
      <w:ind w:left="86" w:right="86"/>
      <w:outlineLvl w:val="0"/>
    </w:pPr>
    <w:rPr>
      <w:rFonts w:ascii="Arial" w:hAnsi="Arial"/>
      <w:b/>
      <w:bCs/>
      <w:caps/>
      <w:color w:val="000000" w:themeColor="text1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AF6479"/>
    <w:pPr>
      <w:keepNext/>
      <w:keepLines/>
      <w:tabs>
        <w:tab w:val="left" w:pos="504"/>
      </w:tabs>
      <w:spacing w:before="320" w:after="120"/>
      <w:outlineLvl w:val="1"/>
    </w:pPr>
    <w:rPr>
      <w:rFonts w:ascii="Arial" w:hAnsi="Arial"/>
      <w:b/>
      <w:bCs/>
      <w:iCs/>
      <w:caps/>
      <w:color w:val="8AB3A4"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AF6479"/>
    <w:pPr>
      <w:keepNext/>
      <w:tabs>
        <w:tab w:val="left" w:pos="936"/>
      </w:tabs>
      <w:spacing w:before="280" w:after="60"/>
      <w:outlineLvl w:val="2"/>
    </w:pPr>
    <w:rPr>
      <w:rFonts w:ascii="Arial" w:hAnsi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5"/>
    <w:qFormat/>
    <w:rsid w:val="00AF6479"/>
    <w:pPr>
      <w:keepNext/>
      <w:spacing w:before="320" w:after="120"/>
      <w:outlineLvl w:val="3"/>
    </w:pPr>
    <w:rPr>
      <w:rFonts w:ascii="Arial" w:eastAsia="Times New Roman" w:hAnsi="Arial"/>
      <w:bCs/>
      <w:i/>
      <w:color w:val="8AB3A4"/>
      <w:szCs w:val="28"/>
    </w:rPr>
  </w:style>
  <w:style w:type="paragraph" w:styleId="Heading5">
    <w:name w:val="heading 5"/>
    <w:basedOn w:val="Normal"/>
    <w:next w:val="Normal"/>
    <w:link w:val="Heading5Char"/>
    <w:uiPriority w:val="5"/>
    <w:qFormat/>
    <w:rsid w:val="00AF6479"/>
    <w:pPr>
      <w:keepNext/>
      <w:spacing w:before="320" w:after="120"/>
      <w:outlineLvl w:val="4"/>
    </w:pPr>
    <w:rPr>
      <w:rFonts w:ascii="Arial" w:eastAsia="Times New Roman" w:hAnsi="Arial"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AF6479"/>
    <w:rPr>
      <w:rFonts w:ascii="Arial" w:hAnsi="Arial" w:cs="Times New Roman"/>
      <w:b/>
      <w:bCs/>
      <w:caps/>
      <w:color w:val="000000" w:themeColor="text1"/>
      <w:kern w:val="32"/>
      <w:szCs w:val="32"/>
      <w:shd w:val="clear" w:color="auto" w:fill="8AB3A4"/>
    </w:rPr>
  </w:style>
  <w:style w:type="character" w:customStyle="1" w:styleId="Heading2Char">
    <w:name w:val="Heading 2 Char"/>
    <w:basedOn w:val="DefaultParagraphFont"/>
    <w:link w:val="Heading2"/>
    <w:uiPriority w:val="5"/>
    <w:rsid w:val="00AF6479"/>
    <w:rPr>
      <w:rFonts w:ascii="Arial" w:hAnsi="Arial" w:cs="Times New Roman"/>
      <w:b/>
      <w:bCs/>
      <w:iCs/>
      <w:caps/>
      <w:color w:val="8AB3A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AF6479"/>
    <w:rPr>
      <w:rFonts w:ascii="Arial" w:hAnsi="Arial" w:cs="Times New Roman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rsid w:val="00AF6479"/>
    <w:rPr>
      <w:rFonts w:ascii="Arial" w:eastAsia="Times New Roman" w:hAnsi="Arial" w:cs="Times New Roman"/>
      <w:bCs/>
      <w:i/>
      <w:color w:val="8AB3A4"/>
      <w:szCs w:val="28"/>
    </w:rPr>
  </w:style>
  <w:style w:type="character" w:customStyle="1" w:styleId="Heading5Char">
    <w:name w:val="Heading 5 Char"/>
    <w:basedOn w:val="DefaultParagraphFont"/>
    <w:link w:val="Heading5"/>
    <w:uiPriority w:val="5"/>
    <w:rsid w:val="00AF6479"/>
    <w:rPr>
      <w:rFonts w:ascii="Arial" w:eastAsia="Times New Roman" w:hAnsi="Arial" w:cs="Times New Roman"/>
      <w:bCs/>
      <w:iCs/>
      <w:sz w:val="20"/>
      <w:szCs w:val="26"/>
    </w:rPr>
  </w:style>
  <w:style w:type="paragraph" w:styleId="CommentText">
    <w:name w:val="annotation text"/>
    <w:basedOn w:val="Normal"/>
    <w:link w:val="CommentTextChar"/>
    <w:uiPriority w:val="99"/>
    <w:rsid w:val="00AF6479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479"/>
    <w:rPr>
      <w:rFonts w:ascii="Calibri" w:eastAsia="Times New Roman" w:hAnsi="Calibri" w:cs="Times New Roman"/>
      <w:szCs w:val="20"/>
    </w:rPr>
  </w:style>
  <w:style w:type="paragraph" w:customStyle="1" w:styleId="Heading1LessSpace12ptGaramond">
    <w:name w:val="Heading 1 Less Space 12pt Garamond"/>
    <w:basedOn w:val="Heading1"/>
    <w:qFormat/>
    <w:rsid w:val="00AF6479"/>
    <w:pPr>
      <w:pBdr>
        <w:top w:val="single" w:sz="4" w:space="2" w:color="8AB3A4"/>
        <w:bottom w:val="single" w:sz="4" w:space="2" w:color="8AB3A4"/>
      </w:pBdr>
      <w:spacing w:before="0" w:after="0" w:line="240" w:lineRule="auto"/>
    </w:pPr>
  </w:style>
  <w:style w:type="paragraph" w:styleId="ListBullet">
    <w:name w:val="List Bullet"/>
    <w:basedOn w:val="Normal"/>
    <w:rsid w:val="00AF6479"/>
    <w:pPr>
      <w:numPr>
        <w:numId w:val="2"/>
      </w:numPr>
      <w:spacing w:after="140"/>
    </w:pPr>
    <w:rPr>
      <w:rFonts w:eastAsia="Times New Roman"/>
      <w:szCs w:val="20"/>
    </w:rPr>
  </w:style>
  <w:style w:type="character" w:customStyle="1" w:styleId="NORCInlineLevel3ItalicsNoBold">
    <w:name w:val="NORC Inline Level 3 (Italics No Bold)"/>
    <w:qFormat/>
    <w:rsid w:val="00AF6479"/>
    <w:rPr>
      <w:rFonts w:ascii="Garamond" w:hAnsi="Garamond"/>
      <w:b w:val="0"/>
      <w:i/>
      <w:sz w:val="24"/>
    </w:rPr>
  </w:style>
  <w:style w:type="paragraph" w:styleId="Header">
    <w:name w:val="header"/>
    <w:link w:val="HeaderChar"/>
    <w:uiPriority w:val="99"/>
    <w:rsid w:val="00AF6479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6479"/>
    <w:rPr>
      <w:rFonts w:ascii="Arial" w:eastAsia="Times New Roman" w:hAnsi="Arial" w:cs="Times New Roman"/>
      <w:caps/>
      <w:sz w:val="16"/>
    </w:rPr>
  </w:style>
  <w:style w:type="paragraph" w:styleId="Footer">
    <w:name w:val="footer"/>
    <w:link w:val="FooterChar"/>
    <w:rsid w:val="00AF6479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sz w:val="16"/>
    </w:rPr>
  </w:style>
  <w:style w:type="character" w:customStyle="1" w:styleId="FooterChar">
    <w:name w:val="Footer Char"/>
    <w:basedOn w:val="DefaultParagraphFont"/>
    <w:link w:val="Footer"/>
    <w:rsid w:val="00AF6479"/>
    <w:rPr>
      <w:rFonts w:ascii="Arial" w:eastAsia="Times New Roman" w:hAnsi="Arial" w:cs="Times New Roman"/>
      <w:sz w:val="16"/>
    </w:rPr>
  </w:style>
  <w:style w:type="character" w:customStyle="1" w:styleId="NORCOrangeLogoforHeader">
    <w:name w:val="NORC Orange Logo for Header"/>
    <w:qFormat/>
    <w:rsid w:val="00AF6479"/>
    <w:rPr>
      <w:rFonts w:ascii="Arial" w:hAnsi="Arial" w:cs="Arial"/>
      <w:b/>
      <w:color w:val="E87424"/>
      <w:sz w:val="32"/>
    </w:rPr>
  </w:style>
  <w:style w:type="paragraph" w:customStyle="1" w:styleId="NORCTableSubheadArial-White">
    <w:name w:val="NORC Table Subhead Arial - White"/>
    <w:basedOn w:val="NORCTableSubheadingCenterGaramond"/>
    <w:qFormat/>
    <w:rsid w:val="00AF6479"/>
    <w:pPr>
      <w:spacing w:before="40" w:after="40"/>
    </w:pPr>
    <w:rPr>
      <w:rFonts w:ascii="Arial" w:hAnsi="Arial"/>
      <w:sz w:val="20"/>
    </w:rPr>
  </w:style>
  <w:style w:type="paragraph" w:customStyle="1" w:styleId="NORCCaption-Exhibit">
    <w:name w:val="NORC Caption - Exhibit"/>
    <w:qFormat/>
    <w:rsid w:val="00AF6479"/>
    <w:pPr>
      <w:keepNext/>
      <w:keepLines/>
      <w:tabs>
        <w:tab w:val="left" w:pos="1296"/>
        <w:tab w:val="left" w:pos="1800"/>
      </w:tabs>
      <w:spacing w:before="320" w:after="120" w:line="240" w:lineRule="auto"/>
      <w:ind w:left="1296" w:hanging="1296"/>
    </w:pPr>
    <w:rPr>
      <w:rFonts w:ascii="Garamond" w:eastAsia="Times New Roman" w:hAnsi="Garamond" w:cs="AGaramond-Regular"/>
    </w:rPr>
  </w:style>
  <w:style w:type="character" w:customStyle="1" w:styleId="NORCCaption-Color">
    <w:name w:val="NORC Caption - Color"/>
    <w:qFormat/>
    <w:rsid w:val="00AF6479"/>
    <w:rPr>
      <w:rFonts w:ascii="Arial" w:hAnsi="Arial"/>
      <w:b/>
      <w:color w:val="8AB3A4"/>
      <w:sz w:val="22"/>
    </w:rPr>
  </w:style>
  <w:style w:type="paragraph" w:customStyle="1" w:styleId="NORCBullet1">
    <w:name w:val="NORC Bullet 1"/>
    <w:basedOn w:val="ListBullet"/>
    <w:qFormat/>
    <w:rsid w:val="00AF6479"/>
    <w:pPr>
      <w:keepLines/>
      <w:numPr>
        <w:numId w:val="14"/>
      </w:numPr>
    </w:pPr>
    <w:rPr>
      <w:noProof/>
    </w:rPr>
  </w:style>
  <w:style w:type="paragraph" w:customStyle="1" w:styleId="TaskInnovationsListBullet2">
    <w:name w:val="Task Innovations List Bullet 2"/>
    <w:basedOn w:val="TaskInnovationsListBullet1"/>
    <w:qFormat/>
    <w:rsid w:val="00AF6479"/>
    <w:pPr>
      <w:numPr>
        <w:ilvl w:val="1"/>
      </w:numPr>
      <w:ind w:left="882" w:hanging="270"/>
    </w:pPr>
  </w:style>
  <w:style w:type="paragraph" w:customStyle="1" w:styleId="Heading3Garamond">
    <w:name w:val="Heading 3 Garamond"/>
    <w:basedOn w:val="Heading3"/>
    <w:qFormat/>
    <w:rsid w:val="00AF6479"/>
    <w:rPr>
      <w:rFonts w:ascii="Garamond" w:hAnsi="Garamond"/>
    </w:rPr>
  </w:style>
  <w:style w:type="paragraph" w:customStyle="1" w:styleId="NORCTableBodyCenterArial">
    <w:name w:val="NORC Table Body Center (Arial)"/>
    <w:basedOn w:val="Normal"/>
    <w:qFormat/>
    <w:rsid w:val="00AF6479"/>
    <w:pPr>
      <w:tabs>
        <w:tab w:val="left" w:pos="144"/>
      </w:tabs>
      <w:spacing w:before="20" w:after="20"/>
      <w:jc w:val="center"/>
    </w:pPr>
    <w:rPr>
      <w:rFonts w:ascii="Arial" w:eastAsia="Times New Roman" w:hAnsi="Arial"/>
      <w:color w:val="000000"/>
      <w:sz w:val="18"/>
      <w:szCs w:val="20"/>
    </w:rPr>
  </w:style>
  <w:style w:type="paragraph" w:styleId="TOC1">
    <w:name w:val="toc 1"/>
    <w:next w:val="Normal"/>
    <w:uiPriority w:val="39"/>
    <w:rsid w:val="00AF6479"/>
    <w:pPr>
      <w:tabs>
        <w:tab w:val="left" w:pos="504"/>
        <w:tab w:val="right" w:leader="dot" w:pos="9360"/>
      </w:tabs>
      <w:spacing w:before="360" w:after="60" w:line="240" w:lineRule="auto"/>
    </w:pPr>
    <w:rPr>
      <w:rFonts w:ascii="Garamond" w:eastAsia="Times New Roman" w:hAnsi="Garamond" w:cs="Times New Roman"/>
      <w:b/>
      <w:caps/>
      <w:color w:val="000000"/>
      <w:sz w:val="24"/>
    </w:rPr>
  </w:style>
  <w:style w:type="paragraph" w:styleId="TOC2">
    <w:name w:val="toc 2"/>
    <w:next w:val="Normal"/>
    <w:uiPriority w:val="39"/>
    <w:rsid w:val="00AF6479"/>
    <w:pPr>
      <w:tabs>
        <w:tab w:val="left" w:pos="1080"/>
        <w:tab w:val="right" w:leader="dot" w:pos="9360"/>
      </w:tabs>
      <w:spacing w:before="120" w:after="60" w:line="240" w:lineRule="auto"/>
      <w:ind w:left="504"/>
    </w:pPr>
    <w:rPr>
      <w:rFonts w:ascii="Garamond" w:eastAsia="Times New Roman" w:hAnsi="Garamond" w:cs="Times New Roman"/>
      <w:sz w:val="24"/>
    </w:rPr>
  </w:style>
  <w:style w:type="paragraph" w:styleId="TOC3">
    <w:name w:val="toc 3"/>
    <w:next w:val="Normal"/>
    <w:uiPriority w:val="39"/>
    <w:rsid w:val="00AF6479"/>
    <w:pPr>
      <w:tabs>
        <w:tab w:val="left" w:pos="1728"/>
        <w:tab w:val="right" w:leader="dot" w:pos="9360"/>
      </w:tabs>
      <w:spacing w:after="60" w:line="240" w:lineRule="auto"/>
      <w:ind w:left="1800" w:hanging="720"/>
    </w:pPr>
    <w:rPr>
      <w:rFonts w:ascii="Garamond" w:eastAsia="Times New Roman" w:hAnsi="Garamond" w:cs="Times New Roman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AF6479"/>
    <w:pPr>
      <w:spacing w:before="0" w:after="240"/>
    </w:pPr>
    <w:rPr>
      <w:bCs w:val="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F6479"/>
    <w:rPr>
      <w:rFonts w:ascii="Arial" w:hAnsi="Arial" w:cs="Times New Roman"/>
      <w:b/>
      <w:caps/>
      <w:color w:val="000000" w:themeColor="text1"/>
      <w:kern w:val="28"/>
      <w:szCs w:val="32"/>
      <w:shd w:val="clear" w:color="auto" w:fill="8AB3A4"/>
    </w:rPr>
  </w:style>
  <w:style w:type="paragraph" w:customStyle="1" w:styleId="NORCCoverRFPandPDNumber">
    <w:name w:val="NORC Cover RFP and PD Number"/>
    <w:basedOn w:val="Normal"/>
    <w:qFormat/>
    <w:rsid w:val="00AF6479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Arial" w:hAnsi="Arial" w:cs="ArialMT"/>
      <w:caps/>
      <w:color w:val="000000"/>
      <w:spacing w:val="10"/>
      <w:sz w:val="20"/>
      <w:lang w:bidi="en-US"/>
    </w:rPr>
  </w:style>
  <w:style w:type="paragraph" w:customStyle="1" w:styleId="NORCCoverVolume">
    <w:name w:val="NORC Cover Volume"/>
    <w:qFormat/>
    <w:rsid w:val="00AF6479"/>
    <w:pPr>
      <w:spacing w:after="800" w:line="240" w:lineRule="auto"/>
    </w:pPr>
    <w:rPr>
      <w:rFonts w:ascii="Garamond" w:eastAsia="Times New Roman" w:hAnsi="Garamond" w:cs="Times New Roman"/>
      <w:sz w:val="40"/>
    </w:rPr>
  </w:style>
  <w:style w:type="paragraph" w:customStyle="1" w:styleId="NORCCoverTitle">
    <w:name w:val="NORC Cover Title"/>
    <w:qFormat/>
    <w:rsid w:val="00AF6479"/>
    <w:pPr>
      <w:spacing w:after="0" w:line="360" w:lineRule="auto"/>
    </w:pPr>
    <w:rPr>
      <w:rFonts w:ascii="Garamond" w:eastAsia="Times New Roman" w:hAnsi="Garamond" w:cs="Times New Roman"/>
      <w:sz w:val="56"/>
      <w:szCs w:val="24"/>
    </w:rPr>
  </w:style>
  <w:style w:type="paragraph" w:customStyle="1" w:styleId="NORCCoverAddressInformation">
    <w:name w:val="NORC Cover Address Information"/>
    <w:qFormat/>
    <w:rsid w:val="00AF6479"/>
    <w:pPr>
      <w:autoSpaceDE w:val="0"/>
      <w:autoSpaceDN w:val="0"/>
      <w:adjustRightInd w:val="0"/>
      <w:spacing w:after="0" w:line="288" w:lineRule="auto"/>
      <w:textAlignment w:val="center"/>
    </w:pPr>
    <w:rPr>
      <w:rFonts w:ascii="Garamond" w:eastAsia="Times New Roman" w:hAnsi="Garamond" w:cs="AGaramond-Regular"/>
      <w:color w:val="000000"/>
      <w:lang w:bidi="en-US"/>
    </w:rPr>
  </w:style>
  <w:style w:type="paragraph" w:customStyle="1" w:styleId="NORCPresentedto">
    <w:name w:val="NORC Presented to"/>
    <w:qFormat/>
    <w:rsid w:val="00AF647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MT"/>
      <w:caps/>
      <w:color w:val="8AB3A4"/>
      <w:spacing w:val="10"/>
      <w:lang w:bidi="en-US"/>
    </w:rPr>
  </w:style>
  <w:style w:type="paragraph" w:customStyle="1" w:styleId="NORCParagraphHeadingNotinTOC">
    <w:name w:val="NORC Paragraph Heading Not in TOC"/>
    <w:qFormat/>
    <w:rsid w:val="00AF6479"/>
    <w:pPr>
      <w:keepNext/>
      <w:tabs>
        <w:tab w:val="right" w:leader="dot" w:pos="16980"/>
      </w:tabs>
      <w:spacing w:before="320" w:after="60" w:line="240" w:lineRule="auto"/>
      <w:ind w:right="72"/>
    </w:pPr>
    <w:rPr>
      <w:rFonts w:ascii="Arial" w:eastAsia="Times New Roman" w:hAnsi="Arial" w:cs="AGaramond-Regular"/>
      <w:b/>
      <w:caps/>
      <w:color w:val="8AB3A4"/>
      <w:szCs w:val="16"/>
    </w:rPr>
  </w:style>
  <w:style w:type="paragraph" w:customStyle="1" w:styleId="NORCTableBodyLeftGaramond">
    <w:name w:val="NORC Table Body Left (Garamond)"/>
    <w:rsid w:val="00AF6479"/>
    <w:pPr>
      <w:tabs>
        <w:tab w:val="left" w:pos="144"/>
      </w:tabs>
      <w:spacing w:before="20" w:after="20" w:line="240" w:lineRule="auto"/>
    </w:pPr>
    <w:rPr>
      <w:rFonts w:ascii="Garamond" w:eastAsia="Times New Roman" w:hAnsi="Garamond" w:cs="Times New Roman"/>
      <w:color w:val="000000"/>
      <w:sz w:val="20"/>
    </w:rPr>
  </w:style>
  <w:style w:type="character" w:customStyle="1" w:styleId="NORCInlineL1BlackBold">
    <w:name w:val="NORC Inline L1 (Black Bold)"/>
    <w:qFormat/>
    <w:rsid w:val="00AF6479"/>
    <w:rPr>
      <w:rFonts w:ascii="Garamond" w:hAnsi="Garamond"/>
      <w:b/>
      <w:bCs/>
      <w:sz w:val="24"/>
      <w:u w:val="none"/>
    </w:rPr>
  </w:style>
  <w:style w:type="character" w:customStyle="1" w:styleId="NORCInlineL2BoldItalics">
    <w:name w:val="NORC Inline L2 (Bold Italics)"/>
    <w:qFormat/>
    <w:rsid w:val="00AF6479"/>
    <w:rPr>
      <w:rFonts w:ascii="Garamond" w:hAnsi="Garamond"/>
      <w:b/>
      <w:i/>
      <w:color w:val="8AB3A4"/>
      <w:sz w:val="24"/>
    </w:rPr>
  </w:style>
  <w:style w:type="paragraph" w:customStyle="1" w:styleId="NORCBullet3">
    <w:name w:val="NORC Bullet 3"/>
    <w:qFormat/>
    <w:rsid w:val="00AF6479"/>
    <w:pPr>
      <w:keepLines/>
      <w:numPr>
        <w:numId w:val="3"/>
      </w:numPr>
      <w:spacing w:after="60" w:line="240" w:lineRule="auto"/>
    </w:pPr>
    <w:rPr>
      <w:rFonts w:ascii="Garamond" w:eastAsia="Times New Roman" w:hAnsi="Garamond" w:cs="Times New Roman"/>
      <w:noProof/>
    </w:rPr>
  </w:style>
  <w:style w:type="paragraph" w:customStyle="1" w:styleId="NORCDisclaimer">
    <w:name w:val="NORC Disclaimer"/>
    <w:qFormat/>
    <w:rsid w:val="00AF6479"/>
    <w:pPr>
      <w:tabs>
        <w:tab w:val="left" w:pos="1728"/>
      </w:tabs>
      <w:spacing w:before="40" w:after="40" w:line="240" w:lineRule="exact"/>
    </w:pPr>
    <w:rPr>
      <w:rFonts w:ascii="Arial" w:eastAsia="Times New Roman" w:hAnsi="Arial" w:cs="Times New Roman"/>
      <w:sz w:val="16"/>
    </w:rPr>
  </w:style>
  <w:style w:type="paragraph" w:customStyle="1" w:styleId="TaskInnovationsListBullet1">
    <w:name w:val="Task Innovations List Bullet 1"/>
    <w:qFormat/>
    <w:rsid w:val="00AF6479"/>
    <w:pPr>
      <w:numPr>
        <w:numId w:val="1"/>
      </w:numPr>
      <w:tabs>
        <w:tab w:val="left" w:pos="216"/>
      </w:tabs>
      <w:spacing w:after="40" w:line="240" w:lineRule="auto"/>
      <w:ind w:left="216" w:hanging="216"/>
    </w:pPr>
    <w:rPr>
      <w:rFonts w:ascii="Garamond" w:eastAsia="Times New Roman" w:hAnsi="Garamond" w:cs="Times New Roman"/>
      <w:color w:val="000000"/>
    </w:rPr>
  </w:style>
  <w:style w:type="paragraph" w:customStyle="1" w:styleId="NORCBullet2">
    <w:name w:val="NORC Bullet 2"/>
    <w:qFormat/>
    <w:rsid w:val="00AF6479"/>
    <w:pPr>
      <w:keepLines/>
      <w:numPr>
        <w:numId w:val="4"/>
      </w:numPr>
      <w:spacing w:after="60" w:line="240" w:lineRule="auto"/>
    </w:pPr>
    <w:rPr>
      <w:rFonts w:ascii="Garamond" w:eastAsia="Times New Roman" w:hAnsi="Garamond" w:cs="Times New Roman"/>
      <w:noProof/>
      <w:szCs w:val="24"/>
    </w:rPr>
  </w:style>
  <w:style w:type="paragraph" w:customStyle="1" w:styleId="NORCTableBodyCenterGaramond">
    <w:name w:val="NORC Table Body Center (Garamond)"/>
    <w:basedOn w:val="NORCTableBodyLeftGaramond"/>
    <w:qFormat/>
    <w:rsid w:val="00AF6479"/>
    <w:pPr>
      <w:jc w:val="center"/>
    </w:pPr>
  </w:style>
  <w:style w:type="paragraph" w:customStyle="1" w:styleId="NORCCallOutSubheadArial8pt">
    <w:name w:val="NORC Call Out Subhead (Arial 8pt)"/>
    <w:basedOn w:val="Normal"/>
    <w:qFormat/>
    <w:rsid w:val="00AF6479"/>
    <w:pPr>
      <w:spacing w:after="40"/>
      <w:jc w:val="center"/>
    </w:pPr>
    <w:rPr>
      <w:rFonts w:ascii="Arial" w:hAnsi="Arial" w:cs="Arial"/>
      <w:b/>
      <w:color w:val="000000" w:themeColor="text1"/>
      <w:spacing w:val="-2"/>
      <w:sz w:val="16"/>
    </w:rPr>
  </w:style>
  <w:style w:type="paragraph" w:customStyle="1" w:styleId="NORCCallOutTextArial8pt">
    <w:name w:val="NORC Call Out Text (Arial 8pt)"/>
    <w:basedOn w:val="Normal"/>
    <w:qFormat/>
    <w:rsid w:val="00AF6479"/>
    <w:pPr>
      <w:spacing w:after="60"/>
      <w:ind w:left="72"/>
    </w:pPr>
    <w:rPr>
      <w:rFonts w:ascii="Arial" w:hAnsi="Arial" w:cs="Arial"/>
      <w:color w:val="000000"/>
      <w:sz w:val="16"/>
      <w:szCs w:val="18"/>
    </w:rPr>
  </w:style>
  <w:style w:type="paragraph" w:customStyle="1" w:styleId="TableSpacer">
    <w:name w:val="Table Spacer"/>
    <w:qFormat/>
    <w:rsid w:val="00AF6479"/>
    <w:pPr>
      <w:framePr w:hSpace="180" w:wrap="around" w:vAnchor="text" w:hAnchor="text" w:x="108" w:y="1"/>
      <w:spacing w:after="0" w:line="240" w:lineRule="auto"/>
      <w:suppressOverlap/>
    </w:pPr>
    <w:rPr>
      <w:rFonts w:ascii="Arial" w:eastAsia="Times New Roman" w:hAnsi="Arial" w:cs="Times New Roman"/>
      <w:sz w:val="8"/>
      <w:szCs w:val="24"/>
    </w:rPr>
  </w:style>
  <w:style w:type="paragraph" w:customStyle="1" w:styleId="NORCTableSubhead-Bio">
    <w:name w:val="NORC Table Subhead-Bio"/>
    <w:basedOn w:val="Normal"/>
    <w:qFormat/>
    <w:rsid w:val="00AF6479"/>
    <w:pPr>
      <w:keepNext/>
      <w:spacing w:after="40"/>
      <w:jc w:val="center"/>
    </w:pPr>
    <w:rPr>
      <w:b/>
      <w:color w:val="000000"/>
      <w:sz w:val="20"/>
    </w:rPr>
  </w:style>
  <w:style w:type="paragraph" w:customStyle="1" w:styleId="NORCTableSubheadingCenterGaramond">
    <w:name w:val="NORC Table Subheading Center Garamond"/>
    <w:qFormat/>
    <w:rsid w:val="00AF6479"/>
    <w:pPr>
      <w:keepNext/>
      <w:spacing w:before="20" w:after="20" w:line="240" w:lineRule="auto"/>
      <w:jc w:val="center"/>
    </w:pPr>
    <w:rPr>
      <w:rFonts w:ascii="Garamond" w:eastAsia="Times New Roman" w:hAnsi="Garamond" w:cs="Times New Roman"/>
      <w:b/>
      <w:bCs/>
      <w:color w:val="000000" w:themeColor="text1"/>
    </w:rPr>
  </w:style>
  <w:style w:type="paragraph" w:customStyle="1" w:styleId="HEADING1NOBACKGROUND">
    <w:name w:val="HEADING 1 NO BACKGROUND"/>
    <w:basedOn w:val="Heading1"/>
    <w:qFormat/>
    <w:rsid w:val="00AF6479"/>
    <w:pPr>
      <w:pBdr>
        <w:left w:val="none" w:sz="0" w:space="0" w:color="auto"/>
        <w:right w:val="none" w:sz="0" w:space="0" w:color="auto"/>
      </w:pBdr>
      <w:shd w:val="clear" w:color="auto" w:fill="auto"/>
      <w:tabs>
        <w:tab w:val="clear" w:pos="216"/>
        <w:tab w:val="left" w:pos="1080"/>
      </w:tabs>
      <w:spacing w:after="240"/>
    </w:pPr>
    <w:rPr>
      <w:color w:val="auto"/>
    </w:rPr>
  </w:style>
  <w:style w:type="paragraph" w:customStyle="1" w:styleId="Heading4Garamond">
    <w:name w:val="Heading 4 Garamond"/>
    <w:basedOn w:val="Heading4"/>
    <w:qFormat/>
    <w:rsid w:val="00AF6479"/>
    <w:pPr>
      <w:keepLines/>
    </w:pPr>
    <w:rPr>
      <w:rFonts w:ascii="Garamond" w:hAnsi="Garamond"/>
    </w:rPr>
  </w:style>
  <w:style w:type="paragraph" w:customStyle="1" w:styleId="NORCParagraphHeadingGaramondNotinTOC">
    <w:name w:val="NORC Paragraph Heading Garamond Not in TOC"/>
    <w:basedOn w:val="NORCParagraphHeadingNotinTOC"/>
    <w:qFormat/>
    <w:rsid w:val="00AF6479"/>
    <w:rPr>
      <w:rFonts w:ascii="Garamond" w:hAnsi="Garamond"/>
    </w:rPr>
  </w:style>
  <w:style w:type="paragraph" w:customStyle="1" w:styleId="NORCProposalBodySingleSpacing-Garamond">
    <w:name w:val="NORC Proposal Body Single Spacing - Garamond"/>
    <w:basedOn w:val="Normal"/>
    <w:qFormat/>
    <w:rsid w:val="00AF6479"/>
    <w:pPr>
      <w:tabs>
        <w:tab w:val="right" w:pos="9360"/>
      </w:tabs>
      <w:spacing w:after="240"/>
    </w:pPr>
    <w:rPr>
      <w:rFonts w:eastAsia="Times New Roman" w:cs="AGaramond-Regular"/>
      <w:szCs w:val="20"/>
    </w:rPr>
  </w:style>
  <w:style w:type="paragraph" w:customStyle="1" w:styleId="Heading1Garamond">
    <w:name w:val="Heading 1 Garamond"/>
    <w:basedOn w:val="Heading1"/>
    <w:qFormat/>
    <w:rsid w:val="00AF6479"/>
    <w:rPr>
      <w:rFonts w:ascii="Garamond" w:hAnsi="Garamond"/>
    </w:rPr>
  </w:style>
  <w:style w:type="paragraph" w:customStyle="1" w:styleId="HEADING1GARAMONDLESSSPACE">
    <w:name w:val="HEADING 1 GARAMOND LESS SPACE"/>
    <w:basedOn w:val="Heading1LessSpace12ptGaramond"/>
    <w:qFormat/>
    <w:rsid w:val="00AF6479"/>
    <w:rPr>
      <w:rFonts w:ascii="Garamond" w:hAnsi="Garamond"/>
    </w:rPr>
  </w:style>
  <w:style w:type="paragraph" w:customStyle="1" w:styleId="HEADING1GARAMONDNOBACKGROUND">
    <w:name w:val="HEADING 1 GARAMOND NO BACKGROUND"/>
    <w:basedOn w:val="Normal"/>
    <w:qFormat/>
    <w:rsid w:val="00AF6479"/>
    <w:pPr>
      <w:keepNext/>
      <w:keepLines/>
      <w:pBdr>
        <w:top w:val="single" w:sz="4" w:space="2" w:color="8AB3A4"/>
        <w:bottom w:val="single" w:sz="4" w:space="2" w:color="8AB3A4"/>
      </w:pBdr>
      <w:tabs>
        <w:tab w:val="left" w:pos="1080"/>
        <w:tab w:val="left" w:pos="1728"/>
      </w:tabs>
      <w:spacing w:after="240"/>
      <w:outlineLvl w:val="0"/>
    </w:pPr>
    <w:rPr>
      <w:b/>
      <w:bCs/>
      <w:caps/>
      <w:kern w:val="32"/>
      <w:szCs w:val="32"/>
    </w:rPr>
  </w:style>
  <w:style w:type="paragraph" w:customStyle="1" w:styleId="HEADING2GARAMOND">
    <w:name w:val="HEADING 2 GARAMOND"/>
    <w:basedOn w:val="Heading2"/>
    <w:qFormat/>
    <w:rsid w:val="00AF6479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AF6479"/>
    <w:rPr>
      <w:sz w:val="16"/>
      <w:szCs w:val="16"/>
    </w:rPr>
  </w:style>
  <w:style w:type="paragraph" w:customStyle="1" w:styleId="NORCProposalBody15LineSpacing-Garamond">
    <w:name w:val="NORC Proposal Body 1.5 Line Spacing - Garamond"/>
    <w:basedOn w:val="NORCProposalBodySingleSpacing-Garamond"/>
    <w:qFormat/>
    <w:rsid w:val="00AF6479"/>
    <w:pPr>
      <w:spacing w:line="360" w:lineRule="auto"/>
    </w:pPr>
  </w:style>
  <w:style w:type="paragraph" w:customStyle="1" w:styleId="NORCCaption-Table">
    <w:name w:val="NORC Caption - Table"/>
    <w:basedOn w:val="NORCCaption-Exhibit"/>
    <w:qFormat/>
    <w:rsid w:val="00AF6479"/>
    <w:pPr>
      <w:tabs>
        <w:tab w:val="clear" w:pos="1800"/>
        <w:tab w:val="left" w:pos="1080"/>
      </w:tabs>
      <w:ind w:left="1080" w:hanging="1080"/>
    </w:pPr>
  </w:style>
  <w:style w:type="paragraph" w:customStyle="1" w:styleId="NORCProposalBody12ptGaramond">
    <w:name w:val="NORC Proposal Body 12pt Garamond"/>
    <w:basedOn w:val="Normal"/>
    <w:qFormat/>
    <w:rsid w:val="00AF6479"/>
    <w:pPr>
      <w:tabs>
        <w:tab w:val="right" w:pos="9360"/>
      </w:tabs>
      <w:spacing w:after="240"/>
    </w:pPr>
    <w:rPr>
      <w:rFonts w:eastAsia="Times New Roman" w:cs="AGaramond-Regular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79"/>
    <w:rPr>
      <w:rFonts w:ascii="Tahoma" w:hAnsi="Tahoma" w:cs="Tahoma"/>
      <w:sz w:val="16"/>
      <w:szCs w:val="16"/>
    </w:rPr>
  </w:style>
  <w:style w:type="paragraph" w:customStyle="1" w:styleId="Heading5Garamond">
    <w:name w:val="Heading 5 Garamond"/>
    <w:basedOn w:val="Heading5"/>
    <w:qFormat/>
    <w:rsid w:val="00AF6479"/>
    <w:rPr>
      <w:rFonts w:ascii="Garamond" w:hAnsi="Garamond"/>
    </w:rPr>
  </w:style>
  <w:style w:type="paragraph" w:customStyle="1" w:styleId="NORCCallOutSubheadArial8pt-Black">
    <w:name w:val="NORC Call Out Subhead (Arial 8pt) - Black"/>
    <w:basedOn w:val="NORCCallOutSubheadArial8pt"/>
    <w:qFormat/>
    <w:rsid w:val="00AF6479"/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AF647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ORCTableSubheadingGaramond-Black">
    <w:name w:val="NORC Table Subheading Garamond - Black"/>
    <w:basedOn w:val="NORCTableSubheadingCenterGaramond"/>
    <w:qFormat/>
    <w:rsid w:val="00AF6479"/>
    <w:rPr>
      <w:color w:val="auto"/>
    </w:rPr>
  </w:style>
  <w:style w:type="paragraph" w:customStyle="1" w:styleId="NORCTableSubheadArial-Black">
    <w:name w:val="NORC Table Subhead Arial - Black"/>
    <w:basedOn w:val="NORCTableSubheadArial-White"/>
    <w:qFormat/>
    <w:rsid w:val="00AF6479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rsid w:val="00AF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16"/>
        <w:tab w:val="clear" w:pos="1728"/>
      </w:tabs>
      <w:spacing w:before="480" w:after="0" w:line="240" w:lineRule="auto"/>
      <w:outlineLvl w:val="9"/>
    </w:pPr>
    <w:rPr>
      <w:rFonts w:ascii="Garamond" w:eastAsiaTheme="majorEastAsia" w:hAnsi="Garamond" w:cstheme="majorBidi"/>
      <w:caps w:val="0"/>
      <w:color w:val="8AB3A4"/>
      <w:kern w:val="0"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AF647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AF6479"/>
    <w:pPr>
      <w:keepLines/>
      <w:numPr>
        <w:numId w:val="9"/>
      </w:numPr>
      <w:spacing w:after="120"/>
    </w:pPr>
  </w:style>
  <w:style w:type="paragraph" w:styleId="ListNumber2">
    <w:name w:val="List Number 2"/>
    <w:basedOn w:val="Normal"/>
    <w:uiPriority w:val="99"/>
    <w:unhideWhenUsed/>
    <w:rsid w:val="00AF6479"/>
    <w:pPr>
      <w:keepLines/>
      <w:numPr>
        <w:numId w:val="10"/>
      </w:numPr>
      <w:spacing w:after="60"/>
    </w:pPr>
  </w:style>
  <w:style w:type="paragraph" w:styleId="ListBullet2">
    <w:name w:val="List Bullet 2"/>
    <w:basedOn w:val="NORCBullet2"/>
    <w:uiPriority w:val="99"/>
    <w:rsid w:val="00AF6479"/>
  </w:style>
  <w:style w:type="paragraph" w:customStyle="1" w:styleId="NORCTableBodyLeftArial">
    <w:name w:val="NORC Table Body Left (Arial)"/>
    <w:basedOn w:val="NORCTableBodyCenterArial"/>
    <w:qFormat/>
    <w:rsid w:val="00AF6479"/>
    <w:pPr>
      <w:jc w:val="left"/>
    </w:pPr>
  </w:style>
  <w:style w:type="paragraph" w:customStyle="1" w:styleId="NORCTableBodyRightArial">
    <w:name w:val="NORC Table Body Right (Arial)"/>
    <w:basedOn w:val="NORCTableBodyCenterArial"/>
    <w:qFormat/>
    <w:rsid w:val="00AF6479"/>
    <w:pPr>
      <w:jc w:val="right"/>
    </w:pPr>
  </w:style>
  <w:style w:type="paragraph" w:customStyle="1" w:styleId="NORCTableBullet1Arial">
    <w:name w:val="NORC Table Bullet 1 (Arial)"/>
    <w:basedOn w:val="NORCTableBodyLeftArial"/>
    <w:qFormat/>
    <w:rsid w:val="00AF6479"/>
    <w:pPr>
      <w:numPr>
        <w:numId w:val="15"/>
      </w:numPr>
      <w:tabs>
        <w:tab w:val="clear" w:pos="144"/>
        <w:tab w:val="left" w:pos="216"/>
      </w:tabs>
      <w:ind w:left="216" w:hanging="216"/>
    </w:pPr>
  </w:style>
  <w:style w:type="paragraph" w:customStyle="1" w:styleId="NORCTableBullet2Arial">
    <w:name w:val="NORC Table Bullet 2 (Arial)"/>
    <w:basedOn w:val="NORCTableBullet1Arial"/>
    <w:qFormat/>
    <w:rsid w:val="00AF6479"/>
    <w:pPr>
      <w:numPr>
        <w:numId w:val="16"/>
      </w:numPr>
      <w:tabs>
        <w:tab w:val="clear" w:pos="216"/>
        <w:tab w:val="left" w:pos="432"/>
      </w:tabs>
      <w:ind w:left="648" w:hanging="432"/>
    </w:pPr>
  </w:style>
  <w:style w:type="paragraph" w:customStyle="1" w:styleId="NORCTableBullet2Garamond">
    <w:name w:val="NORC Table Bullet 2 (Garamond)"/>
    <w:basedOn w:val="NORCTableBullet2Arial"/>
    <w:qFormat/>
    <w:rsid w:val="00AF6479"/>
    <w:rPr>
      <w:rFonts w:ascii="Garamond" w:hAnsi="Garamond"/>
      <w:sz w:val="20"/>
    </w:rPr>
  </w:style>
  <w:style w:type="paragraph" w:customStyle="1" w:styleId="NORCTableBullet1Garamond">
    <w:name w:val="NORC Table Bullet 1 (Garamond)"/>
    <w:basedOn w:val="NORCTableBullet1Arial"/>
    <w:qFormat/>
    <w:rsid w:val="00AF6479"/>
    <w:rPr>
      <w:rFonts w:ascii="Garamond" w:hAnsi="Garamond"/>
      <w:sz w:val="20"/>
    </w:rPr>
  </w:style>
  <w:style w:type="table" w:styleId="TableGrid">
    <w:name w:val="Table Grid"/>
    <w:basedOn w:val="TableNormal"/>
    <w:uiPriority w:val="59"/>
    <w:rsid w:val="00AF6479"/>
    <w:pPr>
      <w:spacing w:after="0" w:line="240" w:lineRule="auto"/>
    </w:pPr>
    <w:rPr>
      <w:rFonts w:ascii="Garamond" w:hAnsi="Garamond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StaffName">
    <w:name w:val="NORC Staff Name"/>
    <w:basedOn w:val="Normal"/>
    <w:qFormat/>
    <w:rsid w:val="00AF6479"/>
    <w:pPr>
      <w:framePr w:hSpace="187" w:wrap="around" w:vAnchor="text" w:hAnchor="text" w:x="159" w:y="1"/>
      <w:spacing w:after="40"/>
      <w:suppressOverlap/>
      <w:jc w:val="center"/>
    </w:pPr>
    <w:rPr>
      <w:b/>
      <w:color w:val="000000"/>
      <w:sz w:val="24"/>
    </w:rPr>
  </w:style>
  <w:style w:type="paragraph" w:customStyle="1" w:styleId="NORCStaffBullet1">
    <w:name w:val="NORC Staff Bullet 1"/>
    <w:basedOn w:val="ListBullet"/>
    <w:qFormat/>
    <w:rsid w:val="00AF6479"/>
    <w:pPr>
      <w:spacing w:after="100"/>
      <w:ind w:left="360"/>
    </w:pPr>
  </w:style>
  <w:style w:type="paragraph" w:customStyle="1" w:styleId="NORCStaffTitle">
    <w:name w:val="NORC Staff Title"/>
    <w:basedOn w:val="Normal"/>
    <w:qFormat/>
    <w:rsid w:val="00AF6479"/>
    <w:pPr>
      <w:framePr w:hSpace="187" w:wrap="around" w:vAnchor="text" w:hAnchor="text" w:x="159" w:y="1"/>
      <w:pBdr>
        <w:bottom w:val="single" w:sz="4" w:space="1" w:color="auto"/>
      </w:pBdr>
      <w:spacing w:after="80"/>
      <w:suppressOverlap/>
      <w:jc w:val="center"/>
    </w:pPr>
    <w:rPr>
      <w:smallCaps/>
      <w:color w:val="000000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F6479"/>
    <w:pPr>
      <w:tabs>
        <w:tab w:val="left" w:pos="1224"/>
        <w:tab w:val="right" w:leader="dot" w:pos="9360"/>
      </w:tabs>
      <w:spacing w:after="120"/>
      <w:ind w:left="1224" w:hanging="1224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F6479"/>
    <w:pPr>
      <w:spacing w:after="200"/>
    </w:pPr>
    <w:rPr>
      <w:b/>
      <w:bCs/>
      <w:color w:val="000000" w:themeColor="text1"/>
      <w:sz w:val="18"/>
      <w:szCs w:val="18"/>
    </w:rPr>
  </w:style>
  <w:style w:type="paragraph" w:styleId="ListBullet3">
    <w:name w:val="List Bullet 3"/>
    <w:basedOn w:val="NORCBullet3"/>
    <w:uiPriority w:val="99"/>
    <w:rsid w:val="00AF6479"/>
  </w:style>
  <w:style w:type="paragraph" w:styleId="ListParagraph">
    <w:name w:val="List Paragraph"/>
    <w:basedOn w:val="Normal"/>
    <w:uiPriority w:val="34"/>
    <w:qFormat/>
    <w:rsid w:val="00AF647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79"/>
    <w:rPr>
      <w:rFonts w:ascii="Garamond" w:eastAsiaTheme="minorHAnsi" w:hAnsi="Garamond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79"/>
    <w:rPr>
      <w:rFonts w:ascii="Garamond" w:eastAsia="Times New Roman" w:hAnsi="Garamond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79"/>
    <w:pPr>
      <w:spacing w:after="0" w:line="240" w:lineRule="auto"/>
    </w:pPr>
    <w:rPr>
      <w:rFonts w:ascii="Garamond" w:hAnsi="Garamond" w:cs="Times New Roman"/>
    </w:rPr>
  </w:style>
  <w:style w:type="paragraph" w:styleId="Heading1">
    <w:name w:val="heading 1"/>
    <w:basedOn w:val="Normal"/>
    <w:next w:val="Normal"/>
    <w:link w:val="Heading1Char"/>
    <w:uiPriority w:val="5"/>
    <w:qFormat/>
    <w:rsid w:val="00AF6479"/>
    <w:pPr>
      <w:keepNext/>
      <w:keepLines/>
      <w:pBdr>
        <w:top w:val="single" w:sz="4" w:space="9" w:color="8AB3A4"/>
        <w:left w:val="single" w:sz="4" w:space="4" w:color="8AB3A4"/>
        <w:bottom w:val="single" w:sz="4" w:space="1" w:color="8AB3A4"/>
        <w:right w:val="single" w:sz="4" w:space="4" w:color="8AB3A4"/>
      </w:pBdr>
      <w:shd w:val="clear" w:color="auto" w:fill="8AB3A4"/>
      <w:tabs>
        <w:tab w:val="left" w:pos="216"/>
        <w:tab w:val="left" w:pos="1728"/>
      </w:tabs>
      <w:spacing w:before="240" w:after="360" w:line="360" w:lineRule="auto"/>
      <w:ind w:left="86" w:right="86"/>
      <w:outlineLvl w:val="0"/>
    </w:pPr>
    <w:rPr>
      <w:rFonts w:ascii="Arial" w:hAnsi="Arial"/>
      <w:b/>
      <w:bCs/>
      <w:caps/>
      <w:color w:val="000000" w:themeColor="text1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AF6479"/>
    <w:pPr>
      <w:keepNext/>
      <w:keepLines/>
      <w:tabs>
        <w:tab w:val="left" w:pos="504"/>
      </w:tabs>
      <w:spacing w:before="320" w:after="120"/>
      <w:outlineLvl w:val="1"/>
    </w:pPr>
    <w:rPr>
      <w:rFonts w:ascii="Arial" w:hAnsi="Arial"/>
      <w:b/>
      <w:bCs/>
      <w:iCs/>
      <w:caps/>
      <w:color w:val="8AB3A4"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AF6479"/>
    <w:pPr>
      <w:keepNext/>
      <w:tabs>
        <w:tab w:val="left" w:pos="936"/>
      </w:tabs>
      <w:spacing w:before="280" w:after="60"/>
      <w:outlineLvl w:val="2"/>
    </w:pPr>
    <w:rPr>
      <w:rFonts w:ascii="Arial" w:hAnsi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5"/>
    <w:qFormat/>
    <w:rsid w:val="00AF6479"/>
    <w:pPr>
      <w:keepNext/>
      <w:spacing w:before="320" w:after="120"/>
      <w:outlineLvl w:val="3"/>
    </w:pPr>
    <w:rPr>
      <w:rFonts w:ascii="Arial" w:eastAsia="Times New Roman" w:hAnsi="Arial"/>
      <w:bCs/>
      <w:i/>
      <w:color w:val="8AB3A4"/>
      <w:szCs w:val="28"/>
    </w:rPr>
  </w:style>
  <w:style w:type="paragraph" w:styleId="Heading5">
    <w:name w:val="heading 5"/>
    <w:basedOn w:val="Normal"/>
    <w:next w:val="Normal"/>
    <w:link w:val="Heading5Char"/>
    <w:uiPriority w:val="5"/>
    <w:qFormat/>
    <w:rsid w:val="00AF6479"/>
    <w:pPr>
      <w:keepNext/>
      <w:spacing w:before="320" w:after="120"/>
      <w:outlineLvl w:val="4"/>
    </w:pPr>
    <w:rPr>
      <w:rFonts w:ascii="Arial" w:eastAsia="Times New Roman" w:hAnsi="Arial"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AF6479"/>
    <w:rPr>
      <w:rFonts w:ascii="Arial" w:hAnsi="Arial" w:cs="Times New Roman"/>
      <w:b/>
      <w:bCs/>
      <w:caps/>
      <w:color w:val="000000" w:themeColor="text1"/>
      <w:kern w:val="32"/>
      <w:szCs w:val="32"/>
      <w:shd w:val="clear" w:color="auto" w:fill="8AB3A4"/>
    </w:rPr>
  </w:style>
  <w:style w:type="character" w:customStyle="1" w:styleId="Heading2Char">
    <w:name w:val="Heading 2 Char"/>
    <w:basedOn w:val="DefaultParagraphFont"/>
    <w:link w:val="Heading2"/>
    <w:uiPriority w:val="5"/>
    <w:rsid w:val="00AF6479"/>
    <w:rPr>
      <w:rFonts w:ascii="Arial" w:hAnsi="Arial" w:cs="Times New Roman"/>
      <w:b/>
      <w:bCs/>
      <w:iCs/>
      <w:caps/>
      <w:color w:val="8AB3A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AF6479"/>
    <w:rPr>
      <w:rFonts w:ascii="Arial" w:hAnsi="Arial" w:cs="Times New Roman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rsid w:val="00AF6479"/>
    <w:rPr>
      <w:rFonts w:ascii="Arial" w:eastAsia="Times New Roman" w:hAnsi="Arial" w:cs="Times New Roman"/>
      <w:bCs/>
      <w:i/>
      <w:color w:val="8AB3A4"/>
      <w:szCs w:val="28"/>
    </w:rPr>
  </w:style>
  <w:style w:type="character" w:customStyle="1" w:styleId="Heading5Char">
    <w:name w:val="Heading 5 Char"/>
    <w:basedOn w:val="DefaultParagraphFont"/>
    <w:link w:val="Heading5"/>
    <w:uiPriority w:val="5"/>
    <w:rsid w:val="00AF6479"/>
    <w:rPr>
      <w:rFonts w:ascii="Arial" w:eastAsia="Times New Roman" w:hAnsi="Arial" w:cs="Times New Roman"/>
      <w:bCs/>
      <w:iCs/>
      <w:sz w:val="20"/>
      <w:szCs w:val="26"/>
    </w:rPr>
  </w:style>
  <w:style w:type="paragraph" w:styleId="CommentText">
    <w:name w:val="annotation text"/>
    <w:basedOn w:val="Normal"/>
    <w:link w:val="CommentTextChar"/>
    <w:uiPriority w:val="99"/>
    <w:rsid w:val="00AF6479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479"/>
    <w:rPr>
      <w:rFonts w:ascii="Calibri" w:eastAsia="Times New Roman" w:hAnsi="Calibri" w:cs="Times New Roman"/>
      <w:szCs w:val="20"/>
    </w:rPr>
  </w:style>
  <w:style w:type="paragraph" w:customStyle="1" w:styleId="Heading1LessSpace12ptGaramond">
    <w:name w:val="Heading 1 Less Space 12pt Garamond"/>
    <w:basedOn w:val="Heading1"/>
    <w:qFormat/>
    <w:rsid w:val="00AF6479"/>
    <w:pPr>
      <w:pBdr>
        <w:top w:val="single" w:sz="4" w:space="2" w:color="8AB3A4"/>
        <w:bottom w:val="single" w:sz="4" w:space="2" w:color="8AB3A4"/>
      </w:pBdr>
      <w:spacing w:before="0" w:after="0" w:line="240" w:lineRule="auto"/>
    </w:pPr>
  </w:style>
  <w:style w:type="paragraph" w:styleId="ListBullet">
    <w:name w:val="List Bullet"/>
    <w:basedOn w:val="Normal"/>
    <w:rsid w:val="00AF6479"/>
    <w:pPr>
      <w:numPr>
        <w:numId w:val="2"/>
      </w:numPr>
      <w:spacing w:after="140"/>
    </w:pPr>
    <w:rPr>
      <w:rFonts w:eastAsia="Times New Roman"/>
      <w:szCs w:val="20"/>
    </w:rPr>
  </w:style>
  <w:style w:type="character" w:customStyle="1" w:styleId="NORCInlineLevel3ItalicsNoBold">
    <w:name w:val="NORC Inline Level 3 (Italics No Bold)"/>
    <w:qFormat/>
    <w:rsid w:val="00AF6479"/>
    <w:rPr>
      <w:rFonts w:ascii="Garamond" w:hAnsi="Garamond"/>
      <w:b w:val="0"/>
      <w:i/>
      <w:sz w:val="24"/>
    </w:rPr>
  </w:style>
  <w:style w:type="paragraph" w:styleId="Header">
    <w:name w:val="header"/>
    <w:link w:val="HeaderChar"/>
    <w:uiPriority w:val="99"/>
    <w:rsid w:val="00AF6479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6479"/>
    <w:rPr>
      <w:rFonts w:ascii="Arial" w:eastAsia="Times New Roman" w:hAnsi="Arial" w:cs="Times New Roman"/>
      <w:caps/>
      <w:sz w:val="16"/>
    </w:rPr>
  </w:style>
  <w:style w:type="paragraph" w:styleId="Footer">
    <w:name w:val="footer"/>
    <w:link w:val="FooterChar"/>
    <w:rsid w:val="00AF6479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sz w:val="16"/>
    </w:rPr>
  </w:style>
  <w:style w:type="character" w:customStyle="1" w:styleId="FooterChar">
    <w:name w:val="Footer Char"/>
    <w:basedOn w:val="DefaultParagraphFont"/>
    <w:link w:val="Footer"/>
    <w:rsid w:val="00AF6479"/>
    <w:rPr>
      <w:rFonts w:ascii="Arial" w:eastAsia="Times New Roman" w:hAnsi="Arial" w:cs="Times New Roman"/>
      <w:sz w:val="16"/>
    </w:rPr>
  </w:style>
  <w:style w:type="character" w:customStyle="1" w:styleId="NORCOrangeLogoforHeader">
    <w:name w:val="NORC Orange Logo for Header"/>
    <w:qFormat/>
    <w:rsid w:val="00AF6479"/>
    <w:rPr>
      <w:rFonts w:ascii="Arial" w:hAnsi="Arial" w:cs="Arial"/>
      <w:b/>
      <w:color w:val="E87424"/>
      <w:sz w:val="32"/>
    </w:rPr>
  </w:style>
  <w:style w:type="paragraph" w:customStyle="1" w:styleId="NORCTableSubheadArial-White">
    <w:name w:val="NORC Table Subhead Arial - White"/>
    <w:basedOn w:val="NORCTableSubheadingCenterGaramond"/>
    <w:qFormat/>
    <w:rsid w:val="00AF6479"/>
    <w:pPr>
      <w:spacing w:before="40" w:after="40"/>
    </w:pPr>
    <w:rPr>
      <w:rFonts w:ascii="Arial" w:hAnsi="Arial"/>
      <w:sz w:val="20"/>
    </w:rPr>
  </w:style>
  <w:style w:type="paragraph" w:customStyle="1" w:styleId="NORCCaption-Exhibit">
    <w:name w:val="NORC Caption - Exhibit"/>
    <w:qFormat/>
    <w:rsid w:val="00AF6479"/>
    <w:pPr>
      <w:keepNext/>
      <w:keepLines/>
      <w:tabs>
        <w:tab w:val="left" w:pos="1296"/>
        <w:tab w:val="left" w:pos="1800"/>
      </w:tabs>
      <w:spacing w:before="320" w:after="120" w:line="240" w:lineRule="auto"/>
      <w:ind w:left="1296" w:hanging="1296"/>
    </w:pPr>
    <w:rPr>
      <w:rFonts w:ascii="Garamond" w:eastAsia="Times New Roman" w:hAnsi="Garamond" w:cs="AGaramond-Regular"/>
    </w:rPr>
  </w:style>
  <w:style w:type="character" w:customStyle="1" w:styleId="NORCCaption-Color">
    <w:name w:val="NORC Caption - Color"/>
    <w:qFormat/>
    <w:rsid w:val="00AF6479"/>
    <w:rPr>
      <w:rFonts w:ascii="Arial" w:hAnsi="Arial"/>
      <w:b/>
      <w:color w:val="8AB3A4"/>
      <w:sz w:val="22"/>
    </w:rPr>
  </w:style>
  <w:style w:type="paragraph" w:customStyle="1" w:styleId="NORCBullet1">
    <w:name w:val="NORC Bullet 1"/>
    <w:basedOn w:val="ListBullet"/>
    <w:qFormat/>
    <w:rsid w:val="00AF6479"/>
    <w:pPr>
      <w:keepLines/>
      <w:numPr>
        <w:numId w:val="14"/>
      </w:numPr>
    </w:pPr>
    <w:rPr>
      <w:noProof/>
    </w:rPr>
  </w:style>
  <w:style w:type="paragraph" w:customStyle="1" w:styleId="TaskInnovationsListBullet2">
    <w:name w:val="Task Innovations List Bullet 2"/>
    <w:basedOn w:val="TaskInnovationsListBullet1"/>
    <w:qFormat/>
    <w:rsid w:val="00AF6479"/>
    <w:pPr>
      <w:numPr>
        <w:ilvl w:val="1"/>
      </w:numPr>
      <w:ind w:left="882" w:hanging="270"/>
    </w:pPr>
  </w:style>
  <w:style w:type="paragraph" w:customStyle="1" w:styleId="Heading3Garamond">
    <w:name w:val="Heading 3 Garamond"/>
    <w:basedOn w:val="Heading3"/>
    <w:qFormat/>
    <w:rsid w:val="00AF6479"/>
    <w:rPr>
      <w:rFonts w:ascii="Garamond" w:hAnsi="Garamond"/>
    </w:rPr>
  </w:style>
  <w:style w:type="paragraph" w:customStyle="1" w:styleId="NORCTableBodyCenterArial">
    <w:name w:val="NORC Table Body Center (Arial)"/>
    <w:basedOn w:val="Normal"/>
    <w:qFormat/>
    <w:rsid w:val="00AF6479"/>
    <w:pPr>
      <w:tabs>
        <w:tab w:val="left" w:pos="144"/>
      </w:tabs>
      <w:spacing w:before="20" w:after="20"/>
      <w:jc w:val="center"/>
    </w:pPr>
    <w:rPr>
      <w:rFonts w:ascii="Arial" w:eastAsia="Times New Roman" w:hAnsi="Arial"/>
      <w:color w:val="000000"/>
      <w:sz w:val="18"/>
      <w:szCs w:val="20"/>
    </w:rPr>
  </w:style>
  <w:style w:type="paragraph" w:styleId="TOC1">
    <w:name w:val="toc 1"/>
    <w:next w:val="Normal"/>
    <w:uiPriority w:val="39"/>
    <w:rsid w:val="00AF6479"/>
    <w:pPr>
      <w:tabs>
        <w:tab w:val="left" w:pos="504"/>
        <w:tab w:val="right" w:leader="dot" w:pos="9360"/>
      </w:tabs>
      <w:spacing w:before="360" w:after="60" w:line="240" w:lineRule="auto"/>
    </w:pPr>
    <w:rPr>
      <w:rFonts w:ascii="Garamond" w:eastAsia="Times New Roman" w:hAnsi="Garamond" w:cs="Times New Roman"/>
      <w:b/>
      <w:caps/>
      <w:color w:val="000000"/>
      <w:sz w:val="24"/>
    </w:rPr>
  </w:style>
  <w:style w:type="paragraph" w:styleId="TOC2">
    <w:name w:val="toc 2"/>
    <w:next w:val="Normal"/>
    <w:uiPriority w:val="39"/>
    <w:rsid w:val="00AF6479"/>
    <w:pPr>
      <w:tabs>
        <w:tab w:val="left" w:pos="1080"/>
        <w:tab w:val="right" w:leader="dot" w:pos="9360"/>
      </w:tabs>
      <w:spacing w:before="120" w:after="60" w:line="240" w:lineRule="auto"/>
      <w:ind w:left="504"/>
    </w:pPr>
    <w:rPr>
      <w:rFonts w:ascii="Garamond" w:eastAsia="Times New Roman" w:hAnsi="Garamond" w:cs="Times New Roman"/>
      <w:sz w:val="24"/>
    </w:rPr>
  </w:style>
  <w:style w:type="paragraph" w:styleId="TOC3">
    <w:name w:val="toc 3"/>
    <w:next w:val="Normal"/>
    <w:uiPriority w:val="39"/>
    <w:rsid w:val="00AF6479"/>
    <w:pPr>
      <w:tabs>
        <w:tab w:val="left" w:pos="1728"/>
        <w:tab w:val="right" w:leader="dot" w:pos="9360"/>
      </w:tabs>
      <w:spacing w:after="60" w:line="240" w:lineRule="auto"/>
      <w:ind w:left="1800" w:hanging="720"/>
    </w:pPr>
    <w:rPr>
      <w:rFonts w:ascii="Garamond" w:eastAsia="Times New Roman" w:hAnsi="Garamond" w:cs="Times New Roman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AF6479"/>
    <w:pPr>
      <w:spacing w:before="0" w:after="240"/>
    </w:pPr>
    <w:rPr>
      <w:bCs w:val="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F6479"/>
    <w:rPr>
      <w:rFonts w:ascii="Arial" w:hAnsi="Arial" w:cs="Times New Roman"/>
      <w:b/>
      <w:caps/>
      <w:color w:val="000000" w:themeColor="text1"/>
      <w:kern w:val="28"/>
      <w:szCs w:val="32"/>
      <w:shd w:val="clear" w:color="auto" w:fill="8AB3A4"/>
    </w:rPr>
  </w:style>
  <w:style w:type="paragraph" w:customStyle="1" w:styleId="NORCCoverRFPandPDNumber">
    <w:name w:val="NORC Cover RFP and PD Number"/>
    <w:basedOn w:val="Normal"/>
    <w:qFormat/>
    <w:rsid w:val="00AF6479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Arial" w:hAnsi="Arial" w:cs="ArialMT"/>
      <w:caps/>
      <w:color w:val="000000"/>
      <w:spacing w:val="10"/>
      <w:sz w:val="20"/>
      <w:lang w:bidi="en-US"/>
    </w:rPr>
  </w:style>
  <w:style w:type="paragraph" w:customStyle="1" w:styleId="NORCCoverVolume">
    <w:name w:val="NORC Cover Volume"/>
    <w:qFormat/>
    <w:rsid w:val="00AF6479"/>
    <w:pPr>
      <w:spacing w:after="800" w:line="240" w:lineRule="auto"/>
    </w:pPr>
    <w:rPr>
      <w:rFonts w:ascii="Garamond" w:eastAsia="Times New Roman" w:hAnsi="Garamond" w:cs="Times New Roman"/>
      <w:sz w:val="40"/>
    </w:rPr>
  </w:style>
  <w:style w:type="paragraph" w:customStyle="1" w:styleId="NORCCoverTitle">
    <w:name w:val="NORC Cover Title"/>
    <w:qFormat/>
    <w:rsid w:val="00AF6479"/>
    <w:pPr>
      <w:spacing w:after="0" w:line="360" w:lineRule="auto"/>
    </w:pPr>
    <w:rPr>
      <w:rFonts w:ascii="Garamond" w:eastAsia="Times New Roman" w:hAnsi="Garamond" w:cs="Times New Roman"/>
      <w:sz w:val="56"/>
      <w:szCs w:val="24"/>
    </w:rPr>
  </w:style>
  <w:style w:type="paragraph" w:customStyle="1" w:styleId="NORCCoverAddressInformation">
    <w:name w:val="NORC Cover Address Information"/>
    <w:qFormat/>
    <w:rsid w:val="00AF6479"/>
    <w:pPr>
      <w:autoSpaceDE w:val="0"/>
      <w:autoSpaceDN w:val="0"/>
      <w:adjustRightInd w:val="0"/>
      <w:spacing w:after="0" w:line="288" w:lineRule="auto"/>
      <w:textAlignment w:val="center"/>
    </w:pPr>
    <w:rPr>
      <w:rFonts w:ascii="Garamond" w:eastAsia="Times New Roman" w:hAnsi="Garamond" w:cs="AGaramond-Regular"/>
      <w:color w:val="000000"/>
      <w:lang w:bidi="en-US"/>
    </w:rPr>
  </w:style>
  <w:style w:type="paragraph" w:customStyle="1" w:styleId="NORCPresentedto">
    <w:name w:val="NORC Presented to"/>
    <w:qFormat/>
    <w:rsid w:val="00AF647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MT"/>
      <w:caps/>
      <w:color w:val="8AB3A4"/>
      <w:spacing w:val="10"/>
      <w:lang w:bidi="en-US"/>
    </w:rPr>
  </w:style>
  <w:style w:type="paragraph" w:customStyle="1" w:styleId="NORCParagraphHeadingNotinTOC">
    <w:name w:val="NORC Paragraph Heading Not in TOC"/>
    <w:qFormat/>
    <w:rsid w:val="00AF6479"/>
    <w:pPr>
      <w:keepNext/>
      <w:tabs>
        <w:tab w:val="right" w:leader="dot" w:pos="16980"/>
      </w:tabs>
      <w:spacing w:before="320" w:after="60" w:line="240" w:lineRule="auto"/>
      <w:ind w:right="72"/>
    </w:pPr>
    <w:rPr>
      <w:rFonts w:ascii="Arial" w:eastAsia="Times New Roman" w:hAnsi="Arial" w:cs="AGaramond-Regular"/>
      <w:b/>
      <w:caps/>
      <w:color w:val="8AB3A4"/>
      <w:szCs w:val="16"/>
    </w:rPr>
  </w:style>
  <w:style w:type="paragraph" w:customStyle="1" w:styleId="NORCTableBodyLeftGaramond">
    <w:name w:val="NORC Table Body Left (Garamond)"/>
    <w:rsid w:val="00AF6479"/>
    <w:pPr>
      <w:tabs>
        <w:tab w:val="left" w:pos="144"/>
      </w:tabs>
      <w:spacing w:before="20" w:after="20" w:line="240" w:lineRule="auto"/>
    </w:pPr>
    <w:rPr>
      <w:rFonts w:ascii="Garamond" w:eastAsia="Times New Roman" w:hAnsi="Garamond" w:cs="Times New Roman"/>
      <w:color w:val="000000"/>
      <w:sz w:val="20"/>
    </w:rPr>
  </w:style>
  <w:style w:type="character" w:customStyle="1" w:styleId="NORCInlineL1BlackBold">
    <w:name w:val="NORC Inline L1 (Black Bold)"/>
    <w:qFormat/>
    <w:rsid w:val="00AF6479"/>
    <w:rPr>
      <w:rFonts w:ascii="Garamond" w:hAnsi="Garamond"/>
      <w:b/>
      <w:bCs/>
      <w:sz w:val="24"/>
      <w:u w:val="none"/>
    </w:rPr>
  </w:style>
  <w:style w:type="character" w:customStyle="1" w:styleId="NORCInlineL2BoldItalics">
    <w:name w:val="NORC Inline L2 (Bold Italics)"/>
    <w:qFormat/>
    <w:rsid w:val="00AF6479"/>
    <w:rPr>
      <w:rFonts w:ascii="Garamond" w:hAnsi="Garamond"/>
      <w:b/>
      <w:i/>
      <w:color w:val="8AB3A4"/>
      <w:sz w:val="24"/>
    </w:rPr>
  </w:style>
  <w:style w:type="paragraph" w:customStyle="1" w:styleId="NORCBullet3">
    <w:name w:val="NORC Bullet 3"/>
    <w:qFormat/>
    <w:rsid w:val="00AF6479"/>
    <w:pPr>
      <w:keepLines/>
      <w:numPr>
        <w:numId w:val="3"/>
      </w:numPr>
      <w:spacing w:after="60" w:line="240" w:lineRule="auto"/>
    </w:pPr>
    <w:rPr>
      <w:rFonts w:ascii="Garamond" w:eastAsia="Times New Roman" w:hAnsi="Garamond" w:cs="Times New Roman"/>
      <w:noProof/>
    </w:rPr>
  </w:style>
  <w:style w:type="paragraph" w:customStyle="1" w:styleId="NORCDisclaimer">
    <w:name w:val="NORC Disclaimer"/>
    <w:qFormat/>
    <w:rsid w:val="00AF6479"/>
    <w:pPr>
      <w:tabs>
        <w:tab w:val="left" w:pos="1728"/>
      </w:tabs>
      <w:spacing w:before="40" w:after="40" w:line="240" w:lineRule="exact"/>
    </w:pPr>
    <w:rPr>
      <w:rFonts w:ascii="Arial" w:eastAsia="Times New Roman" w:hAnsi="Arial" w:cs="Times New Roman"/>
      <w:sz w:val="16"/>
    </w:rPr>
  </w:style>
  <w:style w:type="paragraph" w:customStyle="1" w:styleId="TaskInnovationsListBullet1">
    <w:name w:val="Task Innovations List Bullet 1"/>
    <w:qFormat/>
    <w:rsid w:val="00AF6479"/>
    <w:pPr>
      <w:numPr>
        <w:numId w:val="1"/>
      </w:numPr>
      <w:tabs>
        <w:tab w:val="left" w:pos="216"/>
      </w:tabs>
      <w:spacing w:after="40" w:line="240" w:lineRule="auto"/>
      <w:ind w:left="216" w:hanging="216"/>
    </w:pPr>
    <w:rPr>
      <w:rFonts w:ascii="Garamond" w:eastAsia="Times New Roman" w:hAnsi="Garamond" w:cs="Times New Roman"/>
      <w:color w:val="000000"/>
    </w:rPr>
  </w:style>
  <w:style w:type="paragraph" w:customStyle="1" w:styleId="NORCBullet2">
    <w:name w:val="NORC Bullet 2"/>
    <w:qFormat/>
    <w:rsid w:val="00AF6479"/>
    <w:pPr>
      <w:keepLines/>
      <w:numPr>
        <w:numId w:val="4"/>
      </w:numPr>
      <w:spacing w:after="60" w:line="240" w:lineRule="auto"/>
    </w:pPr>
    <w:rPr>
      <w:rFonts w:ascii="Garamond" w:eastAsia="Times New Roman" w:hAnsi="Garamond" w:cs="Times New Roman"/>
      <w:noProof/>
      <w:szCs w:val="24"/>
    </w:rPr>
  </w:style>
  <w:style w:type="paragraph" w:customStyle="1" w:styleId="NORCTableBodyCenterGaramond">
    <w:name w:val="NORC Table Body Center (Garamond)"/>
    <w:basedOn w:val="NORCTableBodyLeftGaramond"/>
    <w:qFormat/>
    <w:rsid w:val="00AF6479"/>
    <w:pPr>
      <w:jc w:val="center"/>
    </w:pPr>
  </w:style>
  <w:style w:type="paragraph" w:customStyle="1" w:styleId="NORCCallOutSubheadArial8pt">
    <w:name w:val="NORC Call Out Subhead (Arial 8pt)"/>
    <w:basedOn w:val="Normal"/>
    <w:qFormat/>
    <w:rsid w:val="00AF6479"/>
    <w:pPr>
      <w:spacing w:after="40"/>
      <w:jc w:val="center"/>
    </w:pPr>
    <w:rPr>
      <w:rFonts w:ascii="Arial" w:hAnsi="Arial" w:cs="Arial"/>
      <w:b/>
      <w:color w:val="000000" w:themeColor="text1"/>
      <w:spacing w:val="-2"/>
      <w:sz w:val="16"/>
    </w:rPr>
  </w:style>
  <w:style w:type="paragraph" w:customStyle="1" w:styleId="NORCCallOutTextArial8pt">
    <w:name w:val="NORC Call Out Text (Arial 8pt)"/>
    <w:basedOn w:val="Normal"/>
    <w:qFormat/>
    <w:rsid w:val="00AF6479"/>
    <w:pPr>
      <w:spacing w:after="60"/>
      <w:ind w:left="72"/>
    </w:pPr>
    <w:rPr>
      <w:rFonts w:ascii="Arial" w:hAnsi="Arial" w:cs="Arial"/>
      <w:color w:val="000000"/>
      <w:sz w:val="16"/>
      <w:szCs w:val="18"/>
    </w:rPr>
  </w:style>
  <w:style w:type="paragraph" w:customStyle="1" w:styleId="TableSpacer">
    <w:name w:val="Table Spacer"/>
    <w:qFormat/>
    <w:rsid w:val="00AF6479"/>
    <w:pPr>
      <w:framePr w:hSpace="180" w:wrap="around" w:vAnchor="text" w:hAnchor="text" w:x="108" w:y="1"/>
      <w:spacing w:after="0" w:line="240" w:lineRule="auto"/>
      <w:suppressOverlap/>
    </w:pPr>
    <w:rPr>
      <w:rFonts w:ascii="Arial" w:eastAsia="Times New Roman" w:hAnsi="Arial" w:cs="Times New Roman"/>
      <w:sz w:val="8"/>
      <w:szCs w:val="24"/>
    </w:rPr>
  </w:style>
  <w:style w:type="paragraph" w:customStyle="1" w:styleId="NORCTableSubhead-Bio">
    <w:name w:val="NORC Table Subhead-Bio"/>
    <w:basedOn w:val="Normal"/>
    <w:qFormat/>
    <w:rsid w:val="00AF6479"/>
    <w:pPr>
      <w:keepNext/>
      <w:spacing w:after="40"/>
      <w:jc w:val="center"/>
    </w:pPr>
    <w:rPr>
      <w:b/>
      <w:color w:val="000000"/>
      <w:sz w:val="20"/>
    </w:rPr>
  </w:style>
  <w:style w:type="paragraph" w:customStyle="1" w:styleId="NORCTableSubheadingCenterGaramond">
    <w:name w:val="NORC Table Subheading Center Garamond"/>
    <w:qFormat/>
    <w:rsid w:val="00AF6479"/>
    <w:pPr>
      <w:keepNext/>
      <w:spacing w:before="20" w:after="20" w:line="240" w:lineRule="auto"/>
      <w:jc w:val="center"/>
    </w:pPr>
    <w:rPr>
      <w:rFonts w:ascii="Garamond" w:eastAsia="Times New Roman" w:hAnsi="Garamond" w:cs="Times New Roman"/>
      <w:b/>
      <w:bCs/>
      <w:color w:val="000000" w:themeColor="text1"/>
    </w:rPr>
  </w:style>
  <w:style w:type="paragraph" w:customStyle="1" w:styleId="HEADING1NOBACKGROUND">
    <w:name w:val="HEADING 1 NO BACKGROUND"/>
    <w:basedOn w:val="Heading1"/>
    <w:qFormat/>
    <w:rsid w:val="00AF6479"/>
    <w:pPr>
      <w:pBdr>
        <w:left w:val="none" w:sz="0" w:space="0" w:color="auto"/>
        <w:right w:val="none" w:sz="0" w:space="0" w:color="auto"/>
      </w:pBdr>
      <w:shd w:val="clear" w:color="auto" w:fill="auto"/>
      <w:tabs>
        <w:tab w:val="clear" w:pos="216"/>
        <w:tab w:val="left" w:pos="1080"/>
      </w:tabs>
      <w:spacing w:after="240"/>
    </w:pPr>
    <w:rPr>
      <w:color w:val="auto"/>
    </w:rPr>
  </w:style>
  <w:style w:type="paragraph" w:customStyle="1" w:styleId="Heading4Garamond">
    <w:name w:val="Heading 4 Garamond"/>
    <w:basedOn w:val="Heading4"/>
    <w:qFormat/>
    <w:rsid w:val="00AF6479"/>
    <w:pPr>
      <w:keepLines/>
    </w:pPr>
    <w:rPr>
      <w:rFonts w:ascii="Garamond" w:hAnsi="Garamond"/>
    </w:rPr>
  </w:style>
  <w:style w:type="paragraph" w:customStyle="1" w:styleId="NORCParagraphHeadingGaramondNotinTOC">
    <w:name w:val="NORC Paragraph Heading Garamond Not in TOC"/>
    <w:basedOn w:val="NORCParagraphHeadingNotinTOC"/>
    <w:qFormat/>
    <w:rsid w:val="00AF6479"/>
    <w:rPr>
      <w:rFonts w:ascii="Garamond" w:hAnsi="Garamond"/>
    </w:rPr>
  </w:style>
  <w:style w:type="paragraph" w:customStyle="1" w:styleId="NORCProposalBodySingleSpacing-Garamond">
    <w:name w:val="NORC Proposal Body Single Spacing - Garamond"/>
    <w:basedOn w:val="Normal"/>
    <w:qFormat/>
    <w:rsid w:val="00AF6479"/>
    <w:pPr>
      <w:tabs>
        <w:tab w:val="right" w:pos="9360"/>
      </w:tabs>
      <w:spacing w:after="240"/>
    </w:pPr>
    <w:rPr>
      <w:rFonts w:eastAsia="Times New Roman" w:cs="AGaramond-Regular"/>
      <w:szCs w:val="20"/>
    </w:rPr>
  </w:style>
  <w:style w:type="paragraph" w:customStyle="1" w:styleId="Heading1Garamond">
    <w:name w:val="Heading 1 Garamond"/>
    <w:basedOn w:val="Heading1"/>
    <w:qFormat/>
    <w:rsid w:val="00AF6479"/>
    <w:rPr>
      <w:rFonts w:ascii="Garamond" w:hAnsi="Garamond"/>
    </w:rPr>
  </w:style>
  <w:style w:type="paragraph" w:customStyle="1" w:styleId="HEADING1GARAMONDLESSSPACE">
    <w:name w:val="HEADING 1 GARAMOND LESS SPACE"/>
    <w:basedOn w:val="Heading1LessSpace12ptGaramond"/>
    <w:qFormat/>
    <w:rsid w:val="00AF6479"/>
    <w:rPr>
      <w:rFonts w:ascii="Garamond" w:hAnsi="Garamond"/>
    </w:rPr>
  </w:style>
  <w:style w:type="paragraph" w:customStyle="1" w:styleId="HEADING1GARAMONDNOBACKGROUND">
    <w:name w:val="HEADING 1 GARAMOND NO BACKGROUND"/>
    <w:basedOn w:val="Normal"/>
    <w:qFormat/>
    <w:rsid w:val="00AF6479"/>
    <w:pPr>
      <w:keepNext/>
      <w:keepLines/>
      <w:pBdr>
        <w:top w:val="single" w:sz="4" w:space="2" w:color="8AB3A4"/>
        <w:bottom w:val="single" w:sz="4" w:space="2" w:color="8AB3A4"/>
      </w:pBdr>
      <w:tabs>
        <w:tab w:val="left" w:pos="1080"/>
        <w:tab w:val="left" w:pos="1728"/>
      </w:tabs>
      <w:spacing w:after="240"/>
      <w:outlineLvl w:val="0"/>
    </w:pPr>
    <w:rPr>
      <w:b/>
      <w:bCs/>
      <w:caps/>
      <w:kern w:val="32"/>
      <w:szCs w:val="32"/>
    </w:rPr>
  </w:style>
  <w:style w:type="paragraph" w:customStyle="1" w:styleId="HEADING2GARAMOND">
    <w:name w:val="HEADING 2 GARAMOND"/>
    <w:basedOn w:val="Heading2"/>
    <w:qFormat/>
    <w:rsid w:val="00AF6479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AF6479"/>
    <w:rPr>
      <w:sz w:val="16"/>
      <w:szCs w:val="16"/>
    </w:rPr>
  </w:style>
  <w:style w:type="paragraph" w:customStyle="1" w:styleId="NORCProposalBody15LineSpacing-Garamond">
    <w:name w:val="NORC Proposal Body 1.5 Line Spacing - Garamond"/>
    <w:basedOn w:val="NORCProposalBodySingleSpacing-Garamond"/>
    <w:qFormat/>
    <w:rsid w:val="00AF6479"/>
    <w:pPr>
      <w:spacing w:line="360" w:lineRule="auto"/>
    </w:pPr>
  </w:style>
  <w:style w:type="paragraph" w:customStyle="1" w:styleId="NORCCaption-Table">
    <w:name w:val="NORC Caption - Table"/>
    <w:basedOn w:val="NORCCaption-Exhibit"/>
    <w:qFormat/>
    <w:rsid w:val="00AF6479"/>
    <w:pPr>
      <w:tabs>
        <w:tab w:val="clear" w:pos="1800"/>
        <w:tab w:val="left" w:pos="1080"/>
      </w:tabs>
      <w:ind w:left="1080" w:hanging="1080"/>
    </w:pPr>
  </w:style>
  <w:style w:type="paragraph" w:customStyle="1" w:styleId="NORCProposalBody12ptGaramond">
    <w:name w:val="NORC Proposal Body 12pt Garamond"/>
    <w:basedOn w:val="Normal"/>
    <w:qFormat/>
    <w:rsid w:val="00AF6479"/>
    <w:pPr>
      <w:tabs>
        <w:tab w:val="right" w:pos="9360"/>
      </w:tabs>
      <w:spacing w:after="240"/>
    </w:pPr>
    <w:rPr>
      <w:rFonts w:eastAsia="Times New Roman" w:cs="AGaramond-Regular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79"/>
    <w:rPr>
      <w:rFonts w:ascii="Tahoma" w:hAnsi="Tahoma" w:cs="Tahoma"/>
      <w:sz w:val="16"/>
      <w:szCs w:val="16"/>
    </w:rPr>
  </w:style>
  <w:style w:type="paragraph" w:customStyle="1" w:styleId="Heading5Garamond">
    <w:name w:val="Heading 5 Garamond"/>
    <w:basedOn w:val="Heading5"/>
    <w:qFormat/>
    <w:rsid w:val="00AF6479"/>
    <w:rPr>
      <w:rFonts w:ascii="Garamond" w:hAnsi="Garamond"/>
    </w:rPr>
  </w:style>
  <w:style w:type="paragraph" w:customStyle="1" w:styleId="NORCCallOutSubheadArial8pt-Black">
    <w:name w:val="NORC Call Out Subhead (Arial 8pt) - Black"/>
    <w:basedOn w:val="NORCCallOutSubheadArial8pt"/>
    <w:qFormat/>
    <w:rsid w:val="00AF6479"/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AF647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ORCTableSubheadingGaramond-Black">
    <w:name w:val="NORC Table Subheading Garamond - Black"/>
    <w:basedOn w:val="NORCTableSubheadingCenterGaramond"/>
    <w:qFormat/>
    <w:rsid w:val="00AF6479"/>
    <w:rPr>
      <w:color w:val="auto"/>
    </w:rPr>
  </w:style>
  <w:style w:type="paragraph" w:customStyle="1" w:styleId="NORCTableSubheadArial-Black">
    <w:name w:val="NORC Table Subhead Arial - Black"/>
    <w:basedOn w:val="NORCTableSubheadArial-White"/>
    <w:qFormat/>
    <w:rsid w:val="00AF6479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rsid w:val="00AF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16"/>
        <w:tab w:val="clear" w:pos="1728"/>
      </w:tabs>
      <w:spacing w:before="480" w:after="0" w:line="240" w:lineRule="auto"/>
      <w:outlineLvl w:val="9"/>
    </w:pPr>
    <w:rPr>
      <w:rFonts w:ascii="Garamond" w:eastAsiaTheme="majorEastAsia" w:hAnsi="Garamond" w:cstheme="majorBidi"/>
      <w:caps w:val="0"/>
      <w:color w:val="8AB3A4"/>
      <w:kern w:val="0"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AF647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AF6479"/>
    <w:pPr>
      <w:keepLines/>
      <w:numPr>
        <w:numId w:val="9"/>
      </w:numPr>
      <w:spacing w:after="120"/>
    </w:pPr>
  </w:style>
  <w:style w:type="paragraph" w:styleId="ListNumber2">
    <w:name w:val="List Number 2"/>
    <w:basedOn w:val="Normal"/>
    <w:uiPriority w:val="99"/>
    <w:unhideWhenUsed/>
    <w:rsid w:val="00AF6479"/>
    <w:pPr>
      <w:keepLines/>
      <w:numPr>
        <w:numId w:val="10"/>
      </w:numPr>
      <w:spacing w:after="60"/>
    </w:pPr>
  </w:style>
  <w:style w:type="paragraph" w:styleId="ListBullet2">
    <w:name w:val="List Bullet 2"/>
    <w:basedOn w:val="NORCBullet2"/>
    <w:uiPriority w:val="99"/>
    <w:rsid w:val="00AF6479"/>
  </w:style>
  <w:style w:type="paragraph" w:customStyle="1" w:styleId="NORCTableBodyLeftArial">
    <w:name w:val="NORC Table Body Left (Arial)"/>
    <w:basedOn w:val="NORCTableBodyCenterArial"/>
    <w:qFormat/>
    <w:rsid w:val="00AF6479"/>
    <w:pPr>
      <w:jc w:val="left"/>
    </w:pPr>
  </w:style>
  <w:style w:type="paragraph" w:customStyle="1" w:styleId="NORCTableBodyRightArial">
    <w:name w:val="NORC Table Body Right (Arial)"/>
    <w:basedOn w:val="NORCTableBodyCenterArial"/>
    <w:qFormat/>
    <w:rsid w:val="00AF6479"/>
    <w:pPr>
      <w:jc w:val="right"/>
    </w:pPr>
  </w:style>
  <w:style w:type="paragraph" w:customStyle="1" w:styleId="NORCTableBullet1Arial">
    <w:name w:val="NORC Table Bullet 1 (Arial)"/>
    <w:basedOn w:val="NORCTableBodyLeftArial"/>
    <w:qFormat/>
    <w:rsid w:val="00AF6479"/>
    <w:pPr>
      <w:numPr>
        <w:numId w:val="15"/>
      </w:numPr>
      <w:tabs>
        <w:tab w:val="clear" w:pos="144"/>
        <w:tab w:val="left" w:pos="216"/>
      </w:tabs>
      <w:ind w:left="216" w:hanging="216"/>
    </w:pPr>
  </w:style>
  <w:style w:type="paragraph" w:customStyle="1" w:styleId="NORCTableBullet2Arial">
    <w:name w:val="NORC Table Bullet 2 (Arial)"/>
    <w:basedOn w:val="NORCTableBullet1Arial"/>
    <w:qFormat/>
    <w:rsid w:val="00AF6479"/>
    <w:pPr>
      <w:numPr>
        <w:numId w:val="16"/>
      </w:numPr>
      <w:tabs>
        <w:tab w:val="clear" w:pos="216"/>
        <w:tab w:val="left" w:pos="432"/>
      </w:tabs>
      <w:ind w:left="648" w:hanging="432"/>
    </w:pPr>
  </w:style>
  <w:style w:type="paragraph" w:customStyle="1" w:styleId="NORCTableBullet2Garamond">
    <w:name w:val="NORC Table Bullet 2 (Garamond)"/>
    <w:basedOn w:val="NORCTableBullet2Arial"/>
    <w:qFormat/>
    <w:rsid w:val="00AF6479"/>
    <w:rPr>
      <w:rFonts w:ascii="Garamond" w:hAnsi="Garamond"/>
      <w:sz w:val="20"/>
    </w:rPr>
  </w:style>
  <w:style w:type="paragraph" w:customStyle="1" w:styleId="NORCTableBullet1Garamond">
    <w:name w:val="NORC Table Bullet 1 (Garamond)"/>
    <w:basedOn w:val="NORCTableBullet1Arial"/>
    <w:qFormat/>
    <w:rsid w:val="00AF6479"/>
    <w:rPr>
      <w:rFonts w:ascii="Garamond" w:hAnsi="Garamond"/>
      <w:sz w:val="20"/>
    </w:rPr>
  </w:style>
  <w:style w:type="table" w:styleId="TableGrid">
    <w:name w:val="Table Grid"/>
    <w:basedOn w:val="TableNormal"/>
    <w:uiPriority w:val="59"/>
    <w:rsid w:val="00AF6479"/>
    <w:pPr>
      <w:spacing w:after="0" w:line="240" w:lineRule="auto"/>
    </w:pPr>
    <w:rPr>
      <w:rFonts w:ascii="Garamond" w:hAnsi="Garamond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StaffName">
    <w:name w:val="NORC Staff Name"/>
    <w:basedOn w:val="Normal"/>
    <w:qFormat/>
    <w:rsid w:val="00AF6479"/>
    <w:pPr>
      <w:framePr w:hSpace="187" w:wrap="around" w:vAnchor="text" w:hAnchor="text" w:x="159" w:y="1"/>
      <w:spacing w:after="40"/>
      <w:suppressOverlap/>
      <w:jc w:val="center"/>
    </w:pPr>
    <w:rPr>
      <w:b/>
      <w:color w:val="000000"/>
      <w:sz w:val="24"/>
    </w:rPr>
  </w:style>
  <w:style w:type="paragraph" w:customStyle="1" w:styleId="NORCStaffBullet1">
    <w:name w:val="NORC Staff Bullet 1"/>
    <w:basedOn w:val="ListBullet"/>
    <w:qFormat/>
    <w:rsid w:val="00AF6479"/>
    <w:pPr>
      <w:spacing w:after="100"/>
      <w:ind w:left="360"/>
    </w:pPr>
  </w:style>
  <w:style w:type="paragraph" w:customStyle="1" w:styleId="NORCStaffTitle">
    <w:name w:val="NORC Staff Title"/>
    <w:basedOn w:val="Normal"/>
    <w:qFormat/>
    <w:rsid w:val="00AF6479"/>
    <w:pPr>
      <w:framePr w:hSpace="187" w:wrap="around" w:vAnchor="text" w:hAnchor="text" w:x="159" w:y="1"/>
      <w:pBdr>
        <w:bottom w:val="single" w:sz="4" w:space="1" w:color="auto"/>
      </w:pBdr>
      <w:spacing w:after="80"/>
      <w:suppressOverlap/>
      <w:jc w:val="center"/>
    </w:pPr>
    <w:rPr>
      <w:smallCaps/>
      <w:color w:val="000000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F6479"/>
    <w:pPr>
      <w:tabs>
        <w:tab w:val="left" w:pos="1224"/>
        <w:tab w:val="right" w:leader="dot" w:pos="9360"/>
      </w:tabs>
      <w:spacing w:after="120"/>
      <w:ind w:left="1224" w:hanging="1224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F6479"/>
    <w:pPr>
      <w:spacing w:after="200"/>
    </w:pPr>
    <w:rPr>
      <w:b/>
      <w:bCs/>
      <w:color w:val="000000" w:themeColor="text1"/>
      <w:sz w:val="18"/>
      <w:szCs w:val="18"/>
    </w:rPr>
  </w:style>
  <w:style w:type="paragraph" w:styleId="ListBullet3">
    <w:name w:val="List Bullet 3"/>
    <w:basedOn w:val="NORCBullet3"/>
    <w:uiPriority w:val="99"/>
    <w:rsid w:val="00AF6479"/>
  </w:style>
  <w:style w:type="paragraph" w:styleId="ListParagraph">
    <w:name w:val="List Paragraph"/>
    <w:basedOn w:val="Normal"/>
    <w:uiPriority w:val="34"/>
    <w:qFormat/>
    <w:rsid w:val="00AF647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79"/>
    <w:rPr>
      <w:rFonts w:ascii="Garamond" w:eastAsiaTheme="minorHAnsi" w:hAnsi="Garamond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79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Campanella</dc:creator>
  <cp:keywords/>
  <dc:description/>
  <cp:lastModifiedBy>SYSTEM</cp:lastModifiedBy>
  <cp:revision>2</cp:revision>
  <dcterms:created xsi:type="dcterms:W3CDTF">2017-07-27T15:38:00Z</dcterms:created>
  <dcterms:modified xsi:type="dcterms:W3CDTF">2017-07-27T15:38:00Z</dcterms:modified>
</cp:coreProperties>
</file>