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80" w:rsidRPr="00B06980" w:rsidRDefault="00B06980" w:rsidP="00B06980">
      <w:pPr>
        <w:keepNext/>
        <w:tabs>
          <w:tab w:val="left" w:pos="1152"/>
        </w:tabs>
        <w:spacing w:after="360" w:line="360" w:lineRule="atLeast"/>
        <w:ind w:left="1152" w:hanging="1152"/>
        <w:outlineLvl w:val="1"/>
        <w:rPr>
          <w:rFonts w:ascii="Franklin Gothic Medium" w:eastAsia="Batang" w:hAnsi="Franklin Gothic Medium" w:cs="Times New Roman"/>
          <w:b/>
          <w:color w:val="324162"/>
          <w:sz w:val="32"/>
          <w:szCs w:val="20"/>
          <w:lang w:eastAsia="ko-KR"/>
        </w:rPr>
      </w:pPr>
      <w:bookmarkStart w:id="0" w:name="_Toc504977921"/>
      <w:bookmarkStart w:id="1" w:name="_GoBack"/>
      <w:bookmarkEnd w:id="1"/>
      <w:r>
        <w:rPr>
          <w:rFonts w:ascii="Franklin Gothic Medium" w:eastAsia="Batang" w:hAnsi="Franklin Gothic Medium" w:cs="Times New Roman"/>
          <w:b/>
          <w:color w:val="324162"/>
          <w:sz w:val="32"/>
          <w:szCs w:val="20"/>
          <w:lang w:eastAsia="ko-KR"/>
        </w:rPr>
        <w:t>A</w:t>
      </w:r>
      <w:r w:rsidR="002A59A8">
        <w:rPr>
          <w:rFonts w:ascii="Franklin Gothic Medium" w:eastAsia="Batang" w:hAnsi="Franklin Gothic Medium" w:cs="Times New Roman"/>
          <w:b/>
          <w:color w:val="324162"/>
          <w:sz w:val="32"/>
          <w:szCs w:val="20"/>
          <w:lang w:eastAsia="ko-KR"/>
        </w:rPr>
        <w:t>ttachment</w:t>
      </w:r>
      <w:r>
        <w:rPr>
          <w:rFonts w:ascii="Franklin Gothic Medium" w:eastAsia="Batang" w:hAnsi="Franklin Gothic Medium" w:cs="Times New Roman"/>
          <w:b/>
          <w:color w:val="324162"/>
          <w:sz w:val="32"/>
          <w:szCs w:val="20"/>
          <w:lang w:eastAsia="ko-KR"/>
        </w:rPr>
        <w:t xml:space="preserve"> </w:t>
      </w:r>
      <w:r w:rsidR="00B026F0">
        <w:rPr>
          <w:rFonts w:ascii="Franklin Gothic Medium" w:eastAsia="Batang" w:hAnsi="Franklin Gothic Medium" w:cs="Times New Roman"/>
          <w:b/>
          <w:color w:val="324162"/>
          <w:sz w:val="32"/>
          <w:szCs w:val="20"/>
          <w:lang w:eastAsia="ko-KR"/>
        </w:rPr>
        <w:t>3</w:t>
      </w:r>
      <w:r w:rsidR="003C7E2F">
        <w:rPr>
          <w:rFonts w:ascii="Franklin Gothic Medium" w:eastAsia="Batang" w:hAnsi="Franklin Gothic Medium" w:cs="Times New Roman"/>
          <w:b/>
          <w:color w:val="324162"/>
          <w:sz w:val="32"/>
          <w:szCs w:val="20"/>
          <w:lang w:eastAsia="ko-KR"/>
        </w:rPr>
        <w:t>d</w:t>
      </w:r>
      <w:r w:rsidRPr="00B06980">
        <w:rPr>
          <w:rFonts w:ascii="Franklin Gothic Medium" w:eastAsia="Batang" w:hAnsi="Franklin Gothic Medium" w:cs="Times New Roman"/>
          <w:b/>
          <w:color w:val="324162"/>
          <w:sz w:val="32"/>
          <w:szCs w:val="20"/>
          <w:lang w:eastAsia="ko-KR"/>
        </w:rPr>
        <w:t xml:space="preserve">: </w:t>
      </w:r>
      <w:r w:rsidR="00B026F0">
        <w:rPr>
          <w:rFonts w:ascii="Franklin Gothic Medium" w:eastAsia="Batang" w:hAnsi="Franklin Gothic Medium" w:cs="Times New Roman"/>
          <w:b/>
          <w:color w:val="324162"/>
          <w:sz w:val="32"/>
          <w:szCs w:val="20"/>
          <w:lang w:eastAsia="ko-KR"/>
        </w:rPr>
        <w:t>Healthcare Facility</w:t>
      </w:r>
      <w:r w:rsidRPr="00B06980">
        <w:rPr>
          <w:rFonts w:ascii="Franklin Gothic Medium" w:eastAsia="Batang" w:hAnsi="Franklin Gothic Medium" w:cs="Times New Roman"/>
          <w:b/>
          <w:color w:val="324162"/>
          <w:sz w:val="32"/>
          <w:szCs w:val="20"/>
          <w:lang w:eastAsia="ko-KR"/>
        </w:rPr>
        <w:t xml:space="preserve"> IRB information</w:t>
      </w:r>
      <w:bookmarkEnd w:id="0"/>
    </w:p>
    <w:p w:rsidR="00B06980" w:rsidRPr="00B06980" w:rsidRDefault="00B06980" w:rsidP="00B06980">
      <w:pPr>
        <w:spacing w:after="0" w:line="240" w:lineRule="auto"/>
        <w:jc w:val="center"/>
        <w:rPr>
          <w:rFonts w:ascii="Garamond" w:eastAsia="Times New Roman" w:hAnsi="Garamond" w:cs="Calibri"/>
          <w:b/>
          <w:sz w:val="24"/>
          <w:szCs w:val="24"/>
        </w:rPr>
      </w:pPr>
      <w:r w:rsidRPr="00B06980">
        <w:rPr>
          <w:rFonts w:ascii="Garamond" w:eastAsia="Times New Roman" w:hAnsi="Garamond" w:cs="Calibri"/>
          <w:b/>
          <w:sz w:val="24"/>
          <w:szCs w:val="24"/>
        </w:rPr>
        <w:t xml:space="preserve">Disparities in Distress Screening among Lung and Ovarian Cancer Survivors </w:t>
      </w:r>
    </w:p>
    <w:p w:rsidR="00B06980" w:rsidRPr="00B06980" w:rsidRDefault="00B06980" w:rsidP="00B06980">
      <w:pPr>
        <w:spacing w:after="0" w:line="240" w:lineRule="auto"/>
        <w:jc w:val="center"/>
        <w:rPr>
          <w:rFonts w:ascii="Garamond" w:eastAsia="Times New Roman" w:hAnsi="Garamond" w:cs="Calibri"/>
          <w:b/>
          <w:sz w:val="24"/>
          <w:szCs w:val="24"/>
        </w:rPr>
      </w:pPr>
      <w:r w:rsidRPr="00B06980">
        <w:rPr>
          <w:rFonts w:ascii="Garamond" w:eastAsia="Times New Roman" w:hAnsi="Garamond" w:cs="Calibri"/>
          <w:b/>
          <w:sz w:val="24"/>
          <w:szCs w:val="24"/>
        </w:rPr>
        <w:t>Centers for Disease Control and Prevention (CDC)</w:t>
      </w:r>
    </w:p>
    <w:p w:rsidR="00B06980" w:rsidRPr="00B06980" w:rsidRDefault="00B06980" w:rsidP="00B06980">
      <w:pPr>
        <w:tabs>
          <w:tab w:val="center" w:pos="4680"/>
          <w:tab w:val="right" w:pos="9360"/>
        </w:tabs>
        <w:spacing w:after="0" w:line="240" w:lineRule="auto"/>
        <w:jc w:val="center"/>
        <w:rPr>
          <w:rFonts w:ascii="Calibri" w:eastAsia="Calibri" w:hAnsi="Calibri" w:cs="Times New Roman"/>
          <w:b/>
          <w:sz w:val="28"/>
          <w:szCs w:val="28"/>
        </w:rPr>
      </w:pPr>
    </w:p>
    <w:p w:rsidR="00B06980" w:rsidRPr="00B06980" w:rsidRDefault="00B026F0" w:rsidP="00B06980">
      <w:pPr>
        <w:tabs>
          <w:tab w:val="center" w:pos="4680"/>
          <w:tab w:val="right" w:pos="9360"/>
        </w:tabs>
        <w:spacing w:after="0" w:line="240" w:lineRule="auto"/>
        <w:jc w:val="center"/>
        <w:rPr>
          <w:rFonts w:ascii="Garamond" w:eastAsia="Calibri" w:hAnsi="Garamond" w:cs="Times New Roman"/>
          <w:b/>
          <w:sz w:val="32"/>
          <w:szCs w:val="28"/>
        </w:rPr>
      </w:pPr>
      <w:r>
        <w:rPr>
          <w:rFonts w:ascii="Garamond" w:eastAsia="Calibri" w:hAnsi="Garamond" w:cs="Times New Roman"/>
          <w:b/>
          <w:sz w:val="32"/>
          <w:szCs w:val="28"/>
        </w:rPr>
        <w:t>Healthcare Facility</w:t>
      </w:r>
      <w:r w:rsidR="00B06980" w:rsidRPr="00B06980">
        <w:rPr>
          <w:rFonts w:ascii="Garamond" w:eastAsia="Calibri" w:hAnsi="Garamond" w:cs="Times New Roman"/>
          <w:b/>
          <w:sz w:val="32"/>
          <w:szCs w:val="28"/>
        </w:rPr>
        <w:t xml:space="preserve"> IRB Information</w:t>
      </w:r>
    </w:p>
    <w:p w:rsidR="00B06980" w:rsidRPr="00B06980" w:rsidRDefault="00B06980" w:rsidP="00B06980">
      <w:pPr>
        <w:tabs>
          <w:tab w:val="center" w:pos="4680"/>
          <w:tab w:val="right" w:pos="9360"/>
        </w:tabs>
        <w:spacing w:after="0" w:line="240" w:lineRule="auto"/>
        <w:jc w:val="center"/>
        <w:rPr>
          <w:rFonts w:ascii="Calibri" w:eastAsia="Calibri" w:hAnsi="Calibri" w:cs="Times New Roman"/>
          <w:b/>
          <w:i/>
        </w:rPr>
      </w:pPr>
      <w:r w:rsidRPr="00B06980">
        <w:rPr>
          <w:rFonts w:ascii="Calibri" w:eastAsia="Calibri" w:hAnsi="Calibri" w:cs="Times New Roman"/>
          <w:b/>
          <w:i/>
        </w:rPr>
        <w:t xml:space="preserve">(Suggested for use in </w:t>
      </w:r>
      <w:r w:rsidR="00B026F0">
        <w:rPr>
          <w:rFonts w:ascii="Calibri" w:eastAsia="Calibri" w:hAnsi="Calibri" w:cs="Times New Roman"/>
          <w:b/>
          <w:i/>
        </w:rPr>
        <w:t>healthcare facility</w:t>
      </w:r>
      <w:r w:rsidRPr="00B06980">
        <w:rPr>
          <w:rFonts w:ascii="Calibri" w:eastAsia="Calibri" w:hAnsi="Calibri" w:cs="Times New Roman"/>
          <w:b/>
          <w:i/>
        </w:rPr>
        <w:t xml:space="preserve"> IRB submission package)</w:t>
      </w:r>
    </w:p>
    <w:p w:rsidR="00B06980" w:rsidRPr="00B06980" w:rsidRDefault="00B06980" w:rsidP="00B06980">
      <w:pPr>
        <w:tabs>
          <w:tab w:val="left" w:pos="1152"/>
        </w:tabs>
        <w:spacing w:after="0" w:line="240" w:lineRule="atLeast"/>
        <w:rPr>
          <w:rFonts w:ascii="Garamond" w:eastAsia="Batang" w:hAnsi="Garamond" w:cs="Times New Roman"/>
          <w:sz w:val="24"/>
          <w:szCs w:val="20"/>
          <w:lang w:eastAsia="ko-KR"/>
        </w:rPr>
      </w:pPr>
    </w:p>
    <w:p w:rsidR="00B06980" w:rsidRPr="00B06980" w:rsidRDefault="00B026F0" w:rsidP="00B06980">
      <w:pPr>
        <w:autoSpaceDE w:val="0"/>
        <w:autoSpaceDN w:val="0"/>
        <w:adjustRightInd w:val="0"/>
        <w:spacing w:before="60" w:after="60" w:line="240" w:lineRule="auto"/>
        <w:rPr>
          <w:rFonts w:ascii="Garamond" w:eastAsia="Times New Roman" w:hAnsi="Garamond" w:cs="Garamond"/>
          <w:sz w:val="24"/>
          <w:szCs w:val="24"/>
        </w:rPr>
      </w:pPr>
      <w:r>
        <w:rPr>
          <w:rFonts w:ascii="Garamond" w:eastAsia="Times New Roman" w:hAnsi="Garamond" w:cs="Garamond"/>
          <w:sz w:val="24"/>
          <w:szCs w:val="24"/>
        </w:rPr>
        <w:t>Healthcare facilities</w:t>
      </w:r>
      <w:r w:rsidR="00B06980" w:rsidRPr="00B06980">
        <w:rPr>
          <w:rFonts w:ascii="Garamond" w:eastAsia="Times New Roman" w:hAnsi="Garamond" w:cs="Garamond"/>
          <w:sz w:val="24"/>
          <w:szCs w:val="24"/>
        </w:rPr>
        <w:t xml:space="preserve"> engaged in research involving human subjects usually have their own IRBs to oversee research conducted within the institution or by the staff of the institution. To assist in the IRB process for this study, Westat, CDC’s contractor, has provided information that can be adapted to your </w:t>
      </w:r>
      <w:r>
        <w:rPr>
          <w:rFonts w:ascii="Garamond" w:eastAsia="Times New Roman" w:hAnsi="Garamond" w:cs="Garamond"/>
          <w:sz w:val="24"/>
          <w:szCs w:val="24"/>
        </w:rPr>
        <w:t>healthcare facility</w:t>
      </w:r>
      <w:r w:rsidR="00B06980" w:rsidRPr="00B06980">
        <w:rPr>
          <w:rFonts w:ascii="Garamond" w:eastAsia="Times New Roman" w:hAnsi="Garamond" w:cs="Garamond"/>
          <w:sz w:val="24"/>
          <w:szCs w:val="24"/>
        </w:rPr>
        <w:t xml:space="preserve">’s IRB for participation in this research project. Westat is not acting as an external IRB agent for </w:t>
      </w:r>
      <w:r>
        <w:rPr>
          <w:rFonts w:ascii="Garamond" w:eastAsia="Times New Roman" w:hAnsi="Garamond" w:cs="Garamond"/>
          <w:sz w:val="24"/>
          <w:szCs w:val="24"/>
        </w:rPr>
        <w:t>healthcare facilities</w:t>
      </w:r>
      <w:r w:rsidR="00B06980" w:rsidRPr="00B06980">
        <w:rPr>
          <w:rFonts w:ascii="Garamond" w:eastAsia="Times New Roman" w:hAnsi="Garamond" w:cs="Garamond"/>
          <w:sz w:val="24"/>
          <w:szCs w:val="24"/>
        </w:rPr>
        <w:t xml:space="preserve">, but only providing information to streamline the participating </w:t>
      </w:r>
      <w:r>
        <w:rPr>
          <w:rFonts w:ascii="Garamond" w:eastAsia="Times New Roman" w:hAnsi="Garamond" w:cs="Garamond"/>
          <w:sz w:val="24"/>
          <w:szCs w:val="24"/>
        </w:rPr>
        <w:t>healthcare facilities</w:t>
      </w:r>
      <w:r w:rsidR="00B06980" w:rsidRPr="00B06980">
        <w:rPr>
          <w:rFonts w:ascii="Garamond" w:eastAsia="Times New Roman" w:hAnsi="Garamond" w:cs="Garamond"/>
          <w:sz w:val="24"/>
          <w:szCs w:val="24"/>
        </w:rPr>
        <w:t xml:space="preserve">’ IRB process. Below are components for this project that each </w:t>
      </w:r>
      <w:r>
        <w:rPr>
          <w:rFonts w:ascii="Garamond" w:eastAsia="Times New Roman" w:hAnsi="Garamond" w:cs="Garamond"/>
          <w:sz w:val="24"/>
          <w:szCs w:val="24"/>
        </w:rPr>
        <w:t>healthcare facility</w:t>
      </w:r>
      <w:r w:rsidR="00B06980" w:rsidRPr="00B06980">
        <w:rPr>
          <w:rFonts w:ascii="Garamond" w:eastAsia="Times New Roman" w:hAnsi="Garamond" w:cs="Garamond"/>
          <w:sz w:val="24"/>
          <w:szCs w:val="24"/>
        </w:rPr>
        <w:t xml:space="preserve"> can adapt to their IRB application.</w:t>
      </w:r>
    </w:p>
    <w:p w:rsidR="00B06980" w:rsidRPr="00B06980" w:rsidRDefault="00B06980" w:rsidP="00B06980">
      <w:pPr>
        <w:autoSpaceDE w:val="0"/>
        <w:autoSpaceDN w:val="0"/>
        <w:adjustRightInd w:val="0"/>
        <w:spacing w:after="0" w:line="240" w:lineRule="auto"/>
        <w:rPr>
          <w:rFonts w:ascii="Garamond" w:eastAsia="Times New Roman" w:hAnsi="Garamond" w:cs="Garamond"/>
          <w:b/>
          <w:sz w:val="24"/>
          <w:szCs w:val="24"/>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r w:rsidRPr="00B06980">
        <w:rPr>
          <w:rFonts w:ascii="Garamond" w:eastAsia="Times New Roman" w:hAnsi="Garamond" w:cs="Garamond"/>
          <w:b/>
          <w:color w:val="000000"/>
          <w:sz w:val="24"/>
          <w:szCs w:val="24"/>
          <w:u w:val="single"/>
        </w:rPr>
        <w:t>TITLE OF RESEARCH PROJECT</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Disparities in Distress Screening among Lung and Ovarian Cancer Survivors</w:t>
      </w: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r w:rsidRPr="00B06980">
        <w:rPr>
          <w:rFonts w:ascii="Garamond" w:eastAsia="Times New Roman" w:hAnsi="Garamond" w:cs="Garamond"/>
          <w:b/>
          <w:color w:val="000000"/>
          <w:sz w:val="24"/>
          <w:szCs w:val="24"/>
          <w:u w:val="single"/>
        </w:rPr>
        <w:t>AGENCY</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The Centers for Disease Control and Prevention (CDC), and Westat, CDC’s contractor</w:t>
      </w: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r w:rsidRPr="00B06980">
        <w:rPr>
          <w:rFonts w:ascii="Garamond" w:eastAsia="Times New Roman" w:hAnsi="Garamond" w:cs="Garamond"/>
          <w:b/>
          <w:color w:val="000000"/>
          <w:sz w:val="24"/>
          <w:szCs w:val="24"/>
          <w:u w:val="single"/>
        </w:rPr>
        <w:t>ESTIMATED PROJECT START DATE AND KEY MILESTONES</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Start Date: Fall of 2018</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Data collection: Spring-</w:t>
      </w:r>
      <w:r w:rsidRPr="00B06980">
        <w:rPr>
          <w:rFonts w:ascii="Garamond" w:eastAsia="Times New Roman" w:hAnsi="Garamond" w:cs="Times New Roman"/>
          <w:sz w:val="24"/>
          <w:szCs w:val="20"/>
        </w:rPr>
        <w:t>Fall of 2019</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End Date: Fall of 2020</w:t>
      </w: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u w:val="single"/>
        </w:rPr>
      </w:pPr>
      <w:r w:rsidRPr="00B06980">
        <w:rPr>
          <w:rFonts w:ascii="Garamond" w:eastAsia="Times New Roman" w:hAnsi="Garamond" w:cs="Garamond"/>
          <w:b/>
          <w:color w:val="000000"/>
          <w:sz w:val="24"/>
          <w:szCs w:val="24"/>
          <w:u w:val="single"/>
        </w:rPr>
        <w:t>PROJECT SUMMARY</w:t>
      </w: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Within the cancer treatment community, interest in the psychosocial impacts of cancer diagnosis and treatment is increasing. These psychosocial impacts are wide ranging and include not only anxiety related to the illness and treatment side effects such as pain, fatigue and cognition, but also stress related to nonmedical issues such as family relationships, financial hardship, social stressors (e.g. transportation), and stigmatization. There is growing evidence that addressing the psychosocial stresses of cancer survivors increases both their longevity and quality of life.</w:t>
      </w:r>
      <w:r w:rsidRPr="00B06980">
        <w:rPr>
          <w:rFonts w:ascii="Garamond" w:eastAsia="Times New Roman" w:hAnsi="Garamond" w:cs="Garamond"/>
          <w:sz w:val="24"/>
          <w:szCs w:val="24"/>
          <w:vertAlign w:val="superscript"/>
        </w:rPr>
        <w:footnoteReference w:customMarkFollows="1" w:id="1"/>
        <w:t>1,</w:t>
      </w:r>
      <w:r w:rsidRPr="00B06980">
        <w:rPr>
          <w:rFonts w:ascii="Garamond" w:eastAsia="Times New Roman" w:hAnsi="Garamond" w:cs="Garamond"/>
          <w:sz w:val="24"/>
          <w:szCs w:val="24"/>
          <w:vertAlign w:val="superscript"/>
        </w:rPr>
        <w:footnoteReference w:customMarkFollows="1" w:id="2"/>
        <w:t>2,</w:t>
      </w:r>
      <w:r w:rsidRPr="00B06980">
        <w:rPr>
          <w:rFonts w:ascii="Garamond" w:eastAsia="Times New Roman" w:hAnsi="Garamond" w:cs="Garamond"/>
          <w:sz w:val="24"/>
          <w:szCs w:val="24"/>
          <w:vertAlign w:val="superscript"/>
        </w:rPr>
        <w:footnoteReference w:customMarkFollows="1" w:id="3"/>
        <w:t>3,</w:t>
      </w:r>
      <w:r w:rsidRPr="00B06980">
        <w:rPr>
          <w:rFonts w:ascii="Garamond" w:eastAsia="Times New Roman" w:hAnsi="Garamond" w:cs="Garamond"/>
          <w:sz w:val="24"/>
          <w:szCs w:val="24"/>
          <w:vertAlign w:val="superscript"/>
        </w:rPr>
        <w:footnoteReference w:customMarkFollows="1" w:id="4"/>
        <w:t>4</w:t>
      </w:r>
      <w:r w:rsidRPr="00B06980">
        <w:rPr>
          <w:rFonts w:ascii="Garamond" w:eastAsia="Times New Roman" w:hAnsi="Garamond" w:cs="Garamond"/>
          <w:sz w:val="24"/>
          <w:szCs w:val="24"/>
        </w:rPr>
        <w:t xml:space="preserve">With the transition </w:t>
      </w:r>
      <w:r w:rsidRPr="00B06980">
        <w:rPr>
          <w:rFonts w:ascii="Garamond" w:eastAsia="Times New Roman" w:hAnsi="Garamond" w:cs="Garamond"/>
          <w:sz w:val="24"/>
          <w:szCs w:val="24"/>
        </w:rPr>
        <w:lastRenderedPageBreak/>
        <w:t>to ‘patient-centered care’ by the American College of Surgeons, Commission on Cancer (CoC) in 2015 came the mandate to provide Psychosocial Distress Screening for all cancer patients. The distress screening is addressed in Standard 3.2 of the 2015 and 2016 Cancer Program Standards of the CoC. Specifically stated: Each calendar year, the cancer committee develops and implements a process to integrate and monitor onsite psychosocial distress screening and referral for the provision of psychosocial care. With this standard, it is required that all cancer patients must be screened for distress a minimum of one time at a pivotal medical visit as determined by the program. The cancer committee defines one or more medical visits that are part of a pivotal time for the distress screening process. Examples of a pivotal medical visit may include postsurgical visits, first visit with a medical oncologist to discuss chemotherapy, routine visit with a radiation oncologist, or a post chemotherapy follow-up visit. Preference should be given to pivotal medical visits at times of greatest risk for distress, such as time of diagnosis, transitions during treatment, or transitions off treatment.</w:t>
      </w:r>
      <w:r w:rsidRPr="00B06980">
        <w:rPr>
          <w:rFonts w:ascii="Garamond" w:eastAsia="Times New Roman" w:hAnsi="Garamond" w:cs="Garamond"/>
          <w:sz w:val="24"/>
          <w:szCs w:val="24"/>
          <w:vertAlign w:val="superscript"/>
        </w:rPr>
        <w:footnoteReference w:customMarkFollows="1" w:id="5"/>
        <w:t>5</w:t>
      </w:r>
      <w:r w:rsidRPr="00B06980">
        <w:rPr>
          <w:rFonts w:ascii="Garamond" w:eastAsia="Times New Roman" w:hAnsi="Garamond" w:cs="Garamond"/>
          <w:sz w:val="24"/>
          <w:szCs w:val="24"/>
        </w:rPr>
        <w:t xml:space="preserve"> </w:t>
      </w:r>
    </w:p>
    <w:p w:rsidR="00B06980" w:rsidRPr="00B06980" w:rsidRDefault="00B06980" w:rsidP="00B06980">
      <w:pPr>
        <w:spacing w:after="0" w:line="240" w:lineRule="auto"/>
        <w:rPr>
          <w:rFonts w:ascii="Garamond" w:eastAsia="Times New Roman" w:hAnsi="Garamond" w:cs="Garamond"/>
          <w:sz w:val="24"/>
          <w:szCs w:val="24"/>
        </w:rPr>
      </w:pPr>
    </w:p>
    <w:p w:rsidR="00B06980" w:rsidRPr="00B06980" w:rsidRDefault="00B06980" w:rsidP="00B06980">
      <w:pPr>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Now that several years have transpired since the CoC mandate, it is important for the CDC to evaluate whether cancer survivors are receiving the mandated distress screening and whether or not facilities are providing adequate support for those patients who show signs of distress. Because ovarian and lung cancer patients have relatively low five year survival rates,</w:t>
      </w:r>
      <w:r w:rsidRPr="00B06980">
        <w:rPr>
          <w:rFonts w:ascii="Garamond" w:eastAsia="Times New Roman" w:hAnsi="Garamond" w:cs="Garamond"/>
          <w:sz w:val="24"/>
          <w:szCs w:val="24"/>
          <w:vertAlign w:val="superscript"/>
        </w:rPr>
        <w:footnoteReference w:customMarkFollows="1" w:id="6"/>
        <w:t>6</w:t>
      </w:r>
      <w:r w:rsidRPr="00B06980">
        <w:rPr>
          <w:rFonts w:ascii="Garamond" w:eastAsia="Times New Roman" w:hAnsi="Garamond" w:cs="Garamond"/>
          <w:sz w:val="24"/>
          <w:szCs w:val="24"/>
        </w:rPr>
        <w:t xml:space="preserve"> it is prudent to focus the evaluation on them. This project will examine the extent to which disparities exist in distress screening and follow-up among cancer treatment facilities and programs (both CoC-accredited and non-CoC-accredited) across the country. The proposed project seeks to understand the facilitators and barriers to the process of incorporating distress screening and follow-up treatment in the care of ovarian and lung </w:t>
      </w:r>
      <w:r w:rsidRPr="00257CFA">
        <w:rPr>
          <w:rFonts w:ascii="Garamond" w:eastAsia="Times New Roman" w:hAnsi="Garamond" w:cs="Garamond"/>
          <w:sz w:val="24"/>
          <w:szCs w:val="24"/>
        </w:rPr>
        <w:t>cancer survivors.</w:t>
      </w:r>
      <w:r w:rsidRPr="00B06980">
        <w:rPr>
          <w:rFonts w:ascii="Garamond" w:eastAsia="Times New Roman" w:hAnsi="Garamond" w:cs="Garamond"/>
          <w:sz w:val="24"/>
          <w:szCs w:val="24"/>
        </w:rPr>
        <w:t xml:space="preserve">  Results will provide valuable information on addressing the psychosocial needs of these survivors. Results will assist the CDC’s National Comprehensive Cancer Control Program (NCCCP) with the development of information, resources and technical assistance to support screening and intervention efforts in healthcare systems, and to evaluate the need for policy, systems and/or environmental change to enhance the landscape of quality of life services for cancer survivors in communities. The project aims to evaluate ovarian and lung cancer survivors receiving psychosocial distress screening to determine whether adequate support is given and to identify any disparities in receipt of mandated care.</w:t>
      </w:r>
    </w:p>
    <w:p w:rsidR="00B06980" w:rsidRPr="00B06980" w:rsidRDefault="00B06980" w:rsidP="00B06980">
      <w:pPr>
        <w:autoSpaceDE w:val="0"/>
        <w:autoSpaceDN w:val="0"/>
        <w:adjustRightInd w:val="0"/>
        <w:spacing w:before="60" w:after="60" w:line="240" w:lineRule="auto"/>
        <w:rPr>
          <w:rFonts w:ascii="Garamond" w:eastAsia="Times New Roman" w:hAnsi="Garamond" w:cs="Garamond"/>
          <w:sz w:val="24"/>
          <w:szCs w:val="20"/>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aps/>
          <w:color w:val="000000"/>
          <w:sz w:val="24"/>
          <w:szCs w:val="24"/>
          <w:u w:val="single"/>
        </w:rPr>
      </w:pPr>
      <w:r w:rsidRPr="00B06980">
        <w:rPr>
          <w:rFonts w:ascii="Garamond" w:eastAsia="Times New Roman" w:hAnsi="Garamond" w:cs="Garamond"/>
          <w:b/>
          <w:caps/>
          <w:color w:val="000000"/>
          <w:sz w:val="24"/>
          <w:szCs w:val="24"/>
          <w:u w:val="single"/>
        </w:rPr>
        <w:t>Procedures and Populations Involved</w:t>
      </w:r>
    </w:p>
    <w:p w:rsidR="00B06980" w:rsidRPr="00B06980" w:rsidRDefault="00B06980" w:rsidP="00B06980">
      <w:pPr>
        <w:autoSpaceDE w:val="0"/>
        <w:autoSpaceDN w:val="0"/>
        <w:adjustRightInd w:val="0"/>
        <w:spacing w:after="0" w:line="240" w:lineRule="auto"/>
        <w:rPr>
          <w:rFonts w:ascii="Garamond" w:eastAsia="Times New Roman" w:hAnsi="Garamond" w:cs="Garamond"/>
          <w:sz w:val="24"/>
          <w:szCs w:val="24"/>
        </w:rPr>
      </w:pPr>
      <w:r w:rsidRPr="00B06980">
        <w:rPr>
          <w:rFonts w:ascii="Garamond" w:eastAsia="Times New Roman" w:hAnsi="Garamond" w:cs="Garamond"/>
          <w:sz w:val="24"/>
          <w:szCs w:val="24"/>
        </w:rPr>
        <w:t>As a participating organization, [</w:t>
      </w:r>
      <w:r w:rsidR="00B026F0">
        <w:rPr>
          <w:rFonts w:ascii="Garamond" w:eastAsia="Times New Roman" w:hAnsi="Garamond" w:cs="Garamond"/>
          <w:sz w:val="24"/>
          <w:szCs w:val="24"/>
        </w:rPr>
        <w:t>HEALTHCARE FACILITY</w:t>
      </w:r>
      <w:r w:rsidRPr="00B06980">
        <w:rPr>
          <w:rFonts w:ascii="Garamond" w:eastAsia="Times New Roman" w:hAnsi="Garamond" w:cs="Garamond"/>
          <w:sz w:val="24"/>
          <w:szCs w:val="24"/>
        </w:rPr>
        <w:t xml:space="preserve"> NAME] will contribute to the quantitative and qualitative data collection for this study.</w:t>
      </w:r>
    </w:p>
    <w:p w:rsidR="00B06980" w:rsidRPr="00B06980" w:rsidRDefault="00B06980" w:rsidP="00B06980">
      <w:pPr>
        <w:autoSpaceDE w:val="0"/>
        <w:autoSpaceDN w:val="0"/>
        <w:adjustRightInd w:val="0"/>
        <w:spacing w:after="0" w:line="240" w:lineRule="auto"/>
        <w:rPr>
          <w:rFonts w:ascii="Garamond" w:eastAsia="Times New Roman" w:hAnsi="Garamond" w:cs="Garamond"/>
          <w:sz w:val="24"/>
          <w:szCs w:val="24"/>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sz w:val="24"/>
          <w:szCs w:val="24"/>
        </w:rPr>
      </w:pPr>
      <w:r w:rsidRPr="00B06980">
        <w:rPr>
          <w:rFonts w:ascii="Garamond" w:eastAsia="Times New Roman" w:hAnsi="Garamond" w:cs="Garamond"/>
          <w:i/>
          <w:sz w:val="24"/>
          <w:szCs w:val="24"/>
        </w:rPr>
        <w:lastRenderedPageBreak/>
        <w:t>Quantitative Data Collection</w:t>
      </w:r>
      <w:r w:rsidRPr="00B06980">
        <w:rPr>
          <w:rFonts w:ascii="Garamond" w:eastAsia="Times New Roman" w:hAnsi="Garamond" w:cs="Garamond"/>
          <w:sz w:val="24"/>
          <w:szCs w:val="24"/>
        </w:rPr>
        <w:t>: [</w:t>
      </w:r>
      <w:r w:rsidR="00B026F0">
        <w:rPr>
          <w:rFonts w:ascii="Garamond" w:eastAsia="Times New Roman" w:hAnsi="Garamond" w:cs="Garamond"/>
          <w:sz w:val="24"/>
          <w:szCs w:val="24"/>
        </w:rPr>
        <w:t>HEALTHCARE FACILITY</w:t>
      </w:r>
      <w:r w:rsidRPr="00B06980">
        <w:rPr>
          <w:rFonts w:ascii="Garamond" w:eastAsia="Times New Roman" w:hAnsi="Garamond" w:cs="Garamond"/>
          <w:sz w:val="24"/>
          <w:szCs w:val="24"/>
        </w:rPr>
        <w:t xml:space="preserve"> </w:t>
      </w:r>
      <w:r w:rsidRPr="00257CFA">
        <w:rPr>
          <w:rFonts w:ascii="Garamond" w:eastAsia="Times New Roman" w:hAnsi="Garamond" w:cs="Garamond"/>
          <w:sz w:val="24"/>
          <w:szCs w:val="24"/>
        </w:rPr>
        <w:t>NAME] will provide Westat, CDC’s contractor, a Limited Dataset with information from adult (age 18 and older) lung and ovarian cancer patients related to patient demographics, cancer diagnosis, and</w:t>
      </w:r>
      <w:r w:rsidRPr="00B06980">
        <w:rPr>
          <w:rFonts w:ascii="Garamond" w:eastAsia="Times New Roman" w:hAnsi="Garamond" w:cs="Garamond"/>
          <w:sz w:val="24"/>
          <w:szCs w:val="24"/>
        </w:rPr>
        <w:t xml:space="preserve"> treatment, and receipt of distress screening. </w:t>
      </w:r>
      <w:r w:rsidR="008031A9">
        <w:rPr>
          <w:rFonts w:ascii="Garamond" w:eastAsia="Times New Roman" w:hAnsi="Garamond" w:cs="Garamond"/>
          <w:sz w:val="24"/>
          <w:szCs w:val="24"/>
        </w:rPr>
        <w:t xml:space="preserve">Data will be extracted either by </w:t>
      </w:r>
      <w:r w:rsidR="00B026F0">
        <w:rPr>
          <w:rFonts w:ascii="Garamond" w:eastAsia="Times New Roman" w:hAnsi="Garamond" w:cs="Garamond"/>
          <w:sz w:val="24"/>
          <w:szCs w:val="24"/>
        </w:rPr>
        <w:t>healthcare facility</w:t>
      </w:r>
      <w:r w:rsidR="008031A9">
        <w:rPr>
          <w:rFonts w:ascii="Garamond" w:eastAsia="Times New Roman" w:hAnsi="Garamond" w:cs="Garamond"/>
          <w:sz w:val="24"/>
          <w:szCs w:val="24"/>
        </w:rPr>
        <w:t xml:space="preserve"> IT staff,</w:t>
      </w:r>
      <w:r w:rsidR="00042680">
        <w:rPr>
          <w:rFonts w:ascii="Garamond" w:eastAsia="Times New Roman" w:hAnsi="Garamond" w:cs="Garamond"/>
          <w:sz w:val="24"/>
          <w:szCs w:val="24"/>
        </w:rPr>
        <w:t xml:space="preserve"> onsite </w:t>
      </w:r>
      <w:r w:rsidR="008031A9">
        <w:rPr>
          <w:rFonts w:ascii="Garamond" w:eastAsia="Times New Roman" w:hAnsi="Garamond" w:cs="Garamond"/>
          <w:sz w:val="24"/>
          <w:szCs w:val="24"/>
        </w:rPr>
        <w:t>study partner abstractors,</w:t>
      </w:r>
      <w:r w:rsidR="00042680">
        <w:rPr>
          <w:rFonts w:ascii="Garamond" w:eastAsia="Times New Roman" w:hAnsi="Garamond" w:cs="Garamond"/>
          <w:sz w:val="24"/>
          <w:szCs w:val="24"/>
        </w:rPr>
        <w:t xml:space="preserve"> onsite </w:t>
      </w:r>
      <w:r w:rsidR="00B026F0">
        <w:rPr>
          <w:rFonts w:ascii="Garamond" w:eastAsia="Times New Roman" w:hAnsi="Garamond" w:cs="Garamond"/>
          <w:sz w:val="24"/>
          <w:szCs w:val="24"/>
        </w:rPr>
        <w:t>healthcare facility</w:t>
      </w:r>
      <w:r w:rsidR="00042680">
        <w:rPr>
          <w:rFonts w:ascii="Garamond" w:eastAsia="Times New Roman" w:hAnsi="Garamond" w:cs="Garamond"/>
          <w:sz w:val="24"/>
          <w:szCs w:val="24"/>
        </w:rPr>
        <w:t xml:space="preserve"> abstractors, or through remote abstraction by</w:t>
      </w:r>
      <w:r w:rsidR="008031A9">
        <w:rPr>
          <w:rFonts w:ascii="Garamond" w:eastAsia="Times New Roman" w:hAnsi="Garamond" w:cs="Garamond"/>
          <w:sz w:val="24"/>
          <w:szCs w:val="24"/>
        </w:rPr>
        <w:t xml:space="preserve"> study staff abstractors. </w:t>
      </w:r>
      <w:r w:rsidRPr="00B06980">
        <w:rPr>
          <w:rFonts w:ascii="Garamond" w:eastAsia="Times New Roman" w:hAnsi="Garamond" w:cs="Garamond"/>
          <w:sz w:val="24"/>
          <w:szCs w:val="24"/>
        </w:rPr>
        <w:t xml:space="preserve">Table 1 contains a preliminary list of data elements that will be sent to Westat. </w:t>
      </w:r>
    </w:p>
    <w:p w:rsidR="00B06980" w:rsidRPr="00B06980" w:rsidRDefault="00B06980" w:rsidP="00B06980">
      <w:pPr>
        <w:autoSpaceDE w:val="0"/>
        <w:autoSpaceDN w:val="0"/>
        <w:adjustRightInd w:val="0"/>
        <w:spacing w:before="60" w:after="60" w:line="240" w:lineRule="auto"/>
        <w:rPr>
          <w:rFonts w:ascii="Garamond" w:eastAsia="Times New Roman" w:hAnsi="Garamond" w:cs="Garamond"/>
          <w:sz w:val="24"/>
          <w:szCs w:val="24"/>
        </w:rPr>
      </w:pPr>
    </w:p>
    <w:p w:rsidR="00B06980" w:rsidRPr="00B06980" w:rsidRDefault="00B06980" w:rsidP="00B06980">
      <w:pPr>
        <w:autoSpaceDE w:val="0"/>
        <w:autoSpaceDN w:val="0"/>
        <w:adjustRightInd w:val="0"/>
        <w:spacing w:after="0" w:line="240" w:lineRule="auto"/>
        <w:rPr>
          <w:rFonts w:ascii="Garamond" w:eastAsia="Times New Roman" w:hAnsi="Garamond" w:cs="Garamond"/>
          <w:b/>
          <w:color w:val="000000"/>
          <w:sz w:val="24"/>
          <w:szCs w:val="20"/>
        </w:rPr>
      </w:pPr>
      <w:r w:rsidRPr="00B06980">
        <w:rPr>
          <w:rFonts w:ascii="Garamond" w:eastAsia="Times New Roman" w:hAnsi="Garamond" w:cs="Garamond"/>
          <w:b/>
          <w:color w:val="000000"/>
          <w:sz w:val="24"/>
          <w:szCs w:val="20"/>
        </w:rPr>
        <w:t xml:space="preserve">Table 1. Example of data elements to be </w:t>
      </w:r>
      <w:r w:rsidR="00CF7CC7">
        <w:rPr>
          <w:rFonts w:ascii="Garamond" w:eastAsia="Times New Roman" w:hAnsi="Garamond" w:cs="Garamond"/>
          <w:b/>
          <w:color w:val="000000"/>
          <w:sz w:val="24"/>
          <w:szCs w:val="20"/>
        </w:rPr>
        <w:t>collec</w:t>
      </w:r>
      <w:r w:rsidRPr="00B06980">
        <w:rPr>
          <w:rFonts w:ascii="Garamond" w:eastAsia="Times New Roman" w:hAnsi="Garamond" w:cs="Garamond"/>
          <w:b/>
          <w:color w:val="000000"/>
          <w:sz w:val="24"/>
          <w:szCs w:val="20"/>
        </w:rPr>
        <w:t>ted from EHRs</w:t>
      </w:r>
    </w:p>
    <w:tbl>
      <w:tblPr>
        <w:tblStyle w:val="GridTable1Light-Accent11"/>
        <w:tblW w:w="9833" w:type="dxa"/>
        <w:tblLook w:val="0600" w:firstRow="0" w:lastRow="0" w:firstColumn="0" w:lastColumn="0" w:noHBand="1" w:noVBand="1"/>
      </w:tblPr>
      <w:tblGrid>
        <w:gridCol w:w="2234"/>
        <w:gridCol w:w="2682"/>
        <w:gridCol w:w="4917"/>
      </w:tblGrid>
      <w:tr w:rsidR="00B06980" w:rsidRPr="00B06980" w:rsidTr="00B06980">
        <w:trPr>
          <w:trHeight w:val="17"/>
          <w:tblHeader/>
        </w:trPr>
        <w:tc>
          <w:tcPr>
            <w:tcW w:w="4916" w:type="dxa"/>
            <w:gridSpan w:val="2"/>
            <w:shd w:val="clear" w:color="auto" w:fill="D9D9D9"/>
          </w:tcPr>
          <w:p w:rsidR="00B06980" w:rsidRPr="00B06980" w:rsidRDefault="00B06980" w:rsidP="00B06980">
            <w:pPr>
              <w:spacing w:line="240" w:lineRule="atLeast"/>
              <w:rPr>
                <w:rFonts w:ascii="Garamond" w:hAnsi="Garamond"/>
                <w:b/>
                <w:bCs/>
              </w:rPr>
            </w:pPr>
            <w:r w:rsidRPr="00B06980">
              <w:rPr>
                <w:rFonts w:ascii="Garamond" w:hAnsi="Garamond"/>
                <w:b/>
                <w:bCs/>
              </w:rPr>
              <w:t xml:space="preserve">    Data Element                                                                     </w:t>
            </w:r>
          </w:p>
        </w:tc>
        <w:tc>
          <w:tcPr>
            <w:tcW w:w="4917" w:type="dxa"/>
            <w:shd w:val="clear" w:color="auto" w:fill="D9D9D9"/>
          </w:tcPr>
          <w:p w:rsidR="00B06980" w:rsidRPr="00B06980" w:rsidRDefault="00B06980" w:rsidP="00B06980">
            <w:pPr>
              <w:spacing w:line="240" w:lineRule="atLeast"/>
              <w:rPr>
                <w:rFonts w:ascii="Garamond" w:hAnsi="Garamond"/>
                <w:b/>
                <w:bCs/>
              </w:rPr>
            </w:pPr>
            <w:r w:rsidRPr="00B06980">
              <w:rPr>
                <w:rFonts w:ascii="Garamond" w:hAnsi="Garamond"/>
                <w:b/>
                <w:bCs/>
              </w:rPr>
              <w:t>Description</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Patient characteristics</w:t>
            </w:r>
          </w:p>
        </w:tc>
        <w:tc>
          <w:tcPr>
            <w:tcW w:w="7599" w:type="dxa"/>
            <w:gridSpan w:val="2"/>
          </w:tcPr>
          <w:p w:rsidR="00B06980" w:rsidRPr="00B06980" w:rsidRDefault="005D0E36" w:rsidP="00B06980">
            <w:pPr>
              <w:numPr>
                <w:ilvl w:val="0"/>
                <w:numId w:val="1"/>
              </w:numPr>
              <w:shd w:val="clear" w:color="auto" w:fill="FFFFFF"/>
              <w:ind w:left="345" w:right="776"/>
              <w:rPr>
                <w:rFonts w:ascii="Garamond" w:hAnsi="Garamond"/>
                <w:color w:val="212121"/>
              </w:rPr>
            </w:pPr>
            <w:r>
              <w:rPr>
                <w:rFonts w:ascii="Garamond" w:hAnsi="Garamond"/>
                <w:color w:val="212121"/>
              </w:rPr>
              <w:t>Age at diagnosis</w:t>
            </w:r>
            <w:r w:rsidR="00B06980" w:rsidRPr="00B06980">
              <w:rPr>
                <w:rFonts w:ascii="Garamond" w:hAnsi="Garamond"/>
                <w:color w:val="212121"/>
              </w:rPr>
              <w:t>, gender, race, ethnicity</w:t>
            </w:r>
          </w:p>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Postal code</w:t>
            </w:r>
          </w:p>
          <w:p w:rsidR="00B06980" w:rsidRPr="00B06980" w:rsidRDefault="00B06980" w:rsidP="00B06980">
            <w:pPr>
              <w:numPr>
                <w:ilvl w:val="0"/>
                <w:numId w:val="1"/>
              </w:numPr>
              <w:shd w:val="clear" w:color="auto" w:fill="FFFFFF"/>
              <w:ind w:left="360"/>
              <w:rPr>
                <w:rFonts w:ascii="Garamond" w:hAnsi="Garamond"/>
              </w:rPr>
            </w:pPr>
            <w:r w:rsidRPr="00B06980">
              <w:rPr>
                <w:rFonts w:ascii="Garamond" w:hAnsi="Garamond"/>
                <w:color w:val="212121"/>
              </w:rPr>
              <w:t>Primary Payor</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Cancer description</w:t>
            </w:r>
          </w:p>
        </w:tc>
        <w:tc>
          <w:tcPr>
            <w:tcW w:w="7599" w:type="dxa"/>
            <w:gridSpan w:val="2"/>
          </w:tcPr>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Date of diagnosis</w:t>
            </w:r>
          </w:p>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Primary site/Histology</w:t>
            </w:r>
          </w:p>
          <w:p w:rsidR="00B06980" w:rsidRPr="00B06980" w:rsidRDefault="00B06980" w:rsidP="005D0E36">
            <w:pPr>
              <w:numPr>
                <w:ilvl w:val="0"/>
                <w:numId w:val="1"/>
              </w:numPr>
              <w:shd w:val="clear" w:color="auto" w:fill="FFFFFF"/>
              <w:ind w:left="360"/>
              <w:rPr>
                <w:rFonts w:ascii="Garamond" w:hAnsi="Garamond"/>
                <w:color w:val="212121"/>
              </w:rPr>
            </w:pPr>
            <w:r w:rsidRPr="00B06980">
              <w:rPr>
                <w:rFonts w:ascii="Garamond" w:hAnsi="Garamond"/>
                <w:color w:val="212121"/>
              </w:rPr>
              <w:t>Stage of disease at d</w:t>
            </w:r>
            <w:r w:rsidR="005D0E36">
              <w:rPr>
                <w:rFonts w:ascii="Garamond" w:hAnsi="Garamond"/>
                <w:color w:val="212121"/>
              </w:rPr>
              <w:t>iagnosis</w:t>
            </w:r>
            <w:r w:rsidRPr="00B06980">
              <w:rPr>
                <w:rFonts w:ascii="Garamond" w:hAnsi="Garamond"/>
                <w:color w:val="212121"/>
              </w:rPr>
              <w:t xml:space="preserve"> (clinical and/or pathologic)</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Distress screening*</w:t>
            </w:r>
          </w:p>
        </w:tc>
        <w:tc>
          <w:tcPr>
            <w:tcW w:w="7599" w:type="dxa"/>
            <w:gridSpan w:val="2"/>
          </w:tcPr>
          <w:p w:rsidR="005D0E36" w:rsidRPr="005D0E36" w:rsidRDefault="005D0E36" w:rsidP="005D0E36">
            <w:pPr>
              <w:numPr>
                <w:ilvl w:val="0"/>
                <w:numId w:val="1"/>
              </w:numPr>
              <w:shd w:val="clear" w:color="auto" w:fill="FFFFFF"/>
              <w:ind w:left="346"/>
              <w:rPr>
                <w:rFonts w:ascii="Garamond" w:hAnsi="Garamond"/>
                <w:color w:val="212121"/>
              </w:rPr>
            </w:pPr>
            <w:r w:rsidRPr="005D0E36">
              <w:rPr>
                <w:rFonts w:ascii="Garamond" w:hAnsi="Garamond"/>
                <w:color w:val="212121"/>
              </w:rPr>
              <w:t>Number of days since diagnosis</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Type and date of “pivotal visit” (if available)</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Distress screening tool used</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Distress threshold score (if available)</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Distress reason</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Title of staff administering the screening/or denote if self-administered</w:t>
            </w:r>
          </w:p>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Location and/or setting at which screening took place (i.e. check-in at out-patient visit, waiting room, during chemotherapy)</w:t>
            </w:r>
          </w:p>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 xml:space="preserve">Any change in psychological distress noted </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Interventions and Referrals</w:t>
            </w:r>
          </w:p>
        </w:tc>
        <w:tc>
          <w:tcPr>
            <w:tcW w:w="7599" w:type="dxa"/>
            <w:gridSpan w:val="2"/>
          </w:tcPr>
          <w:p w:rsidR="00B06980" w:rsidRPr="00B06980" w:rsidRDefault="00B06980" w:rsidP="00B06980">
            <w:pPr>
              <w:shd w:val="clear" w:color="auto" w:fill="FFFFFF"/>
              <w:spacing w:line="240" w:lineRule="atLeast"/>
              <w:rPr>
                <w:rFonts w:ascii="Garamond" w:hAnsi="Garamond"/>
                <w:color w:val="212121"/>
              </w:rPr>
            </w:pPr>
            <w:r w:rsidRPr="00B06980">
              <w:rPr>
                <w:rFonts w:ascii="Garamond" w:hAnsi="Garamond"/>
                <w:color w:val="212121"/>
              </w:rPr>
              <w:t>For patients with distress scores greater than threshold cutoff:</w:t>
            </w:r>
          </w:p>
          <w:p w:rsidR="005D0E36" w:rsidRPr="005D0E36" w:rsidRDefault="00B06980" w:rsidP="005D0E36">
            <w:pPr>
              <w:numPr>
                <w:ilvl w:val="0"/>
                <w:numId w:val="1"/>
              </w:numPr>
              <w:shd w:val="clear" w:color="auto" w:fill="FFFFFF"/>
              <w:ind w:left="360"/>
              <w:rPr>
                <w:rFonts w:ascii="Garamond" w:hAnsi="Garamond"/>
                <w:color w:val="212121"/>
              </w:rPr>
            </w:pPr>
            <w:r w:rsidRPr="005D0E36">
              <w:rPr>
                <w:rFonts w:ascii="Garamond" w:hAnsi="Garamond"/>
                <w:color w:val="212121"/>
              </w:rPr>
              <w:t xml:space="preserve">Referral for assessment (yes/no) and </w:t>
            </w:r>
            <w:r w:rsidR="005D0E36" w:rsidRPr="005D0E36">
              <w:rPr>
                <w:rFonts w:ascii="Garamond" w:hAnsi="Garamond"/>
                <w:color w:val="212121"/>
              </w:rPr>
              <w:t>Number of days since diagnosis</w:t>
            </w:r>
          </w:p>
          <w:p w:rsidR="00B06980" w:rsidRPr="00B06980" w:rsidRDefault="00B06980" w:rsidP="00B06980">
            <w:pPr>
              <w:numPr>
                <w:ilvl w:val="1"/>
                <w:numId w:val="1"/>
              </w:numPr>
              <w:shd w:val="clear" w:color="auto" w:fill="FFFFFF"/>
              <w:rPr>
                <w:rFonts w:ascii="Garamond" w:hAnsi="Garamond"/>
                <w:color w:val="212121"/>
              </w:rPr>
            </w:pPr>
            <w:r w:rsidRPr="00B06980">
              <w:rPr>
                <w:rFonts w:ascii="Garamond" w:hAnsi="Garamond"/>
                <w:color w:val="212121"/>
              </w:rPr>
              <w:t xml:space="preserve">Type of assessment (i.e. social worker, palliative care, dietician, other) </w:t>
            </w:r>
          </w:p>
          <w:p w:rsidR="00B06980" w:rsidRPr="00B06980" w:rsidRDefault="00B06980" w:rsidP="005D0E36">
            <w:pPr>
              <w:numPr>
                <w:ilvl w:val="0"/>
                <w:numId w:val="1"/>
              </w:numPr>
              <w:shd w:val="clear" w:color="auto" w:fill="FFFFFF"/>
              <w:ind w:left="360"/>
              <w:rPr>
                <w:rFonts w:ascii="Garamond" w:hAnsi="Garamond"/>
                <w:color w:val="212121"/>
              </w:rPr>
            </w:pPr>
            <w:r w:rsidRPr="00B06980">
              <w:rPr>
                <w:rFonts w:ascii="Garamond" w:hAnsi="Garamond"/>
                <w:color w:val="212121"/>
              </w:rPr>
              <w:t xml:space="preserve">Referral for intervention/services (yes/no) and </w:t>
            </w:r>
            <w:r w:rsidR="005D0E36" w:rsidRPr="005D0E36">
              <w:rPr>
                <w:rFonts w:ascii="Garamond" w:hAnsi="Garamond"/>
                <w:color w:val="212121"/>
              </w:rPr>
              <w:t>Number of days since diagnosis</w:t>
            </w:r>
          </w:p>
          <w:p w:rsidR="00B06980" w:rsidRPr="00B06980" w:rsidRDefault="00B06980" w:rsidP="00B06980">
            <w:pPr>
              <w:numPr>
                <w:ilvl w:val="0"/>
                <w:numId w:val="1"/>
              </w:numPr>
              <w:shd w:val="clear" w:color="auto" w:fill="FFFFFF"/>
              <w:ind w:left="360"/>
              <w:rPr>
                <w:rFonts w:ascii="Garamond" w:hAnsi="Garamond"/>
                <w:color w:val="212121"/>
              </w:rPr>
            </w:pPr>
            <w:r w:rsidRPr="00B06980">
              <w:rPr>
                <w:rFonts w:ascii="Garamond" w:hAnsi="Garamond"/>
                <w:color w:val="212121"/>
              </w:rPr>
              <w:t>Description of recommended follow-up</w:t>
            </w:r>
          </w:p>
          <w:p w:rsidR="00B06980" w:rsidRPr="00B06980" w:rsidRDefault="00B06980" w:rsidP="00B06980">
            <w:pPr>
              <w:numPr>
                <w:ilvl w:val="1"/>
                <w:numId w:val="1"/>
              </w:numPr>
              <w:shd w:val="clear" w:color="auto" w:fill="FFFFFF"/>
              <w:rPr>
                <w:rFonts w:ascii="Garamond" w:hAnsi="Garamond"/>
                <w:color w:val="212121"/>
              </w:rPr>
            </w:pPr>
            <w:r w:rsidRPr="00B06980">
              <w:rPr>
                <w:rFonts w:ascii="Garamond" w:hAnsi="Garamond"/>
                <w:color w:val="212121"/>
              </w:rPr>
              <w:t>Provider type</w:t>
            </w:r>
          </w:p>
          <w:p w:rsidR="00B06980" w:rsidRPr="00B06980" w:rsidRDefault="00B06980" w:rsidP="00B06980">
            <w:pPr>
              <w:numPr>
                <w:ilvl w:val="1"/>
                <w:numId w:val="1"/>
              </w:numPr>
              <w:shd w:val="clear" w:color="auto" w:fill="FFFFFF"/>
              <w:rPr>
                <w:rFonts w:ascii="Garamond" w:hAnsi="Garamond"/>
                <w:color w:val="212121"/>
              </w:rPr>
            </w:pPr>
            <w:r w:rsidRPr="00B06980">
              <w:rPr>
                <w:rFonts w:ascii="Garamond" w:hAnsi="Garamond"/>
                <w:color w:val="212121"/>
              </w:rPr>
              <w:t xml:space="preserve">Intervention type </w:t>
            </w:r>
          </w:p>
          <w:p w:rsidR="00B06980" w:rsidRPr="00B06980" w:rsidRDefault="00B06980" w:rsidP="00B06980">
            <w:pPr>
              <w:numPr>
                <w:ilvl w:val="1"/>
                <w:numId w:val="1"/>
              </w:numPr>
              <w:shd w:val="clear" w:color="auto" w:fill="FFFFFF"/>
              <w:rPr>
                <w:rFonts w:ascii="Garamond" w:hAnsi="Garamond"/>
                <w:color w:val="212121"/>
              </w:rPr>
            </w:pPr>
            <w:r w:rsidRPr="00B06980">
              <w:rPr>
                <w:rFonts w:ascii="Garamond" w:hAnsi="Garamond"/>
                <w:color w:val="212121"/>
              </w:rPr>
              <w:t>Number of visits</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Medical Service Utilization</w:t>
            </w:r>
          </w:p>
        </w:tc>
        <w:tc>
          <w:tcPr>
            <w:tcW w:w="7599" w:type="dxa"/>
            <w:gridSpan w:val="2"/>
          </w:tcPr>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Number of emergency department visits</w:t>
            </w:r>
          </w:p>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 xml:space="preserve">Number of </w:t>
            </w:r>
            <w:r w:rsidR="00B026F0">
              <w:rPr>
                <w:rFonts w:ascii="Garamond" w:hAnsi="Garamond"/>
                <w:color w:val="212121"/>
              </w:rPr>
              <w:t>healthcare facility</w:t>
            </w:r>
            <w:r w:rsidRPr="00B06980">
              <w:rPr>
                <w:rFonts w:ascii="Garamond" w:hAnsi="Garamond"/>
                <w:color w:val="212121"/>
              </w:rPr>
              <w:t>izations</w:t>
            </w:r>
          </w:p>
        </w:tc>
      </w:tr>
      <w:tr w:rsidR="00B06980" w:rsidRPr="00B06980" w:rsidTr="00686184">
        <w:trPr>
          <w:trHeight w:val="17"/>
        </w:trPr>
        <w:tc>
          <w:tcPr>
            <w:tcW w:w="2234" w:type="dxa"/>
          </w:tcPr>
          <w:p w:rsidR="00B06980" w:rsidRPr="00B06980" w:rsidRDefault="00B06980" w:rsidP="00B06980">
            <w:pPr>
              <w:tabs>
                <w:tab w:val="left" w:pos="1152"/>
              </w:tabs>
              <w:spacing w:line="240" w:lineRule="atLeast"/>
              <w:rPr>
                <w:rFonts w:ascii="Garamond" w:hAnsi="Garamond"/>
                <w:b/>
                <w:bCs/>
              </w:rPr>
            </w:pPr>
            <w:r w:rsidRPr="00B06980">
              <w:rPr>
                <w:rFonts w:ascii="Garamond" w:hAnsi="Garamond"/>
                <w:b/>
                <w:bCs/>
              </w:rPr>
              <w:t>Other</w:t>
            </w:r>
          </w:p>
        </w:tc>
        <w:tc>
          <w:tcPr>
            <w:tcW w:w="7599" w:type="dxa"/>
            <w:gridSpan w:val="2"/>
          </w:tcPr>
          <w:p w:rsidR="00B06980" w:rsidRPr="00B06980" w:rsidRDefault="00B06980" w:rsidP="00B06980">
            <w:pPr>
              <w:numPr>
                <w:ilvl w:val="0"/>
                <w:numId w:val="1"/>
              </w:numPr>
              <w:shd w:val="clear" w:color="auto" w:fill="FFFFFF"/>
              <w:ind w:left="346"/>
              <w:rPr>
                <w:rFonts w:ascii="Garamond" w:hAnsi="Garamond"/>
                <w:color w:val="212121"/>
              </w:rPr>
            </w:pPr>
            <w:r w:rsidRPr="00B06980">
              <w:rPr>
                <w:rFonts w:ascii="Garamond" w:hAnsi="Garamond"/>
                <w:color w:val="212121"/>
              </w:rPr>
              <w:t>Health indicators (smoking status); history of mental health (e.g., depression, anxiety, post-traumatic stress, etc.)</w:t>
            </w:r>
          </w:p>
          <w:p w:rsidR="00B06980" w:rsidRPr="00B06980" w:rsidRDefault="00B06980" w:rsidP="00B06980">
            <w:pPr>
              <w:numPr>
                <w:ilvl w:val="0"/>
                <w:numId w:val="1"/>
              </w:numPr>
              <w:shd w:val="clear" w:color="auto" w:fill="FFFFFF"/>
              <w:ind w:left="360"/>
              <w:rPr>
                <w:rFonts w:ascii="Garamond" w:hAnsi="Garamond"/>
              </w:rPr>
            </w:pPr>
            <w:r w:rsidRPr="00B06980">
              <w:rPr>
                <w:rFonts w:ascii="Garamond" w:hAnsi="Garamond"/>
              </w:rPr>
              <w:t>Any change in psychological distress noted (may be abstracted from data on multiple screening events)</w:t>
            </w:r>
          </w:p>
          <w:p w:rsidR="00B06980" w:rsidRPr="00B06980" w:rsidRDefault="00B06980" w:rsidP="00B06980">
            <w:pPr>
              <w:numPr>
                <w:ilvl w:val="0"/>
                <w:numId w:val="1"/>
              </w:numPr>
              <w:shd w:val="clear" w:color="auto" w:fill="FFFFFF"/>
              <w:ind w:left="360"/>
              <w:rPr>
                <w:rFonts w:ascii="Garamond" w:hAnsi="Garamond"/>
              </w:rPr>
            </w:pPr>
            <w:r w:rsidRPr="00B06980">
              <w:rPr>
                <w:rFonts w:ascii="Garamond" w:hAnsi="Garamond"/>
                <w:color w:val="212121"/>
              </w:rPr>
              <w:t>Physician or Nursing notes (i.e. change in diagnosis)</w:t>
            </w:r>
          </w:p>
          <w:p w:rsidR="00B06980" w:rsidRPr="00B06980" w:rsidRDefault="00B06980" w:rsidP="00B06980">
            <w:pPr>
              <w:numPr>
                <w:ilvl w:val="0"/>
                <w:numId w:val="1"/>
              </w:numPr>
              <w:shd w:val="clear" w:color="auto" w:fill="FFFFFF"/>
              <w:ind w:left="360"/>
              <w:rPr>
                <w:rFonts w:ascii="Garamond" w:hAnsi="Garamond"/>
              </w:rPr>
            </w:pPr>
            <w:r w:rsidRPr="00B06980">
              <w:rPr>
                <w:rFonts w:ascii="Garamond" w:hAnsi="Garamond"/>
                <w:color w:val="212121"/>
              </w:rPr>
              <w:t>Social worker/other mental health professional notes</w:t>
            </w:r>
          </w:p>
          <w:p w:rsidR="00B06980" w:rsidRPr="00B06980" w:rsidRDefault="00B06980" w:rsidP="00B06980">
            <w:pPr>
              <w:numPr>
                <w:ilvl w:val="0"/>
                <w:numId w:val="1"/>
              </w:numPr>
              <w:shd w:val="clear" w:color="auto" w:fill="FFFFFF"/>
              <w:ind w:left="360"/>
              <w:rPr>
                <w:rFonts w:ascii="Garamond" w:hAnsi="Garamond"/>
              </w:rPr>
            </w:pPr>
            <w:r w:rsidRPr="00B06980">
              <w:rPr>
                <w:rFonts w:ascii="Garamond" w:hAnsi="Garamond"/>
                <w:color w:val="212121"/>
              </w:rPr>
              <w:t>Vital status</w:t>
            </w:r>
          </w:p>
        </w:tc>
      </w:tr>
    </w:tbl>
    <w:p w:rsidR="00B06980" w:rsidRPr="00B06980" w:rsidRDefault="00B06980" w:rsidP="00B06980">
      <w:pPr>
        <w:shd w:val="clear" w:color="auto" w:fill="FFFFFF"/>
        <w:spacing w:after="0" w:line="240" w:lineRule="auto"/>
        <w:rPr>
          <w:rFonts w:ascii="Garamond" w:eastAsia="Times New Roman" w:hAnsi="Garamond" w:cs="Times New Roman"/>
          <w:color w:val="212121"/>
          <w:szCs w:val="20"/>
        </w:rPr>
      </w:pPr>
      <w:r w:rsidRPr="00B06980">
        <w:rPr>
          <w:rFonts w:ascii="Garamond" w:eastAsia="Times New Roman" w:hAnsi="Garamond" w:cs="Times New Roman"/>
          <w:szCs w:val="20"/>
        </w:rPr>
        <w:t>*Obtained for each administration of distress screening, as available in the EHR.</w:t>
      </w:r>
    </w:p>
    <w:p w:rsidR="00B06980" w:rsidRPr="00B06980" w:rsidRDefault="00B06980" w:rsidP="00B06980">
      <w:pPr>
        <w:spacing w:before="60" w:after="60" w:line="240" w:lineRule="auto"/>
        <w:rPr>
          <w:rFonts w:ascii="Garamond" w:eastAsia="Times New Roman" w:hAnsi="Garamond" w:cs="Times New Roman"/>
          <w:color w:val="212121"/>
          <w:sz w:val="24"/>
          <w:szCs w:val="24"/>
        </w:rPr>
      </w:pPr>
    </w:p>
    <w:p w:rsidR="00B06980" w:rsidRDefault="00B06980" w:rsidP="00B06980">
      <w:pPr>
        <w:shd w:val="clear" w:color="auto" w:fill="FFFFFF"/>
        <w:spacing w:after="0" w:line="240" w:lineRule="auto"/>
        <w:rPr>
          <w:rFonts w:ascii="Garamond" w:eastAsia="Times New Roman" w:hAnsi="Garamond" w:cs="Times New Roman"/>
          <w:color w:val="212121"/>
          <w:sz w:val="24"/>
          <w:szCs w:val="24"/>
        </w:rPr>
      </w:pPr>
      <w:r w:rsidRPr="00B06980">
        <w:rPr>
          <w:rFonts w:ascii="Garamond" w:eastAsia="Times New Roman" w:hAnsi="Garamond" w:cs="Times New Roman"/>
          <w:color w:val="212121"/>
          <w:sz w:val="24"/>
          <w:szCs w:val="24"/>
        </w:rPr>
        <w:t>For each data element</w:t>
      </w:r>
      <w:r w:rsidR="005D0E36">
        <w:rPr>
          <w:rFonts w:ascii="Garamond" w:eastAsia="Times New Roman" w:hAnsi="Garamond" w:cs="Times New Roman"/>
          <w:color w:val="212121"/>
          <w:sz w:val="24"/>
          <w:szCs w:val="24"/>
        </w:rPr>
        <w:t xml:space="preserve"> </w:t>
      </w:r>
      <w:r w:rsidR="008031A9">
        <w:rPr>
          <w:rFonts w:ascii="Garamond" w:eastAsia="Times New Roman" w:hAnsi="Garamond" w:cs="Times New Roman"/>
          <w:color w:val="212121"/>
          <w:sz w:val="24"/>
          <w:szCs w:val="24"/>
        </w:rPr>
        <w:t>collected</w:t>
      </w:r>
      <w:r w:rsidRPr="00B06980">
        <w:rPr>
          <w:rFonts w:ascii="Garamond" w:eastAsia="Times New Roman" w:hAnsi="Garamond" w:cs="Times New Roman"/>
          <w:color w:val="212121"/>
          <w:sz w:val="24"/>
          <w:szCs w:val="24"/>
        </w:rPr>
        <w:t xml:space="preserve">, Westat will enter the </w:t>
      </w:r>
      <w:r w:rsidR="00B026F0">
        <w:rPr>
          <w:rFonts w:ascii="Garamond" w:eastAsia="Times New Roman" w:hAnsi="Garamond" w:cs="Times New Roman"/>
          <w:color w:val="212121"/>
          <w:sz w:val="24"/>
          <w:szCs w:val="24"/>
        </w:rPr>
        <w:t>healthcare facility</w:t>
      </w:r>
      <w:r w:rsidRPr="00B06980">
        <w:rPr>
          <w:rFonts w:ascii="Garamond" w:eastAsia="Times New Roman" w:hAnsi="Garamond" w:cs="Times New Roman"/>
          <w:color w:val="212121"/>
          <w:sz w:val="24"/>
          <w:szCs w:val="24"/>
        </w:rPr>
        <w:t xml:space="preserve"> data into a data extraction tool. Some data may not be in a standardized format within specific fields in the EHR, such as screening instruments or physician notes that are scanned and uploaded in a PDF format. The data from the EHR extraction will be transferred from the facilities to Westat via a Secure File Transfer Protocol (SFTP). </w:t>
      </w:r>
      <w:r w:rsidR="008031A9">
        <w:rPr>
          <w:rFonts w:ascii="Garamond" w:eastAsia="Times New Roman" w:hAnsi="Garamond" w:cs="Times New Roman"/>
          <w:color w:val="212121"/>
          <w:sz w:val="24"/>
          <w:szCs w:val="24"/>
        </w:rPr>
        <w:t xml:space="preserve">If EHR is remotely accessed, study staff will follow </w:t>
      </w:r>
      <w:r w:rsidR="00042680">
        <w:rPr>
          <w:rFonts w:ascii="Garamond" w:eastAsia="Times New Roman" w:hAnsi="Garamond" w:cs="Times New Roman"/>
          <w:color w:val="212121"/>
          <w:sz w:val="24"/>
          <w:szCs w:val="24"/>
        </w:rPr>
        <w:t xml:space="preserve">strict security requirements, </w:t>
      </w:r>
      <w:r w:rsidR="00042680" w:rsidRPr="00042680">
        <w:rPr>
          <w:rFonts w:ascii="Garamond" w:eastAsia="Times New Roman" w:hAnsi="Garamond" w:cs="Times New Roman"/>
          <w:color w:val="212121"/>
          <w:sz w:val="24"/>
          <w:szCs w:val="24"/>
        </w:rPr>
        <w:t>including FISMA, encryption,</w:t>
      </w:r>
      <w:r w:rsidR="00042680">
        <w:rPr>
          <w:rFonts w:ascii="Garamond" w:eastAsia="Times New Roman" w:hAnsi="Garamond" w:cs="Times New Roman"/>
          <w:color w:val="212121"/>
          <w:sz w:val="24"/>
          <w:szCs w:val="24"/>
        </w:rPr>
        <w:t xml:space="preserve"> and</w:t>
      </w:r>
      <w:r w:rsidR="00042680" w:rsidRPr="00042680">
        <w:rPr>
          <w:rFonts w:ascii="Garamond" w:eastAsia="Times New Roman" w:hAnsi="Garamond" w:cs="Times New Roman"/>
          <w:color w:val="212121"/>
          <w:sz w:val="24"/>
          <w:szCs w:val="24"/>
        </w:rPr>
        <w:t xml:space="preserve"> FedRAMP</w:t>
      </w:r>
      <w:r w:rsidR="00042680">
        <w:rPr>
          <w:rFonts w:ascii="Garamond" w:eastAsia="Times New Roman" w:hAnsi="Garamond" w:cs="Times New Roman"/>
          <w:color w:val="212121"/>
          <w:sz w:val="24"/>
          <w:szCs w:val="24"/>
        </w:rPr>
        <w:t>.</w:t>
      </w:r>
    </w:p>
    <w:p w:rsidR="005D0E36" w:rsidRPr="00B06980" w:rsidRDefault="005D0E36" w:rsidP="00B06980">
      <w:pPr>
        <w:shd w:val="clear" w:color="auto" w:fill="FFFFFF"/>
        <w:spacing w:after="0" w:line="240" w:lineRule="auto"/>
        <w:rPr>
          <w:rFonts w:ascii="Garamond" w:eastAsia="Times New Roman" w:hAnsi="Garamond" w:cs="Times New Roman"/>
          <w:i/>
          <w:sz w:val="24"/>
          <w:szCs w:val="24"/>
        </w:rPr>
      </w:pPr>
    </w:p>
    <w:p w:rsidR="00B06980" w:rsidRPr="00B06980" w:rsidRDefault="00B06980" w:rsidP="00B06980">
      <w:pPr>
        <w:shd w:val="clear" w:color="auto" w:fill="FFFFFF"/>
        <w:spacing w:before="60" w:after="60" w:line="240" w:lineRule="auto"/>
        <w:rPr>
          <w:rFonts w:ascii="Garamond" w:eastAsia="Times New Roman" w:hAnsi="Garamond" w:cs="Times New Roman"/>
          <w:color w:val="212121"/>
          <w:sz w:val="24"/>
          <w:szCs w:val="24"/>
        </w:rPr>
      </w:pPr>
      <w:r w:rsidRPr="00B06980">
        <w:rPr>
          <w:rFonts w:ascii="Garamond" w:eastAsia="Times New Roman" w:hAnsi="Garamond" w:cs="Times New Roman"/>
          <w:i/>
          <w:sz w:val="24"/>
          <w:szCs w:val="24"/>
        </w:rPr>
        <w:t>Qualitative Data Collection</w:t>
      </w:r>
      <w:r w:rsidRPr="00B06980">
        <w:rPr>
          <w:rFonts w:ascii="Garamond" w:eastAsia="Times New Roman" w:hAnsi="Garamond" w:cs="Times New Roman"/>
          <w:sz w:val="24"/>
          <w:szCs w:val="24"/>
        </w:rPr>
        <w:t>: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NAME] will provide names and contact information (e.g. email addresses) to Westat of </w:t>
      </w:r>
      <w:r w:rsidR="00B026F0">
        <w:rPr>
          <w:rFonts w:ascii="Garamond" w:eastAsia="Times New Roman" w:hAnsi="Garamond" w:cs="Times New Roman"/>
          <w:color w:val="212121"/>
          <w:sz w:val="24"/>
          <w:szCs w:val="24"/>
        </w:rPr>
        <w:t>healthcare facility</w:t>
      </w:r>
      <w:r w:rsidRPr="00B06980">
        <w:rPr>
          <w:rFonts w:ascii="Garamond" w:eastAsia="Times New Roman" w:hAnsi="Garamond" w:cs="Times New Roman"/>
          <w:color w:val="212121"/>
          <w:sz w:val="24"/>
          <w:szCs w:val="24"/>
        </w:rPr>
        <w:t xml:space="preserve"> administrators, providers, and staff for qualitative data collection for the purposes of understanding [</w:t>
      </w:r>
      <w:r w:rsidR="00B026F0">
        <w:rPr>
          <w:rFonts w:ascii="Garamond" w:eastAsia="Times New Roman" w:hAnsi="Garamond" w:cs="Times New Roman"/>
          <w:color w:val="212121"/>
          <w:sz w:val="24"/>
          <w:szCs w:val="24"/>
        </w:rPr>
        <w:t>HEALTHCARE FACILITY</w:t>
      </w:r>
      <w:r w:rsidRPr="00B06980">
        <w:rPr>
          <w:rFonts w:ascii="Garamond" w:eastAsia="Times New Roman" w:hAnsi="Garamond" w:cs="Times New Roman"/>
          <w:color w:val="212121"/>
          <w:sz w:val="24"/>
          <w:szCs w:val="24"/>
        </w:rPr>
        <w:t xml:space="preserve"> NAME]’s cancer distress screening program. Upon recruitment of </w:t>
      </w:r>
      <w:r w:rsidR="00B026F0">
        <w:rPr>
          <w:rFonts w:ascii="Garamond" w:eastAsia="Times New Roman" w:hAnsi="Garamond" w:cs="Times New Roman"/>
          <w:color w:val="212121"/>
          <w:sz w:val="24"/>
          <w:szCs w:val="24"/>
        </w:rPr>
        <w:t>healthcare facility</w:t>
      </w:r>
      <w:r w:rsidRPr="00B06980">
        <w:rPr>
          <w:rFonts w:ascii="Garamond" w:eastAsia="Times New Roman" w:hAnsi="Garamond" w:cs="Times New Roman"/>
          <w:color w:val="212121"/>
          <w:sz w:val="24"/>
          <w:szCs w:val="24"/>
        </w:rPr>
        <w:t xml:space="preserve"> administrators, Westat will conduct one 60-minute key informant interview by telephone about the administrative decisions related to the implementation of the distress screening policies. In addition, Westat will conduct one 90-minute focus group consisting of a mix of medical providers, social workers, and consult staff who are involved in one or more stages of the screening. </w:t>
      </w:r>
    </w:p>
    <w:p w:rsidR="00B06980" w:rsidRPr="00B06980" w:rsidRDefault="00B06980" w:rsidP="00B06980">
      <w:pPr>
        <w:shd w:val="clear" w:color="auto" w:fill="FFFFFF"/>
        <w:spacing w:before="60" w:after="60" w:line="240" w:lineRule="auto"/>
        <w:rPr>
          <w:rFonts w:ascii="Garamond" w:eastAsia="Times New Roman" w:hAnsi="Garamond" w:cs="Times New Roman"/>
          <w:color w:val="212121"/>
          <w:sz w:val="24"/>
          <w:szCs w:val="24"/>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rPr>
      </w:pPr>
      <w:r w:rsidRPr="00B06980">
        <w:rPr>
          <w:rFonts w:ascii="Garamond" w:eastAsia="Times New Roman" w:hAnsi="Garamond" w:cs="Garamond"/>
          <w:b/>
          <w:color w:val="000000"/>
          <w:sz w:val="24"/>
          <w:szCs w:val="24"/>
        </w:rPr>
        <w:t>Confidentiality, Data Security and Data Destruction</w:t>
      </w:r>
    </w:p>
    <w:p w:rsidR="00B06980" w:rsidRPr="00B06980" w:rsidRDefault="00B026F0" w:rsidP="00B06980">
      <w:pPr>
        <w:spacing w:before="60" w:after="60" w:line="240" w:lineRule="auto"/>
        <w:rPr>
          <w:rFonts w:ascii="Garamond" w:eastAsia="Times New Roman" w:hAnsi="Garamond" w:cs="Times New Roman"/>
          <w:sz w:val="24"/>
          <w:szCs w:val="24"/>
        </w:rPr>
      </w:pPr>
      <w:r>
        <w:rPr>
          <w:rFonts w:ascii="Garamond" w:eastAsia="Times New Roman" w:hAnsi="Garamond" w:cs="Times New Roman"/>
          <w:sz w:val="24"/>
          <w:szCs w:val="24"/>
        </w:rPr>
        <w:t>[HEALTHCARE FACILITY</w:t>
      </w:r>
      <w:r w:rsidR="00B06980" w:rsidRPr="00B06980">
        <w:rPr>
          <w:rFonts w:ascii="Garamond" w:eastAsia="Times New Roman" w:hAnsi="Garamond" w:cs="Times New Roman"/>
          <w:sz w:val="24"/>
          <w:szCs w:val="24"/>
        </w:rPr>
        <w:t xml:space="preserve"> NAME] may require Westat to sign a Business Associates Agreement (BAA) with [</w:t>
      </w:r>
      <w:r>
        <w:rPr>
          <w:rFonts w:ascii="Garamond" w:eastAsia="Times New Roman" w:hAnsi="Garamond" w:cs="Times New Roman"/>
          <w:sz w:val="24"/>
          <w:szCs w:val="24"/>
        </w:rPr>
        <w:t>HEALTHCARE FACILITY</w:t>
      </w:r>
      <w:r w:rsidR="00B06980" w:rsidRPr="00B06980">
        <w:rPr>
          <w:rFonts w:ascii="Garamond" w:eastAsia="Times New Roman" w:hAnsi="Garamond" w:cs="Times New Roman"/>
          <w:sz w:val="24"/>
          <w:szCs w:val="24"/>
        </w:rPr>
        <w:t xml:space="preserve"> NAME], acting as the covered entity to ensure protections of PHI.</w:t>
      </w:r>
    </w:p>
    <w:p w:rsidR="00B06980" w:rsidRPr="00B06980" w:rsidRDefault="00B06980" w:rsidP="00B06980">
      <w:pPr>
        <w:spacing w:before="60" w:after="60" w:line="240" w:lineRule="auto"/>
        <w:rPr>
          <w:rFonts w:ascii="Garamond" w:eastAsia="Times New Roman" w:hAnsi="Garamond" w:cs="Times New Roman"/>
          <w:sz w:val="24"/>
          <w:szCs w:val="24"/>
        </w:rPr>
      </w:pPr>
    </w:p>
    <w:p w:rsidR="00B06980" w:rsidRPr="00B06980" w:rsidRDefault="00B06980" w:rsidP="00B06980">
      <w:pPr>
        <w:spacing w:before="60" w:after="60" w:line="240" w:lineRule="auto"/>
        <w:rPr>
          <w:rFonts w:ascii="Garamond" w:eastAsia="Times New Roman" w:hAnsi="Garamond" w:cs="Times New Roman"/>
          <w:sz w:val="24"/>
          <w:szCs w:val="24"/>
        </w:rPr>
      </w:pPr>
      <w:r w:rsidRPr="00B06980">
        <w:rPr>
          <w:rFonts w:ascii="Garamond" w:eastAsia="Times New Roman" w:hAnsi="Garamond" w:cs="Times New Roman"/>
          <w:sz w:val="24"/>
          <w:szCs w:val="24"/>
        </w:rPr>
        <w:t>[</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NAME] will </w:t>
      </w:r>
      <w:r w:rsidR="00042680">
        <w:rPr>
          <w:rFonts w:ascii="Garamond" w:eastAsia="Times New Roman" w:hAnsi="Garamond" w:cs="Times New Roman"/>
          <w:sz w:val="24"/>
          <w:szCs w:val="24"/>
        </w:rPr>
        <w:t>release</w:t>
      </w:r>
      <w:r w:rsidR="005D0E36">
        <w:rPr>
          <w:rFonts w:ascii="Garamond" w:eastAsia="Times New Roman" w:hAnsi="Garamond" w:cs="Times New Roman"/>
          <w:sz w:val="24"/>
          <w:szCs w:val="24"/>
        </w:rPr>
        <w:t xml:space="preserve"> </w:t>
      </w:r>
      <w:r w:rsidRPr="00B06980">
        <w:rPr>
          <w:rFonts w:ascii="Garamond" w:eastAsia="Times New Roman" w:hAnsi="Garamond" w:cs="Times New Roman"/>
          <w:sz w:val="24"/>
          <w:szCs w:val="24"/>
        </w:rPr>
        <w:t>the Limited Dataset containing the extracted and abstracted EHR data to Westat via Westat’s SFTP server</w:t>
      </w:r>
      <w:r w:rsidR="008031A9">
        <w:rPr>
          <w:rFonts w:ascii="Garamond" w:eastAsia="Times New Roman" w:hAnsi="Garamond" w:cs="Times New Roman"/>
          <w:sz w:val="24"/>
          <w:szCs w:val="24"/>
        </w:rPr>
        <w:t xml:space="preserve"> or </w:t>
      </w:r>
      <w:r w:rsidR="00042680">
        <w:rPr>
          <w:rFonts w:ascii="Garamond" w:eastAsia="Times New Roman" w:hAnsi="Garamond" w:cs="Times New Roman"/>
          <w:sz w:val="24"/>
          <w:szCs w:val="24"/>
        </w:rPr>
        <w:t xml:space="preserve">allow </w:t>
      </w:r>
      <w:r w:rsidR="008031A9">
        <w:rPr>
          <w:rFonts w:ascii="Garamond" w:eastAsia="Times New Roman" w:hAnsi="Garamond" w:cs="Times New Roman"/>
          <w:sz w:val="24"/>
          <w:szCs w:val="24"/>
        </w:rPr>
        <w:t>remote extraction of the EHR by project study staff</w:t>
      </w:r>
      <w:r w:rsidRPr="00B06980">
        <w:rPr>
          <w:rFonts w:ascii="Garamond" w:eastAsia="Times New Roman" w:hAnsi="Garamond" w:cs="Times New Roman"/>
          <w:sz w:val="24"/>
          <w:szCs w:val="24"/>
        </w:rPr>
        <w:t>. Data will never be submitted through email or any other platform. Westat’s SFTP server uses Advanced Encryption Standard (AES) 256-bit Transport Layer Security (TLS) to secure all communications so that the data transmitted between the user and the server is strongly encrypted. Login and password is required to access the SFTP. Westat will download the files from the SFTP server and will review the data to verify that the correct variables are included before inputting the data into a web-based data abstraction tool. The data tables associated with the tool are stored on Westat’s secure servers and will only be accessed by study staff at Westat.</w:t>
      </w:r>
    </w:p>
    <w:p w:rsidR="00B06980" w:rsidRPr="00B06980" w:rsidRDefault="00B06980" w:rsidP="00B06980">
      <w:pPr>
        <w:spacing w:before="60" w:after="60" w:line="240" w:lineRule="auto"/>
        <w:rPr>
          <w:rFonts w:ascii="Garamond" w:eastAsia="Times New Roman" w:hAnsi="Garamond" w:cs="Times New Roman"/>
          <w:sz w:val="24"/>
          <w:szCs w:val="20"/>
        </w:rPr>
      </w:pPr>
    </w:p>
    <w:p w:rsidR="00B06980" w:rsidRPr="00B06980" w:rsidRDefault="00B06980" w:rsidP="00B06980">
      <w:pPr>
        <w:spacing w:before="60" w:after="60" w:line="240" w:lineRule="auto"/>
        <w:rPr>
          <w:rFonts w:ascii="Garamond" w:eastAsia="Times New Roman" w:hAnsi="Garamond" w:cs="Times New Roman"/>
          <w:sz w:val="24"/>
          <w:szCs w:val="20"/>
        </w:rPr>
      </w:pPr>
      <w:r w:rsidRPr="00B06980">
        <w:rPr>
          <w:rFonts w:ascii="Garamond" w:eastAsia="Times New Roman" w:hAnsi="Garamond" w:cs="Times New Roman"/>
          <w:sz w:val="24"/>
          <w:szCs w:val="24"/>
        </w:rPr>
        <w:t>Additionally, Westat will comply with all data destruction requirements as specified in Westat’s contract</w:t>
      </w:r>
      <w:r w:rsidRPr="00B06980">
        <w:rPr>
          <w:rFonts w:ascii="Garamond" w:eastAsia="Times New Roman" w:hAnsi="Garamond" w:cs="Times New Roman"/>
          <w:sz w:val="24"/>
          <w:szCs w:val="20"/>
        </w:rPr>
        <w:t xml:space="preserve"> </w:t>
      </w:r>
      <w:r w:rsidRPr="00B06980">
        <w:rPr>
          <w:rFonts w:ascii="Garamond" w:eastAsia="Times New Roman" w:hAnsi="Garamond" w:cs="Times New Roman"/>
          <w:sz w:val="24"/>
          <w:szCs w:val="24"/>
        </w:rPr>
        <w:t>with CDC for collected data that include:</w:t>
      </w:r>
      <w:r w:rsidRPr="00B06980">
        <w:rPr>
          <w:rFonts w:ascii="Garamond" w:eastAsia="Times New Roman" w:hAnsi="Garamond" w:cs="Times New Roman"/>
          <w:sz w:val="24"/>
          <w:szCs w:val="20"/>
        </w:rPr>
        <w:t xml:space="preserve"> </w:t>
      </w:r>
    </w:p>
    <w:p w:rsidR="00B06980" w:rsidRPr="00B06980" w:rsidRDefault="00B06980" w:rsidP="00B06980">
      <w:pPr>
        <w:spacing w:before="60" w:after="60" w:line="240" w:lineRule="auto"/>
        <w:rPr>
          <w:rFonts w:ascii="Garamond" w:eastAsia="Times New Roman" w:hAnsi="Garamond" w:cs="Times New Roman"/>
          <w:sz w:val="24"/>
          <w:szCs w:val="20"/>
        </w:rPr>
      </w:pPr>
    </w:p>
    <w:p w:rsidR="00B06980" w:rsidRPr="00B06980" w:rsidRDefault="00B06980" w:rsidP="00B06980">
      <w:pPr>
        <w:numPr>
          <w:ilvl w:val="0"/>
          <w:numId w:val="2"/>
        </w:numPr>
        <w:spacing w:before="60" w:after="60" w:line="240" w:lineRule="auto"/>
        <w:contextualSpacing/>
        <w:jc w:val="both"/>
        <w:rPr>
          <w:rFonts w:ascii="Garamond" w:eastAsia="Calibri" w:hAnsi="Garamond" w:cs="Times New Roman"/>
          <w:sz w:val="24"/>
          <w:szCs w:val="24"/>
        </w:rPr>
      </w:pPr>
      <w:r w:rsidRPr="00B06980">
        <w:rPr>
          <w:rFonts w:ascii="Garamond" w:eastAsia="Calibri" w:hAnsi="Garamond" w:cs="Times New Roman"/>
          <w:sz w:val="24"/>
          <w:szCs w:val="24"/>
        </w:rPr>
        <w:t xml:space="preserve">Digital EHR records transmitted from </w:t>
      </w:r>
      <w:r w:rsidR="00B026F0">
        <w:rPr>
          <w:rFonts w:ascii="Garamond" w:eastAsia="Calibri" w:hAnsi="Garamond" w:cs="Times New Roman"/>
          <w:sz w:val="24"/>
          <w:szCs w:val="24"/>
        </w:rPr>
        <w:t>healthcare facilities</w:t>
      </w:r>
    </w:p>
    <w:p w:rsidR="00B06980" w:rsidRPr="00B06980" w:rsidRDefault="00B06980" w:rsidP="00B06980">
      <w:pPr>
        <w:numPr>
          <w:ilvl w:val="0"/>
          <w:numId w:val="2"/>
        </w:numPr>
        <w:spacing w:before="60" w:after="60" w:line="240" w:lineRule="auto"/>
        <w:contextualSpacing/>
        <w:jc w:val="both"/>
        <w:rPr>
          <w:rFonts w:ascii="Garamond" w:eastAsia="Calibri" w:hAnsi="Garamond" w:cs="Times New Roman"/>
          <w:sz w:val="24"/>
          <w:szCs w:val="24"/>
        </w:rPr>
      </w:pPr>
      <w:r w:rsidRPr="00B06980">
        <w:rPr>
          <w:rFonts w:ascii="Garamond" w:eastAsia="Calibri" w:hAnsi="Garamond" w:cs="Times New Roman"/>
          <w:sz w:val="24"/>
          <w:szCs w:val="24"/>
        </w:rPr>
        <w:t>Coded EHR distress screening and follow-up care data</w:t>
      </w:r>
    </w:p>
    <w:p w:rsidR="00B06980" w:rsidRPr="00B06980" w:rsidRDefault="00B06980" w:rsidP="00B06980">
      <w:pPr>
        <w:numPr>
          <w:ilvl w:val="0"/>
          <w:numId w:val="2"/>
        </w:numPr>
        <w:spacing w:before="60" w:after="60" w:line="240" w:lineRule="auto"/>
        <w:contextualSpacing/>
        <w:jc w:val="both"/>
        <w:rPr>
          <w:rFonts w:ascii="Garamond" w:eastAsia="Calibri" w:hAnsi="Garamond" w:cs="Times New Roman"/>
          <w:sz w:val="24"/>
          <w:szCs w:val="24"/>
        </w:rPr>
      </w:pPr>
      <w:r w:rsidRPr="00B06980">
        <w:rPr>
          <w:rFonts w:ascii="Garamond" w:eastAsia="Calibri" w:hAnsi="Garamond" w:cs="Times New Roman"/>
          <w:sz w:val="24"/>
          <w:szCs w:val="24"/>
        </w:rPr>
        <w:t>Audio recordings of key informant interviews and focus groups</w:t>
      </w:r>
    </w:p>
    <w:p w:rsidR="00B06980" w:rsidRPr="00B06980" w:rsidRDefault="00B06980" w:rsidP="00B06980">
      <w:pPr>
        <w:numPr>
          <w:ilvl w:val="0"/>
          <w:numId w:val="2"/>
        </w:numPr>
        <w:spacing w:before="60" w:after="60" w:line="240" w:lineRule="auto"/>
        <w:contextualSpacing/>
        <w:jc w:val="both"/>
        <w:rPr>
          <w:rFonts w:ascii="Garamond" w:eastAsia="Calibri" w:hAnsi="Garamond" w:cs="Times New Roman"/>
          <w:sz w:val="24"/>
          <w:szCs w:val="24"/>
        </w:rPr>
      </w:pPr>
      <w:r w:rsidRPr="00B06980">
        <w:rPr>
          <w:rFonts w:ascii="Garamond" w:eastAsia="Calibri" w:hAnsi="Garamond" w:cs="Times New Roman"/>
          <w:sz w:val="24"/>
          <w:szCs w:val="24"/>
        </w:rPr>
        <w:t>Interviewer notes from key informant interviews and focus groups</w:t>
      </w:r>
    </w:p>
    <w:p w:rsidR="00B06980" w:rsidRPr="00B06980" w:rsidRDefault="00B06980" w:rsidP="00B06980">
      <w:pPr>
        <w:keepNext/>
        <w:tabs>
          <w:tab w:val="left" w:pos="1152"/>
        </w:tabs>
        <w:spacing w:before="60" w:after="60" w:line="240" w:lineRule="auto"/>
        <w:jc w:val="right"/>
        <w:outlineLvl w:val="0"/>
        <w:rPr>
          <w:rFonts w:ascii="Franklin Gothic Medium" w:eastAsia="Times New Roman" w:hAnsi="Franklin Gothic Medium" w:cs="Times New Roman"/>
          <w:b/>
          <w:color w:val="324162"/>
          <w:sz w:val="40"/>
          <w:szCs w:val="20"/>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rPr>
      </w:pPr>
      <w:r w:rsidRPr="00B06980">
        <w:rPr>
          <w:rFonts w:ascii="Garamond" w:eastAsia="Times New Roman" w:hAnsi="Garamond" w:cs="Garamond"/>
          <w:b/>
          <w:color w:val="000000"/>
          <w:sz w:val="24"/>
          <w:szCs w:val="24"/>
        </w:rPr>
        <w:t xml:space="preserve">HIPAA Authorization and Informed Consent for EHR Extraction </w:t>
      </w:r>
    </w:p>
    <w:p w:rsidR="00B06980" w:rsidRPr="00B06980" w:rsidRDefault="00B06980" w:rsidP="00B06980">
      <w:pPr>
        <w:shd w:val="clear" w:color="auto" w:fill="FFFFFF"/>
        <w:spacing w:before="60" w:after="60" w:line="240" w:lineRule="auto"/>
        <w:rPr>
          <w:rFonts w:ascii="Garamond" w:eastAsia="Times New Roman" w:hAnsi="Garamond" w:cs="Times New Roman"/>
          <w:sz w:val="24"/>
          <w:szCs w:val="24"/>
        </w:rPr>
      </w:pPr>
      <w:r w:rsidRPr="00B06980">
        <w:rPr>
          <w:rFonts w:ascii="Garamond" w:eastAsia="Times New Roman" w:hAnsi="Garamond" w:cs="Times New Roman"/>
          <w:sz w:val="24"/>
          <w:szCs w:val="24"/>
        </w:rPr>
        <w:t>The HIPAA Privacy Rule allows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NAME], a covered entity, to share a Limited Dataset with an external entity for research purposes without obtaining an individual’s authorization, or a waiver of authorization. </w:t>
      </w:r>
    </w:p>
    <w:p w:rsidR="00B06980" w:rsidRPr="00B06980" w:rsidRDefault="00B06980" w:rsidP="00B06980">
      <w:pPr>
        <w:shd w:val="clear" w:color="auto" w:fill="FFFFFF"/>
        <w:spacing w:before="60" w:after="60" w:line="240" w:lineRule="auto"/>
        <w:rPr>
          <w:rFonts w:ascii="Garamond" w:eastAsia="Times New Roman" w:hAnsi="Garamond" w:cs="Times New Roman"/>
          <w:sz w:val="24"/>
          <w:szCs w:val="24"/>
        </w:rPr>
      </w:pPr>
    </w:p>
    <w:p w:rsidR="00B06980" w:rsidRPr="00B06980" w:rsidRDefault="00B06980" w:rsidP="00B06980">
      <w:pPr>
        <w:shd w:val="clear" w:color="auto" w:fill="FFFFFF"/>
        <w:spacing w:before="60" w:after="60" w:line="240" w:lineRule="auto"/>
        <w:rPr>
          <w:rFonts w:ascii="Garamond" w:eastAsia="Times New Roman" w:hAnsi="Garamond" w:cs="Times New Roman"/>
          <w:sz w:val="24"/>
          <w:szCs w:val="24"/>
        </w:rPr>
      </w:pPr>
      <w:r w:rsidRPr="00B06980">
        <w:rPr>
          <w:rFonts w:ascii="Garamond" w:eastAsia="Times New Roman" w:hAnsi="Garamond" w:cs="Times New Roman"/>
          <w:sz w:val="24"/>
          <w:szCs w:val="24"/>
        </w:rPr>
        <w:t>In addition, we request a waiver of informed consent under 45 CFR 46 as this retrospective study involves no more than minimal risk to patients, and it could not be practicably carried out without the waiver</w:t>
      </w:r>
      <w:r w:rsidRPr="00B06980">
        <w:rPr>
          <w:rFonts w:ascii="Garamond" w:eastAsia="Times New Roman" w:hAnsi="Garamond" w:cs="Times New Roman"/>
          <w:sz w:val="24"/>
          <w:szCs w:val="24"/>
          <w:vertAlign w:val="superscript"/>
        </w:rPr>
        <w:footnoteReference w:customMarkFollows="1" w:id="7"/>
        <w:t>7</w:t>
      </w:r>
      <w:r w:rsidRPr="00B06980">
        <w:rPr>
          <w:rFonts w:ascii="Garamond" w:eastAsia="Times New Roman" w:hAnsi="Garamond" w:cs="Times New Roman"/>
          <w:sz w:val="24"/>
          <w:szCs w:val="24"/>
        </w:rPr>
        <w:t>.</w:t>
      </w:r>
    </w:p>
    <w:p w:rsidR="00B06980" w:rsidRPr="00B06980" w:rsidRDefault="00B06980" w:rsidP="00B06980">
      <w:pPr>
        <w:shd w:val="clear" w:color="auto" w:fill="FFFFFF"/>
        <w:spacing w:before="60" w:after="60" w:line="240" w:lineRule="auto"/>
        <w:rPr>
          <w:rFonts w:ascii="Garamond" w:eastAsia="Times New Roman" w:hAnsi="Garamond" w:cs="Times New Roman"/>
          <w:b/>
          <w:sz w:val="24"/>
          <w:szCs w:val="24"/>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rPr>
      </w:pPr>
      <w:r w:rsidRPr="00B06980">
        <w:rPr>
          <w:rFonts w:ascii="Garamond" w:eastAsia="Times New Roman" w:hAnsi="Garamond" w:cs="Garamond"/>
          <w:b/>
          <w:color w:val="000000"/>
          <w:sz w:val="24"/>
          <w:szCs w:val="24"/>
        </w:rPr>
        <w:t>IRB Review and Informed Consent for Qualitative Data Collection</w:t>
      </w:r>
    </w:p>
    <w:p w:rsidR="00B06980" w:rsidRPr="00B06980" w:rsidRDefault="00B06980" w:rsidP="00B06980">
      <w:pPr>
        <w:autoSpaceDE w:val="0"/>
        <w:autoSpaceDN w:val="0"/>
        <w:adjustRightInd w:val="0"/>
        <w:spacing w:before="60" w:after="60" w:line="240" w:lineRule="auto"/>
        <w:rPr>
          <w:rFonts w:ascii="Garamond" w:eastAsia="Times New Roman" w:hAnsi="Garamond" w:cs="Times New Roman"/>
          <w:sz w:val="24"/>
          <w:szCs w:val="24"/>
        </w:rPr>
      </w:pPr>
      <w:r w:rsidRPr="00B06980">
        <w:rPr>
          <w:rFonts w:ascii="Garamond" w:eastAsia="Times New Roman" w:hAnsi="Garamond" w:cs="Times New Roman"/>
          <w:sz w:val="24"/>
          <w:szCs w:val="24"/>
        </w:rPr>
        <w:t>[</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NAME] will inform employees whose contact information is shared for the qualitative data collection, that the results of the results from the interviews and focus groups will not contain any identifiable information and that the results will be used for research purposes only. The qualitative component of the study will be carried out by Westat, and will be overseen by the Westat IRB. Since these interviews and focus groups will not be completed in-person, Westat has requested from its IRB a waiver of written informed consent, and built the informed consent into the interview and focus group protocols. All participants will be given the opportunity to provide or decline consent to the interview or focus group, as well as the audio recording of the interview.</w:t>
      </w: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0"/>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rPr>
      </w:pPr>
      <w:r w:rsidRPr="00B06980">
        <w:rPr>
          <w:rFonts w:ascii="Garamond" w:eastAsia="Times New Roman" w:hAnsi="Garamond" w:cs="Garamond"/>
          <w:b/>
          <w:color w:val="000000"/>
          <w:sz w:val="24"/>
          <w:szCs w:val="24"/>
        </w:rPr>
        <w:t>Risks</w:t>
      </w:r>
    </w:p>
    <w:p w:rsidR="00B06980" w:rsidRDefault="00B06980" w:rsidP="00B06980">
      <w:pPr>
        <w:autoSpaceDE w:val="0"/>
        <w:autoSpaceDN w:val="0"/>
        <w:adjustRightInd w:val="0"/>
        <w:spacing w:before="60" w:after="60" w:line="240" w:lineRule="auto"/>
        <w:rPr>
          <w:rFonts w:ascii="Garamond" w:eastAsia="Times New Roman" w:hAnsi="Garamond" w:cs="Garamond"/>
          <w:color w:val="000000"/>
          <w:sz w:val="24"/>
          <w:szCs w:val="20"/>
        </w:rPr>
      </w:pPr>
      <w:r w:rsidRPr="00B06980">
        <w:rPr>
          <w:rFonts w:ascii="Garamond" w:eastAsia="Times New Roman" w:hAnsi="Garamond" w:cs="Times New Roman"/>
          <w:sz w:val="24"/>
          <w:szCs w:val="24"/>
        </w:rPr>
        <w:t xml:space="preserve">The use or disclosure of protected health information from the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EHR data elements used in this study involves no more than a minimal risk to the individuals. The main risk is inadvertent disclosure of patient information.  This risk will be minimized by excluding patient names and addresses from the Limited Dataset, as well as by the data security protections described above. Once Westat receives [insert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name]’s dataset, through their secured FTP Web site, Westat will store the data on a secure network folder where only designated project staff have access. Upon completion of the study, Westat will destroy all EHR data used for this research.</w:t>
      </w:r>
      <w:r w:rsidRPr="00B06980">
        <w:rPr>
          <w:rFonts w:ascii="Garamond" w:eastAsia="Times New Roman" w:hAnsi="Garamond" w:cs="Garamond"/>
          <w:color w:val="000000"/>
          <w:sz w:val="24"/>
          <w:szCs w:val="20"/>
        </w:rPr>
        <w:t xml:space="preserve"> </w:t>
      </w:r>
    </w:p>
    <w:p w:rsidR="00E71A12" w:rsidRDefault="00E71A12" w:rsidP="00B06980">
      <w:pPr>
        <w:autoSpaceDE w:val="0"/>
        <w:autoSpaceDN w:val="0"/>
        <w:adjustRightInd w:val="0"/>
        <w:spacing w:before="60" w:after="60" w:line="240" w:lineRule="auto"/>
        <w:rPr>
          <w:rFonts w:ascii="Garamond" w:eastAsia="Times New Roman" w:hAnsi="Garamond" w:cs="Garamond"/>
          <w:color w:val="000000"/>
          <w:sz w:val="24"/>
          <w:szCs w:val="20"/>
        </w:rPr>
      </w:pPr>
    </w:p>
    <w:p w:rsidR="00E71A12" w:rsidRPr="00B06980" w:rsidRDefault="00E71A12" w:rsidP="00B06980">
      <w:pPr>
        <w:autoSpaceDE w:val="0"/>
        <w:autoSpaceDN w:val="0"/>
        <w:adjustRightInd w:val="0"/>
        <w:spacing w:before="60" w:after="60" w:line="240" w:lineRule="auto"/>
        <w:rPr>
          <w:rFonts w:ascii="Garamond" w:eastAsia="Times New Roman" w:hAnsi="Garamond" w:cs="Garamond"/>
          <w:color w:val="000000"/>
          <w:sz w:val="24"/>
          <w:szCs w:val="24"/>
        </w:rPr>
      </w:pPr>
      <w:r w:rsidRPr="00E71A12">
        <w:rPr>
          <w:rFonts w:ascii="Garamond" w:eastAsia="Times New Roman" w:hAnsi="Garamond" w:cs="Garamond"/>
          <w:color w:val="000000"/>
          <w:sz w:val="24"/>
          <w:szCs w:val="24"/>
        </w:rPr>
        <w:t xml:space="preserve">Similarly, participating in the key informant and focus group interviews will pose no risks to the </w:t>
      </w:r>
      <w:r w:rsidR="00B026F0">
        <w:rPr>
          <w:rFonts w:ascii="Garamond" w:eastAsia="Times New Roman" w:hAnsi="Garamond" w:cs="Garamond"/>
          <w:color w:val="000000"/>
          <w:sz w:val="24"/>
          <w:szCs w:val="24"/>
        </w:rPr>
        <w:t>healthcare facility</w:t>
      </w:r>
      <w:r w:rsidRPr="00E71A12">
        <w:rPr>
          <w:rFonts w:ascii="Garamond" w:eastAsia="Times New Roman" w:hAnsi="Garamond" w:cs="Garamond"/>
          <w:color w:val="000000"/>
          <w:sz w:val="24"/>
          <w:szCs w:val="24"/>
        </w:rPr>
        <w:t xml:space="preserve"> staff of personal, physical injury or emotional/psychological harm or discomfort. Individuals who participate in either key informant interview of focus group interview will not be at risk of financial loss or loss of employment or positions.</w:t>
      </w:r>
    </w:p>
    <w:p w:rsidR="00B06980" w:rsidRPr="00B06980" w:rsidRDefault="00B06980" w:rsidP="00B06980">
      <w:pPr>
        <w:autoSpaceDE w:val="0"/>
        <w:autoSpaceDN w:val="0"/>
        <w:adjustRightInd w:val="0"/>
        <w:spacing w:before="60" w:after="60" w:line="240" w:lineRule="auto"/>
        <w:rPr>
          <w:rFonts w:ascii="Garamond" w:eastAsia="Times New Roman" w:hAnsi="Garamond" w:cs="Garamond"/>
          <w:color w:val="000000"/>
          <w:sz w:val="24"/>
          <w:szCs w:val="20"/>
        </w:rPr>
      </w:pPr>
    </w:p>
    <w:p w:rsidR="00B06980" w:rsidRPr="00B06980" w:rsidRDefault="00B06980" w:rsidP="00B06980">
      <w:pPr>
        <w:autoSpaceDE w:val="0"/>
        <w:autoSpaceDN w:val="0"/>
        <w:adjustRightInd w:val="0"/>
        <w:spacing w:before="60" w:after="60" w:line="240" w:lineRule="auto"/>
        <w:rPr>
          <w:rFonts w:ascii="Garamond" w:eastAsia="Times New Roman" w:hAnsi="Garamond" w:cs="Garamond"/>
          <w:b/>
          <w:color w:val="000000"/>
          <w:sz w:val="24"/>
          <w:szCs w:val="24"/>
        </w:rPr>
      </w:pPr>
      <w:r w:rsidRPr="00B06980">
        <w:rPr>
          <w:rFonts w:ascii="Garamond" w:eastAsia="Times New Roman" w:hAnsi="Garamond" w:cs="Garamond"/>
          <w:b/>
          <w:color w:val="000000"/>
          <w:sz w:val="24"/>
          <w:szCs w:val="24"/>
        </w:rPr>
        <w:t>Benefits</w:t>
      </w:r>
    </w:p>
    <w:p w:rsidR="00B026F0" w:rsidRPr="00B026F0" w:rsidRDefault="00B06980" w:rsidP="00B026F0">
      <w:pPr>
        <w:pStyle w:val="PlainText"/>
        <w:rPr>
          <w:rFonts w:ascii="Garamond" w:eastAsia="Times New Roman" w:hAnsi="Garamond" w:cs="Times New Roman"/>
          <w:sz w:val="24"/>
        </w:rPr>
      </w:pPr>
      <w:r w:rsidRPr="00B06980">
        <w:rPr>
          <w:rFonts w:ascii="Garamond" w:eastAsia="Times New Roman" w:hAnsi="Garamond" w:cs="Times New Roman"/>
          <w:sz w:val="24"/>
          <w:szCs w:val="24"/>
        </w:rPr>
        <w:t xml:space="preserve">There is no benefit to the patients or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staff from having their data included in the study. However, participation in this study will add to the body of knowledge regarding distress screening for cancer patients that will ultimately improve the quality of life of cancer survivors. For each participating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CDC will develop an individual </w:t>
      </w:r>
      <w:r w:rsidR="00B026F0">
        <w:rPr>
          <w:rFonts w:ascii="Garamond" w:eastAsia="Times New Roman" w:hAnsi="Garamond" w:cs="Times New Roman"/>
          <w:sz w:val="24"/>
          <w:szCs w:val="24"/>
        </w:rPr>
        <w:t>healthcare facility</w:t>
      </w:r>
      <w:r w:rsidRPr="00B06980">
        <w:rPr>
          <w:rFonts w:ascii="Garamond" w:eastAsia="Times New Roman" w:hAnsi="Garamond" w:cs="Times New Roman"/>
          <w:sz w:val="24"/>
          <w:szCs w:val="24"/>
        </w:rPr>
        <w:t xml:space="preserve"> feedback report that allows study sites to compare their results to other participating </w:t>
      </w:r>
      <w:r w:rsidR="00B026F0">
        <w:rPr>
          <w:rFonts w:ascii="Garamond" w:eastAsia="Times New Roman" w:hAnsi="Garamond" w:cs="Times New Roman"/>
          <w:sz w:val="24"/>
          <w:szCs w:val="24"/>
        </w:rPr>
        <w:t>healthcare facilities</w:t>
      </w:r>
      <w:r w:rsidRPr="00B06980">
        <w:rPr>
          <w:rFonts w:ascii="Garamond" w:eastAsia="Times New Roman" w:hAnsi="Garamond" w:cs="Times New Roman"/>
          <w:sz w:val="24"/>
          <w:szCs w:val="24"/>
        </w:rPr>
        <w:t xml:space="preserve"> with regard to distress screening. In addition, </w:t>
      </w:r>
      <w:r w:rsidR="00B026F0">
        <w:rPr>
          <w:rFonts w:ascii="Garamond" w:eastAsia="Times New Roman" w:hAnsi="Garamond" w:cs="Times New Roman"/>
          <w:sz w:val="24"/>
        </w:rPr>
        <w:t>t</w:t>
      </w:r>
      <w:r w:rsidR="00B026F0" w:rsidRPr="00B026F0">
        <w:rPr>
          <w:rFonts w:ascii="Garamond" w:eastAsia="Times New Roman" w:hAnsi="Garamond" w:cs="Times New Roman"/>
          <w:sz w:val="24"/>
        </w:rPr>
        <w:t xml:space="preserve">his study has been approved by the American College of Surgeons (ACS) Commission on Cancer (CoC) as fulfilling requirements for </w:t>
      </w:r>
      <w:r w:rsidR="00B026F0" w:rsidRPr="00B026F0">
        <w:rPr>
          <w:rFonts w:ascii="Garamond" w:eastAsia="Times New Roman" w:hAnsi="Garamond" w:cs="Times New Roman"/>
          <w:i/>
          <w:sz w:val="24"/>
        </w:rPr>
        <w:t>Standard 4.7 Studies of Quality</w:t>
      </w:r>
      <w:r w:rsidR="00B026F0" w:rsidRPr="00B026F0">
        <w:rPr>
          <w:rFonts w:ascii="Garamond" w:eastAsia="Times New Roman" w:hAnsi="Garamond" w:cs="Times New Roman"/>
          <w:sz w:val="24"/>
        </w:rPr>
        <w:t xml:space="preserve">. Participating CoC-accredited healthcare facilities may apply for credit as appropriate. </w:t>
      </w:r>
    </w:p>
    <w:p w:rsidR="00B06980" w:rsidRPr="00B06980" w:rsidRDefault="00B06980" w:rsidP="00B06980">
      <w:pPr>
        <w:autoSpaceDE w:val="0"/>
        <w:autoSpaceDN w:val="0"/>
        <w:adjustRightInd w:val="0"/>
        <w:spacing w:before="60" w:after="60" w:line="240" w:lineRule="auto"/>
        <w:rPr>
          <w:rFonts w:ascii="Garamond" w:eastAsia="Times New Roman" w:hAnsi="Garamond" w:cs="Garamond"/>
          <w:color w:val="000000"/>
          <w:sz w:val="24"/>
          <w:szCs w:val="20"/>
        </w:rPr>
      </w:pPr>
    </w:p>
    <w:p w:rsidR="00B06980" w:rsidRPr="00B06980" w:rsidRDefault="00B06980" w:rsidP="00B06980">
      <w:pPr>
        <w:autoSpaceDE w:val="0"/>
        <w:autoSpaceDN w:val="0"/>
        <w:adjustRightInd w:val="0"/>
        <w:spacing w:before="60" w:after="60" w:line="240" w:lineRule="auto"/>
        <w:rPr>
          <w:rFonts w:ascii="Garamond" w:eastAsia="Times New Roman" w:hAnsi="Garamond" w:cs="Times New Roman"/>
          <w:sz w:val="24"/>
          <w:szCs w:val="24"/>
        </w:rPr>
      </w:pPr>
      <w:r w:rsidRPr="00B06980">
        <w:rPr>
          <w:rFonts w:ascii="Garamond" w:eastAsia="Times New Roman" w:hAnsi="Garamond" w:cs="Times New Roman"/>
          <w:sz w:val="24"/>
          <w:szCs w:val="24"/>
        </w:rPr>
        <w:t>For the qualitative part of the study, each interviewee who completes the key informant interview will receive an incentive of $100 in the form of an electronic gift card or a check, in acknowledgement of the contribution of their time. Each focus group participant will receive $60 in the form of an electronic gift card or a check, as acknowledgement of their time.</w:t>
      </w:r>
    </w:p>
    <w:p w:rsidR="005D0E36" w:rsidRDefault="005D0E36">
      <w:pPr>
        <w:rPr>
          <w:rFonts w:ascii="Garamond" w:eastAsia="Times New Roman" w:hAnsi="Garamond" w:cs="Times New Roman"/>
          <w:sz w:val="24"/>
          <w:szCs w:val="24"/>
        </w:rPr>
      </w:pPr>
      <w:r>
        <w:rPr>
          <w:rFonts w:ascii="Garamond" w:eastAsia="Times New Roman" w:hAnsi="Garamond" w:cs="Times New Roman"/>
          <w:sz w:val="24"/>
          <w:szCs w:val="24"/>
        </w:rPr>
        <w:br w:type="page"/>
      </w:r>
    </w:p>
    <w:p w:rsidR="00B06980" w:rsidRDefault="00B06980" w:rsidP="00B06980">
      <w:pPr>
        <w:spacing w:after="0" w:line="240" w:lineRule="atLeast"/>
        <w:rPr>
          <w:rFonts w:ascii="Garamond" w:eastAsia="Times New Roman" w:hAnsi="Garamond" w:cs="Times New Roman"/>
          <w:sz w:val="24"/>
          <w:szCs w:val="24"/>
        </w:rPr>
      </w:pPr>
      <w:r w:rsidRPr="00B06980">
        <w:rPr>
          <w:rFonts w:ascii="Garamond" w:eastAsia="Times New Roman" w:hAnsi="Garamond" w:cs="Times New Roman"/>
          <w:sz w:val="24"/>
          <w:szCs w:val="24"/>
        </w:rPr>
        <w:t>ATTACHMENTS</w:t>
      </w:r>
    </w:p>
    <w:p w:rsidR="00E71A12" w:rsidRPr="00B06980" w:rsidRDefault="00E71A12" w:rsidP="00B06980">
      <w:pPr>
        <w:spacing w:after="0" w:line="240" w:lineRule="atLeast"/>
        <w:rPr>
          <w:rFonts w:ascii="Garamond" w:eastAsia="Times New Roman" w:hAnsi="Garamond" w:cs="Times New Roman"/>
          <w:sz w:val="24"/>
          <w:szCs w:val="24"/>
        </w:rPr>
      </w:pPr>
    </w:p>
    <w:p w:rsidR="00B06980" w:rsidRPr="00B06980" w:rsidRDefault="00B06980" w:rsidP="00B06980">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Attachment A: EHR Data Dictionary</w:t>
      </w:r>
    </w:p>
    <w:p w:rsidR="00B06980" w:rsidRPr="00B06980" w:rsidRDefault="00B06980" w:rsidP="00B06980">
      <w:pPr>
        <w:spacing w:after="0" w:line="240" w:lineRule="atLeast"/>
        <w:rPr>
          <w:rFonts w:ascii="Garamond" w:eastAsia="Times New Roman" w:hAnsi="Garamond" w:cs="Times New Roman"/>
          <w:sz w:val="24"/>
          <w:szCs w:val="24"/>
        </w:rPr>
      </w:pPr>
    </w:p>
    <w:p w:rsidR="00E71A12" w:rsidRDefault="00B06980" w:rsidP="00E71A12">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B: EHR Data Extraction Instructions for </w:t>
      </w:r>
      <w:r w:rsidR="00B026F0">
        <w:rPr>
          <w:rFonts w:ascii="Garamond" w:eastAsia="Calibri" w:hAnsi="Garamond" w:cs="Times New Roman"/>
          <w:sz w:val="24"/>
          <w:szCs w:val="24"/>
        </w:rPr>
        <w:t>Healthcare facility</w:t>
      </w:r>
      <w:r w:rsidRPr="00B06980">
        <w:rPr>
          <w:rFonts w:ascii="Garamond" w:eastAsia="Calibri" w:hAnsi="Garamond" w:cs="Times New Roman"/>
          <w:sz w:val="24"/>
          <w:szCs w:val="24"/>
        </w:rPr>
        <w:t xml:space="preserve"> IT staff</w:t>
      </w:r>
    </w:p>
    <w:p w:rsidR="00E71A12" w:rsidRDefault="00E71A12" w:rsidP="00E71A12">
      <w:pPr>
        <w:spacing w:after="0" w:line="240" w:lineRule="atLeast"/>
        <w:ind w:left="720"/>
        <w:contextualSpacing/>
        <w:rPr>
          <w:rFonts w:ascii="Garamond" w:eastAsia="Calibri" w:hAnsi="Garamond" w:cs="Times New Roman"/>
          <w:sz w:val="24"/>
          <w:szCs w:val="24"/>
        </w:rPr>
      </w:pPr>
    </w:p>
    <w:p w:rsidR="00E71A12" w:rsidRPr="00E71A12" w:rsidRDefault="00E71A12" w:rsidP="00E71A12">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Pr>
          <w:rFonts w:ascii="Garamond" w:eastAsia="Calibri" w:hAnsi="Garamond" w:cs="Times New Roman"/>
          <w:sz w:val="24"/>
          <w:szCs w:val="24"/>
        </w:rPr>
        <w:t>C</w:t>
      </w:r>
      <w:r w:rsidRPr="00E71A12">
        <w:rPr>
          <w:rFonts w:ascii="Garamond" w:eastAsia="Calibri" w:hAnsi="Garamond" w:cs="Times New Roman"/>
          <w:sz w:val="24"/>
          <w:szCs w:val="24"/>
        </w:rPr>
        <w:t>: Data security fact sheet</w:t>
      </w:r>
    </w:p>
    <w:p w:rsidR="00E71A12" w:rsidRDefault="00E71A12" w:rsidP="00E71A12">
      <w:pPr>
        <w:spacing w:after="0" w:line="240" w:lineRule="atLeast"/>
        <w:ind w:left="720"/>
        <w:contextualSpacing/>
        <w:rPr>
          <w:rFonts w:ascii="Garamond" w:eastAsia="Calibri" w:hAnsi="Garamond" w:cs="Times New Roman"/>
          <w:sz w:val="24"/>
          <w:szCs w:val="24"/>
        </w:rPr>
      </w:pPr>
    </w:p>
    <w:p w:rsidR="005D0E36" w:rsidRPr="00B06980" w:rsidRDefault="00E71A12" w:rsidP="00E71A12">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Pr>
          <w:rFonts w:ascii="Garamond" w:eastAsia="Calibri" w:hAnsi="Garamond" w:cs="Times New Roman"/>
          <w:sz w:val="24"/>
          <w:szCs w:val="24"/>
        </w:rPr>
        <w:t>D</w:t>
      </w:r>
      <w:r w:rsidRPr="00E71A12">
        <w:rPr>
          <w:rFonts w:ascii="Garamond" w:eastAsia="Calibri" w:hAnsi="Garamond" w:cs="Times New Roman"/>
          <w:sz w:val="24"/>
          <w:szCs w:val="24"/>
        </w:rPr>
        <w:t>: EHR abstraction tool</w:t>
      </w:r>
    </w:p>
    <w:p w:rsidR="005D0E36" w:rsidRPr="005D0E36" w:rsidRDefault="005D0E36" w:rsidP="00E71A12">
      <w:pPr>
        <w:spacing w:after="0" w:line="240" w:lineRule="atLeast"/>
        <w:contextualSpacing/>
        <w:rPr>
          <w:rFonts w:ascii="Garamond" w:eastAsia="Calibri" w:hAnsi="Garamond" w:cs="Times New Roman"/>
          <w:sz w:val="24"/>
          <w:szCs w:val="24"/>
        </w:rPr>
      </w:pPr>
    </w:p>
    <w:p w:rsidR="00B06980" w:rsidRPr="00B06980" w:rsidRDefault="00B06980" w:rsidP="00B06980">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sidR="00E71A12">
        <w:rPr>
          <w:rFonts w:ascii="Garamond" w:eastAsia="Calibri" w:hAnsi="Garamond" w:cs="Times New Roman"/>
          <w:sz w:val="24"/>
          <w:szCs w:val="24"/>
        </w:rPr>
        <w:t>E</w:t>
      </w:r>
      <w:r w:rsidRPr="00B06980">
        <w:rPr>
          <w:rFonts w:ascii="Garamond" w:eastAsia="Calibri" w:hAnsi="Garamond" w:cs="Times New Roman"/>
          <w:sz w:val="24"/>
          <w:szCs w:val="24"/>
        </w:rPr>
        <w:t>: Key Informant Interview Guide</w:t>
      </w:r>
    </w:p>
    <w:p w:rsidR="00B06980" w:rsidRPr="00E71A12" w:rsidRDefault="00B06980" w:rsidP="00E71A12">
      <w:pPr>
        <w:spacing w:after="0" w:line="240" w:lineRule="atLeast"/>
        <w:ind w:left="720"/>
        <w:contextualSpacing/>
        <w:rPr>
          <w:rFonts w:ascii="Garamond" w:eastAsia="Calibri" w:hAnsi="Garamond" w:cs="Times New Roman"/>
          <w:sz w:val="24"/>
          <w:szCs w:val="24"/>
        </w:rPr>
      </w:pPr>
    </w:p>
    <w:p w:rsidR="00B06980" w:rsidRDefault="00B06980" w:rsidP="00B06980">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sidR="00E71A12">
        <w:rPr>
          <w:rFonts w:ascii="Garamond" w:eastAsia="Calibri" w:hAnsi="Garamond" w:cs="Times New Roman"/>
          <w:sz w:val="24"/>
          <w:szCs w:val="24"/>
        </w:rPr>
        <w:t>F</w:t>
      </w:r>
      <w:r w:rsidRPr="00B06980">
        <w:rPr>
          <w:rFonts w:ascii="Garamond" w:eastAsia="Calibri" w:hAnsi="Garamond" w:cs="Times New Roman"/>
          <w:sz w:val="24"/>
          <w:szCs w:val="24"/>
        </w:rPr>
        <w:t>: Focus Group Guide</w:t>
      </w:r>
    </w:p>
    <w:p w:rsidR="005D0E36" w:rsidRDefault="005D0E36" w:rsidP="00E71A12">
      <w:pPr>
        <w:spacing w:after="0" w:line="240" w:lineRule="atLeast"/>
        <w:ind w:left="720"/>
        <w:contextualSpacing/>
        <w:rPr>
          <w:rFonts w:ascii="Garamond" w:eastAsia="Calibri" w:hAnsi="Garamond" w:cs="Times New Roman"/>
          <w:sz w:val="24"/>
          <w:szCs w:val="24"/>
        </w:rPr>
      </w:pPr>
    </w:p>
    <w:p w:rsidR="005D0E36" w:rsidRPr="005D0E36" w:rsidRDefault="005D0E36" w:rsidP="005D0E36">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sidR="00E71A12">
        <w:rPr>
          <w:rFonts w:ascii="Garamond" w:eastAsia="Calibri" w:hAnsi="Garamond" w:cs="Times New Roman"/>
          <w:sz w:val="24"/>
          <w:szCs w:val="24"/>
        </w:rPr>
        <w:t>G</w:t>
      </w:r>
      <w:r w:rsidRPr="005D0E36">
        <w:rPr>
          <w:rFonts w:ascii="Garamond" w:eastAsia="Calibri" w:hAnsi="Garamond" w:cs="Times New Roman"/>
          <w:sz w:val="24"/>
          <w:szCs w:val="24"/>
        </w:rPr>
        <w:t>: Informed consent for key informant interviews</w:t>
      </w:r>
    </w:p>
    <w:p w:rsidR="005D0E36" w:rsidRDefault="005D0E36" w:rsidP="00E71A12">
      <w:pPr>
        <w:spacing w:after="0" w:line="240" w:lineRule="atLeast"/>
        <w:ind w:left="720"/>
        <w:contextualSpacing/>
        <w:rPr>
          <w:rFonts w:ascii="Garamond" w:eastAsia="Calibri" w:hAnsi="Garamond" w:cs="Times New Roman"/>
          <w:sz w:val="24"/>
          <w:szCs w:val="24"/>
        </w:rPr>
      </w:pPr>
    </w:p>
    <w:p w:rsidR="00B06980" w:rsidRPr="00E71A12" w:rsidRDefault="005D0E36" w:rsidP="00B06980">
      <w:pPr>
        <w:numPr>
          <w:ilvl w:val="0"/>
          <w:numId w:val="3"/>
        </w:numPr>
        <w:spacing w:after="0" w:line="240" w:lineRule="atLeast"/>
        <w:contextualSpacing/>
        <w:rPr>
          <w:rFonts w:ascii="Garamond" w:eastAsia="Calibri" w:hAnsi="Garamond" w:cs="Times New Roman"/>
          <w:sz w:val="24"/>
          <w:szCs w:val="24"/>
        </w:rPr>
      </w:pPr>
      <w:r w:rsidRPr="00B06980">
        <w:rPr>
          <w:rFonts w:ascii="Garamond" w:eastAsia="Calibri" w:hAnsi="Garamond" w:cs="Times New Roman"/>
          <w:sz w:val="24"/>
          <w:szCs w:val="24"/>
        </w:rPr>
        <w:t xml:space="preserve">Attachment </w:t>
      </w:r>
      <w:r w:rsidR="00E71A12">
        <w:rPr>
          <w:rFonts w:ascii="Garamond" w:eastAsia="Calibri" w:hAnsi="Garamond" w:cs="Times New Roman"/>
          <w:sz w:val="24"/>
          <w:szCs w:val="24"/>
        </w:rPr>
        <w:t>H</w:t>
      </w:r>
      <w:r w:rsidRPr="005D0E36">
        <w:rPr>
          <w:rFonts w:ascii="Garamond" w:eastAsia="Calibri" w:hAnsi="Garamond" w:cs="Times New Roman"/>
          <w:sz w:val="24"/>
          <w:szCs w:val="24"/>
        </w:rPr>
        <w:t>: Informed consent for focus group interviews</w:t>
      </w:r>
    </w:p>
    <w:p w:rsidR="00900D53" w:rsidRDefault="00900D53"/>
    <w:sectPr w:rsidR="00900D53">
      <w:head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80" w:rsidRDefault="00B06980" w:rsidP="00B06980">
      <w:pPr>
        <w:spacing w:after="0" w:line="240" w:lineRule="auto"/>
      </w:pPr>
      <w:r>
        <w:separator/>
      </w:r>
    </w:p>
  </w:endnote>
  <w:endnote w:type="continuationSeparator" w:id="0">
    <w:p w:rsidR="00B06980" w:rsidRDefault="00B06980" w:rsidP="00B0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7" w:type="pct"/>
      <w:jc w:val="center"/>
      <w:tblCellMar>
        <w:left w:w="0" w:type="dxa"/>
        <w:right w:w="0" w:type="dxa"/>
      </w:tblCellMar>
      <w:tblLook w:val="0000" w:firstRow="0" w:lastRow="0" w:firstColumn="0" w:lastColumn="0" w:noHBand="0" w:noVBand="0"/>
    </w:tblPr>
    <w:tblGrid>
      <w:gridCol w:w="4118"/>
      <w:gridCol w:w="3830"/>
      <w:gridCol w:w="1444"/>
    </w:tblGrid>
    <w:tr w:rsidR="00B06980" w:rsidTr="00972679">
      <w:trPr>
        <w:cantSplit/>
        <w:trHeight w:hRule="exact" w:val="134"/>
        <w:jc w:val="center"/>
      </w:trPr>
      <w:tc>
        <w:tcPr>
          <w:tcW w:w="2192" w:type="pct"/>
          <w:tcBorders>
            <w:top w:val="single" w:sz="4" w:space="0" w:color="007DA4"/>
          </w:tcBorders>
          <w:vAlign w:val="center"/>
        </w:tcPr>
        <w:p w:rsidR="00B06980" w:rsidRDefault="00B06980" w:rsidP="00364355">
          <w:pPr>
            <w:tabs>
              <w:tab w:val="right" w:pos="8064"/>
            </w:tabs>
            <w:spacing w:line="180" w:lineRule="atLeast"/>
            <w:rPr>
              <w:rFonts w:ascii="Franklin Gothic Medium" w:hAnsi="Franklin Gothic Medium"/>
              <w:sz w:val="14"/>
              <w:szCs w:val="24"/>
            </w:rPr>
          </w:pPr>
        </w:p>
      </w:tc>
      <w:tc>
        <w:tcPr>
          <w:tcW w:w="2039" w:type="pct"/>
          <w:tcBorders>
            <w:top w:val="single" w:sz="4" w:space="0" w:color="007DA4"/>
          </w:tcBorders>
          <w:vAlign w:val="bottom"/>
        </w:tcPr>
        <w:p w:rsidR="00B06980" w:rsidRDefault="00B06980" w:rsidP="00364355">
          <w:pPr>
            <w:tabs>
              <w:tab w:val="right" w:pos="8064"/>
            </w:tabs>
            <w:spacing w:line="160" w:lineRule="exact"/>
            <w:jc w:val="center"/>
            <w:rPr>
              <w:rFonts w:ascii="Franklin Gothic Medium" w:hAnsi="Franklin Gothic Medium"/>
              <w:b/>
              <w:sz w:val="14"/>
              <w:szCs w:val="24"/>
            </w:rPr>
          </w:pPr>
        </w:p>
        <w:p w:rsidR="00B06980" w:rsidRDefault="00B06980" w:rsidP="00364355">
          <w:pPr>
            <w:tabs>
              <w:tab w:val="right" w:pos="8064"/>
            </w:tabs>
            <w:spacing w:line="160" w:lineRule="exact"/>
            <w:jc w:val="center"/>
            <w:rPr>
              <w:rFonts w:ascii="Franklin Gothic Medium" w:hAnsi="Franklin Gothic Medium"/>
              <w:b/>
              <w:sz w:val="14"/>
              <w:szCs w:val="24"/>
            </w:rPr>
          </w:pPr>
        </w:p>
        <w:p w:rsidR="00B06980" w:rsidRPr="00A33FB9" w:rsidRDefault="00B06980" w:rsidP="00364355">
          <w:pPr>
            <w:tabs>
              <w:tab w:val="right" w:pos="8064"/>
            </w:tabs>
            <w:spacing w:line="160" w:lineRule="exact"/>
            <w:jc w:val="center"/>
            <w:rPr>
              <w:rFonts w:ascii="Franklin Gothic Medium" w:hAnsi="Franklin Gothic Medium"/>
              <w:b/>
              <w:sz w:val="14"/>
              <w:szCs w:val="24"/>
            </w:rPr>
          </w:pPr>
        </w:p>
      </w:tc>
      <w:tc>
        <w:tcPr>
          <w:tcW w:w="769" w:type="pct"/>
          <w:tcBorders>
            <w:top w:val="single" w:sz="4" w:space="0" w:color="007DA4"/>
          </w:tcBorders>
          <w:tcMar>
            <w:left w:w="288" w:type="dxa"/>
          </w:tcMar>
          <w:vAlign w:val="center"/>
        </w:tcPr>
        <w:p w:rsidR="00B06980" w:rsidRDefault="00B06980" w:rsidP="00364355">
          <w:pPr>
            <w:tabs>
              <w:tab w:val="right" w:pos="8064"/>
            </w:tabs>
            <w:spacing w:line="240" w:lineRule="auto"/>
            <w:jc w:val="center"/>
            <w:rPr>
              <w:rFonts w:ascii="Franklin Gothic Medium" w:hAnsi="Franklin Gothic Medium"/>
              <w:sz w:val="14"/>
              <w:szCs w:val="24"/>
            </w:rPr>
          </w:pPr>
        </w:p>
      </w:tc>
    </w:tr>
    <w:tr w:rsidR="00B06980" w:rsidTr="00972679">
      <w:trPr>
        <w:cantSplit/>
        <w:trHeight w:val="302"/>
        <w:jc w:val="center"/>
      </w:trPr>
      <w:tc>
        <w:tcPr>
          <w:tcW w:w="2192" w:type="pct"/>
          <w:vAlign w:val="bottom"/>
        </w:tcPr>
        <w:p w:rsidR="00B06980" w:rsidRDefault="00B06980" w:rsidP="00364355">
          <w:pPr>
            <w:tabs>
              <w:tab w:val="right" w:pos="8064"/>
            </w:tabs>
            <w:spacing w:line="180" w:lineRule="atLeast"/>
            <w:jc w:val="center"/>
            <w:rPr>
              <w:rFonts w:ascii="Franklin Gothic Medium" w:hAnsi="Franklin Gothic Medium"/>
              <w:sz w:val="14"/>
              <w:szCs w:val="14"/>
            </w:rPr>
          </w:pPr>
        </w:p>
      </w:tc>
      <w:tc>
        <w:tcPr>
          <w:tcW w:w="2039" w:type="pct"/>
          <w:vAlign w:val="bottom"/>
        </w:tcPr>
        <w:p w:rsidR="00B06980" w:rsidRDefault="00B06980" w:rsidP="00972679">
          <w:pPr>
            <w:tabs>
              <w:tab w:val="right" w:pos="8064"/>
            </w:tabs>
            <w:spacing w:line="240" w:lineRule="auto"/>
            <w:rPr>
              <w:rFonts w:ascii="Franklin Gothic Medium" w:hAnsi="Franklin Gothic Medium"/>
              <w:b/>
              <w:sz w:val="16"/>
              <w:szCs w:val="14"/>
            </w:rPr>
          </w:pPr>
          <w:r w:rsidRPr="00A33FB9">
            <w:rPr>
              <w:rFonts w:ascii="Franklin Gothic Medium" w:hAnsi="Franklin Gothic Medium"/>
              <w:snapToGrid w:val="0"/>
              <w:sz w:val="20"/>
            </w:rPr>
            <w:t xml:space="preserve">Page </w:t>
          </w:r>
          <w:r w:rsidRPr="00A33FB9">
            <w:rPr>
              <w:rFonts w:ascii="Franklin Gothic Medium" w:hAnsi="Franklin Gothic Medium"/>
              <w:snapToGrid w:val="0"/>
              <w:sz w:val="20"/>
            </w:rPr>
            <w:fldChar w:fldCharType="begin"/>
          </w:r>
          <w:r w:rsidRPr="00A33FB9">
            <w:rPr>
              <w:rFonts w:ascii="Franklin Gothic Medium" w:hAnsi="Franklin Gothic Medium"/>
              <w:snapToGrid w:val="0"/>
              <w:sz w:val="20"/>
            </w:rPr>
            <w:instrText xml:space="preserve"> PAGE </w:instrText>
          </w:r>
          <w:r w:rsidRPr="00A33FB9">
            <w:rPr>
              <w:rFonts w:ascii="Franklin Gothic Medium" w:hAnsi="Franklin Gothic Medium"/>
              <w:snapToGrid w:val="0"/>
              <w:sz w:val="20"/>
            </w:rPr>
            <w:fldChar w:fldCharType="separate"/>
          </w:r>
          <w:r w:rsidR="00E71A12">
            <w:rPr>
              <w:rFonts w:ascii="Franklin Gothic Medium" w:hAnsi="Franklin Gothic Medium"/>
              <w:noProof/>
              <w:snapToGrid w:val="0"/>
              <w:sz w:val="20"/>
            </w:rPr>
            <w:t>1</w:t>
          </w:r>
          <w:r w:rsidRPr="00A33FB9">
            <w:rPr>
              <w:rFonts w:ascii="Franklin Gothic Medium" w:hAnsi="Franklin Gothic Medium"/>
              <w:snapToGrid w:val="0"/>
              <w:sz w:val="20"/>
            </w:rPr>
            <w:fldChar w:fldCharType="end"/>
          </w:r>
          <w:r w:rsidRPr="00A33FB9">
            <w:rPr>
              <w:rFonts w:ascii="Franklin Gothic Medium" w:hAnsi="Franklin Gothic Medium"/>
              <w:snapToGrid w:val="0"/>
              <w:sz w:val="20"/>
            </w:rPr>
            <w:t xml:space="preserve"> of </w:t>
          </w:r>
          <w:r w:rsidRPr="00A33FB9">
            <w:rPr>
              <w:rFonts w:ascii="Franklin Gothic Medium" w:hAnsi="Franklin Gothic Medium"/>
              <w:snapToGrid w:val="0"/>
              <w:sz w:val="20"/>
            </w:rPr>
            <w:fldChar w:fldCharType="begin"/>
          </w:r>
          <w:r w:rsidRPr="00A33FB9">
            <w:rPr>
              <w:rFonts w:ascii="Franklin Gothic Medium" w:hAnsi="Franklin Gothic Medium"/>
              <w:snapToGrid w:val="0"/>
              <w:sz w:val="20"/>
            </w:rPr>
            <w:instrText xml:space="preserve"> NUMPAGES </w:instrText>
          </w:r>
          <w:r w:rsidRPr="00A33FB9">
            <w:rPr>
              <w:rFonts w:ascii="Franklin Gothic Medium" w:hAnsi="Franklin Gothic Medium"/>
              <w:snapToGrid w:val="0"/>
              <w:sz w:val="20"/>
            </w:rPr>
            <w:fldChar w:fldCharType="separate"/>
          </w:r>
          <w:r w:rsidR="00E71A12">
            <w:rPr>
              <w:rFonts w:ascii="Franklin Gothic Medium" w:hAnsi="Franklin Gothic Medium"/>
              <w:noProof/>
              <w:snapToGrid w:val="0"/>
              <w:sz w:val="20"/>
            </w:rPr>
            <w:t>8</w:t>
          </w:r>
          <w:r w:rsidRPr="00A33FB9">
            <w:rPr>
              <w:rFonts w:ascii="Franklin Gothic Medium" w:hAnsi="Franklin Gothic Medium"/>
              <w:snapToGrid w:val="0"/>
              <w:sz w:val="20"/>
            </w:rPr>
            <w:fldChar w:fldCharType="end"/>
          </w:r>
        </w:p>
      </w:tc>
      <w:tc>
        <w:tcPr>
          <w:tcW w:w="769" w:type="pct"/>
          <w:vAlign w:val="bottom"/>
        </w:tcPr>
        <w:p w:rsidR="00B06980" w:rsidRDefault="00B06980" w:rsidP="00364355">
          <w:pPr>
            <w:tabs>
              <w:tab w:val="right" w:pos="8064"/>
            </w:tabs>
            <w:spacing w:line="240" w:lineRule="auto"/>
            <w:jc w:val="center"/>
            <w:rPr>
              <w:rFonts w:ascii="Franklin Gothic Medium" w:hAnsi="Franklin Gothic Medium"/>
              <w:b/>
              <w:sz w:val="16"/>
              <w:szCs w:val="14"/>
            </w:rPr>
          </w:pPr>
          <w:r>
            <w:rPr>
              <w:noProof/>
            </w:rPr>
            <w:drawing>
              <wp:inline distT="0" distB="0" distL="0" distR="0" wp14:anchorId="3066C46B" wp14:editId="7189F6F0">
                <wp:extent cx="609600" cy="1460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09600" cy="146050"/>
                        </a:xfrm>
                        <a:prstGeom prst="rect">
                          <a:avLst/>
                        </a:prstGeom>
                        <a:noFill/>
                        <a:ln w="9525">
                          <a:noFill/>
                          <a:miter lim="800000"/>
                          <a:headEnd/>
                          <a:tailEnd/>
                        </a:ln>
                      </pic:spPr>
                    </pic:pic>
                  </a:graphicData>
                </a:graphic>
              </wp:inline>
            </w:drawing>
          </w:r>
        </w:p>
      </w:tc>
    </w:tr>
  </w:tbl>
  <w:p w:rsidR="00B06980" w:rsidRDefault="00B06980" w:rsidP="008258A5"/>
  <w:p w:rsidR="00B06980" w:rsidRDefault="00B06980"/>
  <w:p w:rsidR="00B06980" w:rsidRDefault="00B06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80" w:rsidRDefault="00B06980" w:rsidP="00B06980">
      <w:pPr>
        <w:spacing w:after="0" w:line="240" w:lineRule="auto"/>
      </w:pPr>
      <w:r>
        <w:separator/>
      </w:r>
    </w:p>
  </w:footnote>
  <w:footnote w:type="continuationSeparator" w:id="0">
    <w:p w:rsidR="00B06980" w:rsidRDefault="00B06980" w:rsidP="00B06980">
      <w:pPr>
        <w:spacing w:after="0" w:line="240" w:lineRule="auto"/>
      </w:pPr>
      <w:r>
        <w:continuationSeparator/>
      </w:r>
    </w:p>
  </w:footnote>
  <w:footnote w:id="1">
    <w:p w:rsidR="00B06980" w:rsidRDefault="00B06980" w:rsidP="00B06980">
      <w:pPr>
        <w:autoSpaceDE w:val="0"/>
        <w:autoSpaceDN w:val="0"/>
        <w:adjustRightInd w:val="0"/>
        <w:spacing w:line="240" w:lineRule="auto"/>
        <w:rPr>
          <w:rFonts w:cs="Garamond"/>
          <w:color w:val="000000"/>
          <w:sz w:val="18"/>
          <w:szCs w:val="18"/>
        </w:rPr>
      </w:pPr>
      <w:r>
        <w:rPr>
          <w:rStyle w:val="FootnoteReference"/>
          <w:sz w:val="20"/>
        </w:rPr>
        <w:t>1</w:t>
      </w:r>
      <w:r>
        <w:t xml:space="preserve"> </w:t>
      </w:r>
      <w:r>
        <w:rPr>
          <w:rFonts w:cs="Garamond"/>
          <w:color w:val="000000"/>
          <w:sz w:val="18"/>
          <w:szCs w:val="18"/>
        </w:rPr>
        <w:t>Adler, N., Page, A. eds. (2008) “Cancer Care for the Whole Patient: Meeting Psychosocial Healthcare Needs.” Institute of Medicine,</w:t>
      </w:r>
    </w:p>
    <w:p w:rsidR="00B06980" w:rsidRDefault="00B06980" w:rsidP="00B06980">
      <w:pPr>
        <w:pStyle w:val="FootnoteText"/>
      </w:pPr>
      <w:r>
        <w:rPr>
          <w:rFonts w:cs="Garamond"/>
          <w:color w:val="000000"/>
          <w:sz w:val="18"/>
          <w:szCs w:val="18"/>
        </w:rPr>
        <w:t>Washington, DC.</w:t>
      </w:r>
    </w:p>
  </w:footnote>
  <w:footnote w:id="2">
    <w:p w:rsidR="00B06980" w:rsidRDefault="00B06980" w:rsidP="00B06980">
      <w:pPr>
        <w:pStyle w:val="FootnoteText"/>
      </w:pPr>
      <w:r>
        <w:rPr>
          <w:rStyle w:val="FootnoteReference"/>
        </w:rPr>
        <w:t>2</w:t>
      </w:r>
      <w:r>
        <w:t xml:space="preserve"> </w:t>
      </w:r>
      <w:r>
        <w:rPr>
          <w:rFonts w:cs="Garamond"/>
          <w:color w:val="000000"/>
          <w:sz w:val="18"/>
          <w:szCs w:val="18"/>
        </w:rPr>
        <w:t>Hodgkinson, K., Butow, P., Fuchs, A., Hunt, G.E., Stenlake, A., Hobbs, K.M., Brand, A. Wain, G. (2007). “Long-term survival from gynecological cancer: Psychosocial outcomes, supportive care needs and positive outcomes.” Gynecologic Oncology, Volume 104, Issue 2: 381-389.</w:t>
      </w:r>
    </w:p>
  </w:footnote>
  <w:footnote w:id="3">
    <w:p w:rsidR="00B06980" w:rsidRDefault="00B06980" w:rsidP="00B06980">
      <w:pPr>
        <w:pStyle w:val="FootnoteText"/>
      </w:pPr>
      <w:r>
        <w:rPr>
          <w:rStyle w:val="FootnoteReference"/>
        </w:rPr>
        <w:t>3</w:t>
      </w:r>
      <w:r>
        <w:t xml:space="preserve"> </w:t>
      </w:r>
      <w:r>
        <w:rPr>
          <w:rFonts w:cs="Garamond"/>
          <w:color w:val="000000"/>
          <w:sz w:val="18"/>
          <w:szCs w:val="18"/>
        </w:rPr>
        <w:t>Lutengendorf, S.K., De Geest, K., Bender, D., Ahmed, A., et. al., (2012). “Social influences on clinical outcomes of patients with ovarian cancer.” Journal of Clinical Oncology, Volume 30, Number 23: 2885-2890.</w:t>
      </w:r>
    </w:p>
  </w:footnote>
  <w:footnote w:id="4">
    <w:p w:rsidR="00B06980" w:rsidRDefault="00B06980" w:rsidP="00B06980">
      <w:pPr>
        <w:autoSpaceDE w:val="0"/>
        <w:autoSpaceDN w:val="0"/>
        <w:adjustRightInd w:val="0"/>
        <w:spacing w:line="240" w:lineRule="auto"/>
        <w:rPr>
          <w:rFonts w:cs="Garamond"/>
          <w:color w:val="000000"/>
          <w:sz w:val="18"/>
          <w:szCs w:val="18"/>
        </w:rPr>
      </w:pPr>
      <w:r>
        <w:rPr>
          <w:rStyle w:val="FootnoteReference"/>
        </w:rPr>
        <w:t>4</w:t>
      </w:r>
      <w:r>
        <w:t xml:space="preserve"> </w:t>
      </w:r>
      <w:r>
        <w:rPr>
          <w:rFonts w:cs="Garamond"/>
          <w:color w:val="000000"/>
          <w:sz w:val="18"/>
          <w:szCs w:val="18"/>
        </w:rPr>
        <w:t>Rohan, E.A., Boehm, J., Gabuten, A., Poehlman, J. (2016) “In their own words: A qualitative study of the psychosocial concerns of</w:t>
      </w:r>
    </w:p>
    <w:p w:rsidR="00B06980" w:rsidRDefault="00B06980" w:rsidP="00B06980">
      <w:pPr>
        <w:autoSpaceDE w:val="0"/>
        <w:autoSpaceDN w:val="0"/>
        <w:adjustRightInd w:val="0"/>
        <w:spacing w:line="240" w:lineRule="auto"/>
      </w:pPr>
      <w:r>
        <w:rPr>
          <w:rFonts w:cs="Garamond"/>
          <w:color w:val="000000"/>
          <w:sz w:val="18"/>
          <w:szCs w:val="18"/>
        </w:rPr>
        <w:t>posttreatment and long-term lung cancer survivors.” Journal of Psychosocial Oncology, Volume 34, Issue 3: 169-183.</w:t>
      </w:r>
    </w:p>
    <w:p w:rsidR="00B06980" w:rsidRDefault="00B06980" w:rsidP="00B06980">
      <w:pPr>
        <w:pStyle w:val="FootnoteText"/>
      </w:pPr>
    </w:p>
  </w:footnote>
  <w:footnote w:id="5">
    <w:p w:rsidR="00B06980" w:rsidRDefault="00B06980" w:rsidP="00B06980">
      <w:pPr>
        <w:pStyle w:val="FootnoteText"/>
      </w:pPr>
      <w:r>
        <w:rPr>
          <w:rStyle w:val="FootnoteReference"/>
        </w:rPr>
        <w:t>5</w:t>
      </w:r>
      <w:r>
        <w:t xml:space="preserve"> </w:t>
      </w:r>
      <w:r>
        <w:rPr>
          <w:rFonts w:cs="Garamond"/>
          <w:color w:val="000000"/>
          <w:sz w:val="18"/>
          <w:szCs w:val="18"/>
        </w:rPr>
        <w:t xml:space="preserve">American College of Surgeons Commission on Cancer (2016). Cancer Program Standards: Ensuring Patient-Centered Care. Retrieved 6/6/2017 from </w:t>
      </w:r>
      <w:hyperlink r:id="rId1" w:history="1">
        <w:r w:rsidRPr="004F04E4">
          <w:rPr>
            <w:rStyle w:val="Hyperlink"/>
            <w:rFonts w:cs="Garamond"/>
            <w:sz w:val="18"/>
            <w:szCs w:val="18"/>
          </w:rPr>
          <w:t>https://www.facs.org/quality-programs/cancer/coc/standards</w:t>
        </w:r>
      </w:hyperlink>
    </w:p>
  </w:footnote>
  <w:footnote w:id="6">
    <w:p w:rsidR="00B06980" w:rsidRDefault="00B06980" w:rsidP="00B06980">
      <w:pPr>
        <w:pStyle w:val="FootnoteText"/>
        <w:rPr>
          <w:rFonts w:cs="Garamond"/>
          <w:color w:val="000000"/>
          <w:sz w:val="18"/>
          <w:szCs w:val="18"/>
        </w:rPr>
      </w:pPr>
      <w:r>
        <w:rPr>
          <w:rStyle w:val="FootnoteReference"/>
        </w:rPr>
        <w:t>6</w:t>
      </w:r>
      <w:r>
        <w:t xml:space="preserve"> </w:t>
      </w:r>
      <w:r w:rsidRPr="00990E38">
        <w:rPr>
          <w:rFonts w:cs="Garamond"/>
          <w:color w:val="000000"/>
          <w:sz w:val="18"/>
          <w:szCs w:val="18"/>
        </w:rPr>
        <w:t>US Cancer Statistics Working Group (2016). United States Cancer Statistics: 1999-2012 Incidence and Mortality Web-based Report</w:t>
      </w:r>
      <w:r>
        <w:rPr>
          <w:rFonts w:cs="Garamond"/>
          <w:color w:val="000000"/>
          <w:sz w:val="18"/>
          <w:szCs w:val="18"/>
        </w:rPr>
        <w:t xml:space="preserve">. Available at </w:t>
      </w:r>
      <w:hyperlink r:id="rId2" w:history="1">
        <w:r w:rsidRPr="004F04E4">
          <w:rPr>
            <w:rStyle w:val="Hyperlink"/>
            <w:rFonts w:cs="Garamond"/>
            <w:sz w:val="18"/>
            <w:szCs w:val="18"/>
          </w:rPr>
          <w:t>www.cdc.gov/uscs</w:t>
        </w:r>
      </w:hyperlink>
    </w:p>
    <w:p w:rsidR="00B06980" w:rsidRDefault="00B06980" w:rsidP="00B06980">
      <w:pPr>
        <w:pStyle w:val="FootnoteText"/>
      </w:pPr>
    </w:p>
  </w:footnote>
  <w:footnote w:id="7">
    <w:p w:rsidR="00B06980" w:rsidRPr="00FA21B2" w:rsidRDefault="00B06980" w:rsidP="00B06980">
      <w:pPr>
        <w:pStyle w:val="FootnoteText"/>
      </w:pPr>
      <w:r>
        <w:rPr>
          <w:rStyle w:val="FootnoteReference"/>
        </w:rPr>
        <w:t>7</w:t>
      </w:r>
      <w:r w:rsidRPr="00FA21B2">
        <w:rPr>
          <w:sz w:val="18"/>
        </w:rPr>
        <w:t xml:space="preserve"> </w:t>
      </w:r>
      <w:r>
        <w:rPr>
          <w:sz w:val="18"/>
        </w:rPr>
        <w:t xml:space="preserve">U.S. Department of Health &amp; Human Services. </w:t>
      </w:r>
      <w:hyperlink r:id="rId3" w:history="1">
        <w:r w:rsidRPr="00FA21B2">
          <w:rPr>
            <w:rStyle w:val="Hyperlink"/>
            <w:sz w:val="18"/>
          </w:rPr>
          <w:t>https://www.hhs.gov/ohrp/regulations-and-policy/regulations/45-cfr-46/index.html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5" w:rsidRDefault="00DB24C5" w:rsidP="00DB24C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980" w:rsidRPr="00B71667" w:rsidRDefault="00B06980" w:rsidP="006A01BB">
    <w:pPr>
      <w:pStyle w:val="Header"/>
    </w:pPr>
  </w:p>
  <w:p w:rsidR="00B06980" w:rsidRDefault="00B06980"/>
  <w:p w:rsidR="00B06980" w:rsidRDefault="00B069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02301"/>
    <w:multiLevelType w:val="hybridMultilevel"/>
    <w:tmpl w:val="A0D4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FA586B"/>
    <w:multiLevelType w:val="multilevel"/>
    <w:tmpl w:val="8114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50EAF"/>
    <w:multiLevelType w:val="hybridMultilevel"/>
    <w:tmpl w:val="E9FAA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80"/>
    <w:rsid w:val="00042680"/>
    <w:rsid w:val="000C6A76"/>
    <w:rsid w:val="00257CFA"/>
    <w:rsid w:val="002A59A8"/>
    <w:rsid w:val="002D26DE"/>
    <w:rsid w:val="003B2A01"/>
    <w:rsid w:val="003C7E2F"/>
    <w:rsid w:val="005D0E36"/>
    <w:rsid w:val="008031A9"/>
    <w:rsid w:val="00900D53"/>
    <w:rsid w:val="00B026F0"/>
    <w:rsid w:val="00B06980"/>
    <w:rsid w:val="00B710F4"/>
    <w:rsid w:val="00CF7CC7"/>
    <w:rsid w:val="00DB24C5"/>
    <w:rsid w:val="00E7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6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980"/>
    <w:rPr>
      <w:sz w:val="20"/>
      <w:szCs w:val="20"/>
    </w:rPr>
  </w:style>
  <w:style w:type="paragraph" w:styleId="Header">
    <w:name w:val="header"/>
    <w:basedOn w:val="Normal"/>
    <w:link w:val="HeaderChar"/>
    <w:uiPriority w:val="99"/>
    <w:unhideWhenUsed/>
    <w:rsid w:val="00B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80"/>
  </w:style>
  <w:style w:type="character" w:styleId="FootnoteReference">
    <w:name w:val="footnote reference"/>
    <w:basedOn w:val="DefaultParagraphFont"/>
    <w:uiPriority w:val="99"/>
    <w:unhideWhenUsed/>
    <w:rsid w:val="00B06980"/>
    <w:rPr>
      <w:vertAlign w:val="superscript"/>
    </w:rPr>
  </w:style>
  <w:style w:type="character" w:styleId="Hyperlink">
    <w:name w:val="Hyperlink"/>
    <w:basedOn w:val="DefaultParagraphFont"/>
    <w:uiPriority w:val="99"/>
    <w:rsid w:val="00B06980"/>
    <w:rPr>
      <w:color w:val="0000FF"/>
      <w:u w:val="single"/>
    </w:rPr>
  </w:style>
  <w:style w:type="table" w:customStyle="1" w:styleId="GridTable1Light-Accent11">
    <w:name w:val="Grid Table 1 Light - Accent 11"/>
    <w:basedOn w:val="TableNormal"/>
    <w:uiPriority w:val="46"/>
    <w:rsid w:val="00B069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Paragraph">
    <w:name w:val="List Paragraph"/>
    <w:basedOn w:val="Normal"/>
    <w:uiPriority w:val="34"/>
    <w:qFormat/>
    <w:rsid w:val="005D0E36"/>
    <w:pPr>
      <w:ind w:left="720"/>
      <w:contextualSpacing/>
    </w:pPr>
  </w:style>
  <w:style w:type="paragraph" w:styleId="Footer">
    <w:name w:val="footer"/>
    <w:basedOn w:val="Normal"/>
    <w:link w:val="FooterChar"/>
    <w:uiPriority w:val="99"/>
    <w:unhideWhenUsed/>
    <w:rsid w:val="00DB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C5"/>
  </w:style>
  <w:style w:type="paragraph" w:styleId="PlainText">
    <w:name w:val="Plain Text"/>
    <w:basedOn w:val="Normal"/>
    <w:link w:val="PlainTextChar"/>
    <w:uiPriority w:val="99"/>
    <w:semiHidden/>
    <w:unhideWhenUsed/>
    <w:rsid w:val="00B02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026F0"/>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6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980"/>
    <w:rPr>
      <w:sz w:val="20"/>
      <w:szCs w:val="20"/>
    </w:rPr>
  </w:style>
  <w:style w:type="paragraph" w:styleId="Header">
    <w:name w:val="header"/>
    <w:basedOn w:val="Normal"/>
    <w:link w:val="HeaderChar"/>
    <w:uiPriority w:val="99"/>
    <w:unhideWhenUsed/>
    <w:rsid w:val="00B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80"/>
  </w:style>
  <w:style w:type="character" w:styleId="FootnoteReference">
    <w:name w:val="footnote reference"/>
    <w:basedOn w:val="DefaultParagraphFont"/>
    <w:uiPriority w:val="99"/>
    <w:unhideWhenUsed/>
    <w:rsid w:val="00B06980"/>
    <w:rPr>
      <w:vertAlign w:val="superscript"/>
    </w:rPr>
  </w:style>
  <w:style w:type="character" w:styleId="Hyperlink">
    <w:name w:val="Hyperlink"/>
    <w:basedOn w:val="DefaultParagraphFont"/>
    <w:uiPriority w:val="99"/>
    <w:rsid w:val="00B06980"/>
    <w:rPr>
      <w:color w:val="0000FF"/>
      <w:u w:val="single"/>
    </w:rPr>
  </w:style>
  <w:style w:type="table" w:customStyle="1" w:styleId="GridTable1Light-Accent11">
    <w:name w:val="Grid Table 1 Light - Accent 11"/>
    <w:basedOn w:val="TableNormal"/>
    <w:uiPriority w:val="46"/>
    <w:rsid w:val="00B069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Paragraph">
    <w:name w:val="List Paragraph"/>
    <w:basedOn w:val="Normal"/>
    <w:uiPriority w:val="34"/>
    <w:qFormat/>
    <w:rsid w:val="005D0E36"/>
    <w:pPr>
      <w:ind w:left="720"/>
      <w:contextualSpacing/>
    </w:pPr>
  </w:style>
  <w:style w:type="paragraph" w:styleId="Footer">
    <w:name w:val="footer"/>
    <w:basedOn w:val="Normal"/>
    <w:link w:val="FooterChar"/>
    <w:uiPriority w:val="99"/>
    <w:unhideWhenUsed/>
    <w:rsid w:val="00DB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C5"/>
  </w:style>
  <w:style w:type="paragraph" w:styleId="PlainText">
    <w:name w:val="Plain Text"/>
    <w:basedOn w:val="Normal"/>
    <w:link w:val="PlainTextChar"/>
    <w:uiPriority w:val="99"/>
    <w:semiHidden/>
    <w:unhideWhenUsed/>
    <w:rsid w:val="00B02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026F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hhs.gov/ohrp/regulations-and-policy/regulations/45-cfr-46/index.html" TargetMode="External"/><Relationship Id="rId2" Type="http://schemas.openxmlformats.org/officeDocument/2006/relationships/hyperlink" Target="http://www.cdc.gov/uscs" TargetMode="External"/><Relationship Id="rId1" Type="http://schemas.openxmlformats.org/officeDocument/2006/relationships/hyperlink" Target="https://www.facs.org/quality-programs/cancer/co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Huang</dc:creator>
  <cp:keywords/>
  <dc:description/>
  <cp:lastModifiedBy>SYSTEM</cp:lastModifiedBy>
  <cp:revision>2</cp:revision>
  <dcterms:created xsi:type="dcterms:W3CDTF">2019-06-17T16:42:00Z</dcterms:created>
  <dcterms:modified xsi:type="dcterms:W3CDTF">2019-06-17T16:42:00Z</dcterms:modified>
</cp:coreProperties>
</file>