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4B" w:rsidRPr="005B5CB3" w:rsidRDefault="0043726C" w:rsidP="000E23CB">
      <w:pPr>
        <w:spacing w:line="360" w:lineRule="auto"/>
        <w:rPr>
          <w:rFonts w:asciiTheme="minorHAnsi" w:hAnsiTheme="minorHAnsi"/>
          <w:b/>
          <w:sz w:val="40"/>
          <w:szCs w:val="40"/>
        </w:rPr>
      </w:pPr>
      <w:bookmarkStart w:id="0" w:name="_GoBack"/>
      <w:bookmarkEnd w:id="0"/>
      <w:r>
        <w:rPr>
          <w:rFonts w:asciiTheme="minorHAnsi" w:hAnsiTheme="minorHAnsi"/>
          <w:b/>
          <w:sz w:val="40"/>
          <w:szCs w:val="40"/>
        </w:rPr>
        <w:t xml:space="preserve"> </w:t>
      </w:r>
      <w:r w:rsidR="0080627A">
        <w:rPr>
          <w:rFonts w:asciiTheme="minorHAnsi" w:hAnsiTheme="minorHAnsi"/>
          <w:b/>
          <w:sz w:val="40"/>
          <w:szCs w:val="40"/>
        </w:rPr>
        <w:t xml:space="preserve">  </w:t>
      </w:r>
    </w:p>
    <w:p w:rsidR="006572EE" w:rsidRPr="005B5CB3" w:rsidRDefault="006572EE" w:rsidP="000E23CB">
      <w:pPr>
        <w:spacing w:line="360" w:lineRule="auto"/>
        <w:jc w:val="center"/>
        <w:rPr>
          <w:rFonts w:asciiTheme="minorHAnsi" w:hAnsiTheme="minorHAnsi"/>
          <w:b/>
          <w:sz w:val="40"/>
          <w:szCs w:val="40"/>
        </w:rPr>
      </w:pPr>
      <w:r w:rsidRPr="005B5CB3">
        <w:rPr>
          <w:rFonts w:asciiTheme="minorHAnsi" w:hAnsiTheme="minorHAnsi"/>
          <w:b/>
          <w:color w:val="000000"/>
          <w:sz w:val="40"/>
          <w:szCs w:val="40"/>
        </w:rPr>
        <w:t>National Notifiable Disease</w:t>
      </w:r>
      <w:r w:rsidR="00CB082E" w:rsidRPr="005B5CB3">
        <w:rPr>
          <w:rFonts w:asciiTheme="minorHAnsi" w:hAnsiTheme="minorHAnsi"/>
          <w:b/>
          <w:color w:val="000000"/>
          <w:sz w:val="40"/>
          <w:szCs w:val="40"/>
        </w:rPr>
        <w:t>s</w:t>
      </w:r>
      <w:r w:rsidRPr="005B5CB3">
        <w:rPr>
          <w:rFonts w:asciiTheme="minorHAnsi" w:hAnsiTheme="minorHAnsi"/>
          <w:b/>
          <w:color w:val="000000"/>
          <w:sz w:val="40"/>
          <w:szCs w:val="40"/>
        </w:rPr>
        <w:t xml:space="preserve"> Surveillance System </w:t>
      </w:r>
    </w:p>
    <w:p w:rsidR="006572EE" w:rsidRPr="005B5CB3" w:rsidRDefault="006572EE" w:rsidP="000E23CB">
      <w:pPr>
        <w:spacing w:line="360" w:lineRule="auto"/>
        <w:jc w:val="center"/>
        <w:rPr>
          <w:rFonts w:asciiTheme="minorHAnsi" w:eastAsia="Calibri" w:hAnsiTheme="minorHAnsi"/>
          <w:b/>
          <w:sz w:val="40"/>
          <w:szCs w:val="40"/>
        </w:rPr>
      </w:pPr>
      <w:r w:rsidRPr="005B5CB3">
        <w:rPr>
          <w:rFonts w:asciiTheme="minorHAnsi" w:eastAsia="Calibri" w:hAnsiTheme="minorHAnsi"/>
          <w:b/>
          <w:sz w:val="40"/>
          <w:szCs w:val="40"/>
        </w:rPr>
        <w:t>Supporting Statement Section A</w:t>
      </w:r>
    </w:p>
    <w:p w:rsidR="006572EE" w:rsidRPr="005B5CB3" w:rsidRDefault="006572EE" w:rsidP="000E23CB">
      <w:pPr>
        <w:spacing w:line="360" w:lineRule="auto"/>
        <w:jc w:val="center"/>
        <w:rPr>
          <w:rFonts w:asciiTheme="minorHAnsi" w:eastAsia="Calibri" w:hAnsiTheme="minorHAnsi"/>
          <w:b/>
          <w:sz w:val="40"/>
          <w:szCs w:val="40"/>
        </w:rPr>
      </w:pPr>
      <w:r w:rsidRPr="005B5CB3">
        <w:rPr>
          <w:rFonts w:asciiTheme="minorHAnsi" w:eastAsia="Calibri" w:hAnsiTheme="minorHAnsi"/>
          <w:b/>
          <w:sz w:val="40"/>
          <w:szCs w:val="40"/>
        </w:rPr>
        <w:t>OMB Control Number 0920-0728</w:t>
      </w:r>
    </w:p>
    <w:p w:rsidR="00EE5AE1" w:rsidRPr="005B5CB3" w:rsidRDefault="00EE5AE1" w:rsidP="001C3B73">
      <w:pPr>
        <w:rPr>
          <w:rFonts w:eastAsia="Calibri"/>
          <w:sz w:val="40"/>
          <w:szCs w:val="40"/>
        </w:rPr>
      </w:pPr>
    </w:p>
    <w:p w:rsidR="005976C9" w:rsidRPr="005B5CB3" w:rsidRDefault="0032187F" w:rsidP="005976C9">
      <w:pPr>
        <w:jc w:val="center"/>
        <w:rPr>
          <w:rFonts w:asciiTheme="minorHAnsi" w:eastAsiaTheme="minorHAnsi" w:hAnsiTheme="minorHAnsi" w:cstheme="minorBidi"/>
          <w:b/>
          <w:sz w:val="40"/>
          <w:szCs w:val="40"/>
        </w:rPr>
      </w:pPr>
      <w:r>
        <w:rPr>
          <w:rFonts w:asciiTheme="minorHAnsi" w:eastAsiaTheme="minorHAnsi" w:hAnsiTheme="minorHAnsi" w:cstheme="minorBidi"/>
          <w:b/>
          <w:sz w:val="40"/>
          <w:szCs w:val="40"/>
        </w:rPr>
        <w:t>April 2</w:t>
      </w:r>
      <w:r w:rsidR="00EB2D63">
        <w:rPr>
          <w:rFonts w:asciiTheme="minorHAnsi" w:eastAsiaTheme="minorHAnsi" w:hAnsiTheme="minorHAnsi" w:cstheme="minorBidi"/>
          <w:b/>
          <w:sz w:val="40"/>
          <w:szCs w:val="40"/>
        </w:rPr>
        <w:t>9</w:t>
      </w:r>
      <w:r w:rsidR="00CE6E53">
        <w:rPr>
          <w:rFonts w:asciiTheme="minorHAnsi" w:eastAsiaTheme="minorHAnsi" w:hAnsiTheme="minorHAnsi" w:cstheme="minorBidi"/>
          <w:b/>
          <w:sz w:val="40"/>
          <w:szCs w:val="40"/>
        </w:rPr>
        <w:t xml:space="preserve">, </w:t>
      </w:r>
      <w:r w:rsidR="00871A86">
        <w:rPr>
          <w:rFonts w:asciiTheme="minorHAnsi" w:eastAsiaTheme="minorHAnsi" w:hAnsiTheme="minorHAnsi" w:cstheme="minorBidi"/>
          <w:b/>
          <w:sz w:val="40"/>
          <w:szCs w:val="40"/>
        </w:rPr>
        <w:t>201</w:t>
      </w:r>
      <w:r w:rsidR="000573DC">
        <w:rPr>
          <w:rFonts w:asciiTheme="minorHAnsi" w:eastAsiaTheme="minorHAnsi" w:hAnsiTheme="minorHAnsi" w:cstheme="minorBidi"/>
          <w:b/>
          <w:sz w:val="40"/>
          <w:szCs w:val="40"/>
        </w:rPr>
        <w:t>9</w:t>
      </w:r>
    </w:p>
    <w:p w:rsidR="005976C9" w:rsidRPr="005976C9" w:rsidRDefault="005976C9" w:rsidP="005976C9">
      <w:pPr>
        <w:jc w:val="center"/>
        <w:rPr>
          <w:rFonts w:asciiTheme="minorHAnsi" w:eastAsiaTheme="minorHAnsi" w:hAnsiTheme="minorHAnsi" w:cstheme="minorBidi"/>
          <w:b/>
          <w:sz w:val="16"/>
          <w:szCs w:val="16"/>
        </w:rPr>
      </w:pPr>
      <w:r w:rsidRPr="005976C9">
        <w:rPr>
          <w:rFonts w:asciiTheme="minorHAnsi" w:eastAsiaTheme="minorHAnsi" w:hAnsiTheme="minorHAnsi" w:cstheme="minorBidi"/>
          <w:b/>
          <w:sz w:val="28"/>
          <w:szCs w:val="28"/>
        </w:rPr>
        <w:t>Program Contact</w:t>
      </w:r>
    </w:p>
    <w:p w:rsidR="005976C9" w:rsidRPr="005976C9" w:rsidRDefault="005976C9" w:rsidP="005976C9">
      <w:pPr>
        <w:jc w:val="center"/>
        <w:rPr>
          <w:rFonts w:asciiTheme="minorHAnsi" w:eastAsiaTheme="minorHAnsi" w:hAnsiTheme="minorHAnsi" w:cstheme="minorBidi"/>
          <w:b/>
          <w:sz w:val="28"/>
          <w:szCs w:val="28"/>
        </w:rPr>
      </w:pPr>
      <w:r w:rsidRPr="005976C9">
        <w:rPr>
          <w:rFonts w:asciiTheme="minorHAnsi" w:eastAsiaTheme="minorHAnsi" w:hAnsiTheme="minorHAnsi" w:cstheme="minorBidi"/>
          <w:b/>
          <w:sz w:val="28"/>
          <w:szCs w:val="28"/>
        </w:rPr>
        <w:t xml:space="preserve">Umed </w:t>
      </w:r>
      <w:r w:rsidR="000377BB">
        <w:rPr>
          <w:rFonts w:asciiTheme="minorHAnsi" w:eastAsiaTheme="minorHAnsi" w:hAnsiTheme="minorHAnsi" w:cstheme="minorBidi"/>
          <w:b/>
          <w:sz w:val="28"/>
          <w:szCs w:val="28"/>
        </w:rPr>
        <w:t xml:space="preserve">A. </w:t>
      </w:r>
      <w:r w:rsidRPr="005976C9">
        <w:rPr>
          <w:rFonts w:asciiTheme="minorHAnsi" w:eastAsiaTheme="minorHAnsi" w:hAnsiTheme="minorHAnsi" w:cstheme="minorBidi"/>
          <w:b/>
          <w:sz w:val="28"/>
          <w:szCs w:val="28"/>
        </w:rPr>
        <w:t>Ajani</w:t>
      </w:r>
    </w:p>
    <w:p w:rsidR="005976C9" w:rsidRPr="005976C9" w:rsidRDefault="005976C9" w:rsidP="005976C9">
      <w:pPr>
        <w:jc w:val="center"/>
        <w:rPr>
          <w:rFonts w:asciiTheme="minorHAnsi" w:eastAsiaTheme="minorHAnsi" w:hAnsiTheme="minorHAnsi" w:cstheme="minorBidi"/>
          <w:b/>
          <w:sz w:val="36"/>
          <w:szCs w:val="28"/>
        </w:rPr>
      </w:pPr>
    </w:p>
    <w:p w:rsidR="005976C9" w:rsidRPr="005976C9" w:rsidRDefault="004864C8" w:rsidP="005976C9">
      <w:pPr>
        <w:spacing w:after="200" w:line="276"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5976C9" w:rsidRPr="005976C9">
        <w:rPr>
          <w:rFonts w:asciiTheme="minorHAnsi" w:eastAsiaTheme="minorHAnsi" w:hAnsiTheme="minorHAnsi" w:cstheme="minorBidi"/>
          <w:sz w:val="22"/>
          <w:szCs w:val="22"/>
        </w:rPr>
        <w:t>ssociate Director for S</w:t>
      </w:r>
      <w:r w:rsidR="0056116D">
        <w:rPr>
          <w:rFonts w:asciiTheme="minorHAnsi" w:eastAsiaTheme="minorHAnsi" w:hAnsiTheme="minorHAnsi" w:cstheme="minorBidi"/>
          <w:sz w:val="22"/>
          <w:szCs w:val="22"/>
        </w:rPr>
        <w:t>cience</w:t>
      </w:r>
      <w:r w:rsidR="005976C9" w:rsidRPr="005976C9">
        <w:rPr>
          <w:rFonts w:asciiTheme="minorHAnsi" w:eastAsiaTheme="minorHAnsi" w:hAnsiTheme="minorHAnsi" w:cstheme="minorBidi"/>
          <w:sz w:val="22"/>
          <w:szCs w:val="22"/>
        </w:rPr>
        <w:t>, Division of Health Informatics and Surveillance</w:t>
      </w:r>
    </w:p>
    <w:p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Center for Surveillance, Epidemiology and Laboratory Services</w:t>
      </w:r>
    </w:p>
    <w:p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Centers for Disease Control and Prevention</w:t>
      </w:r>
    </w:p>
    <w:p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Phone:  404-498-0258</w:t>
      </w:r>
    </w:p>
    <w:p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E-mail:  UAjani@cdc.gov</w:t>
      </w:r>
    </w:p>
    <w:p w:rsidR="00406D63" w:rsidRDefault="00406D63" w:rsidP="00E67965">
      <w:pPr>
        <w:rPr>
          <w:rFonts w:eastAsia="Calibri"/>
        </w:rPr>
      </w:pPr>
    </w:p>
    <w:p w:rsidR="005B5CB3" w:rsidRDefault="006D2DA6" w:rsidP="005B5CB3">
      <w:pPr>
        <w:jc w:val="center"/>
        <w:rPr>
          <w:rFonts w:asciiTheme="minorHAnsi" w:eastAsia="Calibri" w:hAnsiTheme="minorHAnsi"/>
          <w:b/>
          <w:color w:val="000000"/>
        </w:rPr>
      </w:pPr>
      <w:r w:rsidRPr="00124FF2">
        <w:rPr>
          <w:rFonts w:eastAsia="Calibri"/>
        </w:rPr>
        <w:br w:type="page"/>
      </w:r>
      <w:r w:rsidR="005B5CB3" w:rsidRPr="005B5CB3">
        <w:rPr>
          <w:rFonts w:asciiTheme="minorHAnsi" w:eastAsia="Calibri" w:hAnsiTheme="minorHAnsi"/>
          <w:b/>
          <w:color w:val="000000"/>
        </w:rPr>
        <w:lastRenderedPageBreak/>
        <w:t>National Notifiable Diseases Surveillance System</w:t>
      </w:r>
      <w:r w:rsidR="006572EE" w:rsidRPr="005B5CB3">
        <w:rPr>
          <w:rFonts w:asciiTheme="minorHAnsi" w:eastAsia="Calibri" w:hAnsiTheme="minorHAnsi"/>
          <w:b/>
          <w:color w:val="000000"/>
        </w:rPr>
        <w:t xml:space="preserve"> - Request for Revision</w:t>
      </w:r>
    </w:p>
    <w:p w:rsidR="005B5CB3" w:rsidRDefault="005B5CB3" w:rsidP="005B5CB3">
      <w:pPr>
        <w:jc w:val="center"/>
        <w:rPr>
          <w:rFonts w:asciiTheme="minorHAnsi" w:eastAsia="Calibri" w:hAnsiTheme="minorHAnsi"/>
          <w:b/>
          <w:color w:val="000000"/>
        </w:rPr>
      </w:pPr>
    </w:p>
    <w:p w:rsidR="006572EE" w:rsidRPr="005B5CB3" w:rsidRDefault="006572EE" w:rsidP="005B5CB3">
      <w:pPr>
        <w:jc w:val="center"/>
        <w:rPr>
          <w:rFonts w:asciiTheme="minorHAnsi" w:eastAsia="Calibri" w:hAnsiTheme="minorHAnsi"/>
          <w:b/>
        </w:rPr>
      </w:pPr>
      <w:r w:rsidRPr="005B5CB3">
        <w:rPr>
          <w:rFonts w:asciiTheme="minorHAnsi" w:eastAsia="Calibri" w:hAnsiTheme="minorHAnsi"/>
          <w:b/>
        </w:rPr>
        <w:t>Table of Contents</w:t>
      </w:r>
    </w:p>
    <w:p w:rsidR="005B5CB3" w:rsidRPr="00124FF2" w:rsidRDefault="005B5CB3" w:rsidP="005B5CB3">
      <w:pPr>
        <w:jc w:val="center"/>
        <w:rPr>
          <w:rFonts w:eastAsia="Calibri"/>
          <w:b/>
        </w:rPr>
      </w:pPr>
    </w:p>
    <w:p w:rsidR="005B5CB3" w:rsidRPr="005B5CB3" w:rsidRDefault="005B5CB3" w:rsidP="005B5CB3">
      <w:pPr>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Section</w:t>
      </w:r>
      <w:r w:rsidRPr="005B5CB3">
        <w:rPr>
          <w:rFonts w:asciiTheme="minorHAnsi" w:eastAsiaTheme="minorHAnsi" w:hAnsiTheme="minorHAnsi" w:cstheme="minorBidi"/>
          <w:b/>
          <w:sz w:val="22"/>
          <w:szCs w:val="22"/>
        </w:rPr>
        <w:tab/>
      </w:r>
    </w:p>
    <w:p w:rsidR="005B5CB3" w:rsidRPr="005B5CB3" w:rsidRDefault="005B5CB3" w:rsidP="005B5CB3">
      <w:pPr>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A.</w:t>
      </w:r>
      <w:r w:rsidRPr="005B5CB3">
        <w:rPr>
          <w:rFonts w:asciiTheme="minorHAnsi" w:eastAsiaTheme="minorHAnsi" w:hAnsiTheme="minorHAnsi" w:cstheme="minorBidi"/>
          <w:b/>
          <w:sz w:val="22"/>
          <w:szCs w:val="22"/>
        </w:rPr>
        <w:tab/>
        <w:t>Justification</w:t>
      </w:r>
    </w:p>
    <w:p w:rsid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Circumstances Making the Collection of Information Necessary</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Purpose and Use of </w:t>
      </w:r>
      <w:r w:rsidR="005666B9">
        <w:rPr>
          <w:rFonts w:asciiTheme="minorHAnsi" w:eastAsiaTheme="minorHAnsi" w:hAnsiTheme="minorHAnsi" w:cstheme="minorBidi"/>
          <w:sz w:val="22"/>
          <w:szCs w:val="22"/>
        </w:rPr>
        <w:t xml:space="preserve">the </w:t>
      </w:r>
      <w:r w:rsidRPr="005B5CB3">
        <w:rPr>
          <w:rFonts w:asciiTheme="minorHAnsi" w:eastAsiaTheme="minorHAnsi" w:hAnsiTheme="minorHAnsi" w:cstheme="minorBidi"/>
          <w:sz w:val="22"/>
          <w:szCs w:val="22"/>
        </w:rPr>
        <w:t xml:space="preserve">Information Collection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Use of Improved Information Technology and Burden Reduction</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Efforts to Identify Duplication and Use of Similar Information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Impact on Small Businesses or Other Small Entities</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Consequences of Collecting the Information Less frequently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Special Circumstances Relating to the Guidelines of 5 CFR 1320.5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Comments in Response to the Federal Register Notice and Efforts to Consult Outside the Agency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Explanation of Any Payment or Gift to Respondents </w:t>
      </w:r>
    </w:p>
    <w:p w:rsidR="005B5CB3" w:rsidRPr="005B5CB3" w:rsidRDefault="00CE0A8E" w:rsidP="005B5CB3">
      <w:pPr>
        <w:numPr>
          <w:ilvl w:val="0"/>
          <w:numId w:val="18"/>
        </w:numPr>
        <w:ind w:hanging="72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Protection of the Privacy and </w:t>
      </w:r>
      <w:r w:rsidR="005B5CB3" w:rsidRPr="005B5CB3">
        <w:rPr>
          <w:rFonts w:asciiTheme="minorHAnsi" w:eastAsiaTheme="minorHAnsi" w:hAnsiTheme="minorHAnsi" w:cstheme="minorBidi"/>
          <w:sz w:val="22"/>
          <w:szCs w:val="22"/>
        </w:rPr>
        <w:t xml:space="preserve">Confidentiality </w:t>
      </w:r>
      <w:r>
        <w:rPr>
          <w:rFonts w:asciiTheme="minorHAnsi" w:eastAsiaTheme="minorHAnsi" w:hAnsiTheme="minorHAnsi" w:cstheme="minorBidi"/>
          <w:sz w:val="22"/>
          <w:szCs w:val="22"/>
        </w:rPr>
        <w:t xml:space="preserve">of Information </w:t>
      </w:r>
      <w:r w:rsidR="005B5CB3" w:rsidRPr="005B5CB3">
        <w:rPr>
          <w:rFonts w:asciiTheme="minorHAnsi" w:eastAsiaTheme="minorHAnsi" w:hAnsiTheme="minorHAnsi" w:cstheme="minorBidi"/>
          <w:sz w:val="22"/>
          <w:szCs w:val="22"/>
        </w:rPr>
        <w:t xml:space="preserve">Provided </w:t>
      </w:r>
      <w:r>
        <w:rPr>
          <w:rFonts w:asciiTheme="minorHAnsi" w:eastAsiaTheme="minorHAnsi" w:hAnsiTheme="minorHAnsi" w:cstheme="minorBidi"/>
          <w:sz w:val="22"/>
          <w:szCs w:val="22"/>
        </w:rPr>
        <w:t>by</w:t>
      </w:r>
      <w:r w:rsidR="005B5CB3" w:rsidRPr="005B5CB3">
        <w:rPr>
          <w:rFonts w:asciiTheme="minorHAnsi" w:eastAsiaTheme="minorHAnsi" w:hAnsiTheme="minorHAnsi" w:cstheme="minorBidi"/>
          <w:sz w:val="22"/>
          <w:szCs w:val="22"/>
        </w:rPr>
        <w:t xml:space="preserve"> Respondents</w:t>
      </w:r>
    </w:p>
    <w:p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w:t>
      </w:r>
      <w:r w:rsidR="00CE0A8E">
        <w:rPr>
          <w:rFonts w:asciiTheme="minorHAnsi" w:eastAsiaTheme="minorHAnsi" w:hAnsiTheme="minorHAnsi" w:cstheme="minorBidi"/>
          <w:sz w:val="22"/>
          <w:szCs w:val="22"/>
        </w:rPr>
        <w:t xml:space="preserve">Institutional Review Board (IRB) and </w:t>
      </w:r>
      <w:r w:rsidRPr="005B5CB3">
        <w:rPr>
          <w:rFonts w:asciiTheme="minorHAnsi" w:eastAsiaTheme="minorHAnsi" w:hAnsiTheme="minorHAnsi" w:cstheme="minorBidi"/>
          <w:sz w:val="22"/>
          <w:szCs w:val="22"/>
        </w:rPr>
        <w:t xml:space="preserve">Justification for Sensitive Questions </w:t>
      </w:r>
    </w:p>
    <w:p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Estimates of Annualized Burden Hours and Costs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Estimates of Other Total Annual Cost Burden to Respondents or Record Keepers </w:t>
      </w:r>
    </w:p>
    <w:p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Annualized Cost to the </w:t>
      </w:r>
      <w:r w:rsidR="00F233BF">
        <w:rPr>
          <w:rFonts w:asciiTheme="minorHAnsi" w:eastAsiaTheme="minorHAnsi" w:hAnsiTheme="minorHAnsi" w:cstheme="minorBidi"/>
          <w:sz w:val="22"/>
          <w:szCs w:val="22"/>
        </w:rPr>
        <w:t xml:space="preserve">Federal </w:t>
      </w:r>
      <w:r w:rsidRPr="005B5CB3">
        <w:rPr>
          <w:rFonts w:asciiTheme="minorHAnsi" w:eastAsiaTheme="minorHAnsi" w:hAnsiTheme="minorHAnsi" w:cstheme="minorBidi"/>
          <w:sz w:val="22"/>
          <w:szCs w:val="22"/>
        </w:rPr>
        <w:t xml:space="preserve">Government </w:t>
      </w:r>
    </w:p>
    <w:p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Explanation for Program Changes or Adjustments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Plans for Tabulation and Publication and Project Time Schedule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Reason(s) Display of OMB Expiration Date is Inappropriate</w:t>
      </w:r>
    </w:p>
    <w:p w:rsidR="005B5CB3" w:rsidRPr="005B5CB3" w:rsidRDefault="005B5CB3" w:rsidP="005B5CB3">
      <w:pPr>
        <w:numPr>
          <w:ilvl w:val="0"/>
          <w:numId w:val="18"/>
        </w:numPr>
        <w:ind w:hanging="720"/>
        <w:rPr>
          <w:rFonts w:asciiTheme="minorHAnsi" w:eastAsiaTheme="minorHAnsi" w:hAnsiTheme="minorHAnsi" w:cstheme="minorBidi"/>
          <w:bCs/>
          <w:sz w:val="22"/>
          <w:szCs w:val="22"/>
        </w:rPr>
      </w:pPr>
      <w:r w:rsidRPr="005B5CB3">
        <w:rPr>
          <w:rFonts w:asciiTheme="minorHAnsi" w:eastAsiaTheme="minorHAnsi" w:hAnsiTheme="minorHAnsi" w:cstheme="minorBidi"/>
          <w:sz w:val="22"/>
          <w:szCs w:val="22"/>
        </w:rPr>
        <w:t xml:space="preserve">Exceptions to Certification for Paperwork Reduction Act Submissions </w:t>
      </w:r>
    </w:p>
    <w:p w:rsidR="00A94DE8" w:rsidRDefault="00A94DE8" w:rsidP="005B5CB3">
      <w:pPr>
        <w:spacing w:line="360" w:lineRule="auto"/>
        <w:rPr>
          <w:rFonts w:asciiTheme="minorHAnsi" w:eastAsiaTheme="minorHAnsi" w:hAnsiTheme="minorHAnsi" w:cstheme="minorBidi"/>
          <w:b/>
          <w:sz w:val="22"/>
          <w:szCs w:val="22"/>
        </w:rPr>
      </w:pPr>
    </w:p>
    <w:p w:rsidR="005B5CB3" w:rsidRPr="005B5CB3" w:rsidRDefault="005B5CB3" w:rsidP="005B5CB3">
      <w:pPr>
        <w:spacing w:line="360"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E</w:t>
      </w:r>
      <w:r w:rsidRPr="005B5CB3">
        <w:rPr>
          <w:rFonts w:asciiTheme="minorHAnsi" w:eastAsiaTheme="minorHAnsi" w:hAnsiTheme="minorHAnsi" w:cstheme="minorBidi"/>
          <w:b/>
          <w:sz w:val="22"/>
          <w:szCs w:val="22"/>
        </w:rPr>
        <w:t>xhibits</w:t>
      </w:r>
    </w:p>
    <w:p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12-A</w:t>
      </w:r>
      <w:r w:rsidRPr="005B5CB3">
        <w:rPr>
          <w:rFonts w:asciiTheme="minorHAnsi" w:eastAsiaTheme="minorHAnsi" w:hAnsiTheme="minorHAnsi" w:cstheme="minorBidi"/>
          <w:sz w:val="22"/>
          <w:szCs w:val="22"/>
        </w:rPr>
        <w:tab/>
        <w:t>Estimates of Annualized Burden Hours</w:t>
      </w:r>
    </w:p>
    <w:p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12-B</w:t>
      </w:r>
      <w:r w:rsidRPr="005B5CB3">
        <w:rPr>
          <w:rFonts w:asciiTheme="minorHAnsi" w:eastAsiaTheme="minorHAnsi" w:hAnsiTheme="minorHAnsi" w:cstheme="minorBidi"/>
          <w:sz w:val="22"/>
          <w:szCs w:val="22"/>
        </w:rPr>
        <w:tab/>
        <w:t>Estimates of Annualized Burden Costs</w:t>
      </w:r>
    </w:p>
    <w:p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14-A</w:t>
      </w:r>
      <w:r w:rsidRPr="005B5CB3">
        <w:rPr>
          <w:rFonts w:asciiTheme="minorHAnsi" w:eastAsiaTheme="minorHAnsi" w:hAnsiTheme="minorHAnsi" w:cstheme="minorBidi"/>
          <w:sz w:val="22"/>
          <w:szCs w:val="22"/>
        </w:rPr>
        <w:tab/>
        <w:t xml:space="preserve">Estimated Annualized Cost to the Government </w:t>
      </w:r>
    </w:p>
    <w:p w:rsidR="005B5CB3" w:rsidRPr="005B5CB3" w:rsidRDefault="005B5CB3" w:rsidP="005B5CB3">
      <w:pPr>
        <w:spacing w:line="276" w:lineRule="auto"/>
        <w:rPr>
          <w:rFonts w:asciiTheme="minorHAnsi" w:eastAsiaTheme="minorHAnsi" w:hAnsiTheme="minorHAnsi" w:cstheme="minorBidi"/>
          <w:sz w:val="22"/>
          <w:szCs w:val="22"/>
        </w:rPr>
      </w:pPr>
    </w:p>
    <w:p w:rsidR="005B5CB3" w:rsidRPr="005B5CB3" w:rsidRDefault="005B5CB3" w:rsidP="005B5CB3">
      <w:pPr>
        <w:spacing w:line="276" w:lineRule="auto"/>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 xml:space="preserve">Attachments </w:t>
      </w:r>
    </w:p>
    <w:p w:rsid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Pr>
          <w:rFonts w:asciiTheme="minorHAnsi" w:eastAsiaTheme="minorHAnsi" w:hAnsiTheme="minorHAnsi" w:cstheme="minorBidi"/>
          <w:sz w:val="22"/>
          <w:szCs w:val="22"/>
        </w:rPr>
        <w:tab/>
      </w:r>
      <w:r w:rsidR="005B5CB3" w:rsidRPr="00FB4CEB">
        <w:rPr>
          <w:rFonts w:asciiTheme="minorHAnsi" w:eastAsiaTheme="minorHAnsi" w:hAnsiTheme="minorHAnsi" w:cstheme="minorBidi"/>
          <w:sz w:val="22"/>
          <w:szCs w:val="22"/>
        </w:rPr>
        <w:t>Authorizing Legislation</w:t>
      </w:r>
    </w:p>
    <w:p w:rsidR="005B5CB3" w:rsidRP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2a. </w:t>
      </w:r>
      <w:r>
        <w:rPr>
          <w:rFonts w:asciiTheme="minorHAnsi" w:eastAsiaTheme="minorHAnsi" w:hAnsiTheme="minorHAnsi" w:cstheme="minorBidi"/>
          <w:sz w:val="22"/>
          <w:szCs w:val="22"/>
        </w:rPr>
        <w:tab/>
        <w:t>6</w:t>
      </w:r>
      <w:r w:rsidR="005B5CB3" w:rsidRPr="00FB4CEB">
        <w:rPr>
          <w:rFonts w:asciiTheme="minorHAnsi" w:eastAsiaTheme="minorHAnsi" w:hAnsiTheme="minorHAnsi" w:cstheme="minorBidi"/>
          <w:sz w:val="22"/>
          <w:szCs w:val="22"/>
        </w:rPr>
        <w:t>0-day Federal Register Notice (FRN)</w:t>
      </w:r>
    </w:p>
    <w:p w:rsidR="00ED10F7" w:rsidRDefault="00397D87" w:rsidP="00ED10F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2b.</w:t>
      </w:r>
      <w:r>
        <w:rPr>
          <w:rFonts w:asciiTheme="minorHAnsi" w:eastAsiaTheme="minorHAnsi" w:hAnsiTheme="minorHAnsi" w:cstheme="minorBidi"/>
          <w:sz w:val="22"/>
          <w:szCs w:val="22"/>
        </w:rPr>
        <w:tab/>
        <w:t>Public Comment</w:t>
      </w:r>
    </w:p>
    <w:p w:rsidR="00AC253B" w:rsidRDefault="00AC253B" w:rsidP="00ED10F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2c.</w:t>
      </w:r>
      <w:r>
        <w:rPr>
          <w:rFonts w:asciiTheme="minorHAnsi" w:eastAsiaTheme="minorHAnsi" w:hAnsiTheme="minorHAnsi" w:cstheme="minorBidi"/>
          <w:sz w:val="22"/>
          <w:szCs w:val="22"/>
        </w:rPr>
        <w:tab/>
        <w:t>Public Comment</w:t>
      </w:r>
    </w:p>
    <w:p w:rsid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3.</w:t>
      </w:r>
      <w:r>
        <w:rPr>
          <w:rFonts w:asciiTheme="minorHAnsi" w:eastAsiaTheme="minorHAnsi" w:hAnsiTheme="minorHAnsi" w:cstheme="minorBidi"/>
          <w:sz w:val="22"/>
          <w:szCs w:val="22"/>
        </w:rPr>
        <w:tab/>
      </w:r>
      <w:r w:rsidR="00FB4CEB" w:rsidRPr="00FB4CEB">
        <w:rPr>
          <w:rFonts w:asciiTheme="minorHAnsi" w:eastAsiaTheme="minorHAnsi" w:hAnsiTheme="minorHAnsi" w:cstheme="minorBidi"/>
          <w:sz w:val="22"/>
          <w:szCs w:val="22"/>
        </w:rPr>
        <w:t xml:space="preserve">List of Nationally Notifiable </w:t>
      </w:r>
      <w:r w:rsidR="003541CF">
        <w:rPr>
          <w:rFonts w:asciiTheme="minorHAnsi" w:eastAsiaTheme="minorHAnsi" w:hAnsiTheme="minorHAnsi" w:cstheme="minorBidi"/>
          <w:sz w:val="22"/>
          <w:szCs w:val="22"/>
        </w:rPr>
        <w:t>Conditions</w:t>
      </w:r>
    </w:p>
    <w:p w:rsidR="00DC7714" w:rsidRDefault="00DC7714"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4.</w:t>
      </w:r>
      <w:r>
        <w:rPr>
          <w:rFonts w:asciiTheme="minorHAnsi" w:eastAsiaTheme="minorHAnsi" w:hAnsiTheme="minorHAnsi" w:cstheme="minorBidi"/>
          <w:sz w:val="22"/>
          <w:szCs w:val="22"/>
        </w:rPr>
        <w:tab/>
      </w:r>
      <w:r w:rsidRPr="005F2F72">
        <w:rPr>
          <w:rFonts w:asciiTheme="minorHAnsi" w:eastAsiaTheme="minorHAnsi" w:hAnsiTheme="minorHAnsi" w:cstheme="minorBidi"/>
          <w:sz w:val="22"/>
          <w:szCs w:val="22"/>
        </w:rPr>
        <w:t>List of Conditions Under Standardized Surveillance</w:t>
      </w:r>
    </w:p>
    <w:p w:rsidR="00613D7E" w:rsidRDefault="00613D7E" w:rsidP="00D83243">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5.</w:t>
      </w:r>
      <w:r>
        <w:rPr>
          <w:rFonts w:asciiTheme="minorHAnsi" w:eastAsiaTheme="minorHAnsi" w:hAnsiTheme="minorHAnsi" w:cstheme="minorBidi"/>
          <w:sz w:val="22"/>
          <w:szCs w:val="22"/>
        </w:rPr>
        <w:tab/>
        <w:t xml:space="preserve">Characteristics of </w:t>
      </w:r>
      <w:r w:rsidR="0022685E">
        <w:rPr>
          <w:rFonts w:asciiTheme="minorHAnsi" w:eastAsiaTheme="minorHAnsi" w:hAnsiTheme="minorHAnsi" w:cstheme="minorBidi"/>
          <w:sz w:val="22"/>
          <w:szCs w:val="22"/>
        </w:rPr>
        <w:t xml:space="preserve">New </w:t>
      </w:r>
      <w:r>
        <w:rPr>
          <w:rFonts w:asciiTheme="minorHAnsi" w:eastAsiaTheme="minorHAnsi" w:hAnsiTheme="minorHAnsi" w:cstheme="minorBidi"/>
          <w:sz w:val="22"/>
          <w:szCs w:val="22"/>
        </w:rPr>
        <w:t>Nationally Notifiable Conditions</w:t>
      </w:r>
    </w:p>
    <w:p w:rsidR="00613D7E" w:rsidRDefault="00613D7E" w:rsidP="00D83243">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6. </w:t>
      </w:r>
      <w:r>
        <w:rPr>
          <w:rFonts w:asciiTheme="minorHAnsi" w:eastAsiaTheme="minorHAnsi" w:hAnsiTheme="minorHAnsi" w:cstheme="minorBidi"/>
          <w:sz w:val="22"/>
          <w:szCs w:val="22"/>
        </w:rPr>
        <w:tab/>
      </w:r>
      <w:r w:rsidRPr="00613D7E">
        <w:rPr>
          <w:rFonts w:asciiTheme="minorHAnsi" w:eastAsiaTheme="minorHAnsi" w:hAnsiTheme="minorHAnsi" w:cstheme="minorBidi"/>
          <w:sz w:val="22"/>
          <w:szCs w:val="22"/>
        </w:rPr>
        <w:t xml:space="preserve">Characteristics of </w:t>
      </w:r>
      <w:r w:rsidR="00C93EBF">
        <w:rPr>
          <w:rFonts w:asciiTheme="minorHAnsi" w:eastAsiaTheme="minorHAnsi" w:hAnsiTheme="minorHAnsi" w:cstheme="minorBidi"/>
          <w:sz w:val="22"/>
          <w:szCs w:val="22"/>
        </w:rPr>
        <w:t xml:space="preserve">New </w:t>
      </w:r>
      <w:r w:rsidRPr="00613D7E">
        <w:rPr>
          <w:rFonts w:asciiTheme="minorHAnsi" w:eastAsiaTheme="minorHAnsi" w:hAnsiTheme="minorHAnsi" w:cstheme="minorBidi"/>
          <w:sz w:val="22"/>
          <w:szCs w:val="22"/>
        </w:rPr>
        <w:t>Conditions Under Standardized Surveillance</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7</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r>
      <w:r w:rsidR="00DC7714" w:rsidRPr="000B013D">
        <w:rPr>
          <w:rFonts w:asciiTheme="minorHAnsi" w:eastAsiaTheme="minorHAnsi" w:hAnsiTheme="minorHAnsi" w:cstheme="minorBidi"/>
          <w:sz w:val="22"/>
          <w:szCs w:val="22"/>
        </w:rPr>
        <w:t xml:space="preserve">List of Data Elements </w:t>
      </w:r>
      <w:r w:rsidR="00DC7714">
        <w:rPr>
          <w:rFonts w:asciiTheme="minorHAnsi" w:eastAsiaTheme="minorHAnsi" w:hAnsiTheme="minorHAnsi" w:cstheme="minorBidi"/>
          <w:sz w:val="22"/>
          <w:szCs w:val="22"/>
        </w:rPr>
        <w:t xml:space="preserve">for Carbon </w:t>
      </w:r>
      <w:r w:rsidR="00EE6EE6">
        <w:rPr>
          <w:rFonts w:asciiTheme="minorHAnsi" w:eastAsiaTheme="minorHAnsi" w:hAnsiTheme="minorHAnsi" w:cstheme="minorBidi"/>
          <w:sz w:val="22"/>
          <w:szCs w:val="22"/>
        </w:rPr>
        <w:t>Mono</w:t>
      </w:r>
      <w:r w:rsidR="00DC7714">
        <w:rPr>
          <w:rFonts w:asciiTheme="minorHAnsi" w:eastAsiaTheme="minorHAnsi" w:hAnsiTheme="minorHAnsi" w:cstheme="minorBidi"/>
          <w:sz w:val="22"/>
          <w:szCs w:val="22"/>
        </w:rPr>
        <w:t xml:space="preserve">xide Poisoning </w:t>
      </w:r>
      <w:r w:rsidR="00DC7714" w:rsidRPr="000B013D">
        <w:rPr>
          <w:rFonts w:asciiTheme="minorHAnsi" w:eastAsiaTheme="minorHAnsi" w:hAnsiTheme="minorHAnsi" w:cstheme="minorBidi"/>
          <w:sz w:val="22"/>
          <w:szCs w:val="22"/>
        </w:rPr>
        <w:t>Received from NPDS</w:t>
      </w:r>
    </w:p>
    <w:p w:rsidR="00DC7714" w:rsidRPr="005B5CB3"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8</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t>Core Data</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9</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t>Laboratory Data</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10</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r>
      <w:r w:rsidR="00DC7714" w:rsidRPr="0010528B">
        <w:rPr>
          <w:rFonts w:asciiTheme="minorHAnsi" w:eastAsiaTheme="minorHAnsi" w:hAnsiTheme="minorHAnsi" w:cstheme="minorBidi"/>
          <w:sz w:val="22"/>
          <w:szCs w:val="22"/>
        </w:rPr>
        <w:t>Vaccine Data</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11</w:t>
      </w:r>
      <w:r w:rsidR="00DC7714">
        <w:rPr>
          <w:rFonts w:asciiTheme="minorHAnsi" w:eastAsiaTheme="minorHAnsi" w:hAnsiTheme="minorHAnsi" w:cstheme="minorBidi"/>
          <w:sz w:val="22"/>
          <w:szCs w:val="22"/>
        </w:rPr>
        <w:t xml:space="preserve">. </w:t>
      </w:r>
      <w:r w:rsidR="00DC7714">
        <w:rPr>
          <w:rFonts w:asciiTheme="minorHAnsi" w:eastAsiaTheme="minorHAnsi" w:hAnsiTheme="minorHAnsi" w:cstheme="minorBidi"/>
          <w:sz w:val="22"/>
          <w:szCs w:val="22"/>
        </w:rPr>
        <w:tab/>
        <w:t>Vaccine Preventable Disease Data</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12</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r>
      <w:r w:rsidR="00DC7714" w:rsidRPr="00CB48BC">
        <w:rPr>
          <w:rFonts w:asciiTheme="minorHAnsi" w:eastAsiaTheme="minorHAnsi" w:hAnsiTheme="minorHAnsi" w:cstheme="minorBidi"/>
          <w:sz w:val="22"/>
          <w:szCs w:val="22"/>
        </w:rPr>
        <w:t>Justification for the Addition of Disease</w:t>
      </w:r>
      <w:r w:rsidR="00DC7714">
        <w:rPr>
          <w:rFonts w:asciiTheme="minorHAnsi" w:eastAsiaTheme="minorHAnsi" w:hAnsiTheme="minorHAnsi" w:cstheme="minorBidi"/>
          <w:sz w:val="22"/>
          <w:szCs w:val="22"/>
        </w:rPr>
        <w:t>-</w:t>
      </w:r>
      <w:r w:rsidR="00DC7714" w:rsidRPr="00CB48BC">
        <w:rPr>
          <w:rFonts w:asciiTheme="minorHAnsi" w:eastAsiaTheme="minorHAnsi" w:hAnsiTheme="minorHAnsi" w:cstheme="minorBidi"/>
          <w:sz w:val="22"/>
          <w:szCs w:val="22"/>
        </w:rPr>
        <w:t>Specific Data Elements</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13</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t>Disease-Specific Data</w:t>
      </w:r>
    </w:p>
    <w:p w:rsidR="0094347D"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14</w:t>
      </w:r>
      <w:r w:rsidR="0094347D">
        <w:rPr>
          <w:rFonts w:asciiTheme="minorHAnsi" w:eastAsiaTheme="minorHAnsi" w:hAnsiTheme="minorHAnsi" w:cstheme="minorBidi"/>
          <w:sz w:val="22"/>
          <w:szCs w:val="22"/>
        </w:rPr>
        <w:t>.</w:t>
      </w:r>
      <w:r w:rsidR="0094347D">
        <w:rPr>
          <w:rFonts w:asciiTheme="minorHAnsi" w:eastAsiaTheme="minorHAnsi" w:hAnsiTheme="minorHAnsi" w:cstheme="minorBidi"/>
          <w:sz w:val="22"/>
          <w:szCs w:val="22"/>
        </w:rPr>
        <w:tab/>
      </w:r>
      <w:r w:rsidR="0094347D" w:rsidRPr="0094347D">
        <w:rPr>
          <w:rFonts w:asciiTheme="minorHAnsi" w:eastAsiaTheme="minorHAnsi" w:hAnsiTheme="minorHAnsi" w:cstheme="minorBidi"/>
          <w:sz w:val="22"/>
          <w:szCs w:val="22"/>
        </w:rPr>
        <w:t>Overview of Sexual Orientation and Gender Identity (SO/GI) Provisional Pilot in NNDSS</w:t>
      </w:r>
    </w:p>
    <w:p w:rsidR="00C75C65" w:rsidRDefault="00C75C65"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14a.</w:t>
      </w:r>
      <w:r>
        <w:rPr>
          <w:rFonts w:asciiTheme="minorHAnsi" w:eastAsiaTheme="minorHAnsi" w:hAnsiTheme="minorHAnsi" w:cstheme="minorBidi"/>
          <w:sz w:val="22"/>
          <w:szCs w:val="22"/>
        </w:rPr>
        <w:tab/>
      </w:r>
      <w:r w:rsidRPr="00C75C65">
        <w:rPr>
          <w:rFonts w:asciiTheme="minorHAnsi" w:eastAsiaTheme="minorHAnsi" w:hAnsiTheme="minorHAnsi" w:cstheme="minorBidi"/>
          <w:sz w:val="22"/>
          <w:szCs w:val="22"/>
        </w:rPr>
        <w:t xml:space="preserve">Response to </w:t>
      </w:r>
      <w:r>
        <w:rPr>
          <w:rFonts w:asciiTheme="minorHAnsi" w:eastAsiaTheme="minorHAnsi" w:hAnsiTheme="minorHAnsi" w:cstheme="minorBidi"/>
          <w:sz w:val="22"/>
          <w:szCs w:val="22"/>
        </w:rPr>
        <w:t>C</w:t>
      </w:r>
      <w:r w:rsidRPr="00C75C65">
        <w:rPr>
          <w:rFonts w:asciiTheme="minorHAnsi" w:eastAsiaTheme="minorHAnsi" w:hAnsiTheme="minorHAnsi" w:cstheme="minorBidi"/>
          <w:sz w:val="22"/>
          <w:szCs w:val="22"/>
        </w:rPr>
        <w:t xml:space="preserve">omments on </w:t>
      </w:r>
      <w:r>
        <w:rPr>
          <w:rFonts w:asciiTheme="minorHAnsi" w:eastAsiaTheme="minorHAnsi" w:hAnsiTheme="minorHAnsi" w:cstheme="minorBidi"/>
          <w:sz w:val="22"/>
          <w:szCs w:val="22"/>
        </w:rPr>
        <w:t>P</w:t>
      </w:r>
      <w:r w:rsidRPr="00C75C65">
        <w:rPr>
          <w:rFonts w:asciiTheme="minorHAnsi" w:eastAsiaTheme="minorHAnsi" w:hAnsiTheme="minorHAnsi" w:cstheme="minorBidi"/>
          <w:sz w:val="22"/>
          <w:szCs w:val="22"/>
        </w:rPr>
        <w:t xml:space="preserve">ilot </w:t>
      </w:r>
      <w:r>
        <w:rPr>
          <w:rFonts w:asciiTheme="minorHAnsi" w:eastAsiaTheme="minorHAnsi" w:hAnsiTheme="minorHAnsi" w:cstheme="minorBidi"/>
          <w:sz w:val="22"/>
          <w:szCs w:val="22"/>
        </w:rPr>
        <w:t>D</w:t>
      </w:r>
      <w:r w:rsidRPr="00C75C65">
        <w:rPr>
          <w:rFonts w:asciiTheme="minorHAnsi" w:eastAsiaTheme="minorHAnsi" w:hAnsiTheme="minorHAnsi" w:cstheme="minorBidi"/>
          <w:sz w:val="22"/>
          <w:szCs w:val="22"/>
        </w:rPr>
        <w:t xml:space="preserve">ata </w:t>
      </w:r>
      <w:r>
        <w:rPr>
          <w:rFonts w:asciiTheme="minorHAnsi" w:eastAsiaTheme="minorHAnsi" w:hAnsiTheme="minorHAnsi" w:cstheme="minorBidi"/>
          <w:sz w:val="22"/>
          <w:szCs w:val="22"/>
        </w:rPr>
        <w:t>C</w:t>
      </w:r>
      <w:r w:rsidRPr="00C75C65">
        <w:rPr>
          <w:rFonts w:asciiTheme="minorHAnsi" w:eastAsiaTheme="minorHAnsi" w:hAnsiTheme="minorHAnsi" w:cstheme="minorBidi"/>
          <w:sz w:val="22"/>
          <w:szCs w:val="22"/>
        </w:rPr>
        <w:t>ollection of SO</w:t>
      </w:r>
      <w:r w:rsidR="00057353">
        <w:rPr>
          <w:rFonts w:asciiTheme="minorHAnsi" w:eastAsiaTheme="minorHAnsi" w:hAnsiTheme="minorHAnsi" w:cstheme="minorBidi"/>
          <w:sz w:val="22"/>
          <w:szCs w:val="22"/>
        </w:rPr>
        <w:t>/</w:t>
      </w:r>
      <w:r w:rsidRPr="00C75C65">
        <w:rPr>
          <w:rFonts w:asciiTheme="minorHAnsi" w:eastAsiaTheme="minorHAnsi" w:hAnsiTheme="minorHAnsi" w:cstheme="minorBidi"/>
          <w:sz w:val="22"/>
          <w:szCs w:val="22"/>
        </w:rPr>
        <w:t>GI variables</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15</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t>Consultants List</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16</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t>DW PIA</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17</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t>DMB PIA</w:t>
      </w:r>
    </w:p>
    <w:p w:rsidR="00DC7714" w:rsidRDefault="00A83A6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18</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t>MVPS PIA</w:t>
      </w:r>
    </w:p>
    <w:p w:rsidR="00DC7714" w:rsidRDefault="00934D04"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19</w:t>
      </w:r>
      <w:r w:rsidR="00DC7714">
        <w:rPr>
          <w:rFonts w:asciiTheme="minorHAnsi" w:eastAsiaTheme="minorHAnsi" w:hAnsiTheme="minorHAnsi" w:cstheme="minorBidi"/>
          <w:sz w:val="22"/>
          <w:szCs w:val="22"/>
        </w:rPr>
        <w:t>.</w:t>
      </w:r>
      <w:r w:rsidR="00DC7714">
        <w:rPr>
          <w:rFonts w:asciiTheme="minorHAnsi" w:eastAsiaTheme="minorHAnsi" w:hAnsiTheme="minorHAnsi" w:cstheme="minorBidi"/>
          <w:sz w:val="22"/>
          <w:szCs w:val="22"/>
        </w:rPr>
        <w:tab/>
        <w:t>NNDSS Research Determination</w:t>
      </w:r>
    </w:p>
    <w:p w:rsidR="00D00C2D" w:rsidRDefault="00D00C2D"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20.</w:t>
      </w:r>
      <w:r>
        <w:rPr>
          <w:rFonts w:asciiTheme="minorHAnsi" w:eastAsiaTheme="minorHAnsi" w:hAnsiTheme="minorHAnsi" w:cstheme="minorBidi"/>
          <w:sz w:val="22"/>
          <w:szCs w:val="22"/>
        </w:rPr>
        <w:tab/>
      </w:r>
      <w:r w:rsidR="00E5385F">
        <w:rPr>
          <w:rFonts w:asciiTheme="minorHAnsi" w:eastAsiaTheme="minorHAnsi" w:hAnsiTheme="minorHAnsi" w:cstheme="minorBidi"/>
          <w:sz w:val="22"/>
          <w:szCs w:val="22"/>
        </w:rPr>
        <w:t>Burden Table Calculations</w:t>
      </w:r>
    </w:p>
    <w:p w:rsidR="00EA192A" w:rsidRDefault="00EA192A" w:rsidP="00EA192A">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21</w:t>
      </w:r>
      <w:r w:rsidRPr="00EA192A">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ab/>
      </w:r>
      <w:r w:rsidR="00E5385F">
        <w:rPr>
          <w:rFonts w:asciiTheme="minorHAnsi" w:eastAsiaTheme="minorHAnsi" w:hAnsiTheme="minorHAnsi" w:cstheme="minorBidi"/>
          <w:sz w:val="22"/>
          <w:szCs w:val="22"/>
        </w:rPr>
        <w:t>PRA Burden Statement Screenshot</w:t>
      </w:r>
    </w:p>
    <w:p w:rsidR="00071E17" w:rsidRDefault="00071E17" w:rsidP="00EA192A">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22.</w:t>
      </w:r>
      <w:r w:rsidR="000F78FA">
        <w:rPr>
          <w:rFonts w:asciiTheme="minorHAnsi" w:eastAsiaTheme="minorHAnsi" w:hAnsiTheme="minorHAnsi" w:cstheme="minorBidi"/>
          <w:sz w:val="22"/>
          <w:szCs w:val="22"/>
        </w:rPr>
        <w:tab/>
        <w:t>SOGI Survey Data Collection Instrument</w:t>
      </w:r>
    </w:p>
    <w:p w:rsidR="000F78FA" w:rsidRDefault="000F78FA" w:rsidP="00EA192A">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w:t>
      </w:r>
      <w:r w:rsidR="00D043C5">
        <w:rPr>
          <w:rFonts w:asciiTheme="minorHAnsi" w:eastAsiaTheme="minorHAnsi" w:hAnsiTheme="minorHAnsi" w:cstheme="minorBidi"/>
          <w:sz w:val="22"/>
          <w:szCs w:val="22"/>
        </w:rPr>
        <w:t>3</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t>SOGI Survey Introductory Email</w:t>
      </w:r>
    </w:p>
    <w:p w:rsidR="000F78FA" w:rsidRDefault="000F78FA" w:rsidP="00EA192A">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w:t>
      </w:r>
      <w:r w:rsidR="00D043C5">
        <w:rPr>
          <w:rFonts w:asciiTheme="minorHAnsi" w:eastAsiaTheme="minorHAnsi" w:hAnsiTheme="minorHAnsi" w:cstheme="minorBidi"/>
          <w:sz w:val="22"/>
          <w:szCs w:val="22"/>
        </w:rPr>
        <w:t>4</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t>SOGI Survey Reminder Email</w:t>
      </w:r>
    </w:p>
    <w:p w:rsidR="00DC7714" w:rsidRDefault="00DC7714" w:rsidP="00DC7714">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ab/>
      </w:r>
    </w:p>
    <w:p w:rsidR="00F32ADB" w:rsidRDefault="00F32ADB" w:rsidP="0083019A">
      <w:pPr>
        <w:spacing w:after="200" w:line="276" w:lineRule="auto"/>
        <w:contextualSpacing/>
        <w:rPr>
          <w:rFonts w:eastAsia="Calibri"/>
          <w:b/>
        </w:rPr>
      </w:pPr>
      <w:r w:rsidRPr="00EA192A">
        <w:rPr>
          <w:rFonts w:asciiTheme="minorHAnsi" w:eastAsiaTheme="minorHAnsi" w:hAnsiTheme="minorHAnsi" w:cstheme="minorBidi"/>
          <w:sz w:val="22"/>
          <w:szCs w:val="22"/>
        </w:rPr>
        <w:tab/>
      </w:r>
    </w:p>
    <w:p w:rsidR="00F32ADB" w:rsidRPr="00F32ADB" w:rsidRDefault="008F3C2A" w:rsidP="00F32ADB">
      <w:pPr>
        <w:spacing w:after="200" w:line="276" w:lineRule="auto"/>
        <w:contextualSpacing/>
        <w:rPr>
          <w:rFonts w:asciiTheme="minorHAnsi" w:eastAsiaTheme="minorHAnsi" w:hAnsiTheme="minorHAnsi" w:cstheme="minorBidi"/>
          <w:sz w:val="22"/>
          <w:szCs w:val="22"/>
        </w:rPr>
      </w:pPr>
      <w:r w:rsidRPr="008F3C2A">
        <w:rPr>
          <w:rFonts w:asciiTheme="minorHAnsi" w:eastAsiaTheme="minorHAnsi" w:hAnsiTheme="minorHAnsi" w:cstheme="minorBidi"/>
          <w:sz w:val="22"/>
          <w:szCs w:val="22"/>
        </w:rPr>
        <w:t xml:space="preserve"> </w:t>
      </w:r>
    </w:p>
    <w:p w:rsidR="006663E8" w:rsidRDefault="006663E8" w:rsidP="00F32ADB">
      <w:pPr>
        <w:spacing w:after="200" w:line="276" w:lineRule="auto"/>
        <w:contextualSpacing/>
        <w:rPr>
          <w:rFonts w:eastAsia="Calibri"/>
          <w:b/>
        </w:rPr>
      </w:pPr>
      <w:r>
        <w:rPr>
          <w:rFonts w:eastAsia="Calibri"/>
          <w:b/>
        </w:rPr>
        <w:br w:type="page"/>
      </w:r>
    </w:p>
    <w:p w:rsidR="009135CB" w:rsidRPr="00FF55BF" w:rsidRDefault="009135CB" w:rsidP="000E23CB">
      <w:pPr>
        <w:autoSpaceDE w:val="0"/>
        <w:autoSpaceDN w:val="0"/>
        <w:adjustRightInd w:val="0"/>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 </w:t>
      </w:r>
      <w:r w:rsidRPr="0067651A">
        <w:rPr>
          <w:rFonts w:asciiTheme="minorHAnsi" w:hAnsiTheme="minorHAnsi"/>
          <w:b/>
          <w:color w:val="000000"/>
          <w:sz w:val="22"/>
          <w:szCs w:val="22"/>
          <w:u w:val="single"/>
        </w:rPr>
        <w:t>J</w:t>
      </w:r>
      <w:r w:rsidR="0067651A" w:rsidRPr="0067651A">
        <w:rPr>
          <w:rFonts w:asciiTheme="minorHAnsi" w:hAnsiTheme="minorHAnsi"/>
          <w:b/>
          <w:color w:val="000000"/>
          <w:sz w:val="22"/>
          <w:szCs w:val="22"/>
          <w:u w:val="single"/>
        </w:rPr>
        <w:t>ustification</w:t>
      </w:r>
    </w:p>
    <w:tbl>
      <w:tblPr>
        <w:tblStyle w:val="TableGrid"/>
        <w:tblW w:w="0" w:type="auto"/>
        <w:tblLook w:val="04A0" w:firstRow="1" w:lastRow="0" w:firstColumn="1" w:lastColumn="0" w:noHBand="0" w:noVBand="1"/>
      </w:tblPr>
      <w:tblGrid>
        <w:gridCol w:w="9576"/>
      </w:tblGrid>
      <w:tr w:rsidR="0067651A" w:rsidRPr="0067651A" w:rsidTr="0067651A">
        <w:tc>
          <w:tcPr>
            <w:tcW w:w="9576" w:type="dxa"/>
          </w:tcPr>
          <w:p w:rsidR="009E48D3" w:rsidRDefault="00867747" w:rsidP="009E48D3">
            <w:pPr>
              <w:pStyle w:val="ListParagraph"/>
              <w:numPr>
                <w:ilvl w:val="0"/>
                <w:numId w:val="22"/>
              </w:numPr>
              <w:rPr>
                <w:b/>
                <w:sz w:val="22"/>
                <w:szCs w:val="28"/>
              </w:rPr>
            </w:pPr>
            <w:r w:rsidRPr="009E48D3">
              <w:rPr>
                <w:b/>
                <w:sz w:val="22"/>
                <w:szCs w:val="28"/>
              </w:rPr>
              <w:t xml:space="preserve">The National Notifiable Diseases Surveillance </w:t>
            </w:r>
            <w:r w:rsidR="00136D3A">
              <w:rPr>
                <w:b/>
                <w:sz w:val="22"/>
                <w:szCs w:val="28"/>
              </w:rPr>
              <w:t>S</w:t>
            </w:r>
            <w:r w:rsidRPr="009E48D3">
              <w:rPr>
                <w:b/>
                <w:sz w:val="22"/>
                <w:szCs w:val="28"/>
              </w:rPr>
              <w:t xml:space="preserve">ystem (NNDSS) is the nation’s public health surveillance system </w:t>
            </w:r>
            <w:r w:rsidR="001111D1" w:rsidRPr="009E48D3">
              <w:rPr>
                <w:b/>
                <w:sz w:val="22"/>
                <w:szCs w:val="28"/>
              </w:rPr>
              <w:t>used</w:t>
            </w:r>
            <w:r w:rsidRPr="009E48D3">
              <w:rPr>
                <w:b/>
                <w:sz w:val="22"/>
                <w:szCs w:val="28"/>
              </w:rPr>
              <w:t xml:space="preserve"> to monitor the occurrence and spread of nationally notifiable conditions</w:t>
            </w:r>
            <w:r w:rsidR="001111D1" w:rsidRPr="009E48D3">
              <w:rPr>
                <w:b/>
                <w:sz w:val="22"/>
                <w:szCs w:val="28"/>
              </w:rPr>
              <w:t>. NNDSS provides the official source of statistics in the United States for nationally notifiable conditions and CDC is the sole repository for these national, population-based data.</w:t>
            </w:r>
            <w:r w:rsidR="000677F3">
              <w:rPr>
                <w:b/>
                <w:sz w:val="22"/>
                <w:szCs w:val="28"/>
              </w:rPr>
              <w:t xml:space="preserve"> Recently the NNDSS platform was </w:t>
            </w:r>
            <w:r w:rsidR="0022201F">
              <w:rPr>
                <w:b/>
                <w:sz w:val="22"/>
                <w:szCs w:val="28"/>
              </w:rPr>
              <w:t xml:space="preserve">modernized and </w:t>
            </w:r>
            <w:r w:rsidR="000677F3">
              <w:rPr>
                <w:b/>
                <w:sz w:val="22"/>
                <w:szCs w:val="28"/>
              </w:rPr>
              <w:t>expanded as a low-cost</w:t>
            </w:r>
            <w:r w:rsidR="0022201F">
              <w:rPr>
                <w:b/>
                <w:sz w:val="22"/>
                <w:szCs w:val="28"/>
              </w:rPr>
              <w:t>, common portal</w:t>
            </w:r>
            <w:r w:rsidR="000677F3">
              <w:rPr>
                <w:b/>
                <w:sz w:val="22"/>
                <w:szCs w:val="28"/>
              </w:rPr>
              <w:t xml:space="preserve"> </w:t>
            </w:r>
            <w:r w:rsidR="0022201F">
              <w:rPr>
                <w:b/>
                <w:sz w:val="22"/>
                <w:szCs w:val="28"/>
              </w:rPr>
              <w:t xml:space="preserve">for </w:t>
            </w:r>
            <w:r w:rsidR="000677F3">
              <w:rPr>
                <w:b/>
                <w:sz w:val="22"/>
                <w:szCs w:val="28"/>
              </w:rPr>
              <w:t>collecting information on other conditions.</w:t>
            </w:r>
            <w:r w:rsidR="001111D1" w:rsidRPr="009E48D3">
              <w:rPr>
                <w:b/>
                <w:sz w:val="22"/>
                <w:szCs w:val="28"/>
              </w:rPr>
              <w:t xml:space="preserve">  </w:t>
            </w:r>
          </w:p>
          <w:p w:rsidR="0022201F" w:rsidRDefault="0022201F" w:rsidP="009E48D3">
            <w:pPr>
              <w:pStyle w:val="ListParagraph"/>
              <w:numPr>
                <w:ilvl w:val="0"/>
                <w:numId w:val="22"/>
              </w:numPr>
              <w:rPr>
                <w:b/>
                <w:sz w:val="22"/>
                <w:szCs w:val="28"/>
              </w:rPr>
            </w:pPr>
            <w:r>
              <w:rPr>
                <w:b/>
                <w:sz w:val="22"/>
                <w:szCs w:val="28"/>
              </w:rPr>
              <w:t xml:space="preserve">Among the thousands of diseases that affect the health of the population, CDC and </w:t>
            </w:r>
            <w:r w:rsidR="008E09F0">
              <w:rPr>
                <w:b/>
                <w:sz w:val="22"/>
                <w:szCs w:val="28"/>
              </w:rPr>
              <w:t>the Council of State and Territorial Epidemiologists (</w:t>
            </w:r>
            <w:r>
              <w:rPr>
                <w:b/>
                <w:sz w:val="22"/>
                <w:szCs w:val="28"/>
              </w:rPr>
              <w:t>CSTE</w:t>
            </w:r>
            <w:r w:rsidR="008E09F0">
              <w:rPr>
                <w:b/>
                <w:sz w:val="22"/>
                <w:szCs w:val="28"/>
              </w:rPr>
              <w:t>)</w:t>
            </w:r>
            <w:r>
              <w:rPr>
                <w:b/>
                <w:sz w:val="22"/>
                <w:szCs w:val="28"/>
              </w:rPr>
              <w:t xml:space="preserve"> have prioritized the approximately 120 Nationally Notifiable </w:t>
            </w:r>
            <w:r w:rsidR="00FA5712">
              <w:rPr>
                <w:b/>
                <w:sz w:val="22"/>
                <w:szCs w:val="28"/>
              </w:rPr>
              <w:t>Conditions</w:t>
            </w:r>
            <w:r>
              <w:rPr>
                <w:b/>
                <w:sz w:val="22"/>
                <w:szCs w:val="28"/>
              </w:rPr>
              <w:t xml:space="preserve"> as those most important for public health monitoring and response. </w:t>
            </w:r>
          </w:p>
          <w:p w:rsidR="00D81004" w:rsidRDefault="00D81004" w:rsidP="009E48D3">
            <w:pPr>
              <w:pStyle w:val="ListParagraph"/>
              <w:numPr>
                <w:ilvl w:val="0"/>
                <w:numId w:val="22"/>
              </w:numPr>
              <w:rPr>
                <w:b/>
                <w:sz w:val="22"/>
                <w:szCs w:val="28"/>
              </w:rPr>
            </w:pPr>
            <w:r>
              <w:rPr>
                <w:b/>
                <w:sz w:val="22"/>
                <w:szCs w:val="28"/>
              </w:rPr>
              <w:t>NNDSS is a case-based surveillance system meaning that the unit of reporting is a case – a person with a specific condition. The associated data might include clinical information, vaccine history, laboratory tests, patient characteristics, demographics, and epidemiologic variables such as ex</w:t>
            </w:r>
            <w:r w:rsidR="009E7F4F">
              <w:rPr>
                <w:b/>
                <w:sz w:val="22"/>
                <w:szCs w:val="28"/>
              </w:rPr>
              <w:t>pos</w:t>
            </w:r>
            <w:r>
              <w:rPr>
                <w:b/>
                <w:sz w:val="22"/>
                <w:szCs w:val="28"/>
              </w:rPr>
              <w:t>ure</w:t>
            </w:r>
            <w:r w:rsidR="009E7F4F">
              <w:rPr>
                <w:b/>
                <w:sz w:val="22"/>
                <w:szCs w:val="28"/>
              </w:rPr>
              <w:t xml:space="preserve">s and risk factors. </w:t>
            </w:r>
          </w:p>
          <w:p w:rsidR="009E48D3" w:rsidRDefault="00632C35" w:rsidP="009E48D3">
            <w:pPr>
              <w:pStyle w:val="ListParagraph"/>
              <w:numPr>
                <w:ilvl w:val="0"/>
                <w:numId w:val="22"/>
              </w:numPr>
              <w:rPr>
                <w:b/>
                <w:sz w:val="22"/>
                <w:szCs w:val="28"/>
              </w:rPr>
            </w:pPr>
            <w:r w:rsidRPr="009E48D3">
              <w:rPr>
                <w:b/>
                <w:sz w:val="22"/>
                <w:szCs w:val="28"/>
              </w:rPr>
              <w:t>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The data are also used by CDC to trace cases and their contacts</w:t>
            </w:r>
            <w:r w:rsidR="002D1222" w:rsidRPr="009E48D3">
              <w:rPr>
                <w:b/>
                <w:sz w:val="22"/>
                <w:szCs w:val="28"/>
              </w:rPr>
              <w:t xml:space="preserve">, </w:t>
            </w:r>
            <w:r w:rsidRPr="009E48D3">
              <w:rPr>
                <w:b/>
                <w:sz w:val="22"/>
                <w:szCs w:val="28"/>
              </w:rPr>
              <w:t>obtain travel histories and other information to describe and manage outbreaks</w:t>
            </w:r>
            <w:r w:rsidR="002D1222" w:rsidRPr="009E48D3">
              <w:rPr>
                <w:b/>
                <w:sz w:val="22"/>
                <w:szCs w:val="28"/>
              </w:rPr>
              <w:t>, and</w:t>
            </w:r>
            <w:r w:rsidRPr="009E48D3">
              <w:rPr>
                <w:b/>
                <w:sz w:val="22"/>
                <w:szCs w:val="28"/>
              </w:rPr>
              <w:t xml:space="preserve"> conduct public health follow-up to minimize the spread of disease. </w:t>
            </w:r>
          </w:p>
          <w:p w:rsidR="007C5958" w:rsidRDefault="007C5958" w:rsidP="007C5958">
            <w:pPr>
              <w:pStyle w:val="ListParagraph"/>
              <w:numPr>
                <w:ilvl w:val="0"/>
                <w:numId w:val="22"/>
              </w:numPr>
              <w:rPr>
                <w:b/>
                <w:sz w:val="22"/>
                <w:szCs w:val="28"/>
              </w:rPr>
            </w:pPr>
            <w:r w:rsidRPr="007C5958">
              <w:rPr>
                <w:b/>
                <w:sz w:val="22"/>
                <w:szCs w:val="28"/>
              </w:rPr>
              <w:t xml:space="preserve">Public health departments at the state, territorial and local levels review, process and analyze reportable conditions data and voluntarily submit case notification data on nationally notifiable conditions to CDC. </w:t>
            </w:r>
            <w:r w:rsidR="00FA5712">
              <w:rPr>
                <w:b/>
                <w:sz w:val="22"/>
                <w:szCs w:val="28"/>
              </w:rPr>
              <w:t xml:space="preserve"> State and local health departments share data that they have already collected and stored in their own surveillance systems. </w:t>
            </w:r>
          </w:p>
          <w:p w:rsidR="007C5958" w:rsidRPr="00C27447" w:rsidRDefault="007C5958" w:rsidP="00282D05">
            <w:pPr>
              <w:pStyle w:val="ListParagraph"/>
              <w:numPr>
                <w:ilvl w:val="0"/>
                <w:numId w:val="22"/>
              </w:numPr>
              <w:rPr>
                <w:b/>
                <w:sz w:val="22"/>
                <w:szCs w:val="28"/>
              </w:rPr>
            </w:pPr>
            <w:r w:rsidRPr="00C27447">
              <w:rPr>
                <w:b/>
                <w:sz w:val="22"/>
                <w:szCs w:val="28"/>
              </w:rPr>
              <w:t xml:space="preserve">The respondent population consists of </w:t>
            </w:r>
            <w:r w:rsidR="00282D05" w:rsidRPr="00C27447">
              <w:rPr>
                <w:b/>
                <w:sz w:val="22"/>
                <w:szCs w:val="28"/>
              </w:rPr>
              <w:t>60</w:t>
            </w:r>
            <w:r w:rsidRPr="00C27447">
              <w:rPr>
                <w:b/>
                <w:sz w:val="22"/>
                <w:szCs w:val="28"/>
              </w:rPr>
              <w:t xml:space="preserve"> jurisdictions: </w:t>
            </w:r>
            <w:r w:rsidR="007A6F38" w:rsidRPr="00C27447">
              <w:rPr>
                <w:b/>
                <w:sz w:val="22"/>
                <w:szCs w:val="28"/>
              </w:rPr>
              <w:t xml:space="preserve">public </w:t>
            </w:r>
            <w:r w:rsidRPr="00C27447">
              <w:rPr>
                <w:b/>
                <w:sz w:val="22"/>
                <w:szCs w:val="28"/>
              </w:rPr>
              <w:t>health departments in every U.S. state, New York City, Washington DC, 5 U.S. territories (American Samoa, the Commonwealth of Northern Mariana Islands, Guam, Puerto Rico, and the U.S. Virgin Islands)</w:t>
            </w:r>
            <w:r w:rsidR="00282D05" w:rsidRPr="00C27447">
              <w:rPr>
                <w:b/>
                <w:sz w:val="22"/>
                <w:szCs w:val="28"/>
              </w:rPr>
              <w:t>, and 3 freely associated states (Federated States of Micronesia, the Republic of the Marshall Islands, and the Republic of Palau)</w:t>
            </w:r>
            <w:r w:rsidRPr="00C27447">
              <w:rPr>
                <w:b/>
                <w:sz w:val="22"/>
                <w:szCs w:val="28"/>
              </w:rPr>
              <w:t>.</w:t>
            </w:r>
          </w:p>
          <w:p w:rsidR="0067651A" w:rsidRPr="009E48D3" w:rsidRDefault="00286FFD" w:rsidP="006A68AA">
            <w:pPr>
              <w:pStyle w:val="ListParagraph"/>
              <w:numPr>
                <w:ilvl w:val="0"/>
                <w:numId w:val="22"/>
              </w:numPr>
              <w:rPr>
                <w:b/>
                <w:sz w:val="22"/>
                <w:szCs w:val="28"/>
              </w:rPr>
            </w:pPr>
            <w:r>
              <w:rPr>
                <w:b/>
                <w:sz w:val="22"/>
                <w:szCs w:val="28"/>
              </w:rPr>
              <w:t xml:space="preserve">CDC publishes numbers of cases and incidence rates of nationally notifiable conditions based on NNDDS data </w:t>
            </w:r>
            <w:r w:rsidR="006A68AA">
              <w:rPr>
                <w:b/>
                <w:sz w:val="22"/>
                <w:szCs w:val="28"/>
              </w:rPr>
              <w:t>on CDC WONDER</w:t>
            </w:r>
            <w:r w:rsidR="001111D1" w:rsidRPr="009E48D3">
              <w:rPr>
                <w:b/>
                <w:sz w:val="22"/>
                <w:szCs w:val="28"/>
              </w:rPr>
              <w:t xml:space="preserve"> </w:t>
            </w:r>
            <w:r w:rsidR="00632C35" w:rsidRPr="009E48D3">
              <w:rPr>
                <w:b/>
                <w:sz w:val="22"/>
                <w:szCs w:val="28"/>
              </w:rPr>
              <w:t xml:space="preserve">and </w:t>
            </w:r>
            <w:r w:rsidR="00BE75FD">
              <w:rPr>
                <w:b/>
                <w:sz w:val="22"/>
                <w:szCs w:val="28"/>
              </w:rPr>
              <w:t xml:space="preserve">in </w:t>
            </w:r>
            <w:r w:rsidR="00632C35" w:rsidRPr="009E48D3">
              <w:rPr>
                <w:b/>
                <w:sz w:val="22"/>
                <w:szCs w:val="28"/>
              </w:rPr>
              <w:t>other scientific journals</w:t>
            </w:r>
            <w:r w:rsidR="001111D1" w:rsidRPr="009E48D3">
              <w:rPr>
                <w:b/>
                <w:sz w:val="22"/>
                <w:szCs w:val="28"/>
              </w:rPr>
              <w:t xml:space="preserve">. </w:t>
            </w:r>
          </w:p>
        </w:tc>
      </w:tr>
    </w:tbl>
    <w:p w:rsidR="0067651A" w:rsidRPr="00FF55BF" w:rsidRDefault="0067651A" w:rsidP="000E23CB">
      <w:pPr>
        <w:spacing w:line="360" w:lineRule="auto"/>
        <w:rPr>
          <w:rFonts w:asciiTheme="minorHAnsi" w:hAnsiTheme="minorHAnsi"/>
          <w:color w:val="000000"/>
          <w:sz w:val="22"/>
          <w:szCs w:val="22"/>
        </w:rPr>
      </w:pPr>
    </w:p>
    <w:p w:rsidR="009135CB" w:rsidRPr="0067651A" w:rsidRDefault="006663E8" w:rsidP="006663E8">
      <w:pPr>
        <w:spacing w:line="360" w:lineRule="auto"/>
        <w:rPr>
          <w:rFonts w:asciiTheme="minorHAnsi" w:hAnsiTheme="minorHAnsi"/>
          <w:color w:val="000000"/>
          <w:sz w:val="22"/>
          <w:szCs w:val="22"/>
        </w:rPr>
      </w:pPr>
      <w:r>
        <w:rPr>
          <w:rFonts w:asciiTheme="minorHAnsi" w:hAnsiTheme="minorHAnsi"/>
          <w:b/>
          <w:color w:val="000000"/>
          <w:sz w:val="22"/>
          <w:szCs w:val="22"/>
        </w:rPr>
        <w:t>A</w:t>
      </w:r>
      <w:r w:rsidR="0042357A" w:rsidRPr="0067651A">
        <w:rPr>
          <w:rFonts w:asciiTheme="minorHAnsi" w:hAnsiTheme="minorHAnsi"/>
          <w:b/>
          <w:color w:val="000000"/>
          <w:sz w:val="22"/>
          <w:szCs w:val="22"/>
        </w:rPr>
        <w:t>1</w:t>
      </w:r>
      <w:r w:rsidR="0067651A" w:rsidRPr="0067651A">
        <w:rPr>
          <w:rFonts w:asciiTheme="minorHAnsi" w:hAnsiTheme="minorHAnsi"/>
          <w:b/>
          <w:color w:val="000000"/>
          <w:sz w:val="22"/>
          <w:szCs w:val="22"/>
        </w:rPr>
        <w:t>.</w:t>
      </w:r>
      <w:r w:rsidR="009135CB" w:rsidRPr="0067651A">
        <w:rPr>
          <w:rFonts w:asciiTheme="minorHAnsi" w:hAnsiTheme="minorHAnsi"/>
          <w:b/>
          <w:color w:val="000000"/>
          <w:sz w:val="22"/>
          <w:szCs w:val="22"/>
        </w:rPr>
        <w:t xml:space="preserve"> </w:t>
      </w:r>
      <w:r w:rsidR="009135CB" w:rsidRPr="006663E8">
        <w:rPr>
          <w:rFonts w:asciiTheme="minorHAnsi" w:hAnsiTheme="minorHAnsi"/>
          <w:b/>
          <w:color w:val="000000"/>
          <w:sz w:val="22"/>
          <w:szCs w:val="22"/>
          <w:u w:val="single"/>
        </w:rPr>
        <w:t>C</w:t>
      </w:r>
      <w:r w:rsidR="003C278E" w:rsidRPr="006663E8">
        <w:rPr>
          <w:rFonts w:asciiTheme="minorHAnsi" w:hAnsiTheme="minorHAnsi"/>
          <w:b/>
          <w:color w:val="000000"/>
          <w:sz w:val="22"/>
          <w:szCs w:val="22"/>
          <w:u w:val="single"/>
        </w:rPr>
        <w:t xml:space="preserve">ircumstances Making </w:t>
      </w:r>
      <w:r w:rsidR="000223F7" w:rsidRPr="006663E8">
        <w:rPr>
          <w:rFonts w:asciiTheme="minorHAnsi" w:hAnsiTheme="minorHAnsi"/>
          <w:b/>
          <w:color w:val="000000"/>
          <w:sz w:val="22"/>
          <w:szCs w:val="22"/>
          <w:u w:val="single"/>
        </w:rPr>
        <w:t xml:space="preserve">the Collection of Information </w:t>
      </w:r>
      <w:r w:rsidR="003C278E" w:rsidRPr="006663E8">
        <w:rPr>
          <w:rFonts w:asciiTheme="minorHAnsi" w:hAnsiTheme="minorHAnsi"/>
          <w:b/>
          <w:color w:val="000000"/>
          <w:sz w:val="22"/>
          <w:szCs w:val="22"/>
          <w:u w:val="single"/>
        </w:rPr>
        <w:t>Necessary</w:t>
      </w:r>
    </w:p>
    <w:p w:rsidR="00F66847" w:rsidRDefault="00AA5F25" w:rsidP="00A47056">
      <w:pPr>
        <w:spacing w:line="360" w:lineRule="auto"/>
        <w:rPr>
          <w:rFonts w:asciiTheme="minorHAnsi" w:hAnsiTheme="minorHAnsi"/>
          <w:sz w:val="22"/>
          <w:szCs w:val="22"/>
        </w:rPr>
      </w:pPr>
      <w:r w:rsidRPr="00FF55BF">
        <w:rPr>
          <w:rFonts w:asciiTheme="minorHAnsi" w:hAnsiTheme="minorHAnsi"/>
          <w:sz w:val="22"/>
          <w:szCs w:val="22"/>
        </w:rPr>
        <w:t xml:space="preserve">CDC requests a three year approval for </w:t>
      </w:r>
      <w:r w:rsidR="00812AD1">
        <w:rPr>
          <w:rFonts w:asciiTheme="minorHAnsi" w:hAnsiTheme="minorHAnsi"/>
          <w:sz w:val="22"/>
          <w:szCs w:val="22"/>
        </w:rPr>
        <w:t>the</w:t>
      </w:r>
      <w:r w:rsidR="00812AD1" w:rsidRPr="00FF55BF">
        <w:rPr>
          <w:rFonts w:asciiTheme="minorHAnsi" w:hAnsiTheme="minorHAnsi"/>
          <w:sz w:val="22"/>
          <w:szCs w:val="22"/>
        </w:rPr>
        <w:t xml:space="preserve"> </w:t>
      </w:r>
      <w:r w:rsidR="003A2FF2">
        <w:rPr>
          <w:rFonts w:asciiTheme="minorHAnsi" w:hAnsiTheme="minorHAnsi"/>
          <w:sz w:val="22"/>
          <w:szCs w:val="22"/>
        </w:rPr>
        <w:t>r</w:t>
      </w:r>
      <w:r w:rsidRPr="00FF55BF">
        <w:rPr>
          <w:rFonts w:asciiTheme="minorHAnsi" w:hAnsiTheme="minorHAnsi"/>
          <w:sz w:val="22"/>
          <w:szCs w:val="22"/>
        </w:rPr>
        <w:t xml:space="preserve">evision </w:t>
      </w:r>
      <w:r w:rsidR="00812AD1">
        <w:rPr>
          <w:rFonts w:asciiTheme="minorHAnsi" w:hAnsiTheme="minorHAnsi"/>
          <w:sz w:val="22"/>
          <w:szCs w:val="22"/>
        </w:rPr>
        <w:t>of</w:t>
      </w:r>
      <w:r w:rsidR="00812AD1" w:rsidRPr="00FF55BF">
        <w:rPr>
          <w:rFonts w:asciiTheme="minorHAnsi" w:hAnsiTheme="minorHAnsi"/>
          <w:sz w:val="22"/>
          <w:szCs w:val="22"/>
        </w:rPr>
        <w:t xml:space="preserve"> </w:t>
      </w:r>
      <w:r w:rsidRPr="00FF55BF">
        <w:rPr>
          <w:rFonts w:asciiTheme="minorHAnsi" w:hAnsiTheme="minorHAnsi"/>
          <w:sz w:val="22"/>
          <w:szCs w:val="22"/>
        </w:rPr>
        <w:t>the National Notifiable Diseases Surveillance System (NNDSS)</w:t>
      </w:r>
      <w:r w:rsidR="003A2FF2">
        <w:rPr>
          <w:rFonts w:asciiTheme="minorHAnsi" w:hAnsiTheme="minorHAnsi"/>
          <w:sz w:val="22"/>
          <w:szCs w:val="22"/>
        </w:rPr>
        <w:t xml:space="preserve"> Information Collection Request (ICR)</w:t>
      </w:r>
      <w:r w:rsidRPr="00FF55BF">
        <w:rPr>
          <w:rFonts w:asciiTheme="minorHAnsi" w:hAnsiTheme="minorHAnsi"/>
          <w:sz w:val="22"/>
          <w:szCs w:val="22"/>
        </w:rPr>
        <w:t xml:space="preserve">, OMB Control No. </w:t>
      </w:r>
      <w:r w:rsidRPr="00925656">
        <w:rPr>
          <w:rFonts w:asciiTheme="minorHAnsi" w:hAnsiTheme="minorHAnsi"/>
          <w:sz w:val="22"/>
          <w:szCs w:val="22"/>
        </w:rPr>
        <w:t>0920-0728</w:t>
      </w:r>
      <w:r w:rsidR="009A009C">
        <w:rPr>
          <w:rFonts w:asciiTheme="minorHAnsi" w:hAnsiTheme="minorHAnsi"/>
          <w:sz w:val="22"/>
          <w:szCs w:val="22"/>
        </w:rPr>
        <w:t>, e</w:t>
      </w:r>
      <w:r w:rsidRPr="00FF55BF">
        <w:rPr>
          <w:rFonts w:asciiTheme="minorHAnsi" w:hAnsiTheme="minorHAnsi"/>
          <w:sz w:val="22"/>
          <w:szCs w:val="22"/>
        </w:rPr>
        <w:t xml:space="preserve">xpiration </w:t>
      </w:r>
      <w:r w:rsidR="009A009C">
        <w:rPr>
          <w:rFonts w:asciiTheme="minorHAnsi" w:hAnsiTheme="minorHAnsi"/>
          <w:sz w:val="22"/>
          <w:szCs w:val="22"/>
        </w:rPr>
        <w:t>d</w:t>
      </w:r>
      <w:r w:rsidRPr="00C201F8">
        <w:rPr>
          <w:rFonts w:asciiTheme="minorHAnsi" w:hAnsiTheme="minorHAnsi"/>
          <w:sz w:val="22"/>
          <w:szCs w:val="22"/>
        </w:rPr>
        <w:t xml:space="preserve">ate </w:t>
      </w:r>
      <w:r w:rsidR="00C27447">
        <w:rPr>
          <w:rFonts w:asciiTheme="minorHAnsi" w:hAnsiTheme="minorHAnsi"/>
          <w:sz w:val="22"/>
          <w:szCs w:val="22"/>
        </w:rPr>
        <w:t>February 28</w:t>
      </w:r>
      <w:r w:rsidR="00B807C7">
        <w:rPr>
          <w:rFonts w:asciiTheme="minorHAnsi" w:hAnsiTheme="minorHAnsi"/>
          <w:sz w:val="22"/>
          <w:szCs w:val="22"/>
        </w:rPr>
        <w:t>, 2</w:t>
      </w:r>
      <w:r w:rsidR="00C201F8" w:rsidRPr="00C201F8">
        <w:rPr>
          <w:rFonts w:asciiTheme="minorHAnsi" w:hAnsiTheme="minorHAnsi"/>
          <w:sz w:val="22"/>
          <w:szCs w:val="22"/>
        </w:rPr>
        <w:t>0</w:t>
      </w:r>
      <w:r w:rsidR="00C27447">
        <w:rPr>
          <w:rFonts w:asciiTheme="minorHAnsi" w:hAnsiTheme="minorHAnsi"/>
          <w:sz w:val="22"/>
          <w:szCs w:val="22"/>
        </w:rPr>
        <w:t>21</w:t>
      </w:r>
      <w:r w:rsidRPr="00FF55BF">
        <w:rPr>
          <w:rFonts w:asciiTheme="minorHAnsi" w:hAnsiTheme="minorHAnsi"/>
          <w:sz w:val="22"/>
          <w:szCs w:val="22"/>
        </w:rPr>
        <w:t xml:space="preserve">. </w:t>
      </w:r>
      <w:r w:rsidR="00C44756">
        <w:rPr>
          <w:rFonts w:asciiTheme="minorHAnsi" w:hAnsiTheme="minorHAnsi"/>
          <w:sz w:val="22"/>
          <w:szCs w:val="22"/>
        </w:rPr>
        <w:t xml:space="preserve"> </w:t>
      </w:r>
      <w:r w:rsidR="00F66847">
        <w:rPr>
          <w:rFonts w:asciiTheme="minorHAnsi" w:hAnsiTheme="minorHAnsi"/>
          <w:sz w:val="22"/>
          <w:szCs w:val="22"/>
        </w:rPr>
        <w:t>Th</w:t>
      </w:r>
      <w:r w:rsidR="00925656">
        <w:rPr>
          <w:rFonts w:asciiTheme="minorHAnsi" w:hAnsiTheme="minorHAnsi"/>
          <w:sz w:val="22"/>
          <w:szCs w:val="22"/>
        </w:rPr>
        <w:t xml:space="preserve">is </w:t>
      </w:r>
      <w:r w:rsidR="002A7449">
        <w:rPr>
          <w:rFonts w:asciiTheme="minorHAnsi" w:hAnsiTheme="minorHAnsi"/>
          <w:sz w:val="22"/>
          <w:szCs w:val="22"/>
        </w:rPr>
        <w:t xml:space="preserve">application is </w:t>
      </w:r>
      <w:r w:rsidR="00B80165">
        <w:rPr>
          <w:rFonts w:asciiTheme="minorHAnsi" w:hAnsiTheme="minorHAnsi"/>
          <w:sz w:val="22"/>
          <w:szCs w:val="22"/>
        </w:rPr>
        <w:t xml:space="preserve">the </w:t>
      </w:r>
      <w:r w:rsidR="00C27447">
        <w:rPr>
          <w:rFonts w:asciiTheme="minorHAnsi" w:hAnsiTheme="minorHAnsi"/>
          <w:sz w:val="22"/>
          <w:szCs w:val="22"/>
        </w:rPr>
        <w:t>third</w:t>
      </w:r>
      <w:r w:rsidR="002A7449">
        <w:rPr>
          <w:rFonts w:asciiTheme="minorHAnsi" w:hAnsiTheme="minorHAnsi"/>
          <w:sz w:val="22"/>
          <w:szCs w:val="22"/>
        </w:rPr>
        <w:t xml:space="preserve"> </w:t>
      </w:r>
      <w:r w:rsidR="00925656">
        <w:rPr>
          <w:rFonts w:asciiTheme="minorHAnsi" w:hAnsiTheme="minorHAnsi"/>
          <w:sz w:val="22"/>
          <w:szCs w:val="22"/>
        </w:rPr>
        <w:t>revision</w:t>
      </w:r>
      <w:r w:rsidR="00F66847">
        <w:rPr>
          <w:rFonts w:asciiTheme="minorHAnsi" w:hAnsiTheme="minorHAnsi"/>
          <w:sz w:val="22"/>
          <w:szCs w:val="22"/>
        </w:rPr>
        <w:t xml:space="preserve"> </w:t>
      </w:r>
      <w:r w:rsidR="002A7449">
        <w:rPr>
          <w:rFonts w:asciiTheme="minorHAnsi" w:hAnsiTheme="minorHAnsi"/>
          <w:sz w:val="22"/>
          <w:szCs w:val="22"/>
        </w:rPr>
        <w:t xml:space="preserve">to </w:t>
      </w:r>
      <w:r w:rsidR="00931D81">
        <w:rPr>
          <w:rFonts w:asciiTheme="minorHAnsi" w:hAnsiTheme="minorHAnsi"/>
          <w:sz w:val="22"/>
          <w:szCs w:val="22"/>
        </w:rPr>
        <w:t xml:space="preserve">the previous application for </w:t>
      </w:r>
      <w:r w:rsidR="0035328C">
        <w:rPr>
          <w:rFonts w:asciiTheme="minorHAnsi" w:hAnsiTheme="minorHAnsi"/>
          <w:sz w:val="22"/>
          <w:szCs w:val="22"/>
        </w:rPr>
        <w:t>0920-0728</w:t>
      </w:r>
      <w:r w:rsidR="00A76BF6">
        <w:rPr>
          <w:rFonts w:asciiTheme="minorHAnsi" w:hAnsiTheme="minorHAnsi"/>
          <w:sz w:val="22"/>
          <w:szCs w:val="22"/>
        </w:rPr>
        <w:t xml:space="preserve"> (approved by OMB </w:t>
      </w:r>
      <w:r w:rsidR="008A2A79">
        <w:rPr>
          <w:rFonts w:asciiTheme="minorHAnsi" w:hAnsiTheme="minorHAnsi"/>
          <w:sz w:val="22"/>
          <w:szCs w:val="22"/>
        </w:rPr>
        <w:t xml:space="preserve">on </w:t>
      </w:r>
      <w:r w:rsidR="00A76BF6">
        <w:rPr>
          <w:rFonts w:asciiTheme="minorHAnsi" w:hAnsiTheme="minorHAnsi"/>
          <w:sz w:val="22"/>
          <w:szCs w:val="22"/>
        </w:rPr>
        <w:t>January 15, 2014)</w:t>
      </w:r>
      <w:r w:rsidR="0035328C">
        <w:rPr>
          <w:rFonts w:asciiTheme="minorHAnsi" w:hAnsiTheme="minorHAnsi"/>
          <w:sz w:val="22"/>
          <w:szCs w:val="22"/>
        </w:rPr>
        <w:t xml:space="preserve"> which </w:t>
      </w:r>
      <w:r w:rsidR="004C65A0">
        <w:rPr>
          <w:rFonts w:asciiTheme="minorHAnsi" w:hAnsiTheme="minorHAnsi"/>
          <w:sz w:val="22"/>
          <w:szCs w:val="22"/>
        </w:rPr>
        <w:t>consolidated</w:t>
      </w:r>
      <w:r w:rsidR="00F66847">
        <w:rPr>
          <w:rFonts w:asciiTheme="minorHAnsi" w:hAnsiTheme="minorHAnsi"/>
          <w:sz w:val="22"/>
          <w:szCs w:val="22"/>
        </w:rPr>
        <w:t xml:space="preserve"> </w:t>
      </w:r>
      <w:r w:rsidR="00F66847" w:rsidRPr="00F66847">
        <w:rPr>
          <w:rFonts w:asciiTheme="minorHAnsi" w:hAnsiTheme="minorHAnsi"/>
          <w:sz w:val="22"/>
          <w:szCs w:val="22"/>
        </w:rPr>
        <w:t>four other CDC applications for nationally notifiable diseases case notification: Control Nos. 0920-0128, (Congenital Syphilis Surveillance),</w:t>
      </w:r>
      <w:r w:rsidR="00A82438">
        <w:rPr>
          <w:rFonts w:asciiTheme="minorHAnsi" w:hAnsiTheme="minorHAnsi"/>
          <w:sz w:val="22"/>
          <w:szCs w:val="22"/>
        </w:rPr>
        <w:t xml:space="preserve"> </w:t>
      </w:r>
      <w:r w:rsidR="0086064B">
        <w:rPr>
          <w:rFonts w:asciiTheme="minorHAnsi" w:hAnsiTheme="minorHAnsi"/>
          <w:sz w:val="22"/>
          <w:szCs w:val="22"/>
        </w:rPr>
        <w:t xml:space="preserve">parts of </w:t>
      </w:r>
      <w:r w:rsidR="00F66847" w:rsidRPr="00F66847">
        <w:rPr>
          <w:rFonts w:asciiTheme="minorHAnsi" w:hAnsiTheme="minorHAnsi"/>
          <w:sz w:val="22"/>
          <w:szCs w:val="22"/>
        </w:rPr>
        <w:t xml:space="preserve">0920-0819 (Nationally Notifiable Sexually Transmitted Disease (STD) Morbidity Surveillance), </w:t>
      </w:r>
      <w:r w:rsidR="0086064B">
        <w:rPr>
          <w:rFonts w:asciiTheme="minorHAnsi" w:hAnsiTheme="minorHAnsi"/>
          <w:sz w:val="22"/>
          <w:szCs w:val="22"/>
        </w:rPr>
        <w:t xml:space="preserve">parts of </w:t>
      </w:r>
      <w:r w:rsidR="00F66847" w:rsidRPr="00F66847">
        <w:rPr>
          <w:rFonts w:asciiTheme="minorHAnsi" w:hAnsiTheme="minorHAnsi"/>
          <w:sz w:val="22"/>
          <w:szCs w:val="22"/>
        </w:rPr>
        <w:t xml:space="preserve">0920-0009 (National Disease Surveillance Program - I. Case Reports) and </w:t>
      </w:r>
      <w:r w:rsidR="0086064B">
        <w:rPr>
          <w:rFonts w:asciiTheme="minorHAnsi" w:hAnsiTheme="minorHAnsi"/>
          <w:sz w:val="22"/>
          <w:szCs w:val="22"/>
        </w:rPr>
        <w:t xml:space="preserve">parts of </w:t>
      </w:r>
      <w:r w:rsidR="00F66847" w:rsidRPr="00F66847">
        <w:rPr>
          <w:rFonts w:asciiTheme="minorHAnsi" w:hAnsiTheme="minorHAnsi"/>
          <w:sz w:val="22"/>
          <w:szCs w:val="22"/>
        </w:rPr>
        <w:t>0920-0004 (National Disease Surveillance Program - II. Disease Summaries)</w:t>
      </w:r>
      <w:r w:rsidR="00A76BF6">
        <w:rPr>
          <w:rFonts w:asciiTheme="minorHAnsi" w:hAnsiTheme="minorHAnsi"/>
          <w:sz w:val="22"/>
          <w:szCs w:val="22"/>
        </w:rPr>
        <w:t>.</w:t>
      </w:r>
      <w:r w:rsidR="00E101C6">
        <w:rPr>
          <w:rFonts w:asciiTheme="minorHAnsi" w:hAnsiTheme="minorHAnsi"/>
          <w:sz w:val="22"/>
          <w:szCs w:val="22"/>
        </w:rPr>
        <w:t xml:space="preserve">  Consolidation of the information collection requests across multiple diseases has reduced the administrative costs of the OMB PRA application process and has resulted in increased standardization across the disease components of the application.  </w:t>
      </w:r>
    </w:p>
    <w:p w:rsidR="00C44756" w:rsidRPr="00A75D80" w:rsidRDefault="00C44756" w:rsidP="00A47056">
      <w:pPr>
        <w:spacing w:line="360" w:lineRule="auto"/>
        <w:rPr>
          <w:rFonts w:asciiTheme="minorHAnsi" w:eastAsiaTheme="minorHAnsi" w:hAnsiTheme="minorHAnsi" w:cstheme="minorHAnsi"/>
          <w:sz w:val="22"/>
          <w:szCs w:val="22"/>
          <w:highlight w:val="yellow"/>
        </w:rPr>
      </w:pPr>
      <w:r w:rsidRPr="00A75D80">
        <w:rPr>
          <w:rFonts w:asciiTheme="minorHAnsi" w:eastAsiaTheme="minorHAnsi" w:hAnsiTheme="minorHAnsi" w:cstheme="minorHAnsi"/>
          <w:sz w:val="22"/>
          <w:szCs w:val="22"/>
          <w:highlight w:val="yellow"/>
        </w:rPr>
        <w:t xml:space="preserve">Key changes in this </w:t>
      </w:r>
      <w:r w:rsidR="003A2FF2">
        <w:rPr>
          <w:rFonts w:asciiTheme="minorHAnsi" w:eastAsiaTheme="minorHAnsi" w:hAnsiTheme="minorHAnsi" w:cstheme="minorHAnsi"/>
          <w:sz w:val="22"/>
          <w:szCs w:val="22"/>
          <w:highlight w:val="yellow"/>
        </w:rPr>
        <w:t>r</w:t>
      </w:r>
      <w:r w:rsidRPr="00A75D80">
        <w:rPr>
          <w:rFonts w:asciiTheme="minorHAnsi" w:eastAsiaTheme="minorHAnsi" w:hAnsiTheme="minorHAnsi" w:cstheme="minorHAnsi"/>
          <w:sz w:val="22"/>
          <w:szCs w:val="22"/>
          <w:highlight w:val="yellow"/>
        </w:rPr>
        <w:t xml:space="preserve">evision </w:t>
      </w:r>
      <w:r w:rsidR="00594F89">
        <w:rPr>
          <w:rFonts w:asciiTheme="minorHAnsi" w:eastAsiaTheme="minorHAnsi" w:hAnsiTheme="minorHAnsi" w:cstheme="minorHAnsi"/>
          <w:sz w:val="22"/>
          <w:szCs w:val="22"/>
          <w:highlight w:val="yellow"/>
        </w:rPr>
        <w:t>are enumerated in the table below</w:t>
      </w:r>
      <w:r w:rsidRPr="00A75D80">
        <w:rPr>
          <w:rFonts w:asciiTheme="minorHAnsi" w:eastAsiaTheme="minorHAnsi" w:hAnsiTheme="minorHAnsi" w:cstheme="minorHAnsi"/>
          <w:sz w:val="22"/>
          <w:szCs w:val="22"/>
          <w:highlight w:val="yellow"/>
        </w:rPr>
        <w:t>:</w:t>
      </w:r>
    </w:p>
    <w:p w:rsidR="00800E6D" w:rsidRDefault="00594F89" w:rsidP="00925656">
      <w:pPr>
        <w:spacing w:line="360" w:lineRule="auto"/>
        <w:rPr>
          <w:rFonts w:asciiTheme="minorHAnsi" w:hAnsiTheme="minorHAnsi"/>
          <w:sz w:val="22"/>
          <w:szCs w:val="22"/>
        </w:rPr>
      </w:pPr>
      <w:r w:rsidRPr="0072215F" w:rsidDel="00594F89">
        <w:rPr>
          <w:rFonts w:asciiTheme="minorHAnsi" w:eastAsiaTheme="minorHAnsi" w:hAnsiTheme="minorHAnsi" w:cstheme="minorHAnsi"/>
          <w:sz w:val="22"/>
          <w:szCs w:val="22"/>
          <w:highlight w:val="yellow"/>
        </w:rPr>
        <w:t xml:space="preserve"> </w:t>
      </w:r>
    </w:p>
    <w:tbl>
      <w:tblPr>
        <w:tblStyle w:val="TableGrid"/>
        <w:tblW w:w="8640" w:type="dxa"/>
        <w:tblInd w:w="-185" w:type="dxa"/>
        <w:tblLook w:val="04A0" w:firstRow="1" w:lastRow="0" w:firstColumn="1" w:lastColumn="0" w:noHBand="0" w:noVBand="1"/>
      </w:tblPr>
      <w:tblGrid>
        <w:gridCol w:w="2121"/>
        <w:gridCol w:w="1175"/>
        <w:gridCol w:w="1079"/>
        <w:gridCol w:w="1079"/>
        <w:gridCol w:w="894"/>
        <w:gridCol w:w="911"/>
        <w:gridCol w:w="894"/>
        <w:gridCol w:w="911"/>
      </w:tblGrid>
      <w:tr w:rsidR="00594F89" w:rsidTr="005E7DAB">
        <w:trPr>
          <w:trHeight w:val="2504"/>
        </w:trPr>
        <w:tc>
          <w:tcPr>
            <w:tcW w:w="2249" w:type="dxa"/>
            <w:shd w:val="clear" w:color="auto" w:fill="D9D9D9" w:themeFill="background1" w:themeFillShade="D9"/>
          </w:tcPr>
          <w:p w:rsidR="00594F89" w:rsidRPr="00564359" w:rsidRDefault="00594F89" w:rsidP="00AD3A3B">
            <w:pPr>
              <w:jc w:val="center"/>
              <w:rPr>
                <w:b/>
              </w:rPr>
            </w:pPr>
            <w:r w:rsidRPr="00564359">
              <w:rPr>
                <w:b/>
              </w:rPr>
              <w:t xml:space="preserve">Disease Name </w:t>
            </w:r>
          </w:p>
          <w:p w:rsidR="00594F89" w:rsidRPr="005E7DAB" w:rsidRDefault="00594F89" w:rsidP="00AD3A3B">
            <w:pPr>
              <w:jc w:val="center"/>
              <w:rPr>
                <w:b/>
                <w:sz w:val="20"/>
                <w:szCs w:val="20"/>
              </w:rPr>
            </w:pPr>
            <w:r w:rsidRPr="00564359">
              <w:rPr>
                <w:b/>
              </w:rPr>
              <w:t>in NNDSS Collection</w:t>
            </w:r>
          </w:p>
        </w:tc>
        <w:tc>
          <w:tcPr>
            <w:tcW w:w="1536" w:type="dxa"/>
            <w:shd w:val="clear" w:color="auto" w:fill="D9D9D9" w:themeFill="background1" w:themeFillShade="D9"/>
          </w:tcPr>
          <w:p w:rsidR="00594F89" w:rsidRPr="00564359" w:rsidRDefault="00594F89" w:rsidP="00AD3A3B">
            <w:pPr>
              <w:jc w:val="center"/>
              <w:rPr>
                <w:sz w:val="18"/>
                <w:szCs w:val="18"/>
              </w:rPr>
            </w:pPr>
            <w:r w:rsidRPr="00564359">
              <w:rPr>
                <w:sz w:val="18"/>
                <w:szCs w:val="18"/>
              </w:rPr>
              <w:t>Nationally Notifiable (NNC) OR Under Standardized Surveillance (CSS)</w:t>
            </w:r>
          </w:p>
        </w:tc>
        <w:tc>
          <w:tcPr>
            <w:tcW w:w="1370" w:type="dxa"/>
            <w:shd w:val="clear" w:color="auto" w:fill="D9D9D9" w:themeFill="background1" w:themeFillShade="D9"/>
          </w:tcPr>
          <w:p w:rsidR="00594F89" w:rsidRPr="00564359" w:rsidRDefault="00594F89" w:rsidP="00AD3A3B">
            <w:pPr>
              <w:jc w:val="center"/>
              <w:rPr>
                <w:sz w:val="18"/>
                <w:szCs w:val="18"/>
              </w:rPr>
            </w:pPr>
            <w:r w:rsidRPr="00564359">
              <w:rPr>
                <w:sz w:val="18"/>
                <w:szCs w:val="18"/>
              </w:rPr>
              <w:t>Current Case Notification (Y/N)</w:t>
            </w:r>
          </w:p>
        </w:tc>
        <w:tc>
          <w:tcPr>
            <w:tcW w:w="1370" w:type="dxa"/>
            <w:shd w:val="clear" w:color="auto" w:fill="D9D9D9" w:themeFill="background1" w:themeFillShade="D9"/>
          </w:tcPr>
          <w:p w:rsidR="00594F89" w:rsidRPr="00564359" w:rsidRDefault="00594F89" w:rsidP="00AD3A3B">
            <w:pPr>
              <w:jc w:val="center"/>
              <w:rPr>
                <w:sz w:val="18"/>
                <w:szCs w:val="18"/>
              </w:rPr>
            </w:pPr>
            <w:r w:rsidRPr="00564359">
              <w:rPr>
                <w:sz w:val="18"/>
                <w:szCs w:val="18"/>
              </w:rPr>
              <w:t>Proposed Case Notification (Y/N)</w:t>
            </w:r>
          </w:p>
        </w:tc>
        <w:tc>
          <w:tcPr>
            <w:tcW w:w="1123" w:type="dxa"/>
            <w:shd w:val="clear" w:color="auto" w:fill="D9D9D9" w:themeFill="background1" w:themeFillShade="D9"/>
          </w:tcPr>
          <w:p w:rsidR="00594F89" w:rsidRPr="00564359" w:rsidRDefault="00594F89" w:rsidP="00AD3A3B">
            <w:pPr>
              <w:jc w:val="center"/>
              <w:rPr>
                <w:sz w:val="18"/>
                <w:szCs w:val="18"/>
              </w:rPr>
            </w:pPr>
            <w:r w:rsidRPr="00564359">
              <w:rPr>
                <w:sz w:val="18"/>
                <w:szCs w:val="18"/>
              </w:rPr>
              <w:t>Current Disease-specific Data Elements (Y/N)</w:t>
            </w:r>
          </w:p>
        </w:tc>
        <w:tc>
          <w:tcPr>
            <w:tcW w:w="1146" w:type="dxa"/>
            <w:shd w:val="clear" w:color="auto" w:fill="D9D9D9" w:themeFill="background1" w:themeFillShade="D9"/>
          </w:tcPr>
          <w:p w:rsidR="00594F89" w:rsidRPr="00564359" w:rsidRDefault="00594F89" w:rsidP="00AD3A3B">
            <w:pPr>
              <w:jc w:val="center"/>
              <w:rPr>
                <w:sz w:val="18"/>
                <w:szCs w:val="18"/>
              </w:rPr>
            </w:pPr>
            <w:r w:rsidRPr="00564359">
              <w:rPr>
                <w:sz w:val="18"/>
                <w:szCs w:val="18"/>
              </w:rPr>
              <w:t>Proposed Disease-specific Data Elements (Y/N)</w:t>
            </w:r>
          </w:p>
        </w:tc>
        <w:tc>
          <w:tcPr>
            <w:tcW w:w="1123" w:type="dxa"/>
            <w:shd w:val="clear" w:color="auto" w:fill="D9D9D9" w:themeFill="background1" w:themeFillShade="D9"/>
          </w:tcPr>
          <w:p w:rsidR="00594F89" w:rsidRPr="00564359" w:rsidRDefault="00594F89" w:rsidP="0021536D">
            <w:pPr>
              <w:jc w:val="center"/>
              <w:rPr>
                <w:sz w:val="18"/>
                <w:szCs w:val="18"/>
              </w:rPr>
            </w:pPr>
            <w:r w:rsidRPr="00564359">
              <w:rPr>
                <w:sz w:val="18"/>
                <w:szCs w:val="18"/>
              </w:rPr>
              <w:t>Number of Existing Data Elements in NNDSS</w:t>
            </w:r>
            <w:r w:rsidR="008023BE" w:rsidRPr="00564359">
              <w:rPr>
                <w:sz w:val="18"/>
                <w:szCs w:val="18"/>
              </w:rPr>
              <w:t xml:space="preserve"> (or OMB #</w:t>
            </w:r>
            <w:r w:rsidR="0021536D" w:rsidRPr="00564359">
              <w:rPr>
                <w:sz w:val="18"/>
                <w:szCs w:val="18"/>
              </w:rPr>
              <w:t xml:space="preserve"> 0920-0036</w:t>
            </w:r>
            <w:r w:rsidR="008023BE" w:rsidRPr="00564359">
              <w:rPr>
                <w:sz w:val="18"/>
                <w:szCs w:val="18"/>
              </w:rPr>
              <w:t>)</w:t>
            </w:r>
            <w:r w:rsidR="00FC4EDD" w:rsidRPr="00564359">
              <w:rPr>
                <w:rStyle w:val="FootnoteReference"/>
                <w:sz w:val="18"/>
                <w:szCs w:val="18"/>
              </w:rPr>
              <w:footnoteReference w:id="1"/>
            </w:r>
          </w:p>
        </w:tc>
        <w:tc>
          <w:tcPr>
            <w:tcW w:w="1385" w:type="dxa"/>
            <w:shd w:val="clear" w:color="auto" w:fill="D9D9D9" w:themeFill="background1" w:themeFillShade="D9"/>
          </w:tcPr>
          <w:p w:rsidR="00594F89" w:rsidRPr="00564359" w:rsidRDefault="00594F89" w:rsidP="00AD3A3B">
            <w:pPr>
              <w:jc w:val="center"/>
              <w:rPr>
                <w:sz w:val="18"/>
                <w:szCs w:val="18"/>
              </w:rPr>
            </w:pPr>
            <w:r w:rsidRPr="00564359">
              <w:rPr>
                <w:sz w:val="18"/>
                <w:szCs w:val="18"/>
              </w:rPr>
              <w:t>Proposed Number of new NNDSS Data Elements</w:t>
            </w:r>
          </w:p>
        </w:tc>
      </w:tr>
      <w:tr w:rsidR="00594F89" w:rsidTr="005E7DAB">
        <w:trPr>
          <w:trHeight w:val="577"/>
        </w:trPr>
        <w:tc>
          <w:tcPr>
            <w:tcW w:w="2249" w:type="dxa"/>
          </w:tcPr>
          <w:p w:rsidR="00594F89" w:rsidRPr="00BF600C" w:rsidRDefault="00594F89" w:rsidP="00AD3A3B">
            <w:r w:rsidRPr="00BF600C">
              <w:rPr>
                <w:i/>
              </w:rPr>
              <w:t>Candida auris</w:t>
            </w:r>
            <w:r>
              <w:rPr>
                <w:i/>
              </w:rPr>
              <w:t xml:space="preserve"> </w:t>
            </w:r>
            <w:r>
              <w:t>(</w:t>
            </w:r>
            <w:r w:rsidRPr="00BF600C">
              <w:rPr>
                <w:i/>
              </w:rPr>
              <w:t>C. auris</w:t>
            </w:r>
            <w:r>
              <w:t>)</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N</w:t>
            </w:r>
          </w:p>
        </w:tc>
        <w:tc>
          <w:tcPr>
            <w:tcW w:w="1370" w:type="dxa"/>
          </w:tcPr>
          <w:p w:rsidR="00594F89" w:rsidRDefault="00594F89" w:rsidP="00AD3A3B">
            <w:r>
              <w:t>Y</w:t>
            </w:r>
          </w:p>
        </w:tc>
        <w:tc>
          <w:tcPr>
            <w:tcW w:w="1123" w:type="dxa"/>
          </w:tcPr>
          <w:p w:rsidR="00594F89" w:rsidRDefault="00594F89" w:rsidP="00AD3A3B">
            <w:r>
              <w:t>N</w:t>
            </w:r>
          </w:p>
        </w:tc>
        <w:tc>
          <w:tcPr>
            <w:tcW w:w="1146" w:type="dxa"/>
          </w:tcPr>
          <w:p w:rsidR="00594F89" w:rsidRDefault="00594F89" w:rsidP="00AD3A3B">
            <w:r>
              <w:t>N</w:t>
            </w:r>
          </w:p>
        </w:tc>
        <w:tc>
          <w:tcPr>
            <w:tcW w:w="1123" w:type="dxa"/>
          </w:tcPr>
          <w:p w:rsidR="00594F89" w:rsidRDefault="00594F89" w:rsidP="00AD3A3B">
            <w:r>
              <w:t>0</w:t>
            </w:r>
          </w:p>
        </w:tc>
        <w:tc>
          <w:tcPr>
            <w:tcW w:w="1385" w:type="dxa"/>
          </w:tcPr>
          <w:p w:rsidR="00594F89" w:rsidRDefault="00594F89" w:rsidP="00AD3A3B">
            <w:r>
              <w:t>0</w:t>
            </w:r>
          </w:p>
        </w:tc>
      </w:tr>
      <w:tr w:rsidR="00594F89" w:rsidTr="005E7DAB">
        <w:trPr>
          <w:trHeight w:val="1425"/>
        </w:trPr>
        <w:tc>
          <w:tcPr>
            <w:tcW w:w="2249" w:type="dxa"/>
          </w:tcPr>
          <w:p w:rsidR="00594F89" w:rsidRDefault="00594F89" w:rsidP="00AD3A3B">
            <w:r>
              <w:t>Carbapenemase-Producing Carbapenem-Resistant Enterobacteriaceae (CP-CRE)</w:t>
            </w:r>
          </w:p>
        </w:tc>
        <w:tc>
          <w:tcPr>
            <w:tcW w:w="1536" w:type="dxa"/>
            <w:shd w:val="clear" w:color="auto" w:fill="auto"/>
          </w:tcPr>
          <w:p w:rsidR="00594F89" w:rsidRDefault="00594F89" w:rsidP="00AD3A3B">
            <w:pPr>
              <w:jc w:val="center"/>
            </w:pPr>
            <w:r w:rsidRPr="001569CF">
              <w:t>NNC</w:t>
            </w:r>
          </w:p>
        </w:tc>
        <w:tc>
          <w:tcPr>
            <w:tcW w:w="1370" w:type="dxa"/>
          </w:tcPr>
          <w:p w:rsidR="00594F89" w:rsidRDefault="00594F89" w:rsidP="00AD3A3B">
            <w:r>
              <w:t>N</w:t>
            </w:r>
          </w:p>
        </w:tc>
        <w:tc>
          <w:tcPr>
            <w:tcW w:w="1370" w:type="dxa"/>
          </w:tcPr>
          <w:p w:rsidR="00594F89" w:rsidRDefault="00594F89" w:rsidP="00AD3A3B">
            <w:r>
              <w:t>Y</w:t>
            </w:r>
          </w:p>
        </w:tc>
        <w:tc>
          <w:tcPr>
            <w:tcW w:w="1123" w:type="dxa"/>
          </w:tcPr>
          <w:p w:rsidR="00594F89" w:rsidRDefault="00594F89" w:rsidP="00AD3A3B">
            <w:r>
              <w:t>N</w:t>
            </w:r>
          </w:p>
        </w:tc>
        <w:tc>
          <w:tcPr>
            <w:tcW w:w="1146" w:type="dxa"/>
          </w:tcPr>
          <w:p w:rsidR="00594F89" w:rsidRDefault="00594F89" w:rsidP="00AD3A3B">
            <w:r>
              <w:t>Y</w:t>
            </w:r>
          </w:p>
        </w:tc>
        <w:tc>
          <w:tcPr>
            <w:tcW w:w="1123" w:type="dxa"/>
          </w:tcPr>
          <w:p w:rsidR="00594F89" w:rsidRDefault="00594F89" w:rsidP="00AD3A3B">
            <w:r>
              <w:t>0</w:t>
            </w:r>
          </w:p>
        </w:tc>
        <w:tc>
          <w:tcPr>
            <w:tcW w:w="1385" w:type="dxa"/>
          </w:tcPr>
          <w:p w:rsidR="00594F89" w:rsidRDefault="00594F89" w:rsidP="00AD3A3B">
            <w:r>
              <w:t>8</w:t>
            </w:r>
          </w:p>
        </w:tc>
      </w:tr>
      <w:tr w:rsidR="00594F89" w:rsidTr="005E7DAB">
        <w:trPr>
          <w:trHeight w:val="577"/>
        </w:trPr>
        <w:tc>
          <w:tcPr>
            <w:tcW w:w="2249" w:type="dxa"/>
          </w:tcPr>
          <w:p w:rsidR="00594F89" w:rsidRDefault="00594F89" w:rsidP="00AD3A3B">
            <w:r>
              <w:t>Carbon Monoxide (CO) Poisoning</w:t>
            </w:r>
          </w:p>
        </w:tc>
        <w:tc>
          <w:tcPr>
            <w:tcW w:w="1536" w:type="dxa"/>
            <w:shd w:val="clear" w:color="auto" w:fill="auto"/>
          </w:tcPr>
          <w:p w:rsidR="00594F89" w:rsidRDefault="00594F89" w:rsidP="00AD3A3B">
            <w:pPr>
              <w:jc w:val="center"/>
            </w:pPr>
            <w:r w:rsidRPr="001569CF">
              <w:t>NNC</w:t>
            </w:r>
          </w:p>
        </w:tc>
        <w:tc>
          <w:tcPr>
            <w:tcW w:w="1370" w:type="dxa"/>
          </w:tcPr>
          <w:p w:rsidR="00594F89" w:rsidRDefault="00594F89" w:rsidP="00AD3A3B">
            <w:r>
              <w:t>N</w:t>
            </w:r>
          </w:p>
        </w:tc>
        <w:tc>
          <w:tcPr>
            <w:tcW w:w="1370" w:type="dxa"/>
          </w:tcPr>
          <w:p w:rsidR="00594F89" w:rsidRDefault="00594F89" w:rsidP="00AD3A3B">
            <w:r>
              <w:t>Y</w:t>
            </w:r>
          </w:p>
        </w:tc>
        <w:tc>
          <w:tcPr>
            <w:tcW w:w="1123" w:type="dxa"/>
          </w:tcPr>
          <w:p w:rsidR="00594F89" w:rsidRDefault="00594F89" w:rsidP="00AD3A3B">
            <w:r>
              <w:t>N</w:t>
            </w:r>
          </w:p>
        </w:tc>
        <w:tc>
          <w:tcPr>
            <w:tcW w:w="1146" w:type="dxa"/>
          </w:tcPr>
          <w:p w:rsidR="00594F89" w:rsidRDefault="00594F89" w:rsidP="00AD3A3B">
            <w:r>
              <w:t>Y</w:t>
            </w:r>
          </w:p>
        </w:tc>
        <w:tc>
          <w:tcPr>
            <w:tcW w:w="1123" w:type="dxa"/>
          </w:tcPr>
          <w:p w:rsidR="00594F89" w:rsidRDefault="00594F89" w:rsidP="00AD3A3B">
            <w:r>
              <w:t>0</w:t>
            </w:r>
          </w:p>
        </w:tc>
        <w:tc>
          <w:tcPr>
            <w:tcW w:w="1385" w:type="dxa"/>
          </w:tcPr>
          <w:p w:rsidR="00594F89" w:rsidRDefault="00594F89" w:rsidP="00AD3A3B">
            <w:r>
              <w:t>4</w:t>
            </w:r>
          </w:p>
        </w:tc>
      </w:tr>
      <w:tr w:rsidR="00594F89" w:rsidTr="005E7DAB">
        <w:trPr>
          <w:trHeight w:val="577"/>
        </w:trPr>
        <w:tc>
          <w:tcPr>
            <w:tcW w:w="2249" w:type="dxa"/>
          </w:tcPr>
          <w:p w:rsidR="00594F89" w:rsidRDefault="00594F89" w:rsidP="00AD3A3B">
            <w:r>
              <w:t>Tuberculosis (TB) Disease</w:t>
            </w:r>
          </w:p>
        </w:tc>
        <w:tc>
          <w:tcPr>
            <w:tcW w:w="1536" w:type="dxa"/>
            <w:shd w:val="clear" w:color="auto" w:fill="auto"/>
          </w:tcPr>
          <w:p w:rsidR="00594F89" w:rsidRDefault="00594F89" w:rsidP="00AD3A3B">
            <w:pPr>
              <w:jc w:val="center"/>
            </w:pPr>
            <w:r w:rsidRPr="001569CF">
              <w:t>NNC</w:t>
            </w:r>
          </w:p>
        </w:tc>
        <w:tc>
          <w:tcPr>
            <w:tcW w:w="1370" w:type="dxa"/>
          </w:tcPr>
          <w:p w:rsidR="00594F89" w:rsidRDefault="00594F89" w:rsidP="00AD3A3B">
            <w:r>
              <w:t>N</w:t>
            </w:r>
          </w:p>
        </w:tc>
        <w:tc>
          <w:tcPr>
            <w:tcW w:w="1370" w:type="dxa"/>
          </w:tcPr>
          <w:p w:rsidR="00594F89" w:rsidRDefault="00594F89" w:rsidP="00AD3A3B">
            <w:r>
              <w:t>Y</w:t>
            </w:r>
          </w:p>
        </w:tc>
        <w:tc>
          <w:tcPr>
            <w:tcW w:w="1123" w:type="dxa"/>
          </w:tcPr>
          <w:p w:rsidR="00594F89" w:rsidRDefault="00594F89" w:rsidP="00AD3A3B">
            <w:r>
              <w:t>N</w:t>
            </w:r>
          </w:p>
        </w:tc>
        <w:tc>
          <w:tcPr>
            <w:tcW w:w="1146" w:type="dxa"/>
          </w:tcPr>
          <w:p w:rsidR="00594F89" w:rsidRDefault="00594F89" w:rsidP="00AD3A3B">
            <w:r>
              <w:t>Y</w:t>
            </w:r>
          </w:p>
        </w:tc>
        <w:tc>
          <w:tcPr>
            <w:tcW w:w="1123" w:type="dxa"/>
          </w:tcPr>
          <w:p w:rsidR="00594F89" w:rsidRDefault="0021536D" w:rsidP="00AD3A3B">
            <w:r>
              <w:t>59</w:t>
            </w:r>
          </w:p>
        </w:tc>
        <w:tc>
          <w:tcPr>
            <w:tcW w:w="1385" w:type="dxa"/>
          </w:tcPr>
          <w:p w:rsidR="00594F89" w:rsidRDefault="0021536D" w:rsidP="00AD3A3B">
            <w:r>
              <w:t>36</w:t>
            </w:r>
          </w:p>
        </w:tc>
      </w:tr>
      <w:tr w:rsidR="00594F89" w:rsidTr="005E7DAB">
        <w:trPr>
          <w:trHeight w:val="282"/>
        </w:trPr>
        <w:tc>
          <w:tcPr>
            <w:tcW w:w="2249" w:type="dxa"/>
          </w:tcPr>
          <w:p w:rsidR="00594F89" w:rsidRDefault="00594F89" w:rsidP="00AD3A3B">
            <w:r w:rsidRPr="00BF600C">
              <w:rPr>
                <w:i/>
              </w:rPr>
              <w:t>S.</w:t>
            </w:r>
            <w:r>
              <w:t xml:space="preserve"> Typhi Infection</w:t>
            </w:r>
          </w:p>
        </w:tc>
        <w:tc>
          <w:tcPr>
            <w:tcW w:w="1536" w:type="dxa"/>
            <w:shd w:val="clear" w:color="auto" w:fill="auto"/>
          </w:tcPr>
          <w:p w:rsidR="00594F89" w:rsidRDefault="00594F89" w:rsidP="00AD3A3B">
            <w:pPr>
              <w:jc w:val="center"/>
            </w:pPr>
            <w:r w:rsidRPr="001569CF">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62</w:t>
            </w:r>
          </w:p>
        </w:tc>
        <w:tc>
          <w:tcPr>
            <w:tcW w:w="1385" w:type="dxa"/>
          </w:tcPr>
          <w:p w:rsidR="00594F89" w:rsidRDefault="00594F89" w:rsidP="00AD3A3B">
            <w:r>
              <w:t>4</w:t>
            </w:r>
          </w:p>
        </w:tc>
      </w:tr>
      <w:tr w:rsidR="00594F89" w:rsidTr="005E7DAB">
        <w:trPr>
          <w:trHeight w:val="282"/>
        </w:trPr>
        <w:tc>
          <w:tcPr>
            <w:tcW w:w="2249" w:type="dxa"/>
          </w:tcPr>
          <w:p w:rsidR="00594F89" w:rsidRDefault="00594F89" w:rsidP="00AD3A3B">
            <w:r w:rsidRPr="00BF600C">
              <w:rPr>
                <w:i/>
              </w:rPr>
              <w:t>S.</w:t>
            </w:r>
            <w:r>
              <w:t xml:space="preserve"> Paratyphi Infection</w:t>
            </w:r>
          </w:p>
        </w:tc>
        <w:tc>
          <w:tcPr>
            <w:tcW w:w="1536" w:type="dxa"/>
            <w:shd w:val="clear" w:color="auto" w:fill="auto"/>
          </w:tcPr>
          <w:p w:rsidR="00594F89" w:rsidRDefault="00594F89" w:rsidP="00AD3A3B">
            <w:pPr>
              <w:jc w:val="center"/>
            </w:pPr>
            <w:r w:rsidRPr="001569CF">
              <w:t>NNC</w:t>
            </w:r>
          </w:p>
        </w:tc>
        <w:tc>
          <w:tcPr>
            <w:tcW w:w="1370" w:type="dxa"/>
          </w:tcPr>
          <w:p w:rsidR="00594F89" w:rsidRDefault="00594F89" w:rsidP="00AD3A3B">
            <w:r>
              <w:t>N</w:t>
            </w:r>
          </w:p>
        </w:tc>
        <w:tc>
          <w:tcPr>
            <w:tcW w:w="1370" w:type="dxa"/>
          </w:tcPr>
          <w:p w:rsidR="00594F89" w:rsidRDefault="00594F89" w:rsidP="00AD3A3B">
            <w:r>
              <w:t>Y</w:t>
            </w:r>
          </w:p>
        </w:tc>
        <w:tc>
          <w:tcPr>
            <w:tcW w:w="1123" w:type="dxa"/>
          </w:tcPr>
          <w:p w:rsidR="00594F89" w:rsidRDefault="00594F89" w:rsidP="00AD3A3B">
            <w:r>
              <w:t>N</w:t>
            </w:r>
          </w:p>
        </w:tc>
        <w:tc>
          <w:tcPr>
            <w:tcW w:w="1146" w:type="dxa"/>
          </w:tcPr>
          <w:p w:rsidR="00594F89" w:rsidRDefault="00594F89" w:rsidP="00AD3A3B">
            <w:r>
              <w:t>Y</w:t>
            </w:r>
          </w:p>
        </w:tc>
        <w:tc>
          <w:tcPr>
            <w:tcW w:w="1123" w:type="dxa"/>
          </w:tcPr>
          <w:p w:rsidR="00594F89" w:rsidRDefault="00594F89" w:rsidP="00AD3A3B">
            <w:r>
              <w:t>0</w:t>
            </w:r>
          </w:p>
        </w:tc>
        <w:tc>
          <w:tcPr>
            <w:tcW w:w="1385" w:type="dxa"/>
          </w:tcPr>
          <w:p w:rsidR="00594F89" w:rsidRDefault="00594F89" w:rsidP="00AD3A3B">
            <w:r>
              <w:t>60</w:t>
            </w:r>
          </w:p>
        </w:tc>
      </w:tr>
      <w:tr w:rsidR="00594F89" w:rsidTr="005E7DAB">
        <w:trPr>
          <w:trHeight w:val="577"/>
        </w:trPr>
        <w:tc>
          <w:tcPr>
            <w:tcW w:w="2249" w:type="dxa"/>
          </w:tcPr>
          <w:p w:rsidR="00594F89" w:rsidRDefault="00594F89" w:rsidP="00AD3A3B">
            <w:r>
              <w:t>Latent TB Infection (TB Infection)</w:t>
            </w:r>
          </w:p>
        </w:tc>
        <w:tc>
          <w:tcPr>
            <w:tcW w:w="1536" w:type="dxa"/>
            <w:shd w:val="clear" w:color="auto" w:fill="auto"/>
          </w:tcPr>
          <w:p w:rsidR="00594F89" w:rsidRDefault="00594F89" w:rsidP="00AD3A3B">
            <w:pPr>
              <w:jc w:val="center"/>
            </w:pPr>
            <w:r>
              <w:t>CSS</w:t>
            </w:r>
          </w:p>
        </w:tc>
        <w:tc>
          <w:tcPr>
            <w:tcW w:w="1370" w:type="dxa"/>
          </w:tcPr>
          <w:p w:rsidR="00594F89" w:rsidRDefault="00594F89" w:rsidP="00AD3A3B">
            <w:r>
              <w:t>N</w:t>
            </w:r>
          </w:p>
        </w:tc>
        <w:tc>
          <w:tcPr>
            <w:tcW w:w="1370" w:type="dxa"/>
          </w:tcPr>
          <w:p w:rsidR="00594F89" w:rsidRDefault="00594F89" w:rsidP="00AD3A3B">
            <w:r>
              <w:t>Y</w:t>
            </w:r>
          </w:p>
        </w:tc>
        <w:tc>
          <w:tcPr>
            <w:tcW w:w="1123" w:type="dxa"/>
          </w:tcPr>
          <w:p w:rsidR="00594F89" w:rsidRDefault="00594F89" w:rsidP="00AD3A3B">
            <w:r>
              <w:t>N</w:t>
            </w:r>
          </w:p>
        </w:tc>
        <w:tc>
          <w:tcPr>
            <w:tcW w:w="1146" w:type="dxa"/>
          </w:tcPr>
          <w:p w:rsidR="00594F89" w:rsidRDefault="00594F89" w:rsidP="00AD3A3B">
            <w:r>
              <w:t>Y</w:t>
            </w:r>
          </w:p>
        </w:tc>
        <w:tc>
          <w:tcPr>
            <w:tcW w:w="1123" w:type="dxa"/>
          </w:tcPr>
          <w:p w:rsidR="00594F89" w:rsidRDefault="00594F89" w:rsidP="00AD3A3B">
            <w:r>
              <w:t>0</w:t>
            </w:r>
          </w:p>
        </w:tc>
        <w:tc>
          <w:tcPr>
            <w:tcW w:w="1385" w:type="dxa"/>
          </w:tcPr>
          <w:p w:rsidR="00594F89" w:rsidRDefault="00594F89" w:rsidP="00AD3A3B">
            <w:r>
              <w:t>51</w:t>
            </w:r>
          </w:p>
        </w:tc>
      </w:tr>
      <w:tr w:rsidR="00594F89" w:rsidTr="005E7DAB">
        <w:trPr>
          <w:trHeight w:val="860"/>
        </w:trPr>
        <w:tc>
          <w:tcPr>
            <w:tcW w:w="2249" w:type="dxa"/>
          </w:tcPr>
          <w:p w:rsidR="00594F89" w:rsidRDefault="00594F89" w:rsidP="00AD3A3B">
            <w:r>
              <w:t>Respiratory Syncytial Virus (RSV)-Associated Mortality</w:t>
            </w:r>
          </w:p>
        </w:tc>
        <w:tc>
          <w:tcPr>
            <w:tcW w:w="1536" w:type="dxa"/>
            <w:shd w:val="clear" w:color="auto" w:fill="auto"/>
          </w:tcPr>
          <w:p w:rsidR="00594F89" w:rsidRDefault="00594F89" w:rsidP="00AD3A3B">
            <w:pPr>
              <w:jc w:val="center"/>
            </w:pPr>
            <w:r>
              <w:t>CSS</w:t>
            </w:r>
          </w:p>
        </w:tc>
        <w:tc>
          <w:tcPr>
            <w:tcW w:w="1370" w:type="dxa"/>
          </w:tcPr>
          <w:p w:rsidR="00594F89" w:rsidRDefault="00594F89" w:rsidP="00AD3A3B">
            <w:r>
              <w:t>N</w:t>
            </w:r>
          </w:p>
        </w:tc>
        <w:tc>
          <w:tcPr>
            <w:tcW w:w="1370" w:type="dxa"/>
          </w:tcPr>
          <w:p w:rsidR="00594F89" w:rsidRDefault="00594F89" w:rsidP="00AD3A3B">
            <w:r>
              <w:t>Y</w:t>
            </w:r>
          </w:p>
        </w:tc>
        <w:tc>
          <w:tcPr>
            <w:tcW w:w="1123" w:type="dxa"/>
          </w:tcPr>
          <w:p w:rsidR="00594F89" w:rsidRDefault="00594F89" w:rsidP="00AD3A3B">
            <w:r>
              <w:t>N</w:t>
            </w:r>
          </w:p>
        </w:tc>
        <w:tc>
          <w:tcPr>
            <w:tcW w:w="1146" w:type="dxa"/>
          </w:tcPr>
          <w:p w:rsidR="00594F89" w:rsidRDefault="00594F89" w:rsidP="00AD3A3B">
            <w:r>
              <w:t>N</w:t>
            </w:r>
          </w:p>
        </w:tc>
        <w:tc>
          <w:tcPr>
            <w:tcW w:w="1123" w:type="dxa"/>
          </w:tcPr>
          <w:p w:rsidR="00594F89" w:rsidRDefault="00594F89" w:rsidP="00AD3A3B">
            <w:r>
              <w:t>0</w:t>
            </w:r>
          </w:p>
        </w:tc>
        <w:tc>
          <w:tcPr>
            <w:tcW w:w="1385" w:type="dxa"/>
          </w:tcPr>
          <w:p w:rsidR="00594F89" w:rsidRDefault="00594F89" w:rsidP="00AD3A3B">
            <w:r>
              <w:t>0</w:t>
            </w:r>
          </w:p>
        </w:tc>
      </w:tr>
      <w:tr w:rsidR="00594F89" w:rsidTr="005E7DAB">
        <w:trPr>
          <w:trHeight w:val="564"/>
        </w:trPr>
        <w:tc>
          <w:tcPr>
            <w:tcW w:w="2249" w:type="dxa"/>
          </w:tcPr>
          <w:p w:rsidR="00594F89" w:rsidRDefault="00594F89" w:rsidP="00AD3A3B">
            <w:r>
              <w:t>Shiga Toxin-Producing Esherichia coli (STEC)</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332</w:t>
            </w:r>
          </w:p>
        </w:tc>
        <w:tc>
          <w:tcPr>
            <w:tcW w:w="1385" w:type="dxa"/>
          </w:tcPr>
          <w:p w:rsidR="00594F89" w:rsidRDefault="00594F89" w:rsidP="00AD3A3B">
            <w:r>
              <w:t>2</w:t>
            </w:r>
          </w:p>
        </w:tc>
      </w:tr>
      <w:tr w:rsidR="00594F89" w:rsidTr="005E7DAB">
        <w:trPr>
          <w:trHeight w:val="282"/>
        </w:trPr>
        <w:tc>
          <w:tcPr>
            <w:tcW w:w="2249" w:type="dxa"/>
          </w:tcPr>
          <w:p w:rsidR="00594F89" w:rsidRDefault="00594F89" w:rsidP="00AD3A3B">
            <w:r>
              <w:t>Salmonellosis</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152</w:t>
            </w:r>
          </w:p>
        </w:tc>
        <w:tc>
          <w:tcPr>
            <w:tcW w:w="1385" w:type="dxa"/>
          </w:tcPr>
          <w:p w:rsidR="00594F89" w:rsidRDefault="00594F89" w:rsidP="00AD3A3B">
            <w:r>
              <w:t>1</w:t>
            </w:r>
          </w:p>
        </w:tc>
      </w:tr>
      <w:tr w:rsidR="00594F89" w:rsidTr="005E7DAB">
        <w:trPr>
          <w:trHeight w:val="294"/>
        </w:trPr>
        <w:tc>
          <w:tcPr>
            <w:tcW w:w="2249" w:type="dxa"/>
          </w:tcPr>
          <w:p w:rsidR="00594F89" w:rsidRDefault="00594F89" w:rsidP="00AD3A3B">
            <w:r>
              <w:t>Shigellosis</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20</w:t>
            </w:r>
          </w:p>
        </w:tc>
        <w:tc>
          <w:tcPr>
            <w:tcW w:w="1385" w:type="dxa"/>
          </w:tcPr>
          <w:p w:rsidR="00594F89" w:rsidRDefault="00594F89" w:rsidP="00AD3A3B">
            <w:r>
              <w:t>4</w:t>
            </w:r>
          </w:p>
        </w:tc>
      </w:tr>
      <w:tr w:rsidR="00594F89" w:rsidTr="005E7DAB">
        <w:trPr>
          <w:trHeight w:val="282"/>
        </w:trPr>
        <w:tc>
          <w:tcPr>
            <w:tcW w:w="2249" w:type="dxa"/>
          </w:tcPr>
          <w:p w:rsidR="00594F89" w:rsidRDefault="00594F89" w:rsidP="00AD3A3B">
            <w:r>
              <w:t>Campylobacteriosis</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11</w:t>
            </w:r>
          </w:p>
        </w:tc>
        <w:tc>
          <w:tcPr>
            <w:tcW w:w="1385" w:type="dxa"/>
          </w:tcPr>
          <w:p w:rsidR="00594F89" w:rsidRDefault="00594F89" w:rsidP="00AD3A3B">
            <w:r>
              <w:t>2</w:t>
            </w:r>
          </w:p>
        </w:tc>
      </w:tr>
      <w:tr w:rsidR="00594F89" w:rsidTr="005E7DAB">
        <w:trPr>
          <w:trHeight w:val="282"/>
        </w:trPr>
        <w:tc>
          <w:tcPr>
            <w:tcW w:w="2249" w:type="dxa"/>
          </w:tcPr>
          <w:p w:rsidR="00594F89" w:rsidRDefault="00594F89" w:rsidP="00AD3A3B">
            <w:r>
              <w:t>Crytosporidiosis</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151</w:t>
            </w:r>
          </w:p>
        </w:tc>
        <w:tc>
          <w:tcPr>
            <w:tcW w:w="1385" w:type="dxa"/>
          </w:tcPr>
          <w:p w:rsidR="00594F89" w:rsidRDefault="00594F89" w:rsidP="00AD3A3B">
            <w:r>
              <w:t>1</w:t>
            </w:r>
          </w:p>
        </w:tc>
      </w:tr>
      <w:tr w:rsidR="00594F89" w:rsidTr="005E7DAB">
        <w:trPr>
          <w:trHeight w:val="282"/>
        </w:trPr>
        <w:tc>
          <w:tcPr>
            <w:tcW w:w="2249" w:type="dxa"/>
          </w:tcPr>
          <w:p w:rsidR="00594F89" w:rsidRDefault="00594F89" w:rsidP="00AD3A3B">
            <w:r>
              <w:t>Cyclosporiasis</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127</w:t>
            </w:r>
          </w:p>
        </w:tc>
        <w:tc>
          <w:tcPr>
            <w:tcW w:w="1385" w:type="dxa"/>
          </w:tcPr>
          <w:p w:rsidR="00594F89" w:rsidRDefault="00594F89" w:rsidP="00AD3A3B">
            <w:r>
              <w:t>3</w:t>
            </w:r>
          </w:p>
        </w:tc>
      </w:tr>
      <w:tr w:rsidR="00594F89" w:rsidTr="005E7DAB">
        <w:trPr>
          <w:trHeight w:val="294"/>
        </w:trPr>
        <w:tc>
          <w:tcPr>
            <w:tcW w:w="2249" w:type="dxa"/>
          </w:tcPr>
          <w:p w:rsidR="00594F89" w:rsidRDefault="00594F89" w:rsidP="00AD3A3B">
            <w:r>
              <w:t>Cholera</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245</w:t>
            </w:r>
          </w:p>
        </w:tc>
        <w:tc>
          <w:tcPr>
            <w:tcW w:w="1385" w:type="dxa"/>
          </w:tcPr>
          <w:p w:rsidR="00594F89" w:rsidRDefault="00594F89" w:rsidP="00AD3A3B">
            <w:r>
              <w:t>1</w:t>
            </w:r>
          </w:p>
        </w:tc>
      </w:tr>
      <w:tr w:rsidR="00594F89" w:rsidTr="005E7DAB">
        <w:trPr>
          <w:trHeight w:val="282"/>
        </w:trPr>
        <w:tc>
          <w:tcPr>
            <w:tcW w:w="2249" w:type="dxa"/>
          </w:tcPr>
          <w:p w:rsidR="00594F89" w:rsidRDefault="00594F89" w:rsidP="00AD3A3B">
            <w:r>
              <w:t>Vibriosis</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218</w:t>
            </w:r>
          </w:p>
        </w:tc>
        <w:tc>
          <w:tcPr>
            <w:tcW w:w="1385" w:type="dxa"/>
          </w:tcPr>
          <w:p w:rsidR="00594F89" w:rsidRDefault="00594F89" w:rsidP="00AD3A3B">
            <w:r>
              <w:t>1</w:t>
            </w:r>
          </w:p>
        </w:tc>
      </w:tr>
      <w:tr w:rsidR="00594F89" w:rsidTr="005E7DAB">
        <w:trPr>
          <w:trHeight w:val="282"/>
        </w:trPr>
        <w:tc>
          <w:tcPr>
            <w:tcW w:w="2249" w:type="dxa"/>
          </w:tcPr>
          <w:p w:rsidR="00594F89" w:rsidRDefault="00594F89" w:rsidP="00AD3A3B">
            <w:r>
              <w:t>Lyme Disease</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25</w:t>
            </w:r>
          </w:p>
        </w:tc>
        <w:tc>
          <w:tcPr>
            <w:tcW w:w="1385" w:type="dxa"/>
          </w:tcPr>
          <w:p w:rsidR="00594F89" w:rsidRDefault="00594F89" w:rsidP="00AD3A3B">
            <w:r>
              <w:t>7</w:t>
            </w:r>
          </w:p>
        </w:tc>
      </w:tr>
      <w:tr w:rsidR="00594F89" w:rsidTr="005E7DAB">
        <w:trPr>
          <w:trHeight w:val="860"/>
        </w:trPr>
        <w:tc>
          <w:tcPr>
            <w:tcW w:w="2249" w:type="dxa"/>
          </w:tcPr>
          <w:p w:rsidR="00594F89" w:rsidRDefault="00594F89" w:rsidP="00AD3A3B">
            <w:r w:rsidRPr="00BF600C">
              <w:rPr>
                <w:i/>
              </w:rPr>
              <w:t>Haemophilus Influenzae</w:t>
            </w:r>
            <w:r>
              <w:rPr>
                <w:i/>
              </w:rPr>
              <w:t xml:space="preserve">, </w:t>
            </w:r>
            <w:r>
              <w:t>Invasive Disease</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49</w:t>
            </w:r>
          </w:p>
        </w:tc>
        <w:tc>
          <w:tcPr>
            <w:tcW w:w="1385" w:type="dxa"/>
          </w:tcPr>
          <w:p w:rsidR="00594F89" w:rsidRDefault="00594F89" w:rsidP="00AD3A3B">
            <w:r>
              <w:t>33</w:t>
            </w:r>
          </w:p>
        </w:tc>
      </w:tr>
      <w:tr w:rsidR="00594F89" w:rsidTr="005E7DAB">
        <w:trPr>
          <w:trHeight w:val="577"/>
        </w:trPr>
        <w:tc>
          <w:tcPr>
            <w:tcW w:w="2249" w:type="dxa"/>
          </w:tcPr>
          <w:p w:rsidR="00594F89" w:rsidRDefault="00594F89" w:rsidP="00AD3A3B">
            <w:r>
              <w:t>Meningococcal Disease</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55</w:t>
            </w:r>
          </w:p>
        </w:tc>
        <w:tc>
          <w:tcPr>
            <w:tcW w:w="1385" w:type="dxa"/>
          </w:tcPr>
          <w:p w:rsidR="00594F89" w:rsidRDefault="00594F89" w:rsidP="00AD3A3B">
            <w:r>
              <w:t>37</w:t>
            </w:r>
          </w:p>
        </w:tc>
      </w:tr>
      <w:tr w:rsidR="00594F89" w:rsidTr="005E7DAB">
        <w:trPr>
          <w:trHeight w:val="847"/>
        </w:trPr>
        <w:tc>
          <w:tcPr>
            <w:tcW w:w="2249" w:type="dxa"/>
          </w:tcPr>
          <w:p w:rsidR="00594F89" w:rsidRDefault="00594F89" w:rsidP="00AD3A3B">
            <w:r>
              <w:t>Invasive Pneumococcal Disease (IPD)</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26</w:t>
            </w:r>
          </w:p>
        </w:tc>
        <w:tc>
          <w:tcPr>
            <w:tcW w:w="1385" w:type="dxa"/>
          </w:tcPr>
          <w:p w:rsidR="00594F89" w:rsidRDefault="00594F89" w:rsidP="00AD3A3B">
            <w:r>
              <w:t>32</w:t>
            </w:r>
          </w:p>
        </w:tc>
      </w:tr>
      <w:tr w:rsidR="00594F89" w:rsidTr="005E7DAB">
        <w:trPr>
          <w:trHeight w:val="294"/>
        </w:trPr>
        <w:tc>
          <w:tcPr>
            <w:tcW w:w="2249" w:type="dxa"/>
          </w:tcPr>
          <w:p w:rsidR="00594F89" w:rsidRDefault="00594F89" w:rsidP="00AD3A3B">
            <w:r>
              <w:t xml:space="preserve">Psittacosis </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75</w:t>
            </w:r>
          </w:p>
        </w:tc>
        <w:tc>
          <w:tcPr>
            <w:tcW w:w="1385" w:type="dxa"/>
          </w:tcPr>
          <w:p w:rsidR="00594F89" w:rsidRDefault="00594F89" w:rsidP="00AD3A3B">
            <w:r>
              <w:t>27</w:t>
            </w:r>
          </w:p>
        </w:tc>
      </w:tr>
      <w:tr w:rsidR="00594F89" w:rsidTr="005E7DAB">
        <w:trPr>
          <w:trHeight w:val="282"/>
        </w:trPr>
        <w:tc>
          <w:tcPr>
            <w:tcW w:w="2249" w:type="dxa"/>
          </w:tcPr>
          <w:p w:rsidR="00594F89" w:rsidRDefault="00594F89" w:rsidP="00AD3A3B">
            <w:r>
              <w:t>Legionellosis</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78</w:t>
            </w:r>
          </w:p>
        </w:tc>
        <w:tc>
          <w:tcPr>
            <w:tcW w:w="1385" w:type="dxa"/>
          </w:tcPr>
          <w:p w:rsidR="00594F89" w:rsidRDefault="00594F89" w:rsidP="00AD3A3B">
            <w:r>
              <w:t>38</w:t>
            </w:r>
          </w:p>
        </w:tc>
      </w:tr>
      <w:tr w:rsidR="00594F89" w:rsidTr="005E7DAB">
        <w:trPr>
          <w:trHeight w:val="564"/>
        </w:trPr>
        <w:tc>
          <w:tcPr>
            <w:tcW w:w="2249" w:type="dxa"/>
            <w:shd w:val="clear" w:color="auto" w:fill="auto"/>
          </w:tcPr>
          <w:p w:rsidR="00594F89" w:rsidRPr="00A30973" w:rsidRDefault="00594F89" w:rsidP="00AD3A3B">
            <w:r w:rsidRPr="00EB2D93">
              <w:t>Tickborne Rickettsial Diseases (TBRD)</w:t>
            </w:r>
          </w:p>
        </w:tc>
        <w:tc>
          <w:tcPr>
            <w:tcW w:w="1536" w:type="dxa"/>
            <w:shd w:val="clear" w:color="auto" w:fill="auto"/>
          </w:tcPr>
          <w:p w:rsidR="00594F89" w:rsidRPr="00A30973" w:rsidRDefault="00594F89" w:rsidP="00AD3A3B">
            <w:pPr>
              <w:jc w:val="center"/>
            </w:pPr>
            <w:r w:rsidRPr="00A30973">
              <w:t>NNC</w:t>
            </w:r>
          </w:p>
        </w:tc>
        <w:tc>
          <w:tcPr>
            <w:tcW w:w="1370" w:type="dxa"/>
          </w:tcPr>
          <w:p w:rsidR="00594F89" w:rsidRDefault="00594F89" w:rsidP="00AD3A3B">
            <w:pPr>
              <w:jc w:val="both"/>
            </w:pPr>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34</w:t>
            </w:r>
          </w:p>
        </w:tc>
        <w:tc>
          <w:tcPr>
            <w:tcW w:w="1385" w:type="dxa"/>
          </w:tcPr>
          <w:p w:rsidR="00594F89" w:rsidRDefault="00594F89" w:rsidP="00AD3A3B">
            <w:r>
              <w:t>35</w:t>
            </w:r>
          </w:p>
        </w:tc>
      </w:tr>
      <w:tr w:rsidR="00594F89" w:rsidTr="005E7DAB">
        <w:trPr>
          <w:trHeight w:val="294"/>
        </w:trPr>
        <w:tc>
          <w:tcPr>
            <w:tcW w:w="2249" w:type="dxa"/>
          </w:tcPr>
          <w:p w:rsidR="00594F89" w:rsidRDefault="00594F89" w:rsidP="00AD3A3B">
            <w:r>
              <w:t>Hepatitis</w:t>
            </w:r>
          </w:p>
        </w:tc>
        <w:tc>
          <w:tcPr>
            <w:tcW w:w="1536" w:type="dxa"/>
            <w:shd w:val="clear" w:color="auto" w:fill="auto"/>
          </w:tcPr>
          <w:p w:rsidR="00594F89" w:rsidRDefault="00594F89" w:rsidP="00AD3A3B">
            <w:pPr>
              <w:jc w:val="center"/>
            </w:pPr>
            <w:r>
              <w:t>NNC</w:t>
            </w:r>
          </w:p>
        </w:tc>
        <w:tc>
          <w:tcPr>
            <w:tcW w:w="1370" w:type="dxa"/>
          </w:tcPr>
          <w:p w:rsidR="00594F89" w:rsidRDefault="00594F89" w:rsidP="00AD3A3B">
            <w:pPr>
              <w:jc w:val="both"/>
            </w:pPr>
            <w:r>
              <w:t>Y</w:t>
            </w:r>
          </w:p>
        </w:tc>
        <w:tc>
          <w:tcPr>
            <w:tcW w:w="1370" w:type="dxa"/>
            <w:shd w:val="clear" w:color="auto" w:fill="808080" w:themeFill="background1" w:themeFillShade="80"/>
          </w:tcPr>
          <w:p w:rsidR="00594F89" w:rsidRDefault="00594F89" w:rsidP="00AD3A3B"/>
        </w:tc>
        <w:tc>
          <w:tcPr>
            <w:tcW w:w="1123" w:type="dxa"/>
          </w:tcPr>
          <w:p w:rsidR="00594F89" w:rsidRDefault="00594F89" w:rsidP="00AD3A3B">
            <w:r>
              <w:t>Y</w:t>
            </w:r>
          </w:p>
        </w:tc>
        <w:tc>
          <w:tcPr>
            <w:tcW w:w="1146" w:type="dxa"/>
          </w:tcPr>
          <w:p w:rsidR="00594F89" w:rsidRDefault="00594F89" w:rsidP="00AD3A3B">
            <w:r>
              <w:t>Y</w:t>
            </w:r>
          </w:p>
        </w:tc>
        <w:tc>
          <w:tcPr>
            <w:tcW w:w="1123" w:type="dxa"/>
          </w:tcPr>
          <w:p w:rsidR="00594F89" w:rsidRDefault="00594F89" w:rsidP="00AD3A3B">
            <w:r>
              <w:t>126</w:t>
            </w:r>
          </w:p>
        </w:tc>
        <w:tc>
          <w:tcPr>
            <w:tcW w:w="1385" w:type="dxa"/>
          </w:tcPr>
          <w:p w:rsidR="00594F89" w:rsidRDefault="00594F89" w:rsidP="00AD3A3B">
            <w:r>
              <w:t>5</w:t>
            </w:r>
          </w:p>
        </w:tc>
      </w:tr>
    </w:tbl>
    <w:p w:rsidR="00594F89" w:rsidRDefault="00594F89" w:rsidP="00925656">
      <w:pPr>
        <w:spacing w:line="360" w:lineRule="auto"/>
        <w:rPr>
          <w:rFonts w:asciiTheme="minorHAnsi" w:hAnsiTheme="minorHAnsi"/>
          <w:sz w:val="22"/>
          <w:szCs w:val="22"/>
        </w:rPr>
      </w:pPr>
    </w:p>
    <w:p w:rsidR="00C44756" w:rsidRPr="00D1642D" w:rsidRDefault="002B0001" w:rsidP="00925656">
      <w:pPr>
        <w:spacing w:line="360" w:lineRule="auto"/>
        <w:rPr>
          <w:rFonts w:asciiTheme="minorHAnsi" w:hAnsiTheme="minorHAnsi"/>
          <w:sz w:val="22"/>
          <w:szCs w:val="22"/>
        </w:rPr>
      </w:pPr>
      <w:r w:rsidRPr="00D1642D">
        <w:rPr>
          <w:rFonts w:asciiTheme="minorHAnsi" w:hAnsiTheme="minorHAnsi"/>
          <w:sz w:val="22"/>
          <w:szCs w:val="22"/>
        </w:rPr>
        <w:t>Background</w:t>
      </w:r>
      <w:r w:rsidR="00580108">
        <w:rPr>
          <w:rFonts w:asciiTheme="minorHAnsi" w:hAnsiTheme="minorHAnsi"/>
          <w:sz w:val="22"/>
          <w:szCs w:val="22"/>
        </w:rPr>
        <w:t xml:space="preserve"> and Respondent Population</w:t>
      </w:r>
    </w:p>
    <w:p w:rsidR="0099570C" w:rsidRPr="00196045" w:rsidRDefault="00A76198" w:rsidP="00925656">
      <w:pPr>
        <w:spacing w:line="360" w:lineRule="auto"/>
        <w:rPr>
          <w:rFonts w:asciiTheme="minorHAnsi" w:hAnsiTheme="minorHAnsi"/>
          <w:sz w:val="22"/>
          <w:szCs w:val="22"/>
          <w:highlight w:val="green"/>
        </w:rPr>
      </w:pPr>
      <w:r w:rsidRPr="00FF55BF">
        <w:rPr>
          <w:rFonts w:asciiTheme="minorHAnsi" w:hAnsiTheme="minorHAnsi"/>
          <w:sz w:val="22"/>
          <w:szCs w:val="22"/>
        </w:rPr>
        <w:t>The NNDSS</w:t>
      </w:r>
      <w:r w:rsidR="001B7DED" w:rsidRPr="00FF55BF">
        <w:rPr>
          <w:rFonts w:asciiTheme="minorHAnsi" w:hAnsiTheme="minorHAnsi"/>
          <w:sz w:val="22"/>
          <w:szCs w:val="22"/>
        </w:rPr>
        <w:t xml:space="preserve"> </w:t>
      </w:r>
      <w:r w:rsidRPr="00FF55BF">
        <w:rPr>
          <w:rFonts w:asciiTheme="minorHAnsi" w:hAnsiTheme="minorHAnsi"/>
          <w:sz w:val="22"/>
          <w:szCs w:val="22"/>
        </w:rPr>
        <w:t xml:space="preserve">is </w:t>
      </w:r>
      <w:r w:rsidR="008F3581" w:rsidRPr="00FF55BF">
        <w:rPr>
          <w:rFonts w:asciiTheme="minorHAnsi" w:hAnsiTheme="minorHAnsi"/>
          <w:sz w:val="22"/>
          <w:szCs w:val="22"/>
        </w:rPr>
        <w:t>the nation’s</w:t>
      </w:r>
      <w:r w:rsidRPr="00FF55BF">
        <w:rPr>
          <w:rFonts w:asciiTheme="minorHAnsi" w:hAnsiTheme="minorHAnsi"/>
          <w:sz w:val="22"/>
          <w:szCs w:val="22"/>
        </w:rPr>
        <w:t xml:space="preserve"> </w:t>
      </w:r>
      <w:r w:rsidR="000D0C0A" w:rsidRPr="00FF55BF">
        <w:rPr>
          <w:rFonts w:asciiTheme="minorHAnsi" w:hAnsiTheme="minorHAnsi"/>
          <w:sz w:val="22"/>
          <w:szCs w:val="22"/>
        </w:rPr>
        <w:t xml:space="preserve">public health </w:t>
      </w:r>
      <w:r w:rsidRPr="00FF55BF">
        <w:rPr>
          <w:rFonts w:asciiTheme="minorHAnsi" w:hAnsiTheme="minorHAnsi"/>
          <w:sz w:val="22"/>
          <w:szCs w:val="22"/>
        </w:rPr>
        <w:t xml:space="preserve">surveillance system that enables all levels of public health (local, state, territorial, federal and international) to monitor the occurrence and spread of </w:t>
      </w:r>
      <w:r w:rsidR="00B71596" w:rsidRPr="00FF55BF">
        <w:rPr>
          <w:rFonts w:asciiTheme="minorHAnsi" w:hAnsiTheme="minorHAnsi"/>
          <w:sz w:val="22"/>
          <w:szCs w:val="22"/>
        </w:rPr>
        <w:t xml:space="preserve">the </w:t>
      </w:r>
      <w:r w:rsidR="00FC7AA7" w:rsidRPr="00FF55BF">
        <w:rPr>
          <w:rFonts w:asciiTheme="minorHAnsi" w:hAnsiTheme="minorHAnsi"/>
          <w:sz w:val="22"/>
          <w:szCs w:val="22"/>
        </w:rPr>
        <w:t>d</w:t>
      </w:r>
      <w:r w:rsidRPr="00FF55BF">
        <w:rPr>
          <w:rFonts w:asciiTheme="minorHAnsi" w:hAnsiTheme="minorHAnsi"/>
          <w:sz w:val="22"/>
          <w:szCs w:val="22"/>
        </w:rPr>
        <w:t>iseases</w:t>
      </w:r>
      <w:r w:rsidR="00FC7AA7" w:rsidRPr="00FF55BF">
        <w:rPr>
          <w:rFonts w:asciiTheme="minorHAnsi" w:hAnsiTheme="minorHAnsi"/>
          <w:sz w:val="22"/>
          <w:szCs w:val="22"/>
        </w:rPr>
        <w:t xml:space="preserve"> and conditions</w:t>
      </w:r>
      <w:r w:rsidRPr="00FF55BF">
        <w:rPr>
          <w:rFonts w:asciiTheme="minorHAnsi" w:hAnsiTheme="minorHAnsi"/>
          <w:sz w:val="22"/>
          <w:szCs w:val="22"/>
        </w:rPr>
        <w:t xml:space="preserve"> </w:t>
      </w:r>
      <w:r w:rsidR="000D0C0A" w:rsidRPr="00FF55BF">
        <w:rPr>
          <w:rFonts w:asciiTheme="minorHAnsi" w:hAnsiTheme="minorHAnsi"/>
          <w:sz w:val="22"/>
          <w:szCs w:val="22"/>
        </w:rPr>
        <w:t xml:space="preserve">that </w:t>
      </w:r>
      <w:r w:rsidR="00E101C6">
        <w:rPr>
          <w:rFonts w:asciiTheme="minorHAnsi" w:hAnsiTheme="minorHAnsi"/>
          <w:sz w:val="22"/>
          <w:szCs w:val="22"/>
        </w:rPr>
        <w:t xml:space="preserve">CDC and </w:t>
      </w:r>
      <w:r w:rsidR="003C22D0">
        <w:rPr>
          <w:rFonts w:asciiTheme="minorHAnsi" w:hAnsiTheme="minorHAnsi"/>
          <w:sz w:val="22"/>
          <w:szCs w:val="22"/>
        </w:rPr>
        <w:t xml:space="preserve">the </w:t>
      </w:r>
      <w:r w:rsidR="003C22D0" w:rsidRPr="003C22D0">
        <w:rPr>
          <w:rFonts w:asciiTheme="minorHAnsi" w:hAnsiTheme="minorHAnsi"/>
          <w:sz w:val="22"/>
          <w:szCs w:val="22"/>
        </w:rPr>
        <w:t xml:space="preserve">Council of State and Territorial Epidemiologists </w:t>
      </w:r>
      <w:r w:rsidR="003C22D0">
        <w:rPr>
          <w:rFonts w:asciiTheme="minorHAnsi" w:hAnsiTheme="minorHAnsi"/>
          <w:sz w:val="22"/>
          <w:szCs w:val="22"/>
        </w:rPr>
        <w:t>(</w:t>
      </w:r>
      <w:r w:rsidR="00F57A0D" w:rsidRPr="00FF55BF">
        <w:rPr>
          <w:rFonts w:asciiTheme="minorHAnsi" w:hAnsiTheme="minorHAnsi"/>
          <w:sz w:val="22"/>
          <w:szCs w:val="22"/>
        </w:rPr>
        <w:t>CSTE</w:t>
      </w:r>
      <w:r w:rsidR="003C22D0">
        <w:rPr>
          <w:rFonts w:asciiTheme="minorHAnsi" w:hAnsiTheme="minorHAnsi"/>
          <w:sz w:val="22"/>
          <w:szCs w:val="22"/>
        </w:rPr>
        <w:t>)</w:t>
      </w:r>
      <w:r w:rsidR="00F57A0D" w:rsidRPr="00FF55BF">
        <w:rPr>
          <w:rFonts w:asciiTheme="minorHAnsi" w:hAnsiTheme="minorHAnsi"/>
          <w:sz w:val="22"/>
          <w:szCs w:val="22"/>
        </w:rPr>
        <w:t xml:space="preserve"> </w:t>
      </w:r>
      <w:r w:rsidR="000D0C0A" w:rsidRPr="00FF55BF">
        <w:rPr>
          <w:rFonts w:asciiTheme="minorHAnsi" w:hAnsiTheme="minorHAnsi"/>
          <w:sz w:val="22"/>
          <w:szCs w:val="22"/>
        </w:rPr>
        <w:t>officially designate</w:t>
      </w:r>
      <w:r w:rsidR="007552EE">
        <w:rPr>
          <w:rFonts w:asciiTheme="minorHAnsi" w:hAnsiTheme="minorHAnsi"/>
          <w:sz w:val="22"/>
          <w:szCs w:val="22"/>
        </w:rPr>
        <w:t xml:space="preserve"> </w:t>
      </w:r>
      <w:r w:rsidRPr="00FF55BF">
        <w:rPr>
          <w:rFonts w:asciiTheme="minorHAnsi" w:hAnsiTheme="minorHAnsi"/>
          <w:sz w:val="22"/>
          <w:szCs w:val="22"/>
        </w:rPr>
        <w:t>as</w:t>
      </w:r>
      <w:r w:rsidR="000D0C0A" w:rsidRPr="00FF55BF">
        <w:rPr>
          <w:rFonts w:asciiTheme="minorHAnsi" w:hAnsiTheme="minorHAnsi"/>
          <w:sz w:val="22"/>
          <w:szCs w:val="22"/>
        </w:rPr>
        <w:t xml:space="preserve"> </w:t>
      </w:r>
      <w:r w:rsidRPr="00FF55BF">
        <w:rPr>
          <w:rFonts w:asciiTheme="minorHAnsi" w:hAnsiTheme="minorHAnsi"/>
          <w:sz w:val="22"/>
          <w:szCs w:val="22"/>
        </w:rPr>
        <w:t xml:space="preserve">“nationally notifiable” </w:t>
      </w:r>
      <w:r w:rsidR="000B1100">
        <w:rPr>
          <w:rFonts w:asciiTheme="minorHAnsi" w:hAnsiTheme="minorHAnsi"/>
          <w:sz w:val="22"/>
          <w:szCs w:val="22"/>
        </w:rPr>
        <w:t>or as under “standardized surveillance”</w:t>
      </w:r>
      <w:r w:rsidR="000D0C0A" w:rsidRPr="00FF55BF">
        <w:rPr>
          <w:rFonts w:asciiTheme="minorHAnsi" w:hAnsiTheme="minorHAnsi"/>
          <w:sz w:val="22"/>
          <w:szCs w:val="22"/>
        </w:rPr>
        <w:t xml:space="preserve">. </w:t>
      </w:r>
      <w:r w:rsidR="00331073" w:rsidRPr="00FF55BF">
        <w:rPr>
          <w:rFonts w:asciiTheme="minorHAnsi" w:hAnsiTheme="minorHAnsi"/>
          <w:color w:val="000000"/>
          <w:sz w:val="22"/>
          <w:szCs w:val="22"/>
        </w:rPr>
        <w:t xml:space="preserve">CSTE is an organization of member states and territories representing public health epidemiologists. </w:t>
      </w:r>
      <w:r w:rsidR="00E101C6">
        <w:rPr>
          <w:rFonts w:asciiTheme="minorHAnsi" w:hAnsiTheme="minorHAnsi"/>
          <w:color w:val="000000"/>
          <w:sz w:val="22"/>
          <w:szCs w:val="22"/>
        </w:rPr>
        <w:t xml:space="preserve"> CDC and CSTE determine which diseases and data elements should be monitored as part of national surveillance.  New diseases and data elements under consideration for inclusion in NNDSS are described in CSTE position statements (</w:t>
      </w:r>
      <w:r w:rsidR="0047506E">
        <w:rPr>
          <w:rFonts w:asciiTheme="minorHAnsi" w:hAnsiTheme="minorHAnsi"/>
          <w:color w:val="000000"/>
          <w:sz w:val="22"/>
          <w:szCs w:val="22"/>
        </w:rPr>
        <w:t xml:space="preserve">authored by </w:t>
      </w:r>
      <w:r w:rsidR="00E101C6">
        <w:rPr>
          <w:rFonts w:asciiTheme="minorHAnsi" w:hAnsiTheme="minorHAnsi"/>
          <w:color w:val="000000"/>
          <w:sz w:val="22"/>
          <w:szCs w:val="22"/>
        </w:rPr>
        <w:t xml:space="preserve">CDC </w:t>
      </w:r>
      <w:r w:rsidR="0047506E">
        <w:rPr>
          <w:rFonts w:asciiTheme="minorHAnsi" w:hAnsiTheme="minorHAnsi"/>
          <w:color w:val="000000"/>
          <w:sz w:val="22"/>
          <w:szCs w:val="22"/>
        </w:rPr>
        <w:t>and CSTE members</w:t>
      </w:r>
      <w:r w:rsidR="00E101C6">
        <w:rPr>
          <w:rFonts w:asciiTheme="minorHAnsi" w:hAnsiTheme="minorHAnsi"/>
          <w:color w:val="000000"/>
          <w:sz w:val="22"/>
          <w:szCs w:val="22"/>
        </w:rPr>
        <w:t xml:space="preserve">) that are voted on by all participating local and state health departments at the CSTE annual meeting.  </w:t>
      </w:r>
      <w:r w:rsidRPr="00FF55BF">
        <w:rPr>
          <w:rFonts w:asciiTheme="minorHAnsi" w:hAnsiTheme="minorHAnsi"/>
          <w:sz w:val="22"/>
          <w:szCs w:val="22"/>
        </w:rPr>
        <w:t>The NNDSS</w:t>
      </w:r>
      <w:r w:rsidR="00580108">
        <w:rPr>
          <w:rFonts w:asciiTheme="minorHAnsi" w:hAnsiTheme="minorHAnsi"/>
          <w:sz w:val="22"/>
          <w:szCs w:val="22"/>
        </w:rPr>
        <w:t xml:space="preserve"> </w:t>
      </w:r>
      <w:r w:rsidR="00E101C6">
        <w:rPr>
          <w:rFonts w:asciiTheme="minorHAnsi" w:hAnsiTheme="minorHAnsi"/>
          <w:sz w:val="22"/>
          <w:szCs w:val="22"/>
        </w:rPr>
        <w:t xml:space="preserve">program creates the infrastructure for the surveillance system and  </w:t>
      </w:r>
      <w:r w:rsidRPr="00FF55BF">
        <w:rPr>
          <w:rFonts w:asciiTheme="minorHAnsi" w:hAnsiTheme="minorHAnsi"/>
          <w:sz w:val="22"/>
          <w:szCs w:val="22"/>
        </w:rPr>
        <w:t xml:space="preserve">facilitates the </w:t>
      </w:r>
      <w:r w:rsidR="00A553B2" w:rsidRPr="00FF55BF">
        <w:rPr>
          <w:rFonts w:asciiTheme="minorHAnsi" w:hAnsiTheme="minorHAnsi"/>
          <w:sz w:val="22"/>
          <w:szCs w:val="22"/>
        </w:rPr>
        <w:t>submission</w:t>
      </w:r>
      <w:r w:rsidRPr="00FF55BF">
        <w:rPr>
          <w:rFonts w:asciiTheme="minorHAnsi" w:hAnsiTheme="minorHAnsi"/>
          <w:sz w:val="22"/>
          <w:szCs w:val="22"/>
        </w:rPr>
        <w:t xml:space="preserve"> and aggregation of </w:t>
      </w:r>
      <w:r w:rsidR="00BE228D" w:rsidRPr="00FF55BF">
        <w:rPr>
          <w:rFonts w:asciiTheme="minorHAnsi" w:hAnsiTheme="minorHAnsi"/>
          <w:sz w:val="22"/>
          <w:szCs w:val="22"/>
        </w:rPr>
        <w:t xml:space="preserve">case notification </w:t>
      </w:r>
      <w:r w:rsidRPr="00FF55BF">
        <w:rPr>
          <w:rFonts w:asciiTheme="minorHAnsi" w:hAnsiTheme="minorHAnsi"/>
          <w:sz w:val="22"/>
          <w:szCs w:val="22"/>
        </w:rPr>
        <w:t xml:space="preserve">data voluntarily </w:t>
      </w:r>
      <w:r w:rsidR="008F1944" w:rsidRPr="00FF55BF">
        <w:rPr>
          <w:rFonts w:asciiTheme="minorHAnsi" w:hAnsiTheme="minorHAnsi"/>
          <w:sz w:val="22"/>
          <w:szCs w:val="22"/>
        </w:rPr>
        <w:t xml:space="preserve">submitted </w:t>
      </w:r>
      <w:r w:rsidRPr="00FF55BF">
        <w:rPr>
          <w:rFonts w:asciiTheme="minorHAnsi" w:hAnsiTheme="minorHAnsi"/>
          <w:sz w:val="22"/>
          <w:szCs w:val="22"/>
        </w:rPr>
        <w:t xml:space="preserve">to CDC from </w:t>
      </w:r>
      <w:r w:rsidR="00A837D5" w:rsidRPr="00A837D5">
        <w:rPr>
          <w:rFonts w:asciiTheme="minorHAnsi" w:hAnsiTheme="minorHAnsi"/>
          <w:sz w:val="22"/>
          <w:szCs w:val="22"/>
        </w:rPr>
        <w:t>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w:t>
      </w:r>
      <w:r w:rsidR="00A837D5">
        <w:rPr>
          <w:rFonts w:asciiTheme="minorHAnsi" w:hAnsiTheme="minorHAnsi"/>
          <w:sz w:val="22"/>
          <w:szCs w:val="22"/>
        </w:rPr>
        <w:t xml:space="preserve"> </w:t>
      </w:r>
    </w:p>
    <w:p w:rsidR="0099570C" w:rsidRPr="00196045" w:rsidRDefault="0099570C" w:rsidP="00925656">
      <w:pPr>
        <w:spacing w:line="360" w:lineRule="auto"/>
        <w:rPr>
          <w:rFonts w:asciiTheme="minorHAnsi" w:hAnsiTheme="minorHAnsi"/>
          <w:sz w:val="22"/>
          <w:szCs w:val="22"/>
          <w:highlight w:val="green"/>
        </w:rPr>
      </w:pPr>
    </w:p>
    <w:p w:rsidR="0056116D" w:rsidRPr="00FF55BF" w:rsidRDefault="00580108" w:rsidP="00925656">
      <w:pPr>
        <w:spacing w:line="360" w:lineRule="auto"/>
        <w:rPr>
          <w:rFonts w:asciiTheme="minorHAnsi" w:hAnsiTheme="minorHAnsi"/>
          <w:sz w:val="22"/>
          <w:szCs w:val="22"/>
        </w:rPr>
      </w:pPr>
      <w:r w:rsidRPr="00580108">
        <w:rPr>
          <w:rFonts w:asciiTheme="minorHAnsi" w:hAnsiTheme="minorHAnsi"/>
          <w:sz w:val="22"/>
          <w:szCs w:val="22"/>
        </w:rPr>
        <w:t>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B30AD7" w:rsidRPr="00FF55BF" w:rsidRDefault="00B30AD7" w:rsidP="00925656">
      <w:pPr>
        <w:spacing w:line="360" w:lineRule="auto"/>
        <w:rPr>
          <w:rFonts w:asciiTheme="minorHAnsi" w:hAnsiTheme="minorHAnsi"/>
          <w:sz w:val="22"/>
          <w:szCs w:val="22"/>
        </w:rPr>
      </w:pPr>
      <w:r w:rsidRPr="00FF55BF">
        <w:rPr>
          <w:rFonts w:asciiTheme="minorHAnsi" w:hAnsiTheme="minorHAnsi"/>
          <w:sz w:val="22"/>
          <w:szCs w:val="22"/>
        </w:rPr>
        <w:t xml:space="preserve">CDC is responsible for the reporting and dissemination of nationally notifiable </w:t>
      </w:r>
      <w:r w:rsidR="003C22D0">
        <w:rPr>
          <w:rFonts w:asciiTheme="minorHAnsi" w:hAnsiTheme="minorHAnsi"/>
          <w:sz w:val="22"/>
          <w:szCs w:val="22"/>
        </w:rPr>
        <w:t>conditions</w:t>
      </w:r>
      <w:r w:rsidR="003C22D0" w:rsidRPr="00FF55BF">
        <w:rPr>
          <w:rFonts w:asciiTheme="minorHAnsi" w:hAnsiTheme="minorHAnsi"/>
          <w:sz w:val="22"/>
          <w:szCs w:val="22"/>
        </w:rPr>
        <w:t xml:space="preserve">’ </w:t>
      </w:r>
      <w:r w:rsidRPr="00FF55BF">
        <w:rPr>
          <w:rFonts w:asciiTheme="minorHAnsi" w:hAnsiTheme="minorHAnsi"/>
          <w:sz w:val="22"/>
          <w:szCs w:val="22"/>
        </w:rPr>
        <w:t xml:space="preserve">information, as authorized by the Public Health Service Act (42 USC 241) of January 4, 2012 </w:t>
      </w:r>
      <w:r w:rsidRPr="00FF55BF">
        <w:rPr>
          <w:rFonts w:asciiTheme="minorHAnsi" w:hAnsiTheme="minorHAnsi"/>
          <w:b/>
          <w:sz w:val="22"/>
          <w:szCs w:val="22"/>
        </w:rPr>
        <w:t>[</w:t>
      </w:r>
      <w:r w:rsidR="00C67147" w:rsidRPr="00FF55BF">
        <w:rPr>
          <w:rFonts w:asciiTheme="minorHAnsi" w:hAnsiTheme="minorHAnsi"/>
          <w:b/>
          <w:sz w:val="22"/>
          <w:szCs w:val="22"/>
        </w:rPr>
        <w:t>Attachment 1. Authorizing Legislation]</w:t>
      </w:r>
      <w:r w:rsidRPr="00FF55BF">
        <w:rPr>
          <w:rFonts w:asciiTheme="minorHAnsi" w:hAnsiTheme="minorHAnsi"/>
          <w:sz w:val="22"/>
          <w:szCs w:val="22"/>
        </w:rPr>
        <w:t>.</w:t>
      </w:r>
    </w:p>
    <w:p w:rsidR="00B30AD7" w:rsidRPr="00FF55BF" w:rsidRDefault="00B30AD7" w:rsidP="00925656">
      <w:pPr>
        <w:spacing w:line="360" w:lineRule="auto"/>
        <w:rPr>
          <w:rFonts w:asciiTheme="minorHAnsi" w:hAnsiTheme="minorHAnsi"/>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A.2. </w:t>
      </w:r>
      <w:r w:rsidRPr="00FF55BF">
        <w:rPr>
          <w:rFonts w:asciiTheme="minorHAnsi" w:hAnsiTheme="minorHAnsi"/>
          <w:b/>
          <w:color w:val="000000"/>
          <w:sz w:val="22"/>
          <w:szCs w:val="22"/>
          <w:u w:val="single"/>
        </w:rPr>
        <w:t xml:space="preserve">Purpose and Use of </w:t>
      </w:r>
      <w:r w:rsidR="00A824BA">
        <w:rPr>
          <w:rFonts w:asciiTheme="minorHAnsi" w:hAnsiTheme="minorHAnsi"/>
          <w:b/>
          <w:color w:val="000000"/>
          <w:sz w:val="22"/>
          <w:szCs w:val="22"/>
          <w:u w:val="single"/>
        </w:rPr>
        <w:t xml:space="preserve">the </w:t>
      </w:r>
      <w:r w:rsidRPr="00FF55BF">
        <w:rPr>
          <w:rFonts w:asciiTheme="minorHAnsi" w:hAnsiTheme="minorHAnsi"/>
          <w:b/>
          <w:color w:val="000000"/>
          <w:sz w:val="22"/>
          <w:szCs w:val="22"/>
          <w:u w:val="single"/>
        </w:rPr>
        <w:t>Information</w:t>
      </w:r>
      <w:r w:rsidR="008C76E9" w:rsidRPr="00FF55BF">
        <w:rPr>
          <w:rFonts w:asciiTheme="minorHAnsi" w:hAnsiTheme="minorHAnsi"/>
          <w:b/>
          <w:color w:val="000000"/>
          <w:sz w:val="22"/>
          <w:szCs w:val="22"/>
          <w:u w:val="single"/>
        </w:rPr>
        <w:t xml:space="preserve"> Collection</w:t>
      </w:r>
    </w:p>
    <w:p w:rsidR="00E30E7D" w:rsidRDefault="00E30E7D" w:rsidP="00E30E7D">
      <w:pPr>
        <w:spacing w:line="360" w:lineRule="auto"/>
        <w:rPr>
          <w:rFonts w:asciiTheme="minorHAnsi" w:eastAsia="Calibri" w:hAnsiTheme="minorHAnsi"/>
          <w:sz w:val="22"/>
          <w:szCs w:val="22"/>
        </w:rPr>
      </w:pPr>
      <w:r w:rsidRPr="00FF55BF">
        <w:rPr>
          <w:rFonts w:asciiTheme="minorHAnsi" w:hAnsiTheme="minorHAnsi"/>
          <w:color w:val="000000"/>
          <w:sz w:val="22"/>
          <w:szCs w:val="22"/>
        </w:rPr>
        <w:t xml:space="preserve">The NNDSS is </w:t>
      </w:r>
      <w:r>
        <w:rPr>
          <w:rFonts w:asciiTheme="minorHAnsi" w:hAnsiTheme="minorHAnsi"/>
          <w:color w:val="000000"/>
          <w:sz w:val="22"/>
          <w:szCs w:val="22"/>
        </w:rPr>
        <w:t>a reporting platform for states and territories to voluntarily share with CDC the</w:t>
      </w:r>
      <w:r w:rsidRPr="00FF55BF">
        <w:rPr>
          <w:rFonts w:asciiTheme="minorHAnsi" w:hAnsiTheme="minorHAnsi"/>
          <w:color w:val="000000"/>
          <w:sz w:val="22"/>
          <w:szCs w:val="22"/>
        </w:rPr>
        <w:t xml:space="preserve"> data</w:t>
      </w:r>
      <w:r>
        <w:rPr>
          <w:rFonts w:asciiTheme="minorHAnsi" w:hAnsiTheme="minorHAnsi"/>
          <w:color w:val="000000"/>
          <w:sz w:val="22"/>
          <w:szCs w:val="22"/>
        </w:rPr>
        <w:t xml:space="preserve"> that</w:t>
      </w:r>
      <w:r w:rsidRPr="00FF55BF">
        <w:rPr>
          <w:rFonts w:asciiTheme="minorHAnsi" w:hAnsiTheme="minorHAnsi"/>
          <w:color w:val="000000"/>
          <w:sz w:val="22"/>
          <w:szCs w:val="22"/>
        </w:rPr>
        <w:t xml:space="preserve"> </w:t>
      </w:r>
      <w:r>
        <w:rPr>
          <w:rFonts w:asciiTheme="minorHAnsi" w:hAnsiTheme="minorHAnsi"/>
          <w:color w:val="000000"/>
          <w:sz w:val="22"/>
          <w:szCs w:val="22"/>
        </w:rPr>
        <w:t xml:space="preserve">they </w:t>
      </w:r>
      <w:r w:rsidRPr="00FF55BF">
        <w:rPr>
          <w:rFonts w:asciiTheme="minorHAnsi" w:hAnsiTheme="minorHAnsi"/>
          <w:color w:val="000000"/>
          <w:sz w:val="22"/>
          <w:szCs w:val="22"/>
        </w:rPr>
        <w:t>collect</w:t>
      </w:r>
      <w:r>
        <w:rPr>
          <w:rFonts w:asciiTheme="minorHAnsi" w:hAnsiTheme="minorHAnsi"/>
          <w:color w:val="000000"/>
          <w:sz w:val="22"/>
          <w:szCs w:val="22"/>
        </w:rPr>
        <w:t xml:space="preserve"> from</w:t>
      </w:r>
      <w:r w:rsidRPr="00FF55BF">
        <w:rPr>
          <w:rFonts w:asciiTheme="minorHAnsi" w:hAnsiTheme="minorHAnsi"/>
          <w:color w:val="000000"/>
          <w:sz w:val="22"/>
          <w:szCs w:val="22"/>
        </w:rPr>
        <w:t xml:space="preserve"> health care providers, medical laboratories and other </w:t>
      </w:r>
      <w:r>
        <w:rPr>
          <w:rFonts w:asciiTheme="minorHAnsi" w:hAnsiTheme="minorHAnsi"/>
          <w:color w:val="000000"/>
          <w:sz w:val="22"/>
          <w:szCs w:val="22"/>
        </w:rPr>
        <w:t xml:space="preserve">related </w:t>
      </w:r>
      <w:r w:rsidRPr="00FF55BF">
        <w:rPr>
          <w:rFonts w:asciiTheme="minorHAnsi" w:hAnsiTheme="minorHAnsi"/>
          <w:color w:val="000000"/>
          <w:sz w:val="22"/>
          <w:szCs w:val="22"/>
        </w:rPr>
        <w:t>entities</w:t>
      </w:r>
      <w:r>
        <w:rPr>
          <w:rFonts w:asciiTheme="minorHAnsi" w:hAnsiTheme="minorHAnsi"/>
          <w:color w:val="000000"/>
          <w:sz w:val="22"/>
          <w:szCs w:val="22"/>
        </w:rPr>
        <w:t xml:space="preserve"> pursuant to </w:t>
      </w:r>
      <w:r w:rsidRPr="00FF55BF">
        <w:rPr>
          <w:rFonts w:asciiTheme="minorHAnsi" w:hAnsiTheme="minorHAnsi"/>
          <w:color w:val="000000"/>
          <w:sz w:val="22"/>
          <w:szCs w:val="22"/>
        </w:rPr>
        <w:t>state, territorial and local legislation and regulations</w:t>
      </w:r>
      <w:r>
        <w:rPr>
          <w:rFonts w:asciiTheme="minorHAnsi" w:hAnsiTheme="minorHAnsi"/>
          <w:color w:val="000000"/>
          <w:sz w:val="22"/>
          <w:szCs w:val="22"/>
        </w:rPr>
        <w:t xml:space="preserve">. </w:t>
      </w:r>
      <w:r w:rsidRPr="00FF55BF">
        <w:rPr>
          <w:rFonts w:asciiTheme="minorHAnsi" w:hAnsiTheme="minorHAnsi"/>
          <w:color w:val="000000"/>
          <w:sz w:val="22"/>
          <w:szCs w:val="22"/>
        </w:rPr>
        <w:t>These</w:t>
      </w:r>
      <w:r>
        <w:rPr>
          <w:rFonts w:asciiTheme="minorHAnsi" w:hAnsiTheme="minorHAnsi"/>
          <w:color w:val="000000"/>
          <w:sz w:val="22"/>
          <w:szCs w:val="22"/>
        </w:rPr>
        <w:t xml:space="preserve"> locally</w:t>
      </w:r>
      <w:r w:rsidRPr="00FF55BF">
        <w:rPr>
          <w:rFonts w:asciiTheme="minorHAnsi" w:hAnsiTheme="minorHAnsi"/>
          <w:color w:val="000000"/>
          <w:sz w:val="22"/>
          <w:szCs w:val="22"/>
        </w:rPr>
        <w:t xml:space="preserve"> </w:t>
      </w:r>
      <w:r w:rsidRPr="00BE75FD">
        <w:rPr>
          <w:rFonts w:asciiTheme="minorHAnsi" w:hAnsiTheme="minorHAnsi"/>
          <w:color w:val="000000"/>
          <w:sz w:val="22"/>
          <w:szCs w:val="22"/>
        </w:rPr>
        <w:t>reportable conditions</w:t>
      </w:r>
      <w:r w:rsidRPr="00FF55BF">
        <w:rPr>
          <w:rFonts w:asciiTheme="minorHAnsi" w:hAnsiTheme="minorHAnsi"/>
          <w:color w:val="000000"/>
          <w:sz w:val="22"/>
          <w:szCs w:val="22"/>
        </w:rPr>
        <w:t>, which include infectious and non-infectious diseases, vary by jurisdiction depending upon each jurisdiction’s health priorities and needs</w:t>
      </w:r>
      <w:r>
        <w:rPr>
          <w:rFonts w:asciiTheme="minorHAnsi" w:hAnsiTheme="minorHAnsi"/>
          <w:color w:val="000000"/>
          <w:sz w:val="22"/>
          <w:szCs w:val="22"/>
        </w:rPr>
        <w:t xml:space="preserve"> (as such, not all jurisdictions send CDC information on all conditions)</w:t>
      </w:r>
      <w:r w:rsidRPr="00FF55BF">
        <w:rPr>
          <w:rFonts w:asciiTheme="minorHAnsi" w:hAnsiTheme="minorHAnsi"/>
          <w:color w:val="000000"/>
          <w:sz w:val="22"/>
          <w:szCs w:val="22"/>
        </w:rPr>
        <w:t>. T</w:t>
      </w:r>
      <w:r w:rsidRPr="00FF55BF">
        <w:rPr>
          <w:rFonts w:asciiTheme="minorHAnsi" w:hAnsiTheme="minorHAnsi"/>
          <w:sz w:val="22"/>
          <w:szCs w:val="22"/>
        </w:rPr>
        <w:t xml:space="preserve">hese data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Pr="00C07D68">
        <w:rPr>
          <w:rFonts w:asciiTheme="minorHAnsi" w:eastAsia="Calibri" w:hAnsiTheme="minorHAnsi"/>
          <w:sz w:val="22"/>
          <w:szCs w:val="22"/>
        </w:rPr>
        <w:t xml:space="preserve">Infectious disease agents and environmental hazards often cross geographical boundaries. </w:t>
      </w:r>
      <w:r>
        <w:rPr>
          <w:rFonts w:asciiTheme="minorHAnsi" w:eastAsia="Calibri" w:hAnsiTheme="minorHAnsi"/>
          <w:sz w:val="22"/>
          <w:szCs w:val="22"/>
        </w:rPr>
        <w:t>The primary burden on the jurisdiction associated with this information collection stems from the initial cost of programming new conditions and data elements into the local jurisdiction’s reporting system</w:t>
      </w:r>
      <w:r w:rsidR="0047506E">
        <w:rPr>
          <w:rFonts w:asciiTheme="minorHAnsi" w:eastAsia="Calibri" w:hAnsiTheme="minorHAnsi"/>
          <w:sz w:val="22"/>
          <w:szCs w:val="22"/>
        </w:rPr>
        <w:t xml:space="preserve"> for those diseases and conditions that the jurisdiction has made locally reportable</w:t>
      </w:r>
      <w:r>
        <w:rPr>
          <w:rFonts w:asciiTheme="minorHAnsi" w:eastAsia="Calibri" w:hAnsiTheme="minorHAnsi"/>
          <w:sz w:val="22"/>
          <w:szCs w:val="22"/>
        </w:rPr>
        <w:t>.</w:t>
      </w:r>
      <w:r w:rsidR="0047506E">
        <w:rPr>
          <w:rFonts w:asciiTheme="minorHAnsi" w:eastAsia="Calibri" w:hAnsiTheme="minorHAnsi"/>
          <w:sz w:val="22"/>
          <w:szCs w:val="22"/>
        </w:rPr>
        <w:t xml:space="preserve">  </w:t>
      </w:r>
    </w:p>
    <w:p w:rsidR="00E30E7D" w:rsidRDefault="00E30E7D" w:rsidP="00E30E7D">
      <w:pPr>
        <w:spacing w:line="360" w:lineRule="auto"/>
        <w:rPr>
          <w:rFonts w:asciiTheme="minorHAnsi" w:eastAsia="Calibri" w:hAnsiTheme="minorHAnsi"/>
          <w:sz w:val="22"/>
          <w:szCs w:val="22"/>
        </w:rPr>
      </w:pPr>
    </w:p>
    <w:p w:rsidR="00E30E7D" w:rsidRDefault="00E30E7D" w:rsidP="00E30E7D">
      <w:pPr>
        <w:spacing w:line="360" w:lineRule="auto"/>
        <w:rPr>
          <w:rFonts w:asciiTheme="minorHAnsi" w:eastAsia="Calibri" w:hAnsiTheme="minorHAnsi"/>
          <w:sz w:val="22"/>
          <w:szCs w:val="22"/>
        </w:rPr>
      </w:pPr>
      <w:r w:rsidRPr="00EA7406">
        <w:rPr>
          <w:rFonts w:asciiTheme="minorHAnsi" w:eastAsia="Calibri" w:hAnsiTheme="minorHAnsi"/>
          <w:sz w:val="22"/>
          <w:szCs w:val="22"/>
        </w:rPr>
        <w:t xml:space="preserve">Conditions are included in the NNDSS when CDC and CSTE agree that the condition is of sufficient public health significance to warrant the states and territories submitting case-based surveillance data to CDC to allow monitoring on a national level. </w:t>
      </w:r>
      <w:r w:rsidR="00D81004">
        <w:rPr>
          <w:rFonts w:asciiTheme="minorHAnsi" w:eastAsia="Calibri" w:hAnsiTheme="minorHAnsi"/>
          <w:sz w:val="22"/>
          <w:szCs w:val="22"/>
        </w:rPr>
        <w:t xml:space="preserve">Among the thousands of disease that affect the population, only about 120 have been prioritized for inclusion in NNDSS. </w:t>
      </w:r>
      <w:r>
        <w:rPr>
          <w:rFonts w:asciiTheme="minorHAnsi" w:eastAsia="Calibri" w:hAnsiTheme="minorHAnsi"/>
          <w:sz w:val="22"/>
          <w:szCs w:val="22"/>
        </w:rPr>
        <w:t xml:space="preserve">This collaborative relationship between CDC and the states began in 1903, when the </w:t>
      </w:r>
      <w:r w:rsidRPr="005B5B99">
        <w:rPr>
          <w:rFonts w:asciiTheme="minorHAnsi" w:eastAsia="Calibri" w:hAnsiTheme="minorHAnsi"/>
          <w:sz w:val="22"/>
          <w:szCs w:val="22"/>
        </w:rPr>
        <w:t xml:space="preserve">US Surgeon General Walter Wyman </w:t>
      </w:r>
      <w:r>
        <w:rPr>
          <w:rFonts w:asciiTheme="minorHAnsi" w:eastAsia="Calibri" w:hAnsiTheme="minorHAnsi"/>
          <w:sz w:val="22"/>
          <w:szCs w:val="22"/>
        </w:rPr>
        <w:t xml:space="preserve">presided over the first annual conference of state and territorial health officers and led a discussion about disease surveillance. By 1912, states developed a list of diseases that they deemed notifiable (5 immediately by telegraph and 10 monthly by letter) to the Surgeon General. </w:t>
      </w:r>
      <w:r w:rsidRPr="00EA7406">
        <w:rPr>
          <w:rFonts w:asciiTheme="minorHAnsi" w:eastAsia="Calibri" w:hAnsiTheme="minorHAnsi"/>
          <w:sz w:val="22"/>
          <w:szCs w:val="22"/>
        </w:rPr>
        <w:t xml:space="preserve">Responsibility for developing consensus among the states on which health conditions the states would submit to CDC was given to the State Epidemiologists by CDC in the 1950s. </w:t>
      </w:r>
      <w:r>
        <w:rPr>
          <w:rFonts w:asciiTheme="minorHAnsi" w:eastAsia="Calibri" w:hAnsiTheme="minorHAnsi"/>
          <w:sz w:val="22"/>
          <w:szCs w:val="22"/>
        </w:rPr>
        <w:t>State Epidemiologists convened for this reason in 1951 with the encouragement of Alexander Langmuir, Chief of the Bureau of Epidemiology at CDC</w:t>
      </w:r>
      <w:r>
        <w:rPr>
          <w:rStyle w:val="FootnoteReference"/>
          <w:rFonts w:asciiTheme="minorHAnsi" w:eastAsia="Calibri" w:hAnsiTheme="minorHAnsi"/>
          <w:sz w:val="22"/>
          <w:szCs w:val="22"/>
        </w:rPr>
        <w:footnoteReference w:id="2"/>
      </w:r>
      <w:r>
        <w:rPr>
          <w:rFonts w:asciiTheme="minorHAnsi" w:eastAsia="Calibri" w:hAnsiTheme="minorHAnsi"/>
          <w:sz w:val="22"/>
          <w:szCs w:val="22"/>
        </w:rPr>
        <w:t xml:space="preserve">. CSTE was created and is funded by CDC to provide guidance on </w:t>
      </w:r>
      <w:r w:rsidRPr="001F667C">
        <w:rPr>
          <w:rFonts w:asciiTheme="minorHAnsi" w:eastAsia="Calibri" w:hAnsiTheme="minorHAnsi"/>
          <w:sz w:val="22"/>
          <w:szCs w:val="22"/>
        </w:rPr>
        <w:t xml:space="preserve">which </w:t>
      </w:r>
      <w:r>
        <w:rPr>
          <w:rFonts w:asciiTheme="minorHAnsi" w:eastAsia="Calibri" w:hAnsiTheme="minorHAnsi"/>
          <w:sz w:val="22"/>
          <w:szCs w:val="22"/>
        </w:rPr>
        <w:t>conditions should be nationally notifiable or under standardized surveillance.</w:t>
      </w:r>
    </w:p>
    <w:p w:rsidR="00E30E7D" w:rsidRDefault="00E30E7D" w:rsidP="00E30E7D">
      <w:pPr>
        <w:spacing w:line="360" w:lineRule="auto"/>
        <w:rPr>
          <w:rFonts w:asciiTheme="minorHAnsi" w:eastAsia="Calibri" w:hAnsiTheme="minorHAnsi"/>
          <w:sz w:val="22"/>
          <w:szCs w:val="22"/>
        </w:rPr>
      </w:pPr>
    </w:p>
    <w:p w:rsidR="00E30E7D" w:rsidRDefault="00E30E7D" w:rsidP="00E30E7D">
      <w:pPr>
        <w:spacing w:line="360" w:lineRule="auto"/>
        <w:rPr>
          <w:rFonts w:asciiTheme="minorHAnsi" w:eastAsia="Calibri" w:hAnsiTheme="minorHAnsi"/>
          <w:sz w:val="22"/>
          <w:szCs w:val="22"/>
        </w:rPr>
      </w:pPr>
      <w:r w:rsidRPr="00C07D68">
        <w:rPr>
          <w:rFonts w:asciiTheme="minorHAnsi" w:eastAsia="Calibri" w:hAnsiTheme="minorHAnsi"/>
          <w:sz w:val="22"/>
          <w:szCs w:val="22"/>
        </w:rPr>
        <w:t xml:space="preserve">Each year, CSTE, supported by CDC, determines which reportable conditions should be designated </w:t>
      </w:r>
      <w:r w:rsidRPr="00BE75FD">
        <w:rPr>
          <w:rFonts w:asciiTheme="minorHAnsi" w:eastAsia="Calibri" w:hAnsiTheme="minorHAnsi"/>
          <w:sz w:val="22"/>
          <w:szCs w:val="22"/>
        </w:rPr>
        <w:t>nationally notifiable</w:t>
      </w:r>
      <w:r w:rsidRPr="00C07D68">
        <w:rPr>
          <w:rFonts w:asciiTheme="minorHAnsi" w:eastAsia="Calibri" w:hAnsiTheme="minorHAnsi"/>
          <w:sz w:val="22"/>
          <w:szCs w:val="22"/>
        </w:rPr>
        <w:t xml:space="preserve"> </w:t>
      </w:r>
      <w:r>
        <w:rPr>
          <w:rFonts w:asciiTheme="minorHAnsi" w:eastAsia="Calibri" w:hAnsiTheme="minorHAnsi"/>
          <w:sz w:val="22"/>
          <w:szCs w:val="22"/>
        </w:rPr>
        <w:t xml:space="preserve">or under standardized surveillance. </w:t>
      </w:r>
      <w:r w:rsidRPr="00AC33BF">
        <w:rPr>
          <w:rFonts w:asciiTheme="minorHAnsi" w:eastAsia="Calibri" w:hAnsiTheme="minorHAnsi"/>
          <w:sz w:val="22"/>
          <w:szCs w:val="22"/>
        </w:rPr>
        <w:t xml:space="preserve">When </w:t>
      </w:r>
      <w:r>
        <w:rPr>
          <w:rFonts w:asciiTheme="minorHAnsi" w:eastAsia="Calibri" w:hAnsiTheme="minorHAnsi"/>
          <w:sz w:val="22"/>
          <w:szCs w:val="22"/>
        </w:rPr>
        <w:t>states decide whether to make</w:t>
      </w:r>
      <w:r w:rsidRPr="00AC33BF">
        <w:rPr>
          <w:rFonts w:asciiTheme="minorHAnsi" w:eastAsia="Calibri" w:hAnsiTheme="minorHAnsi"/>
          <w:sz w:val="22"/>
          <w:szCs w:val="22"/>
        </w:rPr>
        <w:t xml:space="preserve"> a condition reportable </w:t>
      </w:r>
      <w:r>
        <w:rPr>
          <w:rFonts w:asciiTheme="minorHAnsi" w:eastAsia="Calibri" w:hAnsiTheme="minorHAnsi"/>
          <w:sz w:val="22"/>
          <w:szCs w:val="22"/>
        </w:rPr>
        <w:t xml:space="preserve">and when the CSTE membership and CDC decide whether to make a condition </w:t>
      </w:r>
      <w:r w:rsidRPr="00AC33BF">
        <w:rPr>
          <w:rFonts w:asciiTheme="minorHAnsi" w:eastAsia="Calibri" w:hAnsiTheme="minorHAnsi"/>
          <w:sz w:val="22"/>
          <w:szCs w:val="22"/>
        </w:rPr>
        <w:t xml:space="preserve">nationally notifiable, </w:t>
      </w:r>
      <w:r>
        <w:rPr>
          <w:rFonts w:asciiTheme="minorHAnsi" w:eastAsia="Calibri" w:hAnsiTheme="minorHAnsi"/>
          <w:sz w:val="22"/>
          <w:szCs w:val="22"/>
        </w:rPr>
        <w:t xml:space="preserve">they </w:t>
      </w:r>
      <w:r w:rsidRPr="00AC33BF">
        <w:rPr>
          <w:rFonts w:asciiTheme="minorHAnsi" w:eastAsia="Calibri" w:hAnsiTheme="minorHAnsi"/>
          <w:sz w:val="22"/>
          <w:szCs w:val="22"/>
        </w:rPr>
        <w:t xml:space="preserve">consider the following issues: severity, incidence, communicability, preventability, impact on the community or society and need for public health action.  CSTE position statements must be sponsored by a CSTE </w:t>
      </w:r>
      <w:r>
        <w:rPr>
          <w:rFonts w:asciiTheme="minorHAnsi" w:eastAsia="Calibri" w:hAnsiTheme="minorHAnsi"/>
          <w:sz w:val="22"/>
          <w:szCs w:val="22"/>
        </w:rPr>
        <w:t>A</w:t>
      </w:r>
      <w:r w:rsidRPr="00AC33BF">
        <w:rPr>
          <w:rFonts w:asciiTheme="minorHAnsi" w:eastAsia="Calibri" w:hAnsiTheme="minorHAnsi"/>
          <w:sz w:val="22"/>
          <w:szCs w:val="22"/>
        </w:rPr>
        <w:t xml:space="preserve">ctive </w:t>
      </w:r>
      <w:r>
        <w:rPr>
          <w:rFonts w:asciiTheme="minorHAnsi" w:eastAsia="Calibri" w:hAnsiTheme="minorHAnsi"/>
          <w:sz w:val="22"/>
          <w:szCs w:val="22"/>
        </w:rPr>
        <w:t>M</w:t>
      </w:r>
      <w:r w:rsidRPr="00AC33BF">
        <w:rPr>
          <w:rFonts w:asciiTheme="minorHAnsi" w:eastAsia="Calibri" w:hAnsiTheme="minorHAnsi"/>
          <w:sz w:val="22"/>
          <w:szCs w:val="22"/>
        </w:rPr>
        <w:t xml:space="preserve">ember, </w:t>
      </w:r>
      <w:r>
        <w:rPr>
          <w:rFonts w:asciiTheme="minorHAnsi" w:eastAsia="Calibri" w:hAnsiTheme="minorHAnsi"/>
          <w:sz w:val="22"/>
          <w:szCs w:val="22"/>
        </w:rPr>
        <w:t xml:space="preserve">specifically, </w:t>
      </w:r>
      <w:r w:rsidRPr="00AC33BF">
        <w:rPr>
          <w:rFonts w:asciiTheme="minorHAnsi" w:eastAsia="Calibri" w:hAnsiTheme="minorHAnsi"/>
          <w:sz w:val="22"/>
          <w:szCs w:val="22"/>
        </w:rPr>
        <w:t>a person engaged in the practice of epidemiology for a government public health authority at the local, tribal, state, and territorial level. The position statements are discussed and then reviewed at the CSTE</w:t>
      </w:r>
      <w:r>
        <w:rPr>
          <w:rFonts w:asciiTheme="minorHAnsi" w:eastAsia="Calibri" w:hAnsiTheme="minorHAnsi"/>
          <w:sz w:val="22"/>
          <w:szCs w:val="22"/>
        </w:rPr>
        <w:t xml:space="preserve"> n</w:t>
      </w:r>
      <w:r w:rsidRPr="00AC33BF">
        <w:rPr>
          <w:rFonts w:asciiTheme="minorHAnsi" w:eastAsia="Calibri" w:hAnsiTheme="minorHAnsi"/>
          <w:sz w:val="22"/>
          <w:szCs w:val="22"/>
        </w:rPr>
        <w:t xml:space="preserve">ational </w:t>
      </w:r>
      <w:r>
        <w:rPr>
          <w:rFonts w:asciiTheme="minorHAnsi" w:eastAsia="Calibri" w:hAnsiTheme="minorHAnsi"/>
          <w:sz w:val="22"/>
          <w:szCs w:val="22"/>
        </w:rPr>
        <w:t>o</w:t>
      </w:r>
      <w:r w:rsidRPr="00AC33BF">
        <w:rPr>
          <w:rFonts w:asciiTheme="minorHAnsi" w:eastAsia="Calibri" w:hAnsiTheme="minorHAnsi"/>
          <w:sz w:val="22"/>
          <w:szCs w:val="22"/>
        </w:rPr>
        <w:t xml:space="preserve">ffice. Next, a technical review by a select group of subject matter experts is done. The </w:t>
      </w:r>
      <w:r>
        <w:rPr>
          <w:rFonts w:asciiTheme="minorHAnsi" w:eastAsia="Calibri" w:hAnsiTheme="minorHAnsi"/>
          <w:sz w:val="22"/>
          <w:szCs w:val="22"/>
        </w:rPr>
        <w:t>n</w:t>
      </w:r>
      <w:r w:rsidRPr="00AC33BF">
        <w:rPr>
          <w:rFonts w:asciiTheme="minorHAnsi" w:eastAsia="Calibri" w:hAnsiTheme="minorHAnsi"/>
          <w:sz w:val="22"/>
          <w:szCs w:val="22"/>
        </w:rPr>
        <w:t xml:space="preserve">ational </w:t>
      </w:r>
      <w:r>
        <w:rPr>
          <w:rFonts w:asciiTheme="minorHAnsi" w:eastAsia="Calibri" w:hAnsiTheme="minorHAnsi"/>
          <w:sz w:val="22"/>
          <w:szCs w:val="22"/>
        </w:rPr>
        <w:t>o</w:t>
      </w:r>
      <w:r w:rsidRPr="00AC33BF">
        <w:rPr>
          <w:rFonts w:asciiTheme="minorHAnsi" w:eastAsia="Calibri" w:hAnsiTheme="minorHAnsi"/>
          <w:sz w:val="22"/>
          <w:szCs w:val="22"/>
        </w:rPr>
        <w:t xml:space="preserve">ffice then shares the position statement with appropriate CSTE Executive Board members.  The </w:t>
      </w:r>
      <w:r>
        <w:rPr>
          <w:rFonts w:asciiTheme="minorHAnsi" w:eastAsia="Calibri" w:hAnsiTheme="minorHAnsi"/>
          <w:sz w:val="22"/>
          <w:szCs w:val="22"/>
        </w:rPr>
        <w:t>n</w:t>
      </w:r>
      <w:r w:rsidRPr="00AC33BF">
        <w:rPr>
          <w:rFonts w:asciiTheme="minorHAnsi" w:eastAsia="Calibri" w:hAnsiTheme="minorHAnsi"/>
          <w:sz w:val="22"/>
          <w:szCs w:val="22"/>
        </w:rPr>
        <w:t xml:space="preserve">ational office then </w:t>
      </w:r>
      <w:r>
        <w:rPr>
          <w:rFonts w:asciiTheme="minorHAnsi" w:eastAsia="Calibri" w:hAnsiTheme="minorHAnsi"/>
          <w:sz w:val="22"/>
          <w:szCs w:val="22"/>
        </w:rPr>
        <w:t>circulates</w:t>
      </w:r>
      <w:r w:rsidRPr="00AC33BF">
        <w:rPr>
          <w:rFonts w:asciiTheme="minorHAnsi" w:eastAsia="Calibri" w:hAnsiTheme="minorHAnsi"/>
          <w:sz w:val="22"/>
          <w:szCs w:val="22"/>
        </w:rPr>
        <w:t xml:space="preserve"> the draft </w:t>
      </w:r>
      <w:r>
        <w:rPr>
          <w:rFonts w:asciiTheme="minorHAnsi" w:eastAsia="Calibri" w:hAnsiTheme="minorHAnsi"/>
          <w:sz w:val="22"/>
          <w:szCs w:val="22"/>
        </w:rPr>
        <w:t xml:space="preserve">position statement among voting members and the position statement is </w:t>
      </w:r>
      <w:r w:rsidRPr="00AC33BF">
        <w:rPr>
          <w:rFonts w:asciiTheme="minorHAnsi" w:eastAsia="Calibri" w:hAnsiTheme="minorHAnsi"/>
          <w:sz w:val="22"/>
          <w:szCs w:val="22"/>
        </w:rPr>
        <w:t xml:space="preserve">voted on at the Annual CSTE Conference. The final approved position statement is then </w:t>
      </w:r>
      <w:r>
        <w:rPr>
          <w:rFonts w:asciiTheme="minorHAnsi" w:eastAsia="Calibri" w:hAnsiTheme="minorHAnsi"/>
          <w:sz w:val="22"/>
          <w:szCs w:val="22"/>
        </w:rPr>
        <w:t xml:space="preserve">published </w:t>
      </w:r>
      <w:r w:rsidRPr="00AC33BF">
        <w:rPr>
          <w:rFonts w:asciiTheme="minorHAnsi" w:eastAsia="Calibri" w:hAnsiTheme="minorHAnsi"/>
          <w:sz w:val="22"/>
          <w:szCs w:val="22"/>
        </w:rPr>
        <w:t>on the CSTE website. When CSTE approves a position statement placing a condition under standardized surveillance</w:t>
      </w:r>
      <w:r>
        <w:rPr>
          <w:rFonts w:asciiTheme="minorHAnsi" w:eastAsia="Calibri" w:hAnsiTheme="minorHAnsi"/>
          <w:sz w:val="22"/>
          <w:szCs w:val="22"/>
        </w:rPr>
        <w:t>,</w:t>
      </w:r>
      <w:r w:rsidRPr="00AC33BF">
        <w:rPr>
          <w:rFonts w:asciiTheme="minorHAnsi" w:eastAsia="Calibri" w:hAnsiTheme="minorHAnsi"/>
          <w:sz w:val="22"/>
          <w:szCs w:val="22"/>
        </w:rPr>
        <w:t xml:space="preserve"> </w:t>
      </w:r>
      <w:r w:rsidRPr="00122C6B">
        <w:rPr>
          <w:rFonts w:asciiTheme="minorHAnsi" w:eastAsia="Calibri" w:hAnsiTheme="minorHAnsi"/>
          <w:sz w:val="22"/>
          <w:szCs w:val="22"/>
        </w:rPr>
        <w:t xml:space="preserve">this establishes standardized case definitions and surveillance methods for use by jurisdictions conducting surveillance for this condition and recommends that jurisdictions conducting surveillance share the case data with CDC if it is requested by the relevant CDC program. </w:t>
      </w:r>
      <w:r w:rsidRPr="0012142A">
        <w:rPr>
          <w:rFonts w:asciiTheme="minorHAnsi" w:eastAsia="Calibri" w:hAnsiTheme="minorHAnsi"/>
          <w:sz w:val="22"/>
          <w:szCs w:val="22"/>
        </w:rPr>
        <w:t xml:space="preserve">When CSTE takes the additional step of </w:t>
      </w:r>
      <w:r w:rsidRPr="00AC33BF">
        <w:rPr>
          <w:rFonts w:asciiTheme="minorHAnsi" w:eastAsia="Calibri" w:hAnsiTheme="minorHAnsi"/>
          <w:sz w:val="22"/>
          <w:szCs w:val="22"/>
        </w:rPr>
        <w:t>making a condition nationally notifiable</w:t>
      </w:r>
      <w:r>
        <w:rPr>
          <w:rFonts w:asciiTheme="minorHAnsi" w:eastAsia="Calibri" w:hAnsiTheme="minorHAnsi"/>
          <w:sz w:val="22"/>
          <w:szCs w:val="22"/>
        </w:rPr>
        <w:t>, this expresses the consensus of the</w:t>
      </w:r>
      <w:r w:rsidRPr="00AC33BF">
        <w:rPr>
          <w:rFonts w:asciiTheme="minorHAnsi" w:eastAsia="Calibri" w:hAnsiTheme="minorHAnsi"/>
          <w:sz w:val="22"/>
          <w:szCs w:val="22"/>
        </w:rPr>
        <w:t xml:space="preserve"> CSTE </w:t>
      </w:r>
      <w:r>
        <w:rPr>
          <w:rFonts w:asciiTheme="minorHAnsi" w:eastAsia="Calibri" w:hAnsiTheme="minorHAnsi"/>
          <w:sz w:val="22"/>
          <w:szCs w:val="22"/>
        </w:rPr>
        <w:t xml:space="preserve">membership </w:t>
      </w:r>
      <w:r w:rsidRPr="00AC33BF">
        <w:rPr>
          <w:rFonts w:asciiTheme="minorHAnsi" w:eastAsia="Calibri" w:hAnsiTheme="minorHAnsi"/>
          <w:sz w:val="22"/>
          <w:szCs w:val="22"/>
        </w:rPr>
        <w:t xml:space="preserve">that all states and territories should enact laws or regulations to make this condition reportable in their jurisdictions and </w:t>
      </w:r>
      <w:r>
        <w:rPr>
          <w:rFonts w:asciiTheme="minorHAnsi" w:eastAsia="Calibri" w:hAnsiTheme="minorHAnsi"/>
          <w:sz w:val="22"/>
          <w:szCs w:val="22"/>
        </w:rPr>
        <w:t xml:space="preserve">should </w:t>
      </w:r>
      <w:r w:rsidRPr="00AC33BF">
        <w:rPr>
          <w:rFonts w:asciiTheme="minorHAnsi" w:eastAsia="Calibri" w:hAnsiTheme="minorHAnsi"/>
          <w:sz w:val="22"/>
          <w:szCs w:val="22"/>
        </w:rPr>
        <w:t xml:space="preserve">voluntarily submit the data to CDC so that information can be shared across jurisdictional boundaries and </w:t>
      </w:r>
      <w:r>
        <w:rPr>
          <w:rFonts w:asciiTheme="minorHAnsi" w:eastAsia="Calibri" w:hAnsiTheme="minorHAnsi"/>
          <w:sz w:val="22"/>
          <w:szCs w:val="22"/>
        </w:rPr>
        <w:t xml:space="preserve">so that </w:t>
      </w:r>
      <w:r w:rsidRPr="00AC33BF">
        <w:rPr>
          <w:rFonts w:asciiTheme="minorHAnsi" w:eastAsia="Calibri" w:hAnsiTheme="minorHAnsi"/>
          <w:sz w:val="22"/>
          <w:szCs w:val="22"/>
        </w:rPr>
        <w:t xml:space="preserve">surveillance and prevention and control activities can be coordinated at regional and national levels. CSTE, in conjunction with CDC, makes </w:t>
      </w:r>
      <w:r>
        <w:rPr>
          <w:rFonts w:asciiTheme="minorHAnsi" w:eastAsia="Calibri" w:hAnsiTheme="minorHAnsi"/>
          <w:sz w:val="22"/>
          <w:szCs w:val="22"/>
        </w:rPr>
        <w:t xml:space="preserve">annual </w:t>
      </w:r>
      <w:r w:rsidRPr="00AC33BF">
        <w:rPr>
          <w:rFonts w:asciiTheme="minorHAnsi" w:eastAsia="Calibri" w:hAnsiTheme="minorHAnsi"/>
          <w:sz w:val="22"/>
          <w:szCs w:val="22"/>
        </w:rPr>
        <w:t xml:space="preserve">recommendations for additions and deletions to the list of </w:t>
      </w:r>
      <w:r>
        <w:rPr>
          <w:rFonts w:asciiTheme="minorHAnsi" w:eastAsia="Calibri" w:hAnsiTheme="minorHAnsi"/>
          <w:sz w:val="22"/>
          <w:szCs w:val="22"/>
        </w:rPr>
        <w:t xml:space="preserve">conditions under standardized surveillance and </w:t>
      </w:r>
      <w:r w:rsidRPr="00AC33BF">
        <w:rPr>
          <w:rFonts w:asciiTheme="minorHAnsi" w:eastAsia="Calibri" w:hAnsiTheme="minorHAnsi"/>
          <w:sz w:val="22"/>
          <w:szCs w:val="22"/>
        </w:rPr>
        <w:t>nationally notifiable diseases</w:t>
      </w:r>
      <w:r>
        <w:rPr>
          <w:rFonts w:asciiTheme="minorHAnsi" w:eastAsia="Calibri" w:hAnsiTheme="minorHAnsi"/>
          <w:sz w:val="22"/>
          <w:szCs w:val="22"/>
        </w:rPr>
        <w:t xml:space="preserve">. </w:t>
      </w:r>
    </w:p>
    <w:p w:rsidR="00E30E7D" w:rsidRDefault="00E30E7D" w:rsidP="00E30E7D">
      <w:pPr>
        <w:tabs>
          <w:tab w:val="left" w:pos="1"/>
          <w:tab w:val="left" w:pos="1584"/>
          <w:tab w:val="left" w:pos="3888"/>
          <w:tab w:val="left" w:pos="5472"/>
          <w:tab w:val="left" w:pos="7200"/>
        </w:tabs>
        <w:spacing w:line="360" w:lineRule="auto"/>
        <w:rPr>
          <w:rFonts w:asciiTheme="minorHAnsi" w:eastAsia="Calibri" w:hAnsiTheme="minorHAnsi"/>
          <w:sz w:val="22"/>
          <w:szCs w:val="22"/>
          <w:highlight w:val="yellow"/>
        </w:rPr>
      </w:pPr>
    </w:p>
    <w:p w:rsidR="00E30E7D" w:rsidRPr="00FF20B4" w:rsidRDefault="00E30E7D" w:rsidP="00E30E7D">
      <w:pPr>
        <w:tabs>
          <w:tab w:val="left" w:pos="1"/>
          <w:tab w:val="left" w:pos="1584"/>
          <w:tab w:val="left" w:pos="3888"/>
          <w:tab w:val="left" w:pos="5472"/>
          <w:tab w:val="left" w:pos="7200"/>
        </w:tabs>
        <w:spacing w:line="360" w:lineRule="auto"/>
        <w:rPr>
          <w:rFonts w:asciiTheme="minorHAnsi" w:eastAsia="Calibri" w:hAnsiTheme="minorHAnsi"/>
          <w:sz w:val="22"/>
          <w:szCs w:val="22"/>
          <w:highlight w:val="yellow"/>
        </w:rPr>
      </w:pPr>
      <w:r w:rsidRPr="00FF20B4">
        <w:rPr>
          <w:rFonts w:asciiTheme="minorHAnsi" w:eastAsia="Calibri" w:hAnsiTheme="minorHAnsi"/>
          <w:sz w:val="22"/>
          <w:szCs w:val="22"/>
          <w:highlight w:val="yellow"/>
        </w:rPr>
        <w:t xml:space="preserve">Description of </w:t>
      </w:r>
      <w:r>
        <w:rPr>
          <w:rFonts w:asciiTheme="minorHAnsi" w:eastAsia="Calibri" w:hAnsiTheme="minorHAnsi"/>
          <w:sz w:val="22"/>
          <w:szCs w:val="22"/>
          <w:highlight w:val="yellow"/>
        </w:rPr>
        <w:t xml:space="preserve">Conditions for which Case Notifications are </w:t>
      </w:r>
      <w:r w:rsidRPr="00FF20B4">
        <w:rPr>
          <w:rFonts w:asciiTheme="minorHAnsi" w:eastAsia="Calibri" w:hAnsiTheme="minorHAnsi"/>
          <w:sz w:val="22"/>
          <w:szCs w:val="22"/>
          <w:highlight w:val="yellow"/>
        </w:rPr>
        <w:t>Received</w:t>
      </w:r>
    </w:p>
    <w:p w:rsidR="00E30E7D" w:rsidRDefault="00E30E7D" w:rsidP="00E30E7D">
      <w:pPr>
        <w:spacing w:line="360" w:lineRule="auto"/>
        <w:rPr>
          <w:rFonts w:asciiTheme="minorHAnsi" w:hAnsiTheme="minorHAnsi"/>
          <w:color w:val="000000"/>
          <w:sz w:val="22"/>
          <w:szCs w:val="22"/>
        </w:rPr>
      </w:pPr>
      <w:r w:rsidRPr="00FF20B4">
        <w:rPr>
          <w:rFonts w:asciiTheme="minorHAnsi" w:hAnsiTheme="minorHAnsi"/>
          <w:color w:val="000000"/>
          <w:sz w:val="22"/>
          <w:szCs w:val="22"/>
          <w:highlight w:val="yellow"/>
        </w:rPr>
        <w:t xml:space="preserve">The nationally notifiable conditions and conditions under standardized surveillance that are received by CDC through NNDSS are listed in </w:t>
      </w:r>
      <w:r>
        <w:rPr>
          <w:rFonts w:asciiTheme="minorHAnsi" w:hAnsiTheme="minorHAnsi"/>
          <w:color w:val="000000"/>
          <w:sz w:val="22"/>
          <w:szCs w:val="22"/>
          <w:highlight w:val="yellow"/>
        </w:rPr>
        <w:t>two</w:t>
      </w:r>
      <w:r w:rsidRPr="00FF20B4">
        <w:rPr>
          <w:rFonts w:asciiTheme="minorHAnsi" w:hAnsiTheme="minorHAnsi"/>
          <w:color w:val="000000"/>
          <w:sz w:val="22"/>
          <w:szCs w:val="22"/>
          <w:highlight w:val="yellow"/>
        </w:rPr>
        <w:t xml:space="preserve"> attachment</w:t>
      </w:r>
      <w:r>
        <w:rPr>
          <w:rFonts w:asciiTheme="minorHAnsi" w:hAnsiTheme="minorHAnsi"/>
          <w:color w:val="000000"/>
          <w:sz w:val="22"/>
          <w:szCs w:val="22"/>
          <w:highlight w:val="yellow"/>
        </w:rPr>
        <w:t>s</w:t>
      </w:r>
      <w:r w:rsidRPr="00FF20B4">
        <w:rPr>
          <w:rFonts w:asciiTheme="minorHAnsi" w:hAnsiTheme="minorHAnsi"/>
          <w:color w:val="000000"/>
          <w:sz w:val="22"/>
          <w:szCs w:val="22"/>
          <w:highlight w:val="yellow"/>
        </w:rPr>
        <w:t xml:space="preserve"> </w:t>
      </w:r>
      <w:r w:rsidRPr="00FF20B4">
        <w:rPr>
          <w:rFonts w:asciiTheme="minorHAnsi" w:hAnsiTheme="minorHAnsi"/>
          <w:b/>
          <w:color w:val="000000"/>
          <w:sz w:val="22"/>
          <w:szCs w:val="22"/>
          <w:highlight w:val="yellow"/>
        </w:rPr>
        <w:t>[Attachment 3. List of Nationally Notifiable Conditions and Attachment 4. List of Conditions Under Standardized Surveillance].</w:t>
      </w:r>
      <w:r w:rsidRPr="00FF20B4">
        <w:rPr>
          <w:rFonts w:asciiTheme="minorHAnsi" w:hAnsiTheme="minorHAnsi"/>
          <w:color w:val="000000"/>
          <w:sz w:val="22"/>
          <w:szCs w:val="22"/>
          <w:highlight w:val="yellow"/>
        </w:rPr>
        <w:t xml:space="preserve">  There are </w:t>
      </w:r>
      <w:r>
        <w:rPr>
          <w:rFonts w:asciiTheme="minorHAnsi" w:hAnsiTheme="minorHAnsi"/>
          <w:sz w:val="22"/>
          <w:szCs w:val="22"/>
          <w:highlight w:val="yellow"/>
        </w:rPr>
        <w:t>six</w:t>
      </w:r>
      <w:r w:rsidRPr="00FF20B4">
        <w:rPr>
          <w:rFonts w:asciiTheme="minorHAnsi" w:hAnsiTheme="minorHAnsi"/>
          <w:color w:val="000000"/>
          <w:sz w:val="22"/>
          <w:szCs w:val="22"/>
          <w:highlight w:val="yellow"/>
        </w:rPr>
        <w:t xml:space="preserve"> conditions</w:t>
      </w:r>
      <w:r>
        <w:rPr>
          <w:rFonts w:asciiTheme="minorHAnsi" w:hAnsiTheme="minorHAnsi"/>
          <w:color w:val="000000"/>
          <w:sz w:val="22"/>
          <w:szCs w:val="22"/>
          <w:highlight w:val="yellow"/>
        </w:rPr>
        <w:t xml:space="preserve"> (</w:t>
      </w:r>
      <w:r w:rsidRPr="00EC652B">
        <w:rPr>
          <w:rFonts w:asciiTheme="minorHAnsi" w:hAnsiTheme="minorHAnsi"/>
          <w:i/>
          <w:color w:val="000000"/>
          <w:sz w:val="22"/>
          <w:szCs w:val="22"/>
          <w:highlight w:val="yellow"/>
        </w:rPr>
        <w:t xml:space="preserve">C. </w:t>
      </w:r>
      <w:r w:rsidRPr="00C93BE6">
        <w:rPr>
          <w:rFonts w:asciiTheme="minorHAnsi" w:hAnsiTheme="minorHAnsi"/>
          <w:i/>
          <w:color w:val="000000"/>
          <w:sz w:val="22"/>
          <w:szCs w:val="22"/>
          <w:highlight w:val="yellow"/>
        </w:rPr>
        <w:t>auris</w:t>
      </w:r>
      <w:r>
        <w:rPr>
          <w:rFonts w:asciiTheme="minorHAnsi" w:hAnsiTheme="minorHAnsi"/>
          <w:color w:val="000000"/>
          <w:sz w:val="22"/>
          <w:szCs w:val="22"/>
          <w:highlight w:val="yellow"/>
        </w:rPr>
        <w:t xml:space="preserve">, CP-CRE, </w:t>
      </w:r>
      <w:r w:rsidRPr="002B369D">
        <w:rPr>
          <w:rFonts w:asciiTheme="minorHAnsi" w:hAnsiTheme="minorHAnsi"/>
          <w:color w:val="000000"/>
          <w:sz w:val="22"/>
          <w:szCs w:val="22"/>
          <w:highlight w:val="yellow"/>
        </w:rPr>
        <w:t>CO Poisoning, TB</w:t>
      </w:r>
      <w:r>
        <w:rPr>
          <w:rFonts w:asciiTheme="minorHAnsi" w:hAnsiTheme="minorHAnsi"/>
          <w:color w:val="000000"/>
          <w:sz w:val="22"/>
          <w:szCs w:val="22"/>
          <w:highlight w:val="yellow"/>
        </w:rPr>
        <w:t xml:space="preserve"> Disease</w:t>
      </w:r>
      <w:r w:rsidRPr="002B369D">
        <w:rPr>
          <w:rFonts w:asciiTheme="minorHAnsi" w:hAnsiTheme="minorHAnsi"/>
          <w:color w:val="000000"/>
          <w:sz w:val="22"/>
          <w:szCs w:val="22"/>
          <w:highlight w:val="yellow"/>
        </w:rPr>
        <w:t xml:space="preserve">, </w:t>
      </w:r>
      <w:r w:rsidRPr="009E3F30">
        <w:rPr>
          <w:rFonts w:asciiTheme="minorHAnsi" w:hAnsiTheme="minorHAnsi"/>
          <w:i/>
          <w:color w:val="000000"/>
          <w:sz w:val="22"/>
          <w:szCs w:val="22"/>
          <w:highlight w:val="yellow"/>
        </w:rPr>
        <w:t>S</w:t>
      </w:r>
      <w:r>
        <w:rPr>
          <w:rFonts w:asciiTheme="minorHAnsi" w:hAnsiTheme="minorHAnsi"/>
          <w:color w:val="000000"/>
          <w:sz w:val="22"/>
          <w:szCs w:val="22"/>
          <w:highlight w:val="yellow"/>
        </w:rPr>
        <w:t xml:space="preserve">. Typhi, and </w:t>
      </w:r>
      <w:r w:rsidRPr="009E3F30">
        <w:rPr>
          <w:rFonts w:asciiTheme="minorHAnsi" w:hAnsiTheme="minorHAnsi"/>
          <w:i/>
          <w:color w:val="000000"/>
          <w:sz w:val="22"/>
          <w:szCs w:val="22"/>
          <w:highlight w:val="yellow"/>
        </w:rPr>
        <w:t>S</w:t>
      </w:r>
      <w:r>
        <w:rPr>
          <w:rFonts w:asciiTheme="minorHAnsi" w:hAnsiTheme="minorHAnsi"/>
          <w:color w:val="000000"/>
          <w:sz w:val="22"/>
          <w:szCs w:val="22"/>
          <w:highlight w:val="yellow"/>
        </w:rPr>
        <w:t>. Paratyphi</w:t>
      </w:r>
      <w:r w:rsidRPr="002B369D">
        <w:rPr>
          <w:rFonts w:asciiTheme="minorHAnsi" w:hAnsiTheme="minorHAnsi"/>
          <w:color w:val="000000"/>
          <w:sz w:val="22"/>
          <w:szCs w:val="22"/>
          <w:highlight w:val="yellow"/>
        </w:rPr>
        <w:t xml:space="preserve">) </w:t>
      </w:r>
      <w:r>
        <w:rPr>
          <w:rFonts w:asciiTheme="minorHAnsi" w:hAnsiTheme="minorHAnsi"/>
          <w:color w:val="000000"/>
          <w:sz w:val="22"/>
          <w:szCs w:val="22"/>
          <w:highlight w:val="yellow"/>
        </w:rPr>
        <w:t xml:space="preserve">listed in Attachment 3 in bold </w:t>
      </w:r>
      <w:r w:rsidRPr="00C93BE6">
        <w:rPr>
          <w:rFonts w:asciiTheme="minorHAnsi" w:hAnsiTheme="minorHAnsi"/>
          <w:color w:val="000000"/>
          <w:sz w:val="22"/>
          <w:szCs w:val="22"/>
          <w:highlight w:val="yellow"/>
        </w:rPr>
        <w:t>and</w:t>
      </w:r>
      <w:r>
        <w:rPr>
          <w:rFonts w:asciiTheme="minorHAnsi" w:hAnsiTheme="minorHAnsi"/>
          <w:color w:val="000000"/>
          <w:sz w:val="22"/>
          <w:szCs w:val="22"/>
          <w:highlight w:val="yellow"/>
        </w:rPr>
        <w:t xml:space="preserve"> two conditions (TB Infection and RSV-Associated Mortality) listed in Attachment 4 in bold</w:t>
      </w:r>
      <w:r w:rsidRPr="00FF20B4">
        <w:rPr>
          <w:rFonts w:asciiTheme="minorHAnsi" w:hAnsiTheme="minorHAnsi"/>
          <w:color w:val="000000"/>
          <w:sz w:val="22"/>
          <w:szCs w:val="22"/>
          <w:highlight w:val="yellow"/>
        </w:rPr>
        <w:t xml:space="preserve"> that were not included in the previous ICR</w:t>
      </w:r>
      <w:r>
        <w:rPr>
          <w:rFonts w:asciiTheme="minorHAnsi" w:hAnsiTheme="minorHAnsi"/>
          <w:color w:val="000000"/>
          <w:sz w:val="22"/>
          <w:szCs w:val="22"/>
        </w:rPr>
        <w:t xml:space="preserve">. </w:t>
      </w:r>
    </w:p>
    <w:p w:rsidR="00E30E7D" w:rsidRDefault="00E30E7D" w:rsidP="00E30E7D">
      <w:pPr>
        <w:spacing w:line="360" w:lineRule="auto"/>
        <w:rPr>
          <w:rFonts w:asciiTheme="minorHAnsi" w:hAnsiTheme="minorHAnsi"/>
          <w:color w:val="000000"/>
          <w:sz w:val="22"/>
          <w:szCs w:val="22"/>
        </w:rPr>
      </w:pPr>
    </w:p>
    <w:p w:rsidR="00E30E7D"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 xml:space="preserve">Detailed characteristics about each of the conditions including the reasons why the conditions are being added to NNDSS are described below: </w:t>
      </w:r>
    </w:p>
    <w:p w:rsidR="00E30E7D" w:rsidRDefault="00E30E7D" w:rsidP="00E30E7D">
      <w:pPr>
        <w:spacing w:line="360" w:lineRule="auto"/>
        <w:rPr>
          <w:rFonts w:asciiTheme="minorHAnsi" w:hAnsiTheme="minorHAnsi"/>
          <w:color w:val="000000"/>
          <w:sz w:val="22"/>
          <w:szCs w:val="22"/>
        </w:rPr>
      </w:pPr>
    </w:p>
    <w:p w:rsidR="00E30E7D" w:rsidRPr="00EC652B" w:rsidRDefault="00E30E7D" w:rsidP="00E30E7D">
      <w:pPr>
        <w:spacing w:line="360" w:lineRule="auto"/>
        <w:rPr>
          <w:rFonts w:asciiTheme="minorHAnsi" w:hAnsiTheme="minorHAnsi"/>
          <w:i/>
          <w:color w:val="000000"/>
          <w:sz w:val="22"/>
          <w:szCs w:val="22"/>
          <w:highlight w:val="yellow"/>
        </w:rPr>
      </w:pPr>
      <w:r w:rsidRPr="00EC652B">
        <w:rPr>
          <w:rFonts w:asciiTheme="minorHAnsi" w:hAnsiTheme="minorHAnsi"/>
          <w:i/>
          <w:color w:val="000000"/>
          <w:sz w:val="22"/>
          <w:szCs w:val="22"/>
          <w:highlight w:val="yellow"/>
        </w:rPr>
        <w:t>C. auris</w:t>
      </w:r>
    </w:p>
    <w:p w:rsidR="00E30E7D" w:rsidRPr="00A367CD" w:rsidRDefault="00E30E7D" w:rsidP="00E30E7D">
      <w:pPr>
        <w:spacing w:line="360" w:lineRule="auto"/>
        <w:rPr>
          <w:rStyle w:val="Hyperlink"/>
          <w:rFonts w:asciiTheme="minorHAnsi" w:hAnsiTheme="minorHAnsi"/>
          <w:sz w:val="22"/>
          <w:szCs w:val="22"/>
          <w:highlight w:val="yellow"/>
        </w:rPr>
      </w:pPr>
      <w:r w:rsidRPr="00A367CD">
        <w:rPr>
          <w:rFonts w:asciiTheme="minorHAnsi" w:hAnsiTheme="minorHAnsi"/>
          <w:color w:val="000000"/>
          <w:sz w:val="22"/>
          <w:szCs w:val="22"/>
          <w:highlight w:val="yellow"/>
        </w:rPr>
        <w:t xml:space="preserve">CSTE issued a position statement in 2018 that rendered </w:t>
      </w:r>
      <w:r w:rsidRPr="00A367CD">
        <w:rPr>
          <w:rFonts w:asciiTheme="minorHAnsi" w:hAnsiTheme="minorHAnsi"/>
          <w:i/>
          <w:sz w:val="22"/>
          <w:szCs w:val="22"/>
          <w:highlight w:val="yellow"/>
        </w:rPr>
        <w:t>C. auris</w:t>
      </w:r>
      <w:r w:rsidRPr="00A367CD">
        <w:rPr>
          <w:rFonts w:asciiTheme="minorHAnsi" w:hAnsiTheme="minorHAnsi"/>
          <w:sz w:val="22"/>
          <w:szCs w:val="22"/>
          <w:highlight w:val="yellow"/>
        </w:rPr>
        <w:t xml:space="preserve"> </w:t>
      </w:r>
      <w:r w:rsidRPr="00A367CD">
        <w:rPr>
          <w:rFonts w:asciiTheme="minorHAnsi" w:hAnsiTheme="minorHAnsi"/>
          <w:color w:val="000000"/>
          <w:sz w:val="22"/>
          <w:szCs w:val="22"/>
          <w:highlight w:val="yellow"/>
        </w:rPr>
        <w:t>nationally notifiable (</w:t>
      </w:r>
      <w:r w:rsidRPr="00A367CD">
        <w:rPr>
          <w:rStyle w:val="Hyperlink"/>
          <w:rFonts w:asciiTheme="minorHAnsi" w:hAnsiTheme="minorHAnsi"/>
          <w:sz w:val="22"/>
          <w:szCs w:val="22"/>
          <w:highlight w:val="yellow"/>
        </w:rPr>
        <w:t>https://cdn.ymaws.com/www.cste.org/resource/resmgr/2018_position_statements/18-ID-05.pdf).</w:t>
      </w:r>
    </w:p>
    <w:p w:rsidR="00E30E7D" w:rsidRPr="00616E82" w:rsidRDefault="00E30E7D" w:rsidP="00E30E7D">
      <w:pPr>
        <w:spacing w:line="360" w:lineRule="auto"/>
        <w:rPr>
          <w:rFonts w:asciiTheme="minorHAnsi" w:hAnsiTheme="minorHAnsi"/>
          <w:color w:val="000000"/>
          <w:sz w:val="22"/>
          <w:szCs w:val="22"/>
          <w:highlight w:val="yellow"/>
        </w:rPr>
      </w:pPr>
      <w:r w:rsidRPr="003D05D3">
        <w:rPr>
          <w:rFonts w:asciiTheme="minorHAnsi" w:hAnsiTheme="minorHAnsi"/>
          <w:color w:val="000000"/>
          <w:sz w:val="22"/>
          <w:szCs w:val="22"/>
          <w:highlight w:val="yellow"/>
        </w:rPr>
        <w:t xml:space="preserve">This position statement includes the following action to be taken:  “Utilize standardized criteria for case ascertainment and classification (based on Sections VI and VII and Technical Supplement of accompanying position statement) for </w:t>
      </w:r>
      <w:r w:rsidRPr="008812BD">
        <w:rPr>
          <w:rFonts w:asciiTheme="minorHAnsi" w:hAnsiTheme="minorHAnsi"/>
          <w:i/>
          <w:color w:val="000000"/>
          <w:sz w:val="22"/>
          <w:szCs w:val="22"/>
          <w:highlight w:val="yellow"/>
        </w:rPr>
        <w:t xml:space="preserve">Candida auris </w:t>
      </w:r>
      <w:r w:rsidRPr="003D05D3">
        <w:rPr>
          <w:rFonts w:asciiTheme="minorHAnsi" w:hAnsiTheme="minorHAnsi"/>
          <w:color w:val="000000"/>
          <w:sz w:val="22"/>
          <w:szCs w:val="22"/>
          <w:highlight w:val="yellow"/>
        </w:rPr>
        <w:t xml:space="preserve">and add </w:t>
      </w:r>
      <w:r w:rsidRPr="008812BD">
        <w:rPr>
          <w:rFonts w:asciiTheme="minorHAnsi" w:hAnsiTheme="minorHAnsi"/>
          <w:i/>
          <w:color w:val="000000"/>
          <w:sz w:val="22"/>
          <w:szCs w:val="22"/>
          <w:highlight w:val="yellow"/>
        </w:rPr>
        <w:t>Candida auris</w:t>
      </w:r>
      <w:r w:rsidRPr="003D05D3">
        <w:rPr>
          <w:rFonts w:asciiTheme="minorHAnsi" w:hAnsiTheme="minorHAnsi"/>
          <w:color w:val="000000"/>
          <w:sz w:val="22"/>
          <w:szCs w:val="22"/>
          <w:highlight w:val="yellow"/>
        </w:rPr>
        <w:t xml:space="preserve"> to the Nationally Notifiable Condition List.”  </w:t>
      </w:r>
      <w:r w:rsidRPr="00A367CD">
        <w:rPr>
          <w:rFonts w:asciiTheme="minorHAnsi" w:hAnsiTheme="minorHAnsi"/>
          <w:color w:val="000000"/>
          <w:sz w:val="22"/>
          <w:szCs w:val="22"/>
          <w:highlight w:val="yellow"/>
        </w:rPr>
        <w:t xml:space="preserve">CDC requests permission to receive case notification data for </w:t>
      </w:r>
      <w:r w:rsidRPr="00A367CD">
        <w:rPr>
          <w:rFonts w:asciiTheme="minorHAnsi" w:hAnsiTheme="minorHAnsi"/>
          <w:i/>
          <w:color w:val="000000"/>
          <w:sz w:val="22"/>
          <w:szCs w:val="22"/>
          <w:highlight w:val="yellow"/>
        </w:rPr>
        <w:t>C. auris</w:t>
      </w:r>
      <w:r w:rsidRPr="00A367CD">
        <w:rPr>
          <w:rFonts w:asciiTheme="minorHAnsi" w:hAnsiTheme="minorHAnsi"/>
          <w:color w:val="000000"/>
          <w:sz w:val="22"/>
          <w:szCs w:val="22"/>
          <w:highlight w:val="yellow"/>
        </w:rPr>
        <w:t xml:space="preserve"> as it is now nationally notifiable</w:t>
      </w:r>
      <w:r w:rsidRPr="00616E82">
        <w:rPr>
          <w:rFonts w:asciiTheme="minorHAnsi" w:hAnsiTheme="minorHAnsi"/>
          <w:color w:val="000000"/>
          <w:sz w:val="22"/>
          <w:szCs w:val="22"/>
          <w:highlight w:val="yellow"/>
        </w:rPr>
        <w:t>.</w:t>
      </w:r>
    </w:p>
    <w:tbl>
      <w:tblPr>
        <w:tblStyle w:val="TableGrid"/>
        <w:tblW w:w="9180" w:type="dxa"/>
        <w:tblInd w:w="85" w:type="dxa"/>
        <w:tblLook w:val="04A0" w:firstRow="1" w:lastRow="0" w:firstColumn="1" w:lastColumn="0" w:noHBand="0" w:noVBand="1"/>
      </w:tblPr>
      <w:tblGrid>
        <w:gridCol w:w="2880"/>
        <w:gridCol w:w="6300"/>
      </w:tblGrid>
      <w:tr w:rsidR="00E30E7D" w:rsidRPr="00AA0678" w:rsidTr="000677F3">
        <w:tc>
          <w:tcPr>
            <w:tcW w:w="2880" w:type="dxa"/>
          </w:tcPr>
          <w:p w:rsidR="00E30E7D" w:rsidRPr="00AA0678" w:rsidRDefault="00E30E7D" w:rsidP="000677F3">
            <w:pPr>
              <w:rPr>
                <w:b/>
                <w:sz w:val="22"/>
                <w:szCs w:val="22"/>
              </w:rPr>
            </w:pPr>
            <w:r w:rsidRPr="00AA0678">
              <w:rPr>
                <w:b/>
                <w:i/>
                <w:sz w:val="22"/>
                <w:szCs w:val="22"/>
              </w:rPr>
              <w:t>C. auris</w:t>
            </w:r>
          </w:p>
        </w:tc>
        <w:tc>
          <w:tcPr>
            <w:tcW w:w="6300" w:type="dxa"/>
          </w:tcPr>
          <w:p w:rsidR="00E30E7D" w:rsidRPr="00AA0678" w:rsidRDefault="00E30E7D" w:rsidP="000677F3">
            <w:pPr>
              <w:rPr>
                <w:sz w:val="22"/>
                <w:szCs w:val="22"/>
              </w:rPr>
            </w:pPr>
          </w:p>
        </w:tc>
      </w:tr>
      <w:tr w:rsidR="00E30E7D" w:rsidRPr="00AA0678" w:rsidTr="000677F3">
        <w:tc>
          <w:tcPr>
            <w:tcW w:w="2880" w:type="dxa"/>
          </w:tcPr>
          <w:p w:rsidR="00E30E7D" w:rsidRPr="00AA0678" w:rsidRDefault="00E30E7D" w:rsidP="000677F3">
            <w:pPr>
              <w:rPr>
                <w:sz w:val="22"/>
                <w:szCs w:val="22"/>
              </w:rPr>
            </w:pPr>
            <w:r w:rsidRPr="00AA0678">
              <w:rPr>
                <w:sz w:val="22"/>
                <w:szCs w:val="22"/>
              </w:rPr>
              <w:t>The impetus/urgency for CDC to institute case notification and data elements for this condition</w:t>
            </w:r>
          </w:p>
          <w:p w:rsidR="00E30E7D" w:rsidRPr="00AA0678" w:rsidRDefault="00E30E7D" w:rsidP="000677F3">
            <w:pPr>
              <w:rPr>
                <w:b/>
                <w:sz w:val="22"/>
                <w:szCs w:val="22"/>
              </w:rPr>
            </w:pPr>
          </w:p>
        </w:tc>
        <w:tc>
          <w:tcPr>
            <w:tcW w:w="6300" w:type="dxa"/>
          </w:tcPr>
          <w:p w:rsidR="00E30E7D" w:rsidRDefault="00E30E7D" w:rsidP="000677F3">
            <w:pPr>
              <w:pStyle w:val="ListParagraph"/>
              <w:numPr>
                <w:ilvl w:val="0"/>
                <w:numId w:val="31"/>
              </w:numPr>
              <w:contextualSpacing/>
              <w:rPr>
                <w:sz w:val="22"/>
                <w:szCs w:val="22"/>
              </w:rPr>
            </w:pPr>
            <w:r w:rsidRPr="00AA0678">
              <w:rPr>
                <w:sz w:val="22"/>
                <w:szCs w:val="22"/>
              </w:rPr>
              <w:t xml:space="preserve">To facilitate early interventions so that </w:t>
            </w:r>
            <w:r w:rsidRPr="00AA0678">
              <w:rPr>
                <w:i/>
                <w:sz w:val="22"/>
                <w:szCs w:val="22"/>
              </w:rPr>
              <w:t>C. auris</w:t>
            </w:r>
            <w:r w:rsidRPr="00AA0678">
              <w:rPr>
                <w:sz w:val="22"/>
                <w:szCs w:val="22"/>
              </w:rPr>
              <w:t xml:space="preserve"> does not become widespread in health care facilities (e.g., nursing homes) like some other multi-drug resistant organisms</w:t>
            </w:r>
          </w:p>
          <w:p w:rsidR="00E30E7D" w:rsidRPr="00AA0678" w:rsidRDefault="00E30E7D" w:rsidP="000677F3">
            <w:pPr>
              <w:pStyle w:val="ListParagraph"/>
              <w:numPr>
                <w:ilvl w:val="0"/>
                <w:numId w:val="31"/>
              </w:numPr>
              <w:contextualSpacing/>
              <w:rPr>
                <w:sz w:val="22"/>
                <w:szCs w:val="22"/>
              </w:rPr>
            </w:pPr>
            <w:r w:rsidRPr="00AA0678">
              <w:rPr>
                <w:sz w:val="22"/>
                <w:szCs w:val="22"/>
              </w:rPr>
              <w:t xml:space="preserve">To </w:t>
            </w:r>
            <w:r>
              <w:rPr>
                <w:sz w:val="22"/>
                <w:szCs w:val="22"/>
              </w:rPr>
              <w:t>monitor</w:t>
            </w:r>
            <w:r w:rsidRPr="00AA0678">
              <w:rPr>
                <w:sz w:val="22"/>
                <w:szCs w:val="22"/>
              </w:rPr>
              <w:t xml:space="preserve"> the effect of this emerging, highly drug-resistant, fungal pathogen that causes severe invasive infections associated with high mortality</w:t>
            </w:r>
          </w:p>
          <w:p w:rsidR="00E30E7D" w:rsidRPr="005E1042" w:rsidRDefault="00E30E7D" w:rsidP="00564359">
            <w:pPr>
              <w:pStyle w:val="ListParagraph"/>
              <w:numPr>
                <w:ilvl w:val="0"/>
                <w:numId w:val="31"/>
              </w:numPr>
              <w:contextualSpacing/>
              <w:rPr>
                <w:sz w:val="22"/>
                <w:szCs w:val="22"/>
              </w:rPr>
            </w:pPr>
            <w:r w:rsidRPr="00AA0678">
              <w:rPr>
                <w:sz w:val="22"/>
                <w:szCs w:val="22"/>
              </w:rPr>
              <w:t>To improve the ability to respond to this emerging threat</w:t>
            </w:r>
          </w:p>
        </w:tc>
      </w:tr>
      <w:tr w:rsidR="00E30E7D" w:rsidRPr="00AA0678" w:rsidTr="000677F3">
        <w:trPr>
          <w:trHeight w:val="1025"/>
        </w:trPr>
        <w:tc>
          <w:tcPr>
            <w:tcW w:w="2880" w:type="dxa"/>
          </w:tcPr>
          <w:p w:rsidR="00E30E7D" w:rsidRPr="00AA0678" w:rsidRDefault="00E30E7D" w:rsidP="000677F3">
            <w:pPr>
              <w:rPr>
                <w:sz w:val="22"/>
                <w:szCs w:val="22"/>
              </w:rPr>
            </w:pPr>
            <w:r w:rsidRPr="00AA0678">
              <w:rPr>
                <w:sz w:val="22"/>
                <w:szCs w:val="22"/>
              </w:rPr>
              <w:t>Existing sources of data (Federal, non-federal, private, etc.) and what those sources say about approximate national incidence and/or prevalence of the condition</w:t>
            </w:r>
          </w:p>
          <w:p w:rsidR="00E30E7D" w:rsidRPr="00AA0678" w:rsidRDefault="00E30E7D" w:rsidP="000677F3">
            <w:pPr>
              <w:rPr>
                <w:sz w:val="22"/>
                <w:szCs w:val="22"/>
              </w:rPr>
            </w:pPr>
          </w:p>
        </w:tc>
        <w:tc>
          <w:tcPr>
            <w:tcW w:w="6300" w:type="dxa"/>
          </w:tcPr>
          <w:p w:rsidR="00E30E7D" w:rsidRPr="00AA0678" w:rsidRDefault="00E30E7D" w:rsidP="000677F3">
            <w:pPr>
              <w:pStyle w:val="ListParagraph"/>
              <w:numPr>
                <w:ilvl w:val="0"/>
                <w:numId w:val="35"/>
              </w:numPr>
              <w:contextualSpacing/>
              <w:rPr>
                <w:sz w:val="22"/>
                <w:szCs w:val="22"/>
              </w:rPr>
            </w:pPr>
            <w:r w:rsidRPr="00AA0678">
              <w:rPr>
                <w:rFonts w:cstheme="minorHAnsi"/>
                <w:sz w:val="22"/>
                <w:szCs w:val="22"/>
              </w:rPr>
              <w:t xml:space="preserve">1.6 per 1,000,000 [National Healthcare Safety Network (NHSN), 2018] </w:t>
            </w:r>
          </w:p>
        </w:tc>
      </w:tr>
      <w:tr w:rsidR="00E30E7D" w:rsidRPr="00AA0678" w:rsidTr="000677F3">
        <w:tc>
          <w:tcPr>
            <w:tcW w:w="2880" w:type="dxa"/>
          </w:tcPr>
          <w:p w:rsidR="00E30E7D" w:rsidRPr="00AA0678" w:rsidRDefault="00E30E7D" w:rsidP="000677F3">
            <w:pPr>
              <w:rPr>
                <w:sz w:val="22"/>
                <w:szCs w:val="22"/>
              </w:rPr>
            </w:pPr>
            <w:r w:rsidRPr="00AA0678">
              <w:rPr>
                <w:sz w:val="22"/>
                <w:szCs w:val="22"/>
              </w:rPr>
              <w:t>Incremental coverage provided by adding the condition to NNDSS (how CDC will use additional precision)</w:t>
            </w:r>
          </w:p>
          <w:p w:rsidR="00E30E7D" w:rsidRPr="00AA0678" w:rsidRDefault="00E30E7D" w:rsidP="000677F3">
            <w:pPr>
              <w:rPr>
                <w:sz w:val="22"/>
                <w:szCs w:val="22"/>
              </w:rPr>
            </w:pPr>
          </w:p>
        </w:tc>
        <w:tc>
          <w:tcPr>
            <w:tcW w:w="6300" w:type="dxa"/>
          </w:tcPr>
          <w:p w:rsidR="00E30E7D" w:rsidRPr="00AA0678" w:rsidRDefault="00E30E7D" w:rsidP="000677F3">
            <w:pPr>
              <w:pStyle w:val="ListParagraph"/>
              <w:numPr>
                <w:ilvl w:val="0"/>
                <w:numId w:val="34"/>
              </w:numPr>
              <w:contextualSpacing/>
              <w:rPr>
                <w:sz w:val="22"/>
                <w:szCs w:val="22"/>
              </w:rPr>
            </w:pPr>
            <w:r w:rsidRPr="00AA0678">
              <w:rPr>
                <w:sz w:val="22"/>
                <w:szCs w:val="22"/>
              </w:rPr>
              <w:t>NNDSS is expected to capture approximately 90% of cases not currently captured by NHSN</w:t>
            </w:r>
          </w:p>
          <w:p w:rsidR="00A10ACB" w:rsidRDefault="00A10ACB" w:rsidP="00A10ACB">
            <w:pPr>
              <w:pStyle w:val="ListParagraph"/>
              <w:numPr>
                <w:ilvl w:val="0"/>
                <w:numId w:val="34"/>
              </w:numPr>
              <w:contextualSpacing/>
              <w:rPr>
                <w:sz w:val="22"/>
                <w:szCs w:val="22"/>
              </w:rPr>
            </w:pPr>
            <w:r w:rsidRPr="00A10ACB">
              <w:rPr>
                <w:sz w:val="22"/>
                <w:szCs w:val="22"/>
              </w:rPr>
              <w:t>NHSN only captures hospitalized cases and does not capture nursing home cases or community-acquired cases.</w:t>
            </w:r>
          </w:p>
          <w:p w:rsidR="00E30E7D" w:rsidRPr="00AA0678" w:rsidRDefault="00E30E7D" w:rsidP="000677F3">
            <w:pPr>
              <w:pStyle w:val="ListParagraph"/>
              <w:numPr>
                <w:ilvl w:val="0"/>
                <w:numId w:val="34"/>
              </w:numPr>
              <w:contextualSpacing/>
              <w:rPr>
                <w:sz w:val="22"/>
                <w:szCs w:val="22"/>
              </w:rPr>
            </w:pPr>
            <w:r w:rsidRPr="00AA0678">
              <w:rPr>
                <w:sz w:val="22"/>
                <w:szCs w:val="22"/>
              </w:rPr>
              <w:t>Cases captured by NHSN are reported a month or two after they occur and include only those cases that occur in the bloodstream and are associated with central lines</w:t>
            </w:r>
          </w:p>
          <w:p w:rsidR="00E30E7D" w:rsidRPr="00AA0678" w:rsidRDefault="00E30E7D" w:rsidP="000677F3">
            <w:pPr>
              <w:pStyle w:val="ListParagraph"/>
              <w:numPr>
                <w:ilvl w:val="0"/>
                <w:numId w:val="34"/>
              </w:numPr>
              <w:contextualSpacing/>
              <w:rPr>
                <w:sz w:val="22"/>
                <w:szCs w:val="22"/>
              </w:rPr>
            </w:pPr>
            <w:r w:rsidRPr="00AA0678">
              <w:rPr>
                <w:sz w:val="22"/>
                <w:szCs w:val="22"/>
              </w:rPr>
              <w:t>Case notifications will allow CDC to track epidemiology and update evidence-based guidance</w:t>
            </w:r>
          </w:p>
        </w:tc>
      </w:tr>
      <w:tr w:rsidR="00E30E7D" w:rsidRPr="00AA0678" w:rsidTr="000677F3">
        <w:tc>
          <w:tcPr>
            <w:tcW w:w="2880" w:type="dxa"/>
          </w:tcPr>
          <w:p w:rsidR="00E30E7D" w:rsidRPr="00AA0678" w:rsidRDefault="00E30E7D" w:rsidP="000677F3">
            <w:pPr>
              <w:rPr>
                <w:sz w:val="22"/>
                <w:szCs w:val="22"/>
              </w:rPr>
            </w:pPr>
            <w:r w:rsidRPr="00AA0678">
              <w:rPr>
                <w:sz w:val="22"/>
                <w:szCs w:val="22"/>
              </w:rPr>
              <w:t xml:space="preserve">Number of states that currently require reporting of these conditions and data elements </w:t>
            </w:r>
          </w:p>
        </w:tc>
        <w:tc>
          <w:tcPr>
            <w:tcW w:w="6300" w:type="dxa"/>
          </w:tcPr>
          <w:p w:rsidR="00E30E7D" w:rsidRPr="00AA0678" w:rsidRDefault="00E30E7D" w:rsidP="000677F3">
            <w:pPr>
              <w:pStyle w:val="ListParagraph"/>
              <w:numPr>
                <w:ilvl w:val="0"/>
                <w:numId w:val="33"/>
              </w:numPr>
              <w:contextualSpacing/>
              <w:rPr>
                <w:sz w:val="22"/>
                <w:szCs w:val="22"/>
              </w:rPr>
            </w:pPr>
            <w:r w:rsidRPr="00AA0678">
              <w:rPr>
                <w:sz w:val="22"/>
                <w:szCs w:val="22"/>
              </w:rPr>
              <w:t xml:space="preserve">8 jurisdictions </w:t>
            </w:r>
          </w:p>
          <w:p w:rsidR="00E30E7D" w:rsidRPr="00AA0678" w:rsidRDefault="00E30E7D" w:rsidP="000677F3">
            <w:pPr>
              <w:rPr>
                <w:sz w:val="22"/>
                <w:szCs w:val="22"/>
              </w:rPr>
            </w:pPr>
          </w:p>
        </w:tc>
      </w:tr>
      <w:tr w:rsidR="00E30E7D" w:rsidRPr="00AA0678" w:rsidTr="000677F3">
        <w:tc>
          <w:tcPr>
            <w:tcW w:w="2880" w:type="dxa"/>
          </w:tcPr>
          <w:p w:rsidR="00E30E7D" w:rsidRPr="00AA0678" w:rsidRDefault="00E30E7D" w:rsidP="000677F3">
            <w:pPr>
              <w:rPr>
                <w:sz w:val="22"/>
                <w:szCs w:val="22"/>
              </w:rPr>
            </w:pPr>
            <w:r w:rsidRPr="00AA0678">
              <w:rPr>
                <w:sz w:val="22"/>
                <w:szCs w:val="22"/>
              </w:rPr>
              <w:t xml:space="preserve">The number of states anticipated to adopt if added to NNDSS and basis of estimate </w:t>
            </w:r>
          </w:p>
          <w:p w:rsidR="00E30E7D" w:rsidRPr="00AA0678" w:rsidRDefault="00E30E7D" w:rsidP="000677F3">
            <w:pPr>
              <w:ind w:left="720"/>
              <w:rPr>
                <w:sz w:val="22"/>
                <w:szCs w:val="22"/>
              </w:rPr>
            </w:pPr>
            <w:r w:rsidRPr="00AA0678">
              <w:rPr>
                <w:sz w:val="22"/>
                <w:szCs w:val="22"/>
              </w:rPr>
              <w:t>Funding allocated specifically for a condition and/or additional elements (please list source where applicable)</w:t>
            </w:r>
          </w:p>
          <w:p w:rsidR="00E30E7D" w:rsidRPr="00AA0678" w:rsidRDefault="00E30E7D" w:rsidP="000677F3">
            <w:pPr>
              <w:rPr>
                <w:sz w:val="22"/>
                <w:szCs w:val="22"/>
              </w:rPr>
            </w:pPr>
          </w:p>
        </w:tc>
        <w:tc>
          <w:tcPr>
            <w:tcW w:w="6300" w:type="dxa"/>
          </w:tcPr>
          <w:p w:rsidR="00E30E7D" w:rsidRPr="00AA0678" w:rsidRDefault="00E30E7D" w:rsidP="000677F3">
            <w:pPr>
              <w:pStyle w:val="ListParagraph"/>
              <w:numPr>
                <w:ilvl w:val="0"/>
                <w:numId w:val="33"/>
              </w:numPr>
              <w:contextualSpacing/>
              <w:rPr>
                <w:sz w:val="22"/>
                <w:szCs w:val="22"/>
              </w:rPr>
            </w:pPr>
            <w:r w:rsidRPr="00AA0678">
              <w:rPr>
                <w:sz w:val="22"/>
                <w:szCs w:val="22"/>
              </w:rPr>
              <w:t>10 jurisdictions: 8 jurisdictions where reportable and 2 high prevalence jurisdictions (NY and NJ)</w:t>
            </w:r>
          </w:p>
          <w:p w:rsidR="00E30E7D" w:rsidRPr="00AA0678" w:rsidRDefault="00E30E7D" w:rsidP="000677F3">
            <w:pPr>
              <w:pStyle w:val="ListParagraph"/>
              <w:numPr>
                <w:ilvl w:val="1"/>
                <w:numId w:val="33"/>
              </w:numPr>
              <w:contextualSpacing/>
              <w:rPr>
                <w:sz w:val="22"/>
                <w:szCs w:val="22"/>
              </w:rPr>
            </w:pPr>
            <w:r w:rsidRPr="00AA0678">
              <w:rPr>
                <w:sz w:val="22"/>
                <w:szCs w:val="22"/>
              </w:rPr>
              <w:t xml:space="preserve">No specific funding allocated  </w:t>
            </w:r>
          </w:p>
        </w:tc>
      </w:tr>
      <w:tr w:rsidR="00E30E7D" w:rsidRPr="00AA0678" w:rsidTr="000677F3">
        <w:tc>
          <w:tcPr>
            <w:tcW w:w="2880" w:type="dxa"/>
          </w:tcPr>
          <w:p w:rsidR="00E30E7D" w:rsidRPr="00AA0678" w:rsidRDefault="00E30E7D" w:rsidP="000677F3">
            <w:pPr>
              <w:rPr>
                <w:sz w:val="22"/>
                <w:szCs w:val="22"/>
              </w:rPr>
            </w:pPr>
            <w:r w:rsidRPr="00AA0678">
              <w:rPr>
                <w:sz w:val="22"/>
                <w:szCs w:val="22"/>
              </w:rPr>
              <w:t>Anticipated frequency of reporting to CDC</w:t>
            </w:r>
          </w:p>
        </w:tc>
        <w:tc>
          <w:tcPr>
            <w:tcW w:w="6300" w:type="dxa"/>
          </w:tcPr>
          <w:p w:rsidR="00E30E7D" w:rsidRPr="00AA0678" w:rsidRDefault="00E30E7D" w:rsidP="000677F3">
            <w:pPr>
              <w:pStyle w:val="ListParagraph"/>
              <w:numPr>
                <w:ilvl w:val="0"/>
                <w:numId w:val="32"/>
              </w:numPr>
              <w:contextualSpacing/>
              <w:rPr>
                <w:sz w:val="22"/>
                <w:szCs w:val="22"/>
              </w:rPr>
            </w:pPr>
            <w:r w:rsidRPr="00AA0678">
              <w:rPr>
                <w:sz w:val="22"/>
                <w:szCs w:val="22"/>
              </w:rPr>
              <w:t>Weekly for high prevalence jurisdictions (e.g., IL, NY, and NJ)</w:t>
            </w:r>
          </w:p>
          <w:p w:rsidR="00E30E7D" w:rsidRPr="00AA0678" w:rsidRDefault="00E30E7D" w:rsidP="000677F3">
            <w:pPr>
              <w:pStyle w:val="ListParagraph"/>
              <w:numPr>
                <w:ilvl w:val="0"/>
                <w:numId w:val="32"/>
              </w:numPr>
              <w:contextualSpacing/>
              <w:rPr>
                <w:sz w:val="22"/>
                <w:szCs w:val="22"/>
              </w:rPr>
            </w:pPr>
            <w:r w:rsidRPr="00AA0678">
              <w:rPr>
                <w:sz w:val="22"/>
                <w:szCs w:val="22"/>
              </w:rPr>
              <w:t>Monthly or less for other jurisdictions</w:t>
            </w:r>
          </w:p>
        </w:tc>
      </w:tr>
      <w:tr w:rsidR="00E30E7D" w:rsidRPr="00AA0678" w:rsidTr="000677F3">
        <w:trPr>
          <w:trHeight w:val="1430"/>
        </w:trPr>
        <w:tc>
          <w:tcPr>
            <w:tcW w:w="2880" w:type="dxa"/>
          </w:tcPr>
          <w:p w:rsidR="00E30E7D" w:rsidRPr="00AA0678" w:rsidRDefault="00E30E7D" w:rsidP="000677F3">
            <w:pPr>
              <w:rPr>
                <w:sz w:val="22"/>
                <w:szCs w:val="22"/>
              </w:rPr>
            </w:pPr>
            <w:r w:rsidRPr="00AA0678">
              <w:rPr>
                <w:sz w:val="22"/>
                <w:szCs w:val="22"/>
              </w:rPr>
              <w:t>Based on the above information, what is the proposed priority associated with condition</w:t>
            </w:r>
          </w:p>
        </w:tc>
        <w:tc>
          <w:tcPr>
            <w:tcW w:w="6300" w:type="dxa"/>
          </w:tcPr>
          <w:p w:rsidR="00E30E7D" w:rsidRPr="00AA0678" w:rsidRDefault="00B26178" w:rsidP="000677F3">
            <w:pPr>
              <w:pStyle w:val="ListParagraph"/>
              <w:contextualSpacing/>
              <w:rPr>
                <w:sz w:val="22"/>
                <w:szCs w:val="22"/>
              </w:rPr>
            </w:pPr>
            <w:r w:rsidRPr="00B26178">
              <w:rPr>
                <w:sz w:val="22"/>
                <w:szCs w:val="22"/>
              </w:rPr>
              <w:t>States will determine the priority of adding this</w:t>
            </w:r>
            <w:r w:rsidR="002A1EAD">
              <w:rPr>
                <w:sz w:val="22"/>
                <w:szCs w:val="22"/>
              </w:rPr>
              <w:t xml:space="preserve"> </w:t>
            </w:r>
            <w:r w:rsidRPr="00B26178">
              <w:rPr>
                <w:sz w:val="22"/>
                <w:szCs w:val="22"/>
              </w:rPr>
              <w:t>collection.</w:t>
            </w:r>
          </w:p>
        </w:tc>
      </w:tr>
    </w:tbl>
    <w:p w:rsidR="00E30E7D" w:rsidRPr="00AA0678" w:rsidRDefault="00E30E7D" w:rsidP="00E30E7D">
      <w:pPr>
        <w:spacing w:line="360" w:lineRule="auto"/>
        <w:rPr>
          <w:rFonts w:asciiTheme="minorHAnsi" w:hAnsiTheme="minorHAnsi"/>
          <w:color w:val="000000"/>
          <w:sz w:val="22"/>
          <w:szCs w:val="22"/>
          <w:highlight w:val="yellow"/>
        </w:rPr>
      </w:pPr>
    </w:p>
    <w:p w:rsidR="00E30E7D" w:rsidRDefault="00E30E7D" w:rsidP="00E30E7D">
      <w:pPr>
        <w:spacing w:line="360" w:lineRule="auto"/>
        <w:rPr>
          <w:rFonts w:asciiTheme="minorHAnsi" w:hAnsiTheme="minorHAnsi"/>
          <w:color w:val="000000"/>
          <w:sz w:val="22"/>
          <w:szCs w:val="22"/>
        </w:rPr>
      </w:pPr>
      <w:r w:rsidRPr="006F0CD9">
        <w:rPr>
          <w:rFonts w:asciiTheme="minorHAnsi" w:hAnsiTheme="minorHAnsi"/>
          <w:color w:val="000000"/>
          <w:sz w:val="22"/>
          <w:szCs w:val="22"/>
          <w:highlight w:val="yellow"/>
        </w:rPr>
        <w:t>CP-CRE</w:t>
      </w:r>
    </w:p>
    <w:p w:rsidR="00E30E7D" w:rsidRDefault="00E30E7D" w:rsidP="00E30E7D">
      <w:pPr>
        <w:spacing w:line="360" w:lineRule="auto"/>
        <w:rPr>
          <w:rFonts w:asciiTheme="minorHAnsi" w:hAnsiTheme="minorHAnsi"/>
          <w:color w:val="000000"/>
          <w:sz w:val="22"/>
          <w:szCs w:val="22"/>
          <w:highlight w:val="yellow"/>
        </w:rPr>
      </w:pPr>
      <w:r w:rsidRPr="00712001">
        <w:rPr>
          <w:rFonts w:asciiTheme="minorHAnsi" w:hAnsiTheme="minorHAnsi"/>
          <w:color w:val="000000"/>
          <w:sz w:val="22"/>
          <w:szCs w:val="22"/>
          <w:highlight w:val="yellow"/>
        </w:rPr>
        <w:t>CSTE issued a position statement in 2017 that rendered CP-CRE nationally notifiable (</w:t>
      </w:r>
      <w:hyperlink r:id="rId9" w:history="1">
        <w:r w:rsidRPr="00712001">
          <w:rPr>
            <w:rStyle w:val="Hyperlink"/>
            <w:rFonts w:asciiTheme="minorHAnsi" w:hAnsiTheme="minorHAnsi"/>
            <w:sz w:val="22"/>
            <w:szCs w:val="22"/>
            <w:highlight w:val="yellow"/>
          </w:rPr>
          <w:t>http://c.ymcdn.com/sites/www.cste.org/resource/resmgr/2017PS/2017PSFinal/17-ID-04.pdf</w:t>
        </w:r>
      </w:hyperlink>
      <w:r w:rsidRPr="00712001">
        <w:rPr>
          <w:rFonts w:asciiTheme="minorHAnsi" w:hAnsiTheme="minorHAnsi"/>
          <w:color w:val="000000"/>
          <w:sz w:val="22"/>
          <w:szCs w:val="22"/>
          <w:highlight w:val="yellow"/>
        </w:rPr>
        <w:t xml:space="preserve">). This position statement </w:t>
      </w:r>
      <w:r>
        <w:rPr>
          <w:rFonts w:asciiTheme="minorHAnsi" w:hAnsiTheme="minorHAnsi"/>
          <w:color w:val="000000"/>
          <w:sz w:val="22"/>
          <w:szCs w:val="22"/>
          <w:highlight w:val="yellow"/>
        </w:rPr>
        <w:t xml:space="preserve">includes the following action to be taken: </w:t>
      </w:r>
      <w:r w:rsidRPr="00712001">
        <w:rPr>
          <w:rFonts w:asciiTheme="minorHAnsi" w:hAnsiTheme="minorHAnsi"/>
          <w:color w:val="000000"/>
          <w:sz w:val="22"/>
          <w:szCs w:val="22"/>
          <w:highlight w:val="yellow"/>
        </w:rPr>
        <w:t>“</w:t>
      </w:r>
      <w:r w:rsidRPr="00A877D0">
        <w:rPr>
          <w:rFonts w:asciiTheme="minorHAnsi" w:hAnsiTheme="minorHAnsi"/>
          <w:color w:val="000000"/>
          <w:sz w:val="22"/>
          <w:szCs w:val="22"/>
          <w:highlight w:val="yellow"/>
        </w:rPr>
        <w:t xml:space="preserve">Utilize standardized criteria for case identification and classification (Sections VI and VII) for CP-CRE and add CP-CRE to the Nationally Notifiable Condition List.”  </w:t>
      </w:r>
      <w:r w:rsidRPr="00712001">
        <w:rPr>
          <w:rFonts w:asciiTheme="minorHAnsi" w:hAnsiTheme="minorHAnsi"/>
          <w:color w:val="000000"/>
          <w:sz w:val="22"/>
          <w:szCs w:val="22"/>
          <w:highlight w:val="yellow"/>
        </w:rPr>
        <w:t xml:space="preserve">CDC requests permission to receive case notification data for </w:t>
      </w:r>
      <w:r>
        <w:rPr>
          <w:rFonts w:asciiTheme="minorHAnsi" w:hAnsiTheme="minorHAnsi"/>
          <w:color w:val="000000"/>
          <w:sz w:val="22"/>
          <w:szCs w:val="22"/>
          <w:highlight w:val="yellow"/>
        </w:rPr>
        <w:t>CP-CRE</w:t>
      </w:r>
      <w:r w:rsidRPr="00712001">
        <w:rPr>
          <w:rFonts w:asciiTheme="minorHAnsi" w:hAnsiTheme="minorHAnsi"/>
          <w:color w:val="000000"/>
          <w:sz w:val="22"/>
          <w:szCs w:val="22"/>
          <w:highlight w:val="yellow"/>
        </w:rPr>
        <w:t xml:space="preserve"> as </w:t>
      </w:r>
      <w:r>
        <w:rPr>
          <w:rFonts w:asciiTheme="minorHAnsi" w:hAnsiTheme="minorHAnsi"/>
          <w:color w:val="000000"/>
          <w:sz w:val="22"/>
          <w:szCs w:val="22"/>
          <w:highlight w:val="yellow"/>
        </w:rPr>
        <w:t>it is</w:t>
      </w:r>
      <w:r w:rsidRPr="00712001">
        <w:rPr>
          <w:rFonts w:asciiTheme="minorHAnsi" w:hAnsiTheme="minorHAnsi"/>
          <w:color w:val="000000"/>
          <w:sz w:val="22"/>
          <w:szCs w:val="22"/>
          <w:highlight w:val="yellow"/>
        </w:rPr>
        <w:t xml:space="preserve"> now nationally notifiable. </w:t>
      </w:r>
    </w:p>
    <w:tbl>
      <w:tblPr>
        <w:tblStyle w:val="TableGrid"/>
        <w:tblW w:w="9180" w:type="dxa"/>
        <w:tblInd w:w="85" w:type="dxa"/>
        <w:tblLook w:val="04A0" w:firstRow="1" w:lastRow="0" w:firstColumn="1" w:lastColumn="0" w:noHBand="0" w:noVBand="1"/>
      </w:tblPr>
      <w:tblGrid>
        <w:gridCol w:w="2880"/>
        <w:gridCol w:w="6300"/>
      </w:tblGrid>
      <w:tr w:rsidR="00E30E7D" w:rsidRPr="00AA0678" w:rsidTr="000677F3">
        <w:tc>
          <w:tcPr>
            <w:tcW w:w="2880" w:type="dxa"/>
          </w:tcPr>
          <w:p w:rsidR="00E30E7D" w:rsidRPr="00AA0678" w:rsidRDefault="00E30E7D" w:rsidP="000677F3">
            <w:pPr>
              <w:rPr>
                <w:b/>
                <w:sz w:val="22"/>
                <w:szCs w:val="22"/>
              </w:rPr>
            </w:pPr>
            <w:r w:rsidRPr="00AA0678">
              <w:rPr>
                <w:b/>
                <w:sz w:val="22"/>
                <w:szCs w:val="22"/>
              </w:rPr>
              <w:t>CP-CRE</w:t>
            </w:r>
          </w:p>
        </w:tc>
        <w:tc>
          <w:tcPr>
            <w:tcW w:w="6300" w:type="dxa"/>
          </w:tcPr>
          <w:p w:rsidR="00E30E7D" w:rsidRPr="00AA0678" w:rsidRDefault="00E30E7D" w:rsidP="000677F3">
            <w:pPr>
              <w:rPr>
                <w:sz w:val="22"/>
                <w:szCs w:val="22"/>
              </w:rPr>
            </w:pPr>
          </w:p>
        </w:tc>
      </w:tr>
      <w:tr w:rsidR="00E30E7D" w:rsidRPr="00AA0678" w:rsidTr="000677F3">
        <w:tc>
          <w:tcPr>
            <w:tcW w:w="2880" w:type="dxa"/>
          </w:tcPr>
          <w:p w:rsidR="00E30E7D" w:rsidRPr="00AA0678" w:rsidRDefault="00E30E7D" w:rsidP="000677F3">
            <w:pPr>
              <w:rPr>
                <w:sz w:val="22"/>
                <w:szCs w:val="22"/>
              </w:rPr>
            </w:pPr>
            <w:r w:rsidRPr="00AA0678">
              <w:rPr>
                <w:sz w:val="22"/>
                <w:szCs w:val="22"/>
              </w:rPr>
              <w:t>The impetus/urgency for CDC to institute case notification and data elements for this condition</w:t>
            </w:r>
          </w:p>
          <w:p w:rsidR="00E30E7D" w:rsidRPr="00AA0678" w:rsidRDefault="00E30E7D" w:rsidP="000677F3">
            <w:pPr>
              <w:rPr>
                <w:b/>
                <w:sz w:val="22"/>
                <w:szCs w:val="22"/>
              </w:rPr>
            </w:pPr>
          </w:p>
        </w:tc>
        <w:tc>
          <w:tcPr>
            <w:tcW w:w="6300" w:type="dxa"/>
          </w:tcPr>
          <w:p w:rsidR="00E30E7D" w:rsidRPr="00AA0678" w:rsidRDefault="00E30E7D" w:rsidP="000677F3">
            <w:pPr>
              <w:pStyle w:val="ListParagraph"/>
              <w:numPr>
                <w:ilvl w:val="0"/>
                <w:numId w:val="31"/>
              </w:numPr>
              <w:contextualSpacing/>
              <w:rPr>
                <w:sz w:val="22"/>
                <w:szCs w:val="22"/>
              </w:rPr>
            </w:pPr>
            <w:r w:rsidRPr="00AA0678">
              <w:rPr>
                <w:sz w:val="22"/>
                <w:szCs w:val="22"/>
              </w:rPr>
              <w:t xml:space="preserve">To </w:t>
            </w:r>
            <w:r>
              <w:rPr>
                <w:sz w:val="22"/>
                <w:szCs w:val="22"/>
              </w:rPr>
              <w:t>monitor</w:t>
            </w:r>
            <w:r w:rsidRPr="00AA0678">
              <w:rPr>
                <w:sz w:val="22"/>
                <w:szCs w:val="22"/>
              </w:rPr>
              <w:t xml:space="preserve"> the effect of this highly-resistant bacteria that are difficult to treat, associated with poor outcomes, and readily transmissible in healthcare settings</w:t>
            </w:r>
          </w:p>
          <w:p w:rsidR="00E30E7D" w:rsidRPr="00AA0678" w:rsidRDefault="00E30E7D" w:rsidP="000677F3">
            <w:pPr>
              <w:pStyle w:val="ListParagraph"/>
              <w:numPr>
                <w:ilvl w:val="0"/>
                <w:numId w:val="31"/>
              </w:numPr>
              <w:contextualSpacing/>
              <w:rPr>
                <w:sz w:val="22"/>
                <w:szCs w:val="22"/>
              </w:rPr>
            </w:pPr>
            <w:r w:rsidRPr="00AA0678">
              <w:rPr>
                <w:sz w:val="22"/>
                <w:szCs w:val="22"/>
              </w:rPr>
              <w:t>No national surveillance effort of all CP-CRE cases detected in healthcare settings and the community exists</w:t>
            </w:r>
          </w:p>
          <w:p w:rsidR="00E30E7D" w:rsidRPr="00AA0678" w:rsidRDefault="00E30E7D" w:rsidP="000677F3">
            <w:pPr>
              <w:pStyle w:val="ListParagraph"/>
              <w:numPr>
                <w:ilvl w:val="0"/>
                <w:numId w:val="31"/>
              </w:numPr>
              <w:contextualSpacing/>
              <w:rPr>
                <w:sz w:val="22"/>
                <w:szCs w:val="22"/>
              </w:rPr>
            </w:pPr>
            <w:r w:rsidRPr="00AA0678">
              <w:rPr>
                <w:sz w:val="22"/>
                <w:szCs w:val="22"/>
              </w:rPr>
              <w:t>To provide national information on the burden of disease, associated demographic factors, and the proportion of cases in people who have traveled internationally or received healthcare outside of the United States</w:t>
            </w:r>
          </w:p>
        </w:tc>
      </w:tr>
      <w:tr w:rsidR="00E30E7D" w:rsidRPr="00AA0678" w:rsidTr="000677F3">
        <w:trPr>
          <w:trHeight w:val="1025"/>
        </w:trPr>
        <w:tc>
          <w:tcPr>
            <w:tcW w:w="2880" w:type="dxa"/>
          </w:tcPr>
          <w:p w:rsidR="00E30E7D" w:rsidRPr="00AA0678" w:rsidRDefault="00E30E7D" w:rsidP="000677F3">
            <w:pPr>
              <w:rPr>
                <w:sz w:val="22"/>
                <w:szCs w:val="22"/>
              </w:rPr>
            </w:pPr>
            <w:r w:rsidRPr="00AA0678">
              <w:rPr>
                <w:sz w:val="22"/>
                <w:szCs w:val="22"/>
              </w:rPr>
              <w:t>Existing sources of data (Federal, non-federal, private, etc.) and what those sources say about approximate national incidence and/or prevalence of the condition</w:t>
            </w:r>
          </w:p>
          <w:p w:rsidR="00E30E7D" w:rsidRPr="00AA0678" w:rsidRDefault="00E30E7D" w:rsidP="000677F3">
            <w:pPr>
              <w:rPr>
                <w:sz w:val="22"/>
                <w:szCs w:val="22"/>
              </w:rPr>
            </w:pPr>
          </w:p>
        </w:tc>
        <w:tc>
          <w:tcPr>
            <w:tcW w:w="6300" w:type="dxa"/>
          </w:tcPr>
          <w:p w:rsidR="00E30E7D" w:rsidRPr="00AA0678" w:rsidRDefault="00E30E7D" w:rsidP="000677F3">
            <w:pPr>
              <w:pStyle w:val="ListParagraph"/>
              <w:numPr>
                <w:ilvl w:val="0"/>
                <w:numId w:val="35"/>
              </w:numPr>
              <w:contextualSpacing/>
              <w:rPr>
                <w:sz w:val="22"/>
                <w:szCs w:val="22"/>
              </w:rPr>
            </w:pPr>
            <w:r w:rsidRPr="00AA0678">
              <w:rPr>
                <w:sz w:val="22"/>
                <w:szCs w:val="22"/>
              </w:rPr>
              <w:t xml:space="preserve">20% of isolates identified from 8 sites [Emerging Infections Program (EIP), 2016] </w:t>
            </w:r>
          </w:p>
          <w:p w:rsidR="00E30E7D" w:rsidRPr="00AA0678" w:rsidRDefault="00E30E7D" w:rsidP="000677F3">
            <w:pPr>
              <w:pStyle w:val="ListParagraph"/>
              <w:numPr>
                <w:ilvl w:val="0"/>
                <w:numId w:val="35"/>
              </w:numPr>
              <w:contextualSpacing/>
              <w:rPr>
                <w:sz w:val="22"/>
                <w:szCs w:val="22"/>
              </w:rPr>
            </w:pPr>
            <w:r w:rsidRPr="00AA0678">
              <w:rPr>
                <w:sz w:val="22"/>
                <w:szCs w:val="22"/>
              </w:rPr>
              <w:t xml:space="preserve">5,700 isolates identified from selected healthcare facilities [CDC’s Antibiotic Resistance Laboratory Network (ARLN), 2018] </w:t>
            </w:r>
          </w:p>
          <w:p w:rsidR="00E30E7D" w:rsidRPr="00AA0678" w:rsidRDefault="00E30E7D" w:rsidP="000677F3">
            <w:pPr>
              <w:pStyle w:val="ListParagraph"/>
              <w:rPr>
                <w:sz w:val="22"/>
                <w:szCs w:val="22"/>
              </w:rPr>
            </w:pPr>
          </w:p>
        </w:tc>
      </w:tr>
      <w:tr w:rsidR="00E30E7D" w:rsidRPr="00AA0678" w:rsidTr="000677F3">
        <w:tc>
          <w:tcPr>
            <w:tcW w:w="2880" w:type="dxa"/>
          </w:tcPr>
          <w:p w:rsidR="00E30E7D" w:rsidRPr="00AA0678" w:rsidRDefault="00E30E7D" w:rsidP="000677F3">
            <w:pPr>
              <w:rPr>
                <w:sz w:val="22"/>
                <w:szCs w:val="22"/>
              </w:rPr>
            </w:pPr>
            <w:r w:rsidRPr="00AA0678">
              <w:rPr>
                <w:sz w:val="22"/>
                <w:szCs w:val="22"/>
              </w:rPr>
              <w:t>Incremental coverage provided by adding the condition to NNDSS (how CDC will use additional precision)</w:t>
            </w:r>
          </w:p>
          <w:p w:rsidR="00E30E7D" w:rsidRPr="00AA0678" w:rsidRDefault="00E30E7D" w:rsidP="000677F3">
            <w:pPr>
              <w:rPr>
                <w:sz w:val="22"/>
                <w:szCs w:val="22"/>
              </w:rPr>
            </w:pPr>
          </w:p>
        </w:tc>
        <w:tc>
          <w:tcPr>
            <w:tcW w:w="6300" w:type="dxa"/>
          </w:tcPr>
          <w:p w:rsidR="00E30E7D" w:rsidRPr="00AA0678" w:rsidRDefault="00E30E7D" w:rsidP="000677F3">
            <w:pPr>
              <w:pStyle w:val="ListParagraph"/>
              <w:numPr>
                <w:ilvl w:val="0"/>
                <w:numId w:val="34"/>
              </w:numPr>
              <w:contextualSpacing/>
              <w:rPr>
                <w:sz w:val="22"/>
                <w:szCs w:val="22"/>
              </w:rPr>
            </w:pPr>
            <w:r w:rsidRPr="00AA0678">
              <w:rPr>
                <w:sz w:val="22"/>
                <w:szCs w:val="22"/>
              </w:rPr>
              <w:t>Exact incremental coverage is not directly quantifiable</w:t>
            </w:r>
          </w:p>
          <w:p w:rsidR="00E30E7D" w:rsidRPr="00AA0678" w:rsidRDefault="00E30E7D" w:rsidP="000677F3">
            <w:pPr>
              <w:pStyle w:val="ListParagraph"/>
              <w:numPr>
                <w:ilvl w:val="0"/>
                <w:numId w:val="34"/>
              </w:numPr>
              <w:contextualSpacing/>
              <w:rPr>
                <w:sz w:val="22"/>
                <w:szCs w:val="22"/>
              </w:rPr>
            </w:pPr>
            <w:r w:rsidRPr="00AA0678">
              <w:rPr>
                <w:sz w:val="22"/>
                <w:szCs w:val="22"/>
              </w:rPr>
              <w:t>Ad hoc case data sent to CDC is not systematic or comprehensive</w:t>
            </w:r>
          </w:p>
          <w:p w:rsidR="00E30E7D" w:rsidRPr="00AA0678" w:rsidRDefault="00E30E7D" w:rsidP="000677F3">
            <w:pPr>
              <w:pStyle w:val="ListParagraph"/>
              <w:numPr>
                <w:ilvl w:val="0"/>
                <w:numId w:val="34"/>
              </w:numPr>
              <w:contextualSpacing/>
              <w:rPr>
                <w:sz w:val="22"/>
                <w:szCs w:val="22"/>
              </w:rPr>
            </w:pPr>
            <w:r w:rsidRPr="00AA0678">
              <w:rPr>
                <w:sz w:val="22"/>
                <w:szCs w:val="22"/>
              </w:rPr>
              <w:t>Case notification data will be used in conjunction with other data sources to track prevalence and epidemiology and inform development and implementation of effective prevention strategies</w:t>
            </w:r>
          </w:p>
        </w:tc>
      </w:tr>
      <w:tr w:rsidR="00E30E7D" w:rsidRPr="00AA0678" w:rsidTr="000677F3">
        <w:tc>
          <w:tcPr>
            <w:tcW w:w="2880" w:type="dxa"/>
          </w:tcPr>
          <w:p w:rsidR="00E30E7D" w:rsidRPr="00AA0678" w:rsidRDefault="00E30E7D" w:rsidP="000677F3">
            <w:pPr>
              <w:rPr>
                <w:sz w:val="22"/>
                <w:szCs w:val="22"/>
              </w:rPr>
            </w:pPr>
            <w:r w:rsidRPr="00AA0678">
              <w:rPr>
                <w:sz w:val="22"/>
                <w:szCs w:val="22"/>
              </w:rPr>
              <w:t xml:space="preserve">Number of states that currently require reporting of these conditions and data elements </w:t>
            </w:r>
          </w:p>
        </w:tc>
        <w:tc>
          <w:tcPr>
            <w:tcW w:w="6300" w:type="dxa"/>
          </w:tcPr>
          <w:p w:rsidR="00E30E7D" w:rsidRPr="00AA0678" w:rsidRDefault="00E30E7D" w:rsidP="000677F3">
            <w:pPr>
              <w:pStyle w:val="ListParagraph"/>
              <w:numPr>
                <w:ilvl w:val="0"/>
                <w:numId w:val="33"/>
              </w:numPr>
              <w:contextualSpacing/>
              <w:rPr>
                <w:sz w:val="22"/>
                <w:szCs w:val="22"/>
              </w:rPr>
            </w:pPr>
            <w:r w:rsidRPr="00AA0678">
              <w:rPr>
                <w:sz w:val="22"/>
                <w:szCs w:val="22"/>
              </w:rPr>
              <w:t xml:space="preserve">33 jurisdictions </w:t>
            </w:r>
          </w:p>
          <w:p w:rsidR="00E30E7D" w:rsidRPr="00AA0678" w:rsidRDefault="00E30E7D" w:rsidP="000677F3">
            <w:pPr>
              <w:rPr>
                <w:sz w:val="22"/>
                <w:szCs w:val="22"/>
              </w:rPr>
            </w:pPr>
          </w:p>
        </w:tc>
      </w:tr>
      <w:tr w:rsidR="00E30E7D" w:rsidRPr="00AA0678" w:rsidTr="000677F3">
        <w:tc>
          <w:tcPr>
            <w:tcW w:w="2880" w:type="dxa"/>
          </w:tcPr>
          <w:p w:rsidR="00E30E7D" w:rsidRPr="00AA0678" w:rsidRDefault="00E30E7D" w:rsidP="000677F3">
            <w:pPr>
              <w:rPr>
                <w:sz w:val="22"/>
                <w:szCs w:val="22"/>
              </w:rPr>
            </w:pPr>
            <w:r w:rsidRPr="00AA0678">
              <w:rPr>
                <w:sz w:val="22"/>
                <w:szCs w:val="22"/>
              </w:rPr>
              <w:t xml:space="preserve">The number of states anticipated to adopt if added to NNDSS and basis of estimate </w:t>
            </w:r>
          </w:p>
          <w:p w:rsidR="00E30E7D" w:rsidRPr="00AA0678" w:rsidRDefault="00E30E7D" w:rsidP="000677F3">
            <w:pPr>
              <w:ind w:left="720"/>
              <w:rPr>
                <w:sz w:val="22"/>
                <w:szCs w:val="22"/>
              </w:rPr>
            </w:pPr>
            <w:r w:rsidRPr="00AA0678">
              <w:rPr>
                <w:sz w:val="22"/>
                <w:szCs w:val="22"/>
              </w:rPr>
              <w:t>Funding allocated specifically for a condition and/or additional elements (please list source where applicable)</w:t>
            </w:r>
          </w:p>
          <w:p w:rsidR="00E30E7D" w:rsidRPr="00AA0678" w:rsidRDefault="00E30E7D" w:rsidP="000677F3">
            <w:pPr>
              <w:rPr>
                <w:sz w:val="22"/>
                <w:szCs w:val="22"/>
              </w:rPr>
            </w:pPr>
          </w:p>
        </w:tc>
        <w:tc>
          <w:tcPr>
            <w:tcW w:w="6300" w:type="dxa"/>
          </w:tcPr>
          <w:p w:rsidR="00E30E7D" w:rsidRPr="00AA0678" w:rsidRDefault="00E30E7D" w:rsidP="000677F3">
            <w:pPr>
              <w:pStyle w:val="ListParagraph"/>
              <w:numPr>
                <w:ilvl w:val="0"/>
                <w:numId w:val="33"/>
              </w:numPr>
              <w:contextualSpacing/>
              <w:rPr>
                <w:sz w:val="22"/>
                <w:szCs w:val="22"/>
              </w:rPr>
            </w:pPr>
            <w:r w:rsidRPr="00AA0678">
              <w:rPr>
                <w:sz w:val="22"/>
                <w:szCs w:val="22"/>
              </w:rPr>
              <w:t>All 33 jurisdictions</w:t>
            </w:r>
          </w:p>
          <w:p w:rsidR="00E30E7D" w:rsidRPr="00AA0678" w:rsidRDefault="00E30E7D" w:rsidP="000677F3">
            <w:pPr>
              <w:pStyle w:val="ListParagraph"/>
              <w:numPr>
                <w:ilvl w:val="1"/>
                <w:numId w:val="33"/>
              </w:numPr>
              <w:contextualSpacing/>
              <w:rPr>
                <w:sz w:val="22"/>
                <w:szCs w:val="22"/>
              </w:rPr>
            </w:pPr>
            <w:r w:rsidRPr="00AA0678">
              <w:rPr>
                <w:rFonts w:cstheme="minorHAnsi"/>
                <w:sz w:val="22"/>
                <w:szCs w:val="22"/>
              </w:rPr>
              <w:t xml:space="preserve">No specific funding allocated </w:t>
            </w:r>
          </w:p>
        </w:tc>
      </w:tr>
      <w:tr w:rsidR="00E30E7D" w:rsidRPr="00AA0678" w:rsidTr="000677F3">
        <w:tc>
          <w:tcPr>
            <w:tcW w:w="2880" w:type="dxa"/>
          </w:tcPr>
          <w:p w:rsidR="00E30E7D" w:rsidRPr="00AA0678" w:rsidRDefault="00E30E7D" w:rsidP="000677F3">
            <w:pPr>
              <w:rPr>
                <w:sz w:val="22"/>
                <w:szCs w:val="22"/>
              </w:rPr>
            </w:pPr>
            <w:r w:rsidRPr="00AA0678">
              <w:rPr>
                <w:sz w:val="22"/>
                <w:szCs w:val="22"/>
              </w:rPr>
              <w:t>Anticipated frequency of reporting to CDC</w:t>
            </w:r>
          </w:p>
        </w:tc>
        <w:tc>
          <w:tcPr>
            <w:tcW w:w="6300" w:type="dxa"/>
          </w:tcPr>
          <w:p w:rsidR="00E30E7D" w:rsidRPr="00AA0678" w:rsidRDefault="00E30E7D" w:rsidP="000677F3">
            <w:pPr>
              <w:pStyle w:val="ListParagraph"/>
              <w:numPr>
                <w:ilvl w:val="0"/>
                <w:numId w:val="32"/>
              </w:numPr>
              <w:contextualSpacing/>
              <w:rPr>
                <w:sz w:val="22"/>
                <w:szCs w:val="22"/>
              </w:rPr>
            </w:pPr>
            <w:r w:rsidRPr="00AA0678">
              <w:rPr>
                <w:sz w:val="22"/>
                <w:szCs w:val="22"/>
              </w:rPr>
              <w:t>Weekly or annually dependent upon incidence in jurisdiction</w:t>
            </w:r>
          </w:p>
        </w:tc>
      </w:tr>
      <w:tr w:rsidR="00E30E7D" w:rsidRPr="00AA0678" w:rsidTr="000677F3">
        <w:trPr>
          <w:trHeight w:val="1430"/>
        </w:trPr>
        <w:tc>
          <w:tcPr>
            <w:tcW w:w="2880" w:type="dxa"/>
          </w:tcPr>
          <w:p w:rsidR="00E30E7D" w:rsidRPr="00AA0678" w:rsidRDefault="00E30E7D" w:rsidP="000677F3">
            <w:pPr>
              <w:rPr>
                <w:sz w:val="22"/>
                <w:szCs w:val="22"/>
              </w:rPr>
            </w:pPr>
            <w:r w:rsidRPr="00AA0678">
              <w:rPr>
                <w:sz w:val="22"/>
                <w:szCs w:val="22"/>
              </w:rPr>
              <w:t>Based on the above information, what is the proposed priority associated with condition</w:t>
            </w:r>
          </w:p>
        </w:tc>
        <w:tc>
          <w:tcPr>
            <w:tcW w:w="6300" w:type="dxa"/>
          </w:tcPr>
          <w:p w:rsidR="00E30E7D" w:rsidRPr="00D26C76" w:rsidRDefault="00735936" w:rsidP="00735936">
            <w:pPr>
              <w:numPr>
                <w:ilvl w:val="0"/>
                <w:numId w:val="32"/>
              </w:numPr>
              <w:spacing w:after="160" w:line="259" w:lineRule="auto"/>
              <w:contextualSpacing/>
              <w:rPr>
                <w:sz w:val="22"/>
                <w:szCs w:val="22"/>
              </w:rPr>
            </w:pPr>
            <w:r w:rsidRPr="00735936">
              <w:rPr>
                <w:sz w:val="22"/>
                <w:szCs w:val="22"/>
              </w:rPr>
              <w:t>States will determine the priority of adding this collection</w:t>
            </w:r>
            <w:r>
              <w:rPr>
                <w:sz w:val="22"/>
                <w:szCs w:val="22"/>
              </w:rPr>
              <w:t>.</w:t>
            </w:r>
            <w:r w:rsidRPr="00735936" w:rsidDel="002C7501">
              <w:rPr>
                <w:sz w:val="22"/>
                <w:szCs w:val="22"/>
              </w:rPr>
              <w:t xml:space="preserve"> </w:t>
            </w:r>
          </w:p>
          <w:p w:rsidR="00E30E7D" w:rsidRPr="00AA0678" w:rsidRDefault="00E30E7D" w:rsidP="000677F3">
            <w:pPr>
              <w:pStyle w:val="ListParagraph"/>
              <w:contextualSpacing/>
              <w:rPr>
                <w:sz w:val="22"/>
                <w:szCs w:val="22"/>
              </w:rPr>
            </w:pPr>
          </w:p>
        </w:tc>
      </w:tr>
    </w:tbl>
    <w:p w:rsidR="00E30E7D" w:rsidRDefault="00E30E7D" w:rsidP="00E30E7D">
      <w:pPr>
        <w:spacing w:line="360" w:lineRule="auto"/>
        <w:rPr>
          <w:rFonts w:asciiTheme="minorHAnsi" w:hAnsiTheme="minorHAnsi"/>
          <w:color w:val="000000"/>
          <w:sz w:val="22"/>
          <w:szCs w:val="22"/>
          <w:highlight w:val="yellow"/>
        </w:rPr>
      </w:pPr>
    </w:p>
    <w:p w:rsidR="00E30E7D" w:rsidRPr="00492201" w:rsidRDefault="00E30E7D" w:rsidP="00E30E7D">
      <w:pPr>
        <w:spacing w:line="360" w:lineRule="auto"/>
        <w:rPr>
          <w:rFonts w:asciiTheme="minorHAnsi" w:hAnsiTheme="minorHAnsi"/>
          <w:color w:val="000000"/>
          <w:sz w:val="22"/>
          <w:szCs w:val="22"/>
          <w:highlight w:val="yellow"/>
        </w:rPr>
      </w:pPr>
      <w:r w:rsidRPr="00492201">
        <w:rPr>
          <w:rFonts w:asciiTheme="minorHAnsi" w:hAnsiTheme="minorHAnsi"/>
          <w:i/>
          <w:color w:val="000000"/>
          <w:sz w:val="22"/>
          <w:szCs w:val="22"/>
          <w:highlight w:val="yellow"/>
        </w:rPr>
        <w:t>S</w:t>
      </w:r>
      <w:r w:rsidRPr="00492201">
        <w:rPr>
          <w:rFonts w:asciiTheme="minorHAnsi" w:hAnsiTheme="minorHAnsi"/>
          <w:color w:val="000000"/>
          <w:sz w:val="22"/>
          <w:szCs w:val="22"/>
          <w:highlight w:val="yellow"/>
        </w:rPr>
        <w:t xml:space="preserve">. Paratyphi Infection </w:t>
      </w:r>
    </w:p>
    <w:p w:rsidR="00E30E7D" w:rsidRPr="00492201" w:rsidRDefault="00E30E7D" w:rsidP="00E30E7D">
      <w:pPr>
        <w:spacing w:line="360" w:lineRule="auto"/>
        <w:rPr>
          <w:rFonts w:asciiTheme="minorHAnsi" w:hAnsiTheme="minorHAnsi"/>
          <w:color w:val="000000"/>
          <w:sz w:val="22"/>
          <w:szCs w:val="22"/>
          <w:highlight w:val="yellow"/>
        </w:rPr>
      </w:pPr>
      <w:r w:rsidRPr="00492201">
        <w:rPr>
          <w:rFonts w:asciiTheme="minorHAnsi" w:hAnsiTheme="minorHAnsi"/>
          <w:color w:val="000000"/>
          <w:sz w:val="22"/>
          <w:szCs w:val="22"/>
          <w:highlight w:val="yellow"/>
        </w:rPr>
        <w:t xml:space="preserve">CSTE issued a position statement in 2018 that rendered </w:t>
      </w:r>
      <w:r w:rsidRPr="00492201">
        <w:rPr>
          <w:rFonts w:asciiTheme="minorHAnsi" w:hAnsiTheme="minorHAnsi"/>
          <w:i/>
          <w:color w:val="000000"/>
          <w:sz w:val="22"/>
          <w:szCs w:val="22"/>
          <w:highlight w:val="yellow"/>
        </w:rPr>
        <w:t>S</w:t>
      </w:r>
      <w:r w:rsidRPr="00492201">
        <w:rPr>
          <w:rFonts w:asciiTheme="minorHAnsi" w:hAnsiTheme="minorHAnsi"/>
          <w:color w:val="000000"/>
          <w:sz w:val="22"/>
          <w:szCs w:val="22"/>
          <w:highlight w:val="yellow"/>
        </w:rPr>
        <w:t>. Paratyphi Infection nationally notifiable (</w:t>
      </w:r>
      <w:hyperlink r:id="rId10" w:history="1">
        <w:r w:rsidRPr="00492201">
          <w:rPr>
            <w:rStyle w:val="Hyperlink"/>
            <w:rFonts w:asciiTheme="minorHAnsi" w:hAnsiTheme="minorHAnsi"/>
            <w:sz w:val="22"/>
            <w:szCs w:val="22"/>
            <w:highlight w:val="yellow"/>
          </w:rPr>
          <w:t>https://cdn.ymaws.com/www.cste.org/resource/resmgr/2018_position_statements/18-ID-08.pdf</w:t>
        </w:r>
      </w:hyperlink>
      <w:r w:rsidRPr="00492201">
        <w:rPr>
          <w:rFonts w:asciiTheme="minorHAnsi" w:hAnsiTheme="minorHAnsi"/>
          <w:color w:val="000000"/>
          <w:sz w:val="22"/>
          <w:szCs w:val="22"/>
          <w:highlight w:val="yellow"/>
        </w:rPr>
        <w:t xml:space="preserve">). This position statement proposes that “a standardized case definition for </w:t>
      </w:r>
      <w:r w:rsidRPr="00492201">
        <w:rPr>
          <w:rFonts w:asciiTheme="minorHAnsi" w:hAnsiTheme="minorHAnsi"/>
          <w:i/>
          <w:color w:val="000000"/>
          <w:sz w:val="22"/>
          <w:szCs w:val="22"/>
          <w:highlight w:val="yellow"/>
        </w:rPr>
        <w:t>S</w:t>
      </w:r>
      <w:r w:rsidRPr="00492201">
        <w:rPr>
          <w:rFonts w:asciiTheme="minorHAnsi" w:hAnsiTheme="minorHAnsi"/>
          <w:color w:val="000000"/>
          <w:sz w:val="22"/>
          <w:szCs w:val="22"/>
          <w:highlight w:val="yellow"/>
        </w:rPr>
        <w:t xml:space="preserve">. Paratyphi Infection be developed and </w:t>
      </w:r>
      <w:r w:rsidRPr="00492201">
        <w:rPr>
          <w:rFonts w:asciiTheme="minorHAnsi" w:hAnsiTheme="minorHAnsi"/>
          <w:i/>
          <w:color w:val="000000"/>
          <w:sz w:val="22"/>
          <w:szCs w:val="22"/>
          <w:highlight w:val="yellow"/>
        </w:rPr>
        <w:t>S</w:t>
      </w:r>
      <w:r w:rsidRPr="00492201">
        <w:rPr>
          <w:rFonts w:asciiTheme="minorHAnsi" w:hAnsiTheme="minorHAnsi"/>
          <w:color w:val="000000"/>
          <w:sz w:val="22"/>
          <w:szCs w:val="22"/>
          <w:highlight w:val="yellow"/>
        </w:rPr>
        <w:t xml:space="preserve">. Paratyphi Infection be added to the Nationally Notifiable Condition list.”  CDC requests permission to receive case notification data for </w:t>
      </w:r>
      <w:r w:rsidRPr="00492201">
        <w:rPr>
          <w:rFonts w:asciiTheme="minorHAnsi" w:hAnsiTheme="minorHAnsi"/>
          <w:i/>
          <w:color w:val="000000"/>
          <w:sz w:val="22"/>
          <w:szCs w:val="22"/>
          <w:highlight w:val="yellow"/>
        </w:rPr>
        <w:t>S</w:t>
      </w:r>
      <w:r w:rsidRPr="00492201">
        <w:rPr>
          <w:rFonts w:asciiTheme="minorHAnsi" w:hAnsiTheme="minorHAnsi"/>
          <w:color w:val="000000"/>
          <w:sz w:val="22"/>
          <w:szCs w:val="22"/>
          <w:highlight w:val="yellow"/>
        </w:rPr>
        <w:t>. Paratyphi as it is now nationally notifiable.</w:t>
      </w:r>
    </w:p>
    <w:p w:rsidR="00E30E7D" w:rsidRDefault="00E30E7D" w:rsidP="00E30E7D">
      <w:pPr>
        <w:spacing w:line="360" w:lineRule="auto"/>
        <w:rPr>
          <w:rFonts w:asciiTheme="minorHAnsi" w:hAnsiTheme="minorHAnsi"/>
          <w:color w:val="000000"/>
          <w:sz w:val="22"/>
          <w:szCs w:val="22"/>
          <w:highlight w:val="yellow"/>
        </w:rPr>
      </w:pPr>
    </w:p>
    <w:p w:rsidR="00E30E7D" w:rsidRPr="00D47DE1" w:rsidRDefault="00E30E7D" w:rsidP="00E30E7D">
      <w:pPr>
        <w:spacing w:line="360" w:lineRule="auto"/>
        <w:rPr>
          <w:rFonts w:asciiTheme="minorHAnsi" w:hAnsiTheme="minorHAnsi"/>
          <w:color w:val="000000"/>
          <w:sz w:val="22"/>
          <w:szCs w:val="22"/>
          <w:highlight w:val="yellow"/>
        </w:rPr>
      </w:pPr>
      <w:r w:rsidRPr="00D47DE1">
        <w:rPr>
          <w:rFonts w:asciiTheme="minorHAnsi" w:hAnsiTheme="minorHAnsi"/>
          <w:i/>
          <w:color w:val="000000"/>
          <w:sz w:val="22"/>
          <w:szCs w:val="22"/>
          <w:highlight w:val="yellow"/>
        </w:rPr>
        <w:t>S</w:t>
      </w:r>
      <w:r w:rsidRPr="00D47DE1">
        <w:rPr>
          <w:rFonts w:asciiTheme="minorHAnsi" w:hAnsiTheme="minorHAnsi"/>
          <w:color w:val="000000"/>
          <w:sz w:val="22"/>
          <w:szCs w:val="22"/>
          <w:highlight w:val="yellow"/>
        </w:rPr>
        <w:t xml:space="preserve">. Typhi Infection </w:t>
      </w:r>
    </w:p>
    <w:p w:rsidR="00E30E7D" w:rsidRPr="00D47DE1" w:rsidRDefault="00E30E7D" w:rsidP="00E30E7D">
      <w:pPr>
        <w:spacing w:line="360" w:lineRule="auto"/>
        <w:rPr>
          <w:rFonts w:asciiTheme="minorHAnsi" w:hAnsiTheme="minorHAnsi"/>
          <w:color w:val="000000"/>
          <w:sz w:val="22"/>
          <w:szCs w:val="22"/>
        </w:rPr>
      </w:pPr>
      <w:r w:rsidRPr="00D47DE1">
        <w:rPr>
          <w:rFonts w:asciiTheme="minorHAnsi" w:hAnsiTheme="minorHAnsi"/>
          <w:color w:val="000000"/>
          <w:sz w:val="22"/>
          <w:szCs w:val="22"/>
          <w:highlight w:val="yellow"/>
        </w:rPr>
        <w:t xml:space="preserve">CSTE issued a position statement in 2018 to </w:t>
      </w:r>
      <w:r>
        <w:rPr>
          <w:rFonts w:asciiTheme="minorHAnsi" w:hAnsiTheme="minorHAnsi"/>
          <w:color w:val="000000"/>
          <w:sz w:val="22"/>
          <w:szCs w:val="22"/>
          <w:highlight w:val="yellow"/>
        </w:rPr>
        <w:t xml:space="preserve">rename the </w:t>
      </w:r>
      <w:r w:rsidRPr="00D47DE1">
        <w:rPr>
          <w:rFonts w:asciiTheme="minorHAnsi" w:hAnsiTheme="minorHAnsi"/>
          <w:color w:val="000000"/>
          <w:sz w:val="22"/>
          <w:szCs w:val="22"/>
          <w:highlight w:val="yellow"/>
        </w:rPr>
        <w:t xml:space="preserve">nationally notifiable condition, Typhoid Fever, with the name </w:t>
      </w:r>
      <w:r>
        <w:rPr>
          <w:rFonts w:asciiTheme="minorHAnsi" w:hAnsiTheme="minorHAnsi"/>
          <w:color w:val="000000"/>
          <w:sz w:val="22"/>
          <w:szCs w:val="22"/>
          <w:highlight w:val="yellow"/>
        </w:rPr>
        <w:t>“</w:t>
      </w:r>
      <w:r w:rsidRPr="00D47DE1">
        <w:rPr>
          <w:rFonts w:asciiTheme="minorHAnsi" w:hAnsiTheme="minorHAnsi"/>
          <w:i/>
          <w:color w:val="000000"/>
          <w:sz w:val="22"/>
          <w:szCs w:val="22"/>
          <w:highlight w:val="yellow"/>
        </w:rPr>
        <w:t>S</w:t>
      </w:r>
      <w:r w:rsidRPr="00D47DE1">
        <w:rPr>
          <w:rFonts w:asciiTheme="minorHAnsi" w:hAnsiTheme="minorHAnsi"/>
          <w:color w:val="000000"/>
          <w:sz w:val="22"/>
          <w:szCs w:val="22"/>
          <w:highlight w:val="yellow"/>
        </w:rPr>
        <w:t>. Typhi Infection</w:t>
      </w:r>
      <w:r>
        <w:rPr>
          <w:rFonts w:asciiTheme="minorHAnsi" w:hAnsiTheme="minorHAnsi"/>
          <w:color w:val="000000"/>
          <w:sz w:val="22"/>
          <w:szCs w:val="22"/>
          <w:highlight w:val="yellow"/>
        </w:rPr>
        <w:t>”</w:t>
      </w:r>
      <w:r w:rsidRPr="00D47DE1">
        <w:rPr>
          <w:rFonts w:asciiTheme="minorHAnsi" w:hAnsiTheme="minorHAnsi"/>
          <w:color w:val="000000"/>
          <w:sz w:val="22"/>
          <w:szCs w:val="22"/>
          <w:highlight w:val="yellow"/>
        </w:rPr>
        <w:t xml:space="preserve"> (</w:t>
      </w:r>
      <w:hyperlink r:id="rId11" w:history="1">
        <w:r w:rsidRPr="00D47DE1">
          <w:rPr>
            <w:rStyle w:val="Hyperlink"/>
            <w:rFonts w:asciiTheme="minorHAnsi" w:hAnsiTheme="minorHAnsi"/>
            <w:sz w:val="22"/>
            <w:szCs w:val="22"/>
            <w:highlight w:val="yellow"/>
          </w:rPr>
          <w:t>https://cdn.ymaws.com/www.cste.org/resource/resmgr/2018_position_statements/18-ID-08.pdf</w:t>
        </w:r>
      </w:hyperlink>
      <w:r w:rsidRPr="00D47DE1">
        <w:rPr>
          <w:rFonts w:asciiTheme="minorHAnsi" w:hAnsiTheme="minorHAnsi"/>
          <w:color w:val="000000"/>
          <w:sz w:val="22"/>
          <w:szCs w:val="22"/>
          <w:highlight w:val="yellow"/>
        </w:rPr>
        <w:t xml:space="preserve">). This position statement proposes that: “3. Typhoid fever be renamed to </w:t>
      </w:r>
      <w:r w:rsidRPr="00D47DE1">
        <w:rPr>
          <w:rFonts w:asciiTheme="minorHAnsi" w:hAnsiTheme="minorHAnsi"/>
          <w:i/>
          <w:color w:val="000000"/>
          <w:sz w:val="22"/>
          <w:szCs w:val="22"/>
          <w:highlight w:val="yellow"/>
        </w:rPr>
        <w:t>S</w:t>
      </w:r>
      <w:r w:rsidRPr="00D47DE1">
        <w:rPr>
          <w:rFonts w:asciiTheme="minorHAnsi" w:hAnsiTheme="minorHAnsi"/>
          <w:color w:val="000000"/>
          <w:sz w:val="22"/>
          <w:szCs w:val="22"/>
          <w:highlight w:val="yellow"/>
        </w:rPr>
        <w:t xml:space="preserve">. Typhi Infection.”  CDC requests permission to rename Typhoid Fever to </w:t>
      </w:r>
      <w:r>
        <w:rPr>
          <w:rFonts w:asciiTheme="minorHAnsi" w:hAnsiTheme="minorHAnsi"/>
          <w:color w:val="000000"/>
          <w:sz w:val="22"/>
          <w:szCs w:val="22"/>
          <w:highlight w:val="yellow"/>
        </w:rPr>
        <w:t>“</w:t>
      </w:r>
      <w:r w:rsidRPr="00D47DE1">
        <w:rPr>
          <w:rFonts w:asciiTheme="minorHAnsi" w:hAnsiTheme="minorHAnsi"/>
          <w:i/>
          <w:color w:val="000000"/>
          <w:sz w:val="22"/>
          <w:szCs w:val="22"/>
          <w:highlight w:val="yellow"/>
        </w:rPr>
        <w:t>S</w:t>
      </w:r>
      <w:r w:rsidRPr="00D47DE1">
        <w:rPr>
          <w:rFonts w:asciiTheme="minorHAnsi" w:hAnsiTheme="minorHAnsi"/>
          <w:color w:val="000000"/>
          <w:sz w:val="22"/>
          <w:szCs w:val="22"/>
          <w:highlight w:val="yellow"/>
        </w:rPr>
        <w:t>. Typhi Infection</w:t>
      </w:r>
      <w:r>
        <w:rPr>
          <w:rFonts w:asciiTheme="minorHAnsi" w:hAnsiTheme="minorHAnsi"/>
          <w:color w:val="000000"/>
          <w:sz w:val="22"/>
          <w:szCs w:val="22"/>
          <w:highlight w:val="yellow"/>
        </w:rPr>
        <w:t>” on the List of Nationally Notifiable Conditions</w:t>
      </w:r>
      <w:r w:rsidRPr="00D47DE1">
        <w:rPr>
          <w:rFonts w:asciiTheme="minorHAnsi" w:hAnsiTheme="minorHAnsi"/>
          <w:color w:val="000000"/>
          <w:sz w:val="22"/>
          <w:szCs w:val="22"/>
          <w:highlight w:val="yellow"/>
        </w:rPr>
        <w:t>.</w:t>
      </w:r>
      <w:r w:rsidRPr="00D47DE1">
        <w:rPr>
          <w:rFonts w:asciiTheme="minorHAnsi" w:hAnsiTheme="minorHAnsi"/>
          <w:color w:val="000000"/>
          <w:sz w:val="22"/>
          <w:szCs w:val="22"/>
        </w:rPr>
        <w:t xml:space="preserve"> </w:t>
      </w:r>
    </w:p>
    <w:tbl>
      <w:tblPr>
        <w:tblStyle w:val="TableGrid"/>
        <w:tblW w:w="9180" w:type="dxa"/>
        <w:tblInd w:w="85" w:type="dxa"/>
        <w:tblLook w:val="04A0" w:firstRow="1" w:lastRow="0" w:firstColumn="1" w:lastColumn="0" w:noHBand="0" w:noVBand="1"/>
      </w:tblPr>
      <w:tblGrid>
        <w:gridCol w:w="2880"/>
        <w:gridCol w:w="6300"/>
      </w:tblGrid>
      <w:tr w:rsidR="00E30E7D" w:rsidRPr="00A72281" w:rsidTr="000677F3">
        <w:tc>
          <w:tcPr>
            <w:tcW w:w="2880" w:type="dxa"/>
          </w:tcPr>
          <w:p w:rsidR="00E30E7D" w:rsidRPr="00A72281" w:rsidRDefault="00E30E7D" w:rsidP="000677F3">
            <w:pPr>
              <w:rPr>
                <w:b/>
                <w:sz w:val="22"/>
                <w:szCs w:val="22"/>
              </w:rPr>
            </w:pPr>
            <w:r w:rsidRPr="00A72281">
              <w:rPr>
                <w:b/>
                <w:sz w:val="22"/>
                <w:szCs w:val="22"/>
              </w:rPr>
              <w:t xml:space="preserve"> </w:t>
            </w:r>
            <w:r w:rsidRPr="00A72281">
              <w:rPr>
                <w:b/>
                <w:i/>
                <w:sz w:val="22"/>
                <w:szCs w:val="22"/>
              </w:rPr>
              <w:t>S.</w:t>
            </w:r>
            <w:r w:rsidRPr="00A72281">
              <w:rPr>
                <w:b/>
                <w:sz w:val="22"/>
                <w:szCs w:val="22"/>
              </w:rPr>
              <w:t xml:space="preserve"> Paratyphi</w:t>
            </w:r>
          </w:p>
        </w:tc>
        <w:tc>
          <w:tcPr>
            <w:tcW w:w="6300" w:type="dxa"/>
          </w:tcPr>
          <w:p w:rsidR="00E30E7D" w:rsidRPr="00A72281" w:rsidRDefault="00E30E7D" w:rsidP="000677F3">
            <w:pPr>
              <w:rPr>
                <w:sz w:val="22"/>
                <w:szCs w:val="22"/>
              </w:rPr>
            </w:pPr>
          </w:p>
        </w:tc>
      </w:tr>
      <w:tr w:rsidR="00E30E7D" w:rsidRPr="00A72281" w:rsidTr="000677F3">
        <w:tc>
          <w:tcPr>
            <w:tcW w:w="2880" w:type="dxa"/>
          </w:tcPr>
          <w:p w:rsidR="00E30E7D" w:rsidRPr="00A72281" w:rsidRDefault="00E30E7D" w:rsidP="000677F3">
            <w:pPr>
              <w:rPr>
                <w:sz w:val="22"/>
                <w:szCs w:val="22"/>
              </w:rPr>
            </w:pPr>
            <w:r w:rsidRPr="00A72281">
              <w:rPr>
                <w:sz w:val="22"/>
                <w:szCs w:val="22"/>
              </w:rPr>
              <w:t>The impetus/urgency for CDC to institute case notification and data elements for this condition</w:t>
            </w:r>
          </w:p>
          <w:p w:rsidR="00E30E7D" w:rsidRPr="00A72281" w:rsidRDefault="00E30E7D" w:rsidP="000677F3">
            <w:pPr>
              <w:rPr>
                <w:b/>
                <w:sz w:val="22"/>
                <w:szCs w:val="22"/>
              </w:rPr>
            </w:pPr>
          </w:p>
        </w:tc>
        <w:tc>
          <w:tcPr>
            <w:tcW w:w="6300" w:type="dxa"/>
          </w:tcPr>
          <w:p w:rsidR="00E30E7D" w:rsidRPr="00A72281" w:rsidRDefault="00E30E7D" w:rsidP="000677F3">
            <w:pPr>
              <w:pStyle w:val="ListParagraph"/>
              <w:numPr>
                <w:ilvl w:val="0"/>
                <w:numId w:val="31"/>
              </w:numPr>
              <w:contextualSpacing/>
              <w:rPr>
                <w:sz w:val="22"/>
                <w:szCs w:val="22"/>
              </w:rPr>
            </w:pPr>
            <w:r w:rsidRPr="00A72281">
              <w:rPr>
                <w:sz w:val="22"/>
                <w:szCs w:val="22"/>
              </w:rPr>
              <w:t xml:space="preserve">To </w:t>
            </w:r>
            <w:r>
              <w:rPr>
                <w:sz w:val="22"/>
                <w:szCs w:val="22"/>
              </w:rPr>
              <w:t>monitor</w:t>
            </w:r>
            <w:r w:rsidRPr="00A72281">
              <w:rPr>
                <w:sz w:val="22"/>
                <w:szCs w:val="22"/>
              </w:rPr>
              <w:t xml:space="preserve"> the effect of these serious and potentially life-threatening diseases that can be transmitted within populations</w:t>
            </w:r>
          </w:p>
          <w:p w:rsidR="00E30E7D" w:rsidRPr="00A72281" w:rsidRDefault="00E30E7D" w:rsidP="000677F3">
            <w:pPr>
              <w:pStyle w:val="ListParagraph"/>
              <w:numPr>
                <w:ilvl w:val="0"/>
                <w:numId w:val="31"/>
              </w:numPr>
              <w:contextualSpacing/>
              <w:rPr>
                <w:sz w:val="22"/>
                <w:szCs w:val="22"/>
              </w:rPr>
            </w:pPr>
            <w:r w:rsidRPr="00A72281">
              <w:rPr>
                <w:sz w:val="22"/>
                <w:szCs w:val="22"/>
              </w:rPr>
              <w:t xml:space="preserve">Receiving case notifications for </w:t>
            </w:r>
            <w:r w:rsidRPr="00A72281">
              <w:rPr>
                <w:i/>
                <w:sz w:val="22"/>
                <w:szCs w:val="22"/>
              </w:rPr>
              <w:t>S</w:t>
            </w:r>
            <w:r w:rsidRPr="00A72281">
              <w:rPr>
                <w:sz w:val="22"/>
                <w:szCs w:val="22"/>
              </w:rPr>
              <w:t>. Paratyphi with other Salmonella infections</w:t>
            </w:r>
          </w:p>
          <w:p w:rsidR="00E30E7D" w:rsidRPr="00A72281" w:rsidRDefault="00E30E7D" w:rsidP="000677F3">
            <w:pPr>
              <w:pStyle w:val="ListParagraph"/>
              <w:numPr>
                <w:ilvl w:val="0"/>
                <w:numId w:val="31"/>
              </w:numPr>
              <w:contextualSpacing/>
              <w:rPr>
                <w:sz w:val="22"/>
                <w:szCs w:val="22"/>
              </w:rPr>
            </w:pPr>
            <w:r w:rsidRPr="00A72281">
              <w:rPr>
                <w:sz w:val="22"/>
                <w:szCs w:val="22"/>
              </w:rPr>
              <w:t>Data used to detect outbreaks and monitor national trends</w:t>
            </w:r>
          </w:p>
          <w:p w:rsidR="00E30E7D" w:rsidRPr="00A72281" w:rsidRDefault="00E30E7D" w:rsidP="000677F3">
            <w:pPr>
              <w:pStyle w:val="ListParagraph"/>
              <w:numPr>
                <w:ilvl w:val="0"/>
                <w:numId w:val="31"/>
              </w:numPr>
              <w:contextualSpacing/>
              <w:rPr>
                <w:sz w:val="22"/>
                <w:szCs w:val="22"/>
              </w:rPr>
            </w:pPr>
            <w:r w:rsidRPr="00A72281">
              <w:rPr>
                <w:sz w:val="22"/>
                <w:szCs w:val="22"/>
              </w:rPr>
              <w:t xml:space="preserve">Cases trigger immediate public health actions </w:t>
            </w:r>
          </w:p>
          <w:p w:rsidR="00E30E7D" w:rsidRPr="00647483" w:rsidRDefault="00E30E7D" w:rsidP="000677F3">
            <w:pPr>
              <w:pStyle w:val="ListParagraph"/>
              <w:numPr>
                <w:ilvl w:val="0"/>
                <w:numId w:val="31"/>
              </w:numPr>
              <w:contextualSpacing/>
              <w:rPr>
                <w:sz w:val="22"/>
                <w:szCs w:val="22"/>
              </w:rPr>
            </w:pPr>
            <w:r w:rsidRPr="00A72281">
              <w:rPr>
                <w:sz w:val="22"/>
                <w:szCs w:val="22"/>
              </w:rPr>
              <w:t xml:space="preserve">Case notifications are necessary to inform response and prevent further transmission  </w:t>
            </w:r>
          </w:p>
        </w:tc>
      </w:tr>
      <w:tr w:rsidR="00E30E7D" w:rsidRPr="00A72281" w:rsidTr="000677F3">
        <w:trPr>
          <w:trHeight w:val="1025"/>
        </w:trPr>
        <w:tc>
          <w:tcPr>
            <w:tcW w:w="2880" w:type="dxa"/>
          </w:tcPr>
          <w:p w:rsidR="00E30E7D" w:rsidRPr="00A72281" w:rsidRDefault="00E30E7D" w:rsidP="000677F3">
            <w:pPr>
              <w:rPr>
                <w:sz w:val="22"/>
                <w:szCs w:val="22"/>
              </w:rPr>
            </w:pPr>
            <w:r w:rsidRPr="00A72281">
              <w:rPr>
                <w:sz w:val="22"/>
                <w:szCs w:val="22"/>
              </w:rPr>
              <w:t>Existing sources of data (Federal, non-federal, private, etc.) and what those sources say about approximate national incidence and/or prevalence of the condition</w:t>
            </w:r>
          </w:p>
          <w:p w:rsidR="00E30E7D" w:rsidRPr="00A72281" w:rsidRDefault="00E30E7D" w:rsidP="000677F3">
            <w:pPr>
              <w:rPr>
                <w:sz w:val="22"/>
                <w:szCs w:val="22"/>
              </w:rPr>
            </w:pPr>
          </w:p>
        </w:tc>
        <w:tc>
          <w:tcPr>
            <w:tcW w:w="6300" w:type="dxa"/>
          </w:tcPr>
          <w:p w:rsidR="00E30E7D" w:rsidRPr="00A72281" w:rsidRDefault="00E30E7D" w:rsidP="000677F3">
            <w:pPr>
              <w:pStyle w:val="ListParagraph"/>
              <w:numPr>
                <w:ilvl w:val="0"/>
                <w:numId w:val="35"/>
              </w:numPr>
              <w:contextualSpacing/>
              <w:rPr>
                <w:sz w:val="22"/>
                <w:szCs w:val="22"/>
              </w:rPr>
            </w:pPr>
            <w:r w:rsidRPr="00A72281">
              <w:rPr>
                <w:sz w:val="22"/>
                <w:szCs w:val="22"/>
              </w:rPr>
              <w:t>CDC received 71 reports of paratyphoid fever [NNDSS, 2015]</w:t>
            </w:r>
          </w:p>
          <w:p w:rsidR="00E30E7D" w:rsidRPr="00A72281" w:rsidRDefault="00E30E7D" w:rsidP="000677F3">
            <w:pPr>
              <w:pStyle w:val="ListParagraph"/>
              <w:rPr>
                <w:sz w:val="22"/>
                <w:szCs w:val="22"/>
              </w:rPr>
            </w:pPr>
          </w:p>
          <w:p w:rsidR="00E30E7D" w:rsidRPr="00A72281" w:rsidRDefault="00E30E7D" w:rsidP="000677F3">
            <w:pPr>
              <w:ind w:left="360"/>
              <w:rPr>
                <w:sz w:val="22"/>
                <w:szCs w:val="22"/>
              </w:rPr>
            </w:pPr>
          </w:p>
        </w:tc>
      </w:tr>
      <w:tr w:rsidR="00E30E7D" w:rsidRPr="00A72281" w:rsidTr="000677F3">
        <w:tc>
          <w:tcPr>
            <w:tcW w:w="2880" w:type="dxa"/>
          </w:tcPr>
          <w:p w:rsidR="00E30E7D" w:rsidRPr="00A72281" w:rsidRDefault="00E30E7D" w:rsidP="000677F3">
            <w:pPr>
              <w:rPr>
                <w:sz w:val="22"/>
                <w:szCs w:val="22"/>
              </w:rPr>
            </w:pPr>
            <w:r w:rsidRPr="00A72281">
              <w:rPr>
                <w:sz w:val="22"/>
                <w:szCs w:val="22"/>
              </w:rPr>
              <w:t>Incremental coverage provided by adding the condition to NNDSS (how CDC will use additional precision)</w:t>
            </w:r>
          </w:p>
          <w:p w:rsidR="00E30E7D" w:rsidRPr="00A72281" w:rsidRDefault="00E30E7D" w:rsidP="000677F3">
            <w:pPr>
              <w:rPr>
                <w:sz w:val="22"/>
                <w:szCs w:val="22"/>
              </w:rPr>
            </w:pPr>
          </w:p>
        </w:tc>
        <w:tc>
          <w:tcPr>
            <w:tcW w:w="6300" w:type="dxa"/>
          </w:tcPr>
          <w:p w:rsidR="00E30E7D" w:rsidRPr="00A72281" w:rsidRDefault="00E30E7D" w:rsidP="000677F3">
            <w:pPr>
              <w:pStyle w:val="ListParagraph"/>
              <w:numPr>
                <w:ilvl w:val="0"/>
                <w:numId w:val="34"/>
              </w:numPr>
              <w:contextualSpacing/>
            </w:pPr>
            <w:r w:rsidRPr="00A72281">
              <w:rPr>
                <w:sz w:val="22"/>
                <w:szCs w:val="22"/>
              </w:rPr>
              <w:t>NNDSS is the only source of case data</w:t>
            </w:r>
          </w:p>
        </w:tc>
      </w:tr>
      <w:tr w:rsidR="00E30E7D" w:rsidRPr="00A72281" w:rsidTr="000677F3">
        <w:tc>
          <w:tcPr>
            <w:tcW w:w="2880" w:type="dxa"/>
          </w:tcPr>
          <w:p w:rsidR="00E30E7D" w:rsidRPr="00A72281" w:rsidRDefault="00E30E7D" w:rsidP="000677F3">
            <w:pPr>
              <w:rPr>
                <w:sz w:val="22"/>
                <w:szCs w:val="22"/>
              </w:rPr>
            </w:pPr>
            <w:r w:rsidRPr="00A72281">
              <w:rPr>
                <w:sz w:val="22"/>
                <w:szCs w:val="22"/>
              </w:rPr>
              <w:t xml:space="preserve">Number of states that currently require reporting of these conditions and data elements </w:t>
            </w:r>
          </w:p>
        </w:tc>
        <w:tc>
          <w:tcPr>
            <w:tcW w:w="6300" w:type="dxa"/>
          </w:tcPr>
          <w:p w:rsidR="00E30E7D" w:rsidRPr="00A72281" w:rsidRDefault="00E30E7D" w:rsidP="000677F3">
            <w:pPr>
              <w:pStyle w:val="ListParagraph"/>
              <w:numPr>
                <w:ilvl w:val="0"/>
                <w:numId w:val="33"/>
              </w:numPr>
              <w:contextualSpacing/>
              <w:rPr>
                <w:sz w:val="22"/>
                <w:szCs w:val="22"/>
              </w:rPr>
            </w:pPr>
            <w:r w:rsidRPr="00A72281">
              <w:rPr>
                <w:sz w:val="22"/>
                <w:szCs w:val="22"/>
              </w:rPr>
              <w:t>50 jurisdictions require reporting</w:t>
            </w:r>
          </w:p>
          <w:p w:rsidR="00E30E7D" w:rsidRPr="00A72281" w:rsidRDefault="00E30E7D" w:rsidP="000677F3">
            <w:pPr>
              <w:rPr>
                <w:sz w:val="22"/>
                <w:szCs w:val="22"/>
              </w:rPr>
            </w:pPr>
          </w:p>
        </w:tc>
      </w:tr>
      <w:tr w:rsidR="00E30E7D" w:rsidRPr="00A72281" w:rsidTr="000677F3">
        <w:tc>
          <w:tcPr>
            <w:tcW w:w="2880" w:type="dxa"/>
          </w:tcPr>
          <w:p w:rsidR="00E30E7D" w:rsidRPr="00A72281" w:rsidRDefault="00E30E7D" w:rsidP="000677F3">
            <w:pPr>
              <w:rPr>
                <w:sz w:val="22"/>
                <w:szCs w:val="22"/>
              </w:rPr>
            </w:pPr>
            <w:r w:rsidRPr="00A72281">
              <w:rPr>
                <w:sz w:val="22"/>
                <w:szCs w:val="22"/>
              </w:rPr>
              <w:t xml:space="preserve">The number of states anticipated to adopt if added to NNDSS and basis of estimate </w:t>
            </w:r>
          </w:p>
          <w:p w:rsidR="00E30E7D" w:rsidRPr="00A72281" w:rsidRDefault="00E30E7D" w:rsidP="000677F3">
            <w:pPr>
              <w:ind w:left="720"/>
              <w:rPr>
                <w:sz w:val="22"/>
                <w:szCs w:val="22"/>
              </w:rPr>
            </w:pPr>
            <w:r w:rsidRPr="00A72281">
              <w:rPr>
                <w:sz w:val="22"/>
                <w:szCs w:val="22"/>
              </w:rPr>
              <w:t>Funding allocated specifically for a condition and/or additional elements (please list source where applicable)</w:t>
            </w:r>
          </w:p>
          <w:p w:rsidR="00E30E7D" w:rsidRPr="00A72281" w:rsidRDefault="00E30E7D" w:rsidP="000677F3">
            <w:pPr>
              <w:rPr>
                <w:sz w:val="22"/>
                <w:szCs w:val="22"/>
              </w:rPr>
            </w:pPr>
          </w:p>
        </w:tc>
        <w:tc>
          <w:tcPr>
            <w:tcW w:w="6300" w:type="dxa"/>
          </w:tcPr>
          <w:p w:rsidR="00E30E7D" w:rsidRPr="00A72281" w:rsidRDefault="00E30E7D" w:rsidP="000677F3">
            <w:pPr>
              <w:pStyle w:val="ListParagraph"/>
              <w:numPr>
                <w:ilvl w:val="0"/>
                <w:numId w:val="33"/>
              </w:numPr>
              <w:contextualSpacing/>
              <w:rPr>
                <w:sz w:val="22"/>
                <w:szCs w:val="22"/>
              </w:rPr>
            </w:pPr>
            <w:r w:rsidRPr="00A72281">
              <w:rPr>
                <w:sz w:val="22"/>
                <w:szCs w:val="22"/>
              </w:rPr>
              <w:t>All 50 jurisdictions</w:t>
            </w:r>
          </w:p>
          <w:p w:rsidR="00E30E7D" w:rsidRPr="00A72281" w:rsidRDefault="00E30E7D" w:rsidP="000677F3">
            <w:pPr>
              <w:pStyle w:val="ListParagraph"/>
              <w:numPr>
                <w:ilvl w:val="1"/>
                <w:numId w:val="33"/>
              </w:numPr>
              <w:contextualSpacing/>
              <w:rPr>
                <w:sz w:val="22"/>
                <w:szCs w:val="22"/>
              </w:rPr>
            </w:pPr>
            <w:r w:rsidRPr="00A72281">
              <w:rPr>
                <w:rFonts w:cstheme="minorHAnsi"/>
                <w:sz w:val="22"/>
                <w:szCs w:val="22"/>
              </w:rPr>
              <w:t xml:space="preserve">No specific funding allocated </w:t>
            </w:r>
          </w:p>
        </w:tc>
      </w:tr>
      <w:tr w:rsidR="00E30E7D" w:rsidRPr="00A72281" w:rsidTr="000677F3">
        <w:tc>
          <w:tcPr>
            <w:tcW w:w="2880" w:type="dxa"/>
          </w:tcPr>
          <w:p w:rsidR="00E30E7D" w:rsidRPr="00A72281" w:rsidRDefault="00E30E7D" w:rsidP="000677F3">
            <w:pPr>
              <w:rPr>
                <w:sz w:val="22"/>
                <w:szCs w:val="22"/>
              </w:rPr>
            </w:pPr>
            <w:r w:rsidRPr="00A72281">
              <w:rPr>
                <w:sz w:val="22"/>
                <w:szCs w:val="22"/>
              </w:rPr>
              <w:t>Anticipated frequency of reporting to CDC</w:t>
            </w:r>
          </w:p>
        </w:tc>
        <w:tc>
          <w:tcPr>
            <w:tcW w:w="6300" w:type="dxa"/>
          </w:tcPr>
          <w:p w:rsidR="00E30E7D" w:rsidRPr="00A72281" w:rsidRDefault="00E30E7D" w:rsidP="000677F3">
            <w:pPr>
              <w:pStyle w:val="ListParagraph"/>
              <w:numPr>
                <w:ilvl w:val="0"/>
                <w:numId w:val="32"/>
              </w:numPr>
              <w:contextualSpacing/>
              <w:rPr>
                <w:sz w:val="22"/>
                <w:szCs w:val="22"/>
              </w:rPr>
            </w:pPr>
            <w:r w:rsidRPr="00A72281">
              <w:rPr>
                <w:sz w:val="22"/>
                <w:szCs w:val="22"/>
              </w:rPr>
              <w:t>Less than 10 annually</w:t>
            </w:r>
          </w:p>
        </w:tc>
      </w:tr>
      <w:tr w:rsidR="00E30E7D" w:rsidRPr="00A72281" w:rsidTr="000677F3">
        <w:trPr>
          <w:trHeight w:val="1430"/>
        </w:trPr>
        <w:tc>
          <w:tcPr>
            <w:tcW w:w="2880" w:type="dxa"/>
          </w:tcPr>
          <w:p w:rsidR="00E30E7D" w:rsidRPr="00A72281" w:rsidRDefault="00E30E7D" w:rsidP="000677F3">
            <w:pPr>
              <w:rPr>
                <w:sz w:val="22"/>
                <w:szCs w:val="22"/>
              </w:rPr>
            </w:pPr>
            <w:r w:rsidRPr="00A72281">
              <w:rPr>
                <w:sz w:val="22"/>
                <w:szCs w:val="22"/>
              </w:rPr>
              <w:t>Based on the above information, what is the proposed priority associated with condition</w:t>
            </w:r>
          </w:p>
        </w:tc>
        <w:tc>
          <w:tcPr>
            <w:tcW w:w="6300" w:type="dxa"/>
          </w:tcPr>
          <w:p w:rsidR="00E30E7D" w:rsidRPr="00D26C76" w:rsidRDefault="003F1C70" w:rsidP="003F1C70">
            <w:pPr>
              <w:numPr>
                <w:ilvl w:val="0"/>
                <w:numId w:val="32"/>
              </w:numPr>
              <w:spacing w:after="160" w:line="259" w:lineRule="auto"/>
              <w:contextualSpacing/>
              <w:rPr>
                <w:sz w:val="22"/>
                <w:szCs w:val="22"/>
              </w:rPr>
            </w:pPr>
            <w:r w:rsidRPr="003F1C70">
              <w:rPr>
                <w:sz w:val="22"/>
                <w:szCs w:val="22"/>
              </w:rPr>
              <w:t>States will determine the priority of adding this collection</w:t>
            </w:r>
            <w:r>
              <w:rPr>
                <w:sz w:val="22"/>
                <w:szCs w:val="22"/>
              </w:rPr>
              <w:t>.</w:t>
            </w:r>
            <w:r w:rsidRPr="003F1C70" w:rsidDel="00FA1389">
              <w:rPr>
                <w:sz w:val="22"/>
                <w:szCs w:val="22"/>
              </w:rPr>
              <w:t xml:space="preserve"> </w:t>
            </w:r>
          </w:p>
          <w:p w:rsidR="00E30E7D" w:rsidRPr="00A72281" w:rsidRDefault="00E30E7D" w:rsidP="000677F3">
            <w:pPr>
              <w:pStyle w:val="ListParagraph"/>
              <w:contextualSpacing/>
              <w:rPr>
                <w:sz w:val="22"/>
                <w:szCs w:val="22"/>
              </w:rPr>
            </w:pPr>
          </w:p>
        </w:tc>
      </w:tr>
    </w:tbl>
    <w:p w:rsidR="00E30E7D" w:rsidRPr="00712001" w:rsidRDefault="00E30E7D" w:rsidP="00E30E7D">
      <w:pPr>
        <w:spacing w:line="360" w:lineRule="auto"/>
        <w:rPr>
          <w:rFonts w:asciiTheme="minorHAnsi" w:hAnsiTheme="minorHAnsi"/>
          <w:color w:val="000000"/>
          <w:sz w:val="22"/>
          <w:szCs w:val="22"/>
          <w:highlight w:val="yellow"/>
        </w:rPr>
      </w:pPr>
    </w:p>
    <w:p w:rsidR="00E30E7D" w:rsidRPr="00ED493F" w:rsidRDefault="00E30E7D" w:rsidP="00E30E7D">
      <w:pPr>
        <w:spacing w:line="360" w:lineRule="auto"/>
        <w:rPr>
          <w:rFonts w:asciiTheme="minorHAnsi" w:hAnsiTheme="minorHAnsi"/>
          <w:color w:val="000000"/>
          <w:sz w:val="22"/>
          <w:szCs w:val="22"/>
          <w:highlight w:val="yellow"/>
        </w:rPr>
      </w:pPr>
      <w:r w:rsidRPr="00ED493F">
        <w:rPr>
          <w:rFonts w:asciiTheme="minorHAnsi" w:hAnsiTheme="minorHAnsi"/>
          <w:color w:val="000000"/>
          <w:sz w:val="22"/>
          <w:szCs w:val="22"/>
          <w:highlight w:val="yellow"/>
        </w:rPr>
        <w:t>CO Poisoning</w:t>
      </w:r>
    </w:p>
    <w:p w:rsidR="00E30E7D" w:rsidRPr="00ED493F" w:rsidRDefault="00E30E7D" w:rsidP="00E30E7D">
      <w:pPr>
        <w:spacing w:line="360" w:lineRule="auto"/>
        <w:rPr>
          <w:rFonts w:asciiTheme="minorHAnsi" w:hAnsiTheme="minorHAnsi"/>
          <w:color w:val="000000"/>
          <w:sz w:val="22"/>
          <w:szCs w:val="22"/>
          <w:highlight w:val="yellow"/>
        </w:rPr>
      </w:pPr>
      <w:r w:rsidRPr="00ED493F">
        <w:rPr>
          <w:rFonts w:asciiTheme="minorHAnsi" w:hAnsiTheme="minorHAnsi"/>
          <w:color w:val="000000"/>
          <w:sz w:val="22"/>
          <w:szCs w:val="22"/>
          <w:highlight w:val="yellow"/>
        </w:rPr>
        <w:t>CO Poisoning became nationally notifiable in 2013 (</w:t>
      </w:r>
      <w:hyperlink r:id="rId12" w:history="1">
        <w:r w:rsidRPr="00E51F82">
          <w:rPr>
            <w:rStyle w:val="Hyperlink"/>
            <w:rFonts w:asciiTheme="minorHAnsi" w:hAnsiTheme="minorHAnsi"/>
            <w:sz w:val="22"/>
            <w:szCs w:val="22"/>
            <w:highlight w:val="yellow"/>
          </w:rPr>
          <w:t>http://c.ymcdn.com/sites/www.cste.org/resource/resmgr/PS/13-EH-01.pdf</w:t>
        </w:r>
      </w:hyperlink>
      <w:r w:rsidRPr="00ED493F">
        <w:rPr>
          <w:rFonts w:asciiTheme="minorHAnsi" w:hAnsiTheme="minorHAnsi"/>
          <w:color w:val="000000"/>
          <w:sz w:val="22"/>
          <w:szCs w:val="22"/>
          <w:highlight w:val="yellow"/>
        </w:rPr>
        <w:t>). Currently, CDC is not notified of C</w:t>
      </w:r>
      <w:r>
        <w:rPr>
          <w:rFonts w:asciiTheme="minorHAnsi" w:hAnsiTheme="minorHAnsi"/>
          <w:color w:val="000000"/>
          <w:sz w:val="22"/>
          <w:szCs w:val="22"/>
          <w:highlight w:val="yellow"/>
        </w:rPr>
        <w:t>O</w:t>
      </w:r>
      <w:r w:rsidRPr="00ED493F">
        <w:rPr>
          <w:rFonts w:asciiTheme="minorHAnsi" w:hAnsiTheme="minorHAnsi"/>
          <w:color w:val="000000"/>
          <w:sz w:val="22"/>
          <w:szCs w:val="22"/>
          <w:highlight w:val="yellow"/>
        </w:rPr>
        <w:t xml:space="preserve"> Poisoning cases through NNDSS. The 2013 CSTE position statement on C</w:t>
      </w:r>
      <w:r>
        <w:rPr>
          <w:rFonts w:asciiTheme="minorHAnsi" w:hAnsiTheme="minorHAnsi"/>
          <w:color w:val="000000"/>
          <w:sz w:val="22"/>
          <w:szCs w:val="22"/>
          <w:highlight w:val="yellow"/>
        </w:rPr>
        <w:t>O</w:t>
      </w:r>
      <w:r w:rsidRPr="00ED493F">
        <w:rPr>
          <w:rFonts w:asciiTheme="minorHAnsi" w:hAnsiTheme="minorHAnsi"/>
          <w:color w:val="000000"/>
          <w:sz w:val="22"/>
          <w:szCs w:val="22"/>
          <w:highlight w:val="yellow"/>
        </w:rPr>
        <w:t xml:space="preserve"> Poisoning recommended that </w:t>
      </w:r>
      <w:r>
        <w:rPr>
          <w:rFonts w:asciiTheme="minorHAnsi" w:hAnsiTheme="minorHAnsi"/>
          <w:color w:val="000000"/>
          <w:sz w:val="22"/>
          <w:szCs w:val="22"/>
          <w:highlight w:val="yellow"/>
        </w:rPr>
        <w:t xml:space="preserve">jurisdiction </w:t>
      </w:r>
      <w:r w:rsidRPr="00ED493F">
        <w:rPr>
          <w:rFonts w:asciiTheme="minorHAnsi" w:hAnsiTheme="minorHAnsi"/>
          <w:color w:val="000000"/>
          <w:sz w:val="22"/>
          <w:szCs w:val="22"/>
          <w:highlight w:val="yellow"/>
        </w:rPr>
        <w:t>health departments use the American Association of Poison Control Centers’ (AAPCC) National Poison Data System (NPDS) as the mechanism to notify CDC of C</w:t>
      </w:r>
      <w:r>
        <w:rPr>
          <w:rFonts w:asciiTheme="minorHAnsi" w:hAnsiTheme="minorHAnsi"/>
          <w:color w:val="000000"/>
          <w:sz w:val="22"/>
          <w:szCs w:val="22"/>
          <w:highlight w:val="yellow"/>
        </w:rPr>
        <w:t>O</w:t>
      </w:r>
      <w:r w:rsidRPr="00ED493F">
        <w:rPr>
          <w:rFonts w:asciiTheme="minorHAnsi" w:hAnsiTheme="minorHAnsi"/>
          <w:color w:val="000000"/>
          <w:sz w:val="22"/>
          <w:szCs w:val="22"/>
          <w:highlight w:val="yellow"/>
        </w:rPr>
        <w:t xml:space="preserve"> Poisoning cases. Fifty-five Poison Centers (PCs) that serve the 50 states, American Samoa, District of Columbia, Federated States of Micronesia, Guam, Puerto Rico, and the US Virgin Islands automatically upload cases to NPDS in near real-time (</w:t>
      </w:r>
      <w:hyperlink r:id="rId13" w:history="1">
        <w:r w:rsidRPr="00E51F82">
          <w:rPr>
            <w:rStyle w:val="Hyperlink"/>
            <w:rFonts w:asciiTheme="minorHAnsi" w:hAnsiTheme="minorHAnsi"/>
            <w:sz w:val="22"/>
            <w:szCs w:val="22"/>
            <w:highlight w:val="yellow"/>
          </w:rPr>
          <w:t>https://aapcc.s3.amazonaws.com/pdfs/annual_reports/2014_AAPCC_NPDS_Annual_Report.pdf</w:t>
        </w:r>
      </w:hyperlink>
      <w:r w:rsidRPr="00ED493F">
        <w:rPr>
          <w:rFonts w:asciiTheme="minorHAnsi" w:hAnsiTheme="minorHAnsi"/>
          <w:color w:val="000000"/>
          <w:sz w:val="22"/>
          <w:szCs w:val="22"/>
          <w:highlight w:val="yellow"/>
        </w:rPr>
        <w:t>). CDC purchases NPDS data from AAPCC so the Paperwork Reduction Act (PRA) does not apply. AAPCC provides CDC with online access to NPDS per a data use agreement and provides CDC with a limited number of data elements [</w:t>
      </w:r>
      <w:r w:rsidRPr="00DD1F87">
        <w:rPr>
          <w:rFonts w:asciiTheme="minorHAnsi" w:hAnsiTheme="minorHAnsi"/>
          <w:b/>
          <w:color w:val="000000"/>
          <w:sz w:val="22"/>
          <w:szCs w:val="22"/>
          <w:highlight w:val="yellow"/>
        </w:rPr>
        <w:t xml:space="preserve">Attachment </w:t>
      </w:r>
      <w:r>
        <w:rPr>
          <w:rFonts w:asciiTheme="minorHAnsi" w:hAnsiTheme="minorHAnsi"/>
          <w:b/>
          <w:color w:val="000000"/>
          <w:sz w:val="22"/>
          <w:szCs w:val="22"/>
          <w:highlight w:val="yellow"/>
        </w:rPr>
        <w:t>7</w:t>
      </w:r>
      <w:r w:rsidRPr="00DD1F87">
        <w:rPr>
          <w:rFonts w:asciiTheme="minorHAnsi" w:hAnsiTheme="minorHAnsi"/>
          <w:b/>
          <w:color w:val="000000"/>
          <w:sz w:val="22"/>
          <w:szCs w:val="22"/>
          <w:highlight w:val="yellow"/>
        </w:rPr>
        <w:t xml:space="preserve">. List of </w:t>
      </w:r>
      <w:r w:rsidRPr="005F05E5">
        <w:rPr>
          <w:rFonts w:asciiTheme="minorHAnsi" w:hAnsiTheme="minorHAnsi"/>
          <w:b/>
          <w:color w:val="000000"/>
          <w:sz w:val="22"/>
          <w:szCs w:val="22"/>
          <w:highlight w:val="yellow"/>
        </w:rPr>
        <w:t>Data Elements for C</w:t>
      </w:r>
      <w:r>
        <w:rPr>
          <w:rFonts w:asciiTheme="minorHAnsi" w:hAnsiTheme="minorHAnsi"/>
          <w:b/>
          <w:color w:val="000000"/>
          <w:sz w:val="22"/>
          <w:szCs w:val="22"/>
          <w:highlight w:val="yellow"/>
        </w:rPr>
        <w:t xml:space="preserve">arbon Monoxide Poisoning </w:t>
      </w:r>
      <w:r w:rsidRPr="00DD1F87">
        <w:rPr>
          <w:rFonts w:asciiTheme="minorHAnsi" w:hAnsiTheme="minorHAnsi"/>
          <w:b/>
          <w:color w:val="000000"/>
          <w:sz w:val="22"/>
          <w:szCs w:val="22"/>
          <w:highlight w:val="yellow"/>
        </w:rPr>
        <w:t>Received from NPDS</w:t>
      </w:r>
      <w:r w:rsidRPr="00ED493F">
        <w:rPr>
          <w:rFonts w:asciiTheme="minorHAnsi" w:hAnsiTheme="minorHAnsi"/>
          <w:color w:val="000000"/>
          <w:sz w:val="22"/>
          <w:szCs w:val="22"/>
          <w:highlight w:val="yellow"/>
        </w:rPr>
        <w:t>].</w:t>
      </w:r>
    </w:p>
    <w:p w:rsidR="00E30E7D" w:rsidRPr="00ED493F" w:rsidRDefault="00E30E7D" w:rsidP="00E30E7D">
      <w:pPr>
        <w:spacing w:line="360" w:lineRule="auto"/>
        <w:rPr>
          <w:rFonts w:asciiTheme="minorHAnsi" w:hAnsiTheme="minorHAnsi"/>
          <w:color w:val="000000"/>
          <w:sz w:val="22"/>
          <w:szCs w:val="22"/>
          <w:highlight w:val="yellow"/>
        </w:rPr>
      </w:pPr>
    </w:p>
    <w:p w:rsidR="00E30E7D" w:rsidRDefault="00E30E7D" w:rsidP="00E30E7D">
      <w:pPr>
        <w:spacing w:line="360" w:lineRule="auto"/>
        <w:rPr>
          <w:rFonts w:asciiTheme="minorHAnsi" w:hAnsiTheme="minorHAnsi"/>
          <w:color w:val="000000"/>
          <w:sz w:val="22"/>
          <w:szCs w:val="22"/>
        </w:rPr>
      </w:pPr>
      <w:r w:rsidRPr="00ED493F">
        <w:rPr>
          <w:rFonts w:asciiTheme="minorHAnsi" w:hAnsiTheme="minorHAnsi"/>
          <w:color w:val="000000"/>
          <w:sz w:val="22"/>
          <w:szCs w:val="22"/>
          <w:highlight w:val="yellow"/>
        </w:rPr>
        <w:t>Healthcare providers and other individuals (e.g., parents) call PCs to report C</w:t>
      </w:r>
      <w:r>
        <w:rPr>
          <w:rFonts w:asciiTheme="minorHAnsi" w:hAnsiTheme="minorHAnsi"/>
          <w:color w:val="000000"/>
          <w:sz w:val="22"/>
          <w:szCs w:val="22"/>
          <w:highlight w:val="yellow"/>
        </w:rPr>
        <w:t>O</w:t>
      </w:r>
      <w:r w:rsidRPr="00ED493F">
        <w:rPr>
          <w:rFonts w:asciiTheme="minorHAnsi" w:hAnsiTheme="minorHAnsi"/>
          <w:color w:val="000000"/>
          <w:sz w:val="22"/>
          <w:szCs w:val="22"/>
          <w:highlight w:val="yellow"/>
        </w:rPr>
        <w:t xml:space="preserve"> Poisoning cases and these cases get reported through NPDS. Despite this effort, the cases reported do not reflect the entire universe of reportable C</w:t>
      </w:r>
      <w:r>
        <w:rPr>
          <w:rFonts w:asciiTheme="minorHAnsi" w:hAnsiTheme="minorHAnsi"/>
          <w:color w:val="000000"/>
          <w:sz w:val="22"/>
          <w:szCs w:val="22"/>
          <w:highlight w:val="yellow"/>
        </w:rPr>
        <w:t>O P</w:t>
      </w:r>
      <w:r w:rsidRPr="00ED493F">
        <w:rPr>
          <w:rFonts w:asciiTheme="minorHAnsi" w:hAnsiTheme="minorHAnsi"/>
          <w:color w:val="000000"/>
          <w:sz w:val="22"/>
          <w:szCs w:val="22"/>
          <w:highlight w:val="yellow"/>
        </w:rPr>
        <w:t>oisoning cases in the US. In jurisdictions where C</w:t>
      </w:r>
      <w:r>
        <w:rPr>
          <w:rFonts w:asciiTheme="minorHAnsi" w:hAnsiTheme="minorHAnsi"/>
          <w:color w:val="000000"/>
          <w:sz w:val="22"/>
          <w:szCs w:val="22"/>
          <w:highlight w:val="yellow"/>
        </w:rPr>
        <w:t>O P</w:t>
      </w:r>
      <w:r w:rsidRPr="00ED493F">
        <w:rPr>
          <w:rFonts w:asciiTheme="minorHAnsi" w:hAnsiTheme="minorHAnsi"/>
          <w:color w:val="000000"/>
          <w:sz w:val="22"/>
          <w:szCs w:val="22"/>
          <w:highlight w:val="yellow"/>
        </w:rPr>
        <w:t>oisoning is reportable, PCs will report to a jurisdiction health department. Jurisdiction health departments also receive C</w:t>
      </w:r>
      <w:r>
        <w:rPr>
          <w:rFonts w:asciiTheme="minorHAnsi" w:hAnsiTheme="minorHAnsi"/>
          <w:color w:val="000000"/>
          <w:sz w:val="22"/>
          <w:szCs w:val="22"/>
          <w:highlight w:val="yellow"/>
        </w:rPr>
        <w:t>O</w:t>
      </w:r>
      <w:r w:rsidRPr="00ED493F">
        <w:rPr>
          <w:rFonts w:asciiTheme="minorHAnsi" w:hAnsiTheme="minorHAnsi"/>
          <w:color w:val="000000"/>
          <w:sz w:val="22"/>
          <w:szCs w:val="22"/>
          <w:highlight w:val="yellow"/>
        </w:rPr>
        <w:t xml:space="preserve"> Poisoning case reports from other sources such as laboratories and medical examiners. These sources may not report a case of C</w:t>
      </w:r>
      <w:r>
        <w:rPr>
          <w:rFonts w:asciiTheme="minorHAnsi" w:hAnsiTheme="minorHAnsi"/>
          <w:color w:val="000000"/>
          <w:sz w:val="22"/>
          <w:szCs w:val="22"/>
          <w:highlight w:val="yellow"/>
        </w:rPr>
        <w:t>O P</w:t>
      </w:r>
      <w:r w:rsidRPr="00ED493F">
        <w:rPr>
          <w:rFonts w:asciiTheme="minorHAnsi" w:hAnsiTheme="minorHAnsi"/>
          <w:color w:val="000000"/>
          <w:sz w:val="22"/>
          <w:szCs w:val="22"/>
          <w:highlight w:val="yellow"/>
        </w:rPr>
        <w:t>oisoning to a PC and therefore, these cases would not be captured in NPDS. Furthermore, the cases in NPDS do not have all of the required data elements CDC needs to conduct C</w:t>
      </w:r>
      <w:r>
        <w:rPr>
          <w:rFonts w:asciiTheme="minorHAnsi" w:hAnsiTheme="minorHAnsi"/>
          <w:color w:val="000000"/>
          <w:sz w:val="22"/>
          <w:szCs w:val="22"/>
          <w:highlight w:val="yellow"/>
        </w:rPr>
        <w:t xml:space="preserve">O </w:t>
      </w:r>
      <w:r w:rsidRPr="00ED493F">
        <w:rPr>
          <w:rFonts w:asciiTheme="minorHAnsi" w:hAnsiTheme="minorHAnsi"/>
          <w:color w:val="000000"/>
          <w:sz w:val="22"/>
          <w:szCs w:val="22"/>
          <w:highlight w:val="yellow"/>
        </w:rPr>
        <w:t xml:space="preserve">Poisoning surveillance.  </w:t>
      </w:r>
    </w:p>
    <w:p w:rsidR="00E30E7D" w:rsidRDefault="00E30E7D" w:rsidP="00E30E7D">
      <w:pPr>
        <w:spacing w:line="360" w:lineRule="auto"/>
        <w:rPr>
          <w:rFonts w:asciiTheme="minorHAnsi" w:hAnsiTheme="minorHAnsi"/>
          <w:color w:val="000000"/>
          <w:sz w:val="22"/>
          <w:szCs w:val="22"/>
        </w:rPr>
      </w:pPr>
    </w:p>
    <w:p w:rsidR="00E30E7D" w:rsidRPr="00246CD5" w:rsidRDefault="00E30E7D" w:rsidP="00E30E7D">
      <w:pPr>
        <w:spacing w:line="360" w:lineRule="auto"/>
        <w:rPr>
          <w:rFonts w:asciiTheme="minorHAnsi" w:hAnsiTheme="minorHAnsi"/>
          <w:b/>
          <w:color w:val="000000"/>
          <w:sz w:val="22"/>
          <w:szCs w:val="22"/>
        </w:rPr>
      </w:pPr>
      <w:r w:rsidRPr="00EE6EE6">
        <w:rPr>
          <w:rFonts w:asciiTheme="minorHAnsi" w:hAnsiTheme="minorHAnsi"/>
          <w:color w:val="000000"/>
          <w:sz w:val="22"/>
          <w:szCs w:val="22"/>
          <w:highlight w:val="yellow"/>
        </w:rPr>
        <w:t>CSTE issued a position statement in 2018 that recommended that states notify CDC directly of CO Poisoning cases. (</w:t>
      </w:r>
      <w:hyperlink r:id="rId14" w:history="1">
        <w:r w:rsidRPr="00EE6EE6">
          <w:rPr>
            <w:rStyle w:val="Hyperlink"/>
            <w:rFonts w:asciiTheme="minorHAnsi" w:hAnsiTheme="minorHAnsi"/>
            <w:sz w:val="22"/>
            <w:szCs w:val="22"/>
            <w:highlight w:val="yellow"/>
          </w:rPr>
          <w:t>https://cdn.ymaws.com/www.cste.org/resource/resmgr/2018_position_statements/18-EH-01.pdf</w:t>
        </w:r>
      </w:hyperlink>
      <w:r w:rsidRPr="00B942C7">
        <w:rPr>
          <w:rFonts w:asciiTheme="minorHAnsi" w:hAnsiTheme="minorHAnsi"/>
          <w:color w:val="000000"/>
          <w:sz w:val="22"/>
          <w:szCs w:val="22"/>
          <w:highlight w:val="yellow"/>
        </w:rPr>
        <w:t>). This position statement says that “</w:t>
      </w:r>
      <w:r w:rsidR="00E53AAC" w:rsidRPr="00246CD5">
        <w:rPr>
          <w:rFonts w:asciiTheme="minorHAnsi" w:hAnsiTheme="minorHAnsi"/>
          <w:color w:val="000000"/>
          <w:sz w:val="22"/>
          <w:szCs w:val="22"/>
          <w:highlight w:val="yellow"/>
        </w:rPr>
        <w:t>CSTE recommends that all States and Territories enact laws (statue or rule/regulation as appropriate) to make this disease or condition reportable in their jurisdiction.</w:t>
      </w:r>
      <w:r w:rsidR="00DD5118">
        <w:rPr>
          <w:rFonts w:asciiTheme="minorHAnsi" w:hAnsiTheme="minorHAnsi"/>
          <w:color w:val="000000"/>
          <w:sz w:val="22"/>
          <w:szCs w:val="22"/>
        </w:rPr>
        <w:t xml:space="preserve"> </w:t>
      </w:r>
      <w:r w:rsidR="00DD5118" w:rsidRPr="00DD5118">
        <w:rPr>
          <w:rFonts w:asciiTheme="minorHAnsi" w:hAnsiTheme="minorHAnsi"/>
          <w:color w:val="000000"/>
          <w:sz w:val="22"/>
          <w:szCs w:val="22"/>
          <w:highlight w:val="yellow"/>
        </w:rPr>
        <w:t>J</w:t>
      </w:r>
      <w:r w:rsidRPr="00B942C7">
        <w:rPr>
          <w:rFonts w:asciiTheme="minorHAnsi" w:hAnsiTheme="minorHAnsi"/>
          <w:color w:val="000000"/>
          <w:sz w:val="22"/>
          <w:szCs w:val="22"/>
          <w:highlight w:val="yellow"/>
        </w:rPr>
        <w:t xml:space="preserve">urisdictions (e.g. States and Territories) conducting surveillance (according to these methods) should submit case notifications to CDC.”  </w:t>
      </w:r>
    </w:p>
    <w:tbl>
      <w:tblPr>
        <w:tblStyle w:val="TableGrid"/>
        <w:tblW w:w="9180" w:type="dxa"/>
        <w:tblInd w:w="85" w:type="dxa"/>
        <w:tblLook w:val="04A0" w:firstRow="1" w:lastRow="0" w:firstColumn="1" w:lastColumn="0" w:noHBand="0" w:noVBand="1"/>
      </w:tblPr>
      <w:tblGrid>
        <w:gridCol w:w="2880"/>
        <w:gridCol w:w="6300"/>
      </w:tblGrid>
      <w:tr w:rsidR="00E30E7D" w:rsidRPr="00192121" w:rsidTr="000677F3">
        <w:tc>
          <w:tcPr>
            <w:tcW w:w="2880" w:type="dxa"/>
          </w:tcPr>
          <w:p w:rsidR="00E30E7D" w:rsidRPr="00192121" w:rsidRDefault="00E30E7D" w:rsidP="000677F3">
            <w:pPr>
              <w:rPr>
                <w:b/>
                <w:sz w:val="22"/>
                <w:szCs w:val="22"/>
              </w:rPr>
            </w:pPr>
            <w:r w:rsidRPr="00192121">
              <w:rPr>
                <w:b/>
                <w:sz w:val="22"/>
                <w:szCs w:val="22"/>
              </w:rPr>
              <w:t>CO Poisoning</w:t>
            </w:r>
          </w:p>
        </w:tc>
        <w:tc>
          <w:tcPr>
            <w:tcW w:w="6300" w:type="dxa"/>
          </w:tcPr>
          <w:p w:rsidR="00E30E7D" w:rsidRPr="00192121" w:rsidRDefault="00E30E7D" w:rsidP="000677F3">
            <w:pPr>
              <w:rPr>
                <w:sz w:val="22"/>
                <w:szCs w:val="22"/>
              </w:rPr>
            </w:pPr>
          </w:p>
        </w:tc>
      </w:tr>
      <w:tr w:rsidR="00E30E7D" w:rsidRPr="00192121" w:rsidTr="000677F3">
        <w:tc>
          <w:tcPr>
            <w:tcW w:w="2880" w:type="dxa"/>
          </w:tcPr>
          <w:p w:rsidR="00E30E7D" w:rsidRPr="00192121" w:rsidRDefault="00E30E7D" w:rsidP="000677F3">
            <w:pPr>
              <w:rPr>
                <w:sz w:val="22"/>
                <w:szCs w:val="22"/>
              </w:rPr>
            </w:pPr>
            <w:r w:rsidRPr="00192121">
              <w:rPr>
                <w:sz w:val="22"/>
                <w:szCs w:val="22"/>
              </w:rPr>
              <w:t>The impetus/urgency for CDC to institute case notification and data elements for this condition</w:t>
            </w:r>
          </w:p>
          <w:p w:rsidR="00E30E7D" w:rsidRPr="00192121" w:rsidRDefault="00E30E7D" w:rsidP="000677F3">
            <w:pPr>
              <w:rPr>
                <w:b/>
                <w:sz w:val="22"/>
                <w:szCs w:val="22"/>
              </w:rPr>
            </w:pPr>
          </w:p>
        </w:tc>
        <w:tc>
          <w:tcPr>
            <w:tcW w:w="6300" w:type="dxa"/>
          </w:tcPr>
          <w:p w:rsidR="00E30E7D" w:rsidRPr="00192121" w:rsidRDefault="00E30E7D" w:rsidP="000677F3">
            <w:pPr>
              <w:pStyle w:val="ListParagraph"/>
              <w:numPr>
                <w:ilvl w:val="0"/>
                <w:numId w:val="31"/>
              </w:numPr>
              <w:contextualSpacing/>
              <w:rPr>
                <w:sz w:val="22"/>
                <w:szCs w:val="22"/>
              </w:rPr>
            </w:pPr>
            <w:r w:rsidRPr="00192121">
              <w:rPr>
                <w:sz w:val="22"/>
                <w:szCs w:val="22"/>
              </w:rPr>
              <w:t xml:space="preserve">No </w:t>
            </w:r>
            <w:r>
              <w:rPr>
                <w:sz w:val="22"/>
                <w:szCs w:val="22"/>
              </w:rPr>
              <w:t xml:space="preserve">current </w:t>
            </w:r>
            <w:r w:rsidRPr="00192121">
              <w:rPr>
                <w:sz w:val="22"/>
                <w:szCs w:val="22"/>
              </w:rPr>
              <w:t xml:space="preserve">national surveillance </w:t>
            </w:r>
            <w:r>
              <w:rPr>
                <w:sz w:val="22"/>
                <w:szCs w:val="22"/>
              </w:rPr>
              <w:t xml:space="preserve">system </w:t>
            </w:r>
            <w:r w:rsidRPr="00192121">
              <w:rPr>
                <w:sz w:val="22"/>
                <w:szCs w:val="22"/>
              </w:rPr>
              <w:t xml:space="preserve">for intentional cases </w:t>
            </w:r>
          </w:p>
          <w:p w:rsidR="00E30E7D" w:rsidRPr="00192121" w:rsidRDefault="00E30E7D" w:rsidP="000677F3">
            <w:pPr>
              <w:pStyle w:val="ListParagraph"/>
              <w:numPr>
                <w:ilvl w:val="0"/>
                <w:numId w:val="31"/>
              </w:numPr>
              <w:contextualSpacing/>
              <w:rPr>
                <w:sz w:val="22"/>
                <w:szCs w:val="22"/>
              </w:rPr>
            </w:pPr>
            <w:r w:rsidRPr="00192121">
              <w:rPr>
                <w:sz w:val="22"/>
                <w:szCs w:val="22"/>
              </w:rPr>
              <w:t>Incomplete national surveillance for nonintentional cases</w:t>
            </w:r>
          </w:p>
          <w:p w:rsidR="00E30E7D" w:rsidRPr="00192121" w:rsidRDefault="00E30E7D" w:rsidP="000677F3">
            <w:pPr>
              <w:pStyle w:val="ListParagraph"/>
              <w:numPr>
                <w:ilvl w:val="0"/>
                <w:numId w:val="31"/>
              </w:numPr>
              <w:contextualSpacing/>
              <w:rPr>
                <w:sz w:val="22"/>
                <w:szCs w:val="22"/>
              </w:rPr>
            </w:pPr>
            <w:r w:rsidRPr="00192121">
              <w:rPr>
                <w:sz w:val="22"/>
                <w:szCs w:val="22"/>
              </w:rPr>
              <w:t>One of the leading causes of injuries in the aftermath of extreme weather events (e.g., tornadoes, hurricanes, winter storms); case notifications would be valuable to capture before and during these events</w:t>
            </w:r>
          </w:p>
          <w:p w:rsidR="00E30E7D" w:rsidRPr="00192121" w:rsidRDefault="00E30E7D" w:rsidP="000677F3">
            <w:pPr>
              <w:pStyle w:val="ListParagraph"/>
              <w:rPr>
                <w:sz w:val="22"/>
                <w:szCs w:val="22"/>
              </w:rPr>
            </w:pPr>
          </w:p>
        </w:tc>
      </w:tr>
      <w:tr w:rsidR="00E30E7D" w:rsidRPr="00192121" w:rsidTr="000677F3">
        <w:trPr>
          <w:trHeight w:val="1025"/>
        </w:trPr>
        <w:tc>
          <w:tcPr>
            <w:tcW w:w="2880" w:type="dxa"/>
          </w:tcPr>
          <w:p w:rsidR="00E30E7D" w:rsidRPr="00192121" w:rsidRDefault="00E30E7D" w:rsidP="000677F3">
            <w:pPr>
              <w:rPr>
                <w:sz w:val="22"/>
                <w:szCs w:val="22"/>
              </w:rPr>
            </w:pPr>
            <w:r w:rsidRPr="00192121">
              <w:rPr>
                <w:sz w:val="22"/>
                <w:szCs w:val="22"/>
              </w:rPr>
              <w:t>Existing sources of data (Federal, non-federal, private, etc.) and what those sources say about approximate national incidence and/or prevalence of the condition</w:t>
            </w:r>
          </w:p>
          <w:p w:rsidR="00E30E7D" w:rsidRPr="00192121" w:rsidRDefault="00E30E7D" w:rsidP="000677F3">
            <w:pPr>
              <w:rPr>
                <w:sz w:val="22"/>
                <w:szCs w:val="22"/>
              </w:rPr>
            </w:pPr>
          </w:p>
        </w:tc>
        <w:tc>
          <w:tcPr>
            <w:tcW w:w="6300" w:type="dxa"/>
          </w:tcPr>
          <w:p w:rsidR="00E30E7D" w:rsidRPr="00192121" w:rsidRDefault="00E30E7D" w:rsidP="000677F3">
            <w:pPr>
              <w:pStyle w:val="ListParagraph"/>
              <w:numPr>
                <w:ilvl w:val="0"/>
                <w:numId w:val="35"/>
              </w:numPr>
              <w:contextualSpacing/>
              <w:rPr>
                <w:sz w:val="22"/>
                <w:szCs w:val="22"/>
              </w:rPr>
            </w:pPr>
            <w:r w:rsidRPr="00192121">
              <w:rPr>
                <w:sz w:val="22"/>
                <w:szCs w:val="22"/>
              </w:rPr>
              <w:t>Annual age-adjusted rate of CO poisoning in the United States is 1.46 deaths/million for unintentional, non-fire related CO poisoning [National Center for Health Statistics</w:t>
            </w:r>
            <w:r>
              <w:rPr>
                <w:sz w:val="22"/>
                <w:szCs w:val="22"/>
              </w:rPr>
              <w:t>’</w:t>
            </w:r>
            <w:r w:rsidRPr="00192121">
              <w:rPr>
                <w:sz w:val="22"/>
                <w:szCs w:val="22"/>
              </w:rPr>
              <w:t xml:space="preserve"> National Vital Statistics System, 1999 - 2012]</w:t>
            </w:r>
          </w:p>
          <w:p w:rsidR="00E30E7D" w:rsidRPr="00192121" w:rsidRDefault="00E30E7D" w:rsidP="000677F3">
            <w:pPr>
              <w:pStyle w:val="ListParagraph"/>
              <w:numPr>
                <w:ilvl w:val="0"/>
                <w:numId w:val="35"/>
              </w:numPr>
              <w:contextualSpacing/>
              <w:rPr>
                <w:sz w:val="22"/>
                <w:szCs w:val="22"/>
              </w:rPr>
            </w:pPr>
            <w:r w:rsidRPr="00192121">
              <w:rPr>
                <w:sz w:val="22"/>
                <w:szCs w:val="22"/>
              </w:rPr>
              <w:t>23.2 per 1 million population from 2000 – 2009 [unintentional only, National Poison Data System (NPDS)]</w:t>
            </w:r>
          </w:p>
          <w:p w:rsidR="00E30E7D" w:rsidRPr="00192121" w:rsidRDefault="00E30E7D" w:rsidP="000677F3">
            <w:pPr>
              <w:pStyle w:val="ListParagraph"/>
              <w:numPr>
                <w:ilvl w:val="0"/>
                <w:numId w:val="35"/>
              </w:numPr>
              <w:contextualSpacing/>
              <w:rPr>
                <w:sz w:val="22"/>
                <w:szCs w:val="22"/>
              </w:rPr>
            </w:pPr>
            <w:r w:rsidRPr="00192121">
              <w:rPr>
                <w:sz w:val="22"/>
                <w:szCs w:val="22"/>
              </w:rPr>
              <w:t>4.1 cases/million people admitted to hospitals for unintentional, non-fire related CO poisoning [Nationwide Inpatient and Emergency Department Sample of the Hospitalization Cost and Utilization Project,  2003 – 2013]</w:t>
            </w:r>
          </w:p>
          <w:p w:rsidR="00E30E7D" w:rsidRPr="00192121" w:rsidRDefault="00E30E7D" w:rsidP="000677F3">
            <w:pPr>
              <w:pStyle w:val="ListParagraph"/>
              <w:numPr>
                <w:ilvl w:val="0"/>
                <w:numId w:val="35"/>
              </w:numPr>
              <w:contextualSpacing/>
              <w:rPr>
                <w:sz w:val="22"/>
                <w:szCs w:val="22"/>
              </w:rPr>
            </w:pPr>
            <w:r w:rsidRPr="00192121">
              <w:rPr>
                <w:sz w:val="22"/>
                <w:szCs w:val="22"/>
              </w:rPr>
              <w:t>1,018 unintentional (fire, non-fire, unknown) inpatient cases from 28 states and 6,774 emergency department visits (fire, non-fire, unknown) from 17 states [Environmental Public Health Tracking Network (EPHTN), 2007]</w:t>
            </w:r>
          </w:p>
          <w:p w:rsidR="00E30E7D" w:rsidRPr="00192121" w:rsidRDefault="00E30E7D" w:rsidP="000677F3">
            <w:pPr>
              <w:pStyle w:val="ListParagraph"/>
              <w:numPr>
                <w:ilvl w:val="0"/>
                <w:numId w:val="35"/>
              </w:numPr>
              <w:contextualSpacing/>
              <w:rPr>
                <w:sz w:val="22"/>
                <w:szCs w:val="22"/>
              </w:rPr>
            </w:pPr>
            <w:r w:rsidRPr="00192121">
              <w:rPr>
                <w:sz w:val="22"/>
                <w:szCs w:val="22"/>
              </w:rPr>
              <w:t>Over 230,000 ED visits (772 visits/million) and over 22,000 hospitalizations (75 stays/million) were related to confirmed, probable, and expected cases of unintentional, non-fire-related CO poisoning [Nationwide Inpatient and Emergency Department Sample of the Hospitalization Cost and Utilization Project, 2007]</w:t>
            </w:r>
          </w:p>
          <w:p w:rsidR="00E30E7D" w:rsidRPr="00192121" w:rsidRDefault="00E30E7D" w:rsidP="000677F3">
            <w:pPr>
              <w:pStyle w:val="ListParagraph"/>
              <w:numPr>
                <w:ilvl w:val="1"/>
                <w:numId w:val="35"/>
              </w:numPr>
              <w:contextualSpacing/>
              <w:rPr>
                <w:sz w:val="22"/>
                <w:szCs w:val="22"/>
              </w:rPr>
            </w:pPr>
            <w:r w:rsidRPr="00192121">
              <w:rPr>
                <w:sz w:val="22"/>
                <w:szCs w:val="22"/>
              </w:rPr>
              <w:t>2,302 hospitalizations (8 stays/million) were confirmed cases of unintentional non-fire CO poisoning [Nationwide Inpatient and Emergency Department Sample of the Hospitalization Cost and Utilization Project, 2007]</w:t>
            </w:r>
          </w:p>
        </w:tc>
      </w:tr>
      <w:tr w:rsidR="00E30E7D" w:rsidRPr="00192121" w:rsidTr="000677F3">
        <w:tc>
          <w:tcPr>
            <w:tcW w:w="2880" w:type="dxa"/>
          </w:tcPr>
          <w:p w:rsidR="00E30E7D" w:rsidRPr="00192121" w:rsidRDefault="00E30E7D" w:rsidP="000677F3">
            <w:pPr>
              <w:rPr>
                <w:sz w:val="22"/>
                <w:szCs w:val="22"/>
              </w:rPr>
            </w:pPr>
            <w:r w:rsidRPr="00192121">
              <w:rPr>
                <w:sz w:val="22"/>
                <w:szCs w:val="22"/>
              </w:rPr>
              <w:t>Incremental coverage provided by adding the condition to NNDSS (how CDC will use additional precision)</w:t>
            </w:r>
          </w:p>
          <w:p w:rsidR="00E30E7D" w:rsidRPr="00192121" w:rsidRDefault="00E30E7D" w:rsidP="000677F3">
            <w:pPr>
              <w:rPr>
                <w:sz w:val="22"/>
                <w:szCs w:val="22"/>
              </w:rPr>
            </w:pPr>
          </w:p>
        </w:tc>
        <w:tc>
          <w:tcPr>
            <w:tcW w:w="6300" w:type="dxa"/>
          </w:tcPr>
          <w:p w:rsidR="00E30E7D" w:rsidRPr="00192121" w:rsidRDefault="00E30E7D" w:rsidP="000677F3">
            <w:pPr>
              <w:pStyle w:val="ListParagraph"/>
              <w:numPr>
                <w:ilvl w:val="0"/>
                <w:numId w:val="36"/>
              </w:numPr>
              <w:contextualSpacing/>
              <w:rPr>
                <w:sz w:val="22"/>
                <w:szCs w:val="22"/>
              </w:rPr>
            </w:pPr>
            <w:r w:rsidRPr="00192121">
              <w:rPr>
                <w:sz w:val="22"/>
                <w:szCs w:val="22"/>
              </w:rPr>
              <w:t>Estimates of incremental coverage of CO poisoning by data source:</w:t>
            </w:r>
          </w:p>
          <w:p w:rsidR="00BB6F11" w:rsidRDefault="00E30E7D" w:rsidP="00BB6F11">
            <w:pPr>
              <w:pStyle w:val="ListParagraph"/>
              <w:numPr>
                <w:ilvl w:val="0"/>
                <w:numId w:val="37"/>
              </w:numPr>
              <w:contextualSpacing/>
              <w:rPr>
                <w:sz w:val="22"/>
                <w:szCs w:val="22"/>
              </w:rPr>
            </w:pPr>
            <w:r w:rsidRPr="00192121">
              <w:rPr>
                <w:sz w:val="22"/>
                <w:szCs w:val="22"/>
              </w:rPr>
              <w:t>Mortality data: Adding NNDSS will yield nearly 100% coverage</w:t>
            </w:r>
            <w:r w:rsidR="00BB6F11">
              <w:rPr>
                <w:sz w:val="22"/>
                <w:szCs w:val="22"/>
              </w:rPr>
              <w:t xml:space="preserve"> as</w:t>
            </w:r>
            <w:r w:rsidR="00BB6F11">
              <w:t xml:space="preserve"> </w:t>
            </w:r>
            <w:r w:rsidR="00BB6F11" w:rsidRPr="00BB6F11">
              <w:rPr>
                <w:sz w:val="22"/>
                <w:szCs w:val="22"/>
              </w:rPr>
              <w:t>deaths are only a small fraction of cases</w:t>
            </w:r>
          </w:p>
          <w:p w:rsidR="00E30E7D" w:rsidRPr="00192121" w:rsidRDefault="00BB6F11" w:rsidP="00BB6F11">
            <w:pPr>
              <w:pStyle w:val="ListParagraph"/>
              <w:numPr>
                <w:ilvl w:val="0"/>
                <w:numId w:val="37"/>
              </w:numPr>
              <w:contextualSpacing/>
              <w:rPr>
                <w:sz w:val="22"/>
                <w:szCs w:val="22"/>
              </w:rPr>
            </w:pPr>
            <w:r w:rsidRPr="00BB6F11">
              <w:rPr>
                <w:sz w:val="22"/>
                <w:szCs w:val="22"/>
              </w:rPr>
              <w:t xml:space="preserve"> A community-based system is needed to id</w:t>
            </w:r>
            <w:r>
              <w:rPr>
                <w:sz w:val="22"/>
                <w:szCs w:val="22"/>
              </w:rPr>
              <w:t xml:space="preserve">entify the non-fatal poisonings </w:t>
            </w:r>
            <w:r w:rsidR="00FF734C">
              <w:rPr>
                <w:sz w:val="22"/>
                <w:szCs w:val="22"/>
              </w:rPr>
              <w:t>in a timely fashion</w:t>
            </w:r>
          </w:p>
          <w:p w:rsidR="00E30E7D" w:rsidRPr="00192121" w:rsidRDefault="00E30E7D" w:rsidP="000677F3">
            <w:pPr>
              <w:pStyle w:val="ListParagraph"/>
              <w:numPr>
                <w:ilvl w:val="0"/>
                <w:numId w:val="37"/>
              </w:numPr>
              <w:contextualSpacing/>
              <w:rPr>
                <w:sz w:val="22"/>
                <w:szCs w:val="22"/>
              </w:rPr>
            </w:pPr>
            <w:r w:rsidRPr="00192121">
              <w:rPr>
                <w:sz w:val="22"/>
                <w:szCs w:val="22"/>
              </w:rPr>
              <w:t>Hospital discharge and emergency department data: Adding NNDSS will significantly increase coverage but hard to estimate</w:t>
            </w:r>
          </w:p>
          <w:p w:rsidR="00E30E7D" w:rsidRPr="00192121" w:rsidRDefault="00E30E7D" w:rsidP="000677F3">
            <w:pPr>
              <w:pStyle w:val="ListParagraph"/>
              <w:numPr>
                <w:ilvl w:val="0"/>
                <w:numId w:val="37"/>
              </w:numPr>
              <w:contextualSpacing/>
              <w:rPr>
                <w:sz w:val="22"/>
                <w:szCs w:val="22"/>
              </w:rPr>
            </w:pPr>
            <w:r w:rsidRPr="00192121">
              <w:rPr>
                <w:sz w:val="22"/>
                <w:szCs w:val="22"/>
              </w:rPr>
              <w:t xml:space="preserve">National Poison Data System: Adding NNDSS will yield incremental coverage of 54% </w:t>
            </w:r>
          </w:p>
          <w:p w:rsidR="00E30E7D" w:rsidRPr="00192121" w:rsidRDefault="00E30E7D" w:rsidP="000677F3">
            <w:pPr>
              <w:pStyle w:val="ListParagraph"/>
              <w:numPr>
                <w:ilvl w:val="0"/>
                <w:numId w:val="37"/>
              </w:numPr>
              <w:contextualSpacing/>
              <w:rPr>
                <w:sz w:val="22"/>
                <w:szCs w:val="22"/>
              </w:rPr>
            </w:pPr>
            <w:r w:rsidRPr="00192121">
              <w:rPr>
                <w:sz w:val="22"/>
                <w:szCs w:val="22"/>
              </w:rPr>
              <w:t>Laboratory data: Adding NNDSS will increase coverage</w:t>
            </w:r>
            <w:r w:rsidR="00FF734C">
              <w:rPr>
                <w:sz w:val="22"/>
                <w:szCs w:val="22"/>
              </w:rPr>
              <w:t>, particularly for critical data elements not collected by national poison control centers</w:t>
            </w:r>
            <w:r w:rsidRPr="00192121">
              <w:rPr>
                <w:sz w:val="22"/>
                <w:szCs w:val="22"/>
              </w:rPr>
              <w:t xml:space="preserve">; most case notifications are expected to be from in-patient or emergency department visits </w:t>
            </w:r>
          </w:p>
          <w:p w:rsidR="00E30E7D" w:rsidRPr="00192121" w:rsidRDefault="00E30E7D" w:rsidP="000677F3">
            <w:pPr>
              <w:pStyle w:val="ListParagraph"/>
              <w:numPr>
                <w:ilvl w:val="0"/>
                <w:numId w:val="36"/>
              </w:numPr>
              <w:contextualSpacing/>
              <w:rPr>
                <w:sz w:val="22"/>
                <w:szCs w:val="22"/>
              </w:rPr>
            </w:pPr>
            <w:r w:rsidRPr="00192121">
              <w:rPr>
                <w:sz w:val="22"/>
                <w:szCs w:val="22"/>
              </w:rPr>
              <w:t>Expect to receive intentional CO poisoning cases through NNDSS</w:t>
            </w:r>
          </w:p>
          <w:p w:rsidR="00E30E7D" w:rsidRPr="00192121" w:rsidRDefault="00E30E7D" w:rsidP="000677F3">
            <w:pPr>
              <w:pStyle w:val="ListParagraph"/>
              <w:numPr>
                <w:ilvl w:val="0"/>
                <w:numId w:val="36"/>
              </w:numPr>
              <w:contextualSpacing/>
              <w:rPr>
                <w:sz w:val="22"/>
                <w:szCs w:val="22"/>
              </w:rPr>
            </w:pPr>
            <w:r w:rsidRPr="00192121">
              <w:rPr>
                <w:sz w:val="22"/>
                <w:szCs w:val="22"/>
              </w:rPr>
              <w:t>Data will be used to: target outreach activities to vulnerable groups (particularly during disasters) at increased risk for CO poisoning; understand the health consequences of CO poisoning across the United States; learn about the effects of long-term exposures to low levels of CO; monitor trends;  identify high risk groups; determine the impact of public health policy aimed at preventing CO poisoning</w:t>
            </w:r>
          </w:p>
          <w:p w:rsidR="00E30E7D" w:rsidRPr="00192121" w:rsidRDefault="00E30E7D" w:rsidP="000677F3">
            <w:pPr>
              <w:pStyle w:val="ListParagraph"/>
              <w:rPr>
                <w:sz w:val="22"/>
                <w:szCs w:val="22"/>
              </w:rPr>
            </w:pPr>
          </w:p>
        </w:tc>
      </w:tr>
      <w:tr w:rsidR="00E30E7D" w:rsidRPr="00192121" w:rsidTr="000677F3">
        <w:tc>
          <w:tcPr>
            <w:tcW w:w="2880" w:type="dxa"/>
          </w:tcPr>
          <w:p w:rsidR="00E30E7D" w:rsidRPr="00192121" w:rsidRDefault="00E30E7D" w:rsidP="000677F3">
            <w:pPr>
              <w:rPr>
                <w:sz w:val="22"/>
                <w:szCs w:val="22"/>
              </w:rPr>
            </w:pPr>
            <w:r w:rsidRPr="00192121">
              <w:rPr>
                <w:sz w:val="22"/>
                <w:szCs w:val="22"/>
              </w:rPr>
              <w:t xml:space="preserve">Number of states that currently require reporting of these conditions and data elements </w:t>
            </w:r>
          </w:p>
        </w:tc>
        <w:tc>
          <w:tcPr>
            <w:tcW w:w="6300" w:type="dxa"/>
          </w:tcPr>
          <w:p w:rsidR="00E30E7D" w:rsidRPr="00192121" w:rsidRDefault="00E30E7D" w:rsidP="000677F3">
            <w:pPr>
              <w:pStyle w:val="ListParagraph"/>
              <w:numPr>
                <w:ilvl w:val="0"/>
                <w:numId w:val="33"/>
              </w:numPr>
              <w:contextualSpacing/>
              <w:rPr>
                <w:sz w:val="22"/>
                <w:szCs w:val="22"/>
              </w:rPr>
            </w:pPr>
            <w:r w:rsidRPr="00192121">
              <w:rPr>
                <w:sz w:val="22"/>
                <w:szCs w:val="22"/>
              </w:rPr>
              <w:t xml:space="preserve">15 jurisdictions </w:t>
            </w:r>
          </w:p>
        </w:tc>
      </w:tr>
      <w:tr w:rsidR="00E30E7D" w:rsidRPr="00192121" w:rsidTr="000677F3">
        <w:tc>
          <w:tcPr>
            <w:tcW w:w="2880" w:type="dxa"/>
          </w:tcPr>
          <w:p w:rsidR="00E30E7D" w:rsidRPr="00192121" w:rsidRDefault="00E30E7D" w:rsidP="000677F3">
            <w:pPr>
              <w:rPr>
                <w:sz w:val="22"/>
                <w:szCs w:val="22"/>
              </w:rPr>
            </w:pPr>
            <w:r w:rsidRPr="00192121">
              <w:rPr>
                <w:sz w:val="22"/>
                <w:szCs w:val="22"/>
              </w:rPr>
              <w:t xml:space="preserve">The number of states anticipated to adopt if added to NNDSS and basis of estimate </w:t>
            </w:r>
          </w:p>
          <w:p w:rsidR="00E30E7D" w:rsidRPr="00192121" w:rsidRDefault="00E30E7D" w:rsidP="000677F3">
            <w:pPr>
              <w:ind w:left="720"/>
              <w:rPr>
                <w:sz w:val="22"/>
                <w:szCs w:val="22"/>
              </w:rPr>
            </w:pPr>
            <w:r w:rsidRPr="00192121">
              <w:rPr>
                <w:sz w:val="22"/>
                <w:szCs w:val="22"/>
              </w:rPr>
              <w:t>Funding allocated specifically for a condition and/or additional elements (please list source where applicable)</w:t>
            </w:r>
          </w:p>
          <w:p w:rsidR="00E30E7D" w:rsidRPr="00192121" w:rsidRDefault="00E30E7D" w:rsidP="000677F3">
            <w:pPr>
              <w:rPr>
                <w:sz w:val="22"/>
                <w:szCs w:val="22"/>
              </w:rPr>
            </w:pPr>
          </w:p>
        </w:tc>
        <w:tc>
          <w:tcPr>
            <w:tcW w:w="6300" w:type="dxa"/>
          </w:tcPr>
          <w:p w:rsidR="00E30E7D" w:rsidRPr="00192121" w:rsidRDefault="00E30E7D" w:rsidP="000677F3">
            <w:pPr>
              <w:pStyle w:val="ListParagraph"/>
              <w:numPr>
                <w:ilvl w:val="0"/>
                <w:numId w:val="33"/>
              </w:numPr>
              <w:contextualSpacing/>
              <w:rPr>
                <w:sz w:val="22"/>
                <w:szCs w:val="22"/>
              </w:rPr>
            </w:pPr>
            <w:r w:rsidRPr="00192121">
              <w:rPr>
                <w:sz w:val="22"/>
                <w:szCs w:val="22"/>
              </w:rPr>
              <w:t>All 15 jurisdictions</w:t>
            </w:r>
          </w:p>
          <w:p w:rsidR="00E30E7D" w:rsidRPr="00192121" w:rsidRDefault="00E30E7D" w:rsidP="000677F3">
            <w:pPr>
              <w:pStyle w:val="ListParagraph"/>
              <w:numPr>
                <w:ilvl w:val="1"/>
                <w:numId w:val="33"/>
              </w:numPr>
              <w:contextualSpacing/>
              <w:rPr>
                <w:sz w:val="22"/>
                <w:szCs w:val="22"/>
              </w:rPr>
            </w:pPr>
            <w:r w:rsidRPr="00192121">
              <w:rPr>
                <w:rFonts w:cstheme="minorHAnsi"/>
                <w:sz w:val="22"/>
                <w:szCs w:val="22"/>
              </w:rPr>
              <w:t>Enhancing Innovation and Capabilities of the Environmental Public Health Tracking Network  Cooperative Agreement</w:t>
            </w:r>
          </w:p>
          <w:p w:rsidR="00E30E7D" w:rsidRPr="00192121" w:rsidRDefault="00E30E7D" w:rsidP="000677F3">
            <w:pPr>
              <w:pStyle w:val="ListParagraph"/>
              <w:ind w:left="1440"/>
              <w:rPr>
                <w:sz w:val="22"/>
                <w:szCs w:val="22"/>
              </w:rPr>
            </w:pPr>
          </w:p>
        </w:tc>
      </w:tr>
      <w:tr w:rsidR="00E30E7D" w:rsidRPr="00192121" w:rsidTr="000677F3">
        <w:tc>
          <w:tcPr>
            <w:tcW w:w="2880" w:type="dxa"/>
          </w:tcPr>
          <w:p w:rsidR="00E30E7D" w:rsidRPr="00192121" w:rsidRDefault="00E30E7D" w:rsidP="000677F3">
            <w:pPr>
              <w:rPr>
                <w:sz w:val="22"/>
                <w:szCs w:val="22"/>
              </w:rPr>
            </w:pPr>
            <w:r w:rsidRPr="00192121">
              <w:rPr>
                <w:sz w:val="22"/>
                <w:szCs w:val="22"/>
              </w:rPr>
              <w:t>Anticipated frequency of reporting to CDC</w:t>
            </w:r>
          </w:p>
        </w:tc>
        <w:tc>
          <w:tcPr>
            <w:tcW w:w="6300" w:type="dxa"/>
          </w:tcPr>
          <w:p w:rsidR="00E30E7D" w:rsidRPr="00192121" w:rsidRDefault="00E30E7D" w:rsidP="000677F3">
            <w:pPr>
              <w:pStyle w:val="ListParagraph"/>
              <w:numPr>
                <w:ilvl w:val="0"/>
                <w:numId w:val="32"/>
              </w:numPr>
              <w:contextualSpacing/>
              <w:rPr>
                <w:sz w:val="22"/>
                <w:szCs w:val="22"/>
              </w:rPr>
            </w:pPr>
            <w:r w:rsidRPr="00192121">
              <w:rPr>
                <w:sz w:val="22"/>
                <w:szCs w:val="22"/>
              </w:rPr>
              <w:t>Monthly</w:t>
            </w:r>
          </w:p>
        </w:tc>
      </w:tr>
      <w:tr w:rsidR="00E30E7D" w:rsidRPr="00192121" w:rsidTr="000677F3">
        <w:trPr>
          <w:trHeight w:val="1430"/>
        </w:trPr>
        <w:tc>
          <w:tcPr>
            <w:tcW w:w="2880" w:type="dxa"/>
          </w:tcPr>
          <w:p w:rsidR="00E30E7D" w:rsidRPr="00192121" w:rsidRDefault="00E30E7D" w:rsidP="000677F3">
            <w:pPr>
              <w:rPr>
                <w:sz w:val="22"/>
                <w:szCs w:val="22"/>
              </w:rPr>
            </w:pPr>
            <w:r w:rsidRPr="00192121">
              <w:rPr>
                <w:sz w:val="22"/>
                <w:szCs w:val="22"/>
              </w:rPr>
              <w:t>Based on the above information, what is the proposed priority associated with condition</w:t>
            </w:r>
          </w:p>
        </w:tc>
        <w:tc>
          <w:tcPr>
            <w:tcW w:w="6300" w:type="dxa"/>
          </w:tcPr>
          <w:p w:rsidR="00E30E7D" w:rsidRPr="00D26C76" w:rsidRDefault="00DE1D5A" w:rsidP="00DE1D5A">
            <w:pPr>
              <w:numPr>
                <w:ilvl w:val="0"/>
                <w:numId w:val="32"/>
              </w:numPr>
              <w:spacing w:after="160" w:line="259" w:lineRule="auto"/>
              <w:contextualSpacing/>
              <w:rPr>
                <w:sz w:val="22"/>
                <w:szCs w:val="22"/>
              </w:rPr>
            </w:pPr>
            <w:r w:rsidRPr="00DE1D5A">
              <w:rPr>
                <w:sz w:val="22"/>
                <w:szCs w:val="22"/>
              </w:rPr>
              <w:t xml:space="preserve">States will determine the priority of adding this collection. </w:t>
            </w:r>
          </w:p>
          <w:p w:rsidR="00E30E7D" w:rsidRPr="00192121" w:rsidRDefault="00E30E7D" w:rsidP="000677F3">
            <w:pPr>
              <w:pStyle w:val="ListParagraph"/>
              <w:contextualSpacing/>
              <w:rPr>
                <w:sz w:val="22"/>
                <w:szCs w:val="22"/>
              </w:rPr>
            </w:pPr>
          </w:p>
        </w:tc>
      </w:tr>
    </w:tbl>
    <w:p w:rsidR="00E30E7D" w:rsidRDefault="00E30E7D" w:rsidP="00E30E7D">
      <w:pPr>
        <w:spacing w:line="360" w:lineRule="auto"/>
        <w:contextualSpacing/>
        <w:rPr>
          <w:rFonts w:asciiTheme="minorHAnsi" w:eastAsiaTheme="minorHAnsi" w:hAnsiTheme="minorHAnsi" w:cstheme="minorHAnsi"/>
          <w:sz w:val="22"/>
          <w:szCs w:val="22"/>
          <w:highlight w:val="yellow"/>
        </w:rPr>
      </w:pPr>
    </w:p>
    <w:p w:rsidR="00E30E7D" w:rsidRPr="004D11D7" w:rsidRDefault="00E30E7D" w:rsidP="00E30E7D">
      <w:pPr>
        <w:spacing w:line="360" w:lineRule="auto"/>
        <w:contextualSpacing/>
        <w:rPr>
          <w:rFonts w:asciiTheme="minorHAnsi" w:eastAsiaTheme="minorHAnsi" w:hAnsiTheme="minorHAnsi" w:cstheme="minorHAnsi"/>
          <w:sz w:val="22"/>
          <w:szCs w:val="22"/>
          <w:highlight w:val="yellow"/>
        </w:rPr>
      </w:pPr>
      <w:r w:rsidRPr="004D11D7">
        <w:rPr>
          <w:rFonts w:asciiTheme="minorHAnsi" w:eastAsiaTheme="minorHAnsi" w:hAnsiTheme="minorHAnsi" w:cstheme="minorHAnsi"/>
          <w:sz w:val="22"/>
          <w:szCs w:val="22"/>
          <w:highlight w:val="yellow"/>
        </w:rPr>
        <w:t>TB</w:t>
      </w:r>
      <w:r>
        <w:rPr>
          <w:rFonts w:asciiTheme="minorHAnsi" w:eastAsiaTheme="minorHAnsi" w:hAnsiTheme="minorHAnsi" w:cstheme="minorHAnsi"/>
          <w:sz w:val="22"/>
          <w:szCs w:val="22"/>
          <w:highlight w:val="yellow"/>
        </w:rPr>
        <w:t xml:space="preserve"> Disease</w:t>
      </w:r>
    </w:p>
    <w:p w:rsidR="00E30E7D" w:rsidRDefault="00E30E7D" w:rsidP="00E30E7D">
      <w:pPr>
        <w:spacing w:line="360" w:lineRule="auto"/>
        <w:rPr>
          <w:rFonts w:asciiTheme="minorHAnsi" w:hAnsiTheme="minorHAnsi"/>
          <w:color w:val="000000"/>
          <w:sz w:val="22"/>
          <w:szCs w:val="22"/>
          <w:highlight w:val="yellow"/>
        </w:rPr>
      </w:pPr>
      <w:r w:rsidRPr="004D11D7">
        <w:rPr>
          <w:rFonts w:asciiTheme="minorHAnsi" w:hAnsiTheme="minorHAnsi"/>
          <w:color w:val="000000"/>
          <w:sz w:val="22"/>
          <w:szCs w:val="22"/>
          <w:highlight w:val="yellow"/>
        </w:rPr>
        <w:t xml:space="preserve">TB </w:t>
      </w:r>
      <w:r>
        <w:rPr>
          <w:rFonts w:asciiTheme="minorHAnsi" w:hAnsiTheme="minorHAnsi"/>
          <w:color w:val="000000"/>
          <w:sz w:val="22"/>
          <w:szCs w:val="22"/>
          <w:highlight w:val="yellow"/>
        </w:rPr>
        <w:t xml:space="preserve">Disease </w:t>
      </w:r>
      <w:r w:rsidRPr="004D11D7">
        <w:rPr>
          <w:rFonts w:asciiTheme="minorHAnsi" w:hAnsiTheme="minorHAnsi"/>
          <w:color w:val="000000"/>
          <w:sz w:val="22"/>
          <w:szCs w:val="22"/>
          <w:highlight w:val="yellow"/>
        </w:rPr>
        <w:t>became</w:t>
      </w:r>
      <w:r>
        <w:rPr>
          <w:rFonts w:asciiTheme="minorHAnsi" w:hAnsiTheme="minorHAnsi"/>
          <w:color w:val="000000"/>
          <w:sz w:val="22"/>
          <w:szCs w:val="22"/>
          <w:highlight w:val="yellow"/>
        </w:rPr>
        <w:t xml:space="preserve"> nationally</w:t>
      </w:r>
      <w:r w:rsidRPr="004D11D7">
        <w:rPr>
          <w:rFonts w:asciiTheme="minorHAnsi" w:hAnsiTheme="minorHAnsi"/>
          <w:color w:val="000000"/>
          <w:sz w:val="22"/>
          <w:szCs w:val="22"/>
          <w:highlight w:val="yellow"/>
        </w:rPr>
        <w:t xml:space="preserve"> notifiable in 2009 (</w:t>
      </w:r>
      <w:hyperlink r:id="rId15" w:history="1">
        <w:r w:rsidRPr="004D11D7">
          <w:rPr>
            <w:rStyle w:val="Hyperlink"/>
            <w:rFonts w:asciiTheme="minorHAnsi" w:hAnsiTheme="minorHAnsi"/>
            <w:sz w:val="22"/>
            <w:szCs w:val="22"/>
            <w:highlight w:val="yellow"/>
          </w:rPr>
          <w:t>https://c.ymcdn.com/sites/www.cste.org/resource/resmgr/PS/09-ID-65.pdf</w:t>
        </w:r>
      </w:hyperlink>
      <w:r w:rsidRPr="004D11D7">
        <w:rPr>
          <w:rFonts w:asciiTheme="minorHAnsi" w:hAnsiTheme="minorHAnsi"/>
          <w:color w:val="000000"/>
          <w:sz w:val="22"/>
          <w:szCs w:val="22"/>
          <w:highlight w:val="yellow"/>
        </w:rPr>
        <w:t xml:space="preserve">). The CDC TB Program has maintained OMB approval to receive case notification data through the National TB Surveillance System under a separate ICR (OMB No. 0920-0026, Report of Verified Case of Tuberculosis (RVCT), </w:t>
      </w:r>
      <w:hyperlink r:id="rId16" w:history="1">
        <w:r w:rsidRPr="00E432B8">
          <w:rPr>
            <w:rStyle w:val="Hyperlink"/>
            <w:rFonts w:asciiTheme="minorHAnsi" w:hAnsiTheme="minorHAnsi"/>
            <w:sz w:val="22"/>
            <w:szCs w:val="22"/>
            <w:highlight w:val="yellow"/>
          </w:rPr>
          <w:t>https://www.reginfo.gov/public/do/PRAViewICR?ref_nbr=201610-0920-012</w:t>
        </w:r>
      </w:hyperlink>
      <w:r w:rsidRPr="004D11D7">
        <w:rPr>
          <w:rFonts w:asciiTheme="minorHAnsi" w:hAnsiTheme="minorHAnsi"/>
          <w:color w:val="000000"/>
          <w:sz w:val="22"/>
          <w:szCs w:val="22"/>
          <w:highlight w:val="yellow"/>
        </w:rPr>
        <w:t xml:space="preserve">) which expires on 12/31/2019. Since DHIS will manage receipt of case notification data for </w:t>
      </w:r>
      <w:r w:rsidRPr="008740B4">
        <w:rPr>
          <w:rFonts w:asciiTheme="minorHAnsi" w:hAnsiTheme="minorHAnsi"/>
          <w:color w:val="000000"/>
          <w:sz w:val="22"/>
          <w:szCs w:val="22"/>
          <w:highlight w:val="yellow"/>
        </w:rPr>
        <w:t xml:space="preserve">TB Disease through the NNDSS infrastructure </w:t>
      </w:r>
      <w:r w:rsidRPr="00A906EA">
        <w:rPr>
          <w:rFonts w:asciiTheme="minorHAnsi" w:hAnsiTheme="minorHAnsi"/>
          <w:color w:val="000000"/>
          <w:sz w:val="22"/>
          <w:szCs w:val="22"/>
          <w:highlight w:val="yellow"/>
        </w:rPr>
        <w:t xml:space="preserve">and the National Tuberculosis Surveillance System (NTSS) will </w:t>
      </w:r>
      <w:r w:rsidRPr="008740B4">
        <w:rPr>
          <w:rFonts w:asciiTheme="minorHAnsi" w:hAnsiTheme="minorHAnsi"/>
          <w:color w:val="000000"/>
          <w:sz w:val="22"/>
          <w:szCs w:val="22"/>
          <w:highlight w:val="yellow"/>
        </w:rPr>
        <w:t>be retired, CDC requests permission to add TB Disease to this ICR and receive case notification data for TB</w:t>
      </w:r>
      <w:r w:rsidRPr="008740B4">
        <w:rPr>
          <w:highlight w:val="yellow"/>
        </w:rPr>
        <w:t xml:space="preserve"> </w:t>
      </w:r>
      <w:r w:rsidRPr="008740B4">
        <w:rPr>
          <w:rFonts w:asciiTheme="minorHAnsi" w:hAnsiTheme="minorHAnsi"/>
          <w:color w:val="000000"/>
          <w:sz w:val="22"/>
          <w:szCs w:val="22"/>
          <w:highlight w:val="yellow"/>
        </w:rPr>
        <w:t>Disease through NNDSS. After permission is granted, 0920-0026 will be discontinued.</w:t>
      </w:r>
    </w:p>
    <w:tbl>
      <w:tblPr>
        <w:tblStyle w:val="TableGrid"/>
        <w:tblW w:w="9180" w:type="dxa"/>
        <w:tblInd w:w="85" w:type="dxa"/>
        <w:tblLook w:val="04A0" w:firstRow="1" w:lastRow="0" w:firstColumn="1" w:lastColumn="0" w:noHBand="0" w:noVBand="1"/>
      </w:tblPr>
      <w:tblGrid>
        <w:gridCol w:w="2880"/>
        <w:gridCol w:w="6300"/>
      </w:tblGrid>
      <w:tr w:rsidR="00E30E7D" w:rsidRPr="00192121" w:rsidTr="000677F3">
        <w:tc>
          <w:tcPr>
            <w:tcW w:w="2880" w:type="dxa"/>
          </w:tcPr>
          <w:p w:rsidR="00E30E7D" w:rsidRPr="00192121" w:rsidRDefault="00E30E7D" w:rsidP="000677F3">
            <w:pPr>
              <w:rPr>
                <w:b/>
                <w:sz w:val="22"/>
                <w:szCs w:val="22"/>
              </w:rPr>
            </w:pPr>
            <w:r w:rsidRPr="00192121">
              <w:rPr>
                <w:b/>
                <w:sz w:val="22"/>
                <w:szCs w:val="22"/>
              </w:rPr>
              <w:t>TB Disease</w:t>
            </w:r>
          </w:p>
        </w:tc>
        <w:tc>
          <w:tcPr>
            <w:tcW w:w="6300" w:type="dxa"/>
          </w:tcPr>
          <w:p w:rsidR="00E30E7D" w:rsidRPr="00192121" w:rsidRDefault="00E30E7D" w:rsidP="000677F3">
            <w:pPr>
              <w:rPr>
                <w:sz w:val="22"/>
                <w:szCs w:val="22"/>
              </w:rPr>
            </w:pPr>
          </w:p>
        </w:tc>
      </w:tr>
      <w:tr w:rsidR="00E30E7D" w:rsidRPr="00192121" w:rsidTr="000677F3">
        <w:tc>
          <w:tcPr>
            <w:tcW w:w="2880" w:type="dxa"/>
          </w:tcPr>
          <w:p w:rsidR="00E30E7D" w:rsidRPr="00192121" w:rsidRDefault="00E30E7D" w:rsidP="000677F3">
            <w:pPr>
              <w:rPr>
                <w:sz w:val="22"/>
                <w:szCs w:val="22"/>
              </w:rPr>
            </w:pPr>
            <w:r w:rsidRPr="00192121">
              <w:rPr>
                <w:sz w:val="22"/>
                <w:szCs w:val="22"/>
              </w:rPr>
              <w:t>The impetus/urgency for CDC to institute case notification and data elements for this condition</w:t>
            </w:r>
          </w:p>
          <w:p w:rsidR="00E30E7D" w:rsidRPr="00192121" w:rsidRDefault="00E30E7D" w:rsidP="000677F3">
            <w:pPr>
              <w:rPr>
                <w:b/>
                <w:sz w:val="22"/>
                <w:szCs w:val="22"/>
              </w:rPr>
            </w:pPr>
          </w:p>
        </w:tc>
        <w:tc>
          <w:tcPr>
            <w:tcW w:w="6300" w:type="dxa"/>
          </w:tcPr>
          <w:p w:rsidR="00E30E7D" w:rsidRDefault="00E30E7D" w:rsidP="000677F3">
            <w:pPr>
              <w:pStyle w:val="ListParagraph"/>
              <w:numPr>
                <w:ilvl w:val="0"/>
                <w:numId w:val="38"/>
              </w:numPr>
              <w:contextualSpacing/>
              <w:rPr>
                <w:sz w:val="22"/>
                <w:szCs w:val="22"/>
              </w:rPr>
            </w:pPr>
            <w:r w:rsidRPr="00192121">
              <w:rPr>
                <w:sz w:val="22"/>
                <w:szCs w:val="22"/>
              </w:rPr>
              <w:t>Data used to monitor national trends of TB by demographic and risk conditions</w:t>
            </w:r>
          </w:p>
          <w:p w:rsidR="00E30E7D" w:rsidRDefault="00E30E7D" w:rsidP="000677F3">
            <w:pPr>
              <w:pStyle w:val="ListParagraph"/>
              <w:numPr>
                <w:ilvl w:val="0"/>
                <w:numId w:val="38"/>
              </w:numPr>
              <w:contextualSpacing/>
              <w:rPr>
                <w:sz w:val="22"/>
                <w:szCs w:val="22"/>
              </w:rPr>
            </w:pPr>
            <w:r>
              <w:rPr>
                <w:sz w:val="22"/>
                <w:szCs w:val="22"/>
              </w:rPr>
              <w:t>R</w:t>
            </w:r>
            <w:r w:rsidRPr="00192121">
              <w:rPr>
                <w:sz w:val="22"/>
                <w:szCs w:val="22"/>
              </w:rPr>
              <w:t>espond to TB outbreaks or changes in morbidity patterns</w:t>
            </w:r>
          </w:p>
          <w:p w:rsidR="00E30E7D" w:rsidRPr="00192121" w:rsidRDefault="00E30E7D" w:rsidP="000677F3">
            <w:pPr>
              <w:pStyle w:val="ListParagraph"/>
              <w:numPr>
                <w:ilvl w:val="0"/>
                <w:numId w:val="38"/>
              </w:numPr>
              <w:contextualSpacing/>
              <w:rPr>
                <w:sz w:val="22"/>
                <w:szCs w:val="22"/>
              </w:rPr>
            </w:pPr>
            <w:r>
              <w:rPr>
                <w:sz w:val="22"/>
                <w:szCs w:val="22"/>
              </w:rPr>
              <w:t>F</w:t>
            </w:r>
            <w:r w:rsidRPr="00192121">
              <w:rPr>
                <w:sz w:val="22"/>
                <w:szCs w:val="22"/>
              </w:rPr>
              <w:t>acilitate evaluation of federal, state, and local TB prevention and control effort</w:t>
            </w:r>
          </w:p>
        </w:tc>
      </w:tr>
      <w:tr w:rsidR="00E30E7D" w:rsidRPr="00192121" w:rsidTr="000677F3">
        <w:trPr>
          <w:trHeight w:val="1025"/>
        </w:trPr>
        <w:tc>
          <w:tcPr>
            <w:tcW w:w="2880" w:type="dxa"/>
          </w:tcPr>
          <w:p w:rsidR="00E30E7D" w:rsidRPr="00192121" w:rsidRDefault="00E30E7D" w:rsidP="000677F3">
            <w:pPr>
              <w:rPr>
                <w:sz w:val="22"/>
                <w:szCs w:val="22"/>
              </w:rPr>
            </w:pPr>
            <w:r w:rsidRPr="00192121">
              <w:rPr>
                <w:sz w:val="22"/>
                <w:szCs w:val="22"/>
              </w:rPr>
              <w:t>Existing sources of data (Federal, non-federal, private, etc.) and what those sources say about approximate national incidence and/or prevalence of the condition</w:t>
            </w:r>
          </w:p>
          <w:p w:rsidR="00E30E7D" w:rsidRPr="00192121" w:rsidRDefault="00E30E7D" w:rsidP="000677F3">
            <w:pPr>
              <w:rPr>
                <w:sz w:val="22"/>
                <w:szCs w:val="22"/>
              </w:rPr>
            </w:pPr>
          </w:p>
        </w:tc>
        <w:tc>
          <w:tcPr>
            <w:tcW w:w="6300" w:type="dxa"/>
          </w:tcPr>
          <w:p w:rsidR="00E30E7D" w:rsidRPr="00192121" w:rsidRDefault="00E30E7D" w:rsidP="000677F3">
            <w:pPr>
              <w:pStyle w:val="ListParagraph"/>
              <w:numPr>
                <w:ilvl w:val="0"/>
                <w:numId w:val="39"/>
              </w:numPr>
              <w:contextualSpacing/>
              <w:rPr>
                <w:sz w:val="22"/>
                <w:szCs w:val="22"/>
              </w:rPr>
            </w:pPr>
            <w:r w:rsidRPr="00192121">
              <w:rPr>
                <w:sz w:val="22"/>
                <w:szCs w:val="22"/>
              </w:rPr>
              <w:t>In 2017, a total of 9,105 TB cases reported in the United States. Nationally, the incidence rate was 2.8 cases per 100,000 persons [National Tuberculosis Surveillance System (NTSS)]</w:t>
            </w:r>
          </w:p>
        </w:tc>
      </w:tr>
      <w:tr w:rsidR="00E30E7D" w:rsidRPr="00192121" w:rsidTr="000677F3">
        <w:tc>
          <w:tcPr>
            <w:tcW w:w="2880" w:type="dxa"/>
          </w:tcPr>
          <w:p w:rsidR="00E30E7D" w:rsidRPr="00192121" w:rsidRDefault="00E30E7D" w:rsidP="000677F3">
            <w:pPr>
              <w:rPr>
                <w:sz w:val="22"/>
                <w:szCs w:val="22"/>
              </w:rPr>
            </w:pPr>
            <w:r w:rsidRPr="00192121">
              <w:rPr>
                <w:sz w:val="22"/>
                <w:szCs w:val="22"/>
              </w:rPr>
              <w:t>Incremental coverage provided by adding the condition to NNDSS (how CDC will use additional precision)</w:t>
            </w:r>
          </w:p>
          <w:p w:rsidR="00E30E7D" w:rsidRPr="00192121" w:rsidRDefault="00E30E7D" w:rsidP="000677F3">
            <w:pPr>
              <w:rPr>
                <w:sz w:val="22"/>
                <w:szCs w:val="22"/>
              </w:rPr>
            </w:pPr>
          </w:p>
        </w:tc>
        <w:tc>
          <w:tcPr>
            <w:tcW w:w="6300" w:type="dxa"/>
          </w:tcPr>
          <w:p w:rsidR="00E30E7D" w:rsidRPr="005D7210" w:rsidRDefault="00E30E7D" w:rsidP="000677F3">
            <w:pPr>
              <w:pStyle w:val="ListParagraph"/>
              <w:numPr>
                <w:ilvl w:val="0"/>
                <w:numId w:val="38"/>
              </w:numPr>
              <w:contextualSpacing/>
              <w:rPr>
                <w:sz w:val="22"/>
                <w:szCs w:val="22"/>
              </w:rPr>
            </w:pPr>
            <w:r w:rsidRPr="00192121">
              <w:rPr>
                <w:sz w:val="22"/>
                <w:szCs w:val="22"/>
              </w:rPr>
              <w:t>No additional coverage expected by consolidating the TB OMB package and the NNDSS OMB package</w:t>
            </w:r>
            <w:r>
              <w:rPr>
                <w:sz w:val="22"/>
                <w:szCs w:val="22"/>
              </w:rPr>
              <w:t>.</w:t>
            </w:r>
            <w:r w:rsidRPr="00192121">
              <w:rPr>
                <w:sz w:val="22"/>
                <w:szCs w:val="22"/>
              </w:rPr>
              <w:t xml:space="preserve"> After merging 0920-0026 with 0920-0728, 0920-0026 will be discontinued</w:t>
            </w:r>
          </w:p>
        </w:tc>
      </w:tr>
      <w:tr w:rsidR="00E30E7D" w:rsidRPr="00192121" w:rsidTr="000677F3">
        <w:tc>
          <w:tcPr>
            <w:tcW w:w="2880" w:type="dxa"/>
          </w:tcPr>
          <w:p w:rsidR="00E30E7D" w:rsidRPr="00192121" w:rsidRDefault="00E30E7D" w:rsidP="000677F3">
            <w:pPr>
              <w:rPr>
                <w:sz w:val="22"/>
                <w:szCs w:val="22"/>
              </w:rPr>
            </w:pPr>
            <w:r w:rsidRPr="00192121">
              <w:rPr>
                <w:sz w:val="22"/>
                <w:szCs w:val="22"/>
              </w:rPr>
              <w:t xml:space="preserve">Number of states that currently require reporting of these conditions and data elements </w:t>
            </w:r>
          </w:p>
        </w:tc>
        <w:tc>
          <w:tcPr>
            <w:tcW w:w="6300" w:type="dxa"/>
          </w:tcPr>
          <w:p w:rsidR="00E30E7D" w:rsidRPr="00192121" w:rsidRDefault="00E30E7D" w:rsidP="000677F3">
            <w:pPr>
              <w:pStyle w:val="ListParagraph"/>
              <w:numPr>
                <w:ilvl w:val="0"/>
                <w:numId w:val="39"/>
              </w:numPr>
              <w:contextualSpacing/>
              <w:rPr>
                <w:sz w:val="22"/>
                <w:szCs w:val="22"/>
              </w:rPr>
            </w:pPr>
            <w:r w:rsidRPr="00192121">
              <w:rPr>
                <w:sz w:val="22"/>
                <w:szCs w:val="22"/>
              </w:rPr>
              <w:t>60 jurisdictions</w:t>
            </w:r>
          </w:p>
        </w:tc>
      </w:tr>
      <w:tr w:rsidR="00E30E7D" w:rsidRPr="00192121" w:rsidTr="000677F3">
        <w:tc>
          <w:tcPr>
            <w:tcW w:w="2880" w:type="dxa"/>
          </w:tcPr>
          <w:p w:rsidR="00E30E7D" w:rsidRPr="00192121" w:rsidRDefault="00E30E7D" w:rsidP="000677F3">
            <w:pPr>
              <w:rPr>
                <w:sz w:val="22"/>
                <w:szCs w:val="22"/>
              </w:rPr>
            </w:pPr>
            <w:r w:rsidRPr="00192121">
              <w:rPr>
                <w:sz w:val="22"/>
                <w:szCs w:val="22"/>
              </w:rPr>
              <w:t xml:space="preserve">The number of states anticipated to adopt if added to NNDSS and basis of estimate </w:t>
            </w:r>
          </w:p>
          <w:p w:rsidR="00E30E7D" w:rsidRPr="00192121" w:rsidRDefault="00E30E7D" w:rsidP="000677F3">
            <w:pPr>
              <w:ind w:left="720"/>
              <w:rPr>
                <w:sz w:val="22"/>
                <w:szCs w:val="22"/>
              </w:rPr>
            </w:pPr>
            <w:r w:rsidRPr="00192121">
              <w:rPr>
                <w:sz w:val="22"/>
                <w:szCs w:val="22"/>
              </w:rPr>
              <w:t>Funding allocated specifically for a condition and/or additional elements (please list source where applicable)</w:t>
            </w:r>
          </w:p>
          <w:p w:rsidR="00E30E7D" w:rsidRPr="00192121" w:rsidRDefault="00E30E7D" w:rsidP="000677F3">
            <w:pPr>
              <w:rPr>
                <w:sz w:val="22"/>
                <w:szCs w:val="22"/>
              </w:rPr>
            </w:pPr>
          </w:p>
        </w:tc>
        <w:tc>
          <w:tcPr>
            <w:tcW w:w="6300" w:type="dxa"/>
          </w:tcPr>
          <w:p w:rsidR="00E30E7D" w:rsidRPr="00192121" w:rsidRDefault="00E30E7D" w:rsidP="000677F3">
            <w:pPr>
              <w:pStyle w:val="ListParagraph"/>
              <w:numPr>
                <w:ilvl w:val="0"/>
                <w:numId w:val="39"/>
              </w:numPr>
              <w:contextualSpacing/>
              <w:rPr>
                <w:sz w:val="22"/>
                <w:szCs w:val="22"/>
              </w:rPr>
            </w:pPr>
            <w:r w:rsidRPr="00192121">
              <w:rPr>
                <w:sz w:val="22"/>
                <w:szCs w:val="22"/>
              </w:rPr>
              <w:t>N/A</w:t>
            </w:r>
          </w:p>
        </w:tc>
      </w:tr>
      <w:tr w:rsidR="00E30E7D" w:rsidRPr="00192121" w:rsidTr="000677F3">
        <w:tc>
          <w:tcPr>
            <w:tcW w:w="2880" w:type="dxa"/>
          </w:tcPr>
          <w:p w:rsidR="00E30E7D" w:rsidRPr="00192121" w:rsidRDefault="00E30E7D" w:rsidP="000677F3">
            <w:pPr>
              <w:rPr>
                <w:sz w:val="22"/>
                <w:szCs w:val="22"/>
              </w:rPr>
            </w:pPr>
            <w:r w:rsidRPr="00192121">
              <w:rPr>
                <w:sz w:val="22"/>
                <w:szCs w:val="22"/>
              </w:rPr>
              <w:t>Anticipated frequency of reporting to CDC</w:t>
            </w:r>
          </w:p>
        </w:tc>
        <w:tc>
          <w:tcPr>
            <w:tcW w:w="6300" w:type="dxa"/>
          </w:tcPr>
          <w:p w:rsidR="00E30E7D" w:rsidRPr="00192121" w:rsidRDefault="00E30E7D" w:rsidP="000677F3">
            <w:pPr>
              <w:pStyle w:val="ListParagraph"/>
              <w:numPr>
                <w:ilvl w:val="0"/>
                <w:numId w:val="39"/>
              </w:numPr>
              <w:contextualSpacing/>
              <w:rPr>
                <w:sz w:val="22"/>
                <w:szCs w:val="22"/>
              </w:rPr>
            </w:pPr>
            <w:r w:rsidRPr="00192121">
              <w:rPr>
                <w:sz w:val="22"/>
                <w:szCs w:val="22"/>
              </w:rPr>
              <w:t>Weekly</w:t>
            </w:r>
          </w:p>
        </w:tc>
      </w:tr>
      <w:tr w:rsidR="00E30E7D" w:rsidRPr="00192121" w:rsidTr="000677F3">
        <w:trPr>
          <w:trHeight w:val="1430"/>
        </w:trPr>
        <w:tc>
          <w:tcPr>
            <w:tcW w:w="2880" w:type="dxa"/>
          </w:tcPr>
          <w:p w:rsidR="00E30E7D" w:rsidRPr="00192121" w:rsidRDefault="00E30E7D" w:rsidP="000677F3">
            <w:pPr>
              <w:rPr>
                <w:sz w:val="22"/>
                <w:szCs w:val="22"/>
              </w:rPr>
            </w:pPr>
            <w:r w:rsidRPr="00192121">
              <w:rPr>
                <w:sz w:val="22"/>
                <w:szCs w:val="22"/>
              </w:rPr>
              <w:t>Based on the above information, what is the proposed priority associated with condition</w:t>
            </w:r>
          </w:p>
        </w:tc>
        <w:tc>
          <w:tcPr>
            <w:tcW w:w="6300" w:type="dxa"/>
          </w:tcPr>
          <w:p w:rsidR="00E30E7D" w:rsidRPr="00192121" w:rsidRDefault="0017647D" w:rsidP="0017647D">
            <w:pPr>
              <w:numPr>
                <w:ilvl w:val="0"/>
                <w:numId w:val="39"/>
              </w:numPr>
              <w:spacing w:after="160" w:line="259" w:lineRule="auto"/>
              <w:contextualSpacing/>
            </w:pPr>
            <w:r w:rsidRPr="0017647D">
              <w:rPr>
                <w:sz w:val="22"/>
                <w:szCs w:val="22"/>
              </w:rPr>
              <w:t>States will determine the priority of adding this collection</w:t>
            </w:r>
            <w:r w:rsidRPr="0017647D" w:rsidDel="0017647D">
              <w:rPr>
                <w:sz w:val="22"/>
                <w:szCs w:val="22"/>
              </w:rPr>
              <w:t xml:space="preserve"> </w:t>
            </w:r>
          </w:p>
        </w:tc>
      </w:tr>
    </w:tbl>
    <w:p w:rsidR="00E30E7D" w:rsidRPr="004D11D7" w:rsidRDefault="00E30E7D" w:rsidP="00E30E7D">
      <w:pPr>
        <w:spacing w:line="360" w:lineRule="auto"/>
        <w:rPr>
          <w:rFonts w:asciiTheme="minorHAnsi" w:hAnsiTheme="minorHAnsi"/>
          <w:color w:val="000000"/>
          <w:sz w:val="22"/>
          <w:szCs w:val="22"/>
          <w:highlight w:val="yellow"/>
        </w:rPr>
      </w:pPr>
    </w:p>
    <w:p w:rsidR="00E30E7D" w:rsidRPr="004D11D7" w:rsidRDefault="00E30E7D" w:rsidP="00E30E7D">
      <w:pPr>
        <w:spacing w:line="360" w:lineRule="auto"/>
        <w:rPr>
          <w:rFonts w:asciiTheme="minorHAnsi" w:hAnsiTheme="minorHAnsi"/>
          <w:color w:val="000000"/>
          <w:sz w:val="22"/>
          <w:szCs w:val="22"/>
          <w:highlight w:val="yellow"/>
        </w:rPr>
      </w:pPr>
      <w:r>
        <w:rPr>
          <w:rFonts w:asciiTheme="minorHAnsi" w:hAnsiTheme="minorHAnsi"/>
          <w:color w:val="000000"/>
          <w:sz w:val="22"/>
          <w:szCs w:val="22"/>
          <w:highlight w:val="yellow"/>
        </w:rPr>
        <w:t>TB Infection</w:t>
      </w:r>
    </w:p>
    <w:p w:rsidR="00E30E7D" w:rsidRPr="00DF5DD7" w:rsidRDefault="00E30E7D" w:rsidP="00E30E7D">
      <w:pPr>
        <w:spacing w:line="360" w:lineRule="auto"/>
        <w:rPr>
          <w:rFonts w:asciiTheme="minorHAnsi" w:hAnsiTheme="minorHAnsi"/>
          <w:color w:val="000000"/>
          <w:sz w:val="22"/>
          <w:szCs w:val="22"/>
        </w:rPr>
      </w:pPr>
      <w:r w:rsidRPr="00B942C7">
        <w:rPr>
          <w:rFonts w:asciiTheme="minorHAnsi" w:hAnsiTheme="minorHAnsi"/>
          <w:color w:val="000000"/>
          <w:sz w:val="22"/>
          <w:szCs w:val="22"/>
          <w:highlight w:val="yellow"/>
        </w:rPr>
        <w:t xml:space="preserve">CSTE issued a position statement in 2017 that rendered TB Infection </w:t>
      </w:r>
      <w:r>
        <w:rPr>
          <w:rFonts w:asciiTheme="minorHAnsi" w:hAnsiTheme="minorHAnsi"/>
          <w:color w:val="000000"/>
          <w:sz w:val="22"/>
          <w:szCs w:val="22"/>
          <w:highlight w:val="yellow"/>
        </w:rPr>
        <w:t>under standardized surveillance</w:t>
      </w:r>
      <w:r w:rsidRPr="00B942C7">
        <w:rPr>
          <w:rFonts w:asciiTheme="minorHAnsi" w:hAnsiTheme="minorHAnsi"/>
          <w:color w:val="000000"/>
          <w:sz w:val="22"/>
          <w:szCs w:val="22"/>
          <w:highlight w:val="yellow"/>
        </w:rPr>
        <w:t xml:space="preserve"> (</w:t>
      </w:r>
      <w:hyperlink r:id="rId17" w:history="1">
        <w:r w:rsidRPr="00B942C7">
          <w:rPr>
            <w:rStyle w:val="Hyperlink"/>
            <w:rFonts w:asciiTheme="minorHAnsi" w:hAnsiTheme="minorHAnsi"/>
            <w:sz w:val="22"/>
            <w:szCs w:val="22"/>
            <w:highlight w:val="yellow"/>
          </w:rPr>
          <w:t>http://c.ymcdn.com/sites/www.cste.org/resource/resmgr/2017PS/2017PSFinal/17-ID-09.pdf</w:t>
        </w:r>
      </w:hyperlink>
      <w:r w:rsidRPr="00B942C7">
        <w:rPr>
          <w:rFonts w:asciiTheme="minorHAnsi" w:hAnsiTheme="minorHAnsi"/>
          <w:color w:val="000000"/>
          <w:sz w:val="22"/>
          <w:szCs w:val="22"/>
          <w:highlight w:val="yellow"/>
        </w:rPr>
        <w:t>). This position statement says t</w:t>
      </w:r>
      <w:r>
        <w:rPr>
          <w:rFonts w:asciiTheme="minorHAnsi" w:hAnsiTheme="minorHAnsi"/>
          <w:color w:val="000000"/>
          <w:sz w:val="22"/>
          <w:szCs w:val="22"/>
          <w:highlight w:val="yellow"/>
        </w:rPr>
        <w:t>o</w:t>
      </w:r>
      <w:r w:rsidRPr="00B942C7">
        <w:rPr>
          <w:rFonts w:asciiTheme="minorHAnsi" w:hAnsiTheme="minorHAnsi"/>
          <w:color w:val="000000"/>
          <w:sz w:val="22"/>
          <w:szCs w:val="22"/>
          <w:highlight w:val="yellow"/>
        </w:rPr>
        <w:t xml:space="preserve"> “</w:t>
      </w:r>
      <w:r>
        <w:rPr>
          <w:rFonts w:asciiTheme="minorHAnsi" w:hAnsiTheme="minorHAnsi"/>
          <w:color w:val="000000"/>
          <w:sz w:val="22"/>
          <w:szCs w:val="22"/>
          <w:highlight w:val="yellow"/>
        </w:rPr>
        <w:t>u</w:t>
      </w:r>
      <w:r w:rsidRPr="003612F8">
        <w:rPr>
          <w:rFonts w:asciiTheme="minorHAnsi" w:hAnsiTheme="minorHAnsi"/>
          <w:color w:val="000000"/>
          <w:sz w:val="22"/>
          <w:szCs w:val="22"/>
          <w:highlight w:val="yellow"/>
        </w:rPr>
        <w:t>tilize standardized criteria for case identification and classification (Sections VI and VII) for TB Infection but do not add TB Infection to the Nationally Notifiable Condition List. If requested by CDC, jurisdictions (e.g. States and Territories) conducting surveillance according to these methods may submit case information to CDC</w:t>
      </w:r>
      <w:r w:rsidRPr="00B942C7">
        <w:rPr>
          <w:rFonts w:asciiTheme="minorHAnsi" w:hAnsiTheme="minorHAnsi"/>
          <w:color w:val="000000"/>
          <w:sz w:val="22"/>
          <w:szCs w:val="22"/>
          <w:highlight w:val="yellow"/>
        </w:rPr>
        <w:t xml:space="preserve">.”  CDC requests permission to receive case notification data for TB Infection as it is now </w:t>
      </w:r>
      <w:r>
        <w:rPr>
          <w:rFonts w:asciiTheme="minorHAnsi" w:hAnsiTheme="minorHAnsi"/>
          <w:color w:val="000000"/>
          <w:sz w:val="22"/>
          <w:szCs w:val="22"/>
          <w:highlight w:val="yellow"/>
        </w:rPr>
        <w:t>under standardized surveillance</w:t>
      </w:r>
      <w:r w:rsidRPr="00B942C7">
        <w:rPr>
          <w:rFonts w:asciiTheme="minorHAnsi" w:hAnsiTheme="minorHAnsi"/>
          <w:color w:val="000000"/>
          <w:sz w:val="22"/>
          <w:szCs w:val="22"/>
          <w:highlight w:val="yellow"/>
        </w:rPr>
        <w:t>.</w:t>
      </w:r>
    </w:p>
    <w:tbl>
      <w:tblPr>
        <w:tblStyle w:val="TableGrid"/>
        <w:tblW w:w="9180" w:type="dxa"/>
        <w:tblInd w:w="85" w:type="dxa"/>
        <w:tblLook w:val="04A0" w:firstRow="1" w:lastRow="0" w:firstColumn="1" w:lastColumn="0" w:noHBand="0" w:noVBand="1"/>
      </w:tblPr>
      <w:tblGrid>
        <w:gridCol w:w="2880"/>
        <w:gridCol w:w="6300"/>
      </w:tblGrid>
      <w:tr w:rsidR="00E30E7D" w:rsidRPr="00D26C76" w:rsidTr="000677F3">
        <w:tc>
          <w:tcPr>
            <w:tcW w:w="2880" w:type="dxa"/>
          </w:tcPr>
          <w:p w:rsidR="00E30E7D" w:rsidRPr="00D26C76" w:rsidRDefault="00E30E7D" w:rsidP="000677F3">
            <w:pPr>
              <w:rPr>
                <w:b/>
                <w:sz w:val="22"/>
                <w:szCs w:val="22"/>
              </w:rPr>
            </w:pPr>
            <w:r w:rsidRPr="00D26C76">
              <w:rPr>
                <w:b/>
                <w:sz w:val="22"/>
                <w:szCs w:val="22"/>
              </w:rPr>
              <w:t>TB Infection</w:t>
            </w:r>
          </w:p>
        </w:tc>
        <w:tc>
          <w:tcPr>
            <w:tcW w:w="6300" w:type="dxa"/>
          </w:tcPr>
          <w:p w:rsidR="00E30E7D" w:rsidRPr="00D26C76" w:rsidRDefault="00E30E7D" w:rsidP="000677F3">
            <w:pPr>
              <w:rPr>
                <w:sz w:val="22"/>
                <w:szCs w:val="22"/>
              </w:rPr>
            </w:pPr>
          </w:p>
        </w:tc>
      </w:tr>
      <w:tr w:rsidR="00E30E7D" w:rsidRPr="00D26C76" w:rsidTr="000677F3">
        <w:tc>
          <w:tcPr>
            <w:tcW w:w="2880" w:type="dxa"/>
          </w:tcPr>
          <w:p w:rsidR="00E30E7D" w:rsidRPr="00D26C76" w:rsidRDefault="00E30E7D" w:rsidP="000677F3">
            <w:pPr>
              <w:rPr>
                <w:sz w:val="22"/>
                <w:szCs w:val="22"/>
              </w:rPr>
            </w:pPr>
            <w:r w:rsidRPr="00D26C76">
              <w:rPr>
                <w:sz w:val="22"/>
                <w:szCs w:val="22"/>
              </w:rPr>
              <w:t>The impetus/urgency for CDC to institute case notification and data elements for this condition</w:t>
            </w:r>
          </w:p>
          <w:p w:rsidR="00E30E7D" w:rsidRPr="00D26C76" w:rsidRDefault="00E30E7D" w:rsidP="000677F3">
            <w:pPr>
              <w:rPr>
                <w:b/>
                <w:sz w:val="22"/>
                <w:szCs w:val="22"/>
              </w:rPr>
            </w:pPr>
          </w:p>
        </w:tc>
        <w:tc>
          <w:tcPr>
            <w:tcW w:w="6300" w:type="dxa"/>
          </w:tcPr>
          <w:p w:rsidR="00E30E7D" w:rsidRPr="00D26C76" w:rsidRDefault="00E30E7D" w:rsidP="000677F3">
            <w:pPr>
              <w:pStyle w:val="ListParagraph"/>
              <w:numPr>
                <w:ilvl w:val="0"/>
                <w:numId w:val="31"/>
              </w:numPr>
              <w:contextualSpacing/>
              <w:rPr>
                <w:sz w:val="22"/>
                <w:szCs w:val="22"/>
              </w:rPr>
            </w:pPr>
            <w:r w:rsidRPr="00D26C76">
              <w:rPr>
                <w:rFonts w:cstheme="minorHAnsi"/>
                <w:sz w:val="22"/>
                <w:szCs w:val="22"/>
              </w:rPr>
              <w:t xml:space="preserve">To </w:t>
            </w:r>
            <w:r>
              <w:rPr>
                <w:rFonts w:cstheme="minorHAnsi"/>
                <w:sz w:val="22"/>
                <w:szCs w:val="22"/>
              </w:rPr>
              <w:t>monitor</w:t>
            </w:r>
            <w:r w:rsidRPr="00D26C76">
              <w:rPr>
                <w:rFonts w:cstheme="minorHAnsi"/>
                <w:sz w:val="22"/>
                <w:szCs w:val="22"/>
              </w:rPr>
              <w:t xml:space="preserve"> the effectiveness of public health interventions</w:t>
            </w:r>
          </w:p>
          <w:p w:rsidR="00E30E7D" w:rsidRPr="00D26C76" w:rsidRDefault="00E30E7D" w:rsidP="000677F3">
            <w:pPr>
              <w:pStyle w:val="ListParagraph"/>
              <w:numPr>
                <w:ilvl w:val="0"/>
                <w:numId w:val="31"/>
              </w:numPr>
              <w:contextualSpacing/>
              <w:rPr>
                <w:sz w:val="22"/>
                <w:szCs w:val="22"/>
              </w:rPr>
            </w:pPr>
            <w:r w:rsidRPr="00D26C76">
              <w:rPr>
                <w:rFonts w:cstheme="minorHAnsi"/>
                <w:sz w:val="22"/>
                <w:szCs w:val="22"/>
              </w:rPr>
              <w:t>To generate standardized, annual prevalence estimates based on reporting of cases of TB infection to track progress in testing/treating of persons with TB infection</w:t>
            </w:r>
          </w:p>
          <w:p w:rsidR="00E30E7D" w:rsidRPr="00D26C76" w:rsidRDefault="00E30E7D" w:rsidP="000677F3">
            <w:pPr>
              <w:pStyle w:val="ListParagraph"/>
              <w:numPr>
                <w:ilvl w:val="0"/>
                <w:numId w:val="31"/>
              </w:numPr>
              <w:contextualSpacing/>
              <w:rPr>
                <w:sz w:val="22"/>
                <w:szCs w:val="22"/>
              </w:rPr>
            </w:pPr>
            <w:r w:rsidRPr="00D26C76">
              <w:rPr>
                <w:rFonts w:cstheme="minorHAnsi"/>
                <w:sz w:val="22"/>
                <w:szCs w:val="22"/>
              </w:rPr>
              <w:t>To use data to efficiently detect and respond to changes in morbidity patterns, monitor trends in TB infection in high-risk populations, and facilitate evaluation of federal, state, and local TB prevention and control efforts</w:t>
            </w:r>
          </w:p>
        </w:tc>
      </w:tr>
      <w:tr w:rsidR="00E30E7D" w:rsidRPr="00D26C76" w:rsidTr="000677F3">
        <w:trPr>
          <w:trHeight w:val="1025"/>
        </w:trPr>
        <w:tc>
          <w:tcPr>
            <w:tcW w:w="2880" w:type="dxa"/>
          </w:tcPr>
          <w:p w:rsidR="00E30E7D" w:rsidRPr="00D26C76" w:rsidRDefault="00E30E7D" w:rsidP="000677F3">
            <w:pPr>
              <w:rPr>
                <w:sz w:val="22"/>
                <w:szCs w:val="22"/>
              </w:rPr>
            </w:pPr>
            <w:r w:rsidRPr="00D26C76">
              <w:rPr>
                <w:sz w:val="22"/>
                <w:szCs w:val="22"/>
              </w:rPr>
              <w:t>Existing sources of data (Federal, non-federal, private, etc.) and what those sources say about approximate national incidence and/or prevalence of the condition</w:t>
            </w:r>
          </w:p>
          <w:p w:rsidR="00E30E7D" w:rsidRPr="00D26C76" w:rsidRDefault="00E30E7D" w:rsidP="000677F3">
            <w:pPr>
              <w:rPr>
                <w:sz w:val="22"/>
                <w:szCs w:val="22"/>
              </w:rPr>
            </w:pPr>
          </w:p>
        </w:tc>
        <w:tc>
          <w:tcPr>
            <w:tcW w:w="6300" w:type="dxa"/>
          </w:tcPr>
          <w:p w:rsidR="00E30E7D" w:rsidRPr="00D26C76" w:rsidRDefault="00E30E7D" w:rsidP="000677F3">
            <w:pPr>
              <w:pStyle w:val="ListParagraph"/>
              <w:numPr>
                <w:ilvl w:val="0"/>
                <w:numId w:val="40"/>
              </w:numPr>
              <w:contextualSpacing/>
              <w:rPr>
                <w:sz w:val="22"/>
                <w:szCs w:val="22"/>
              </w:rPr>
            </w:pPr>
            <w:r w:rsidRPr="00D26C76">
              <w:rPr>
                <w:sz w:val="22"/>
                <w:szCs w:val="22"/>
              </w:rPr>
              <w:t>3–5% of the U.S. population, approximately 13 million people, have TB infection [NHANES Testing/ National Tuberculosis Surveillance System (NTSS)]</w:t>
            </w:r>
          </w:p>
        </w:tc>
      </w:tr>
      <w:tr w:rsidR="00E30E7D" w:rsidRPr="00D26C76" w:rsidTr="000677F3">
        <w:tc>
          <w:tcPr>
            <w:tcW w:w="2880" w:type="dxa"/>
          </w:tcPr>
          <w:p w:rsidR="00E30E7D" w:rsidRPr="00D26C76" w:rsidRDefault="00E30E7D" w:rsidP="000677F3">
            <w:pPr>
              <w:rPr>
                <w:sz w:val="22"/>
                <w:szCs w:val="22"/>
              </w:rPr>
            </w:pPr>
            <w:r w:rsidRPr="00D26C76">
              <w:rPr>
                <w:sz w:val="22"/>
                <w:szCs w:val="22"/>
              </w:rPr>
              <w:t>Incremental coverage provided by adding the condition to NNDSS (how CDC will use additional precision)</w:t>
            </w:r>
          </w:p>
          <w:p w:rsidR="00E30E7D" w:rsidRPr="00D26C76" w:rsidRDefault="00E30E7D" w:rsidP="000677F3">
            <w:pPr>
              <w:rPr>
                <w:sz w:val="22"/>
                <w:szCs w:val="22"/>
              </w:rPr>
            </w:pPr>
          </w:p>
        </w:tc>
        <w:tc>
          <w:tcPr>
            <w:tcW w:w="6300" w:type="dxa"/>
          </w:tcPr>
          <w:p w:rsidR="00E30E7D" w:rsidRPr="00D26C76" w:rsidRDefault="00E30E7D" w:rsidP="000677F3">
            <w:pPr>
              <w:pStyle w:val="ListParagraph"/>
              <w:numPr>
                <w:ilvl w:val="0"/>
                <w:numId w:val="33"/>
              </w:numPr>
              <w:contextualSpacing/>
              <w:rPr>
                <w:sz w:val="22"/>
                <w:szCs w:val="22"/>
              </w:rPr>
            </w:pPr>
            <w:r w:rsidRPr="00D26C76">
              <w:rPr>
                <w:rFonts w:cstheme="minorHAnsi"/>
                <w:sz w:val="22"/>
                <w:szCs w:val="22"/>
              </w:rPr>
              <w:t>Exact incremental coverage is not directly quantifiable</w:t>
            </w:r>
          </w:p>
          <w:p w:rsidR="00E30E7D" w:rsidRPr="00D26C76" w:rsidRDefault="00E30E7D" w:rsidP="000677F3">
            <w:pPr>
              <w:numPr>
                <w:ilvl w:val="0"/>
                <w:numId w:val="33"/>
              </w:numPr>
              <w:contextualSpacing/>
              <w:rPr>
                <w:sz w:val="22"/>
                <w:szCs w:val="22"/>
              </w:rPr>
            </w:pPr>
            <w:r w:rsidRPr="00D26C76">
              <w:rPr>
                <w:rFonts w:cstheme="minorHAnsi"/>
                <w:sz w:val="22"/>
                <w:szCs w:val="22"/>
              </w:rPr>
              <w:t>Program anticipates an increasing percentage of all TB infection cases to be reported as TB infection reporting is mandated in other jurisdictions</w:t>
            </w:r>
            <w:r>
              <w:rPr>
                <w:rFonts w:cstheme="minorHAnsi"/>
                <w:sz w:val="22"/>
                <w:szCs w:val="22"/>
              </w:rPr>
              <w:t>, in addition to the 20 already reporting</w:t>
            </w:r>
          </w:p>
        </w:tc>
      </w:tr>
      <w:tr w:rsidR="00E30E7D" w:rsidRPr="00D26C76" w:rsidTr="000677F3">
        <w:tc>
          <w:tcPr>
            <w:tcW w:w="2880" w:type="dxa"/>
          </w:tcPr>
          <w:p w:rsidR="00E30E7D" w:rsidRPr="00D26C76" w:rsidRDefault="00E30E7D" w:rsidP="000677F3">
            <w:pPr>
              <w:rPr>
                <w:sz w:val="22"/>
                <w:szCs w:val="22"/>
              </w:rPr>
            </w:pPr>
            <w:r w:rsidRPr="00D26C76">
              <w:rPr>
                <w:sz w:val="22"/>
                <w:szCs w:val="22"/>
              </w:rPr>
              <w:t xml:space="preserve">Number of states that currently require reporting of these conditions and data elements </w:t>
            </w:r>
          </w:p>
        </w:tc>
        <w:tc>
          <w:tcPr>
            <w:tcW w:w="6300" w:type="dxa"/>
          </w:tcPr>
          <w:p w:rsidR="00E30E7D" w:rsidRPr="00D26C76" w:rsidRDefault="00E30E7D" w:rsidP="000677F3">
            <w:pPr>
              <w:numPr>
                <w:ilvl w:val="0"/>
                <w:numId w:val="33"/>
              </w:numPr>
              <w:spacing w:after="160" w:line="259" w:lineRule="auto"/>
              <w:contextualSpacing/>
              <w:rPr>
                <w:sz w:val="22"/>
                <w:szCs w:val="22"/>
              </w:rPr>
            </w:pPr>
            <w:r w:rsidRPr="00D26C76">
              <w:rPr>
                <w:sz w:val="22"/>
                <w:szCs w:val="22"/>
              </w:rPr>
              <w:t xml:space="preserve">20 jurisdictions </w:t>
            </w:r>
          </w:p>
          <w:p w:rsidR="00E30E7D" w:rsidRPr="00D26C76" w:rsidRDefault="00E30E7D" w:rsidP="000677F3">
            <w:pPr>
              <w:spacing w:after="160" w:line="259" w:lineRule="auto"/>
              <w:contextualSpacing/>
              <w:rPr>
                <w:sz w:val="22"/>
                <w:szCs w:val="22"/>
              </w:rPr>
            </w:pPr>
          </w:p>
        </w:tc>
      </w:tr>
      <w:tr w:rsidR="00E30E7D" w:rsidRPr="00D26C76" w:rsidTr="000677F3">
        <w:tc>
          <w:tcPr>
            <w:tcW w:w="2880" w:type="dxa"/>
          </w:tcPr>
          <w:p w:rsidR="00E30E7D" w:rsidRPr="00D26C76" w:rsidRDefault="00E30E7D" w:rsidP="000677F3">
            <w:pPr>
              <w:rPr>
                <w:sz w:val="22"/>
                <w:szCs w:val="22"/>
              </w:rPr>
            </w:pPr>
            <w:r w:rsidRPr="00D26C76">
              <w:rPr>
                <w:sz w:val="22"/>
                <w:szCs w:val="22"/>
              </w:rPr>
              <w:t xml:space="preserve">The number of states anticipated to adopt if added to NNDSS and basis of estimate </w:t>
            </w:r>
          </w:p>
          <w:p w:rsidR="00E30E7D" w:rsidRPr="00D26C76" w:rsidRDefault="00E30E7D" w:rsidP="000677F3">
            <w:pPr>
              <w:ind w:left="720"/>
              <w:rPr>
                <w:sz w:val="22"/>
                <w:szCs w:val="22"/>
              </w:rPr>
            </w:pPr>
            <w:r w:rsidRPr="00D26C76">
              <w:rPr>
                <w:sz w:val="22"/>
                <w:szCs w:val="22"/>
              </w:rPr>
              <w:t>Funding allocated specifically for a condition and/or additional elements (please list source where applicable)</w:t>
            </w:r>
          </w:p>
          <w:p w:rsidR="00E30E7D" w:rsidRPr="00D26C76" w:rsidRDefault="00E30E7D" w:rsidP="000677F3">
            <w:pPr>
              <w:rPr>
                <w:sz w:val="22"/>
                <w:szCs w:val="22"/>
              </w:rPr>
            </w:pPr>
          </w:p>
        </w:tc>
        <w:tc>
          <w:tcPr>
            <w:tcW w:w="6300" w:type="dxa"/>
          </w:tcPr>
          <w:p w:rsidR="00E30E7D" w:rsidRPr="00D26C76" w:rsidRDefault="00E30E7D" w:rsidP="000677F3">
            <w:pPr>
              <w:numPr>
                <w:ilvl w:val="0"/>
                <w:numId w:val="33"/>
              </w:numPr>
              <w:spacing w:after="160" w:line="259" w:lineRule="auto"/>
              <w:contextualSpacing/>
              <w:rPr>
                <w:sz w:val="22"/>
                <w:szCs w:val="22"/>
              </w:rPr>
            </w:pPr>
            <w:r w:rsidRPr="00D26C76">
              <w:rPr>
                <w:sz w:val="22"/>
                <w:szCs w:val="22"/>
              </w:rPr>
              <w:t>All 20 jurisdictions</w:t>
            </w:r>
            <w:r w:rsidR="00FF734C">
              <w:rPr>
                <w:sz w:val="22"/>
                <w:szCs w:val="22"/>
              </w:rPr>
              <w:t xml:space="preserve"> participating in pre-existing cooperative agreements, specifically:</w:t>
            </w:r>
          </w:p>
          <w:p w:rsidR="00E30E7D" w:rsidRPr="00D26C76" w:rsidRDefault="00E30E7D" w:rsidP="000677F3">
            <w:pPr>
              <w:numPr>
                <w:ilvl w:val="1"/>
                <w:numId w:val="33"/>
              </w:numPr>
              <w:spacing w:after="160" w:line="259" w:lineRule="auto"/>
              <w:contextualSpacing/>
              <w:rPr>
                <w:sz w:val="22"/>
                <w:szCs w:val="22"/>
              </w:rPr>
            </w:pPr>
            <w:r w:rsidRPr="00D26C76">
              <w:rPr>
                <w:rFonts w:cstheme="minorHAnsi"/>
                <w:sz w:val="22"/>
                <w:szCs w:val="22"/>
              </w:rPr>
              <w:t>CDC’s Tuberculosis Elimination and Laboratory Cooperative Agreement (CDC-RFA-PS15-1501) funds salaried positions for data reporting</w:t>
            </w:r>
          </w:p>
          <w:p w:rsidR="00E30E7D" w:rsidRPr="00D26C76" w:rsidRDefault="00E30E7D" w:rsidP="000677F3">
            <w:pPr>
              <w:numPr>
                <w:ilvl w:val="1"/>
                <w:numId w:val="33"/>
              </w:numPr>
              <w:spacing w:after="160" w:line="259" w:lineRule="auto"/>
              <w:contextualSpacing/>
              <w:rPr>
                <w:sz w:val="22"/>
                <w:szCs w:val="22"/>
              </w:rPr>
            </w:pPr>
            <w:r w:rsidRPr="00D26C76">
              <w:rPr>
                <w:rFonts w:cstheme="minorHAnsi"/>
                <w:sz w:val="22"/>
                <w:szCs w:val="22"/>
              </w:rPr>
              <w:t>Accelerating the Prevention and Control of HIV/AIDS, Viral Hepatitis, STDs and TB in the U.S. Affiliated Pacific Islands Cooperative Agreement (CDC-RFA-PS13-1301) funds positions</w:t>
            </w:r>
          </w:p>
        </w:tc>
      </w:tr>
      <w:tr w:rsidR="00E30E7D" w:rsidRPr="00D26C76" w:rsidTr="000677F3">
        <w:tc>
          <w:tcPr>
            <w:tcW w:w="2880" w:type="dxa"/>
          </w:tcPr>
          <w:p w:rsidR="00E30E7D" w:rsidRPr="00D26C76" w:rsidRDefault="00E30E7D" w:rsidP="000677F3">
            <w:pPr>
              <w:rPr>
                <w:sz w:val="22"/>
                <w:szCs w:val="22"/>
              </w:rPr>
            </w:pPr>
            <w:r w:rsidRPr="00D26C76">
              <w:rPr>
                <w:sz w:val="22"/>
                <w:szCs w:val="22"/>
              </w:rPr>
              <w:t>Anticipated frequency of reporting to CDC</w:t>
            </w:r>
          </w:p>
        </w:tc>
        <w:tc>
          <w:tcPr>
            <w:tcW w:w="6300" w:type="dxa"/>
          </w:tcPr>
          <w:p w:rsidR="00E30E7D" w:rsidRPr="00D26C76" w:rsidRDefault="00E30E7D" w:rsidP="000677F3">
            <w:pPr>
              <w:pStyle w:val="ListParagraph"/>
              <w:numPr>
                <w:ilvl w:val="0"/>
                <w:numId w:val="33"/>
              </w:numPr>
              <w:contextualSpacing/>
              <w:rPr>
                <w:sz w:val="22"/>
                <w:szCs w:val="22"/>
              </w:rPr>
            </w:pPr>
            <w:r w:rsidRPr="00D26C76">
              <w:rPr>
                <w:sz w:val="22"/>
                <w:szCs w:val="22"/>
              </w:rPr>
              <w:t>Weekly</w:t>
            </w:r>
          </w:p>
        </w:tc>
      </w:tr>
      <w:tr w:rsidR="00E30E7D" w:rsidRPr="00D26C76" w:rsidTr="000677F3">
        <w:trPr>
          <w:trHeight w:val="1430"/>
        </w:trPr>
        <w:tc>
          <w:tcPr>
            <w:tcW w:w="2880" w:type="dxa"/>
          </w:tcPr>
          <w:p w:rsidR="00E30E7D" w:rsidRPr="00D26C76" w:rsidRDefault="00E30E7D" w:rsidP="000677F3">
            <w:pPr>
              <w:rPr>
                <w:sz w:val="22"/>
                <w:szCs w:val="22"/>
              </w:rPr>
            </w:pPr>
            <w:r w:rsidRPr="00D26C76">
              <w:rPr>
                <w:sz w:val="22"/>
                <w:szCs w:val="22"/>
              </w:rPr>
              <w:t>Based on the above information, what is the proposed priority associated with condition</w:t>
            </w:r>
          </w:p>
        </w:tc>
        <w:tc>
          <w:tcPr>
            <w:tcW w:w="6300" w:type="dxa"/>
          </w:tcPr>
          <w:p w:rsidR="00E30E7D" w:rsidRPr="00D26C76" w:rsidRDefault="004D0695" w:rsidP="004D0695">
            <w:pPr>
              <w:spacing w:after="160" w:line="259" w:lineRule="auto"/>
              <w:ind w:left="720"/>
              <w:contextualSpacing/>
              <w:rPr>
                <w:sz w:val="22"/>
                <w:szCs w:val="22"/>
              </w:rPr>
            </w:pPr>
            <w:r w:rsidRPr="004D0695">
              <w:rPr>
                <w:sz w:val="22"/>
                <w:szCs w:val="22"/>
              </w:rPr>
              <w:t>States will determine the priority of adding this collection</w:t>
            </w:r>
            <w:r w:rsidRPr="004D0695" w:rsidDel="004D0695">
              <w:rPr>
                <w:sz w:val="22"/>
                <w:szCs w:val="22"/>
              </w:rPr>
              <w:t xml:space="preserve"> </w:t>
            </w:r>
          </w:p>
        </w:tc>
      </w:tr>
    </w:tbl>
    <w:p w:rsidR="00E30E7D" w:rsidRDefault="00E30E7D" w:rsidP="00E30E7D">
      <w:pPr>
        <w:spacing w:line="360" w:lineRule="auto"/>
        <w:rPr>
          <w:rFonts w:asciiTheme="minorHAnsi" w:hAnsiTheme="minorHAnsi"/>
          <w:color w:val="000000"/>
          <w:sz w:val="22"/>
          <w:szCs w:val="22"/>
          <w:highlight w:val="yellow"/>
        </w:rPr>
      </w:pPr>
    </w:p>
    <w:p w:rsidR="00E30E7D" w:rsidRPr="009D3F8D" w:rsidRDefault="00E30E7D" w:rsidP="00E30E7D">
      <w:pPr>
        <w:spacing w:line="360" w:lineRule="auto"/>
        <w:rPr>
          <w:rFonts w:asciiTheme="minorHAnsi" w:hAnsiTheme="minorHAnsi"/>
          <w:color w:val="000000"/>
          <w:sz w:val="22"/>
          <w:szCs w:val="22"/>
          <w:highlight w:val="yellow"/>
        </w:rPr>
      </w:pPr>
      <w:r w:rsidRPr="009D3F8D">
        <w:rPr>
          <w:rFonts w:asciiTheme="minorHAnsi" w:hAnsiTheme="minorHAnsi"/>
          <w:color w:val="000000"/>
          <w:sz w:val="22"/>
          <w:szCs w:val="22"/>
          <w:highlight w:val="yellow"/>
        </w:rPr>
        <w:t>RSV-Associated Mortality</w:t>
      </w:r>
    </w:p>
    <w:p w:rsidR="00E30E7D" w:rsidRDefault="00E30E7D" w:rsidP="00E30E7D">
      <w:pPr>
        <w:spacing w:line="360" w:lineRule="auto"/>
        <w:rPr>
          <w:rFonts w:asciiTheme="minorHAnsi" w:hAnsiTheme="minorHAnsi"/>
          <w:color w:val="000000"/>
          <w:sz w:val="22"/>
          <w:szCs w:val="22"/>
          <w:highlight w:val="yellow"/>
        </w:rPr>
      </w:pPr>
      <w:r w:rsidRPr="009D3F8D">
        <w:rPr>
          <w:rFonts w:asciiTheme="minorHAnsi" w:hAnsiTheme="minorHAnsi"/>
          <w:color w:val="000000"/>
          <w:sz w:val="22"/>
          <w:szCs w:val="22"/>
          <w:highlight w:val="yellow"/>
        </w:rPr>
        <w:t>CSTE issued a position statement in 2018 that rendered RSV-Associated Mortality under standardized surveillance</w:t>
      </w:r>
      <w:r>
        <w:rPr>
          <w:rFonts w:asciiTheme="minorHAnsi" w:hAnsiTheme="minorHAnsi"/>
          <w:color w:val="000000"/>
          <w:sz w:val="22"/>
          <w:szCs w:val="22"/>
          <w:highlight w:val="yellow"/>
        </w:rPr>
        <w:t xml:space="preserve"> </w:t>
      </w:r>
      <w:r w:rsidRPr="00EC7D96">
        <w:rPr>
          <w:rFonts w:asciiTheme="minorHAnsi" w:hAnsiTheme="minorHAnsi"/>
          <w:color w:val="000000"/>
          <w:sz w:val="22"/>
          <w:szCs w:val="22"/>
          <w:highlight w:val="yellow"/>
        </w:rPr>
        <w:t>(</w:t>
      </w:r>
      <w:hyperlink r:id="rId18" w:history="1">
        <w:r w:rsidRPr="00EC7D96">
          <w:rPr>
            <w:rStyle w:val="Hyperlink"/>
            <w:rFonts w:asciiTheme="minorHAnsi" w:hAnsiTheme="minorHAnsi"/>
            <w:sz w:val="22"/>
            <w:szCs w:val="22"/>
            <w:highlight w:val="yellow"/>
          </w:rPr>
          <w:t>https://cdn.ymaws.com/www.cste.org/resource/resmgr/2018_position_statements/18-ID-01.pdf</w:t>
        </w:r>
      </w:hyperlink>
      <w:r w:rsidRPr="00EC7D96">
        <w:rPr>
          <w:rFonts w:asciiTheme="minorHAnsi" w:hAnsiTheme="minorHAnsi"/>
          <w:color w:val="000000"/>
          <w:sz w:val="22"/>
          <w:szCs w:val="22"/>
          <w:highlight w:val="yellow"/>
        </w:rPr>
        <w:t xml:space="preserve">). </w:t>
      </w:r>
      <w:r w:rsidRPr="009D3F8D">
        <w:rPr>
          <w:rFonts w:asciiTheme="minorHAnsi" w:hAnsiTheme="minorHAnsi"/>
          <w:color w:val="000000"/>
          <w:sz w:val="22"/>
          <w:szCs w:val="22"/>
          <w:highlight w:val="yellow"/>
        </w:rPr>
        <w:t>This position statement says that “</w:t>
      </w:r>
      <w:r>
        <w:rPr>
          <w:rFonts w:asciiTheme="minorHAnsi" w:hAnsiTheme="minorHAnsi"/>
          <w:color w:val="000000"/>
          <w:sz w:val="22"/>
          <w:szCs w:val="22"/>
          <w:highlight w:val="yellow"/>
        </w:rPr>
        <w:t>i</w:t>
      </w:r>
      <w:r w:rsidRPr="009D3F8D">
        <w:rPr>
          <w:rFonts w:asciiTheme="minorHAnsi" w:hAnsiTheme="minorHAnsi"/>
          <w:color w:val="000000"/>
          <w:sz w:val="22"/>
          <w:szCs w:val="22"/>
          <w:highlight w:val="yellow"/>
        </w:rPr>
        <w:t>f requested by CDC, jurisdictions (e.g., States and Territories) conducting surveillance according to these methods may voluntarily submit case information to CDC.” CDC request permission to receive case notification data for RSV-Associated Mortality as it is now under standardized surveillance</w:t>
      </w:r>
      <w:r w:rsidRPr="006452B5">
        <w:rPr>
          <w:rFonts w:asciiTheme="minorHAnsi" w:hAnsiTheme="minorHAnsi"/>
          <w:color w:val="000000"/>
          <w:sz w:val="22"/>
          <w:szCs w:val="22"/>
          <w:highlight w:val="yellow"/>
        </w:rPr>
        <w:t>.</w:t>
      </w:r>
    </w:p>
    <w:p w:rsidR="00246CD5" w:rsidRDefault="00246CD5" w:rsidP="00E30E7D">
      <w:pPr>
        <w:spacing w:line="360" w:lineRule="auto"/>
        <w:rPr>
          <w:rFonts w:asciiTheme="minorHAnsi" w:hAnsiTheme="minorHAnsi"/>
          <w:color w:val="000000"/>
          <w:sz w:val="22"/>
          <w:szCs w:val="22"/>
          <w:highlight w:val="yellow"/>
        </w:rPr>
      </w:pPr>
    </w:p>
    <w:p w:rsidR="00246CD5" w:rsidRPr="006452B5" w:rsidRDefault="00246CD5" w:rsidP="00E30E7D">
      <w:pPr>
        <w:spacing w:line="360" w:lineRule="auto"/>
        <w:rPr>
          <w:rFonts w:asciiTheme="minorHAnsi" w:hAnsiTheme="minorHAnsi"/>
          <w:color w:val="000000"/>
          <w:sz w:val="22"/>
          <w:szCs w:val="22"/>
          <w:highlight w:val="yellow"/>
        </w:rPr>
      </w:pPr>
    </w:p>
    <w:tbl>
      <w:tblPr>
        <w:tblStyle w:val="TableGrid"/>
        <w:tblW w:w="9180" w:type="dxa"/>
        <w:tblInd w:w="85" w:type="dxa"/>
        <w:tblLook w:val="04A0" w:firstRow="1" w:lastRow="0" w:firstColumn="1" w:lastColumn="0" w:noHBand="0" w:noVBand="1"/>
      </w:tblPr>
      <w:tblGrid>
        <w:gridCol w:w="2880"/>
        <w:gridCol w:w="6300"/>
      </w:tblGrid>
      <w:tr w:rsidR="00E30E7D" w:rsidRPr="00D26C76" w:rsidTr="000677F3">
        <w:tc>
          <w:tcPr>
            <w:tcW w:w="2880" w:type="dxa"/>
          </w:tcPr>
          <w:p w:rsidR="00E30E7D" w:rsidRPr="00D26C76" w:rsidRDefault="00E30E7D" w:rsidP="000677F3">
            <w:pPr>
              <w:rPr>
                <w:b/>
                <w:sz w:val="22"/>
                <w:szCs w:val="22"/>
              </w:rPr>
            </w:pPr>
            <w:r w:rsidRPr="00D26C76">
              <w:rPr>
                <w:b/>
                <w:sz w:val="22"/>
                <w:szCs w:val="22"/>
              </w:rPr>
              <w:t>RSV-Mortality</w:t>
            </w:r>
          </w:p>
        </w:tc>
        <w:tc>
          <w:tcPr>
            <w:tcW w:w="6300" w:type="dxa"/>
          </w:tcPr>
          <w:p w:rsidR="00E30E7D" w:rsidRPr="00D26C76" w:rsidRDefault="00E30E7D" w:rsidP="000677F3">
            <w:pPr>
              <w:rPr>
                <w:sz w:val="22"/>
                <w:szCs w:val="22"/>
              </w:rPr>
            </w:pPr>
          </w:p>
        </w:tc>
      </w:tr>
      <w:tr w:rsidR="00E30E7D" w:rsidRPr="00D26C76" w:rsidTr="000677F3">
        <w:tc>
          <w:tcPr>
            <w:tcW w:w="2880" w:type="dxa"/>
          </w:tcPr>
          <w:p w:rsidR="00E30E7D" w:rsidRPr="00D26C76" w:rsidRDefault="00E30E7D" w:rsidP="000677F3">
            <w:pPr>
              <w:rPr>
                <w:sz w:val="22"/>
                <w:szCs w:val="22"/>
              </w:rPr>
            </w:pPr>
            <w:r w:rsidRPr="00D26C76">
              <w:rPr>
                <w:sz w:val="22"/>
                <w:szCs w:val="22"/>
              </w:rPr>
              <w:t>The impetus/urgency for CDC to institute case notification and data elements for this condition</w:t>
            </w:r>
          </w:p>
          <w:p w:rsidR="00E30E7D" w:rsidRPr="00D26C76" w:rsidRDefault="00E30E7D" w:rsidP="000677F3">
            <w:pPr>
              <w:rPr>
                <w:b/>
                <w:sz w:val="22"/>
                <w:szCs w:val="22"/>
              </w:rPr>
            </w:pPr>
          </w:p>
        </w:tc>
        <w:tc>
          <w:tcPr>
            <w:tcW w:w="6300" w:type="dxa"/>
          </w:tcPr>
          <w:p w:rsidR="00E30E7D" w:rsidRPr="00D26C76" w:rsidRDefault="00E30E7D" w:rsidP="000677F3">
            <w:pPr>
              <w:pStyle w:val="ListParagraph"/>
              <w:numPr>
                <w:ilvl w:val="0"/>
                <w:numId w:val="41"/>
              </w:numPr>
              <w:contextualSpacing/>
              <w:rPr>
                <w:sz w:val="22"/>
                <w:szCs w:val="22"/>
              </w:rPr>
            </w:pPr>
            <w:r w:rsidRPr="00D26C76">
              <w:rPr>
                <w:sz w:val="22"/>
                <w:szCs w:val="22"/>
              </w:rPr>
              <w:t>To establish pre-vaccine baseline mortality associated with RSV, which is vital for assessing the effectiveness of vaccines when they are introduced in the United States</w:t>
            </w:r>
          </w:p>
        </w:tc>
      </w:tr>
      <w:tr w:rsidR="00E30E7D" w:rsidRPr="00D26C76" w:rsidTr="000677F3">
        <w:trPr>
          <w:trHeight w:val="1025"/>
        </w:trPr>
        <w:tc>
          <w:tcPr>
            <w:tcW w:w="2880" w:type="dxa"/>
          </w:tcPr>
          <w:p w:rsidR="00E30E7D" w:rsidRPr="00D26C76" w:rsidRDefault="00E30E7D" w:rsidP="000677F3">
            <w:pPr>
              <w:rPr>
                <w:sz w:val="22"/>
                <w:szCs w:val="22"/>
              </w:rPr>
            </w:pPr>
            <w:r w:rsidRPr="00D26C76">
              <w:rPr>
                <w:sz w:val="22"/>
                <w:szCs w:val="22"/>
              </w:rPr>
              <w:t>Existing sources of data (Federal, non-federal, private, etc.) and what those sources say about approximate national incidence and/or prevalence of the condition</w:t>
            </w:r>
          </w:p>
          <w:p w:rsidR="00E30E7D" w:rsidRPr="00D26C76" w:rsidRDefault="00E30E7D" w:rsidP="000677F3">
            <w:pPr>
              <w:rPr>
                <w:sz w:val="22"/>
                <w:szCs w:val="22"/>
              </w:rPr>
            </w:pPr>
          </w:p>
        </w:tc>
        <w:tc>
          <w:tcPr>
            <w:tcW w:w="6300" w:type="dxa"/>
          </w:tcPr>
          <w:p w:rsidR="00E30E7D" w:rsidRPr="00D26C76" w:rsidRDefault="00E30E7D" w:rsidP="000677F3">
            <w:pPr>
              <w:pStyle w:val="ListParagraph"/>
              <w:numPr>
                <w:ilvl w:val="0"/>
                <w:numId w:val="41"/>
              </w:numPr>
              <w:contextualSpacing/>
              <w:rPr>
                <w:sz w:val="22"/>
                <w:szCs w:val="22"/>
              </w:rPr>
            </w:pPr>
            <w:r w:rsidRPr="00D26C76">
              <w:rPr>
                <w:sz w:val="22"/>
                <w:szCs w:val="22"/>
              </w:rPr>
              <w:t>1001 death certificates with a code for an RSV-associated cause of death for either the underlying or a contributing cause of death [National Center for Health Statistics (NCHS) multiple-cause-of-death vital statistics data for all ages in the US from 2005 to 2016]</w:t>
            </w:r>
          </w:p>
        </w:tc>
      </w:tr>
      <w:tr w:rsidR="00E30E7D" w:rsidRPr="00D26C76" w:rsidTr="000677F3">
        <w:tc>
          <w:tcPr>
            <w:tcW w:w="2880" w:type="dxa"/>
          </w:tcPr>
          <w:p w:rsidR="00E30E7D" w:rsidRPr="00D26C76" w:rsidRDefault="00E30E7D" w:rsidP="000677F3">
            <w:pPr>
              <w:rPr>
                <w:sz w:val="22"/>
                <w:szCs w:val="22"/>
              </w:rPr>
            </w:pPr>
            <w:r w:rsidRPr="00D26C76">
              <w:rPr>
                <w:sz w:val="22"/>
                <w:szCs w:val="22"/>
              </w:rPr>
              <w:t>Incremental coverage provided by adding the condition to NNDSS (how CDC will use additional precision)</w:t>
            </w:r>
          </w:p>
          <w:p w:rsidR="00E30E7D" w:rsidRPr="00D26C76" w:rsidRDefault="00E30E7D" w:rsidP="000677F3">
            <w:pPr>
              <w:rPr>
                <w:sz w:val="22"/>
                <w:szCs w:val="22"/>
              </w:rPr>
            </w:pPr>
          </w:p>
        </w:tc>
        <w:tc>
          <w:tcPr>
            <w:tcW w:w="6300" w:type="dxa"/>
          </w:tcPr>
          <w:p w:rsidR="00E30E7D" w:rsidRDefault="00E30E7D" w:rsidP="000677F3">
            <w:pPr>
              <w:pStyle w:val="ListParagraph"/>
              <w:numPr>
                <w:ilvl w:val="0"/>
                <w:numId w:val="41"/>
              </w:numPr>
              <w:contextualSpacing/>
              <w:rPr>
                <w:sz w:val="22"/>
                <w:szCs w:val="22"/>
              </w:rPr>
            </w:pPr>
            <w:r w:rsidRPr="00D26C76">
              <w:rPr>
                <w:sz w:val="22"/>
                <w:szCs w:val="22"/>
              </w:rPr>
              <w:t>Not possible to anticipate the incremental coverage</w:t>
            </w:r>
          </w:p>
          <w:p w:rsidR="00FF734C" w:rsidRPr="00D26C76" w:rsidRDefault="00FF734C" w:rsidP="005568B0">
            <w:pPr>
              <w:pStyle w:val="ListParagraph"/>
              <w:numPr>
                <w:ilvl w:val="0"/>
                <w:numId w:val="41"/>
              </w:numPr>
              <w:contextualSpacing/>
              <w:rPr>
                <w:sz w:val="22"/>
                <w:szCs w:val="22"/>
              </w:rPr>
            </w:pPr>
            <w:r>
              <w:rPr>
                <w:sz w:val="22"/>
                <w:szCs w:val="22"/>
              </w:rPr>
              <w:t xml:space="preserve">Case-based notification </w:t>
            </w:r>
            <w:r w:rsidRPr="00FF734C">
              <w:rPr>
                <w:sz w:val="22"/>
                <w:szCs w:val="22"/>
              </w:rPr>
              <w:t>includes critical information not included in death certificates</w:t>
            </w:r>
            <w:r>
              <w:rPr>
                <w:sz w:val="22"/>
                <w:szCs w:val="22"/>
              </w:rPr>
              <w:t>, specifically data regarding</w:t>
            </w:r>
            <w:r w:rsidRPr="00FF734C">
              <w:rPr>
                <w:sz w:val="22"/>
                <w:szCs w:val="22"/>
              </w:rPr>
              <w:t xml:space="preserve"> laboratory-confirmation of RSV</w:t>
            </w:r>
          </w:p>
        </w:tc>
      </w:tr>
      <w:tr w:rsidR="00E30E7D" w:rsidRPr="00D26C76" w:rsidTr="000677F3">
        <w:tc>
          <w:tcPr>
            <w:tcW w:w="2880" w:type="dxa"/>
          </w:tcPr>
          <w:p w:rsidR="00E30E7D" w:rsidRPr="00D26C76" w:rsidRDefault="00E30E7D" w:rsidP="000677F3">
            <w:pPr>
              <w:rPr>
                <w:sz w:val="22"/>
                <w:szCs w:val="22"/>
              </w:rPr>
            </w:pPr>
            <w:r w:rsidRPr="00D26C76">
              <w:rPr>
                <w:sz w:val="22"/>
                <w:szCs w:val="22"/>
              </w:rPr>
              <w:t xml:space="preserve">Number of states that currently require reporting of these conditions and data elements </w:t>
            </w:r>
          </w:p>
        </w:tc>
        <w:tc>
          <w:tcPr>
            <w:tcW w:w="6300" w:type="dxa"/>
          </w:tcPr>
          <w:p w:rsidR="00E30E7D" w:rsidRPr="00D26C76" w:rsidRDefault="00E30E7D" w:rsidP="000677F3">
            <w:pPr>
              <w:pStyle w:val="ListParagraph"/>
              <w:numPr>
                <w:ilvl w:val="0"/>
                <w:numId w:val="41"/>
              </w:numPr>
              <w:contextualSpacing/>
              <w:rPr>
                <w:sz w:val="22"/>
                <w:szCs w:val="22"/>
              </w:rPr>
            </w:pPr>
            <w:r w:rsidRPr="00D26C76">
              <w:rPr>
                <w:sz w:val="22"/>
                <w:szCs w:val="22"/>
              </w:rPr>
              <w:t xml:space="preserve">6 jurisdictions </w:t>
            </w:r>
          </w:p>
        </w:tc>
      </w:tr>
      <w:tr w:rsidR="00E30E7D" w:rsidRPr="00D26C76" w:rsidTr="000677F3">
        <w:tc>
          <w:tcPr>
            <w:tcW w:w="2880" w:type="dxa"/>
          </w:tcPr>
          <w:p w:rsidR="00E30E7D" w:rsidRPr="00D26C76" w:rsidRDefault="00E30E7D" w:rsidP="000677F3">
            <w:pPr>
              <w:rPr>
                <w:sz w:val="22"/>
                <w:szCs w:val="22"/>
              </w:rPr>
            </w:pPr>
            <w:r w:rsidRPr="00D26C76">
              <w:rPr>
                <w:sz w:val="22"/>
                <w:szCs w:val="22"/>
              </w:rPr>
              <w:t xml:space="preserve">The number of states anticipated to adopt if added to NNDSS and basis of estimate </w:t>
            </w:r>
          </w:p>
          <w:p w:rsidR="00E30E7D" w:rsidRPr="00D26C76" w:rsidRDefault="00E30E7D" w:rsidP="000677F3">
            <w:pPr>
              <w:ind w:left="720"/>
              <w:rPr>
                <w:sz w:val="22"/>
                <w:szCs w:val="22"/>
              </w:rPr>
            </w:pPr>
            <w:r w:rsidRPr="00D26C76">
              <w:rPr>
                <w:sz w:val="22"/>
                <w:szCs w:val="22"/>
              </w:rPr>
              <w:t>Funding allocated specifically for a condition and/or additional elements (please list source where applicable)</w:t>
            </w:r>
          </w:p>
          <w:p w:rsidR="00E30E7D" w:rsidRPr="00D26C76" w:rsidRDefault="00E30E7D" w:rsidP="000677F3">
            <w:pPr>
              <w:rPr>
                <w:sz w:val="22"/>
                <w:szCs w:val="22"/>
              </w:rPr>
            </w:pPr>
          </w:p>
        </w:tc>
        <w:tc>
          <w:tcPr>
            <w:tcW w:w="6300" w:type="dxa"/>
          </w:tcPr>
          <w:p w:rsidR="00E30E7D" w:rsidRPr="00D26C76" w:rsidRDefault="00E30E7D" w:rsidP="000677F3">
            <w:pPr>
              <w:numPr>
                <w:ilvl w:val="0"/>
                <w:numId w:val="42"/>
              </w:numPr>
              <w:spacing w:after="160" w:line="259" w:lineRule="auto"/>
              <w:contextualSpacing/>
              <w:rPr>
                <w:sz w:val="22"/>
                <w:szCs w:val="22"/>
              </w:rPr>
            </w:pPr>
            <w:r w:rsidRPr="00D26C76">
              <w:rPr>
                <w:sz w:val="22"/>
                <w:szCs w:val="22"/>
              </w:rPr>
              <w:t xml:space="preserve">15 jurisdictions </w:t>
            </w:r>
          </w:p>
          <w:p w:rsidR="00E30E7D" w:rsidRPr="00D26C76" w:rsidRDefault="00E30E7D" w:rsidP="000677F3">
            <w:pPr>
              <w:numPr>
                <w:ilvl w:val="1"/>
                <w:numId w:val="42"/>
              </w:numPr>
              <w:spacing w:after="160" w:line="259" w:lineRule="auto"/>
              <w:contextualSpacing/>
              <w:rPr>
                <w:sz w:val="22"/>
                <w:szCs w:val="22"/>
              </w:rPr>
            </w:pPr>
            <w:r w:rsidRPr="00D26C76">
              <w:rPr>
                <w:rFonts w:cstheme="minorHAnsi"/>
                <w:sz w:val="22"/>
                <w:szCs w:val="22"/>
              </w:rPr>
              <w:t>No specific funding allocated</w:t>
            </w:r>
          </w:p>
        </w:tc>
      </w:tr>
      <w:tr w:rsidR="00E30E7D" w:rsidRPr="00D26C76" w:rsidTr="000677F3">
        <w:tc>
          <w:tcPr>
            <w:tcW w:w="2880" w:type="dxa"/>
          </w:tcPr>
          <w:p w:rsidR="00E30E7D" w:rsidRPr="00D26C76" w:rsidRDefault="00E30E7D" w:rsidP="000677F3">
            <w:pPr>
              <w:rPr>
                <w:sz w:val="22"/>
                <w:szCs w:val="22"/>
              </w:rPr>
            </w:pPr>
            <w:r w:rsidRPr="00D26C76">
              <w:rPr>
                <w:sz w:val="22"/>
                <w:szCs w:val="22"/>
              </w:rPr>
              <w:t>Anticipated frequency of reporting to CDC</w:t>
            </w:r>
          </w:p>
        </w:tc>
        <w:tc>
          <w:tcPr>
            <w:tcW w:w="6300" w:type="dxa"/>
          </w:tcPr>
          <w:p w:rsidR="00E30E7D" w:rsidRPr="00D26C76" w:rsidRDefault="00E30E7D" w:rsidP="000677F3">
            <w:pPr>
              <w:pStyle w:val="ListParagraph"/>
              <w:numPr>
                <w:ilvl w:val="0"/>
                <w:numId w:val="42"/>
              </w:numPr>
              <w:contextualSpacing/>
              <w:rPr>
                <w:sz w:val="22"/>
                <w:szCs w:val="22"/>
              </w:rPr>
            </w:pPr>
            <w:r w:rsidRPr="00D26C76">
              <w:rPr>
                <w:sz w:val="22"/>
                <w:szCs w:val="22"/>
              </w:rPr>
              <w:t>Quarterly or less frequent</w:t>
            </w:r>
            <w:r w:rsidR="00FF734C">
              <w:rPr>
                <w:sz w:val="22"/>
                <w:szCs w:val="22"/>
              </w:rPr>
              <w:t>, as it aligns with suggested reporting frequency guidance</w:t>
            </w:r>
            <w:r w:rsidR="00DC166C">
              <w:rPr>
                <w:sz w:val="22"/>
                <w:szCs w:val="22"/>
              </w:rPr>
              <w:t xml:space="preserve"> for RSV</w:t>
            </w:r>
            <w:r w:rsidR="00FF734C">
              <w:rPr>
                <w:sz w:val="22"/>
                <w:szCs w:val="22"/>
              </w:rPr>
              <w:t xml:space="preserve"> (provided by CDC to jurisdictions)</w:t>
            </w:r>
            <w:r w:rsidR="00DC166C">
              <w:rPr>
                <w:sz w:val="22"/>
                <w:szCs w:val="22"/>
              </w:rPr>
              <w:t xml:space="preserve"> </w:t>
            </w:r>
          </w:p>
        </w:tc>
      </w:tr>
      <w:tr w:rsidR="00E30E7D" w:rsidRPr="00D26C76" w:rsidTr="000677F3">
        <w:trPr>
          <w:trHeight w:val="1430"/>
        </w:trPr>
        <w:tc>
          <w:tcPr>
            <w:tcW w:w="2880" w:type="dxa"/>
          </w:tcPr>
          <w:p w:rsidR="00E30E7D" w:rsidRPr="00D26C76" w:rsidRDefault="00E30E7D" w:rsidP="000677F3">
            <w:pPr>
              <w:rPr>
                <w:sz w:val="22"/>
                <w:szCs w:val="22"/>
              </w:rPr>
            </w:pPr>
            <w:r w:rsidRPr="00D26C76">
              <w:rPr>
                <w:sz w:val="22"/>
                <w:szCs w:val="22"/>
              </w:rPr>
              <w:t>Based on the above information, what is the proposed priority associated with condition</w:t>
            </w:r>
          </w:p>
        </w:tc>
        <w:tc>
          <w:tcPr>
            <w:tcW w:w="6300" w:type="dxa"/>
          </w:tcPr>
          <w:p w:rsidR="00E30E7D" w:rsidRPr="00D26C76" w:rsidRDefault="00A24443" w:rsidP="00A24443">
            <w:pPr>
              <w:spacing w:after="160" w:line="259" w:lineRule="auto"/>
              <w:ind w:left="720"/>
              <w:contextualSpacing/>
            </w:pPr>
            <w:r w:rsidRPr="00A24443">
              <w:rPr>
                <w:sz w:val="22"/>
                <w:szCs w:val="22"/>
              </w:rPr>
              <w:t xml:space="preserve">States will determine the priority of adding this collection </w:t>
            </w:r>
          </w:p>
        </w:tc>
      </w:tr>
    </w:tbl>
    <w:p w:rsidR="00E30E7D" w:rsidRPr="00B84B80" w:rsidRDefault="00E30E7D" w:rsidP="00E30E7D">
      <w:pPr>
        <w:spacing w:line="360" w:lineRule="auto"/>
        <w:rPr>
          <w:rFonts w:asciiTheme="minorHAnsi" w:hAnsiTheme="minorHAnsi"/>
          <w:color w:val="000000"/>
          <w:sz w:val="22"/>
          <w:szCs w:val="22"/>
        </w:rPr>
      </w:pPr>
    </w:p>
    <w:p w:rsidR="00246CD5" w:rsidRDefault="00246CD5" w:rsidP="00E30E7D">
      <w:pPr>
        <w:tabs>
          <w:tab w:val="left" w:pos="1"/>
          <w:tab w:val="left" w:pos="1584"/>
          <w:tab w:val="left" w:pos="3888"/>
          <w:tab w:val="left" w:pos="5472"/>
          <w:tab w:val="left" w:pos="7200"/>
        </w:tabs>
        <w:spacing w:line="360" w:lineRule="auto"/>
        <w:rPr>
          <w:rFonts w:asciiTheme="minorHAnsi" w:eastAsia="Calibri" w:hAnsiTheme="minorHAnsi"/>
          <w:sz w:val="22"/>
          <w:szCs w:val="22"/>
        </w:rPr>
      </w:pPr>
    </w:p>
    <w:p w:rsidR="00246CD5" w:rsidRDefault="00246CD5" w:rsidP="00E30E7D">
      <w:pPr>
        <w:tabs>
          <w:tab w:val="left" w:pos="1"/>
          <w:tab w:val="left" w:pos="1584"/>
          <w:tab w:val="left" w:pos="3888"/>
          <w:tab w:val="left" w:pos="5472"/>
          <w:tab w:val="left" w:pos="7200"/>
        </w:tabs>
        <w:spacing w:line="360" w:lineRule="auto"/>
        <w:rPr>
          <w:rFonts w:asciiTheme="minorHAnsi" w:eastAsia="Calibri" w:hAnsiTheme="minorHAnsi"/>
          <w:sz w:val="22"/>
          <w:szCs w:val="22"/>
        </w:rPr>
      </w:pPr>
    </w:p>
    <w:p w:rsidR="00E30E7D" w:rsidRPr="004D11D7" w:rsidRDefault="00E30E7D" w:rsidP="00E30E7D">
      <w:pPr>
        <w:tabs>
          <w:tab w:val="left" w:pos="1"/>
          <w:tab w:val="left" w:pos="1584"/>
          <w:tab w:val="left" w:pos="3888"/>
          <w:tab w:val="left" w:pos="5472"/>
          <w:tab w:val="left" w:pos="7200"/>
        </w:tabs>
        <w:spacing w:line="360" w:lineRule="auto"/>
        <w:rPr>
          <w:rFonts w:asciiTheme="minorHAnsi" w:eastAsia="Calibri" w:hAnsiTheme="minorHAnsi"/>
          <w:sz w:val="22"/>
          <w:szCs w:val="22"/>
        </w:rPr>
      </w:pPr>
      <w:r w:rsidRPr="004D11D7">
        <w:rPr>
          <w:rFonts w:asciiTheme="minorHAnsi" w:eastAsia="Calibri" w:hAnsiTheme="minorHAnsi"/>
          <w:sz w:val="22"/>
          <w:szCs w:val="22"/>
        </w:rPr>
        <w:t>Description of Data Elements Received</w:t>
      </w:r>
    </w:p>
    <w:p w:rsidR="00E30E7D" w:rsidRPr="00450B03"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For each nationally notifiable condition or condition under standardized surveillance that a state, territorial, or local jurisdiction chooses to report to CDC, a</w:t>
      </w:r>
      <w:r w:rsidRPr="00FF55BF">
        <w:rPr>
          <w:rFonts w:asciiTheme="minorHAnsi" w:hAnsiTheme="minorHAnsi"/>
          <w:color w:val="000000"/>
          <w:sz w:val="22"/>
          <w:szCs w:val="22"/>
        </w:rPr>
        <w:t xml:space="preserve"> common, core set of data elements is </w:t>
      </w:r>
      <w:r>
        <w:rPr>
          <w:rFonts w:asciiTheme="minorHAnsi" w:hAnsiTheme="minorHAnsi"/>
          <w:color w:val="000000"/>
          <w:sz w:val="22"/>
          <w:szCs w:val="22"/>
        </w:rPr>
        <w:t xml:space="preserve">requested for each case. </w:t>
      </w:r>
      <w:r w:rsidRPr="00FF55BF">
        <w:rPr>
          <w:rFonts w:asciiTheme="minorHAnsi" w:hAnsiTheme="minorHAnsi"/>
          <w:color w:val="000000"/>
          <w:sz w:val="22"/>
          <w:szCs w:val="22"/>
        </w:rPr>
        <w:t>The co</w:t>
      </w:r>
      <w:r>
        <w:rPr>
          <w:rFonts w:asciiTheme="minorHAnsi" w:hAnsiTheme="minorHAnsi"/>
          <w:color w:val="000000"/>
          <w:sz w:val="22"/>
          <w:szCs w:val="22"/>
        </w:rPr>
        <w:t>re</w:t>
      </w:r>
      <w:r w:rsidRPr="00FF55BF">
        <w:rPr>
          <w:rFonts w:asciiTheme="minorHAnsi" w:hAnsiTheme="minorHAnsi"/>
          <w:color w:val="000000"/>
          <w:sz w:val="22"/>
          <w:szCs w:val="22"/>
        </w:rPr>
        <w:t xml:space="preserve"> data elements include the name of the condition</w:t>
      </w:r>
      <w:r>
        <w:rPr>
          <w:rFonts w:asciiTheme="minorHAnsi" w:hAnsiTheme="minorHAnsi"/>
          <w:color w:val="000000"/>
          <w:sz w:val="22"/>
          <w:szCs w:val="22"/>
        </w:rPr>
        <w:t xml:space="preserve">, </w:t>
      </w:r>
      <w:r w:rsidRPr="00FF55BF">
        <w:rPr>
          <w:rFonts w:asciiTheme="minorHAnsi" w:hAnsiTheme="minorHAnsi"/>
          <w:color w:val="000000"/>
          <w:sz w:val="22"/>
          <w:szCs w:val="22"/>
        </w:rPr>
        <w:t>demographic data for the person with the condition</w:t>
      </w:r>
      <w:r>
        <w:rPr>
          <w:rFonts w:asciiTheme="minorHAnsi" w:hAnsiTheme="minorHAnsi"/>
          <w:color w:val="000000"/>
          <w:sz w:val="22"/>
          <w:szCs w:val="22"/>
        </w:rPr>
        <w:t>, epidemiologic data, and administrative data.</w:t>
      </w:r>
      <w:r w:rsidRPr="00FF55BF">
        <w:rPr>
          <w:rFonts w:asciiTheme="minorHAnsi" w:hAnsiTheme="minorHAnsi"/>
          <w:color w:val="000000"/>
          <w:sz w:val="22"/>
          <w:szCs w:val="22"/>
        </w:rPr>
        <w:t xml:space="preserve"> </w:t>
      </w:r>
      <w:r w:rsidRPr="009507AD">
        <w:rPr>
          <w:rFonts w:asciiTheme="minorHAnsi" w:hAnsiTheme="minorHAnsi"/>
          <w:color w:val="000000"/>
          <w:sz w:val="22"/>
          <w:szCs w:val="22"/>
        </w:rPr>
        <w:t>All of these core data elements were included in the previously approved ICR.</w:t>
      </w:r>
      <w:r>
        <w:rPr>
          <w:rFonts w:asciiTheme="minorHAnsi" w:hAnsiTheme="minorHAnsi"/>
          <w:color w:val="000000"/>
          <w:sz w:val="22"/>
          <w:szCs w:val="22"/>
        </w:rPr>
        <w:t xml:space="preserve"> Names, d</w:t>
      </w:r>
      <w:r w:rsidRPr="00FF55BF">
        <w:rPr>
          <w:rFonts w:asciiTheme="minorHAnsi" w:hAnsiTheme="minorHAnsi"/>
          <w:color w:val="000000"/>
          <w:sz w:val="22"/>
          <w:szCs w:val="22"/>
        </w:rPr>
        <w:t>escriptions and value set</w:t>
      </w:r>
      <w:r>
        <w:rPr>
          <w:rFonts w:asciiTheme="minorHAnsi" w:hAnsiTheme="minorHAnsi"/>
          <w:color w:val="000000"/>
          <w:sz w:val="22"/>
          <w:szCs w:val="22"/>
        </w:rPr>
        <w:t xml:space="preserve"> code</w:t>
      </w:r>
      <w:r w:rsidRPr="00FF55BF">
        <w:rPr>
          <w:rFonts w:asciiTheme="minorHAnsi" w:hAnsiTheme="minorHAnsi"/>
          <w:color w:val="000000"/>
          <w:sz w:val="22"/>
          <w:szCs w:val="22"/>
        </w:rPr>
        <w:t xml:space="preserve">s for the data elements are identified in an attachment </w:t>
      </w:r>
      <w:r w:rsidRPr="00FF55BF">
        <w:rPr>
          <w:rFonts w:asciiTheme="minorHAnsi" w:hAnsiTheme="minorHAnsi"/>
          <w:b/>
          <w:color w:val="000000"/>
          <w:sz w:val="22"/>
          <w:szCs w:val="22"/>
        </w:rPr>
        <w:t xml:space="preserve">[Attachment </w:t>
      </w:r>
      <w:r>
        <w:rPr>
          <w:rFonts w:asciiTheme="minorHAnsi" w:hAnsiTheme="minorHAnsi"/>
          <w:b/>
          <w:color w:val="000000"/>
          <w:sz w:val="22"/>
          <w:szCs w:val="22"/>
        </w:rPr>
        <w:t>8</w:t>
      </w:r>
      <w:r w:rsidRPr="00FF55BF">
        <w:rPr>
          <w:rFonts w:asciiTheme="minorHAnsi" w:hAnsiTheme="minorHAnsi"/>
          <w:b/>
          <w:color w:val="000000"/>
          <w:sz w:val="22"/>
          <w:szCs w:val="22"/>
        </w:rPr>
        <w:t>. Core Data].</w:t>
      </w:r>
      <w:r>
        <w:rPr>
          <w:rFonts w:asciiTheme="minorHAnsi" w:hAnsiTheme="minorHAnsi"/>
          <w:b/>
          <w:color w:val="000000"/>
          <w:sz w:val="22"/>
          <w:szCs w:val="22"/>
        </w:rPr>
        <w:t xml:space="preserve"> </w:t>
      </w:r>
      <w:r w:rsidRPr="00450B03">
        <w:rPr>
          <w:rFonts w:asciiTheme="minorHAnsi" w:hAnsiTheme="minorHAnsi"/>
          <w:color w:val="000000"/>
          <w:sz w:val="22"/>
          <w:szCs w:val="22"/>
        </w:rPr>
        <w:t>Twelve of these core data elements are required for a valid case notification message</w:t>
      </w:r>
      <w:r>
        <w:rPr>
          <w:rFonts w:asciiTheme="minorHAnsi" w:hAnsiTheme="minorHAnsi"/>
          <w:color w:val="000000"/>
          <w:sz w:val="22"/>
          <w:szCs w:val="22"/>
        </w:rPr>
        <w:t>. T</w:t>
      </w:r>
      <w:r w:rsidRPr="00450B03">
        <w:rPr>
          <w:rFonts w:asciiTheme="minorHAnsi" w:hAnsiTheme="minorHAnsi"/>
          <w:color w:val="000000"/>
          <w:sz w:val="22"/>
          <w:szCs w:val="22"/>
        </w:rPr>
        <w:t xml:space="preserve">he rest of the </w:t>
      </w:r>
      <w:r>
        <w:rPr>
          <w:rFonts w:asciiTheme="minorHAnsi" w:hAnsiTheme="minorHAnsi"/>
          <w:color w:val="000000"/>
          <w:sz w:val="22"/>
          <w:szCs w:val="22"/>
        </w:rPr>
        <w:t xml:space="preserve">core </w:t>
      </w:r>
      <w:r w:rsidRPr="00450B03">
        <w:rPr>
          <w:rFonts w:asciiTheme="minorHAnsi" w:hAnsiTheme="minorHAnsi"/>
          <w:color w:val="000000"/>
          <w:sz w:val="22"/>
          <w:szCs w:val="22"/>
        </w:rPr>
        <w:t>data elements are optional</w:t>
      </w:r>
      <w:r>
        <w:rPr>
          <w:rFonts w:asciiTheme="minorHAnsi" w:hAnsiTheme="minorHAnsi"/>
          <w:color w:val="000000"/>
          <w:sz w:val="22"/>
          <w:szCs w:val="22"/>
        </w:rPr>
        <w:t xml:space="preserve"> since the jurisdiction may not collect these data elements or the jurisdiction may not have the information for a particular case</w:t>
      </w:r>
      <w:r w:rsidRPr="00450B03">
        <w:rPr>
          <w:rFonts w:asciiTheme="minorHAnsi" w:hAnsiTheme="minorHAnsi"/>
          <w:color w:val="000000"/>
          <w:sz w:val="22"/>
          <w:szCs w:val="22"/>
        </w:rPr>
        <w:t xml:space="preserve">. If any one of the twelve data elements is not present in the message, the message </w:t>
      </w:r>
      <w:r>
        <w:rPr>
          <w:rFonts w:asciiTheme="minorHAnsi" w:hAnsiTheme="minorHAnsi"/>
          <w:color w:val="000000"/>
          <w:sz w:val="22"/>
          <w:szCs w:val="22"/>
        </w:rPr>
        <w:t xml:space="preserve">cannot be processed </w:t>
      </w:r>
      <w:r w:rsidRPr="00450B03">
        <w:rPr>
          <w:rFonts w:asciiTheme="minorHAnsi" w:hAnsiTheme="minorHAnsi"/>
          <w:color w:val="000000"/>
          <w:sz w:val="22"/>
          <w:szCs w:val="22"/>
        </w:rPr>
        <w:t>by CDC and an error message will be generated. These 12 data elements are highlighted in yellow on Attachment 6. Core Data.</w:t>
      </w:r>
      <w:r w:rsidR="00893F69">
        <w:rPr>
          <w:rFonts w:asciiTheme="minorHAnsi" w:hAnsiTheme="minorHAnsi"/>
          <w:color w:val="000000"/>
          <w:sz w:val="22"/>
          <w:szCs w:val="22"/>
        </w:rPr>
        <w:t xml:space="preserve"> The creation of a core set of data for each disease case report was an important acc</w:t>
      </w:r>
      <w:r w:rsidR="00D93044">
        <w:rPr>
          <w:rFonts w:asciiTheme="minorHAnsi" w:hAnsiTheme="minorHAnsi"/>
          <w:color w:val="000000"/>
          <w:sz w:val="22"/>
          <w:szCs w:val="22"/>
        </w:rPr>
        <w:t xml:space="preserve">omplishment of NNDSS.  It not only standardized case data coming into CDC but it promoted standardization across states as well.  Other CDC surveillance programs are </w:t>
      </w:r>
      <w:r w:rsidR="0032187F">
        <w:rPr>
          <w:rFonts w:asciiTheme="minorHAnsi" w:hAnsiTheme="minorHAnsi"/>
          <w:color w:val="000000"/>
          <w:sz w:val="22"/>
          <w:szCs w:val="22"/>
        </w:rPr>
        <w:t xml:space="preserve">now </w:t>
      </w:r>
      <w:r w:rsidR="00D93044">
        <w:rPr>
          <w:rFonts w:asciiTheme="minorHAnsi" w:hAnsiTheme="minorHAnsi"/>
          <w:color w:val="000000"/>
          <w:sz w:val="22"/>
          <w:szCs w:val="22"/>
        </w:rPr>
        <w:t xml:space="preserve">incorporating the core data elements </w:t>
      </w:r>
      <w:r w:rsidR="00EE3A3F">
        <w:rPr>
          <w:rFonts w:asciiTheme="minorHAnsi" w:hAnsiTheme="minorHAnsi"/>
          <w:color w:val="000000"/>
          <w:sz w:val="22"/>
          <w:szCs w:val="22"/>
        </w:rPr>
        <w:t xml:space="preserve">into </w:t>
      </w:r>
      <w:r w:rsidR="00D93044">
        <w:rPr>
          <w:rFonts w:asciiTheme="minorHAnsi" w:hAnsiTheme="minorHAnsi"/>
          <w:color w:val="000000"/>
          <w:sz w:val="22"/>
          <w:szCs w:val="22"/>
        </w:rPr>
        <w:t xml:space="preserve">their systems so that data at CDC will be interoperable and more shareable.  And, during a public health emergency, it makes data collection and exchange more timely. </w:t>
      </w:r>
      <w:r w:rsidR="00893F69">
        <w:rPr>
          <w:rFonts w:asciiTheme="minorHAnsi" w:hAnsiTheme="minorHAnsi"/>
          <w:color w:val="000000"/>
          <w:sz w:val="22"/>
          <w:szCs w:val="22"/>
        </w:rPr>
        <w:t xml:space="preserve"> </w:t>
      </w:r>
    </w:p>
    <w:p w:rsidR="00E30E7D" w:rsidRDefault="00E30E7D" w:rsidP="00E30E7D">
      <w:pPr>
        <w:spacing w:line="360" w:lineRule="auto"/>
        <w:rPr>
          <w:rFonts w:asciiTheme="minorHAnsi" w:hAnsiTheme="minorHAnsi"/>
          <w:color w:val="000000"/>
          <w:sz w:val="22"/>
          <w:szCs w:val="22"/>
        </w:rPr>
      </w:pPr>
    </w:p>
    <w:p w:rsidR="00E30E7D" w:rsidRDefault="00E30E7D" w:rsidP="00E30E7D">
      <w:pPr>
        <w:spacing w:line="360" w:lineRule="auto"/>
        <w:rPr>
          <w:rFonts w:asciiTheme="minorHAnsi" w:hAnsiTheme="minorHAnsi"/>
          <w:color w:val="000000"/>
          <w:sz w:val="22"/>
          <w:szCs w:val="22"/>
        </w:rPr>
      </w:pPr>
      <w:r w:rsidRPr="008B4840">
        <w:rPr>
          <w:rFonts w:asciiTheme="minorHAnsi" w:hAnsiTheme="minorHAnsi"/>
          <w:color w:val="000000"/>
          <w:sz w:val="22"/>
          <w:szCs w:val="22"/>
        </w:rPr>
        <w:t xml:space="preserve">For each nationally notifiable condition </w:t>
      </w:r>
      <w:r>
        <w:rPr>
          <w:rFonts w:asciiTheme="minorHAnsi" w:hAnsiTheme="minorHAnsi"/>
          <w:color w:val="000000"/>
          <w:sz w:val="22"/>
          <w:szCs w:val="22"/>
        </w:rPr>
        <w:t xml:space="preserve">or condition under standardized surveillance </w:t>
      </w:r>
      <w:r w:rsidRPr="008B4840">
        <w:rPr>
          <w:rFonts w:asciiTheme="minorHAnsi" w:hAnsiTheme="minorHAnsi"/>
          <w:color w:val="000000"/>
          <w:sz w:val="22"/>
          <w:szCs w:val="22"/>
        </w:rPr>
        <w:t xml:space="preserve">that a state, territorial, or local jurisdiction chooses to report to CDC, </w:t>
      </w:r>
      <w:r>
        <w:rPr>
          <w:rFonts w:asciiTheme="minorHAnsi" w:hAnsiTheme="minorHAnsi"/>
          <w:color w:val="000000"/>
          <w:sz w:val="22"/>
          <w:szCs w:val="22"/>
        </w:rPr>
        <w:t xml:space="preserve">a common set of optional laboratory data elements is requested for each case. </w:t>
      </w:r>
      <w:r w:rsidRPr="00436898">
        <w:rPr>
          <w:rFonts w:asciiTheme="minorHAnsi" w:hAnsiTheme="minorHAnsi"/>
          <w:color w:val="000000"/>
          <w:sz w:val="22"/>
          <w:szCs w:val="22"/>
        </w:rPr>
        <w:t>All of these laboratory data elements were included in the previously approved ICR. Names, descriptions and value set</w:t>
      </w:r>
      <w:r>
        <w:rPr>
          <w:rFonts w:asciiTheme="minorHAnsi" w:hAnsiTheme="minorHAnsi"/>
          <w:color w:val="000000"/>
          <w:sz w:val="22"/>
          <w:szCs w:val="22"/>
        </w:rPr>
        <w:t xml:space="preserve"> code</w:t>
      </w:r>
      <w:r w:rsidRPr="00436898">
        <w:rPr>
          <w:rFonts w:asciiTheme="minorHAnsi" w:hAnsiTheme="minorHAnsi"/>
          <w:color w:val="000000"/>
          <w:sz w:val="22"/>
          <w:szCs w:val="22"/>
        </w:rPr>
        <w:t xml:space="preserve">s for the data elements are identified in an attachment </w:t>
      </w:r>
      <w:r w:rsidRPr="00436898">
        <w:rPr>
          <w:rFonts w:asciiTheme="minorHAnsi" w:hAnsiTheme="minorHAnsi"/>
          <w:b/>
          <w:color w:val="000000"/>
          <w:sz w:val="22"/>
          <w:szCs w:val="22"/>
        </w:rPr>
        <w:t xml:space="preserve">[Attachment </w:t>
      </w:r>
      <w:r>
        <w:rPr>
          <w:rFonts w:asciiTheme="minorHAnsi" w:hAnsiTheme="minorHAnsi"/>
          <w:b/>
          <w:color w:val="000000"/>
          <w:sz w:val="22"/>
          <w:szCs w:val="22"/>
        </w:rPr>
        <w:t>9</w:t>
      </w:r>
      <w:r w:rsidRPr="00436898">
        <w:rPr>
          <w:rFonts w:asciiTheme="minorHAnsi" w:hAnsiTheme="minorHAnsi"/>
          <w:b/>
          <w:color w:val="000000"/>
          <w:sz w:val="22"/>
          <w:szCs w:val="22"/>
        </w:rPr>
        <w:t>. Laboratory Data]</w:t>
      </w:r>
      <w:r w:rsidRPr="00436898">
        <w:rPr>
          <w:rFonts w:asciiTheme="minorHAnsi" w:hAnsiTheme="minorHAnsi"/>
          <w:color w:val="000000"/>
          <w:sz w:val="22"/>
          <w:szCs w:val="22"/>
        </w:rPr>
        <w:t>.</w:t>
      </w:r>
      <w:r>
        <w:rPr>
          <w:rFonts w:asciiTheme="minorHAnsi" w:hAnsiTheme="minorHAnsi"/>
          <w:color w:val="000000"/>
          <w:sz w:val="22"/>
          <w:szCs w:val="22"/>
        </w:rPr>
        <w:t xml:space="preserve"> </w:t>
      </w:r>
    </w:p>
    <w:p w:rsidR="00E30E7D" w:rsidRDefault="00E30E7D" w:rsidP="00E30E7D">
      <w:pPr>
        <w:spacing w:line="360" w:lineRule="auto"/>
        <w:rPr>
          <w:rFonts w:asciiTheme="minorHAnsi" w:hAnsiTheme="minorHAnsi"/>
          <w:color w:val="000000"/>
          <w:sz w:val="22"/>
          <w:szCs w:val="22"/>
        </w:rPr>
      </w:pPr>
    </w:p>
    <w:p w:rsidR="00E30E7D" w:rsidRPr="008B3B26" w:rsidRDefault="00E30E7D" w:rsidP="00E30E7D">
      <w:pPr>
        <w:spacing w:line="360" w:lineRule="auto"/>
        <w:rPr>
          <w:rFonts w:asciiTheme="minorHAnsi" w:hAnsiTheme="minorHAnsi"/>
          <w:sz w:val="22"/>
          <w:szCs w:val="22"/>
        </w:rPr>
      </w:pPr>
      <w:r w:rsidRPr="008B4840">
        <w:rPr>
          <w:rFonts w:asciiTheme="minorHAnsi" w:hAnsiTheme="minorHAnsi"/>
          <w:sz w:val="22"/>
          <w:szCs w:val="22"/>
        </w:rPr>
        <w:t>For each nationally notifiable condition or condition under standardized surveillance</w:t>
      </w:r>
      <w:r>
        <w:rPr>
          <w:rFonts w:asciiTheme="minorHAnsi" w:hAnsiTheme="minorHAnsi"/>
          <w:sz w:val="22"/>
          <w:szCs w:val="22"/>
        </w:rPr>
        <w:t xml:space="preserve"> </w:t>
      </w:r>
      <w:r w:rsidRPr="008B4840">
        <w:rPr>
          <w:rFonts w:asciiTheme="minorHAnsi" w:hAnsiTheme="minorHAnsi"/>
          <w:sz w:val="22"/>
          <w:szCs w:val="22"/>
        </w:rPr>
        <w:t>that a state, territorial, or local jurisdiction chooses to report to CDC, a</w:t>
      </w:r>
      <w:r>
        <w:rPr>
          <w:rFonts w:asciiTheme="minorHAnsi" w:hAnsiTheme="minorHAnsi"/>
          <w:sz w:val="22"/>
          <w:szCs w:val="22"/>
        </w:rPr>
        <w:t xml:space="preserve"> </w:t>
      </w:r>
      <w:r w:rsidRPr="008B3B26">
        <w:rPr>
          <w:rFonts w:asciiTheme="minorHAnsi" w:hAnsiTheme="minorHAnsi"/>
          <w:sz w:val="22"/>
          <w:szCs w:val="22"/>
        </w:rPr>
        <w:t xml:space="preserve">common set of </w:t>
      </w:r>
      <w:r>
        <w:rPr>
          <w:rFonts w:asciiTheme="minorHAnsi" w:hAnsiTheme="minorHAnsi"/>
          <w:sz w:val="22"/>
          <w:szCs w:val="22"/>
        </w:rPr>
        <w:t xml:space="preserve">optional </w:t>
      </w:r>
      <w:r w:rsidRPr="008B3B26">
        <w:rPr>
          <w:rFonts w:asciiTheme="minorHAnsi" w:hAnsiTheme="minorHAnsi"/>
          <w:sz w:val="22"/>
          <w:szCs w:val="22"/>
        </w:rPr>
        <w:t xml:space="preserve">vaccine data elements </w:t>
      </w:r>
      <w:r>
        <w:rPr>
          <w:rFonts w:asciiTheme="minorHAnsi" w:hAnsiTheme="minorHAnsi"/>
          <w:sz w:val="22"/>
          <w:szCs w:val="22"/>
        </w:rPr>
        <w:t xml:space="preserve">is requested. </w:t>
      </w:r>
      <w:r w:rsidRPr="008B3B26">
        <w:rPr>
          <w:rFonts w:asciiTheme="minorHAnsi" w:hAnsiTheme="minorHAnsi"/>
          <w:sz w:val="22"/>
          <w:szCs w:val="22"/>
        </w:rPr>
        <w:t>All of these vaccine data elements were included in the previously approved ICR. Names, descriptions and value set</w:t>
      </w:r>
      <w:r>
        <w:rPr>
          <w:rFonts w:asciiTheme="minorHAnsi" w:hAnsiTheme="minorHAnsi"/>
          <w:sz w:val="22"/>
          <w:szCs w:val="22"/>
        </w:rPr>
        <w:t xml:space="preserve"> code</w:t>
      </w:r>
      <w:r w:rsidRPr="008B3B26">
        <w:rPr>
          <w:rFonts w:asciiTheme="minorHAnsi" w:hAnsiTheme="minorHAnsi"/>
          <w:sz w:val="22"/>
          <w:szCs w:val="22"/>
        </w:rPr>
        <w:t xml:space="preserve">s for the data elements are identified in an attachment </w:t>
      </w:r>
      <w:r w:rsidRPr="008B3B26">
        <w:rPr>
          <w:rFonts w:asciiTheme="minorHAnsi" w:hAnsiTheme="minorHAnsi"/>
          <w:b/>
          <w:sz w:val="22"/>
          <w:szCs w:val="22"/>
        </w:rPr>
        <w:t xml:space="preserve">[Attachment </w:t>
      </w:r>
      <w:r>
        <w:rPr>
          <w:rFonts w:asciiTheme="minorHAnsi" w:hAnsiTheme="minorHAnsi"/>
          <w:b/>
          <w:sz w:val="22"/>
          <w:szCs w:val="22"/>
        </w:rPr>
        <w:t>10</w:t>
      </w:r>
      <w:r w:rsidRPr="008B3B26">
        <w:rPr>
          <w:rFonts w:asciiTheme="minorHAnsi" w:hAnsiTheme="minorHAnsi"/>
          <w:b/>
          <w:sz w:val="22"/>
          <w:szCs w:val="22"/>
        </w:rPr>
        <w:t>. Vaccine Data]</w:t>
      </w:r>
      <w:r w:rsidRPr="008B3B26">
        <w:rPr>
          <w:rFonts w:asciiTheme="minorHAnsi" w:hAnsiTheme="minorHAnsi"/>
          <w:sz w:val="22"/>
          <w:szCs w:val="22"/>
        </w:rPr>
        <w:t>.</w:t>
      </w:r>
    </w:p>
    <w:p w:rsidR="00E30E7D" w:rsidRPr="00026C77" w:rsidRDefault="00E30E7D" w:rsidP="00E30E7D">
      <w:pPr>
        <w:spacing w:line="360" w:lineRule="auto"/>
        <w:rPr>
          <w:rFonts w:asciiTheme="minorHAnsi" w:hAnsiTheme="minorHAnsi"/>
          <w:color w:val="FF0000"/>
          <w:sz w:val="22"/>
          <w:szCs w:val="22"/>
        </w:rPr>
      </w:pPr>
    </w:p>
    <w:p w:rsidR="00E30E7D"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For each</w:t>
      </w:r>
      <w:r w:rsidRPr="00436898">
        <w:rPr>
          <w:rFonts w:asciiTheme="minorHAnsi" w:hAnsiTheme="minorHAnsi"/>
          <w:color w:val="000000"/>
          <w:sz w:val="22"/>
          <w:szCs w:val="22"/>
        </w:rPr>
        <w:t xml:space="preserve"> vaccine preventable disease (VPD) </w:t>
      </w:r>
      <w:r>
        <w:rPr>
          <w:rFonts w:asciiTheme="minorHAnsi" w:hAnsiTheme="minorHAnsi"/>
          <w:color w:val="000000"/>
          <w:sz w:val="22"/>
          <w:szCs w:val="22"/>
        </w:rPr>
        <w:t xml:space="preserve">that is nationally notifiable or under standardized surveillance that a state territorial, or local jurisdiction chooses to report to CDC, a common set of optional </w:t>
      </w:r>
      <w:r w:rsidRPr="00436898">
        <w:rPr>
          <w:rFonts w:asciiTheme="minorHAnsi" w:hAnsiTheme="minorHAnsi"/>
          <w:color w:val="000000"/>
          <w:sz w:val="22"/>
          <w:szCs w:val="22"/>
        </w:rPr>
        <w:t xml:space="preserve">data elements </w:t>
      </w:r>
      <w:r>
        <w:rPr>
          <w:rFonts w:asciiTheme="minorHAnsi" w:hAnsiTheme="minorHAnsi"/>
          <w:color w:val="000000"/>
          <w:sz w:val="22"/>
          <w:szCs w:val="22"/>
        </w:rPr>
        <w:t>are requested</w:t>
      </w:r>
      <w:r w:rsidRPr="00436898">
        <w:rPr>
          <w:rFonts w:asciiTheme="minorHAnsi" w:hAnsiTheme="minorHAnsi"/>
          <w:color w:val="000000"/>
          <w:sz w:val="22"/>
          <w:szCs w:val="22"/>
        </w:rPr>
        <w:t>.  All of these vaccine data elements were included in the previously approved ICR. Names, descriptions and value set</w:t>
      </w:r>
      <w:r>
        <w:rPr>
          <w:rFonts w:asciiTheme="minorHAnsi" w:hAnsiTheme="minorHAnsi"/>
          <w:color w:val="000000"/>
          <w:sz w:val="22"/>
          <w:szCs w:val="22"/>
        </w:rPr>
        <w:t xml:space="preserve"> code</w:t>
      </w:r>
      <w:r w:rsidRPr="00436898">
        <w:rPr>
          <w:rFonts w:asciiTheme="minorHAnsi" w:hAnsiTheme="minorHAnsi"/>
          <w:color w:val="000000"/>
          <w:sz w:val="22"/>
          <w:szCs w:val="22"/>
        </w:rPr>
        <w:t xml:space="preserve">s for the data elements are identified in </w:t>
      </w:r>
      <w:r w:rsidRPr="00436898">
        <w:rPr>
          <w:rFonts w:asciiTheme="minorHAnsi" w:hAnsiTheme="minorHAnsi"/>
          <w:b/>
          <w:color w:val="000000"/>
          <w:sz w:val="22"/>
          <w:szCs w:val="22"/>
        </w:rPr>
        <w:t xml:space="preserve">Attachment </w:t>
      </w:r>
      <w:r>
        <w:rPr>
          <w:rFonts w:asciiTheme="minorHAnsi" w:hAnsiTheme="minorHAnsi"/>
          <w:b/>
          <w:color w:val="000000"/>
          <w:sz w:val="22"/>
          <w:szCs w:val="22"/>
        </w:rPr>
        <w:t>11</w:t>
      </w:r>
      <w:r w:rsidRPr="00436898">
        <w:rPr>
          <w:rFonts w:asciiTheme="minorHAnsi" w:hAnsiTheme="minorHAnsi"/>
          <w:b/>
          <w:color w:val="000000"/>
          <w:sz w:val="22"/>
          <w:szCs w:val="22"/>
        </w:rPr>
        <w:t>. Vaccine Preventable Disease Data</w:t>
      </w:r>
      <w:r w:rsidRPr="00436898">
        <w:rPr>
          <w:rFonts w:asciiTheme="minorHAnsi" w:hAnsiTheme="minorHAnsi"/>
          <w:color w:val="000000"/>
          <w:sz w:val="22"/>
          <w:szCs w:val="22"/>
        </w:rPr>
        <w:t>.</w:t>
      </w:r>
    </w:p>
    <w:p w:rsidR="00E30E7D" w:rsidRDefault="00E30E7D" w:rsidP="00E30E7D">
      <w:pPr>
        <w:spacing w:line="360" w:lineRule="auto"/>
        <w:rPr>
          <w:rFonts w:asciiTheme="minorHAnsi" w:hAnsiTheme="minorHAnsi"/>
          <w:color w:val="000000"/>
          <w:sz w:val="22"/>
          <w:szCs w:val="22"/>
        </w:rPr>
      </w:pPr>
    </w:p>
    <w:p w:rsidR="00E30E7D" w:rsidRPr="00BA4299"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A</w:t>
      </w:r>
      <w:r w:rsidRPr="00DE59A9">
        <w:rPr>
          <w:rFonts w:asciiTheme="minorHAnsi" w:hAnsiTheme="minorHAnsi"/>
          <w:color w:val="000000"/>
          <w:sz w:val="22"/>
          <w:szCs w:val="22"/>
        </w:rPr>
        <w:t>mong the conditions established as nationally notifiable</w:t>
      </w:r>
      <w:r>
        <w:rPr>
          <w:rFonts w:asciiTheme="minorHAnsi" w:hAnsiTheme="minorHAnsi"/>
          <w:color w:val="000000"/>
          <w:sz w:val="22"/>
          <w:szCs w:val="22"/>
        </w:rPr>
        <w:t xml:space="preserve"> or under standardized surveillance</w:t>
      </w:r>
      <w:r w:rsidRPr="00955DF7">
        <w:rPr>
          <w:rFonts w:asciiTheme="minorHAnsi" w:hAnsiTheme="minorHAnsi"/>
          <w:color w:val="000000"/>
          <w:sz w:val="22"/>
          <w:szCs w:val="22"/>
          <w:highlight w:val="yellow"/>
        </w:rPr>
        <w:t xml:space="preserve">, participating public health departments </w:t>
      </w:r>
      <w:r>
        <w:rPr>
          <w:rFonts w:asciiTheme="minorHAnsi" w:hAnsiTheme="minorHAnsi"/>
          <w:color w:val="000000"/>
          <w:sz w:val="22"/>
          <w:szCs w:val="22"/>
          <w:highlight w:val="yellow"/>
        </w:rPr>
        <w:t xml:space="preserve">voluntarily </w:t>
      </w:r>
      <w:r w:rsidRPr="00955DF7">
        <w:rPr>
          <w:rFonts w:asciiTheme="minorHAnsi" w:hAnsiTheme="minorHAnsi"/>
          <w:color w:val="000000"/>
          <w:sz w:val="22"/>
          <w:szCs w:val="22"/>
          <w:highlight w:val="yellow"/>
        </w:rPr>
        <w:t xml:space="preserve">submit </w:t>
      </w:r>
      <w:r>
        <w:rPr>
          <w:rFonts w:asciiTheme="minorHAnsi" w:hAnsiTheme="minorHAnsi"/>
          <w:color w:val="000000"/>
          <w:sz w:val="22"/>
          <w:szCs w:val="22"/>
          <w:highlight w:val="yellow"/>
        </w:rPr>
        <w:t xml:space="preserve">requested </w:t>
      </w:r>
      <w:r w:rsidRPr="00955DF7">
        <w:rPr>
          <w:rFonts w:asciiTheme="minorHAnsi" w:hAnsiTheme="minorHAnsi"/>
          <w:color w:val="000000"/>
          <w:sz w:val="22"/>
          <w:szCs w:val="22"/>
          <w:highlight w:val="yellow"/>
        </w:rPr>
        <w:t xml:space="preserve">data elements which are specific to each condition. </w:t>
      </w:r>
      <w:r>
        <w:rPr>
          <w:rFonts w:asciiTheme="minorHAnsi" w:hAnsiTheme="minorHAnsi"/>
          <w:color w:val="000000"/>
          <w:sz w:val="22"/>
          <w:szCs w:val="22"/>
          <w:highlight w:val="yellow"/>
        </w:rPr>
        <w:t xml:space="preserve">These data elements are optional and are submitted in addition to the core set of data elements. </w:t>
      </w:r>
      <w:r w:rsidRPr="00955DF7">
        <w:rPr>
          <w:rFonts w:asciiTheme="minorHAnsi" w:hAnsiTheme="minorHAnsi"/>
          <w:color w:val="000000"/>
          <w:sz w:val="22"/>
          <w:szCs w:val="22"/>
          <w:highlight w:val="yellow"/>
        </w:rPr>
        <w:t xml:space="preserve">With the coordination with </w:t>
      </w:r>
      <w:r>
        <w:rPr>
          <w:rFonts w:asciiTheme="minorHAnsi" w:hAnsiTheme="minorHAnsi"/>
          <w:color w:val="000000"/>
          <w:sz w:val="22"/>
          <w:szCs w:val="22"/>
          <w:highlight w:val="yellow"/>
        </w:rPr>
        <w:t xml:space="preserve">the </w:t>
      </w:r>
      <w:r w:rsidRPr="00955DF7">
        <w:rPr>
          <w:rFonts w:asciiTheme="minorHAnsi" w:hAnsiTheme="minorHAnsi"/>
          <w:color w:val="000000"/>
          <w:sz w:val="22"/>
          <w:szCs w:val="22"/>
          <w:highlight w:val="yellow"/>
        </w:rPr>
        <w:t xml:space="preserve">CDC programs conducting surveillance on nationally notifiable conditions, as noted above, this application includes disease-specific tables for </w:t>
      </w:r>
      <w:r>
        <w:rPr>
          <w:rFonts w:asciiTheme="minorHAnsi" w:hAnsiTheme="minorHAnsi"/>
          <w:color w:val="000000"/>
          <w:sz w:val="22"/>
          <w:szCs w:val="22"/>
          <w:highlight w:val="yellow"/>
        </w:rPr>
        <w:t>56</w:t>
      </w:r>
      <w:r w:rsidRPr="00955DF7">
        <w:rPr>
          <w:rFonts w:asciiTheme="minorHAnsi" w:hAnsiTheme="minorHAnsi"/>
          <w:color w:val="000000"/>
          <w:sz w:val="22"/>
          <w:szCs w:val="22"/>
          <w:highlight w:val="yellow"/>
        </w:rPr>
        <w:t xml:space="preserve"> diseases</w:t>
      </w:r>
      <w:r w:rsidRPr="00955DF7">
        <w:rPr>
          <w:rFonts w:asciiTheme="minorHAnsi" w:hAnsiTheme="minorHAnsi"/>
          <w:b/>
          <w:color w:val="000000"/>
          <w:sz w:val="22"/>
          <w:szCs w:val="22"/>
          <w:highlight w:val="yellow"/>
        </w:rPr>
        <w:t xml:space="preserve">. </w:t>
      </w:r>
      <w:r>
        <w:rPr>
          <w:rFonts w:asciiTheme="minorHAnsi" w:hAnsiTheme="minorHAnsi"/>
          <w:color w:val="000000"/>
          <w:sz w:val="22"/>
          <w:szCs w:val="22"/>
          <w:highlight w:val="yellow"/>
        </w:rPr>
        <w:t xml:space="preserve">451 </w:t>
      </w:r>
      <w:r w:rsidRPr="00FB40BC">
        <w:rPr>
          <w:rFonts w:asciiTheme="minorHAnsi" w:hAnsiTheme="minorHAnsi"/>
          <w:color w:val="000000"/>
          <w:sz w:val="22"/>
          <w:szCs w:val="22"/>
          <w:highlight w:val="yellow"/>
        </w:rPr>
        <w:t xml:space="preserve">new data elements that were not included in the previously reviewed ICR were added for 22 conditions: CP-CRE, CO Poisoning, TB Disease, TB Infection, STEC, Salmonellosis, Shigellosis, Campylobacteriosis, Cryptosporidiosis, Cyclosporiasis, Cholera, Vibriosis, </w:t>
      </w:r>
      <w:r w:rsidRPr="00FB40BC">
        <w:rPr>
          <w:rFonts w:asciiTheme="minorHAnsi" w:hAnsiTheme="minorHAnsi"/>
          <w:i/>
          <w:color w:val="000000"/>
          <w:sz w:val="22"/>
          <w:szCs w:val="22"/>
          <w:highlight w:val="yellow"/>
        </w:rPr>
        <w:t>S</w:t>
      </w:r>
      <w:r w:rsidRPr="00FB40BC">
        <w:rPr>
          <w:rFonts w:asciiTheme="minorHAnsi" w:hAnsiTheme="minorHAnsi"/>
          <w:color w:val="000000"/>
          <w:sz w:val="22"/>
          <w:szCs w:val="22"/>
          <w:highlight w:val="yellow"/>
        </w:rPr>
        <w:t xml:space="preserve">. Typhi Infection, </w:t>
      </w:r>
      <w:r w:rsidRPr="00FB40BC">
        <w:rPr>
          <w:rFonts w:asciiTheme="minorHAnsi" w:hAnsiTheme="minorHAnsi"/>
          <w:i/>
          <w:color w:val="000000"/>
          <w:sz w:val="22"/>
          <w:szCs w:val="22"/>
          <w:highlight w:val="yellow"/>
        </w:rPr>
        <w:t>S.</w:t>
      </w:r>
      <w:r w:rsidRPr="00FB40BC">
        <w:rPr>
          <w:rFonts w:asciiTheme="minorHAnsi" w:hAnsiTheme="minorHAnsi"/>
          <w:color w:val="000000"/>
          <w:sz w:val="22"/>
          <w:szCs w:val="22"/>
          <w:highlight w:val="yellow"/>
        </w:rPr>
        <w:t xml:space="preserve"> Paratyphi Infection, Lyme Disease, Invasive </w:t>
      </w:r>
      <w:r w:rsidRPr="00FB40BC">
        <w:rPr>
          <w:rFonts w:asciiTheme="minorHAnsi" w:hAnsiTheme="minorHAnsi"/>
          <w:i/>
          <w:color w:val="000000"/>
          <w:sz w:val="22"/>
          <w:szCs w:val="22"/>
          <w:highlight w:val="yellow"/>
        </w:rPr>
        <w:t>Haemophilus influenzae</w:t>
      </w:r>
      <w:r w:rsidRPr="00FB40BC">
        <w:rPr>
          <w:rFonts w:asciiTheme="minorHAnsi" w:hAnsiTheme="minorHAnsi"/>
          <w:color w:val="000000"/>
          <w:sz w:val="22"/>
          <w:szCs w:val="22"/>
          <w:highlight w:val="yellow"/>
        </w:rPr>
        <w:t xml:space="preserve"> Disease, Meningococcal Disease, Invasive Pneumococcal Disease, Psittacosis, Legionellosis, TBRD, and Hepatitis. Names, descriptions, value set codes, and justification for the addition </w:t>
      </w:r>
      <w:r w:rsidRPr="00955DF7">
        <w:rPr>
          <w:rFonts w:asciiTheme="minorHAnsi" w:hAnsiTheme="minorHAnsi"/>
          <w:color w:val="000000"/>
          <w:sz w:val="22"/>
          <w:szCs w:val="22"/>
          <w:highlight w:val="yellow"/>
        </w:rPr>
        <w:t xml:space="preserve">of these new data elements are in </w:t>
      </w:r>
      <w:r w:rsidRPr="00955DF7">
        <w:rPr>
          <w:rFonts w:asciiTheme="minorHAnsi" w:hAnsiTheme="minorHAnsi"/>
          <w:b/>
          <w:color w:val="000000"/>
          <w:sz w:val="22"/>
          <w:szCs w:val="22"/>
          <w:highlight w:val="yellow"/>
        </w:rPr>
        <w:t xml:space="preserve">Attachment </w:t>
      </w:r>
      <w:r>
        <w:rPr>
          <w:rFonts w:asciiTheme="minorHAnsi" w:hAnsiTheme="minorHAnsi"/>
          <w:b/>
          <w:color w:val="000000"/>
          <w:sz w:val="22"/>
          <w:szCs w:val="22"/>
          <w:highlight w:val="yellow"/>
        </w:rPr>
        <w:t>12</w:t>
      </w:r>
      <w:r w:rsidRPr="00955DF7">
        <w:rPr>
          <w:rFonts w:asciiTheme="minorHAnsi" w:hAnsiTheme="minorHAnsi"/>
          <w:b/>
          <w:color w:val="000000"/>
          <w:sz w:val="22"/>
          <w:szCs w:val="22"/>
          <w:highlight w:val="yellow"/>
        </w:rPr>
        <w:t>. Justification for the Addition of Disease-Specific Data Elements</w:t>
      </w:r>
      <w:r w:rsidRPr="00955DF7">
        <w:rPr>
          <w:rFonts w:asciiTheme="minorHAnsi" w:hAnsiTheme="minorHAnsi"/>
          <w:color w:val="000000"/>
          <w:sz w:val="22"/>
          <w:szCs w:val="22"/>
          <w:highlight w:val="yellow"/>
        </w:rPr>
        <w:t>.</w:t>
      </w:r>
      <w:r w:rsidRPr="00955DF7">
        <w:rPr>
          <w:rFonts w:asciiTheme="minorHAnsi" w:hAnsiTheme="minorHAnsi"/>
          <w:b/>
          <w:color w:val="000000"/>
          <w:sz w:val="22"/>
          <w:szCs w:val="22"/>
          <w:highlight w:val="yellow"/>
        </w:rPr>
        <w:t xml:space="preserve"> </w:t>
      </w:r>
      <w:r w:rsidRPr="00955DF7">
        <w:rPr>
          <w:rFonts w:asciiTheme="minorHAnsi" w:hAnsiTheme="minorHAnsi"/>
          <w:color w:val="000000"/>
          <w:sz w:val="22"/>
          <w:szCs w:val="22"/>
          <w:highlight w:val="yellow"/>
        </w:rPr>
        <w:t>Names, descriptions and value set</w:t>
      </w:r>
      <w:r>
        <w:rPr>
          <w:rFonts w:asciiTheme="minorHAnsi" w:hAnsiTheme="minorHAnsi"/>
          <w:color w:val="000000"/>
          <w:sz w:val="22"/>
          <w:szCs w:val="22"/>
          <w:highlight w:val="yellow"/>
        </w:rPr>
        <w:t xml:space="preserve"> codes</w:t>
      </w:r>
      <w:r w:rsidRPr="00955DF7">
        <w:rPr>
          <w:rFonts w:asciiTheme="minorHAnsi" w:hAnsiTheme="minorHAnsi"/>
          <w:color w:val="000000"/>
          <w:sz w:val="22"/>
          <w:szCs w:val="22"/>
          <w:highlight w:val="yellow"/>
        </w:rPr>
        <w:t xml:space="preserve"> for all of the data elements are in an attachment </w:t>
      </w:r>
      <w:r w:rsidRPr="00955DF7">
        <w:rPr>
          <w:rFonts w:asciiTheme="minorHAnsi" w:hAnsiTheme="minorHAnsi"/>
          <w:b/>
          <w:color w:val="000000"/>
          <w:sz w:val="22"/>
          <w:szCs w:val="22"/>
          <w:highlight w:val="yellow"/>
        </w:rPr>
        <w:t xml:space="preserve">[Attachment </w:t>
      </w:r>
      <w:r>
        <w:rPr>
          <w:rFonts w:asciiTheme="minorHAnsi" w:hAnsiTheme="minorHAnsi"/>
          <w:b/>
          <w:color w:val="000000"/>
          <w:sz w:val="22"/>
          <w:szCs w:val="22"/>
          <w:highlight w:val="yellow"/>
        </w:rPr>
        <w:t>13</w:t>
      </w:r>
      <w:r w:rsidRPr="00955DF7">
        <w:rPr>
          <w:rFonts w:asciiTheme="minorHAnsi" w:hAnsiTheme="minorHAnsi"/>
          <w:b/>
          <w:color w:val="000000"/>
          <w:sz w:val="22"/>
          <w:szCs w:val="22"/>
          <w:highlight w:val="yellow"/>
        </w:rPr>
        <w:t xml:space="preserve">. Disease-Specific Data] </w:t>
      </w:r>
      <w:r w:rsidRPr="00955DF7">
        <w:rPr>
          <w:rFonts w:asciiTheme="minorHAnsi" w:hAnsiTheme="minorHAnsi"/>
          <w:color w:val="000000"/>
          <w:sz w:val="22"/>
          <w:szCs w:val="22"/>
          <w:highlight w:val="yellow"/>
        </w:rPr>
        <w:t>with the new data elements identified in bold.</w:t>
      </w:r>
    </w:p>
    <w:p w:rsidR="00E30E7D" w:rsidRDefault="00E30E7D" w:rsidP="00E30E7D">
      <w:pPr>
        <w:spacing w:line="360" w:lineRule="auto"/>
        <w:rPr>
          <w:rFonts w:asciiTheme="minorHAnsi" w:hAnsiTheme="minorHAnsi"/>
          <w:color w:val="000000"/>
          <w:sz w:val="22"/>
          <w:szCs w:val="22"/>
        </w:rPr>
      </w:pPr>
    </w:p>
    <w:p w:rsidR="00E30E7D" w:rsidRDefault="00E30E7D" w:rsidP="00E30E7D">
      <w:pPr>
        <w:spacing w:line="360" w:lineRule="auto"/>
        <w:rPr>
          <w:rFonts w:asciiTheme="minorHAnsi" w:hAnsiTheme="minorHAnsi"/>
          <w:color w:val="000000"/>
          <w:sz w:val="22"/>
          <w:szCs w:val="22"/>
        </w:rPr>
      </w:pPr>
      <w:r w:rsidRPr="00286A8C">
        <w:rPr>
          <w:rFonts w:asciiTheme="minorHAnsi" w:hAnsiTheme="minorHAnsi"/>
          <w:color w:val="000000"/>
          <w:sz w:val="22"/>
          <w:szCs w:val="22"/>
        </w:rPr>
        <w:t xml:space="preserve">CDC and HHS are committed to minimizing the disease collection and submission burden for jurisdictions.  This is accomplished by </w:t>
      </w:r>
    </w:p>
    <w:p w:rsidR="00E30E7D" w:rsidRDefault="00E30E7D" w:rsidP="00E30E7D">
      <w:pPr>
        <w:pStyle w:val="ListParagraph"/>
        <w:numPr>
          <w:ilvl w:val="0"/>
          <w:numId w:val="29"/>
        </w:numPr>
        <w:spacing w:line="360" w:lineRule="auto"/>
        <w:rPr>
          <w:rFonts w:asciiTheme="minorHAnsi" w:hAnsiTheme="minorHAnsi"/>
          <w:color w:val="000000"/>
          <w:sz w:val="22"/>
          <w:szCs w:val="22"/>
        </w:rPr>
      </w:pPr>
      <w:r w:rsidRPr="00286A8C">
        <w:rPr>
          <w:rFonts w:asciiTheme="minorHAnsi" w:hAnsiTheme="minorHAnsi"/>
          <w:color w:val="000000"/>
          <w:sz w:val="22"/>
          <w:szCs w:val="22"/>
        </w:rPr>
        <w:t>Helping jurisdiction focus their surveillance efforts by providing guidance on which data elements are most important for disease monitoring and control;</w:t>
      </w:r>
    </w:p>
    <w:p w:rsidR="00E30E7D" w:rsidRPr="003C65D7" w:rsidRDefault="00E30E7D" w:rsidP="00E30E7D">
      <w:pPr>
        <w:pStyle w:val="ListParagraph"/>
        <w:numPr>
          <w:ilvl w:val="0"/>
          <w:numId w:val="29"/>
        </w:numPr>
        <w:spacing w:line="360" w:lineRule="auto"/>
        <w:rPr>
          <w:rFonts w:asciiTheme="minorHAnsi" w:hAnsiTheme="minorHAnsi"/>
          <w:color w:val="000000"/>
          <w:sz w:val="22"/>
          <w:szCs w:val="22"/>
        </w:rPr>
      </w:pPr>
      <w:r w:rsidRPr="003C65D7">
        <w:rPr>
          <w:rFonts w:asciiTheme="minorHAnsi" w:hAnsiTheme="minorHAnsi"/>
          <w:color w:val="000000"/>
          <w:sz w:val="22"/>
          <w:szCs w:val="22"/>
        </w:rPr>
        <w:t>Not requiring jurisdictions to send data elements that are not available for an individual, not included in the jurisdiction’s surveillance system, or not a priority for collection in the jurisdiction; and</w:t>
      </w:r>
    </w:p>
    <w:p w:rsidR="00E30E7D" w:rsidRPr="00A76BBB" w:rsidRDefault="00E30E7D" w:rsidP="00E30E7D">
      <w:pPr>
        <w:pStyle w:val="ListParagraph"/>
        <w:numPr>
          <w:ilvl w:val="0"/>
          <w:numId w:val="29"/>
        </w:numPr>
        <w:spacing w:line="360" w:lineRule="auto"/>
        <w:rPr>
          <w:rFonts w:asciiTheme="minorHAnsi" w:hAnsiTheme="minorHAnsi"/>
          <w:color w:val="000000"/>
          <w:sz w:val="22"/>
          <w:szCs w:val="22"/>
        </w:rPr>
      </w:pPr>
      <w:r w:rsidRPr="00A76BBB">
        <w:rPr>
          <w:rFonts w:asciiTheme="minorHAnsi" w:hAnsiTheme="minorHAnsi"/>
          <w:color w:val="000000"/>
          <w:sz w:val="22"/>
          <w:szCs w:val="22"/>
        </w:rPr>
        <w:t xml:space="preserve">Receiving this data through NNDSS, an existing infrastructure that supports automated messaging and that is already in use by public health jurisdictions to transmit case-based surveillance data from their jurisdiction surveillance systems to CDC.  </w:t>
      </w:r>
    </w:p>
    <w:p w:rsidR="00E30E7D" w:rsidRDefault="00E30E7D" w:rsidP="00E30E7D">
      <w:pPr>
        <w:spacing w:line="360" w:lineRule="auto"/>
        <w:rPr>
          <w:rFonts w:asciiTheme="minorHAnsi" w:hAnsiTheme="minorHAnsi"/>
          <w:color w:val="000000"/>
          <w:sz w:val="22"/>
          <w:szCs w:val="22"/>
          <w:highlight w:val="yellow"/>
        </w:rPr>
      </w:pPr>
    </w:p>
    <w:p w:rsidR="00E30E7D" w:rsidRPr="00514EA1" w:rsidRDefault="00E30E7D" w:rsidP="00E30E7D">
      <w:pPr>
        <w:spacing w:line="360" w:lineRule="auto"/>
        <w:rPr>
          <w:rFonts w:asciiTheme="minorHAnsi" w:hAnsiTheme="minorHAnsi"/>
          <w:color w:val="000000"/>
          <w:sz w:val="22"/>
          <w:szCs w:val="22"/>
          <w:highlight w:val="yellow"/>
        </w:rPr>
      </w:pPr>
      <w:r w:rsidRPr="00514EA1">
        <w:rPr>
          <w:rFonts w:asciiTheme="minorHAnsi" w:hAnsiTheme="minorHAnsi"/>
          <w:color w:val="000000"/>
          <w:sz w:val="22"/>
          <w:szCs w:val="22"/>
          <w:highlight w:val="yellow"/>
        </w:rPr>
        <w:t xml:space="preserve">SO/GI Data Elements for STD </w:t>
      </w:r>
    </w:p>
    <w:p w:rsidR="00E30E7D"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CDC submitted a change request to add SO/GI data elements and was granted provisional approval in May 2017 for two years</w:t>
      </w:r>
      <w:r w:rsidR="00DC166C">
        <w:rPr>
          <w:rFonts w:asciiTheme="minorHAnsi" w:hAnsiTheme="minorHAnsi"/>
          <w:color w:val="000000"/>
          <w:sz w:val="22"/>
          <w:szCs w:val="22"/>
        </w:rPr>
        <w:t>.</w:t>
      </w:r>
      <w:r>
        <w:rPr>
          <w:rFonts w:asciiTheme="minorHAnsi" w:hAnsiTheme="minorHAnsi"/>
          <w:color w:val="000000"/>
          <w:sz w:val="22"/>
          <w:szCs w:val="22"/>
        </w:rPr>
        <w:t xml:space="preserve"> </w:t>
      </w:r>
    </w:p>
    <w:p w:rsidR="00E30E7D" w:rsidRDefault="00E30E7D" w:rsidP="00E30E7D">
      <w:pPr>
        <w:spacing w:line="360" w:lineRule="auto"/>
        <w:rPr>
          <w:rFonts w:asciiTheme="minorHAnsi" w:hAnsiTheme="minorHAnsi"/>
          <w:color w:val="000000"/>
          <w:sz w:val="22"/>
          <w:szCs w:val="22"/>
        </w:rPr>
      </w:pPr>
    </w:p>
    <w:p w:rsidR="00E30E7D"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 xml:space="preserve">OMB previously approved a 2 year trial of adding SO/GI data elements to the collection of STDs. </w:t>
      </w:r>
      <w:r w:rsidRPr="00845390">
        <w:rPr>
          <w:rFonts w:asciiTheme="minorHAnsi" w:hAnsiTheme="minorHAnsi"/>
          <w:color w:val="000000"/>
          <w:sz w:val="22"/>
          <w:szCs w:val="22"/>
        </w:rPr>
        <w:t xml:space="preserve">One of the terms of clearance was that CDC submit another change request for continued use of the data elements with empirical analysis of the pilot data. CDC will not have enough data for an empirical analysis before the expiration of the 2-year approval so CDC requests an extension of </w:t>
      </w:r>
      <w:r>
        <w:rPr>
          <w:rFonts w:asciiTheme="minorHAnsi" w:hAnsiTheme="minorHAnsi"/>
          <w:color w:val="000000"/>
          <w:sz w:val="22"/>
          <w:szCs w:val="22"/>
        </w:rPr>
        <w:t>3</w:t>
      </w:r>
      <w:r w:rsidRPr="00845390">
        <w:rPr>
          <w:rFonts w:asciiTheme="minorHAnsi" w:hAnsiTheme="minorHAnsi"/>
          <w:color w:val="000000"/>
          <w:sz w:val="22"/>
          <w:szCs w:val="22"/>
        </w:rPr>
        <w:t xml:space="preserve"> additional years to make sure that </w:t>
      </w:r>
      <w:r>
        <w:rPr>
          <w:rFonts w:asciiTheme="minorHAnsi" w:hAnsiTheme="minorHAnsi"/>
          <w:color w:val="000000"/>
          <w:sz w:val="22"/>
          <w:szCs w:val="22"/>
        </w:rPr>
        <w:t xml:space="preserve">there is enough </w:t>
      </w:r>
      <w:r w:rsidRPr="00845390">
        <w:rPr>
          <w:rFonts w:asciiTheme="minorHAnsi" w:hAnsiTheme="minorHAnsi"/>
          <w:color w:val="000000"/>
          <w:sz w:val="22"/>
          <w:szCs w:val="22"/>
        </w:rPr>
        <w:t>time to receive a sufficient amount of pilot data for empirical analysis</w:t>
      </w:r>
      <w:r>
        <w:rPr>
          <w:rFonts w:asciiTheme="minorHAnsi" w:hAnsiTheme="minorHAnsi"/>
          <w:color w:val="000000"/>
          <w:sz w:val="22"/>
          <w:szCs w:val="22"/>
        </w:rPr>
        <w:t xml:space="preserve">. </w:t>
      </w:r>
      <w:r w:rsidRPr="0046015A">
        <w:rPr>
          <w:rFonts w:asciiTheme="minorHAnsi" w:hAnsiTheme="minorHAnsi"/>
          <w:color w:val="000000"/>
          <w:sz w:val="22"/>
          <w:szCs w:val="22"/>
        </w:rPr>
        <w:t xml:space="preserve">Although only two jurisdictions had begun submitting SO/GI data elements </w:t>
      </w:r>
      <w:r>
        <w:rPr>
          <w:rFonts w:asciiTheme="minorHAnsi" w:hAnsiTheme="minorHAnsi"/>
          <w:color w:val="000000"/>
          <w:sz w:val="22"/>
          <w:szCs w:val="22"/>
        </w:rPr>
        <w:t xml:space="preserve">by </w:t>
      </w:r>
      <w:r w:rsidRPr="0046015A">
        <w:rPr>
          <w:rFonts w:asciiTheme="minorHAnsi" w:hAnsiTheme="minorHAnsi"/>
          <w:color w:val="000000"/>
          <w:sz w:val="22"/>
          <w:szCs w:val="22"/>
        </w:rPr>
        <w:t xml:space="preserve">the summer of 2018 (approximately 7 months after the reporting system was changed to allow jurisdictions to report these </w:t>
      </w:r>
      <w:r>
        <w:rPr>
          <w:rFonts w:asciiTheme="minorHAnsi" w:hAnsiTheme="minorHAnsi"/>
          <w:color w:val="000000"/>
          <w:sz w:val="22"/>
          <w:szCs w:val="22"/>
        </w:rPr>
        <w:t>data elements</w:t>
      </w:r>
      <w:r w:rsidRPr="0046015A">
        <w:rPr>
          <w:rFonts w:asciiTheme="minorHAnsi" w:hAnsiTheme="minorHAnsi"/>
          <w:color w:val="000000"/>
          <w:sz w:val="22"/>
          <w:szCs w:val="22"/>
        </w:rPr>
        <w:t>), as of March 8, 2019, twelve jurisdictions are transmitting these data elements.</w:t>
      </w:r>
    </w:p>
    <w:p w:rsidR="00E30E7D" w:rsidRDefault="00E30E7D" w:rsidP="00E30E7D">
      <w:pPr>
        <w:spacing w:line="360" w:lineRule="auto"/>
        <w:rPr>
          <w:rFonts w:asciiTheme="minorHAnsi" w:hAnsiTheme="minorHAnsi"/>
          <w:color w:val="000000"/>
          <w:sz w:val="22"/>
          <w:szCs w:val="22"/>
        </w:rPr>
      </w:pPr>
    </w:p>
    <w:p w:rsidR="00E30E7D" w:rsidRDefault="00E30E7D" w:rsidP="00E30E7D">
      <w:pPr>
        <w:spacing w:line="360" w:lineRule="auto"/>
        <w:rPr>
          <w:rFonts w:asciiTheme="minorHAnsi" w:hAnsiTheme="minorHAnsi"/>
          <w:color w:val="000000"/>
          <w:sz w:val="22"/>
          <w:szCs w:val="22"/>
        </w:rPr>
      </w:pPr>
      <w:r w:rsidRPr="0046015A">
        <w:rPr>
          <w:rFonts w:asciiTheme="minorHAnsi" w:hAnsiTheme="minorHAnsi"/>
          <w:color w:val="000000"/>
          <w:sz w:val="22"/>
          <w:szCs w:val="22"/>
        </w:rPr>
        <w:t xml:space="preserve">Efforts to encourage additional reporting states to implement SO/GI data reporting are ongoing. Guidance for </w:t>
      </w:r>
      <w:r>
        <w:rPr>
          <w:rFonts w:asciiTheme="minorHAnsi" w:hAnsiTheme="minorHAnsi"/>
          <w:color w:val="000000"/>
          <w:sz w:val="22"/>
          <w:szCs w:val="22"/>
        </w:rPr>
        <w:t>message mapping guide (</w:t>
      </w:r>
      <w:r w:rsidRPr="0046015A">
        <w:rPr>
          <w:rFonts w:asciiTheme="minorHAnsi" w:hAnsiTheme="minorHAnsi"/>
          <w:color w:val="000000"/>
          <w:sz w:val="22"/>
          <w:szCs w:val="22"/>
        </w:rPr>
        <w:t>MMG</w:t>
      </w:r>
      <w:r>
        <w:rPr>
          <w:rFonts w:asciiTheme="minorHAnsi" w:hAnsiTheme="minorHAnsi"/>
          <w:color w:val="000000"/>
          <w:sz w:val="22"/>
          <w:szCs w:val="22"/>
        </w:rPr>
        <w:t>)</w:t>
      </w:r>
      <w:r w:rsidRPr="0046015A">
        <w:rPr>
          <w:rFonts w:asciiTheme="minorHAnsi" w:hAnsiTheme="minorHAnsi"/>
          <w:color w:val="000000"/>
          <w:sz w:val="22"/>
          <w:szCs w:val="22"/>
        </w:rPr>
        <w:t xml:space="preserve"> and </w:t>
      </w:r>
      <w:r w:rsidRPr="004D6CE1">
        <w:rPr>
          <w:rFonts w:asciiTheme="minorHAnsi" w:hAnsiTheme="minorHAnsi"/>
          <w:color w:val="000000"/>
          <w:sz w:val="22"/>
          <w:szCs w:val="22"/>
        </w:rPr>
        <w:t xml:space="preserve">National Electronic Telecommunications System for Surveillance </w:t>
      </w:r>
      <w:r>
        <w:rPr>
          <w:rFonts w:asciiTheme="minorHAnsi" w:hAnsiTheme="minorHAnsi"/>
          <w:color w:val="000000"/>
          <w:sz w:val="22"/>
          <w:szCs w:val="22"/>
        </w:rPr>
        <w:t>(</w:t>
      </w:r>
      <w:r w:rsidRPr="0046015A">
        <w:rPr>
          <w:rFonts w:asciiTheme="minorHAnsi" w:hAnsiTheme="minorHAnsi"/>
          <w:color w:val="000000"/>
          <w:sz w:val="22"/>
          <w:szCs w:val="22"/>
        </w:rPr>
        <w:t>NETSS</w:t>
      </w:r>
      <w:r>
        <w:rPr>
          <w:rFonts w:asciiTheme="minorHAnsi" w:hAnsiTheme="minorHAnsi"/>
          <w:color w:val="000000"/>
          <w:sz w:val="22"/>
          <w:szCs w:val="22"/>
        </w:rPr>
        <w:t>)</w:t>
      </w:r>
      <w:r w:rsidRPr="0046015A">
        <w:rPr>
          <w:rFonts w:asciiTheme="minorHAnsi" w:hAnsiTheme="minorHAnsi"/>
          <w:color w:val="000000"/>
          <w:sz w:val="22"/>
          <w:szCs w:val="22"/>
        </w:rPr>
        <w:t xml:space="preserve"> implementation has been available for over a year and with data closeout completed, additional jurisdiction will begin implementing MMGs. The on-boarding process is multi-step and intensive validation is required by </w:t>
      </w:r>
      <w:r>
        <w:rPr>
          <w:rFonts w:asciiTheme="minorHAnsi" w:hAnsiTheme="minorHAnsi"/>
          <w:color w:val="000000"/>
          <w:sz w:val="22"/>
          <w:szCs w:val="22"/>
        </w:rPr>
        <w:t>CDC</w:t>
      </w:r>
      <w:r w:rsidRPr="0046015A">
        <w:rPr>
          <w:rFonts w:asciiTheme="minorHAnsi" w:hAnsiTheme="minorHAnsi"/>
          <w:color w:val="000000"/>
          <w:sz w:val="22"/>
          <w:szCs w:val="22"/>
        </w:rPr>
        <w:t>; only a small number of jurisdictions can be accommodated at a time for the three-month on-boarding process.</w:t>
      </w:r>
      <w:r>
        <w:rPr>
          <w:rFonts w:asciiTheme="minorHAnsi" w:hAnsiTheme="minorHAnsi"/>
          <w:color w:val="000000"/>
          <w:sz w:val="22"/>
          <w:szCs w:val="22"/>
        </w:rPr>
        <w:t xml:space="preserve"> </w:t>
      </w:r>
      <w:r w:rsidRPr="0046015A">
        <w:rPr>
          <w:rFonts w:asciiTheme="minorHAnsi" w:hAnsiTheme="minorHAnsi"/>
          <w:color w:val="000000"/>
          <w:sz w:val="22"/>
          <w:szCs w:val="22"/>
        </w:rPr>
        <w:t>Additionally, data for 2018 will not be finalized until summer of 2019; we anticipate that additional jurisdictions may provide these data during the 2018 data close-out process and for the 2019 reporting year. Furthermore, four pilot jurisdictions are in the process of on-boarding the STD MMG, with additional jurisdictions in queue in cohorts of 4-5 each; we anticipate that jurisdictions sending data via the MMGs will include these</w:t>
      </w:r>
      <w:r>
        <w:rPr>
          <w:rFonts w:asciiTheme="minorHAnsi" w:hAnsiTheme="minorHAnsi"/>
          <w:color w:val="000000"/>
          <w:sz w:val="22"/>
          <w:szCs w:val="22"/>
        </w:rPr>
        <w:t xml:space="preserve"> data elements</w:t>
      </w:r>
      <w:r w:rsidRPr="0046015A">
        <w:rPr>
          <w:rFonts w:asciiTheme="minorHAnsi" w:hAnsiTheme="minorHAnsi"/>
          <w:color w:val="000000"/>
          <w:sz w:val="22"/>
          <w:szCs w:val="22"/>
        </w:rPr>
        <w:t xml:space="preserve">. Although we don’t know the exact number of jurisdiction that will begin reporting these </w:t>
      </w:r>
      <w:r>
        <w:rPr>
          <w:rFonts w:asciiTheme="minorHAnsi" w:hAnsiTheme="minorHAnsi"/>
          <w:color w:val="000000"/>
          <w:sz w:val="22"/>
          <w:szCs w:val="22"/>
        </w:rPr>
        <w:t xml:space="preserve">data elements </w:t>
      </w:r>
      <w:r w:rsidRPr="0046015A">
        <w:rPr>
          <w:rFonts w:asciiTheme="minorHAnsi" w:hAnsiTheme="minorHAnsi"/>
          <w:color w:val="000000"/>
          <w:sz w:val="22"/>
          <w:szCs w:val="22"/>
        </w:rPr>
        <w:t xml:space="preserve">in the next year, we have seen a steady uptake over the past 14 months and anticipate that the number of jurisdictions able to transmit these </w:t>
      </w:r>
      <w:r>
        <w:rPr>
          <w:rFonts w:asciiTheme="minorHAnsi" w:hAnsiTheme="minorHAnsi"/>
          <w:color w:val="000000"/>
          <w:sz w:val="22"/>
          <w:szCs w:val="22"/>
        </w:rPr>
        <w:t>data element</w:t>
      </w:r>
      <w:r w:rsidRPr="0046015A">
        <w:rPr>
          <w:rFonts w:asciiTheme="minorHAnsi" w:hAnsiTheme="minorHAnsi"/>
          <w:color w:val="000000"/>
          <w:sz w:val="22"/>
          <w:szCs w:val="22"/>
        </w:rPr>
        <w:t>s will continue to increase.</w:t>
      </w:r>
    </w:p>
    <w:p w:rsidR="00E30E7D" w:rsidRDefault="00E30E7D" w:rsidP="00E30E7D">
      <w:pPr>
        <w:spacing w:line="360" w:lineRule="auto"/>
        <w:rPr>
          <w:rFonts w:asciiTheme="minorHAnsi" w:hAnsiTheme="minorHAnsi"/>
          <w:color w:val="000000"/>
          <w:sz w:val="22"/>
          <w:szCs w:val="22"/>
        </w:rPr>
      </w:pPr>
    </w:p>
    <w:p w:rsidR="00E30E7D" w:rsidRPr="0046015A" w:rsidRDefault="00E30E7D" w:rsidP="00E30E7D">
      <w:pPr>
        <w:spacing w:line="360" w:lineRule="auto"/>
        <w:rPr>
          <w:rFonts w:asciiTheme="minorHAnsi" w:hAnsiTheme="minorHAnsi"/>
          <w:color w:val="000000"/>
          <w:sz w:val="22"/>
          <w:szCs w:val="22"/>
        </w:rPr>
      </w:pPr>
      <w:r w:rsidRPr="00941C9B">
        <w:rPr>
          <w:rFonts w:asciiTheme="minorHAnsi" w:hAnsiTheme="minorHAnsi"/>
          <w:color w:val="000000"/>
          <w:sz w:val="22"/>
          <w:szCs w:val="22"/>
        </w:rPr>
        <w:t xml:space="preserve">Although the twelve jurisdictions currently reporting SO/GI </w:t>
      </w:r>
      <w:r>
        <w:rPr>
          <w:rFonts w:asciiTheme="minorHAnsi" w:hAnsiTheme="minorHAnsi"/>
          <w:color w:val="000000"/>
          <w:sz w:val="22"/>
          <w:szCs w:val="22"/>
        </w:rPr>
        <w:t xml:space="preserve">data elements </w:t>
      </w:r>
      <w:r w:rsidRPr="00941C9B">
        <w:rPr>
          <w:rFonts w:asciiTheme="minorHAnsi" w:hAnsiTheme="minorHAnsi"/>
          <w:color w:val="000000"/>
          <w:sz w:val="22"/>
          <w:szCs w:val="22"/>
        </w:rPr>
        <w:t xml:space="preserve">include a mix of high and low morbidity jurisdictions, there was limited coverage across HHS regions, with three HHS regions not yet included and four HHS regions represented by only a single state each. These preliminary data from the twelve jurisdictions indicate that a significant proportion of all reported cases are estimated to be occurring among people identifying as “Transgendered” and/or as “Gay/Lesbian/Bisexual or Other;” however, the proportion varied among these jurisdictions suggesting that there is likely significant variation across the country.  Therefore, we </w:t>
      </w:r>
      <w:r>
        <w:rPr>
          <w:rFonts w:asciiTheme="minorHAnsi" w:hAnsiTheme="minorHAnsi"/>
          <w:color w:val="000000"/>
          <w:sz w:val="22"/>
          <w:szCs w:val="22"/>
        </w:rPr>
        <w:t xml:space="preserve">do not know how many locations need to adopt the data element to provide enough cases to evaluate the quality of the data being collected/submitted. The </w:t>
      </w:r>
      <w:r w:rsidRPr="00941C9B">
        <w:rPr>
          <w:rFonts w:asciiTheme="minorHAnsi" w:hAnsiTheme="minorHAnsi"/>
          <w:color w:val="000000"/>
          <w:sz w:val="22"/>
          <w:szCs w:val="22"/>
        </w:rPr>
        <w:t>extent of the diversity in burden of STIs among sexual minorities</w:t>
      </w:r>
      <w:r>
        <w:rPr>
          <w:rFonts w:asciiTheme="minorHAnsi" w:hAnsiTheme="minorHAnsi"/>
          <w:color w:val="000000"/>
          <w:sz w:val="22"/>
          <w:szCs w:val="22"/>
        </w:rPr>
        <w:t xml:space="preserve"> is unknown</w:t>
      </w:r>
      <w:r w:rsidRPr="00941C9B">
        <w:rPr>
          <w:rFonts w:asciiTheme="minorHAnsi" w:hAnsiTheme="minorHAnsi"/>
          <w:color w:val="000000"/>
          <w:sz w:val="22"/>
          <w:szCs w:val="22"/>
        </w:rPr>
        <w:t xml:space="preserve">. However, we anticipate additional jurisdictions will begin sending </w:t>
      </w:r>
      <w:r>
        <w:rPr>
          <w:rFonts w:asciiTheme="minorHAnsi" w:hAnsiTheme="minorHAnsi"/>
          <w:color w:val="000000"/>
          <w:sz w:val="22"/>
          <w:szCs w:val="22"/>
        </w:rPr>
        <w:t>data element</w:t>
      </w:r>
      <w:r w:rsidRPr="00941C9B">
        <w:rPr>
          <w:rFonts w:asciiTheme="minorHAnsi" w:hAnsiTheme="minorHAnsi"/>
          <w:color w:val="000000"/>
          <w:sz w:val="22"/>
          <w:szCs w:val="22"/>
        </w:rPr>
        <w:t>s in the next few years and we will be better situated to examine the number of locations needed if our pilot period is extended. Additionally, once the 2018 case data are finalized (in summer of 2019), we will conduct preliminary analyses using the indicated direction of transgender (male-to-female or female-to-male) for cases reported with sex indicated as male or female to better understand how transgendered patients are coded with respect to the current NNDSS sex</w:t>
      </w:r>
      <w:r>
        <w:rPr>
          <w:rFonts w:asciiTheme="minorHAnsi" w:hAnsiTheme="minorHAnsi"/>
          <w:color w:val="000000"/>
          <w:sz w:val="22"/>
          <w:szCs w:val="22"/>
        </w:rPr>
        <w:t xml:space="preserve"> data element</w:t>
      </w:r>
      <w:r w:rsidRPr="00941C9B">
        <w:rPr>
          <w:rFonts w:asciiTheme="minorHAnsi" w:hAnsiTheme="minorHAnsi"/>
          <w:color w:val="000000"/>
          <w:sz w:val="22"/>
          <w:szCs w:val="22"/>
        </w:rPr>
        <w:t xml:space="preserve">.  </w:t>
      </w:r>
    </w:p>
    <w:p w:rsidR="00E30E7D" w:rsidRDefault="00E30E7D" w:rsidP="00E30E7D">
      <w:pPr>
        <w:spacing w:line="360" w:lineRule="auto"/>
        <w:rPr>
          <w:rFonts w:asciiTheme="minorHAnsi" w:hAnsiTheme="minorHAnsi"/>
          <w:color w:val="000000"/>
          <w:sz w:val="22"/>
          <w:szCs w:val="22"/>
          <w:highlight w:val="yellow"/>
        </w:rPr>
      </w:pPr>
    </w:p>
    <w:p w:rsidR="00E30E7D"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CDC</w:t>
      </w:r>
      <w:r w:rsidRPr="0046015A">
        <w:rPr>
          <w:rFonts w:asciiTheme="minorHAnsi" w:hAnsiTheme="minorHAnsi"/>
          <w:color w:val="000000"/>
          <w:sz w:val="22"/>
          <w:szCs w:val="22"/>
        </w:rPr>
        <w:t xml:space="preserve"> request</w:t>
      </w:r>
      <w:r>
        <w:rPr>
          <w:rFonts w:asciiTheme="minorHAnsi" w:hAnsiTheme="minorHAnsi"/>
          <w:color w:val="000000"/>
          <w:sz w:val="22"/>
          <w:szCs w:val="22"/>
        </w:rPr>
        <w:t>s</w:t>
      </w:r>
      <w:r w:rsidRPr="0046015A">
        <w:rPr>
          <w:rFonts w:asciiTheme="minorHAnsi" w:hAnsiTheme="minorHAnsi"/>
          <w:color w:val="000000"/>
          <w:sz w:val="22"/>
          <w:szCs w:val="22"/>
        </w:rPr>
        <w:t xml:space="preserve"> an additional provisional approval period of 3 years to continue piloting these data elements</w:t>
      </w:r>
      <w:r>
        <w:rPr>
          <w:rFonts w:asciiTheme="minorHAnsi" w:hAnsiTheme="minorHAnsi"/>
          <w:color w:val="000000"/>
          <w:sz w:val="22"/>
          <w:szCs w:val="22"/>
        </w:rPr>
        <w:t xml:space="preserve"> and evaluating them</w:t>
      </w:r>
      <w:r w:rsidRPr="0046015A">
        <w:rPr>
          <w:rFonts w:asciiTheme="minorHAnsi" w:hAnsiTheme="minorHAnsi"/>
          <w:color w:val="000000"/>
          <w:sz w:val="22"/>
          <w:szCs w:val="22"/>
        </w:rPr>
        <w:t>.</w:t>
      </w:r>
      <w:r>
        <w:rPr>
          <w:rFonts w:asciiTheme="minorHAnsi" w:hAnsiTheme="minorHAnsi"/>
          <w:color w:val="000000"/>
          <w:sz w:val="22"/>
          <w:szCs w:val="22"/>
        </w:rPr>
        <w:t xml:space="preserve"> </w:t>
      </w:r>
      <w:r w:rsidRPr="00B20866">
        <w:rPr>
          <w:rFonts w:asciiTheme="minorHAnsi" w:hAnsiTheme="minorHAnsi"/>
          <w:color w:val="000000"/>
          <w:sz w:val="22"/>
          <w:szCs w:val="22"/>
        </w:rPr>
        <w:t xml:space="preserve">Additionally, analyses of these pilot data will include comparison of the proposed STD-specific </w:t>
      </w:r>
      <w:r>
        <w:rPr>
          <w:rFonts w:asciiTheme="minorHAnsi" w:hAnsiTheme="minorHAnsi"/>
          <w:color w:val="000000"/>
          <w:sz w:val="22"/>
          <w:szCs w:val="22"/>
        </w:rPr>
        <w:t xml:space="preserve">data element </w:t>
      </w:r>
      <w:r w:rsidRPr="00B20866">
        <w:rPr>
          <w:rFonts w:asciiTheme="minorHAnsi" w:hAnsiTheme="minorHAnsi"/>
          <w:color w:val="000000"/>
          <w:sz w:val="22"/>
          <w:szCs w:val="22"/>
        </w:rPr>
        <w:t xml:space="preserve">for transgender to values reported in the sex </w:t>
      </w:r>
      <w:r>
        <w:rPr>
          <w:rFonts w:asciiTheme="minorHAnsi" w:hAnsiTheme="minorHAnsi"/>
          <w:color w:val="000000"/>
          <w:sz w:val="22"/>
          <w:szCs w:val="22"/>
        </w:rPr>
        <w:t xml:space="preserve">data element </w:t>
      </w:r>
      <w:r w:rsidRPr="00B20866">
        <w:rPr>
          <w:rFonts w:asciiTheme="minorHAnsi" w:hAnsiTheme="minorHAnsi"/>
          <w:color w:val="000000"/>
          <w:sz w:val="22"/>
          <w:szCs w:val="22"/>
        </w:rPr>
        <w:t>to allow CDC to directly ascertain what proportion of cases with “unknown” sex is accounted for by transgendered individuals. Further analysis using the indicated direction of transgender (male-to-female or female-to-male) for cases reported with sex indicated as male or female will allow for better understanding of how transgendered patients have historically been coded with respect to the ‘current sex’</w:t>
      </w:r>
      <w:r>
        <w:rPr>
          <w:rFonts w:asciiTheme="minorHAnsi" w:hAnsiTheme="minorHAnsi"/>
          <w:color w:val="000000"/>
          <w:sz w:val="22"/>
          <w:szCs w:val="22"/>
        </w:rPr>
        <w:t xml:space="preserve"> data element</w:t>
      </w:r>
      <w:r w:rsidRPr="00B20866">
        <w:rPr>
          <w:rFonts w:asciiTheme="minorHAnsi" w:hAnsiTheme="minorHAnsi"/>
          <w:color w:val="000000"/>
          <w:sz w:val="22"/>
          <w:szCs w:val="22"/>
        </w:rPr>
        <w:t>.</w:t>
      </w:r>
    </w:p>
    <w:p w:rsidR="00E30E7D" w:rsidRDefault="00E30E7D" w:rsidP="00E30E7D">
      <w:pPr>
        <w:spacing w:line="360" w:lineRule="auto"/>
        <w:rPr>
          <w:rFonts w:asciiTheme="minorHAnsi" w:hAnsiTheme="minorHAnsi"/>
          <w:color w:val="000000"/>
          <w:sz w:val="22"/>
          <w:szCs w:val="22"/>
        </w:rPr>
      </w:pPr>
    </w:p>
    <w:p w:rsidR="00E30E7D"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 xml:space="preserve">CDC also requests permission to administer a </w:t>
      </w:r>
      <w:r w:rsidRPr="0046015A">
        <w:rPr>
          <w:rFonts w:asciiTheme="minorHAnsi" w:hAnsiTheme="minorHAnsi"/>
          <w:color w:val="000000"/>
          <w:sz w:val="22"/>
          <w:szCs w:val="22"/>
        </w:rPr>
        <w:t xml:space="preserve">short assessment </w:t>
      </w:r>
      <w:r>
        <w:rPr>
          <w:rFonts w:asciiTheme="minorHAnsi" w:hAnsiTheme="minorHAnsi"/>
          <w:color w:val="000000"/>
          <w:sz w:val="22"/>
          <w:szCs w:val="22"/>
        </w:rPr>
        <w:t>survey</w:t>
      </w:r>
      <w:r w:rsidRPr="0046015A">
        <w:rPr>
          <w:rFonts w:asciiTheme="minorHAnsi" w:hAnsiTheme="minorHAnsi"/>
          <w:color w:val="000000"/>
          <w:sz w:val="22"/>
          <w:szCs w:val="22"/>
        </w:rPr>
        <w:t xml:space="preserve"> </w:t>
      </w:r>
      <w:r>
        <w:rPr>
          <w:rFonts w:asciiTheme="minorHAnsi" w:hAnsiTheme="minorHAnsi"/>
          <w:color w:val="000000"/>
          <w:sz w:val="22"/>
          <w:szCs w:val="22"/>
        </w:rPr>
        <w:t>[</w:t>
      </w:r>
      <w:r w:rsidRPr="00960B82">
        <w:rPr>
          <w:rFonts w:asciiTheme="minorHAnsi" w:hAnsiTheme="minorHAnsi"/>
          <w:b/>
          <w:color w:val="000000"/>
          <w:sz w:val="22"/>
          <w:szCs w:val="22"/>
        </w:rPr>
        <w:t>Attachment 22</w:t>
      </w:r>
      <w:r>
        <w:rPr>
          <w:rFonts w:asciiTheme="minorHAnsi" w:hAnsiTheme="minorHAnsi"/>
          <w:b/>
          <w:color w:val="000000"/>
          <w:sz w:val="22"/>
          <w:szCs w:val="22"/>
        </w:rPr>
        <w:t xml:space="preserve">, </w:t>
      </w:r>
      <w:r w:rsidRPr="00D02B89">
        <w:rPr>
          <w:rFonts w:asciiTheme="minorHAnsi" w:hAnsiTheme="minorHAnsi"/>
          <w:b/>
          <w:color w:val="000000"/>
          <w:sz w:val="22"/>
          <w:szCs w:val="22"/>
        </w:rPr>
        <w:t>SOGI Survey Data Collection Instrument</w:t>
      </w:r>
      <w:r>
        <w:rPr>
          <w:rFonts w:asciiTheme="minorHAnsi" w:hAnsiTheme="minorHAnsi"/>
          <w:color w:val="000000"/>
          <w:sz w:val="22"/>
          <w:szCs w:val="22"/>
        </w:rPr>
        <w:t xml:space="preserve">] </w:t>
      </w:r>
      <w:r w:rsidRPr="0046015A">
        <w:rPr>
          <w:rFonts w:asciiTheme="minorHAnsi" w:hAnsiTheme="minorHAnsi"/>
          <w:color w:val="000000"/>
          <w:sz w:val="22"/>
          <w:szCs w:val="22"/>
        </w:rPr>
        <w:t xml:space="preserve">to jurisdictions reporting </w:t>
      </w:r>
      <w:r>
        <w:rPr>
          <w:rFonts w:asciiTheme="minorHAnsi" w:hAnsiTheme="minorHAnsi"/>
          <w:color w:val="000000"/>
          <w:sz w:val="22"/>
          <w:szCs w:val="22"/>
        </w:rPr>
        <w:t>SO/GI</w:t>
      </w:r>
      <w:r w:rsidRPr="0046015A">
        <w:rPr>
          <w:rFonts w:asciiTheme="minorHAnsi" w:hAnsiTheme="minorHAnsi"/>
          <w:color w:val="000000"/>
          <w:sz w:val="22"/>
          <w:szCs w:val="22"/>
        </w:rPr>
        <w:t xml:space="preserve"> data in the fall of 2019; results of this </w:t>
      </w:r>
      <w:r>
        <w:rPr>
          <w:rFonts w:asciiTheme="minorHAnsi" w:hAnsiTheme="minorHAnsi"/>
          <w:color w:val="000000"/>
          <w:sz w:val="22"/>
          <w:szCs w:val="22"/>
        </w:rPr>
        <w:t>survey</w:t>
      </w:r>
      <w:r w:rsidRPr="0046015A">
        <w:rPr>
          <w:rFonts w:asciiTheme="minorHAnsi" w:hAnsiTheme="minorHAnsi"/>
          <w:color w:val="000000"/>
          <w:sz w:val="22"/>
          <w:szCs w:val="22"/>
        </w:rPr>
        <w:t xml:space="preserve"> will provide additional insight regarding burden</w:t>
      </w:r>
      <w:r>
        <w:rPr>
          <w:rFonts w:asciiTheme="minorHAnsi" w:hAnsiTheme="minorHAnsi"/>
          <w:color w:val="000000"/>
          <w:sz w:val="22"/>
          <w:szCs w:val="22"/>
        </w:rPr>
        <w:t xml:space="preserve">, cost </w:t>
      </w:r>
      <w:r w:rsidRPr="0046015A">
        <w:rPr>
          <w:rFonts w:asciiTheme="minorHAnsi" w:hAnsiTheme="minorHAnsi"/>
          <w:color w:val="000000"/>
          <w:sz w:val="22"/>
          <w:szCs w:val="22"/>
        </w:rPr>
        <w:t xml:space="preserve">and data quality issues associated with reporting for both the sexual orientation and transgender </w:t>
      </w:r>
      <w:r>
        <w:rPr>
          <w:rFonts w:asciiTheme="minorHAnsi" w:hAnsiTheme="minorHAnsi"/>
          <w:color w:val="000000"/>
          <w:sz w:val="22"/>
          <w:szCs w:val="22"/>
        </w:rPr>
        <w:t xml:space="preserve">data elements </w:t>
      </w:r>
      <w:r w:rsidRPr="0046015A">
        <w:rPr>
          <w:rFonts w:asciiTheme="minorHAnsi" w:hAnsiTheme="minorHAnsi"/>
          <w:color w:val="000000"/>
          <w:sz w:val="22"/>
          <w:szCs w:val="22"/>
        </w:rPr>
        <w:t>to inform continued data collection.</w:t>
      </w:r>
      <w:r>
        <w:rPr>
          <w:rFonts w:asciiTheme="minorHAnsi" w:hAnsiTheme="minorHAnsi"/>
          <w:color w:val="000000"/>
          <w:sz w:val="22"/>
          <w:szCs w:val="22"/>
        </w:rPr>
        <w:t xml:space="preserve"> CDC is </w:t>
      </w:r>
      <w:r w:rsidRPr="0046015A">
        <w:rPr>
          <w:rFonts w:asciiTheme="minorHAnsi" w:hAnsiTheme="minorHAnsi"/>
          <w:color w:val="000000"/>
          <w:sz w:val="22"/>
          <w:szCs w:val="22"/>
        </w:rPr>
        <w:t xml:space="preserve">only requesting that jurisdictions who already collect these </w:t>
      </w:r>
      <w:r>
        <w:rPr>
          <w:rFonts w:asciiTheme="minorHAnsi" w:hAnsiTheme="minorHAnsi"/>
          <w:color w:val="000000"/>
          <w:sz w:val="22"/>
          <w:szCs w:val="22"/>
        </w:rPr>
        <w:t xml:space="preserve">data elements </w:t>
      </w:r>
      <w:r w:rsidRPr="0046015A">
        <w:rPr>
          <w:rFonts w:asciiTheme="minorHAnsi" w:hAnsiTheme="minorHAnsi"/>
          <w:color w:val="000000"/>
          <w:sz w:val="22"/>
          <w:szCs w:val="22"/>
        </w:rPr>
        <w:t xml:space="preserve">for local surveillance efforts provide them to CDC. Therefore, because these data elements are optional, we estimate the burden to be minimal. At this time, we have no evidence that reporting of these additional </w:t>
      </w:r>
      <w:r>
        <w:rPr>
          <w:rFonts w:asciiTheme="minorHAnsi" w:hAnsiTheme="minorHAnsi"/>
          <w:color w:val="000000"/>
          <w:sz w:val="22"/>
          <w:szCs w:val="22"/>
        </w:rPr>
        <w:t xml:space="preserve">data elements </w:t>
      </w:r>
      <w:r w:rsidRPr="0046015A">
        <w:rPr>
          <w:rFonts w:asciiTheme="minorHAnsi" w:hAnsiTheme="minorHAnsi"/>
          <w:color w:val="000000"/>
          <w:sz w:val="22"/>
          <w:szCs w:val="22"/>
        </w:rPr>
        <w:t xml:space="preserve">in these twelve jurisdictions increased burden above what was estimated in our initial change request. This suggests reporting of these </w:t>
      </w:r>
      <w:r>
        <w:rPr>
          <w:rFonts w:asciiTheme="minorHAnsi" w:hAnsiTheme="minorHAnsi"/>
          <w:color w:val="000000"/>
          <w:sz w:val="22"/>
          <w:szCs w:val="22"/>
        </w:rPr>
        <w:t xml:space="preserve">data elements </w:t>
      </w:r>
      <w:r w:rsidRPr="0046015A">
        <w:rPr>
          <w:rFonts w:asciiTheme="minorHAnsi" w:hAnsiTheme="minorHAnsi"/>
          <w:color w:val="000000"/>
          <w:sz w:val="22"/>
          <w:szCs w:val="22"/>
        </w:rPr>
        <w:t xml:space="preserve">to be cost effective; however, we would like to hear from additional jurisdictions who begin sending the </w:t>
      </w:r>
      <w:r>
        <w:rPr>
          <w:rFonts w:asciiTheme="minorHAnsi" w:hAnsiTheme="minorHAnsi"/>
          <w:color w:val="000000"/>
          <w:sz w:val="22"/>
          <w:szCs w:val="22"/>
        </w:rPr>
        <w:t xml:space="preserve">data elements </w:t>
      </w:r>
      <w:r w:rsidRPr="0046015A">
        <w:rPr>
          <w:rFonts w:asciiTheme="minorHAnsi" w:hAnsiTheme="minorHAnsi"/>
          <w:color w:val="000000"/>
          <w:sz w:val="22"/>
          <w:szCs w:val="22"/>
        </w:rPr>
        <w:t>in 2019 to ensure that there are not costs incurred above what was previously estimated.</w:t>
      </w:r>
      <w:r>
        <w:rPr>
          <w:rFonts w:asciiTheme="minorHAnsi" w:hAnsiTheme="minorHAnsi"/>
          <w:color w:val="000000"/>
          <w:sz w:val="22"/>
          <w:szCs w:val="22"/>
        </w:rPr>
        <w:t xml:space="preserve"> </w:t>
      </w:r>
    </w:p>
    <w:p w:rsidR="00E30E7D" w:rsidRDefault="00E30E7D" w:rsidP="00E30E7D">
      <w:pPr>
        <w:spacing w:line="360" w:lineRule="auto"/>
        <w:rPr>
          <w:rFonts w:asciiTheme="minorHAnsi" w:hAnsiTheme="minorHAnsi"/>
          <w:color w:val="000000"/>
          <w:sz w:val="22"/>
          <w:szCs w:val="22"/>
        </w:rPr>
      </w:pPr>
    </w:p>
    <w:p w:rsidR="00E30E7D" w:rsidRDefault="00E30E7D" w:rsidP="00E30E7D">
      <w:pPr>
        <w:spacing w:line="360" w:lineRule="auto"/>
        <w:rPr>
          <w:rFonts w:asciiTheme="minorHAnsi" w:hAnsiTheme="minorHAnsi"/>
          <w:color w:val="000000"/>
          <w:sz w:val="22"/>
          <w:szCs w:val="22"/>
        </w:rPr>
      </w:pPr>
      <w:r>
        <w:rPr>
          <w:rFonts w:asciiTheme="minorHAnsi" w:hAnsiTheme="minorHAnsi"/>
          <w:color w:val="000000"/>
          <w:sz w:val="22"/>
          <w:szCs w:val="22"/>
        </w:rPr>
        <w:t xml:space="preserve">Brief telephone surveys will be conducted with </w:t>
      </w:r>
      <w:r w:rsidRPr="00D97759">
        <w:rPr>
          <w:rFonts w:asciiTheme="minorHAnsi" w:hAnsiTheme="minorHAnsi"/>
          <w:color w:val="000000"/>
          <w:sz w:val="22"/>
          <w:szCs w:val="22"/>
        </w:rPr>
        <w:t>12 jurisdictions reporting SO</w:t>
      </w:r>
      <w:r>
        <w:rPr>
          <w:rFonts w:asciiTheme="minorHAnsi" w:hAnsiTheme="minorHAnsi"/>
          <w:color w:val="000000"/>
          <w:sz w:val="22"/>
          <w:szCs w:val="22"/>
        </w:rPr>
        <w:t>/</w:t>
      </w:r>
      <w:r w:rsidRPr="00D97759">
        <w:rPr>
          <w:rFonts w:asciiTheme="minorHAnsi" w:hAnsiTheme="minorHAnsi"/>
          <w:color w:val="000000"/>
          <w:sz w:val="22"/>
          <w:szCs w:val="22"/>
        </w:rPr>
        <w:t xml:space="preserve">GI </w:t>
      </w:r>
      <w:r>
        <w:rPr>
          <w:rFonts w:asciiTheme="minorHAnsi" w:hAnsiTheme="minorHAnsi"/>
          <w:color w:val="000000"/>
          <w:sz w:val="22"/>
          <w:szCs w:val="22"/>
        </w:rPr>
        <w:t xml:space="preserve">data elements </w:t>
      </w:r>
      <w:r w:rsidRPr="00D97759">
        <w:rPr>
          <w:rFonts w:asciiTheme="minorHAnsi" w:hAnsiTheme="minorHAnsi"/>
          <w:color w:val="000000"/>
          <w:sz w:val="22"/>
          <w:szCs w:val="22"/>
        </w:rPr>
        <w:t>as of March 2019</w:t>
      </w:r>
      <w:r>
        <w:rPr>
          <w:rFonts w:asciiTheme="minorHAnsi" w:hAnsiTheme="minorHAnsi"/>
          <w:color w:val="000000"/>
          <w:sz w:val="22"/>
          <w:szCs w:val="22"/>
        </w:rPr>
        <w:t xml:space="preserve"> (</w:t>
      </w:r>
      <w:r w:rsidRPr="00D02B89">
        <w:rPr>
          <w:rFonts w:asciiTheme="minorHAnsi" w:hAnsiTheme="minorHAnsi"/>
          <w:color w:val="000000"/>
          <w:sz w:val="22"/>
          <w:szCs w:val="22"/>
        </w:rPr>
        <w:t>Alaska, Arizona, Arkansas, Hawaii, Indiana, Louisiana, Maryland, Mississippi, New Mexico, Ohio, Oklahoma and Wyoming</w:t>
      </w:r>
      <w:r>
        <w:rPr>
          <w:rFonts w:asciiTheme="minorHAnsi" w:hAnsiTheme="minorHAnsi"/>
          <w:color w:val="000000"/>
          <w:sz w:val="22"/>
          <w:szCs w:val="22"/>
        </w:rPr>
        <w:t>)</w:t>
      </w:r>
      <w:r w:rsidRPr="00D97759">
        <w:rPr>
          <w:rFonts w:asciiTheme="minorHAnsi" w:hAnsiTheme="minorHAnsi"/>
          <w:color w:val="000000"/>
          <w:sz w:val="22"/>
          <w:szCs w:val="22"/>
        </w:rPr>
        <w:t>. Surveys will be administered August</w:t>
      </w:r>
      <w:r>
        <w:rPr>
          <w:rFonts w:asciiTheme="minorHAnsi" w:hAnsiTheme="minorHAnsi"/>
          <w:color w:val="000000"/>
          <w:sz w:val="22"/>
          <w:szCs w:val="22"/>
        </w:rPr>
        <w:t xml:space="preserve"> through</w:t>
      </w:r>
      <w:r w:rsidRPr="00D97759">
        <w:rPr>
          <w:rFonts w:asciiTheme="minorHAnsi" w:hAnsiTheme="minorHAnsi"/>
          <w:color w:val="000000"/>
          <w:sz w:val="22"/>
          <w:szCs w:val="22"/>
        </w:rPr>
        <w:t xml:space="preserve"> September 2019; data capture at CDC will be paper-based, with subsequent entry into an Excel workbook.  Respondents will be recruited through an introductory e-mail </w:t>
      </w:r>
      <w:r w:rsidRPr="006A136C">
        <w:rPr>
          <w:rFonts w:asciiTheme="minorHAnsi" w:hAnsiTheme="minorHAnsi"/>
          <w:color w:val="000000"/>
          <w:sz w:val="22"/>
          <w:szCs w:val="22"/>
        </w:rPr>
        <w:t>[</w:t>
      </w:r>
      <w:r w:rsidRPr="006A136C">
        <w:rPr>
          <w:rFonts w:asciiTheme="minorHAnsi" w:hAnsiTheme="minorHAnsi"/>
          <w:b/>
          <w:color w:val="000000"/>
          <w:sz w:val="22"/>
          <w:szCs w:val="22"/>
        </w:rPr>
        <w:t>Attachment 23, SOGI Survey Introductory Email</w:t>
      </w:r>
      <w:r w:rsidRPr="006A136C">
        <w:rPr>
          <w:rFonts w:asciiTheme="minorHAnsi" w:hAnsiTheme="minorHAnsi"/>
          <w:color w:val="000000"/>
          <w:sz w:val="22"/>
          <w:szCs w:val="22"/>
        </w:rPr>
        <w:t>]</w:t>
      </w:r>
      <w:r>
        <w:rPr>
          <w:rFonts w:asciiTheme="minorHAnsi" w:hAnsiTheme="minorHAnsi"/>
          <w:color w:val="000000"/>
          <w:sz w:val="22"/>
          <w:szCs w:val="22"/>
        </w:rPr>
        <w:t xml:space="preserve"> sent </w:t>
      </w:r>
      <w:r w:rsidRPr="00D97759">
        <w:rPr>
          <w:rFonts w:asciiTheme="minorHAnsi" w:hAnsiTheme="minorHAnsi"/>
          <w:color w:val="000000"/>
          <w:sz w:val="22"/>
          <w:szCs w:val="22"/>
        </w:rPr>
        <w:t xml:space="preserve">by July 30, 2019. This introductory e-mail will be sent to either the jurisdiction’s STD Surveillance Coordinator or the STD Epidemiologist (based on CDC-maintained lists) with instructions to identify the staff member most familiar with the jurisdiction’s data management system for handling and reporting STDs to CDC. Response to the introductory e-mail, which will include the specific questions to be asked, and subsequent scheduling of a formal phone survey will constitute consent to participate in this brief evaluation survey.  A reminder e-mail </w:t>
      </w:r>
      <w:r>
        <w:rPr>
          <w:rFonts w:asciiTheme="minorHAnsi" w:hAnsiTheme="minorHAnsi"/>
          <w:color w:val="000000"/>
          <w:sz w:val="22"/>
          <w:szCs w:val="22"/>
        </w:rPr>
        <w:t>[</w:t>
      </w:r>
      <w:r w:rsidRPr="001924C0">
        <w:rPr>
          <w:rFonts w:asciiTheme="minorHAnsi" w:hAnsiTheme="minorHAnsi"/>
          <w:b/>
          <w:color w:val="000000"/>
          <w:sz w:val="22"/>
          <w:szCs w:val="22"/>
        </w:rPr>
        <w:t>Attachment 24, SOGI Survey Reminder Email</w:t>
      </w:r>
      <w:r>
        <w:rPr>
          <w:rFonts w:asciiTheme="minorHAnsi" w:hAnsiTheme="minorHAnsi"/>
          <w:color w:val="000000"/>
          <w:sz w:val="22"/>
          <w:szCs w:val="22"/>
        </w:rPr>
        <w:t xml:space="preserve">] </w:t>
      </w:r>
      <w:r w:rsidRPr="00D97759">
        <w:rPr>
          <w:rFonts w:asciiTheme="minorHAnsi" w:hAnsiTheme="minorHAnsi"/>
          <w:color w:val="000000"/>
          <w:sz w:val="22"/>
          <w:szCs w:val="22"/>
        </w:rPr>
        <w:t>will be sent one week prior to the scheduled call to confirm participation and verify the appropriate contact information.</w:t>
      </w:r>
      <w:r>
        <w:rPr>
          <w:rFonts w:asciiTheme="minorHAnsi" w:hAnsiTheme="minorHAnsi"/>
          <w:color w:val="000000"/>
          <w:sz w:val="22"/>
          <w:szCs w:val="22"/>
        </w:rPr>
        <w:t xml:space="preserve"> </w:t>
      </w:r>
      <w:r w:rsidRPr="00D97759">
        <w:rPr>
          <w:rFonts w:asciiTheme="minorHAnsi" w:hAnsiTheme="minorHAnsi"/>
          <w:color w:val="000000"/>
          <w:sz w:val="22"/>
          <w:szCs w:val="22"/>
        </w:rPr>
        <w:t xml:space="preserve">Data will be captured on paper copies of the survey by CDC staff conducting the survey and entered into an Excel spreadsheet. Frequencies will be calculated for each categorical response option; total burden, average burden per jurisdiction and range between jurisdictions will also be calculated. Total number of reported cases, from the respondents NNDSS reporting will also be obtained to determine if there is any correlation between reported morbidity and reported burden. An anonymized summary report will be prepared for dissemination to stakeholders and for planning future implementation efforts. </w:t>
      </w:r>
    </w:p>
    <w:p w:rsidR="00E30E7D" w:rsidRPr="0046015A" w:rsidRDefault="00E30E7D" w:rsidP="00E30E7D">
      <w:pPr>
        <w:spacing w:line="360" w:lineRule="auto"/>
        <w:rPr>
          <w:rFonts w:asciiTheme="minorHAnsi" w:hAnsiTheme="minorHAnsi"/>
          <w:color w:val="000000"/>
          <w:sz w:val="22"/>
          <w:szCs w:val="22"/>
        </w:rPr>
      </w:pPr>
    </w:p>
    <w:p w:rsidR="001E484B" w:rsidRPr="00FF55BF" w:rsidRDefault="00BB45AE" w:rsidP="00925656">
      <w:pPr>
        <w:spacing w:line="360" w:lineRule="auto"/>
        <w:rPr>
          <w:rFonts w:asciiTheme="minorHAnsi" w:hAnsiTheme="minorHAnsi"/>
          <w:color w:val="C00000"/>
          <w:sz w:val="22"/>
          <w:szCs w:val="22"/>
        </w:rPr>
      </w:pPr>
      <w:r w:rsidRPr="00FF55BF">
        <w:rPr>
          <w:rFonts w:asciiTheme="minorHAnsi" w:eastAsia="Calibri" w:hAnsiTheme="minorHAnsi"/>
          <w:sz w:val="22"/>
          <w:szCs w:val="22"/>
        </w:rPr>
        <w:t xml:space="preserve">Once </w:t>
      </w:r>
      <w:r w:rsidR="00B8383F" w:rsidRPr="00FF55BF">
        <w:rPr>
          <w:rFonts w:asciiTheme="minorHAnsi" w:eastAsia="Calibri" w:hAnsiTheme="minorHAnsi"/>
          <w:sz w:val="22"/>
          <w:szCs w:val="22"/>
        </w:rPr>
        <w:t xml:space="preserve">case </w:t>
      </w:r>
      <w:r w:rsidR="00340948" w:rsidRPr="00FF55BF">
        <w:rPr>
          <w:rFonts w:asciiTheme="minorHAnsi" w:eastAsia="Calibri" w:hAnsiTheme="minorHAnsi"/>
          <w:sz w:val="22"/>
          <w:szCs w:val="22"/>
        </w:rPr>
        <w:t>notification</w:t>
      </w:r>
      <w:r w:rsidR="00B8383F" w:rsidRPr="00FF55BF">
        <w:rPr>
          <w:rFonts w:asciiTheme="minorHAnsi" w:eastAsia="Calibri" w:hAnsiTheme="minorHAnsi"/>
          <w:sz w:val="22"/>
          <w:szCs w:val="22"/>
        </w:rPr>
        <w:t xml:space="preserve"> </w:t>
      </w:r>
      <w:r w:rsidRPr="00FF55BF">
        <w:rPr>
          <w:rFonts w:asciiTheme="minorHAnsi" w:eastAsia="Calibri" w:hAnsiTheme="minorHAnsi"/>
          <w:sz w:val="22"/>
          <w:szCs w:val="22"/>
        </w:rPr>
        <w:t xml:space="preserve">data </w:t>
      </w:r>
      <w:r w:rsidR="00B8383F" w:rsidRPr="00FF55BF">
        <w:rPr>
          <w:rFonts w:asciiTheme="minorHAnsi" w:eastAsia="Calibri" w:hAnsiTheme="minorHAnsi"/>
          <w:sz w:val="22"/>
          <w:szCs w:val="22"/>
        </w:rPr>
        <w:t>a</w:t>
      </w:r>
      <w:r w:rsidRPr="00FF55BF">
        <w:rPr>
          <w:rFonts w:asciiTheme="minorHAnsi" w:eastAsia="Calibri" w:hAnsiTheme="minorHAnsi"/>
          <w:sz w:val="22"/>
          <w:szCs w:val="22"/>
        </w:rPr>
        <w:t xml:space="preserve">re </w:t>
      </w:r>
      <w:r w:rsidR="00B8383F" w:rsidRPr="00FF55BF">
        <w:rPr>
          <w:rFonts w:asciiTheme="minorHAnsi" w:eastAsia="Calibri" w:hAnsiTheme="minorHAnsi"/>
          <w:sz w:val="22"/>
          <w:szCs w:val="22"/>
        </w:rPr>
        <w:t xml:space="preserve">received by </w:t>
      </w:r>
      <w:r w:rsidR="00C81A93" w:rsidRPr="00FF55BF">
        <w:rPr>
          <w:rFonts w:asciiTheme="minorHAnsi" w:eastAsia="Calibri" w:hAnsiTheme="minorHAnsi"/>
          <w:sz w:val="22"/>
          <w:szCs w:val="22"/>
        </w:rPr>
        <w:t>NNDSS</w:t>
      </w:r>
      <w:r w:rsidRPr="00FF55BF">
        <w:rPr>
          <w:rFonts w:asciiTheme="minorHAnsi" w:eastAsia="Calibri" w:hAnsiTheme="minorHAnsi"/>
          <w:sz w:val="22"/>
          <w:szCs w:val="22"/>
        </w:rPr>
        <w:t xml:space="preserve">, </w:t>
      </w:r>
      <w:r w:rsidR="00C81A93" w:rsidRPr="00FF55BF">
        <w:rPr>
          <w:rFonts w:asciiTheme="minorHAnsi" w:eastAsia="Calibri" w:hAnsiTheme="minorHAnsi"/>
          <w:sz w:val="22"/>
          <w:szCs w:val="22"/>
        </w:rPr>
        <w:t xml:space="preserve">CDC </w:t>
      </w:r>
      <w:r w:rsidRPr="00FF55BF">
        <w:rPr>
          <w:rFonts w:asciiTheme="minorHAnsi" w:eastAsia="Calibri" w:hAnsiTheme="minorHAnsi"/>
          <w:sz w:val="22"/>
          <w:szCs w:val="22"/>
        </w:rPr>
        <w:t>data analysts conduct quality control assessments</w:t>
      </w:r>
      <w:r w:rsidR="00CE7E48" w:rsidRPr="00FF55BF">
        <w:rPr>
          <w:rFonts w:asciiTheme="minorHAnsi" w:eastAsia="Calibri" w:hAnsiTheme="minorHAnsi"/>
          <w:sz w:val="22"/>
          <w:szCs w:val="22"/>
        </w:rPr>
        <w:t>, including evaluating the information submitted against an established case definition. Analysts</w:t>
      </w:r>
      <w:r w:rsidRPr="00FF55BF">
        <w:rPr>
          <w:rFonts w:asciiTheme="minorHAnsi" w:eastAsia="Calibri" w:hAnsiTheme="minorHAnsi"/>
          <w:sz w:val="22"/>
          <w:szCs w:val="22"/>
        </w:rPr>
        <w:t xml:space="preserve"> standardize the data and then share the data with CDC subject matter experts who have responsibility for prevention and control of those diseases. </w:t>
      </w:r>
      <w:r w:rsidR="007F3BD1" w:rsidRPr="00FF55BF">
        <w:rPr>
          <w:rFonts w:asciiTheme="minorHAnsi" w:hAnsiTheme="minorHAnsi"/>
          <w:sz w:val="22"/>
          <w:szCs w:val="22"/>
        </w:rPr>
        <w:t>Data are used by CDC subject matter experts to</w:t>
      </w:r>
      <w:r w:rsidR="0099090A" w:rsidRPr="00FF55BF">
        <w:rPr>
          <w:rFonts w:asciiTheme="minorHAnsi" w:hAnsiTheme="minorHAnsi"/>
          <w:sz w:val="22"/>
          <w:szCs w:val="22"/>
        </w:rPr>
        <w:t xml:space="preserve"> monitor the occurrence of the conditions</w:t>
      </w:r>
      <w:r w:rsidR="005204E8" w:rsidRPr="00FF55BF">
        <w:rPr>
          <w:rFonts w:asciiTheme="minorHAnsi" w:hAnsiTheme="minorHAnsi"/>
          <w:sz w:val="22"/>
          <w:szCs w:val="22"/>
        </w:rPr>
        <w:t>,</w:t>
      </w:r>
      <w:r w:rsidR="007F3BD1" w:rsidRPr="00FF55BF">
        <w:rPr>
          <w:rFonts w:asciiTheme="minorHAnsi" w:hAnsiTheme="minorHAnsi"/>
          <w:sz w:val="22"/>
          <w:szCs w:val="22"/>
        </w:rPr>
        <w:t xml:space="preserve"> identify populations or geographic areas at high risk, plan prevention and control programs and policies, allocate resources appropriately, and evaluate the effectiveness of programs and policies.</w:t>
      </w:r>
      <w:r w:rsidR="00C30217" w:rsidRPr="00FF55BF">
        <w:rPr>
          <w:rFonts w:asciiTheme="minorHAnsi" w:hAnsiTheme="minorHAnsi"/>
          <w:sz w:val="22"/>
          <w:szCs w:val="22"/>
        </w:rPr>
        <w:t xml:space="preserve"> </w:t>
      </w:r>
      <w:r w:rsidR="001E484B" w:rsidRPr="00FF55BF">
        <w:rPr>
          <w:rFonts w:asciiTheme="minorHAnsi" w:hAnsiTheme="minorHAnsi"/>
          <w:sz w:val="22"/>
          <w:szCs w:val="22"/>
        </w:rPr>
        <w:t xml:space="preserve">In addition, information is collected that allows </w:t>
      </w:r>
      <w:r w:rsidR="00BB6E08">
        <w:rPr>
          <w:rFonts w:asciiTheme="minorHAnsi" w:hAnsiTheme="minorHAnsi"/>
          <w:sz w:val="22"/>
          <w:szCs w:val="22"/>
        </w:rPr>
        <w:t>CDC</w:t>
      </w:r>
      <w:r w:rsidR="003A311B" w:rsidRPr="00FF55BF">
        <w:rPr>
          <w:rFonts w:asciiTheme="minorHAnsi" w:hAnsiTheme="minorHAnsi"/>
          <w:sz w:val="22"/>
          <w:szCs w:val="22"/>
        </w:rPr>
        <w:t xml:space="preserve"> to </w:t>
      </w:r>
      <w:r w:rsidR="001E484B" w:rsidRPr="00FF55BF">
        <w:rPr>
          <w:rFonts w:asciiTheme="minorHAnsi" w:hAnsiTheme="minorHAnsi"/>
          <w:sz w:val="22"/>
          <w:szCs w:val="22"/>
        </w:rPr>
        <w:t>trac</w:t>
      </w:r>
      <w:r w:rsidR="003A311B" w:rsidRPr="00FF55BF">
        <w:rPr>
          <w:rFonts w:asciiTheme="minorHAnsi" w:hAnsiTheme="minorHAnsi"/>
          <w:sz w:val="22"/>
          <w:szCs w:val="22"/>
        </w:rPr>
        <w:t>e</w:t>
      </w:r>
      <w:r w:rsidR="001E484B" w:rsidRPr="00FF55BF">
        <w:rPr>
          <w:rFonts w:asciiTheme="minorHAnsi" w:hAnsiTheme="minorHAnsi"/>
          <w:sz w:val="22"/>
          <w:szCs w:val="22"/>
        </w:rPr>
        <w:t xml:space="preserve"> cases</w:t>
      </w:r>
      <w:r w:rsidR="00375FA2" w:rsidRPr="00FF55BF">
        <w:rPr>
          <w:rFonts w:asciiTheme="minorHAnsi" w:hAnsiTheme="minorHAnsi"/>
          <w:sz w:val="22"/>
          <w:szCs w:val="22"/>
        </w:rPr>
        <w:t xml:space="preserve"> and their </w:t>
      </w:r>
      <w:r w:rsidR="001E484B" w:rsidRPr="00FF55BF">
        <w:rPr>
          <w:rFonts w:asciiTheme="minorHAnsi" w:hAnsiTheme="minorHAnsi"/>
          <w:sz w:val="22"/>
          <w:szCs w:val="22"/>
        </w:rPr>
        <w:t>contacts</w:t>
      </w:r>
      <w:r w:rsidR="00375FA2" w:rsidRPr="00FF55BF">
        <w:rPr>
          <w:rFonts w:asciiTheme="minorHAnsi" w:hAnsiTheme="minorHAnsi"/>
          <w:sz w:val="22"/>
          <w:szCs w:val="22"/>
        </w:rPr>
        <w:t xml:space="preserve"> and their </w:t>
      </w:r>
      <w:r w:rsidR="001E484B" w:rsidRPr="00FF55BF">
        <w:rPr>
          <w:rFonts w:asciiTheme="minorHAnsi" w:hAnsiTheme="minorHAnsi"/>
          <w:sz w:val="22"/>
          <w:szCs w:val="22"/>
        </w:rPr>
        <w:t>travel</w:t>
      </w:r>
      <w:r w:rsidR="00375FA2" w:rsidRPr="00FF55BF">
        <w:rPr>
          <w:rFonts w:asciiTheme="minorHAnsi" w:hAnsiTheme="minorHAnsi"/>
          <w:sz w:val="22"/>
          <w:szCs w:val="22"/>
        </w:rPr>
        <w:t xml:space="preserve"> histories</w:t>
      </w:r>
      <w:r w:rsidR="001E484B" w:rsidRPr="00FF55BF">
        <w:rPr>
          <w:rFonts w:asciiTheme="minorHAnsi" w:hAnsiTheme="minorHAnsi"/>
          <w:sz w:val="22"/>
          <w:szCs w:val="22"/>
        </w:rPr>
        <w:t xml:space="preserve">, or other linkages necessary to </w:t>
      </w:r>
      <w:r w:rsidR="00E15800" w:rsidRPr="00FF55BF">
        <w:rPr>
          <w:rFonts w:asciiTheme="minorHAnsi" w:hAnsiTheme="minorHAnsi"/>
          <w:sz w:val="22"/>
          <w:szCs w:val="22"/>
        </w:rPr>
        <w:t>describe and</w:t>
      </w:r>
      <w:r w:rsidR="00375FA2" w:rsidRPr="00FF55BF">
        <w:rPr>
          <w:rFonts w:asciiTheme="minorHAnsi" w:hAnsiTheme="minorHAnsi"/>
          <w:sz w:val="22"/>
          <w:szCs w:val="22"/>
        </w:rPr>
        <w:t xml:space="preserve"> manage</w:t>
      </w:r>
      <w:r w:rsidR="001E484B" w:rsidRPr="00FF55BF">
        <w:rPr>
          <w:rFonts w:asciiTheme="minorHAnsi" w:hAnsiTheme="minorHAnsi"/>
          <w:sz w:val="22"/>
          <w:szCs w:val="22"/>
        </w:rPr>
        <w:t xml:space="preserve"> outbreak</w:t>
      </w:r>
      <w:r w:rsidR="00375FA2" w:rsidRPr="00FF55BF">
        <w:rPr>
          <w:rFonts w:asciiTheme="minorHAnsi" w:hAnsiTheme="minorHAnsi"/>
          <w:sz w:val="22"/>
          <w:szCs w:val="22"/>
        </w:rPr>
        <w:t>s or conduct public health follow-up to minimize the spread of disease</w:t>
      </w:r>
      <w:r w:rsidR="001E484B" w:rsidRPr="00FF55BF">
        <w:rPr>
          <w:rFonts w:asciiTheme="minorHAnsi" w:hAnsiTheme="minorHAnsi"/>
          <w:sz w:val="22"/>
          <w:szCs w:val="22"/>
        </w:rPr>
        <w:t xml:space="preserve">. </w:t>
      </w:r>
    </w:p>
    <w:p w:rsidR="001E484B" w:rsidRPr="00FF55BF" w:rsidRDefault="001E484B" w:rsidP="00925656">
      <w:pPr>
        <w:spacing w:line="360" w:lineRule="auto"/>
        <w:rPr>
          <w:rFonts w:asciiTheme="minorHAnsi" w:hAnsiTheme="minorHAnsi"/>
          <w:sz w:val="22"/>
          <w:szCs w:val="22"/>
        </w:rPr>
      </w:pPr>
    </w:p>
    <w:p w:rsidR="00124FF2" w:rsidRPr="00FF55BF" w:rsidRDefault="005825BD" w:rsidP="00925656">
      <w:pPr>
        <w:spacing w:line="360" w:lineRule="auto"/>
        <w:contextualSpacing/>
        <w:rPr>
          <w:rFonts w:asciiTheme="minorHAnsi" w:hAnsiTheme="minorHAnsi"/>
          <w:sz w:val="22"/>
          <w:szCs w:val="22"/>
        </w:rPr>
      </w:pPr>
      <w:r w:rsidRPr="00323A6A">
        <w:rPr>
          <w:rFonts w:asciiTheme="minorHAnsi" w:hAnsiTheme="minorHAnsi"/>
          <w:sz w:val="22"/>
          <w:szCs w:val="22"/>
        </w:rPr>
        <w:t xml:space="preserve">NNDSS provides the official source of statistics in the United States for nationally notifiable conditions and </w:t>
      </w:r>
      <w:r w:rsidR="009135CB" w:rsidRPr="00323A6A">
        <w:rPr>
          <w:rFonts w:asciiTheme="minorHAnsi" w:hAnsiTheme="minorHAnsi"/>
          <w:sz w:val="22"/>
          <w:szCs w:val="22"/>
        </w:rPr>
        <w:t>CDC is the sole repository for these national, population-based data.</w:t>
      </w:r>
      <w:r w:rsidR="004121B2" w:rsidRPr="00FF55BF">
        <w:rPr>
          <w:rFonts w:asciiTheme="minorHAnsi" w:hAnsiTheme="minorHAnsi"/>
          <w:sz w:val="22"/>
          <w:szCs w:val="22"/>
        </w:rPr>
        <w:t xml:space="preserve">  </w:t>
      </w:r>
      <w:r w:rsidR="00124FF2" w:rsidRPr="00FF55BF">
        <w:rPr>
          <w:rFonts w:asciiTheme="minorHAnsi" w:hAnsiTheme="minorHAnsi"/>
          <w:sz w:val="22"/>
          <w:szCs w:val="22"/>
        </w:rPr>
        <w:t xml:space="preserve">CDC also </w:t>
      </w:r>
      <w:r w:rsidR="00C30217" w:rsidRPr="00FF55BF">
        <w:rPr>
          <w:rFonts w:asciiTheme="minorHAnsi" w:hAnsiTheme="minorHAnsi"/>
          <w:sz w:val="22"/>
          <w:szCs w:val="22"/>
        </w:rPr>
        <w:t xml:space="preserve">uses the notifiable </w:t>
      </w:r>
      <w:r w:rsidR="00DE10AD">
        <w:rPr>
          <w:rFonts w:asciiTheme="minorHAnsi" w:hAnsiTheme="minorHAnsi"/>
          <w:sz w:val="22"/>
          <w:szCs w:val="22"/>
        </w:rPr>
        <w:t>condition</w:t>
      </w:r>
      <w:r w:rsidR="00C30217" w:rsidRPr="00FF55BF">
        <w:rPr>
          <w:rFonts w:asciiTheme="minorHAnsi" w:hAnsiTheme="minorHAnsi"/>
          <w:sz w:val="22"/>
          <w:szCs w:val="22"/>
        </w:rPr>
        <w:t xml:space="preserve"> data to </w:t>
      </w:r>
      <w:r w:rsidR="00124FF2" w:rsidRPr="00FF55BF">
        <w:rPr>
          <w:rFonts w:asciiTheme="minorHAnsi" w:hAnsiTheme="minorHAnsi"/>
          <w:sz w:val="22"/>
          <w:szCs w:val="22"/>
        </w:rPr>
        <w:t>publish</w:t>
      </w:r>
      <w:r w:rsidR="00C30217" w:rsidRPr="00FF55BF">
        <w:rPr>
          <w:rFonts w:asciiTheme="minorHAnsi" w:hAnsiTheme="minorHAnsi"/>
          <w:sz w:val="22"/>
          <w:szCs w:val="22"/>
        </w:rPr>
        <w:t xml:space="preserve"> </w:t>
      </w:r>
      <w:r w:rsidR="00124FF2" w:rsidRPr="00FF55BF">
        <w:rPr>
          <w:rFonts w:asciiTheme="minorHAnsi" w:hAnsiTheme="minorHAnsi"/>
          <w:sz w:val="22"/>
          <w:szCs w:val="22"/>
        </w:rPr>
        <w:t>surveillance summaries and other reports in scientific, public health and medical journals.</w:t>
      </w:r>
    </w:p>
    <w:p w:rsidR="00AA27C3" w:rsidRPr="00FF55BF" w:rsidRDefault="00AA27C3" w:rsidP="00925656">
      <w:pPr>
        <w:spacing w:line="360" w:lineRule="auto"/>
        <w:rPr>
          <w:rFonts w:asciiTheme="minorHAnsi" w:hAnsiTheme="minorHAnsi"/>
          <w:color w:val="000000"/>
          <w:sz w:val="22"/>
          <w:szCs w:val="22"/>
        </w:rPr>
      </w:pPr>
    </w:p>
    <w:p w:rsidR="00640A8B" w:rsidRDefault="00C30217" w:rsidP="00925656">
      <w:pPr>
        <w:spacing w:line="360" w:lineRule="auto"/>
        <w:rPr>
          <w:rFonts w:asciiTheme="minorHAnsi" w:hAnsiTheme="minorHAnsi"/>
          <w:sz w:val="22"/>
          <w:szCs w:val="22"/>
        </w:rPr>
      </w:pPr>
      <w:r w:rsidRPr="00FF55BF">
        <w:rPr>
          <w:rFonts w:asciiTheme="minorHAnsi" w:hAnsiTheme="minorHAnsi"/>
          <w:color w:val="000000"/>
          <w:sz w:val="22"/>
          <w:szCs w:val="22"/>
        </w:rPr>
        <w:t xml:space="preserve">Data are also shared with </w:t>
      </w:r>
      <w:r w:rsidR="007E0755">
        <w:rPr>
          <w:rFonts w:asciiTheme="minorHAnsi" w:hAnsiTheme="minorHAnsi"/>
          <w:color w:val="000000"/>
          <w:sz w:val="22"/>
          <w:szCs w:val="22"/>
        </w:rPr>
        <w:t>jurisdictions a</w:t>
      </w:r>
      <w:r w:rsidRPr="00FF55BF">
        <w:rPr>
          <w:rFonts w:asciiTheme="minorHAnsi" w:hAnsiTheme="minorHAnsi"/>
          <w:color w:val="000000"/>
          <w:sz w:val="22"/>
          <w:szCs w:val="22"/>
        </w:rPr>
        <w:t>nd with the public</w:t>
      </w:r>
      <w:r w:rsidR="00407DF5" w:rsidRPr="00FF55BF">
        <w:rPr>
          <w:rFonts w:asciiTheme="minorHAnsi" w:hAnsiTheme="minorHAnsi"/>
          <w:color w:val="000000"/>
          <w:sz w:val="22"/>
          <w:szCs w:val="22"/>
        </w:rPr>
        <w:t xml:space="preserve">. </w:t>
      </w:r>
      <w:r w:rsidR="00BE228D" w:rsidRPr="00FF55BF">
        <w:rPr>
          <w:rFonts w:asciiTheme="minorHAnsi" w:hAnsiTheme="minorHAnsi"/>
          <w:sz w:val="22"/>
          <w:szCs w:val="22"/>
        </w:rPr>
        <w:t xml:space="preserve">For certain nationally notifiable conditions, </w:t>
      </w:r>
      <w:r w:rsidR="00B3389D" w:rsidRPr="00FF55BF">
        <w:rPr>
          <w:rFonts w:asciiTheme="minorHAnsi" w:hAnsiTheme="minorHAnsi"/>
          <w:sz w:val="22"/>
          <w:szCs w:val="22"/>
        </w:rPr>
        <w:t xml:space="preserve">CDC releases national data to the public through CDC’s web-based </w:t>
      </w:r>
      <w:r w:rsidR="0004678C" w:rsidRPr="00FF55BF">
        <w:rPr>
          <w:rFonts w:asciiTheme="minorHAnsi" w:hAnsiTheme="minorHAnsi"/>
          <w:sz w:val="22"/>
          <w:szCs w:val="22"/>
        </w:rPr>
        <w:t xml:space="preserve">query system known as </w:t>
      </w:r>
      <w:r w:rsidR="00B3389D" w:rsidRPr="00FF55BF">
        <w:rPr>
          <w:rFonts w:asciiTheme="minorHAnsi" w:hAnsiTheme="minorHAnsi"/>
          <w:sz w:val="22"/>
          <w:szCs w:val="22"/>
        </w:rPr>
        <w:t>WONDER</w:t>
      </w:r>
      <w:r w:rsidR="00BE228D" w:rsidRPr="00FF55BF">
        <w:rPr>
          <w:rFonts w:asciiTheme="minorHAnsi" w:hAnsiTheme="minorHAnsi"/>
          <w:sz w:val="22"/>
          <w:szCs w:val="22"/>
        </w:rPr>
        <w:t xml:space="preserve"> </w:t>
      </w:r>
      <w:r w:rsidR="0072204F" w:rsidRPr="00FF55BF">
        <w:rPr>
          <w:rFonts w:asciiTheme="minorHAnsi" w:hAnsiTheme="minorHAnsi"/>
          <w:sz w:val="22"/>
          <w:szCs w:val="22"/>
        </w:rPr>
        <w:t>(</w:t>
      </w:r>
      <w:hyperlink r:id="rId19" w:history="1">
        <w:r w:rsidR="00CE4187" w:rsidRPr="00FF55BF">
          <w:rPr>
            <w:rStyle w:val="Hyperlink"/>
            <w:rFonts w:asciiTheme="minorHAnsi" w:hAnsiTheme="minorHAnsi"/>
            <w:sz w:val="22"/>
            <w:szCs w:val="22"/>
          </w:rPr>
          <w:t>http://wonder.cdc.gov/</w:t>
        </w:r>
      </w:hyperlink>
      <w:r w:rsidR="00BE228D" w:rsidRPr="00FF55BF">
        <w:rPr>
          <w:rFonts w:asciiTheme="minorHAnsi" w:hAnsiTheme="minorHAnsi"/>
          <w:sz w:val="22"/>
          <w:szCs w:val="22"/>
        </w:rPr>
        <w:t>)</w:t>
      </w:r>
      <w:r w:rsidR="000318C7">
        <w:rPr>
          <w:rFonts w:asciiTheme="minorHAnsi" w:hAnsiTheme="minorHAnsi"/>
          <w:sz w:val="22"/>
          <w:szCs w:val="22"/>
        </w:rPr>
        <w:t xml:space="preserve"> and through </w:t>
      </w:r>
      <w:r w:rsidR="00FC5A29">
        <w:rPr>
          <w:rFonts w:asciiTheme="minorHAnsi" w:hAnsiTheme="minorHAnsi"/>
          <w:sz w:val="22"/>
          <w:szCs w:val="22"/>
        </w:rPr>
        <w:t>Data.</w:t>
      </w:r>
      <w:r w:rsidR="00383EAA">
        <w:rPr>
          <w:rFonts w:asciiTheme="minorHAnsi" w:hAnsiTheme="minorHAnsi"/>
          <w:sz w:val="22"/>
          <w:szCs w:val="22"/>
        </w:rPr>
        <w:t>CDC.g</w:t>
      </w:r>
      <w:r w:rsidR="00FC5A29">
        <w:rPr>
          <w:rFonts w:asciiTheme="minorHAnsi" w:hAnsiTheme="minorHAnsi"/>
          <w:sz w:val="22"/>
          <w:szCs w:val="22"/>
        </w:rPr>
        <w:t>ov (</w:t>
      </w:r>
      <w:hyperlink r:id="rId20" w:history="1">
        <w:r w:rsidR="00383EAA" w:rsidRPr="00CB020E">
          <w:rPr>
            <w:rStyle w:val="Hyperlink"/>
            <w:rFonts w:asciiTheme="minorHAnsi" w:hAnsiTheme="minorHAnsi"/>
            <w:sz w:val="22"/>
            <w:szCs w:val="22"/>
          </w:rPr>
          <w:t>https://data.cdc.gov</w:t>
        </w:r>
      </w:hyperlink>
      <w:r w:rsidR="00C15B7C">
        <w:rPr>
          <w:rFonts w:asciiTheme="minorHAnsi" w:hAnsiTheme="minorHAnsi"/>
          <w:sz w:val="22"/>
          <w:szCs w:val="22"/>
        </w:rPr>
        <w:t>)</w:t>
      </w:r>
      <w:r w:rsidR="00383EAA">
        <w:rPr>
          <w:rFonts w:asciiTheme="minorHAnsi" w:hAnsiTheme="minorHAnsi"/>
          <w:sz w:val="22"/>
          <w:szCs w:val="22"/>
        </w:rPr>
        <w:t xml:space="preserve">. </w:t>
      </w:r>
      <w:r w:rsidR="00176F5D" w:rsidRPr="00FF55BF">
        <w:rPr>
          <w:rFonts w:asciiTheme="minorHAnsi" w:hAnsiTheme="minorHAnsi"/>
          <w:sz w:val="22"/>
          <w:szCs w:val="22"/>
        </w:rPr>
        <w:t>Shared data are summary statistics of aggregate data produced after personal identifiers have been removed (Section A.1</w:t>
      </w:r>
      <w:r w:rsidR="004D2578">
        <w:rPr>
          <w:rFonts w:asciiTheme="minorHAnsi" w:hAnsiTheme="minorHAnsi"/>
          <w:sz w:val="22"/>
          <w:szCs w:val="22"/>
        </w:rPr>
        <w:t>6</w:t>
      </w:r>
      <w:r w:rsidR="00176F5D" w:rsidRPr="00FF55BF">
        <w:rPr>
          <w:rFonts w:asciiTheme="minorHAnsi" w:hAnsiTheme="minorHAnsi"/>
          <w:sz w:val="22"/>
          <w:szCs w:val="22"/>
        </w:rPr>
        <w:t>, below).</w:t>
      </w:r>
      <w:r w:rsidR="00CE2F48">
        <w:rPr>
          <w:rFonts w:asciiTheme="minorHAnsi" w:hAnsiTheme="minorHAnsi"/>
          <w:sz w:val="22"/>
          <w:szCs w:val="22"/>
        </w:rPr>
        <w:t xml:space="preserve"> </w:t>
      </w:r>
      <w:r w:rsidR="00CE2F48" w:rsidRPr="00CE2F48">
        <w:rPr>
          <w:rFonts w:asciiTheme="minorHAnsi" w:hAnsiTheme="minorHAnsi"/>
          <w:sz w:val="22"/>
          <w:szCs w:val="22"/>
        </w:rPr>
        <w:t xml:space="preserve">Surveillance programs in </w:t>
      </w:r>
      <w:r w:rsidR="005C2CBC">
        <w:rPr>
          <w:rFonts w:asciiTheme="minorHAnsi" w:hAnsiTheme="minorHAnsi"/>
          <w:sz w:val="22"/>
          <w:szCs w:val="22"/>
        </w:rPr>
        <w:t>the Office of Infectious Diseases (</w:t>
      </w:r>
      <w:r w:rsidR="00BB6E08">
        <w:rPr>
          <w:rFonts w:asciiTheme="minorHAnsi" w:hAnsiTheme="minorHAnsi"/>
          <w:sz w:val="22"/>
          <w:szCs w:val="22"/>
        </w:rPr>
        <w:t>OID</w:t>
      </w:r>
      <w:r w:rsidR="005C2CBC">
        <w:rPr>
          <w:rFonts w:asciiTheme="minorHAnsi" w:hAnsiTheme="minorHAnsi"/>
          <w:sz w:val="22"/>
          <w:szCs w:val="22"/>
        </w:rPr>
        <w:t>)</w:t>
      </w:r>
      <w:r w:rsidR="00CE2F48" w:rsidRPr="00CE2F48">
        <w:rPr>
          <w:rFonts w:asciiTheme="minorHAnsi" w:hAnsiTheme="minorHAnsi"/>
          <w:sz w:val="22"/>
          <w:szCs w:val="22"/>
        </w:rPr>
        <w:t xml:space="preserve"> and </w:t>
      </w:r>
      <w:r w:rsidR="005C2CBC">
        <w:rPr>
          <w:rFonts w:asciiTheme="minorHAnsi" w:hAnsiTheme="minorHAnsi"/>
          <w:sz w:val="22"/>
          <w:szCs w:val="22"/>
        </w:rPr>
        <w:t>the Center for Global Health (</w:t>
      </w:r>
      <w:r w:rsidR="00CE2F48" w:rsidRPr="00CE2F48">
        <w:rPr>
          <w:rFonts w:asciiTheme="minorHAnsi" w:hAnsiTheme="minorHAnsi"/>
          <w:sz w:val="22"/>
          <w:szCs w:val="22"/>
        </w:rPr>
        <w:t>CGH</w:t>
      </w:r>
      <w:r w:rsidR="005C2CBC">
        <w:rPr>
          <w:rFonts w:asciiTheme="minorHAnsi" w:hAnsiTheme="minorHAnsi"/>
          <w:sz w:val="22"/>
          <w:szCs w:val="22"/>
        </w:rPr>
        <w:t>)</w:t>
      </w:r>
      <w:r w:rsidR="00CE2F48">
        <w:rPr>
          <w:rFonts w:asciiTheme="minorHAnsi" w:hAnsiTheme="minorHAnsi"/>
          <w:sz w:val="22"/>
          <w:szCs w:val="22"/>
        </w:rPr>
        <w:t xml:space="preserve"> </w:t>
      </w:r>
      <w:r w:rsidR="00CE2F48" w:rsidRPr="00CE2F48">
        <w:rPr>
          <w:rFonts w:asciiTheme="minorHAnsi" w:hAnsiTheme="minorHAnsi"/>
          <w:sz w:val="22"/>
          <w:szCs w:val="22"/>
        </w:rPr>
        <w:t xml:space="preserve">receive nationally notifiable </w:t>
      </w:r>
      <w:r w:rsidR="00610801">
        <w:rPr>
          <w:rFonts w:asciiTheme="minorHAnsi" w:hAnsiTheme="minorHAnsi"/>
          <w:sz w:val="22"/>
          <w:szCs w:val="22"/>
        </w:rPr>
        <w:t xml:space="preserve">condition data for </w:t>
      </w:r>
      <w:r w:rsidR="00CE2F48" w:rsidRPr="00CE2F48">
        <w:rPr>
          <w:rFonts w:asciiTheme="minorHAnsi" w:hAnsiTheme="minorHAnsi"/>
          <w:sz w:val="22"/>
          <w:szCs w:val="22"/>
        </w:rPr>
        <w:t>infectious disease</w:t>
      </w:r>
      <w:r w:rsidR="00610801">
        <w:rPr>
          <w:rFonts w:asciiTheme="minorHAnsi" w:hAnsiTheme="minorHAnsi"/>
          <w:sz w:val="22"/>
          <w:szCs w:val="22"/>
        </w:rPr>
        <w:t>s</w:t>
      </w:r>
      <w:r w:rsidR="00CE2F48" w:rsidRPr="00CE2F48">
        <w:rPr>
          <w:rFonts w:asciiTheme="minorHAnsi" w:hAnsiTheme="minorHAnsi"/>
          <w:sz w:val="22"/>
          <w:szCs w:val="22"/>
        </w:rPr>
        <w:t xml:space="preserve"> from DHIS and use, release and/or share their programs’ data according to guidance established by CDC, their Centers and programs.</w:t>
      </w:r>
      <w:r w:rsidR="001F4B8D" w:rsidRPr="001F4B8D">
        <w:rPr>
          <w:rFonts w:asciiTheme="minorHAnsi" w:hAnsiTheme="minorHAnsi"/>
          <w:sz w:val="22"/>
          <w:szCs w:val="22"/>
        </w:rPr>
        <w:t xml:space="preserve"> </w:t>
      </w:r>
    </w:p>
    <w:p w:rsidR="001F482A" w:rsidRDefault="001F482A" w:rsidP="00925656">
      <w:pPr>
        <w:spacing w:line="360" w:lineRule="auto"/>
        <w:rPr>
          <w:rFonts w:asciiTheme="minorHAnsi" w:hAnsiTheme="minorHAnsi"/>
          <w:sz w:val="22"/>
          <w:szCs w:val="22"/>
        </w:rPr>
      </w:pPr>
    </w:p>
    <w:p w:rsidR="00C03048" w:rsidRPr="00FF55BF" w:rsidRDefault="00C03048" w:rsidP="00925656">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A.3. </w:t>
      </w:r>
      <w:r w:rsidRPr="00FF55BF">
        <w:rPr>
          <w:rFonts w:asciiTheme="minorHAnsi" w:hAnsiTheme="minorHAnsi"/>
          <w:b/>
          <w:color w:val="000000"/>
          <w:sz w:val="22"/>
          <w:szCs w:val="22"/>
          <w:u w:val="single"/>
        </w:rPr>
        <w:t>Use of Improved Information Technology</w:t>
      </w:r>
      <w:r w:rsidR="00A824BA">
        <w:rPr>
          <w:rFonts w:asciiTheme="minorHAnsi" w:hAnsiTheme="minorHAnsi"/>
          <w:b/>
          <w:color w:val="000000"/>
          <w:sz w:val="22"/>
          <w:szCs w:val="22"/>
          <w:u w:val="single"/>
        </w:rPr>
        <w:t xml:space="preserve"> and Burden Reduction</w:t>
      </w:r>
      <w:r w:rsidRPr="00FF55BF">
        <w:rPr>
          <w:rFonts w:asciiTheme="minorHAnsi" w:hAnsiTheme="minorHAnsi"/>
          <w:b/>
          <w:color w:val="000000"/>
          <w:sz w:val="22"/>
          <w:szCs w:val="22"/>
          <w:u w:val="single"/>
        </w:rPr>
        <w:t xml:space="preserve">   </w:t>
      </w:r>
    </w:p>
    <w:p w:rsidR="00746669" w:rsidRPr="0034632B" w:rsidRDefault="00BC0CB7" w:rsidP="00925656">
      <w:pPr>
        <w:spacing w:line="360" w:lineRule="auto"/>
        <w:rPr>
          <w:rFonts w:asciiTheme="minorHAnsi" w:hAnsiTheme="minorHAnsi"/>
          <w:sz w:val="22"/>
          <w:szCs w:val="22"/>
        </w:rPr>
      </w:pPr>
      <w:r w:rsidRPr="0034632B">
        <w:rPr>
          <w:rFonts w:asciiTheme="minorHAnsi" w:hAnsiTheme="minorHAnsi"/>
          <w:sz w:val="22"/>
          <w:szCs w:val="22"/>
        </w:rPr>
        <w:t>A</w:t>
      </w:r>
      <w:r w:rsidR="00A97432" w:rsidRPr="0034632B">
        <w:rPr>
          <w:rFonts w:asciiTheme="minorHAnsi" w:hAnsiTheme="minorHAnsi"/>
          <w:sz w:val="22"/>
          <w:szCs w:val="22"/>
        </w:rPr>
        <w:t>n</w:t>
      </w:r>
      <w:r w:rsidRPr="0034632B">
        <w:rPr>
          <w:rFonts w:asciiTheme="minorHAnsi" w:hAnsiTheme="minorHAnsi"/>
          <w:sz w:val="22"/>
          <w:szCs w:val="22"/>
        </w:rPr>
        <w:t xml:space="preserve"> NNDSS </w:t>
      </w:r>
      <w:r w:rsidR="00FF1035" w:rsidRPr="0034632B">
        <w:rPr>
          <w:rFonts w:asciiTheme="minorHAnsi" w:hAnsiTheme="minorHAnsi"/>
          <w:sz w:val="22"/>
          <w:szCs w:val="22"/>
        </w:rPr>
        <w:t>initiative</w:t>
      </w:r>
      <w:r w:rsidRPr="0034632B">
        <w:rPr>
          <w:rFonts w:asciiTheme="minorHAnsi" w:hAnsiTheme="minorHAnsi"/>
          <w:sz w:val="22"/>
          <w:szCs w:val="22"/>
        </w:rPr>
        <w:t xml:space="preserve"> </w:t>
      </w:r>
      <w:r w:rsidR="00770CA9" w:rsidRPr="0034632B">
        <w:rPr>
          <w:rFonts w:asciiTheme="minorHAnsi" w:hAnsiTheme="minorHAnsi"/>
          <w:sz w:val="22"/>
          <w:szCs w:val="22"/>
        </w:rPr>
        <w:t>that focuses</w:t>
      </w:r>
      <w:r w:rsidR="00FB0261" w:rsidRPr="0034632B">
        <w:rPr>
          <w:rFonts w:asciiTheme="minorHAnsi" w:hAnsiTheme="minorHAnsi"/>
          <w:sz w:val="22"/>
          <w:szCs w:val="22"/>
        </w:rPr>
        <w:t xml:space="preserve"> </w:t>
      </w:r>
      <w:r w:rsidR="00770CA9" w:rsidRPr="0034632B">
        <w:rPr>
          <w:rFonts w:asciiTheme="minorHAnsi" w:hAnsiTheme="minorHAnsi"/>
          <w:sz w:val="22"/>
          <w:szCs w:val="22"/>
        </w:rPr>
        <w:t xml:space="preserve">on using improved information technology </w:t>
      </w:r>
      <w:r w:rsidRPr="0034632B">
        <w:rPr>
          <w:rFonts w:asciiTheme="minorHAnsi" w:hAnsiTheme="minorHAnsi"/>
          <w:sz w:val="22"/>
          <w:szCs w:val="22"/>
        </w:rPr>
        <w:t>is the NNDSS Modernization Initiative (NMI)</w:t>
      </w:r>
      <w:r w:rsidR="00770CA9" w:rsidRPr="0034632B">
        <w:rPr>
          <w:rFonts w:asciiTheme="minorHAnsi" w:hAnsiTheme="minorHAnsi"/>
          <w:sz w:val="22"/>
          <w:szCs w:val="22"/>
        </w:rPr>
        <w:t xml:space="preserve">. NMI </w:t>
      </w:r>
      <w:r w:rsidR="00FF1035" w:rsidRPr="0034632B">
        <w:rPr>
          <w:rFonts w:asciiTheme="minorHAnsi" w:hAnsiTheme="minorHAnsi"/>
          <w:sz w:val="22"/>
          <w:szCs w:val="22"/>
        </w:rPr>
        <w:t xml:space="preserve">is part of the CDC Surveillance Strategy </w:t>
      </w:r>
      <w:r w:rsidR="00CE3782" w:rsidRPr="0034632B">
        <w:rPr>
          <w:rFonts w:asciiTheme="minorHAnsi" w:hAnsiTheme="minorHAnsi"/>
          <w:sz w:val="22"/>
          <w:szCs w:val="22"/>
        </w:rPr>
        <w:t>(</w:t>
      </w:r>
      <w:hyperlink r:id="rId21" w:history="1">
        <w:r w:rsidR="00CE3782" w:rsidRPr="0034632B">
          <w:rPr>
            <w:rStyle w:val="Hyperlink"/>
            <w:rFonts w:asciiTheme="minorHAnsi" w:hAnsiTheme="minorHAnsi"/>
            <w:sz w:val="22"/>
            <w:szCs w:val="22"/>
          </w:rPr>
          <w:t>http://www.cdc.gov/ophss/docs/cdc-surveillance-strategy-final.pdf</w:t>
        </w:r>
      </w:hyperlink>
      <w:r w:rsidR="00CE3782" w:rsidRPr="0034632B">
        <w:rPr>
          <w:rFonts w:asciiTheme="minorHAnsi" w:hAnsiTheme="minorHAnsi"/>
          <w:sz w:val="22"/>
          <w:szCs w:val="22"/>
        </w:rPr>
        <w:t xml:space="preserve">) released in February 2014. </w:t>
      </w:r>
      <w:r w:rsidR="00A426AE" w:rsidRPr="0034632B">
        <w:rPr>
          <w:rFonts w:asciiTheme="minorHAnsi" w:hAnsiTheme="minorHAnsi"/>
          <w:sz w:val="22"/>
          <w:szCs w:val="22"/>
        </w:rPr>
        <w:t xml:space="preserve">NMI seeks to </w:t>
      </w:r>
      <w:r w:rsidR="00001964" w:rsidRPr="0034632B">
        <w:rPr>
          <w:rFonts w:asciiTheme="minorHAnsi" w:hAnsiTheme="minorHAnsi"/>
          <w:sz w:val="22"/>
          <w:szCs w:val="22"/>
        </w:rPr>
        <w:t xml:space="preserve">improve </w:t>
      </w:r>
      <w:r w:rsidR="00812944" w:rsidRPr="0034632B">
        <w:rPr>
          <w:rFonts w:asciiTheme="minorHAnsi" w:hAnsiTheme="minorHAnsi"/>
          <w:sz w:val="22"/>
          <w:szCs w:val="22"/>
        </w:rPr>
        <w:t>the</w:t>
      </w:r>
      <w:r w:rsidR="00001964" w:rsidRPr="0034632B">
        <w:rPr>
          <w:rFonts w:asciiTheme="minorHAnsi" w:hAnsiTheme="minorHAnsi"/>
          <w:sz w:val="22"/>
          <w:szCs w:val="22"/>
        </w:rPr>
        <w:t xml:space="preserve"> use of information technology</w:t>
      </w:r>
      <w:r w:rsidR="00A426AE" w:rsidRPr="0034632B">
        <w:rPr>
          <w:rFonts w:asciiTheme="minorHAnsi" w:hAnsiTheme="minorHAnsi"/>
          <w:sz w:val="22"/>
          <w:szCs w:val="22"/>
        </w:rPr>
        <w:t xml:space="preserve"> </w:t>
      </w:r>
      <w:r w:rsidR="00812944" w:rsidRPr="0034632B">
        <w:rPr>
          <w:rFonts w:asciiTheme="minorHAnsi" w:hAnsiTheme="minorHAnsi"/>
          <w:sz w:val="22"/>
          <w:szCs w:val="22"/>
        </w:rPr>
        <w:t xml:space="preserve">by implementing health information exchange </w:t>
      </w:r>
      <w:r w:rsidR="00865E1D" w:rsidRPr="0034632B">
        <w:rPr>
          <w:rFonts w:asciiTheme="minorHAnsi" w:hAnsiTheme="minorHAnsi"/>
          <w:sz w:val="22"/>
          <w:szCs w:val="22"/>
        </w:rPr>
        <w:t xml:space="preserve">industry </w:t>
      </w:r>
      <w:r w:rsidR="00812944" w:rsidRPr="0034632B">
        <w:rPr>
          <w:rFonts w:asciiTheme="minorHAnsi" w:hAnsiTheme="minorHAnsi"/>
          <w:sz w:val="22"/>
          <w:szCs w:val="22"/>
        </w:rPr>
        <w:t>standards for messaging and vocabulary</w:t>
      </w:r>
      <w:r w:rsidR="00E46F46" w:rsidRPr="0034632B">
        <w:rPr>
          <w:rFonts w:asciiTheme="minorHAnsi" w:hAnsiTheme="minorHAnsi"/>
          <w:sz w:val="22"/>
          <w:szCs w:val="22"/>
        </w:rPr>
        <w:t>.</w:t>
      </w:r>
      <w:r w:rsidR="00EA5A1B" w:rsidRPr="0034632B">
        <w:rPr>
          <w:rFonts w:asciiTheme="minorHAnsi" w:hAnsiTheme="minorHAnsi"/>
          <w:sz w:val="22"/>
          <w:szCs w:val="22"/>
        </w:rPr>
        <w:t xml:space="preserve"> Since the epidemiology of some notifiable conditions has changed over time</w:t>
      </w:r>
      <w:r w:rsidR="00865E1D" w:rsidRPr="0034632B">
        <w:rPr>
          <w:rFonts w:asciiTheme="minorHAnsi" w:hAnsiTheme="minorHAnsi"/>
          <w:sz w:val="22"/>
          <w:szCs w:val="22"/>
        </w:rPr>
        <w:t xml:space="preserve">, </w:t>
      </w:r>
      <w:r w:rsidR="00EA5A1B" w:rsidRPr="0034632B">
        <w:rPr>
          <w:rFonts w:asciiTheme="minorHAnsi" w:hAnsiTheme="minorHAnsi"/>
          <w:sz w:val="22"/>
          <w:szCs w:val="22"/>
        </w:rPr>
        <w:t xml:space="preserve">new clinical information </w:t>
      </w:r>
      <w:r w:rsidR="006156F7" w:rsidRPr="0034632B">
        <w:rPr>
          <w:rFonts w:asciiTheme="minorHAnsi" w:hAnsiTheme="minorHAnsi"/>
          <w:sz w:val="22"/>
          <w:szCs w:val="22"/>
        </w:rPr>
        <w:t xml:space="preserve">(e.g., laboratory tests and results, vaccination information, and treatment information) </w:t>
      </w:r>
      <w:r w:rsidR="00EA5A1B" w:rsidRPr="0034632B">
        <w:rPr>
          <w:rFonts w:asciiTheme="minorHAnsi" w:hAnsiTheme="minorHAnsi"/>
          <w:sz w:val="22"/>
          <w:szCs w:val="22"/>
        </w:rPr>
        <w:t>is needed</w:t>
      </w:r>
      <w:r w:rsidR="008616B0" w:rsidRPr="0034632B">
        <w:rPr>
          <w:rFonts w:asciiTheme="minorHAnsi" w:hAnsiTheme="minorHAnsi"/>
          <w:sz w:val="22"/>
          <w:szCs w:val="22"/>
        </w:rPr>
        <w:t xml:space="preserve"> for surveillance</w:t>
      </w:r>
      <w:r w:rsidR="00EA5A1B" w:rsidRPr="0034632B">
        <w:rPr>
          <w:rFonts w:asciiTheme="minorHAnsi" w:hAnsiTheme="minorHAnsi"/>
          <w:sz w:val="22"/>
          <w:szCs w:val="22"/>
        </w:rPr>
        <w:t>.</w:t>
      </w:r>
      <w:r w:rsidR="00E46F46" w:rsidRPr="0034632B">
        <w:rPr>
          <w:rFonts w:asciiTheme="minorHAnsi" w:hAnsiTheme="minorHAnsi"/>
          <w:sz w:val="22"/>
          <w:szCs w:val="22"/>
        </w:rPr>
        <w:t xml:space="preserve"> Implementing these </w:t>
      </w:r>
      <w:r w:rsidR="00865E1D" w:rsidRPr="0034632B">
        <w:rPr>
          <w:rFonts w:asciiTheme="minorHAnsi" w:hAnsiTheme="minorHAnsi"/>
          <w:sz w:val="22"/>
          <w:szCs w:val="22"/>
        </w:rPr>
        <w:t xml:space="preserve">industry </w:t>
      </w:r>
      <w:r w:rsidR="00E46F46" w:rsidRPr="0034632B">
        <w:rPr>
          <w:rFonts w:asciiTheme="minorHAnsi" w:hAnsiTheme="minorHAnsi"/>
          <w:sz w:val="22"/>
          <w:szCs w:val="22"/>
        </w:rPr>
        <w:t xml:space="preserve">standards </w:t>
      </w:r>
      <w:r w:rsidR="00957633" w:rsidRPr="0034632B">
        <w:rPr>
          <w:rFonts w:asciiTheme="minorHAnsi" w:hAnsiTheme="minorHAnsi"/>
          <w:sz w:val="22"/>
          <w:szCs w:val="22"/>
        </w:rPr>
        <w:t xml:space="preserve">including Health Level 7 (HL7) </w:t>
      </w:r>
      <w:r w:rsidR="00544D9D" w:rsidRPr="0034632B">
        <w:rPr>
          <w:rFonts w:asciiTheme="minorHAnsi" w:hAnsiTheme="minorHAnsi"/>
          <w:sz w:val="22"/>
          <w:szCs w:val="22"/>
        </w:rPr>
        <w:t xml:space="preserve">electronic </w:t>
      </w:r>
      <w:r w:rsidR="00957633" w:rsidRPr="0034632B">
        <w:rPr>
          <w:rFonts w:asciiTheme="minorHAnsi" w:hAnsiTheme="minorHAnsi"/>
          <w:sz w:val="22"/>
          <w:szCs w:val="22"/>
        </w:rPr>
        <w:t xml:space="preserve">messaging </w:t>
      </w:r>
      <w:r w:rsidR="00E46F46" w:rsidRPr="0034632B">
        <w:rPr>
          <w:rFonts w:asciiTheme="minorHAnsi" w:hAnsiTheme="minorHAnsi"/>
          <w:sz w:val="22"/>
          <w:szCs w:val="22"/>
        </w:rPr>
        <w:t>allows the receipt of</w:t>
      </w:r>
      <w:r w:rsidR="00865E1D" w:rsidRPr="0034632B">
        <w:rPr>
          <w:rFonts w:asciiTheme="minorHAnsi" w:hAnsiTheme="minorHAnsi"/>
          <w:sz w:val="22"/>
          <w:szCs w:val="22"/>
        </w:rPr>
        <w:t xml:space="preserve"> such</w:t>
      </w:r>
      <w:r w:rsidR="00E46F46" w:rsidRPr="0034632B">
        <w:rPr>
          <w:rFonts w:asciiTheme="minorHAnsi" w:hAnsiTheme="minorHAnsi"/>
          <w:sz w:val="22"/>
          <w:szCs w:val="22"/>
        </w:rPr>
        <w:t xml:space="preserve"> </w:t>
      </w:r>
      <w:r w:rsidR="00752AB6" w:rsidRPr="0034632B">
        <w:rPr>
          <w:rFonts w:asciiTheme="minorHAnsi" w:hAnsiTheme="minorHAnsi"/>
          <w:sz w:val="22"/>
          <w:szCs w:val="22"/>
        </w:rPr>
        <w:t>i</w:t>
      </w:r>
      <w:r w:rsidR="00E46F46" w:rsidRPr="0034632B">
        <w:rPr>
          <w:rFonts w:asciiTheme="minorHAnsi" w:hAnsiTheme="minorHAnsi"/>
          <w:sz w:val="22"/>
          <w:szCs w:val="22"/>
        </w:rPr>
        <w:t>nformation</w:t>
      </w:r>
      <w:r w:rsidR="00865E1D" w:rsidRPr="0034632B">
        <w:rPr>
          <w:rFonts w:asciiTheme="minorHAnsi" w:hAnsiTheme="minorHAnsi"/>
          <w:sz w:val="22"/>
          <w:szCs w:val="22"/>
        </w:rPr>
        <w:t xml:space="preserve"> in a case notification message</w:t>
      </w:r>
      <w:r w:rsidR="00E46F46" w:rsidRPr="0034632B">
        <w:rPr>
          <w:rFonts w:asciiTheme="minorHAnsi" w:hAnsiTheme="minorHAnsi"/>
          <w:sz w:val="22"/>
          <w:szCs w:val="22"/>
        </w:rPr>
        <w:t xml:space="preserve">. </w:t>
      </w:r>
      <w:r w:rsidR="00A426AE" w:rsidRPr="0034632B">
        <w:rPr>
          <w:rFonts w:asciiTheme="minorHAnsi" w:hAnsiTheme="minorHAnsi"/>
          <w:sz w:val="22"/>
          <w:szCs w:val="22"/>
        </w:rPr>
        <w:t xml:space="preserve"> </w:t>
      </w:r>
    </w:p>
    <w:p w:rsidR="001073C4" w:rsidRPr="0034632B" w:rsidRDefault="001073C4" w:rsidP="001073C4">
      <w:pPr>
        <w:spacing w:line="360" w:lineRule="auto"/>
        <w:rPr>
          <w:rFonts w:asciiTheme="minorHAnsi" w:hAnsiTheme="minorHAnsi"/>
          <w:sz w:val="22"/>
          <w:szCs w:val="22"/>
        </w:rPr>
      </w:pPr>
    </w:p>
    <w:p w:rsidR="0085058C" w:rsidRDefault="00B153E9" w:rsidP="001073C4">
      <w:pPr>
        <w:spacing w:line="360" w:lineRule="auto"/>
        <w:rPr>
          <w:rFonts w:asciiTheme="minorHAnsi" w:hAnsiTheme="minorHAnsi"/>
          <w:sz w:val="22"/>
          <w:szCs w:val="22"/>
        </w:rPr>
      </w:pPr>
      <w:r w:rsidRPr="0034632B">
        <w:rPr>
          <w:rFonts w:asciiTheme="minorHAnsi" w:hAnsiTheme="minorHAnsi"/>
          <w:sz w:val="22"/>
          <w:szCs w:val="22"/>
        </w:rPr>
        <w:t>Approximately</w:t>
      </w:r>
      <w:r w:rsidR="00DC3F70" w:rsidRPr="0034632B">
        <w:rPr>
          <w:rFonts w:asciiTheme="minorHAnsi" w:hAnsiTheme="minorHAnsi"/>
          <w:sz w:val="22"/>
          <w:szCs w:val="22"/>
        </w:rPr>
        <w:t xml:space="preserve"> 90</w:t>
      </w:r>
      <w:r w:rsidR="00DC7D13" w:rsidRPr="0034632B">
        <w:rPr>
          <w:rFonts w:asciiTheme="minorHAnsi" w:hAnsiTheme="minorHAnsi"/>
          <w:sz w:val="22"/>
          <w:szCs w:val="22"/>
        </w:rPr>
        <w:t xml:space="preserve">% of case notifications are sent to CDC by automated </w:t>
      </w:r>
      <w:r w:rsidR="00544D9D" w:rsidRPr="0034632B">
        <w:rPr>
          <w:rFonts w:asciiTheme="minorHAnsi" w:hAnsiTheme="minorHAnsi"/>
          <w:sz w:val="22"/>
          <w:szCs w:val="22"/>
        </w:rPr>
        <w:t>electronic HL7 or NETSS messages</w:t>
      </w:r>
      <w:r w:rsidR="00FD2188" w:rsidRPr="0034632B">
        <w:rPr>
          <w:rFonts w:asciiTheme="minorHAnsi" w:hAnsiTheme="minorHAnsi"/>
          <w:sz w:val="22"/>
          <w:szCs w:val="22"/>
        </w:rPr>
        <w:t xml:space="preserve">. However, NETSS messages are not based </w:t>
      </w:r>
      <w:r w:rsidR="00752AB6" w:rsidRPr="0034632B">
        <w:rPr>
          <w:rFonts w:asciiTheme="minorHAnsi" w:hAnsiTheme="minorHAnsi"/>
          <w:sz w:val="22"/>
          <w:szCs w:val="22"/>
        </w:rPr>
        <w:t>on industry standa</w:t>
      </w:r>
      <w:r w:rsidR="00BE3A87" w:rsidRPr="0034632B">
        <w:rPr>
          <w:rFonts w:asciiTheme="minorHAnsi" w:hAnsiTheme="minorHAnsi"/>
          <w:sz w:val="22"/>
          <w:szCs w:val="22"/>
        </w:rPr>
        <w:t xml:space="preserve">rds. </w:t>
      </w:r>
      <w:r w:rsidRPr="0034632B">
        <w:rPr>
          <w:rFonts w:asciiTheme="minorHAnsi" w:hAnsiTheme="minorHAnsi"/>
          <w:sz w:val="22"/>
          <w:szCs w:val="22"/>
        </w:rPr>
        <w:t>Some</w:t>
      </w:r>
      <w:r w:rsidR="00BE3A87" w:rsidRPr="0034632B">
        <w:rPr>
          <w:rFonts w:asciiTheme="minorHAnsi" w:hAnsiTheme="minorHAnsi"/>
          <w:sz w:val="22"/>
          <w:szCs w:val="22"/>
        </w:rPr>
        <w:t xml:space="preserve"> case notification</w:t>
      </w:r>
      <w:r w:rsidR="0015650A">
        <w:rPr>
          <w:rFonts w:asciiTheme="minorHAnsi" w:hAnsiTheme="minorHAnsi"/>
          <w:sz w:val="22"/>
          <w:szCs w:val="22"/>
        </w:rPr>
        <w:t>s</w:t>
      </w:r>
      <w:r w:rsidR="00BE3A87" w:rsidRPr="0034632B">
        <w:rPr>
          <w:rFonts w:asciiTheme="minorHAnsi" w:hAnsiTheme="minorHAnsi"/>
          <w:sz w:val="22"/>
          <w:szCs w:val="22"/>
        </w:rPr>
        <w:t xml:space="preserve"> are </w:t>
      </w:r>
      <w:r w:rsidR="009A5939" w:rsidRPr="0034632B">
        <w:rPr>
          <w:rFonts w:asciiTheme="minorHAnsi" w:hAnsiTheme="minorHAnsi"/>
          <w:sz w:val="22"/>
          <w:szCs w:val="22"/>
        </w:rPr>
        <w:t xml:space="preserve">still </w:t>
      </w:r>
      <w:r w:rsidR="00BE3A87" w:rsidRPr="0034632B">
        <w:rPr>
          <w:rFonts w:asciiTheme="minorHAnsi" w:hAnsiTheme="minorHAnsi"/>
          <w:sz w:val="22"/>
          <w:szCs w:val="22"/>
        </w:rPr>
        <w:t xml:space="preserve">sent to CDC by non-automated mechanisms </w:t>
      </w:r>
      <w:r w:rsidR="00FD2188" w:rsidRPr="0034632B">
        <w:rPr>
          <w:rFonts w:asciiTheme="minorHAnsi" w:hAnsiTheme="minorHAnsi"/>
          <w:sz w:val="22"/>
          <w:szCs w:val="22"/>
        </w:rPr>
        <w:t>including</w:t>
      </w:r>
      <w:r w:rsidR="00551B7E" w:rsidRPr="0034632B">
        <w:rPr>
          <w:rFonts w:asciiTheme="minorHAnsi" w:hAnsiTheme="minorHAnsi"/>
          <w:sz w:val="22"/>
          <w:szCs w:val="22"/>
        </w:rPr>
        <w:t xml:space="preserve"> </w:t>
      </w:r>
      <w:r w:rsidR="00327AD0" w:rsidRPr="0034632B">
        <w:rPr>
          <w:rFonts w:asciiTheme="minorHAnsi" w:hAnsiTheme="minorHAnsi"/>
          <w:sz w:val="22"/>
          <w:szCs w:val="22"/>
        </w:rPr>
        <w:t xml:space="preserve">email, </w:t>
      </w:r>
      <w:r w:rsidR="00551B7E" w:rsidRPr="0034632B">
        <w:rPr>
          <w:rFonts w:asciiTheme="minorHAnsi" w:hAnsiTheme="minorHAnsi"/>
          <w:sz w:val="22"/>
          <w:szCs w:val="22"/>
        </w:rPr>
        <w:t>secure file upload</w:t>
      </w:r>
      <w:r w:rsidR="003B60E3" w:rsidRPr="0034632B">
        <w:rPr>
          <w:rFonts w:asciiTheme="minorHAnsi" w:hAnsiTheme="minorHAnsi"/>
          <w:sz w:val="22"/>
          <w:szCs w:val="22"/>
        </w:rPr>
        <w:t>,</w:t>
      </w:r>
      <w:r w:rsidR="00551B7E" w:rsidRPr="0034632B">
        <w:rPr>
          <w:rFonts w:asciiTheme="minorHAnsi" w:hAnsiTheme="minorHAnsi"/>
          <w:sz w:val="22"/>
          <w:szCs w:val="22"/>
        </w:rPr>
        <w:t xml:space="preserve"> </w:t>
      </w:r>
      <w:r w:rsidR="009F6C50" w:rsidRPr="0034632B">
        <w:rPr>
          <w:rFonts w:asciiTheme="minorHAnsi" w:hAnsiTheme="minorHAnsi"/>
          <w:sz w:val="22"/>
          <w:szCs w:val="22"/>
        </w:rPr>
        <w:t xml:space="preserve">and data entry </w:t>
      </w:r>
      <w:r w:rsidR="00AC0105" w:rsidRPr="0034632B">
        <w:rPr>
          <w:rFonts w:asciiTheme="minorHAnsi" w:hAnsiTheme="minorHAnsi"/>
          <w:sz w:val="22"/>
          <w:szCs w:val="22"/>
        </w:rPr>
        <w:t>to</w:t>
      </w:r>
      <w:r w:rsidR="009F6C50" w:rsidRPr="0034632B">
        <w:rPr>
          <w:rFonts w:asciiTheme="minorHAnsi" w:hAnsiTheme="minorHAnsi"/>
          <w:sz w:val="22"/>
          <w:szCs w:val="22"/>
        </w:rPr>
        <w:t xml:space="preserve"> a secure website. T</w:t>
      </w:r>
      <w:r w:rsidR="009A5939" w:rsidRPr="0034632B">
        <w:rPr>
          <w:rFonts w:asciiTheme="minorHAnsi" w:hAnsiTheme="minorHAnsi"/>
          <w:sz w:val="22"/>
          <w:szCs w:val="22"/>
        </w:rPr>
        <w:t xml:space="preserve">hese different mechanisms used to send case notifications to CDC vary by </w:t>
      </w:r>
      <w:r w:rsidR="007A094C" w:rsidRPr="0034632B">
        <w:rPr>
          <w:rFonts w:asciiTheme="minorHAnsi" w:hAnsiTheme="minorHAnsi"/>
          <w:sz w:val="22"/>
          <w:szCs w:val="22"/>
        </w:rPr>
        <w:t xml:space="preserve">the </w:t>
      </w:r>
      <w:r w:rsidR="00D84274" w:rsidRPr="0034632B">
        <w:rPr>
          <w:rFonts w:asciiTheme="minorHAnsi" w:hAnsiTheme="minorHAnsi"/>
          <w:sz w:val="22"/>
          <w:szCs w:val="22"/>
        </w:rPr>
        <w:t>jurisdiction</w:t>
      </w:r>
      <w:r w:rsidR="00EA0EC2" w:rsidRPr="0034632B">
        <w:rPr>
          <w:rFonts w:asciiTheme="minorHAnsi" w:hAnsiTheme="minorHAnsi"/>
          <w:sz w:val="22"/>
          <w:szCs w:val="22"/>
        </w:rPr>
        <w:t xml:space="preserve"> and the </w:t>
      </w:r>
      <w:r w:rsidR="007A094C" w:rsidRPr="0034632B">
        <w:rPr>
          <w:rFonts w:asciiTheme="minorHAnsi" w:hAnsiTheme="minorHAnsi"/>
          <w:sz w:val="22"/>
          <w:szCs w:val="22"/>
        </w:rPr>
        <w:t xml:space="preserve">disease or </w:t>
      </w:r>
      <w:r w:rsidR="009A5939" w:rsidRPr="0034632B">
        <w:rPr>
          <w:rFonts w:asciiTheme="minorHAnsi" w:hAnsiTheme="minorHAnsi"/>
          <w:sz w:val="22"/>
          <w:szCs w:val="22"/>
        </w:rPr>
        <w:t xml:space="preserve">condition. As </w:t>
      </w:r>
      <w:r w:rsidR="00642DDF" w:rsidRPr="0034632B">
        <w:rPr>
          <w:rFonts w:asciiTheme="minorHAnsi" w:hAnsiTheme="minorHAnsi"/>
          <w:sz w:val="22"/>
          <w:szCs w:val="22"/>
        </w:rPr>
        <w:t>NMI advances</w:t>
      </w:r>
      <w:r w:rsidR="003B4040" w:rsidRPr="0034632B">
        <w:rPr>
          <w:rFonts w:asciiTheme="minorHAnsi" w:hAnsiTheme="minorHAnsi"/>
          <w:sz w:val="22"/>
          <w:szCs w:val="22"/>
        </w:rPr>
        <w:t xml:space="preserve">, </w:t>
      </w:r>
      <w:r w:rsidRPr="0034632B">
        <w:rPr>
          <w:rFonts w:asciiTheme="minorHAnsi" w:hAnsiTheme="minorHAnsi"/>
          <w:sz w:val="22"/>
          <w:szCs w:val="22"/>
        </w:rPr>
        <w:t xml:space="preserve">all </w:t>
      </w:r>
      <w:r w:rsidR="007A6F38" w:rsidRPr="0034632B">
        <w:rPr>
          <w:rFonts w:asciiTheme="minorHAnsi" w:hAnsiTheme="minorHAnsi"/>
          <w:sz w:val="22"/>
          <w:szCs w:val="22"/>
        </w:rPr>
        <w:t xml:space="preserve">public </w:t>
      </w:r>
      <w:r w:rsidR="003B4040" w:rsidRPr="0034632B">
        <w:rPr>
          <w:rFonts w:asciiTheme="minorHAnsi" w:hAnsiTheme="minorHAnsi"/>
          <w:sz w:val="22"/>
          <w:szCs w:val="22"/>
        </w:rPr>
        <w:t xml:space="preserve">health departments </w:t>
      </w:r>
      <w:r w:rsidR="00C905D1" w:rsidRPr="0034632B">
        <w:rPr>
          <w:rFonts w:asciiTheme="minorHAnsi" w:hAnsiTheme="minorHAnsi"/>
          <w:sz w:val="22"/>
          <w:szCs w:val="22"/>
        </w:rPr>
        <w:t xml:space="preserve">will </w:t>
      </w:r>
      <w:r w:rsidR="00AD6854" w:rsidRPr="0034632B">
        <w:rPr>
          <w:rFonts w:asciiTheme="minorHAnsi" w:hAnsiTheme="minorHAnsi"/>
          <w:sz w:val="22"/>
          <w:szCs w:val="22"/>
        </w:rPr>
        <w:t>exclusively</w:t>
      </w:r>
      <w:r w:rsidR="00576F09" w:rsidRPr="0034632B">
        <w:rPr>
          <w:rFonts w:asciiTheme="minorHAnsi" w:hAnsiTheme="minorHAnsi"/>
          <w:sz w:val="22"/>
          <w:szCs w:val="22"/>
        </w:rPr>
        <w:t xml:space="preserve"> </w:t>
      </w:r>
      <w:r w:rsidR="00C905D1" w:rsidRPr="0034632B">
        <w:rPr>
          <w:rFonts w:asciiTheme="minorHAnsi" w:hAnsiTheme="minorHAnsi"/>
          <w:sz w:val="22"/>
          <w:szCs w:val="22"/>
        </w:rPr>
        <w:t xml:space="preserve">use HL7 messages to </w:t>
      </w:r>
      <w:r w:rsidR="003B4040" w:rsidRPr="0034632B">
        <w:rPr>
          <w:rFonts w:asciiTheme="minorHAnsi" w:hAnsiTheme="minorHAnsi"/>
          <w:sz w:val="22"/>
          <w:szCs w:val="22"/>
        </w:rPr>
        <w:t xml:space="preserve">send </w:t>
      </w:r>
      <w:r w:rsidR="00C905D1" w:rsidRPr="0034632B">
        <w:rPr>
          <w:rFonts w:asciiTheme="minorHAnsi" w:hAnsiTheme="minorHAnsi"/>
          <w:sz w:val="22"/>
          <w:szCs w:val="22"/>
        </w:rPr>
        <w:t>case notification</w:t>
      </w:r>
      <w:r w:rsidR="00AD6854" w:rsidRPr="0034632B">
        <w:rPr>
          <w:rFonts w:asciiTheme="minorHAnsi" w:hAnsiTheme="minorHAnsi"/>
          <w:sz w:val="22"/>
          <w:szCs w:val="22"/>
        </w:rPr>
        <w:t xml:space="preserve"> messages to CDC</w:t>
      </w:r>
      <w:r w:rsidR="00C905D1" w:rsidRPr="0034632B">
        <w:rPr>
          <w:rFonts w:asciiTheme="minorHAnsi" w:hAnsiTheme="minorHAnsi"/>
          <w:sz w:val="22"/>
          <w:szCs w:val="22"/>
        </w:rPr>
        <w:t xml:space="preserve"> for all </w:t>
      </w:r>
      <w:r w:rsidR="001E7EB4" w:rsidRPr="0034632B">
        <w:rPr>
          <w:rFonts w:asciiTheme="minorHAnsi" w:hAnsiTheme="minorHAnsi"/>
          <w:sz w:val="22"/>
          <w:szCs w:val="22"/>
        </w:rPr>
        <w:t xml:space="preserve">diseases and </w:t>
      </w:r>
      <w:r w:rsidR="00C905D1" w:rsidRPr="0034632B">
        <w:rPr>
          <w:rFonts w:asciiTheme="minorHAnsi" w:hAnsiTheme="minorHAnsi"/>
          <w:sz w:val="22"/>
          <w:szCs w:val="22"/>
        </w:rPr>
        <w:t xml:space="preserve">conditions. </w:t>
      </w:r>
      <w:r w:rsidR="001E7EB4" w:rsidRPr="0034632B">
        <w:rPr>
          <w:rFonts w:asciiTheme="minorHAnsi" w:hAnsiTheme="minorHAnsi"/>
          <w:sz w:val="22"/>
          <w:szCs w:val="22"/>
        </w:rPr>
        <w:t xml:space="preserve">CDC </w:t>
      </w:r>
      <w:r w:rsidR="00AD6854" w:rsidRPr="0034632B">
        <w:rPr>
          <w:rFonts w:asciiTheme="minorHAnsi" w:hAnsiTheme="minorHAnsi"/>
          <w:sz w:val="22"/>
          <w:szCs w:val="22"/>
        </w:rPr>
        <w:t>continues to develop</w:t>
      </w:r>
      <w:r w:rsidR="001E7EB4" w:rsidRPr="0034632B">
        <w:rPr>
          <w:rFonts w:asciiTheme="minorHAnsi" w:hAnsiTheme="minorHAnsi"/>
          <w:sz w:val="22"/>
          <w:szCs w:val="22"/>
        </w:rPr>
        <w:t xml:space="preserve"> message mapping guides (MMGs) to describe </w:t>
      </w:r>
      <w:r w:rsidR="0085058C" w:rsidRPr="0034632B">
        <w:rPr>
          <w:rFonts w:asciiTheme="minorHAnsi" w:hAnsiTheme="minorHAnsi"/>
          <w:sz w:val="22"/>
          <w:szCs w:val="22"/>
        </w:rPr>
        <w:t xml:space="preserve">and standardize </w:t>
      </w:r>
      <w:r w:rsidR="001E7EB4" w:rsidRPr="0034632B">
        <w:rPr>
          <w:rFonts w:asciiTheme="minorHAnsi" w:hAnsiTheme="minorHAnsi"/>
          <w:sz w:val="22"/>
          <w:szCs w:val="22"/>
        </w:rPr>
        <w:t>the data content needed for electronic HL7 case notification</w:t>
      </w:r>
      <w:r w:rsidR="00CC2E38" w:rsidRPr="0034632B">
        <w:rPr>
          <w:rFonts w:asciiTheme="minorHAnsi" w:hAnsiTheme="minorHAnsi"/>
          <w:sz w:val="22"/>
          <w:szCs w:val="22"/>
        </w:rPr>
        <w:t>.</w:t>
      </w:r>
      <w:r w:rsidR="001E7EB4" w:rsidRPr="0034632B">
        <w:rPr>
          <w:rFonts w:asciiTheme="minorHAnsi" w:hAnsiTheme="minorHAnsi"/>
          <w:sz w:val="22"/>
          <w:szCs w:val="22"/>
        </w:rPr>
        <w:t xml:space="preserve"> </w:t>
      </w:r>
    </w:p>
    <w:p w:rsidR="00D339DB" w:rsidRDefault="00D339DB" w:rsidP="001073C4">
      <w:pPr>
        <w:spacing w:line="360" w:lineRule="auto"/>
        <w:rPr>
          <w:rFonts w:asciiTheme="minorHAnsi" w:hAnsiTheme="minorHAnsi"/>
          <w:sz w:val="22"/>
          <w:szCs w:val="22"/>
        </w:rPr>
      </w:pPr>
    </w:p>
    <w:p w:rsidR="00D339DB" w:rsidRPr="0034632B" w:rsidRDefault="00D339DB" w:rsidP="001073C4">
      <w:pPr>
        <w:spacing w:line="360" w:lineRule="auto"/>
        <w:rPr>
          <w:rFonts w:asciiTheme="minorHAnsi" w:hAnsiTheme="minorHAnsi"/>
          <w:sz w:val="22"/>
          <w:szCs w:val="22"/>
        </w:rPr>
      </w:pPr>
      <w:r>
        <w:rPr>
          <w:rFonts w:asciiTheme="minorHAnsi" w:hAnsiTheme="minorHAnsi"/>
          <w:sz w:val="22"/>
          <w:szCs w:val="22"/>
        </w:rPr>
        <w:t xml:space="preserve">Territories also participate in NMI. </w:t>
      </w:r>
      <w:r w:rsidRPr="00D339DB">
        <w:rPr>
          <w:rFonts w:asciiTheme="minorHAnsi" w:hAnsiTheme="minorHAnsi"/>
          <w:sz w:val="22"/>
          <w:szCs w:val="22"/>
        </w:rPr>
        <w:t xml:space="preserve">All </w:t>
      </w:r>
      <w:r w:rsidR="00485253">
        <w:rPr>
          <w:rFonts w:asciiTheme="minorHAnsi" w:hAnsiTheme="minorHAnsi"/>
          <w:sz w:val="22"/>
          <w:szCs w:val="22"/>
        </w:rPr>
        <w:t xml:space="preserve">60 NNDSS </w:t>
      </w:r>
      <w:r w:rsidR="00FB40BC">
        <w:rPr>
          <w:rFonts w:asciiTheme="minorHAnsi" w:hAnsiTheme="minorHAnsi"/>
          <w:sz w:val="22"/>
          <w:szCs w:val="22"/>
        </w:rPr>
        <w:t xml:space="preserve">jurisdictions (including </w:t>
      </w:r>
      <w:r w:rsidRPr="00D339DB">
        <w:rPr>
          <w:rFonts w:asciiTheme="minorHAnsi" w:hAnsiTheme="minorHAnsi"/>
          <w:sz w:val="22"/>
          <w:szCs w:val="22"/>
        </w:rPr>
        <w:t>territories</w:t>
      </w:r>
      <w:r w:rsidR="007702BC">
        <w:rPr>
          <w:rFonts w:asciiTheme="minorHAnsi" w:hAnsiTheme="minorHAnsi"/>
          <w:sz w:val="22"/>
          <w:szCs w:val="22"/>
        </w:rPr>
        <w:t xml:space="preserve"> and freely associated states</w:t>
      </w:r>
      <w:r w:rsidR="00FB40BC">
        <w:rPr>
          <w:rFonts w:asciiTheme="minorHAnsi" w:hAnsiTheme="minorHAnsi"/>
          <w:sz w:val="22"/>
          <w:szCs w:val="22"/>
        </w:rPr>
        <w:t>)</w:t>
      </w:r>
      <w:r w:rsidRPr="00D339DB">
        <w:rPr>
          <w:rFonts w:asciiTheme="minorHAnsi" w:hAnsiTheme="minorHAnsi"/>
          <w:sz w:val="22"/>
          <w:szCs w:val="22"/>
        </w:rPr>
        <w:t xml:space="preserve"> receive funding </w:t>
      </w:r>
      <w:r w:rsidR="00173A22">
        <w:rPr>
          <w:rFonts w:asciiTheme="minorHAnsi" w:hAnsiTheme="minorHAnsi"/>
          <w:sz w:val="22"/>
          <w:szCs w:val="22"/>
        </w:rPr>
        <w:t xml:space="preserve">through </w:t>
      </w:r>
      <w:r w:rsidRPr="00D339DB">
        <w:rPr>
          <w:rFonts w:asciiTheme="minorHAnsi" w:hAnsiTheme="minorHAnsi"/>
          <w:sz w:val="22"/>
          <w:szCs w:val="22"/>
        </w:rPr>
        <w:t>the Epidemiology and Laboratory Capacity for Infectious Diseases (ELC) cooperative agreement (</w:t>
      </w:r>
      <w:hyperlink r:id="rId22" w:history="1">
        <w:r w:rsidR="007702BC" w:rsidRPr="000A2D7A">
          <w:rPr>
            <w:rStyle w:val="Hyperlink"/>
            <w:rFonts w:asciiTheme="minorHAnsi" w:hAnsiTheme="minorHAnsi"/>
            <w:sz w:val="22"/>
            <w:szCs w:val="22"/>
          </w:rPr>
          <w:t>https://www.cdc.gov/ncezid/dpei/epidemiology-laboratory-capacity.html</w:t>
        </w:r>
      </w:hyperlink>
      <w:r w:rsidRPr="00D339DB">
        <w:rPr>
          <w:rFonts w:asciiTheme="minorHAnsi" w:hAnsiTheme="minorHAnsi"/>
          <w:sz w:val="22"/>
          <w:szCs w:val="22"/>
        </w:rPr>
        <w:t>) and some of that funding is used to implement electronic integrated surveillance system</w:t>
      </w:r>
      <w:r>
        <w:rPr>
          <w:rFonts w:asciiTheme="minorHAnsi" w:hAnsiTheme="minorHAnsi"/>
          <w:sz w:val="22"/>
          <w:szCs w:val="22"/>
        </w:rPr>
        <w:t>s</w:t>
      </w:r>
      <w:r w:rsidRPr="00D339DB">
        <w:rPr>
          <w:rFonts w:asciiTheme="minorHAnsi" w:hAnsiTheme="minorHAnsi"/>
          <w:sz w:val="22"/>
          <w:szCs w:val="22"/>
        </w:rPr>
        <w:t>. Several of the territories ar</w:t>
      </w:r>
      <w:r>
        <w:rPr>
          <w:rFonts w:asciiTheme="minorHAnsi" w:hAnsiTheme="minorHAnsi"/>
          <w:sz w:val="22"/>
          <w:szCs w:val="22"/>
        </w:rPr>
        <w:t>e at some stage of implementing the National Electronic Disease Surveillance System (NEDSS) Base System (</w:t>
      </w:r>
      <w:r w:rsidRPr="00D339DB">
        <w:rPr>
          <w:rFonts w:asciiTheme="minorHAnsi" w:hAnsiTheme="minorHAnsi"/>
          <w:sz w:val="22"/>
          <w:szCs w:val="22"/>
        </w:rPr>
        <w:t>NBS</w:t>
      </w:r>
      <w:r>
        <w:rPr>
          <w:rFonts w:asciiTheme="minorHAnsi" w:hAnsiTheme="minorHAnsi"/>
          <w:sz w:val="22"/>
          <w:szCs w:val="22"/>
        </w:rPr>
        <w:t>)</w:t>
      </w:r>
      <w:r w:rsidRPr="00D339DB">
        <w:rPr>
          <w:rFonts w:asciiTheme="minorHAnsi" w:hAnsiTheme="minorHAnsi"/>
          <w:sz w:val="22"/>
          <w:szCs w:val="22"/>
        </w:rPr>
        <w:t xml:space="preserve"> as their electronic integrated surveillance system that they will use to send automated </w:t>
      </w:r>
      <w:r>
        <w:rPr>
          <w:rFonts w:asciiTheme="minorHAnsi" w:hAnsiTheme="minorHAnsi"/>
          <w:sz w:val="22"/>
          <w:szCs w:val="22"/>
        </w:rPr>
        <w:t xml:space="preserve">HL7 </w:t>
      </w:r>
      <w:r w:rsidRPr="00D339DB">
        <w:rPr>
          <w:rFonts w:asciiTheme="minorHAnsi" w:hAnsiTheme="minorHAnsi"/>
          <w:sz w:val="22"/>
          <w:szCs w:val="22"/>
        </w:rPr>
        <w:t>case notification</w:t>
      </w:r>
      <w:r>
        <w:rPr>
          <w:rFonts w:asciiTheme="minorHAnsi" w:hAnsiTheme="minorHAnsi"/>
          <w:sz w:val="22"/>
          <w:szCs w:val="22"/>
        </w:rPr>
        <w:t>s</w:t>
      </w:r>
      <w:r w:rsidRPr="00D339DB">
        <w:rPr>
          <w:rFonts w:asciiTheme="minorHAnsi" w:hAnsiTheme="minorHAnsi"/>
          <w:sz w:val="22"/>
          <w:szCs w:val="22"/>
        </w:rPr>
        <w:t xml:space="preserve"> to CDC.</w:t>
      </w:r>
      <w:r>
        <w:rPr>
          <w:rFonts w:asciiTheme="minorHAnsi" w:hAnsiTheme="minorHAnsi"/>
          <w:sz w:val="22"/>
          <w:szCs w:val="22"/>
        </w:rPr>
        <w:t xml:space="preserve"> NBS is </w:t>
      </w:r>
      <w:r w:rsidRPr="00D339DB">
        <w:rPr>
          <w:rFonts w:asciiTheme="minorHAnsi" w:hAnsiTheme="minorHAnsi"/>
          <w:sz w:val="22"/>
          <w:szCs w:val="22"/>
        </w:rPr>
        <w:t>a CDC-developed integrated information system that helps local, state, and territorial public health departments manage reportable disease data and send notifiable disease data to CDC.</w:t>
      </w:r>
    </w:p>
    <w:p w:rsidR="001073C4" w:rsidRPr="0034632B" w:rsidRDefault="001073C4" w:rsidP="001073C4">
      <w:pPr>
        <w:spacing w:line="360" w:lineRule="auto"/>
        <w:rPr>
          <w:rFonts w:asciiTheme="minorHAnsi" w:hAnsiTheme="minorHAnsi"/>
          <w:sz w:val="22"/>
          <w:szCs w:val="22"/>
        </w:rPr>
      </w:pPr>
    </w:p>
    <w:p w:rsidR="00576F09" w:rsidRDefault="00C57D85" w:rsidP="001073C4">
      <w:pPr>
        <w:spacing w:line="360" w:lineRule="auto"/>
        <w:rPr>
          <w:rFonts w:asciiTheme="minorHAnsi" w:hAnsiTheme="minorHAnsi"/>
          <w:sz w:val="22"/>
          <w:szCs w:val="22"/>
        </w:rPr>
      </w:pPr>
      <w:r w:rsidRPr="0034632B">
        <w:rPr>
          <w:rFonts w:asciiTheme="minorHAnsi" w:hAnsiTheme="minorHAnsi"/>
          <w:sz w:val="22"/>
          <w:szCs w:val="22"/>
        </w:rPr>
        <w:t>A</w:t>
      </w:r>
      <w:r w:rsidR="0085058C" w:rsidRPr="0034632B">
        <w:rPr>
          <w:rFonts w:asciiTheme="minorHAnsi" w:hAnsiTheme="minorHAnsi"/>
          <w:sz w:val="22"/>
          <w:szCs w:val="22"/>
        </w:rPr>
        <w:t xml:space="preserve">s NMI moves forward, opportunities exist to decrease the burden for </w:t>
      </w:r>
      <w:r w:rsidR="007A6F38" w:rsidRPr="0034632B">
        <w:rPr>
          <w:rFonts w:asciiTheme="minorHAnsi" w:hAnsiTheme="minorHAnsi"/>
          <w:sz w:val="22"/>
          <w:szCs w:val="22"/>
        </w:rPr>
        <w:t xml:space="preserve">public </w:t>
      </w:r>
      <w:r w:rsidR="0085058C" w:rsidRPr="0034632B">
        <w:rPr>
          <w:rFonts w:asciiTheme="minorHAnsi" w:hAnsiTheme="minorHAnsi"/>
          <w:sz w:val="22"/>
          <w:szCs w:val="22"/>
        </w:rPr>
        <w:t xml:space="preserve">health departments that send case notification data to CDC. </w:t>
      </w:r>
      <w:r w:rsidR="00AD6854" w:rsidRPr="0034632B">
        <w:rPr>
          <w:rFonts w:asciiTheme="minorHAnsi" w:hAnsiTheme="minorHAnsi"/>
          <w:sz w:val="22"/>
          <w:szCs w:val="22"/>
        </w:rPr>
        <w:t>Implementation of more MMGs</w:t>
      </w:r>
      <w:r w:rsidR="00CC2E38" w:rsidRPr="0034632B">
        <w:rPr>
          <w:rFonts w:asciiTheme="minorHAnsi" w:hAnsiTheme="minorHAnsi"/>
          <w:sz w:val="22"/>
          <w:szCs w:val="22"/>
        </w:rPr>
        <w:t xml:space="preserve"> wi</w:t>
      </w:r>
      <w:r w:rsidR="00C905D1" w:rsidRPr="0034632B">
        <w:rPr>
          <w:rFonts w:asciiTheme="minorHAnsi" w:hAnsiTheme="minorHAnsi"/>
          <w:sz w:val="22"/>
          <w:szCs w:val="22"/>
        </w:rPr>
        <w:t xml:space="preserve">ll reduce the burden since </w:t>
      </w:r>
      <w:r w:rsidR="007A6F38" w:rsidRPr="0034632B">
        <w:rPr>
          <w:rFonts w:asciiTheme="minorHAnsi" w:hAnsiTheme="minorHAnsi"/>
          <w:sz w:val="22"/>
          <w:szCs w:val="22"/>
        </w:rPr>
        <w:t xml:space="preserve">public </w:t>
      </w:r>
      <w:r w:rsidR="00C905D1" w:rsidRPr="0034632B">
        <w:rPr>
          <w:rFonts w:asciiTheme="minorHAnsi" w:hAnsiTheme="minorHAnsi"/>
          <w:sz w:val="22"/>
          <w:szCs w:val="22"/>
        </w:rPr>
        <w:t>health depart</w:t>
      </w:r>
      <w:r w:rsidR="006A6F3D" w:rsidRPr="0034632B">
        <w:rPr>
          <w:rFonts w:asciiTheme="minorHAnsi" w:hAnsiTheme="minorHAnsi"/>
          <w:sz w:val="22"/>
          <w:szCs w:val="22"/>
        </w:rPr>
        <w:t>ments will not have to use different mechanisms</w:t>
      </w:r>
      <w:r w:rsidR="00B153E9" w:rsidRPr="0034632B">
        <w:rPr>
          <w:rFonts w:asciiTheme="minorHAnsi" w:hAnsiTheme="minorHAnsi"/>
          <w:sz w:val="22"/>
          <w:szCs w:val="22"/>
        </w:rPr>
        <w:t xml:space="preserve"> </w:t>
      </w:r>
      <w:r w:rsidR="00364E15" w:rsidRPr="0034632B">
        <w:rPr>
          <w:rFonts w:asciiTheme="minorHAnsi" w:hAnsiTheme="minorHAnsi"/>
          <w:sz w:val="22"/>
          <w:szCs w:val="22"/>
        </w:rPr>
        <w:t xml:space="preserve">that vary by </w:t>
      </w:r>
      <w:r w:rsidR="00B153E9" w:rsidRPr="0034632B">
        <w:rPr>
          <w:rFonts w:asciiTheme="minorHAnsi" w:hAnsiTheme="minorHAnsi"/>
          <w:sz w:val="22"/>
          <w:szCs w:val="22"/>
        </w:rPr>
        <w:t>disease or condition</w:t>
      </w:r>
      <w:r w:rsidR="006A6F3D" w:rsidRPr="0034632B">
        <w:rPr>
          <w:rFonts w:asciiTheme="minorHAnsi" w:hAnsiTheme="minorHAnsi"/>
          <w:sz w:val="22"/>
          <w:szCs w:val="22"/>
        </w:rPr>
        <w:t xml:space="preserve"> to send case notification</w:t>
      </w:r>
      <w:r w:rsidR="001E7EB4" w:rsidRPr="0034632B">
        <w:rPr>
          <w:rFonts w:asciiTheme="minorHAnsi" w:hAnsiTheme="minorHAnsi"/>
          <w:sz w:val="22"/>
          <w:szCs w:val="22"/>
        </w:rPr>
        <w:t xml:space="preserve"> message</w:t>
      </w:r>
      <w:r w:rsidR="006A6F3D" w:rsidRPr="0034632B">
        <w:rPr>
          <w:rFonts w:asciiTheme="minorHAnsi" w:hAnsiTheme="minorHAnsi"/>
          <w:sz w:val="22"/>
          <w:szCs w:val="22"/>
        </w:rPr>
        <w:t xml:space="preserve">s to CDC. </w:t>
      </w:r>
      <w:r w:rsidRPr="0034632B">
        <w:rPr>
          <w:rFonts w:asciiTheme="minorHAnsi" w:hAnsiTheme="minorHAnsi"/>
          <w:sz w:val="22"/>
          <w:szCs w:val="22"/>
        </w:rPr>
        <w:t>In addition, CDC is developing a dashboard that will display case notification data sent by jurisdictions. The dashboard will include the details of messages received and processed by CDC, as well as warnings and errors on messages that were submitted by jurisdictions but d</w:t>
      </w:r>
      <w:r w:rsidR="00FB0261" w:rsidRPr="0034632B">
        <w:rPr>
          <w:rFonts w:asciiTheme="minorHAnsi" w:hAnsiTheme="minorHAnsi"/>
          <w:sz w:val="22"/>
          <w:szCs w:val="22"/>
        </w:rPr>
        <w:t>id</w:t>
      </w:r>
      <w:r w:rsidRPr="0034632B">
        <w:rPr>
          <w:rFonts w:asciiTheme="minorHAnsi" w:hAnsiTheme="minorHAnsi"/>
          <w:sz w:val="22"/>
          <w:szCs w:val="22"/>
        </w:rPr>
        <w:t xml:space="preserve"> not pass the structural, content, and business rules validation. As a result, jurisdictions will be able to use the dashboard to verify the number of messages received by CDC and to assist with the reconciliation of data throughout the year. This will decrease the burden </w:t>
      </w:r>
      <w:r w:rsidR="00A02FF4" w:rsidRPr="0034632B">
        <w:rPr>
          <w:rFonts w:asciiTheme="minorHAnsi" w:hAnsiTheme="minorHAnsi"/>
          <w:sz w:val="22"/>
          <w:szCs w:val="22"/>
        </w:rPr>
        <w:t>from</w:t>
      </w:r>
      <w:r w:rsidRPr="0034632B">
        <w:rPr>
          <w:rFonts w:asciiTheme="minorHAnsi" w:hAnsiTheme="minorHAnsi"/>
          <w:sz w:val="22"/>
          <w:szCs w:val="22"/>
        </w:rPr>
        <w:t xml:space="preserve"> the annual data reconciliation effort.</w:t>
      </w:r>
      <w:r w:rsidR="00957811" w:rsidRPr="0034632B">
        <w:rPr>
          <w:rFonts w:asciiTheme="minorHAnsi" w:hAnsiTheme="minorHAnsi"/>
          <w:sz w:val="22"/>
          <w:szCs w:val="22"/>
        </w:rPr>
        <w:t xml:space="preserve"> As the new messaging standards are developed through NMI</w:t>
      </w:r>
      <w:r w:rsidR="006A749D" w:rsidRPr="0034632B">
        <w:rPr>
          <w:rFonts w:asciiTheme="minorHAnsi" w:hAnsiTheme="minorHAnsi"/>
          <w:sz w:val="22"/>
          <w:szCs w:val="22"/>
        </w:rPr>
        <w:t xml:space="preserve"> implementation</w:t>
      </w:r>
      <w:r w:rsidR="00957811" w:rsidRPr="0034632B">
        <w:rPr>
          <w:rFonts w:asciiTheme="minorHAnsi" w:hAnsiTheme="minorHAnsi"/>
          <w:sz w:val="22"/>
          <w:szCs w:val="22"/>
        </w:rPr>
        <w:t xml:space="preserve">, there is a burden to the jurisdictions as they incorporate these new standards, although the end result is expected to reduce the overall burden.  The limited duration effort required to implement the new standards </w:t>
      </w:r>
      <w:r w:rsidR="00D36098">
        <w:rPr>
          <w:rFonts w:asciiTheme="minorHAnsi" w:hAnsiTheme="minorHAnsi"/>
          <w:sz w:val="22"/>
          <w:szCs w:val="22"/>
        </w:rPr>
        <w:t>is</w:t>
      </w:r>
      <w:r w:rsidR="00957811" w:rsidRPr="0034632B">
        <w:rPr>
          <w:rFonts w:asciiTheme="minorHAnsi" w:hAnsiTheme="minorHAnsi"/>
          <w:sz w:val="22"/>
          <w:szCs w:val="22"/>
        </w:rPr>
        <w:t xml:space="preserve"> represented in the burden table as “NMI Implementation.”</w:t>
      </w:r>
    </w:p>
    <w:p w:rsidR="00C03048" w:rsidRPr="00FF55BF" w:rsidRDefault="00C03048" w:rsidP="00925656">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A.4. </w:t>
      </w:r>
      <w:r w:rsidR="00CF4B0F" w:rsidRPr="00FF55BF">
        <w:rPr>
          <w:rFonts w:asciiTheme="minorHAnsi" w:hAnsiTheme="minorHAnsi"/>
          <w:b/>
          <w:sz w:val="22"/>
          <w:szCs w:val="22"/>
          <w:u w:val="single"/>
        </w:rPr>
        <w:t>Efforts to Identify Duplication and Use of Similar Information</w:t>
      </w:r>
      <w:r w:rsidR="00CF4B0F" w:rsidRPr="00FF55BF">
        <w:rPr>
          <w:rFonts w:asciiTheme="minorHAnsi" w:hAnsiTheme="minorHAnsi"/>
          <w:sz w:val="22"/>
          <w:szCs w:val="22"/>
        </w:rPr>
        <w:t xml:space="preserve">  </w:t>
      </w:r>
    </w:p>
    <w:p w:rsidR="00F815DB" w:rsidRPr="00717322" w:rsidRDefault="006B6060" w:rsidP="00717322">
      <w:pPr>
        <w:tabs>
          <w:tab w:val="left" w:pos="3240"/>
        </w:tabs>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No other Federal agency funds or conducts this type of surveillance, based on </w:t>
      </w:r>
      <w:r w:rsidR="001F78A6" w:rsidRPr="00FF55BF">
        <w:rPr>
          <w:rFonts w:asciiTheme="minorHAnsi" w:hAnsiTheme="minorHAnsi"/>
          <w:color w:val="000000"/>
          <w:sz w:val="22"/>
          <w:szCs w:val="22"/>
        </w:rPr>
        <w:t xml:space="preserve">information on reportable conditions </w:t>
      </w:r>
      <w:r w:rsidRPr="00FF55BF">
        <w:rPr>
          <w:rFonts w:asciiTheme="minorHAnsi" w:hAnsiTheme="minorHAnsi"/>
          <w:color w:val="000000"/>
          <w:sz w:val="22"/>
          <w:szCs w:val="22"/>
        </w:rPr>
        <w:t xml:space="preserve">received by state, territorial, and local public health </w:t>
      </w:r>
      <w:r w:rsidR="00F57A0D" w:rsidRPr="00FF55BF">
        <w:rPr>
          <w:rFonts w:asciiTheme="minorHAnsi" w:hAnsiTheme="minorHAnsi"/>
          <w:color w:val="000000"/>
          <w:sz w:val="22"/>
          <w:szCs w:val="22"/>
        </w:rPr>
        <w:t>departments</w:t>
      </w:r>
      <w:r w:rsidR="00621B17" w:rsidRPr="00FF55BF">
        <w:rPr>
          <w:rFonts w:asciiTheme="minorHAnsi" w:hAnsiTheme="minorHAnsi"/>
          <w:color w:val="000000"/>
          <w:sz w:val="22"/>
          <w:szCs w:val="22"/>
        </w:rPr>
        <w:t xml:space="preserve"> and notifications submitted by public health </w:t>
      </w:r>
      <w:r w:rsidR="00F57A0D" w:rsidRPr="00FF55BF">
        <w:rPr>
          <w:rFonts w:asciiTheme="minorHAnsi" w:hAnsiTheme="minorHAnsi"/>
          <w:color w:val="000000"/>
          <w:sz w:val="22"/>
          <w:szCs w:val="22"/>
        </w:rPr>
        <w:t>departments</w:t>
      </w:r>
      <w:r w:rsidR="00621B17" w:rsidRPr="00FF55BF">
        <w:rPr>
          <w:rFonts w:asciiTheme="minorHAnsi" w:hAnsiTheme="minorHAnsi"/>
          <w:color w:val="000000"/>
          <w:sz w:val="22"/>
          <w:szCs w:val="22"/>
        </w:rPr>
        <w:t xml:space="preserve"> to CDC</w:t>
      </w:r>
      <w:r w:rsidRPr="00FF55BF">
        <w:rPr>
          <w:rFonts w:asciiTheme="minorHAnsi" w:hAnsiTheme="minorHAnsi"/>
          <w:color w:val="000000"/>
          <w:sz w:val="22"/>
          <w:szCs w:val="22"/>
        </w:rPr>
        <w:t xml:space="preserve">. </w:t>
      </w:r>
      <w:r w:rsidR="009135CB" w:rsidRPr="00FF55BF">
        <w:rPr>
          <w:rFonts w:asciiTheme="minorHAnsi" w:hAnsiTheme="minorHAnsi"/>
          <w:color w:val="000000"/>
          <w:sz w:val="22"/>
          <w:szCs w:val="22"/>
        </w:rPr>
        <w:t xml:space="preserve">Information </w:t>
      </w:r>
      <w:r w:rsidRPr="00FF55BF">
        <w:rPr>
          <w:rFonts w:asciiTheme="minorHAnsi" w:hAnsiTheme="minorHAnsi"/>
          <w:color w:val="000000"/>
          <w:sz w:val="22"/>
          <w:szCs w:val="22"/>
        </w:rPr>
        <w:t xml:space="preserve">obtained and </w:t>
      </w:r>
      <w:r w:rsidR="009135CB" w:rsidRPr="00FF55BF">
        <w:rPr>
          <w:rFonts w:asciiTheme="minorHAnsi" w:hAnsiTheme="minorHAnsi"/>
          <w:color w:val="000000"/>
          <w:sz w:val="22"/>
          <w:szCs w:val="22"/>
        </w:rPr>
        <w:t xml:space="preserve">maintained in NNDSS serves as a </w:t>
      </w:r>
      <w:r w:rsidR="00D640B7" w:rsidRPr="00FF55BF">
        <w:rPr>
          <w:rFonts w:asciiTheme="minorHAnsi" w:hAnsiTheme="minorHAnsi"/>
          <w:color w:val="000000"/>
          <w:sz w:val="22"/>
          <w:szCs w:val="22"/>
        </w:rPr>
        <w:t xml:space="preserve">unique, </w:t>
      </w:r>
      <w:r w:rsidR="009135CB" w:rsidRPr="00FF55BF">
        <w:rPr>
          <w:rFonts w:asciiTheme="minorHAnsi" w:hAnsiTheme="minorHAnsi"/>
          <w:color w:val="000000"/>
          <w:sz w:val="22"/>
          <w:szCs w:val="22"/>
        </w:rPr>
        <w:t xml:space="preserve">centralized, integrated source of </w:t>
      </w:r>
      <w:r w:rsidR="00F44173" w:rsidRPr="00FF55BF">
        <w:rPr>
          <w:rFonts w:asciiTheme="minorHAnsi" w:hAnsiTheme="minorHAnsi"/>
          <w:color w:val="000000"/>
          <w:sz w:val="22"/>
          <w:szCs w:val="22"/>
        </w:rPr>
        <w:t>information ab</w:t>
      </w:r>
      <w:r w:rsidR="00587C37" w:rsidRPr="00FF55BF">
        <w:rPr>
          <w:rFonts w:asciiTheme="minorHAnsi" w:hAnsiTheme="minorHAnsi"/>
          <w:color w:val="000000"/>
          <w:sz w:val="22"/>
          <w:szCs w:val="22"/>
        </w:rPr>
        <w:t xml:space="preserve">out nationally </w:t>
      </w:r>
      <w:r w:rsidR="009A6469" w:rsidRPr="00FF55BF">
        <w:rPr>
          <w:rFonts w:asciiTheme="minorHAnsi" w:hAnsiTheme="minorHAnsi"/>
          <w:sz w:val="22"/>
          <w:szCs w:val="22"/>
        </w:rPr>
        <w:t>notifiable</w:t>
      </w:r>
      <w:r w:rsidR="00621B17" w:rsidRPr="00FF55BF">
        <w:rPr>
          <w:rFonts w:asciiTheme="minorHAnsi" w:hAnsiTheme="minorHAnsi"/>
          <w:sz w:val="22"/>
          <w:szCs w:val="22"/>
        </w:rPr>
        <w:t xml:space="preserve"> </w:t>
      </w:r>
      <w:r w:rsidR="000B082C" w:rsidRPr="00FF55BF">
        <w:rPr>
          <w:rFonts w:asciiTheme="minorHAnsi" w:hAnsiTheme="minorHAnsi"/>
          <w:color w:val="000000"/>
          <w:sz w:val="22"/>
          <w:szCs w:val="22"/>
        </w:rPr>
        <w:t>condition</w:t>
      </w:r>
      <w:r w:rsidR="00F44173"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in the U</w:t>
      </w:r>
      <w:r w:rsidR="00F44173"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and </w:t>
      </w:r>
      <w:r w:rsidR="00F44173" w:rsidRPr="00FF55BF">
        <w:rPr>
          <w:rFonts w:asciiTheme="minorHAnsi" w:hAnsiTheme="minorHAnsi"/>
          <w:color w:val="000000"/>
          <w:sz w:val="22"/>
          <w:szCs w:val="22"/>
        </w:rPr>
        <w:t>the information</w:t>
      </w:r>
      <w:r w:rsidR="009135CB" w:rsidRPr="00FF55BF">
        <w:rPr>
          <w:rFonts w:asciiTheme="minorHAnsi" w:hAnsiTheme="minorHAnsi"/>
          <w:color w:val="000000"/>
          <w:sz w:val="22"/>
          <w:szCs w:val="22"/>
        </w:rPr>
        <w:t xml:space="preserve"> is not available from any other source.</w:t>
      </w:r>
      <w:r w:rsidR="007021F9">
        <w:rPr>
          <w:rFonts w:asciiTheme="minorHAnsi" w:hAnsiTheme="minorHAnsi"/>
          <w:color w:val="000000"/>
          <w:sz w:val="22"/>
          <w:szCs w:val="22"/>
        </w:rPr>
        <w:t xml:space="preserve"> As</w:t>
      </w:r>
      <w:r w:rsidR="00A17442" w:rsidRPr="00FF55BF">
        <w:rPr>
          <w:rFonts w:asciiTheme="minorHAnsi" w:hAnsiTheme="minorHAnsi"/>
          <w:color w:val="000000"/>
          <w:sz w:val="22"/>
          <w:szCs w:val="22"/>
        </w:rPr>
        <w:t xml:space="preserve"> the </w:t>
      </w:r>
      <w:r w:rsidR="007C6159">
        <w:rPr>
          <w:rFonts w:asciiTheme="minorHAnsi" w:hAnsiTheme="minorHAnsi"/>
          <w:color w:val="000000"/>
          <w:sz w:val="22"/>
          <w:szCs w:val="22"/>
        </w:rPr>
        <w:t>DHIS</w:t>
      </w:r>
      <w:r w:rsidR="00A17442" w:rsidRPr="00FF55BF">
        <w:rPr>
          <w:rFonts w:asciiTheme="minorHAnsi" w:hAnsiTheme="minorHAnsi"/>
          <w:color w:val="000000"/>
          <w:sz w:val="22"/>
          <w:szCs w:val="22"/>
        </w:rPr>
        <w:t xml:space="preserve"> NNDSS electronic systems are developed</w:t>
      </w:r>
      <w:r w:rsidR="007021F9">
        <w:rPr>
          <w:rFonts w:asciiTheme="minorHAnsi" w:hAnsiTheme="minorHAnsi"/>
          <w:color w:val="000000"/>
          <w:sz w:val="22"/>
          <w:szCs w:val="22"/>
        </w:rPr>
        <w:t xml:space="preserve"> through NMI</w:t>
      </w:r>
      <w:r w:rsidR="006A749D">
        <w:rPr>
          <w:rFonts w:asciiTheme="minorHAnsi" w:hAnsiTheme="minorHAnsi"/>
          <w:color w:val="000000"/>
          <w:sz w:val="22"/>
          <w:szCs w:val="22"/>
        </w:rPr>
        <w:t xml:space="preserve"> implementation</w:t>
      </w:r>
      <w:r w:rsidR="00BB798F" w:rsidRPr="00FF55BF">
        <w:rPr>
          <w:rFonts w:asciiTheme="minorHAnsi" w:hAnsiTheme="minorHAnsi"/>
          <w:color w:val="000000"/>
          <w:sz w:val="22"/>
          <w:szCs w:val="22"/>
        </w:rPr>
        <w:t xml:space="preserve"> to allow state and local </w:t>
      </w:r>
      <w:r w:rsidR="007A6F38">
        <w:rPr>
          <w:rFonts w:asciiTheme="minorHAnsi" w:hAnsiTheme="minorHAnsi"/>
          <w:color w:val="000000"/>
          <w:sz w:val="22"/>
          <w:szCs w:val="22"/>
        </w:rPr>
        <w:t xml:space="preserve">public </w:t>
      </w:r>
      <w:r w:rsidR="00BB798F" w:rsidRPr="00FF55BF">
        <w:rPr>
          <w:rFonts w:asciiTheme="minorHAnsi" w:hAnsiTheme="minorHAnsi"/>
          <w:color w:val="000000"/>
          <w:sz w:val="22"/>
          <w:szCs w:val="22"/>
        </w:rPr>
        <w:t xml:space="preserve">health departments to submit more </w:t>
      </w:r>
      <w:r w:rsidR="00BB444B" w:rsidRPr="00FF55BF">
        <w:rPr>
          <w:rFonts w:asciiTheme="minorHAnsi" w:hAnsiTheme="minorHAnsi"/>
          <w:color w:val="000000"/>
          <w:sz w:val="22"/>
          <w:szCs w:val="22"/>
        </w:rPr>
        <w:t xml:space="preserve">nationally notifiable disease </w:t>
      </w:r>
      <w:r w:rsidR="00BB798F" w:rsidRPr="00FF55BF">
        <w:rPr>
          <w:rFonts w:asciiTheme="minorHAnsi" w:hAnsiTheme="minorHAnsi"/>
          <w:color w:val="000000"/>
          <w:sz w:val="22"/>
          <w:szCs w:val="22"/>
        </w:rPr>
        <w:t xml:space="preserve">data to CDC, </w:t>
      </w:r>
      <w:r w:rsidR="00D65131" w:rsidRPr="00FF55BF">
        <w:rPr>
          <w:rFonts w:asciiTheme="minorHAnsi" w:hAnsiTheme="minorHAnsi"/>
          <w:color w:val="000000"/>
          <w:sz w:val="22"/>
          <w:szCs w:val="22"/>
        </w:rPr>
        <w:t xml:space="preserve">both the </w:t>
      </w:r>
      <w:r w:rsidR="0007197E" w:rsidRPr="00FF55BF">
        <w:rPr>
          <w:rFonts w:asciiTheme="minorHAnsi" w:hAnsiTheme="minorHAnsi"/>
          <w:color w:val="000000"/>
          <w:sz w:val="22"/>
          <w:szCs w:val="22"/>
        </w:rPr>
        <w:t>duplication of reportin</w:t>
      </w:r>
      <w:r w:rsidR="00791B79" w:rsidRPr="00FF55BF">
        <w:rPr>
          <w:rFonts w:asciiTheme="minorHAnsi" w:hAnsiTheme="minorHAnsi"/>
          <w:color w:val="000000"/>
          <w:sz w:val="22"/>
          <w:szCs w:val="22"/>
        </w:rPr>
        <w:t>g to CDC</w:t>
      </w:r>
      <w:r w:rsidR="00E26446" w:rsidRPr="00FF55BF">
        <w:rPr>
          <w:rFonts w:asciiTheme="minorHAnsi" w:hAnsiTheme="minorHAnsi"/>
          <w:color w:val="000000"/>
          <w:sz w:val="22"/>
          <w:szCs w:val="22"/>
        </w:rPr>
        <w:t xml:space="preserve"> by state and local </w:t>
      </w:r>
      <w:r w:rsidR="007A6F38">
        <w:rPr>
          <w:rFonts w:asciiTheme="minorHAnsi" w:hAnsiTheme="minorHAnsi"/>
          <w:color w:val="000000"/>
          <w:sz w:val="22"/>
          <w:szCs w:val="22"/>
        </w:rPr>
        <w:t xml:space="preserve">public </w:t>
      </w:r>
      <w:r w:rsidR="00E26446" w:rsidRPr="00FF55BF">
        <w:rPr>
          <w:rFonts w:asciiTheme="minorHAnsi" w:hAnsiTheme="minorHAnsi"/>
          <w:color w:val="000000"/>
          <w:sz w:val="22"/>
          <w:szCs w:val="22"/>
        </w:rPr>
        <w:t xml:space="preserve">health departments </w:t>
      </w:r>
      <w:r w:rsidR="00D22D21" w:rsidRPr="00FF55BF">
        <w:rPr>
          <w:rFonts w:asciiTheme="minorHAnsi" w:hAnsiTheme="minorHAnsi"/>
          <w:color w:val="000000"/>
          <w:sz w:val="22"/>
          <w:szCs w:val="22"/>
        </w:rPr>
        <w:t xml:space="preserve">and </w:t>
      </w:r>
      <w:r w:rsidR="00D65131" w:rsidRPr="00FF55BF">
        <w:rPr>
          <w:rFonts w:asciiTheme="minorHAnsi" w:hAnsiTheme="minorHAnsi"/>
          <w:color w:val="000000"/>
          <w:sz w:val="22"/>
          <w:szCs w:val="22"/>
        </w:rPr>
        <w:t xml:space="preserve">the </w:t>
      </w:r>
      <w:r w:rsidR="00D22D21" w:rsidRPr="00FF55BF">
        <w:rPr>
          <w:rFonts w:asciiTheme="minorHAnsi" w:hAnsiTheme="minorHAnsi"/>
          <w:color w:val="000000"/>
          <w:sz w:val="22"/>
          <w:szCs w:val="22"/>
        </w:rPr>
        <w:t xml:space="preserve">burden to state and local </w:t>
      </w:r>
      <w:r w:rsidR="007A6F38">
        <w:rPr>
          <w:rFonts w:asciiTheme="minorHAnsi" w:hAnsiTheme="minorHAnsi"/>
          <w:color w:val="000000"/>
          <w:sz w:val="22"/>
          <w:szCs w:val="22"/>
        </w:rPr>
        <w:t xml:space="preserve">public </w:t>
      </w:r>
      <w:r w:rsidR="00D22D21" w:rsidRPr="00FF55BF">
        <w:rPr>
          <w:rFonts w:asciiTheme="minorHAnsi" w:hAnsiTheme="minorHAnsi"/>
          <w:color w:val="000000"/>
          <w:sz w:val="22"/>
          <w:szCs w:val="22"/>
        </w:rPr>
        <w:t xml:space="preserve">health departments </w:t>
      </w:r>
      <w:r w:rsidR="00E83AA9" w:rsidRPr="00FF55BF">
        <w:rPr>
          <w:rFonts w:asciiTheme="minorHAnsi" w:hAnsiTheme="minorHAnsi"/>
          <w:color w:val="000000"/>
          <w:sz w:val="22"/>
          <w:szCs w:val="22"/>
        </w:rPr>
        <w:t>may</w:t>
      </w:r>
      <w:r w:rsidR="00D22D21" w:rsidRPr="00FF55BF">
        <w:rPr>
          <w:rFonts w:asciiTheme="minorHAnsi" w:hAnsiTheme="minorHAnsi"/>
          <w:color w:val="000000"/>
          <w:sz w:val="22"/>
          <w:szCs w:val="22"/>
        </w:rPr>
        <w:t xml:space="preserve"> be reduced.</w:t>
      </w:r>
      <w:r w:rsidR="00717322">
        <w:rPr>
          <w:rFonts w:asciiTheme="minorHAnsi" w:hAnsiTheme="minorHAnsi"/>
          <w:color w:val="000000"/>
          <w:sz w:val="22"/>
          <w:szCs w:val="22"/>
        </w:rPr>
        <w:t xml:space="preserve">  </w:t>
      </w:r>
      <w:r w:rsidR="00717322" w:rsidRPr="00D27329">
        <w:rPr>
          <w:rFonts w:asciiTheme="minorHAnsi" w:hAnsiTheme="minorHAnsi"/>
          <w:color w:val="000000"/>
          <w:sz w:val="22"/>
          <w:szCs w:val="22"/>
          <w:highlight w:val="yellow"/>
        </w:rPr>
        <w:t>While there are other federal and non-federal data sources and systems for some of the new nationally notifiable conditions and new conditions under standardized surveillance, these data sources and systems do not provide</w:t>
      </w:r>
      <w:r w:rsidR="00797176">
        <w:rPr>
          <w:rFonts w:asciiTheme="minorHAnsi" w:hAnsiTheme="minorHAnsi"/>
          <w:color w:val="000000"/>
          <w:sz w:val="22"/>
          <w:szCs w:val="22"/>
          <w:highlight w:val="yellow"/>
        </w:rPr>
        <w:t xml:space="preserve"> a complete national case-based surveillance picture</w:t>
      </w:r>
      <w:r w:rsidR="00717322" w:rsidRPr="00D27329">
        <w:rPr>
          <w:rFonts w:asciiTheme="minorHAnsi" w:hAnsiTheme="minorHAnsi"/>
          <w:color w:val="000000"/>
          <w:sz w:val="22"/>
          <w:szCs w:val="22"/>
          <w:highlight w:val="yellow"/>
        </w:rPr>
        <w:t xml:space="preserve">. </w:t>
      </w:r>
      <w:r w:rsidR="00192E7A" w:rsidRPr="00D27329">
        <w:rPr>
          <w:rFonts w:asciiTheme="minorHAnsi" w:hAnsiTheme="minorHAnsi"/>
          <w:color w:val="000000"/>
          <w:sz w:val="22"/>
          <w:szCs w:val="22"/>
          <w:highlight w:val="yellow"/>
        </w:rPr>
        <w:t xml:space="preserve">These data sources </w:t>
      </w:r>
      <w:r w:rsidR="00465CAB" w:rsidRPr="00D27329">
        <w:rPr>
          <w:rFonts w:asciiTheme="minorHAnsi" w:hAnsiTheme="minorHAnsi"/>
          <w:color w:val="000000"/>
          <w:sz w:val="22"/>
          <w:szCs w:val="22"/>
          <w:highlight w:val="yellow"/>
        </w:rPr>
        <w:t xml:space="preserve">and systems </w:t>
      </w:r>
      <w:r w:rsidR="00192E7A" w:rsidRPr="00D27329">
        <w:rPr>
          <w:rFonts w:asciiTheme="minorHAnsi" w:hAnsiTheme="minorHAnsi"/>
          <w:color w:val="000000"/>
          <w:sz w:val="22"/>
          <w:szCs w:val="22"/>
          <w:highlight w:val="yellow"/>
        </w:rPr>
        <w:t>include the National Healthcare Safety Network (NHSN)</w:t>
      </w:r>
      <w:r w:rsidR="001E39BE" w:rsidRPr="00D27329">
        <w:rPr>
          <w:rFonts w:asciiTheme="minorHAnsi" w:hAnsiTheme="minorHAnsi"/>
          <w:color w:val="000000"/>
          <w:sz w:val="22"/>
          <w:szCs w:val="22"/>
          <w:highlight w:val="yellow"/>
        </w:rPr>
        <w:t xml:space="preserve"> for </w:t>
      </w:r>
      <w:r w:rsidR="001E39BE" w:rsidRPr="00D27329">
        <w:rPr>
          <w:rFonts w:asciiTheme="minorHAnsi" w:hAnsiTheme="minorHAnsi"/>
          <w:i/>
          <w:color w:val="000000"/>
          <w:sz w:val="22"/>
          <w:szCs w:val="22"/>
          <w:highlight w:val="yellow"/>
        </w:rPr>
        <w:t>C. auris</w:t>
      </w:r>
      <w:r w:rsidR="00192E7A" w:rsidRPr="00D27329">
        <w:rPr>
          <w:rFonts w:asciiTheme="minorHAnsi" w:hAnsiTheme="minorHAnsi"/>
          <w:color w:val="000000"/>
          <w:sz w:val="22"/>
          <w:szCs w:val="22"/>
          <w:highlight w:val="yellow"/>
        </w:rPr>
        <w:t>, the National Poison Data System (NPDS)</w:t>
      </w:r>
      <w:r w:rsidR="001E39BE" w:rsidRPr="00D27329">
        <w:rPr>
          <w:rFonts w:asciiTheme="minorHAnsi" w:hAnsiTheme="minorHAnsi"/>
          <w:color w:val="000000"/>
          <w:sz w:val="22"/>
          <w:szCs w:val="22"/>
          <w:highlight w:val="yellow"/>
        </w:rPr>
        <w:t xml:space="preserve"> for CO poisoning</w:t>
      </w:r>
      <w:r w:rsidR="00192E7A" w:rsidRPr="00D27329">
        <w:rPr>
          <w:rFonts w:asciiTheme="minorHAnsi" w:hAnsiTheme="minorHAnsi"/>
          <w:color w:val="000000"/>
          <w:sz w:val="22"/>
          <w:szCs w:val="22"/>
          <w:highlight w:val="yellow"/>
        </w:rPr>
        <w:t xml:space="preserve">, </w:t>
      </w:r>
      <w:r w:rsidR="001E39BE" w:rsidRPr="00D27329">
        <w:rPr>
          <w:rFonts w:asciiTheme="minorHAnsi" w:hAnsiTheme="minorHAnsi"/>
          <w:color w:val="000000"/>
          <w:sz w:val="22"/>
          <w:szCs w:val="22"/>
          <w:highlight w:val="yellow"/>
        </w:rPr>
        <w:t>the National Health and Nutrition Examination Survey (NHANES) for TB disease and TB infection, and the New Vaccine Surveillance Network (NVSN)</w:t>
      </w:r>
      <w:r w:rsidR="00465CAB" w:rsidRPr="00D27329">
        <w:rPr>
          <w:rFonts w:asciiTheme="minorHAnsi" w:hAnsiTheme="minorHAnsi"/>
          <w:color w:val="000000"/>
          <w:sz w:val="22"/>
          <w:szCs w:val="22"/>
          <w:highlight w:val="yellow"/>
        </w:rPr>
        <w:t xml:space="preserve"> and the Emerging Infection Program (EIP) Surveillance Project</w:t>
      </w:r>
      <w:r w:rsidR="001E39BE" w:rsidRPr="00D27329">
        <w:rPr>
          <w:rFonts w:asciiTheme="minorHAnsi" w:hAnsiTheme="minorHAnsi"/>
          <w:color w:val="000000"/>
          <w:sz w:val="22"/>
          <w:szCs w:val="22"/>
          <w:highlight w:val="yellow"/>
        </w:rPr>
        <w:t xml:space="preserve"> for RSV-Associated Mortality</w:t>
      </w:r>
      <w:r w:rsidR="00465CAB" w:rsidRPr="00D27329">
        <w:rPr>
          <w:rFonts w:asciiTheme="minorHAnsi" w:hAnsiTheme="minorHAnsi"/>
          <w:color w:val="000000"/>
          <w:sz w:val="22"/>
          <w:szCs w:val="22"/>
          <w:highlight w:val="yellow"/>
        </w:rPr>
        <w:t>.</w:t>
      </w:r>
      <w:r w:rsidR="001E39BE" w:rsidRPr="00D27329">
        <w:rPr>
          <w:rFonts w:asciiTheme="minorHAnsi" w:hAnsiTheme="minorHAnsi"/>
          <w:color w:val="000000"/>
          <w:sz w:val="22"/>
          <w:szCs w:val="22"/>
          <w:highlight w:val="yellow"/>
        </w:rPr>
        <w:t xml:space="preserve"> </w:t>
      </w:r>
    </w:p>
    <w:p w:rsidR="00F815DB" w:rsidRPr="00FF55BF" w:rsidRDefault="00F815DB" w:rsidP="00925656">
      <w:pPr>
        <w:spacing w:line="360" w:lineRule="auto"/>
        <w:rPr>
          <w:rFonts w:asciiTheme="minorHAnsi" w:hAnsiTheme="minorHAnsi"/>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A.5. </w:t>
      </w:r>
      <w:r w:rsidR="003034F9" w:rsidRPr="00FF55BF">
        <w:rPr>
          <w:rFonts w:asciiTheme="minorHAnsi" w:hAnsiTheme="minorHAnsi"/>
          <w:b/>
          <w:sz w:val="22"/>
          <w:szCs w:val="22"/>
          <w:u w:val="single"/>
        </w:rPr>
        <w:t>Impact on Small Businesses or Other Small Entities</w:t>
      </w: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This </w:t>
      </w:r>
      <w:r w:rsidR="00A553B2" w:rsidRPr="00FF55BF">
        <w:rPr>
          <w:rFonts w:asciiTheme="minorHAnsi" w:hAnsiTheme="minorHAnsi"/>
          <w:color w:val="000000"/>
          <w:sz w:val="22"/>
          <w:szCs w:val="22"/>
        </w:rPr>
        <w:t>submission</w:t>
      </w:r>
      <w:r w:rsidRPr="00FF55BF">
        <w:rPr>
          <w:rFonts w:asciiTheme="minorHAnsi" w:hAnsiTheme="minorHAnsi"/>
          <w:color w:val="000000"/>
          <w:sz w:val="22"/>
          <w:szCs w:val="22"/>
        </w:rPr>
        <w:t xml:space="preserve"> of information does not involve small businesses or other small entities.</w:t>
      </w:r>
    </w:p>
    <w:p w:rsidR="00904DF8" w:rsidRDefault="00904DF8" w:rsidP="00925656">
      <w:pPr>
        <w:spacing w:line="360" w:lineRule="auto"/>
        <w:rPr>
          <w:rFonts w:asciiTheme="minorHAnsi" w:hAnsiTheme="minorHAnsi"/>
          <w:b/>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A.6. </w:t>
      </w:r>
      <w:r w:rsidR="00696F5F" w:rsidRPr="00FF55BF">
        <w:rPr>
          <w:rFonts w:asciiTheme="minorHAnsi" w:hAnsiTheme="minorHAnsi"/>
          <w:b/>
          <w:sz w:val="22"/>
          <w:szCs w:val="22"/>
          <w:u w:val="single"/>
        </w:rPr>
        <w:t xml:space="preserve">Consequences of </w:t>
      </w:r>
      <w:r w:rsidR="008C76E9" w:rsidRPr="00FF55BF">
        <w:rPr>
          <w:rFonts w:asciiTheme="minorHAnsi" w:hAnsiTheme="minorHAnsi"/>
          <w:b/>
          <w:sz w:val="22"/>
          <w:szCs w:val="22"/>
          <w:u w:val="single"/>
        </w:rPr>
        <w:t xml:space="preserve">Collecting </w:t>
      </w:r>
      <w:r w:rsidR="00696F5F" w:rsidRPr="00FF55BF">
        <w:rPr>
          <w:rFonts w:asciiTheme="minorHAnsi" w:hAnsiTheme="minorHAnsi"/>
          <w:b/>
          <w:sz w:val="22"/>
          <w:szCs w:val="22"/>
          <w:u w:val="single"/>
        </w:rPr>
        <w:t>the Information Less Frequently</w:t>
      </w:r>
    </w:p>
    <w:p w:rsidR="006B6060" w:rsidRPr="00FF55BF" w:rsidRDefault="000B61F8" w:rsidP="00925656">
      <w:pPr>
        <w:spacing w:line="360" w:lineRule="auto"/>
        <w:rPr>
          <w:rFonts w:asciiTheme="minorHAnsi" w:hAnsiTheme="minorHAnsi"/>
          <w:color w:val="000000"/>
          <w:sz w:val="22"/>
          <w:szCs w:val="22"/>
        </w:rPr>
      </w:pPr>
      <w:r w:rsidRPr="0034632B">
        <w:rPr>
          <w:rFonts w:asciiTheme="minorHAnsi" w:hAnsiTheme="minorHAnsi"/>
          <w:color w:val="000000"/>
          <w:sz w:val="22"/>
          <w:szCs w:val="22"/>
        </w:rPr>
        <w:t>Pu</w:t>
      </w:r>
      <w:r w:rsidR="00E1599C" w:rsidRPr="0034632B">
        <w:rPr>
          <w:rFonts w:asciiTheme="minorHAnsi" w:hAnsiTheme="minorHAnsi"/>
          <w:color w:val="000000"/>
          <w:sz w:val="22"/>
          <w:szCs w:val="22"/>
        </w:rPr>
        <w:t xml:space="preserve">blic </w:t>
      </w:r>
      <w:r w:rsidR="00FB0261" w:rsidRPr="0034632B">
        <w:rPr>
          <w:rFonts w:asciiTheme="minorHAnsi" w:hAnsiTheme="minorHAnsi"/>
          <w:color w:val="000000"/>
          <w:sz w:val="22"/>
          <w:szCs w:val="22"/>
        </w:rPr>
        <w:t>h</w:t>
      </w:r>
      <w:r w:rsidR="00E1599C" w:rsidRPr="0034632B">
        <w:rPr>
          <w:rFonts w:asciiTheme="minorHAnsi" w:hAnsiTheme="minorHAnsi"/>
          <w:color w:val="000000"/>
          <w:sz w:val="22"/>
          <w:szCs w:val="22"/>
        </w:rPr>
        <w:t xml:space="preserve">ealth </w:t>
      </w:r>
      <w:r w:rsidR="00FB0261" w:rsidRPr="0034632B">
        <w:rPr>
          <w:rFonts w:asciiTheme="minorHAnsi" w:hAnsiTheme="minorHAnsi"/>
          <w:color w:val="000000"/>
          <w:sz w:val="22"/>
          <w:szCs w:val="22"/>
        </w:rPr>
        <w:t>d</w:t>
      </w:r>
      <w:r w:rsidR="00E1599C" w:rsidRPr="0034632B">
        <w:rPr>
          <w:rFonts w:asciiTheme="minorHAnsi" w:hAnsiTheme="minorHAnsi"/>
          <w:color w:val="000000"/>
          <w:sz w:val="22"/>
          <w:szCs w:val="22"/>
        </w:rPr>
        <w:t xml:space="preserve">epartments that </w:t>
      </w:r>
      <w:r w:rsidR="007A649B" w:rsidRPr="0034632B">
        <w:rPr>
          <w:rFonts w:asciiTheme="minorHAnsi" w:hAnsiTheme="minorHAnsi"/>
          <w:color w:val="000000"/>
          <w:sz w:val="22"/>
          <w:szCs w:val="22"/>
        </w:rPr>
        <w:t>use</w:t>
      </w:r>
      <w:r w:rsidR="00E1599C" w:rsidRPr="0034632B">
        <w:rPr>
          <w:rFonts w:asciiTheme="minorHAnsi" w:hAnsiTheme="minorHAnsi"/>
          <w:color w:val="000000"/>
          <w:sz w:val="22"/>
          <w:szCs w:val="22"/>
        </w:rPr>
        <w:t xml:space="preserve"> automated </w:t>
      </w:r>
      <w:r w:rsidR="007A649B" w:rsidRPr="0034632B">
        <w:rPr>
          <w:rFonts w:asciiTheme="minorHAnsi" w:hAnsiTheme="minorHAnsi"/>
          <w:color w:val="000000"/>
          <w:sz w:val="22"/>
          <w:szCs w:val="22"/>
        </w:rPr>
        <w:t xml:space="preserve">methods to send </w:t>
      </w:r>
      <w:r w:rsidR="00E1599C" w:rsidRPr="0034632B">
        <w:rPr>
          <w:rFonts w:asciiTheme="minorHAnsi" w:hAnsiTheme="minorHAnsi"/>
          <w:color w:val="000000"/>
          <w:sz w:val="22"/>
          <w:szCs w:val="22"/>
        </w:rPr>
        <w:t xml:space="preserve">case notifications </w:t>
      </w:r>
      <w:r w:rsidR="007A649B" w:rsidRPr="0034632B">
        <w:rPr>
          <w:rFonts w:asciiTheme="minorHAnsi" w:hAnsiTheme="minorHAnsi"/>
          <w:color w:val="000000"/>
          <w:sz w:val="22"/>
          <w:szCs w:val="22"/>
        </w:rPr>
        <w:t xml:space="preserve">to CDC </w:t>
      </w:r>
      <w:r w:rsidR="00E1599C" w:rsidRPr="0034632B">
        <w:rPr>
          <w:rFonts w:asciiTheme="minorHAnsi" w:hAnsiTheme="minorHAnsi"/>
          <w:color w:val="000000"/>
          <w:sz w:val="22"/>
          <w:szCs w:val="22"/>
        </w:rPr>
        <w:t xml:space="preserve">send </w:t>
      </w:r>
      <w:r w:rsidR="00FB0261" w:rsidRPr="0034632B">
        <w:rPr>
          <w:rFonts w:asciiTheme="minorHAnsi" w:hAnsiTheme="minorHAnsi"/>
          <w:color w:val="000000"/>
          <w:sz w:val="22"/>
          <w:szCs w:val="22"/>
        </w:rPr>
        <w:t>case notifications</w:t>
      </w:r>
      <w:r w:rsidR="00E1599C" w:rsidRPr="0034632B">
        <w:rPr>
          <w:rFonts w:asciiTheme="minorHAnsi" w:hAnsiTheme="minorHAnsi"/>
          <w:color w:val="000000"/>
          <w:sz w:val="22"/>
          <w:szCs w:val="22"/>
        </w:rPr>
        <w:t xml:space="preserve"> at least weekly. </w:t>
      </w:r>
      <w:r w:rsidR="009016DD" w:rsidRPr="0034632B">
        <w:rPr>
          <w:rFonts w:asciiTheme="minorHAnsi" w:hAnsiTheme="minorHAnsi"/>
          <w:color w:val="000000"/>
          <w:sz w:val="22"/>
          <w:szCs w:val="22"/>
        </w:rPr>
        <w:t>Most</w:t>
      </w:r>
      <w:r w:rsidR="00024F62" w:rsidRPr="0034632B">
        <w:rPr>
          <w:rFonts w:asciiTheme="minorHAnsi" w:hAnsiTheme="minorHAnsi"/>
          <w:color w:val="000000"/>
          <w:sz w:val="22"/>
          <w:szCs w:val="22"/>
        </w:rPr>
        <w:t xml:space="preserve"> p</w:t>
      </w:r>
      <w:r w:rsidR="007A649B" w:rsidRPr="0034632B">
        <w:rPr>
          <w:rFonts w:asciiTheme="minorHAnsi" w:hAnsiTheme="minorHAnsi"/>
          <w:color w:val="000000"/>
          <w:sz w:val="22"/>
          <w:szCs w:val="22"/>
        </w:rPr>
        <w:t xml:space="preserve">ublic </w:t>
      </w:r>
      <w:r w:rsidR="00FB0261" w:rsidRPr="0034632B">
        <w:rPr>
          <w:rFonts w:asciiTheme="minorHAnsi" w:hAnsiTheme="minorHAnsi"/>
          <w:color w:val="000000"/>
          <w:sz w:val="22"/>
          <w:szCs w:val="22"/>
        </w:rPr>
        <w:t>h</w:t>
      </w:r>
      <w:r w:rsidR="007A649B" w:rsidRPr="0034632B">
        <w:rPr>
          <w:rFonts w:asciiTheme="minorHAnsi" w:hAnsiTheme="minorHAnsi"/>
          <w:color w:val="000000"/>
          <w:sz w:val="22"/>
          <w:szCs w:val="22"/>
        </w:rPr>
        <w:t xml:space="preserve">ealth </w:t>
      </w:r>
      <w:r w:rsidR="007A6F38" w:rsidRPr="0034632B">
        <w:rPr>
          <w:rFonts w:asciiTheme="minorHAnsi" w:hAnsiTheme="minorHAnsi"/>
          <w:color w:val="000000"/>
          <w:sz w:val="22"/>
          <w:szCs w:val="22"/>
        </w:rPr>
        <w:t>d</w:t>
      </w:r>
      <w:r w:rsidR="007A649B" w:rsidRPr="0034632B">
        <w:rPr>
          <w:rFonts w:asciiTheme="minorHAnsi" w:hAnsiTheme="minorHAnsi"/>
          <w:color w:val="000000"/>
          <w:sz w:val="22"/>
          <w:szCs w:val="22"/>
        </w:rPr>
        <w:t xml:space="preserve">epartments that use non-automated methods to send case notifications to CDC </w:t>
      </w:r>
      <w:r w:rsidR="009016DD" w:rsidRPr="0034632B">
        <w:rPr>
          <w:rFonts w:asciiTheme="minorHAnsi" w:hAnsiTheme="minorHAnsi"/>
          <w:color w:val="000000"/>
          <w:sz w:val="22"/>
          <w:szCs w:val="22"/>
        </w:rPr>
        <w:t xml:space="preserve">also </w:t>
      </w:r>
      <w:r w:rsidR="007A649B" w:rsidRPr="0034632B">
        <w:rPr>
          <w:rFonts w:asciiTheme="minorHAnsi" w:hAnsiTheme="minorHAnsi"/>
          <w:color w:val="000000"/>
          <w:sz w:val="22"/>
          <w:szCs w:val="22"/>
        </w:rPr>
        <w:t xml:space="preserve">send them at least </w:t>
      </w:r>
      <w:r w:rsidR="009016DD" w:rsidRPr="0034632B">
        <w:rPr>
          <w:rFonts w:asciiTheme="minorHAnsi" w:hAnsiTheme="minorHAnsi"/>
          <w:color w:val="000000"/>
          <w:sz w:val="22"/>
          <w:szCs w:val="22"/>
        </w:rPr>
        <w:t>weekly and some</w:t>
      </w:r>
      <w:r w:rsidR="007A649B" w:rsidRPr="0034632B">
        <w:rPr>
          <w:rFonts w:asciiTheme="minorHAnsi" w:hAnsiTheme="minorHAnsi"/>
          <w:color w:val="000000"/>
          <w:sz w:val="22"/>
          <w:szCs w:val="22"/>
        </w:rPr>
        <w:t xml:space="preserve"> </w:t>
      </w:r>
      <w:r w:rsidR="00024F62" w:rsidRPr="0034632B">
        <w:rPr>
          <w:rFonts w:asciiTheme="minorHAnsi" w:hAnsiTheme="minorHAnsi"/>
          <w:color w:val="000000"/>
          <w:sz w:val="22"/>
          <w:szCs w:val="22"/>
        </w:rPr>
        <w:t>(territories and freely associated st</w:t>
      </w:r>
      <w:r w:rsidR="009016DD" w:rsidRPr="0034632B">
        <w:rPr>
          <w:rFonts w:asciiTheme="minorHAnsi" w:hAnsiTheme="minorHAnsi"/>
          <w:color w:val="000000"/>
          <w:sz w:val="22"/>
          <w:szCs w:val="22"/>
        </w:rPr>
        <w:t>at</w:t>
      </w:r>
      <w:r w:rsidR="00024F62" w:rsidRPr="0034632B">
        <w:rPr>
          <w:rFonts w:asciiTheme="minorHAnsi" w:hAnsiTheme="minorHAnsi"/>
          <w:color w:val="000000"/>
          <w:sz w:val="22"/>
          <w:szCs w:val="22"/>
        </w:rPr>
        <w:t xml:space="preserve">es) </w:t>
      </w:r>
      <w:r w:rsidR="009016DD" w:rsidRPr="0034632B">
        <w:rPr>
          <w:rFonts w:asciiTheme="minorHAnsi" w:hAnsiTheme="minorHAnsi"/>
          <w:color w:val="000000"/>
          <w:sz w:val="22"/>
          <w:szCs w:val="22"/>
        </w:rPr>
        <w:t>send them at least quarterly.</w:t>
      </w:r>
      <w:r w:rsidR="009016DD">
        <w:rPr>
          <w:rFonts w:asciiTheme="minorHAnsi" w:hAnsiTheme="minorHAnsi"/>
          <w:color w:val="000000"/>
          <w:sz w:val="22"/>
          <w:szCs w:val="22"/>
        </w:rPr>
        <w:t xml:space="preserve"> </w:t>
      </w:r>
      <w:r w:rsidR="009135CB" w:rsidRPr="00FF55BF">
        <w:rPr>
          <w:rFonts w:asciiTheme="minorHAnsi" w:hAnsiTheme="minorHAnsi"/>
          <w:color w:val="000000"/>
          <w:sz w:val="22"/>
          <w:szCs w:val="22"/>
        </w:rPr>
        <w:t>The timeliness of these data is one of the most critical factors in the</w:t>
      </w:r>
      <w:r w:rsidR="00775CC8" w:rsidRPr="00FF55BF">
        <w:rPr>
          <w:rFonts w:asciiTheme="minorHAnsi" w:hAnsiTheme="minorHAnsi"/>
          <w:color w:val="000000"/>
          <w:sz w:val="22"/>
          <w:szCs w:val="22"/>
        </w:rPr>
        <w:t xml:space="preserve"> </w:t>
      </w:r>
      <w:r w:rsidR="00F44173" w:rsidRPr="00FF55BF">
        <w:rPr>
          <w:rFonts w:asciiTheme="minorHAnsi" w:hAnsiTheme="minorHAnsi"/>
          <w:color w:val="000000"/>
          <w:sz w:val="22"/>
          <w:szCs w:val="22"/>
        </w:rPr>
        <w:t>notification</w:t>
      </w:r>
      <w:r w:rsidR="009135CB" w:rsidRPr="00FF55BF">
        <w:rPr>
          <w:rFonts w:asciiTheme="minorHAnsi" w:hAnsiTheme="minorHAnsi"/>
          <w:color w:val="000000"/>
          <w:sz w:val="22"/>
          <w:szCs w:val="22"/>
        </w:rPr>
        <w:t xml:space="preserve"> process.</w:t>
      </w:r>
      <w:r w:rsidR="00FC03D1" w:rsidRPr="00FF55BF">
        <w:rPr>
          <w:rFonts w:asciiTheme="minorHAnsi" w:hAnsiTheme="minorHAnsi"/>
          <w:color w:val="000000"/>
          <w:sz w:val="22"/>
          <w:szCs w:val="22"/>
        </w:rPr>
        <w:t xml:space="preserve"> </w:t>
      </w:r>
      <w:r w:rsidR="00621B17" w:rsidRPr="00FF55BF">
        <w:rPr>
          <w:rFonts w:asciiTheme="minorHAnsi" w:hAnsiTheme="minorHAnsi"/>
          <w:color w:val="000000"/>
          <w:sz w:val="22"/>
          <w:szCs w:val="22"/>
        </w:rPr>
        <w:t>Rapid d</w:t>
      </w:r>
      <w:r w:rsidR="009E394D" w:rsidRPr="00FF55BF">
        <w:rPr>
          <w:rFonts w:asciiTheme="minorHAnsi" w:hAnsiTheme="minorHAnsi"/>
          <w:color w:val="000000"/>
          <w:sz w:val="22"/>
          <w:szCs w:val="22"/>
        </w:rPr>
        <w:t>isease</w:t>
      </w:r>
      <w:r w:rsidR="00C95414" w:rsidRPr="00FF55BF">
        <w:rPr>
          <w:rFonts w:asciiTheme="minorHAnsi" w:hAnsiTheme="minorHAnsi"/>
          <w:color w:val="000000"/>
          <w:sz w:val="22"/>
          <w:szCs w:val="22"/>
        </w:rPr>
        <w:t xml:space="preserve"> notification</w:t>
      </w:r>
      <w:r w:rsidR="009E394D" w:rsidRPr="00FF55BF">
        <w:rPr>
          <w:rFonts w:asciiTheme="minorHAnsi" w:hAnsiTheme="minorHAnsi"/>
          <w:color w:val="000000"/>
          <w:sz w:val="22"/>
          <w:szCs w:val="22"/>
        </w:rPr>
        <w:t xml:space="preserve"> is a</w:t>
      </w:r>
      <w:r w:rsidR="00621B17" w:rsidRPr="00FF55BF">
        <w:rPr>
          <w:rFonts w:asciiTheme="minorHAnsi" w:hAnsiTheme="minorHAnsi"/>
          <w:color w:val="000000"/>
          <w:sz w:val="22"/>
          <w:szCs w:val="22"/>
        </w:rPr>
        <w:t>n indispensable</w:t>
      </w:r>
      <w:r w:rsidR="009E394D" w:rsidRPr="00FF55BF">
        <w:rPr>
          <w:rFonts w:asciiTheme="minorHAnsi" w:hAnsiTheme="minorHAnsi"/>
          <w:color w:val="000000"/>
          <w:sz w:val="22"/>
          <w:szCs w:val="22"/>
        </w:rPr>
        <w:t xml:space="preserve"> tool for public health officials</w:t>
      </w:r>
      <w:r w:rsidR="00E21958" w:rsidRPr="00FF55BF">
        <w:rPr>
          <w:rFonts w:asciiTheme="minorHAnsi" w:hAnsiTheme="minorHAnsi"/>
          <w:color w:val="000000"/>
          <w:sz w:val="22"/>
          <w:szCs w:val="22"/>
        </w:rPr>
        <w:t xml:space="preserve"> at </w:t>
      </w:r>
      <w:r w:rsidR="001F78A6" w:rsidRPr="00FF55BF">
        <w:rPr>
          <w:rFonts w:asciiTheme="minorHAnsi" w:hAnsiTheme="minorHAnsi"/>
          <w:color w:val="000000"/>
          <w:sz w:val="22"/>
          <w:szCs w:val="22"/>
        </w:rPr>
        <w:t>local, state, territorial and national</w:t>
      </w:r>
      <w:r w:rsidR="00E21958" w:rsidRPr="00FF55BF">
        <w:rPr>
          <w:rFonts w:asciiTheme="minorHAnsi" w:hAnsiTheme="minorHAnsi"/>
          <w:color w:val="000000"/>
          <w:sz w:val="22"/>
          <w:szCs w:val="22"/>
        </w:rPr>
        <w:t xml:space="preserve"> levels</w:t>
      </w:r>
      <w:r w:rsidR="009E394D" w:rsidRPr="00FF55BF">
        <w:rPr>
          <w:rFonts w:asciiTheme="minorHAnsi" w:hAnsiTheme="minorHAnsi"/>
          <w:color w:val="000000"/>
          <w:sz w:val="22"/>
          <w:szCs w:val="22"/>
        </w:rPr>
        <w:t xml:space="preserve">, who use the data </w:t>
      </w:r>
      <w:r w:rsidR="00E21958" w:rsidRPr="00FF55BF">
        <w:rPr>
          <w:rFonts w:asciiTheme="minorHAnsi" w:hAnsiTheme="minorHAnsi"/>
          <w:color w:val="000000"/>
          <w:sz w:val="22"/>
          <w:szCs w:val="22"/>
        </w:rPr>
        <w:t>to</w:t>
      </w:r>
      <w:r w:rsidR="009E394D" w:rsidRPr="00FF55BF">
        <w:rPr>
          <w:rFonts w:asciiTheme="minorHAnsi" w:hAnsiTheme="minorHAnsi"/>
          <w:color w:val="000000"/>
          <w:sz w:val="22"/>
          <w:szCs w:val="22"/>
        </w:rPr>
        <w:t xml:space="preserve"> </w:t>
      </w:r>
      <w:r w:rsidR="0056512A" w:rsidRPr="00FF55BF">
        <w:rPr>
          <w:rFonts w:asciiTheme="minorHAnsi" w:hAnsiTheme="minorHAnsi"/>
          <w:color w:val="000000"/>
          <w:sz w:val="22"/>
          <w:szCs w:val="22"/>
        </w:rPr>
        <w:t xml:space="preserve">monitor </w:t>
      </w:r>
      <w:r w:rsidR="00621B17" w:rsidRPr="00FF55BF">
        <w:rPr>
          <w:rFonts w:asciiTheme="minorHAnsi" w:hAnsiTheme="minorHAnsi"/>
          <w:color w:val="000000"/>
          <w:sz w:val="22"/>
          <w:szCs w:val="22"/>
        </w:rPr>
        <w:t xml:space="preserve">the occurrence and </w:t>
      </w:r>
      <w:r w:rsidR="0056512A" w:rsidRPr="00FF55BF">
        <w:rPr>
          <w:rFonts w:asciiTheme="minorHAnsi" w:hAnsiTheme="minorHAnsi"/>
          <w:color w:val="000000"/>
          <w:sz w:val="22"/>
          <w:szCs w:val="22"/>
        </w:rPr>
        <w:t xml:space="preserve">prevent the </w:t>
      </w:r>
      <w:r w:rsidR="00621B17" w:rsidRPr="00FF55BF">
        <w:rPr>
          <w:rFonts w:asciiTheme="minorHAnsi" w:hAnsiTheme="minorHAnsi"/>
          <w:color w:val="000000"/>
          <w:sz w:val="22"/>
          <w:szCs w:val="22"/>
        </w:rPr>
        <w:t xml:space="preserve">spread of </w:t>
      </w:r>
      <w:r w:rsidR="0056512A" w:rsidRPr="00FF55BF">
        <w:rPr>
          <w:rFonts w:asciiTheme="minorHAnsi" w:hAnsiTheme="minorHAnsi"/>
          <w:color w:val="000000"/>
          <w:sz w:val="22"/>
          <w:szCs w:val="22"/>
        </w:rPr>
        <w:t>the diseases</w:t>
      </w:r>
      <w:r w:rsidR="00621B17" w:rsidRPr="00FF55BF">
        <w:rPr>
          <w:rFonts w:asciiTheme="minorHAnsi" w:hAnsiTheme="minorHAnsi"/>
          <w:color w:val="000000"/>
          <w:sz w:val="22"/>
          <w:szCs w:val="22"/>
        </w:rPr>
        <w:t xml:space="preserve">. </w:t>
      </w:r>
      <w:r w:rsidR="006B6060" w:rsidRPr="00FF55BF">
        <w:rPr>
          <w:rFonts w:asciiTheme="minorHAnsi" w:hAnsiTheme="minorHAnsi"/>
          <w:color w:val="000000"/>
          <w:sz w:val="22"/>
          <w:szCs w:val="22"/>
        </w:rPr>
        <w:t>Less frequent</w:t>
      </w:r>
      <w:r w:rsidR="00FB4484" w:rsidRPr="00FF55BF">
        <w:rPr>
          <w:rFonts w:asciiTheme="minorHAnsi" w:hAnsiTheme="minorHAnsi"/>
          <w:color w:val="000000"/>
          <w:sz w:val="22"/>
          <w:szCs w:val="22"/>
        </w:rPr>
        <w:t xml:space="preserve"> </w:t>
      </w:r>
      <w:r w:rsidR="00C95414" w:rsidRPr="00FF55BF">
        <w:rPr>
          <w:rFonts w:asciiTheme="minorHAnsi" w:hAnsiTheme="minorHAnsi"/>
          <w:color w:val="000000"/>
          <w:sz w:val="22"/>
          <w:szCs w:val="22"/>
        </w:rPr>
        <w:t>notification</w:t>
      </w:r>
      <w:r w:rsidR="009135CB" w:rsidRPr="00FF55BF">
        <w:rPr>
          <w:rFonts w:asciiTheme="minorHAnsi" w:hAnsiTheme="minorHAnsi"/>
          <w:color w:val="000000"/>
          <w:sz w:val="22"/>
          <w:szCs w:val="22"/>
        </w:rPr>
        <w:t xml:space="preserve"> does not allow timely assessment, particularly </w:t>
      </w:r>
      <w:r w:rsidR="00621B17" w:rsidRPr="00FF55BF">
        <w:rPr>
          <w:rFonts w:asciiTheme="minorHAnsi" w:hAnsiTheme="minorHAnsi"/>
          <w:color w:val="000000"/>
          <w:sz w:val="22"/>
          <w:szCs w:val="22"/>
        </w:rPr>
        <w:t xml:space="preserve">for </w:t>
      </w:r>
      <w:r w:rsidR="009135CB" w:rsidRPr="00FF55BF">
        <w:rPr>
          <w:rFonts w:asciiTheme="minorHAnsi" w:hAnsiTheme="minorHAnsi"/>
          <w:color w:val="000000"/>
          <w:sz w:val="22"/>
          <w:szCs w:val="22"/>
        </w:rPr>
        <w:t>emerging disease</w:t>
      </w:r>
      <w:r w:rsidR="0056512A" w:rsidRPr="00FF55BF">
        <w:rPr>
          <w:rFonts w:asciiTheme="minorHAnsi" w:hAnsiTheme="minorHAnsi"/>
          <w:color w:val="000000"/>
          <w:sz w:val="22"/>
          <w:szCs w:val="22"/>
        </w:rPr>
        <w:t xml:space="preserve"> </w:t>
      </w:r>
      <w:r w:rsidR="009135CB" w:rsidRPr="00FF55BF">
        <w:rPr>
          <w:rFonts w:asciiTheme="minorHAnsi" w:hAnsiTheme="minorHAnsi"/>
          <w:color w:val="000000"/>
          <w:sz w:val="22"/>
          <w:szCs w:val="22"/>
        </w:rPr>
        <w:t>threats. Changes in disease distribution</w:t>
      </w:r>
      <w:r w:rsidR="00621B17" w:rsidRPr="00FF55BF">
        <w:rPr>
          <w:rFonts w:asciiTheme="minorHAnsi" w:hAnsiTheme="minorHAnsi"/>
          <w:color w:val="000000"/>
          <w:sz w:val="22"/>
          <w:szCs w:val="22"/>
        </w:rPr>
        <w:t xml:space="preserve"> are</w:t>
      </w:r>
      <w:r w:rsidR="009135CB" w:rsidRPr="00FF55BF">
        <w:rPr>
          <w:rFonts w:asciiTheme="minorHAnsi" w:hAnsiTheme="minorHAnsi"/>
          <w:color w:val="000000"/>
          <w:sz w:val="22"/>
          <w:szCs w:val="22"/>
        </w:rPr>
        <w:t xml:space="preserve"> continuously monitored </w:t>
      </w:r>
      <w:r w:rsidR="00E21958" w:rsidRPr="00FF55BF">
        <w:rPr>
          <w:rFonts w:asciiTheme="minorHAnsi" w:hAnsiTheme="minorHAnsi"/>
          <w:color w:val="000000"/>
          <w:sz w:val="22"/>
          <w:szCs w:val="22"/>
        </w:rPr>
        <w:t xml:space="preserve">so that </w:t>
      </w:r>
      <w:r w:rsidR="009135CB" w:rsidRPr="00FF55BF">
        <w:rPr>
          <w:rFonts w:asciiTheme="minorHAnsi" w:hAnsiTheme="minorHAnsi"/>
          <w:color w:val="000000"/>
          <w:sz w:val="22"/>
          <w:szCs w:val="22"/>
        </w:rPr>
        <w:t>appropriate investigation</w:t>
      </w:r>
      <w:r w:rsidR="00A95154"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or intervention</w:t>
      </w:r>
      <w:r w:rsidR="00A95154"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may be rapidly undertaken. </w:t>
      </w:r>
      <w:r w:rsidR="00396D58" w:rsidRPr="00FF55BF">
        <w:rPr>
          <w:rFonts w:asciiTheme="minorHAnsi" w:hAnsiTheme="minorHAnsi"/>
          <w:color w:val="000000"/>
          <w:sz w:val="22"/>
          <w:szCs w:val="22"/>
        </w:rPr>
        <w:t>In addition, r</w:t>
      </w:r>
      <w:r w:rsidR="006B6060" w:rsidRPr="00FF55BF">
        <w:rPr>
          <w:rFonts w:asciiTheme="minorHAnsi" w:hAnsiTheme="minorHAnsi"/>
          <w:color w:val="000000"/>
          <w:sz w:val="22"/>
          <w:szCs w:val="22"/>
        </w:rPr>
        <w:t xml:space="preserve">apid </w:t>
      </w:r>
      <w:r w:rsidR="00C95414" w:rsidRPr="00FF55BF">
        <w:rPr>
          <w:rFonts w:asciiTheme="minorHAnsi" w:hAnsiTheme="minorHAnsi"/>
          <w:color w:val="000000"/>
          <w:sz w:val="22"/>
          <w:szCs w:val="22"/>
        </w:rPr>
        <w:t>notification</w:t>
      </w:r>
      <w:r w:rsidR="006B6060" w:rsidRPr="00FF55BF">
        <w:rPr>
          <w:rFonts w:asciiTheme="minorHAnsi" w:hAnsiTheme="minorHAnsi"/>
          <w:color w:val="000000"/>
          <w:sz w:val="22"/>
          <w:szCs w:val="22"/>
        </w:rPr>
        <w:t xml:space="preserve"> is also necessary to allow the United States to </w:t>
      </w:r>
      <w:r w:rsidR="00244EDE" w:rsidRPr="00FF55BF">
        <w:rPr>
          <w:rFonts w:asciiTheme="minorHAnsi" w:hAnsiTheme="minorHAnsi"/>
          <w:color w:val="000000"/>
          <w:sz w:val="22"/>
          <w:szCs w:val="22"/>
        </w:rPr>
        <w:t xml:space="preserve">meet its </w:t>
      </w:r>
      <w:r w:rsidR="00582C46" w:rsidRPr="00FF55BF">
        <w:rPr>
          <w:rFonts w:asciiTheme="minorHAnsi" w:hAnsiTheme="minorHAnsi"/>
          <w:color w:val="000000"/>
          <w:sz w:val="22"/>
          <w:szCs w:val="22"/>
        </w:rPr>
        <w:t xml:space="preserve">obligations under the revised 2005 International Health Regulations </w:t>
      </w:r>
      <w:r w:rsidR="006B6060" w:rsidRPr="00FF55BF">
        <w:rPr>
          <w:rFonts w:asciiTheme="minorHAnsi" w:hAnsiTheme="minorHAnsi"/>
          <w:color w:val="000000"/>
          <w:sz w:val="22"/>
          <w:szCs w:val="22"/>
        </w:rPr>
        <w:t xml:space="preserve">to report important </w:t>
      </w:r>
      <w:r w:rsidR="0004678C" w:rsidRPr="00FF55BF">
        <w:rPr>
          <w:rFonts w:asciiTheme="minorHAnsi" w:hAnsiTheme="minorHAnsi"/>
          <w:color w:val="000000"/>
          <w:sz w:val="22"/>
          <w:szCs w:val="22"/>
        </w:rPr>
        <w:t xml:space="preserve">events that meet the criteria to be considered a public health emergency of international concern </w:t>
      </w:r>
      <w:r w:rsidR="006B6060" w:rsidRPr="00FF55BF">
        <w:rPr>
          <w:rFonts w:asciiTheme="minorHAnsi" w:hAnsiTheme="minorHAnsi"/>
          <w:color w:val="000000"/>
          <w:sz w:val="22"/>
          <w:szCs w:val="22"/>
        </w:rPr>
        <w:t>to the World Health Organization.</w:t>
      </w:r>
    </w:p>
    <w:p w:rsidR="006B6060" w:rsidRPr="00FF55BF" w:rsidRDefault="006B6060" w:rsidP="00925656">
      <w:pPr>
        <w:spacing w:line="360" w:lineRule="auto"/>
        <w:rPr>
          <w:rFonts w:asciiTheme="minorHAnsi" w:hAnsiTheme="minorHAnsi"/>
          <w:color w:val="000000"/>
          <w:sz w:val="22"/>
          <w:szCs w:val="22"/>
        </w:rPr>
      </w:pPr>
    </w:p>
    <w:p w:rsidR="009135CB" w:rsidRPr="00FF55BF" w:rsidRDefault="005204E8"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We are not aware of any</w:t>
      </w:r>
      <w:r w:rsidR="009135CB" w:rsidRPr="00FF55BF">
        <w:rPr>
          <w:rFonts w:asciiTheme="minorHAnsi" w:hAnsiTheme="minorHAnsi"/>
          <w:color w:val="000000"/>
          <w:sz w:val="22"/>
          <w:szCs w:val="22"/>
        </w:rPr>
        <w:t xml:space="preserve"> legal obstacles to reducing the burden.</w:t>
      </w: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A.7. </w:t>
      </w:r>
      <w:r w:rsidR="00EE7897" w:rsidRPr="00FF55BF">
        <w:rPr>
          <w:rFonts w:asciiTheme="minorHAnsi" w:hAnsiTheme="minorHAnsi"/>
          <w:b/>
          <w:sz w:val="22"/>
          <w:szCs w:val="22"/>
          <w:u w:val="single"/>
        </w:rPr>
        <w:t>Special Circumstances Relating to the Guidelines of 5 CFR 1320.5</w:t>
      </w:r>
    </w:p>
    <w:p w:rsidR="00904DF8" w:rsidRDefault="00FA074D" w:rsidP="00925656">
      <w:pPr>
        <w:spacing w:line="360" w:lineRule="auto"/>
        <w:rPr>
          <w:rFonts w:asciiTheme="minorHAnsi" w:hAnsiTheme="minorHAnsi"/>
          <w:b/>
          <w:color w:val="000000"/>
          <w:sz w:val="22"/>
          <w:szCs w:val="22"/>
        </w:rPr>
      </w:pPr>
      <w:r>
        <w:rPr>
          <w:rFonts w:asciiTheme="minorHAnsi" w:hAnsiTheme="minorHAnsi"/>
          <w:color w:val="000000"/>
          <w:sz w:val="22"/>
          <w:szCs w:val="22"/>
        </w:rPr>
        <w:t xml:space="preserve">Collection </w:t>
      </w:r>
      <w:r w:rsidR="009016DD">
        <w:rPr>
          <w:rFonts w:asciiTheme="minorHAnsi" w:hAnsiTheme="minorHAnsi"/>
          <w:color w:val="000000"/>
          <w:sz w:val="22"/>
          <w:szCs w:val="22"/>
        </w:rPr>
        <w:t xml:space="preserve">of case notification data is conducted in a manner consistent </w:t>
      </w:r>
      <w:r>
        <w:rPr>
          <w:rFonts w:asciiTheme="minorHAnsi" w:hAnsiTheme="minorHAnsi"/>
          <w:color w:val="000000"/>
          <w:sz w:val="22"/>
          <w:szCs w:val="22"/>
        </w:rPr>
        <w:t xml:space="preserve">with the guidelines in 5 CFR 1320.5. CDC requests that </w:t>
      </w:r>
      <w:r w:rsidR="007126B0">
        <w:rPr>
          <w:rFonts w:asciiTheme="minorHAnsi" w:hAnsiTheme="minorHAnsi"/>
          <w:color w:val="000000"/>
          <w:sz w:val="22"/>
          <w:szCs w:val="22"/>
        </w:rPr>
        <w:t>public health departments send case notification messages at least weekly if possible as jus</w:t>
      </w:r>
      <w:r w:rsidR="00EA76B7">
        <w:rPr>
          <w:rFonts w:asciiTheme="minorHAnsi" w:hAnsiTheme="minorHAnsi"/>
          <w:color w:val="000000"/>
          <w:sz w:val="22"/>
          <w:szCs w:val="22"/>
        </w:rPr>
        <w:t>ti</w:t>
      </w:r>
      <w:r w:rsidR="007126B0">
        <w:rPr>
          <w:rFonts w:asciiTheme="minorHAnsi" w:hAnsiTheme="minorHAnsi"/>
          <w:color w:val="000000"/>
          <w:sz w:val="22"/>
          <w:szCs w:val="22"/>
        </w:rPr>
        <w:t>fied under section A6.</w:t>
      </w:r>
      <w:r w:rsidR="007126B0" w:rsidRPr="00FF55BF" w:rsidDel="00FA074D">
        <w:rPr>
          <w:rFonts w:asciiTheme="minorHAnsi" w:hAnsiTheme="minorHAnsi"/>
          <w:color w:val="000000"/>
          <w:sz w:val="22"/>
          <w:szCs w:val="22"/>
        </w:rPr>
        <w:t xml:space="preserve"> </w:t>
      </w:r>
    </w:p>
    <w:p w:rsidR="001073C4" w:rsidRDefault="001073C4" w:rsidP="00925656">
      <w:pPr>
        <w:spacing w:line="360" w:lineRule="auto"/>
        <w:rPr>
          <w:rFonts w:asciiTheme="minorHAnsi" w:hAnsiTheme="minorHAnsi"/>
          <w:b/>
          <w:color w:val="000000"/>
          <w:sz w:val="22"/>
          <w:szCs w:val="22"/>
          <w:highlight w:val="yellow"/>
        </w:rPr>
      </w:pPr>
    </w:p>
    <w:p w:rsidR="009135CB" w:rsidRPr="00233B64" w:rsidRDefault="009135CB" w:rsidP="00925656">
      <w:pPr>
        <w:spacing w:line="360" w:lineRule="auto"/>
        <w:rPr>
          <w:rFonts w:asciiTheme="minorHAnsi" w:hAnsiTheme="minorHAnsi"/>
          <w:color w:val="000000"/>
          <w:sz w:val="22"/>
          <w:szCs w:val="22"/>
          <w:highlight w:val="yellow"/>
        </w:rPr>
      </w:pPr>
      <w:r w:rsidRPr="00233B64">
        <w:rPr>
          <w:rFonts w:asciiTheme="minorHAnsi" w:hAnsiTheme="minorHAnsi"/>
          <w:b/>
          <w:color w:val="000000"/>
          <w:sz w:val="22"/>
          <w:szCs w:val="22"/>
          <w:highlight w:val="yellow"/>
        </w:rPr>
        <w:t xml:space="preserve">A.8. </w:t>
      </w:r>
      <w:r w:rsidR="00A20BCC" w:rsidRPr="00233B64">
        <w:rPr>
          <w:rFonts w:asciiTheme="minorHAnsi" w:hAnsiTheme="minorHAnsi"/>
          <w:b/>
          <w:sz w:val="22"/>
          <w:szCs w:val="22"/>
          <w:highlight w:val="yellow"/>
          <w:u w:val="single"/>
        </w:rPr>
        <w:t>Comments in Response to the Federal Register Notice and Efforts to Consult Outside the Agency</w:t>
      </w:r>
    </w:p>
    <w:p w:rsidR="009135CB" w:rsidRPr="00233B64" w:rsidRDefault="009135CB" w:rsidP="00925656">
      <w:pPr>
        <w:spacing w:line="360" w:lineRule="auto"/>
        <w:rPr>
          <w:rFonts w:asciiTheme="minorHAnsi" w:hAnsiTheme="minorHAnsi"/>
          <w:color w:val="000000"/>
          <w:sz w:val="22"/>
          <w:szCs w:val="22"/>
          <w:highlight w:val="yellow"/>
        </w:rPr>
      </w:pPr>
      <w:r w:rsidRPr="00233B64">
        <w:rPr>
          <w:rFonts w:asciiTheme="minorHAnsi" w:hAnsiTheme="minorHAnsi"/>
          <w:b/>
          <w:color w:val="000000"/>
          <w:sz w:val="22"/>
          <w:szCs w:val="22"/>
          <w:highlight w:val="yellow"/>
        </w:rPr>
        <w:t>A.8.A.</w:t>
      </w:r>
      <w:r w:rsidR="00CF196A" w:rsidRPr="00233B64">
        <w:rPr>
          <w:rFonts w:asciiTheme="minorHAnsi" w:hAnsiTheme="minorHAnsi"/>
          <w:b/>
          <w:color w:val="000000"/>
          <w:sz w:val="22"/>
          <w:szCs w:val="22"/>
          <w:highlight w:val="yellow"/>
        </w:rPr>
        <w:t xml:space="preserve"> </w:t>
      </w:r>
    </w:p>
    <w:p w:rsidR="00F70276" w:rsidRPr="00233B64" w:rsidRDefault="00150502" w:rsidP="00925656">
      <w:pPr>
        <w:spacing w:line="360" w:lineRule="auto"/>
        <w:contextualSpacing/>
        <w:rPr>
          <w:rFonts w:asciiTheme="minorHAnsi" w:eastAsia="Calibri" w:hAnsiTheme="minorHAnsi"/>
          <w:b/>
          <w:sz w:val="22"/>
          <w:szCs w:val="22"/>
          <w:highlight w:val="yellow"/>
        </w:rPr>
      </w:pPr>
      <w:r w:rsidRPr="00BC438C">
        <w:rPr>
          <w:rFonts w:asciiTheme="minorHAnsi" w:eastAsia="Calibri" w:hAnsiTheme="minorHAnsi"/>
          <w:sz w:val="22"/>
          <w:szCs w:val="22"/>
          <w:highlight w:val="yellow"/>
        </w:rPr>
        <w:t>A 60-day Federal Register Notice was published in the</w:t>
      </w:r>
      <w:r w:rsidRPr="00BC438C">
        <w:rPr>
          <w:rFonts w:asciiTheme="minorHAnsi" w:eastAsia="Calibri" w:hAnsiTheme="minorHAnsi"/>
          <w:i/>
          <w:sz w:val="22"/>
          <w:szCs w:val="22"/>
          <w:highlight w:val="yellow"/>
        </w:rPr>
        <w:t xml:space="preserve"> Federal Register</w:t>
      </w:r>
      <w:r w:rsidRPr="00BC438C">
        <w:rPr>
          <w:rFonts w:asciiTheme="minorHAnsi" w:eastAsia="Calibri" w:hAnsiTheme="minorHAnsi"/>
          <w:sz w:val="22"/>
          <w:szCs w:val="22"/>
          <w:highlight w:val="yellow"/>
        </w:rPr>
        <w:t xml:space="preserve"> on </w:t>
      </w:r>
      <w:r w:rsidR="00DF18D5" w:rsidRPr="00BC438C">
        <w:rPr>
          <w:rFonts w:asciiTheme="minorHAnsi" w:eastAsia="Calibri" w:hAnsiTheme="minorHAnsi"/>
          <w:sz w:val="22"/>
          <w:szCs w:val="22"/>
          <w:highlight w:val="yellow"/>
        </w:rPr>
        <w:t>June 13</w:t>
      </w:r>
      <w:r w:rsidR="001C27C7" w:rsidRPr="00BC438C">
        <w:rPr>
          <w:rFonts w:asciiTheme="minorHAnsi" w:eastAsia="Calibri" w:hAnsiTheme="minorHAnsi"/>
          <w:sz w:val="22"/>
          <w:szCs w:val="22"/>
          <w:highlight w:val="yellow"/>
        </w:rPr>
        <w:t>, 201</w:t>
      </w:r>
      <w:r w:rsidR="002917A8" w:rsidRPr="00BC438C">
        <w:rPr>
          <w:rFonts w:asciiTheme="minorHAnsi" w:eastAsia="Calibri" w:hAnsiTheme="minorHAnsi"/>
          <w:sz w:val="22"/>
          <w:szCs w:val="22"/>
          <w:highlight w:val="yellow"/>
        </w:rPr>
        <w:t>8</w:t>
      </w:r>
      <w:r w:rsidRPr="00BC438C">
        <w:rPr>
          <w:rFonts w:asciiTheme="minorHAnsi" w:eastAsia="Calibri" w:hAnsiTheme="minorHAnsi"/>
          <w:sz w:val="22"/>
          <w:szCs w:val="22"/>
          <w:highlight w:val="yellow"/>
        </w:rPr>
        <w:t xml:space="preserve">, </w:t>
      </w:r>
      <w:r w:rsidR="00DF1BBD" w:rsidRPr="00BC438C">
        <w:rPr>
          <w:rFonts w:asciiTheme="minorHAnsi" w:eastAsia="Calibri" w:hAnsiTheme="minorHAnsi"/>
          <w:sz w:val="22"/>
          <w:szCs w:val="22"/>
          <w:highlight w:val="yellow"/>
        </w:rPr>
        <w:t>V</w:t>
      </w:r>
      <w:r w:rsidR="009E72BD" w:rsidRPr="00BC438C">
        <w:rPr>
          <w:rFonts w:asciiTheme="minorHAnsi" w:eastAsia="Calibri" w:hAnsiTheme="minorHAnsi"/>
          <w:sz w:val="22"/>
          <w:szCs w:val="22"/>
          <w:highlight w:val="yellow"/>
        </w:rPr>
        <w:t>ol</w:t>
      </w:r>
      <w:r w:rsidR="001C27C7" w:rsidRPr="00BC438C">
        <w:rPr>
          <w:rFonts w:asciiTheme="minorHAnsi" w:eastAsia="Calibri" w:hAnsiTheme="minorHAnsi"/>
          <w:sz w:val="22"/>
          <w:szCs w:val="22"/>
          <w:highlight w:val="yellow"/>
        </w:rPr>
        <w:t>.</w:t>
      </w:r>
      <w:r w:rsidR="00DF1BBD" w:rsidRPr="00BC438C">
        <w:rPr>
          <w:rFonts w:asciiTheme="minorHAnsi" w:eastAsia="Calibri" w:hAnsiTheme="minorHAnsi"/>
          <w:sz w:val="22"/>
          <w:szCs w:val="22"/>
          <w:highlight w:val="yellow"/>
        </w:rPr>
        <w:t xml:space="preserve"> </w:t>
      </w:r>
      <w:r w:rsidR="00DF18D5" w:rsidRPr="00BC438C">
        <w:rPr>
          <w:rFonts w:asciiTheme="minorHAnsi" w:eastAsia="Calibri" w:hAnsiTheme="minorHAnsi"/>
          <w:sz w:val="22"/>
          <w:szCs w:val="22"/>
          <w:highlight w:val="yellow"/>
        </w:rPr>
        <w:t>83</w:t>
      </w:r>
      <w:r w:rsidR="006C550A" w:rsidRPr="00BC438C">
        <w:rPr>
          <w:rFonts w:asciiTheme="minorHAnsi" w:eastAsia="Calibri" w:hAnsiTheme="minorHAnsi"/>
          <w:sz w:val="22"/>
          <w:szCs w:val="22"/>
          <w:highlight w:val="yellow"/>
        </w:rPr>
        <w:t xml:space="preserve">, No. </w:t>
      </w:r>
      <w:r w:rsidR="00DF18D5" w:rsidRPr="00BC438C">
        <w:rPr>
          <w:rFonts w:asciiTheme="minorHAnsi" w:eastAsia="Calibri" w:hAnsiTheme="minorHAnsi"/>
          <w:sz w:val="22"/>
          <w:szCs w:val="22"/>
          <w:highlight w:val="yellow"/>
        </w:rPr>
        <w:t>114</w:t>
      </w:r>
      <w:r w:rsidR="00C72590" w:rsidRPr="00BC438C">
        <w:rPr>
          <w:rFonts w:asciiTheme="minorHAnsi" w:eastAsia="Calibri" w:hAnsiTheme="minorHAnsi"/>
          <w:sz w:val="22"/>
          <w:szCs w:val="22"/>
          <w:highlight w:val="yellow"/>
        </w:rPr>
        <w:t xml:space="preserve">, pp. </w:t>
      </w:r>
      <w:r w:rsidR="00DF18D5" w:rsidRPr="00BC438C">
        <w:rPr>
          <w:rFonts w:asciiTheme="minorHAnsi" w:eastAsia="Calibri" w:hAnsiTheme="minorHAnsi"/>
          <w:sz w:val="22"/>
          <w:szCs w:val="22"/>
          <w:highlight w:val="yellow"/>
        </w:rPr>
        <w:t>27601</w:t>
      </w:r>
      <w:r w:rsidR="00DF1BBD" w:rsidRPr="00BC438C">
        <w:rPr>
          <w:rFonts w:asciiTheme="minorHAnsi" w:eastAsia="Calibri" w:hAnsiTheme="minorHAnsi"/>
          <w:sz w:val="22"/>
          <w:szCs w:val="22"/>
          <w:highlight w:val="yellow"/>
        </w:rPr>
        <w:t>-</w:t>
      </w:r>
      <w:r w:rsidR="00DF18D5" w:rsidRPr="00BC438C">
        <w:rPr>
          <w:rFonts w:asciiTheme="minorHAnsi" w:eastAsia="Calibri" w:hAnsiTheme="minorHAnsi"/>
          <w:sz w:val="22"/>
          <w:szCs w:val="22"/>
          <w:highlight w:val="yellow"/>
        </w:rPr>
        <w:t>27602</w:t>
      </w:r>
      <w:r w:rsidR="00C72590" w:rsidRPr="00BC438C">
        <w:rPr>
          <w:rFonts w:asciiTheme="minorHAnsi" w:eastAsia="Calibri" w:hAnsiTheme="minorHAnsi"/>
          <w:sz w:val="22"/>
          <w:szCs w:val="22"/>
          <w:highlight w:val="yellow"/>
        </w:rPr>
        <w:t xml:space="preserve"> </w:t>
      </w:r>
      <w:r w:rsidR="000A3E29" w:rsidRPr="00BC438C">
        <w:rPr>
          <w:rFonts w:asciiTheme="minorHAnsi" w:hAnsiTheme="minorHAnsi"/>
          <w:b/>
          <w:sz w:val="22"/>
          <w:szCs w:val="22"/>
          <w:highlight w:val="yellow"/>
        </w:rPr>
        <w:t>[A</w:t>
      </w:r>
      <w:r w:rsidRPr="00BC438C">
        <w:rPr>
          <w:rFonts w:asciiTheme="minorHAnsi" w:hAnsiTheme="minorHAnsi"/>
          <w:b/>
          <w:sz w:val="22"/>
          <w:szCs w:val="22"/>
          <w:highlight w:val="yellow"/>
        </w:rPr>
        <w:t>ttachment</w:t>
      </w:r>
      <w:r w:rsidR="00767301" w:rsidRPr="00BC438C">
        <w:rPr>
          <w:rFonts w:asciiTheme="minorHAnsi" w:hAnsiTheme="minorHAnsi"/>
          <w:b/>
          <w:sz w:val="22"/>
          <w:szCs w:val="22"/>
          <w:highlight w:val="yellow"/>
        </w:rPr>
        <w:t xml:space="preserve"> </w:t>
      </w:r>
      <w:r w:rsidR="00742562" w:rsidRPr="00BC438C">
        <w:rPr>
          <w:rFonts w:asciiTheme="minorHAnsi" w:hAnsiTheme="minorHAnsi"/>
          <w:b/>
          <w:sz w:val="22"/>
          <w:szCs w:val="22"/>
          <w:highlight w:val="yellow"/>
        </w:rPr>
        <w:t>2</w:t>
      </w:r>
      <w:r w:rsidR="00177B55" w:rsidRPr="00BC438C">
        <w:rPr>
          <w:rFonts w:asciiTheme="minorHAnsi" w:hAnsiTheme="minorHAnsi"/>
          <w:b/>
          <w:sz w:val="22"/>
          <w:szCs w:val="22"/>
          <w:highlight w:val="yellow"/>
        </w:rPr>
        <w:t>a</w:t>
      </w:r>
      <w:r w:rsidR="00A23142" w:rsidRPr="00BC438C">
        <w:rPr>
          <w:rFonts w:asciiTheme="minorHAnsi" w:hAnsiTheme="minorHAnsi"/>
          <w:b/>
          <w:sz w:val="22"/>
          <w:szCs w:val="22"/>
          <w:highlight w:val="yellow"/>
        </w:rPr>
        <w:t>.</w:t>
      </w:r>
      <w:r w:rsidR="009C2426" w:rsidRPr="00BC438C">
        <w:rPr>
          <w:rFonts w:asciiTheme="minorHAnsi" w:hAnsiTheme="minorHAnsi"/>
          <w:b/>
          <w:sz w:val="22"/>
          <w:szCs w:val="22"/>
          <w:highlight w:val="yellow"/>
        </w:rPr>
        <w:t xml:space="preserve"> 60-Day FRN</w:t>
      </w:r>
      <w:r w:rsidR="00C72590" w:rsidRPr="00BC438C">
        <w:rPr>
          <w:rFonts w:asciiTheme="minorHAnsi" w:eastAsia="Calibri" w:hAnsiTheme="minorHAnsi"/>
          <w:b/>
          <w:sz w:val="22"/>
          <w:szCs w:val="22"/>
          <w:highlight w:val="yellow"/>
        </w:rPr>
        <w:t>]</w:t>
      </w:r>
      <w:r w:rsidR="00F70276" w:rsidRPr="00BC438C">
        <w:rPr>
          <w:rFonts w:asciiTheme="minorHAnsi" w:eastAsia="Calibri" w:hAnsiTheme="minorHAnsi"/>
          <w:b/>
          <w:sz w:val="22"/>
          <w:szCs w:val="22"/>
          <w:highlight w:val="yellow"/>
        </w:rPr>
        <w:t>.</w:t>
      </w:r>
      <w:r w:rsidR="009C2426" w:rsidRPr="00BC438C">
        <w:rPr>
          <w:rFonts w:asciiTheme="minorHAnsi" w:eastAsia="Calibri" w:hAnsiTheme="minorHAnsi"/>
          <w:b/>
          <w:sz w:val="22"/>
          <w:szCs w:val="22"/>
          <w:highlight w:val="yellow"/>
        </w:rPr>
        <w:t xml:space="preserve"> </w:t>
      </w:r>
      <w:r w:rsidR="00BC438C" w:rsidRPr="00BC438C">
        <w:rPr>
          <w:rFonts w:asciiTheme="minorHAnsi" w:eastAsia="Calibri" w:hAnsiTheme="minorHAnsi"/>
          <w:sz w:val="22"/>
          <w:szCs w:val="22"/>
          <w:highlight w:val="yellow"/>
        </w:rPr>
        <w:t>Two</w:t>
      </w:r>
      <w:r w:rsidR="00177B55" w:rsidRPr="00BC438C">
        <w:rPr>
          <w:rFonts w:asciiTheme="minorHAnsi" w:eastAsia="Calibri" w:hAnsiTheme="minorHAnsi"/>
          <w:sz w:val="22"/>
          <w:szCs w:val="22"/>
          <w:highlight w:val="yellow"/>
        </w:rPr>
        <w:t xml:space="preserve"> non-substantive comment</w:t>
      </w:r>
      <w:r w:rsidR="00BC438C" w:rsidRPr="00BC438C">
        <w:rPr>
          <w:rFonts w:asciiTheme="minorHAnsi" w:eastAsia="Calibri" w:hAnsiTheme="minorHAnsi"/>
          <w:sz w:val="22"/>
          <w:szCs w:val="22"/>
          <w:highlight w:val="yellow"/>
        </w:rPr>
        <w:t>s</w:t>
      </w:r>
      <w:r w:rsidR="00177B55" w:rsidRPr="00BC438C">
        <w:rPr>
          <w:rFonts w:asciiTheme="minorHAnsi" w:eastAsia="Calibri" w:hAnsiTheme="minorHAnsi"/>
          <w:sz w:val="22"/>
          <w:szCs w:val="22"/>
          <w:highlight w:val="yellow"/>
        </w:rPr>
        <w:t xml:space="preserve"> </w:t>
      </w:r>
      <w:r w:rsidR="00DF2FB6" w:rsidRPr="00BC438C">
        <w:rPr>
          <w:rFonts w:asciiTheme="minorHAnsi" w:eastAsia="Calibri" w:hAnsiTheme="minorHAnsi"/>
          <w:b/>
          <w:sz w:val="22"/>
          <w:szCs w:val="22"/>
          <w:highlight w:val="yellow"/>
        </w:rPr>
        <w:t>[</w:t>
      </w:r>
      <w:r w:rsidR="00177B55" w:rsidRPr="00BC438C">
        <w:rPr>
          <w:rFonts w:asciiTheme="minorHAnsi" w:eastAsia="Calibri" w:hAnsiTheme="minorHAnsi"/>
          <w:b/>
          <w:sz w:val="22"/>
          <w:szCs w:val="22"/>
          <w:highlight w:val="yellow"/>
        </w:rPr>
        <w:t>Att</w:t>
      </w:r>
      <w:r w:rsidR="00DF2FB6" w:rsidRPr="00BC438C">
        <w:rPr>
          <w:rFonts w:asciiTheme="minorHAnsi" w:eastAsia="Calibri" w:hAnsiTheme="minorHAnsi"/>
          <w:b/>
          <w:sz w:val="22"/>
          <w:szCs w:val="22"/>
          <w:highlight w:val="yellow"/>
        </w:rPr>
        <w:t>achment</w:t>
      </w:r>
      <w:r w:rsidR="00177B55" w:rsidRPr="00BC438C">
        <w:rPr>
          <w:rFonts w:asciiTheme="minorHAnsi" w:eastAsia="Calibri" w:hAnsiTheme="minorHAnsi"/>
          <w:b/>
          <w:sz w:val="22"/>
          <w:szCs w:val="22"/>
          <w:highlight w:val="yellow"/>
        </w:rPr>
        <w:t xml:space="preserve"> 2b</w:t>
      </w:r>
      <w:r w:rsidR="00A23142" w:rsidRPr="00BC438C">
        <w:rPr>
          <w:rFonts w:asciiTheme="minorHAnsi" w:eastAsia="Calibri" w:hAnsiTheme="minorHAnsi"/>
          <w:b/>
          <w:sz w:val="22"/>
          <w:szCs w:val="22"/>
          <w:highlight w:val="yellow"/>
        </w:rPr>
        <w:t>.</w:t>
      </w:r>
      <w:r w:rsidR="00DF2FB6" w:rsidRPr="00BC438C">
        <w:rPr>
          <w:rFonts w:asciiTheme="minorHAnsi" w:eastAsia="Calibri" w:hAnsiTheme="minorHAnsi"/>
          <w:b/>
          <w:sz w:val="22"/>
          <w:szCs w:val="22"/>
          <w:highlight w:val="yellow"/>
        </w:rPr>
        <w:t xml:space="preserve"> Public Comment</w:t>
      </w:r>
      <w:r w:rsidR="00BC438C" w:rsidRPr="00BC438C">
        <w:rPr>
          <w:rFonts w:asciiTheme="minorHAnsi" w:eastAsia="Calibri" w:hAnsiTheme="minorHAnsi"/>
          <w:b/>
          <w:sz w:val="22"/>
          <w:szCs w:val="22"/>
          <w:highlight w:val="yellow"/>
        </w:rPr>
        <w:t xml:space="preserve"> and Attachment 2c. Public Comment</w:t>
      </w:r>
      <w:r w:rsidR="00DF2FB6" w:rsidRPr="00BC438C">
        <w:rPr>
          <w:rFonts w:asciiTheme="minorHAnsi" w:eastAsia="Calibri" w:hAnsiTheme="minorHAnsi"/>
          <w:b/>
          <w:sz w:val="22"/>
          <w:szCs w:val="22"/>
          <w:highlight w:val="yellow"/>
        </w:rPr>
        <w:t>]</w:t>
      </w:r>
      <w:r w:rsidR="00177B55" w:rsidRPr="00BC438C">
        <w:rPr>
          <w:rFonts w:asciiTheme="minorHAnsi" w:eastAsia="Calibri" w:hAnsiTheme="minorHAnsi"/>
          <w:sz w:val="22"/>
          <w:szCs w:val="22"/>
          <w:highlight w:val="yellow"/>
        </w:rPr>
        <w:t xml:space="preserve"> w</w:t>
      </w:r>
      <w:r w:rsidR="00BC438C" w:rsidRPr="00BC438C">
        <w:rPr>
          <w:rFonts w:asciiTheme="minorHAnsi" w:eastAsia="Calibri" w:hAnsiTheme="minorHAnsi"/>
          <w:sz w:val="22"/>
          <w:szCs w:val="22"/>
          <w:highlight w:val="yellow"/>
        </w:rPr>
        <w:t>ere</w:t>
      </w:r>
      <w:r w:rsidR="00177B55" w:rsidRPr="00BC438C">
        <w:rPr>
          <w:rFonts w:asciiTheme="minorHAnsi" w:eastAsia="Calibri" w:hAnsiTheme="minorHAnsi"/>
          <w:sz w:val="22"/>
          <w:szCs w:val="22"/>
          <w:highlight w:val="yellow"/>
        </w:rPr>
        <w:t xml:space="preserve"> received and the standard CDC response was sent.</w:t>
      </w:r>
    </w:p>
    <w:p w:rsidR="002917A8" w:rsidRDefault="002917A8" w:rsidP="00925656">
      <w:pPr>
        <w:spacing w:line="360" w:lineRule="auto"/>
        <w:rPr>
          <w:rFonts w:asciiTheme="minorHAnsi" w:hAnsiTheme="minorHAnsi"/>
          <w:b/>
          <w:color w:val="000000"/>
          <w:sz w:val="22"/>
          <w:szCs w:val="22"/>
          <w:highlight w:val="yellow"/>
        </w:rPr>
      </w:pPr>
    </w:p>
    <w:p w:rsidR="00114E70" w:rsidRPr="00FF55BF" w:rsidRDefault="009135CB" w:rsidP="00925656">
      <w:pPr>
        <w:spacing w:line="360" w:lineRule="auto"/>
        <w:rPr>
          <w:rFonts w:asciiTheme="minorHAnsi" w:hAnsiTheme="minorHAnsi"/>
          <w:color w:val="000000"/>
          <w:sz w:val="22"/>
          <w:szCs w:val="22"/>
        </w:rPr>
      </w:pPr>
      <w:r w:rsidRPr="00BC438C">
        <w:rPr>
          <w:rFonts w:asciiTheme="minorHAnsi" w:hAnsiTheme="minorHAnsi"/>
          <w:b/>
          <w:color w:val="000000"/>
          <w:sz w:val="22"/>
          <w:szCs w:val="22"/>
        </w:rPr>
        <w:t>A.8.B.</w:t>
      </w:r>
      <w:r w:rsidR="000C7924" w:rsidRPr="00FF55BF">
        <w:rPr>
          <w:rFonts w:asciiTheme="minorHAnsi" w:hAnsiTheme="minorHAnsi"/>
          <w:b/>
          <w:color w:val="000000"/>
          <w:sz w:val="22"/>
          <w:szCs w:val="22"/>
        </w:rPr>
        <w:t xml:space="preserve"> </w:t>
      </w:r>
    </w:p>
    <w:p w:rsidR="00CF2B72" w:rsidRPr="00FF55BF" w:rsidRDefault="00762DD5" w:rsidP="00925656">
      <w:pPr>
        <w:spacing w:line="360" w:lineRule="auto"/>
        <w:rPr>
          <w:rFonts w:asciiTheme="minorHAnsi" w:eastAsia="Calibri" w:hAnsiTheme="minorHAnsi"/>
          <w:sz w:val="22"/>
          <w:szCs w:val="22"/>
        </w:rPr>
      </w:pPr>
      <w:r>
        <w:rPr>
          <w:rFonts w:asciiTheme="minorHAnsi" w:hAnsiTheme="minorHAnsi"/>
          <w:color w:val="000000"/>
          <w:sz w:val="22"/>
          <w:szCs w:val="22"/>
        </w:rPr>
        <w:t>T</w:t>
      </w:r>
      <w:r w:rsidR="00FB50D4" w:rsidRPr="00762DD5">
        <w:rPr>
          <w:rFonts w:asciiTheme="minorHAnsi" w:hAnsiTheme="minorHAnsi"/>
          <w:color w:val="000000"/>
          <w:sz w:val="22"/>
          <w:szCs w:val="22"/>
        </w:rPr>
        <w:t>hrough cooperative agreement</w:t>
      </w:r>
      <w:r w:rsidR="00A565E9" w:rsidRPr="00762DD5">
        <w:rPr>
          <w:rFonts w:asciiTheme="minorHAnsi" w:hAnsiTheme="minorHAnsi"/>
          <w:color w:val="000000"/>
          <w:sz w:val="22"/>
          <w:szCs w:val="22"/>
        </w:rPr>
        <w:t xml:space="preserve">s, two independent </w:t>
      </w:r>
      <w:r w:rsidR="00FB50D4" w:rsidRPr="00762DD5">
        <w:rPr>
          <w:rFonts w:asciiTheme="minorHAnsi" w:hAnsiTheme="minorHAnsi"/>
          <w:color w:val="000000"/>
          <w:sz w:val="22"/>
          <w:szCs w:val="22"/>
        </w:rPr>
        <w:t xml:space="preserve">external peer review panels conducted reviews of NNDSS. </w:t>
      </w:r>
      <w:r w:rsidR="00017080" w:rsidRPr="00762DD5">
        <w:rPr>
          <w:rFonts w:asciiTheme="minorHAnsi" w:hAnsiTheme="minorHAnsi"/>
          <w:color w:val="000000"/>
          <w:sz w:val="22"/>
          <w:szCs w:val="22"/>
        </w:rPr>
        <w:t>The</w:t>
      </w:r>
      <w:r w:rsidR="00FB50D4" w:rsidRPr="00762DD5">
        <w:rPr>
          <w:rFonts w:asciiTheme="minorHAnsi" w:hAnsiTheme="minorHAnsi"/>
          <w:color w:val="000000"/>
          <w:sz w:val="22"/>
          <w:szCs w:val="22"/>
        </w:rPr>
        <w:t xml:space="preserve"> </w:t>
      </w:r>
      <w:r w:rsidR="006F1883">
        <w:rPr>
          <w:rFonts w:asciiTheme="minorHAnsi" w:hAnsiTheme="minorHAnsi"/>
          <w:color w:val="000000"/>
          <w:sz w:val="22"/>
          <w:szCs w:val="22"/>
        </w:rPr>
        <w:t xml:space="preserve">report from the </w:t>
      </w:r>
      <w:r w:rsidR="00FB50D4" w:rsidRPr="00762DD5">
        <w:rPr>
          <w:rFonts w:asciiTheme="minorHAnsi" w:hAnsiTheme="minorHAnsi"/>
          <w:color w:val="000000"/>
          <w:sz w:val="22"/>
          <w:szCs w:val="22"/>
        </w:rPr>
        <w:t xml:space="preserve">first panel </w:t>
      </w:r>
      <w:r w:rsidR="00B35C17">
        <w:rPr>
          <w:rFonts w:asciiTheme="minorHAnsi" w:hAnsiTheme="minorHAnsi"/>
          <w:color w:val="000000"/>
          <w:sz w:val="22"/>
          <w:szCs w:val="22"/>
        </w:rPr>
        <w:t>was</w:t>
      </w:r>
      <w:r w:rsidR="006F1883">
        <w:rPr>
          <w:rFonts w:asciiTheme="minorHAnsi" w:hAnsiTheme="minorHAnsi"/>
          <w:color w:val="000000"/>
          <w:sz w:val="22"/>
          <w:szCs w:val="22"/>
        </w:rPr>
        <w:t xml:space="preserve"> issued in</w:t>
      </w:r>
      <w:r w:rsidR="00B35C17">
        <w:rPr>
          <w:rFonts w:asciiTheme="minorHAnsi" w:hAnsiTheme="minorHAnsi"/>
          <w:color w:val="000000"/>
          <w:sz w:val="22"/>
          <w:szCs w:val="22"/>
        </w:rPr>
        <w:t xml:space="preserve"> December 2011 and </w:t>
      </w:r>
      <w:r w:rsidR="00FB50D4" w:rsidRPr="00762DD5">
        <w:rPr>
          <w:rFonts w:asciiTheme="minorHAnsi" w:hAnsiTheme="minorHAnsi"/>
          <w:color w:val="000000"/>
          <w:sz w:val="22"/>
          <w:szCs w:val="22"/>
        </w:rPr>
        <w:t xml:space="preserve">focused on </w:t>
      </w:r>
      <w:r w:rsidR="006F1883">
        <w:rPr>
          <w:rFonts w:asciiTheme="minorHAnsi" w:hAnsiTheme="minorHAnsi"/>
          <w:color w:val="000000"/>
          <w:sz w:val="22"/>
          <w:szCs w:val="22"/>
        </w:rPr>
        <w:t xml:space="preserve">the results of </w:t>
      </w:r>
      <w:r w:rsidR="00DF1BBD">
        <w:rPr>
          <w:rFonts w:asciiTheme="minorHAnsi" w:hAnsiTheme="minorHAnsi"/>
          <w:color w:val="000000"/>
          <w:sz w:val="22"/>
          <w:szCs w:val="22"/>
        </w:rPr>
        <w:t xml:space="preserve">an assessment of </w:t>
      </w:r>
      <w:r w:rsidR="00FB50D4" w:rsidRPr="00762DD5">
        <w:rPr>
          <w:rFonts w:asciiTheme="minorHAnsi" w:hAnsiTheme="minorHAnsi"/>
          <w:color w:val="000000"/>
          <w:sz w:val="22"/>
          <w:szCs w:val="22"/>
        </w:rPr>
        <w:t xml:space="preserve">systems, frameworks and processes for infectious diseases within CDC. </w:t>
      </w:r>
      <w:r w:rsidR="00017080" w:rsidRPr="00762DD5">
        <w:rPr>
          <w:rFonts w:asciiTheme="minorHAnsi" w:hAnsiTheme="minorHAnsi"/>
          <w:color w:val="000000"/>
          <w:sz w:val="22"/>
          <w:szCs w:val="22"/>
        </w:rPr>
        <w:t xml:space="preserve">The </w:t>
      </w:r>
      <w:r w:rsidR="00B35C17">
        <w:rPr>
          <w:rFonts w:asciiTheme="minorHAnsi" w:hAnsiTheme="minorHAnsi"/>
          <w:color w:val="000000"/>
          <w:sz w:val="22"/>
          <w:szCs w:val="22"/>
        </w:rPr>
        <w:t>report from the second panel was issued in April 201</w:t>
      </w:r>
      <w:r w:rsidR="006F1883">
        <w:rPr>
          <w:rFonts w:asciiTheme="minorHAnsi" w:hAnsiTheme="minorHAnsi"/>
          <w:color w:val="000000"/>
          <w:sz w:val="22"/>
          <w:szCs w:val="22"/>
        </w:rPr>
        <w:t>3 and focused on the results of a review of</w:t>
      </w:r>
      <w:r w:rsidR="00FB50D4" w:rsidRPr="00762DD5">
        <w:rPr>
          <w:rFonts w:asciiTheme="minorHAnsi" w:hAnsiTheme="minorHAnsi"/>
          <w:color w:val="000000"/>
          <w:sz w:val="22"/>
          <w:szCs w:val="22"/>
        </w:rPr>
        <w:t xml:space="preserve"> state and local systems, frameworks and processes for reportable conditions and for submission of information on notifiable infectious diseases to CDC.</w:t>
      </w:r>
      <w:r w:rsidR="009717F1" w:rsidRPr="00762DD5">
        <w:rPr>
          <w:rFonts w:asciiTheme="minorHAnsi" w:hAnsiTheme="minorHAnsi"/>
          <w:color w:val="000000"/>
          <w:sz w:val="22"/>
          <w:szCs w:val="22"/>
        </w:rPr>
        <w:t xml:space="preserve"> </w:t>
      </w:r>
      <w:r w:rsidR="005B12B8" w:rsidRPr="00762DD5">
        <w:rPr>
          <w:rFonts w:asciiTheme="minorHAnsi" w:hAnsiTheme="minorHAnsi"/>
          <w:sz w:val="22"/>
          <w:szCs w:val="22"/>
        </w:rPr>
        <w:t>External c</w:t>
      </w:r>
      <w:r w:rsidR="00CF2B72" w:rsidRPr="00762DD5">
        <w:rPr>
          <w:rFonts w:asciiTheme="minorHAnsi" w:hAnsiTheme="minorHAnsi"/>
          <w:sz w:val="22"/>
          <w:szCs w:val="22"/>
        </w:rPr>
        <w:t xml:space="preserve">onsultants </w:t>
      </w:r>
      <w:r w:rsidR="00233487" w:rsidRPr="00762DD5">
        <w:rPr>
          <w:rFonts w:asciiTheme="minorHAnsi" w:hAnsiTheme="minorHAnsi"/>
          <w:sz w:val="22"/>
          <w:szCs w:val="22"/>
        </w:rPr>
        <w:t>to th</w:t>
      </w:r>
      <w:r w:rsidR="0020706B" w:rsidRPr="00762DD5">
        <w:rPr>
          <w:rFonts w:asciiTheme="minorHAnsi" w:hAnsiTheme="minorHAnsi"/>
          <w:sz w:val="22"/>
          <w:szCs w:val="22"/>
        </w:rPr>
        <w:t>e second</w:t>
      </w:r>
      <w:r w:rsidR="00233487" w:rsidRPr="00762DD5">
        <w:rPr>
          <w:rFonts w:asciiTheme="minorHAnsi" w:hAnsiTheme="minorHAnsi"/>
          <w:sz w:val="22"/>
          <w:szCs w:val="22"/>
        </w:rPr>
        <w:t xml:space="preserve"> indepen</w:t>
      </w:r>
      <w:r w:rsidR="00A32F98">
        <w:rPr>
          <w:rFonts w:asciiTheme="minorHAnsi" w:hAnsiTheme="minorHAnsi"/>
          <w:sz w:val="22"/>
          <w:szCs w:val="22"/>
        </w:rPr>
        <w:t xml:space="preserve">dent external peer review panel, conducted by CSTE, </w:t>
      </w:r>
      <w:r w:rsidR="00CF2B72" w:rsidRPr="00762DD5">
        <w:rPr>
          <w:rFonts w:asciiTheme="minorHAnsi" w:hAnsiTheme="minorHAnsi"/>
          <w:sz w:val="22"/>
          <w:szCs w:val="22"/>
        </w:rPr>
        <w:t>are listed in the attachment</w:t>
      </w:r>
      <w:r w:rsidR="00B12F58">
        <w:rPr>
          <w:rFonts w:asciiTheme="minorHAnsi" w:hAnsiTheme="minorHAnsi"/>
          <w:sz w:val="22"/>
          <w:szCs w:val="22"/>
        </w:rPr>
        <w:t xml:space="preserve"> </w:t>
      </w:r>
      <w:r w:rsidR="00CF2B72" w:rsidRPr="00FF55BF">
        <w:rPr>
          <w:rFonts w:asciiTheme="minorHAnsi" w:hAnsiTheme="minorHAnsi"/>
          <w:b/>
          <w:color w:val="000000"/>
          <w:sz w:val="22"/>
          <w:szCs w:val="22"/>
        </w:rPr>
        <w:t>[</w:t>
      </w:r>
      <w:r w:rsidR="00A16387" w:rsidRPr="00FF55BF">
        <w:rPr>
          <w:rFonts w:asciiTheme="minorHAnsi" w:hAnsiTheme="minorHAnsi"/>
          <w:b/>
          <w:color w:val="000000"/>
          <w:sz w:val="22"/>
          <w:szCs w:val="22"/>
        </w:rPr>
        <w:t xml:space="preserve">Attachment </w:t>
      </w:r>
      <w:r w:rsidR="00470AA1">
        <w:rPr>
          <w:rFonts w:asciiTheme="minorHAnsi" w:hAnsiTheme="minorHAnsi"/>
          <w:b/>
          <w:color w:val="000000"/>
          <w:sz w:val="22"/>
          <w:szCs w:val="22"/>
        </w:rPr>
        <w:t>15</w:t>
      </w:r>
      <w:r w:rsidR="00A16387" w:rsidRPr="00FF55BF">
        <w:rPr>
          <w:rFonts w:asciiTheme="minorHAnsi" w:hAnsiTheme="minorHAnsi"/>
          <w:b/>
          <w:color w:val="000000"/>
          <w:sz w:val="22"/>
          <w:szCs w:val="22"/>
        </w:rPr>
        <w:t>. Consultant</w:t>
      </w:r>
      <w:r w:rsidR="00A02926" w:rsidRPr="00FF55BF">
        <w:rPr>
          <w:rFonts w:asciiTheme="minorHAnsi" w:hAnsiTheme="minorHAnsi"/>
          <w:b/>
          <w:color w:val="000000"/>
          <w:sz w:val="22"/>
          <w:szCs w:val="22"/>
        </w:rPr>
        <w:t>s</w:t>
      </w:r>
      <w:r w:rsidR="00233487" w:rsidRPr="00FF55BF">
        <w:rPr>
          <w:rFonts w:asciiTheme="minorHAnsi" w:hAnsiTheme="minorHAnsi"/>
          <w:b/>
          <w:color w:val="000000"/>
          <w:sz w:val="22"/>
          <w:szCs w:val="22"/>
        </w:rPr>
        <w:t xml:space="preserve"> </w:t>
      </w:r>
      <w:r w:rsidR="00A16387" w:rsidRPr="00FF55BF">
        <w:rPr>
          <w:rFonts w:asciiTheme="minorHAnsi" w:hAnsiTheme="minorHAnsi"/>
          <w:b/>
          <w:color w:val="000000"/>
          <w:sz w:val="22"/>
          <w:szCs w:val="22"/>
        </w:rPr>
        <w:t>List]</w:t>
      </w:r>
      <w:r w:rsidR="00CE31EB" w:rsidRPr="00FF55BF">
        <w:rPr>
          <w:rFonts w:asciiTheme="minorHAnsi" w:hAnsiTheme="minorHAnsi"/>
          <w:color w:val="000000"/>
          <w:sz w:val="22"/>
          <w:szCs w:val="22"/>
        </w:rPr>
        <w:t>.</w:t>
      </w:r>
    </w:p>
    <w:p w:rsidR="008512E0" w:rsidRDefault="008512E0" w:rsidP="00925656">
      <w:pPr>
        <w:spacing w:line="360" w:lineRule="auto"/>
        <w:rPr>
          <w:rFonts w:asciiTheme="minorHAnsi" w:hAnsiTheme="minorHAnsi"/>
          <w:b/>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A.9. </w:t>
      </w:r>
      <w:r w:rsidR="00AB64D2" w:rsidRPr="00FF55BF">
        <w:rPr>
          <w:rFonts w:asciiTheme="minorHAnsi" w:hAnsiTheme="minorHAnsi"/>
          <w:b/>
          <w:sz w:val="22"/>
          <w:szCs w:val="22"/>
          <w:u w:val="single"/>
        </w:rPr>
        <w:t>Explanation of Any Payment or Gift to Respondents</w:t>
      </w:r>
    </w:p>
    <w:p w:rsidR="009135CB" w:rsidRPr="00FF55BF" w:rsidRDefault="008F0291"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There are no payments or gifts provided to respondents. </w:t>
      </w:r>
    </w:p>
    <w:p w:rsidR="008F0291" w:rsidRPr="00FF55BF" w:rsidRDefault="008F0291" w:rsidP="00925656">
      <w:pPr>
        <w:spacing w:line="360" w:lineRule="auto"/>
        <w:rPr>
          <w:rFonts w:asciiTheme="minorHAnsi" w:hAnsiTheme="minorHAnsi"/>
          <w:color w:val="000000"/>
          <w:sz w:val="22"/>
          <w:szCs w:val="22"/>
        </w:rPr>
      </w:pPr>
    </w:p>
    <w:p w:rsidR="00F123D7" w:rsidRPr="00FF55BF" w:rsidRDefault="00F123D7"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A.10. </w:t>
      </w:r>
      <w:r w:rsidR="00AC07CA" w:rsidRPr="00AC07CA">
        <w:rPr>
          <w:rFonts w:asciiTheme="minorHAnsi" w:hAnsiTheme="minorHAnsi"/>
          <w:b/>
          <w:sz w:val="22"/>
          <w:szCs w:val="22"/>
          <w:u w:val="single"/>
        </w:rPr>
        <w:t>Protection of the Privacy and Confidentiality of Information Provided by Respondents</w:t>
      </w:r>
    </w:p>
    <w:p w:rsidR="00BB56A6" w:rsidRDefault="00395D33" w:rsidP="00925656">
      <w:pPr>
        <w:spacing w:line="360" w:lineRule="auto"/>
        <w:rPr>
          <w:rFonts w:asciiTheme="minorHAnsi" w:hAnsiTheme="minorHAnsi"/>
          <w:sz w:val="22"/>
          <w:szCs w:val="22"/>
        </w:rPr>
      </w:pPr>
      <w:r w:rsidRPr="00074B92">
        <w:rPr>
          <w:rFonts w:asciiTheme="minorHAnsi" w:hAnsiTheme="minorHAnsi"/>
          <w:color w:val="000000"/>
          <w:sz w:val="22"/>
          <w:szCs w:val="22"/>
          <w:highlight w:val="yellow"/>
        </w:rPr>
        <w:t xml:space="preserve">NNDSS data are </w:t>
      </w:r>
      <w:r w:rsidR="00312E71" w:rsidRPr="00074B92">
        <w:rPr>
          <w:rFonts w:asciiTheme="minorHAnsi" w:hAnsiTheme="minorHAnsi"/>
          <w:color w:val="000000"/>
          <w:sz w:val="22"/>
          <w:szCs w:val="22"/>
          <w:highlight w:val="yellow"/>
        </w:rPr>
        <w:t xml:space="preserve">stored in </w:t>
      </w:r>
      <w:r w:rsidR="00D8509A" w:rsidRPr="00074B92">
        <w:rPr>
          <w:rFonts w:asciiTheme="minorHAnsi" w:hAnsiTheme="minorHAnsi"/>
          <w:color w:val="000000"/>
          <w:sz w:val="22"/>
          <w:szCs w:val="22"/>
          <w:highlight w:val="yellow"/>
        </w:rPr>
        <w:t>the Data Warehouse (DW)</w:t>
      </w:r>
      <w:r w:rsidR="00F56B40" w:rsidRPr="00074B92">
        <w:rPr>
          <w:rFonts w:asciiTheme="minorHAnsi" w:hAnsiTheme="minorHAnsi"/>
          <w:color w:val="000000"/>
          <w:sz w:val="22"/>
          <w:szCs w:val="22"/>
          <w:highlight w:val="yellow"/>
        </w:rPr>
        <w:t>, Data Message Brokering (DMB)</w:t>
      </w:r>
      <w:r w:rsidR="00D8509A" w:rsidRPr="00074B92">
        <w:rPr>
          <w:rFonts w:asciiTheme="minorHAnsi" w:hAnsiTheme="minorHAnsi"/>
          <w:color w:val="000000"/>
          <w:sz w:val="22"/>
          <w:szCs w:val="22"/>
          <w:highlight w:val="yellow"/>
        </w:rPr>
        <w:t xml:space="preserve"> and the Message Validation, Processing, and Provisioning System (MVPS).</w:t>
      </w:r>
      <w:r w:rsidR="000811E5" w:rsidRPr="00074B92">
        <w:rPr>
          <w:rFonts w:asciiTheme="minorHAnsi" w:hAnsiTheme="minorHAnsi"/>
          <w:color w:val="000000"/>
          <w:sz w:val="22"/>
          <w:szCs w:val="22"/>
          <w:highlight w:val="yellow"/>
        </w:rPr>
        <w:t xml:space="preserve"> </w:t>
      </w:r>
      <w:r w:rsidR="0032427F" w:rsidRPr="00074B92">
        <w:rPr>
          <w:rFonts w:asciiTheme="minorHAnsi" w:hAnsiTheme="minorHAnsi"/>
          <w:color w:val="000000"/>
          <w:sz w:val="22"/>
          <w:szCs w:val="22"/>
          <w:highlight w:val="yellow"/>
        </w:rPr>
        <w:t xml:space="preserve">HL7 </w:t>
      </w:r>
      <w:r w:rsidR="00BD75D8">
        <w:rPr>
          <w:rFonts w:asciiTheme="minorHAnsi" w:hAnsiTheme="minorHAnsi"/>
          <w:color w:val="000000"/>
          <w:sz w:val="22"/>
          <w:szCs w:val="22"/>
          <w:highlight w:val="yellow"/>
        </w:rPr>
        <w:t>case notification</w:t>
      </w:r>
      <w:r w:rsidR="002240E9">
        <w:rPr>
          <w:rFonts w:asciiTheme="minorHAnsi" w:hAnsiTheme="minorHAnsi"/>
          <w:color w:val="000000"/>
          <w:sz w:val="22"/>
          <w:szCs w:val="22"/>
          <w:highlight w:val="yellow"/>
        </w:rPr>
        <w:t>s</w:t>
      </w:r>
      <w:r w:rsidR="0032427F" w:rsidRPr="00074B92">
        <w:rPr>
          <w:rFonts w:asciiTheme="minorHAnsi" w:hAnsiTheme="minorHAnsi"/>
          <w:color w:val="000000"/>
          <w:sz w:val="22"/>
          <w:szCs w:val="22"/>
          <w:highlight w:val="yellow"/>
        </w:rPr>
        <w:t xml:space="preserve"> that use older MMGs are processed by </w:t>
      </w:r>
      <w:r w:rsidR="008760A4" w:rsidRPr="00074B92">
        <w:rPr>
          <w:rFonts w:asciiTheme="minorHAnsi" w:hAnsiTheme="minorHAnsi"/>
          <w:color w:val="000000"/>
          <w:sz w:val="22"/>
          <w:szCs w:val="22"/>
          <w:highlight w:val="yellow"/>
        </w:rPr>
        <w:t>DMB</w:t>
      </w:r>
      <w:r w:rsidR="001B64CC">
        <w:rPr>
          <w:rFonts w:asciiTheme="minorHAnsi" w:hAnsiTheme="minorHAnsi"/>
          <w:color w:val="000000"/>
          <w:sz w:val="22"/>
          <w:szCs w:val="22"/>
          <w:highlight w:val="yellow"/>
        </w:rPr>
        <w:t>,</w:t>
      </w:r>
      <w:r w:rsidR="008760A4" w:rsidRPr="00074B92">
        <w:rPr>
          <w:rFonts w:asciiTheme="minorHAnsi" w:hAnsiTheme="minorHAnsi"/>
          <w:color w:val="000000"/>
          <w:sz w:val="22"/>
          <w:szCs w:val="22"/>
          <w:highlight w:val="yellow"/>
        </w:rPr>
        <w:t xml:space="preserve"> and HL7 messages that use newer MMGs are processed by MVPS. NETSS </w:t>
      </w:r>
      <w:r w:rsidR="00BD75D8">
        <w:rPr>
          <w:rFonts w:asciiTheme="minorHAnsi" w:hAnsiTheme="minorHAnsi"/>
          <w:color w:val="000000"/>
          <w:sz w:val="22"/>
          <w:szCs w:val="22"/>
          <w:highlight w:val="yellow"/>
        </w:rPr>
        <w:t>case notification</w:t>
      </w:r>
      <w:r w:rsidR="002240E9">
        <w:rPr>
          <w:rFonts w:asciiTheme="minorHAnsi" w:hAnsiTheme="minorHAnsi"/>
          <w:color w:val="000000"/>
          <w:sz w:val="22"/>
          <w:szCs w:val="22"/>
          <w:highlight w:val="yellow"/>
        </w:rPr>
        <w:t>s</w:t>
      </w:r>
      <w:r w:rsidR="008760A4" w:rsidRPr="00074B92">
        <w:rPr>
          <w:rFonts w:asciiTheme="minorHAnsi" w:hAnsiTheme="minorHAnsi"/>
          <w:color w:val="000000"/>
          <w:sz w:val="22"/>
          <w:szCs w:val="22"/>
          <w:highlight w:val="yellow"/>
        </w:rPr>
        <w:t xml:space="preserve"> are processed in the DW which ultimately stores all </w:t>
      </w:r>
      <w:r w:rsidR="002240E9">
        <w:rPr>
          <w:rFonts w:asciiTheme="minorHAnsi" w:hAnsiTheme="minorHAnsi"/>
          <w:color w:val="000000"/>
          <w:sz w:val="22"/>
          <w:szCs w:val="22"/>
          <w:highlight w:val="yellow"/>
        </w:rPr>
        <w:t xml:space="preserve">electronic </w:t>
      </w:r>
      <w:r w:rsidR="008760A4" w:rsidRPr="00074B92">
        <w:rPr>
          <w:rFonts w:asciiTheme="minorHAnsi" w:hAnsiTheme="minorHAnsi"/>
          <w:color w:val="000000"/>
          <w:sz w:val="22"/>
          <w:szCs w:val="22"/>
          <w:highlight w:val="yellow"/>
        </w:rPr>
        <w:t>case notification</w:t>
      </w:r>
      <w:r w:rsidR="002240E9">
        <w:rPr>
          <w:rFonts w:asciiTheme="minorHAnsi" w:hAnsiTheme="minorHAnsi"/>
          <w:color w:val="000000"/>
          <w:sz w:val="22"/>
          <w:szCs w:val="22"/>
          <w:highlight w:val="yellow"/>
        </w:rPr>
        <w:t>s</w:t>
      </w:r>
      <w:r w:rsidR="008760A4" w:rsidRPr="00074B92">
        <w:rPr>
          <w:rFonts w:asciiTheme="minorHAnsi" w:hAnsiTheme="minorHAnsi"/>
          <w:color w:val="000000"/>
          <w:sz w:val="22"/>
          <w:szCs w:val="22"/>
          <w:highlight w:val="yellow"/>
        </w:rPr>
        <w:t xml:space="preserve">. </w:t>
      </w:r>
      <w:r w:rsidR="00E15FDB" w:rsidRPr="00074B92">
        <w:rPr>
          <w:rFonts w:asciiTheme="minorHAnsi" w:hAnsiTheme="minorHAnsi"/>
          <w:color w:val="000000"/>
          <w:sz w:val="22"/>
          <w:szCs w:val="22"/>
          <w:highlight w:val="yellow"/>
        </w:rPr>
        <w:t>T</w:t>
      </w:r>
      <w:r w:rsidR="00F123D7" w:rsidRPr="00074B92">
        <w:rPr>
          <w:rFonts w:asciiTheme="minorHAnsi" w:hAnsiTheme="minorHAnsi"/>
          <w:color w:val="000000"/>
          <w:sz w:val="22"/>
          <w:szCs w:val="22"/>
          <w:highlight w:val="yellow"/>
        </w:rPr>
        <w:t>he Privacy Act is applicable</w:t>
      </w:r>
      <w:r w:rsidR="00B62D83" w:rsidRPr="00074B92">
        <w:rPr>
          <w:rFonts w:asciiTheme="minorHAnsi" w:hAnsiTheme="minorHAnsi"/>
          <w:color w:val="000000"/>
          <w:sz w:val="22"/>
          <w:szCs w:val="22"/>
          <w:highlight w:val="yellow"/>
        </w:rPr>
        <w:t xml:space="preserve"> as personally identifiable information (PII) is collected and information can be retrieved by PII. However, data are not retrieved by PII. In addition, some combinations of submitted data elements could potentially be used to identify individuals. See </w:t>
      </w:r>
      <w:r w:rsidRPr="00074B92">
        <w:rPr>
          <w:rFonts w:asciiTheme="minorHAnsi" w:hAnsiTheme="minorHAnsi"/>
          <w:color w:val="000000"/>
          <w:sz w:val="22"/>
          <w:szCs w:val="22"/>
          <w:highlight w:val="yellow"/>
        </w:rPr>
        <w:t xml:space="preserve">Privacy Impact Assessments </w:t>
      </w:r>
      <w:r w:rsidR="00E15FDB" w:rsidRPr="00074B92">
        <w:rPr>
          <w:rFonts w:asciiTheme="minorHAnsi" w:hAnsiTheme="minorHAnsi"/>
          <w:color w:val="000000"/>
          <w:sz w:val="22"/>
          <w:szCs w:val="22"/>
          <w:highlight w:val="yellow"/>
        </w:rPr>
        <w:t>(PIAs)</w:t>
      </w:r>
      <w:r w:rsidR="00DD5BAA">
        <w:rPr>
          <w:rFonts w:asciiTheme="minorHAnsi" w:hAnsiTheme="minorHAnsi"/>
          <w:color w:val="000000"/>
          <w:sz w:val="22"/>
          <w:szCs w:val="22"/>
          <w:highlight w:val="yellow"/>
        </w:rPr>
        <w:t xml:space="preserve"> for the DW, DMB, and MVPS</w:t>
      </w:r>
      <w:r w:rsidR="00312E71" w:rsidRPr="00074B92">
        <w:rPr>
          <w:rFonts w:asciiTheme="minorHAnsi" w:hAnsiTheme="minorHAnsi"/>
          <w:color w:val="000000"/>
          <w:sz w:val="22"/>
          <w:szCs w:val="22"/>
          <w:highlight w:val="yellow"/>
        </w:rPr>
        <w:t xml:space="preserve"> </w:t>
      </w:r>
      <w:r w:rsidR="00F53309" w:rsidRPr="00074B92">
        <w:rPr>
          <w:rFonts w:asciiTheme="minorHAnsi" w:hAnsiTheme="minorHAnsi"/>
          <w:b/>
          <w:color w:val="000000"/>
          <w:sz w:val="22"/>
          <w:szCs w:val="22"/>
          <w:highlight w:val="yellow"/>
        </w:rPr>
        <w:t>[</w:t>
      </w:r>
      <w:r w:rsidR="003B29D6" w:rsidRPr="00074B92">
        <w:rPr>
          <w:rFonts w:asciiTheme="minorHAnsi" w:hAnsiTheme="minorHAnsi"/>
          <w:b/>
          <w:color w:val="000000"/>
          <w:sz w:val="22"/>
          <w:szCs w:val="22"/>
          <w:highlight w:val="yellow"/>
        </w:rPr>
        <w:t xml:space="preserve">Attachments </w:t>
      </w:r>
      <w:r w:rsidR="00470AA1">
        <w:rPr>
          <w:rFonts w:asciiTheme="minorHAnsi" w:hAnsiTheme="minorHAnsi"/>
          <w:b/>
          <w:color w:val="000000"/>
          <w:sz w:val="22"/>
          <w:szCs w:val="22"/>
          <w:highlight w:val="yellow"/>
        </w:rPr>
        <w:t xml:space="preserve">16 </w:t>
      </w:r>
      <w:r w:rsidR="003B29D6" w:rsidRPr="00074B92">
        <w:rPr>
          <w:rFonts w:asciiTheme="minorHAnsi" w:hAnsiTheme="minorHAnsi"/>
          <w:b/>
          <w:color w:val="000000"/>
          <w:sz w:val="22"/>
          <w:szCs w:val="22"/>
          <w:highlight w:val="yellow"/>
        </w:rPr>
        <w:t xml:space="preserve">through </w:t>
      </w:r>
      <w:r w:rsidR="00470AA1">
        <w:rPr>
          <w:rFonts w:asciiTheme="minorHAnsi" w:hAnsiTheme="minorHAnsi"/>
          <w:b/>
          <w:color w:val="000000"/>
          <w:sz w:val="22"/>
          <w:szCs w:val="22"/>
          <w:highlight w:val="yellow"/>
        </w:rPr>
        <w:t>18</w:t>
      </w:r>
      <w:r w:rsidR="00F53309" w:rsidRPr="00074B92">
        <w:rPr>
          <w:rFonts w:asciiTheme="minorHAnsi" w:hAnsiTheme="minorHAnsi"/>
          <w:b/>
          <w:color w:val="000000"/>
          <w:sz w:val="22"/>
          <w:szCs w:val="22"/>
          <w:highlight w:val="yellow"/>
        </w:rPr>
        <w:t>]</w:t>
      </w:r>
      <w:r w:rsidR="00F123D7" w:rsidRPr="00074B92">
        <w:rPr>
          <w:rFonts w:asciiTheme="minorHAnsi" w:hAnsiTheme="minorHAnsi"/>
          <w:color w:val="000000"/>
          <w:sz w:val="22"/>
          <w:szCs w:val="22"/>
          <w:highlight w:val="yellow"/>
        </w:rPr>
        <w:t>.</w:t>
      </w:r>
      <w:r w:rsidR="008E33CB" w:rsidRPr="00074B92">
        <w:rPr>
          <w:rFonts w:asciiTheme="minorHAnsi" w:hAnsiTheme="minorHAnsi"/>
          <w:sz w:val="22"/>
          <w:szCs w:val="22"/>
          <w:highlight w:val="yellow"/>
        </w:rPr>
        <w:t xml:space="preserve"> </w:t>
      </w:r>
      <w:r w:rsidR="004D5848" w:rsidRPr="00074B92">
        <w:rPr>
          <w:rFonts w:asciiTheme="minorHAnsi" w:hAnsiTheme="minorHAnsi"/>
          <w:sz w:val="22"/>
          <w:szCs w:val="22"/>
          <w:highlight w:val="yellow"/>
        </w:rPr>
        <w:t>Private information will not be disclosed unless otherwise compelled by law.</w:t>
      </w:r>
      <w:r w:rsidR="00312E71" w:rsidRPr="00074B92">
        <w:rPr>
          <w:rFonts w:asciiTheme="minorHAnsi" w:hAnsiTheme="minorHAnsi"/>
          <w:sz w:val="22"/>
          <w:szCs w:val="22"/>
          <w:highlight w:val="yellow"/>
        </w:rPr>
        <w:t xml:space="preserve"> No assurance of confidentiality has been obtained.</w:t>
      </w:r>
      <w:r w:rsidR="00312E71" w:rsidRPr="00312E71">
        <w:rPr>
          <w:rFonts w:asciiTheme="minorHAnsi" w:hAnsiTheme="minorHAnsi"/>
          <w:sz w:val="22"/>
          <w:szCs w:val="22"/>
        </w:rPr>
        <w:t xml:space="preserve">  </w:t>
      </w:r>
    </w:p>
    <w:p w:rsidR="00685547" w:rsidRDefault="00685547" w:rsidP="00DA2A31">
      <w:pPr>
        <w:spacing w:line="360" w:lineRule="auto"/>
        <w:rPr>
          <w:rFonts w:asciiTheme="minorHAnsi" w:hAnsiTheme="minorHAnsi"/>
          <w:color w:val="000000"/>
          <w:sz w:val="22"/>
          <w:szCs w:val="22"/>
        </w:rPr>
      </w:pPr>
    </w:p>
    <w:p w:rsidR="00910CFD" w:rsidRDefault="00A22F34" w:rsidP="005A2CFD">
      <w:pPr>
        <w:spacing w:line="360" w:lineRule="auto"/>
        <w:rPr>
          <w:rFonts w:asciiTheme="minorHAnsi" w:hAnsiTheme="minorHAnsi"/>
          <w:color w:val="000000"/>
          <w:sz w:val="22"/>
          <w:szCs w:val="22"/>
        </w:rPr>
      </w:pPr>
      <w:r>
        <w:rPr>
          <w:rFonts w:asciiTheme="minorHAnsi" w:hAnsiTheme="minorHAnsi"/>
          <w:color w:val="000000"/>
          <w:sz w:val="22"/>
          <w:szCs w:val="22"/>
        </w:rPr>
        <w:t xml:space="preserve">Case notifications include </w:t>
      </w:r>
      <w:r w:rsidR="00B71511">
        <w:rPr>
          <w:rFonts w:asciiTheme="minorHAnsi" w:hAnsiTheme="minorHAnsi"/>
          <w:color w:val="000000"/>
          <w:sz w:val="22"/>
          <w:szCs w:val="22"/>
        </w:rPr>
        <w:t xml:space="preserve">demographic, </w:t>
      </w:r>
      <w:r w:rsidR="00FE78EE">
        <w:rPr>
          <w:rFonts w:asciiTheme="minorHAnsi" w:hAnsiTheme="minorHAnsi"/>
          <w:color w:val="000000"/>
          <w:sz w:val="22"/>
          <w:szCs w:val="22"/>
        </w:rPr>
        <w:t xml:space="preserve">epidemiologic, </w:t>
      </w:r>
      <w:r w:rsidR="00B71511">
        <w:rPr>
          <w:rFonts w:asciiTheme="minorHAnsi" w:hAnsiTheme="minorHAnsi"/>
          <w:color w:val="000000"/>
          <w:sz w:val="22"/>
          <w:szCs w:val="22"/>
        </w:rPr>
        <w:t>administrative,</w:t>
      </w:r>
      <w:r w:rsidR="00FE78EE">
        <w:rPr>
          <w:rFonts w:asciiTheme="minorHAnsi" w:hAnsiTheme="minorHAnsi"/>
          <w:color w:val="000000"/>
          <w:sz w:val="22"/>
          <w:szCs w:val="22"/>
        </w:rPr>
        <w:t xml:space="preserve"> vaccine, laboratory and dise</w:t>
      </w:r>
      <w:r w:rsidR="001C6604">
        <w:rPr>
          <w:rFonts w:asciiTheme="minorHAnsi" w:hAnsiTheme="minorHAnsi"/>
          <w:color w:val="000000"/>
          <w:sz w:val="22"/>
          <w:szCs w:val="22"/>
        </w:rPr>
        <w:t>a</w:t>
      </w:r>
      <w:r w:rsidR="00FE78EE">
        <w:rPr>
          <w:rFonts w:asciiTheme="minorHAnsi" w:hAnsiTheme="minorHAnsi"/>
          <w:color w:val="000000"/>
          <w:sz w:val="22"/>
          <w:szCs w:val="22"/>
        </w:rPr>
        <w:t>se-specific d</w:t>
      </w:r>
      <w:r>
        <w:rPr>
          <w:rFonts w:asciiTheme="minorHAnsi" w:hAnsiTheme="minorHAnsi"/>
          <w:color w:val="000000"/>
          <w:sz w:val="22"/>
          <w:szCs w:val="22"/>
        </w:rPr>
        <w:t xml:space="preserve">ata </w:t>
      </w:r>
      <w:r w:rsidR="00143F0B">
        <w:rPr>
          <w:rFonts w:asciiTheme="minorHAnsi" w:hAnsiTheme="minorHAnsi"/>
          <w:color w:val="000000"/>
          <w:sz w:val="22"/>
          <w:szCs w:val="22"/>
        </w:rPr>
        <w:t>related to</w:t>
      </w:r>
      <w:r>
        <w:rPr>
          <w:rFonts w:asciiTheme="minorHAnsi" w:hAnsiTheme="minorHAnsi"/>
          <w:color w:val="000000"/>
          <w:sz w:val="22"/>
          <w:szCs w:val="22"/>
        </w:rPr>
        <w:t xml:space="preserve"> </w:t>
      </w:r>
      <w:r w:rsidR="00B71511">
        <w:rPr>
          <w:rFonts w:asciiTheme="minorHAnsi" w:hAnsiTheme="minorHAnsi"/>
          <w:color w:val="000000"/>
          <w:sz w:val="22"/>
          <w:szCs w:val="22"/>
        </w:rPr>
        <w:t>a case of a nationally notifiable condition.</w:t>
      </w:r>
      <w:r>
        <w:rPr>
          <w:rFonts w:asciiTheme="minorHAnsi" w:hAnsiTheme="minorHAnsi"/>
          <w:color w:val="000000"/>
          <w:sz w:val="22"/>
          <w:szCs w:val="22"/>
        </w:rPr>
        <w:t xml:space="preserve"> </w:t>
      </w:r>
      <w:r w:rsidR="00E81A0A" w:rsidRPr="00E81A0A">
        <w:rPr>
          <w:rFonts w:asciiTheme="minorHAnsi" w:hAnsiTheme="minorHAnsi"/>
          <w:color w:val="000000"/>
          <w:sz w:val="22"/>
          <w:szCs w:val="22"/>
        </w:rPr>
        <w:t xml:space="preserve">The security of private information during </w:t>
      </w:r>
      <w:r w:rsidR="00591697">
        <w:rPr>
          <w:rFonts w:asciiTheme="minorHAnsi" w:hAnsiTheme="minorHAnsi"/>
          <w:color w:val="000000"/>
          <w:sz w:val="22"/>
          <w:szCs w:val="22"/>
        </w:rPr>
        <w:t>a</w:t>
      </w:r>
      <w:r w:rsidR="00EA76B7">
        <w:rPr>
          <w:rFonts w:asciiTheme="minorHAnsi" w:hAnsiTheme="minorHAnsi"/>
          <w:color w:val="000000"/>
          <w:sz w:val="22"/>
          <w:szCs w:val="22"/>
        </w:rPr>
        <w:t xml:space="preserve">utomated </w:t>
      </w:r>
      <w:r w:rsidR="00E81A0A" w:rsidRPr="00E81A0A">
        <w:rPr>
          <w:rFonts w:asciiTheme="minorHAnsi" w:hAnsiTheme="minorHAnsi"/>
          <w:color w:val="000000"/>
          <w:sz w:val="22"/>
          <w:szCs w:val="22"/>
        </w:rPr>
        <w:t>transmission to NNDSS is maintained by</w:t>
      </w:r>
      <w:r w:rsidR="00BD75D8">
        <w:rPr>
          <w:rFonts w:asciiTheme="minorHAnsi" w:hAnsiTheme="minorHAnsi"/>
          <w:color w:val="000000"/>
          <w:sz w:val="22"/>
          <w:szCs w:val="22"/>
        </w:rPr>
        <w:t xml:space="preserve"> the </w:t>
      </w:r>
      <w:r w:rsidR="00BD75D8" w:rsidRPr="00BD75D8">
        <w:rPr>
          <w:rFonts w:asciiTheme="minorHAnsi" w:hAnsiTheme="minorHAnsi"/>
          <w:color w:val="000000"/>
          <w:sz w:val="22"/>
          <w:szCs w:val="22"/>
          <w:highlight w:val="yellow"/>
        </w:rPr>
        <w:t>Department of Health and Human Services (HHS) standard encryption</w:t>
      </w:r>
      <w:r w:rsidR="00BD75D8">
        <w:rPr>
          <w:rFonts w:asciiTheme="minorHAnsi" w:hAnsiTheme="minorHAnsi"/>
          <w:color w:val="000000"/>
          <w:sz w:val="22"/>
          <w:szCs w:val="22"/>
        </w:rPr>
        <w:t xml:space="preserve"> </w:t>
      </w:r>
      <w:r w:rsidR="00E81A0A" w:rsidRPr="00E81A0A">
        <w:rPr>
          <w:rFonts w:asciiTheme="minorHAnsi" w:hAnsiTheme="minorHAnsi"/>
          <w:color w:val="000000"/>
          <w:sz w:val="22"/>
          <w:szCs w:val="22"/>
        </w:rPr>
        <w:t xml:space="preserve">technologies (computers and servers) that use national public health standards for messaging systems which provide security mechanisms for jurisdictions to use when submitting data. </w:t>
      </w:r>
      <w:r w:rsidR="005B5747">
        <w:rPr>
          <w:rFonts w:asciiTheme="minorHAnsi" w:hAnsiTheme="minorHAnsi"/>
          <w:color w:val="000000"/>
          <w:sz w:val="22"/>
          <w:szCs w:val="22"/>
        </w:rPr>
        <w:t>C</w:t>
      </w:r>
      <w:r w:rsidR="00E81A0A" w:rsidRPr="00E81A0A">
        <w:rPr>
          <w:rFonts w:asciiTheme="minorHAnsi" w:hAnsiTheme="minorHAnsi"/>
          <w:color w:val="000000"/>
          <w:sz w:val="22"/>
          <w:szCs w:val="22"/>
        </w:rPr>
        <w:t xml:space="preserve">ase </w:t>
      </w:r>
      <w:r w:rsidR="00802197">
        <w:rPr>
          <w:rFonts w:asciiTheme="minorHAnsi" w:hAnsiTheme="minorHAnsi"/>
          <w:color w:val="000000"/>
          <w:sz w:val="22"/>
          <w:szCs w:val="22"/>
        </w:rPr>
        <w:t>notifications</w:t>
      </w:r>
      <w:r w:rsidR="00802197" w:rsidRPr="00E81A0A">
        <w:rPr>
          <w:rFonts w:asciiTheme="minorHAnsi" w:hAnsiTheme="minorHAnsi"/>
          <w:color w:val="000000"/>
          <w:sz w:val="22"/>
          <w:szCs w:val="22"/>
        </w:rPr>
        <w:t xml:space="preserve"> </w:t>
      </w:r>
      <w:r w:rsidR="00E81A0A" w:rsidRPr="00E81A0A">
        <w:rPr>
          <w:rFonts w:asciiTheme="minorHAnsi" w:hAnsiTheme="minorHAnsi"/>
          <w:color w:val="000000"/>
          <w:sz w:val="22"/>
          <w:szCs w:val="22"/>
        </w:rPr>
        <w:t>are encrypted and submitted to NNDSS electronically from already existing databases via automated electronic transfers through a secure network. Electronic data are transmitted to and securely processed at CDC</w:t>
      </w:r>
      <w:r w:rsidR="00E81A0A" w:rsidRPr="0034632B">
        <w:rPr>
          <w:rFonts w:asciiTheme="minorHAnsi" w:hAnsiTheme="minorHAnsi"/>
          <w:color w:val="000000"/>
          <w:sz w:val="22"/>
          <w:szCs w:val="22"/>
        </w:rPr>
        <w:t xml:space="preserve">.  </w:t>
      </w:r>
      <w:r w:rsidR="005A2CFD" w:rsidRPr="0034632B">
        <w:rPr>
          <w:rFonts w:asciiTheme="minorHAnsi" w:hAnsiTheme="minorHAnsi"/>
          <w:color w:val="000000"/>
          <w:sz w:val="22"/>
          <w:szCs w:val="22"/>
        </w:rPr>
        <w:t>When automated transmission is not possible, case</w:t>
      </w:r>
      <w:r w:rsidR="005B5747">
        <w:rPr>
          <w:rFonts w:asciiTheme="minorHAnsi" w:hAnsiTheme="minorHAnsi"/>
          <w:color w:val="000000"/>
          <w:sz w:val="22"/>
          <w:szCs w:val="22"/>
        </w:rPr>
        <w:t xml:space="preserve"> counts </w:t>
      </w:r>
      <w:r w:rsidR="005A2CFD" w:rsidRPr="0034632B">
        <w:rPr>
          <w:rFonts w:asciiTheme="minorHAnsi" w:hAnsiTheme="minorHAnsi"/>
          <w:color w:val="000000"/>
          <w:sz w:val="22"/>
          <w:szCs w:val="22"/>
        </w:rPr>
        <w:t xml:space="preserve">are </w:t>
      </w:r>
      <w:r w:rsidR="00327AD0" w:rsidRPr="0034632B">
        <w:rPr>
          <w:rFonts w:asciiTheme="minorHAnsi" w:hAnsiTheme="minorHAnsi"/>
          <w:color w:val="000000"/>
          <w:sz w:val="22"/>
          <w:szCs w:val="22"/>
        </w:rPr>
        <w:t>emailed</w:t>
      </w:r>
      <w:r w:rsidR="005B5747">
        <w:rPr>
          <w:rFonts w:asciiTheme="minorHAnsi" w:hAnsiTheme="minorHAnsi"/>
          <w:color w:val="000000"/>
          <w:sz w:val="22"/>
          <w:szCs w:val="22"/>
        </w:rPr>
        <w:t xml:space="preserve"> or</w:t>
      </w:r>
      <w:r w:rsidR="00327AD0" w:rsidRPr="0034632B">
        <w:rPr>
          <w:rFonts w:asciiTheme="minorHAnsi" w:hAnsiTheme="minorHAnsi"/>
          <w:color w:val="000000"/>
          <w:sz w:val="22"/>
          <w:szCs w:val="22"/>
        </w:rPr>
        <w:t xml:space="preserve"> </w:t>
      </w:r>
      <w:r w:rsidR="005A2CFD" w:rsidRPr="0034632B">
        <w:rPr>
          <w:rFonts w:asciiTheme="minorHAnsi" w:hAnsiTheme="minorHAnsi"/>
          <w:color w:val="000000"/>
          <w:sz w:val="22"/>
          <w:szCs w:val="22"/>
        </w:rPr>
        <w:t xml:space="preserve">uploaded to a secure network or entered into a secure website. </w:t>
      </w:r>
      <w:r w:rsidR="005B5747">
        <w:rPr>
          <w:rFonts w:asciiTheme="minorHAnsi" w:hAnsiTheme="minorHAnsi"/>
          <w:color w:val="000000"/>
          <w:sz w:val="22"/>
          <w:szCs w:val="22"/>
        </w:rPr>
        <w:t>Information that is</w:t>
      </w:r>
      <w:r w:rsidR="00D10F7C">
        <w:rPr>
          <w:rFonts w:asciiTheme="minorHAnsi" w:hAnsiTheme="minorHAnsi"/>
          <w:color w:val="000000"/>
          <w:sz w:val="22"/>
          <w:szCs w:val="22"/>
        </w:rPr>
        <w:t xml:space="preserve"> </w:t>
      </w:r>
      <w:r w:rsidR="00851C3F">
        <w:rPr>
          <w:rFonts w:asciiTheme="minorHAnsi" w:hAnsiTheme="minorHAnsi"/>
          <w:color w:val="000000"/>
          <w:sz w:val="22"/>
          <w:szCs w:val="22"/>
        </w:rPr>
        <w:t>emailed</w:t>
      </w:r>
      <w:r w:rsidR="005B5747">
        <w:rPr>
          <w:rFonts w:asciiTheme="minorHAnsi" w:hAnsiTheme="minorHAnsi"/>
          <w:color w:val="000000"/>
          <w:sz w:val="22"/>
          <w:szCs w:val="22"/>
        </w:rPr>
        <w:t xml:space="preserve"> or </w:t>
      </w:r>
      <w:r w:rsidR="007D5116">
        <w:rPr>
          <w:rFonts w:asciiTheme="minorHAnsi" w:hAnsiTheme="minorHAnsi"/>
          <w:color w:val="000000"/>
          <w:sz w:val="22"/>
          <w:szCs w:val="22"/>
        </w:rPr>
        <w:t xml:space="preserve">uploaded </w:t>
      </w:r>
      <w:r w:rsidR="005B5747">
        <w:rPr>
          <w:rFonts w:asciiTheme="minorHAnsi" w:hAnsiTheme="minorHAnsi"/>
          <w:color w:val="000000"/>
          <w:sz w:val="22"/>
          <w:szCs w:val="22"/>
        </w:rPr>
        <w:t>is</w:t>
      </w:r>
      <w:r w:rsidR="007D5116">
        <w:rPr>
          <w:rFonts w:asciiTheme="minorHAnsi" w:hAnsiTheme="minorHAnsi"/>
          <w:color w:val="000000"/>
          <w:sz w:val="22"/>
          <w:szCs w:val="22"/>
        </w:rPr>
        <w:t xml:space="preserve"> in </w:t>
      </w:r>
      <w:r w:rsidR="003A0D14">
        <w:rPr>
          <w:rFonts w:asciiTheme="minorHAnsi" w:hAnsiTheme="minorHAnsi"/>
          <w:color w:val="000000"/>
          <w:sz w:val="22"/>
          <w:szCs w:val="22"/>
        </w:rPr>
        <w:t xml:space="preserve">the form of </w:t>
      </w:r>
      <w:r w:rsidR="007D5116">
        <w:rPr>
          <w:rFonts w:asciiTheme="minorHAnsi" w:hAnsiTheme="minorHAnsi"/>
          <w:color w:val="000000"/>
          <w:sz w:val="22"/>
          <w:szCs w:val="22"/>
        </w:rPr>
        <w:t xml:space="preserve">an aggregate weekly or annual case </w:t>
      </w:r>
      <w:r w:rsidR="005B5747">
        <w:rPr>
          <w:rFonts w:asciiTheme="minorHAnsi" w:hAnsiTheme="minorHAnsi"/>
          <w:color w:val="000000"/>
          <w:sz w:val="22"/>
          <w:szCs w:val="22"/>
        </w:rPr>
        <w:t>counts</w:t>
      </w:r>
      <w:r w:rsidR="007D5116">
        <w:rPr>
          <w:rFonts w:asciiTheme="minorHAnsi" w:hAnsiTheme="minorHAnsi"/>
          <w:color w:val="000000"/>
          <w:sz w:val="22"/>
          <w:szCs w:val="22"/>
        </w:rPr>
        <w:t>.</w:t>
      </w:r>
      <w:r w:rsidR="00851C3F">
        <w:rPr>
          <w:rFonts w:asciiTheme="minorHAnsi" w:hAnsiTheme="minorHAnsi"/>
          <w:color w:val="000000"/>
          <w:sz w:val="22"/>
          <w:szCs w:val="22"/>
        </w:rPr>
        <w:t xml:space="preserve"> </w:t>
      </w:r>
      <w:r w:rsidR="00E81A0A" w:rsidRPr="0034632B">
        <w:rPr>
          <w:rFonts w:asciiTheme="minorHAnsi" w:hAnsiTheme="minorHAnsi"/>
          <w:color w:val="000000"/>
          <w:sz w:val="22"/>
          <w:szCs w:val="22"/>
        </w:rPr>
        <w:t xml:space="preserve">Once in DHIS, </w:t>
      </w:r>
      <w:r w:rsidR="005A2CFD" w:rsidRPr="0034632B">
        <w:rPr>
          <w:rFonts w:asciiTheme="minorHAnsi" w:hAnsiTheme="minorHAnsi"/>
          <w:color w:val="000000"/>
          <w:sz w:val="22"/>
          <w:szCs w:val="22"/>
        </w:rPr>
        <w:t>all</w:t>
      </w:r>
      <w:r w:rsidR="00E81A0A" w:rsidRPr="0034632B">
        <w:rPr>
          <w:rFonts w:asciiTheme="minorHAnsi" w:hAnsiTheme="minorHAnsi"/>
          <w:color w:val="000000"/>
          <w:sz w:val="22"/>
          <w:szCs w:val="22"/>
        </w:rPr>
        <w:t xml:space="preserve"> </w:t>
      </w:r>
      <w:r w:rsidR="00B9369D" w:rsidRPr="0034632B">
        <w:rPr>
          <w:rFonts w:asciiTheme="minorHAnsi" w:hAnsiTheme="minorHAnsi"/>
          <w:color w:val="000000"/>
          <w:sz w:val="22"/>
          <w:szCs w:val="22"/>
        </w:rPr>
        <w:t xml:space="preserve">case notification </w:t>
      </w:r>
      <w:r w:rsidR="00E81A0A" w:rsidRPr="0034632B">
        <w:rPr>
          <w:rFonts w:asciiTheme="minorHAnsi" w:hAnsiTheme="minorHAnsi"/>
          <w:color w:val="000000"/>
          <w:sz w:val="22"/>
          <w:szCs w:val="22"/>
        </w:rPr>
        <w:t>data are treated in a secure manner consistent with the technical,</w:t>
      </w:r>
      <w:r w:rsidR="00E81A0A" w:rsidRPr="00E81A0A">
        <w:rPr>
          <w:rFonts w:asciiTheme="minorHAnsi" w:hAnsiTheme="minorHAnsi"/>
          <w:color w:val="000000"/>
          <w:sz w:val="22"/>
          <w:szCs w:val="22"/>
        </w:rPr>
        <w:t xml:space="preserve">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  </w:t>
      </w:r>
    </w:p>
    <w:p w:rsidR="00910CFD" w:rsidRDefault="00910CFD" w:rsidP="00DA2A31">
      <w:pPr>
        <w:spacing w:line="360" w:lineRule="auto"/>
        <w:rPr>
          <w:rFonts w:asciiTheme="minorHAnsi" w:hAnsiTheme="minorHAnsi"/>
          <w:color w:val="000000"/>
          <w:sz w:val="22"/>
          <w:szCs w:val="22"/>
        </w:rPr>
      </w:pPr>
    </w:p>
    <w:p w:rsidR="00FC70C0" w:rsidRDefault="006178B5"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As noted in A.2 above, f</w:t>
      </w:r>
      <w:r w:rsidR="001A6032" w:rsidRPr="00FF55BF">
        <w:rPr>
          <w:rFonts w:asciiTheme="minorHAnsi" w:hAnsiTheme="minorHAnsi"/>
          <w:color w:val="000000"/>
          <w:sz w:val="22"/>
          <w:szCs w:val="22"/>
        </w:rPr>
        <w:t xml:space="preserve">or certain nationally notifiable conditions, CDC releases national data to the public through CDC’s web-based query system known as </w:t>
      </w:r>
      <w:r w:rsidR="00931178">
        <w:rPr>
          <w:rFonts w:asciiTheme="minorHAnsi" w:hAnsiTheme="minorHAnsi"/>
          <w:color w:val="000000"/>
          <w:sz w:val="22"/>
          <w:szCs w:val="22"/>
        </w:rPr>
        <w:t xml:space="preserve">CDC </w:t>
      </w:r>
      <w:r w:rsidR="001A6032" w:rsidRPr="00FF55BF">
        <w:rPr>
          <w:rFonts w:asciiTheme="minorHAnsi" w:hAnsiTheme="minorHAnsi"/>
          <w:color w:val="000000"/>
          <w:sz w:val="22"/>
          <w:szCs w:val="22"/>
        </w:rPr>
        <w:t>WONDER (</w:t>
      </w:r>
      <w:hyperlink r:id="rId23" w:history="1">
        <w:r w:rsidR="000F79EF" w:rsidRPr="00D47D16">
          <w:rPr>
            <w:rStyle w:val="Hyperlink"/>
            <w:rFonts w:asciiTheme="minorHAnsi" w:hAnsiTheme="minorHAnsi"/>
            <w:sz w:val="22"/>
            <w:szCs w:val="22"/>
          </w:rPr>
          <w:t>http://wonder.cdc.gov/</w:t>
        </w:r>
      </w:hyperlink>
      <w:r w:rsidR="007322C2">
        <w:rPr>
          <w:rFonts w:asciiTheme="minorHAnsi" w:hAnsiTheme="minorHAnsi"/>
          <w:sz w:val="22"/>
          <w:szCs w:val="22"/>
        </w:rPr>
        <w:t xml:space="preserve">. NNDSS data are also published on Data.CDC.gov </w:t>
      </w:r>
      <w:r w:rsidR="007322C2" w:rsidRPr="007322C2">
        <w:rPr>
          <w:rFonts w:asciiTheme="minorHAnsi" w:hAnsiTheme="minorHAnsi"/>
          <w:sz w:val="22"/>
          <w:szCs w:val="22"/>
        </w:rPr>
        <w:t>(</w:t>
      </w:r>
      <w:hyperlink r:id="rId24" w:history="1">
        <w:r w:rsidR="007322C2" w:rsidRPr="00D47D16">
          <w:rPr>
            <w:rStyle w:val="Hyperlink"/>
            <w:rFonts w:asciiTheme="minorHAnsi" w:hAnsiTheme="minorHAnsi"/>
            <w:sz w:val="22"/>
            <w:szCs w:val="22"/>
          </w:rPr>
          <w:t>https://data.cdc.gov/</w:t>
        </w:r>
      </w:hyperlink>
      <w:r w:rsidR="007322C2" w:rsidRPr="007322C2">
        <w:rPr>
          <w:rFonts w:asciiTheme="minorHAnsi" w:hAnsiTheme="minorHAnsi"/>
          <w:sz w:val="22"/>
          <w:szCs w:val="22"/>
        </w:rPr>
        <w:t>)</w:t>
      </w:r>
      <w:r w:rsidR="007322C2">
        <w:rPr>
          <w:rFonts w:asciiTheme="minorHAnsi" w:hAnsiTheme="minorHAnsi"/>
          <w:sz w:val="22"/>
          <w:szCs w:val="22"/>
        </w:rPr>
        <w:t xml:space="preserve"> and </w:t>
      </w:r>
      <w:r w:rsidR="00551166">
        <w:rPr>
          <w:rFonts w:asciiTheme="minorHAnsi" w:hAnsiTheme="minorHAnsi"/>
          <w:color w:val="000000"/>
          <w:sz w:val="22"/>
          <w:szCs w:val="22"/>
        </w:rPr>
        <w:t>DATA.GOV</w:t>
      </w:r>
      <w:r w:rsidR="007322C2">
        <w:rPr>
          <w:rFonts w:asciiTheme="minorHAnsi" w:hAnsiTheme="minorHAnsi"/>
          <w:color w:val="000000"/>
          <w:sz w:val="22"/>
          <w:szCs w:val="22"/>
        </w:rPr>
        <w:t xml:space="preserve"> (</w:t>
      </w:r>
      <w:hyperlink r:id="rId25" w:history="1">
        <w:r w:rsidR="007322C2" w:rsidRPr="00D47D16">
          <w:rPr>
            <w:rStyle w:val="Hyperlink"/>
            <w:rFonts w:asciiTheme="minorHAnsi" w:hAnsiTheme="minorHAnsi"/>
            <w:sz w:val="22"/>
            <w:szCs w:val="22"/>
          </w:rPr>
          <w:t>http://www.data.gov/</w:t>
        </w:r>
      </w:hyperlink>
      <w:r w:rsidR="007322C2">
        <w:rPr>
          <w:rFonts w:asciiTheme="minorHAnsi" w:hAnsiTheme="minorHAnsi"/>
          <w:color w:val="000000"/>
          <w:sz w:val="22"/>
          <w:szCs w:val="22"/>
        </w:rPr>
        <w:t>)</w:t>
      </w:r>
      <w:r w:rsidR="000F79EF">
        <w:rPr>
          <w:rFonts w:asciiTheme="minorHAnsi" w:hAnsiTheme="minorHAnsi"/>
          <w:color w:val="000000"/>
          <w:sz w:val="22"/>
          <w:szCs w:val="22"/>
        </w:rPr>
        <w:t>.</w:t>
      </w:r>
      <w:r w:rsidR="00F741FD">
        <w:rPr>
          <w:rFonts w:asciiTheme="minorHAnsi" w:hAnsiTheme="minorHAnsi"/>
          <w:color w:val="000000"/>
          <w:sz w:val="22"/>
          <w:szCs w:val="22"/>
        </w:rPr>
        <w:t xml:space="preserve"> P</w:t>
      </w:r>
      <w:r w:rsidR="001670C3" w:rsidRPr="00FF55BF">
        <w:rPr>
          <w:rFonts w:asciiTheme="minorHAnsi" w:hAnsiTheme="minorHAnsi"/>
          <w:color w:val="000000"/>
          <w:sz w:val="22"/>
          <w:szCs w:val="22"/>
        </w:rPr>
        <w:t>rivacy is protected in a number of ways</w:t>
      </w:r>
      <w:r w:rsidR="00931178">
        <w:rPr>
          <w:rFonts w:asciiTheme="minorHAnsi" w:hAnsiTheme="minorHAnsi"/>
          <w:color w:val="000000"/>
          <w:sz w:val="22"/>
          <w:szCs w:val="22"/>
        </w:rPr>
        <w:t>.</w:t>
      </w:r>
      <w:r w:rsidR="001670C3" w:rsidRPr="00FF55BF">
        <w:rPr>
          <w:rFonts w:asciiTheme="minorHAnsi" w:hAnsiTheme="minorHAnsi"/>
          <w:color w:val="000000"/>
          <w:sz w:val="22"/>
          <w:szCs w:val="22"/>
        </w:rPr>
        <w:t xml:space="preserve">  </w:t>
      </w:r>
      <w:r w:rsidR="00931178">
        <w:rPr>
          <w:rFonts w:asciiTheme="minorHAnsi" w:hAnsiTheme="minorHAnsi"/>
          <w:color w:val="000000"/>
          <w:sz w:val="22"/>
          <w:szCs w:val="22"/>
        </w:rPr>
        <w:t xml:space="preserve">CDC </w:t>
      </w:r>
      <w:r w:rsidR="001A6032" w:rsidRPr="00FF55BF">
        <w:rPr>
          <w:rFonts w:asciiTheme="minorHAnsi" w:hAnsiTheme="minorHAnsi"/>
          <w:color w:val="000000"/>
          <w:sz w:val="22"/>
          <w:szCs w:val="22"/>
        </w:rPr>
        <w:t>WONDER</w:t>
      </w:r>
      <w:r w:rsidR="005F05E5">
        <w:rPr>
          <w:rFonts w:asciiTheme="minorHAnsi" w:hAnsiTheme="minorHAnsi"/>
          <w:color w:val="000000"/>
          <w:sz w:val="22"/>
          <w:szCs w:val="22"/>
        </w:rPr>
        <w:t>,</w:t>
      </w:r>
      <w:r w:rsidR="001A6032" w:rsidRPr="00FF55BF">
        <w:rPr>
          <w:rFonts w:asciiTheme="minorHAnsi" w:hAnsiTheme="minorHAnsi"/>
          <w:color w:val="000000"/>
          <w:sz w:val="22"/>
          <w:szCs w:val="22"/>
        </w:rPr>
        <w:t xml:space="preserve"> </w:t>
      </w:r>
      <w:r w:rsidR="007143F4">
        <w:rPr>
          <w:rFonts w:asciiTheme="minorHAnsi" w:hAnsiTheme="minorHAnsi"/>
          <w:color w:val="000000"/>
          <w:sz w:val="22"/>
          <w:szCs w:val="22"/>
        </w:rPr>
        <w:t>D</w:t>
      </w:r>
      <w:r w:rsidR="007227B6">
        <w:rPr>
          <w:rFonts w:asciiTheme="minorHAnsi" w:hAnsiTheme="minorHAnsi"/>
          <w:color w:val="000000"/>
          <w:sz w:val="22"/>
          <w:szCs w:val="22"/>
        </w:rPr>
        <w:t>ata.</w:t>
      </w:r>
      <w:r w:rsidR="007143F4">
        <w:rPr>
          <w:rFonts w:asciiTheme="minorHAnsi" w:hAnsiTheme="minorHAnsi"/>
          <w:color w:val="000000"/>
          <w:sz w:val="22"/>
          <w:szCs w:val="22"/>
        </w:rPr>
        <w:t>CDC</w:t>
      </w:r>
      <w:r w:rsidR="007227B6">
        <w:rPr>
          <w:rFonts w:asciiTheme="minorHAnsi" w:hAnsiTheme="minorHAnsi"/>
          <w:color w:val="000000"/>
          <w:sz w:val="22"/>
          <w:szCs w:val="22"/>
        </w:rPr>
        <w:t>.gov</w:t>
      </w:r>
      <w:r w:rsidR="005F05E5">
        <w:rPr>
          <w:rFonts w:asciiTheme="minorHAnsi" w:hAnsiTheme="minorHAnsi"/>
          <w:color w:val="000000"/>
          <w:sz w:val="22"/>
          <w:szCs w:val="22"/>
        </w:rPr>
        <w:t>,</w:t>
      </w:r>
      <w:r w:rsidR="007227B6">
        <w:rPr>
          <w:rFonts w:asciiTheme="minorHAnsi" w:hAnsiTheme="minorHAnsi"/>
          <w:color w:val="000000"/>
          <w:sz w:val="22"/>
          <w:szCs w:val="22"/>
        </w:rPr>
        <w:t xml:space="preserve"> </w:t>
      </w:r>
      <w:r w:rsidR="00383EAA">
        <w:rPr>
          <w:rFonts w:asciiTheme="minorHAnsi" w:hAnsiTheme="minorHAnsi"/>
          <w:color w:val="000000"/>
          <w:sz w:val="22"/>
          <w:szCs w:val="22"/>
        </w:rPr>
        <w:t xml:space="preserve">and DATA.GOV </w:t>
      </w:r>
      <w:r w:rsidR="001A6032" w:rsidRPr="00FF55BF">
        <w:rPr>
          <w:rFonts w:asciiTheme="minorHAnsi" w:hAnsiTheme="minorHAnsi"/>
          <w:color w:val="000000"/>
          <w:sz w:val="22"/>
          <w:szCs w:val="22"/>
        </w:rPr>
        <w:t>only provide summary statistics of aggregate data to the</w:t>
      </w:r>
      <w:r w:rsidR="00931178">
        <w:rPr>
          <w:rFonts w:asciiTheme="minorHAnsi" w:hAnsiTheme="minorHAnsi"/>
          <w:color w:val="000000"/>
          <w:sz w:val="22"/>
          <w:szCs w:val="22"/>
        </w:rPr>
        <w:t>ir</w:t>
      </w:r>
      <w:r w:rsidR="001A6032" w:rsidRPr="00FF55BF">
        <w:rPr>
          <w:rFonts w:asciiTheme="minorHAnsi" w:hAnsiTheme="minorHAnsi"/>
          <w:color w:val="000000"/>
          <w:sz w:val="22"/>
          <w:szCs w:val="22"/>
        </w:rPr>
        <w:t xml:space="preserve"> users. Data for </w:t>
      </w:r>
      <w:r w:rsidR="00FC3FD0">
        <w:rPr>
          <w:rFonts w:asciiTheme="minorHAnsi" w:hAnsiTheme="minorHAnsi"/>
          <w:color w:val="000000"/>
          <w:sz w:val="22"/>
          <w:szCs w:val="22"/>
        </w:rPr>
        <w:t xml:space="preserve">CDC </w:t>
      </w:r>
      <w:r w:rsidR="001A6032" w:rsidRPr="00FF55BF">
        <w:rPr>
          <w:rFonts w:asciiTheme="minorHAnsi" w:hAnsiTheme="minorHAnsi"/>
          <w:color w:val="000000"/>
          <w:sz w:val="22"/>
          <w:szCs w:val="22"/>
        </w:rPr>
        <w:t xml:space="preserve">WONDER are produced by CDC programs, which have already stripped the data of all </w:t>
      </w:r>
      <w:r w:rsidR="00CA7580">
        <w:rPr>
          <w:rFonts w:asciiTheme="minorHAnsi" w:hAnsiTheme="minorHAnsi"/>
          <w:color w:val="000000"/>
          <w:sz w:val="22"/>
          <w:szCs w:val="22"/>
        </w:rPr>
        <w:t>PII</w:t>
      </w:r>
      <w:r w:rsidR="001A6032" w:rsidRPr="00FF55BF">
        <w:rPr>
          <w:rFonts w:asciiTheme="minorHAnsi" w:hAnsiTheme="minorHAnsi"/>
          <w:color w:val="000000"/>
          <w:sz w:val="22"/>
          <w:szCs w:val="22"/>
        </w:rPr>
        <w:t xml:space="preserve"> before providing these public-use data sets to CDC WONDER.   Furthermore, CDC WONDER dynamically imposes privacy and suppression constraints on all query results sets produced by the </w:t>
      </w:r>
      <w:r w:rsidR="005A4B09">
        <w:rPr>
          <w:rFonts w:asciiTheme="minorHAnsi" w:hAnsiTheme="minorHAnsi"/>
          <w:color w:val="000000"/>
          <w:sz w:val="22"/>
          <w:szCs w:val="22"/>
        </w:rPr>
        <w:t xml:space="preserve">CDC </w:t>
      </w:r>
      <w:r w:rsidR="001A6032" w:rsidRPr="00FF55BF">
        <w:rPr>
          <w:rFonts w:asciiTheme="minorHAnsi" w:hAnsiTheme="minorHAnsi"/>
          <w:color w:val="000000"/>
          <w:sz w:val="22"/>
          <w:szCs w:val="22"/>
        </w:rPr>
        <w:t xml:space="preserve">WONDER web application, in compliance with each data set’s specific data use policy.  CDC WONDER </w:t>
      </w:r>
      <w:r w:rsidR="00931178">
        <w:rPr>
          <w:rFonts w:asciiTheme="minorHAnsi" w:hAnsiTheme="minorHAnsi"/>
          <w:color w:val="000000"/>
          <w:sz w:val="22"/>
          <w:szCs w:val="22"/>
        </w:rPr>
        <w:t>and Data.CDC.gov are</w:t>
      </w:r>
      <w:r w:rsidR="001A6032" w:rsidRPr="00FF55BF">
        <w:rPr>
          <w:rFonts w:asciiTheme="minorHAnsi" w:hAnsiTheme="minorHAnsi"/>
          <w:color w:val="000000"/>
          <w:sz w:val="22"/>
          <w:szCs w:val="22"/>
        </w:rPr>
        <w:t xml:space="preserve"> also subject to and ha</w:t>
      </w:r>
      <w:r w:rsidR="00931178">
        <w:rPr>
          <w:rFonts w:asciiTheme="minorHAnsi" w:hAnsiTheme="minorHAnsi"/>
          <w:color w:val="000000"/>
          <w:sz w:val="22"/>
          <w:szCs w:val="22"/>
        </w:rPr>
        <w:t>ve</w:t>
      </w:r>
      <w:r w:rsidR="001A6032" w:rsidRPr="00FF55BF">
        <w:rPr>
          <w:rFonts w:asciiTheme="minorHAnsi" w:hAnsiTheme="minorHAnsi"/>
          <w:color w:val="000000"/>
          <w:sz w:val="22"/>
          <w:szCs w:val="22"/>
        </w:rPr>
        <w:t xml:space="preserve"> met </w:t>
      </w:r>
      <w:r w:rsidR="001A6032" w:rsidRPr="00EA6DFA">
        <w:rPr>
          <w:rFonts w:asciiTheme="minorHAnsi" w:hAnsiTheme="minorHAnsi"/>
          <w:color w:val="000000"/>
          <w:sz w:val="22"/>
          <w:szCs w:val="22"/>
        </w:rPr>
        <w:t>CDC’s</w:t>
      </w:r>
      <w:r w:rsidR="00EA6DFA" w:rsidRPr="00EA6DFA">
        <w:rPr>
          <w:rFonts w:asciiTheme="minorHAnsi" w:hAnsiTheme="minorHAnsi"/>
          <w:color w:val="000000"/>
          <w:sz w:val="22"/>
          <w:szCs w:val="22"/>
        </w:rPr>
        <w:t xml:space="preserve"> </w:t>
      </w:r>
      <w:r w:rsidR="00EA6DFA" w:rsidRPr="00383EAA">
        <w:rPr>
          <w:rFonts w:asciiTheme="minorHAnsi" w:hAnsiTheme="minorHAnsi"/>
          <w:color w:val="000000"/>
          <w:sz w:val="22"/>
          <w:szCs w:val="22"/>
          <w:highlight w:val="yellow"/>
        </w:rPr>
        <w:t>Security Assessment and Authorization</w:t>
      </w:r>
      <w:r w:rsidR="001A6032" w:rsidRPr="00383EAA">
        <w:rPr>
          <w:rFonts w:asciiTheme="minorHAnsi" w:hAnsiTheme="minorHAnsi"/>
          <w:color w:val="000000"/>
          <w:sz w:val="22"/>
          <w:szCs w:val="22"/>
          <w:highlight w:val="yellow"/>
        </w:rPr>
        <w:t xml:space="preserve"> </w:t>
      </w:r>
      <w:r w:rsidR="00881F72">
        <w:rPr>
          <w:rFonts w:asciiTheme="minorHAnsi" w:hAnsiTheme="minorHAnsi"/>
          <w:color w:val="000000"/>
          <w:sz w:val="22"/>
          <w:szCs w:val="22"/>
          <w:highlight w:val="yellow"/>
        </w:rPr>
        <w:t>(</w:t>
      </w:r>
      <w:r w:rsidR="00EA6DFA" w:rsidRPr="00383EAA">
        <w:rPr>
          <w:rFonts w:asciiTheme="minorHAnsi" w:hAnsiTheme="minorHAnsi"/>
          <w:color w:val="000000"/>
          <w:sz w:val="22"/>
          <w:szCs w:val="22"/>
          <w:highlight w:val="yellow"/>
        </w:rPr>
        <w:t>SA&amp;A</w:t>
      </w:r>
      <w:r w:rsidR="00881F72">
        <w:rPr>
          <w:rFonts w:asciiTheme="minorHAnsi" w:hAnsiTheme="minorHAnsi"/>
          <w:color w:val="000000"/>
          <w:sz w:val="22"/>
          <w:szCs w:val="22"/>
          <w:highlight w:val="yellow"/>
        </w:rPr>
        <w:t>)</w:t>
      </w:r>
      <w:r w:rsidR="00EA6DFA" w:rsidRPr="00383EAA">
        <w:rPr>
          <w:rFonts w:asciiTheme="minorHAnsi" w:hAnsiTheme="minorHAnsi"/>
          <w:color w:val="000000"/>
          <w:sz w:val="22"/>
          <w:szCs w:val="22"/>
          <w:highlight w:val="yellow"/>
        </w:rPr>
        <w:t xml:space="preserve"> </w:t>
      </w:r>
      <w:r w:rsidR="001A6032" w:rsidRPr="00383EAA">
        <w:rPr>
          <w:rFonts w:asciiTheme="minorHAnsi" w:hAnsiTheme="minorHAnsi"/>
          <w:color w:val="000000"/>
          <w:sz w:val="22"/>
          <w:szCs w:val="22"/>
          <w:highlight w:val="yellow"/>
        </w:rPr>
        <w:t>process</w:t>
      </w:r>
      <w:r w:rsidR="001A6032" w:rsidRPr="00FF55BF">
        <w:rPr>
          <w:rFonts w:asciiTheme="minorHAnsi" w:hAnsiTheme="minorHAnsi"/>
          <w:color w:val="000000"/>
          <w:sz w:val="22"/>
          <w:szCs w:val="22"/>
        </w:rPr>
        <w:t>, in which the</w:t>
      </w:r>
      <w:r w:rsidR="00931178">
        <w:rPr>
          <w:rFonts w:asciiTheme="minorHAnsi" w:hAnsiTheme="minorHAnsi"/>
          <w:color w:val="000000"/>
          <w:sz w:val="22"/>
          <w:szCs w:val="22"/>
        </w:rPr>
        <w:t xml:space="preserve"> CDC WONDER constraints</w:t>
      </w:r>
      <w:r w:rsidR="001A6032" w:rsidRPr="00FF55BF">
        <w:rPr>
          <w:rFonts w:asciiTheme="minorHAnsi" w:hAnsiTheme="minorHAnsi"/>
          <w:color w:val="000000"/>
          <w:sz w:val="22"/>
          <w:szCs w:val="22"/>
        </w:rPr>
        <w:t xml:space="preserve"> are examined and validated by the CDC’s Office of the Chief Information Security Officer</w:t>
      </w:r>
      <w:r w:rsidR="005A4B09">
        <w:rPr>
          <w:rFonts w:asciiTheme="minorHAnsi" w:hAnsiTheme="minorHAnsi"/>
          <w:color w:val="000000"/>
          <w:sz w:val="22"/>
          <w:szCs w:val="22"/>
        </w:rPr>
        <w:t xml:space="preserve"> (OCISO)</w:t>
      </w:r>
      <w:r w:rsidR="001A6032" w:rsidRPr="00FF55BF">
        <w:rPr>
          <w:rFonts w:asciiTheme="minorHAnsi" w:hAnsiTheme="minorHAnsi"/>
          <w:color w:val="000000"/>
          <w:sz w:val="22"/>
          <w:szCs w:val="22"/>
        </w:rPr>
        <w:t>.</w:t>
      </w:r>
      <w:r w:rsidR="00FC70C0">
        <w:rPr>
          <w:rFonts w:asciiTheme="minorHAnsi" w:hAnsiTheme="minorHAnsi"/>
          <w:color w:val="000000"/>
          <w:sz w:val="22"/>
          <w:szCs w:val="22"/>
        </w:rPr>
        <w:t xml:space="preserve"> </w:t>
      </w:r>
      <w:r w:rsidR="00BE2124">
        <w:rPr>
          <w:rFonts w:asciiTheme="minorHAnsi" w:hAnsiTheme="minorHAnsi"/>
          <w:color w:val="000000"/>
          <w:sz w:val="22"/>
          <w:szCs w:val="22"/>
        </w:rPr>
        <w:t>O</w:t>
      </w:r>
      <w:r w:rsidR="005A4B09" w:rsidRPr="005A4B09">
        <w:rPr>
          <w:rFonts w:asciiTheme="minorHAnsi" w:hAnsiTheme="minorHAnsi"/>
          <w:color w:val="000000"/>
          <w:sz w:val="22"/>
          <w:szCs w:val="22"/>
        </w:rPr>
        <w:t xml:space="preserve">nly </w:t>
      </w:r>
      <w:r w:rsidR="005A4B09">
        <w:rPr>
          <w:rFonts w:asciiTheme="minorHAnsi" w:hAnsiTheme="minorHAnsi"/>
          <w:color w:val="000000"/>
          <w:sz w:val="22"/>
          <w:szCs w:val="22"/>
        </w:rPr>
        <w:t>p</w:t>
      </w:r>
      <w:r w:rsidR="005A4B09" w:rsidRPr="005A4B09">
        <w:rPr>
          <w:rFonts w:asciiTheme="minorHAnsi" w:hAnsiTheme="minorHAnsi"/>
          <w:color w:val="000000"/>
          <w:sz w:val="22"/>
          <w:szCs w:val="22"/>
        </w:rPr>
        <w:t xml:space="preserve">ublic use, non-PII data </w:t>
      </w:r>
      <w:r w:rsidR="00BE2124">
        <w:rPr>
          <w:rFonts w:asciiTheme="minorHAnsi" w:hAnsiTheme="minorHAnsi"/>
          <w:color w:val="000000"/>
          <w:sz w:val="22"/>
          <w:szCs w:val="22"/>
        </w:rPr>
        <w:t xml:space="preserve">in the form of summary statistics </w:t>
      </w:r>
      <w:r w:rsidR="005A4B09" w:rsidRPr="005A4B09">
        <w:rPr>
          <w:rFonts w:asciiTheme="minorHAnsi" w:hAnsiTheme="minorHAnsi"/>
          <w:color w:val="000000"/>
          <w:sz w:val="22"/>
          <w:szCs w:val="22"/>
        </w:rPr>
        <w:t>are uploaded</w:t>
      </w:r>
      <w:r w:rsidR="005A4B09">
        <w:rPr>
          <w:rFonts w:asciiTheme="minorHAnsi" w:hAnsiTheme="minorHAnsi"/>
          <w:color w:val="000000"/>
          <w:sz w:val="22"/>
          <w:szCs w:val="22"/>
        </w:rPr>
        <w:t xml:space="preserve"> to Data.CDC.gov per OCISO policy. </w:t>
      </w:r>
      <w:r w:rsidR="00E363E9">
        <w:rPr>
          <w:rFonts w:asciiTheme="minorHAnsi" w:hAnsiTheme="minorHAnsi"/>
          <w:color w:val="000000"/>
          <w:sz w:val="22"/>
          <w:szCs w:val="22"/>
        </w:rPr>
        <w:t xml:space="preserve">In addition, NNDSS data published on Data.CDC.gov are also published on DATA.GOV. </w:t>
      </w:r>
      <w:r w:rsidR="00FC70C0" w:rsidRPr="00FC70C0">
        <w:rPr>
          <w:rFonts w:asciiTheme="minorHAnsi" w:hAnsiTheme="minorHAnsi"/>
          <w:color w:val="000000"/>
          <w:sz w:val="22"/>
          <w:szCs w:val="22"/>
        </w:rPr>
        <w:t>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 and programs.</w:t>
      </w:r>
    </w:p>
    <w:p w:rsidR="00EA6DFA" w:rsidRPr="00FF55BF" w:rsidRDefault="00EA6DFA" w:rsidP="00925656">
      <w:pPr>
        <w:spacing w:line="360" w:lineRule="auto"/>
        <w:rPr>
          <w:rFonts w:asciiTheme="minorHAnsi" w:hAnsiTheme="minorHAnsi"/>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A.11. </w:t>
      </w:r>
      <w:r w:rsidR="00D53C2C" w:rsidRPr="00D53C2C">
        <w:rPr>
          <w:rFonts w:asciiTheme="minorHAnsi" w:hAnsiTheme="minorHAnsi"/>
          <w:b/>
          <w:sz w:val="22"/>
          <w:szCs w:val="22"/>
          <w:u w:val="single"/>
        </w:rPr>
        <w:t>Institutional Review Board (IRB) and Justification for Sensitive Questions</w:t>
      </w:r>
    </w:p>
    <w:p w:rsidR="00E92A1E" w:rsidRDefault="00E92A1E" w:rsidP="00925656">
      <w:pPr>
        <w:spacing w:line="360" w:lineRule="auto"/>
        <w:rPr>
          <w:rFonts w:asciiTheme="minorHAnsi" w:hAnsiTheme="minorHAnsi"/>
          <w:color w:val="000000"/>
          <w:sz w:val="22"/>
          <w:szCs w:val="22"/>
        </w:rPr>
      </w:pPr>
      <w:r>
        <w:rPr>
          <w:rFonts w:asciiTheme="minorHAnsi" w:hAnsiTheme="minorHAnsi"/>
          <w:color w:val="000000"/>
          <w:sz w:val="22"/>
          <w:szCs w:val="22"/>
        </w:rPr>
        <w:t>IRB Approval</w:t>
      </w:r>
    </w:p>
    <w:p w:rsidR="00E92A1E" w:rsidRDefault="00E92A1E" w:rsidP="00925656">
      <w:pPr>
        <w:spacing w:line="360" w:lineRule="auto"/>
        <w:rPr>
          <w:rFonts w:asciiTheme="minorHAnsi" w:hAnsiTheme="minorHAnsi"/>
          <w:color w:val="000000"/>
          <w:sz w:val="22"/>
          <w:szCs w:val="22"/>
        </w:rPr>
      </w:pPr>
      <w:r w:rsidRPr="00E92A1E">
        <w:rPr>
          <w:rFonts w:asciiTheme="minorHAnsi" w:hAnsiTheme="minorHAnsi"/>
          <w:color w:val="000000"/>
          <w:sz w:val="22"/>
          <w:szCs w:val="22"/>
        </w:rPr>
        <w:t xml:space="preserve">This activity does not require Institutional Review Board (IRB) documentation as this activity is public health practice (surveillance), not research </w:t>
      </w:r>
      <w:r w:rsidRPr="0036001D">
        <w:rPr>
          <w:rFonts w:asciiTheme="minorHAnsi" w:hAnsiTheme="minorHAnsi"/>
          <w:b/>
          <w:color w:val="000000"/>
          <w:sz w:val="22"/>
          <w:szCs w:val="22"/>
        </w:rPr>
        <w:t xml:space="preserve">[Attachment </w:t>
      </w:r>
      <w:r w:rsidR="00470AA1">
        <w:rPr>
          <w:rFonts w:asciiTheme="minorHAnsi" w:hAnsiTheme="minorHAnsi"/>
          <w:b/>
          <w:color w:val="000000"/>
          <w:sz w:val="22"/>
          <w:szCs w:val="22"/>
        </w:rPr>
        <w:t>19</w:t>
      </w:r>
      <w:r w:rsidRPr="0036001D">
        <w:rPr>
          <w:rFonts w:asciiTheme="minorHAnsi" w:hAnsiTheme="minorHAnsi"/>
          <w:b/>
          <w:color w:val="000000"/>
          <w:sz w:val="22"/>
          <w:szCs w:val="22"/>
        </w:rPr>
        <w:t>. NNDSS Research Determination]</w:t>
      </w:r>
      <w:r w:rsidRPr="00E92A1E">
        <w:rPr>
          <w:rFonts w:asciiTheme="minorHAnsi" w:hAnsiTheme="minorHAnsi"/>
          <w:color w:val="000000"/>
          <w:sz w:val="22"/>
          <w:szCs w:val="22"/>
        </w:rPr>
        <w:t>.</w:t>
      </w:r>
    </w:p>
    <w:p w:rsidR="00520BE1" w:rsidRDefault="00520BE1" w:rsidP="00925656">
      <w:pPr>
        <w:spacing w:line="360" w:lineRule="auto"/>
        <w:rPr>
          <w:rFonts w:asciiTheme="minorHAnsi" w:hAnsiTheme="minorHAnsi"/>
          <w:color w:val="000000"/>
          <w:sz w:val="22"/>
          <w:szCs w:val="22"/>
        </w:rPr>
      </w:pPr>
    </w:p>
    <w:p w:rsidR="00E92A1E" w:rsidRDefault="00E92A1E" w:rsidP="00925656">
      <w:pPr>
        <w:spacing w:line="360" w:lineRule="auto"/>
        <w:rPr>
          <w:rFonts w:asciiTheme="minorHAnsi" w:hAnsiTheme="minorHAnsi"/>
          <w:color w:val="000000"/>
          <w:sz w:val="22"/>
          <w:szCs w:val="22"/>
        </w:rPr>
      </w:pPr>
      <w:r>
        <w:rPr>
          <w:rFonts w:asciiTheme="minorHAnsi" w:hAnsiTheme="minorHAnsi"/>
          <w:color w:val="000000"/>
          <w:sz w:val="22"/>
          <w:szCs w:val="22"/>
        </w:rPr>
        <w:t>Sensitive Questions</w:t>
      </w:r>
    </w:p>
    <w:p w:rsidR="00E92A1E" w:rsidRPr="00E92A1E" w:rsidRDefault="00F434B4" w:rsidP="00925656">
      <w:pPr>
        <w:spacing w:line="360" w:lineRule="auto"/>
        <w:rPr>
          <w:rFonts w:asciiTheme="minorHAnsi" w:hAnsiTheme="minorHAnsi"/>
          <w:color w:val="000000"/>
          <w:sz w:val="22"/>
          <w:szCs w:val="22"/>
        </w:rPr>
      </w:pPr>
      <w:r>
        <w:rPr>
          <w:rFonts w:asciiTheme="minorHAnsi" w:hAnsiTheme="minorHAnsi"/>
          <w:color w:val="000000"/>
          <w:sz w:val="22"/>
          <w:szCs w:val="22"/>
        </w:rPr>
        <w:t xml:space="preserve">The </w:t>
      </w:r>
      <w:r w:rsidR="00563B3B" w:rsidRPr="00FF55BF">
        <w:rPr>
          <w:rFonts w:asciiTheme="minorHAnsi" w:hAnsiTheme="minorHAnsi"/>
          <w:color w:val="000000"/>
          <w:sz w:val="22"/>
          <w:szCs w:val="22"/>
        </w:rPr>
        <w:t>NNDSS does not ask questions of a sensitive nature, but</w:t>
      </w:r>
      <w:r w:rsidR="008653A9" w:rsidRPr="00FF55BF">
        <w:rPr>
          <w:rFonts w:asciiTheme="minorHAnsi" w:hAnsiTheme="minorHAnsi"/>
          <w:color w:val="000000"/>
          <w:sz w:val="22"/>
          <w:szCs w:val="22"/>
        </w:rPr>
        <w:t xml:space="preserve"> </w:t>
      </w:r>
      <w:r w:rsidR="00563B3B" w:rsidRPr="00FF55BF">
        <w:rPr>
          <w:rFonts w:asciiTheme="minorHAnsi" w:hAnsiTheme="minorHAnsi"/>
          <w:color w:val="000000"/>
          <w:sz w:val="22"/>
          <w:szCs w:val="22"/>
        </w:rPr>
        <w:t xml:space="preserve">information is </w:t>
      </w:r>
      <w:r w:rsidR="004219A8" w:rsidRPr="00FF55BF">
        <w:rPr>
          <w:rFonts w:asciiTheme="minorHAnsi" w:hAnsiTheme="minorHAnsi"/>
          <w:color w:val="000000"/>
          <w:sz w:val="22"/>
          <w:szCs w:val="22"/>
        </w:rPr>
        <w:t>submitted</w:t>
      </w:r>
      <w:r w:rsidR="00563B3B" w:rsidRPr="00FF55BF">
        <w:rPr>
          <w:rFonts w:asciiTheme="minorHAnsi" w:hAnsiTheme="minorHAnsi"/>
          <w:color w:val="000000"/>
          <w:sz w:val="22"/>
          <w:szCs w:val="22"/>
        </w:rPr>
        <w:t xml:space="preserve"> about sensitive topics, including whether a patient has sexually transmitted diseases and </w:t>
      </w:r>
      <w:r w:rsidR="0014112F" w:rsidRPr="00FF55BF">
        <w:rPr>
          <w:rFonts w:asciiTheme="minorHAnsi" w:hAnsiTheme="minorHAnsi"/>
          <w:color w:val="000000"/>
          <w:sz w:val="22"/>
          <w:szCs w:val="22"/>
        </w:rPr>
        <w:t>sexual and drug-using behaviors</w:t>
      </w:r>
      <w:r w:rsidR="00563B3B" w:rsidRPr="00FF55BF">
        <w:rPr>
          <w:rFonts w:asciiTheme="minorHAnsi" w:hAnsiTheme="minorHAnsi"/>
          <w:color w:val="000000"/>
          <w:sz w:val="22"/>
          <w:szCs w:val="22"/>
        </w:rPr>
        <w:t xml:space="preserve">. </w:t>
      </w:r>
      <w:r w:rsidR="00550B2C" w:rsidRPr="00FF55BF">
        <w:rPr>
          <w:rFonts w:asciiTheme="minorHAnsi" w:hAnsiTheme="minorHAnsi"/>
          <w:color w:val="000000"/>
          <w:sz w:val="22"/>
          <w:szCs w:val="22"/>
        </w:rPr>
        <w:t xml:space="preserve"> </w:t>
      </w:r>
      <w:r>
        <w:rPr>
          <w:rFonts w:asciiTheme="minorHAnsi" w:hAnsiTheme="minorHAnsi"/>
          <w:color w:val="000000"/>
          <w:sz w:val="22"/>
          <w:szCs w:val="22"/>
        </w:rPr>
        <w:t xml:space="preserve">The </w:t>
      </w:r>
      <w:r w:rsidR="00563B3B" w:rsidRPr="00FF55BF">
        <w:rPr>
          <w:rFonts w:asciiTheme="minorHAnsi" w:hAnsiTheme="minorHAnsi"/>
          <w:color w:val="000000"/>
          <w:sz w:val="22"/>
          <w:szCs w:val="22"/>
        </w:rPr>
        <w:t>NNDSS must</w:t>
      </w:r>
      <w:r w:rsidR="004219A8" w:rsidRPr="00FF55BF">
        <w:rPr>
          <w:rFonts w:asciiTheme="minorHAnsi" w:hAnsiTheme="minorHAnsi"/>
          <w:color w:val="000000"/>
          <w:sz w:val="22"/>
          <w:szCs w:val="22"/>
        </w:rPr>
        <w:t xml:space="preserve"> receive</w:t>
      </w:r>
      <w:r w:rsidR="00563B3B" w:rsidRPr="00FF55BF">
        <w:rPr>
          <w:rFonts w:asciiTheme="minorHAnsi" w:hAnsiTheme="minorHAnsi"/>
          <w:color w:val="000000"/>
          <w:sz w:val="22"/>
          <w:szCs w:val="22"/>
        </w:rPr>
        <w:t xml:space="preserve"> information about sensitive notifiable diseases in order </w:t>
      </w:r>
      <w:r w:rsidR="00660024" w:rsidRPr="00FF55BF">
        <w:rPr>
          <w:rFonts w:asciiTheme="minorHAnsi" w:hAnsiTheme="minorHAnsi"/>
          <w:color w:val="000000"/>
          <w:sz w:val="22"/>
          <w:szCs w:val="22"/>
        </w:rPr>
        <w:t xml:space="preserve">to monitor the </w:t>
      </w:r>
      <w:r w:rsidR="00563B3B" w:rsidRPr="00FF55BF">
        <w:rPr>
          <w:rFonts w:asciiTheme="minorHAnsi" w:hAnsiTheme="minorHAnsi"/>
          <w:color w:val="000000"/>
          <w:sz w:val="22"/>
          <w:szCs w:val="22"/>
        </w:rPr>
        <w:t xml:space="preserve">occurrence of the diseases </w:t>
      </w:r>
      <w:r w:rsidR="00660024" w:rsidRPr="00FF55BF">
        <w:rPr>
          <w:rFonts w:asciiTheme="minorHAnsi" w:hAnsiTheme="minorHAnsi"/>
          <w:color w:val="000000"/>
          <w:sz w:val="22"/>
          <w:szCs w:val="22"/>
        </w:rPr>
        <w:t xml:space="preserve">so that </w:t>
      </w:r>
      <w:r w:rsidR="00563B3B" w:rsidRPr="00FF55BF">
        <w:rPr>
          <w:rFonts w:asciiTheme="minorHAnsi" w:hAnsiTheme="minorHAnsi"/>
          <w:color w:val="000000"/>
          <w:sz w:val="22"/>
          <w:szCs w:val="22"/>
        </w:rPr>
        <w:t xml:space="preserve">effective prevention and control programs </w:t>
      </w:r>
      <w:r w:rsidR="00660024" w:rsidRPr="00FF55BF">
        <w:rPr>
          <w:rFonts w:asciiTheme="minorHAnsi" w:hAnsiTheme="minorHAnsi"/>
          <w:color w:val="000000"/>
          <w:sz w:val="22"/>
          <w:szCs w:val="22"/>
        </w:rPr>
        <w:t xml:space="preserve">can be </w:t>
      </w:r>
      <w:r w:rsidR="00F119A0" w:rsidRPr="00FF55BF">
        <w:rPr>
          <w:rFonts w:asciiTheme="minorHAnsi" w:hAnsiTheme="minorHAnsi"/>
          <w:color w:val="000000"/>
          <w:sz w:val="22"/>
          <w:szCs w:val="22"/>
        </w:rPr>
        <w:t xml:space="preserve">planned and </w:t>
      </w:r>
      <w:r w:rsidR="00660024" w:rsidRPr="00FF55BF">
        <w:rPr>
          <w:rFonts w:asciiTheme="minorHAnsi" w:hAnsiTheme="minorHAnsi"/>
          <w:color w:val="000000"/>
          <w:sz w:val="22"/>
          <w:szCs w:val="22"/>
        </w:rPr>
        <w:t>implemented.</w:t>
      </w:r>
      <w:r w:rsidR="00563B3B" w:rsidRPr="00FF55BF">
        <w:rPr>
          <w:rFonts w:asciiTheme="minorHAnsi" w:hAnsiTheme="minorHAnsi"/>
          <w:color w:val="000000"/>
          <w:sz w:val="22"/>
          <w:szCs w:val="22"/>
        </w:rPr>
        <w:t xml:space="preserve">  </w:t>
      </w:r>
    </w:p>
    <w:p w:rsidR="00B23E76" w:rsidRDefault="00B23E76" w:rsidP="00925656">
      <w:pPr>
        <w:spacing w:line="360" w:lineRule="auto"/>
        <w:rPr>
          <w:rFonts w:asciiTheme="minorHAnsi" w:hAnsiTheme="minorHAnsi"/>
          <w:b/>
          <w:color w:val="0000FF"/>
          <w:sz w:val="22"/>
          <w:szCs w:val="22"/>
        </w:rPr>
      </w:pPr>
    </w:p>
    <w:p w:rsidR="003F592D" w:rsidRPr="00FF55BF" w:rsidRDefault="003F592D" w:rsidP="00925656">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A.12. </w:t>
      </w:r>
      <w:r w:rsidRPr="00FF55BF">
        <w:rPr>
          <w:rFonts w:asciiTheme="minorHAnsi" w:hAnsiTheme="minorHAnsi"/>
          <w:b/>
          <w:color w:val="000000"/>
          <w:sz w:val="22"/>
          <w:szCs w:val="22"/>
          <w:u w:val="single"/>
        </w:rPr>
        <w:t>Estimates of Annualized Burden Hours and Costs</w:t>
      </w:r>
      <w:r w:rsidR="00232DD7" w:rsidRPr="00FF55BF">
        <w:rPr>
          <w:rFonts w:asciiTheme="minorHAnsi" w:hAnsiTheme="minorHAnsi"/>
          <w:b/>
          <w:color w:val="000000"/>
          <w:sz w:val="22"/>
          <w:szCs w:val="22"/>
          <w:u w:val="single"/>
        </w:rPr>
        <w:t xml:space="preserve"> </w:t>
      </w:r>
    </w:p>
    <w:p w:rsidR="006279DA" w:rsidRDefault="00C2062A" w:rsidP="00925656">
      <w:pPr>
        <w:spacing w:line="360" w:lineRule="auto"/>
        <w:rPr>
          <w:rFonts w:asciiTheme="minorHAnsi" w:hAnsiTheme="minorHAnsi"/>
          <w:sz w:val="22"/>
          <w:szCs w:val="22"/>
          <w:highlight w:val="yellow"/>
        </w:rPr>
      </w:pPr>
      <w:r w:rsidRPr="00B5342D">
        <w:rPr>
          <w:rFonts w:asciiTheme="minorHAnsi" w:hAnsiTheme="minorHAnsi"/>
          <w:sz w:val="22"/>
          <w:szCs w:val="22"/>
          <w:highlight w:val="yellow"/>
        </w:rPr>
        <w:t xml:space="preserve">As stated in A.1 above, this application </w:t>
      </w:r>
      <w:r w:rsidR="00B5342D" w:rsidRPr="00B5342D">
        <w:rPr>
          <w:rFonts w:asciiTheme="minorHAnsi" w:hAnsiTheme="minorHAnsi"/>
          <w:sz w:val="22"/>
          <w:szCs w:val="22"/>
          <w:highlight w:val="yellow"/>
        </w:rPr>
        <w:t xml:space="preserve">is the </w:t>
      </w:r>
      <w:r w:rsidR="0034632B">
        <w:rPr>
          <w:rFonts w:asciiTheme="minorHAnsi" w:hAnsiTheme="minorHAnsi"/>
          <w:sz w:val="22"/>
          <w:szCs w:val="22"/>
          <w:highlight w:val="yellow"/>
        </w:rPr>
        <w:t>third</w:t>
      </w:r>
      <w:r w:rsidR="00B5342D" w:rsidRPr="00B5342D">
        <w:rPr>
          <w:rFonts w:asciiTheme="minorHAnsi" w:hAnsiTheme="minorHAnsi"/>
          <w:sz w:val="22"/>
          <w:szCs w:val="22"/>
          <w:highlight w:val="yellow"/>
        </w:rPr>
        <w:t xml:space="preserve"> revision to the previous application for 0920-0728 (approved by OMB on January 15, 2014) which consolidated </w:t>
      </w:r>
      <w:r w:rsidRPr="00B5342D">
        <w:rPr>
          <w:rFonts w:asciiTheme="minorHAnsi" w:hAnsiTheme="minorHAnsi"/>
          <w:sz w:val="22"/>
          <w:szCs w:val="22"/>
          <w:highlight w:val="yellow"/>
        </w:rPr>
        <w:t xml:space="preserve">Control No. 0920-0128, parts of 0819, 0009, and 0004, into Control No. 0920-0728. </w:t>
      </w:r>
    </w:p>
    <w:p w:rsidR="002117B5" w:rsidRDefault="002117B5" w:rsidP="00925656">
      <w:pPr>
        <w:spacing w:line="360" w:lineRule="auto"/>
        <w:rPr>
          <w:rFonts w:asciiTheme="minorHAnsi" w:hAnsiTheme="minorHAnsi"/>
          <w:sz w:val="22"/>
          <w:szCs w:val="22"/>
          <w:highlight w:val="yellow"/>
        </w:rPr>
      </w:pPr>
    </w:p>
    <w:p w:rsidR="0034632B" w:rsidRDefault="002117B5" w:rsidP="00C106D7">
      <w:pPr>
        <w:spacing w:line="360" w:lineRule="auto"/>
        <w:rPr>
          <w:rFonts w:asciiTheme="minorHAnsi" w:hAnsiTheme="minorHAnsi"/>
          <w:sz w:val="22"/>
          <w:szCs w:val="22"/>
          <w:highlight w:val="yellow"/>
        </w:rPr>
      </w:pPr>
      <w:r w:rsidRPr="008600A1">
        <w:rPr>
          <w:rFonts w:asciiTheme="minorHAnsi" w:hAnsiTheme="minorHAnsi"/>
          <w:sz w:val="22"/>
          <w:szCs w:val="22"/>
          <w:highlight w:val="yellow"/>
        </w:rPr>
        <w:t xml:space="preserve">The burden estimates in Table </w:t>
      </w:r>
      <w:r w:rsidR="00225157" w:rsidRPr="008600A1">
        <w:rPr>
          <w:rFonts w:asciiTheme="minorHAnsi" w:hAnsiTheme="minorHAnsi"/>
          <w:sz w:val="22"/>
          <w:szCs w:val="22"/>
          <w:highlight w:val="yellow"/>
        </w:rPr>
        <w:t>A</w:t>
      </w:r>
      <w:r w:rsidRPr="008600A1">
        <w:rPr>
          <w:rFonts w:asciiTheme="minorHAnsi" w:hAnsiTheme="minorHAnsi"/>
          <w:sz w:val="22"/>
          <w:szCs w:val="22"/>
          <w:highlight w:val="yellow"/>
        </w:rPr>
        <w:t xml:space="preserve">12A below </w:t>
      </w:r>
      <w:r w:rsidR="00E034F6" w:rsidRPr="008600A1">
        <w:rPr>
          <w:rFonts w:asciiTheme="minorHAnsi" w:hAnsiTheme="minorHAnsi"/>
          <w:sz w:val="22"/>
          <w:szCs w:val="22"/>
          <w:highlight w:val="yellow"/>
        </w:rPr>
        <w:t xml:space="preserve">include the </w:t>
      </w:r>
      <w:r w:rsidR="008B49BB" w:rsidRPr="008600A1">
        <w:rPr>
          <w:rFonts w:asciiTheme="minorHAnsi" w:hAnsiTheme="minorHAnsi"/>
          <w:sz w:val="22"/>
          <w:szCs w:val="22"/>
          <w:highlight w:val="yellow"/>
        </w:rPr>
        <w:t xml:space="preserve">estimates of </w:t>
      </w:r>
      <w:r w:rsidR="00E034F6" w:rsidRPr="008600A1">
        <w:rPr>
          <w:rFonts w:asciiTheme="minorHAnsi" w:hAnsiTheme="minorHAnsi"/>
          <w:sz w:val="22"/>
          <w:szCs w:val="22"/>
          <w:highlight w:val="yellow"/>
        </w:rPr>
        <w:t xml:space="preserve">burden hours </w:t>
      </w:r>
      <w:r w:rsidR="00210B4A" w:rsidRPr="008600A1">
        <w:rPr>
          <w:rFonts w:asciiTheme="minorHAnsi" w:hAnsiTheme="minorHAnsi"/>
          <w:sz w:val="22"/>
          <w:szCs w:val="22"/>
          <w:highlight w:val="yellow"/>
        </w:rPr>
        <w:t xml:space="preserve">for the key changes in this revision including: </w:t>
      </w:r>
    </w:p>
    <w:p w:rsidR="006F220E" w:rsidRPr="00C106D7" w:rsidRDefault="00210B4A" w:rsidP="005D171D">
      <w:pPr>
        <w:spacing w:line="360" w:lineRule="auto"/>
        <w:rPr>
          <w:rFonts w:asciiTheme="minorHAnsi" w:hAnsiTheme="minorHAnsi"/>
          <w:sz w:val="22"/>
          <w:szCs w:val="22"/>
        </w:rPr>
      </w:pPr>
      <w:r w:rsidRPr="00B404E8">
        <w:rPr>
          <w:rFonts w:asciiTheme="minorHAnsi" w:hAnsiTheme="minorHAnsi"/>
          <w:sz w:val="22"/>
          <w:szCs w:val="22"/>
          <w:highlight w:val="yellow"/>
        </w:rPr>
        <w:t xml:space="preserve">1) </w:t>
      </w:r>
      <w:r w:rsidR="00E851FA" w:rsidRPr="00B404E8">
        <w:rPr>
          <w:rFonts w:asciiTheme="minorHAnsi" w:hAnsiTheme="minorHAnsi"/>
          <w:sz w:val="22"/>
          <w:szCs w:val="22"/>
          <w:highlight w:val="yellow"/>
        </w:rPr>
        <w:t>the one-time increase in burden hours that states, territories, and cities, will incur to send case notification data for</w:t>
      </w:r>
      <w:r w:rsidR="008D7D6E" w:rsidRPr="00B404E8">
        <w:rPr>
          <w:rFonts w:asciiTheme="minorHAnsi" w:hAnsiTheme="minorHAnsi"/>
          <w:sz w:val="22"/>
          <w:szCs w:val="22"/>
          <w:highlight w:val="yellow"/>
        </w:rPr>
        <w:t xml:space="preserve"> </w:t>
      </w:r>
      <w:r w:rsidR="0062295B" w:rsidRPr="00B404E8">
        <w:rPr>
          <w:rFonts w:asciiTheme="minorHAnsi" w:hAnsiTheme="minorHAnsi"/>
          <w:i/>
          <w:sz w:val="22"/>
          <w:szCs w:val="22"/>
          <w:highlight w:val="yellow"/>
        </w:rPr>
        <w:t>C. auris</w:t>
      </w:r>
      <w:r w:rsidR="0062295B" w:rsidRPr="00B404E8">
        <w:rPr>
          <w:rFonts w:asciiTheme="minorHAnsi" w:hAnsiTheme="minorHAnsi"/>
          <w:sz w:val="22"/>
          <w:szCs w:val="22"/>
          <w:highlight w:val="yellow"/>
        </w:rPr>
        <w:t xml:space="preserve"> , </w:t>
      </w:r>
      <w:r w:rsidR="008D7D6E" w:rsidRPr="00B404E8">
        <w:rPr>
          <w:rFonts w:asciiTheme="minorHAnsi" w:hAnsiTheme="minorHAnsi"/>
          <w:sz w:val="22"/>
          <w:szCs w:val="22"/>
          <w:highlight w:val="yellow"/>
        </w:rPr>
        <w:t>CP-CRE</w:t>
      </w:r>
      <w:r w:rsidR="0062295B" w:rsidRPr="00B404E8">
        <w:rPr>
          <w:rFonts w:asciiTheme="minorHAnsi" w:hAnsiTheme="minorHAnsi"/>
          <w:sz w:val="22"/>
          <w:szCs w:val="22"/>
          <w:highlight w:val="yellow"/>
        </w:rPr>
        <w:t>, CO Poisoning, TB</w:t>
      </w:r>
      <w:r w:rsidR="00B90A9D" w:rsidRPr="00B404E8">
        <w:rPr>
          <w:rFonts w:asciiTheme="minorHAnsi" w:hAnsiTheme="minorHAnsi"/>
          <w:sz w:val="22"/>
          <w:szCs w:val="22"/>
          <w:highlight w:val="yellow"/>
        </w:rPr>
        <w:t xml:space="preserve"> Disease</w:t>
      </w:r>
      <w:r w:rsidR="0062295B" w:rsidRPr="00B404E8">
        <w:rPr>
          <w:rFonts w:asciiTheme="minorHAnsi" w:hAnsiTheme="minorHAnsi"/>
          <w:sz w:val="22"/>
          <w:szCs w:val="22"/>
          <w:highlight w:val="yellow"/>
        </w:rPr>
        <w:t xml:space="preserve">, </w:t>
      </w:r>
      <w:r w:rsidR="00B90A9D" w:rsidRPr="00B404E8">
        <w:rPr>
          <w:rFonts w:asciiTheme="minorHAnsi" w:hAnsiTheme="minorHAnsi"/>
          <w:sz w:val="22"/>
          <w:szCs w:val="22"/>
          <w:highlight w:val="yellow"/>
        </w:rPr>
        <w:t>T</w:t>
      </w:r>
      <w:r w:rsidR="0062295B" w:rsidRPr="00B404E8">
        <w:rPr>
          <w:rFonts w:asciiTheme="minorHAnsi" w:hAnsiTheme="minorHAnsi"/>
          <w:sz w:val="22"/>
          <w:szCs w:val="22"/>
          <w:highlight w:val="yellow"/>
        </w:rPr>
        <w:t>B</w:t>
      </w:r>
      <w:r w:rsidR="00B90A9D" w:rsidRPr="00B404E8">
        <w:rPr>
          <w:rFonts w:asciiTheme="minorHAnsi" w:hAnsiTheme="minorHAnsi"/>
          <w:sz w:val="22"/>
          <w:szCs w:val="22"/>
          <w:highlight w:val="yellow"/>
        </w:rPr>
        <w:t xml:space="preserve"> Infection, </w:t>
      </w:r>
      <w:r w:rsidR="00B90A9D" w:rsidRPr="00B404E8">
        <w:rPr>
          <w:rFonts w:asciiTheme="minorHAnsi" w:hAnsiTheme="minorHAnsi"/>
          <w:i/>
          <w:sz w:val="22"/>
          <w:szCs w:val="22"/>
          <w:highlight w:val="yellow"/>
        </w:rPr>
        <w:t>S</w:t>
      </w:r>
      <w:r w:rsidR="00B90A9D" w:rsidRPr="00B404E8">
        <w:rPr>
          <w:rFonts w:asciiTheme="minorHAnsi" w:hAnsiTheme="minorHAnsi"/>
          <w:sz w:val="22"/>
          <w:szCs w:val="22"/>
          <w:highlight w:val="yellow"/>
        </w:rPr>
        <w:t>. Paratyphi, and RSV-Associated Mortality</w:t>
      </w:r>
      <w:r w:rsidR="00EB3883" w:rsidRPr="00B404E8">
        <w:rPr>
          <w:rFonts w:asciiTheme="minorHAnsi" w:hAnsiTheme="minorHAnsi"/>
          <w:sz w:val="22"/>
          <w:szCs w:val="22"/>
          <w:highlight w:val="yellow"/>
        </w:rPr>
        <w:t xml:space="preserve">; </w:t>
      </w:r>
      <w:r w:rsidR="00B90A9D" w:rsidRPr="00B404E8">
        <w:rPr>
          <w:rFonts w:asciiTheme="minorHAnsi" w:hAnsiTheme="minorHAnsi"/>
          <w:sz w:val="22"/>
          <w:szCs w:val="22"/>
          <w:highlight w:val="yellow"/>
        </w:rPr>
        <w:t xml:space="preserve"> </w:t>
      </w:r>
      <w:r w:rsidR="001F7D0A" w:rsidRPr="00B404E8">
        <w:rPr>
          <w:rFonts w:asciiTheme="minorHAnsi" w:hAnsiTheme="minorHAnsi"/>
          <w:sz w:val="22"/>
          <w:szCs w:val="22"/>
          <w:highlight w:val="yellow"/>
        </w:rPr>
        <w:t xml:space="preserve">2) </w:t>
      </w:r>
      <w:r w:rsidR="00E034F6" w:rsidRPr="00B404E8">
        <w:rPr>
          <w:rFonts w:asciiTheme="minorHAnsi" w:hAnsiTheme="minorHAnsi"/>
          <w:sz w:val="22"/>
          <w:szCs w:val="22"/>
          <w:highlight w:val="yellow"/>
        </w:rPr>
        <w:t>the</w:t>
      </w:r>
      <w:r w:rsidR="003D3A4D" w:rsidRPr="00B404E8">
        <w:rPr>
          <w:rFonts w:asciiTheme="minorHAnsi" w:hAnsiTheme="minorHAnsi"/>
          <w:sz w:val="22"/>
          <w:szCs w:val="22"/>
          <w:highlight w:val="yellow"/>
        </w:rPr>
        <w:t xml:space="preserve"> one-time increase in burden hours that states and cities will incur to </w:t>
      </w:r>
      <w:r w:rsidR="00225157" w:rsidRPr="00B404E8">
        <w:rPr>
          <w:rFonts w:asciiTheme="minorHAnsi" w:hAnsiTheme="minorHAnsi"/>
          <w:sz w:val="22"/>
          <w:szCs w:val="22"/>
          <w:highlight w:val="yellow"/>
        </w:rPr>
        <w:t xml:space="preserve">process </w:t>
      </w:r>
      <w:r w:rsidR="001A021F" w:rsidRPr="00B404E8">
        <w:rPr>
          <w:rFonts w:asciiTheme="minorHAnsi" w:hAnsiTheme="minorHAnsi"/>
          <w:sz w:val="22"/>
          <w:szCs w:val="22"/>
          <w:highlight w:val="yellow"/>
        </w:rPr>
        <w:t xml:space="preserve">and </w:t>
      </w:r>
      <w:r w:rsidR="00E5166D" w:rsidRPr="00B404E8">
        <w:rPr>
          <w:rFonts w:asciiTheme="minorHAnsi" w:hAnsiTheme="minorHAnsi"/>
          <w:sz w:val="22"/>
          <w:szCs w:val="22"/>
          <w:highlight w:val="yellow"/>
        </w:rPr>
        <w:t>send</w:t>
      </w:r>
      <w:r w:rsidR="00225157" w:rsidRPr="00B404E8">
        <w:rPr>
          <w:rFonts w:asciiTheme="minorHAnsi" w:hAnsiTheme="minorHAnsi"/>
          <w:sz w:val="22"/>
          <w:szCs w:val="22"/>
          <w:highlight w:val="yellow"/>
        </w:rPr>
        <w:t xml:space="preserve"> </w:t>
      </w:r>
      <w:r w:rsidR="0062295B" w:rsidRPr="00B404E8">
        <w:rPr>
          <w:rFonts w:asciiTheme="minorHAnsi" w:hAnsiTheme="minorHAnsi"/>
          <w:sz w:val="22"/>
          <w:szCs w:val="22"/>
          <w:highlight w:val="yellow"/>
        </w:rPr>
        <w:t xml:space="preserve">a total of </w:t>
      </w:r>
      <w:r w:rsidR="00594B8C">
        <w:rPr>
          <w:rFonts w:asciiTheme="minorHAnsi" w:hAnsiTheme="minorHAnsi"/>
          <w:sz w:val="22"/>
          <w:szCs w:val="22"/>
          <w:highlight w:val="yellow"/>
        </w:rPr>
        <w:t>451</w:t>
      </w:r>
      <w:r w:rsidR="00EB3883" w:rsidRPr="00B404E8">
        <w:rPr>
          <w:rFonts w:asciiTheme="minorHAnsi" w:hAnsiTheme="minorHAnsi"/>
          <w:sz w:val="22"/>
          <w:szCs w:val="22"/>
          <w:highlight w:val="yellow"/>
        </w:rPr>
        <w:t xml:space="preserve"> </w:t>
      </w:r>
      <w:r w:rsidR="00E034F6" w:rsidRPr="00B404E8">
        <w:rPr>
          <w:rFonts w:asciiTheme="minorHAnsi" w:hAnsiTheme="minorHAnsi"/>
          <w:sz w:val="22"/>
          <w:szCs w:val="22"/>
          <w:highlight w:val="yellow"/>
        </w:rPr>
        <w:t xml:space="preserve">new data elements for </w:t>
      </w:r>
      <w:r w:rsidR="00594B8C">
        <w:rPr>
          <w:rFonts w:asciiTheme="minorHAnsi" w:hAnsiTheme="minorHAnsi"/>
          <w:sz w:val="22"/>
          <w:szCs w:val="22"/>
          <w:highlight w:val="yellow"/>
        </w:rPr>
        <w:t xml:space="preserve">22 conditions: </w:t>
      </w:r>
      <w:r w:rsidR="00B404E8" w:rsidRPr="00B404E8">
        <w:rPr>
          <w:rFonts w:asciiTheme="minorHAnsi" w:hAnsiTheme="minorHAnsi"/>
          <w:sz w:val="22"/>
          <w:szCs w:val="22"/>
          <w:highlight w:val="yellow"/>
        </w:rPr>
        <w:t xml:space="preserve">CP-CRE, CO Poisoning, TB Disease, TB Infection,  STEC, Salmonellosis, Shigellosis, Campylobacteriosis, Cryptosporidiosis, Cyclosporiasis, Cholera, Vibriosis, </w:t>
      </w:r>
      <w:r w:rsidR="00B404E8" w:rsidRPr="00B404E8">
        <w:rPr>
          <w:rFonts w:asciiTheme="minorHAnsi" w:hAnsiTheme="minorHAnsi"/>
          <w:i/>
          <w:sz w:val="22"/>
          <w:szCs w:val="22"/>
          <w:highlight w:val="yellow"/>
        </w:rPr>
        <w:t>S</w:t>
      </w:r>
      <w:r w:rsidR="00B404E8" w:rsidRPr="00B404E8">
        <w:rPr>
          <w:rFonts w:asciiTheme="minorHAnsi" w:hAnsiTheme="minorHAnsi"/>
          <w:sz w:val="22"/>
          <w:szCs w:val="22"/>
          <w:highlight w:val="yellow"/>
        </w:rPr>
        <w:t xml:space="preserve">. Typhi Infection, </w:t>
      </w:r>
      <w:r w:rsidR="00B404E8" w:rsidRPr="00B404E8">
        <w:rPr>
          <w:rFonts w:asciiTheme="minorHAnsi" w:hAnsiTheme="minorHAnsi"/>
          <w:i/>
          <w:sz w:val="22"/>
          <w:szCs w:val="22"/>
          <w:highlight w:val="yellow"/>
        </w:rPr>
        <w:t>S</w:t>
      </w:r>
      <w:r w:rsidR="00B404E8" w:rsidRPr="00B404E8">
        <w:rPr>
          <w:rFonts w:asciiTheme="minorHAnsi" w:hAnsiTheme="minorHAnsi"/>
          <w:sz w:val="22"/>
          <w:szCs w:val="22"/>
          <w:highlight w:val="yellow"/>
        </w:rPr>
        <w:t xml:space="preserve">. Paratyphi Infection, Lyme Disease, Invasive </w:t>
      </w:r>
      <w:r w:rsidR="00B404E8" w:rsidRPr="00E42D3E">
        <w:rPr>
          <w:rFonts w:asciiTheme="minorHAnsi" w:hAnsiTheme="minorHAnsi"/>
          <w:i/>
          <w:sz w:val="22"/>
          <w:szCs w:val="22"/>
          <w:highlight w:val="yellow"/>
        </w:rPr>
        <w:t>Haemophilus influenzae</w:t>
      </w:r>
      <w:r w:rsidR="00B404E8" w:rsidRPr="00B404E8">
        <w:rPr>
          <w:rFonts w:asciiTheme="minorHAnsi" w:hAnsiTheme="minorHAnsi"/>
          <w:sz w:val="22"/>
          <w:szCs w:val="22"/>
          <w:highlight w:val="yellow"/>
        </w:rPr>
        <w:t xml:space="preserve"> Disease, Meningococcal Disease, Invasive Pneumococcal Disease, Psittacosis, Legionellosis, TBRD, and Hepatitis</w:t>
      </w:r>
      <w:r w:rsidR="00550485">
        <w:rPr>
          <w:rFonts w:asciiTheme="minorHAnsi" w:hAnsiTheme="minorHAnsi"/>
          <w:sz w:val="22"/>
          <w:szCs w:val="22"/>
          <w:highlight w:val="yellow"/>
        </w:rPr>
        <w:t xml:space="preserve">; and 3) </w:t>
      </w:r>
      <w:r w:rsidR="00D058E3">
        <w:rPr>
          <w:rFonts w:asciiTheme="minorHAnsi" w:hAnsiTheme="minorHAnsi"/>
          <w:sz w:val="22"/>
          <w:szCs w:val="22"/>
          <w:highlight w:val="yellow"/>
        </w:rPr>
        <w:t>t</w:t>
      </w:r>
      <w:r w:rsidR="00550485">
        <w:rPr>
          <w:rFonts w:asciiTheme="minorHAnsi" w:hAnsiTheme="minorHAnsi"/>
          <w:sz w:val="22"/>
          <w:szCs w:val="22"/>
          <w:highlight w:val="yellow"/>
        </w:rPr>
        <w:t>he administration of the SO/GI</w:t>
      </w:r>
      <w:r w:rsidR="00DA0CF6">
        <w:rPr>
          <w:rFonts w:asciiTheme="minorHAnsi" w:hAnsiTheme="minorHAnsi"/>
          <w:sz w:val="22"/>
          <w:szCs w:val="22"/>
          <w:highlight w:val="yellow"/>
        </w:rPr>
        <w:t xml:space="preserve"> survey</w:t>
      </w:r>
      <w:r w:rsidR="00B404E8" w:rsidRPr="00B404E8">
        <w:rPr>
          <w:rFonts w:asciiTheme="minorHAnsi" w:hAnsiTheme="minorHAnsi"/>
          <w:sz w:val="22"/>
          <w:szCs w:val="22"/>
          <w:highlight w:val="yellow"/>
        </w:rPr>
        <w:t>.</w:t>
      </w:r>
    </w:p>
    <w:p w:rsidR="0024144D" w:rsidRDefault="0024144D" w:rsidP="005D171D">
      <w:pPr>
        <w:spacing w:line="360" w:lineRule="auto"/>
        <w:rPr>
          <w:rFonts w:asciiTheme="minorHAnsi" w:hAnsiTheme="minorHAnsi"/>
          <w:sz w:val="22"/>
          <w:szCs w:val="22"/>
          <w:highlight w:val="yellow"/>
        </w:rPr>
      </w:pPr>
    </w:p>
    <w:p w:rsidR="009273B4" w:rsidRPr="00463E00" w:rsidRDefault="00EC6E09" w:rsidP="005D171D">
      <w:pPr>
        <w:spacing w:line="360" w:lineRule="auto"/>
        <w:rPr>
          <w:rFonts w:asciiTheme="minorHAnsi" w:hAnsiTheme="minorHAnsi"/>
          <w:sz w:val="22"/>
          <w:szCs w:val="22"/>
        </w:rPr>
      </w:pPr>
      <w:r w:rsidRPr="00463E00">
        <w:rPr>
          <w:rFonts w:asciiTheme="minorHAnsi" w:hAnsiTheme="minorHAnsi"/>
          <w:sz w:val="22"/>
          <w:szCs w:val="22"/>
        </w:rPr>
        <w:t xml:space="preserve">The burden estimates are shown for </w:t>
      </w:r>
      <w:r w:rsidR="00FA7E2B" w:rsidRPr="00463E00">
        <w:rPr>
          <w:rFonts w:asciiTheme="minorHAnsi" w:hAnsiTheme="minorHAnsi"/>
          <w:sz w:val="22"/>
          <w:szCs w:val="22"/>
        </w:rPr>
        <w:t xml:space="preserve">four types of respondents: states, territories, freely associated states, and cities.  </w:t>
      </w:r>
      <w:r w:rsidR="001F42C0" w:rsidRPr="00EA192A">
        <w:rPr>
          <w:rFonts w:asciiTheme="minorHAnsi" w:hAnsiTheme="minorHAnsi"/>
          <w:b/>
          <w:sz w:val="22"/>
          <w:szCs w:val="22"/>
        </w:rPr>
        <w:t>Attachment</w:t>
      </w:r>
      <w:r w:rsidR="00C71C33">
        <w:rPr>
          <w:rFonts w:asciiTheme="minorHAnsi" w:hAnsiTheme="minorHAnsi"/>
          <w:b/>
          <w:sz w:val="22"/>
          <w:szCs w:val="22"/>
        </w:rPr>
        <w:t xml:space="preserve"> 20</w:t>
      </w:r>
      <w:r w:rsidR="00EA192A" w:rsidRPr="00EA192A">
        <w:rPr>
          <w:rFonts w:asciiTheme="minorHAnsi" w:hAnsiTheme="minorHAnsi"/>
          <w:b/>
          <w:sz w:val="22"/>
          <w:szCs w:val="22"/>
        </w:rPr>
        <w:t>. Burden Table Calculati</w:t>
      </w:r>
      <w:r w:rsidR="00EA192A">
        <w:rPr>
          <w:rFonts w:asciiTheme="minorHAnsi" w:hAnsiTheme="minorHAnsi"/>
          <w:b/>
          <w:sz w:val="22"/>
          <w:szCs w:val="22"/>
        </w:rPr>
        <w:t>o</w:t>
      </w:r>
      <w:r w:rsidR="00EA192A" w:rsidRPr="00EA192A">
        <w:rPr>
          <w:rFonts w:asciiTheme="minorHAnsi" w:hAnsiTheme="minorHAnsi"/>
          <w:b/>
          <w:sz w:val="22"/>
          <w:szCs w:val="22"/>
        </w:rPr>
        <w:t>ns</w:t>
      </w:r>
      <w:r w:rsidR="001F42C0">
        <w:rPr>
          <w:rFonts w:asciiTheme="minorHAnsi" w:hAnsiTheme="minorHAnsi"/>
          <w:sz w:val="22"/>
          <w:szCs w:val="22"/>
        </w:rPr>
        <w:t xml:space="preserve"> describes the burden table calculations in detail.</w:t>
      </w:r>
    </w:p>
    <w:p w:rsidR="009273B4" w:rsidRPr="00463E00" w:rsidRDefault="009273B4" w:rsidP="005D171D">
      <w:pPr>
        <w:spacing w:line="360" w:lineRule="auto"/>
        <w:rPr>
          <w:rFonts w:asciiTheme="minorHAnsi" w:hAnsiTheme="minorHAnsi"/>
          <w:sz w:val="22"/>
          <w:szCs w:val="22"/>
        </w:rPr>
      </w:pPr>
    </w:p>
    <w:p w:rsidR="009273B4" w:rsidRPr="00463E00" w:rsidRDefault="009273B4" w:rsidP="005D171D">
      <w:pPr>
        <w:spacing w:line="360" w:lineRule="auto"/>
        <w:rPr>
          <w:rFonts w:asciiTheme="minorHAnsi" w:hAnsiTheme="minorHAnsi"/>
          <w:sz w:val="22"/>
          <w:szCs w:val="22"/>
        </w:rPr>
      </w:pPr>
      <w:r w:rsidRPr="00463E00">
        <w:rPr>
          <w:rFonts w:asciiTheme="minorHAnsi" w:hAnsiTheme="minorHAnsi"/>
          <w:sz w:val="22"/>
          <w:szCs w:val="22"/>
        </w:rPr>
        <w:t>States</w:t>
      </w:r>
    </w:p>
    <w:p w:rsidR="0056521D" w:rsidRPr="0073360F" w:rsidRDefault="009273B4" w:rsidP="0073360F">
      <w:pPr>
        <w:spacing w:line="360" w:lineRule="auto"/>
        <w:rPr>
          <w:rFonts w:asciiTheme="minorHAnsi" w:hAnsiTheme="minorHAnsi"/>
          <w:sz w:val="22"/>
          <w:szCs w:val="22"/>
        </w:rPr>
      </w:pPr>
      <w:r w:rsidRPr="00463E00">
        <w:rPr>
          <w:rFonts w:asciiTheme="minorHAnsi" w:hAnsiTheme="minorHAnsi"/>
          <w:sz w:val="22"/>
          <w:szCs w:val="22"/>
        </w:rPr>
        <w:t>States incur burden by: 1) sending weekly automated case notification data</w:t>
      </w:r>
      <w:r w:rsidR="00FA0917" w:rsidRPr="00463E00">
        <w:rPr>
          <w:rFonts w:asciiTheme="minorHAnsi" w:hAnsiTheme="minorHAnsi"/>
          <w:sz w:val="22"/>
          <w:szCs w:val="22"/>
        </w:rPr>
        <w:t xml:space="preserve"> to CDC</w:t>
      </w:r>
      <w:r w:rsidRPr="00463E00">
        <w:rPr>
          <w:rFonts w:asciiTheme="minorHAnsi" w:hAnsiTheme="minorHAnsi"/>
          <w:sz w:val="22"/>
          <w:szCs w:val="22"/>
        </w:rPr>
        <w:t>, 2)</w:t>
      </w:r>
      <w:r w:rsidR="00FA0917" w:rsidRPr="00463E00">
        <w:rPr>
          <w:rFonts w:asciiTheme="minorHAnsi" w:hAnsiTheme="minorHAnsi"/>
          <w:sz w:val="22"/>
          <w:szCs w:val="22"/>
        </w:rPr>
        <w:t xml:space="preserve"> </w:t>
      </w:r>
      <w:r w:rsidRPr="00463E00">
        <w:rPr>
          <w:rFonts w:asciiTheme="minorHAnsi" w:hAnsiTheme="minorHAnsi"/>
          <w:sz w:val="22"/>
          <w:szCs w:val="22"/>
        </w:rPr>
        <w:t>sending weekly non-automated case notification data</w:t>
      </w:r>
      <w:r w:rsidR="00FA0917" w:rsidRPr="00463E00">
        <w:rPr>
          <w:rFonts w:asciiTheme="minorHAnsi" w:hAnsiTheme="minorHAnsi"/>
          <w:sz w:val="22"/>
          <w:szCs w:val="22"/>
        </w:rPr>
        <w:t xml:space="preserve"> to CDC</w:t>
      </w:r>
      <w:r w:rsidRPr="00463E00">
        <w:rPr>
          <w:rFonts w:asciiTheme="minorHAnsi" w:hAnsiTheme="minorHAnsi"/>
          <w:sz w:val="22"/>
          <w:szCs w:val="22"/>
        </w:rPr>
        <w:t>, 3) modernizing their surveillance systems as part of NMI implementation, 4) reconciling and sending annual case notification data to CDC</w:t>
      </w:r>
      <w:r w:rsidR="00F6362A" w:rsidRPr="00463E00">
        <w:rPr>
          <w:rFonts w:asciiTheme="minorHAnsi" w:hAnsiTheme="minorHAnsi"/>
          <w:sz w:val="22"/>
          <w:szCs w:val="22"/>
        </w:rPr>
        <w:t xml:space="preserve">, and 5) modifying their surveillance systems and </w:t>
      </w:r>
      <w:r w:rsidR="00635C42" w:rsidRPr="00463E00">
        <w:rPr>
          <w:rFonts w:asciiTheme="minorHAnsi" w:hAnsiTheme="minorHAnsi"/>
          <w:sz w:val="22"/>
          <w:szCs w:val="22"/>
        </w:rPr>
        <w:t>automated</w:t>
      </w:r>
      <w:r w:rsidR="00F6362A" w:rsidRPr="00463E00">
        <w:rPr>
          <w:rFonts w:asciiTheme="minorHAnsi" w:hAnsiTheme="minorHAnsi"/>
          <w:sz w:val="22"/>
          <w:szCs w:val="22"/>
        </w:rPr>
        <w:t xml:space="preserve"> case notification messages to accommodate new data elements and diseases</w:t>
      </w:r>
      <w:r w:rsidRPr="00463E00">
        <w:rPr>
          <w:rFonts w:asciiTheme="minorHAnsi" w:hAnsiTheme="minorHAnsi"/>
          <w:sz w:val="22"/>
          <w:szCs w:val="22"/>
        </w:rPr>
        <w:t xml:space="preserve">. All 50 states send weekly automated case notification data to CDC for at </w:t>
      </w:r>
      <w:r w:rsidR="00FA0917" w:rsidRPr="00463E00">
        <w:rPr>
          <w:rFonts w:asciiTheme="minorHAnsi" w:hAnsiTheme="minorHAnsi"/>
          <w:sz w:val="22"/>
          <w:szCs w:val="22"/>
        </w:rPr>
        <w:t xml:space="preserve">least one disease or condition and their average burden is </w:t>
      </w:r>
      <w:r w:rsidR="00105AFC" w:rsidRPr="00463E00">
        <w:rPr>
          <w:rFonts w:asciiTheme="minorHAnsi" w:hAnsiTheme="minorHAnsi"/>
          <w:sz w:val="22"/>
          <w:szCs w:val="22"/>
        </w:rPr>
        <w:t>2</w:t>
      </w:r>
      <w:r w:rsidR="00FA0917" w:rsidRPr="00463E00">
        <w:rPr>
          <w:rFonts w:asciiTheme="minorHAnsi" w:hAnsiTheme="minorHAnsi"/>
          <w:sz w:val="22"/>
          <w:szCs w:val="22"/>
        </w:rPr>
        <w:t xml:space="preserve">0/60 hours. 10 states send weekly non-automated case notification data to CDC for at least one disease or condition and their average burden is </w:t>
      </w:r>
      <w:r w:rsidR="00105AFC" w:rsidRPr="00463E00">
        <w:rPr>
          <w:rFonts w:asciiTheme="minorHAnsi" w:hAnsiTheme="minorHAnsi"/>
          <w:sz w:val="22"/>
          <w:szCs w:val="22"/>
        </w:rPr>
        <w:t>2</w:t>
      </w:r>
      <w:r w:rsidR="00FA0917" w:rsidRPr="00463E00">
        <w:rPr>
          <w:rFonts w:asciiTheme="minorHAnsi" w:hAnsiTheme="minorHAnsi"/>
          <w:sz w:val="22"/>
          <w:szCs w:val="22"/>
        </w:rPr>
        <w:t xml:space="preserve"> hours. All 50 states </w:t>
      </w:r>
      <w:r w:rsidR="00135AF8" w:rsidRPr="00463E00">
        <w:rPr>
          <w:rFonts w:asciiTheme="minorHAnsi" w:hAnsiTheme="minorHAnsi"/>
          <w:sz w:val="22"/>
          <w:szCs w:val="22"/>
        </w:rPr>
        <w:t xml:space="preserve">perform weekly activities to </w:t>
      </w:r>
      <w:r w:rsidR="00450BB7" w:rsidRPr="00463E00">
        <w:rPr>
          <w:rFonts w:asciiTheme="minorHAnsi" w:hAnsiTheme="minorHAnsi"/>
          <w:sz w:val="22"/>
          <w:szCs w:val="22"/>
        </w:rPr>
        <w:t>modernize their surveillance systems as part of NMI implementation and their average burden is 4 hours. All 50 states reconcile and send annual case notification data to CDC and their average burden is 75 hours.</w:t>
      </w:r>
      <w:r w:rsidR="00635C42" w:rsidRPr="00463E00">
        <w:rPr>
          <w:rFonts w:asciiTheme="minorHAnsi" w:hAnsiTheme="minorHAnsi"/>
          <w:sz w:val="22"/>
          <w:szCs w:val="22"/>
        </w:rPr>
        <w:t xml:space="preserve"> </w:t>
      </w:r>
      <w:r w:rsidR="00635C42" w:rsidRPr="00166975">
        <w:rPr>
          <w:rFonts w:asciiTheme="minorHAnsi" w:hAnsiTheme="minorHAnsi"/>
          <w:sz w:val="22"/>
          <w:szCs w:val="22"/>
          <w:highlight w:val="yellow"/>
        </w:rPr>
        <w:t>All 50 states modify their surveillance system</w:t>
      </w:r>
      <w:r w:rsidR="00070A99" w:rsidRPr="00166975">
        <w:rPr>
          <w:rFonts w:asciiTheme="minorHAnsi" w:hAnsiTheme="minorHAnsi"/>
          <w:sz w:val="22"/>
          <w:szCs w:val="22"/>
          <w:highlight w:val="yellow"/>
        </w:rPr>
        <w:t>s</w:t>
      </w:r>
      <w:r w:rsidR="00635C42" w:rsidRPr="00166975">
        <w:rPr>
          <w:rFonts w:asciiTheme="minorHAnsi" w:hAnsiTheme="minorHAnsi"/>
          <w:sz w:val="22"/>
          <w:szCs w:val="22"/>
          <w:highlight w:val="yellow"/>
        </w:rPr>
        <w:t xml:space="preserve"> and automated case notification message</w:t>
      </w:r>
      <w:r w:rsidR="00070A99" w:rsidRPr="00166975">
        <w:rPr>
          <w:rFonts w:asciiTheme="minorHAnsi" w:hAnsiTheme="minorHAnsi"/>
          <w:sz w:val="22"/>
          <w:szCs w:val="22"/>
          <w:highlight w:val="yellow"/>
        </w:rPr>
        <w:t>s</w:t>
      </w:r>
      <w:r w:rsidR="00635C42" w:rsidRPr="00166975">
        <w:rPr>
          <w:rFonts w:asciiTheme="minorHAnsi" w:hAnsiTheme="minorHAnsi"/>
          <w:sz w:val="22"/>
          <w:szCs w:val="22"/>
          <w:highlight w:val="yellow"/>
        </w:rPr>
        <w:t xml:space="preserve"> </w:t>
      </w:r>
      <w:r w:rsidR="00A133BC" w:rsidRPr="00166975">
        <w:rPr>
          <w:rFonts w:asciiTheme="minorHAnsi" w:hAnsiTheme="minorHAnsi"/>
          <w:sz w:val="22"/>
          <w:szCs w:val="22"/>
          <w:highlight w:val="yellow"/>
        </w:rPr>
        <w:t>to accommodate new data elements</w:t>
      </w:r>
      <w:r w:rsidR="000E0146" w:rsidRPr="00237F86">
        <w:rPr>
          <w:rFonts w:asciiTheme="minorHAnsi" w:hAnsiTheme="minorHAnsi"/>
          <w:sz w:val="22"/>
          <w:szCs w:val="22"/>
        </w:rPr>
        <w:t>.</w:t>
      </w:r>
      <w:r w:rsidR="00A133BC" w:rsidRPr="00237F86">
        <w:rPr>
          <w:rFonts w:asciiTheme="minorHAnsi" w:hAnsiTheme="minorHAnsi"/>
          <w:sz w:val="22"/>
          <w:szCs w:val="22"/>
        </w:rPr>
        <w:t xml:space="preserve"> </w:t>
      </w:r>
      <w:r w:rsidR="00BA751B">
        <w:rPr>
          <w:rFonts w:asciiTheme="minorHAnsi" w:hAnsiTheme="minorHAnsi"/>
          <w:sz w:val="22"/>
          <w:szCs w:val="22"/>
        </w:rPr>
        <w:t xml:space="preserve">As shown on </w:t>
      </w:r>
      <w:r w:rsidR="00FF724B">
        <w:rPr>
          <w:rFonts w:asciiTheme="minorHAnsi" w:hAnsiTheme="minorHAnsi"/>
          <w:sz w:val="22"/>
          <w:szCs w:val="22"/>
        </w:rPr>
        <w:t xml:space="preserve">the Total Diseases + Data Elements tab on </w:t>
      </w:r>
      <w:r w:rsidR="00BA751B" w:rsidRPr="00091EA0">
        <w:rPr>
          <w:rFonts w:asciiTheme="minorHAnsi" w:hAnsiTheme="minorHAnsi"/>
          <w:b/>
          <w:sz w:val="22"/>
          <w:szCs w:val="22"/>
        </w:rPr>
        <w:t>Attachment 20.</w:t>
      </w:r>
      <w:r w:rsidR="003943BF">
        <w:rPr>
          <w:rFonts w:asciiTheme="minorHAnsi" w:hAnsiTheme="minorHAnsi"/>
          <w:b/>
          <w:sz w:val="22"/>
          <w:szCs w:val="22"/>
        </w:rPr>
        <w:t xml:space="preserve"> Burden Table Calculations,</w:t>
      </w:r>
      <w:r w:rsidR="00735EB1">
        <w:rPr>
          <w:rFonts w:asciiTheme="minorHAnsi" w:hAnsiTheme="minorHAnsi"/>
          <w:b/>
          <w:sz w:val="22"/>
          <w:szCs w:val="22"/>
        </w:rPr>
        <w:t xml:space="preserve"> </w:t>
      </w:r>
      <w:r w:rsidR="00BA751B">
        <w:rPr>
          <w:rFonts w:asciiTheme="minorHAnsi" w:hAnsiTheme="minorHAnsi"/>
          <w:sz w:val="22"/>
          <w:szCs w:val="22"/>
        </w:rPr>
        <w:t>t</w:t>
      </w:r>
      <w:r w:rsidR="000E0146" w:rsidRPr="000E0146">
        <w:rPr>
          <w:rFonts w:asciiTheme="minorHAnsi" w:hAnsiTheme="minorHAnsi"/>
          <w:sz w:val="22"/>
          <w:szCs w:val="22"/>
        </w:rPr>
        <w:t>he</w:t>
      </w:r>
      <w:r w:rsidR="000E0146">
        <w:rPr>
          <w:rFonts w:asciiTheme="minorHAnsi" w:hAnsiTheme="minorHAnsi"/>
          <w:sz w:val="22"/>
          <w:szCs w:val="22"/>
        </w:rPr>
        <w:t xml:space="preserve"> </w:t>
      </w:r>
      <w:r w:rsidR="000E0146" w:rsidRPr="000E0146">
        <w:rPr>
          <w:rFonts w:asciiTheme="minorHAnsi" w:hAnsiTheme="minorHAnsi"/>
          <w:sz w:val="22"/>
          <w:szCs w:val="22"/>
        </w:rPr>
        <w:t xml:space="preserve">one-time average burden per response is </w:t>
      </w:r>
      <w:r w:rsidR="00963182">
        <w:rPr>
          <w:rFonts w:asciiTheme="minorHAnsi" w:hAnsiTheme="minorHAnsi"/>
          <w:sz w:val="22"/>
          <w:szCs w:val="22"/>
        </w:rPr>
        <w:t>59</w:t>
      </w:r>
      <w:r w:rsidR="00963182" w:rsidRPr="000E0146">
        <w:rPr>
          <w:rFonts w:asciiTheme="minorHAnsi" w:hAnsiTheme="minorHAnsi"/>
          <w:sz w:val="22"/>
          <w:szCs w:val="22"/>
        </w:rPr>
        <w:t xml:space="preserve"> </w:t>
      </w:r>
      <w:r w:rsidR="000E0146" w:rsidRPr="000E0146">
        <w:rPr>
          <w:rFonts w:asciiTheme="minorHAnsi" w:hAnsiTheme="minorHAnsi"/>
          <w:sz w:val="22"/>
          <w:szCs w:val="22"/>
        </w:rPr>
        <w:t xml:space="preserve">hours and the one-time total burden is </w:t>
      </w:r>
      <w:r w:rsidR="00963182">
        <w:rPr>
          <w:rFonts w:asciiTheme="minorHAnsi" w:hAnsiTheme="minorHAnsi"/>
          <w:sz w:val="22"/>
          <w:szCs w:val="22"/>
        </w:rPr>
        <w:t>2950</w:t>
      </w:r>
      <w:r w:rsidR="00963182" w:rsidRPr="000E0146">
        <w:rPr>
          <w:rFonts w:asciiTheme="minorHAnsi" w:hAnsiTheme="minorHAnsi"/>
          <w:sz w:val="22"/>
          <w:szCs w:val="22"/>
        </w:rPr>
        <w:t xml:space="preserve"> </w:t>
      </w:r>
      <w:r w:rsidR="000E0146" w:rsidRPr="000E0146">
        <w:rPr>
          <w:rFonts w:asciiTheme="minorHAnsi" w:hAnsiTheme="minorHAnsi"/>
          <w:sz w:val="22"/>
          <w:szCs w:val="22"/>
        </w:rPr>
        <w:t xml:space="preserve">hours. As shown on Table A12A below, the annualized one-time average burden per response is </w:t>
      </w:r>
      <w:r w:rsidR="00237F86">
        <w:rPr>
          <w:rFonts w:asciiTheme="minorHAnsi" w:hAnsiTheme="minorHAnsi"/>
          <w:sz w:val="22"/>
          <w:szCs w:val="22"/>
        </w:rPr>
        <w:t>20</w:t>
      </w:r>
      <w:r w:rsidR="00237F86" w:rsidRPr="000E0146">
        <w:rPr>
          <w:rFonts w:asciiTheme="minorHAnsi" w:hAnsiTheme="minorHAnsi"/>
          <w:sz w:val="22"/>
          <w:szCs w:val="22"/>
        </w:rPr>
        <w:t xml:space="preserve"> </w:t>
      </w:r>
      <w:r w:rsidR="000E0146" w:rsidRPr="000E0146">
        <w:rPr>
          <w:rFonts w:asciiTheme="minorHAnsi" w:hAnsiTheme="minorHAnsi"/>
          <w:sz w:val="22"/>
          <w:szCs w:val="22"/>
        </w:rPr>
        <w:t xml:space="preserve">hours and the annualized one-time total burden is </w:t>
      </w:r>
      <w:r w:rsidR="00237F86">
        <w:rPr>
          <w:rFonts w:asciiTheme="minorHAnsi" w:hAnsiTheme="minorHAnsi"/>
          <w:sz w:val="22"/>
          <w:szCs w:val="22"/>
        </w:rPr>
        <w:t>1000</w:t>
      </w:r>
      <w:r w:rsidR="00237F86" w:rsidRPr="000E0146">
        <w:rPr>
          <w:rFonts w:asciiTheme="minorHAnsi" w:hAnsiTheme="minorHAnsi"/>
          <w:sz w:val="22"/>
          <w:szCs w:val="22"/>
        </w:rPr>
        <w:t xml:space="preserve"> </w:t>
      </w:r>
      <w:r w:rsidR="000E0146" w:rsidRPr="000E0146">
        <w:rPr>
          <w:rFonts w:asciiTheme="minorHAnsi" w:hAnsiTheme="minorHAnsi"/>
          <w:sz w:val="22"/>
          <w:szCs w:val="22"/>
        </w:rPr>
        <w:t xml:space="preserve">hours. </w:t>
      </w:r>
      <w:r w:rsidR="00923966">
        <w:rPr>
          <w:rFonts w:asciiTheme="minorHAnsi" w:hAnsiTheme="minorHAnsi"/>
          <w:sz w:val="22"/>
          <w:szCs w:val="22"/>
        </w:rPr>
        <w:t>It is anticipated that 12 states will be sending SO/GI data elements; these 12 states will be administered the SO/GI</w:t>
      </w:r>
      <w:r w:rsidR="00DA0CF6">
        <w:rPr>
          <w:rFonts w:asciiTheme="minorHAnsi" w:hAnsiTheme="minorHAnsi"/>
          <w:sz w:val="22"/>
          <w:szCs w:val="22"/>
        </w:rPr>
        <w:t xml:space="preserve"> survey</w:t>
      </w:r>
      <w:r w:rsidR="00923966">
        <w:rPr>
          <w:rFonts w:asciiTheme="minorHAnsi" w:hAnsiTheme="minorHAnsi"/>
          <w:sz w:val="22"/>
          <w:szCs w:val="22"/>
        </w:rPr>
        <w:t>. The one-time average burden per response is 1</w:t>
      </w:r>
      <w:r w:rsidR="000F7917">
        <w:rPr>
          <w:rFonts w:asciiTheme="minorHAnsi" w:hAnsiTheme="minorHAnsi"/>
          <w:sz w:val="22"/>
          <w:szCs w:val="22"/>
        </w:rPr>
        <w:t>5</w:t>
      </w:r>
      <w:r w:rsidR="00923966">
        <w:rPr>
          <w:rFonts w:asciiTheme="minorHAnsi" w:hAnsiTheme="minorHAnsi"/>
          <w:sz w:val="22"/>
          <w:szCs w:val="22"/>
        </w:rPr>
        <w:t xml:space="preserve">/60 hours and the one-time total burden is </w:t>
      </w:r>
      <w:r w:rsidR="0073360F">
        <w:rPr>
          <w:rFonts w:asciiTheme="minorHAnsi" w:hAnsiTheme="minorHAnsi"/>
          <w:sz w:val="22"/>
          <w:szCs w:val="22"/>
        </w:rPr>
        <w:t xml:space="preserve">2 hours. </w:t>
      </w:r>
      <w:r w:rsidR="0073360F" w:rsidRPr="0073360F">
        <w:rPr>
          <w:rFonts w:asciiTheme="minorHAnsi" w:hAnsiTheme="minorHAnsi"/>
          <w:sz w:val="22"/>
          <w:szCs w:val="22"/>
        </w:rPr>
        <w:t>As shown on Table A12A below, the annualized one-time average burden per response is</w:t>
      </w:r>
      <w:r w:rsidR="0073360F">
        <w:rPr>
          <w:rFonts w:asciiTheme="minorHAnsi" w:hAnsiTheme="minorHAnsi"/>
          <w:sz w:val="22"/>
          <w:szCs w:val="22"/>
        </w:rPr>
        <w:t xml:space="preserve"> </w:t>
      </w:r>
      <w:r w:rsidR="000F7917">
        <w:rPr>
          <w:rFonts w:asciiTheme="minorHAnsi" w:hAnsiTheme="minorHAnsi"/>
          <w:sz w:val="22"/>
          <w:szCs w:val="22"/>
        </w:rPr>
        <w:t>5</w:t>
      </w:r>
      <w:r w:rsidR="0073360F">
        <w:rPr>
          <w:rFonts w:asciiTheme="minorHAnsi" w:hAnsiTheme="minorHAnsi"/>
          <w:sz w:val="22"/>
          <w:szCs w:val="22"/>
        </w:rPr>
        <w:t>/60 hours and the annualized one-time total burden is 1 hour.</w:t>
      </w:r>
    </w:p>
    <w:p w:rsidR="005A3ACE" w:rsidRPr="00463E00" w:rsidRDefault="005A3ACE" w:rsidP="005D171D">
      <w:pPr>
        <w:spacing w:line="360" w:lineRule="auto"/>
        <w:rPr>
          <w:rFonts w:asciiTheme="minorHAnsi" w:hAnsiTheme="minorHAnsi"/>
          <w:sz w:val="22"/>
          <w:szCs w:val="22"/>
        </w:rPr>
      </w:pPr>
    </w:p>
    <w:p w:rsidR="0056521D" w:rsidRPr="00463E00" w:rsidRDefault="0056521D" w:rsidP="005D171D">
      <w:pPr>
        <w:spacing w:line="360" w:lineRule="auto"/>
        <w:rPr>
          <w:rFonts w:asciiTheme="minorHAnsi" w:hAnsiTheme="minorHAnsi"/>
          <w:sz w:val="22"/>
          <w:szCs w:val="22"/>
        </w:rPr>
      </w:pPr>
      <w:r w:rsidRPr="00463E00">
        <w:rPr>
          <w:rFonts w:asciiTheme="minorHAnsi" w:hAnsiTheme="minorHAnsi"/>
          <w:sz w:val="22"/>
          <w:szCs w:val="22"/>
        </w:rPr>
        <w:t>Territories</w:t>
      </w:r>
    </w:p>
    <w:p w:rsidR="0056521D" w:rsidRPr="00463E00" w:rsidRDefault="00135AF8" w:rsidP="0056521D">
      <w:pPr>
        <w:spacing w:line="360" w:lineRule="auto"/>
        <w:rPr>
          <w:rFonts w:asciiTheme="minorHAnsi" w:hAnsiTheme="minorHAnsi"/>
          <w:sz w:val="22"/>
          <w:szCs w:val="22"/>
        </w:rPr>
      </w:pPr>
      <w:r w:rsidRPr="00463E00">
        <w:rPr>
          <w:rFonts w:asciiTheme="minorHAnsi" w:hAnsiTheme="minorHAnsi"/>
          <w:sz w:val="22"/>
          <w:szCs w:val="22"/>
        </w:rPr>
        <w:t>Territories</w:t>
      </w:r>
      <w:r w:rsidR="0056521D" w:rsidRPr="00463E00">
        <w:rPr>
          <w:rFonts w:asciiTheme="minorHAnsi" w:hAnsiTheme="minorHAnsi"/>
          <w:sz w:val="22"/>
          <w:szCs w:val="22"/>
        </w:rPr>
        <w:t xml:space="preserve"> incur burden by: 1) sending weekly automated case notification data to CDC, 2) sending weekly </w:t>
      </w:r>
      <w:r w:rsidRPr="00463E00">
        <w:rPr>
          <w:rFonts w:asciiTheme="minorHAnsi" w:hAnsiTheme="minorHAnsi"/>
          <w:sz w:val="22"/>
          <w:szCs w:val="22"/>
        </w:rPr>
        <w:t xml:space="preserve">and quarterly </w:t>
      </w:r>
      <w:r w:rsidR="0056521D" w:rsidRPr="00463E00">
        <w:rPr>
          <w:rFonts w:asciiTheme="minorHAnsi" w:hAnsiTheme="minorHAnsi"/>
          <w:sz w:val="22"/>
          <w:szCs w:val="22"/>
        </w:rPr>
        <w:t>non-automated case notification data to CDC, 3) modernizing their surveillance systems as part of NMI implementation, 4) reconciling and sending annual case notification data to CDC</w:t>
      </w:r>
      <w:r w:rsidR="00621F53" w:rsidRPr="00463E00">
        <w:rPr>
          <w:rFonts w:asciiTheme="minorHAnsi" w:hAnsiTheme="minorHAnsi"/>
          <w:sz w:val="22"/>
          <w:szCs w:val="22"/>
        </w:rPr>
        <w:t xml:space="preserve"> and 5) modifying their surveillance systems and automated case notification messages to accommodate new data elements and diseases. </w:t>
      </w:r>
      <w:r w:rsidR="0056521D" w:rsidRPr="00463E00">
        <w:rPr>
          <w:rFonts w:asciiTheme="minorHAnsi" w:hAnsiTheme="minorHAnsi"/>
          <w:sz w:val="22"/>
          <w:szCs w:val="22"/>
        </w:rPr>
        <w:t xml:space="preserve"> </w:t>
      </w:r>
      <w:r w:rsidR="00EC08B6">
        <w:rPr>
          <w:rFonts w:asciiTheme="minorHAnsi" w:hAnsiTheme="minorHAnsi"/>
          <w:sz w:val="22"/>
          <w:szCs w:val="22"/>
        </w:rPr>
        <w:t>All</w:t>
      </w:r>
      <w:r w:rsidR="00EC08B6" w:rsidRPr="00463E00">
        <w:rPr>
          <w:rFonts w:asciiTheme="minorHAnsi" w:hAnsiTheme="minorHAnsi"/>
          <w:sz w:val="22"/>
          <w:szCs w:val="22"/>
        </w:rPr>
        <w:t xml:space="preserve"> </w:t>
      </w:r>
      <w:r w:rsidR="00B97139">
        <w:rPr>
          <w:rFonts w:asciiTheme="minorHAnsi" w:hAnsiTheme="minorHAnsi"/>
          <w:sz w:val="22"/>
          <w:szCs w:val="22"/>
        </w:rPr>
        <w:t xml:space="preserve">5 </w:t>
      </w:r>
      <w:r w:rsidRPr="00463E00">
        <w:rPr>
          <w:rFonts w:asciiTheme="minorHAnsi" w:hAnsiTheme="minorHAnsi"/>
          <w:sz w:val="22"/>
          <w:szCs w:val="22"/>
        </w:rPr>
        <w:t>territor</w:t>
      </w:r>
      <w:r w:rsidR="00EC08B6">
        <w:rPr>
          <w:rFonts w:asciiTheme="minorHAnsi" w:hAnsiTheme="minorHAnsi"/>
          <w:sz w:val="22"/>
          <w:szCs w:val="22"/>
        </w:rPr>
        <w:t>ies</w:t>
      </w:r>
      <w:r w:rsidR="0056521D" w:rsidRPr="00463E00">
        <w:rPr>
          <w:rFonts w:asciiTheme="minorHAnsi" w:hAnsiTheme="minorHAnsi"/>
          <w:sz w:val="22"/>
          <w:szCs w:val="22"/>
        </w:rPr>
        <w:t xml:space="preserve"> send weekly automated case notification data to CDC for at least one disease or condition and their average burden is </w:t>
      </w:r>
      <w:r w:rsidRPr="00463E00">
        <w:rPr>
          <w:rFonts w:asciiTheme="minorHAnsi" w:hAnsiTheme="minorHAnsi"/>
          <w:sz w:val="22"/>
          <w:szCs w:val="22"/>
        </w:rPr>
        <w:t>2</w:t>
      </w:r>
      <w:r w:rsidR="0056521D" w:rsidRPr="00463E00">
        <w:rPr>
          <w:rFonts w:asciiTheme="minorHAnsi" w:hAnsiTheme="minorHAnsi"/>
          <w:sz w:val="22"/>
          <w:szCs w:val="22"/>
        </w:rPr>
        <w:t xml:space="preserve">0/60 hours. </w:t>
      </w:r>
      <w:r w:rsidRPr="00463E00">
        <w:rPr>
          <w:rFonts w:asciiTheme="minorHAnsi" w:hAnsiTheme="minorHAnsi"/>
          <w:sz w:val="22"/>
          <w:szCs w:val="22"/>
        </w:rPr>
        <w:t>All 5</w:t>
      </w:r>
      <w:r w:rsidR="0056521D" w:rsidRPr="00463E00">
        <w:rPr>
          <w:rFonts w:asciiTheme="minorHAnsi" w:hAnsiTheme="minorHAnsi"/>
          <w:sz w:val="22"/>
          <w:szCs w:val="22"/>
        </w:rPr>
        <w:t xml:space="preserve"> </w:t>
      </w:r>
      <w:r w:rsidRPr="00463E00">
        <w:rPr>
          <w:rFonts w:asciiTheme="minorHAnsi" w:hAnsiTheme="minorHAnsi"/>
          <w:sz w:val="22"/>
          <w:szCs w:val="22"/>
        </w:rPr>
        <w:t>territories</w:t>
      </w:r>
      <w:r w:rsidR="0056521D" w:rsidRPr="00463E00">
        <w:rPr>
          <w:rFonts w:asciiTheme="minorHAnsi" w:hAnsiTheme="minorHAnsi"/>
          <w:sz w:val="22"/>
          <w:szCs w:val="22"/>
        </w:rPr>
        <w:t xml:space="preserve"> send weekly </w:t>
      </w:r>
      <w:r w:rsidRPr="00463E00">
        <w:rPr>
          <w:rFonts w:asciiTheme="minorHAnsi" w:hAnsiTheme="minorHAnsi"/>
          <w:sz w:val="22"/>
          <w:szCs w:val="22"/>
        </w:rPr>
        <w:t xml:space="preserve">and quarterly </w:t>
      </w:r>
      <w:r w:rsidR="0056521D" w:rsidRPr="00463E00">
        <w:rPr>
          <w:rFonts w:asciiTheme="minorHAnsi" w:hAnsiTheme="minorHAnsi"/>
          <w:sz w:val="22"/>
          <w:szCs w:val="22"/>
        </w:rPr>
        <w:t xml:space="preserve">non-automated case notification data to CDC for at least one disease or condition and their average burden per response is </w:t>
      </w:r>
      <w:r w:rsidR="00DB072B" w:rsidRPr="00463E00">
        <w:rPr>
          <w:rFonts w:asciiTheme="minorHAnsi" w:hAnsiTheme="minorHAnsi"/>
          <w:sz w:val="22"/>
          <w:szCs w:val="22"/>
        </w:rPr>
        <w:t>2</w:t>
      </w:r>
      <w:r w:rsidR="0056521D" w:rsidRPr="00463E00">
        <w:rPr>
          <w:rFonts w:asciiTheme="minorHAnsi" w:hAnsiTheme="minorHAnsi"/>
          <w:sz w:val="22"/>
          <w:szCs w:val="22"/>
        </w:rPr>
        <w:t xml:space="preserve">0/60 hours. All 5 </w:t>
      </w:r>
      <w:r w:rsidRPr="00463E00">
        <w:rPr>
          <w:rFonts w:asciiTheme="minorHAnsi" w:hAnsiTheme="minorHAnsi"/>
          <w:sz w:val="22"/>
          <w:szCs w:val="22"/>
        </w:rPr>
        <w:t>territories</w:t>
      </w:r>
      <w:r w:rsidR="0056521D" w:rsidRPr="00463E00">
        <w:rPr>
          <w:rFonts w:asciiTheme="minorHAnsi" w:hAnsiTheme="minorHAnsi"/>
          <w:sz w:val="22"/>
          <w:szCs w:val="22"/>
        </w:rPr>
        <w:t xml:space="preserve"> </w:t>
      </w:r>
      <w:r w:rsidRPr="00463E00">
        <w:rPr>
          <w:rFonts w:asciiTheme="minorHAnsi" w:hAnsiTheme="minorHAnsi"/>
          <w:sz w:val="22"/>
          <w:szCs w:val="22"/>
        </w:rPr>
        <w:t xml:space="preserve">perform weekly activities to </w:t>
      </w:r>
      <w:r w:rsidR="0056521D" w:rsidRPr="00463E00">
        <w:rPr>
          <w:rFonts w:asciiTheme="minorHAnsi" w:hAnsiTheme="minorHAnsi"/>
          <w:sz w:val="22"/>
          <w:szCs w:val="22"/>
        </w:rPr>
        <w:t xml:space="preserve">modernize their surveillance systems as part of NMI implementation and their average burden is 4 hours. All 5 </w:t>
      </w:r>
      <w:r w:rsidR="005C4063" w:rsidRPr="00463E00">
        <w:rPr>
          <w:rFonts w:asciiTheme="minorHAnsi" w:hAnsiTheme="minorHAnsi"/>
          <w:sz w:val="22"/>
          <w:szCs w:val="22"/>
        </w:rPr>
        <w:t>territories</w:t>
      </w:r>
      <w:r w:rsidR="0056521D" w:rsidRPr="00463E00">
        <w:rPr>
          <w:rFonts w:asciiTheme="minorHAnsi" w:hAnsiTheme="minorHAnsi"/>
          <w:sz w:val="22"/>
          <w:szCs w:val="22"/>
        </w:rPr>
        <w:t xml:space="preserve"> reconcile and send annual case notification data to CDC and their average burden is 5 hours. </w:t>
      </w:r>
      <w:r w:rsidR="00B97139">
        <w:rPr>
          <w:rFonts w:asciiTheme="minorHAnsi" w:hAnsiTheme="minorHAnsi"/>
          <w:sz w:val="22"/>
          <w:szCs w:val="22"/>
          <w:highlight w:val="yellow"/>
        </w:rPr>
        <w:t>All</w:t>
      </w:r>
      <w:r w:rsidR="00B97139" w:rsidRPr="00166975">
        <w:rPr>
          <w:rFonts w:asciiTheme="minorHAnsi" w:hAnsiTheme="minorHAnsi"/>
          <w:sz w:val="22"/>
          <w:szCs w:val="22"/>
          <w:highlight w:val="yellow"/>
        </w:rPr>
        <w:t xml:space="preserve"> </w:t>
      </w:r>
      <w:r w:rsidR="00B97139">
        <w:rPr>
          <w:rFonts w:asciiTheme="minorHAnsi" w:hAnsiTheme="minorHAnsi"/>
          <w:sz w:val="22"/>
          <w:szCs w:val="22"/>
          <w:highlight w:val="yellow"/>
        </w:rPr>
        <w:t xml:space="preserve">5 </w:t>
      </w:r>
      <w:r w:rsidR="00F91AA5" w:rsidRPr="00166975">
        <w:rPr>
          <w:rFonts w:asciiTheme="minorHAnsi" w:hAnsiTheme="minorHAnsi"/>
          <w:sz w:val="22"/>
          <w:szCs w:val="22"/>
          <w:highlight w:val="yellow"/>
        </w:rPr>
        <w:t>territor</w:t>
      </w:r>
      <w:r w:rsidR="00B97139">
        <w:rPr>
          <w:rFonts w:asciiTheme="minorHAnsi" w:hAnsiTheme="minorHAnsi"/>
          <w:sz w:val="22"/>
          <w:szCs w:val="22"/>
          <w:highlight w:val="yellow"/>
        </w:rPr>
        <w:t>ies</w:t>
      </w:r>
      <w:r w:rsidR="00F91AA5" w:rsidRPr="00166975">
        <w:rPr>
          <w:rFonts w:asciiTheme="minorHAnsi" w:hAnsiTheme="minorHAnsi"/>
          <w:sz w:val="22"/>
          <w:szCs w:val="22"/>
          <w:highlight w:val="yellow"/>
        </w:rPr>
        <w:t xml:space="preserve"> modif</w:t>
      </w:r>
      <w:r w:rsidR="00B97139">
        <w:rPr>
          <w:rFonts w:asciiTheme="minorHAnsi" w:hAnsiTheme="minorHAnsi"/>
          <w:sz w:val="22"/>
          <w:szCs w:val="22"/>
          <w:highlight w:val="yellow"/>
        </w:rPr>
        <w:t>y</w:t>
      </w:r>
      <w:r w:rsidR="00F91AA5" w:rsidRPr="00166975">
        <w:rPr>
          <w:rFonts w:asciiTheme="minorHAnsi" w:hAnsiTheme="minorHAnsi"/>
          <w:sz w:val="22"/>
          <w:szCs w:val="22"/>
          <w:highlight w:val="yellow"/>
        </w:rPr>
        <w:t xml:space="preserve"> their surveillance system and automated case notification message to accommodate new data elements and diseases</w:t>
      </w:r>
      <w:r w:rsidR="000E0146">
        <w:rPr>
          <w:rFonts w:asciiTheme="minorHAnsi" w:hAnsiTheme="minorHAnsi"/>
          <w:sz w:val="22"/>
          <w:szCs w:val="22"/>
          <w:highlight w:val="yellow"/>
        </w:rPr>
        <w:t xml:space="preserve">. </w:t>
      </w:r>
      <w:r w:rsidR="00F91AA5" w:rsidRPr="00166975">
        <w:rPr>
          <w:rFonts w:asciiTheme="minorHAnsi" w:hAnsiTheme="minorHAnsi"/>
          <w:sz w:val="22"/>
          <w:szCs w:val="22"/>
          <w:highlight w:val="yellow"/>
        </w:rPr>
        <w:t xml:space="preserve"> </w:t>
      </w:r>
      <w:r w:rsidR="006C040B">
        <w:rPr>
          <w:rFonts w:asciiTheme="minorHAnsi" w:hAnsiTheme="minorHAnsi"/>
          <w:sz w:val="22"/>
          <w:szCs w:val="22"/>
        </w:rPr>
        <w:t xml:space="preserve">As shown on the Total Diseases + Data Elements tab on </w:t>
      </w:r>
      <w:r w:rsidR="006C040B" w:rsidRPr="00091EA0">
        <w:rPr>
          <w:rFonts w:asciiTheme="minorHAnsi" w:hAnsiTheme="minorHAnsi"/>
          <w:b/>
          <w:sz w:val="22"/>
          <w:szCs w:val="22"/>
        </w:rPr>
        <w:t>Attachment 20.</w:t>
      </w:r>
      <w:r w:rsidR="006C040B">
        <w:rPr>
          <w:rFonts w:asciiTheme="minorHAnsi" w:hAnsiTheme="minorHAnsi"/>
          <w:b/>
          <w:sz w:val="22"/>
          <w:szCs w:val="22"/>
        </w:rPr>
        <w:t xml:space="preserve"> Burden Table Calculations</w:t>
      </w:r>
      <w:r w:rsidR="006C040B" w:rsidRPr="008340C0">
        <w:rPr>
          <w:rFonts w:asciiTheme="minorHAnsi" w:hAnsiTheme="minorHAnsi"/>
          <w:sz w:val="22"/>
          <w:szCs w:val="22"/>
        </w:rPr>
        <w:t>,</w:t>
      </w:r>
      <w:r w:rsidR="00B97139" w:rsidRPr="00B97139">
        <w:rPr>
          <w:rFonts w:asciiTheme="minorHAnsi" w:hAnsiTheme="minorHAnsi"/>
          <w:sz w:val="22"/>
          <w:szCs w:val="22"/>
        </w:rPr>
        <w:t xml:space="preserve"> </w:t>
      </w:r>
      <w:r w:rsidR="00B97139">
        <w:rPr>
          <w:rFonts w:asciiTheme="minorHAnsi" w:hAnsiTheme="minorHAnsi"/>
          <w:sz w:val="22"/>
          <w:szCs w:val="22"/>
        </w:rPr>
        <w:t>t</w:t>
      </w:r>
      <w:r w:rsidR="000E0146" w:rsidRPr="000E0146">
        <w:rPr>
          <w:rFonts w:asciiTheme="minorHAnsi" w:hAnsiTheme="minorHAnsi"/>
          <w:sz w:val="22"/>
          <w:szCs w:val="22"/>
        </w:rPr>
        <w:t xml:space="preserve">he one-time average burden per response is </w:t>
      </w:r>
      <w:r w:rsidR="00B97139">
        <w:rPr>
          <w:rFonts w:asciiTheme="minorHAnsi" w:hAnsiTheme="minorHAnsi"/>
          <w:sz w:val="22"/>
          <w:szCs w:val="22"/>
        </w:rPr>
        <w:t>25</w:t>
      </w:r>
      <w:r w:rsidR="00B97139" w:rsidRPr="000E0146">
        <w:rPr>
          <w:rFonts w:asciiTheme="minorHAnsi" w:hAnsiTheme="minorHAnsi"/>
          <w:sz w:val="22"/>
          <w:szCs w:val="22"/>
        </w:rPr>
        <w:t xml:space="preserve"> </w:t>
      </w:r>
      <w:r w:rsidR="000E0146" w:rsidRPr="000E0146">
        <w:rPr>
          <w:rFonts w:asciiTheme="minorHAnsi" w:hAnsiTheme="minorHAnsi"/>
          <w:sz w:val="22"/>
          <w:szCs w:val="22"/>
        </w:rPr>
        <w:t xml:space="preserve">hours and the one-time total burden is </w:t>
      </w:r>
      <w:r w:rsidR="00B97139">
        <w:rPr>
          <w:rFonts w:asciiTheme="minorHAnsi" w:hAnsiTheme="minorHAnsi"/>
          <w:sz w:val="22"/>
          <w:szCs w:val="22"/>
        </w:rPr>
        <w:t>125</w:t>
      </w:r>
      <w:r w:rsidR="0015650A">
        <w:rPr>
          <w:rFonts w:asciiTheme="minorHAnsi" w:hAnsiTheme="minorHAnsi"/>
          <w:sz w:val="22"/>
          <w:szCs w:val="22"/>
        </w:rPr>
        <w:t xml:space="preserve"> </w:t>
      </w:r>
      <w:r w:rsidR="000E0146" w:rsidRPr="000E0146">
        <w:rPr>
          <w:rFonts w:asciiTheme="minorHAnsi" w:hAnsiTheme="minorHAnsi"/>
          <w:sz w:val="22"/>
          <w:szCs w:val="22"/>
        </w:rPr>
        <w:t xml:space="preserve">hours. As shown on Table A12A below, the annualized one-time average burden per response is </w:t>
      </w:r>
      <w:r w:rsidR="00B97139">
        <w:rPr>
          <w:rFonts w:asciiTheme="minorHAnsi" w:hAnsiTheme="minorHAnsi"/>
          <w:sz w:val="22"/>
          <w:szCs w:val="22"/>
        </w:rPr>
        <w:t>9</w:t>
      </w:r>
      <w:r w:rsidR="00B97139" w:rsidRPr="000E0146">
        <w:rPr>
          <w:rFonts w:asciiTheme="minorHAnsi" w:hAnsiTheme="minorHAnsi"/>
          <w:sz w:val="22"/>
          <w:szCs w:val="22"/>
        </w:rPr>
        <w:t xml:space="preserve"> </w:t>
      </w:r>
      <w:r w:rsidR="000E0146" w:rsidRPr="000E0146">
        <w:rPr>
          <w:rFonts w:asciiTheme="minorHAnsi" w:hAnsiTheme="minorHAnsi"/>
          <w:sz w:val="22"/>
          <w:szCs w:val="22"/>
        </w:rPr>
        <w:t xml:space="preserve">hours and the annualized one-time total burden is </w:t>
      </w:r>
      <w:r w:rsidR="00B97139">
        <w:rPr>
          <w:rFonts w:asciiTheme="minorHAnsi" w:hAnsiTheme="minorHAnsi"/>
          <w:sz w:val="22"/>
          <w:szCs w:val="22"/>
        </w:rPr>
        <w:t>45</w:t>
      </w:r>
      <w:r w:rsidR="00B97139" w:rsidRPr="000E0146">
        <w:rPr>
          <w:rFonts w:asciiTheme="minorHAnsi" w:hAnsiTheme="minorHAnsi"/>
          <w:sz w:val="22"/>
          <w:szCs w:val="22"/>
        </w:rPr>
        <w:t xml:space="preserve"> </w:t>
      </w:r>
      <w:r w:rsidR="000E0146" w:rsidRPr="000E0146">
        <w:rPr>
          <w:rFonts w:asciiTheme="minorHAnsi" w:hAnsiTheme="minorHAnsi"/>
          <w:sz w:val="22"/>
          <w:szCs w:val="22"/>
        </w:rPr>
        <w:t xml:space="preserve">hours. </w:t>
      </w:r>
    </w:p>
    <w:p w:rsidR="00DC00DC" w:rsidRDefault="00DC00DC" w:rsidP="00E763AB">
      <w:pPr>
        <w:spacing w:line="360" w:lineRule="auto"/>
        <w:rPr>
          <w:rFonts w:asciiTheme="minorHAnsi" w:hAnsiTheme="minorHAnsi"/>
          <w:sz w:val="22"/>
          <w:szCs w:val="22"/>
        </w:rPr>
      </w:pPr>
    </w:p>
    <w:p w:rsidR="00E763AB" w:rsidRPr="00463E00" w:rsidRDefault="00E763AB" w:rsidP="00E763AB">
      <w:pPr>
        <w:spacing w:line="360" w:lineRule="auto"/>
        <w:rPr>
          <w:rFonts w:asciiTheme="minorHAnsi" w:hAnsiTheme="minorHAnsi"/>
          <w:sz w:val="22"/>
          <w:szCs w:val="22"/>
        </w:rPr>
      </w:pPr>
      <w:r w:rsidRPr="00463E00">
        <w:rPr>
          <w:rFonts w:asciiTheme="minorHAnsi" w:hAnsiTheme="minorHAnsi"/>
          <w:sz w:val="22"/>
          <w:szCs w:val="22"/>
        </w:rPr>
        <w:t>Freely Associated States</w:t>
      </w:r>
    </w:p>
    <w:p w:rsidR="00E763AB" w:rsidRPr="00463E00" w:rsidRDefault="00E763AB" w:rsidP="00E763AB">
      <w:pPr>
        <w:spacing w:line="360" w:lineRule="auto"/>
        <w:rPr>
          <w:rFonts w:asciiTheme="minorHAnsi" w:hAnsiTheme="minorHAnsi"/>
          <w:sz w:val="22"/>
          <w:szCs w:val="22"/>
        </w:rPr>
      </w:pPr>
      <w:r w:rsidRPr="00463E00">
        <w:rPr>
          <w:rFonts w:asciiTheme="minorHAnsi" w:hAnsiTheme="minorHAnsi"/>
          <w:sz w:val="22"/>
          <w:szCs w:val="22"/>
        </w:rPr>
        <w:t xml:space="preserve">Freely associated states incur burden by: </w:t>
      </w:r>
      <w:r w:rsidR="00B97139" w:rsidRPr="00B97139">
        <w:rPr>
          <w:rFonts w:asciiTheme="minorHAnsi" w:hAnsiTheme="minorHAnsi"/>
          <w:sz w:val="22"/>
          <w:szCs w:val="22"/>
        </w:rPr>
        <w:t xml:space="preserve">1) sending weekly automated case notification data to CDC, 2) sending weekly and quarterly non-automated case notification data to CDC, </w:t>
      </w:r>
      <w:r w:rsidR="00B97139">
        <w:rPr>
          <w:rFonts w:asciiTheme="minorHAnsi" w:hAnsiTheme="minorHAnsi"/>
          <w:sz w:val="22"/>
          <w:szCs w:val="22"/>
        </w:rPr>
        <w:t>3</w:t>
      </w:r>
      <w:r w:rsidR="00B97139" w:rsidRPr="00B97139">
        <w:rPr>
          <w:rFonts w:asciiTheme="minorHAnsi" w:hAnsiTheme="minorHAnsi"/>
          <w:sz w:val="22"/>
          <w:szCs w:val="22"/>
        </w:rPr>
        <w:t xml:space="preserve">) reconciling and sending annual case notification data to CDC and </w:t>
      </w:r>
      <w:r w:rsidR="00B97139">
        <w:rPr>
          <w:rFonts w:asciiTheme="minorHAnsi" w:hAnsiTheme="minorHAnsi"/>
          <w:sz w:val="22"/>
          <w:szCs w:val="22"/>
        </w:rPr>
        <w:t>4</w:t>
      </w:r>
      <w:r w:rsidR="00B97139" w:rsidRPr="00B97139">
        <w:rPr>
          <w:rFonts w:asciiTheme="minorHAnsi" w:hAnsiTheme="minorHAnsi"/>
          <w:sz w:val="22"/>
          <w:szCs w:val="22"/>
        </w:rPr>
        <w:t xml:space="preserve">) modifying their surveillance systems and automated case notification messages to accommodate new data elements and diseases.  All </w:t>
      </w:r>
      <w:r w:rsidR="00091EA0">
        <w:rPr>
          <w:rFonts w:asciiTheme="minorHAnsi" w:hAnsiTheme="minorHAnsi"/>
          <w:sz w:val="22"/>
          <w:szCs w:val="22"/>
        </w:rPr>
        <w:t>3</w:t>
      </w:r>
      <w:r w:rsidR="00B97139" w:rsidRPr="00B97139">
        <w:rPr>
          <w:rFonts w:asciiTheme="minorHAnsi" w:hAnsiTheme="minorHAnsi"/>
          <w:sz w:val="22"/>
          <w:szCs w:val="22"/>
        </w:rPr>
        <w:t xml:space="preserve"> </w:t>
      </w:r>
      <w:r w:rsidR="00B97139">
        <w:rPr>
          <w:rFonts w:asciiTheme="minorHAnsi" w:hAnsiTheme="minorHAnsi"/>
          <w:sz w:val="22"/>
          <w:szCs w:val="22"/>
        </w:rPr>
        <w:t>freely</w:t>
      </w:r>
      <w:r w:rsidR="00091EA0">
        <w:rPr>
          <w:rFonts w:asciiTheme="minorHAnsi" w:hAnsiTheme="minorHAnsi"/>
          <w:sz w:val="22"/>
          <w:szCs w:val="22"/>
        </w:rPr>
        <w:t xml:space="preserve"> associated states</w:t>
      </w:r>
      <w:r w:rsidR="00B97139" w:rsidRPr="00B97139">
        <w:rPr>
          <w:rFonts w:asciiTheme="minorHAnsi" w:hAnsiTheme="minorHAnsi"/>
          <w:sz w:val="22"/>
          <w:szCs w:val="22"/>
        </w:rPr>
        <w:t xml:space="preserve"> send weekly automated case notification data to CDC for at least one disease or condition and their average burden is 20/60 hours. </w:t>
      </w:r>
      <w:r w:rsidRPr="00463E00">
        <w:rPr>
          <w:rFonts w:asciiTheme="minorHAnsi" w:hAnsiTheme="minorHAnsi"/>
          <w:sz w:val="22"/>
          <w:szCs w:val="22"/>
        </w:rPr>
        <w:t xml:space="preserve">All 3 freely associated states send weekly and quarterly non-automated case notification data to CDC for at least one disease or condition and their average burden is </w:t>
      </w:r>
      <w:r w:rsidR="00DB072B" w:rsidRPr="00463E00">
        <w:rPr>
          <w:rFonts w:asciiTheme="minorHAnsi" w:hAnsiTheme="minorHAnsi"/>
          <w:sz w:val="22"/>
          <w:szCs w:val="22"/>
        </w:rPr>
        <w:t>2</w:t>
      </w:r>
      <w:r w:rsidRPr="00463E00">
        <w:rPr>
          <w:rFonts w:asciiTheme="minorHAnsi" w:hAnsiTheme="minorHAnsi"/>
          <w:sz w:val="22"/>
          <w:szCs w:val="22"/>
        </w:rPr>
        <w:t xml:space="preserve">0/60 hours. All 3 freely associated states reconcile and send annual case notification data to CDC and their average burden is 5 hours. </w:t>
      </w:r>
      <w:r w:rsidR="00091EA0" w:rsidRPr="00091EA0">
        <w:rPr>
          <w:rFonts w:asciiTheme="minorHAnsi" w:hAnsiTheme="minorHAnsi"/>
          <w:sz w:val="22"/>
          <w:szCs w:val="22"/>
        </w:rPr>
        <w:t xml:space="preserve">All </w:t>
      </w:r>
      <w:r w:rsidR="00091EA0">
        <w:rPr>
          <w:rFonts w:asciiTheme="minorHAnsi" w:hAnsiTheme="minorHAnsi"/>
          <w:sz w:val="22"/>
          <w:szCs w:val="22"/>
        </w:rPr>
        <w:t>3</w:t>
      </w:r>
      <w:r w:rsidR="00091EA0" w:rsidRPr="00091EA0">
        <w:rPr>
          <w:rFonts w:asciiTheme="minorHAnsi" w:hAnsiTheme="minorHAnsi"/>
          <w:sz w:val="22"/>
          <w:szCs w:val="22"/>
        </w:rPr>
        <w:t xml:space="preserve"> </w:t>
      </w:r>
      <w:r w:rsidR="00091EA0">
        <w:rPr>
          <w:rFonts w:asciiTheme="minorHAnsi" w:hAnsiTheme="minorHAnsi"/>
          <w:sz w:val="22"/>
          <w:szCs w:val="22"/>
        </w:rPr>
        <w:t>freely associated states</w:t>
      </w:r>
      <w:r w:rsidR="00091EA0" w:rsidRPr="00091EA0">
        <w:rPr>
          <w:rFonts w:asciiTheme="minorHAnsi" w:hAnsiTheme="minorHAnsi"/>
          <w:sz w:val="22"/>
          <w:szCs w:val="22"/>
        </w:rPr>
        <w:t xml:space="preserve">   modify their surveillance system</w:t>
      </w:r>
      <w:r w:rsidR="00091EA0">
        <w:rPr>
          <w:rFonts w:asciiTheme="minorHAnsi" w:hAnsiTheme="minorHAnsi"/>
          <w:sz w:val="22"/>
          <w:szCs w:val="22"/>
        </w:rPr>
        <w:t>s</w:t>
      </w:r>
      <w:r w:rsidR="00091EA0" w:rsidRPr="00091EA0">
        <w:rPr>
          <w:rFonts w:asciiTheme="minorHAnsi" w:hAnsiTheme="minorHAnsi"/>
          <w:sz w:val="22"/>
          <w:szCs w:val="22"/>
        </w:rPr>
        <w:t xml:space="preserve"> and automated case notification message to accommodate new data elements and diseases.</w:t>
      </w:r>
      <w:r w:rsidR="00017C44" w:rsidRPr="00017C44">
        <w:rPr>
          <w:rFonts w:asciiTheme="minorHAnsi" w:hAnsiTheme="minorHAnsi"/>
          <w:sz w:val="22"/>
          <w:szCs w:val="22"/>
        </w:rPr>
        <w:t xml:space="preserve"> </w:t>
      </w:r>
      <w:r w:rsidR="00017C44">
        <w:rPr>
          <w:rFonts w:asciiTheme="minorHAnsi" w:hAnsiTheme="minorHAnsi"/>
          <w:sz w:val="22"/>
          <w:szCs w:val="22"/>
        </w:rPr>
        <w:t xml:space="preserve">As shown on the Total Diseases + Data Elements tab on </w:t>
      </w:r>
      <w:r w:rsidR="00017C44" w:rsidRPr="00091EA0">
        <w:rPr>
          <w:rFonts w:asciiTheme="minorHAnsi" w:hAnsiTheme="minorHAnsi"/>
          <w:b/>
          <w:sz w:val="22"/>
          <w:szCs w:val="22"/>
        </w:rPr>
        <w:t>Attachment 20.</w:t>
      </w:r>
      <w:r w:rsidR="00017C44">
        <w:rPr>
          <w:rFonts w:asciiTheme="minorHAnsi" w:hAnsiTheme="minorHAnsi"/>
          <w:b/>
          <w:sz w:val="22"/>
          <w:szCs w:val="22"/>
        </w:rPr>
        <w:t xml:space="preserve"> Burden Table Calculations,</w:t>
      </w:r>
      <w:r w:rsidR="00091EA0" w:rsidRPr="00091EA0">
        <w:rPr>
          <w:rFonts w:asciiTheme="minorHAnsi" w:hAnsiTheme="minorHAnsi"/>
          <w:sz w:val="22"/>
          <w:szCs w:val="22"/>
        </w:rPr>
        <w:t xml:space="preserve"> the one-time average burden per response is </w:t>
      </w:r>
      <w:r w:rsidR="00091EA0">
        <w:rPr>
          <w:rFonts w:asciiTheme="minorHAnsi" w:hAnsiTheme="minorHAnsi"/>
          <w:sz w:val="22"/>
          <w:szCs w:val="22"/>
        </w:rPr>
        <w:t>16</w:t>
      </w:r>
      <w:r w:rsidR="00091EA0" w:rsidRPr="00091EA0">
        <w:rPr>
          <w:rFonts w:asciiTheme="minorHAnsi" w:hAnsiTheme="minorHAnsi"/>
          <w:sz w:val="22"/>
          <w:szCs w:val="22"/>
        </w:rPr>
        <w:t xml:space="preserve"> hours and the one-time total burden is 6 hours</w:t>
      </w:r>
      <w:r w:rsidR="00091EA0">
        <w:rPr>
          <w:rFonts w:asciiTheme="minorHAnsi" w:hAnsiTheme="minorHAnsi"/>
          <w:sz w:val="22"/>
          <w:szCs w:val="22"/>
        </w:rPr>
        <w:t>.</w:t>
      </w:r>
      <w:r w:rsidR="00091EA0" w:rsidRPr="00091EA0">
        <w:rPr>
          <w:rFonts w:asciiTheme="minorHAnsi" w:hAnsiTheme="minorHAnsi"/>
          <w:sz w:val="22"/>
          <w:szCs w:val="22"/>
        </w:rPr>
        <w:t xml:space="preserve">  </w:t>
      </w:r>
    </w:p>
    <w:p w:rsidR="00DE7FA7" w:rsidRPr="00463E00" w:rsidRDefault="00DE7FA7" w:rsidP="00F75617">
      <w:pPr>
        <w:spacing w:line="360" w:lineRule="auto"/>
        <w:rPr>
          <w:rFonts w:asciiTheme="minorHAnsi" w:hAnsiTheme="minorHAnsi"/>
          <w:sz w:val="22"/>
          <w:szCs w:val="22"/>
        </w:rPr>
      </w:pPr>
    </w:p>
    <w:p w:rsidR="00F75617" w:rsidRPr="00463E00" w:rsidRDefault="00F75617" w:rsidP="00F75617">
      <w:pPr>
        <w:spacing w:line="360" w:lineRule="auto"/>
        <w:rPr>
          <w:rFonts w:asciiTheme="minorHAnsi" w:hAnsiTheme="minorHAnsi"/>
          <w:sz w:val="22"/>
          <w:szCs w:val="22"/>
        </w:rPr>
      </w:pPr>
      <w:r w:rsidRPr="00463E00">
        <w:rPr>
          <w:rFonts w:asciiTheme="minorHAnsi" w:hAnsiTheme="minorHAnsi"/>
          <w:sz w:val="22"/>
          <w:szCs w:val="22"/>
        </w:rPr>
        <w:t>Cities</w:t>
      </w:r>
    </w:p>
    <w:p w:rsidR="00F75617" w:rsidRPr="00863E82" w:rsidRDefault="003F1553" w:rsidP="00863E82">
      <w:pPr>
        <w:spacing w:line="360" w:lineRule="auto"/>
        <w:rPr>
          <w:rFonts w:asciiTheme="minorHAnsi" w:hAnsiTheme="minorHAnsi"/>
          <w:sz w:val="22"/>
          <w:szCs w:val="22"/>
        </w:rPr>
      </w:pPr>
      <w:r w:rsidRPr="00463E00">
        <w:rPr>
          <w:rFonts w:asciiTheme="minorHAnsi" w:hAnsiTheme="minorHAnsi"/>
          <w:sz w:val="22"/>
          <w:szCs w:val="22"/>
        </w:rPr>
        <w:t>Cities</w:t>
      </w:r>
      <w:r w:rsidR="00F75617" w:rsidRPr="00463E00">
        <w:rPr>
          <w:rFonts w:asciiTheme="minorHAnsi" w:hAnsiTheme="minorHAnsi"/>
          <w:sz w:val="22"/>
          <w:szCs w:val="22"/>
        </w:rPr>
        <w:t xml:space="preserve"> incur burden by: 1) sending weekly automated case notification data to CDC, 2) sending weekly non-automated case notification data to CDC, 3) modernizing their surveillance systems as part of NMI implementation, 4) reconciling and sending annual case notification data to CDC</w:t>
      </w:r>
      <w:r w:rsidR="0038516C" w:rsidRPr="00463E00">
        <w:rPr>
          <w:rFonts w:asciiTheme="minorHAnsi" w:hAnsiTheme="minorHAnsi"/>
          <w:sz w:val="22"/>
          <w:szCs w:val="22"/>
        </w:rPr>
        <w:t xml:space="preserve">, and 5) modifying their surveillance systems and automated case notification messages to accommodate new data elements and diseases.  </w:t>
      </w:r>
      <w:r w:rsidRPr="00463E00">
        <w:rPr>
          <w:rFonts w:asciiTheme="minorHAnsi" w:hAnsiTheme="minorHAnsi"/>
          <w:sz w:val="22"/>
          <w:szCs w:val="22"/>
        </w:rPr>
        <w:t>Both of the 2 cities</w:t>
      </w:r>
      <w:r w:rsidR="00F75617" w:rsidRPr="00463E00">
        <w:rPr>
          <w:rFonts w:asciiTheme="minorHAnsi" w:hAnsiTheme="minorHAnsi"/>
          <w:sz w:val="22"/>
          <w:szCs w:val="22"/>
        </w:rPr>
        <w:t xml:space="preserve"> send weekly automated case notification data to CDC for at least one disease or condition and their average burden is </w:t>
      </w:r>
      <w:r w:rsidR="00DB072B" w:rsidRPr="00463E00">
        <w:rPr>
          <w:rFonts w:asciiTheme="minorHAnsi" w:hAnsiTheme="minorHAnsi"/>
          <w:sz w:val="22"/>
          <w:szCs w:val="22"/>
        </w:rPr>
        <w:t>2</w:t>
      </w:r>
      <w:r w:rsidR="00F75617" w:rsidRPr="00463E00">
        <w:rPr>
          <w:rFonts w:asciiTheme="minorHAnsi" w:hAnsiTheme="minorHAnsi"/>
          <w:sz w:val="22"/>
          <w:szCs w:val="22"/>
        </w:rPr>
        <w:t xml:space="preserve">0/60 hours. </w:t>
      </w:r>
      <w:r w:rsidRPr="00463E00">
        <w:rPr>
          <w:rFonts w:asciiTheme="minorHAnsi" w:hAnsiTheme="minorHAnsi"/>
          <w:sz w:val="22"/>
          <w:szCs w:val="22"/>
        </w:rPr>
        <w:t>Both of the 2 cities</w:t>
      </w:r>
      <w:r w:rsidR="00F75617" w:rsidRPr="00463E00">
        <w:rPr>
          <w:rFonts w:asciiTheme="minorHAnsi" w:hAnsiTheme="minorHAnsi"/>
          <w:sz w:val="22"/>
          <w:szCs w:val="22"/>
        </w:rPr>
        <w:t xml:space="preserve"> send weekly non-automated case notification data to CDC for at least one disease or condition and their average burden per response is </w:t>
      </w:r>
      <w:r w:rsidRPr="00463E00">
        <w:rPr>
          <w:rFonts w:asciiTheme="minorHAnsi" w:hAnsiTheme="minorHAnsi"/>
          <w:sz w:val="22"/>
          <w:szCs w:val="22"/>
        </w:rPr>
        <w:t>2</w:t>
      </w:r>
      <w:r w:rsidR="00F75617" w:rsidRPr="00463E00">
        <w:rPr>
          <w:rFonts w:asciiTheme="minorHAnsi" w:hAnsiTheme="minorHAnsi"/>
          <w:sz w:val="22"/>
          <w:szCs w:val="22"/>
        </w:rPr>
        <w:t xml:space="preserve"> hours. </w:t>
      </w:r>
      <w:r w:rsidRPr="00463E00">
        <w:rPr>
          <w:rFonts w:asciiTheme="minorHAnsi" w:hAnsiTheme="minorHAnsi"/>
          <w:sz w:val="22"/>
          <w:szCs w:val="22"/>
        </w:rPr>
        <w:t>Both of the 2 cities</w:t>
      </w:r>
      <w:r w:rsidR="00F75617" w:rsidRPr="00463E00">
        <w:rPr>
          <w:rFonts w:asciiTheme="minorHAnsi" w:hAnsiTheme="minorHAnsi"/>
          <w:sz w:val="22"/>
          <w:szCs w:val="22"/>
        </w:rPr>
        <w:t xml:space="preserve"> perform weekly activities to modernize their surveillance systems as part of NMI implementation and their average burden is 4 hours. </w:t>
      </w:r>
      <w:r w:rsidRPr="00463E00">
        <w:rPr>
          <w:rFonts w:asciiTheme="minorHAnsi" w:hAnsiTheme="minorHAnsi"/>
          <w:sz w:val="22"/>
          <w:szCs w:val="22"/>
        </w:rPr>
        <w:t>Both of the 2 cities</w:t>
      </w:r>
      <w:r w:rsidR="00F75617" w:rsidRPr="00463E00">
        <w:rPr>
          <w:rFonts w:asciiTheme="minorHAnsi" w:hAnsiTheme="minorHAnsi"/>
          <w:sz w:val="22"/>
          <w:szCs w:val="22"/>
        </w:rPr>
        <w:t xml:space="preserve"> reconcile and send annual case notification data to CDC and their average burden is 75 hours. </w:t>
      </w:r>
      <w:r w:rsidR="00863E82" w:rsidRPr="00166975">
        <w:rPr>
          <w:rFonts w:asciiTheme="minorHAnsi" w:hAnsiTheme="minorHAnsi"/>
          <w:sz w:val="22"/>
          <w:szCs w:val="22"/>
          <w:highlight w:val="yellow"/>
        </w:rPr>
        <w:t>Both of the 2 cities modify their surveillance systems and automated case notification message</w:t>
      </w:r>
      <w:r w:rsidR="00E25B66" w:rsidRPr="00166975">
        <w:rPr>
          <w:rFonts w:asciiTheme="minorHAnsi" w:hAnsiTheme="minorHAnsi"/>
          <w:sz w:val="22"/>
          <w:szCs w:val="22"/>
          <w:highlight w:val="yellow"/>
        </w:rPr>
        <w:t>s</w:t>
      </w:r>
      <w:r w:rsidR="00863E82" w:rsidRPr="00166975">
        <w:rPr>
          <w:rFonts w:asciiTheme="minorHAnsi" w:hAnsiTheme="minorHAnsi"/>
          <w:sz w:val="22"/>
          <w:szCs w:val="22"/>
          <w:highlight w:val="yellow"/>
        </w:rPr>
        <w:t xml:space="preserve"> to accommodate new data elements and diseases</w:t>
      </w:r>
      <w:r w:rsidR="0078291C">
        <w:rPr>
          <w:rFonts w:asciiTheme="minorHAnsi" w:hAnsiTheme="minorHAnsi"/>
          <w:sz w:val="22"/>
          <w:szCs w:val="22"/>
          <w:highlight w:val="yellow"/>
        </w:rPr>
        <w:t>.</w:t>
      </w:r>
      <w:r w:rsidR="004C0084" w:rsidRPr="004C0084">
        <w:rPr>
          <w:rFonts w:asciiTheme="minorHAnsi" w:hAnsiTheme="minorHAnsi"/>
          <w:sz w:val="22"/>
          <w:szCs w:val="22"/>
        </w:rPr>
        <w:t xml:space="preserve"> </w:t>
      </w:r>
      <w:r w:rsidR="004C0084">
        <w:rPr>
          <w:rFonts w:asciiTheme="minorHAnsi" w:hAnsiTheme="minorHAnsi"/>
          <w:sz w:val="22"/>
          <w:szCs w:val="22"/>
        </w:rPr>
        <w:t xml:space="preserve">As shown on the Total Diseases + Data Elements tab on </w:t>
      </w:r>
      <w:r w:rsidR="004C0084" w:rsidRPr="00091EA0">
        <w:rPr>
          <w:rFonts w:asciiTheme="minorHAnsi" w:hAnsiTheme="minorHAnsi"/>
          <w:b/>
          <w:sz w:val="22"/>
          <w:szCs w:val="22"/>
        </w:rPr>
        <w:t>Attachment 20.</w:t>
      </w:r>
      <w:r w:rsidR="004C0084">
        <w:rPr>
          <w:rFonts w:asciiTheme="minorHAnsi" w:hAnsiTheme="minorHAnsi"/>
          <w:b/>
          <w:sz w:val="22"/>
          <w:szCs w:val="22"/>
        </w:rPr>
        <w:t xml:space="preserve"> Burden Table Calculations,</w:t>
      </w:r>
      <w:r w:rsidR="005847DA">
        <w:rPr>
          <w:rFonts w:asciiTheme="minorHAnsi" w:hAnsiTheme="minorHAnsi"/>
          <w:sz w:val="22"/>
          <w:szCs w:val="22"/>
        </w:rPr>
        <w:t xml:space="preserve"> t</w:t>
      </w:r>
      <w:r w:rsidR="0078291C">
        <w:rPr>
          <w:rFonts w:asciiTheme="minorHAnsi" w:hAnsiTheme="minorHAnsi"/>
          <w:sz w:val="22"/>
          <w:szCs w:val="22"/>
          <w:highlight w:val="yellow"/>
        </w:rPr>
        <w:t xml:space="preserve">he one-time average burden per response is </w:t>
      </w:r>
      <w:r w:rsidR="005847DA">
        <w:rPr>
          <w:rFonts w:asciiTheme="minorHAnsi" w:hAnsiTheme="minorHAnsi"/>
          <w:sz w:val="22"/>
          <w:szCs w:val="22"/>
          <w:highlight w:val="yellow"/>
        </w:rPr>
        <w:t xml:space="preserve">59 </w:t>
      </w:r>
      <w:r w:rsidR="0078291C">
        <w:rPr>
          <w:rFonts w:asciiTheme="minorHAnsi" w:hAnsiTheme="minorHAnsi"/>
          <w:sz w:val="22"/>
          <w:szCs w:val="22"/>
          <w:highlight w:val="yellow"/>
        </w:rPr>
        <w:t xml:space="preserve">hours and the one-time total burden is </w:t>
      </w:r>
      <w:r w:rsidR="005847DA">
        <w:rPr>
          <w:rFonts w:asciiTheme="minorHAnsi" w:hAnsiTheme="minorHAnsi"/>
          <w:sz w:val="22"/>
          <w:szCs w:val="22"/>
          <w:highlight w:val="yellow"/>
        </w:rPr>
        <w:t xml:space="preserve">118 </w:t>
      </w:r>
      <w:r w:rsidR="0078291C">
        <w:rPr>
          <w:rFonts w:asciiTheme="minorHAnsi" w:hAnsiTheme="minorHAnsi"/>
          <w:sz w:val="22"/>
          <w:szCs w:val="22"/>
          <w:highlight w:val="yellow"/>
        </w:rPr>
        <w:t xml:space="preserve">hours. </w:t>
      </w:r>
      <w:r w:rsidR="000E0146">
        <w:rPr>
          <w:rFonts w:asciiTheme="minorHAnsi" w:hAnsiTheme="minorHAnsi"/>
          <w:sz w:val="22"/>
          <w:szCs w:val="22"/>
          <w:highlight w:val="yellow"/>
        </w:rPr>
        <w:t>As shown on Table A12A below, t</w:t>
      </w:r>
      <w:r w:rsidR="0078291C">
        <w:rPr>
          <w:rFonts w:asciiTheme="minorHAnsi" w:hAnsiTheme="minorHAnsi"/>
          <w:sz w:val="22"/>
          <w:szCs w:val="22"/>
          <w:highlight w:val="yellow"/>
        </w:rPr>
        <w:t xml:space="preserve">he </w:t>
      </w:r>
      <w:r w:rsidR="000E0146">
        <w:rPr>
          <w:rFonts w:asciiTheme="minorHAnsi" w:hAnsiTheme="minorHAnsi"/>
          <w:sz w:val="22"/>
          <w:szCs w:val="22"/>
          <w:highlight w:val="yellow"/>
        </w:rPr>
        <w:t>a</w:t>
      </w:r>
      <w:r w:rsidR="0078291C">
        <w:rPr>
          <w:rFonts w:asciiTheme="minorHAnsi" w:hAnsiTheme="minorHAnsi"/>
          <w:sz w:val="22"/>
          <w:szCs w:val="22"/>
          <w:highlight w:val="yellow"/>
        </w:rPr>
        <w:t xml:space="preserve">nnualized one-time average </w:t>
      </w:r>
      <w:r w:rsidR="000E0146">
        <w:rPr>
          <w:rFonts w:asciiTheme="minorHAnsi" w:hAnsiTheme="minorHAnsi"/>
          <w:sz w:val="22"/>
          <w:szCs w:val="22"/>
          <w:highlight w:val="yellow"/>
        </w:rPr>
        <w:t xml:space="preserve">burden per response is </w:t>
      </w:r>
      <w:r w:rsidR="005847DA">
        <w:rPr>
          <w:rFonts w:asciiTheme="minorHAnsi" w:hAnsiTheme="minorHAnsi"/>
          <w:sz w:val="22"/>
          <w:szCs w:val="22"/>
          <w:highlight w:val="yellow"/>
        </w:rPr>
        <w:t xml:space="preserve">20 </w:t>
      </w:r>
      <w:r w:rsidR="000E0146">
        <w:rPr>
          <w:rFonts w:asciiTheme="minorHAnsi" w:hAnsiTheme="minorHAnsi"/>
          <w:sz w:val="22"/>
          <w:szCs w:val="22"/>
          <w:highlight w:val="yellow"/>
        </w:rPr>
        <w:t xml:space="preserve">hours and the annualized one-time total burden is </w:t>
      </w:r>
      <w:r w:rsidR="005847DA">
        <w:rPr>
          <w:rFonts w:asciiTheme="minorHAnsi" w:hAnsiTheme="minorHAnsi"/>
          <w:sz w:val="22"/>
          <w:szCs w:val="22"/>
          <w:highlight w:val="yellow"/>
        </w:rPr>
        <w:t xml:space="preserve">40 </w:t>
      </w:r>
      <w:r w:rsidR="000E0146">
        <w:rPr>
          <w:rFonts w:asciiTheme="minorHAnsi" w:hAnsiTheme="minorHAnsi"/>
          <w:sz w:val="22"/>
          <w:szCs w:val="22"/>
          <w:highlight w:val="yellow"/>
        </w:rPr>
        <w:t xml:space="preserve">hours. </w:t>
      </w:r>
    </w:p>
    <w:p w:rsidR="0056521D" w:rsidRPr="008600A1" w:rsidRDefault="0056521D" w:rsidP="005D171D">
      <w:pPr>
        <w:spacing w:line="360" w:lineRule="auto"/>
        <w:rPr>
          <w:rFonts w:asciiTheme="minorHAnsi" w:hAnsiTheme="minorHAnsi"/>
          <w:sz w:val="22"/>
          <w:szCs w:val="22"/>
          <w:highlight w:val="yellow"/>
        </w:rPr>
      </w:pPr>
    </w:p>
    <w:p w:rsidR="003A5343" w:rsidRPr="00233B64" w:rsidRDefault="003A5343" w:rsidP="003A5343">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 xml:space="preserve">According to the U.S. Department of Labor, Bureau of Labor Statistics, Occupational Employment Statistics, May </w:t>
      </w:r>
      <w:r w:rsidR="00962794">
        <w:rPr>
          <w:rFonts w:asciiTheme="minorHAnsi" w:hAnsiTheme="minorHAnsi"/>
          <w:sz w:val="22"/>
          <w:szCs w:val="22"/>
          <w:highlight w:val="yellow"/>
        </w:rPr>
        <w:t>201</w:t>
      </w:r>
      <w:r w:rsidR="008142B0">
        <w:rPr>
          <w:rFonts w:asciiTheme="minorHAnsi" w:hAnsiTheme="minorHAnsi"/>
          <w:sz w:val="22"/>
          <w:szCs w:val="22"/>
          <w:highlight w:val="yellow"/>
        </w:rPr>
        <w:t>7</w:t>
      </w:r>
      <w:r w:rsidR="00962794" w:rsidRPr="00233B64">
        <w:rPr>
          <w:rFonts w:asciiTheme="minorHAnsi" w:hAnsiTheme="minorHAnsi"/>
          <w:sz w:val="22"/>
          <w:szCs w:val="22"/>
          <w:highlight w:val="yellow"/>
        </w:rPr>
        <w:t xml:space="preserve"> </w:t>
      </w:r>
      <w:r w:rsidRPr="00233B64">
        <w:rPr>
          <w:rFonts w:asciiTheme="minorHAnsi" w:hAnsiTheme="minorHAnsi"/>
          <w:sz w:val="22"/>
          <w:szCs w:val="22"/>
          <w:highlight w:val="yellow"/>
        </w:rPr>
        <w:t xml:space="preserve">National Occupational Employment and Wage Estimates, the </w:t>
      </w:r>
      <w:r w:rsidR="00570C81">
        <w:rPr>
          <w:rFonts w:asciiTheme="minorHAnsi" w:hAnsiTheme="minorHAnsi"/>
          <w:sz w:val="22"/>
          <w:szCs w:val="22"/>
          <w:highlight w:val="yellow"/>
        </w:rPr>
        <w:t xml:space="preserve">estimated </w:t>
      </w:r>
      <w:r w:rsidRPr="00233B64">
        <w:rPr>
          <w:rFonts w:asciiTheme="minorHAnsi" w:hAnsiTheme="minorHAnsi"/>
          <w:sz w:val="22"/>
          <w:szCs w:val="22"/>
          <w:highlight w:val="yellow"/>
        </w:rPr>
        <w:t xml:space="preserve">mean hourly wage for </w:t>
      </w:r>
      <w:r w:rsidR="007D50C3">
        <w:rPr>
          <w:rFonts w:asciiTheme="minorHAnsi" w:hAnsiTheme="minorHAnsi"/>
          <w:sz w:val="22"/>
          <w:szCs w:val="22"/>
          <w:highlight w:val="yellow"/>
        </w:rPr>
        <w:t xml:space="preserve">Computer </w:t>
      </w:r>
      <w:r w:rsidR="00A90534">
        <w:rPr>
          <w:rFonts w:asciiTheme="minorHAnsi" w:hAnsiTheme="minorHAnsi"/>
          <w:sz w:val="22"/>
          <w:szCs w:val="22"/>
          <w:highlight w:val="yellow"/>
        </w:rPr>
        <w:t xml:space="preserve">Systems </w:t>
      </w:r>
      <w:r w:rsidR="00A90534" w:rsidRPr="00570C81">
        <w:rPr>
          <w:rFonts w:asciiTheme="minorHAnsi" w:hAnsiTheme="minorHAnsi"/>
          <w:sz w:val="22"/>
          <w:szCs w:val="22"/>
          <w:highlight w:val="yellow"/>
        </w:rPr>
        <w:t>Analysts is $44.</w:t>
      </w:r>
      <w:r w:rsidR="008142B0">
        <w:rPr>
          <w:rFonts w:asciiTheme="minorHAnsi" w:hAnsiTheme="minorHAnsi"/>
          <w:sz w:val="22"/>
          <w:szCs w:val="22"/>
          <w:highlight w:val="yellow"/>
        </w:rPr>
        <w:t xml:space="preserve">59 </w:t>
      </w:r>
      <w:r w:rsidR="007D50C3" w:rsidRPr="00570C81">
        <w:rPr>
          <w:rFonts w:asciiTheme="minorHAnsi" w:hAnsiTheme="minorHAnsi"/>
          <w:sz w:val="22"/>
          <w:szCs w:val="22"/>
          <w:highlight w:val="yellow"/>
        </w:rPr>
        <w:t>(</w:t>
      </w:r>
      <w:hyperlink r:id="rId26" w:anchor="15-0000" w:history="1">
        <w:r w:rsidR="007D50C3" w:rsidRPr="00570C81">
          <w:rPr>
            <w:rStyle w:val="Hyperlink"/>
            <w:rFonts w:asciiTheme="minorHAnsi" w:hAnsiTheme="minorHAnsi"/>
            <w:sz w:val="22"/>
            <w:szCs w:val="22"/>
            <w:highlight w:val="yellow"/>
          </w:rPr>
          <w:t>https://www.bls.gov/oes/current/oes_nat.htm#15-0000</w:t>
        </w:r>
      </w:hyperlink>
      <w:r w:rsidR="007D50C3" w:rsidRPr="00570C81">
        <w:rPr>
          <w:rFonts w:asciiTheme="minorHAnsi" w:hAnsiTheme="minorHAnsi"/>
          <w:sz w:val="22"/>
          <w:szCs w:val="22"/>
          <w:highlight w:val="yellow"/>
        </w:rPr>
        <w:t xml:space="preserve">) </w:t>
      </w:r>
      <w:r w:rsidR="00A90534" w:rsidRPr="00570C81">
        <w:rPr>
          <w:rFonts w:asciiTheme="minorHAnsi" w:hAnsiTheme="minorHAnsi"/>
          <w:sz w:val="22"/>
          <w:szCs w:val="22"/>
          <w:highlight w:val="yellow"/>
        </w:rPr>
        <w:t xml:space="preserve">and the </w:t>
      </w:r>
      <w:r w:rsidR="00570C81">
        <w:rPr>
          <w:rFonts w:asciiTheme="minorHAnsi" w:hAnsiTheme="minorHAnsi"/>
          <w:sz w:val="22"/>
          <w:szCs w:val="22"/>
          <w:highlight w:val="yellow"/>
        </w:rPr>
        <w:t xml:space="preserve">estimated </w:t>
      </w:r>
      <w:r w:rsidR="00A90534">
        <w:rPr>
          <w:rFonts w:asciiTheme="minorHAnsi" w:hAnsiTheme="minorHAnsi"/>
          <w:sz w:val="22"/>
          <w:szCs w:val="22"/>
          <w:highlight w:val="yellow"/>
        </w:rPr>
        <w:t xml:space="preserve">mean hourly wage for </w:t>
      </w:r>
      <w:r w:rsidRPr="00233B64">
        <w:rPr>
          <w:rFonts w:asciiTheme="minorHAnsi" w:hAnsiTheme="minorHAnsi"/>
          <w:sz w:val="22"/>
          <w:szCs w:val="22"/>
          <w:highlight w:val="yellow"/>
        </w:rPr>
        <w:t xml:space="preserve">Epidemiologists is </w:t>
      </w:r>
      <w:r w:rsidR="00962794">
        <w:rPr>
          <w:rFonts w:asciiTheme="minorHAnsi" w:hAnsiTheme="minorHAnsi"/>
          <w:sz w:val="22"/>
          <w:szCs w:val="22"/>
          <w:highlight w:val="yellow"/>
        </w:rPr>
        <w:t>$</w:t>
      </w:r>
      <w:r w:rsidR="008142B0">
        <w:rPr>
          <w:rFonts w:asciiTheme="minorHAnsi" w:hAnsiTheme="minorHAnsi"/>
          <w:sz w:val="22"/>
          <w:szCs w:val="22"/>
          <w:highlight w:val="yellow"/>
        </w:rPr>
        <w:t>36.65</w:t>
      </w:r>
      <w:r w:rsidR="0055281F" w:rsidRPr="00233B64">
        <w:rPr>
          <w:rFonts w:asciiTheme="minorHAnsi" w:hAnsiTheme="minorHAnsi"/>
          <w:sz w:val="22"/>
          <w:szCs w:val="22"/>
          <w:highlight w:val="yellow"/>
        </w:rPr>
        <w:t xml:space="preserve"> (</w:t>
      </w:r>
      <w:hyperlink r:id="rId27" w:anchor="19-0000" w:history="1">
        <w:r w:rsidR="007E5047" w:rsidRPr="00233B64">
          <w:rPr>
            <w:rStyle w:val="Hyperlink"/>
            <w:rFonts w:asciiTheme="minorHAnsi" w:hAnsiTheme="minorHAnsi"/>
            <w:sz w:val="22"/>
            <w:szCs w:val="22"/>
            <w:highlight w:val="yellow"/>
          </w:rPr>
          <w:t>http://www.bls.gov/oes/current/oes_nat.htm#19-0000</w:t>
        </w:r>
      </w:hyperlink>
      <w:r w:rsidR="0055281F" w:rsidRPr="00233B64">
        <w:rPr>
          <w:rFonts w:asciiTheme="minorHAnsi" w:hAnsiTheme="minorHAnsi"/>
          <w:sz w:val="22"/>
          <w:szCs w:val="22"/>
          <w:highlight w:val="yellow"/>
        </w:rPr>
        <w:t>)</w:t>
      </w:r>
      <w:r w:rsidR="00B0162A">
        <w:rPr>
          <w:rFonts w:asciiTheme="minorHAnsi" w:hAnsiTheme="minorHAnsi"/>
          <w:sz w:val="22"/>
          <w:szCs w:val="22"/>
          <w:highlight w:val="yellow"/>
        </w:rPr>
        <w:t xml:space="preserve"> </w:t>
      </w:r>
      <w:r w:rsidRPr="00233B64">
        <w:rPr>
          <w:rFonts w:asciiTheme="minorHAnsi" w:hAnsiTheme="minorHAnsi"/>
          <w:sz w:val="22"/>
          <w:szCs w:val="22"/>
          <w:highlight w:val="yellow"/>
        </w:rPr>
        <w:t>Th</w:t>
      </w:r>
      <w:r w:rsidR="00A90534">
        <w:rPr>
          <w:rFonts w:asciiTheme="minorHAnsi" w:hAnsiTheme="minorHAnsi"/>
          <w:sz w:val="22"/>
          <w:szCs w:val="22"/>
          <w:highlight w:val="yellow"/>
        </w:rPr>
        <w:t>e</w:t>
      </w:r>
      <w:r w:rsidR="007D50C3">
        <w:rPr>
          <w:rFonts w:asciiTheme="minorHAnsi" w:hAnsiTheme="minorHAnsi"/>
          <w:sz w:val="22"/>
          <w:szCs w:val="22"/>
          <w:highlight w:val="yellow"/>
        </w:rPr>
        <w:t xml:space="preserve"> </w:t>
      </w:r>
      <w:r w:rsidR="00570C81">
        <w:rPr>
          <w:rFonts w:asciiTheme="minorHAnsi" w:hAnsiTheme="minorHAnsi"/>
          <w:sz w:val="22"/>
          <w:szCs w:val="22"/>
          <w:highlight w:val="yellow"/>
        </w:rPr>
        <w:t xml:space="preserve">estimated </w:t>
      </w:r>
      <w:r w:rsidR="007D50C3">
        <w:rPr>
          <w:rFonts w:asciiTheme="minorHAnsi" w:hAnsiTheme="minorHAnsi"/>
          <w:sz w:val="22"/>
          <w:szCs w:val="22"/>
          <w:highlight w:val="yellow"/>
        </w:rPr>
        <w:t xml:space="preserve">hourly wage for a Computer Systems Analyst is used for weekly </w:t>
      </w:r>
      <w:r w:rsidR="00756E4E">
        <w:rPr>
          <w:rFonts w:asciiTheme="minorHAnsi" w:hAnsiTheme="minorHAnsi"/>
          <w:sz w:val="22"/>
          <w:szCs w:val="22"/>
          <w:highlight w:val="yellow"/>
        </w:rPr>
        <w:t xml:space="preserve">automated </w:t>
      </w:r>
      <w:r w:rsidR="007D50C3">
        <w:rPr>
          <w:rFonts w:asciiTheme="minorHAnsi" w:hAnsiTheme="minorHAnsi"/>
          <w:sz w:val="22"/>
          <w:szCs w:val="22"/>
          <w:highlight w:val="yellow"/>
        </w:rPr>
        <w:t>submissions</w:t>
      </w:r>
      <w:r w:rsidR="00856CDE">
        <w:rPr>
          <w:rFonts w:asciiTheme="minorHAnsi" w:hAnsiTheme="minorHAnsi"/>
          <w:sz w:val="22"/>
          <w:szCs w:val="22"/>
          <w:highlight w:val="yellow"/>
        </w:rPr>
        <w:t xml:space="preserve"> and </w:t>
      </w:r>
      <w:r w:rsidR="00756E4E">
        <w:rPr>
          <w:rFonts w:asciiTheme="minorHAnsi" w:hAnsiTheme="minorHAnsi"/>
          <w:sz w:val="22"/>
          <w:szCs w:val="22"/>
          <w:highlight w:val="yellow"/>
        </w:rPr>
        <w:t>weekly NMI</w:t>
      </w:r>
      <w:r w:rsidR="00A46F78">
        <w:rPr>
          <w:rFonts w:asciiTheme="minorHAnsi" w:hAnsiTheme="minorHAnsi"/>
          <w:sz w:val="22"/>
          <w:szCs w:val="22"/>
          <w:highlight w:val="yellow"/>
        </w:rPr>
        <w:t xml:space="preserve"> implementation</w:t>
      </w:r>
      <w:r w:rsidR="00756E4E">
        <w:rPr>
          <w:rFonts w:asciiTheme="minorHAnsi" w:hAnsiTheme="minorHAnsi"/>
          <w:sz w:val="22"/>
          <w:szCs w:val="22"/>
          <w:highlight w:val="yellow"/>
        </w:rPr>
        <w:t xml:space="preserve"> </w:t>
      </w:r>
      <w:r w:rsidR="00856CDE">
        <w:rPr>
          <w:rFonts w:asciiTheme="minorHAnsi" w:hAnsiTheme="minorHAnsi"/>
          <w:sz w:val="22"/>
          <w:szCs w:val="22"/>
          <w:highlight w:val="yellow"/>
        </w:rPr>
        <w:t>activities</w:t>
      </w:r>
      <w:r w:rsidR="007D50C3">
        <w:rPr>
          <w:rFonts w:asciiTheme="minorHAnsi" w:hAnsiTheme="minorHAnsi"/>
          <w:sz w:val="22"/>
          <w:szCs w:val="22"/>
          <w:highlight w:val="yellow"/>
        </w:rPr>
        <w:t xml:space="preserve"> and the </w:t>
      </w:r>
      <w:r w:rsidR="00570C81">
        <w:rPr>
          <w:rFonts w:asciiTheme="minorHAnsi" w:hAnsiTheme="minorHAnsi"/>
          <w:sz w:val="22"/>
          <w:szCs w:val="22"/>
          <w:highlight w:val="yellow"/>
        </w:rPr>
        <w:t xml:space="preserve">estimated </w:t>
      </w:r>
      <w:r w:rsidR="007D50C3">
        <w:rPr>
          <w:rFonts w:asciiTheme="minorHAnsi" w:hAnsiTheme="minorHAnsi"/>
          <w:sz w:val="22"/>
          <w:szCs w:val="22"/>
          <w:highlight w:val="yellow"/>
        </w:rPr>
        <w:t xml:space="preserve">hourly wage for an Epidemiologist is used for </w:t>
      </w:r>
      <w:r w:rsidR="00756E4E">
        <w:rPr>
          <w:rFonts w:asciiTheme="minorHAnsi" w:hAnsiTheme="minorHAnsi"/>
          <w:sz w:val="22"/>
          <w:szCs w:val="22"/>
          <w:highlight w:val="yellow"/>
        </w:rPr>
        <w:t>weekly non-automated submissions</w:t>
      </w:r>
      <w:r w:rsidR="000F7917">
        <w:rPr>
          <w:rFonts w:asciiTheme="minorHAnsi" w:hAnsiTheme="minorHAnsi"/>
          <w:sz w:val="22"/>
          <w:szCs w:val="22"/>
          <w:highlight w:val="yellow"/>
        </w:rPr>
        <w:t>,</w:t>
      </w:r>
      <w:r w:rsidR="00756E4E">
        <w:rPr>
          <w:rFonts w:asciiTheme="minorHAnsi" w:hAnsiTheme="minorHAnsi"/>
          <w:sz w:val="22"/>
          <w:szCs w:val="22"/>
          <w:highlight w:val="yellow"/>
        </w:rPr>
        <w:t xml:space="preserve"> </w:t>
      </w:r>
      <w:r w:rsidR="007D50C3">
        <w:rPr>
          <w:rFonts w:asciiTheme="minorHAnsi" w:hAnsiTheme="minorHAnsi"/>
          <w:sz w:val="22"/>
          <w:szCs w:val="22"/>
          <w:highlight w:val="yellow"/>
        </w:rPr>
        <w:t>annual data reconciliation</w:t>
      </w:r>
      <w:r w:rsidR="000F7917">
        <w:rPr>
          <w:rFonts w:asciiTheme="minorHAnsi" w:hAnsiTheme="minorHAnsi"/>
          <w:sz w:val="22"/>
          <w:szCs w:val="22"/>
          <w:highlight w:val="yellow"/>
        </w:rPr>
        <w:t>, and the one-time SO/GI survey</w:t>
      </w:r>
      <w:r w:rsidR="007D50C3">
        <w:rPr>
          <w:rFonts w:asciiTheme="minorHAnsi" w:hAnsiTheme="minorHAnsi"/>
          <w:sz w:val="22"/>
          <w:szCs w:val="22"/>
          <w:highlight w:val="yellow"/>
        </w:rPr>
        <w:t>. These</w:t>
      </w:r>
      <w:r w:rsidR="00570C81">
        <w:rPr>
          <w:rFonts w:asciiTheme="minorHAnsi" w:hAnsiTheme="minorHAnsi"/>
          <w:sz w:val="22"/>
          <w:szCs w:val="22"/>
          <w:highlight w:val="yellow"/>
        </w:rPr>
        <w:t xml:space="preserve"> wage estimates were used because these</w:t>
      </w:r>
      <w:r w:rsidR="007D50C3">
        <w:rPr>
          <w:rFonts w:asciiTheme="minorHAnsi" w:hAnsiTheme="minorHAnsi"/>
          <w:sz w:val="22"/>
          <w:szCs w:val="22"/>
          <w:highlight w:val="yellow"/>
        </w:rPr>
        <w:t xml:space="preserve"> two occupations represent the category of occupations held by the respondents that perform these activities. </w:t>
      </w:r>
      <w:r w:rsidRPr="00233B64">
        <w:rPr>
          <w:rFonts w:asciiTheme="minorHAnsi" w:hAnsiTheme="minorHAnsi"/>
          <w:sz w:val="22"/>
          <w:szCs w:val="22"/>
          <w:highlight w:val="yellow"/>
        </w:rPr>
        <w:t xml:space="preserve">Using </w:t>
      </w:r>
      <w:r w:rsidR="005F44C8">
        <w:rPr>
          <w:rFonts w:asciiTheme="minorHAnsi" w:hAnsiTheme="minorHAnsi"/>
          <w:sz w:val="22"/>
          <w:szCs w:val="22"/>
          <w:highlight w:val="yellow"/>
        </w:rPr>
        <w:t>$44.5</w:t>
      </w:r>
      <w:r w:rsidR="008142B0">
        <w:rPr>
          <w:rFonts w:asciiTheme="minorHAnsi" w:hAnsiTheme="minorHAnsi"/>
          <w:sz w:val="22"/>
          <w:szCs w:val="22"/>
          <w:highlight w:val="yellow"/>
        </w:rPr>
        <w:t>9</w:t>
      </w:r>
      <w:r w:rsidR="005F44C8">
        <w:rPr>
          <w:rFonts w:asciiTheme="minorHAnsi" w:hAnsiTheme="minorHAnsi"/>
          <w:sz w:val="22"/>
          <w:szCs w:val="22"/>
          <w:highlight w:val="yellow"/>
        </w:rPr>
        <w:t xml:space="preserve"> as an average hourly wage rate for </w:t>
      </w:r>
      <w:r w:rsidR="008B49BB">
        <w:rPr>
          <w:rFonts w:asciiTheme="minorHAnsi" w:hAnsiTheme="minorHAnsi"/>
          <w:sz w:val="22"/>
          <w:szCs w:val="22"/>
          <w:highlight w:val="yellow"/>
        </w:rPr>
        <w:t xml:space="preserve">Computer </w:t>
      </w:r>
      <w:r w:rsidR="005F44C8">
        <w:rPr>
          <w:rFonts w:asciiTheme="minorHAnsi" w:hAnsiTheme="minorHAnsi"/>
          <w:sz w:val="22"/>
          <w:szCs w:val="22"/>
          <w:highlight w:val="yellow"/>
        </w:rPr>
        <w:t xml:space="preserve">Systems Analysts and using </w:t>
      </w:r>
      <w:r w:rsidRPr="00233B64">
        <w:rPr>
          <w:rFonts w:asciiTheme="minorHAnsi" w:hAnsiTheme="minorHAnsi"/>
          <w:sz w:val="22"/>
          <w:szCs w:val="22"/>
          <w:highlight w:val="yellow"/>
        </w:rPr>
        <w:t>$</w:t>
      </w:r>
      <w:r w:rsidR="001C647C">
        <w:rPr>
          <w:rFonts w:asciiTheme="minorHAnsi" w:hAnsiTheme="minorHAnsi"/>
          <w:sz w:val="22"/>
          <w:szCs w:val="22"/>
          <w:highlight w:val="yellow"/>
        </w:rPr>
        <w:t>3</w:t>
      </w:r>
      <w:r w:rsidR="008142B0">
        <w:rPr>
          <w:rFonts w:asciiTheme="minorHAnsi" w:hAnsiTheme="minorHAnsi"/>
          <w:sz w:val="22"/>
          <w:szCs w:val="22"/>
          <w:highlight w:val="yellow"/>
        </w:rPr>
        <w:t>6</w:t>
      </w:r>
      <w:r w:rsidR="00062C5E">
        <w:rPr>
          <w:rFonts w:asciiTheme="minorHAnsi" w:hAnsiTheme="minorHAnsi"/>
          <w:sz w:val="22"/>
          <w:szCs w:val="22"/>
          <w:highlight w:val="yellow"/>
        </w:rPr>
        <w:t>.</w:t>
      </w:r>
      <w:r w:rsidR="008142B0">
        <w:rPr>
          <w:rFonts w:asciiTheme="minorHAnsi" w:hAnsiTheme="minorHAnsi"/>
          <w:sz w:val="22"/>
          <w:szCs w:val="22"/>
          <w:highlight w:val="yellow"/>
        </w:rPr>
        <w:t>65</w:t>
      </w:r>
      <w:r w:rsidRPr="00233B64">
        <w:rPr>
          <w:rFonts w:asciiTheme="minorHAnsi" w:hAnsiTheme="minorHAnsi"/>
          <w:sz w:val="22"/>
          <w:szCs w:val="22"/>
          <w:highlight w:val="yellow"/>
        </w:rPr>
        <w:t xml:space="preserve"> as an average hourly wage rate</w:t>
      </w:r>
      <w:r w:rsidR="005F44C8">
        <w:rPr>
          <w:rFonts w:asciiTheme="minorHAnsi" w:hAnsiTheme="minorHAnsi"/>
          <w:sz w:val="22"/>
          <w:szCs w:val="22"/>
          <w:highlight w:val="yellow"/>
        </w:rPr>
        <w:t xml:space="preserve"> for Epidemiologists</w:t>
      </w:r>
      <w:r w:rsidRPr="00233B64">
        <w:rPr>
          <w:rFonts w:asciiTheme="minorHAnsi" w:hAnsiTheme="minorHAnsi"/>
          <w:sz w:val="22"/>
          <w:szCs w:val="22"/>
          <w:highlight w:val="yellow"/>
        </w:rPr>
        <w:t xml:space="preserve">, it is estimated that the average national annual burden for weekly and annual reporting is </w:t>
      </w:r>
      <w:r w:rsidR="00D061D1">
        <w:rPr>
          <w:rFonts w:asciiTheme="minorHAnsi" w:hAnsiTheme="minorHAnsi"/>
          <w:sz w:val="22"/>
          <w:szCs w:val="22"/>
          <w:highlight w:val="yellow"/>
        </w:rPr>
        <w:t>19,337</w:t>
      </w:r>
      <w:r w:rsidR="006F3116">
        <w:rPr>
          <w:rFonts w:asciiTheme="minorHAnsi" w:hAnsiTheme="minorHAnsi"/>
          <w:sz w:val="22"/>
          <w:szCs w:val="22"/>
          <w:highlight w:val="yellow"/>
        </w:rPr>
        <w:t xml:space="preserve"> </w:t>
      </w:r>
      <w:r w:rsidRPr="00233B64">
        <w:rPr>
          <w:rFonts w:asciiTheme="minorHAnsi" w:hAnsiTheme="minorHAnsi"/>
          <w:sz w:val="22"/>
          <w:szCs w:val="22"/>
          <w:highlight w:val="yellow"/>
        </w:rPr>
        <w:t xml:space="preserve">hours at a national cost of </w:t>
      </w:r>
      <w:r w:rsidRPr="00CA4A21">
        <w:rPr>
          <w:rFonts w:asciiTheme="minorHAnsi" w:hAnsiTheme="minorHAnsi"/>
          <w:sz w:val="22"/>
          <w:szCs w:val="22"/>
          <w:highlight w:val="yellow"/>
        </w:rPr>
        <w:t>$</w:t>
      </w:r>
      <w:r w:rsidR="00323589">
        <w:rPr>
          <w:rFonts w:asciiTheme="minorHAnsi" w:hAnsiTheme="minorHAnsi"/>
          <w:sz w:val="22"/>
          <w:szCs w:val="22"/>
          <w:highlight w:val="yellow"/>
        </w:rPr>
        <w:t>819,863</w:t>
      </w:r>
    </w:p>
    <w:p w:rsidR="00904DF8" w:rsidRPr="00233B64" w:rsidRDefault="00904DF8"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004940E2" w:rsidRPr="002479D6" w:rsidRDefault="009135CB" w:rsidP="00925656">
      <w:pPr>
        <w:spacing w:line="360" w:lineRule="auto"/>
        <w:rPr>
          <w:rFonts w:asciiTheme="minorHAnsi" w:hAnsiTheme="minorHAnsi"/>
          <w:color w:val="000000"/>
          <w:sz w:val="22"/>
          <w:szCs w:val="22"/>
          <w:highlight w:val="yellow"/>
        </w:rPr>
      </w:pPr>
      <w:r w:rsidRPr="002479D6">
        <w:rPr>
          <w:rFonts w:asciiTheme="minorHAnsi" w:hAnsiTheme="minorHAnsi"/>
          <w:color w:val="000000"/>
          <w:sz w:val="22"/>
          <w:szCs w:val="22"/>
          <w:highlight w:val="yellow"/>
        </w:rPr>
        <w:t>A</w:t>
      </w:r>
      <w:r w:rsidR="001E1338" w:rsidRPr="002479D6">
        <w:rPr>
          <w:rFonts w:asciiTheme="minorHAnsi" w:hAnsiTheme="minorHAnsi"/>
          <w:color w:val="000000"/>
          <w:sz w:val="22"/>
          <w:szCs w:val="22"/>
          <w:highlight w:val="yellow"/>
        </w:rPr>
        <w:t>12</w:t>
      </w:r>
      <w:r w:rsidRPr="002479D6">
        <w:rPr>
          <w:rFonts w:asciiTheme="minorHAnsi" w:hAnsiTheme="minorHAnsi"/>
          <w:color w:val="000000"/>
          <w:sz w:val="22"/>
          <w:szCs w:val="22"/>
          <w:highlight w:val="yellow"/>
        </w:rPr>
        <w:t>A. Estima</w:t>
      </w:r>
      <w:r w:rsidR="004940E2" w:rsidRPr="002479D6">
        <w:rPr>
          <w:rFonts w:asciiTheme="minorHAnsi" w:hAnsiTheme="minorHAnsi"/>
          <w:color w:val="000000"/>
          <w:sz w:val="22"/>
          <w:szCs w:val="22"/>
          <w:highlight w:val="yellow"/>
        </w:rPr>
        <w:t>tes of Annualized Burden Hours</w:t>
      </w:r>
    </w:p>
    <w:p w:rsidR="001E1042" w:rsidRPr="002479D6" w:rsidRDefault="001E1042" w:rsidP="00925656">
      <w:pPr>
        <w:spacing w:line="360" w:lineRule="auto"/>
        <w:rPr>
          <w:rFonts w:asciiTheme="minorHAnsi" w:hAnsiTheme="minorHAnsi"/>
          <w:color w:val="000000"/>
          <w:sz w:val="22"/>
          <w:szCs w:val="22"/>
          <w:highlight w:val="yellow"/>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34"/>
        <w:gridCol w:w="1726"/>
        <w:gridCol w:w="1533"/>
        <w:gridCol w:w="1525"/>
        <w:gridCol w:w="1505"/>
        <w:gridCol w:w="1491"/>
      </w:tblGrid>
      <w:tr w:rsidR="00A90BD3" w:rsidRPr="002479D6" w:rsidTr="007A2607">
        <w:trPr>
          <w:trHeight w:val="900"/>
        </w:trPr>
        <w:tc>
          <w:tcPr>
            <w:tcW w:w="1534" w:type="dxa"/>
            <w:vAlign w:val="center"/>
          </w:tcPr>
          <w:p w:rsidR="00A90BD3" w:rsidRPr="002479D6" w:rsidRDefault="00A90BD3" w:rsidP="0091055A">
            <w:pPr>
              <w:rPr>
                <w:b/>
                <w:color w:val="000000"/>
                <w:sz w:val="20"/>
                <w:szCs w:val="20"/>
                <w:highlight w:val="yellow"/>
              </w:rPr>
            </w:pPr>
            <w:r w:rsidRPr="002479D6">
              <w:rPr>
                <w:b/>
                <w:color w:val="000000"/>
                <w:sz w:val="20"/>
                <w:szCs w:val="20"/>
                <w:highlight w:val="yellow"/>
              </w:rPr>
              <w:t>Type of Respondents</w:t>
            </w:r>
          </w:p>
        </w:tc>
        <w:tc>
          <w:tcPr>
            <w:tcW w:w="1726" w:type="dxa"/>
            <w:vAlign w:val="center"/>
          </w:tcPr>
          <w:p w:rsidR="00A90BD3" w:rsidRPr="001A0673" w:rsidRDefault="00A90BD3" w:rsidP="0091055A">
            <w:pPr>
              <w:rPr>
                <w:b/>
                <w:color w:val="000000"/>
                <w:sz w:val="22"/>
                <w:szCs w:val="20"/>
                <w:highlight w:val="yellow"/>
              </w:rPr>
            </w:pPr>
            <w:r w:rsidRPr="001A0673">
              <w:rPr>
                <w:b/>
                <w:color w:val="000000"/>
                <w:sz w:val="22"/>
                <w:szCs w:val="20"/>
                <w:highlight w:val="yellow"/>
              </w:rPr>
              <w:t>Form Name</w:t>
            </w:r>
          </w:p>
        </w:tc>
        <w:tc>
          <w:tcPr>
            <w:tcW w:w="1533" w:type="dxa"/>
            <w:vAlign w:val="center"/>
          </w:tcPr>
          <w:p w:rsidR="00A90BD3" w:rsidRPr="001A0673" w:rsidRDefault="00A90BD3" w:rsidP="0091055A">
            <w:pPr>
              <w:rPr>
                <w:b/>
                <w:color w:val="000000"/>
                <w:sz w:val="22"/>
                <w:szCs w:val="20"/>
                <w:highlight w:val="yellow"/>
              </w:rPr>
            </w:pPr>
            <w:r w:rsidRPr="001A0673">
              <w:rPr>
                <w:b/>
                <w:sz w:val="22"/>
                <w:szCs w:val="20"/>
                <w:highlight w:val="yellow"/>
              </w:rPr>
              <w:t>Number of Respondents</w:t>
            </w:r>
          </w:p>
        </w:tc>
        <w:tc>
          <w:tcPr>
            <w:tcW w:w="1525" w:type="dxa"/>
            <w:vAlign w:val="center"/>
          </w:tcPr>
          <w:p w:rsidR="00A90BD3" w:rsidRPr="002479D6" w:rsidRDefault="00A90BD3" w:rsidP="0091055A">
            <w:pPr>
              <w:rPr>
                <w:b/>
                <w:color w:val="000000"/>
                <w:sz w:val="20"/>
                <w:szCs w:val="20"/>
                <w:highlight w:val="yellow"/>
              </w:rPr>
            </w:pPr>
            <w:r w:rsidRPr="002479D6">
              <w:rPr>
                <w:b/>
                <w:sz w:val="20"/>
                <w:szCs w:val="20"/>
                <w:highlight w:val="yellow"/>
              </w:rPr>
              <w:t>Number of  Responses per Respondent</w:t>
            </w:r>
          </w:p>
        </w:tc>
        <w:tc>
          <w:tcPr>
            <w:tcW w:w="1505" w:type="dxa"/>
            <w:vAlign w:val="center"/>
          </w:tcPr>
          <w:p w:rsidR="00A90BD3" w:rsidRPr="002479D6" w:rsidRDefault="00A90BD3" w:rsidP="0091055A">
            <w:pPr>
              <w:rPr>
                <w:b/>
                <w:color w:val="000000"/>
                <w:sz w:val="20"/>
                <w:szCs w:val="20"/>
                <w:highlight w:val="yellow"/>
              </w:rPr>
            </w:pPr>
            <w:r w:rsidRPr="002479D6">
              <w:rPr>
                <w:b/>
                <w:sz w:val="20"/>
                <w:szCs w:val="20"/>
                <w:highlight w:val="yellow"/>
              </w:rPr>
              <w:t>Average Burden Per Response  (in hours)</w:t>
            </w:r>
          </w:p>
        </w:tc>
        <w:tc>
          <w:tcPr>
            <w:tcW w:w="1491" w:type="dxa"/>
            <w:vAlign w:val="center"/>
          </w:tcPr>
          <w:p w:rsidR="00A90BD3" w:rsidRPr="002479D6" w:rsidRDefault="00A90BD3" w:rsidP="0091055A">
            <w:pPr>
              <w:rPr>
                <w:b/>
                <w:color w:val="000000"/>
                <w:sz w:val="20"/>
                <w:szCs w:val="20"/>
                <w:highlight w:val="yellow"/>
              </w:rPr>
            </w:pPr>
            <w:r w:rsidRPr="002479D6">
              <w:rPr>
                <w:b/>
                <w:sz w:val="20"/>
                <w:szCs w:val="20"/>
                <w:highlight w:val="yellow"/>
              </w:rPr>
              <w:t>Total Burden  (in hours)</w:t>
            </w:r>
          </w:p>
        </w:tc>
      </w:tr>
      <w:tr w:rsidR="00ED2FB0" w:rsidRPr="002479D6" w:rsidTr="00A65E62">
        <w:tc>
          <w:tcPr>
            <w:tcW w:w="1534" w:type="dxa"/>
            <w:vAlign w:val="center"/>
          </w:tcPr>
          <w:p w:rsidR="00ED2FB0" w:rsidRPr="002479D6" w:rsidRDefault="00DC6252" w:rsidP="00534114">
            <w:pPr>
              <w:rPr>
                <w:color w:val="000000"/>
                <w:sz w:val="20"/>
                <w:szCs w:val="20"/>
                <w:highlight w:val="yellow"/>
              </w:rPr>
            </w:pPr>
            <w:r w:rsidRPr="002479D6">
              <w:rPr>
                <w:color w:val="000000"/>
                <w:sz w:val="20"/>
                <w:szCs w:val="20"/>
                <w:highlight w:val="yellow"/>
              </w:rPr>
              <w:t>States</w:t>
            </w:r>
          </w:p>
        </w:tc>
        <w:tc>
          <w:tcPr>
            <w:tcW w:w="1726" w:type="dxa"/>
            <w:vAlign w:val="center"/>
          </w:tcPr>
          <w:p w:rsidR="00ED2FB0" w:rsidRPr="002479D6" w:rsidRDefault="00DC6252" w:rsidP="00DB50E8">
            <w:pPr>
              <w:rPr>
                <w:color w:val="000000"/>
                <w:sz w:val="22"/>
                <w:szCs w:val="22"/>
                <w:highlight w:val="yellow"/>
              </w:rPr>
            </w:pPr>
            <w:r w:rsidRPr="002479D6">
              <w:rPr>
                <w:color w:val="000000"/>
                <w:sz w:val="22"/>
                <w:szCs w:val="22"/>
                <w:highlight w:val="yellow"/>
              </w:rPr>
              <w:t>Weekly (Automated)</w:t>
            </w:r>
          </w:p>
        </w:tc>
        <w:tc>
          <w:tcPr>
            <w:tcW w:w="1533" w:type="dxa"/>
            <w:vAlign w:val="center"/>
          </w:tcPr>
          <w:p w:rsidR="00ED2FB0" w:rsidRPr="002479D6" w:rsidRDefault="009B7A62" w:rsidP="0091055A">
            <w:pPr>
              <w:jc w:val="right"/>
              <w:rPr>
                <w:color w:val="000000"/>
                <w:sz w:val="22"/>
                <w:szCs w:val="22"/>
                <w:highlight w:val="yellow"/>
              </w:rPr>
            </w:pPr>
            <w:r w:rsidRPr="002479D6">
              <w:rPr>
                <w:color w:val="000000"/>
                <w:sz w:val="22"/>
                <w:szCs w:val="22"/>
                <w:highlight w:val="yellow"/>
              </w:rPr>
              <w:t>50</w:t>
            </w:r>
          </w:p>
        </w:tc>
        <w:tc>
          <w:tcPr>
            <w:tcW w:w="1525" w:type="dxa"/>
            <w:vAlign w:val="center"/>
          </w:tcPr>
          <w:p w:rsidR="00ED2FB0" w:rsidRPr="002479D6" w:rsidRDefault="009B7A62" w:rsidP="0091055A">
            <w:pPr>
              <w:jc w:val="right"/>
              <w:rPr>
                <w:color w:val="000000"/>
                <w:sz w:val="22"/>
                <w:szCs w:val="22"/>
                <w:highlight w:val="yellow"/>
              </w:rPr>
            </w:pPr>
            <w:r w:rsidRPr="002479D6">
              <w:rPr>
                <w:color w:val="000000"/>
                <w:sz w:val="22"/>
                <w:szCs w:val="22"/>
                <w:highlight w:val="yellow"/>
              </w:rPr>
              <w:t>52</w:t>
            </w:r>
          </w:p>
        </w:tc>
        <w:tc>
          <w:tcPr>
            <w:tcW w:w="1505" w:type="dxa"/>
            <w:vAlign w:val="center"/>
          </w:tcPr>
          <w:p w:rsidR="00ED2FB0" w:rsidRPr="002479D6" w:rsidRDefault="003B5257" w:rsidP="00970ADC">
            <w:pPr>
              <w:jc w:val="right"/>
              <w:rPr>
                <w:color w:val="000000"/>
                <w:sz w:val="22"/>
                <w:szCs w:val="22"/>
                <w:highlight w:val="yellow"/>
              </w:rPr>
            </w:pPr>
            <w:r>
              <w:rPr>
                <w:color w:val="000000"/>
                <w:sz w:val="22"/>
                <w:szCs w:val="22"/>
                <w:highlight w:val="yellow"/>
              </w:rPr>
              <w:t>20</w:t>
            </w:r>
            <w:r w:rsidR="005E316F" w:rsidRPr="002479D6">
              <w:rPr>
                <w:color w:val="000000"/>
                <w:sz w:val="22"/>
                <w:szCs w:val="22"/>
                <w:highlight w:val="yellow"/>
              </w:rPr>
              <w:t>/60</w:t>
            </w:r>
          </w:p>
        </w:tc>
        <w:tc>
          <w:tcPr>
            <w:tcW w:w="1491" w:type="dxa"/>
            <w:vAlign w:val="center"/>
          </w:tcPr>
          <w:p w:rsidR="00ED2FB0" w:rsidRPr="002479D6" w:rsidRDefault="00A65E62" w:rsidP="0091055A">
            <w:pPr>
              <w:jc w:val="right"/>
              <w:rPr>
                <w:color w:val="000000"/>
                <w:sz w:val="22"/>
                <w:szCs w:val="22"/>
                <w:highlight w:val="yellow"/>
              </w:rPr>
            </w:pPr>
            <w:r>
              <w:rPr>
                <w:color w:val="000000"/>
                <w:sz w:val="22"/>
                <w:szCs w:val="22"/>
                <w:highlight w:val="yellow"/>
              </w:rPr>
              <w:t>867</w:t>
            </w:r>
          </w:p>
        </w:tc>
      </w:tr>
      <w:tr w:rsidR="00DC6252" w:rsidRPr="002479D6" w:rsidTr="00A65E62">
        <w:tc>
          <w:tcPr>
            <w:tcW w:w="1534" w:type="dxa"/>
            <w:vAlign w:val="center"/>
          </w:tcPr>
          <w:p w:rsidR="00DC6252" w:rsidRPr="002479D6" w:rsidRDefault="00DC6252" w:rsidP="00DC6252">
            <w:pPr>
              <w:rPr>
                <w:sz w:val="20"/>
                <w:szCs w:val="20"/>
                <w:highlight w:val="yellow"/>
              </w:rPr>
            </w:pPr>
            <w:r w:rsidRPr="002479D6">
              <w:rPr>
                <w:sz w:val="20"/>
                <w:szCs w:val="20"/>
                <w:highlight w:val="yellow"/>
              </w:rPr>
              <w:t>States</w:t>
            </w:r>
          </w:p>
        </w:tc>
        <w:tc>
          <w:tcPr>
            <w:tcW w:w="1726" w:type="dxa"/>
            <w:vAlign w:val="center"/>
          </w:tcPr>
          <w:p w:rsidR="00DC6252" w:rsidRPr="002479D6" w:rsidRDefault="00DC6252" w:rsidP="003921EB">
            <w:pPr>
              <w:rPr>
                <w:sz w:val="22"/>
                <w:szCs w:val="22"/>
                <w:highlight w:val="yellow"/>
              </w:rPr>
            </w:pPr>
            <w:r w:rsidRPr="002479D6">
              <w:rPr>
                <w:sz w:val="22"/>
                <w:szCs w:val="22"/>
                <w:highlight w:val="yellow"/>
              </w:rPr>
              <w:t xml:space="preserve">Weekly (Non- </w:t>
            </w:r>
            <w:r w:rsidR="003921EB">
              <w:rPr>
                <w:sz w:val="22"/>
                <w:szCs w:val="22"/>
                <w:highlight w:val="yellow"/>
              </w:rPr>
              <w:t>a</w:t>
            </w:r>
            <w:r w:rsidRPr="002479D6">
              <w:rPr>
                <w:sz w:val="22"/>
                <w:szCs w:val="22"/>
                <w:highlight w:val="yellow"/>
              </w:rPr>
              <w:t>utomated)</w:t>
            </w:r>
          </w:p>
        </w:tc>
        <w:tc>
          <w:tcPr>
            <w:tcW w:w="1533" w:type="dxa"/>
            <w:vAlign w:val="center"/>
          </w:tcPr>
          <w:p w:rsidR="00DC6252" w:rsidRPr="002479D6" w:rsidRDefault="009B7A62" w:rsidP="00DC6252">
            <w:pPr>
              <w:jc w:val="right"/>
              <w:rPr>
                <w:sz w:val="22"/>
                <w:szCs w:val="22"/>
                <w:highlight w:val="yellow"/>
              </w:rPr>
            </w:pPr>
            <w:r w:rsidRPr="002479D6">
              <w:rPr>
                <w:sz w:val="22"/>
                <w:szCs w:val="22"/>
                <w:highlight w:val="yellow"/>
              </w:rPr>
              <w:t>10</w:t>
            </w:r>
          </w:p>
        </w:tc>
        <w:tc>
          <w:tcPr>
            <w:tcW w:w="1525" w:type="dxa"/>
            <w:vAlign w:val="center"/>
          </w:tcPr>
          <w:p w:rsidR="00DC6252" w:rsidRPr="002479D6" w:rsidRDefault="009B7A62" w:rsidP="00DC6252">
            <w:pPr>
              <w:jc w:val="right"/>
              <w:rPr>
                <w:sz w:val="22"/>
                <w:szCs w:val="22"/>
                <w:highlight w:val="yellow"/>
              </w:rPr>
            </w:pPr>
            <w:r w:rsidRPr="002479D6">
              <w:rPr>
                <w:sz w:val="22"/>
                <w:szCs w:val="22"/>
                <w:highlight w:val="yellow"/>
              </w:rPr>
              <w:t>52</w:t>
            </w:r>
          </w:p>
        </w:tc>
        <w:tc>
          <w:tcPr>
            <w:tcW w:w="1505" w:type="dxa"/>
            <w:vAlign w:val="center"/>
          </w:tcPr>
          <w:p w:rsidR="00DC6252" w:rsidRPr="002479D6" w:rsidRDefault="003B5257" w:rsidP="00DC6252">
            <w:pPr>
              <w:jc w:val="right"/>
              <w:rPr>
                <w:sz w:val="22"/>
                <w:szCs w:val="22"/>
                <w:highlight w:val="yellow"/>
              </w:rPr>
            </w:pPr>
            <w:r>
              <w:rPr>
                <w:sz w:val="22"/>
                <w:szCs w:val="22"/>
                <w:highlight w:val="yellow"/>
              </w:rPr>
              <w:t>2</w:t>
            </w:r>
          </w:p>
        </w:tc>
        <w:tc>
          <w:tcPr>
            <w:tcW w:w="1491" w:type="dxa"/>
            <w:vAlign w:val="center"/>
          </w:tcPr>
          <w:p w:rsidR="00DC6252" w:rsidRPr="002479D6" w:rsidRDefault="004624C8" w:rsidP="003B5257">
            <w:pPr>
              <w:jc w:val="right"/>
              <w:rPr>
                <w:sz w:val="22"/>
                <w:szCs w:val="22"/>
                <w:highlight w:val="yellow"/>
              </w:rPr>
            </w:pPr>
            <w:r w:rsidRPr="002479D6">
              <w:rPr>
                <w:sz w:val="22"/>
                <w:szCs w:val="22"/>
                <w:highlight w:val="yellow"/>
              </w:rPr>
              <w:t>1,</w:t>
            </w:r>
            <w:r w:rsidR="003B5257">
              <w:rPr>
                <w:sz w:val="22"/>
                <w:szCs w:val="22"/>
                <w:highlight w:val="yellow"/>
              </w:rPr>
              <w:t>040</w:t>
            </w:r>
          </w:p>
        </w:tc>
      </w:tr>
      <w:tr w:rsidR="00B0162A" w:rsidRPr="002479D6" w:rsidTr="00A65E62">
        <w:tc>
          <w:tcPr>
            <w:tcW w:w="1534" w:type="dxa"/>
            <w:vAlign w:val="center"/>
          </w:tcPr>
          <w:p w:rsidR="00B0162A" w:rsidRPr="002479D6" w:rsidRDefault="00B0162A" w:rsidP="00DC6252">
            <w:pPr>
              <w:rPr>
                <w:color w:val="000000"/>
                <w:sz w:val="20"/>
                <w:szCs w:val="20"/>
                <w:highlight w:val="yellow"/>
              </w:rPr>
            </w:pPr>
            <w:r w:rsidRPr="002479D6">
              <w:rPr>
                <w:color w:val="000000"/>
                <w:sz w:val="20"/>
                <w:szCs w:val="20"/>
                <w:highlight w:val="yellow"/>
              </w:rPr>
              <w:t>States</w:t>
            </w:r>
          </w:p>
        </w:tc>
        <w:tc>
          <w:tcPr>
            <w:tcW w:w="1726" w:type="dxa"/>
            <w:vAlign w:val="center"/>
          </w:tcPr>
          <w:p w:rsidR="00B0162A" w:rsidRPr="002479D6" w:rsidRDefault="00B0162A" w:rsidP="00DC6252">
            <w:pPr>
              <w:rPr>
                <w:sz w:val="22"/>
                <w:szCs w:val="22"/>
                <w:highlight w:val="yellow"/>
              </w:rPr>
            </w:pPr>
            <w:r w:rsidRPr="002479D6">
              <w:rPr>
                <w:sz w:val="22"/>
                <w:szCs w:val="22"/>
                <w:highlight w:val="yellow"/>
              </w:rPr>
              <w:t xml:space="preserve">Weekly </w:t>
            </w:r>
            <w:r w:rsidR="009F5920" w:rsidRPr="002479D6">
              <w:rPr>
                <w:sz w:val="22"/>
                <w:szCs w:val="22"/>
                <w:highlight w:val="yellow"/>
              </w:rPr>
              <w:t>(</w:t>
            </w:r>
            <w:r w:rsidRPr="002479D6">
              <w:rPr>
                <w:sz w:val="22"/>
                <w:szCs w:val="22"/>
                <w:highlight w:val="yellow"/>
              </w:rPr>
              <w:t>NMI</w:t>
            </w:r>
            <w:r w:rsidR="007A2607">
              <w:rPr>
                <w:sz w:val="22"/>
                <w:szCs w:val="22"/>
                <w:highlight w:val="yellow"/>
              </w:rPr>
              <w:t xml:space="preserve"> Implementation</w:t>
            </w:r>
            <w:r w:rsidR="009F5920" w:rsidRPr="002479D6">
              <w:rPr>
                <w:sz w:val="22"/>
                <w:szCs w:val="22"/>
                <w:highlight w:val="yellow"/>
              </w:rPr>
              <w:t>)</w:t>
            </w:r>
          </w:p>
        </w:tc>
        <w:tc>
          <w:tcPr>
            <w:tcW w:w="1533" w:type="dxa"/>
            <w:vAlign w:val="center"/>
          </w:tcPr>
          <w:p w:rsidR="00B0162A" w:rsidRPr="002479D6" w:rsidRDefault="00044089" w:rsidP="00DC6252">
            <w:pPr>
              <w:jc w:val="right"/>
              <w:rPr>
                <w:color w:val="000000"/>
                <w:sz w:val="22"/>
                <w:szCs w:val="22"/>
                <w:highlight w:val="yellow"/>
              </w:rPr>
            </w:pPr>
            <w:r w:rsidRPr="002479D6">
              <w:rPr>
                <w:color w:val="000000"/>
                <w:sz w:val="22"/>
                <w:szCs w:val="22"/>
                <w:highlight w:val="yellow"/>
              </w:rPr>
              <w:t>50</w:t>
            </w:r>
          </w:p>
        </w:tc>
        <w:tc>
          <w:tcPr>
            <w:tcW w:w="1525" w:type="dxa"/>
            <w:vAlign w:val="center"/>
          </w:tcPr>
          <w:p w:rsidR="00B0162A" w:rsidRPr="002479D6" w:rsidRDefault="00044089" w:rsidP="00DC6252">
            <w:pPr>
              <w:jc w:val="right"/>
              <w:rPr>
                <w:color w:val="000000"/>
                <w:sz w:val="22"/>
                <w:szCs w:val="22"/>
                <w:highlight w:val="yellow"/>
              </w:rPr>
            </w:pPr>
            <w:r w:rsidRPr="002479D6">
              <w:rPr>
                <w:color w:val="000000"/>
                <w:sz w:val="22"/>
                <w:szCs w:val="22"/>
                <w:highlight w:val="yellow"/>
              </w:rPr>
              <w:t>52</w:t>
            </w:r>
          </w:p>
        </w:tc>
        <w:tc>
          <w:tcPr>
            <w:tcW w:w="1505" w:type="dxa"/>
            <w:vAlign w:val="center"/>
          </w:tcPr>
          <w:p w:rsidR="00B0162A" w:rsidRPr="002479D6" w:rsidRDefault="00044089" w:rsidP="00DC6252">
            <w:pPr>
              <w:jc w:val="right"/>
              <w:rPr>
                <w:color w:val="000000"/>
                <w:sz w:val="22"/>
                <w:szCs w:val="22"/>
                <w:highlight w:val="yellow"/>
              </w:rPr>
            </w:pPr>
            <w:r w:rsidRPr="002479D6">
              <w:rPr>
                <w:color w:val="000000"/>
                <w:sz w:val="22"/>
                <w:szCs w:val="22"/>
                <w:highlight w:val="yellow"/>
              </w:rPr>
              <w:t>4</w:t>
            </w:r>
          </w:p>
        </w:tc>
        <w:tc>
          <w:tcPr>
            <w:tcW w:w="1491" w:type="dxa"/>
            <w:vAlign w:val="center"/>
          </w:tcPr>
          <w:p w:rsidR="00B0162A" w:rsidRPr="002479D6" w:rsidRDefault="00044089" w:rsidP="00DC6252">
            <w:pPr>
              <w:jc w:val="right"/>
              <w:rPr>
                <w:color w:val="000000"/>
                <w:sz w:val="22"/>
                <w:szCs w:val="22"/>
                <w:highlight w:val="yellow"/>
              </w:rPr>
            </w:pPr>
            <w:r w:rsidRPr="002479D6">
              <w:rPr>
                <w:color w:val="000000"/>
                <w:sz w:val="22"/>
                <w:szCs w:val="22"/>
                <w:highlight w:val="yellow"/>
              </w:rPr>
              <w:t>10,400</w:t>
            </w:r>
          </w:p>
        </w:tc>
      </w:tr>
      <w:tr w:rsidR="003A7112" w:rsidRPr="002479D6" w:rsidTr="00A65E62">
        <w:tc>
          <w:tcPr>
            <w:tcW w:w="1534" w:type="dxa"/>
            <w:vAlign w:val="center"/>
          </w:tcPr>
          <w:p w:rsidR="003A7112" w:rsidRPr="002479D6" w:rsidRDefault="004624C8" w:rsidP="00DC6252">
            <w:pPr>
              <w:rPr>
                <w:color w:val="000000"/>
                <w:sz w:val="20"/>
                <w:szCs w:val="20"/>
                <w:highlight w:val="yellow"/>
              </w:rPr>
            </w:pPr>
            <w:r w:rsidRPr="002479D6">
              <w:rPr>
                <w:color w:val="000000"/>
                <w:sz w:val="20"/>
                <w:szCs w:val="20"/>
                <w:highlight w:val="yellow"/>
              </w:rPr>
              <w:t>States</w:t>
            </w:r>
          </w:p>
        </w:tc>
        <w:tc>
          <w:tcPr>
            <w:tcW w:w="1726" w:type="dxa"/>
            <w:vAlign w:val="center"/>
          </w:tcPr>
          <w:p w:rsidR="003A7112" w:rsidRPr="002479D6" w:rsidRDefault="00B0162A" w:rsidP="00DC6252">
            <w:pPr>
              <w:rPr>
                <w:sz w:val="22"/>
                <w:szCs w:val="22"/>
                <w:highlight w:val="yellow"/>
              </w:rPr>
            </w:pPr>
            <w:r w:rsidRPr="002479D6">
              <w:rPr>
                <w:sz w:val="22"/>
                <w:szCs w:val="22"/>
                <w:highlight w:val="yellow"/>
              </w:rPr>
              <w:t>Annual</w:t>
            </w:r>
          </w:p>
        </w:tc>
        <w:tc>
          <w:tcPr>
            <w:tcW w:w="1533" w:type="dxa"/>
            <w:vAlign w:val="center"/>
          </w:tcPr>
          <w:p w:rsidR="003A7112" w:rsidRPr="002479D6" w:rsidRDefault="004624C8" w:rsidP="00DC6252">
            <w:pPr>
              <w:jc w:val="right"/>
              <w:rPr>
                <w:color w:val="000000"/>
                <w:sz w:val="22"/>
                <w:szCs w:val="22"/>
                <w:highlight w:val="yellow"/>
              </w:rPr>
            </w:pPr>
            <w:r w:rsidRPr="002479D6">
              <w:rPr>
                <w:color w:val="000000"/>
                <w:sz w:val="22"/>
                <w:szCs w:val="22"/>
                <w:highlight w:val="yellow"/>
              </w:rPr>
              <w:t>50</w:t>
            </w:r>
          </w:p>
        </w:tc>
        <w:tc>
          <w:tcPr>
            <w:tcW w:w="1525" w:type="dxa"/>
            <w:vAlign w:val="center"/>
          </w:tcPr>
          <w:p w:rsidR="003A7112" w:rsidRPr="002479D6" w:rsidRDefault="004624C8" w:rsidP="00DC6252">
            <w:pPr>
              <w:jc w:val="right"/>
              <w:rPr>
                <w:color w:val="000000"/>
                <w:sz w:val="22"/>
                <w:szCs w:val="22"/>
                <w:highlight w:val="yellow"/>
              </w:rPr>
            </w:pPr>
            <w:r w:rsidRPr="002479D6">
              <w:rPr>
                <w:color w:val="000000"/>
                <w:sz w:val="22"/>
                <w:szCs w:val="22"/>
                <w:highlight w:val="yellow"/>
              </w:rPr>
              <w:t>1</w:t>
            </w:r>
          </w:p>
        </w:tc>
        <w:tc>
          <w:tcPr>
            <w:tcW w:w="1505" w:type="dxa"/>
            <w:vAlign w:val="center"/>
          </w:tcPr>
          <w:p w:rsidR="003A7112" w:rsidRPr="002479D6" w:rsidRDefault="004624C8" w:rsidP="00DC6252">
            <w:pPr>
              <w:jc w:val="right"/>
              <w:rPr>
                <w:color w:val="000000"/>
                <w:sz w:val="22"/>
                <w:szCs w:val="22"/>
                <w:highlight w:val="yellow"/>
              </w:rPr>
            </w:pPr>
            <w:r w:rsidRPr="002479D6">
              <w:rPr>
                <w:color w:val="000000"/>
                <w:sz w:val="22"/>
                <w:szCs w:val="22"/>
                <w:highlight w:val="yellow"/>
              </w:rPr>
              <w:t>75</w:t>
            </w:r>
          </w:p>
        </w:tc>
        <w:tc>
          <w:tcPr>
            <w:tcW w:w="1491" w:type="dxa"/>
            <w:vAlign w:val="center"/>
          </w:tcPr>
          <w:p w:rsidR="003A7112" w:rsidRPr="002479D6" w:rsidRDefault="004624C8" w:rsidP="00DC6252">
            <w:pPr>
              <w:jc w:val="right"/>
              <w:rPr>
                <w:color w:val="000000"/>
                <w:sz w:val="22"/>
                <w:szCs w:val="22"/>
                <w:highlight w:val="yellow"/>
              </w:rPr>
            </w:pPr>
            <w:r w:rsidRPr="002479D6">
              <w:rPr>
                <w:color w:val="000000"/>
                <w:sz w:val="22"/>
                <w:szCs w:val="22"/>
                <w:highlight w:val="yellow"/>
              </w:rPr>
              <w:t>3,750</w:t>
            </w:r>
          </w:p>
        </w:tc>
      </w:tr>
      <w:tr w:rsidR="00A65E62" w:rsidRPr="002479D6" w:rsidTr="00A65E62">
        <w:tc>
          <w:tcPr>
            <w:tcW w:w="1534" w:type="dxa"/>
            <w:vAlign w:val="center"/>
          </w:tcPr>
          <w:p w:rsidR="00A65E62" w:rsidRPr="002479D6" w:rsidRDefault="00A65E62" w:rsidP="00A65E62">
            <w:pPr>
              <w:rPr>
                <w:color w:val="000000"/>
                <w:sz w:val="20"/>
                <w:szCs w:val="20"/>
                <w:highlight w:val="yellow"/>
              </w:rPr>
            </w:pPr>
            <w:r w:rsidRPr="005B1493">
              <w:rPr>
                <w:rFonts w:cstheme="minorHAnsi"/>
                <w:sz w:val="22"/>
                <w:szCs w:val="22"/>
                <w:highlight w:val="yellow"/>
              </w:rPr>
              <w:t>States</w:t>
            </w:r>
          </w:p>
        </w:tc>
        <w:tc>
          <w:tcPr>
            <w:tcW w:w="1726" w:type="dxa"/>
            <w:vAlign w:val="center"/>
          </w:tcPr>
          <w:p w:rsidR="00A65E62" w:rsidRPr="002479D6" w:rsidRDefault="00A65E62" w:rsidP="00A65E62">
            <w:pPr>
              <w:rPr>
                <w:sz w:val="22"/>
                <w:szCs w:val="22"/>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533" w:type="dxa"/>
            <w:vAlign w:val="center"/>
          </w:tcPr>
          <w:p w:rsidR="00A65E62" w:rsidRPr="002479D6" w:rsidRDefault="00A65E62" w:rsidP="00A65E62">
            <w:pPr>
              <w:jc w:val="right"/>
              <w:rPr>
                <w:color w:val="000000"/>
                <w:sz w:val="22"/>
                <w:szCs w:val="22"/>
                <w:highlight w:val="yellow"/>
              </w:rPr>
            </w:pPr>
            <w:r w:rsidRPr="00BE6361">
              <w:rPr>
                <w:rFonts w:cstheme="minorHAnsi"/>
                <w:sz w:val="22"/>
                <w:szCs w:val="22"/>
                <w:highlight w:val="yellow"/>
              </w:rPr>
              <w:t>50</w:t>
            </w:r>
          </w:p>
        </w:tc>
        <w:tc>
          <w:tcPr>
            <w:tcW w:w="1525" w:type="dxa"/>
            <w:vAlign w:val="center"/>
          </w:tcPr>
          <w:p w:rsidR="00A65E62" w:rsidRPr="002479D6" w:rsidRDefault="00A65E62" w:rsidP="00A65E62">
            <w:pPr>
              <w:jc w:val="right"/>
              <w:rPr>
                <w:color w:val="000000"/>
                <w:sz w:val="22"/>
                <w:szCs w:val="22"/>
                <w:highlight w:val="yellow"/>
              </w:rPr>
            </w:pPr>
            <w:r>
              <w:rPr>
                <w:rFonts w:cstheme="minorHAnsi"/>
                <w:sz w:val="22"/>
                <w:szCs w:val="22"/>
                <w:highlight w:val="yellow"/>
              </w:rPr>
              <w:t>1</w:t>
            </w:r>
          </w:p>
        </w:tc>
        <w:tc>
          <w:tcPr>
            <w:tcW w:w="1505" w:type="dxa"/>
            <w:vAlign w:val="center"/>
          </w:tcPr>
          <w:p w:rsidR="00A65E62" w:rsidRPr="002479D6" w:rsidRDefault="00C13B08" w:rsidP="00C13B08">
            <w:pPr>
              <w:jc w:val="right"/>
              <w:rPr>
                <w:color w:val="000000"/>
                <w:sz w:val="22"/>
                <w:szCs w:val="22"/>
                <w:highlight w:val="yellow"/>
              </w:rPr>
            </w:pPr>
            <w:r>
              <w:rPr>
                <w:rFonts w:cstheme="minorHAnsi"/>
                <w:sz w:val="22"/>
                <w:szCs w:val="22"/>
                <w:highlight w:val="yellow"/>
              </w:rPr>
              <w:t>20</w:t>
            </w:r>
          </w:p>
        </w:tc>
        <w:tc>
          <w:tcPr>
            <w:tcW w:w="1491" w:type="dxa"/>
            <w:vAlign w:val="center"/>
          </w:tcPr>
          <w:p w:rsidR="00A65E62" w:rsidRPr="002479D6" w:rsidRDefault="00C13B08" w:rsidP="00C13B08">
            <w:pPr>
              <w:jc w:val="right"/>
              <w:rPr>
                <w:color w:val="000000"/>
                <w:sz w:val="22"/>
                <w:szCs w:val="22"/>
                <w:highlight w:val="yellow"/>
              </w:rPr>
            </w:pPr>
            <w:r>
              <w:rPr>
                <w:rFonts w:cstheme="minorHAnsi"/>
                <w:sz w:val="22"/>
                <w:szCs w:val="22"/>
                <w:highlight w:val="yellow"/>
              </w:rPr>
              <w:t>1,000</w:t>
            </w:r>
          </w:p>
        </w:tc>
      </w:tr>
      <w:tr w:rsidR="007E04EE" w:rsidRPr="002479D6" w:rsidTr="00A65E62">
        <w:tc>
          <w:tcPr>
            <w:tcW w:w="1534" w:type="dxa"/>
            <w:vAlign w:val="center"/>
          </w:tcPr>
          <w:p w:rsidR="007E04EE" w:rsidRPr="002479D6" w:rsidRDefault="007E04EE" w:rsidP="00DC6252">
            <w:pPr>
              <w:rPr>
                <w:color w:val="000000"/>
                <w:sz w:val="20"/>
                <w:szCs w:val="20"/>
                <w:highlight w:val="yellow"/>
              </w:rPr>
            </w:pPr>
            <w:r>
              <w:rPr>
                <w:color w:val="000000"/>
                <w:sz w:val="20"/>
                <w:szCs w:val="20"/>
                <w:highlight w:val="yellow"/>
              </w:rPr>
              <w:t>States</w:t>
            </w:r>
          </w:p>
        </w:tc>
        <w:tc>
          <w:tcPr>
            <w:tcW w:w="1726" w:type="dxa"/>
            <w:vAlign w:val="center"/>
          </w:tcPr>
          <w:p w:rsidR="007E04EE" w:rsidRPr="002479D6" w:rsidRDefault="007E04EE" w:rsidP="00DA0CF6">
            <w:pPr>
              <w:rPr>
                <w:sz w:val="22"/>
                <w:szCs w:val="22"/>
                <w:highlight w:val="yellow"/>
              </w:rPr>
            </w:pPr>
            <w:r>
              <w:rPr>
                <w:sz w:val="22"/>
                <w:szCs w:val="22"/>
                <w:highlight w:val="yellow"/>
              </w:rPr>
              <w:t xml:space="preserve">One-time SO/GI </w:t>
            </w:r>
            <w:r w:rsidR="00DA0CF6">
              <w:rPr>
                <w:sz w:val="22"/>
                <w:szCs w:val="22"/>
                <w:highlight w:val="yellow"/>
              </w:rPr>
              <w:t>Survey</w:t>
            </w:r>
          </w:p>
        </w:tc>
        <w:tc>
          <w:tcPr>
            <w:tcW w:w="1533" w:type="dxa"/>
            <w:vAlign w:val="center"/>
          </w:tcPr>
          <w:p w:rsidR="007E04EE" w:rsidRDefault="007E04EE" w:rsidP="00DC6252">
            <w:pPr>
              <w:jc w:val="right"/>
              <w:rPr>
                <w:color w:val="000000"/>
                <w:sz w:val="22"/>
                <w:szCs w:val="22"/>
                <w:highlight w:val="yellow"/>
              </w:rPr>
            </w:pPr>
            <w:r>
              <w:rPr>
                <w:color w:val="000000"/>
                <w:sz w:val="22"/>
                <w:szCs w:val="22"/>
                <w:highlight w:val="yellow"/>
              </w:rPr>
              <w:t>12</w:t>
            </w:r>
          </w:p>
        </w:tc>
        <w:tc>
          <w:tcPr>
            <w:tcW w:w="1525" w:type="dxa"/>
            <w:vAlign w:val="center"/>
          </w:tcPr>
          <w:p w:rsidR="007E04EE" w:rsidRPr="002479D6" w:rsidRDefault="007E04EE" w:rsidP="00DC6252">
            <w:pPr>
              <w:jc w:val="right"/>
              <w:rPr>
                <w:color w:val="000000"/>
                <w:sz w:val="22"/>
                <w:szCs w:val="22"/>
                <w:highlight w:val="yellow"/>
              </w:rPr>
            </w:pPr>
            <w:r>
              <w:rPr>
                <w:color w:val="000000"/>
                <w:sz w:val="22"/>
                <w:szCs w:val="22"/>
                <w:highlight w:val="yellow"/>
              </w:rPr>
              <w:t>1</w:t>
            </w:r>
          </w:p>
        </w:tc>
        <w:tc>
          <w:tcPr>
            <w:tcW w:w="1505" w:type="dxa"/>
            <w:vAlign w:val="center"/>
          </w:tcPr>
          <w:p w:rsidR="007E04EE" w:rsidRPr="002479D6" w:rsidRDefault="000F7917" w:rsidP="00DC6252">
            <w:pPr>
              <w:jc w:val="right"/>
              <w:rPr>
                <w:color w:val="000000"/>
                <w:sz w:val="22"/>
                <w:szCs w:val="22"/>
                <w:highlight w:val="yellow"/>
              </w:rPr>
            </w:pPr>
            <w:r>
              <w:rPr>
                <w:color w:val="000000"/>
                <w:sz w:val="22"/>
                <w:szCs w:val="22"/>
                <w:highlight w:val="yellow"/>
              </w:rPr>
              <w:t>5</w:t>
            </w:r>
            <w:r w:rsidR="007E04EE">
              <w:rPr>
                <w:color w:val="000000"/>
                <w:sz w:val="22"/>
                <w:szCs w:val="22"/>
                <w:highlight w:val="yellow"/>
              </w:rPr>
              <w:t>/60</w:t>
            </w:r>
          </w:p>
        </w:tc>
        <w:tc>
          <w:tcPr>
            <w:tcW w:w="1491" w:type="dxa"/>
            <w:vAlign w:val="center"/>
          </w:tcPr>
          <w:p w:rsidR="007E04EE" w:rsidRDefault="005F484F" w:rsidP="00DC6252">
            <w:pPr>
              <w:jc w:val="right"/>
              <w:rPr>
                <w:color w:val="000000"/>
                <w:sz w:val="22"/>
                <w:szCs w:val="22"/>
                <w:highlight w:val="yellow"/>
              </w:rPr>
            </w:pPr>
            <w:r>
              <w:rPr>
                <w:color w:val="000000"/>
                <w:sz w:val="22"/>
                <w:szCs w:val="22"/>
                <w:highlight w:val="yellow"/>
              </w:rPr>
              <w:t>1</w:t>
            </w:r>
          </w:p>
        </w:tc>
      </w:tr>
      <w:tr w:rsidR="00DC6252" w:rsidRPr="002479D6" w:rsidTr="00A65E62">
        <w:tc>
          <w:tcPr>
            <w:tcW w:w="1534" w:type="dxa"/>
            <w:vAlign w:val="center"/>
          </w:tcPr>
          <w:p w:rsidR="00DC6252" w:rsidRPr="002479D6" w:rsidRDefault="00DC6252" w:rsidP="00DC6252">
            <w:pPr>
              <w:rPr>
                <w:color w:val="000000"/>
                <w:sz w:val="20"/>
                <w:szCs w:val="20"/>
                <w:highlight w:val="yellow"/>
              </w:rPr>
            </w:pPr>
            <w:r w:rsidRPr="002479D6">
              <w:rPr>
                <w:color w:val="000000"/>
                <w:sz w:val="20"/>
                <w:szCs w:val="20"/>
                <w:highlight w:val="yellow"/>
              </w:rPr>
              <w:t>Territories</w:t>
            </w:r>
          </w:p>
        </w:tc>
        <w:tc>
          <w:tcPr>
            <w:tcW w:w="1726" w:type="dxa"/>
            <w:vAlign w:val="center"/>
          </w:tcPr>
          <w:p w:rsidR="00DC6252" w:rsidRPr="002479D6" w:rsidRDefault="00DC6252" w:rsidP="00983D5D">
            <w:pPr>
              <w:rPr>
                <w:color w:val="000000"/>
                <w:sz w:val="22"/>
                <w:szCs w:val="22"/>
                <w:highlight w:val="yellow"/>
              </w:rPr>
            </w:pPr>
            <w:r w:rsidRPr="002479D6">
              <w:rPr>
                <w:sz w:val="22"/>
                <w:szCs w:val="22"/>
                <w:highlight w:val="yellow"/>
              </w:rPr>
              <w:t>Weekly (Automated)</w:t>
            </w:r>
          </w:p>
        </w:tc>
        <w:tc>
          <w:tcPr>
            <w:tcW w:w="1533" w:type="dxa"/>
            <w:vAlign w:val="center"/>
          </w:tcPr>
          <w:p w:rsidR="00DC6252" w:rsidRPr="002479D6" w:rsidRDefault="00C13B08" w:rsidP="00DC6252">
            <w:pPr>
              <w:jc w:val="right"/>
              <w:rPr>
                <w:color w:val="000000"/>
                <w:sz w:val="22"/>
                <w:szCs w:val="22"/>
                <w:highlight w:val="yellow"/>
              </w:rPr>
            </w:pPr>
            <w:r>
              <w:rPr>
                <w:color w:val="000000"/>
                <w:sz w:val="22"/>
                <w:szCs w:val="22"/>
                <w:highlight w:val="yellow"/>
              </w:rPr>
              <w:t>5</w:t>
            </w:r>
          </w:p>
        </w:tc>
        <w:tc>
          <w:tcPr>
            <w:tcW w:w="1525" w:type="dxa"/>
            <w:vAlign w:val="center"/>
          </w:tcPr>
          <w:p w:rsidR="00DC6252" w:rsidRPr="002479D6" w:rsidRDefault="009B7A62" w:rsidP="00DC6252">
            <w:pPr>
              <w:jc w:val="right"/>
              <w:rPr>
                <w:color w:val="000000"/>
                <w:sz w:val="22"/>
                <w:szCs w:val="22"/>
                <w:highlight w:val="yellow"/>
              </w:rPr>
            </w:pPr>
            <w:r w:rsidRPr="002479D6">
              <w:rPr>
                <w:color w:val="000000"/>
                <w:sz w:val="22"/>
                <w:szCs w:val="22"/>
                <w:highlight w:val="yellow"/>
              </w:rPr>
              <w:t>52</w:t>
            </w:r>
          </w:p>
        </w:tc>
        <w:tc>
          <w:tcPr>
            <w:tcW w:w="1505" w:type="dxa"/>
            <w:vAlign w:val="center"/>
          </w:tcPr>
          <w:p w:rsidR="00DC6252" w:rsidRPr="002479D6" w:rsidRDefault="005E316F" w:rsidP="00DC6252">
            <w:pPr>
              <w:jc w:val="right"/>
              <w:rPr>
                <w:color w:val="000000"/>
                <w:sz w:val="22"/>
                <w:szCs w:val="22"/>
                <w:highlight w:val="yellow"/>
              </w:rPr>
            </w:pPr>
            <w:r w:rsidRPr="002479D6">
              <w:rPr>
                <w:color w:val="000000"/>
                <w:sz w:val="22"/>
                <w:szCs w:val="22"/>
                <w:highlight w:val="yellow"/>
              </w:rPr>
              <w:t>20/60</w:t>
            </w:r>
          </w:p>
        </w:tc>
        <w:tc>
          <w:tcPr>
            <w:tcW w:w="1491" w:type="dxa"/>
            <w:vAlign w:val="center"/>
          </w:tcPr>
          <w:p w:rsidR="00DC6252" w:rsidRPr="002479D6" w:rsidRDefault="00C13B08" w:rsidP="00DC6252">
            <w:pPr>
              <w:jc w:val="right"/>
              <w:rPr>
                <w:color w:val="000000"/>
                <w:sz w:val="22"/>
                <w:szCs w:val="22"/>
                <w:highlight w:val="yellow"/>
              </w:rPr>
            </w:pPr>
            <w:r>
              <w:rPr>
                <w:color w:val="000000"/>
                <w:sz w:val="22"/>
                <w:szCs w:val="22"/>
                <w:highlight w:val="yellow"/>
              </w:rPr>
              <w:t>87</w:t>
            </w:r>
          </w:p>
        </w:tc>
      </w:tr>
      <w:tr w:rsidR="00E91EDC" w:rsidRPr="002479D6" w:rsidTr="00A65E62">
        <w:tc>
          <w:tcPr>
            <w:tcW w:w="1534" w:type="dxa"/>
            <w:vAlign w:val="center"/>
          </w:tcPr>
          <w:p w:rsidR="007A02DF" w:rsidRPr="002479D6" w:rsidRDefault="00DC6252" w:rsidP="00534114">
            <w:pPr>
              <w:rPr>
                <w:sz w:val="20"/>
                <w:szCs w:val="20"/>
                <w:highlight w:val="yellow"/>
              </w:rPr>
            </w:pPr>
            <w:r w:rsidRPr="002479D6">
              <w:rPr>
                <w:sz w:val="20"/>
                <w:szCs w:val="20"/>
                <w:highlight w:val="yellow"/>
              </w:rPr>
              <w:t>Territories</w:t>
            </w:r>
          </w:p>
        </w:tc>
        <w:tc>
          <w:tcPr>
            <w:tcW w:w="1726" w:type="dxa"/>
            <w:vAlign w:val="center"/>
          </w:tcPr>
          <w:p w:rsidR="00E91EDC" w:rsidRPr="002479D6" w:rsidRDefault="009B7A62" w:rsidP="00983D5D">
            <w:pPr>
              <w:rPr>
                <w:sz w:val="22"/>
                <w:szCs w:val="22"/>
                <w:highlight w:val="yellow"/>
              </w:rPr>
            </w:pPr>
            <w:r w:rsidRPr="002479D6">
              <w:rPr>
                <w:sz w:val="22"/>
                <w:szCs w:val="22"/>
                <w:highlight w:val="yellow"/>
              </w:rPr>
              <w:t>Weekly, Quarterly (Non-automated)</w:t>
            </w:r>
          </w:p>
        </w:tc>
        <w:tc>
          <w:tcPr>
            <w:tcW w:w="1533" w:type="dxa"/>
            <w:vAlign w:val="center"/>
          </w:tcPr>
          <w:p w:rsidR="00E91EDC" w:rsidRPr="002479D6" w:rsidRDefault="009A2C6B" w:rsidP="0091055A">
            <w:pPr>
              <w:jc w:val="right"/>
              <w:rPr>
                <w:sz w:val="22"/>
                <w:szCs w:val="22"/>
                <w:highlight w:val="yellow"/>
              </w:rPr>
            </w:pPr>
            <w:r>
              <w:rPr>
                <w:sz w:val="22"/>
                <w:szCs w:val="22"/>
                <w:highlight w:val="yellow"/>
              </w:rPr>
              <w:t>5</w:t>
            </w:r>
          </w:p>
        </w:tc>
        <w:tc>
          <w:tcPr>
            <w:tcW w:w="1525" w:type="dxa"/>
            <w:vAlign w:val="center"/>
          </w:tcPr>
          <w:p w:rsidR="00E91EDC" w:rsidRPr="002479D6" w:rsidRDefault="005E316F" w:rsidP="0091055A">
            <w:pPr>
              <w:jc w:val="right"/>
              <w:rPr>
                <w:sz w:val="22"/>
                <w:szCs w:val="22"/>
                <w:highlight w:val="yellow"/>
              </w:rPr>
            </w:pPr>
            <w:r w:rsidRPr="002479D6">
              <w:rPr>
                <w:sz w:val="22"/>
                <w:szCs w:val="22"/>
                <w:highlight w:val="yellow"/>
              </w:rPr>
              <w:t>56</w:t>
            </w:r>
          </w:p>
        </w:tc>
        <w:tc>
          <w:tcPr>
            <w:tcW w:w="1505" w:type="dxa"/>
            <w:vAlign w:val="center"/>
          </w:tcPr>
          <w:p w:rsidR="00E91EDC" w:rsidRPr="002479D6" w:rsidRDefault="003B5257" w:rsidP="003B5257">
            <w:pPr>
              <w:jc w:val="right"/>
              <w:rPr>
                <w:sz w:val="22"/>
                <w:szCs w:val="22"/>
                <w:highlight w:val="yellow"/>
              </w:rPr>
            </w:pPr>
            <w:r>
              <w:rPr>
                <w:sz w:val="22"/>
                <w:szCs w:val="22"/>
                <w:highlight w:val="yellow"/>
              </w:rPr>
              <w:t>2</w:t>
            </w:r>
            <w:r w:rsidR="007D24CE" w:rsidRPr="002479D6">
              <w:rPr>
                <w:sz w:val="22"/>
                <w:szCs w:val="22"/>
                <w:highlight w:val="yellow"/>
              </w:rPr>
              <w:t>0/60</w:t>
            </w:r>
          </w:p>
        </w:tc>
        <w:tc>
          <w:tcPr>
            <w:tcW w:w="1491" w:type="dxa"/>
            <w:shd w:val="clear" w:color="auto" w:fill="auto"/>
            <w:vAlign w:val="center"/>
          </w:tcPr>
          <w:p w:rsidR="00E91EDC" w:rsidRPr="002479D6" w:rsidRDefault="001861C4" w:rsidP="0091055A">
            <w:pPr>
              <w:jc w:val="right"/>
              <w:rPr>
                <w:sz w:val="22"/>
                <w:szCs w:val="22"/>
                <w:highlight w:val="yellow"/>
              </w:rPr>
            </w:pPr>
            <w:r>
              <w:rPr>
                <w:sz w:val="22"/>
                <w:szCs w:val="22"/>
                <w:highlight w:val="yellow"/>
              </w:rPr>
              <w:t>93</w:t>
            </w:r>
          </w:p>
        </w:tc>
      </w:tr>
      <w:tr w:rsidR="00B0162A" w:rsidRPr="002479D6" w:rsidDel="0053132F" w:rsidTr="00A65E62">
        <w:tc>
          <w:tcPr>
            <w:tcW w:w="1534" w:type="dxa"/>
            <w:vAlign w:val="center"/>
          </w:tcPr>
          <w:p w:rsidR="00B0162A" w:rsidRPr="002479D6" w:rsidRDefault="00044089" w:rsidP="00534114">
            <w:pPr>
              <w:rPr>
                <w:sz w:val="20"/>
                <w:szCs w:val="20"/>
                <w:highlight w:val="yellow"/>
              </w:rPr>
            </w:pPr>
            <w:r w:rsidRPr="002479D6">
              <w:rPr>
                <w:sz w:val="20"/>
                <w:szCs w:val="20"/>
                <w:highlight w:val="yellow"/>
              </w:rPr>
              <w:t>Territories</w:t>
            </w:r>
          </w:p>
        </w:tc>
        <w:tc>
          <w:tcPr>
            <w:tcW w:w="1726" w:type="dxa"/>
            <w:vAlign w:val="center"/>
          </w:tcPr>
          <w:p w:rsidR="00B0162A" w:rsidRPr="002479D6" w:rsidRDefault="00044089" w:rsidP="0091055A">
            <w:pPr>
              <w:rPr>
                <w:sz w:val="22"/>
                <w:szCs w:val="22"/>
                <w:highlight w:val="yellow"/>
              </w:rPr>
            </w:pPr>
            <w:r w:rsidRPr="002479D6">
              <w:rPr>
                <w:sz w:val="22"/>
                <w:szCs w:val="22"/>
                <w:highlight w:val="yellow"/>
              </w:rPr>
              <w:t>Weekly (NMI</w:t>
            </w:r>
            <w:r w:rsidR="007A2607">
              <w:rPr>
                <w:sz w:val="22"/>
                <w:szCs w:val="22"/>
                <w:highlight w:val="yellow"/>
              </w:rPr>
              <w:t xml:space="preserve"> Implementation</w:t>
            </w:r>
            <w:r w:rsidRPr="002479D6">
              <w:rPr>
                <w:sz w:val="22"/>
                <w:szCs w:val="22"/>
                <w:highlight w:val="yellow"/>
              </w:rPr>
              <w:t>)</w:t>
            </w:r>
          </w:p>
        </w:tc>
        <w:tc>
          <w:tcPr>
            <w:tcW w:w="1533" w:type="dxa"/>
            <w:vAlign w:val="center"/>
          </w:tcPr>
          <w:p w:rsidR="00B0162A" w:rsidRPr="002479D6" w:rsidRDefault="00044089" w:rsidP="0091055A">
            <w:pPr>
              <w:jc w:val="right"/>
              <w:rPr>
                <w:sz w:val="22"/>
                <w:szCs w:val="22"/>
                <w:highlight w:val="yellow"/>
              </w:rPr>
            </w:pPr>
            <w:r w:rsidRPr="002479D6">
              <w:rPr>
                <w:sz w:val="22"/>
                <w:szCs w:val="22"/>
                <w:highlight w:val="yellow"/>
              </w:rPr>
              <w:t>5</w:t>
            </w:r>
          </w:p>
        </w:tc>
        <w:tc>
          <w:tcPr>
            <w:tcW w:w="1525" w:type="dxa"/>
            <w:vAlign w:val="center"/>
          </w:tcPr>
          <w:p w:rsidR="00B0162A" w:rsidRPr="002479D6" w:rsidRDefault="00044089" w:rsidP="0091055A">
            <w:pPr>
              <w:jc w:val="right"/>
              <w:rPr>
                <w:sz w:val="22"/>
                <w:szCs w:val="22"/>
                <w:highlight w:val="yellow"/>
              </w:rPr>
            </w:pPr>
            <w:r w:rsidRPr="002479D6">
              <w:rPr>
                <w:sz w:val="22"/>
                <w:szCs w:val="22"/>
                <w:highlight w:val="yellow"/>
              </w:rPr>
              <w:t>52</w:t>
            </w:r>
          </w:p>
        </w:tc>
        <w:tc>
          <w:tcPr>
            <w:tcW w:w="1505" w:type="dxa"/>
            <w:vAlign w:val="center"/>
          </w:tcPr>
          <w:p w:rsidR="00B0162A" w:rsidRPr="002479D6" w:rsidRDefault="00044089" w:rsidP="0091055A">
            <w:pPr>
              <w:jc w:val="right"/>
              <w:rPr>
                <w:sz w:val="22"/>
                <w:szCs w:val="22"/>
                <w:highlight w:val="yellow"/>
              </w:rPr>
            </w:pPr>
            <w:r w:rsidRPr="002479D6">
              <w:rPr>
                <w:sz w:val="22"/>
                <w:szCs w:val="22"/>
                <w:highlight w:val="yellow"/>
              </w:rPr>
              <w:t>4</w:t>
            </w:r>
          </w:p>
        </w:tc>
        <w:tc>
          <w:tcPr>
            <w:tcW w:w="1491" w:type="dxa"/>
            <w:vAlign w:val="center"/>
          </w:tcPr>
          <w:p w:rsidR="00B0162A" w:rsidRPr="002479D6" w:rsidRDefault="00044089" w:rsidP="0091055A">
            <w:pPr>
              <w:jc w:val="right"/>
              <w:rPr>
                <w:sz w:val="22"/>
                <w:szCs w:val="22"/>
                <w:highlight w:val="yellow"/>
              </w:rPr>
            </w:pPr>
            <w:r w:rsidRPr="002479D6">
              <w:rPr>
                <w:sz w:val="22"/>
                <w:szCs w:val="22"/>
                <w:highlight w:val="yellow"/>
              </w:rPr>
              <w:t>1,040</w:t>
            </w:r>
          </w:p>
        </w:tc>
      </w:tr>
      <w:tr w:rsidR="00740EA6" w:rsidRPr="002479D6" w:rsidTr="00A65E62">
        <w:tc>
          <w:tcPr>
            <w:tcW w:w="1534" w:type="dxa"/>
            <w:vAlign w:val="center"/>
          </w:tcPr>
          <w:p w:rsidR="00740EA6" w:rsidRPr="002479D6" w:rsidRDefault="00740EA6" w:rsidP="00534114">
            <w:pPr>
              <w:rPr>
                <w:sz w:val="20"/>
                <w:szCs w:val="20"/>
                <w:highlight w:val="yellow"/>
              </w:rPr>
            </w:pPr>
            <w:r w:rsidRPr="002479D6">
              <w:rPr>
                <w:sz w:val="20"/>
                <w:szCs w:val="20"/>
                <w:highlight w:val="yellow"/>
              </w:rPr>
              <w:t>Territories</w:t>
            </w:r>
          </w:p>
        </w:tc>
        <w:tc>
          <w:tcPr>
            <w:tcW w:w="1726" w:type="dxa"/>
            <w:vAlign w:val="center"/>
          </w:tcPr>
          <w:p w:rsidR="00740EA6" w:rsidRPr="002479D6" w:rsidRDefault="00740EA6" w:rsidP="00983D5D">
            <w:pPr>
              <w:rPr>
                <w:sz w:val="22"/>
                <w:szCs w:val="22"/>
                <w:highlight w:val="yellow"/>
              </w:rPr>
            </w:pPr>
            <w:r w:rsidRPr="002479D6">
              <w:rPr>
                <w:sz w:val="22"/>
                <w:szCs w:val="22"/>
                <w:highlight w:val="yellow"/>
              </w:rPr>
              <w:t>Annual</w:t>
            </w:r>
          </w:p>
        </w:tc>
        <w:tc>
          <w:tcPr>
            <w:tcW w:w="1533" w:type="dxa"/>
            <w:vAlign w:val="center"/>
          </w:tcPr>
          <w:p w:rsidR="00740EA6" w:rsidRPr="002479D6" w:rsidRDefault="00740EA6" w:rsidP="0091055A">
            <w:pPr>
              <w:jc w:val="right"/>
              <w:rPr>
                <w:sz w:val="22"/>
                <w:szCs w:val="22"/>
                <w:highlight w:val="yellow"/>
              </w:rPr>
            </w:pPr>
            <w:r w:rsidRPr="002479D6">
              <w:rPr>
                <w:sz w:val="22"/>
                <w:szCs w:val="22"/>
                <w:highlight w:val="yellow"/>
              </w:rPr>
              <w:t>5</w:t>
            </w:r>
          </w:p>
        </w:tc>
        <w:tc>
          <w:tcPr>
            <w:tcW w:w="1525" w:type="dxa"/>
            <w:vAlign w:val="center"/>
          </w:tcPr>
          <w:p w:rsidR="00740EA6" w:rsidRPr="002479D6" w:rsidRDefault="00740EA6" w:rsidP="00AC39DF">
            <w:pPr>
              <w:jc w:val="right"/>
              <w:rPr>
                <w:sz w:val="22"/>
                <w:szCs w:val="22"/>
                <w:highlight w:val="yellow"/>
              </w:rPr>
            </w:pPr>
            <w:r w:rsidRPr="002479D6">
              <w:rPr>
                <w:sz w:val="22"/>
                <w:szCs w:val="22"/>
                <w:highlight w:val="yellow"/>
              </w:rPr>
              <w:t>1</w:t>
            </w:r>
          </w:p>
        </w:tc>
        <w:tc>
          <w:tcPr>
            <w:tcW w:w="1505" w:type="dxa"/>
            <w:vAlign w:val="center"/>
          </w:tcPr>
          <w:p w:rsidR="00740EA6" w:rsidRPr="002479D6" w:rsidRDefault="00740EA6" w:rsidP="00970ADC">
            <w:pPr>
              <w:jc w:val="right"/>
              <w:rPr>
                <w:sz w:val="22"/>
                <w:szCs w:val="22"/>
                <w:highlight w:val="yellow"/>
              </w:rPr>
            </w:pPr>
            <w:r w:rsidRPr="002479D6">
              <w:rPr>
                <w:sz w:val="22"/>
                <w:szCs w:val="22"/>
                <w:highlight w:val="yellow"/>
              </w:rPr>
              <w:t>5</w:t>
            </w:r>
          </w:p>
        </w:tc>
        <w:tc>
          <w:tcPr>
            <w:tcW w:w="1491" w:type="dxa"/>
            <w:vAlign w:val="center"/>
          </w:tcPr>
          <w:p w:rsidR="00740EA6" w:rsidRPr="002479D6" w:rsidRDefault="00740EA6" w:rsidP="0091055A">
            <w:pPr>
              <w:jc w:val="right"/>
              <w:rPr>
                <w:sz w:val="22"/>
                <w:szCs w:val="22"/>
                <w:highlight w:val="yellow"/>
              </w:rPr>
            </w:pPr>
            <w:r w:rsidRPr="002479D6">
              <w:rPr>
                <w:sz w:val="22"/>
                <w:szCs w:val="22"/>
                <w:highlight w:val="yellow"/>
              </w:rPr>
              <w:t>25</w:t>
            </w:r>
          </w:p>
        </w:tc>
      </w:tr>
      <w:tr w:rsidR="00A65E62" w:rsidRPr="002479D6" w:rsidTr="00A65E62">
        <w:tc>
          <w:tcPr>
            <w:tcW w:w="1534" w:type="dxa"/>
            <w:vAlign w:val="center"/>
          </w:tcPr>
          <w:p w:rsidR="00A65E62" w:rsidRPr="002479D6" w:rsidRDefault="00A65E62" w:rsidP="00A65E62">
            <w:pPr>
              <w:rPr>
                <w:sz w:val="20"/>
                <w:szCs w:val="20"/>
                <w:highlight w:val="yellow"/>
              </w:rPr>
            </w:pPr>
            <w:r>
              <w:rPr>
                <w:rFonts w:cstheme="minorHAnsi"/>
                <w:sz w:val="22"/>
                <w:szCs w:val="22"/>
                <w:highlight w:val="yellow"/>
              </w:rPr>
              <w:t>Territories</w:t>
            </w:r>
          </w:p>
        </w:tc>
        <w:tc>
          <w:tcPr>
            <w:tcW w:w="1726" w:type="dxa"/>
            <w:vAlign w:val="center"/>
          </w:tcPr>
          <w:p w:rsidR="00A65E62" w:rsidRPr="002479D6" w:rsidRDefault="00A65E62" w:rsidP="00A65E62">
            <w:pPr>
              <w:rPr>
                <w:sz w:val="22"/>
                <w:szCs w:val="22"/>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533" w:type="dxa"/>
            <w:vAlign w:val="center"/>
          </w:tcPr>
          <w:p w:rsidR="00A65E62" w:rsidRPr="002479D6" w:rsidRDefault="00C13B08" w:rsidP="00A65E62">
            <w:pPr>
              <w:jc w:val="right"/>
              <w:rPr>
                <w:sz w:val="22"/>
                <w:szCs w:val="22"/>
                <w:highlight w:val="yellow"/>
              </w:rPr>
            </w:pPr>
            <w:r>
              <w:rPr>
                <w:rFonts w:cstheme="minorHAnsi"/>
                <w:sz w:val="22"/>
                <w:szCs w:val="22"/>
                <w:highlight w:val="yellow"/>
              </w:rPr>
              <w:t>5</w:t>
            </w:r>
          </w:p>
        </w:tc>
        <w:tc>
          <w:tcPr>
            <w:tcW w:w="1525" w:type="dxa"/>
            <w:vAlign w:val="center"/>
          </w:tcPr>
          <w:p w:rsidR="00A65E62" w:rsidRPr="002479D6" w:rsidRDefault="00A65E62" w:rsidP="00A65E62">
            <w:pPr>
              <w:jc w:val="right"/>
              <w:rPr>
                <w:sz w:val="22"/>
                <w:szCs w:val="22"/>
                <w:highlight w:val="yellow"/>
              </w:rPr>
            </w:pPr>
            <w:r>
              <w:rPr>
                <w:rFonts w:cstheme="minorHAnsi"/>
                <w:sz w:val="22"/>
                <w:szCs w:val="22"/>
                <w:highlight w:val="yellow"/>
              </w:rPr>
              <w:t>1</w:t>
            </w:r>
          </w:p>
        </w:tc>
        <w:tc>
          <w:tcPr>
            <w:tcW w:w="1505" w:type="dxa"/>
            <w:vAlign w:val="center"/>
          </w:tcPr>
          <w:p w:rsidR="00A65E62" w:rsidRDefault="00C13B08" w:rsidP="00A65E62">
            <w:pPr>
              <w:jc w:val="right"/>
              <w:rPr>
                <w:sz w:val="22"/>
                <w:szCs w:val="22"/>
                <w:highlight w:val="yellow"/>
              </w:rPr>
            </w:pPr>
            <w:r>
              <w:rPr>
                <w:rFonts w:cstheme="minorHAnsi"/>
                <w:sz w:val="22"/>
                <w:szCs w:val="22"/>
                <w:highlight w:val="yellow"/>
              </w:rPr>
              <w:t>9</w:t>
            </w:r>
          </w:p>
        </w:tc>
        <w:tc>
          <w:tcPr>
            <w:tcW w:w="1491" w:type="dxa"/>
            <w:vAlign w:val="center"/>
          </w:tcPr>
          <w:p w:rsidR="00A65E62" w:rsidRDefault="00C13B08" w:rsidP="00A65E62">
            <w:pPr>
              <w:jc w:val="right"/>
              <w:rPr>
                <w:sz w:val="22"/>
                <w:szCs w:val="22"/>
                <w:highlight w:val="yellow"/>
              </w:rPr>
            </w:pPr>
            <w:r>
              <w:rPr>
                <w:rFonts w:cstheme="minorHAnsi"/>
                <w:sz w:val="22"/>
                <w:szCs w:val="22"/>
                <w:highlight w:val="yellow"/>
              </w:rPr>
              <w:t>45</w:t>
            </w:r>
          </w:p>
        </w:tc>
      </w:tr>
      <w:tr w:rsidR="00C13B08" w:rsidRPr="002479D6" w:rsidTr="00A65E62">
        <w:tc>
          <w:tcPr>
            <w:tcW w:w="1534" w:type="dxa"/>
            <w:vAlign w:val="center"/>
          </w:tcPr>
          <w:p w:rsidR="00C13B08" w:rsidRPr="002479D6" w:rsidRDefault="00C13B08" w:rsidP="00534114">
            <w:pPr>
              <w:rPr>
                <w:sz w:val="20"/>
                <w:szCs w:val="20"/>
                <w:highlight w:val="yellow"/>
              </w:rPr>
            </w:pPr>
            <w:r>
              <w:rPr>
                <w:sz w:val="20"/>
                <w:szCs w:val="20"/>
                <w:highlight w:val="yellow"/>
              </w:rPr>
              <w:t>Freely Associated States</w:t>
            </w:r>
          </w:p>
        </w:tc>
        <w:tc>
          <w:tcPr>
            <w:tcW w:w="1726" w:type="dxa"/>
            <w:vAlign w:val="center"/>
          </w:tcPr>
          <w:p w:rsidR="00C13B08" w:rsidRPr="002479D6" w:rsidRDefault="00C13B08" w:rsidP="00983D5D">
            <w:pPr>
              <w:rPr>
                <w:sz w:val="22"/>
                <w:szCs w:val="22"/>
                <w:highlight w:val="yellow"/>
              </w:rPr>
            </w:pPr>
            <w:r>
              <w:rPr>
                <w:sz w:val="22"/>
                <w:szCs w:val="22"/>
                <w:highlight w:val="yellow"/>
              </w:rPr>
              <w:t>Weekly (Automated)</w:t>
            </w:r>
          </w:p>
        </w:tc>
        <w:tc>
          <w:tcPr>
            <w:tcW w:w="1533" w:type="dxa"/>
            <w:vAlign w:val="center"/>
          </w:tcPr>
          <w:p w:rsidR="00C13B08" w:rsidRPr="002479D6" w:rsidRDefault="00C13B08" w:rsidP="0091055A">
            <w:pPr>
              <w:jc w:val="right"/>
              <w:rPr>
                <w:sz w:val="22"/>
                <w:szCs w:val="22"/>
                <w:highlight w:val="yellow"/>
              </w:rPr>
            </w:pPr>
            <w:r>
              <w:rPr>
                <w:sz w:val="22"/>
                <w:szCs w:val="22"/>
                <w:highlight w:val="yellow"/>
              </w:rPr>
              <w:t>3</w:t>
            </w:r>
          </w:p>
        </w:tc>
        <w:tc>
          <w:tcPr>
            <w:tcW w:w="1525" w:type="dxa"/>
            <w:vAlign w:val="center"/>
          </w:tcPr>
          <w:p w:rsidR="00C13B08" w:rsidRPr="002479D6" w:rsidRDefault="00C13B08" w:rsidP="00AC39DF">
            <w:pPr>
              <w:jc w:val="right"/>
              <w:rPr>
                <w:sz w:val="22"/>
                <w:szCs w:val="22"/>
                <w:highlight w:val="yellow"/>
              </w:rPr>
            </w:pPr>
            <w:r>
              <w:rPr>
                <w:sz w:val="22"/>
                <w:szCs w:val="22"/>
                <w:highlight w:val="yellow"/>
              </w:rPr>
              <w:t>52</w:t>
            </w:r>
          </w:p>
        </w:tc>
        <w:tc>
          <w:tcPr>
            <w:tcW w:w="1505" w:type="dxa"/>
            <w:vAlign w:val="center"/>
          </w:tcPr>
          <w:p w:rsidR="00C13B08" w:rsidRDefault="00C13B08" w:rsidP="003B5257">
            <w:pPr>
              <w:jc w:val="right"/>
              <w:rPr>
                <w:sz w:val="22"/>
                <w:szCs w:val="22"/>
                <w:highlight w:val="yellow"/>
              </w:rPr>
            </w:pPr>
            <w:r>
              <w:rPr>
                <w:sz w:val="22"/>
                <w:szCs w:val="22"/>
                <w:highlight w:val="yellow"/>
              </w:rPr>
              <w:t>20/60</w:t>
            </w:r>
          </w:p>
        </w:tc>
        <w:tc>
          <w:tcPr>
            <w:tcW w:w="1491" w:type="dxa"/>
            <w:vAlign w:val="center"/>
          </w:tcPr>
          <w:p w:rsidR="00C13B08" w:rsidRDefault="00C13B08" w:rsidP="0091055A">
            <w:pPr>
              <w:jc w:val="right"/>
              <w:rPr>
                <w:sz w:val="22"/>
                <w:szCs w:val="22"/>
                <w:highlight w:val="yellow"/>
              </w:rPr>
            </w:pPr>
            <w:r>
              <w:rPr>
                <w:sz w:val="22"/>
                <w:szCs w:val="22"/>
                <w:highlight w:val="yellow"/>
              </w:rPr>
              <w:t>52</w:t>
            </w:r>
          </w:p>
        </w:tc>
      </w:tr>
      <w:tr w:rsidR="00E91EDC" w:rsidRPr="002479D6" w:rsidTr="00A65E62">
        <w:tc>
          <w:tcPr>
            <w:tcW w:w="1534" w:type="dxa"/>
            <w:vAlign w:val="center"/>
          </w:tcPr>
          <w:p w:rsidR="007A02DF" w:rsidRPr="002479D6" w:rsidRDefault="00DC6252" w:rsidP="00534114">
            <w:pPr>
              <w:rPr>
                <w:sz w:val="20"/>
                <w:szCs w:val="20"/>
                <w:highlight w:val="yellow"/>
              </w:rPr>
            </w:pPr>
            <w:r w:rsidRPr="002479D6">
              <w:rPr>
                <w:sz w:val="20"/>
                <w:szCs w:val="20"/>
                <w:highlight w:val="yellow"/>
              </w:rPr>
              <w:t>Freely Associated States</w:t>
            </w:r>
          </w:p>
        </w:tc>
        <w:tc>
          <w:tcPr>
            <w:tcW w:w="1726" w:type="dxa"/>
            <w:vAlign w:val="center"/>
          </w:tcPr>
          <w:p w:rsidR="00E91EDC" w:rsidRPr="002479D6" w:rsidRDefault="009B7A62" w:rsidP="00983D5D">
            <w:pPr>
              <w:rPr>
                <w:sz w:val="22"/>
                <w:szCs w:val="22"/>
                <w:highlight w:val="yellow"/>
              </w:rPr>
            </w:pPr>
            <w:r w:rsidRPr="002479D6">
              <w:rPr>
                <w:sz w:val="22"/>
                <w:szCs w:val="22"/>
                <w:highlight w:val="yellow"/>
              </w:rPr>
              <w:t>Weekly, Quarterly (Non-automated)</w:t>
            </w:r>
          </w:p>
        </w:tc>
        <w:tc>
          <w:tcPr>
            <w:tcW w:w="1533" w:type="dxa"/>
            <w:vAlign w:val="center"/>
          </w:tcPr>
          <w:p w:rsidR="00E91EDC" w:rsidRPr="002479D6" w:rsidRDefault="009B7A62" w:rsidP="0091055A">
            <w:pPr>
              <w:jc w:val="right"/>
              <w:rPr>
                <w:sz w:val="22"/>
                <w:szCs w:val="22"/>
                <w:highlight w:val="yellow"/>
              </w:rPr>
            </w:pPr>
            <w:r w:rsidRPr="002479D6">
              <w:rPr>
                <w:sz w:val="22"/>
                <w:szCs w:val="22"/>
                <w:highlight w:val="yellow"/>
              </w:rPr>
              <w:t>3</w:t>
            </w:r>
          </w:p>
        </w:tc>
        <w:tc>
          <w:tcPr>
            <w:tcW w:w="1525" w:type="dxa"/>
            <w:vAlign w:val="center"/>
          </w:tcPr>
          <w:p w:rsidR="00E91EDC" w:rsidRPr="002479D6" w:rsidRDefault="005E316F" w:rsidP="00AC39DF">
            <w:pPr>
              <w:jc w:val="right"/>
              <w:rPr>
                <w:sz w:val="22"/>
                <w:szCs w:val="22"/>
                <w:highlight w:val="yellow"/>
              </w:rPr>
            </w:pPr>
            <w:r w:rsidRPr="002479D6">
              <w:rPr>
                <w:sz w:val="22"/>
                <w:szCs w:val="22"/>
                <w:highlight w:val="yellow"/>
              </w:rPr>
              <w:t>56</w:t>
            </w:r>
          </w:p>
        </w:tc>
        <w:tc>
          <w:tcPr>
            <w:tcW w:w="1505" w:type="dxa"/>
            <w:vAlign w:val="center"/>
          </w:tcPr>
          <w:p w:rsidR="00E91EDC" w:rsidRPr="002479D6" w:rsidRDefault="003B5257" w:rsidP="003B5257">
            <w:pPr>
              <w:jc w:val="right"/>
              <w:rPr>
                <w:sz w:val="22"/>
                <w:szCs w:val="22"/>
                <w:highlight w:val="yellow"/>
              </w:rPr>
            </w:pPr>
            <w:r>
              <w:rPr>
                <w:sz w:val="22"/>
                <w:szCs w:val="22"/>
                <w:highlight w:val="yellow"/>
              </w:rPr>
              <w:t>2</w:t>
            </w:r>
            <w:r w:rsidR="007D24CE" w:rsidRPr="002479D6">
              <w:rPr>
                <w:sz w:val="22"/>
                <w:szCs w:val="22"/>
                <w:highlight w:val="yellow"/>
              </w:rPr>
              <w:t>0/60</w:t>
            </w:r>
          </w:p>
        </w:tc>
        <w:tc>
          <w:tcPr>
            <w:tcW w:w="1491" w:type="dxa"/>
            <w:vAlign w:val="center"/>
          </w:tcPr>
          <w:p w:rsidR="00E91EDC" w:rsidRPr="002479D6" w:rsidRDefault="003B5257" w:rsidP="0091055A">
            <w:pPr>
              <w:jc w:val="right"/>
              <w:rPr>
                <w:sz w:val="22"/>
                <w:szCs w:val="22"/>
                <w:highlight w:val="yellow"/>
              </w:rPr>
            </w:pPr>
            <w:r>
              <w:rPr>
                <w:sz w:val="22"/>
                <w:szCs w:val="22"/>
                <w:highlight w:val="yellow"/>
              </w:rPr>
              <w:t>56</w:t>
            </w:r>
          </w:p>
        </w:tc>
      </w:tr>
      <w:tr w:rsidR="007D24CE" w:rsidRPr="002479D6" w:rsidTr="00A65E62">
        <w:tc>
          <w:tcPr>
            <w:tcW w:w="1534" w:type="dxa"/>
            <w:vAlign w:val="center"/>
          </w:tcPr>
          <w:p w:rsidR="007D24CE" w:rsidRPr="002479D6" w:rsidRDefault="007D24CE" w:rsidP="00534114">
            <w:pPr>
              <w:rPr>
                <w:color w:val="000000"/>
                <w:sz w:val="20"/>
                <w:szCs w:val="20"/>
                <w:highlight w:val="yellow"/>
              </w:rPr>
            </w:pPr>
            <w:r w:rsidRPr="002479D6">
              <w:rPr>
                <w:color w:val="000000"/>
                <w:sz w:val="20"/>
                <w:szCs w:val="20"/>
                <w:highlight w:val="yellow"/>
              </w:rPr>
              <w:t>Freely Associated States</w:t>
            </w:r>
          </w:p>
        </w:tc>
        <w:tc>
          <w:tcPr>
            <w:tcW w:w="1726" w:type="dxa"/>
            <w:vAlign w:val="center"/>
          </w:tcPr>
          <w:p w:rsidR="007D24CE" w:rsidRPr="002479D6" w:rsidRDefault="007D24CE" w:rsidP="0091055A">
            <w:pPr>
              <w:rPr>
                <w:color w:val="000000"/>
                <w:sz w:val="22"/>
                <w:szCs w:val="22"/>
                <w:highlight w:val="yellow"/>
              </w:rPr>
            </w:pPr>
            <w:r w:rsidRPr="002479D6">
              <w:rPr>
                <w:color w:val="000000"/>
                <w:sz w:val="22"/>
                <w:szCs w:val="22"/>
                <w:highlight w:val="yellow"/>
              </w:rPr>
              <w:t>Annual</w:t>
            </w:r>
          </w:p>
        </w:tc>
        <w:tc>
          <w:tcPr>
            <w:tcW w:w="1533" w:type="dxa"/>
            <w:vAlign w:val="center"/>
          </w:tcPr>
          <w:p w:rsidR="007D24CE" w:rsidRPr="002479D6" w:rsidRDefault="007D24CE" w:rsidP="0091055A">
            <w:pPr>
              <w:jc w:val="right"/>
              <w:rPr>
                <w:color w:val="000000"/>
                <w:sz w:val="22"/>
                <w:szCs w:val="22"/>
                <w:highlight w:val="yellow"/>
              </w:rPr>
            </w:pPr>
            <w:r w:rsidRPr="002479D6">
              <w:rPr>
                <w:color w:val="000000"/>
                <w:sz w:val="22"/>
                <w:szCs w:val="22"/>
                <w:highlight w:val="yellow"/>
              </w:rPr>
              <w:t>3</w:t>
            </w:r>
          </w:p>
        </w:tc>
        <w:tc>
          <w:tcPr>
            <w:tcW w:w="1525" w:type="dxa"/>
            <w:vAlign w:val="center"/>
          </w:tcPr>
          <w:p w:rsidR="007D24CE" w:rsidRPr="002479D6" w:rsidRDefault="00983D5D" w:rsidP="0091055A">
            <w:pPr>
              <w:jc w:val="right"/>
              <w:rPr>
                <w:color w:val="000000"/>
                <w:sz w:val="22"/>
                <w:szCs w:val="22"/>
                <w:highlight w:val="yellow"/>
              </w:rPr>
            </w:pPr>
            <w:r w:rsidRPr="002479D6">
              <w:rPr>
                <w:color w:val="000000"/>
                <w:sz w:val="22"/>
                <w:szCs w:val="22"/>
                <w:highlight w:val="yellow"/>
              </w:rPr>
              <w:t>1</w:t>
            </w:r>
          </w:p>
        </w:tc>
        <w:tc>
          <w:tcPr>
            <w:tcW w:w="1505" w:type="dxa"/>
            <w:vAlign w:val="center"/>
          </w:tcPr>
          <w:p w:rsidR="007D24CE" w:rsidRPr="002479D6" w:rsidRDefault="00983D5D" w:rsidP="0091055A">
            <w:pPr>
              <w:jc w:val="right"/>
              <w:rPr>
                <w:color w:val="000000"/>
                <w:sz w:val="22"/>
                <w:szCs w:val="22"/>
                <w:highlight w:val="yellow"/>
              </w:rPr>
            </w:pPr>
            <w:r w:rsidRPr="002479D6">
              <w:rPr>
                <w:color w:val="000000"/>
                <w:sz w:val="22"/>
                <w:szCs w:val="22"/>
                <w:highlight w:val="yellow"/>
              </w:rPr>
              <w:t>5</w:t>
            </w:r>
          </w:p>
        </w:tc>
        <w:tc>
          <w:tcPr>
            <w:tcW w:w="1491" w:type="dxa"/>
            <w:vAlign w:val="center"/>
          </w:tcPr>
          <w:p w:rsidR="007D24CE" w:rsidRPr="002479D6" w:rsidRDefault="001818F6" w:rsidP="0091055A">
            <w:pPr>
              <w:jc w:val="right"/>
              <w:rPr>
                <w:rStyle w:val="CommentReference"/>
                <w:sz w:val="22"/>
                <w:szCs w:val="22"/>
                <w:highlight w:val="yellow"/>
              </w:rPr>
            </w:pPr>
            <w:r>
              <w:rPr>
                <w:rStyle w:val="CommentReference"/>
                <w:sz w:val="22"/>
                <w:szCs w:val="22"/>
                <w:highlight w:val="yellow"/>
              </w:rPr>
              <w:t>15</w:t>
            </w:r>
          </w:p>
        </w:tc>
      </w:tr>
      <w:tr w:rsidR="00C13B08" w:rsidRPr="002479D6" w:rsidTr="007A2607">
        <w:tc>
          <w:tcPr>
            <w:tcW w:w="1534" w:type="dxa"/>
            <w:vAlign w:val="center"/>
          </w:tcPr>
          <w:p w:rsidR="00C13B08" w:rsidRPr="002479D6" w:rsidRDefault="00C13B08" w:rsidP="00534114">
            <w:pPr>
              <w:rPr>
                <w:color w:val="000000"/>
                <w:sz w:val="20"/>
                <w:szCs w:val="20"/>
                <w:highlight w:val="yellow"/>
              </w:rPr>
            </w:pPr>
            <w:r>
              <w:rPr>
                <w:color w:val="000000"/>
                <w:sz w:val="20"/>
                <w:szCs w:val="20"/>
                <w:highlight w:val="yellow"/>
              </w:rPr>
              <w:t>Freely Associated States</w:t>
            </w:r>
          </w:p>
        </w:tc>
        <w:tc>
          <w:tcPr>
            <w:tcW w:w="1726" w:type="dxa"/>
            <w:vAlign w:val="center"/>
          </w:tcPr>
          <w:p w:rsidR="00C13B08" w:rsidRPr="002479D6" w:rsidRDefault="00C13B08" w:rsidP="00983D5D">
            <w:pPr>
              <w:rPr>
                <w:color w:val="000000"/>
                <w:sz w:val="22"/>
                <w:szCs w:val="22"/>
                <w:highlight w:val="yellow"/>
              </w:rPr>
            </w:pPr>
            <w:r>
              <w:rPr>
                <w:color w:val="000000"/>
                <w:sz w:val="22"/>
                <w:szCs w:val="22"/>
                <w:highlight w:val="yellow"/>
              </w:rPr>
              <w:t>One-time Addition of Diseases and Data Elements</w:t>
            </w:r>
          </w:p>
        </w:tc>
        <w:tc>
          <w:tcPr>
            <w:tcW w:w="1533" w:type="dxa"/>
            <w:vAlign w:val="center"/>
          </w:tcPr>
          <w:p w:rsidR="00C13B08" w:rsidRPr="002479D6" w:rsidRDefault="00C13B08" w:rsidP="0091055A">
            <w:pPr>
              <w:jc w:val="right"/>
              <w:rPr>
                <w:color w:val="000000"/>
                <w:sz w:val="22"/>
                <w:szCs w:val="22"/>
                <w:highlight w:val="yellow"/>
              </w:rPr>
            </w:pPr>
            <w:r>
              <w:rPr>
                <w:color w:val="000000"/>
                <w:sz w:val="22"/>
                <w:szCs w:val="22"/>
                <w:highlight w:val="yellow"/>
              </w:rPr>
              <w:t>3</w:t>
            </w:r>
          </w:p>
        </w:tc>
        <w:tc>
          <w:tcPr>
            <w:tcW w:w="1525" w:type="dxa"/>
            <w:vAlign w:val="center"/>
          </w:tcPr>
          <w:p w:rsidR="00C13B08" w:rsidRPr="002479D6" w:rsidRDefault="00C13B08" w:rsidP="0091055A">
            <w:pPr>
              <w:jc w:val="right"/>
              <w:rPr>
                <w:color w:val="000000"/>
                <w:sz w:val="22"/>
                <w:szCs w:val="22"/>
                <w:highlight w:val="yellow"/>
              </w:rPr>
            </w:pPr>
            <w:r>
              <w:rPr>
                <w:color w:val="000000"/>
                <w:sz w:val="22"/>
                <w:szCs w:val="22"/>
                <w:highlight w:val="yellow"/>
              </w:rPr>
              <w:t>1</w:t>
            </w:r>
          </w:p>
        </w:tc>
        <w:tc>
          <w:tcPr>
            <w:tcW w:w="1505" w:type="dxa"/>
            <w:vAlign w:val="center"/>
          </w:tcPr>
          <w:p w:rsidR="00C13B08" w:rsidRDefault="00C13B08" w:rsidP="003B5257">
            <w:pPr>
              <w:jc w:val="right"/>
              <w:rPr>
                <w:color w:val="000000"/>
                <w:sz w:val="22"/>
                <w:szCs w:val="22"/>
                <w:highlight w:val="yellow"/>
              </w:rPr>
            </w:pPr>
            <w:r>
              <w:rPr>
                <w:color w:val="000000"/>
                <w:sz w:val="22"/>
                <w:szCs w:val="22"/>
                <w:highlight w:val="yellow"/>
              </w:rPr>
              <w:t>6</w:t>
            </w:r>
          </w:p>
        </w:tc>
        <w:tc>
          <w:tcPr>
            <w:tcW w:w="1491" w:type="dxa"/>
            <w:vAlign w:val="center"/>
          </w:tcPr>
          <w:p w:rsidR="00C13B08" w:rsidRDefault="00C13B08" w:rsidP="00970ADC">
            <w:pPr>
              <w:jc w:val="right"/>
              <w:rPr>
                <w:color w:val="000000"/>
                <w:sz w:val="22"/>
                <w:szCs w:val="22"/>
                <w:highlight w:val="yellow"/>
              </w:rPr>
            </w:pPr>
            <w:r>
              <w:rPr>
                <w:color w:val="000000"/>
                <w:sz w:val="22"/>
                <w:szCs w:val="22"/>
                <w:highlight w:val="yellow"/>
              </w:rPr>
              <w:t>18</w:t>
            </w:r>
          </w:p>
        </w:tc>
      </w:tr>
      <w:tr w:rsidR="00ED2FB0" w:rsidRPr="002479D6" w:rsidTr="007A2607">
        <w:tc>
          <w:tcPr>
            <w:tcW w:w="1534" w:type="dxa"/>
            <w:vAlign w:val="center"/>
          </w:tcPr>
          <w:p w:rsidR="007A02DF" w:rsidRPr="002479D6" w:rsidRDefault="00DC6252" w:rsidP="00534114">
            <w:pPr>
              <w:rPr>
                <w:color w:val="000000"/>
                <w:sz w:val="20"/>
                <w:szCs w:val="20"/>
                <w:highlight w:val="yellow"/>
              </w:rPr>
            </w:pPr>
            <w:r w:rsidRPr="002479D6">
              <w:rPr>
                <w:color w:val="000000"/>
                <w:sz w:val="20"/>
                <w:szCs w:val="20"/>
                <w:highlight w:val="yellow"/>
              </w:rPr>
              <w:t>Cities</w:t>
            </w:r>
          </w:p>
        </w:tc>
        <w:tc>
          <w:tcPr>
            <w:tcW w:w="1726" w:type="dxa"/>
            <w:vAlign w:val="center"/>
          </w:tcPr>
          <w:p w:rsidR="00ED2FB0" w:rsidRPr="002479D6" w:rsidRDefault="009B7A62" w:rsidP="00983D5D">
            <w:pPr>
              <w:rPr>
                <w:color w:val="000000"/>
                <w:sz w:val="22"/>
                <w:szCs w:val="22"/>
                <w:highlight w:val="yellow"/>
              </w:rPr>
            </w:pPr>
            <w:r w:rsidRPr="002479D6">
              <w:rPr>
                <w:color w:val="000000"/>
                <w:sz w:val="22"/>
                <w:szCs w:val="22"/>
                <w:highlight w:val="yellow"/>
              </w:rPr>
              <w:t>Weekly (Automated)</w:t>
            </w:r>
          </w:p>
        </w:tc>
        <w:tc>
          <w:tcPr>
            <w:tcW w:w="1533" w:type="dxa"/>
            <w:vAlign w:val="center"/>
          </w:tcPr>
          <w:p w:rsidR="00ED2FB0" w:rsidRPr="002479D6" w:rsidRDefault="009B7A62" w:rsidP="0091055A">
            <w:pPr>
              <w:jc w:val="right"/>
              <w:rPr>
                <w:color w:val="000000"/>
                <w:sz w:val="22"/>
                <w:szCs w:val="22"/>
                <w:highlight w:val="yellow"/>
              </w:rPr>
            </w:pPr>
            <w:r w:rsidRPr="002479D6">
              <w:rPr>
                <w:color w:val="000000"/>
                <w:sz w:val="22"/>
                <w:szCs w:val="22"/>
                <w:highlight w:val="yellow"/>
              </w:rPr>
              <w:t>2</w:t>
            </w:r>
          </w:p>
        </w:tc>
        <w:tc>
          <w:tcPr>
            <w:tcW w:w="1525" w:type="dxa"/>
            <w:vAlign w:val="center"/>
          </w:tcPr>
          <w:p w:rsidR="00ED2FB0" w:rsidRPr="002479D6" w:rsidRDefault="005E316F" w:rsidP="0091055A">
            <w:pPr>
              <w:jc w:val="right"/>
              <w:rPr>
                <w:color w:val="000000"/>
                <w:sz w:val="22"/>
                <w:szCs w:val="22"/>
                <w:highlight w:val="yellow"/>
              </w:rPr>
            </w:pPr>
            <w:r w:rsidRPr="002479D6">
              <w:rPr>
                <w:color w:val="000000"/>
                <w:sz w:val="22"/>
                <w:szCs w:val="22"/>
                <w:highlight w:val="yellow"/>
              </w:rPr>
              <w:t>52</w:t>
            </w:r>
          </w:p>
        </w:tc>
        <w:tc>
          <w:tcPr>
            <w:tcW w:w="1505" w:type="dxa"/>
            <w:vAlign w:val="center"/>
          </w:tcPr>
          <w:p w:rsidR="00ED2FB0" w:rsidRPr="002479D6" w:rsidRDefault="003B5257" w:rsidP="003B5257">
            <w:pPr>
              <w:jc w:val="right"/>
              <w:rPr>
                <w:color w:val="000000"/>
                <w:sz w:val="22"/>
                <w:szCs w:val="22"/>
                <w:highlight w:val="yellow"/>
              </w:rPr>
            </w:pPr>
            <w:r>
              <w:rPr>
                <w:color w:val="000000"/>
                <w:sz w:val="22"/>
                <w:szCs w:val="22"/>
                <w:highlight w:val="yellow"/>
              </w:rPr>
              <w:t>2</w:t>
            </w:r>
            <w:r w:rsidR="005E316F" w:rsidRPr="002479D6">
              <w:rPr>
                <w:color w:val="000000"/>
                <w:sz w:val="22"/>
                <w:szCs w:val="22"/>
                <w:highlight w:val="yellow"/>
              </w:rPr>
              <w:t>0/60</w:t>
            </w:r>
          </w:p>
        </w:tc>
        <w:tc>
          <w:tcPr>
            <w:tcW w:w="1491" w:type="dxa"/>
            <w:vAlign w:val="center"/>
          </w:tcPr>
          <w:p w:rsidR="00ED2FB0" w:rsidRPr="002479D6" w:rsidRDefault="00336487" w:rsidP="00970ADC">
            <w:pPr>
              <w:jc w:val="right"/>
              <w:rPr>
                <w:color w:val="000000"/>
                <w:sz w:val="22"/>
                <w:szCs w:val="22"/>
                <w:highlight w:val="yellow"/>
              </w:rPr>
            </w:pPr>
            <w:r>
              <w:rPr>
                <w:color w:val="000000"/>
                <w:sz w:val="22"/>
                <w:szCs w:val="22"/>
                <w:highlight w:val="yellow"/>
              </w:rPr>
              <w:t>35</w:t>
            </w:r>
          </w:p>
        </w:tc>
      </w:tr>
      <w:tr w:rsidR="007A4B90" w:rsidRPr="002479D6" w:rsidTr="007A2607">
        <w:tc>
          <w:tcPr>
            <w:tcW w:w="1534" w:type="dxa"/>
            <w:vAlign w:val="center"/>
          </w:tcPr>
          <w:p w:rsidR="007A02DF" w:rsidRPr="002479D6" w:rsidRDefault="00DC6252" w:rsidP="00534114">
            <w:pPr>
              <w:rPr>
                <w:sz w:val="20"/>
                <w:szCs w:val="20"/>
                <w:highlight w:val="yellow"/>
              </w:rPr>
            </w:pPr>
            <w:r w:rsidRPr="002479D6">
              <w:rPr>
                <w:sz w:val="20"/>
                <w:szCs w:val="20"/>
                <w:highlight w:val="yellow"/>
              </w:rPr>
              <w:t>Cities</w:t>
            </w:r>
          </w:p>
        </w:tc>
        <w:tc>
          <w:tcPr>
            <w:tcW w:w="1726" w:type="dxa"/>
            <w:vAlign w:val="center"/>
          </w:tcPr>
          <w:p w:rsidR="007A4B90" w:rsidRPr="002479D6" w:rsidRDefault="009B7A62" w:rsidP="00983D5D">
            <w:pPr>
              <w:rPr>
                <w:color w:val="000000"/>
                <w:sz w:val="22"/>
                <w:szCs w:val="22"/>
                <w:highlight w:val="yellow"/>
              </w:rPr>
            </w:pPr>
            <w:r w:rsidRPr="002479D6">
              <w:rPr>
                <w:color w:val="000000"/>
                <w:sz w:val="22"/>
                <w:szCs w:val="22"/>
                <w:highlight w:val="yellow"/>
              </w:rPr>
              <w:t>Weekly (Non-automated)</w:t>
            </w:r>
          </w:p>
        </w:tc>
        <w:tc>
          <w:tcPr>
            <w:tcW w:w="1533" w:type="dxa"/>
            <w:vAlign w:val="center"/>
          </w:tcPr>
          <w:p w:rsidR="007A4B90" w:rsidRPr="002479D6" w:rsidRDefault="009B7A62" w:rsidP="0091055A">
            <w:pPr>
              <w:jc w:val="right"/>
              <w:rPr>
                <w:sz w:val="22"/>
                <w:szCs w:val="22"/>
                <w:highlight w:val="yellow"/>
              </w:rPr>
            </w:pPr>
            <w:r w:rsidRPr="002479D6">
              <w:rPr>
                <w:sz w:val="22"/>
                <w:szCs w:val="22"/>
                <w:highlight w:val="yellow"/>
              </w:rPr>
              <w:t>2</w:t>
            </w:r>
          </w:p>
        </w:tc>
        <w:tc>
          <w:tcPr>
            <w:tcW w:w="1525" w:type="dxa"/>
            <w:vAlign w:val="center"/>
          </w:tcPr>
          <w:p w:rsidR="007A4B90" w:rsidRPr="002479D6" w:rsidRDefault="005E316F" w:rsidP="0091055A">
            <w:pPr>
              <w:jc w:val="right"/>
              <w:rPr>
                <w:sz w:val="22"/>
                <w:szCs w:val="22"/>
                <w:highlight w:val="yellow"/>
              </w:rPr>
            </w:pPr>
            <w:r w:rsidRPr="002479D6">
              <w:rPr>
                <w:sz w:val="22"/>
                <w:szCs w:val="22"/>
                <w:highlight w:val="yellow"/>
              </w:rPr>
              <w:t>52</w:t>
            </w:r>
          </w:p>
        </w:tc>
        <w:tc>
          <w:tcPr>
            <w:tcW w:w="1505" w:type="dxa"/>
            <w:vAlign w:val="center"/>
          </w:tcPr>
          <w:p w:rsidR="007A4B90" w:rsidRPr="002479D6" w:rsidRDefault="007D24CE" w:rsidP="0091055A">
            <w:pPr>
              <w:jc w:val="right"/>
              <w:rPr>
                <w:sz w:val="22"/>
                <w:szCs w:val="22"/>
                <w:highlight w:val="yellow"/>
              </w:rPr>
            </w:pPr>
            <w:r w:rsidRPr="002479D6">
              <w:rPr>
                <w:sz w:val="22"/>
                <w:szCs w:val="22"/>
                <w:highlight w:val="yellow"/>
              </w:rPr>
              <w:t>2</w:t>
            </w:r>
          </w:p>
        </w:tc>
        <w:tc>
          <w:tcPr>
            <w:tcW w:w="1491" w:type="dxa"/>
            <w:vAlign w:val="center"/>
          </w:tcPr>
          <w:p w:rsidR="007A4B90" w:rsidRPr="002479D6" w:rsidRDefault="007D24CE" w:rsidP="003E0112">
            <w:pPr>
              <w:jc w:val="right"/>
              <w:rPr>
                <w:sz w:val="22"/>
                <w:szCs w:val="22"/>
                <w:highlight w:val="yellow"/>
              </w:rPr>
            </w:pPr>
            <w:r w:rsidRPr="002479D6">
              <w:rPr>
                <w:sz w:val="22"/>
                <w:szCs w:val="22"/>
                <w:highlight w:val="yellow"/>
              </w:rPr>
              <w:t>208</w:t>
            </w:r>
          </w:p>
        </w:tc>
      </w:tr>
      <w:tr w:rsidR="00B0162A" w:rsidRPr="002479D6" w:rsidTr="007A2607">
        <w:tc>
          <w:tcPr>
            <w:tcW w:w="1534" w:type="dxa"/>
            <w:vAlign w:val="center"/>
          </w:tcPr>
          <w:p w:rsidR="00B0162A" w:rsidRPr="002479D6" w:rsidRDefault="009F5920" w:rsidP="00534114">
            <w:pPr>
              <w:rPr>
                <w:sz w:val="20"/>
                <w:szCs w:val="20"/>
                <w:highlight w:val="yellow"/>
              </w:rPr>
            </w:pPr>
            <w:r w:rsidRPr="002479D6">
              <w:rPr>
                <w:sz w:val="20"/>
                <w:szCs w:val="20"/>
                <w:highlight w:val="yellow"/>
              </w:rPr>
              <w:t>Cities</w:t>
            </w:r>
          </w:p>
        </w:tc>
        <w:tc>
          <w:tcPr>
            <w:tcW w:w="1726" w:type="dxa"/>
            <w:vAlign w:val="center"/>
          </w:tcPr>
          <w:p w:rsidR="00B0162A" w:rsidRPr="002479D6" w:rsidRDefault="009F5920" w:rsidP="0091055A">
            <w:pPr>
              <w:rPr>
                <w:color w:val="000000"/>
                <w:sz w:val="22"/>
                <w:szCs w:val="22"/>
                <w:highlight w:val="yellow"/>
              </w:rPr>
            </w:pPr>
            <w:r w:rsidRPr="002479D6">
              <w:rPr>
                <w:color w:val="000000"/>
                <w:sz w:val="22"/>
                <w:szCs w:val="22"/>
                <w:highlight w:val="yellow"/>
              </w:rPr>
              <w:t>Weekly (NMI</w:t>
            </w:r>
            <w:r w:rsidR="007A2607">
              <w:rPr>
                <w:color w:val="000000"/>
                <w:sz w:val="22"/>
                <w:szCs w:val="22"/>
                <w:highlight w:val="yellow"/>
              </w:rPr>
              <w:t xml:space="preserve"> Implementation</w:t>
            </w:r>
            <w:r w:rsidRPr="002479D6">
              <w:rPr>
                <w:color w:val="000000"/>
                <w:sz w:val="22"/>
                <w:szCs w:val="22"/>
                <w:highlight w:val="yellow"/>
              </w:rPr>
              <w:t>)</w:t>
            </w:r>
          </w:p>
        </w:tc>
        <w:tc>
          <w:tcPr>
            <w:tcW w:w="1533" w:type="dxa"/>
            <w:vAlign w:val="center"/>
          </w:tcPr>
          <w:p w:rsidR="00B0162A" w:rsidRPr="002479D6" w:rsidRDefault="009F5920" w:rsidP="0091055A">
            <w:pPr>
              <w:jc w:val="right"/>
              <w:rPr>
                <w:sz w:val="22"/>
                <w:szCs w:val="22"/>
                <w:highlight w:val="yellow"/>
              </w:rPr>
            </w:pPr>
            <w:r w:rsidRPr="002479D6">
              <w:rPr>
                <w:sz w:val="22"/>
                <w:szCs w:val="22"/>
                <w:highlight w:val="yellow"/>
              </w:rPr>
              <w:t>2</w:t>
            </w:r>
          </w:p>
        </w:tc>
        <w:tc>
          <w:tcPr>
            <w:tcW w:w="1525" w:type="dxa"/>
            <w:vAlign w:val="center"/>
          </w:tcPr>
          <w:p w:rsidR="00B0162A" w:rsidRPr="002479D6" w:rsidRDefault="009F5920" w:rsidP="0091055A">
            <w:pPr>
              <w:jc w:val="right"/>
              <w:rPr>
                <w:sz w:val="22"/>
                <w:szCs w:val="22"/>
                <w:highlight w:val="yellow"/>
              </w:rPr>
            </w:pPr>
            <w:r w:rsidRPr="002479D6">
              <w:rPr>
                <w:sz w:val="22"/>
                <w:szCs w:val="22"/>
                <w:highlight w:val="yellow"/>
              </w:rPr>
              <w:t>52</w:t>
            </w:r>
          </w:p>
        </w:tc>
        <w:tc>
          <w:tcPr>
            <w:tcW w:w="1505" w:type="dxa"/>
            <w:vAlign w:val="center"/>
          </w:tcPr>
          <w:p w:rsidR="00B0162A" w:rsidRPr="002479D6" w:rsidRDefault="009F5920" w:rsidP="0091055A">
            <w:pPr>
              <w:jc w:val="right"/>
              <w:rPr>
                <w:sz w:val="22"/>
                <w:szCs w:val="22"/>
                <w:highlight w:val="yellow"/>
              </w:rPr>
            </w:pPr>
            <w:r w:rsidRPr="002479D6">
              <w:rPr>
                <w:sz w:val="22"/>
                <w:szCs w:val="22"/>
                <w:highlight w:val="yellow"/>
              </w:rPr>
              <w:t>4</w:t>
            </w:r>
          </w:p>
        </w:tc>
        <w:tc>
          <w:tcPr>
            <w:tcW w:w="1491" w:type="dxa"/>
            <w:vAlign w:val="center"/>
          </w:tcPr>
          <w:p w:rsidR="00B0162A" w:rsidRPr="002479D6" w:rsidRDefault="009F5920" w:rsidP="003E0112">
            <w:pPr>
              <w:jc w:val="right"/>
              <w:rPr>
                <w:sz w:val="22"/>
                <w:szCs w:val="22"/>
                <w:highlight w:val="yellow"/>
              </w:rPr>
            </w:pPr>
            <w:r w:rsidRPr="002479D6">
              <w:rPr>
                <w:sz w:val="22"/>
                <w:szCs w:val="22"/>
                <w:highlight w:val="yellow"/>
              </w:rPr>
              <w:t>416</w:t>
            </w:r>
          </w:p>
        </w:tc>
      </w:tr>
      <w:tr w:rsidR="00983D5D" w:rsidRPr="002479D6" w:rsidTr="007A2607">
        <w:tc>
          <w:tcPr>
            <w:tcW w:w="1534" w:type="dxa"/>
            <w:vAlign w:val="center"/>
          </w:tcPr>
          <w:p w:rsidR="00983D5D" w:rsidRPr="002479D6" w:rsidRDefault="00983D5D" w:rsidP="00534114">
            <w:pPr>
              <w:rPr>
                <w:sz w:val="20"/>
                <w:szCs w:val="20"/>
                <w:highlight w:val="yellow"/>
              </w:rPr>
            </w:pPr>
            <w:r w:rsidRPr="002479D6">
              <w:rPr>
                <w:sz w:val="20"/>
                <w:szCs w:val="20"/>
                <w:highlight w:val="yellow"/>
              </w:rPr>
              <w:t>Cities</w:t>
            </w:r>
          </w:p>
        </w:tc>
        <w:tc>
          <w:tcPr>
            <w:tcW w:w="1726" w:type="dxa"/>
            <w:vAlign w:val="center"/>
          </w:tcPr>
          <w:p w:rsidR="00983D5D" w:rsidRPr="002479D6" w:rsidRDefault="00B0162A" w:rsidP="0091055A">
            <w:pPr>
              <w:rPr>
                <w:color w:val="000000"/>
                <w:sz w:val="22"/>
                <w:szCs w:val="22"/>
                <w:highlight w:val="yellow"/>
              </w:rPr>
            </w:pPr>
            <w:r w:rsidRPr="002479D6">
              <w:rPr>
                <w:color w:val="000000"/>
                <w:sz w:val="22"/>
                <w:szCs w:val="22"/>
                <w:highlight w:val="yellow"/>
              </w:rPr>
              <w:t>Annual</w:t>
            </w:r>
          </w:p>
        </w:tc>
        <w:tc>
          <w:tcPr>
            <w:tcW w:w="1533" w:type="dxa"/>
            <w:vAlign w:val="center"/>
          </w:tcPr>
          <w:p w:rsidR="00983D5D" w:rsidRPr="002479D6" w:rsidRDefault="00983D5D" w:rsidP="0091055A">
            <w:pPr>
              <w:jc w:val="right"/>
              <w:rPr>
                <w:sz w:val="22"/>
                <w:szCs w:val="22"/>
                <w:highlight w:val="yellow"/>
              </w:rPr>
            </w:pPr>
            <w:r w:rsidRPr="002479D6">
              <w:rPr>
                <w:sz w:val="22"/>
                <w:szCs w:val="22"/>
                <w:highlight w:val="yellow"/>
              </w:rPr>
              <w:t>2</w:t>
            </w:r>
          </w:p>
        </w:tc>
        <w:tc>
          <w:tcPr>
            <w:tcW w:w="1525" w:type="dxa"/>
            <w:vAlign w:val="center"/>
          </w:tcPr>
          <w:p w:rsidR="00983D5D" w:rsidRPr="002479D6" w:rsidRDefault="00983D5D" w:rsidP="0091055A">
            <w:pPr>
              <w:jc w:val="right"/>
              <w:rPr>
                <w:sz w:val="22"/>
                <w:szCs w:val="22"/>
                <w:highlight w:val="yellow"/>
              </w:rPr>
            </w:pPr>
            <w:r w:rsidRPr="002479D6">
              <w:rPr>
                <w:sz w:val="22"/>
                <w:szCs w:val="22"/>
                <w:highlight w:val="yellow"/>
              </w:rPr>
              <w:t>1</w:t>
            </w:r>
          </w:p>
        </w:tc>
        <w:tc>
          <w:tcPr>
            <w:tcW w:w="1505" w:type="dxa"/>
            <w:vAlign w:val="center"/>
          </w:tcPr>
          <w:p w:rsidR="00983D5D" w:rsidRPr="002479D6" w:rsidRDefault="00983D5D" w:rsidP="0091055A">
            <w:pPr>
              <w:jc w:val="right"/>
              <w:rPr>
                <w:sz w:val="22"/>
                <w:szCs w:val="22"/>
                <w:highlight w:val="yellow"/>
              </w:rPr>
            </w:pPr>
            <w:r w:rsidRPr="002479D6">
              <w:rPr>
                <w:sz w:val="22"/>
                <w:szCs w:val="22"/>
                <w:highlight w:val="yellow"/>
              </w:rPr>
              <w:t>75</w:t>
            </w:r>
          </w:p>
        </w:tc>
        <w:tc>
          <w:tcPr>
            <w:tcW w:w="1491" w:type="dxa"/>
            <w:vAlign w:val="center"/>
          </w:tcPr>
          <w:p w:rsidR="00983D5D" w:rsidRPr="002479D6" w:rsidRDefault="00983D5D" w:rsidP="003E0112">
            <w:pPr>
              <w:jc w:val="right"/>
              <w:rPr>
                <w:sz w:val="22"/>
                <w:szCs w:val="22"/>
                <w:highlight w:val="yellow"/>
              </w:rPr>
            </w:pPr>
            <w:r w:rsidRPr="002479D6">
              <w:rPr>
                <w:sz w:val="22"/>
                <w:szCs w:val="22"/>
                <w:highlight w:val="yellow"/>
              </w:rPr>
              <w:t>150</w:t>
            </w:r>
          </w:p>
        </w:tc>
      </w:tr>
      <w:tr w:rsidR="00A65E62" w:rsidRPr="002479D6" w:rsidTr="00A65E62">
        <w:tc>
          <w:tcPr>
            <w:tcW w:w="1534" w:type="dxa"/>
            <w:vAlign w:val="center"/>
          </w:tcPr>
          <w:p w:rsidR="00A65E62" w:rsidRPr="002479D6" w:rsidRDefault="00A65E62" w:rsidP="00A65E62">
            <w:pPr>
              <w:rPr>
                <w:b/>
                <w:sz w:val="20"/>
                <w:szCs w:val="20"/>
                <w:highlight w:val="yellow"/>
              </w:rPr>
            </w:pPr>
            <w:r>
              <w:rPr>
                <w:rFonts w:cstheme="minorHAnsi"/>
                <w:sz w:val="22"/>
                <w:szCs w:val="22"/>
                <w:highlight w:val="yellow"/>
              </w:rPr>
              <w:t>Cities</w:t>
            </w:r>
          </w:p>
        </w:tc>
        <w:tc>
          <w:tcPr>
            <w:tcW w:w="1726" w:type="dxa"/>
            <w:vAlign w:val="center"/>
          </w:tcPr>
          <w:p w:rsidR="00A65E62" w:rsidRPr="002479D6" w:rsidRDefault="00A65E62" w:rsidP="00A65E62">
            <w:pPr>
              <w:rPr>
                <w:b/>
                <w:color w:val="000000"/>
                <w:sz w:val="20"/>
                <w:szCs w:val="20"/>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533" w:type="dxa"/>
            <w:vAlign w:val="center"/>
          </w:tcPr>
          <w:p w:rsidR="00A65E62" w:rsidRPr="002479D6" w:rsidRDefault="00A65E62" w:rsidP="00A65E62">
            <w:pPr>
              <w:jc w:val="right"/>
              <w:rPr>
                <w:b/>
                <w:sz w:val="20"/>
                <w:szCs w:val="20"/>
                <w:highlight w:val="yellow"/>
              </w:rPr>
            </w:pPr>
            <w:r>
              <w:rPr>
                <w:rFonts w:cstheme="minorHAnsi"/>
                <w:sz w:val="22"/>
                <w:szCs w:val="22"/>
                <w:highlight w:val="yellow"/>
              </w:rPr>
              <w:t>2</w:t>
            </w:r>
          </w:p>
        </w:tc>
        <w:tc>
          <w:tcPr>
            <w:tcW w:w="1525" w:type="dxa"/>
            <w:vAlign w:val="center"/>
          </w:tcPr>
          <w:p w:rsidR="00A65E62" w:rsidRPr="002479D6" w:rsidRDefault="00A65E62" w:rsidP="00A65E62">
            <w:pPr>
              <w:jc w:val="right"/>
              <w:rPr>
                <w:b/>
                <w:sz w:val="20"/>
                <w:szCs w:val="20"/>
                <w:highlight w:val="yellow"/>
              </w:rPr>
            </w:pPr>
            <w:r>
              <w:rPr>
                <w:rFonts w:cstheme="minorHAnsi"/>
                <w:sz w:val="22"/>
                <w:szCs w:val="22"/>
                <w:highlight w:val="yellow"/>
              </w:rPr>
              <w:t>1</w:t>
            </w:r>
          </w:p>
        </w:tc>
        <w:tc>
          <w:tcPr>
            <w:tcW w:w="1505" w:type="dxa"/>
            <w:vAlign w:val="center"/>
          </w:tcPr>
          <w:p w:rsidR="00A65E62" w:rsidRPr="002479D6" w:rsidRDefault="00C13B08" w:rsidP="009725B6">
            <w:pPr>
              <w:jc w:val="right"/>
              <w:rPr>
                <w:b/>
                <w:sz w:val="20"/>
                <w:szCs w:val="20"/>
                <w:highlight w:val="yellow"/>
              </w:rPr>
            </w:pPr>
            <w:r>
              <w:rPr>
                <w:rFonts w:cstheme="minorHAnsi"/>
                <w:sz w:val="22"/>
                <w:szCs w:val="22"/>
                <w:highlight w:val="yellow"/>
              </w:rPr>
              <w:t>20</w:t>
            </w:r>
          </w:p>
        </w:tc>
        <w:tc>
          <w:tcPr>
            <w:tcW w:w="1491" w:type="dxa"/>
            <w:vAlign w:val="center"/>
          </w:tcPr>
          <w:p w:rsidR="00A65E62" w:rsidRDefault="00C13B08" w:rsidP="00B72444">
            <w:pPr>
              <w:jc w:val="right"/>
              <w:rPr>
                <w:b/>
                <w:sz w:val="20"/>
                <w:szCs w:val="20"/>
                <w:highlight w:val="yellow"/>
              </w:rPr>
            </w:pPr>
            <w:r>
              <w:rPr>
                <w:rFonts w:cstheme="minorHAnsi"/>
                <w:sz w:val="22"/>
                <w:szCs w:val="22"/>
                <w:highlight w:val="yellow"/>
              </w:rPr>
              <w:t>40</w:t>
            </w:r>
          </w:p>
        </w:tc>
      </w:tr>
      <w:tr w:rsidR="00ED2FB0" w:rsidRPr="002479D6" w:rsidTr="007A2607">
        <w:tc>
          <w:tcPr>
            <w:tcW w:w="1534" w:type="dxa"/>
          </w:tcPr>
          <w:p w:rsidR="00ED2FB0" w:rsidRPr="002479D6" w:rsidRDefault="00ED2FB0" w:rsidP="0091055A">
            <w:pPr>
              <w:rPr>
                <w:b/>
                <w:color w:val="000000"/>
                <w:sz w:val="20"/>
                <w:szCs w:val="20"/>
                <w:highlight w:val="yellow"/>
              </w:rPr>
            </w:pPr>
            <w:r w:rsidRPr="002479D6">
              <w:rPr>
                <w:b/>
                <w:sz w:val="20"/>
                <w:szCs w:val="20"/>
                <w:highlight w:val="yellow"/>
              </w:rPr>
              <w:t>Total</w:t>
            </w:r>
          </w:p>
        </w:tc>
        <w:tc>
          <w:tcPr>
            <w:tcW w:w="1726" w:type="dxa"/>
          </w:tcPr>
          <w:p w:rsidR="00ED2FB0" w:rsidRPr="002479D6" w:rsidRDefault="00ED2FB0" w:rsidP="0091055A">
            <w:pPr>
              <w:rPr>
                <w:b/>
                <w:color w:val="000000"/>
                <w:sz w:val="20"/>
                <w:szCs w:val="20"/>
                <w:highlight w:val="yellow"/>
              </w:rPr>
            </w:pPr>
          </w:p>
        </w:tc>
        <w:tc>
          <w:tcPr>
            <w:tcW w:w="1533" w:type="dxa"/>
          </w:tcPr>
          <w:p w:rsidR="00ED2FB0" w:rsidRPr="002479D6" w:rsidRDefault="00ED2FB0" w:rsidP="0091055A">
            <w:pPr>
              <w:jc w:val="right"/>
              <w:rPr>
                <w:b/>
                <w:color w:val="000000"/>
                <w:sz w:val="20"/>
                <w:szCs w:val="20"/>
                <w:highlight w:val="yellow"/>
              </w:rPr>
            </w:pPr>
            <w:r w:rsidRPr="002479D6">
              <w:rPr>
                <w:b/>
                <w:sz w:val="20"/>
                <w:szCs w:val="20"/>
                <w:highlight w:val="yellow"/>
              </w:rPr>
              <w:t xml:space="preserve"> </w:t>
            </w:r>
          </w:p>
        </w:tc>
        <w:tc>
          <w:tcPr>
            <w:tcW w:w="1525" w:type="dxa"/>
          </w:tcPr>
          <w:p w:rsidR="00ED2FB0" w:rsidRPr="002479D6" w:rsidRDefault="00ED2FB0" w:rsidP="0091055A">
            <w:pPr>
              <w:jc w:val="right"/>
              <w:rPr>
                <w:b/>
                <w:color w:val="000000"/>
                <w:sz w:val="20"/>
                <w:szCs w:val="20"/>
                <w:highlight w:val="yellow"/>
              </w:rPr>
            </w:pPr>
            <w:r w:rsidRPr="002479D6">
              <w:rPr>
                <w:b/>
                <w:sz w:val="20"/>
                <w:szCs w:val="20"/>
                <w:highlight w:val="yellow"/>
              </w:rPr>
              <w:t xml:space="preserve"> </w:t>
            </w:r>
          </w:p>
        </w:tc>
        <w:tc>
          <w:tcPr>
            <w:tcW w:w="1505" w:type="dxa"/>
          </w:tcPr>
          <w:p w:rsidR="00ED2FB0" w:rsidRPr="002479D6" w:rsidRDefault="00ED2FB0" w:rsidP="0091055A">
            <w:pPr>
              <w:jc w:val="right"/>
              <w:rPr>
                <w:b/>
                <w:color w:val="000000"/>
                <w:sz w:val="20"/>
                <w:szCs w:val="20"/>
                <w:highlight w:val="yellow"/>
              </w:rPr>
            </w:pPr>
            <w:r w:rsidRPr="002479D6">
              <w:rPr>
                <w:b/>
                <w:sz w:val="20"/>
                <w:szCs w:val="20"/>
                <w:highlight w:val="yellow"/>
              </w:rPr>
              <w:t xml:space="preserve"> </w:t>
            </w:r>
          </w:p>
        </w:tc>
        <w:tc>
          <w:tcPr>
            <w:tcW w:w="1491" w:type="dxa"/>
          </w:tcPr>
          <w:p w:rsidR="00ED2FB0" w:rsidRPr="002479D6" w:rsidRDefault="00C13B08" w:rsidP="000C5050">
            <w:pPr>
              <w:jc w:val="right"/>
              <w:rPr>
                <w:b/>
                <w:color w:val="000000"/>
                <w:sz w:val="20"/>
                <w:szCs w:val="20"/>
                <w:highlight w:val="yellow"/>
              </w:rPr>
            </w:pPr>
            <w:r>
              <w:rPr>
                <w:b/>
                <w:color w:val="000000"/>
                <w:sz w:val="20"/>
                <w:szCs w:val="20"/>
                <w:highlight w:val="yellow"/>
              </w:rPr>
              <w:t>19,</w:t>
            </w:r>
            <w:r w:rsidR="000C5050">
              <w:rPr>
                <w:b/>
                <w:color w:val="000000"/>
                <w:sz w:val="20"/>
                <w:szCs w:val="20"/>
                <w:highlight w:val="yellow"/>
              </w:rPr>
              <w:t>338</w:t>
            </w:r>
          </w:p>
        </w:tc>
      </w:tr>
    </w:tbl>
    <w:p w:rsidR="001E1042" w:rsidRPr="002479D6" w:rsidRDefault="001E1042" w:rsidP="00925656">
      <w:pPr>
        <w:spacing w:line="360" w:lineRule="auto"/>
        <w:rPr>
          <w:rFonts w:asciiTheme="minorHAnsi" w:hAnsiTheme="minorHAnsi"/>
          <w:color w:val="000000"/>
          <w:sz w:val="22"/>
          <w:szCs w:val="22"/>
          <w:highlight w:val="yellow"/>
        </w:rPr>
      </w:pPr>
    </w:p>
    <w:p w:rsidR="0015650A" w:rsidRDefault="0015650A" w:rsidP="00925656">
      <w:pPr>
        <w:spacing w:line="360" w:lineRule="auto"/>
        <w:rPr>
          <w:rFonts w:asciiTheme="minorHAnsi" w:hAnsiTheme="minorHAnsi"/>
          <w:color w:val="000000"/>
          <w:sz w:val="22"/>
          <w:szCs w:val="22"/>
          <w:highlight w:val="yellow"/>
        </w:rPr>
      </w:pPr>
    </w:p>
    <w:p w:rsidR="0015650A" w:rsidRDefault="0015650A" w:rsidP="00925656">
      <w:pPr>
        <w:spacing w:line="360" w:lineRule="auto"/>
        <w:rPr>
          <w:rFonts w:asciiTheme="minorHAnsi" w:hAnsiTheme="minorHAnsi"/>
          <w:color w:val="000000"/>
          <w:sz w:val="22"/>
          <w:szCs w:val="22"/>
          <w:highlight w:val="yellow"/>
        </w:rPr>
      </w:pPr>
    </w:p>
    <w:p w:rsidR="00A226D1" w:rsidRDefault="00A226D1" w:rsidP="00925656">
      <w:pPr>
        <w:spacing w:line="360" w:lineRule="auto"/>
        <w:rPr>
          <w:rFonts w:asciiTheme="minorHAnsi" w:hAnsiTheme="minorHAnsi"/>
          <w:color w:val="000000"/>
          <w:sz w:val="22"/>
          <w:szCs w:val="22"/>
          <w:highlight w:val="yellow"/>
        </w:rPr>
      </w:pPr>
    </w:p>
    <w:p w:rsidR="00A226D1" w:rsidRDefault="00A226D1" w:rsidP="00925656">
      <w:pPr>
        <w:spacing w:line="360" w:lineRule="auto"/>
        <w:rPr>
          <w:rFonts w:asciiTheme="minorHAnsi" w:hAnsiTheme="minorHAnsi"/>
          <w:color w:val="000000"/>
          <w:sz w:val="22"/>
          <w:szCs w:val="22"/>
          <w:highlight w:val="yellow"/>
        </w:rPr>
      </w:pPr>
    </w:p>
    <w:p w:rsidR="00A226D1" w:rsidRDefault="00A226D1" w:rsidP="00925656">
      <w:pPr>
        <w:spacing w:line="360" w:lineRule="auto"/>
        <w:rPr>
          <w:rFonts w:asciiTheme="minorHAnsi" w:hAnsiTheme="minorHAnsi"/>
          <w:color w:val="000000"/>
          <w:sz w:val="22"/>
          <w:szCs w:val="22"/>
          <w:highlight w:val="yellow"/>
        </w:rPr>
      </w:pPr>
    </w:p>
    <w:p w:rsidR="00B07C20" w:rsidRPr="002479D6" w:rsidRDefault="001E1338" w:rsidP="00925656">
      <w:pPr>
        <w:spacing w:line="360" w:lineRule="auto"/>
        <w:rPr>
          <w:rFonts w:asciiTheme="minorHAnsi" w:hAnsiTheme="minorHAnsi"/>
          <w:color w:val="000000"/>
          <w:sz w:val="22"/>
          <w:szCs w:val="22"/>
          <w:highlight w:val="yellow"/>
        </w:rPr>
      </w:pPr>
      <w:r w:rsidRPr="002479D6">
        <w:rPr>
          <w:rFonts w:asciiTheme="minorHAnsi" w:hAnsiTheme="minorHAnsi"/>
          <w:color w:val="000000"/>
          <w:sz w:val="22"/>
          <w:szCs w:val="22"/>
          <w:highlight w:val="yellow"/>
        </w:rPr>
        <w:t>A</w:t>
      </w:r>
      <w:r w:rsidR="009135CB" w:rsidRPr="002479D6">
        <w:rPr>
          <w:rFonts w:asciiTheme="minorHAnsi" w:hAnsiTheme="minorHAnsi"/>
          <w:color w:val="000000"/>
          <w:sz w:val="22"/>
          <w:szCs w:val="22"/>
          <w:highlight w:val="yellow"/>
        </w:rPr>
        <w:t>12B. Estimates of Annualized Cost Burden</w:t>
      </w:r>
    </w:p>
    <w:p w:rsidR="00F374AD" w:rsidRPr="002479D6" w:rsidRDefault="00F374AD" w:rsidP="00925656">
      <w:pPr>
        <w:spacing w:line="360" w:lineRule="auto"/>
        <w:rPr>
          <w:rFonts w:asciiTheme="minorHAnsi" w:hAnsiTheme="minorHAnsi"/>
          <w:color w:val="000000"/>
          <w:sz w:val="22"/>
          <w:szCs w:val="22"/>
          <w:highlight w:val="yellow"/>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11"/>
        <w:gridCol w:w="1588"/>
        <w:gridCol w:w="1311"/>
        <w:gridCol w:w="1231"/>
        <w:gridCol w:w="1025"/>
        <w:gridCol w:w="840"/>
        <w:gridCol w:w="793"/>
        <w:gridCol w:w="1231"/>
      </w:tblGrid>
      <w:tr w:rsidR="00756E4E" w:rsidRPr="002479D6" w:rsidTr="00BB2D80">
        <w:trPr>
          <w:jc w:val="center"/>
        </w:trPr>
        <w:tc>
          <w:tcPr>
            <w:tcW w:w="1311" w:type="dxa"/>
          </w:tcPr>
          <w:p w:rsidR="00F374AD" w:rsidRPr="002479D6" w:rsidRDefault="00F374AD" w:rsidP="00F374AD">
            <w:pPr>
              <w:rPr>
                <w:b/>
                <w:color w:val="000000"/>
                <w:sz w:val="20"/>
                <w:szCs w:val="20"/>
                <w:highlight w:val="yellow"/>
              </w:rPr>
            </w:pPr>
            <w:r w:rsidRPr="002479D6">
              <w:rPr>
                <w:b/>
                <w:color w:val="000000"/>
                <w:sz w:val="20"/>
                <w:szCs w:val="20"/>
                <w:highlight w:val="yellow"/>
              </w:rPr>
              <w:t>Type of Respondents</w:t>
            </w:r>
          </w:p>
        </w:tc>
        <w:tc>
          <w:tcPr>
            <w:tcW w:w="1588" w:type="dxa"/>
          </w:tcPr>
          <w:p w:rsidR="00F374AD" w:rsidRPr="002479D6" w:rsidRDefault="00F374AD" w:rsidP="00F374AD">
            <w:pPr>
              <w:rPr>
                <w:b/>
                <w:color w:val="000000"/>
                <w:sz w:val="20"/>
                <w:szCs w:val="20"/>
                <w:highlight w:val="yellow"/>
              </w:rPr>
            </w:pPr>
            <w:r w:rsidRPr="002479D6">
              <w:rPr>
                <w:b/>
                <w:color w:val="000000"/>
                <w:sz w:val="20"/>
                <w:szCs w:val="20"/>
                <w:highlight w:val="yellow"/>
              </w:rPr>
              <w:t>Form Name</w:t>
            </w:r>
          </w:p>
        </w:tc>
        <w:tc>
          <w:tcPr>
            <w:tcW w:w="1311" w:type="dxa"/>
          </w:tcPr>
          <w:p w:rsidR="00F374AD" w:rsidRPr="002479D6" w:rsidRDefault="00F374AD" w:rsidP="00F374AD">
            <w:pPr>
              <w:rPr>
                <w:b/>
                <w:color w:val="000000"/>
                <w:sz w:val="20"/>
                <w:szCs w:val="20"/>
                <w:highlight w:val="yellow"/>
              </w:rPr>
            </w:pPr>
            <w:r w:rsidRPr="002479D6">
              <w:rPr>
                <w:b/>
                <w:sz w:val="20"/>
                <w:szCs w:val="20"/>
                <w:highlight w:val="yellow"/>
              </w:rPr>
              <w:t>Number of Respondents</w:t>
            </w:r>
          </w:p>
        </w:tc>
        <w:tc>
          <w:tcPr>
            <w:tcW w:w="1231" w:type="dxa"/>
          </w:tcPr>
          <w:p w:rsidR="00F374AD" w:rsidRPr="002479D6" w:rsidRDefault="00F374AD" w:rsidP="00F374AD">
            <w:pPr>
              <w:rPr>
                <w:b/>
                <w:color w:val="000000"/>
                <w:sz w:val="20"/>
                <w:szCs w:val="20"/>
                <w:highlight w:val="yellow"/>
              </w:rPr>
            </w:pPr>
            <w:r w:rsidRPr="002479D6">
              <w:rPr>
                <w:b/>
                <w:sz w:val="20"/>
                <w:szCs w:val="20"/>
                <w:highlight w:val="yellow"/>
              </w:rPr>
              <w:t>Number of  Responses per Respondent</w:t>
            </w:r>
          </w:p>
        </w:tc>
        <w:tc>
          <w:tcPr>
            <w:tcW w:w="1025" w:type="dxa"/>
          </w:tcPr>
          <w:p w:rsidR="00F374AD" w:rsidRPr="002479D6" w:rsidRDefault="00F374AD" w:rsidP="00F374AD">
            <w:pPr>
              <w:rPr>
                <w:b/>
                <w:color w:val="000000"/>
                <w:sz w:val="20"/>
                <w:szCs w:val="20"/>
                <w:highlight w:val="yellow"/>
              </w:rPr>
            </w:pPr>
            <w:r w:rsidRPr="002479D6">
              <w:rPr>
                <w:b/>
                <w:sz w:val="20"/>
                <w:szCs w:val="20"/>
                <w:highlight w:val="yellow"/>
              </w:rPr>
              <w:t>Average Burden Per Response  (in hours)</w:t>
            </w:r>
          </w:p>
        </w:tc>
        <w:tc>
          <w:tcPr>
            <w:tcW w:w="840" w:type="dxa"/>
          </w:tcPr>
          <w:p w:rsidR="00F374AD" w:rsidRPr="002479D6" w:rsidRDefault="00F374AD" w:rsidP="00F374AD">
            <w:pPr>
              <w:rPr>
                <w:b/>
                <w:color w:val="000000"/>
                <w:sz w:val="20"/>
                <w:szCs w:val="20"/>
                <w:highlight w:val="yellow"/>
              </w:rPr>
            </w:pPr>
            <w:r w:rsidRPr="002479D6">
              <w:rPr>
                <w:b/>
                <w:sz w:val="20"/>
                <w:szCs w:val="20"/>
                <w:highlight w:val="yellow"/>
              </w:rPr>
              <w:t>Total Burden Hours</w:t>
            </w:r>
          </w:p>
        </w:tc>
        <w:tc>
          <w:tcPr>
            <w:tcW w:w="793" w:type="dxa"/>
          </w:tcPr>
          <w:p w:rsidR="00F374AD" w:rsidRPr="002479D6" w:rsidRDefault="00F374AD" w:rsidP="00F374AD">
            <w:pPr>
              <w:rPr>
                <w:b/>
                <w:color w:val="000000"/>
                <w:sz w:val="20"/>
                <w:szCs w:val="20"/>
                <w:highlight w:val="yellow"/>
              </w:rPr>
            </w:pPr>
            <w:r w:rsidRPr="002479D6">
              <w:rPr>
                <w:b/>
                <w:sz w:val="20"/>
                <w:szCs w:val="20"/>
                <w:highlight w:val="yellow"/>
              </w:rPr>
              <w:t>Hourly Wage Rate</w:t>
            </w:r>
          </w:p>
        </w:tc>
        <w:tc>
          <w:tcPr>
            <w:tcW w:w="1231" w:type="dxa"/>
          </w:tcPr>
          <w:p w:rsidR="00F374AD" w:rsidRPr="002479D6" w:rsidRDefault="00F374AD" w:rsidP="00F374AD">
            <w:pPr>
              <w:rPr>
                <w:b/>
                <w:color w:val="000000"/>
                <w:sz w:val="20"/>
                <w:szCs w:val="20"/>
                <w:highlight w:val="yellow"/>
              </w:rPr>
            </w:pPr>
            <w:r w:rsidRPr="002479D6">
              <w:rPr>
                <w:b/>
                <w:sz w:val="20"/>
                <w:szCs w:val="20"/>
                <w:highlight w:val="yellow"/>
              </w:rPr>
              <w:t xml:space="preserve">Respondent Cost </w:t>
            </w:r>
          </w:p>
        </w:tc>
      </w:tr>
      <w:tr w:rsidR="000661CC" w:rsidRPr="002479D6" w:rsidTr="008038EB">
        <w:trPr>
          <w:jc w:val="center"/>
        </w:trPr>
        <w:tc>
          <w:tcPr>
            <w:tcW w:w="1311" w:type="dxa"/>
          </w:tcPr>
          <w:p w:rsidR="000661CC" w:rsidRPr="002479D6" w:rsidRDefault="000661CC" w:rsidP="000661CC">
            <w:pPr>
              <w:rPr>
                <w:sz w:val="20"/>
                <w:szCs w:val="20"/>
                <w:highlight w:val="yellow"/>
              </w:rPr>
            </w:pPr>
            <w:r w:rsidRPr="002479D6">
              <w:rPr>
                <w:sz w:val="20"/>
                <w:szCs w:val="20"/>
                <w:highlight w:val="yellow"/>
              </w:rPr>
              <w:t>States</w:t>
            </w:r>
          </w:p>
          <w:p w:rsidR="000661CC" w:rsidRPr="002479D6" w:rsidRDefault="000661CC" w:rsidP="000661CC">
            <w:pPr>
              <w:rPr>
                <w:color w:val="000000"/>
                <w:sz w:val="20"/>
                <w:szCs w:val="20"/>
                <w:highlight w:val="yellow"/>
              </w:rPr>
            </w:pPr>
          </w:p>
        </w:tc>
        <w:tc>
          <w:tcPr>
            <w:tcW w:w="1588" w:type="dxa"/>
          </w:tcPr>
          <w:p w:rsidR="000661CC" w:rsidRPr="002479D6" w:rsidRDefault="000661CC" w:rsidP="000661CC">
            <w:pPr>
              <w:rPr>
                <w:color w:val="000000"/>
                <w:sz w:val="20"/>
                <w:szCs w:val="20"/>
                <w:highlight w:val="yellow"/>
              </w:rPr>
            </w:pPr>
            <w:r w:rsidRPr="002479D6">
              <w:rPr>
                <w:color w:val="000000"/>
                <w:sz w:val="20"/>
                <w:szCs w:val="20"/>
                <w:highlight w:val="yellow"/>
              </w:rPr>
              <w:t>Weekly (Automated)</w:t>
            </w:r>
          </w:p>
        </w:tc>
        <w:tc>
          <w:tcPr>
            <w:tcW w:w="1311" w:type="dxa"/>
            <w:vAlign w:val="center"/>
          </w:tcPr>
          <w:p w:rsidR="000661CC" w:rsidRPr="002479D6" w:rsidRDefault="000661CC" w:rsidP="000661CC">
            <w:pPr>
              <w:rPr>
                <w:color w:val="000000"/>
                <w:sz w:val="20"/>
                <w:szCs w:val="20"/>
                <w:highlight w:val="yellow"/>
              </w:rPr>
            </w:pPr>
            <w:r w:rsidRPr="002479D6">
              <w:rPr>
                <w:sz w:val="20"/>
                <w:szCs w:val="20"/>
                <w:highlight w:val="yellow"/>
              </w:rPr>
              <w:t>50</w:t>
            </w:r>
          </w:p>
        </w:tc>
        <w:tc>
          <w:tcPr>
            <w:tcW w:w="1231" w:type="dxa"/>
            <w:vAlign w:val="center"/>
          </w:tcPr>
          <w:p w:rsidR="000661CC" w:rsidRPr="002479D6" w:rsidRDefault="000661CC" w:rsidP="000661CC">
            <w:pPr>
              <w:rPr>
                <w:color w:val="000000"/>
                <w:sz w:val="20"/>
                <w:szCs w:val="20"/>
                <w:highlight w:val="yellow"/>
              </w:rPr>
            </w:pPr>
            <w:r w:rsidRPr="002479D6">
              <w:rPr>
                <w:sz w:val="20"/>
                <w:szCs w:val="20"/>
                <w:highlight w:val="yellow"/>
              </w:rPr>
              <w:t>52</w:t>
            </w:r>
          </w:p>
        </w:tc>
        <w:tc>
          <w:tcPr>
            <w:tcW w:w="1025" w:type="dxa"/>
            <w:vAlign w:val="center"/>
          </w:tcPr>
          <w:p w:rsidR="000661CC" w:rsidRPr="002479D6" w:rsidRDefault="000661CC" w:rsidP="000661CC">
            <w:pPr>
              <w:rPr>
                <w:color w:val="000000"/>
                <w:sz w:val="20"/>
                <w:szCs w:val="20"/>
                <w:highlight w:val="yellow"/>
              </w:rPr>
            </w:pPr>
            <w:r>
              <w:rPr>
                <w:sz w:val="20"/>
                <w:szCs w:val="20"/>
                <w:highlight w:val="yellow"/>
              </w:rPr>
              <w:t>20</w:t>
            </w:r>
            <w:r w:rsidRPr="002479D6">
              <w:rPr>
                <w:sz w:val="20"/>
                <w:szCs w:val="20"/>
                <w:highlight w:val="yellow"/>
              </w:rPr>
              <w:t>/60</w:t>
            </w:r>
          </w:p>
        </w:tc>
        <w:tc>
          <w:tcPr>
            <w:tcW w:w="840" w:type="dxa"/>
            <w:vAlign w:val="center"/>
          </w:tcPr>
          <w:p w:rsidR="000661CC" w:rsidRPr="002479D6" w:rsidRDefault="000661CC" w:rsidP="000661CC">
            <w:pPr>
              <w:rPr>
                <w:color w:val="000000"/>
                <w:sz w:val="20"/>
                <w:szCs w:val="20"/>
                <w:highlight w:val="yellow"/>
              </w:rPr>
            </w:pPr>
            <w:r>
              <w:rPr>
                <w:color w:val="000000"/>
                <w:sz w:val="20"/>
                <w:szCs w:val="20"/>
                <w:highlight w:val="yellow"/>
              </w:rPr>
              <w:t>867</w:t>
            </w:r>
          </w:p>
        </w:tc>
        <w:tc>
          <w:tcPr>
            <w:tcW w:w="793" w:type="dxa"/>
            <w:vAlign w:val="center"/>
          </w:tcPr>
          <w:p w:rsidR="000661CC" w:rsidRPr="002479D6" w:rsidRDefault="00365ECC" w:rsidP="000661CC">
            <w:pPr>
              <w:rPr>
                <w:color w:val="000000"/>
                <w:sz w:val="20"/>
                <w:szCs w:val="20"/>
                <w:highlight w:val="yellow"/>
              </w:rPr>
            </w:pPr>
            <w:r>
              <w:rPr>
                <w:color w:val="000000"/>
                <w:sz w:val="20"/>
                <w:szCs w:val="20"/>
                <w:highlight w:val="yellow"/>
              </w:rPr>
              <w:t>$44.59</w:t>
            </w:r>
          </w:p>
        </w:tc>
        <w:tc>
          <w:tcPr>
            <w:tcW w:w="1231" w:type="dxa"/>
            <w:vAlign w:val="center"/>
          </w:tcPr>
          <w:p w:rsidR="000661CC" w:rsidRPr="000A7B87" w:rsidRDefault="00EE3D29" w:rsidP="00605B6D">
            <w:pPr>
              <w:rPr>
                <w:color w:val="000000"/>
                <w:sz w:val="20"/>
                <w:szCs w:val="20"/>
                <w:highlight w:val="yellow"/>
              </w:rPr>
            </w:pPr>
            <w:r>
              <w:rPr>
                <w:color w:val="000000"/>
                <w:sz w:val="20"/>
                <w:szCs w:val="20"/>
                <w:highlight w:val="yellow"/>
              </w:rPr>
              <w:t>$38</w:t>
            </w:r>
            <w:r w:rsidR="00605B6D">
              <w:rPr>
                <w:color w:val="000000"/>
                <w:sz w:val="20"/>
                <w:szCs w:val="20"/>
                <w:highlight w:val="yellow"/>
              </w:rPr>
              <w:t>,</w:t>
            </w:r>
            <w:r>
              <w:rPr>
                <w:color w:val="000000"/>
                <w:sz w:val="20"/>
                <w:szCs w:val="20"/>
                <w:highlight w:val="yellow"/>
              </w:rPr>
              <w:t>660</w:t>
            </w:r>
          </w:p>
        </w:tc>
      </w:tr>
      <w:tr w:rsidR="000661CC" w:rsidRPr="002479D6" w:rsidTr="008038EB">
        <w:trPr>
          <w:jc w:val="center"/>
        </w:trPr>
        <w:tc>
          <w:tcPr>
            <w:tcW w:w="1311" w:type="dxa"/>
          </w:tcPr>
          <w:p w:rsidR="000661CC" w:rsidRPr="002479D6" w:rsidRDefault="000661CC" w:rsidP="000661CC">
            <w:pPr>
              <w:rPr>
                <w:sz w:val="20"/>
                <w:szCs w:val="20"/>
                <w:highlight w:val="yellow"/>
              </w:rPr>
            </w:pPr>
            <w:r w:rsidRPr="002479D6">
              <w:rPr>
                <w:sz w:val="20"/>
                <w:szCs w:val="20"/>
                <w:highlight w:val="yellow"/>
              </w:rPr>
              <w:t>States</w:t>
            </w:r>
          </w:p>
          <w:p w:rsidR="000661CC" w:rsidRPr="002479D6" w:rsidRDefault="000661CC" w:rsidP="000661CC">
            <w:pPr>
              <w:rPr>
                <w:sz w:val="20"/>
                <w:szCs w:val="20"/>
                <w:highlight w:val="yellow"/>
              </w:rPr>
            </w:pPr>
          </w:p>
        </w:tc>
        <w:tc>
          <w:tcPr>
            <w:tcW w:w="1588" w:type="dxa"/>
          </w:tcPr>
          <w:p w:rsidR="000661CC" w:rsidRPr="002479D6" w:rsidRDefault="000661CC" w:rsidP="000661CC">
            <w:pPr>
              <w:rPr>
                <w:sz w:val="20"/>
                <w:szCs w:val="20"/>
                <w:highlight w:val="yellow"/>
              </w:rPr>
            </w:pPr>
            <w:r w:rsidRPr="002479D6">
              <w:rPr>
                <w:sz w:val="20"/>
                <w:szCs w:val="20"/>
                <w:highlight w:val="yellow"/>
              </w:rPr>
              <w:t>Weekly (Non-automated)</w:t>
            </w:r>
          </w:p>
        </w:tc>
        <w:tc>
          <w:tcPr>
            <w:tcW w:w="1311" w:type="dxa"/>
            <w:vAlign w:val="center"/>
          </w:tcPr>
          <w:p w:rsidR="000661CC" w:rsidRPr="002479D6" w:rsidRDefault="000661CC" w:rsidP="000661CC">
            <w:pPr>
              <w:rPr>
                <w:sz w:val="20"/>
                <w:szCs w:val="20"/>
                <w:highlight w:val="yellow"/>
              </w:rPr>
            </w:pPr>
            <w:r w:rsidRPr="002479D6">
              <w:rPr>
                <w:sz w:val="20"/>
                <w:szCs w:val="20"/>
                <w:highlight w:val="yellow"/>
              </w:rPr>
              <w:t>10</w:t>
            </w:r>
          </w:p>
        </w:tc>
        <w:tc>
          <w:tcPr>
            <w:tcW w:w="1231" w:type="dxa"/>
            <w:vAlign w:val="center"/>
          </w:tcPr>
          <w:p w:rsidR="000661CC" w:rsidRPr="002479D6" w:rsidRDefault="000661CC" w:rsidP="000661CC">
            <w:pPr>
              <w:rPr>
                <w:sz w:val="20"/>
                <w:szCs w:val="20"/>
                <w:highlight w:val="yellow"/>
              </w:rPr>
            </w:pPr>
            <w:r w:rsidRPr="002479D6">
              <w:rPr>
                <w:sz w:val="20"/>
                <w:szCs w:val="20"/>
                <w:highlight w:val="yellow"/>
              </w:rPr>
              <w:t>52</w:t>
            </w:r>
          </w:p>
        </w:tc>
        <w:tc>
          <w:tcPr>
            <w:tcW w:w="1025" w:type="dxa"/>
            <w:vAlign w:val="center"/>
          </w:tcPr>
          <w:p w:rsidR="000661CC" w:rsidRPr="002479D6" w:rsidRDefault="000661CC" w:rsidP="000661CC">
            <w:pPr>
              <w:rPr>
                <w:sz w:val="20"/>
                <w:szCs w:val="20"/>
                <w:highlight w:val="yellow"/>
              </w:rPr>
            </w:pPr>
            <w:r>
              <w:rPr>
                <w:sz w:val="20"/>
                <w:szCs w:val="20"/>
                <w:highlight w:val="yellow"/>
              </w:rPr>
              <w:t>2</w:t>
            </w:r>
          </w:p>
        </w:tc>
        <w:tc>
          <w:tcPr>
            <w:tcW w:w="840" w:type="dxa"/>
            <w:vAlign w:val="center"/>
          </w:tcPr>
          <w:p w:rsidR="000661CC" w:rsidRPr="002479D6" w:rsidRDefault="000661CC" w:rsidP="000661CC">
            <w:pPr>
              <w:rPr>
                <w:sz w:val="20"/>
                <w:szCs w:val="20"/>
                <w:highlight w:val="yellow"/>
              </w:rPr>
            </w:pPr>
            <w:r w:rsidRPr="002479D6">
              <w:rPr>
                <w:sz w:val="20"/>
                <w:szCs w:val="20"/>
                <w:highlight w:val="yellow"/>
              </w:rPr>
              <w:t>1,</w:t>
            </w:r>
            <w:r>
              <w:rPr>
                <w:sz w:val="20"/>
                <w:szCs w:val="20"/>
                <w:highlight w:val="yellow"/>
              </w:rPr>
              <w:t>040</w:t>
            </w:r>
          </w:p>
        </w:tc>
        <w:tc>
          <w:tcPr>
            <w:tcW w:w="793" w:type="dxa"/>
            <w:vAlign w:val="center"/>
          </w:tcPr>
          <w:p w:rsidR="000661CC" w:rsidRPr="002479D6" w:rsidRDefault="00365ECC" w:rsidP="000661CC">
            <w:pPr>
              <w:rPr>
                <w:sz w:val="20"/>
                <w:szCs w:val="20"/>
                <w:highlight w:val="yellow"/>
              </w:rPr>
            </w:pPr>
            <w:r>
              <w:rPr>
                <w:sz w:val="20"/>
                <w:szCs w:val="20"/>
                <w:highlight w:val="yellow"/>
              </w:rPr>
              <w:t>$36.65</w:t>
            </w:r>
          </w:p>
        </w:tc>
        <w:tc>
          <w:tcPr>
            <w:tcW w:w="1231" w:type="dxa"/>
            <w:vAlign w:val="center"/>
          </w:tcPr>
          <w:p w:rsidR="000661CC" w:rsidRPr="000A7B87" w:rsidRDefault="00EE3D29" w:rsidP="000661CC">
            <w:pPr>
              <w:rPr>
                <w:sz w:val="20"/>
                <w:szCs w:val="20"/>
                <w:highlight w:val="yellow"/>
              </w:rPr>
            </w:pPr>
            <w:r>
              <w:rPr>
                <w:sz w:val="20"/>
                <w:szCs w:val="20"/>
                <w:highlight w:val="yellow"/>
              </w:rPr>
              <w:t>$38,116</w:t>
            </w:r>
          </w:p>
        </w:tc>
      </w:tr>
      <w:tr w:rsidR="00365ECC" w:rsidRPr="002479D6" w:rsidTr="008038EB">
        <w:trPr>
          <w:jc w:val="center"/>
        </w:trPr>
        <w:tc>
          <w:tcPr>
            <w:tcW w:w="1311" w:type="dxa"/>
          </w:tcPr>
          <w:p w:rsidR="00365ECC" w:rsidRPr="002479D6" w:rsidRDefault="00365ECC" w:rsidP="00365ECC">
            <w:pPr>
              <w:rPr>
                <w:sz w:val="20"/>
                <w:szCs w:val="20"/>
                <w:highlight w:val="yellow"/>
              </w:rPr>
            </w:pPr>
            <w:r w:rsidRPr="002479D6">
              <w:rPr>
                <w:sz w:val="20"/>
                <w:szCs w:val="20"/>
                <w:highlight w:val="yellow"/>
              </w:rPr>
              <w:t>States</w:t>
            </w:r>
          </w:p>
        </w:tc>
        <w:tc>
          <w:tcPr>
            <w:tcW w:w="1588" w:type="dxa"/>
          </w:tcPr>
          <w:p w:rsidR="00365ECC" w:rsidRPr="002479D6" w:rsidRDefault="00365ECC" w:rsidP="00365ECC">
            <w:pPr>
              <w:rPr>
                <w:sz w:val="20"/>
                <w:szCs w:val="20"/>
                <w:highlight w:val="yellow"/>
              </w:rPr>
            </w:pPr>
            <w:r w:rsidRPr="002479D6">
              <w:rPr>
                <w:sz w:val="20"/>
                <w:szCs w:val="20"/>
                <w:highlight w:val="yellow"/>
              </w:rPr>
              <w:t>Weekly (NMI</w:t>
            </w:r>
            <w:r>
              <w:rPr>
                <w:sz w:val="20"/>
                <w:szCs w:val="20"/>
                <w:highlight w:val="yellow"/>
              </w:rPr>
              <w:t xml:space="preserve"> Implementation</w:t>
            </w:r>
            <w:r w:rsidRPr="002479D6">
              <w:rPr>
                <w:sz w:val="20"/>
                <w:szCs w:val="20"/>
                <w:highlight w:val="yellow"/>
              </w:rPr>
              <w:t>)</w:t>
            </w:r>
          </w:p>
        </w:tc>
        <w:tc>
          <w:tcPr>
            <w:tcW w:w="1311" w:type="dxa"/>
            <w:vAlign w:val="center"/>
          </w:tcPr>
          <w:p w:rsidR="00365ECC" w:rsidRPr="002479D6" w:rsidRDefault="00365ECC" w:rsidP="00365ECC">
            <w:pPr>
              <w:rPr>
                <w:sz w:val="20"/>
                <w:szCs w:val="20"/>
                <w:highlight w:val="yellow"/>
              </w:rPr>
            </w:pPr>
            <w:r w:rsidRPr="002479D6">
              <w:rPr>
                <w:sz w:val="20"/>
                <w:szCs w:val="20"/>
                <w:highlight w:val="yellow"/>
              </w:rPr>
              <w:t>50</w:t>
            </w:r>
          </w:p>
        </w:tc>
        <w:tc>
          <w:tcPr>
            <w:tcW w:w="1231" w:type="dxa"/>
            <w:vAlign w:val="center"/>
          </w:tcPr>
          <w:p w:rsidR="00365ECC" w:rsidRPr="002479D6" w:rsidRDefault="00365ECC" w:rsidP="00365ECC">
            <w:pPr>
              <w:rPr>
                <w:sz w:val="20"/>
                <w:szCs w:val="20"/>
                <w:highlight w:val="yellow"/>
              </w:rPr>
            </w:pPr>
            <w:r w:rsidRPr="002479D6">
              <w:rPr>
                <w:sz w:val="20"/>
                <w:szCs w:val="20"/>
                <w:highlight w:val="yellow"/>
              </w:rPr>
              <w:t>52</w:t>
            </w:r>
          </w:p>
        </w:tc>
        <w:tc>
          <w:tcPr>
            <w:tcW w:w="1025" w:type="dxa"/>
            <w:vAlign w:val="center"/>
          </w:tcPr>
          <w:p w:rsidR="00365ECC" w:rsidRPr="002479D6" w:rsidRDefault="00365ECC" w:rsidP="00365ECC">
            <w:pPr>
              <w:rPr>
                <w:sz w:val="20"/>
                <w:szCs w:val="20"/>
                <w:highlight w:val="yellow"/>
              </w:rPr>
            </w:pPr>
            <w:r w:rsidRPr="002479D6">
              <w:rPr>
                <w:sz w:val="20"/>
                <w:szCs w:val="20"/>
                <w:highlight w:val="yellow"/>
              </w:rPr>
              <w:t>4</w:t>
            </w:r>
          </w:p>
        </w:tc>
        <w:tc>
          <w:tcPr>
            <w:tcW w:w="840" w:type="dxa"/>
            <w:vAlign w:val="center"/>
          </w:tcPr>
          <w:p w:rsidR="00365ECC" w:rsidRPr="002479D6" w:rsidRDefault="00365ECC" w:rsidP="00365ECC">
            <w:pPr>
              <w:rPr>
                <w:sz w:val="20"/>
                <w:szCs w:val="20"/>
                <w:highlight w:val="yellow"/>
              </w:rPr>
            </w:pPr>
            <w:r w:rsidRPr="002479D6">
              <w:rPr>
                <w:sz w:val="20"/>
                <w:szCs w:val="20"/>
                <w:highlight w:val="yellow"/>
              </w:rPr>
              <w:t>10,400</w:t>
            </w:r>
          </w:p>
        </w:tc>
        <w:tc>
          <w:tcPr>
            <w:tcW w:w="793" w:type="dxa"/>
            <w:vAlign w:val="center"/>
          </w:tcPr>
          <w:p w:rsidR="00365ECC" w:rsidRPr="002479D6" w:rsidRDefault="00365ECC" w:rsidP="00365ECC">
            <w:pPr>
              <w:rPr>
                <w:color w:val="000000"/>
                <w:sz w:val="20"/>
                <w:szCs w:val="20"/>
                <w:highlight w:val="yellow"/>
              </w:rPr>
            </w:pPr>
            <w:r>
              <w:rPr>
                <w:color w:val="000000"/>
                <w:sz w:val="20"/>
                <w:szCs w:val="20"/>
                <w:highlight w:val="yellow"/>
              </w:rPr>
              <w:t>$44.59</w:t>
            </w:r>
          </w:p>
        </w:tc>
        <w:tc>
          <w:tcPr>
            <w:tcW w:w="1231" w:type="dxa"/>
            <w:vAlign w:val="center"/>
          </w:tcPr>
          <w:p w:rsidR="00365ECC" w:rsidRPr="000A7B87" w:rsidRDefault="00EE3D29" w:rsidP="00365ECC">
            <w:pPr>
              <w:rPr>
                <w:color w:val="000000"/>
                <w:sz w:val="20"/>
                <w:szCs w:val="20"/>
                <w:highlight w:val="yellow"/>
              </w:rPr>
            </w:pPr>
            <w:r>
              <w:rPr>
                <w:color w:val="000000"/>
                <w:sz w:val="20"/>
                <w:szCs w:val="20"/>
                <w:highlight w:val="yellow"/>
              </w:rPr>
              <w:t>$463,736</w:t>
            </w:r>
          </w:p>
        </w:tc>
      </w:tr>
      <w:tr w:rsidR="00365ECC" w:rsidRPr="002479D6" w:rsidTr="008038EB">
        <w:trPr>
          <w:jc w:val="center"/>
        </w:trPr>
        <w:tc>
          <w:tcPr>
            <w:tcW w:w="1311" w:type="dxa"/>
          </w:tcPr>
          <w:p w:rsidR="00365ECC" w:rsidRPr="002479D6" w:rsidRDefault="00365ECC" w:rsidP="00365ECC">
            <w:pPr>
              <w:rPr>
                <w:sz w:val="20"/>
                <w:szCs w:val="20"/>
                <w:highlight w:val="yellow"/>
              </w:rPr>
            </w:pPr>
            <w:r w:rsidRPr="002479D6">
              <w:rPr>
                <w:sz w:val="20"/>
                <w:szCs w:val="20"/>
                <w:highlight w:val="yellow"/>
              </w:rPr>
              <w:t>States</w:t>
            </w:r>
          </w:p>
        </w:tc>
        <w:tc>
          <w:tcPr>
            <w:tcW w:w="1588" w:type="dxa"/>
          </w:tcPr>
          <w:p w:rsidR="00365ECC" w:rsidRPr="002479D6" w:rsidRDefault="00365ECC" w:rsidP="00365ECC">
            <w:pPr>
              <w:rPr>
                <w:sz w:val="20"/>
                <w:szCs w:val="20"/>
                <w:highlight w:val="yellow"/>
              </w:rPr>
            </w:pPr>
            <w:r w:rsidRPr="002479D6">
              <w:rPr>
                <w:sz w:val="20"/>
                <w:szCs w:val="20"/>
                <w:highlight w:val="yellow"/>
              </w:rPr>
              <w:t>Annual</w:t>
            </w:r>
          </w:p>
        </w:tc>
        <w:tc>
          <w:tcPr>
            <w:tcW w:w="1311" w:type="dxa"/>
            <w:vAlign w:val="center"/>
          </w:tcPr>
          <w:p w:rsidR="00365ECC" w:rsidRPr="002479D6" w:rsidRDefault="00365ECC" w:rsidP="00365ECC">
            <w:pPr>
              <w:rPr>
                <w:sz w:val="20"/>
                <w:szCs w:val="20"/>
                <w:highlight w:val="yellow"/>
              </w:rPr>
            </w:pPr>
            <w:r w:rsidRPr="002479D6">
              <w:rPr>
                <w:sz w:val="20"/>
                <w:szCs w:val="20"/>
                <w:highlight w:val="yellow"/>
              </w:rPr>
              <w:t>50</w:t>
            </w:r>
          </w:p>
        </w:tc>
        <w:tc>
          <w:tcPr>
            <w:tcW w:w="1231" w:type="dxa"/>
            <w:vAlign w:val="center"/>
          </w:tcPr>
          <w:p w:rsidR="00365ECC" w:rsidRPr="002479D6" w:rsidRDefault="00365ECC" w:rsidP="00365ECC">
            <w:pPr>
              <w:rPr>
                <w:sz w:val="20"/>
                <w:szCs w:val="20"/>
                <w:highlight w:val="yellow"/>
              </w:rPr>
            </w:pPr>
            <w:r w:rsidRPr="002479D6">
              <w:rPr>
                <w:sz w:val="20"/>
                <w:szCs w:val="20"/>
                <w:highlight w:val="yellow"/>
              </w:rPr>
              <w:t>1</w:t>
            </w:r>
          </w:p>
        </w:tc>
        <w:tc>
          <w:tcPr>
            <w:tcW w:w="1025" w:type="dxa"/>
            <w:vAlign w:val="center"/>
          </w:tcPr>
          <w:p w:rsidR="00365ECC" w:rsidRPr="002479D6" w:rsidRDefault="00365ECC" w:rsidP="00365ECC">
            <w:pPr>
              <w:rPr>
                <w:sz w:val="20"/>
                <w:szCs w:val="20"/>
                <w:highlight w:val="yellow"/>
              </w:rPr>
            </w:pPr>
            <w:r w:rsidRPr="002479D6">
              <w:rPr>
                <w:sz w:val="20"/>
                <w:szCs w:val="20"/>
                <w:highlight w:val="yellow"/>
              </w:rPr>
              <w:t>75</w:t>
            </w:r>
          </w:p>
        </w:tc>
        <w:tc>
          <w:tcPr>
            <w:tcW w:w="840" w:type="dxa"/>
            <w:vAlign w:val="center"/>
          </w:tcPr>
          <w:p w:rsidR="00365ECC" w:rsidRPr="002479D6" w:rsidRDefault="00365ECC" w:rsidP="00365ECC">
            <w:pPr>
              <w:rPr>
                <w:sz w:val="20"/>
                <w:szCs w:val="20"/>
                <w:highlight w:val="yellow"/>
              </w:rPr>
            </w:pPr>
            <w:r w:rsidRPr="002479D6">
              <w:rPr>
                <w:sz w:val="20"/>
                <w:szCs w:val="20"/>
                <w:highlight w:val="yellow"/>
              </w:rPr>
              <w:t>3,750</w:t>
            </w:r>
          </w:p>
        </w:tc>
        <w:tc>
          <w:tcPr>
            <w:tcW w:w="793" w:type="dxa"/>
            <w:vAlign w:val="center"/>
          </w:tcPr>
          <w:p w:rsidR="00365ECC" w:rsidRPr="002479D6" w:rsidRDefault="00365ECC" w:rsidP="00365ECC">
            <w:pPr>
              <w:rPr>
                <w:color w:val="000000"/>
                <w:sz w:val="20"/>
                <w:szCs w:val="20"/>
                <w:highlight w:val="yellow"/>
              </w:rPr>
            </w:pPr>
            <w:r>
              <w:rPr>
                <w:sz w:val="20"/>
                <w:szCs w:val="20"/>
                <w:highlight w:val="yellow"/>
              </w:rPr>
              <w:t>$36.65</w:t>
            </w:r>
          </w:p>
        </w:tc>
        <w:tc>
          <w:tcPr>
            <w:tcW w:w="1231" w:type="dxa"/>
            <w:vAlign w:val="center"/>
          </w:tcPr>
          <w:p w:rsidR="00365ECC" w:rsidRPr="000A7B87" w:rsidRDefault="00EE3D29" w:rsidP="00365ECC">
            <w:pPr>
              <w:rPr>
                <w:color w:val="000000"/>
                <w:sz w:val="20"/>
                <w:szCs w:val="20"/>
                <w:highlight w:val="yellow"/>
              </w:rPr>
            </w:pPr>
            <w:r>
              <w:rPr>
                <w:color w:val="000000"/>
                <w:sz w:val="20"/>
                <w:szCs w:val="20"/>
                <w:highlight w:val="yellow"/>
              </w:rPr>
              <w:t>$137,438</w:t>
            </w:r>
          </w:p>
        </w:tc>
      </w:tr>
      <w:tr w:rsidR="00365ECC" w:rsidRPr="002479D6" w:rsidTr="008038EB">
        <w:trPr>
          <w:jc w:val="center"/>
        </w:trPr>
        <w:tc>
          <w:tcPr>
            <w:tcW w:w="1311" w:type="dxa"/>
            <w:vAlign w:val="center"/>
          </w:tcPr>
          <w:p w:rsidR="00365ECC" w:rsidRPr="002479D6" w:rsidRDefault="00365ECC" w:rsidP="00365ECC">
            <w:pPr>
              <w:rPr>
                <w:sz w:val="20"/>
                <w:szCs w:val="20"/>
                <w:highlight w:val="yellow"/>
              </w:rPr>
            </w:pPr>
            <w:r w:rsidRPr="005B1493">
              <w:rPr>
                <w:rFonts w:cstheme="minorHAnsi"/>
                <w:sz w:val="22"/>
                <w:szCs w:val="22"/>
                <w:highlight w:val="yellow"/>
              </w:rPr>
              <w:t>States</w:t>
            </w:r>
          </w:p>
        </w:tc>
        <w:tc>
          <w:tcPr>
            <w:tcW w:w="1588" w:type="dxa"/>
            <w:vAlign w:val="center"/>
          </w:tcPr>
          <w:p w:rsidR="00365ECC" w:rsidRPr="002479D6" w:rsidRDefault="00365ECC" w:rsidP="00365ECC">
            <w:pPr>
              <w:rPr>
                <w:sz w:val="20"/>
                <w:szCs w:val="20"/>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311" w:type="dxa"/>
            <w:vAlign w:val="center"/>
          </w:tcPr>
          <w:p w:rsidR="00365ECC" w:rsidRPr="002479D6" w:rsidRDefault="00365ECC" w:rsidP="00365ECC">
            <w:pPr>
              <w:rPr>
                <w:sz w:val="20"/>
                <w:szCs w:val="20"/>
                <w:highlight w:val="yellow"/>
              </w:rPr>
            </w:pPr>
            <w:r w:rsidRPr="00BE6361">
              <w:rPr>
                <w:rFonts w:cstheme="minorHAnsi"/>
                <w:sz w:val="22"/>
                <w:szCs w:val="22"/>
                <w:highlight w:val="yellow"/>
              </w:rPr>
              <w:t>50</w:t>
            </w:r>
          </w:p>
        </w:tc>
        <w:tc>
          <w:tcPr>
            <w:tcW w:w="1231" w:type="dxa"/>
            <w:vAlign w:val="center"/>
          </w:tcPr>
          <w:p w:rsidR="00365ECC" w:rsidRPr="002479D6" w:rsidRDefault="00365ECC" w:rsidP="00365ECC">
            <w:pPr>
              <w:rPr>
                <w:color w:val="000000"/>
                <w:sz w:val="20"/>
                <w:szCs w:val="20"/>
                <w:highlight w:val="yellow"/>
              </w:rPr>
            </w:pPr>
            <w:r>
              <w:rPr>
                <w:rFonts w:cstheme="minorHAnsi"/>
                <w:sz w:val="22"/>
                <w:szCs w:val="22"/>
                <w:highlight w:val="yellow"/>
              </w:rPr>
              <w:t>1</w:t>
            </w:r>
          </w:p>
        </w:tc>
        <w:tc>
          <w:tcPr>
            <w:tcW w:w="1025" w:type="dxa"/>
            <w:vAlign w:val="center"/>
          </w:tcPr>
          <w:p w:rsidR="00365ECC" w:rsidRPr="002479D6" w:rsidRDefault="00690B02" w:rsidP="00365ECC">
            <w:pPr>
              <w:rPr>
                <w:color w:val="000000"/>
                <w:sz w:val="20"/>
                <w:szCs w:val="20"/>
                <w:highlight w:val="yellow"/>
              </w:rPr>
            </w:pPr>
            <w:r>
              <w:rPr>
                <w:rFonts w:cstheme="minorHAnsi"/>
                <w:sz w:val="22"/>
                <w:szCs w:val="22"/>
                <w:highlight w:val="yellow"/>
              </w:rPr>
              <w:t>20</w:t>
            </w:r>
          </w:p>
        </w:tc>
        <w:tc>
          <w:tcPr>
            <w:tcW w:w="840" w:type="dxa"/>
            <w:vAlign w:val="center"/>
          </w:tcPr>
          <w:p w:rsidR="00365ECC" w:rsidRPr="002479D6" w:rsidRDefault="00690B02" w:rsidP="003C1DFC">
            <w:pPr>
              <w:rPr>
                <w:color w:val="000000"/>
                <w:sz w:val="20"/>
                <w:szCs w:val="20"/>
                <w:highlight w:val="yellow"/>
              </w:rPr>
            </w:pPr>
            <w:r>
              <w:rPr>
                <w:rFonts w:cstheme="minorHAnsi"/>
                <w:sz w:val="22"/>
                <w:szCs w:val="22"/>
                <w:highlight w:val="yellow"/>
              </w:rPr>
              <w:t>1,000</w:t>
            </w:r>
          </w:p>
        </w:tc>
        <w:tc>
          <w:tcPr>
            <w:tcW w:w="793" w:type="dxa"/>
            <w:vAlign w:val="center"/>
          </w:tcPr>
          <w:p w:rsidR="00365ECC" w:rsidRPr="002479D6" w:rsidRDefault="00365ECC" w:rsidP="00365ECC">
            <w:pPr>
              <w:rPr>
                <w:color w:val="000000"/>
                <w:sz w:val="20"/>
                <w:szCs w:val="20"/>
                <w:highlight w:val="yellow"/>
              </w:rPr>
            </w:pPr>
            <w:r>
              <w:rPr>
                <w:color w:val="000000"/>
                <w:sz w:val="20"/>
                <w:szCs w:val="20"/>
                <w:highlight w:val="yellow"/>
              </w:rPr>
              <w:t>$44.59</w:t>
            </w:r>
          </w:p>
        </w:tc>
        <w:tc>
          <w:tcPr>
            <w:tcW w:w="1231" w:type="dxa"/>
            <w:vAlign w:val="center"/>
          </w:tcPr>
          <w:p w:rsidR="00365ECC" w:rsidRPr="000A7B87" w:rsidRDefault="00EE3D29" w:rsidP="00060FB8">
            <w:pPr>
              <w:rPr>
                <w:color w:val="000000"/>
                <w:sz w:val="20"/>
                <w:szCs w:val="20"/>
                <w:highlight w:val="yellow"/>
              </w:rPr>
            </w:pPr>
            <w:r>
              <w:rPr>
                <w:color w:val="000000"/>
                <w:sz w:val="20"/>
                <w:szCs w:val="20"/>
                <w:highlight w:val="yellow"/>
              </w:rPr>
              <w:t>$</w:t>
            </w:r>
            <w:r w:rsidR="00060FB8">
              <w:rPr>
                <w:color w:val="000000"/>
                <w:sz w:val="20"/>
                <w:szCs w:val="20"/>
                <w:highlight w:val="yellow"/>
              </w:rPr>
              <w:t>44,590</w:t>
            </w:r>
          </w:p>
        </w:tc>
      </w:tr>
      <w:tr w:rsidR="000C5050" w:rsidRPr="002479D6" w:rsidTr="008038EB">
        <w:trPr>
          <w:jc w:val="center"/>
        </w:trPr>
        <w:tc>
          <w:tcPr>
            <w:tcW w:w="1311" w:type="dxa"/>
          </w:tcPr>
          <w:p w:rsidR="000C5050" w:rsidRPr="002479D6" w:rsidRDefault="000C5050" w:rsidP="00365ECC">
            <w:pPr>
              <w:rPr>
                <w:sz w:val="20"/>
                <w:szCs w:val="20"/>
                <w:highlight w:val="yellow"/>
              </w:rPr>
            </w:pPr>
            <w:r>
              <w:rPr>
                <w:sz w:val="20"/>
                <w:szCs w:val="20"/>
                <w:highlight w:val="yellow"/>
              </w:rPr>
              <w:t>States</w:t>
            </w:r>
          </w:p>
        </w:tc>
        <w:tc>
          <w:tcPr>
            <w:tcW w:w="1588" w:type="dxa"/>
          </w:tcPr>
          <w:p w:rsidR="000C5050" w:rsidRPr="00A226D1" w:rsidRDefault="000C5050" w:rsidP="00DA0CF6">
            <w:pPr>
              <w:rPr>
                <w:sz w:val="20"/>
                <w:szCs w:val="20"/>
                <w:highlight w:val="yellow"/>
              </w:rPr>
            </w:pPr>
            <w:r w:rsidRPr="00A226D1">
              <w:rPr>
                <w:sz w:val="20"/>
                <w:szCs w:val="20"/>
                <w:highlight w:val="yellow"/>
              </w:rPr>
              <w:t xml:space="preserve">One-time SO/GI </w:t>
            </w:r>
            <w:r w:rsidR="00DA0CF6" w:rsidRPr="00A226D1">
              <w:rPr>
                <w:sz w:val="20"/>
                <w:szCs w:val="20"/>
                <w:highlight w:val="yellow"/>
              </w:rPr>
              <w:t>Survey</w:t>
            </w:r>
          </w:p>
        </w:tc>
        <w:tc>
          <w:tcPr>
            <w:tcW w:w="1311" w:type="dxa"/>
            <w:vAlign w:val="center"/>
          </w:tcPr>
          <w:p w:rsidR="000C5050" w:rsidRDefault="000C5050" w:rsidP="00365ECC">
            <w:pPr>
              <w:rPr>
                <w:sz w:val="20"/>
                <w:szCs w:val="20"/>
                <w:highlight w:val="yellow"/>
              </w:rPr>
            </w:pPr>
            <w:r>
              <w:rPr>
                <w:sz w:val="20"/>
                <w:szCs w:val="20"/>
                <w:highlight w:val="yellow"/>
              </w:rPr>
              <w:t>12</w:t>
            </w:r>
          </w:p>
        </w:tc>
        <w:tc>
          <w:tcPr>
            <w:tcW w:w="1231" w:type="dxa"/>
            <w:vAlign w:val="center"/>
          </w:tcPr>
          <w:p w:rsidR="000C5050" w:rsidRPr="002479D6" w:rsidRDefault="000C5050" w:rsidP="00365ECC">
            <w:pPr>
              <w:rPr>
                <w:color w:val="000000"/>
                <w:sz w:val="20"/>
                <w:szCs w:val="20"/>
                <w:highlight w:val="yellow"/>
              </w:rPr>
            </w:pPr>
            <w:r>
              <w:rPr>
                <w:color w:val="000000"/>
                <w:sz w:val="20"/>
                <w:szCs w:val="20"/>
                <w:highlight w:val="yellow"/>
              </w:rPr>
              <w:t>1</w:t>
            </w:r>
          </w:p>
        </w:tc>
        <w:tc>
          <w:tcPr>
            <w:tcW w:w="1025" w:type="dxa"/>
            <w:vAlign w:val="center"/>
          </w:tcPr>
          <w:p w:rsidR="000C5050" w:rsidRPr="002479D6" w:rsidRDefault="000F7917" w:rsidP="00365ECC">
            <w:pPr>
              <w:rPr>
                <w:color w:val="000000"/>
                <w:sz w:val="20"/>
                <w:szCs w:val="20"/>
                <w:highlight w:val="yellow"/>
              </w:rPr>
            </w:pPr>
            <w:r>
              <w:rPr>
                <w:color w:val="000000"/>
                <w:sz w:val="20"/>
                <w:szCs w:val="20"/>
                <w:highlight w:val="yellow"/>
              </w:rPr>
              <w:t>5</w:t>
            </w:r>
            <w:r w:rsidR="000C5050">
              <w:rPr>
                <w:color w:val="000000"/>
                <w:sz w:val="20"/>
                <w:szCs w:val="20"/>
                <w:highlight w:val="yellow"/>
              </w:rPr>
              <w:t>/60</w:t>
            </w:r>
          </w:p>
        </w:tc>
        <w:tc>
          <w:tcPr>
            <w:tcW w:w="840" w:type="dxa"/>
            <w:vAlign w:val="center"/>
          </w:tcPr>
          <w:p w:rsidR="000C5050" w:rsidRDefault="000C5050" w:rsidP="00365ECC">
            <w:pPr>
              <w:rPr>
                <w:color w:val="000000"/>
                <w:sz w:val="20"/>
                <w:szCs w:val="20"/>
                <w:highlight w:val="yellow"/>
              </w:rPr>
            </w:pPr>
            <w:r>
              <w:rPr>
                <w:color w:val="000000"/>
                <w:sz w:val="20"/>
                <w:szCs w:val="20"/>
                <w:highlight w:val="yellow"/>
              </w:rPr>
              <w:t>1</w:t>
            </w:r>
          </w:p>
        </w:tc>
        <w:tc>
          <w:tcPr>
            <w:tcW w:w="793" w:type="dxa"/>
            <w:vAlign w:val="center"/>
          </w:tcPr>
          <w:p w:rsidR="000C5050" w:rsidRDefault="000F7917" w:rsidP="00365ECC">
            <w:pPr>
              <w:rPr>
                <w:color w:val="000000"/>
                <w:sz w:val="20"/>
                <w:szCs w:val="20"/>
                <w:highlight w:val="yellow"/>
              </w:rPr>
            </w:pPr>
            <w:r>
              <w:rPr>
                <w:color w:val="000000"/>
                <w:sz w:val="20"/>
                <w:szCs w:val="20"/>
                <w:highlight w:val="yellow"/>
              </w:rPr>
              <w:t>$36.65</w:t>
            </w:r>
          </w:p>
        </w:tc>
        <w:tc>
          <w:tcPr>
            <w:tcW w:w="1231" w:type="dxa"/>
            <w:vAlign w:val="center"/>
          </w:tcPr>
          <w:p w:rsidR="000C5050" w:rsidRDefault="00D97759" w:rsidP="00060FB8">
            <w:pPr>
              <w:rPr>
                <w:color w:val="000000"/>
                <w:sz w:val="20"/>
                <w:szCs w:val="20"/>
                <w:highlight w:val="yellow"/>
              </w:rPr>
            </w:pPr>
            <w:r>
              <w:rPr>
                <w:color w:val="000000"/>
                <w:sz w:val="20"/>
                <w:szCs w:val="20"/>
                <w:highlight w:val="yellow"/>
              </w:rPr>
              <w:t>$37</w:t>
            </w:r>
          </w:p>
        </w:tc>
      </w:tr>
      <w:tr w:rsidR="00365ECC" w:rsidRPr="002479D6" w:rsidTr="008038EB">
        <w:trPr>
          <w:jc w:val="center"/>
        </w:trPr>
        <w:tc>
          <w:tcPr>
            <w:tcW w:w="1311" w:type="dxa"/>
          </w:tcPr>
          <w:p w:rsidR="00365ECC" w:rsidRPr="002479D6" w:rsidRDefault="00365ECC" w:rsidP="00365ECC">
            <w:pPr>
              <w:rPr>
                <w:sz w:val="20"/>
                <w:szCs w:val="20"/>
                <w:highlight w:val="yellow"/>
              </w:rPr>
            </w:pPr>
            <w:r w:rsidRPr="002479D6">
              <w:rPr>
                <w:sz w:val="20"/>
                <w:szCs w:val="20"/>
                <w:highlight w:val="yellow"/>
              </w:rPr>
              <w:t>Territories</w:t>
            </w:r>
          </w:p>
          <w:p w:rsidR="00365ECC" w:rsidRPr="002479D6" w:rsidRDefault="00365ECC" w:rsidP="00365ECC">
            <w:pPr>
              <w:rPr>
                <w:color w:val="000000"/>
                <w:sz w:val="20"/>
                <w:szCs w:val="20"/>
                <w:highlight w:val="yellow"/>
              </w:rPr>
            </w:pPr>
          </w:p>
        </w:tc>
        <w:tc>
          <w:tcPr>
            <w:tcW w:w="1588" w:type="dxa"/>
          </w:tcPr>
          <w:p w:rsidR="00365ECC" w:rsidRPr="002479D6" w:rsidRDefault="00365ECC" w:rsidP="00365ECC">
            <w:pPr>
              <w:rPr>
                <w:color w:val="000000"/>
                <w:sz w:val="20"/>
                <w:szCs w:val="20"/>
                <w:highlight w:val="yellow"/>
              </w:rPr>
            </w:pPr>
            <w:r w:rsidRPr="002479D6">
              <w:rPr>
                <w:sz w:val="20"/>
                <w:szCs w:val="20"/>
                <w:highlight w:val="yellow"/>
              </w:rPr>
              <w:t>Weekly (Automated)</w:t>
            </w:r>
          </w:p>
        </w:tc>
        <w:tc>
          <w:tcPr>
            <w:tcW w:w="1311" w:type="dxa"/>
            <w:vAlign w:val="center"/>
          </w:tcPr>
          <w:p w:rsidR="00365ECC" w:rsidRPr="002479D6" w:rsidRDefault="00690B02" w:rsidP="00365ECC">
            <w:pPr>
              <w:rPr>
                <w:color w:val="000000"/>
                <w:sz w:val="20"/>
                <w:szCs w:val="20"/>
                <w:highlight w:val="yellow"/>
              </w:rPr>
            </w:pPr>
            <w:r>
              <w:rPr>
                <w:sz w:val="20"/>
                <w:szCs w:val="20"/>
                <w:highlight w:val="yellow"/>
              </w:rPr>
              <w:t>5</w:t>
            </w:r>
          </w:p>
        </w:tc>
        <w:tc>
          <w:tcPr>
            <w:tcW w:w="1231"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52</w:t>
            </w:r>
          </w:p>
        </w:tc>
        <w:tc>
          <w:tcPr>
            <w:tcW w:w="1025"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20/60</w:t>
            </w:r>
          </w:p>
        </w:tc>
        <w:tc>
          <w:tcPr>
            <w:tcW w:w="840" w:type="dxa"/>
            <w:vAlign w:val="center"/>
          </w:tcPr>
          <w:p w:rsidR="00365ECC" w:rsidRPr="002479D6" w:rsidRDefault="00690B02" w:rsidP="00365ECC">
            <w:pPr>
              <w:rPr>
                <w:color w:val="000000"/>
                <w:sz w:val="20"/>
                <w:szCs w:val="20"/>
                <w:highlight w:val="yellow"/>
              </w:rPr>
            </w:pPr>
            <w:r>
              <w:rPr>
                <w:color w:val="000000"/>
                <w:sz w:val="20"/>
                <w:szCs w:val="20"/>
                <w:highlight w:val="yellow"/>
              </w:rPr>
              <w:t>87</w:t>
            </w:r>
          </w:p>
        </w:tc>
        <w:tc>
          <w:tcPr>
            <w:tcW w:w="793" w:type="dxa"/>
            <w:vAlign w:val="center"/>
          </w:tcPr>
          <w:p w:rsidR="00365ECC" w:rsidRPr="002479D6" w:rsidRDefault="00365ECC" w:rsidP="00365ECC">
            <w:pPr>
              <w:rPr>
                <w:color w:val="000000"/>
                <w:sz w:val="20"/>
                <w:szCs w:val="20"/>
                <w:highlight w:val="yellow"/>
              </w:rPr>
            </w:pPr>
            <w:r>
              <w:rPr>
                <w:color w:val="000000"/>
                <w:sz w:val="20"/>
                <w:szCs w:val="20"/>
                <w:highlight w:val="yellow"/>
              </w:rPr>
              <w:t>$44.59</w:t>
            </w:r>
          </w:p>
        </w:tc>
        <w:tc>
          <w:tcPr>
            <w:tcW w:w="1231" w:type="dxa"/>
            <w:vAlign w:val="center"/>
          </w:tcPr>
          <w:p w:rsidR="00365ECC" w:rsidRPr="000A7B87" w:rsidRDefault="00EE3D29" w:rsidP="00060FB8">
            <w:pPr>
              <w:rPr>
                <w:color w:val="000000"/>
                <w:sz w:val="20"/>
                <w:szCs w:val="20"/>
                <w:highlight w:val="yellow"/>
              </w:rPr>
            </w:pPr>
            <w:r>
              <w:rPr>
                <w:color w:val="000000"/>
                <w:sz w:val="20"/>
                <w:szCs w:val="20"/>
                <w:highlight w:val="yellow"/>
              </w:rPr>
              <w:t>$</w:t>
            </w:r>
            <w:r w:rsidR="00060FB8">
              <w:rPr>
                <w:color w:val="000000"/>
                <w:sz w:val="20"/>
                <w:szCs w:val="20"/>
                <w:highlight w:val="yellow"/>
              </w:rPr>
              <w:t>3,879</w:t>
            </w:r>
          </w:p>
        </w:tc>
      </w:tr>
      <w:tr w:rsidR="00365ECC" w:rsidRPr="002479D6" w:rsidTr="008038EB">
        <w:trPr>
          <w:jc w:val="center"/>
        </w:trPr>
        <w:tc>
          <w:tcPr>
            <w:tcW w:w="1311" w:type="dxa"/>
          </w:tcPr>
          <w:p w:rsidR="00365ECC" w:rsidRPr="002479D6" w:rsidRDefault="00365ECC" w:rsidP="00365ECC">
            <w:pPr>
              <w:rPr>
                <w:sz w:val="20"/>
                <w:szCs w:val="20"/>
                <w:highlight w:val="yellow"/>
              </w:rPr>
            </w:pPr>
            <w:r w:rsidRPr="002479D6">
              <w:rPr>
                <w:sz w:val="20"/>
                <w:szCs w:val="20"/>
                <w:highlight w:val="yellow"/>
              </w:rPr>
              <w:t>Territories</w:t>
            </w:r>
          </w:p>
          <w:p w:rsidR="00365ECC" w:rsidRPr="002479D6" w:rsidRDefault="00365ECC" w:rsidP="00365ECC">
            <w:pPr>
              <w:rPr>
                <w:sz w:val="20"/>
                <w:szCs w:val="20"/>
                <w:highlight w:val="yellow"/>
              </w:rPr>
            </w:pPr>
          </w:p>
        </w:tc>
        <w:tc>
          <w:tcPr>
            <w:tcW w:w="1588" w:type="dxa"/>
          </w:tcPr>
          <w:p w:rsidR="00365ECC" w:rsidRPr="002479D6" w:rsidRDefault="00365ECC" w:rsidP="00365ECC">
            <w:pPr>
              <w:rPr>
                <w:sz w:val="20"/>
                <w:szCs w:val="20"/>
                <w:highlight w:val="yellow"/>
              </w:rPr>
            </w:pPr>
            <w:r w:rsidRPr="002479D6">
              <w:rPr>
                <w:sz w:val="20"/>
                <w:szCs w:val="20"/>
                <w:highlight w:val="yellow"/>
              </w:rPr>
              <w:t>Weekly, Quarterly (Non-automated)</w:t>
            </w:r>
          </w:p>
        </w:tc>
        <w:tc>
          <w:tcPr>
            <w:tcW w:w="1311" w:type="dxa"/>
            <w:vAlign w:val="center"/>
          </w:tcPr>
          <w:p w:rsidR="00365ECC" w:rsidRPr="002479D6" w:rsidRDefault="00365ECC" w:rsidP="00365ECC">
            <w:pPr>
              <w:rPr>
                <w:sz w:val="20"/>
                <w:szCs w:val="20"/>
                <w:highlight w:val="yellow"/>
              </w:rPr>
            </w:pPr>
            <w:r>
              <w:rPr>
                <w:sz w:val="20"/>
                <w:szCs w:val="20"/>
                <w:highlight w:val="yellow"/>
              </w:rPr>
              <w:t>5</w:t>
            </w:r>
          </w:p>
        </w:tc>
        <w:tc>
          <w:tcPr>
            <w:tcW w:w="1231" w:type="dxa"/>
            <w:vAlign w:val="center"/>
          </w:tcPr>
          <w:p w:rsidR="00365ECC" w:rsidRPr="002479D6" w:rsidRDefault="00365ECC" w:rsidP="00365ECC">
            <w:pPr>
              <w:rPr>
                <w:sz w:val="20"/>
                <w:szCs w:val="20"/>
                <w:highlight w:val="yellow"/>
              </w:rPr>
            </w:pPr>
            <w:r w:rsidRPr="002479D6">
              <w:rPr>
                <w:sz w:val="20"/>
                <w:szCs w:val="20"/>
                <w:highlight w:val="yellow"/>
              </w:rPr>
              <w:t>56</w:t>
            </w:r>
          </w:p>
        </w:tc>
        <w:tc>
          <w:tcPr>
            <w:tcW w:w="1025" w:type="dxa"/>
            <w:vAlign w:val="center"/>
          </w:tcPr>
          <w:p w:rsidR="00365ECC" w:rsidRPr="002479D6" w:rsidRDefault="00365ECC" w:rsidP="00365ECC">
            <w:pPr>
              <w:rPr>
                <w:sz w:val="20"/>
                <w:szCs w:val="20"/>
                <w:highlight w:val="yellow"/>
              </w:rPr>
            </w:pPr>
            <w:r>
              <w:rPr>
                <w:sz w:val="20"/>
                <w:szCs w:val="20"/>
                <w:highlight w:val="yellow"/>
              </w:rPr>
              <w:t>20</w:t>
            </w:r>
            <w:r w:rsidRPr="002479D6">
              <w:rPr>
                <w:sz w:val="20"/>
                <w:szCs w:val="20"/>
                <w:highlight w:val="yellow"/>
              </w:rPr>
              <w:t>/60</w:t>
            </w:r>
          </w:p>
        </w:tc>
        <w:tc>
          <w:tcPr>
            <w:tcW w:w="840" w:type="dxa"/>
            <w:vAlign w:val="center"/>
          </w:tcPr>
          <w:p w:rsidR="00365ECC" w:rsidRPr="002479D6" w:rsidRDefault="00365ECC" w:rsidP="00365ECC">
            <w:pPr>
              <w:rPr>
                <w:sz w:val="20"/>
                <w:szCs w:val="20"/>
                <w:highlight w:val="yellow"/>
              </w:rPr>
            </w:pPr>
            <w:r>
              <w:rPr>
                <w:sz w:val="20"/>
                <w:szCs w:val="20"/>
                <w:highlight w:val="yellow"/>
              </w:rPr>
              <w:t>93</w:t>
            </w:r>
          </w:p>
        </w:tc>
        <w:tc>
          <w:tcPr>
            <w:tcW w:w="793" w:type="dxa"/>
            <w:vAlign w:val="center"/>
          </w:tcPr>
          <w:p w:rsidR="00365ECC" w:rsidRPr="002479D6" w:rsidRDefault="00365ECC" w:rsidP="00365ECC">
            <w:pPr>
              <w:rPr>
                <w:sz w:val="20"/>
                <w:szCs w:val="20"/>
                <w:highlight w:val="yellow"/>
              </w:rPr>
            </w:pPr>
            <w:r>
              <w:rPr>
                <w:sz w:val="20"/>
                <w:szCs w:val="20"/>
                <w:highlight w:val="yellow"/>
              </w:rPr>
              <w:t>$36.65</w:t>
            </w:r>
          </w:p>
        </w:tc>
        <w:tc>
          <w:tcPr>
            <w:tcW w:w="1231" w:type="dxa"/>
            <w:vAlign w:val="center"/>
          </w:tcPr>
          <w:p w:rsidR="00365ECC" w:rsidRPr="000A7B87" w:rsidRDefault="00EE3D29" w:rsidP="00365ECC">
            <w:pPr>
              <w:rPr>
                <w:sz w:val="20"/>
                <w:szCs w:val="20"/>
                <w:highlight w:val="yellow"/>
              </w:rPr>
            </w:pPr>
            <w:r>
              <w:rPr>
                <w:sz w:val="20"/>
                <w:szCs w:val="20"/>
                <w:highlight w:val="yellow"/>
              </w:rPr>
              <w:t>$3</w:t>
            </w:r>
            <w:r w:rsidR="00605B6D">
              <w:rPr>
                <w:sz w:val="20"/>
                <w:szCs w:val="20"/>
                <w:highlight w:val="yellow"/>
              </w:rPr>
              <w:t>,</w:t>
            </w:r>
            <w:r>
              <w:rPr>
                <w:sz w:val="20"/>
                <w:szCs w:val="20"/>
                <w:highlight w:val="yellow"/>
              </w:rPr>
              <w:t>408</w:t>
            </w:r>
          </w:p>
        </w:tc>
      </w:tr>
      <w:tr w:rsidR="00365ECC" w:rsidRPr="002479D6" w:rsidTr="008038EB">
        <w:trPr>
          <w:jc w:val="center"/>
        </w:trPr>
        <w:tc>
          <w:tcPr>
            <w:tcW w:w="1311" w:type="dxa"/>
          </w:tcPr>
          <w:p w:rsidR="00365ECC" w:rsidRPr="002479D6" w:rsidRDefault="00365ECC" w:rsidP="00365ECC">
            <w:pPr>
              <w:rPr>
                <w:sz w:val="20"/>
                <w:szCs w:val="20"/>
                <w:highlight w:val="yellow"/>
              </w:rPr>
            </w:pPr>
            <w:r w:rsidRPr="002479D6">
              <w:rPr>
                <w:sz w:val="20"/>
                <w:szCs w:val="20"/>
                <w:highlight w:val="yellow"/>
              </w:rPr>
              <w:t>Territories</w:t>
            </w:r>
          </w:p>
        </w:tc>
        <w:tc>
          <w:tcPr>
            <w:tcW w:w="1588" w:type="dxa"/>
          </w:tcPr>
          <w:p w:rsidR="00365ECC" w:rsidRPr="002479D6" w:rsidRDefault="00365ECC" w:rsidP="00365ECC">
            <w:pPr>
              <w:rPr>
                <w:sz w:val="20"/>
                <w:szCs w:val="20"/>
                <w:highlight w:val="yellow"/>
              </w:rPr>
            </w:pPr>
            <w:r w:rsidRPr="002479D6">
              <w:rPr>
                <w:sz w:val="20"/>
                <w:szCs w:val="20"/>
                <w:highlight w:val="yellow"/>
              </w:rPr>
              <w:t>Weekly (NMI</w:t>
            </w:r>
            <w:r>
              <w:rPr>
                <w:sz w:val="20"/>
                <w:szCs w:val="20"/>
                <w:highlight w:val="yellow"/>
              </w:rPr>
              <w:t xml:space="preserve"> Implementation</w:t>
            </w:r>
            <w:r w:rsidRPr="002479D6">
              <w:rPr>
                <w:sz w:val="20"/>
                <w:szCs w:val="20"/>
                <w:highlight w:val="yellow"/>
              </w:rPr>
              <w:t>)</w:t>
            </w:r>
          </w:p>
        </w:tc>
        <w:tc>
          <w:tcPr>
            <w:tcW w:w="1311" w:type="dxa"/>
            <w:vAlign w:val="center"/>
          </w:tcPr>
          <w:p w:rsidR="00365ECC" w:rsidRPr="002479D6" w:rsidRDefault="00365ECC" w:rsidP="00365ECC">
            <w:pPr>
              <w:rPr>
                <w:sz w:val="20"/>
                <w:szCs w:val="20"/>
                <w:highlight w:val="yellow"/>
              </w:rPr>
            </w:pPr>
            <w:r w:rsidRPr="002479D6">
              <w:rPr>
                <w:sz w:val="20"/>
                <w:szCs w:val="20"/>
                <w:highlight w:val="yellow"/>
              </w:rPr>
              <w:t>5</w:t>
            </w:r>
          </w:p>
        </w:tc>
        <w:tc>
          <w:tcPr>
            <w:tcW w:w="1231" w:type="dxa"/>
            <w:vAlign w:val="center"/>
          </w:tcPr>
          <w:p w:rsidR="00365ECC" w:rsidRPr="002479D6" w:rsidRDefault="00365ECC" w:rsidP="00365ECC">
            <w:pPr>
              <w:rPr>
                <w:sz w:val="20"/>
                <w:szCs w:val="20"/>
                <w:highlight w:val="yellow"/>
              </w:rPr>
            </w:pPr>
            <w:r w:rsidRPr="002479D6">
              <w:rPr>
                <w:sz w:val="20"/>
                <w:szCs w:val="20"/>
                <w:highlight w:val="yellow"/>
              </w:rPr>
              <w:t>52</w:t>
            </w:r>
          </w:p>
        </w:tc>
        <w:tc>
          <w:tcPr>
            <w:tcW w:w="1025" w:type="dxa"/>
            <w:vAlign w:val="center"/>
          </w:tcPr>
          <w:p w:rsidR="00365ECC" w:rsidRPr="002479D6" w:rsidRDefault="00365ECC" w:rsidP="00365ECC">
            <w:pPr>
              <w:rPr>
                <w:sz w:val="20"/>
                <w:szCs w:val="20"/>
                <w:highlight w:val="yellow"/>
              </w:rPr>
            </w:pPr>
            <w:r w:rsidRPr="002479D6">
              <w:rPr>
                <w:sz w:val="20"/>
                <w:szCs w:val="20"/>
                <w:highlight w:val="yellow"/>
              </w:rPr>
              <w:t>4</w:t>
            </w:r>
          </w:p>
        </w:tc>
        <w:tc>
          <w:tcPr>
            <w:tcW w:w="840" w:type="dxa"/>
            <w:vAlign w:val="center"/>
          </w:tcPr>
          <w:p w:rsidR="00365ECC" w:rsidRPr="002479D6" w:rsidRDefault="00365ECC" w:rsidP="00365ECC">
            <w:pPr>
              <w:rPr>
                <w:sz w:val="20"/>
                <w:szCs w:val="20"/>
                <w:highlight w:val="yellow"/>
              </w:rPr>
            </w:pPr>
            <w:r w:rsidRPr="002479D6">
              <w:rPr>
                <w:sz w:val="20"/>
                <w:szCs w:val="20"/>
                <w:highlight w:val="yellow"/>
              </w:rPr>
              <w:t>1,040</w:t>
            </w:r>
          </w:p>
        </w:tc>
        <w:tc>
          <w:tcPr>
            <w:tcW w:w="793" w:type="dxa"/>
            <w:vAlign w:val="center"/>
          </w:tcPr>
          <w:p w:rsidR="00365ECC" w:rsidRPr="002479D6" w:rsidRDefault="00365ECC" w:rsidP="00365ECC">
            <w:pPr>
              <w:rPr>
                <w:sz w:val="20"/>
                <w:szCs w:val="20"/>
                <w:highlight w:val="yellow"/>
              </w:rPr>
            </w:pPr>
            <w:r>
              <w:rPr>
                <w:color w:val="000000"/>
                <w:sz w:val="20"/>
                <w:szCs w:val="20"/>
                <w:highlight w:val="yellow"/>
              </w:rPr>
              <w:t>$44.59</w:t>
            </w:r>
          </w:p>
        </w:tc>
        <w:tc>
          <w:tcPr>
            <w:tcW w:w="1231" w:type="dxa"/>
            <w:vAlign w:val="center"/>
          </w:tcPr>
          <w:p w:rsidR="00365ECC" w:rsidRPr="000A7B87" w:rsidRDefault="00EE3D29" w:rsidP="00365ECC">
            <w:pPr>
              <w:rPr>
                <w:sz w:val="20"/>
                <w:szCs w:val="20"/>
                <w:highlight w:val="yellow"/>
              </w:rPr>
            </w:pPr>
            <w:r>
              <w:rPr>
                <w:sz w:val="20"/>
                <w:szCs w:val="20"/>
                <w:highlight w:val="yellow"/>
              </w:rPr>
              <w:t>$46,374</w:t>
            </w:r>
          </w:p>
        </w:tc>
      </w:tr>
      <w:tr w:rsidR="00365ECC" w:rsidRPr="002479D6" w:rsidTr="008038EB">
        <w:trPr>
          <w:jc w:val="center"/>
        </w:trPr>
        <w:tc>
          <w:tcPr>
            <w:tcW w:w="1311" w:type="dxa"/>
          </w:tcPr>
          <w:p w:rsidR="00365ECC" w:rsidRPr="002479D6" w:rsidRDefault="00365ECC" w:rsidP="00365ECC">
            <w:pPr>
              <w:rPr>
                <w:sz w:val="20"/>
                <w:szCs w:val="20"/>
                <w:highlight w:val="yellow"/>
              </w:rPr>
            </w:pPr>
            <w:r w:rsidRPr="002479D6">
              <w:rPr>
                <w:sz w:val="20"/>
                <w:szCs w:val="20"/>
                <w:highlight w:val="yellow"/>
              </w:rPr>
              <w:t>Territories</w:t>
            </w:r>
          </w:p>
        </w:tc>
        <w:tc>
          <w:tcPr>
            <w:tcW w:w="1588" w:type="dxa"/>
          </w:tcPr>
          <w:p w:rsidR="00365ECC" w:rsidRPr="002479D6" w:rsidRDefault="00365ECC" w:rsidP="00365ECC">
            <w:pPr>
              <w:rPr>
                <w:sz w:val="20"/>
                <w:szCs w:val="20"/>
                <w:highlight w:val="yellow"/>
              </w:rPr>
            </w:pPr>
            <w:r w:rsidRPr="002479D6">
              <w:rPr>
                <w:sz w:val="20"/>
                <w:szCs w:val="20"/>
                <w:highlight w:val="yellow"/>
              </w:rPr>
              <w:t>Annual</w:t>
            </w:r>
          </w:p>
        </w:tc>
        <w:tc>
          <w:tcPr>
            <w:tcW w:w="1311" w:type="dxa"/>
            <w:vAlign w:val="center"/>
          </w:tcPr>
          <w:p w:rsidR="00365ECC" w:rsidRPr="002479D6" w:rsidRDefault="00365ECC" w:rsidP="00365ECC">
            <w:pPr>
              <w:rPr>
                <w:sz w:val="20"/>
                <w:szCs w:val="20"/>
                <w:highlight w:val="yellow"/>
              </w:rPr>
            </w:pPr>
            <w:r w:rsidRPr="002479D6">
              <w:rPr>
                <w:sz w:val="20"/>
                <w:szCs w:val="20"/>
                <w:highlight w:val="yellow"/>
              </w:rPr>
              <w:t>5</w:t>
            </w:r>
          </w:p>
        </w:tc>
        <w:tc>
          <w:tcPr>
            <w:tcW w:w="1231" w:type="dxa"/>
            <w:vAlign w:val="center"/>
          </w:tcPr>
          <w:p w:rsidR="00365ECC" w:rsidRPr="002479D6" w:rsidRDefault="00365ECC" w:rsidP="00365ECC">
            <w:pPr>
              <w:rPr>
                <w:sz w:val="20"/>
                <w:szCs w:val="20"/>
                <w:highlight w:val="yellow"/>
              </w:rPr>
            </w:pPr>
            <w:r w:rsidRPr="002479D6">
              <w:rPr>
                <w:sz w:val="20"/>
                <w:szCs w:val="20"/>
                <w:highlight w:val="yellow"/>
              </w:rPr>
              <w:t>1</w:t>
            </w:r>
          </w:p>
        </w:tc>
        <w:tc>
          <w:tcPr>
            <w:tcW w:w="1025" w:type="dxa"/>
            <w:vAlign w:val="center"/>
          </w:tcPr>
          <w:p w:rsidR="00365ECC" w:rsidRPr="002479D6" w:rsidRDefault="00365ECC" w:rsidP="00365ECC">
            <w:pPr>
              <w:rPr>
                <w:sz w:val="20"/>
                <w:szCs w:val="20"/>
                <w:highlight w:val="yellow"/>
              </w:rPr>
            </w:pPr>
            <w:r w:rsidRPr="002479D6">
              <w:rPr>
                <w:sz w:val="20"/>
                <w:szCs w:val="20"/>
                <w:highlight w:val="yellow"/>
              </w:rPr>
              <w:t>5</w:t>
            </w:r>
          </w:p>
        </w:tc>
        <w:tc>
          <w:tcPr>
            <w:tcW w:w="840" w:type="dxa"/>
            <w:vAlign w:val="center"/>
          </w:tcPr>
          <w:p w:rsidR="00365ECC" w:rsidRPr="002479D6" w:rsidRDefault="00365ECC" w:rsidP="00365ECC">
            <w:pPr>
              <w:rPr>
                <w:sz w:val="20"/>
                <w:szCs w:val="20"/>
                <w:highlight w:val="yellow"/>
              </w:rPr>
            </w:pPr>
            <w:r w:rsidRPr="002479D6">
              <w:rPr>
                <w:sz w:val="20"/>
                <w:szCs w:val="20"/>
                <w:highlight w:val="yellow"/>
              </w:rPr>
              <w:t>25</w:t>
            </w:r>
          </w:p>
        </w:tc>
        <w:tc>
          <w:tcPr>
            <w:tcW w:w="793" w:type="dxa"/>
            <w:vAlign w:val="center"/>
          </w:tcPr>
          <w:p w:rsidR="00365ECC" w:rsidRPr="002479D6" w:rsidRDefault="00365ECC" w:rsidP="00365ECC">
            <w:pPr>
              <w:rPr>
                <w:sz w:val="20"/>
                <w:szCs w:val="20"/>
                <w:highlight w:val="yellow"/>
              </w:rPr>
            </w:pPr>
            <w:r>
              <w:rPr>
                <w:sz w:val="20"/>
                <w:szCs w:val="20"/>
                <w:highlight w:val="yellow"/>
              </w:rPr>
              <w:t>$36.65</w:t>
            </w:r>
          </w:p>
        </w:tc>
        <w:tc>
          <w:tcPr>
            <w:tcW w:w="1231" w:type="dxa"/>
            <w:vAlign w:val="center"/>
          </w:tcPr>
          <w:p w:rsidR="00365ECC" w:rsidRPr="000A7B87" w:rsidRDefault="009B4107" w:rsidP="00365ECC">
            <w:pPr>
              <w:rPr>
                <w:sz w:val="20"/>
                <w:szCs w:val="20"/>
                <w:highlight w:val="yellow"/>
              </w:rPr>
            </w:pPr>
            <w:r>
              <w:rPr>
                <w:sz w:val="20"/>
                <w:szCs w:val="20"/>
                <w:highlight w:val="yellow"/>
              </w:rPr>
              <w:t>$916</w:t>
            </w:r>
          </w:p>
        </w:tc>
      </w:tr>
      <w:tr w:rsidR="00365ECC" w:rsidRPr="002479D6" w:rsidTr="008038EB">
        <w:trPr>
          <w:jc w:val="center"/>
        </w:trPr>
        <w:tc>
          <w:tcPr>
            <w:tcW w:w="1311" w:type="dxa"/>
            <w:vAlign w:val="center"/>
          </w:tcPr>
          <w:p w:rsidR="00365ECC" w:rsidRPr="002479D6" w:rsidRDefault="00365ECC" w:rsidP="00365ECC">
            <w:pPr>
              <w:rPr>
                <w:sz w:val="20"/>
                <w:szCs w:val="20"/>
                <w:highlight w:val="yellow"/>
              </w:rPr>
            </w:pPr>
            <w:r>
              <w:rPr>
                <w:rFonts w:cstheme="minorHAnsi"/>
                <w:sz w:val="22"/>
                <w:szCs w:val="22"/>
                <w:highlight w:val="yellow"/>
              </w:rPr>
              <w:t>Territories</w:t>
            </w:r>
          </w:p>
        </w:tc>
        <w:tc>
          <w:tcPr>
            <w:tcW w:w="1588" w:type="dxa"/>
            <w:vAlign w:val="center"/>
          </w:tcPr>
          <w:p w:rsidR="00365ECC" w:rsidRPr="002479D6" w:rsidRDefault="00365ECC" w:rsidP="00365ECC">
            <w:pPr>
              <w:rPr>
                <w:sz w:val="20"/>
                <w:szCs w:val="20"/>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311" w:type="dxa"/>
            <w:vAlign w:val="center"/>
          </w:tcPr>
          <w:p w:rsidR="00365ECC" w:rsidRPr="002479D6" w:rsidRDefault="00690B02" w:rsidP="00365ECC">
            <w:pPr>
              <w:rPr>
                <w:sz w:val="20"/>
                <w:szCs w:val="20"/>
                <w:highlight w:val="yellow"/>
              </w:rPr>
            </w:pPr>
            <w:r>
              <w:rPr>
                <w:rFonts w:cstheme="minorHAnsi"/>
                <w:sz w:val="22"/>
                <w:szCs w:val="22"/>
                <w:highlight w:val="yellow"/>
              </w:rPr>
              <w:t>5</w:t>
            </w:r>
          </w:p>
        </w:tc>
        <w:tc>
          <w:tcPr>
            <w:tcW w:w="1231" w:type="dxa"/>
            <w:vAlign w:val="center"/>
          </w:tcPr>
          <w:p w:rsidR="00365ECC" w:rsidRPr="002479D6" w:rsidRDefault="00365ECC" w:rsidP="00365ECC">
            <w:pPr>
              <w:rPr>
                <w:sz w:val="20"/>
                <w:szCs w:val="20"/>
                <w:highlight w:val="yellow"/>
              </w:rPr>
            </w:pPr>
            <w:r>
              <w:rPr>
                <w:rFonts w:cstheme="minorHAnsi"/>
                <w:sz w:val="22"/>
                <w:szCs w:val="22"/>
                <w:highlight w:val="yellow"/>
              </w:rPr>
              <w:t>1</w:t>
            </w:r>
          </w:p>
        </w:tc>
        <w:tc>
          <w:tcPr>
            <w:tcW w:w="1025" w:type="dxa"/>
            <w:vAlign w:val="center"/>
          </w:tcPr>
          <w:p w:rsidR="00365ECC" w:rsidRDefault="00690B02" w:rsidP="00365ECC">
            <w:pPr>
              <w:rPr>
                <w:sz w:val="20"/>
                <w:szCs w:val="20"/>
                <w:highlight w:val="yellow"/>
              </w:rPr>
            </w:pPr>
            <w:r>
              <w:rPr>
                <w:rFonts w:cstheme="minorHAnsi"/>
                <w:sz w:val="22"/>
                <w:szCs w:val="22"/>
                <w:highlight w:val="yellow"/>
              </w:rPr>
              <w:t>9</w:t>
            </w:r>
          </w:p>
        </w:tc>
        <w:tc>
          <w:tcPr>
            <w:tcW w:w="840" w:type="dxa"/>
            <w:vAlign w:val="center"/>
          </w:tcPr>
          <w:p w:rsidR="00365ECC" w:rsidRDefault="00690B02" w:rsidP="00365ECC">
            <w:pPr>
              <w:rPr>
                <w:sz w:val="20"/>
                <w:szCs w:val="20"/>
                <w:highlight w:val="yellow"/>
              </w:rPr>
            </w:pPr>
            <w:r>
              <w:rPr>
                <w:rFonts w:cstheme="minorHAnsi"/>
                <w:sz w:val="22"/>
                <w:szCs w:val="22"/>
                <w:highlight w:val="yellow"/>
              </w:rPr>
              <w:t>45</w:t>
            </w:r>
          </w:p>
        </w:tc>
        <w:tc>
          <w:tcPr>
            <w:tcW w:w="793" w:type="dxa"/>
            <w:vAlign w:val="center"/>
          </w:tcPr>
          <w:p w:rsidR="00365ECC" w:rsidRPr="002479D6" w:rsidRDefault="00365ECC" w:rsidP="00365ECC">
            <w:pPr>
              <w:rPr>
                <w:sz w:val="20"/>
                <w:szCs w:val="20"/>
                <w:highlight w:val="yellow"/>
              </w:rPr>
            </w:pPr>
            <w:r>
              <w:rPr>
                <w:color w:val="000000"/>
                <w:sz w:val="20"/>
                <w:szCs w:val="20"/>
                <w:highlight w:val="yellow"/>
              </w:rPr>
              <w:t>$44.59</w:t>
            </w:r>
          </w:p>
        </w:tc>
        <w:tc>
          <w:tcPr>
            <w:tcW w:w="1231" w:type="dxa"/>
            <w:vAlign w:val="center"/>
          </w:tcPr>
          <w:p w:rsidR="00365ECC" w:rsidRPr="000A7B87" w:rsidRDefault="00D14872" w:rsidP="00962C65">
            <w:pPr>
              <w:rPr>
                <w:sz w:val="20"/>
                <w:szCs w:val="20"/>
                <w:highlight w:val="yellow"/>
              </w:rPr>
            </w:pPr>
            <w:r>
              <w:rPr>
                <w:sz w:val="20"/>
                <w:szCs w:val="20"/>
                <w:highlight w:val="yellow"/>
              </w:rPr>
              <w:t>$</w:t>
            </w:r>
            <w:r w:rsidR="00962C65">
              <w:rPr>
                <w:sz w:val="20"/>
                <w:szCs w:val="20"/>
                <w:highlight w:val="yellow"/>
              </w:rPr>
              <w:t>2,007</w:t>
            </w:r>
          </w:p>
        </w:tc>
      </w:tr>
      <w:tr w:rsidR="00D061D1" w:rsidRPr="002479D6" w:rsidTr="008038EB">
        <w:trPr>
          <w:jc w:val="center"/>
        </w:trPr>
        <w:tc>
          <w:tcPr>
            <w:tcW w:w="1311" w:type="dxa"/>
          </w:tcPr>
          <w:p w:rsidR="00D061D1" w:rsidRPr="002479D6" w:rsidRDefault="00D061D1" w:rsidP="00365ECC">
            <w:pPr>
              <w:rPr>
                <w:sz w:val="20"/>
                <w:szCs w:val="20"/>
                <w:highlight w:val="yellow"/>
              </w:rPr>
            </w:pPr>
            <w:r>
              <w:rPr>
                <w:sz w:val="20"/>
                <w:szCs w:val="20"/>
                <w:highlight w:val="yellow"/>
              </w:rPr>
              <w:t>Freely Associated States</w:t>
            </w:r>
          </w:p>
        </w:tc>
        <w:tc>
          <w:tcPr>
            <w:tcW w:w="1588" w:type="dxa"/>
          </w:tcPr>
          <w:p w:rsidR="00D061D1" w:rsidRPr="002479D6" w:rsidRDefault="00D061D1" w:rsidP="00365ECC">
            <w:pPr>
              <w:rPr>
                <w:sz w:val="20"/>
                <w:szCs w:val="20"/>
                <w:highlight w:val="yellow"/>
              </w:rPr>
            </w:pPr>
            <w:r>
              <w:rPr>
                <w:sz w:val="20"/>
                <w:szCs w:val="20"/>
                <w:highlight w:val="yellow"/>
              </w:rPr>
              <w:t>Weekly (Automated)</w:t>
            </w:r>
          </w:p>
        </w:tc>
        <w:tc>
          <w:tcPr>
            <w:tcW w:w="1311" w:type="dxa"/>
            <w:vAlign w:val="center"/>
          </w:tcPr>
          <w:p w:rsidR="00D061D1" w:rsidRPr="002479D6" w:rsidRDefault="00D061D1" w:rsidP="00365ECC">
            <w:pPr>
              <w:rPr>
                <w:sz w:val="20"/>
                <w:szCs w:val="20"/>
                <w:highlight w:val="yellow"/>
              </w:rPr>
            </w:pPr>
            <w:r>
              <w:rPr>
                <w:sz w:val="20"/>
                <w:szCs w:val="20"/>
                <w:highlight w:val="yellow"/>
              </w:rPr>
              <w:t>3</w:t>
            </w:r>
          </w:p>
        </w:tc>
        <w:tc>
          <w:tcPr>
            <w:tcW w:w="1231" w:type="dxa"/>
            <w:vAlign w:val="center"/>
          </w:tcPr>
          <w:p w:rsidR="00D061D1" w:rsidRPr="002479D6" w:rsidRDefault="00D061D1" w:rsidP="00365ECC">
            <w:pPr>
              <w:rPr>
                <w:sz w:val="20"/>
                <w:szCs w:val="20"/>
                <w:highlight w:val="yellow"/>
              </w:rPr>
            </w:pPr>
            <w:r>
              <w:rPr>
                <w:sz w:val="20"/>
                <w:szCs w:val="20"/>
                <w:highlight w:val="yellow"/>
              </w:rPr>
              <w:t>52</w:t>
            </w:r>
          </w:p>
        </w:tc>
        <w:tc>
          <w:tcPr>
            <w:tcW w:w="1025" w:type="dxa"/>
            <w:vAlign w:val="center"/>
          </w:tcPr>
          <w:p w:rsidR="00D061D1" w:rsidRDefault="00D061D1" w:rsidP="00365ECC">
            <w:pPr>
              <w:rPr>
                <w:sz w:val="20"/>
                <w:szCs w:val="20"/>
                <w:highlight w:val="yellow"/>
              </w:rPr>
            </w:pPr>
            <w:r>
              <w:rPr>
                <w:sz w:val="20"/>
                <w:szCs w:val="20"/>
                <w:highlight w:val="yellow"/>
              </w:rPr>
              <w:t>20/60</w:t>
            </w:r>
          </w:p>
        </w:tc>
        <w:tc>
          <w:tcPr>
            <w:tcW w:w="840" w:type="dxa"/>
            <w:vAlign w:val="center"/>
          </w:tcPr>
          <w:p w:rsidR="00D061D1" w:rsidRDefault="00D061D1" w:rsidP="00365ECC">
            <w:pPr>
              <w:rPr>
                <w:sz w:val="20"/>
                <w:szCs w:val="20"/>
                <w:highlight w:val="yellow"/>
              </w:rPr>
            </w:pPr>
            <w:r>
              <w:rPr>
                <w:sz w:val="20"/>
                <w:szCs w:val="20"/>
                <w:highlight w:val="yellow"/>
              </w:rPr>
              <w:t>52</w:t>
            </w:r>
          </w:p>
        </w:tc>
        <w:tc>
          <w:tcPr>
            <w:tcW w:w="793" w:type="dxa"/>
            <w:vAlign w:val="center"/>
          </w:tcPr>
          <w:p w:rsidR="00D061D1" w:rsidRDefault="00D061D1" w:rsidP="00365ECC">
            <w:pPr>
              <w:rPr>
                <w:sz w:val="20"/>
                <w:szCs w:val="20"/>
                <w:highlight w:val="yellow"/>
              </w:rPr>
            </w:pPr>
            <w:r>
              <w:rPr>
                <w:sz w:val="20"/>
                <w:szCs w:val="20"/>
                <w:highlight w:val="yellow"/>
              </w:rPr>
              <w:t>$44.59</w:t>
            </w:r>
          </w:p>
        </w:tc>
        <w:tc>
          <w:tcPr>
            <w:tcW w:w="1231" w:type="dxa"/>
            <w:vAlign w:val="center"/>
          </w:tcPr>
          <w:p w:rsidR="00D061D1" w:rsidRDefault="00962C65" w:rsidP="00962C65">
            <w:pPr>
              <w:rPr>
                <w:sz w:val="20"/>
                <w:szCs w:val="20"/>
                <w:highlight w:val="yellow"/>
              </w:rPr>
            </w:pPr>
            <w:r>
              <w:rPr>
                <w:sz w:val="20"/>
                <w:szCs w:val="20"/>
                <w:highlight w:val="yellow"/>
              </w:rPr>
              <w:t>$2,319</w:t>
            </w:r>
          </w:p>
        </w:tc>
      </w:tr>
      <w:tr w:rsidR="00365ECC" w:rsidRPr="002479D6" w:rsidTr="008038EB">
        <w:trPr>
          <w:jc w:val="center"/>
        </w:trPr>
        <w:tc>
          <w:tcPr>
            <w:tcW w:w="1311" w:type="dxa"/>
          </w:tcPr>
          <w:p w:rsidR="00365ECC" w:rsidRPr="002479D6" w:rsidRDefault="00365ECC" w:rsidP="00365ECC">
            <w:pPr>
              <w:rPr>
                <w:sz w:val="20"/>
                <w:szCs w:val="20"/>
                <w:highlight w:val="yellow"/>
              </w:rPr>
            </w:pPr>
            <w:r w:rsidRPr="002479D6">
              <w:rPr>
                <w:sz w:val="20"/>
                <w:szCs w:val="20"/>
                <w:highlight w:val="yellow"/>
              </w:rPr>
              <w:t>Freely Associated States</w:t>
            </w:r>
          </w:p>
        </w:tc>
        <w:tc>
          <w:tcPr>
            <w:tcW w:w="1588" w:type="dxa"/>
          </w:tcPr>
          <w:p w:rsidR="00365ECC" w:rsidRPr="002479D6" w:rsidRDefault="00365ECC" w:rsidP="00365ECC">
            <w:pPr>
              <w:rPr>
                <w:sz w:val="20"/>
                <w:szCs w:val="20"/>
                <w:highlight w:val="yellow"/>
              </w:rPr>
            </w:pPr>
            <w:r w:rsidRPr="002479D6">
              <w:rPr>
                <w:sz w:val="20"/>
                <w:szCs w:val="20"/>
                <w:highlight w:val="yellow"/>
              </w:rPr>
              <w:t>Weekly, Quarterly (Non-automated)</w:t>
            </w:r>
          </w:p>
        </w:tc>
        <w:tc>
          <w:tcPr>
            <w:tcW w:w="1311" w:type="dxa"/>
            <w:vAlign w:val="center"/>
          </w:tcPr>
          <w:p w:rsidR="00365ECC" w:rsidRPr="002479D6" w:rsidRDefault="00365ECC" w:rsidP="00365ECC">
            <w:pPr>
              <w:rPr>
                <w:sz w:val="20"/>
                <w:szCs w:val="20"/>
                <w:highlight w:val="yellow"/>
              </w:rPr>
            </w:pPr>
            <w:r w:rsidRPr="002479D6">
              <w:rPr>
                <w:sz w:val="20"/>
                <w:szCs w:val="20"/>
                <w:highlight w:val="yellow"/>
              </w:rPr>
              <w:t>3</w:t>
            </w:r>
          </w:p>
        </w:tc>
        <w:tc>
          <w:tcPr>
            <w:tcW w:w="1231" w:type="dxa"/>
            <w:vAlign w:val="center"/>
          </w:tcPr>
          <w:p w:rsidR="00365ECC" w:rsidRPr="002479D6" w:rsidRDefault="00365ECC" w:rsidP="00365ECC">
            <w:pPr>
              <w:rPr>
                <w:sz w:val="20"/>
                <w:szCs w:val="20"/>
                <w:highlight w:val="yellow"/>
              </w:rPr>
            </w:pPr>
            <w:r w:rsidRPr="002479D6">
              <w:rPr>
                <w:sz w:val="20"/>
                <w:szCs w:val="20"/>
                <w:highlight w:val="yellow"/>
              </w:rPr>
              <w:t>56</w:t>
            </w:r>
          </w:p>
        </w:tc>
        <w:tc>
          <w:tcPr>
            <w:tcW w:w="1025" w:type="dxa"/>
            <w:vAlign w:val="center"/>
          </w:tcPr>
          <w:p w:rsidR="00365ECC" w:rsidRPr="002479D6" w:rsidRDefault="00365ECC" w:rsidP="00365ECC">
            <w:pPr>
              <w:rPr>
                <w:sz w:val="20"/>
                <w:szCs w:val="20"/>
                <w:highlight w:val="yellow"/>
              </w:rPr>
            </w:pPr>
            <w:r>
              <w:rPr>
                <w:sz w:val="20"/>
                <w:szCs w:val="20"/>
                <w:highlight w:val="yellow"/>
              </w:rPr>
              <w:t>20</w:t>
            </w:r>
            <w:r w:rsidRPr="002479D6">
              <w:rPr>
                <w:sz w:val="20"/>
                <w:szCs w:val="20"/>
                <w:highlight w:val="yellow"/>
              </w:rPr>
              <w:t>/60</w:t>
            </w:r>
          </w:p>
        </w:tc>
        <w:tc>
          <w:tcPr>
            <w:tcW w:w="840" w:type="dxa"/>
            <w:vAlign w:val="center"/>
          </w:tcPr>
          <w:p w:rsidR="00365ECC" w:rsidRPr="002479D6" w:rsidRDefault="00365ECC" w:rsidP="00365ECC">
            <w:pPr>
              <w:rPr>
                <w:sz w:val="20"/>
                <w:szCs w:val="20"/>
                <w:highlight w:val="yellow"/>
              </w:rPr>
            </w:pPr>
            <w:r>
              <w:rPr>
                <w:sz w:val="20"/>
                <w:szCs w:val="20"/>
                <w:highlight w:val="yellow"/>
              </w:rPr>
              <w:t>56</w:t>
            </w:r>
          </w:p>
        </w:tc>
        <w:tc>
          <w:tcPr>
            <w:tcW w:w="793" w:type="dxa"/>
            <w:vAlign w:val="center"/>
          </w:tcPr>
          <w:p w:rsidR="00365ECC" w:rsidRPr="002479D6" w:rsidRDefault="00365ECC" w:rsidP="00365ECC">
            <w:pPr>
              <w:rPr>
                <w:sz w:val="20"/>
                <w:szCs w:val="20"/>
                <w:highlight w:val="yellow"/>
              </w:rPr>
            </w:pPr>
            <w:r>
              <w:rPr>
                <w:sz w:val="20"/>
                <w:szCs w:val="20"/>
                <w:highlight w:val="yellow"/>
              </w:rPr>
              <w:t>$36.65</w:t>
            </w:r>
          </w:p>
        </w:tc>
        <w:tc>
          <w:tcPr>
            <w:tcW w:w="1231" w:type="dxa"/>
            <w:vAlign w:val="center"/>
          </w:tcPr>
          <w:p w:rsidR="00365ECC" w:rsidRPr="000A7B87" w:rsidRDefault="009B4107" w:rsidP="008038EB">
            <w:pPr>
              <w:rPr>
                <w:sz w:val="20"/>
                <w:szCs w:val="20"/>
                <w:highlight w:val="yellow"/>
              </w:rPr>
            </w:pPr>
            <w:r>
              <w:rPr>
                <w:sz w:val="20"/>
                <w:szCs w:val="20"/>
                <w:highlight w:val="yellow"/>
              </w:rPr>
              <w:t>$2,05</w:t>
            </w:r>
            <w:r w:rsidR="008038EB">
              <w:rPr>
                <w:sz w:val="20"/>
                <w:szCs w:val="20"/>
                <w:highlight w:val="yellow"/>
              </w:rPr>
              <w:t>2</w:t>
            </w:r>
          </w:p>
        </w:tc>
      </w:tr>
      <w:tr w:rsidR="00365ECC" w:rsidRPr="002479D6" w:rsidTr="008038EB">
        <w:trPr>
          <w:jc w:val="center"/>
        </w:trPr>
        <w:tc>
          <w:tcPr>
            <w:tcW w:w="1311" w:type="dxa"/>
          </w:tcPr>
          <w:p w:rsidR="00365ECC" w:rsidRPr="002479D6" w:rsidRDefault="00365ECC" w:rsidP="00365ECC">
            <w:pPr>
              <w:rPr>
                <w:sz w:val="20"/>
                <w:szCs w:val="20"/>
                <w:highlight w:val="yellow"/>
              </w:rPr>
            </w:pPr>
            <w:r w:rsidRPr="002479D6">
              <w:rPr>
                <w:sz w:val="20"/>
                <w:szCs w:val="20"/>
                <w:highlight w:val="yellow"/>
              </w:rPr>
              <w:t>Freely Associated States</w:t>
            </w:r>
          </w:p>
        </w:tc>
        <w:tc>
          <w:tcPr>
            <w:tcW w:w="1588" w:type="dxa"/>
          </w:tcPr>
          <w:p w:rsidR="00365ECC" w:rsidRPr="002479D6" w:rsidRDefault="00365ECC" w:rsidP="00365ECC">
            <w:pPr>
              <w:rPr>
                <w:sz w:val="20"/>
                <w:szCs w:val="20"/>
                <w:highlight w:val="yellow"/>
              </w:rPr>
            </w:pPr>
            <w:r w:rsidRPr="002479D6">
              <w:rPr>
                <w:sz w:val="20"/>
                <w:szCs w:val="20"/>
                <w:highlight w:val="yellow"/>
              </w:rPr>
              <w:t>Annual</w:t>
            </w:r>
          </w:p>
        </w:tc>
        <w:tc>
          <w:tcPr>
            <w:tcW w:w="1311" w:type="dxa"/>
            <w:vAlign w:val="center"/>
          </w:tcPr>
          <w:p w:rsidR="00365ECC" w:rsidRPr="002479D6" w:rsidRDefault="00365ECC" w:rsidP="00365ECC">
            <w:pPr>
              <w:rPr>
                <w:sz w:val="20"/>
                <w:szCs w:val="20"/>
                <w:highlight w:val="yellow"/>
              </w:rPr>
            </w:pPr>
            <w:r w:rsidRPr="002479D6">
              <w:rPr>
                <w:sz w:val="20"/>
                <w:szCs w:val="20"/>
                <w:highlight w:val="yellow"/>
              </w:rPr>
              <w:t>3</w:t>
            </w:r>
          </w:p>
        </w:tc>
        <w:tc>
          <w:tcPr>
            <w:tcW w:w="1231" w:type="dxa"/>
            <w:vAlign w:val="center"/>
          </w:tcPr>
          <w:p w:rsidR="00365ECC" w:rsidRPr="002479D6" w:rsidRDefault="00365ECC" w:rsidP="00365ECC">
            <w:pPr>
              <w:rPr>
                <w:sz w:val="20"/>
                <w:szCs w:val="20"/>
                <w:highlight w:val="yellow"/>
              </w:rPr>
            </w:pPr>
            <w:r w:rsidRPr="002479D6">
              <w:rPr>
                <w:sz w:val="20"/>
                <w:szCs w:val="20"/>
                <w:highlight w:val="yellow"/>
              </w:rPr>
              <w:t>1</w:t>
            </w:r>
          </w:p>
        </w:tc>
        <w:tc>
          <w:tcPr>
            <w:tcW w:w="1025" w:type="dxa"/>
            <w:vAlign w:val="center"/>
          </w:tcPr>
          <w:p w:rsidR="00365ECC" w:rsidRPr="002479D6" w:rsidRDefault="00365ECC" w:rsidP="00365ECC">
            <w:pPr>
              <w:rPr>
                <w:sz w:val="20"/>
                <w:szCs w:val="20"/>
                <w:highlight w:val="yellow"/>
              </w:rPr>
            </w:pPr>
            <w:r w:rsidRPr="002479D6">
              <w:rPr>
                <w:sz w:val="20"/>
                <w:szCs w:val="20"/>
                <w:highlight w:val="yellow"/>
              </w:rPr>
              <w:t>5</w:t>
            </w:r>
          </w:p>
        </w:tc>
        <w:tc>
          <w:tcPr>
            <w:tcW w:w="840" w:type="dxa"/>
            <w:vAlign w:val="center"/>
          </w:tcPr>
          <w:p w:rsidR="00365ECC" w:rsidRPr="002479D6" w:rsidRDefault="00365ECC" w:rsidP="00365ECC">
            <w:pPr>
              <w:rPr>
                <w:sz w:val="20"/>
                <w:szCs w:val="20"/>
                <w:highlight w:val="yellow"/>
              </w:rPr>
            </w:pPr>
            <w:r>
              <w:rPr>
                <w:sz w:val="20"/>
                <w:szCs w:val="20"/>
                <w:highlight w:val="yellow"/>
              </w:rPr>
              <w:t>15</w:t>
            </w:r>
          </w:p>
        </w:tc>
        <w:tc>
          <w:tcPr>
            <w:tcW w:w="793" w:type="dxa"/>
            <w:vAlign w:val="center"/>
          </w:tcPr>
          <w:p w:rsidR="00365ECC" w:rsidRPr="002479D6" w:rsidRDefault="00365ECC" w:rsidP="00365ECC">
            <w:pPr>
              <w:rPr>
                <w:sz w:val="20"/>
                <w:szCs w:val="20"/>
                <w:highlight w:val="yellow"/>
              </w:rPr>
            </w:pPr>
            <w:r>
              <w:rPr>
                <w:sz w:val="20"/>
                <w:szCs w:val="20"/>
                <w:highlight w:val="yellow"/>
              </w:rPr>
              <w:t>$36.65</w:t>
            </w:r>
          </w:p>
        </w:tc>
        <w:tc>
          <w:tcPr>
            <w:tcW w:w="1231" w:type="dxa"/>
            <w:vAlign w:val="center"/>
          </w:tcPr>
          <w:p w:rsidR="00365ECC" w:rsidRPr="000A7B87" w:rsidRDefault="008038EB" w:rsidP="00365ECC">
            <w:pPr>
              <w:rPr>
                <w:sz w:val="20"/>
                <w:szCs w:val="20"/>
                <w:highlight w:val="yellow"/>
              </w:rPr>
            </w:pPr>
            <w:r>
              <w:rPr>
                <w:sz w:val="20"/>
                <w:szCs w:val="20"/>
                <w:highlight w:val="yellow"/>
              </w:rPr>
              <w:t>$550</w:t>
            </w:r>
          </w:p>
        </w:tc>
      </w:tr>
      <w:tr w:rsidR="00D061D1" w:rsidRPr="002479D6" w:rsidTr="008038EB">
        <w:trPr>
          <w:jc w:val="center"/>
        </w:trPr>
        <w:tc>
          <w:tcPr>
            <w:tcW w:w="1311" w:type="dxa"/>
          </w:tcPr>
          <w:p w:rsidR="00D061D1" w:rsidRPr="002479D6" w:rsidRDefault="00D061D1" w:rsidP="00365ECC">
            <w:pPr>
              <w:rPr>
                <w:sz w:val="20"/>
                <w:szCs w:val="20"/>
                <w:highlight w:val="yellow"/>
              </w:rPr>
            </w:pPr>
            <w:r>
              <w:rPr>
                <w:sz w:val="20"/>
                <w:szCs w:val="20"/>
                <w:highlight w:val="yellow"/>
              </w:rPr>
              <w:t>Freely Associated States</w:t>
            </w:r>
          </w:p>
        </w:tc>
        <w:tc>
          <w:tcPr>
            <w:tcW w:w="1588" w:type="dxa"/>
          </w:tcPr>
          <w:p w:rsidR="00D061D1" w:rsidRPr="002479D6" w:rsidRDefault="00D061D1" w:rsidP="00365ECC">
            <w:pPr>
              <w:rPr>
                <w:sz w:val="20"/>
                <w:szCs w:val="20"/>
                <w:highlight w:val="yellow"/>
              </w:rPr>
            </w:pPr>
            <w:r>
              <w:rPr>
                <w:sz w:val="20"/>
                <w:szCs w:val="20"/>
                <w:highlight w:val="yellow"/>
              </w:rPr>
              <w:t>One-time Addition of Diseases and Data Elements</w:t>
            </w:r>
          </w:p>
        </w:tc>
        <w:tc>
          <w:tcPr>
            <w:tcW w:w="1311" w:type="dxa"/>
            <w:vAlign w:val="center"/>
          </w:tcPr>
          <w:p w:rsidR="00D061D1" w:rsidRPr="002479D6" w:rsidRDefault="00D061D1" w:rsidP="00365ECC">
            <w:pPr>
              <w:rPr>
                <w:sz w:val="20"/>
                <w:szCs w:val="20"/>
                <w:highlight w:val="yellow"/>
              </w:rPr>
            </w:pPr>
            <w:r>
              <w:rPr>
                <w:sz w:val="20"/>
                <w:szCs w:val="20"/>
                <w:highlight w:val="yellow"/>
              </w:rPr>
              <w:t>3</w:t>
            </w:r>
          </w:p>
        </w:tc>
        <w:tc>
          <w:tcPr>
            <w:tcW w:w="1231" w:type="dxa"/>
            <w:vAlign w:val="center"/>
          </w:tcPr>
          <w:p w:rsidR="00D061D1" w:rsidRPr="002479D6" w:rsidRDefault="00D061D1" w:rsidP="00365ECC">
            <w:pPr>
              <w:rPr>
                <w:color w:val="000000"/>
                <w:sz w:val="20"/>
                <w:szCs w:val="20"/>
                <w:highlight w:val="yellow"/>
              </w:rPr>
            </w:pPr>
            <w:r>
              <w:rPr>
                <w:color w:val="000000"/>
                <w:sz w:val="20"/>
                <w:szCs w:val="20"/>
                <w:highlight w:val="yellow"/>
              </w:rPr>
              <w:t>1</w:t>
            </w:r>
          </w:p>
        </w:tc>
        <w:tc>
          <w:tcPr>
            <w:tcW w:w="1025" w:type="dxa"/>
            <w:vAlign w:val="center"/>
          </w:tcPr>
          <w:p w:rsidR="00D061D1" w:rsidRDefault="00D061D1" w:rsidP="00365ECC">
            <w:pPr>
              <w:rPr>
                <w:color w:val="000000"/>
                <w:sz w:val="20"/>
                <w:szCs w:val="20"/>
                <w:highlight w:val="yellow"/>
              </w:rPr>
            </w:pPr>
            <w:r>
              <w:rPr>
                <w:color w:val="000000"/>
                <w:sz w:val="20"/>
                <w:szCs w:val="20"/>
                <w:highlight w:val="yellow"/>
              </w:rPr>
              <w:t>6</w:t>
            </w:r>
          </w:p>
        </w:tc>
        <w:tc>
          <w:tcPr>
            <w:tcW w:w="840" w:type="dxa"/>
            <w:vAlign w:val="center"/>
          </w:tcPr>
          <w:p w:rsidR="00D061D1" w:rsidRDefault="00D061D1" w:rsidP="00365ECC">
            <w:pPr>
              <w:rPr>
                <w:color w:val="000000"/>
                <w:sz w:val="20"/>
                <w:szCs w:val="20"/>
                <w:highlight w:val="yellow"/>
              </w:rPr>
            </w:pPr>
            <w:r>
              <w:rPr>
                <w:color w:val="000000"/>
                <w:sz w:val="20"/>
                <w:szCs w:val="20"/>
                <w:highlight w:val="yellow"/>
              </w:rPr>
              <w:t>18</w:t>
            </w:r>
          </w:p>
        </w:tc>
        <w:tc>
          <w:tcPr>
            <w:tcW w:w="793" w:type="dxa"/>
            <w:vAlign w:val="center"/>
          </w:tcPr>
          <w:p w:rsidR="00D061D1" w:rsidRDefault="00D061D1" w:rsidP="00365ECC">
            <w:pPr>
              <w:rPr>
                <w:color w:val="000000"/>
                <w:sz w:val="20"/>
                <w:szCs w:val="20"/>
                <w:highlight w:val="yellow"/>
              </w:rPr>
            </w:pPr>
            <w:r>
              <w:rPr>
                <w:color w:val="000000"/>
                <w:sz w:val="20"/>
                <w:szCs w:val="20"/>
                <w:highlight w:val="yellow"/>
              </w:rPr>
              <w:t>$44.59</w:t>
            </w:r>
          </w:p>
        </w:tc>
        <w:tc>
          <w:tcPr>
            <w:tcW w:w="1231" w:type="dxa"/>
            <w:vAlign w:val="center"/>
          </w:tcPr>
          <w:p w:rsidR="00D061D1" w:rsidRDefault="00962C65" w:rsidP="00365ECC">
            <w:pPr>
              <w:rPr>
                <w:color w:val="000000"/>
                <w:sz w:val="20"/>
                <w:szCs w:val="20"/>
                <w:highlight w:val="yellow"/>
              </w:rPr>
            </w:pPr>
            <w:r>
              <w:rPr>
                <w:color w:val="000000"/>
                <w:sz w:val="20"/>
                <w:szCs w:val="20"/>
                <w:highlight w:val="yellow"/>
              </w:rPr>
              <w:t>$803</w:t>
            </w:r>
          </w:p>
        </w:tc>
      </w:tr>
      <w:tr w:rsidR="00365ECC" w:rsidRPr="002479D6" w:rsidTr="008038EB">
        <w:trPr>
          <w:jc w:val="center"/>
        </w:trPr>
        <w:tc>
          <w:tcPr>
            <w:tcW w:w="1311" w:type="dxa"/>
          </w:tcPr>
          <w:p w:rsidR="00365ECC" w:rsidRPr="002479D6" w:rsidRDefault="00365ECC" w:rsidP="00365ECC">
            <w:pPr>
              <w:rPr>
                <w:color w:val="000000"/>
                <w:sz w:val="20"/>
                <w:szCs w:val="20"/>
                <w:highlight w:val="yellow"/>
              </w:rPr>
            </w:pPr>
            <w:r w:rsidRPr="002479D6">
              <w:rPr>
                <w:sz w:val="20"/>
                <w:szCs w:val="20"/>
                <w:highlight w:val="yellow"/>
              </w:rPr>
              <w:t>Cities</w:t>
            </w:r>
          </w:p>
        </w:tc>
        <w:tc>
          <w:tcPr>
            <w:tcW w:w="1588" w:type="dxa"/>
          </w:tcPr>
          <w:p w:rsidR="00365ECC" w:rsidRPr="002479D6" w:rsidRDefault="00365ECC" w:rsidP="00365ECC">
            <w:pPr>
              <w:rPr>
                <w:color w:val="000000"/>
                <w:sz w:val="20"/>
                <w:szCs w:val="20"/>
                <w:highlight w:val="yellow"/>
              </w:rPr>
            </w:pPr>
            <w:r w:rsidRPr="002479D6">
              <w:rPr>
                <w:sz w:val="20"/>
                <w:szCs w:val="20"/>
                <w:highlight w:val="yellow"/>
              </w:rPr>
              <w:t>Weekly (Automated)</w:t>
            </w:r>
          </w:p>
        </w:tc>
        <w:tc>
          <w:tcPr>
            <w:tcW w:w="1311" w:type="dxa"/>
            <w:vAlign w:val="center"/>
          </w:tcPr>
          <w:p w:rsidR="00365ECC" w:rsidRPr="002479D6" w:rsidRDefault="00365ECC" w:rsidP="00365ECC">
            <w:pPr>
              <w:rPr>
                <w:color w:val="000000"/>
                <w:sz w:val="20"/>
                <w:szCs w:val="20"/>
                <w:highlight w:val="yellow"/>
              </w:rPr>
            </w:pPr>
            <w:r w:rsidRPr="002479D6">
              <w:rPr>
                <w:sz w:val="20"/>
                <w:szCs w:val="20"/>
                <w:highlight w:val="yellow"/>
              </w:rPr>
              <w:t>2</w:t>
            </w:r>
          </w:p>
        </w:tc>
        <w:tc>
          <w:tcPr>
            <w:tcW w:w="1231"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52</w:t>
            </w:r>
          </w:p>
        </w:tc>
        <w:tc>
          <w:tcPr>
            <w:tcW w:w="1025" w:type="dxa"/>
            <w:vAlign w:val="center"/>
          </w:tcPr>
          <w:p w:rsidR="00365ECC" w:rsidRPr="002479D6" w:rsidRDefault="00365ECC" w:rsidP="00365ECC">
            <w:pPr>
              <w:rPr>
                <w:color w:val="000000"/>
                <w:sz w:val="20"/>
                <w:szCs w:val="20"/>
                <w:highlight w:val="yellow"/>
              </w:rPr>
            </w:pPr>
            <w:r>
              <w:rPr>
                <w:color w:val="000000"/>
                <w:sz w:val="20"/>
                <w:szCs w:val="20"/>
                <w:highlight w:val="yellow"/>
              </w:rPr>
              <w:t>20</w:t>
            </w:r>
            <w:r w:rsidRPr="002479D6">
              <w:rPr>
                <w:color w:val="000000"/>
                <w:sz w:val="20"/>
                <w:szCs w:val="20"/>
                <w:highlight w:val="yellow"/>
              </w:rPr>
              <w:t>/60</w:t>
            </w:r>
          </w:p>
        </w:tc>
        <w:tc>
          <w:tcPr>
            <w:tcW w:w="840" w:type="dxa"/>
            <w:vAlign w:val="center"/>
          </w:tcPr>
          <w:p w:rsidR="00365ECC" w:rsidRPr="002479D6" w:rsidRDefault="00365ECC" w:rsidP="00365ECC">
            <w:pPr>
              <w:rPr>
                <w:color w:val="000000"/>
                <w:sz w:val="20"/>
                <w:szCs w:val="20"/>
                <w:highlight w:val="yellow"/>
              </w:rPr>
            </w:pPr>
            <w:r>
              <w:rPr>
                <w:color w:val="000000"/>
                <w:sz w:val="20"/>
                <w:szCs w:val="20"/>
                <w:highlight w:val="yellow"/>
              </w:rPr>
              <w:t>35</w:t>
            </w:r>
          </w:p>
        </w:tc>
        <w:tc>
          <w:tcPr>
            <w:tcW w:w="793" w:type="dxa"/>
            <w:vAlign w:val="center"/>
          </w:tcPr>
          <w:p w:rsidR="00365ECC" w:rsidRPr="002479D6" w:rsidRDefault="00365ECC" w:rsidP="00365ECC">
            <w:pPr>
              <w:rPr>
                <w:color w:val="000000"/>
                <w:sz w:val="20"/>
                <w:szCs w:val="20"/>
                <w:highlight w:val="yellow"/>
              </w:rPr>
            </w:pPr>
            <w:r>
              <w:rPr>
                <w:color w:val="000000"/>
                <w:sz w:val="20"/>
                <w:szCs w:val="20"/>
                <w:highlight w:val="yellow"/>
              </w:rPr>
              <w:t>$44.59</w:t>
            </w:r>
          </w:p>
        </w:tc>
        <w:tc>
          <w:tcPr>
            <w:tcW w:w="1231" w:type="dxa"/>
            <w:vAlign w:val="center"/>
          </w:tcPr>
          <w:p w:rsidR="00365ECC" w:rsidRPr="000A7B87" w:rsidRDefault="008038EB" w:rsidP="00365ECC">
            <w:pPr>
              <w:rPr>
                <w:color w:val="000000"/>
                <w:sz w:val="20"/>
                <w:szCs w:val="20"/>
                <w:highlight w:val="yellow"/>
              </w:rPr>
            </w:pPr>
            <w:r>
              <w:rPr>
                <w:color w:val="000000"/>
                <w:sz w:val="20"/>
                <w:szCs w:val="20"/>
                <w:highlight w:val="yellow"/>
              </w:rPr>
              <w:t>$1</w:t>
            </w:r>
            <w:r w:rsidR="00605B6D">
              <w:rPr>
                <w:color w:val="000000"/>
                <w:sz w:val="20"/>
                <w:szCs w:val="20"/>
                <w:highlight w:val="yellow"/>
              </w:rPr>
              <w:t>,</w:t>
            </w:r>
            <w:r>
              <w:rPr>
                <w:color w:val="000000"/>
                <w:sz w:val="20"/>
                <w:szCs w:val="20"/>
                <w:highlight w:val="yellow"/>
              </w:rPr>
              <w:t>561</w:t>
            </w:r>
          </w:p>
        </w:tc>
      </w:tr>
      <w:tr w:rsidR="00365ECC" w:rsidRPr="002479D6" w:rsidTr="008038EB">
        <w:trPr>
          <w:jc w:val="center"/>
        </w:trPr>
        <w:tc>
          <w:tcPr>
            <w:tcW w:w="1311" w:type="dxa"/>
          </w:tcPr>
          <w:p w:rsidR="00365ECC" w:rsidRPr="002479D6" w:rsidRDefault="00365ECC" w:rsidP="00365ECC">
            <w:pPr>
              <w:rPr>
                <w:color w:val="000000"/>
                <w:sz w:val="20"/>
                <w:szCs w:val="20"/>
                <w:highlight w:val="yellow"/>
              </w:rPr>
            </w:pPr>
            <w:r w:rsidRPr="002479D6">
              <w:rPr>
                <w:color w:val="000000"/>
                <w:sz w:val="20"/>
                <w:szCs w:val="20"/>
                <w:highlight w:val="yellow"/>
              </w:rPr>
              <w:t>Cities</w:t>
            </w:r>
          </w:p>
        </w:tc>
        <w:tc>
          <w:tcPr>
            <w:tcW w:w="1588" w:type="dxa"/>
          </w:tcPr>
          <w:p w:rsidR="00365ECC" w:rsidRPr="002479D6" w:rsidRDefault="00365ECC" w:rsidP="00365ECC">
            <w:pPr>
              <w:rPr>
                <w:color w:val="000000"/>
                <w:sz w:val="20"/>
                <w:szCs w:val="20"/>
                <w:highlight w:val="yellow"/>
              </w:rPr>
            </w:pPr>
            <w:r w:rsidRPr="002479D6">
              <w:rPr>
                <w:color w:val="000000"/>
                <w:sz w:val="20"/>
                <w:szCs w:val="20"/>
                <w:highlight w:val="yellow"/>
              </w:rPr>
              <w:t>Weekly (Non-automated)</w:t>
            </w:r>
          </w:p>
        </w:tc>
        <w:tc>
          <w:tcPr>
            <w:tcW w:w="1311"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2</w:t>
            </w:r>
          </w:p>
        </w:tc>
        <w:tc>
          <w:tcPr>
            <w:tcW w:w="1231"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52</w:t>
            </w:r>
          </w:p>
        </w:tc>
        <w:tc>
          <w:tcPr>
            <w:tcW w:w="1025"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2</w:t>
            </w:r>
          </w:p>
        </w:tc>
        <w:tc>
          <w:tcPr>
            <w:tcW w:w="840"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208</w:t>
            </w:r>
          </w:p>
        </w:tc>
        <w:tc>
          <w:tcPr>
            <w:tcW w:w="793" w:type="dxa"/>
            <w:vAlign w:val="center"/>
          </w:tcPr>
          <w:p w:rsidR="00365ECC" w:rsidRPr="002479D6" w:rsidRDefault="00365ECC" w:rsidP="00365ECC">
            <w:pPr>
              <w:rPr>
                <w:color w:val="000000"/>
                <w:sz w:val="20"/>
                <w:szCs w:val="20"/>
                <w:highlight w:val="yellow"/>
              </w:rPr>
            </w:pPr>
            <w:r>
              <w:rPr>
                <w:sz w:val="20"/>
                <w:szCs w:val="20"/>
                <w:highlight w:val="yellow"/>
              </w:rPr>
              <w:t>$36.65</w:t>
            </w:r>
          </w:p>
        </w:tc>
        <w:tc>
          <w:tcPr>
            <w:tcW w:w="1231" w:type="dxa"/>
            <w:vAlign w:val="center"/>
          </w:tcPr>
          <w:p w:rsidR="00365ECC" w:rsidRPr="000A7B87" w:rsidRDefault="00122AEE" w:rsidP="00365ECC">
            <w:pPr>
              <w:rPr>
                <w:color w:val="000000"/>
                <w:sz w:val="20"/>
                <w:szCs w:val="20"/>
                <w:highlight w:val="yellow"/>
              </w:rPr>
            </w:pPr>
            <w:r>
              <w:rPr>
                <w:color w:val="000000"/>
                <w:sz w:val="20"/>
                <w:szCs w:val="20"/>
                <w:highlight w:val="yellow"/>
              </w:rPr>
              <w:t>$7</w:t>
            </w:r>
            <w:r w:rsidR="00605B6D">
              <w:rPr>
                <w:color w:val="000000"/>
                <w:sz w:val="20"/>
                <w:szCs w:val="20"/>
                <w:highlight w:val="yellow"/>
              </w:rPr>
              <w:t>,</w:t>
            </w:r>
            <w:r>
              <w:rPr>
                <w:color w:val="000000"/>
                <w:sz w:val="20"/>
                <w:szCs w:val="20"/>
                <w:highlight w:val="yellow"/>
              </w:rPr>
              <w:t>623</w:t>
            </w:r>
          </w:p>
        </w:tc>
      </w:tr>
      <w:tr w:rsidR="00365ECC" w:rsidRPr="002479D6" w:rsidTr="008038EB">
        <w:trPr>
          <w:jc w:val="center"/>
        </w:trPr>
        <w:tc>
          <w:tcPr>
            <w:tcW w:w="1311" w:type="dxa"/>
          </w:tcPr>
          <w:p w:rsidR="00365ECC" w:rsidRPr="002479D6" w:rsidRDefault="00365ECC" w:rsidP="00365ECC">
            <w:pPr>
              <w:rPr>
                <w:color w:val="000000"/>
                <w:sz w:val="20"/>
                <w:szCs w:val="20"/>
                <w:highlight w:val="yellow"/>
              </w:rPr>
            </w:pPr>
            <w:r w:rsidRPr="002479D6">
              <w:rPr>
                <w:color w:val="000000"/>
                <w:sz w:val="20"/>
                <w:szCs w:val="20"/>
                <w:highlight w:val="yellow"/>
              </w:rPr>
              <w:t>Cities</w:t>
            </w:r>
          </w:p>
          <w:p w:rsidR="00365ECC" w:rsidRPr="002479D6" w:rsidRDefault="00365ECC" w:rsidP="00365ECC">
            <w:pPr>
              <w:rPr>
                <w:color w:val="000000"/>
                <w:sz w:val="20"/>
                <w:szCs w:val="20"/>
                <w:highlight w:val="yellow"/>
              </w:rPr>
            </w:pPr>
          </w:p>
        </w:tc>
        <w:tc>
          <w:tcPr>
            <w:tcW w:w="1588" w:type="dxa"/>
          </w:tcPr>
          <w:p w:rsidR="00365ECC" w:rsidRPr="002479D6" w:rsidRDefault="00365ECC" w:rsidP="00365ECC">
            <w:pPr>
              <w:rPr>
                <w:color w:val="000000"/>
                <w:sz w:val="20"/>
                <w:szCs w:val="20"/>
                <w:highlight w:val="yellow"/>
              </w:rPr>
            </w:pPr>
            <w:r w:rsidRPr="002479D6">
              <w:rPr>
                <w:color w:val="000000"/>
                <w:sz w:val="20"/>
                <w:szCs w:val="20"/>
                <w:highlight w:val="yellow"/>
              </w:rPr>
              <w:t>Weekly (NMI</w:t>
            </w:r>
            <w:r>
              <w:rPr>
                <w:color w:val="000000"/>
                <w:sz w:val="20"/>
                <w:szCs w:val="20"/>
                <w:highlight w:val="yellow"/>
              </w:rPr>
              <w:t xml:space="preserve"> Implementation</w:t>
            </w:r>
            <w:r w:rsidRPr="002479D6">
              <w:rPr>
                <w:color w:val="000000"/>
                <w:sz w:val="20"/>
                <w:szCs w:val="20"/>
                <w:highlight w:val="yellow"/>
              </w:rPr>
              <w:t>)</w:t>
            </w:r>
          </w:p>
        </w:tc>
        <w:tc>
          <w:tcPr>
            <w:tcW w:w="1311"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2</w:t>
            </w:r>
          </w:p>
        </w:tc>
        <w:tc>
          <w:tcPr>
            <w:tcW w:w="1231"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52</w:t>
            </w:r>
          </w:p>
        </w:tc>
        <w:tc>
          <w:tcPr>
            <w:tcW w:w="1025"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4</w:t>
            </w:r>
          </w:p>
        </w:tc>
        <w:tc>
          <w:tcPr>
            <w:tcW w:w="840"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416</w:t>
            </w:r>
          </w:p>
        </w:tc>
        <w:tc>
          <w:tcPr>
            <w:tcW w:w="793" w:type="dxa"/>
            <w:vAlign w:val="center"/>
          </w:tcPr>
          <w:p w:rsidR="00365ECC" w:rsidRPr="002479D6" w:rsidRDefault="00365ECC" w:rsidP="00365ECC">
            <w:pPr>
              <w:rPr>
                <w:color w:val="000000"/>
                <w:sz w:val="20"/>
                <w:szCs w:val="20"/>
                <w:highlight w:val="yellow"/>
              </w:rPr>
            </w:pPr>
            <w:r>
              <w:rPr>
                <w:color w:val="000000"/>
                <w:sz w:val="20"/>
                <w:szCs w:val="20"/>
                <w:highlight w:val="yellow"/>
              </w:rPr>
              <w:t>$44.59</w:t>
            </w:r>
          </w:p>
        </w:tc>
        <w:tc>
          <w:tcPr>
            <w:tcW w:w="1231" w:type="dxa"/>
            <w:vAlign w:val="center"/>
          </w:tcPr>
          <w:p w:rsidR="00365ECC" w:rsidRPr="000A7B87" w:rsidRDefault="00536E58" w:rsidP="00365ECC">
            <w:pPr>
              <w:rPr>
                <w:color w:val="000000"/>
                <w:sz w:val="20"/>
                <w:szCs w:val="20"/>
                <w:highlight w:val="yellow"/>
              </w:rPr>
            </w:pPr>
            <w:r>
              <w:rPr>
                <w:color w:val="000000"/>
                <w:sz w:val="20"/>
                <w:szCs w:val="20"/>
                <w:highlight w:val="yellow"/>
              </w:rPr>
              <w:t>$18</w:t>
            </w:r>
            <w:r w:rsidR="00605B6D">
              <w:rPr>
                <w:color w:val="000000"/>
                <w:sz w:val="20"/>
                <w:szCs w:val="20"/>
                <w:highlight w:val="yellow"/>
              </w:rPr>
              <w:t>,</w:t>
            </w:r>
            <w:r>
              <w:rPr>
                <w:color w:val="000000"/>
                <w:sz w:val="20"/>
                <w:szCs w:val="20"/>
                <w:highlight w:val="yellow"/>
              </w:rPr>
              <w:t>549</w:t>
            </w:r>
          </w:p>
        </w:tc>
      </w:tr>
      <w:tr w:rsidR="00365ECC" w:rsidRPr="002479D6" w:rsidTr="008038EB">
        <w:trPr>
          <w:jc w:val="center"/>
        </w:trPr>
        <w:tc>
          <w:tcPr>
            <w:tcW w:w="1311" w:type="dxa"/>
          </w:tcPr>
          <w:p w:rsidR="00365ECC" w:rsidRPr="002479D6" w:rsidRDefault="00365ECC" w:rsidP="00365ECC">
            <w:pPr>
              <w:rPr>
                <w:color w:val="000000"/>
                <w:sz w:val="20"/>
                <w:szCs w:val="20"/>
                <w:highlight w:val="yellow"/>
              </w:rPr>
            </w:pPr>
            <w:r w:rsidRPr="002479D6">
              <w:rPr>
                <w:color w:val="000000"/>
                <w:sz w:val="20"/>
                <w:szCs w:val="20"/>
                <w:highlight w:val="yellow"/>
              </w:rPr>
              <w:t>Cities</w:t>
            </w:r>
          </w:p>
        </w:tc>
        <w:tc>
          <w:tcPr>
            <w:tcW w:w="1588" w:type="dxa"/>
          </w:tcPr>
          <w:p w:rsidR="00365ECC" w:rsidRPr="002479D6" w:rsidRDefault="00365ECC" w:rsidP="00365ECC">
            <w:pPr>
              <w:rPr>
                <w:color w:val="000000"/>
                <w:sz w:val="20"/>
                <w:szCs w:val="20"/>
                <w:highlight w:val="yellow"/>
              </w:rPr>
            </w:pPr>
            <w:r w:rsidRPr="002479D6">
              <w:rPr>
                <w:color w:val="000000"/>
                <w:sz w:val="20"/>
                <w:szCs w:val="20"/>
                <w:highlight w:val="yellow"/>
              </w:rPr>
              <w:t>Annual</w:t>
            </w:r>
          </w:p>
        </w:tc>
        <w:tc>
          <w:tcPr>
            <w:tcW w:w="1311"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2</w:t>
            </w:r>
          </w:p>
        </w:tc>
        <w:tc>
          <w:tcPr>
            <w:tcW w:w="1231"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1</w:t>
            </w:r>
          </w:p>
        </w:tc>
        <w:tc>
          <w:tcPr>
            <w:tcW w:w="1025"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75</w:t>
            </w:r>
          </w:p>
        </w:tc>
        <w:tc>
          <w:tcPr>
            <w:tcW w:w="840" w:type="dxa"/>
            <w:vAlign w:val="center"/>
          </w:tcPr>
          <w:p w:rsidR="00365ECC" w:rsidRPr="002479D6" w:rsidRDefault="00365ECC" w:rsidP="00365ECC">
            <w:pPr>
              <w:rPr>
                <w:color w:val="000000"/>
                <w:sz w:val="20"/>
                <w:szCs w:val="20"/>
                <w:highlight w:val="yellow"/>
              </w:rPr>
            </w:pPr>
            <w:r w:rsidRPr="002479D6">
              <w:rPr>
                <w:color w:val="000000"/>
                <w:sz w:val="20"/>
                <w:szCs w:val="20"/>
                <w:highlight w:val="yellow"/>
              </w:rPr>
              <w:t>150</w:t>
            </w:r>
          </w:p>
        </w:tc>
        <w:tc>
          <w:tcPr>
            <w:tcW w:w="793" w:type="dxa"/>
            <w:vAlign w:val="center"/>
          </w:tcPr>
          <w:p w:rsidR="00365ECC" w:rsidRPr="002479D6" w:rsidRDefault="00365ECC" w:rsidP="00365ECC">
            <w:pPr>
              <w:rPr>
                <w:color w:val="000000"/>
                <w:sz w:val="20"/>
                <w:szCs w:val="20"/>
                <w:highlight w:val="yellow"/>
              </w:rPr>
            </w:pPr>
            <w:r>
              <w:rPr>
                <w:sz w:val="20"/>
                <w:szCs w:val="20"/>
                <w:highlight w:val="yellow"/>
              </w:rPr>
              <w:t>$36.65</w:t>
            </w:r>
          </w:p>
        </w:tc>
        <w:tc>
          <w:tcPr>
            <w:tcW w:w="1231" w:type="dxa"/>
            <w:vAlign w:val="center"/>
          </w:tcPr>
          <w:p w:rsidR="00365ECC" w:rsidRPr="000A7B87" w:rsidRDefault="00536E58" w:rsidP="00365ECC">
            <w:pPr>
              <w:rPr>
                <w:color w:val="000000"/>
                <w:sz w:val="20"/>
                <w:szCs w:val="20"/>
                <w:highlight w:val="yellow"/>
              </w:rPr>
            </w:pPr>
            <w:r>
              <w:rPr>
                <w:color w:val="000000"/>
                <w:sz w:val="20"/>
                <w:szCs w:val="20"/>
                <w:highlight w:val="yellow"/>
              </w:rPr>
              <w:t>$5</w:t>
            </w:r>
            <w:r w:rsidR="00605B6D">
              <w:rPr>
                <w:color w:val="000000"/>
                <w:sz w:val="20"/>
                <w:szCs w:val="20"/>
                <w:highlight w:val="yellow"/>
              </w:rPr>
              <w:t>,</w:t>
            </w:r>
            <w:r>
              <w:rPr>
                <w:color w:val="000000"/>
                <w:sz w:val="20"/>
                <w:szCs w:val="20"/>
                <w:highlight w:val="yellow"/>
              </w:rPr>
              <w:t>498</w:t>
            </w:r>
          </w:p>
        </w:tc>
      </w:tr>
      <w:tr w:rsidR="00365ECC" w:rsidRPr="002479D6" w:rsidTr="008038EB">
        <w:trPr>
          <w:jc w:val="center"/>
        </w:trPr>
        <w:tc>
          <w:tcPr>
            <w:tcW w:w="1311" w:type="dxa"/>
            <w:vAlign w:val="center"/>
          </w:tcPr>
          <w:p w:rsidR="00365ECC" w:rsidRPr="002479D6" w:rsidRDefault="00365ECC" w:rsidP="00365ECC">
            <w:pPr>
              <w:rPr>
                <w:b/>
                <w:color w:val="000000"/>
                <w:sz w:val="20"/>
                <w:szCs w:val="20"/>
                <w:highlight w:val="yellow"/>
              </w:rPr>
            </w:pPr>
            <w:r>
              <w:rPr>
                <w:rFonts w:cstheme="minorHAnsi"/>
                <w:sz w:val="22"/>
                <w:szCs w:val="22"/>
                <w:highlight w:val="yellow"/>
              </w:rPr>
              <w:t>Cities</w:t>
            </w:r>
          </w:p>
        </w:tc>
        <w:tc>
          <w:tcPr>
            <w:tcW w:w="1588" w:type="dxa"/>
            <w:vAlign w:val="center"/>
          </w:tcPr>
          <w:p w:rsidR="00365ECC" w:rsidRPr="002479D6" w:rsidRDefault="00365ECC" w:rsidP="00365ECC">
            <w:pPr>
              <w:rPr>
                <w:color w:val="000000"/>
                <w:sz w:val="20"/>
                <w:szCs w:val="20"/>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311" w:type="dxa"/>
            <w:vAlign w:val="center"/>
          </w:tcPr>
          <w:p w:rsidR="00365ECC" w:rsidRPr="002479D6" w:rsidRDefault="00365ECC" w:rsidP="00365ECC">
            <w:pPr>
              <w:rPr>
                <w:color w:val="000000"/>
                <w:sz w:val="20"/>
                <w:szCs w:val="20"/>
                <w:highlight w:val="yellow"/>
              </w:rPr>
            </w:pPr>
            <w:r>
              <w:rPr>
                <w:rFonts w:cstheme="minorHAnsi"/>
                <w:sz w:val="22"/>
                <w:szCs w:val="22"/>
                <w:highlight w:val="yellow"/>
              </w:rPr>
              <w:t>2</w:t>
            </w:r>
          </w:p>
        </w:tc>
        <w:tc>
          <w:tcPr>
            <w:tcW w:w="1231" w:type="dxa"/>
            <w:vAlign w:val="center"/>
          </w:tcPr>
          <w:p w:rsidR="00365ECC" w:rsidRPr="002479D6" w:rsidRDefault="00365ECC" w:rsidP="00365ECC">
            <w:pPr>
              <w:rPr>
                <w:color w:val="000000"/>
                <w:sz w:val="20"/>
                <w:szCs w:val="20"/>
                <w:highlight w:val="yellow"/>
              </w:rPr>
            </w:pPr>
            <w:r>
              <w:rPr>
                <w:rFonts w:cstheme="minorHAnsi"/>
                <w:sz w:val="22"/>
                <w:szCs w:val="22"/>
                <w:highlight w:val="yellow"/>
              </w:rPr>
              <w:t>1</w:t>
            </w:r>
          </w:p>
        </w:tc>
        <w:tc>
          <w:tcPr>
            <w:tcW w:w="1025" w:type="dxa"/>
            <w:vAlign w:val="center"/>
          </w:tcPr>
          <w:p w:rsidR="00365ECC" w:rsidRPr="002479D6" w:rsidRDefault="00D061D1" w:rsidP="009725B6">
            <w:pPr>
              <w:rPr>
                <w:color w:val="000000"/>
                <w:sz w:val="20"/>
                <w:szCs w:val="20"/>
                <w:highlight w:val="yellow"/>
              </w:rPr>
            </w:pPr>
            <w:r>
              <w:rPr>
                <w:rFonts w:cstheme="minorHAnsi"/>
                <w:sz w:val="22"/>
                <w:szCs w:val="22"/>
                <w:highlight w:val="yellow"/>
              </w:rPr>
              <w:t>20</w:t>
            </w:r>
          </w:p>
        </w:tc>
        <w:tc>
          <w:tcPr>
            <w:tcW w:w="840" w:type="dxa"/>
            <w:vAlign w:val="center"/>
          </w:tcPr>
          <w:p w:rsidR="00365ECC" w:rsidRPr="002479D6" w:rsidRDefault="00D061D1" w:rsidP="00B72444">
            <w:pPr>
              <w:rPr>
                <w:color w:val="000000"/>
                <w:sz w:val="20"/>
                <w:szCs w:val="20"/>
                <w:highlight w:val="yellow"/>
              </w:rPr>
            </w:pPr>
            <w:r>
              <w:rPr>
                <w:rFonts w:cstheme="minorHAnsi"/>
                <w:sz w:val="22"/>
                <w:szCs w:val="22"/>
                <w:highlight w:val="yellow"/>
              </w:rPr>
              <w:t>40</w:t>
            </w:r>
          </w:p>
        </w:tc>
        <w:tc>
          <w:tcPr>
            <w:tcW w:w="793" w:type="dxa"/>
            <w:vAlign w:val="center"/>
          </w:tcPr>
          <w:p w:rsidR="00365ECC" w:rsidRPr="002479D6" w:rsidRDefault="00365ECC" w:rsidP="00365ECC">
            <w:pPr>
              <w:rPr>
                <w:color w:val="000000"/>
                <w:sz w:val="20"/>
                <w:szCs w:val="20"/>
                <w:highlight w:val="yellow"/>
              </w:rPr>
            </w:pPr>
            <w:r>
              <w:rPr>
                <w:color w:val="000000"/>
                <w:sz w:val="20"/>
                <w:szCs w:val="20"/>
                <w:highlight w:val="yellow"/>
              </w:rPr>
              <w:t>$44.59</w:t>
            </w:r>
          </w:p>
        </w:tc>
        <w:tc>
          <w:tcPr>
            <w:tcW w:w="1231" w:type="dxa"/>
            <w:vAlign w:val="center"/>
          </w:tcPr>
          <w:p w:rsidR="00365ECC" w:rsidRPr="000A7B87" w:rsidRDefault="00D14872" w:rsidP="00962C65">
            <w:pPr>
              <w:rPr>
                <w:color w:val="000000"/>
                <w:sz w:val="20"/>
                <w:szCs w:val="20"/>
                <w:highlight w:val="yellow"/>
              </w:rPr>
            </w:pPr>
            <w:r>
              <w:rPr>
                <w:color w:val="000000"/>
                <w:sz w:val="20"/>
                <w:szCs w:val="20"/>
                <w:highlight w:val="yellow"/>
              </w:rPr>
              <w:t>$</w:t>
            </w:r>
            <w:r w:rsidR="00962C65">
              <w:rPr>
                <w:color w:val="000000"/>
                <w:sz w:val="20"/>
                <w:szCs w:val="20"/>
                <w:highlight w:val="yellow"/>
              </w:rPr>
              <w:t>1,784</w:t>
            </w:r>
          </w:p>
        </w:tc>
      </w:tr>
      <w:tr w:rsidR="00365ECC" w:rsidRPr="002479D6" w:rsidTr="00BB2D80">
        <w:trPr>
          <w:jc w:val="center"/>
        </w:trPr>
        <w:tc>
          <w:tcPr>
            <w:tcW w:w="1311" w:type="dxa"/>
          </w:tcPr>
          <w:p w:rsidR="00365ECC" w:rsidRPr="002479D6" w:rsidRDefault="00365ECC" w:rsidP="00365ECC">
            <w:pPr>
              <w:rPr>
                <w:b/>
                <w:color w:val="000000"/>
                <w:sz w:val="20"/>
                <w:szCs w:val="20"/>
                <w:highlight w:val="yellow"/>
              </w:rPr>
            </w:pPr>
            <w:r w:rsidRPr="002479D6">
              <w:rPr>
                <w:b/>
                <w:color w:val="000000"/>
                <w:sz w:val="20"/>
                <w:szCs w:val="20"/>
                <w:highlight w:val="yellow"/>
              </w:rPr>
              <w:t>Total</w:t>
            </w:r>
          </w:p>
        </w:tc>
        <w:tc>
          <w:tcPr>
            <w:tcW w:w="1588" w:type="dxa"/>
          </w:tcPr>
          <w:p w:rsidR="00365ECC" w:rsidRPr="002479D6" w:rsidRDefault="00365ECC" w:rsidP="00365ECC">
            <w:pPr>
              <w:rPr>
                <w:color w:val="000000"/>
                <w:sz w:val="20"/>
                <w:szCs w:val="20"/>
                <w:highlight w:val="yellow"/>
              </w:rPr>
            </w:pPr>
          </w:p>
        </w:tc>
        <w:tc>
          <w:tcPr>
            <w:tcW w:w="1311" w:type="dxa"/>
          </w:tcPr>
          <w:p w:rsidR="00365ECC" w:rsidRPr="002479D6" w:rsidRDefault="00365ECC" w:rsidP="00365ECC">
            <w:pPr>
              <w:rPr>
                <w:color w:val="000000"/>
                <w:sz w:val="20"/>
                <w:szCs w:val="20"/>
                <w:highlight w:val="yellow"/>
              </w:rPr>
            </w:pPr>
          </w:p>
        </w:tc>
        <w:tc>
          <w:tcPr>
            <w:tcW w:w="1231" w:type="dxa"/>
          </w:tcPr>
          <w:p w:rsidR="00365ECC" w:rsidRPr="002479D6" w:rsidRDefault="00365ECC" w:rsidP="00365ECC">
            <w:pPr>
              <w:rPr>
                <w:color w:val="000000"/>
                <w:sz w:val="20"/>
                <w:szCs w:val="20"/>
                <w:highlight w:val="yellow"/>
              </w:rPr>
            </w:pPr>
          </w:p>
        </w:tc>
        <w:tc>
          <w:tcPr>
            <w:tcW w:w="1025" w:type="dxa"/>
          </w:tcPr>
          <w:p w:rsidR="00365ECC" w:rsidRPr="002479D6" w:rsidRDefault="00365ECC" w:rsidP="00365ECC">
            <w:pPr>
              <w:rPr>
                <w:color w:val="000000"/>
                <w:sz w:val="20"/>
                <w:szCs w:val="20"/>
                <w:highlight w:val="yellow"/>
              </w:rPr>
            </w:pPr>
          </w:p>
        </w:tc>
        <w:tc>
          <w:tcPr>
            <w:tcW w:w="840" w:type="dxa"/>
          </w:tcPr>
          <w:p w:rsidR="00365ECC" w:rsidRPr="002479D6" w:rsidRDefault="00365ECC" w:rsidP="00365ECC">
            <w:pPr>
              <w:rPr>
                <w:color w:val="000000"/>
                <w:sz w:val="20"/>
                <w:szCs w:val="20"/>
                <w:highlight w:val="yellow"/>
              </w:rPr>
            </w:pPr>
          </w:p>
        </w:tc>
        <w:tc>
          <w:tcPr>
            <w:tcW w:w="793" w:type="dxa"/>
          </w:tcPr>
          <w:p w:rsidR="00365ECC" w:rsidRPr="002479D6" w:rsidRDefault="00365ECC" w:rsidP="00365ECC">
            <w:pPr>
              <w:rPr>
                <w:color w:val="000000"/>
                <w:sz w:val="20"/>
                <w:szCs w:val="20"/>
                <w:highlight w:val="yellow"/>
              </w:rPr>
            </w:pPr>
          </w:p>
        </w:tc>
        <w:tc>
          <w:tcPr>
            <w:tcW w:w="1231" w:type="dxa"/>
          </w:tcPr>
          <w:p w:rsidR="00365ECC" w:rsidRPr="000A7B87" w:rsidRDefault="00A443E7" w:rsidP="00D97759">
            <w:pPr>
              <w:rPr>
                <w:b/>
                <w:color w:val="000000"/>
                <w:sz w:val="20"/>
                <w:szCs w:val="20"/>
                <w:highlight w:val="yellow"/>
              </w:rPr>
            </w:pPr>
            <w:r>
              <w:rPr>
                <w:b/>
                <w:color w:val="000000"/>
                <w:sz w:val="20"/>
                <w:szCs w:val="20"/>
                <w:highlight w:val="yellow"/>
              </w:rPr>
              <w:t>$</w:t>
            </w:r>
            <w:r w:rsidR="00E243B3">
              <w:rPr>
                <w:b/>
                <w:color w:val="000000"/>
                <w:sz w:val="20"/>
                <w:szCs w:val="20"/>
                <w:highlight w:val="yellow"/>
              </w:rPr>
              <w:t>819,</w:t>
            </w:r>
            <w:r w:rsidR="00D97759">
              <w:rPr>
                <w:b/>
                <w:color w:val="000000"/>
                <w:sz w:val="20"/>
                <w:szCs w:val="20"/>
                <w:highlight w:val="yellow"/>
              </w:rPr>
              <w:t>900</w:t>
            </w:r>
          </w:p>
        </w:tc>
      </w:tr>
    </w:tbl>
    <w:p w:rsidR="00490E07" w:rsidRPr="002479D6" w:rsidRDefault="00490E07" w:rsidP="00925656">
      <w:pPr>
        <w:spacing w:line="360" w:lineRule="auto"/>
        <w:rPr>
          <w:rFonts w:asciiTheme="minorHAnsi" w:hAnsiTheme="minorHAnsi"/>
          <w:color w:val="FF0000"/>
          <w:sz w:val="22"/>
          <w:szCs w:val="22"/>
          <w:highlight w:val="yellow"/>
        </w:rPr>
      </w:pPr>
    </w:p>
    <w:p w:rsidR="009135CB" w:rsidRPr="008B49BB"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8B49BB">
        <w:rPr>
          <w:rFonts w:asciiTheme="minorHAnsi" w:hAnsiTheme="minorHAnsi"/>
          <w:b/>
          <w:color w:val="000000"/>
          <w:sz w:val="22"/>
          <w:szCs w:val="22"/>
        </w:rPr>
        <w:t xml:space="preserve">A.13. </w:t>
      </w:r>
      <w:r w:rsidRPr="008B49BB">
        <w:rPr>
          <w:rFonts w:asciiTheme="minorHAnsi" w:hAnsiTheme="minorHAnsi"/>
          <w:b/>
          <w:color w:val="000000"/>
          <w:sz w:val="22"/>
          <w:szCs w:val="22"/>
          <w:u w:val="single"/>
        </w:rPr>
        <w:t xml:space="preserve">Estimate of Other Total Annual Cost Burden to Respondents or </w:t>
      </w:r>
      <w:r w:rsidR="00BD540F" w:rsidRPr="008B49BB">
        <w:rPr>
          <w:rFonts w:asciiTheme="minorHAnsi" w:hAnsiTheme="minorHAnsi"/>
          <w:b/>
          <w:color w:val="000000"/>
          <w:sz w:val="22"/>
          <w:szCs w:val="22"/>
          <w:u w:val="single"/>
        </w:rPr>
        <w:t>Record</w:t>
      </w:r>
      <w:r w:rsidR="001A4D48" w:rsidRPr="008B49BB">
        <w:rPr>
          <w:rFonts w:asciiTheme="minorHAnsi" w:hAnsiTheme="minorHAnsi"/>
          <w:b/>
          <w:color w:val="000000"/>
          <w:sz w:val="22"/>
          <w:szCs w:val="22"/>
          <w:u w:val="single"/>
        </w:rPr>
        <w:t xml:space="preserve"> K</w:t>
      </w:r>
      <w:r w:rsidR="00BD540F" w:rsidRPr="008B49BB">
        <w:rPr>
          <w:rFonts w:asciiTheme="minorHAnsi" w:hAnsiTheme="minorHAnsi"/>
          <w:b/>
          <w:color w:val="000000"/>
          <w:sz w:val="22"/>
          <w:szCs w:val="22"/>
          <w:u w:val="single"/>
        </w:rPr>
        <w:t>eepers</w:t>
      </w: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8B49BB">
        <w:rPr>
          <w:rFonts w:asciiTheme="minorHAnsi" w:hAnsiTheme="minorHAnsi"/>
          <w:color w:val="000000"/>
          <w:sz w:val="22"/>
          <w:szCs w:val="22"/>
        </w:rPr>
        <w:t>There are no other annual costs to respondents or record</w:t>
      </w:r>
      <w:r w:rsidR="00DB6DED" w:rsidRPr="008B49BB">
        <w:rPr>
          <w:rFonts w:asciiTheme="minorHAnsi" w:hAnsiTheme="minorHAnsi"/>
          <w:color w:val="000000"/>
          <w:sz w:val="22"/>
          <w:szCs w:val="22"/>
        </w:rPr>
        <w:t xml:space="preserve"> </w:t>
      </w:r>
      <w:r w:rsidRPr="008B49BB">
        <w:rPr>
          <w:rFonts w:asciiTheme="minorHAnsi" w:hAnsiTheme="minorHAnsi"/>
          <w:color w:val="000000"/>
          <w:sz w:val="22"/>
          <w:szCs w:val="22"/>
        </w:rPr>
        <w:t>keepers.</w:t>
      </w:r>
      <w:r w:rsidRPr="00FF55BF">
        <w:rPr>
          <w:rFonts w:asciiTheme="minorHAnsi" w:hAnsiTheme="minorHAnsi"/>
          <w:color w:val="000000"/>
          <w:sz w:val="22"/>
          <w:szCs w:val="22"/>
        </w:rPr>
        <w:t xml:space="preserve">  </w:t>
      </w:r>
    </w:p>
    <w:p w:rsidR="000B7D79" w:rsidRDefault="000B7D79"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009135CB" w:rsidRPr="00233B64"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r w:rsidRPr="00233B64">
        <w:rPr>
          <w:rFonts w:asciiTheme="minorHAnsi" w:hAnsiTheme="minorHAnsi"/>
          <w:b/>
          <w:color w:val="000000"/>
          <w:sz w:val="22"/>
          <w:szCs w:val="22"/>
          <w:highlight w:val="yellow"/>
        </w:rPr>
        <w:t xml:space="preserve">A.14. </w:t>
      </w:r>
      <w:r w:rsidRPr="00233B64">
        <w:rPr>
          <w:rFonts w:asciiTheme="minorHAnsi" w:hAnsiTheme="minorHAnsi"/>
          <w:b/>
          <w:color w:val="000000"/>
          <w:sz w:val="22"/>
          <w:szCs w:val="22"/>
          <w:highlight w:val="yellow"/>
          <w:u w:val="single"/>
        </w:rPr>
        <w:t>Annualized Cost to the Federal Government</w:t>
      </w:r>
      <w:r w:rsidR="00A62F53" w:rsidRPr="00233B64">
        <w:rPr>
          <w:rFonts w:asciiTheme="minorHAnsi" w:hAnsiTheme="minorHAnsi"/>
          <w:b/>
          <w:color w:val="000000"/>
          <w:sz w:val="22"/>
          <w:szCs w:val="22"/>
          <w:highlight w:val="yellow"/>
          <w:u w:val="single"/>
        </w:rPr>
        <w:t xml:space="preserve"> </w:t>
      </w:r>
    </w:p>
    <w:p w:rsidR="009135CB" w:rsidRPr="00233B64"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tbl>
      <w:tblPr>
        <w:tblW w:w="9450" w:type="dxa"/>
        <w:tblInd w:w="96" w:type="dxa"/>
        <w:tblLayout w:type="fixed"/>
        <w:tblCellMar>
          <w:left w:w="96" w:type="dxa"/>
          <w:right w:w="96" w:type="dxa"/>
        </w:tblCellMar>
        <w:tblLook w:val="0000" w:firstRow="0" w:lastRow="0" w:firstColumn="0" w:lastColumn="0" w:noHBand="0" w:noVBand="0"/>
      </w:tblPr>
      <w:tblGrid>
        <w:gridCol w:w="5040"/>
        <w:gridCol w:w="1530"/>
        <w:gridCol w:w="1440"/>
        <w:gridCol w:w="1440"/>
      </w:tblGrid>
      <w:tr w:rsidR="00A94D67" w:rsidRPr="00DE0265" w:rsidTr="00F057C1">
        <w:trPr>
          <w:cantSplit/>
          <w:trHeight w:val="402"/>
        </w:trPr>
        <w:tc>
          <w:tcPr>
            <w:tcW w:w="5040" w:type="dxa"/>
            <w:tcBorders>
              <w:top w:val="single" w:sz="6" w:space="0" w:color="000000"/>
              <w:left w:val="single" w:sz="6" w:space="0" w:color="000000"/>
            </w:tcBorders>
          </w:tcPr>
          <w:p w:rsidR="00EB49FE" w:rsidRPr="00233B64" w:rsidRDefault="00EB49FE" w:rsidP="00925656">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Item</w:t>
            </w:r>
          </w:p>
        </w:tc>
        <w:tc>
          <w:tcPr>
            <w:tcW w:w="4410" w:type="dxa"/>
            <w:gridSpan w:val="3"/>
            <w:tcBorders>
              <w:top w:val="single" w:sz="6" w:space="0" w:color="000000"/>
              <w:left w:val="single" w:sz="6" w:space="0" w:color="000000"/>
              <w:right w:val="single" w:sz="6" w:space="0" w:color="000000"/>
            </w:tcBorders>
          </w:tcPr>
          <w:p w:rsidR="00EB49FE" w:rsidRPr="00DE0265" w:rsidRDefault="00EB49FE" w:rsidP="00925656">
            <w:pPr>
              <w:spacing w:line="360" w:lineRule="auto"/>
              <w:jc w:val="center"/>
              <w:rPr>
                <w:rFonts w:asciiTheme="minorHAnsi" w:hAnsiTheme="minorHAnsi"/>
                <w:b/>
                <w:sz w:val="22"/>
                <w:szCs w:val="22"/>
                <w:highlight w:val="yellow"/>
              </w:rPr>
            </w:pPr>
            <w:r w:rsidRPr="00DE0265">
              <w:rPr>
                <w:rFonts w:asciiTheme="minorHAnsi" w:hAnsiTheme="minorHAnsi"/>
                <w:sz w:val="22"/>
                <w:szCs w:val="22"/>
                <w:highlight w:val="yellow"/>
              </w:rPr>
              <w:t>N</w:t>
            </w:r>
            <w:r w:rsidR="002F52D3" w:rsidRPr="00DE0265">
              <w:rPr>
                <w:rFonts w:asciiTheme="minorHAnsi" w:hAnsiTheme="minorHAnsi"/>
                <w:sz w:val="22"/>
                <w:szCs w:val="22"/>
                <w:highlight w:val="yellow"/>
              </w:rPr>
              <w:t>NDSS</w:t>
            </w:r>
            <w:r w:rsidRPr="00DE0265">
              <w:rPr>
                <w:rFonts w:asciiTheme="minorHAnsi" w:hAnsiTheme="minorHAnsi"/>
                <w:sz w:val="22"/>
                <w:szCs w:val="22"/>
                <w:highlight w:val="yellow"/>
              </w:rPr>
              <w:t xml:space="preserve"> </w:t>
            </w:r>
            <w:r w:rsidR="00514E3A" w:rsidRPr="00DE0265">
              <w:rPr>
                <w:rFonts w:asciiTheme="minorHAnsi" w:hAnsiTheme="minorHAnsi"/>
                <w:sz w:val="22"/>
                <w:szCs w:val="22"/>
                <w:highlight w:val="yellow"/>
              </w:rPr>
              <w:t xml:space="preserve">Estimated </w:t>
            </w:r>
            <w:r w:rsidRPr="00DE0265">
              <w:rPr>
                <w:rFonts w:asciiTheme="minorHAnsi" w:hAnsiTheme="minorHAnsi"/>
                <w:sz w:val="22"/>
                <w:szCs w:val="22"/>
                <w:highlight w:val="yellow"/>
              </w:rPr>
              <w:t>Cost to Federal Government</w:t>
            </w:r>
          </w:p>
        </w:tc>
      </w:tr>
      <w:tr w:rsidR="00A94D67" w:rsidRPr="00DE0265" w:rsidTr="00F057C1">
        <w:trPr>
          <w:cantSplit/>
          <w:trHeight w:val="402"/>
        </w:trPr>
        <w:tc>
          <w:tcPr>
            <w:tcW w:w="5040" w:type="dxa"/>
            <w:tcBorders>
              <w:top w:val="single" w:sz="6" w:space="0" w:color="000000"/>
              <w:left w:val="single" w:sz="6" w:space="0" w:color="000000"/>
            </w:tcBorders>
          </w:tcPr>
          <w:p w:rsidR="00093F2D" w:rsidRPr="00233B64" w:rsidRDefault="00093F2D" w:rsidP="00925656">
            <w:pPr>
              <w:spacing w:line="360" w:lineRule="auto"/>
              <w:rPr>
                <w:rFonts w:asciiTheme="minorHAnsi" w:hAnsiTheme="minorHAnsi"/>
                <w:sz w:val="22"/>
                <w:szCs w:val="22"/>
                <w:highlight w:val="yellow"/>
              </w:rPr>
            </w:pPr>
          </w:p>
        </w:tc>
        <w:tc>
          <w:tcPr>
            <w:tcW w:w="1530" w:type="dxa"/>
            <w:tcBorders>
              <w:top w:val="single" w:sz="6" w:space="0" w:color="000000"/>
              <w:left w:val="single" w:sz="6" w:space="0" w:color="000000"/>
              <w:right w:val="single" w:sz="6" w:space="0" w:color="000000"/>
            </w:tcBorders>
          </w:tcPr>
          <w:p w:rsidR="00093F2D" w:rsidRPr="00DE0265" w:rsidRDefault="002F52D3" w:rsidP="00466998">
            <w:pPr>
              <w:spacing w:line="360" w:lineRule="auto"/>
              <w:jc w:val="center"/>
              <w:rPr>
                <w:rFonts w:asciiTheme="minorHAnsi" w:hAnsiTheme="minorHAnsi"/>
                <w:sz w:val="22"/>
                <w:szCs w:val="22"/>
                <w:highlight w:val="yellow"/>
              </w:rPr>
            </w:pPr>
            <w:r w:rsidRPr="00DE0265">
              <w:rPr>
                <w:rFonts w:asciiTheme="minorHAnsi" w:hAnsiTheme="minorHAnsi"/>
                <w:sz w:val="22"/>
                <w:szCs w:val="22"/>
                <w:highlight w:val="yellow"/>
              </w:rPr>
              <w:t>FY 1</w:t>
            </w:r>
            <w:r w:rsidR="00466998" w:rsidRPr="00DE0265">
              <w:rPr>
                <w:rFonts w:asciiTheme="minorHAnsi" w:hAnsiTheme="minorHAnsi"/>
                <w:sz w:val="22"/>
                <w:szCs w:val="22"/>
                <w:highlight w:val="yellow"/>
              </w:rPr>
              <w:t>7</w:t>
            </w:r>
          </w:p>
        </w:tc>
        <w:tc>
          <w:tcPr>
            <w:tcW w:w="1440" w:type="dxa"/>
            <w:tcBorders>
              <w:top w:val="single" w:sz="6" w:space="0" w:color="000000"/>
              <w:left w:val="single" w:sz="6" w:space="0" w:color="000000"/>
              <w:right w:val="single" w:sz="6" w:space="0" w:color="000000"/>
            </w:tcBorders>
          </w:tcPr>
          <w:p w:rsidR="00093F2D" w:rsidRPr="00DE0265" w:rsidRDefault="002F52D3" w:rsidP="00466998">
            <w:pPr>
              <w:spacing w:line="360" w:lineRule="auto"/>
              <w:jc w:val="center"/>
              <w:rPr>
                <w:rFonts w:asciiTheme="minorHAnsi" w:hAnsiTheme="minorHAnsi"/>
                <w:sz w:val="22"/>
                <w:szCs w:val="22"/>
                <w:highlight w:val="yellow"/>
              </w:rPr>
            </w:pPr>
            <w:r w:rsidRPr="00DE0265">
              <w:rPr>
                <w:rFonts w:asciiTheme="minorHAnsi" w:hAnsiTheme="minorHAnsi"/>
                <w:sz w:val="22"/>
                <w:szCs w:val="22"/>
                <w:highlight w:val="yellow"/>
              </w:rPr>
              <w:t>FY 1</w:t>
            </w:r>
            <w:r w:rsidR="00466998" w:rsidRPr="00DE0265">
              <w:rPr>
                <w:rFonts w:asciiTheme="minorHAnsi" w:hAnsiTheme="minorHAnsi"/>
                <w:sz w:val="22"/>
                <w:szCs w:val="22"/>
                <w:highlight w:val="yellow"/>
              </w:rPr>
              <w:t>8</w:t>
            </w:r>
          </w:p>
        </w:tc>
        <w:tc>
          <w:tcPr>
            <w:tcW w:w="1440" w:type="dxa"/>
            <w:tcBorders>
              <w:top w:val="single" w:sz="6" w:space="0" w:color="000000"/>
              <w:left w:val="single" w:sz="6" w:space="0" w:color="000000"/>
              <w:right w:val="single" w:sz="6" w:space="0" w:color="000000"/>
            </w:tcBorders>
          </w:tcPr>
          <w:p w:rsidR="00093F2D" w:rsidRPr="00DE0265" w:rsidRDefault="002F52D3" w:rsidP="00466998">
            <w:pPr>
              <w:spacing w:line="360" w:lineRule="auto"/>
              <w:jc w:val="center"/>
              <w:rPr>
                <w:rFonts w:asciiTheme="minorHAnsi" w:hAnsiTheme="minorHAnsi"/>
                <w:sz w:val="22"/>
                <w:szCs w:val="22"/>
                <w:highlight w:val="yellow"/>
              </w:rPr>
            </w:pPr>
            <w:r w:rsidRPr="00DE0265">
              <w:rPr>
                <w:rFonts w:asciiTheme="minorHAnsi" w:hAnsiTheme="minorHAnsi"/>
                <w:sz w:val="22"/>
                <w:szCs w:val="22"/>
                <w:highlight w:val="yellow"/>
              </w:rPr>
              <w:t>FY 1</w:t>
            </w:r>
            <w:r w:rsidR="00466998" w:rsidRPr="00DE0265">
              <w:rPr>
                <w:rFonts w:asciiTheme="minorHAnsi" w:hAnsiTheme="minorHAnsi"/>
                <w:sz w:val="22"/>
                <w:szCs w:val="22"/>
                <w:highlight w:val="yellow"/>
              </w:rPr>
              <w:t>9</w:t>
            </w:r>
          </w:p>
        </w:tc>
      </w:tr>
      <w:tr w:rsidR="005B630F" w:rsidRPr="00DE0265" w:rsidTr="00F057C1">
        <w:trPr>
          <w:cantSplit/>
          <w:trHeight w:val="402"/>
        </w:trPr>
        <w:tc>
          <w:tcPr>
            <w:tcW w:w="5040" w:type="dxa"/>
            <w:tcBorders>
              <w:top w:val="single" w:sz="6" w:space="0" w:color="000000"/>
              <w:left w:val="single" w:sz="6" w:space="0" w:color="000000"/>
            </w:tcBorders>
          </w:tcPr>
          <w:p w:rsidR="005B630F" w:rsidRPr="00233B64" w:rsidRDefault="005B630F" w:rsidP="005B630F">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Personnel - Software development, support, and management (intramural)</w:t>
            </w:r>
          </w:p>
        </w:tc>
        <w:tc>
          <w:tcPr>
            <w:tcW w:w="153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$6,</w:t>
            </w:r>
            <w:r>
              <w:rPr>
                <w:rFonts w:asciiTheme="minorHAnsi" w:hAnsiTheme="minorHAnsi"/>
                <w:sz w:val="22"/>
                <w:szCs w:val="22"/>
                <w:highlight w:val="yellow"/>
              </w:rPr>
              <w:t>156</w:t>
            </w:r>
            <w:r w:rsidRPr="00DE0265">
              <w:rPr>
                <w:rFonts w:asciiTheme="minorHAnsi" w:hAnsiTheme="minorHAnsi"/>
                <w:sz w:val="22"/>
                <w:szCs w:val="22"/>
                <w:highlight w:val="yellow"/>
              </w:rPr>
              <w:t>,</w:t>
            </w:r>
            <w:r>
              <w:rPr>
                <w:rFonts w:asciiTheme="minorHAnsi" w:hAnsiTheme="minorHAnsi"/>
                <w:sz w:val="22"/>
                <w:szCs w:val="22"/>
                <w:highlight w:val="yellow"/>
              </w:rPr>
              <w:t>238</w:t>
            </w:r>
          </w:p>
        </w:tc>
        <w:tc>
          <w:tcPr>
            <w:tcW w:w="144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$6,</w:t>
            </w:r>
            <w:r>
              <w:rPr>
                <w:rFonts w:asciiTheme="minorHAnsi" w:hAnsiTheme="minorHAnsi"/>
                <w:sz w:val="22"/>
                <w:szCs w:val="22"/>
                <w:highlight w:val="yellow"/>
              </w:rPr>
              <w:t>156</w:t>
            </w:r>
            <w:r w:rsidRPr="00DE0265">
              <w:rPr>
                <w:rFonts w:asciiTheme="minorHAnsi" w:hAnsiTheme="minorHAnsi"/>
                <w:sz w:val="22"/>
                <w:szCs w:val="22"/>
                <w:highlight w:val="yellow"/>
              </w:rPr>
              <w:t>,</w:t>
            </w:r>
            <w:r>
              <w:rPr>
                <w:rFonts w:asciiTheme="minorHAnsi" w:hAnsiTheme="minorHAnsi"/>
                <w:sz w:val="22"/>
                <w:szCs w:val="22"/>
                <w:highlight w:val="yellow"/>
              </w:rPr>
              <w:t>238</w:t>
            </w:r>
          </w:p>
        </w:tc>
        <w:tc>
          <w:tcPr>
            <w:tcW w:w="144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$6,</w:t>
            </w:r>
            <w:r>
              <w:rPr>
                <w:rFonts w:asciiTheme="minorHAnsi" w:hAnsiTheme="minorHAnsi"/>
                <w:sz w:val="22"/>
                <w:szCs w:val="22"/>
                <w:highlight w:val="yellow"/>
              </w:rPr>
              <w:t>156</w:t>
            </w:r>
            <w:r w:rsidRPr="00DE0265">
              <w:rPr>
                <w:rFonts w:asciiTheme="minorHAnsi" w:hAnsiTheme="minorHAnsi"/>
                <w:sz w:val="22"/>
                <w:szCs w:val="22"/>
                <w:highlight w:val="yellow"/>
              </w:rPr>
              <w:t>,</w:t>
            </w:r>
            <w:r>
              <w:rPr>
                <w:rFonts w:asciiTheme="minorHAnsi" w:hAnsiTheme="minorHAnsi"/>
                <w:sz w:val="22"/>
                <w:szCs w:val="22"/>
                <w:highlight w:val="yellow"/>
              </w:rPr>
              <w:t>238</w:t>
            </w:r>
          </w:p>
        </w:tc>
      </w:tr>
      <w:tr w:rsidR="005B630F" w:rsidRPr="00DE0265" w:rsidTr="00F057C1">
        <w:trPr>
          <w:cantSplit/>
          <w:trHeight w:val="402"/>
        </w:trPr>
        <w:tc>
          <w:tcPr>
            <w:tcW w:w="5040" w:type="dxa"/>
            <w:tcBorders>
              <w:top w:val="single" w:sz="6" w:space="0" w:color="000000"/>
              <w:left w:val="single" w:sz="6" w:space="0" w:color="000000"/>
            </w:tcBorders>
          </w:tcPr>
          <w:p w:rsidR="005B630F" w:rsidRPr="00233B64" w:rsidRDefault="005B630F" w:rsidP="005B630F">
            <w:pPr>
              <w:spacing w:line="360" w:lineRule="auto"/>
              <w:rPr>
                <w:rFonts w:asciiTheme="minorHAnsi" w:hAnsiTheme="minorHAnsi"/>
                <w:sz w:val="22"/>
                <w:szCs w:val="22"/>
                <w:highlight w:val="yellow"/>
              </w:rPr>
            </w:pPr>
            <w:r>
              <w:rPr>
                <w:rFonts w:asciiTheme="minorHAnsi" w:hAnsiTheme="minorHAnsi"/>
                <w:sz w:val="22"/>
                <w:szCs w:val="22"/>
                <w:highlight w:val="yellow"/>
              </w:rPr>
              <w:t>Contracts – Program and web support</w:t>
            </w:r>
          </w:p>
        </w:tc>
        <w:tc>
          <w:tcPr>
            <w:tcW w:w="153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Pr>
                <w:rFonts w:asciiTheme="minorHAnsi" w:hAnsiTheme="minorHAnsi"/>
                <w:sz w:val="22"/>
                <w:szCs w:val="22"/>
                <w:highlight w:val="yellow"/>
              </w:rPr>
              <w:t>13</w:t>
            </w:r>
            <w:r w:rsidRPr="00DE0265">
              <w:rPr>
                <w:rFonts w:asciiTheme="minorHAnsi" w:hAnsiTheme="minorHAnsi"/>
                <w:sz w:val="22"/>
                <w:szCs w:val="22"/>
                <w:highlight w:val="yellow"/>
              </w:rPr>
              <w:t>,</w:t>
            </w:r>
            <w:r>
              <w:rPr>
                <w:rFonts w:asciiTheme="minorHAnsi" w:hAnsiTheme="minorHAnsi"/>
                <w:sz w:val="22"/>
                <w:szCs w:val="22"/>
                <w:highlight w:val="yellow"/>
              </w:rPr>
              <w:t>830</w:t>
            </w:r>
            <w:r w:rsidRPr="00DE0265">
              <w:rPr>
                <w:rFonts w:asciiTheme="minorHAnsi" w:hAnsiTheme="minorHAnsi"/>
                <w:sz w:val="22"/>
                <w:szCs w:val="22"/>
                <w:highlight w:val="yellow"/>
              </w:rPr>
              <w:t>,</w:t>
            </w:r>
            <w:r>
              <w:rPr>
                <w:rFonts w:asciiTheme="minorHAnsi" w:hAnsiTheme="minorHAnsi"/>
                <w:sz w:val="22"/>
                <w:szCs w:val="22"/>
                <w:highlight w:val="yellow"/>
              </w:rPr>
              <w:t>353</w:t>
            </w:r>
          </w:p>
        </w:tc>
        <w:tc>
          <w:tcPr>
            <w:tcW w:w="144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Pr>
                <w:rFonts w:asciiTheme="minorHAnsi" w:hAnsiTheme="minorHAnsi"/>
                <w:sz w:val="22"/>
                <w:szCs w:val="22"/>
                <w:highlight w:val="yellow"/>
              </w:rPr>
              <w:t>13</w:t>
            </w:r>
            <w:r w:rsidRPr="00DE0265">
              <w:rPr>
                <w:rFonts w:asciiTheme="minorHAnsi" w:hAnsiTheme="minorHAnsi"/>
                <w:sz w:val="22"/>
                <w:szCs w:val="22"/>
                <w:highlight w:val="yellow"/>
              </w:rPr>
              <w:t>,</w:t>
            </w:r>
            <w:r>
              <w:rPr>
                <w:rFonts w:asciiTheme="minorHAnsi" w:hAnsiTheme="minorHAnsi"/>
                <w:sz w:val="22"/>
                <w:szCs w:val="22"/>
                <w:highlight w:val="yellow"/>
              </w:rPr>
              <w:t>830</w:t>
            </w:r>
            <w:r w:rsidRPr="00DE0265">
              <w:rPr>
                <w:rFonts w:asciiTheme="minorHAnsi" w:hAnsiTheme="minorHAnsi"/>
                <w:sz w:val="22"/>
                <w:szCs w:val="22"/>
                <w:highlight w:val="yellow"/>
              </w:rPr>
              <w:t>,</w:t>
            </w:r>
            <w:r>
              <w:rPr>
                <w:rFonts w:asciiTheme="minorHAnsi" w:hAnsiTheme="minorHAnsi"/>
                <w:sz w:val="22"/>
                <w:szCs w:val="22"/>
                <w:highlight w:val="yellow"/>
              </w:rPr>
              <w:t>353</w:t>
            </w:r>
          </w:p>
        </w:tc>
        <w:tc>
          <w:tcPr>
            <w:tcW w:w="144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Pr>
                <w:rFonts w:asciiTheme="minorHAnsi" w:hAnsiTheme="minorHAnsi"/>
                <w:sz w:val="22"/>
                <w:szCs w:val="22"/>
                <w:highlight w:val="yellow"/>
              </w:rPr>
              <w:t>13</w:t>
            </w:r>
            <w:r w:rsidRPr="00DE0265">
              <w:rPr>
                <w:rFonts w:asciiTheme="minorHAnsi" w:hAnsiTheme="minorHAnsi"/>
                <w:sz w:val="22"/>
                <w:szCs w:val="22"/>
                <w:highlight w:val="yellow"/>
              </w:rPr>
              <w:t>,</w:t>
            </w:r>
            <w:r>
              <w:rPr>
                <w:rFonts w:asciiTheme="minorHAnsi" w:hAnsiTheme="minorHAnsi"/>
                <w:sz w:val="22"/>
                <w:szCs w:val="22"/>
                <w:highlight w:val="yellow"/>
              </w:rPr>
              <w:t>830</w:t>
            </w:r>
            <w:r w:rsidRPr="00DE0265">
              <w:rPr>
                <w:rFonts w:asciiTheme="minorHAnsi" w:hAnsiTheme="minorHAnsi"/>
                <w:sz w:val="22"/>
                <w:szCs w:val="22"/>
                <w:highlight w:val="yellow"/>
              </w:rPr>
              <w:t>,</w:t>
            </w:r>
            <w:r>
              <w:rPr>
                <w:rFonts w:asciiTheme="minorHAnsi" w:hAnsiTheme="minorHAnsi"/>
                <w:sz w:val="22"/>
                <w:szCs w:val="22"/>
                <w:highlight w:val="yellow"/>
              </w:rPr>
              <w:t>353</w:t>
            </w:r>
          </w:p>
        </w:tc>
      </w:tr>
      <w:tr w:rsidR="005B630F" w:rsidRPr="00DE0265" w:rsidTr="00F057C1">
        <w:trPr>
          <w:cantSplit/>
          <w:trHeight w:val="402"/>
        </w:trPr>
        <w:tc>
          <w:tcPr>
            <w:tcW w:w="5040" w:type="dxa"/>
            <w:tcBorders>
              <w:top w:val="single" w:sz="6" w:space="0" w:color="000000"/>
              <w:left w:val="single" w:sz="6" w:space="0" w:color="000000"/>
            </w:tcBorders>
          </w:tcPr>
          <w:p w:rsidR="005B630F" w:rsidRPr="00233B64" w:rsidRDefault="005B630F" w:rsidP="005B630F">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Cooperative Agreements with States for NNDSS case notification and management (extramural)</w:t>
            </w:r>
          </w:p>
        </w:tc>
        <w:tc>
          <w:tcPr>
            <w:tcW w:w="153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$9,</w:t>
            </w:r>
            <w:r>
              <w:rPr>
                <w:rFonts w:asciiTheme="minorHAnsi" w:hAnsiTheme="minorHAnsi"/>
                <w:sz w:val="22"/>
                <w:szCs w:val="22"/>
                <w:highlight w:val="yellow"/>
              </w:rPr>
              <w:t>373</w:t>
            </w:r>
            <w:r w:rsidRPr="00DE0265">
              <w:rPr>
                <w:rFonts w:asciiTheme="minorHAnsi" w:hAnsiTheme="minorHAnsi"/>
                <w:sz w:val="22"/>
                <w:szCs w:val="22"/>
                <w:highlight w:val="yellow"/>
              </w:rPr>
              <w:t>,323</w:t>
            </w:r>
          </w:p>
        </w:tc>
        <w:tc>
          <w:tcPr>
            <w:tcW w:w="144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$9,</w:t>
            </w:r>
            <w:r>
              <w:rPr>
                <w:rFonts w:asciiTheme="minorHAnsi" w:hAnsiTheme="minorHAnsi"/>
                <w:sz w:val="22"/>
                <w:szCs w:val="22"/>
                <w:highlight w:val="yellow"/>
              </w:rPr>
              <w:t>373</w:t>
            </w:r>
            <w:r w:rsidRPr="00DE0265">
              <w:rPr>
                <w:rFonts w:asciiTheme="minorHAnsi" w:hAnsiTheme="minorHAnsi"/>
                <w:sz w:val="22"/>
                <w:szCs w:val="22"/>
                <w:highlight w:val="yellow"/>
              </w:rPr>
              <w:t>,323</w:t>
            </w:r>
          </w:p>
        </w:tc>
        <w:tc>
          <w:tcPr>
            <w:tcW w:w="1440" w:type="dxa"/>
            <w:tcBorders>
              <w:top w:val="single" w:sz="6" w:space="0" w:color="000000"/>
              <w:left w:val="single" w:sz="6" w:space="0" w:color="000000"/>
              <w:right w:val="single" w:sz="6" w:space="0" w:color="000000"/>
            </w:tcBorders>
          </w:tcPr>
          <w:p w:rsidR="005B630F" w:rsidRPr="00DE0265" w:rsidRDefault="005B630F"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$9,</w:t>
            </w:r>
            <w:r>
              <w:rPr>
                <w:rFonts w:asciiTheme="minorHAnsi" w:hAnsiTheme="minorHAnsi"/>
                <w:sz w:val="22"/>
                <w:szCs w:val="22"/>
                <w:highlight w:val="yellow"/>
              </w:rPr>
              <w:t>373</w:t>
            </w:r>
            <w:r w:rsidRPr="00DE0265">
              <w:rPr>
                <w:rFonts w:asciiTheme="minorHAnsi" w:hAnsiTheme="minorHAnsi"/>
                <w:sz w:val="22"/>
                <w:szCs w:val="22"/>
                <w:highlight w:val="yellow"/>
              </w:rPr>
              <w:t>,323</w:t>
            </w:r>
          </w:p>
        </w:tc>
      </w:tr>
      <w:tr w:rsidR="00A94D67" w:rsidRPr="00DE0265" w:rsidTr="00D53DF8">
        <w:trPr>
          <w:cantSplit/>
          <w:trHeight w:val="372"/>
        </w:trPr>
        <w:tc>
          <w:tcPr>
            <w:tcW w:w="5040" w:type="dxa"/>
            <w:tcBorders>
              <w:top w:val="single" w:sz="6" w:space="0" w:color="000000"/>
              <w:left w:val="single" w:sz="6" w:space="0" w:color="000000"/>
              <w:bottom w:val="single" w:sz="6" w:space="0" w:color="000000"/>
            </w:tcBorders>
          </w:tcPr>
          <w:p w:rsidR="00093F2D" w:rsidRPr="00233B64" w:rsidRDefault="00093F2D" w:rsidP="00925656">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Total</w:t>
            </w:r>
          </w:p>
        </w:tc>
        <w:tc>
          <w:tcPr>
            <w:tcW w:w="1530" w:type="dxa"/>
            <w:tcBorders>
              <w:top w:val="single" w:sz="6" w:space="0" w:color="000000"/>
              <w:left w:val="single" w:sz="6" w:space="0" w:color="000000"/>
              <w:bottom w:val="single" w:sz="6" w:space="0" w:color="000000"/>
              <w:right w:val="single" w:sz="6" w:space="0" w:color="000000"/>
            </w:tcBorders>
          </w:tcPr>
          <w:p w:rsidR="00093F2D" w:rsidRPr="00DE0265" w:rsidRDefault="008D674A" w:rsidP="005B630F">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sidR="00301E80" w:rsidRPr="00DE0265">
              <w:rPr>
                <w:rFonts w:asciiTheme="minorHAnsi" w:hAnsiTheme="minorHAnsi"/>
                <w:sz w:val="22"/>
                <w:szCs w:val="22"/>
                <w:highlight w:val="yellow"/>
              </w:rPr>
              <w:t>2</w:t>
            </w:r>
            <w:r w:rsidR="008C1C2A">
              <w:rPr>
                <w:rFonts w:asciiTheme="minorHAnsi" w:hAnsiTheme="minorHAnsi"/>
                <w:sz w:val="22"/>
                <w:szCs w:val="22"/>
                <w:highlight w:val="yellow"/>
              </w:rPr>
              <w:t>9</w:t>
            </w:r>
            <w:r w:rsidR="00301E80" w:rsidRPr="00DE0265">
              <w:rPr>
                <w:rFonts w:asciiTheme="minorHAnsi" w:hAnsiTheme="minorHAnsi"/>
                <w:sz w:val="22"/>
                <w:szCs w:val="22"/>
                <w:highlight w:val="yellow"/>
              </w:rPr>
              <w:t>,</w:t>
            </w:r>
            <w:r w:rsidR="008C1C2A">
              <w:rPr>
                <w:rFonts w:asciiTheme="minorHAnsi" w:hAnsiTheme="minorHAnsi"/>
                <w:sz w:val="22"/>
                <w:szCs w:val="22"/>
                <w:highlight w:val="yellow"/>
              </w:rPr>
              <w:t>359</w:t>
            </w:r>
            <w:r w:rsidR="00301E80" w:rsidRPr="00DE0265">
              <w:rPr>
                <w:rFonts w:asciiTheme="minorHAnsi" w:hAnsiTheme="minorHAnsi"/>
                <w:sz w:val="22"/>
                <w:szCs w:val="22"/>
                <w:highlight w:val="yellow"/>
              </w:rPr>
              <w:t>,</w:t>
            </w:r>
            <w:r w:rsidR="005B630F">
              <w:rPr>
                <w:rFonts w:asciiTheme="minorHAnsi" w:hAnsiTheme="minorHAnsi"/>
                <w:sz w:val="22"/>
                <w:szCs w:val="22"/>
                <w:highlight w:val="yellow"/>
              </w:rPr>
              <w:t>914</w:t>
            </w:r>
          </w:p>
        </w:tc>
        <w:tc>
          <w:tcPr>
            <w:tcW w:w="1440" w:type="dxa"/>
            <w:tcBorders>
              <w:top w:val="single" w:sz="6" w:space="0" w:color="000000"/>
              <w:left w:val="single" w:sz="6" w:space="0" w:color="000000"/>
              <w:bottom w:val="single" w:sz="6" w:space="0" w:color="000000"/>
              <w:right w:val="single" w:sz="6" w:space="0" w:color="000000"/>
            </w:tcBorders>
          </w:tcPr>
          <w:p w:rsidR="00093F2D" w:rsidRPr="00541A6B" w:rsidRDefault="005B630F" w:rsidP="00301E80">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$2</w:t>
            </w:r>
            <w:r>
              <w:rPr>
                <w:rFonts w:asciiTheme="minorHAnsi" w:hAnsiTheme="minorHAnsi"/>
                <w:sz w:val="22"/>
                <w:szCs w:val="22"/>
                <w:highlight w:val="yellow"/>
              </w:rPr>
              <w:t>9</w:t>
            </w:r>
            <w:r w:rsidRPr="00DE0265">
              <w:rPr>
                <w:rFonts w:asciiTheme="minorHAnsi" w:hAnsiTheme="minorHAnsi"/>
                <w:sz w:val="22"/>
                <w:szCs w:val="22"/>
                <w:highlight w:val="yellow"/>
              </w:rPr>
              <w:t>,</w:t>
            </w:r>
            <w:r>
              <w:rPr>
                <w:rFonts w:asciiTheme="minorHAnsi" w:hAnsiTheme="minorHAnsi"/>
                <w:sz w:val="22"/>
                <w:szCs w:val="22"/>
                <w:highlight w:val="yellow"/>
              </w:rPr>
              <w:t>359</w:t>
            </w:r>
            <w:r w:rsidRPr="00DE0265">
              <w:rPr>
                <w:rFonts w:asciiTheme="minorHAnsi" w:hAnsiTheme="minorHAnsi"/>
                <w:sz w:val="22"/>
                <w:szCs w:val="22"/>
                <w:highlight w:val="yellow"/>
              </w:rPr>
              <w:t>,</w:t>
            </w:r>
            <w:r>
              <w:rPr>
                <w:rFonts w:asciiTheme="minorHAnsi" w:hAnsiTheme="minorHAnsi"/>
                <w:sz w:val="22"/>
                <w:szCs w:val="22"/>
                <w:highlight w:val="yellow"/>
              </w:rPr>
              <w:t>914</w:t>
            </w:r>
          </w:p>
        </w:tc>
        <w:tc>
          <w:tcPr>
            <w:tcW w:w="1440" w:type="dxa"/>
            <w:tcBorders>
              <w:top w:val="single" w:sz="6" w:space="0" w:color="000000"/>
              <w:left w:val="single" w:sz="6" w:space="0" w:color="000000"/>
              <w:bottom w:val="single" w:sz="6" w:space="0" w:color="000000"/>
              <w:right w:val="single" w:sz="6" w:space="0" w:color="000000"/>
            </w:tcBorders>
          </w:tcPr>
          <w:p w:rsidR="00093F2D" w:rsidRPr="00541A6B" w:rsidRDefault="005B630F" w:rsidP="00301E80">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$2</w:t>
            </w:r>
            <w:r>
              <w:rPr>
                <w:rFonts w:asciiTheme="minorHAnsi" w:hAnsiTheme="minorHAnsi"/>
                <w:sz w:val="22"/>
                <w:szCs w:val="22"/>
                <w:highlight w:val="yellow"/>
              </w:rPr>
              <w:t>9</w:t>
            </w:r>
            <w:r w:rsidRPr="00DE0265">
              <w:rPr>
                <w:rFonts w:asciiTheme="minorHAnsi" w:hAnsiTheme="minorHAnsi"/>
                <w:sz w:val="22"/>
                <w:szCs w:val="22"/>
                <w:highlight w:val="yellow"/>
              </w:rPr>
              <w:t>,</w:t>
            </w:r>
            <w:r>
              <w:rPr>
                <w:rFonts w:asciiTheme="minorHAnsi" w:hAnsiTheme="minorHAnsi"/>
                <w:sz w:val="22"/>
                <w:szCs w:val="22"/>
                <w:highlight w:val="yellow"/>
              </w:rPr>
              <w:t>359</w:t>
            </w:r>
            <w:r w:rsidRPr="00DE0265">
              <w:rPr>
                <w:rFonts w:asciiTheme="minorHAnsi" w:hAnsiTheme="minorHAnsi"/>
                <w:sz w:val="22"/>
                <w:szCs w:val="22"/>
                <w:highlight w:val="yellow"/>
              </w:rPr>
              <w:t>,</w:t>
            </w:r>
            <w:r>
              <w:rPr>
                <w:rFonts w:asciiTheme="minorHAnsi" w:hAnsiTheme="minorHAnsi"/>
                <w:sz w:val="22"/>
                <w:szCs w:val="22"/>
                <w:highlight w:val="yellow"/>
              </w:rPr>
              <w:t>914</w:t>
            </w:r>
          </w:p>
        </w:tc>
      </w:tr>
    </w:tbl>
    <w:p w:rsidR="009135CB" w:rsidRPr="00233B64"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00DB1ADB" w:rsidRPr="007B7E82" w:rsidRDefault="00DB1ADB" w:rsidP="00925656">
      <w:pPr>
        <w:tabs>
          <w:tab w:val="left" w:pos="1"/>
          <w:tab w:val="left" w:pos="1584"/>
          <w:tab w:val="left" w:pos="3888"/>
          <w:tab w:val="left" w:pos="5472"/>
          <w:tab w:val="left" w:pos="7200"/>
        </w:tabs>
        <w:spacing w:line="360" w:lineRule="auto"/>
        <w:rPr>
          <w:rFonts w:asciiTheme="minorHAnsi" w:hAnsiTheme="minorHAnsi"/>
          <w:sz w:val="22"/>
          <w:szCs w:val="22"/>
          <w:highlight w:val="yellow"/>
        </w:rPr>
      </w:pPr>
      <w:r w:rsidRPr="007B7E82">
        <w:rPr>
          <w:rFonts w:asciiTheme="minorHAnsi" w:hAnsiTheme="minorHAnsi"/>
          <w:sz w:val="22"/>
          <w:szCs w:val="22"/>
          <w:highlight w:val="yellow"/>
        </w:rPr>
        <w:t xml:space="preserve">The estimated </w:t>
      </w:r>
      <w:r w:rsidR="00350393" w:rsidRPr="007B7E82">
        <w:rPr>
          <w:rFonts w:asciiTheme="minorHAnsi" w:hAnsiTheme="minorHAnsi"/>
          <w:sz w:val="22"/>
          <w:szCs w:val="22"/>
          <w:highlight w:val="yellow"/>
        </w:rPr>
        <w:t xml:space="preserve">annualized cost </w:t>
      </w:r>
      <w:r w:rsidRPr="007B7E82">
        <w:rPr>
          <w:rFonts w:asciiTheme="minorHAnsi" w:hAnsiTheme="minorHAnsi"/>
          <w:sz w:val="22"/>
          <w:szCs w:val="22"/>
          <w:highlight w:val="yellow"/>
        </w:rPr>
        <w:t xml:space="preserve">to the government </w:t>
      </w:r>
      <w:r w:rsidR="00DE0265" w:rsidRPr="007B7E82">
        <w:rPr>
          <w:rFonts w:asciiTheme="minorHAnsi" w:hAnsiTheme="minorHAnsi"/>
          <w:sz w:val="22"/>
          <w:szCs w:val="22"/>
          <w:highlight w:val="yellow"/>
        </w:rPr>
        <w:t>for</w:t>
      </w:r>
      <w:r w:rsidRPr="007B7E82">
        <w:rPr>
          <w:rFonts w:asciiTheme="minorHAnsi" w:hAnsiTheme="minorHAnsi"/>
          <w:sz w:val="22"/>
          <w:szCs w:val="22"/>
          <w:highlight w:val="yellow"/>
        </w:rPr>
        <w:t xml:space="preserve"> N</w:t>
      </w:r>
      <w:r w:rsidR="002F52D3" w:rsidRPr="007B7E82">
        <w:rPr>
          <w:rFonts w:asciiTheme="minorHAnsi" w:hAnsiTheme="minorHAnsi"/>
          <w:sz w:val="22"/>
          <w:szCs w:val="22"/>
          <w:highlight w:val="yellow"/>
        </w:rPr>
        <w:t>NDSS</w:t>
      </w:r>
      <w:r w:rsidRPr="007B7E82">
        <w:rPr>
          <w:rFonts w:asciiTheme="minorHAnsi" w:hAnsiTheme="minorHAnsi"/>
          <w:sz w:val="22"/>
          <w:szCs w:val="22"/>
          <w:highlight w:val="yellow"/>
        </w:rPr>
        <w:t xml:space="preserve"> </w:t>
      </w:r>
      <w:r w:rsidR="008653A9" w:rsidRPr="007B7E82">
        <w:rPr>
          <w:rFonts w:asciiTheme="minorHAnsi" w:hAnsiTheme="minorHAnsi"/>
          <w:sz w:val="22"/>
          <w:szCs w:val="22"/>
          <w:highlight w:val="yellow"/>
        </w:rPr>
        <w:t>i</w:t>
      </w:r>
      <w:r w:rsidR="008D674A" w:rsidRPr="007B7E82">
        <w:rPr>
          <w:rFonts w:asciiTheme="minorHAnsi" w:hAnsiTheme="minorHAnsi"/>
          <w:sz w:val="22"/>
          <w:szCs w:val="22"/>
          <w:highlight w:val="yellow"/>
        </w:rPr>
        <w:t>s</w:t>
      </w:r>
      <w:r w:rsidR="008653A9" w:rsidRPr="007B7E82">
        <w:rPr>
          <w:rFonts w:asciiTheme="minorHAnsi" w:hAnsiTheme="minorHAnsi"/>
          <w:sz w:val="22"/>
          <w:szCs w:val="22"/>
          <w:highlight w:val="yellow"/>
        </w:rPr>
        <w:t xml:space="preserve"> $</w:t>
      </w:r>
      <w:r w:rsidR="005B630F" w:rsidRPr="007B7E82">
        <w:rPr>
          <w:rFonts w:asciiTheme="minorHAnsi" w:hAnsiTheme="minorHAnsi"/>
          <w:sz w:val="22"/>
          <w:szCs w:val="22"/>
          <w:highlight w:val="yellow"/>
        </w:rPr>
        <w:t>29,359,914</w:t>
      </w:r>
      <w:r w:rsidR="00541A6B" w:rsidRPr="007B7E82">
        <w:rPr>
          <w:rFonts w:asciiTheme="minorHAnsi" w:hAnsiTheme="minorHAnsi"/>
          <w:sz w:val="22"/>
          <w:szCs w:val="22"/>
          <w:highlight w:val="yellow"/>
        </w:rPr>
        <w:t xml:space="preserve"> </w:t>
      </w:r>
      <w:r w:rsidR="00DB6DED" w:rsidRPr="007B7E82">
        <w:rPr>
          <w:rFonts w:asciiTheme="minorHAnsi" w:hAnsiTheme="minorHAnsi"/>
          <w:sz w:val="22"/>
          <w:szCs w:val="22"/>
          <w:highlight w:val="yellow"/>
        </w:rPr>
        <w:t>(av</w:t>
      </w:r>
      <w:r w:rsidR="00350393" w:rsidRPr="007B7E82">
        <w:rPr>
          <w:rFonts w:asciiTheme="minorHAnsi" w:hAnsiTheme="minorHAnsi"/>
          <w:sz w:val="22"/>
          <w:szCs w:val="22"/>
          <w:highlight w:val="yellow"/>
        </w:rPr>
        <w:t>erage of three year</w:t>
      </w:r>
      <w:r w:rsidR="008D674A" w:rsidRPr="007B7E82">
        <w:rPr>
          <w:rFonts w:asciiTheme="minorHAnsi" w:hAnsiTheme="minorHAnsi"/>
          <w:sz w:val="22"/>
          <w:szCs w:val="22"/>
          <w:highlight w:val="yellow"/>
        </w:rPr>
        <w:t>s</w:t>
      </w:r>
      <w:r w:rsidR="00350393" w:rsidRPr="007B7E82">
        <w:rPr>
          <w:rFonts w:asciiTheme="minorHAnsi" w:hAnsiTheme="minorHAnsi"/>
          <w:sz w:val="22"/>
          <w:szCs w:val="22"/>
          <w:highlight w:val="yellow"/>
        </w:rPr>
        <w:t>).</w:t>
      </w:r>
    </w:p>
    <w:p w:rsidR="008B49BB" w:rsidRDefault="008B49BB" w:rsidP="00925656">
      <w:pPr>
        <w:tabs>
          <w:tab w:val="left" w:pos="1"/>
          <w:tab w:val="left" w:pos="1584"/>
          <w:tab w:val="left" w:pos="3888"/>
          <w:tab w:val="left" w:pos="5472"/>
          <w:tab w:val="left" w:pos="7200"/>
        </w:tabs>
        <w:spacing w:line="360" w:lineRule="auto"/>
        <w:rPr>
          <w:rFonts w:asciiTheme="minorHAnsi" w:hAnsiTheme="minorHAnsi"/>
          <w:b/>
          <w:sz w:val="22"/>
          <w:szCs w:val="22"/>
          <w:highlight w:val="yellow"/>
        </w:rPr>
      </w:pPr>
    </w:p>
    <w:p w:rsidR="009135CB" w:rsidRPr="00233B64" w:rsidRDefault="009135CB" w:rsidP="00925656">
      <w:pPr>
        <w:tabs>
          <w:tab w:val="left" w:pos="1"/>
          <w:tab w:val="left" w:pos="1584"/>
          <w:tab w:val="left" w:pos="3888"/>
          <w:tab w:val="left" w:pos="5472"/>
          <w:tab w:val="left" w:pos="7200"/>
        </w:tabs>
        <w:spacing w:line="360" w:lineRule="auto"/>
        <w:rPr>
          <w:rFonts w:asciiTheme="minorHAnsi" w:hAnsiTheme="minorHAnsi"/>
          <w:b/>
          <w:sz w:val="22"/>
          <w:szCs w:val="22"/>
          <w:highlight w:val="yellow"/>
          <w:u w:val="single"/>
        </w:rPr>
      </w:pPr>
      <w:r w:rsidRPr="00233B64">
        <w:rPr>
          <w:rFonts w:asciiTheme="minorHAnsi" w:hAnsiTheme="minorHAnsi"/>
          <w:b/>
          <w:sz w:val="22"/>
          <w:szCs w:val="22"/>
          <w:highlight w:val="yellow"/>
        </w:rPr>
        <w:t xml:space="preserve">A.15. </w:t>
      </w:r>
      <w:r w:rsidRPr="00233B64">
        <w:rPr>
          <w:rFonts w:asciiTheme="minorHAnsi" w:hAnsiTheme="minorHAnsi"/>
          <w:b/>
          <w:sz w:val="22"/>
          <w:szCs w:val="22"/>
          <w:highlight w:val="yellow"/>
          <w:u w:val="single"/>
        </w:rPr>
        <w:t>Explanation for Program Changes or Adjustments</w:t>
      </w:r>
    </w:p>
    <w:p w:rsidR="00655D4F" w:rsidRPr="00C51476" w:rsidRDefault="00FE7133" w:rsidP="00C5147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r w:rsidRPr="00BD4EF0">
        <w:rPr>
          <w:rFonts w:asciiTheme="minorHAnsi" w:hAnsiTheme="minorHAnsi"/>
          <w:color w:val="000000"/>
          <w:sz w:val="22"/>
          <w:szCs w:val="22"/>
          <w:highlight w:val="yellow"/>
        </w:rPr>
        <w:t xml:space="preserve">Changes to NNDSS </w:t>
      </w:r>
      <w:r w:rsidR="00681ED1" w:rsidRPr="00BD4EF0">
        <w:rPr>
          <w:rFonts w:asciiTheme="minorHAnsi" w:hAnsiTheme="minorHAnsi"/>
          <w:color w:val="000000"/>
          <w:sz w:val="22"/>
          <w:szCs w:val="22"/>
          <w:highlight w:val="yellow"/>
        </w:rPr>
        <w:t>in this revision includ</w:t>
      </w:r>
      <w:r w:rsidR="003528DF" w:rsidRPr="00BD4EF0">
        <w:rPr>
          <w:rFonts w:asciiTheme="minorHAnsi" w:hAnsiTheme="minorHAnsi"/>
          <w:color w:val="000000"/>
          <w:sz w:val="22"/>
          <w:szCs w:val="22"/>
          <w:highlight w:val="yellow"/>
        </w:rPr>
        <w:t xml:space="preserve">e </w:t>
      </w:r>
      <w:r w:rsidR="00C51476" w:rsidRPr="00C51476">
        <w:rPr>
          <w:rFonts w:asciiTheme="minorHAnsi" w:hAnsiTheme="minorHAnsi"/>
          <w:color w:val="000000"/>
          <w:sz w:val="22"/>
          <w:szCs w:val="22"/>
          <w:highlight w:val="yellow"/>
        </w:rPr>
        <w:t xml:space="preserve">receipt of case notification data for </w:t>
      </w:r>
      <w:r w:rsidR="00C51476" w:rsidRPr="00C51476">
        <w:rPr>
          <w:rFonts w:asciiTheme="minorHAnsi" w:hAnsiTheme="minorHAnsi"/>
          <w:i/>
          <w:color w:val="000000"/>
          <w:sz w:val="22"/>
          <w:szCs w:val="22"/>
          <w:highlight w:val="yellow"/>
        </w:rPr>
        <w:t>C. auris</w:t>
      </w:r>
      <w:r w:rsidR="00C51476" w:rsidRPr="00C51476">
        <w:rPr>
          <w:rFonts w:asciiTheme="minorHAnsi" w:hAnsiTheme="minorHAnsi"/>
          <w:color w:val="000000"/>
          <w:sz w:val="22"/>
          <w:szCs w:val="22"/>
          <w:highlight w:val="yellow"/>
        </w:rPr>
        <w:t xml:space="preserve"> which is now nationally notifiable; receipt of case notification data and disease-specific data elements for CP-CRE which is now nationally notifiable; </w:t>
      </w:r>
      <w:r w:rsidR="00174FA7" w:rsidRPr="00A36118">
        <w:rPr>
          <w:rFonts w:asciiTheme="minorHAnsi" w:hAnsiTheme="minorHAnsi"/>
          <w:color w:val="000000"/>
          <w:sz w:val="22"/>
          <w:szCs w:val="22"/>
          <w:highlight w:val="yellow"/>
        </w:rPr>
        <w:t xml:space="preserve">receipt of case notification data and disease-specific data elements for </w:t>
      </w:r>
      <w:r w:rsidR="00174FA7" w:rsidRPr="0012437B">
        <w:rPr>
          <w:rFonts w:asciiTheme="minorHAnsi" w:hAnsiTheme="minorHAnsi"/>
          <w:i/>
          <w:color w:val="000000"/>
          <w:sz w:val="22"/>
          <w:szCs w:val="22"/>
          <w:highlight w:val="yellow"/>
        </w:rPr>
        <w:t>S</w:t>
      </w:r>
      <w:r w:rsidR="00174FA7" w:rsidRPr="00A36118">
        <w:rPr>
          <w:rFonts w:asciiTheme="minorHAnsi" w:hAnsiTheme="minorHAnsi"/>
          <w:color w:val="000000"/>
          <w:sz w:val="22"/>
          <w:szCs w:val="22"/>
          <w:highlight w:val="yellow"/>
        </w:rPr>
        <w:t>. Paratyphi Infection which is now nationally notifiable; renam</w:t>
      </w:r>
      <w:r w:rsidR="0012437B">
        <w:rPr>
          <w:rFonts w:asciiTheme="minorHAnsi" w:hAnsiTheme="minorHAnsi"/>
          <w:color w:val="000000"/>
          <w:sz w:val="22"/>
          <w:szCs w:val="22"/>
          <w:highlight w:val="yellow"/>
        </w:rPr>
        <w:t>ing</w:t>
      </w:r>
      <w:r w:rsidR="00174FA7" w:rsidRPr="00A36118">
        <w:rPr>
          <w:rFonts w:asciiTheme="minorHAnsi" w:hAnsiTheme="minorHAnsi"/>
          <w:color w:val="000000"/>
          <w:sz w:val="22"/>
          <w:szCs w:val="22"/>
          <w:highlight w:val="yellow"/>
        </w:rPr>
        <w:t xml:space="preserve"> Typhoid Fever to “</w:t>
      </w:r>
      <w:r w:rsidR="00174FA7" w:rsidRPr="0012437B">
        <w:rPr>
          <w:rFonts w:asciiTheme="minorHAnsi" w:hAnsiTheme="minorHAnsi"/>
          <w:i/>
          <w:color w:val="000000"/>
          <w:sz w:val="22"/>
          <w:szCs w:val="22"/>
          <w:highlight w:val="yellow"/>
        </w:rPr>
        <w:t>S</w:t>
      </w:r>
      <w:r w:rsidR="00174FA7" w:rsidRPr="00A36118">
        <w:rPr>
          <w:rFonts w:asciiTheme="minorHAnsi" w:hAnsiTheme="minorHAnsi"/>
          <w:color w:val="000000"/>
          <w:sz w:val="22"/>
          <w:szCs w:val="22"/>
          <w:highlight w:val="yellow"/>
        </w:rPr>
        <w:t xml:space="preserve">. Typhi Infection” on the List of Nationally Notifiable Conditions; </w:t>
      </w:r>
      <w:r w:rsidR="00A36118" w:rsidRPr="00A36118">
        <w:rPr>
          <w:rFonts w:asciiTheme="minorHAnsi" w:hAnsiTheme="minorHAnsi"/>
          <w:color w:val="000000"/>
          <w:sz w:val="22"/>
          <w:szCs w:val="22"/>
          <w:highlight w:val="yellow"/>
        </w:rPr>
        <w:t xml:space="preserve">receipt of case notification data and disease-specific data elements for CO Poisoning; </w:t>
      </w:r>
      <w:r w:rsidR="00C51476" w:rsidRPr="00A36118">
        <w:rPr>
          <w:rFonts w:asciiTheme="minorHAnsi" w:hAnsiTheme="minorHAnsi"/>
          <w:color w:val="000000"/>
          <w:sz w:val="22"/>
          <w:szCs w:val="22"/>
          <w:highlight w:val="yellow"/>
        </w:rPr>
        <w:t>r</w:t>
      </w:r>
      <w:r w:rsidR="00C51476" w:rsidRPr="00C51476">
        <w:rPr>
          <w:rFonts w:asciiTheme="minorHAnsi" w:hAnsiTheme="minorHAnsi"/>
          <w:color w:val="000000"/>
          <w:sz w:val="22"/>
          <w:szCs w:val="22"/>
          <w:highlight w:val="yellow"/>
        </w:rPr>
        <w:t xml:space="preserve">eceipt of case notification data and disease-specific data elements for TB Disease; receipt of case notification data and disease-specific data elements for TB Infection which is now under standardized surveillance; receipt of case notification data for RSV-Associated Mortality which is now under standardized surveillance; receipt of disease-specific data elements for STEC, </w:t>
      </w:r>
      <w:r w:rsidR="00C51476" w:rsidRPr="00F707A6">
        <w:rPr>
          <w:rFonts w:asciiTheme="minorHAnsi" w:hAnsiTheme="minorHAnsi"/>
          <w:color w:val="000000"/>
          <w:sz w:val="22"/>
          <w:szCs w:val="22"/>
          <w:highlight w:val="yellow"/>
        </w:rPr>
        <w:t>Salmonellosis, Shigellosis</w:t>
      </w:r>
      <w:r w:rsidR="00C51476" w:rsidRPr="00C51476">
        <w:rPr>
          <w:rFonts w:asciiTheme="minorHAnsi" w:hAnsiTheme="minorHAnsi"/>
          <w:color w:val="000000"/>
          <w:sz w:val="22"/>
          <w:szCs w:val="22"/>
          <w:highlight w:val="yellow"/>
        </w:rPr>
        <w:t xml:space="preserve">, Campylobacteriosis, Cryptosporidiosis, Cyclosporiasis, Cholera, Vibriosis, </w:t>
      </w:r>
      <w:r w:rsidR="00C51476" w:rsidRPr="00C51476">
        <w:rPr>
          <w:rFonts w:asciiTheme="minorHAnsi" w:hAnsiTheme="minorHAnsi"/>
          <w:i/>
          <w:color w:val="000000"/>
          <w:sz w:val="22"/>
          <w:szCs w:val="22"/>
          <w:highlight w:val="yellow"/>
        </w:rPr>
        <w:t>S</w:t>
      </w:r>
      <w:r w:rsidR="00C51476" w:rsidRPr="00C51476">
        <w:rPr>
          <w:rFonts w:asciiTheme="minorHAnsi" w:hAnsiTheme="minorHAnsi"/>
          <w:color w:val="000000"/>
          <w:sz w:val="22"/>
          <w:szCs w:val="22"/>
          <w:highlight w:val="yellow"/>
        </w:rPr>
        <w:t xml:space="preserve">. Typhi Infection, </w:t>
      </w:r>
      <w:r w:rsidR="00C51476" w:rsidRPr="00C51476">
        <w:rPr>
          <w:rFonts w:asciiTheme="minorHAnsi" w:hAnsiTheme="minorHAnsi"/>
          <w:i/>
          <w:color w:val="000000"/>
          <w:sz w:val="22"/>
          <w:szCs w:val="22"/>
          <w:highlight w:val="yellow"/>
        </w:rPr>
        <w:t>S</w:t>
      </w:r>
      <w:r w:rsidR="00C51476" w:rsidRPr="00C51476">
        <w:rPr>
          <w:rFonts w:asciiTheme="minorHAnsi" w:hAnsiTheme="minorHAnsi"/>
          <w:color w:val="000000"/>
          <w:sz w:val="22"/>
          <w:szCs w:val="22"/>
          <w:highlight w:val="yellow"/>
        </w:rPr>
        <w:t xml:space="preserve">. Paratyphi Infection, Lyme Disease, Invasive </w:t>
      </w:r>
      <w:r w:rsidR="00C51476" w:rsidRPr="00E42D3E">
        <w:rPr>
          <w:rFonts w:asciiTheme="minorHAnsi" w:hAnsiTheme="minorHAnsi"/>
          <w:i/>
          <w:color w:val="000000"/>
          <w:sz w:val="22"/>
          <w:szCs w:val="22"/>
          <w:highlight w:val="yellow"/>
        </w:rPr>
        <w:t>Haemophilus influenzae</w:t>
      </w:r>
      <w:r w:rsidR="00C51476" w:rsidRPr="00C51476">
        <w:rPr>
          <w:rFonts w:asciiTheme="minorHAnsi" w:hAnsiTheme="minorHAnsi"/>
          <w:color w:val="000000"/>
          <w:sz w:val="22"/>
          <w:szCs w:val="22"/>
          <w:highlight w:val="yellow"/>
        </w:rPr>
        <w:t xml:space="preserve"> Disease, Meningococcal Disease, Invasive Pneumococcal Disease, Psittacosis, Legionellosis, TBRD, and Hepatitis; </w:t>
      </w:r>
      <w:r w:rsidR="0012437B">
        <w:rPr>
          <w:rFonts w:asciiTheme="minorHAnsi" w:hAnsiTheme="minorHAnsi"/>
          <w:color w:val="000000"/>
          <w:sz w:val="22"/>
          <w:szCs w:val="22"/>
          <w:highlight w:val="yellow"/>
        </w:rPr>
        <w:t xml:space="preserve">the </w:t>
      </w:r>
      <w:r w:rsidR="00C51476" w:rsidRPr="00C51476">
        <w:rPr>
          <w:rFonts w:asciiTheme="minorHAnsi" w:hAnsiTheme="minorHAnsi"/>
          <w:color w:val="000000"/>
          <w:sz w:val="22"/>
          <w:szCs w:val="22"/>
          <w:highlight w:val="yellow"/>
        </w:rPr>
        <w:t xml:space="preserve">extension of the pilot period by </w:t>
      </w:r>
      <w:r w:rsidR="000C5050">
        <w:rPr>
          <w:rFonts w:asciiTheme="minorHAnsi" w:hAnsiTheme="minorHAnsi"/>
          <w:color w:val="000000"/>
          <w:sz w:val="22"/>
          <w:szCs w:val="22"/>
          <w:highlight w:val="yellow"/>
        </w:rPr>
        <w:t>three</w:t>
      </w:r>
      <w:r w:rsidR="000C5050" w:rsidRPr="00C51476">
        <w:rPr>
          <w:rFonts w:asciiTheme="minorHAnsi" w:hAnsiTheme="minorHAnsi"/>
          <w:color w:val="000000"/>
          <w:sz w:val="22"/>
          <w:szCs w:val="22"/>
          <w:highlight w:val="yellow"/>
        </w:rPr>
        <w:t xml:space="preserve"> </w:t>
      </w:r>
      <w:r w:rsidR="00C51476" w:rsidRPr="00C51476">
        <w:rPr>
          <w:rFonts w:asciiTheme="minorHAnsi" w:hAnsiTheme="minorHAnsi"/>
          <w:color w:val="000000"/>
          <w:sz w:val="22"/>
          <w:szCs w:val="22"/>
          <w:highlight w:val="yellow"/>
        </w:rPr>
        <w:t>years for receiving SO/GI data elements for STD</w:t>
      </w:r>
      <w:r w:rsidR="000C5050">
        <w:rPr>
          <w:rFonts w:asciiTheme="minorHAnsi" w:hAnsiTheme="minorHAnsi"/>
          <w:color w:val="000000"/>
          <w:sz w:val="22"/>
          <w:szCs w:val="22"/>
          <w:highlight w:val="yellow"/>
        </w:rPr>
        <w:t xml:space="preserve">; and the administration of a short assessment </w:t>
      </w:r>
      <w:r w:rsidR="00DA0CF6">
        <w:rPr>
          <w:rFonts w:asciiTheme="minorHAnsi" w:hAnsiTheme="minorHAnsi"/>
          <w:color w:val="000000"/>
          <w:sz w:val="22"/>
          <w:szCs w:val="22"/>
          <w:highlight w:val="yellow"/>
        </w:rPr>
        <w:t xml:space="preserve">survey </w:t>
      </w:r>
      <w:r w:rsidR="000C5050">
        <w:rPr>
          <w:rFonts w:asciiTheme="minorHAnsi" w:hAnsiTheme="minorHAnsi"/>
          <w:color w:val="000000"/>
          <w:sz w:val="22"/>
          <w:szCs w:val="22"/>
          <w:highlight w:val="yellow"/>
        </w:rPr>
        <w:t>to jurisdictions reporting SO/GI data elements</w:t>
      </w:r>
      <w:r w:rsidR="00C51476" w:rsidRPr="00C51476">
        <w:rPr>
          <w:rFonts w:asciiTheme="minorHAnsi" w:hAnsiTheme="minorHAnsi"/>
          <w:color w:val="000000"/>
          <w:sz w:val="22"/>
          <w:szCs w:val="22"/>
          <w:highlight w:val="yellow"/>
        </w:rPr>
        <w:t>.</w:t>
      </w:r>
    </w:p>
    <w:p w:rsidR="00875EC5" w:rsidRDefault="00875EC5" w:rsidP="005A0347">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001F6444" w:rsidRPr="00087893" w:rsidRDefault="00B12048" w:rsidP="005A034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B12048">
        <w:rPr>
          <w:rFonts w:asciiTheme="minorHAnsi" w:hAnsiTheme="minorHAnsi"/>
          <w:color w:val="000000"/>
          <w:sz w:val="22"/>
          <w:szCs w:val="22"/>
          <w:highlight w:val="yellow"/>
        </w:rPr>
        <w:t xml:space="preserve">The total burden </w:t>
      </w:r>
      <w:r w:rsidR="008564FB">
        <w:rPr>
          <w:rFonts w:asciiTheme="minorHAnsi" w:hAnsiTheme="minorHAnsi"/>
          <w:color w:val="000000"/>
          <w:sz w:val="22"/>
          <w:szCs w:val="22"/>
          <w:highlight w:val="yellow"/>
        </w:rPr>
        <w:t xml:space="preserve">hours </w:t>
      </w:r>
      <w:r w:rsidR="00762DE7">
        <w:rPr>
          <w:rFonts w:asciiTheme="minorHAnsi" w:hAnsiTheme="minorHAnsi"/>
          <w:color w:val="000000"/>
          <w:sz w:val="22"/>
          <w:szCs w:val="22"/>
          <w:highlight w:val="yellow"/>
        </w:rPr>
        <w:t>increased</w:t>
      </w:r>
      <w:r w:rsidR="00176AB6" w:rsidRPr="00374037">
        <w:rPr>
          <w:rFonts w:asciiTheme="minorHAnsi" w:hAnsiTheme="minorHAnsi"/>
          <w:color w:val="000000"/>
          <w:sz w:val="22"/>
          <w:szCs w:val="22"/>
          <w:highlight w:val="yellow"/>
        </w:rPr>
        <w:t xml:space="preserve"> since the last </w:t>
      </w:r>
      <w:r w:rsidR="001B2B71">
        <w:rPr>
          <w:rFonts w:asciiTheme="minorHAnsi" w:hAnsiTheme="minorHAnsi"/>
          <w:color w:val="000000"/>
          <w:sz w:val="22"/>
          <w:szCs w:val="22"/>
          <w:highlight w:val="yellow"/>
        </w:rPr>
        <w:t>revision</w:t>
      </w:r>
      <w:r w:rsidR="00176AB6" w:rsidRPr="00374037">
        <w:rPr>
          <w:rFonts w:asciiTheme="minorHAnsi" w:hAnsiTheme="minorHAnsi"/>
          <w:color w:val="000000"/>
          <w:sz w:val="22"/>
          <w:szCs w:val="22"/>
          <w:highlight w:val="yellow"/>
        </w:rPr>
        <w:t xml:space="preserve"> because </w:t>
      </w:r>
      <w:r w:rsidR="001B2B71">
        <w:rPr>
          <w:rFonts w:asciiTheme="minorHAnsi" w:hAnsiTheme="minorHAnsi"/>
          <w:color w:val="000000"/>
          <w:sz w:val="22"/>
          <w:szCs w:val="22"/>
          <w:highlight w:val="yellow"/>
        </w:rPr>
        <w:t xml:space="preserve">of </w:t>
      </w:r>
      <w:r w:rsidR="00520BE1">
        <w:rPr>
          <w:rFonts w:asciiTheme="minorHAnsi" w:hAnsiTheme="minorHAnsi"/>
          <w:color w:val="000000"/>
          <w:sz w:val="22"/>
          <w:szCs w:val="22"/>
          <w:highlight w:val="yellow"/>
        </w:rPr>
        <w:t>the addition of diseases and disease-specific data elements</w:t>
      </w:r>
      <w:r w:rsidR="00176AB6" w:rsidRPr="00374037">
        <w:rPr>
          <w:rFonts w:asciiTheme="minorHAnsi" w:hAnsiTheme="minorHAnsi"/>
          <w:color w:val="000000"/>
          <w:sz w:val="22"/>
          <w:szCs w:val="22"/>
          <w:highlight w:val="yellow"/>
        </w:rPr>
        <w:t xml:space="preserve">. Going forward, </w:t>
      </w:r>
      <w:r w:rsidR="00BD4EF0">
        <w:rPr>
          <w:rFonts w:asciiTheme="minorHAnsi" w:hAnsiTheme="minorHAnsi"/>
          <w:color w:val="000000"/>
          <w:sz w:val="22"/>
          <w:szCs w:val="22"/>
          <w:highlight w:val="yellow"/>
        </w:rPr>
        <w:t xml:space="preserve">there will </w:t>
      </w:r>
      <w:r w:rsidR="00655D4F" w:rsidRPr="00374037">
        <w:rPr>
          <w:rFonts w:asciiTheme="minorHAnsi" w:hAnsiTheme="minorHAnsi"/>
          <w:color w:val="000000"/>
          <w:sz w:val="22"/>
          <w:szCs w:val="22"/>
          <w:highlight w:val="yellow"/>
        </w:rPr>
        <w:t>be a one-time increase in the burden estimate</w:t>
      </w:r>
      <w:r w:rsidR="001C2130" w:rsidRPr="00374037">
        <w:rPr>
          <w:rFonts w:asciiTheme="minorHAnsi" w:hAnsiTheme="minorHAnsi"/>
          <w:color w:val="000000"/>
          <w:sz w:val="22"/>
          <w:szCs w:val="22"/>
          <w:highlight w:val="yellow"/>
        </w:rPr>
        <w:t>s</w:t>
      </w:r>
      <w:r w:rsidR="00655D4F" w:rsidRPr="00374037">
        <w:rPr>
          <w:rFonts w:asciiTheme="minorHAnsi" w:hAnsiTheme="minorHAnsi"/>
          <w:color w:val="000000"/>
          <w:sz w:val="22"/>
          <w:szCs w:val="22"/>
          <w:highlight w:val="yellow"/>
        </w:rPr>
        <w:t xml:space="preserve"> each time new dat</w:t>
      </w:r>
      <w:r w:rsidR="00574A48" w:rsidRPr="00374037">
        <w:rPr>
          <w:rFonts w:asciiTheme="minorHAnsi" w:hAnsiTheme="minorHAnsi"/>
          <w:color w:val="000000"/>
          <w:sz w:val="22"/>
          <w:szCs w:val="22"/>
          <w:highlight w:val="yellow"/>
        </w:rPr>
        <w:t>a elements or new conditions are</w:t>
      </w:r>
      <w:r w:rsidR="00655D4F" w:rsidRPr="00374037">
        <w:rPr>
          <w:rFonts w:asciiTheme="minorHAnsi" w:hAnsiTheme="minorHAnsi"/>
          <w:color w:val="000000"/>
          <w:sz w:val="22"/>
          <w:szCs w:val="22"/>
          <w:highlight w:val="yellow"/>
        </w:rPr>
        <w:t xml:space="preserve"> added. The one-time increase in the burden estimate</w:t>
      </w:r>
      <w:r w:rsidR="001C2130" w:rsidRPr="00374037">
        <w:rPr>
          <w:rFonts w:asciiTheme="minorHAnsi" w:hAnsiTheme="minorHAnsi"/>
          <w:color w:val="000000"/>
          <w:sz w:val="22"/>
          <w:szCs w:val="22"/>
          <w:highlight w:val="yellow"/>
        </w:rPr>
        <w:t>s</w:t>
      </w:r>
      <w:r w:rsidR="00655D4F" w:rsidRPr="00374037">
        <w:rPr>
          <w:rFonts w:asciiTheme="minorHAnsi" w:hAnsiTheme="minorHAnsi"/>
          <w:color w:val="000000"/>
          <w:sz w:val="22"/>
          <w:szCs w:val="22"/>
          <w:highlight w:val="yellow"/>
        </w:rPr>
        <w:t xml:space="preserve"> for adding new data elements wi</w:t>
      </w:r>
      <w:r w:rsidR="00574A48" w:rsidRPr="00374037">
        <w:rPr>
          <w:rFonts w:asciiTheme="minorHAnsi" w:hAnsiTheme="minorHAnsi"/>
          <w:color w:val="000000"/>
          <w:sz w:val="22"/>
          <w:szCs w:val="22"/>
          <w:highlight w:val="yellow"/>
        </w:rPr>
        <w:t xml:space="preserve">ll </w:t>
      </w:r>
      <w:r w:rsidR="00520BE1">
        <w:rPr>
          <w:rFonts w:asciiTheme="minorHAnsi" w:hAnsiTheme="minorHAnsi"/>
          <w:color w:val="000000"/>
          <w:sz w:val="22"/>
          <w:szCs w:val="22"/>
          <w:highlight w:val="yellow"/>
        </w:rPr>
        <w:t xml:space="preserve">continue to </w:t>
      </w:r>
      <w:r w:rsidR="00574A48" w:rsidRPr="00374037">
        <w:rPr>
          <w:rFonts w:asciiTheme="minorHAnsi" w:hAnsiTheme="minorHAnsi"/>
          <w:color w:val="000000"/>
          <w:sz w:val="22"/>
          <w:szCs w:val="22"/>
          <w:highlight w:val="yellow"/>
        </w:rPr>
        <w:t xml:space="preserve">be reflected </w:t>
      </w:r>
      <w:r w:rsidR="000002C6">
        <w:rPr>
          <w:rFonts w:asciiTheme="minorHAnsi" w:hAnsiTheme="minorHAnsi"/>
          <w:color w:val="000000"/>
          <w:sz w:val="22"/>
          <w:szCs w:val="22"/>
          <w:highlight w:val="yellow"/>
        </w:rPr>
        <w:t xml:space="preserve">as a separate line </w:t>
      </w:r>
      <w:r w:rsidR="00574A48" w:rsidRPr="00374037">
        <w:rPr>
          <w:rFonts w:asciiTheme="minorHAnsi" w:hAnsiTheme="minorHAnsi"/>
          <w:color w:val="000000"/>
          <w:sz w:val="22"/>
          <w:szCs w:val="22"/>
          <w:highlight w:val="yellow"/>
        </w:rPr>
        <w:t xml:space="preserve">in the burden table in </w:t>
      </w:r>
      <w:r w:rsidR="00E62303">
        <w:rPr>
          <w:rFonts w:asciiTheme="minorHAnsi" w:hAnsiTheme="minorHAnsi"/>
          <w:color w:val="000000"/>
          <w:sz w:val="22"/>
          <w:szCs w:val="22"/>
          <w:highlight w:val="yellow"/>
        </w:rPr>
        <w:t>an ICR revision or a</w:t>
      </w:r>
      <w:r w:rsidR="00574A48" w:rsidRPr="00374037">
        <w:rPr>
          <w:rFonts w:asciiTheme="minorHAnsi" w:hAnsiTheme="minorHAnsi"/>
          <w:color w:val="000000"/>
          <w:sz w:val="22"/>
          <w:szCs w:val="22"/>
          <w:highlight w:val="yellow"/>
        </w:rPr>
        <w:t xml:space="preserve"> non-substantive change request. </w:t>
      </w:r>
    </w:p>
    <w:p w:rsidR="00574A48" w:rsidRDefault="00574A48"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A.16. </w:t>
      </w:r>
      <w:r w:rsidRPr="00FF55BF">
        <w:rPr>
          <w:rFonts w:asciiTheme="minorHAnsi" w:hAnsiTheme="minorHAnsi"/>
          <w:b/>
          <w:color w:val="000000"/>
          <w:sz w:val="22"/>
          <w:szCs w:val="22"/>
          <w:u w:val="single"/>
        </w:rPr>
        <w:t>Plans for Tabulation and Publication and Project Time Schedule</w:t>
      </w:r>
      <w:r w:rsidR="00F35B3D" w:rsidRPr="00FF55BF">
        <w:rPr>
          <w:rFonts w:asciiTheme="minorHAnsi" w:hAnsiTheme="minorHAnsi"/>
          <w:b/>
          <w:color w:val="000000"/>
          <w:sz w:val="22"/>
          <w:szCs w:val="22"/>
          <w:u w:val="single"/>
        </w:rPr>
        <w:t xml:space="preserve"> </w:t>
      </w:r>
    </w:p>
    <w:p w:rsidR="00A3762E" w:rsidRPr="00FF55BF" w:rsidRDefault="00801EDD"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0A7B87">
        <w:rPr>
          <w:rFonts w:asciiTheme="minorHAnsi" w:hAnsiTheme="minorHAnsi"/>
          <w:color w:val="000000"/>
          <w:sz w:val="22"/>
          <w:szCs w:val="22"/>
        </w:rPr>
        <w:t xml:space="preserve">CDC tabulates and publishes provisional counts of </w:t>
      </w:r>
      <w:r w:rsidR="004D2578" w:rsidRPr="000A7B87">
        <w:rPr>
          <w:rFonts w:asciiTheme="minorHAnsi" w:hAnsiTheme="minorHAnsi"/>
          <w:color w:val="000000"/>
          <w:sz w:val="22"/>
          <w:szCs w:val="22"/>
        </w:rPr>
        <w:t xml:space="preserve">nationally </w:t>
      </w:r>
      <w:r w:rsidRPr="000A7B87">
        <w:rPr>
          <w:rFonts w:asciiTheme="minorHAnsi" w:hAnsiTheme="minorHAnsi"/>
          <w:color w:val="000000"/>
          <w:sz w:val="22"/>
          <w:szCs w:val="22"/>
        </w:rPr>
        <w:t xml:space="preserve">notifiable </w:t>
      </w:r>
      <w:r w:rsidR="004D2578" w:rsidRPr="000A7B87">
        <w:rPr>
          <w:rFonts w:asciiTheme="minorHAnsi" w:hAnsiTheme="minorHAnsi"/>
          <w:color w:val="000000"/>
          <w:sz w:val="22"/>
          <w:szCs w:val="22"/>
        </w:rPr>
        <w:t>conditions</w:t>
      </w:r>
      <w:r w:rsidRPr="000A7B87">
        <w:rPr>
          <w:rFonts w:asciiTheme="minorHAnsi" w:hAnsiTheme="minorHAnsi"/>
          <w:color w:val="000000"/>
          <w:sz w:val="22"/>
          <w:szCs w:val="22"/>
        </w:rPr>
        <w:t xml:space="preserve"> each week.</w:t>
      </w:r>
      <w:r w:rsidR="00D5544D" w:rsidRPr="000A7B87">
        <w:rPr>
          <w:rFonts w:asciiTheme="minorHAnsi" w:hAnsiTheme="minorHAnsi"/>
          <w:color w:val="000000"/>
          <w:sz w:val="22"/>
          <w:szCs w:val="22"/>
        </w:rPr>
        <w:t xml:space="preserve"> </w:t>
      </w:r>
      <w:r w:rsidR="007C4041" w:rsidRPr="000A7B87">
        <w:rPr>
          <w:rFonts w:asciiTheme="minorHAnsi" w:hAnsiTheme="minorHAnsi"/>
          <w:color w:val="000000"/>
          <w:sz w:val="22"/>
          <w:szCs w:val="22"/>
        </w:rPr>
        <w:t>In the past, t</w:t>
      </w:r>
      <w:r w:rsidR="00A3762E" w:rsidRPr="000A7B87">
        <w:rPr>
          <w:rFonts w:asciiTheme="minorHAnsi" w:hAnsiTheme="minorHAnsi"/>
          <w:color w:val="000000"/>
          <w:sz w:val="22"/>
          <w:szCs w:val="22"/>
        </w:rPr>
        <w:t>he</w:t>
      </w:r>
      <w:r w:rsidR="007C4041" w:rsidRPr="000A7B87">
        <w:rPr>
          <w:rFonts w:asciiTheme="minorHAnsi" w:hAnsiTheme="minorHAnsi"/>
          <w:color w:val="000000"/>
          <w:sz w:val="22"/>
          <w:szCs w:val="22"/>
        </w:rPr>
        <w:t>se</w:t>
      </w:r>
      <w:r w:rsidR="00A3762E" w:rsidRPr="000A7B87">
        <w:rPr>
          <w:rFonts w:asciiTheme="minorHAnsi" w:hAnsiTheme="minorHAnsi"/>
          <w:color w:val="000000"/>
          <w:sz w:val="22"/>
          <w:szCs w:val="22"/>
        </w:rPr>
        <w:t xml:space="preserve"> data </w:t>
      </w:r>
      <w:r w:rsidR="007C4041" w:rsidRPr="000A7B87">
        <w:rPr>
          <w:rFonts w:asciiTheme="minorHAnsi" w:hAnsiTheme="minorHAnsi"/>
          <w:color w:val="000000"/>
          <w:sz w:val="22"/>
          <w:szCs w:val="22"/>
        </w:rPr>
        <w:t>were</w:t>
      </w:r>
      <w:r w:rsidR="00A3762E" w:rsidRPr="000A7B87">
        <w:rPr>
          <w:rFonts w:asciiTheme="minorHAnsi" w:hAnsiTheme="minorHAnsi"/>
          <w:color w:val="000000"/>
          <w:sz w:val="22"/>
          <w:szCs w:val="22"/>
        </w:rPr>
        <w:t xml:space="preserve"> published in the </w:t>
      </w:r>
      <w:r w:rsidR="00A3762E" w:rsidRPr="000A7B87">
        <w:rPr>
          <w:rFonts w:asciiTheme="minorHAnsi" w:hAnsiTheme="minorHAnsi"/>
          <w:i/>
          <w:color w:val="000000"/>
          <w:sz w:val="22"/>
          <w:szCs w:val="22"/>
        </w:rPr>
        <w:t>MMWR</w:t>
      </w:r>
      <w:r w:rsidR="00D0458A" w:rsidRPr="000A7B87">
        <w:rPr>
          <w:rFonts w:asciiTheme="minorHAnsi" w:hAnsiTheme="minorHAnsi"/>
          <w:color w:val="000000"/>
          <w:sz w:val="22"/>
          <w:szCs w:val="22"/>
        </w:rPr>
        <w:t xml:space="preserve"> </w:t>
      </w:r>
      <w:r w:rsidR="00A3762E" w:rsidRPr="000A7B87">
        <w:rPr>
          <w:rFonts w:asciiTheme="minorHAnsi" w:hAnsiTheme="minorHAnsi"/>
          <w:color w:val="000000"/>
          <w:sz w:val="22"/>
          <w:szCs w:val="22"/>
        </w:rPr>
        <w:t xml:space="preserve">and </w:t>
      </w:r>
      <w:r w:rsidR="007C4041" w:rsidRPr="000A7B87">
        <w:rPr>
          <w:rFonts w:asciiTheme="minorHAnsi" w:hAnsiTheme="minorHAnsi"/>
          <w:color w:val="000000"/>
          <w:sz w:val="22"/>
          <w:szCs w:val="22"/>
        </w:rPr>
        <w:t xml:space="preserve">were </w:t>
      </w:r>
      <w:r w:rsidR="00A3762E" w:rsidRPr="000A7B87">
        <w:rPr>
          <w:rFonts w:asciiTheme="minorHAnsi" w:hAnsiTheme="minorHAnsi"/>
          <w:color w:val="000000"/>
          <w:sz w:val="22"/>
          <w:szCs w:val="22"/>
        </w:rPr>
        <w:t xml:space="preserve">available </w:t>
      </w:r>
      <w:r w:rsidR="007C4041" w:rsidRPr="000A7B87">
        <w:rPr>
          <w:rFonts w:asciiTheme="minorHAnsi" w:hAnsiTheme="minorHAnsi"/>
          <w:color w:val="000000"/>
          <w:sz w:val="22"/>
          <w:szCs w:val="22"/>
        </w:rPr>
        <w:t>through CDC WONDER and data.cdc.gov.</w:t>
      </w:r>
      <w:r w:rsidR="00A3762E" w:rsidRPr="000A7B87">
        <w:rPr>
          <w:rFonts w:asciiTheme="minorHAnsi" w:hAnsiTheme="minorHAnsi"/>
          <w:color w:val="000000"/>
          <w:sz w:val="22"/>
          <w:szCs w:val="22"/>
        </w:rPr>
        <w:t xml:space="preserve">  </w:t>
      </w:r>
      <w:r w:rsidR="00C45FD6" w:rsidRPr="000A7B87">
        <w:rPr>
          <w:rFonts w:asciiTheme="minorHAnsi" w:hAnsiTheme="minorHAnsi"/>
          <w:color w:val="000000"/>
          <w:sz w:val="22"/>
          <w:szCs w:val="22"/>
        </w:rPr>
        <w:t>Beginning in 2018, the</w:t>
      </w:r>
      <w:r w:rsidR="00A3762E" w:rsidRPr="000A7B87">
        <w:rPr>
          <w:rFonts w:asciiTheme="minorHAnsi" w:hAnsiTheme="minorHAnsi"/>
          <w:color w:val="000000"/>
          <w:sz w:val="22"/>
          <w:szCs w:val="22"/>
        </w:rPr>
        <w:t xml:space="preserve"> weekly tables of nationally notifiable diseases </w:t>
      </w:r>
      <w:r w:rsidR="00E316BF">
        <w:rPr>
          <w:rFonts w:asciiTheme="minorHAnsi" w:hAnsiTheme="minorHAnsi"/>
          <w:color w:val="000000"/>
          <w:sz w:val="22"/>
          <w:szCs w:val="22"/>
        </w:rPr>
        <w:t>have not been</w:t>
      </w:r>
      <w:r w:rsidR="00C45FD6" w:rsidRPr="000A7B87">
        <w:rPr>
          <w:rFonts w:asciiTheme="minorHAnsi" w:hAnsiTheme="minorHAnsi"/>
          <w:color w:val="000000"/>
          <w:sz w:val="22"/>
          <w:szCs w:val="22"/>
        </w:rPr>
        <w:t xml:space="preserve"> published in the </w:t>
      </w:r>
      <w:r w:rsidR="00C45FD6" w:rsidRPr="000A7B87">
        <w:rPr>
          <w:rFonts w:asciiTheme="minorHAnsi" w:hAnsiTheme="minorHAnsi"/>
          <w:i/>
          <w:color w:val="000000"/>
          <w:sz w:val="22"/>
          <w:szCs w:val="22"/>
        </w:rPr>
        <w:t>MMWR</w:t>
      </w:r>
      <w:r w:rsidR="00C45FD6" w:rsidRPr="000A7B87">
        <w:rPr>
          <w:rFonts w:asciiTheme="minorHAnsi" w:hAnsiTheme="minorHAnsi"/>
          <w:color w:val="000000"/>
          <w:sz w:val="22"/>
          <w:szCs w:val="22"/>
        </w:rPr>
        <w:t xml:space="preserve"> but </w:t>
      </w:r>
      <w:r w:rsidR="00E316BF">
        <w:rPr>
          <w:rFonts w:asciiTheme="minorHAnsi" w:hAnsiTheme="minorHAnsi"/>
          <w:color w:val="000000"/>
          <w:sz w:val="22"/>
          <w:szCs w:val="22"/>
        </w:rPr>
        <w:t>are</w:t>
      </w:r>
      <w:r w:rsidR="00C45FD6" w:rsidRPr="000A7B87">
        <w:rPr>
          <w:rFonts w:asciiTheme="minorHAnsi" w:hAnsiTheme="minorHAnsi"/>
          <w:color w:val="000000"/>
          <w:sz w:val="22"/>
          <w:szCs w:val="22"/>
        </w:rPr>
        <w:t xml:space="preserve"> available through CDC WONDER and data.cdc.gov</w:t>
      </w:r>
      <w:r w:rsidR="00A3762E" w:rsidRPr="000A7B87">
        <w:rPr>
          <w:rFonts w:asciiTheme="minorHAnsi" w:hAnsiTheme="minorHAnsi"/>
          <w:color w:val="000000"/>
          <w:sz w:val="22"/>
          <w:szCs w:val="22"/>
        </w:rPr>
        <w:t>.</w:t>
      </w:r>
      <w:r w:rsidR="00D5544D" w:rsidRPr="000A7B87">
        <w:rPr>
          <w:rFonts w:asciiTheme="minorHAnsi" w:hAnsiTheme="minorHAnsi"/>
          <w:color w:val="000000"/>
          <w:sz w:val="22"/>
          <w:szCs w:val="22"/>
        </w:rPr>
        <w:t xml:space="preserve"> </w:t>
      </w:r>
      <w:r w:rsidR="002E709C" w:rsidRPr="00B83E3C">
        <w:rPr>
          <w:rFonts w:asciiTheme="minorHAnsi" w:hAnsiTheme="minorHAnsi"/>
          <w:color w:val="000000"/>
          <w:sz w:val="22"/>
          <w:szCs w:val="22"/>
          <w:highlight w:val="yellow"/>
        </w:rPr>
        <w:t xml:space="preserve">The </w:t>
      </w:r>
      <w:r w:rsidR="00A3762E" w:rsidRPr="00B83E3C">
        <w:rPr>
          <w:rFonts w:asciiTheme="minorHAnsi" w:hAnsiTheme="minorHAnsi"/>
          <w:i/>
          <w:color w:val="000000"/>
          <w:sz w:val="22"/>
          <w:szCs w:val="22"/>
          <w:highlight w:val="yellow"/>
        </w:rPr>
        <w:t>MMWR Summary of Notifiable Diseases, United States</w:t>
      </w:r>
      <w:r w:rsidR="00923742" w:rsidRPr="00B83E3C">
        <w:rPr>
          <w:rFonts w:asciiTheme="minorHAnsi" w:hAnsiTheme="minorHAnsi"/>
          <w:i/>
          <w:color w:val="000000"/>
          <w:sz w:val="22"/>
          <w:szCs w:val="22"/>
          <w:highlight w:val="yellow"/>
        </w:rPr>
        <w:t>, 2015</w:t>
      </w:r>
      <w:r w:rsidR="00E621F7" w:rsidRPr="00B83E3C">
        <w:rPr>
          <w:rFonts w:asciiTheme="minorHAnsi" w:hAnsiTheme="minorHAnsi"/>
          <w:color w:val="000000"/>
          <w:sz w:val="22"/>
          <w:szCs w:val="22"/>
          <w:highlight w:val="yellow"/>
        </w:rPr>
        <w:t>,</w:t>
      </w:r>
      <w:r w:rsidR="00923742" w:rsidRPr="00B83E3C">
        <w:rPr>
          <w:rFonts w:asciiTheme="minorHAnsi" w:hAnsiTheme="minorHAnsi"/>
          <w:i/>
          <w:color w:val="000000"/>
          <w:sz w:val="22"/>
          <w:szCs w:val="22"/>
          <w:highlight w:val="yellow"/>
        </w:rPr>
        <w:t xml:space="preserve"> </w:t>
      </w:r>
      <w:r w:rsidR="00E316BF" w:rsidRPr="00B83E3C">
        <w:rPr>
          <w:rFonts w:asciiTheme="minorHAnsi" w:hAnsiTheme="minorHAnsi"/>
          <w:color w:val="000000"/>
          <w:sz w:val="22"/>
          <w:szCs w:val="22"/>
          <w:highlight w:val="yellow"/>
        </w:rPr>
        <w:t>was</w:t>
      </w:r>
      <w:r w:rsidR="00923742" w:rsidRPr="00B83E3C">
        <w:rPr>
          <w:rFonts w:asciiTheme="minorHAnsi" w:hAnsiTheme="minorHAnsi"/>
          <w:color w:val="000000"/>
          <w:sz w:val="22"/>
          <w:szCs w:val="22"/>
          <w:highlight w:val="yellow"/>
        </w:rPr>
        <w:t xml:space="preserve"> the last summary </w:t>
      </w:r>
      <w:r w:rsidR="000D1294" w:rsidRPr="00B83E3C">
        <w:rPr>
          <w:rFonts w:asciiTheme="minorHAnsi" w:hAnsiTheme="minorHAnsi"/>
          <w:color w:val="000000"/>
          <w:sz w:val="22"/>
          <w:szCs w:val="22"/>
          <w:highlight w:val="yellow"/>
        </w:rPr>
        <w:t xml:space="preserve">of finalized notifiable disease data </w:t>
      </w:r>
      <w:r w:rsidR="006D2BD7" w:rsidRPr="00B83E3C">
        <w:rPr>
          <w:rFonts w:asciiTheme="minorHAnsi" w:hAnsiTheme="minorHAnsi"/>
          <w:color w:val="000000"/>
          <w:sz w:val="22"/>
          <w:szCs w:val="22"/>
          <w:highlight w:val="yellow"/>
        </w:rPr>
        <w:t>that was</w:t>
      </w:r>
      <w:r w:rsidR="00923742" w:rsidRPr="00B83E3C">
        <w:rPr>
          <w:rFonts w:asciiTheme="minorHAnsi" w:hAnsiTheme="minorHAnsi"/>
          <w:color w:val="000000"/>
          <w:sz w:val="22"/>
          <w:szCs w:val="22"/>
          <w:highlight w:val="yellow"/>
        </w:rPr>
        <w:t xml:space="preserve"> published by </w:t>
      </w:r>
      <w:r w:rsidR="00923742" w:rsidRPr="00B83E3C">
        <w:rPr>
          <w:rFonts w:asciiTheme="minorHAnsi" w:hAnsiTheme="minorHAnsi"/>
          <w:i/>
          <w:color w:val="000000"/>
          <w:sz w:val="22"/>
          <w:szCs w:val="22"/>
          <w:highlight w:val="yellow"/>
        </w:rPr>
        <w:t>MMWR</w:t>
      </w:r>
      <w:r w:rsidR="00923742" w:rsidRPr="00B83E3C">
        <w:rPr>
          <w:rFonts w:asciiTheme="minorHAnsi" w:hAnsiTheme="minorHAnsi"/>
          <w:color w:val="000000"/>
          <w:sz w:val="22"/>
          <w:szCs w:val="22"/>
          <w:highlight w:val="yellow"/>
        </w:rPr>
        <w:t xml:space="preserve">. Going forward and beginning with 2016 data, finalized </w:t>
      </w:r>
      <w:r w:rsidR="00E621F7" w:rsidRPr="00B83E3C">
        <w:rPr>
          <w:rFonts w:asciiTheme="minorHAnsi" w:hAnsiTheme="minorHAnsi"/>
          <w:color w:val="000000"/>
          <w:sz w:val="22"/>
          <w:szCs w:val="22"/>
          <w:highlight w:val="yellow"/>
        </w:rPr>
        <w:t xml:space="preserve">notifiable disease </w:t>
      </w:r>
      <w:r w:rsidR="00923742" w:rsidRPr="00B83E3C">
        <w:rPr>
          <w:rFonts w:asciiTheme="minorHAnsi" w:hAnsiTheme="minorHAnsi"/>
          <w:color w:val="000000"/>
          <w:sz w:val="22"/>
          <w:szCs w:val="22"/>
          <w:highlight w:val="yellow"/>
        </w:rPr>
        <w:t xml:space="preserve">data </w:t>
      </w:r>
      <w:r w:rsidR="00E316BF" w:rsidRPr="00B83E3C">
        <w:rPr>
          <w:rFonts w:asciiTheme="minorHAnsi" w:hAnsiTheme="minorHAnsi"/>
          <w:color w:val="000000"/>
          <w:sz w:val="22"/>
          <w:szCs w:val="22"/>
          <w:highlight w:val="yellow"/>
        </w:rPr>
        <w:t>are</w:t>
      </w:r>
      <w:r w:rsidR="00923742" w:rsidRPr="00B83E3C">
        <w:rPr>
          <w:rFonts w:asciiTheme="minorHAnsi" w:hAnsiTheme="minorHAnsi"/>
          <w:color w:val="000000"/>
          <w:sz w:val="22"/>
          <w:szCs w:val="22"/>
          <w:highlight w:val="yellow"/>
        </w:rPr>
        <w:t xml:space="preserve"> published </w:t>
      </w:r>
      <w:r w:rsidR="00E621F7" w:rsidRPr="00B83E3C">
        <w:rPr>
          <w:rFonts w:asciiTheme="minorHAnsi" w:hAnsiTheme="minorHAnsi"/>
          <w:color w:val="000000"/>
          <w:sz w:val="22"/>
          <w:szCs w:val="22"/>
          <w:highlight w:val="yellow"/>
        </w:rPr>
        <w:t>o</w:t>
      </w:r>
      <w:r w:rsidR="00B4354A" w:rsidRPr="00B83E3C">
        <w:rPr>
          <w:rFonts w:asciiTheme="minorHAnsi" w:hAnsiTheme="minorHAnsi"/>
          <w:color w:val="000000"/>
          <w:sz w:val="22"/>
          <w:szCs w:val="22"/>
          <w:highlight w:val="yellow"/>
        </w:rPr>
        <w:t>n CDC WONDER</w:t>
      </w:r>
      <w:r w:rsidR="00923742" w:rsidRPr="00B83E3C">
        <w:rPr>
          <w:rFonts w:asciiTheme="minorHAnsi" w:hAnsiTheme="minorHAnsi"/>
          <w:color w:val="000000"/>
          <w:sz w:val="22"/>
          <w:szCs w:val="22"/>
          <w:highlight w:val="yellow"/>
        </w:rPr>
        <w:t xml:space="preserve"> </w:t>
      </w:r>
      <w:r w:rsidR="00F677C5" w:rsidRPr="00B83E3C">
        <w:rPr>
          <w:rFonts w:asciiTheme="minorHAnsi" w:hAnsiTheme="minorHAnsi"/>
          <w:color w:val="000000"/>
          <w:sz w:val="22"/>
          <w:szCs w:val="22"/>
          <w:highlight w:val="yellow"/>
        </w:rPr>
        <w:t>and d</w:t>
      </w:r>
      <w:r w:rsidR="00923742" w:rsidRPr="00B83E3C">
        <w:rPr>
          <w:rFonts w:asciiTheme="minorHAnsi" w:hAnsiTheme="minorHAnsi"/>
          <w:color w:val="000000"/>
          <w:sz w:val="22"/>
          <w:szCs w:val="22"/>
          <w:highlight w:val="yellow"/>
        </w:rPr>
        <w:t xml:space="preserve">isease-specific data </w:t>
      </w:r>
      <w:r w:rsidR="00E316BF" w:rsidRPr="00B83E3C">
        <w:rPr>
          <w:rFonts w:asciiTheme="minorHAnsi" w:hAnsiTheme="minorHAnsi"/>
          <w:color w:val="000000"/>
          <w:sz w:val="22"/>
          <w:szCs w:val="22"/>
          <w:highlight w:val="yellow"/>
        </w:rPr>
        <w:t>are</w:t>
      </w:r>
      <w:r w:rsidR="00923742" w:rsidRPr="00B83E3C">
        <w:rPr>
          <w:rFonts w:asciiTheme="minorHAnsi" w:hAnsiTheme="minorHAnsi"/>
          <w:color w:val="000000"/>
          <w:sz w:val="22"/>
          <w:szCs w:val="22"/>
          <w:highlight w:val="yellow"/>
        </w:rPr>
        <w:t xml:space="preserve"> published by individual CDC </w:t>
      </w:r>
      <w:r w:rsidR="00F677C5" w:rsidRPr="00B83E3C">
        <w:rPr>
          <w:rFonts w:asciiTheme="minorHAnsi" w:hAnsiTheme="minorHAnsi"/>
          <w:color w:val="000000"/>
          <w:sz w:val="22"/>
          <w:szCs w:val="22"/>
          <w:highlight w:val="yellow"/>
        </w:rPr>
        <w:t>programs.</w:t>
      </w:r>
      <w:r w:rsidR="00F677C5" w:rsidRPr="000A7B87">
        <w:rPr>
          <w:rFonts w:asciiTheme="minorHAnsi" w:hAnsiTheme="minorHAnsi"/>
          <w:color w:val="000000"/>
          <w:sz w:val="22"/>
          <w:szCs w:val="22"/>
        </w:rPr>
        <w:t xml:space="preserve"> </w:t>
      </w:r>
      <w:r w:rsidR="00923742" w:rsidRPr="000A7B87">
        <w:rPr>
          <w:rFonts w:asciiTheme="minorHAnsi" w:hAnsiTheme="minorHAnsi"/>
          <w:color w:val="000000"/>
          <w:sz w:val="22"/>
          <w:szCs w:val="22"/>
        </w:rPr>
        <w:t xml:space="preserve"> </w:t>
      </w:r>
      <w:r w:rsidR="004166DA" w:rsidRPr="000A7B87">
        <w:rPr>
          <w:rFonts w:asciiTheme="minorHAnsi" w:hAnsiTheme="minorHAnsi"/>
          <w:color w:val="000000"/>
          <w:sz w:val="22"/>
          <w:szCs w:val="22"/>
        </w:rPr>
        <w:t>This transition to using CDC WONDER and CDC.data.gov as the primary forums for presentation of weekly tables allow</w:t>
      </w:r>
      <w:r w:rsidR="00E316BF">
        <w:rPr>
          <w:rFonts w:asciiTheme="minorHAnsi" w:hAnsiTheme="minorHAnsi"/>
          <w:color w:val="000000"/>
          <w:sz w:val="22"/>
          <w:szCs w:val="22"/>
        </w:rPr>
        <w:t>s</w:t>
      </w:r>
      <w:r w:rsidR="004166DA" w:rsidRPr="000A7B87">
        <w:rPr>
          <w:rFonts w:asciiTheme="minorHAnsi" w:hAnsiTheme="minorHAnsi"/>
          <w:color w:val="000000"/>
          <w:sz w:val="22"/>
          <w:szCs w:val="22"/>
        </w:rPr>
        <w:t xml:space="preserve"> CDC to finalize and publish annual data more quickly. </w:t>
      </w:r>
      <w:r w:rsidR="004679F2" w:rsidRPr="000A7B87">
        <w:rPr>
          <w:rFonts w:asciiTheme="minorHAnsi" w:hAnsiTheme="minorHAnsi"/>
          <w:color w:val="000000"/>
          <w:sz w:val="22"/>
          <w:szCs w:val="22"/>
        </w:rPr>
        <w:t xml:space="preserve">In addition, CDC programs </w:t>
      </w:r>
      <w:r w:rsidR="00496D8F" w:rsidRPr="000A7B87">
        <w:rPr>
          <w:rFonts w:asciiTheme="minorHAnsi" w:hAnsiTheme="minorHAnsi"/>
          <w:color w:val="000000"/>
          <w:sz w:val="22"/>
          <w:szCs w:val="22"/>
        </w:rPr>
        <w:t xml:space="preserve">routinely </w:t>
      </w:r>
      <w:r w:rsidR="004679F2" w:rsidRPr="000A7B87">
        <w:rPr>
          <w:rFonts w:asciiTheme="minorHAnsi" w:hAnsiTheme="minorHAnsi"/>
          <w:color w:val="000000"/>
          <w:sz w:val="22"/>
          <w:szCs w:val="22"/>
        </w:rPr>
        <w:t xml:space="preserve">publish reports on specific notifiable conditions in the </w:t>
      </w:r>
      <w:r w:rsidR="004679F2" w:rsidRPr="000A7B87">
        <w:rPr>
          <w:rFonts w:asciiTheme="minorHAnsi" w:hAnsiTheme="minorHAnsi"/>
          <w:i/>
          <w:color w:val="000000"/>
          <w:sz w:val="22"/>
          <w:szCs w:val="22"/>
        </w:rPr>
        <w:t>MMWR</w:t>
      </w:r>
      <w:r w:rsidR="004679F2" w:rsidRPr="000A7B87">
        <w:rPr>
          <w:rFonts w:asciiTheme="minorHAnsi" w:hAnsiTheme="minorHAnsi"/>
          <w:color w:val="000000"/>
          <w:sz w:val="22"/>
          <w:szCs w:val="22"/>
        </w:rPr>
        <w:t xml:space="preserve"> and in other scientific, medical and public health journals.</w:t>
      </w: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A.17. </w:t>
      </w:r>
      <w:r w:rsidR="0054726E" w:rsidRPr="00FF55BF">
        <w:rPr>
          <w:rFonts w:asciiTheme="minorHAnsi" w:hAnsiTheme="minorHAnsi"/>
          <w:b/>
          <w:sz w:val="22"/>
          <w:szCs w:val="22"/>
          <w:u w:val="single"/>
        </w:rPr>
        <w:t>Reason(s) Display of OMB Expiration Date is Inappropriate</w:t>
      </w:r>
    </w:p>
    <w:p w:rsidR="00B807C7" w:rsidRDefault="008C6061"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r w:rsidRPr="00E316BF">
        <w:rPr>
          <w:rFonts w:asciiTheme="minorHAnsi" w:hAnsiTheme="minorHAnsi"/>
          <w:color w:val="000000"/>
          <w:sz w:val="22"/>
          <w:szCs w:val="22"/>
        </w:rPr>
        <w:t>Since approximat</w:t>
      </w:r>
      <w:r w:rsidR="000D4C98" w:rsidRPr="00E316BF">
        <w:rPr>
          <w:rFonts w:asciiTheme="minorHAnsi" w:hAnsiTheme="minorHAnsi"/>
          <w:color w:val="000000"/>
          <w:sz w:val="22"/>
          <w:szCs w:val="22"/>
        </w:rPr>
        <w:t>e</w:t>
      </w:r>
      <w:r w:rsidRPr="00E316BF">
        <w:rPr>
          <w:rFonts w:asciiTheme="minorHAnsi" w:hAnsiTheme="minorHAnsi"/>
          <w:color w:val="000000"/>
          <w:sz w:val="22"/>
          <w:szCs w:val="22"/>
        </w:rPr>
        <w:t>ly</w:t>
      </w:r>
      <w:r w:rsidR="0028763D" w:rsidRPr="00E316BF">
        <w:rPr>
          <w:rFonts w:asciiTheme="minorHAnsi" w:hAnsiTheme="minorHAnsi"/>
          <w:color w:val="000000"/>
          <w:sz w:val="22"/>
          <w:szCs w:val="22"/>
        </w:rPr>
        <w:t xml:space="preserve"> 90% of case notifications</w:t>
      </w:r>
      <w:r w:rsidR="00B85F2F" w:rsidRPr="00E316BF">
        <w:rPr>
          <w:rFonts w:asciiTheme="minorHAnsi" w:hAnsiTheme="minorHAnsi"/>
          <w:color w:val="000000"/>
          <w:sz w:val="22"/>
          <w:szCs w:val="22"/>
        </w:rPr>
        <w:t xml:space="preserve"> are submitted to CDC electronically from already existing databases via automated electronic transfers</w:t>
      </w:r>
      <w:r w:rsidRPr="00E316BF">
        <w:rPr>
          <w:rFonts w:asciiTheme="minorHAnsi" w:hAnsiTheme="minorHAnsi"/>
          <w:color w:val="000000"/>
          <w:sz w:val="22"/>
          <w:szCs w:val="22"/>
        </w:rPr>
        <w:t>, CDC requests approval to place the PRA burden statement and OMB expiration date on the NNDSS Data Collection and Reporting webpage</w:t>
      </w:r>
      <w:r w:rsidR="00B85F2F" w:rsidRPr="00E316BF">
        <w:rPr>
          <w:rFonts w:asciiTheme="minorHAnsi" w:hAnsiTheme="minorHAnsi"/>
          <w:color w:val="000000"/>
          <w:sz w:val="22"/>
          <w:szCs w:val="22"/>
        </w:rPr>
        <w:t>.</w:t>
      </w:r>
      <w:r w:rsidR="00814709" w:rsidRPr="00E316BF">
        <w:rPr>
          <w:rFonts w:asciiTheme="minorHAnsi" w:hAnsiTheme="minorHAnsi"/>
          <w:color w:val="000000"/>
          <w:sz w:val="22"/>
          <w:szCs w:val="22"/>
        </w:rPr>
        <w:t xml:space="preserve"> Respondents can navigate to the list of required data elements from this central location.</w:t>
      </w:r>
      <w:r w:rsidR="00B85F2F" w:rsidRPr="00E316BF">
        <w:rPr>
          <w:rFonts w:asciiTheme="minorHAnsi" w:hAnsiTheme="minorHAnsi"/>
          <w:color w:val="000000"/>
          <w:sz w:val="22"/>
          <w:szCs w:val="22"/>
        </w:rPr>
        <w:t xml:space="preserve"> </w:t>
      </w:r>
      <w:r w:rsidR="006123CD" w:rsidRPr="00E316BF">
        <w:rPr>
          <w:rFonts w:asciiTheme="minorHAnsi" w:hAnsiTheme="minorHAnsi"/>
          <w:color w:val="000000"/>
          <w:sz w:val="22"/>
          <w:szCs w:val="22"/>
        </w:rPr>
        <w:t xml:space="preserve">A screenshot of the webpage is shown in </w:t>
      </w:r>
      <w:r w:rsidR="006123CD" w:rsidRPr="00E316BF">
        <w:rPr>
          <w:rFonts w:asciiTheme="minorHAnsi" w:hAnsiTheme="minorHAnsi"/>
          <w:b/>
          <w:color w:val="000000"/>
          <w:sz w:val="22"/>
          <w:szCs w:val="22"/>
        </w:rPr>
        <w:t xml:space="preserve">Attachment </w:t>
      </w:r>
      <w:r w:rsidR="000F78FA">
        <w:rPr>
          <w:rFonts w:asciiTheme="minorHAnsi" w:hAnsiTheme="minorHAnsi"/>
          <w:b/>
          <w:color w:val="000000"/>
          <w:sz w:val="22"/>
          <w:szCs w:val="22"/>
        </w:rPr>
        <w:t>21</w:t>
      </w:r>
      <w:r w:rsidR="006123CD" w:rsidRPr="00E316BF">
        <w:rPr>
          <w:rFonts w:asciiTheme="minorHAnsi" w:hAnsiTheme="minorHAnsi"/>
          <w:b/>
          <w:color w:val="000000"/>
          <w:sz w:val="22"/>
          <w:szCs w:val="22"/>
        </w:rPr>
        <w:t xml:space="preserve">. PRA Burden Statement Screenshot. </w:t>
      </w:r>
    </w:p>
    <w:p w:rsidR="00D17637" w:rsidRDefault="00D17637"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A.18. </w:t>
      </w:r>
      <w:r w:rsidRPr="00FF55BF">
        <w:rPr>
          <w:rFonts w:asciiTheme="minorHAnsi" w:hAnsiTheme="minorHAnsi"/>
          <w:b/>
          <w:color w:val="000000"/>
          <w:sz w:val="22"/>
          <w:szCs w:val="22"/>
          <w:u w:val="single"/>
        </w:rPr>
        <w:t>Exceptions to Certification for Paperwork Reduction Act Submissions</w:t>
      </w:r>
    </w:p>
    <w:p w:rsidR="009135CB" w:rsidRDefault="0047710E"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Pr>
          <w:rFonts w:asciiTheme="minorHAnsi" w:hAnsiTheme="minorHAnsi"/>
          <w:color w:val="000000"/>
          <w:sz w:val="22"/>
          <w:szCs w:val="22"/>
        </w:rPr>
        <w:t>There are n</w:t>
      </w:r>
      <w:r w:rsidR="009135CB" w:rsidRPr="00FF55BF">
        <w:rPr>
          <w:rFonts w:asciiTheme="minorHAnsi" w:hAnsiTheme="minorHAnsi"/>
          <w:color w:val="000000"/>
          <w:sz w:val="22"/>
          <w:szCs w:val="22"/>
        </w:rPr>
        <w:t xml:space="preserve">o exceptions </w:t>
      </w:r>
      <w:r>
        <w:rPr>
          <w:rFonts w:asciiTheme="minorHAnsi" w:hAnsiTheme="minorHAnsi"/>
          <w:color w:val="000000"/>
          <w:sz w:val="22"/>
          <w:szCs w:val="22"/>
        </w:rPr>
        <w:t>to the certification</w:t>
      </w:r>
      <w:r w:rsidR="009135CB" w:rsidRPr="00FF55BF">
        <w:rPr>
          <w:rFonts w:asciiTheme="minorHAnsi" w:hAnsiTheme="minorHAnsi"/>
          <w:color w:val="000000"/>
          <w:sz w:val="22"/>
          <w:szCs w:val="22"/>
        </w:rPr>
        <w:t>.</w:t>
      </w:r>
    </w:p>
    <w:p w:rsidR="00E2607E" w:rsidRDefault="00E2607E"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E2607E" w:rsidRPr="00FF55BF" w:rsidRDefault="00E2607E" w:rsidP="001F42C0">
      <w:pPr>
        <w:tabs>
          <w:tab w:val="left" w:pos="1"/>
          <w:tab w:val="left" w:pos="1584"/>
          <w:tab w:val="left" w:pos="3888"/>
          <w:tab w:val="left" w:pos="5472"/>
          <w:tab w:val="left" w:pos="7200"/>
        </w:tabs>
        <w:spacing w:line="360" w:lineRule="auto"/>
        <w:rPr>
          <w:rFonts w:asciiTheme="minorHAnsi" w:hAnsiTheme="minorHAnsi"/>
          <w:color w:val="000000"/>
          <w:sz w:val="22"/>
          <w:szCs w:val="22"/>
        </w:rPr>
      </w:pPr>
    </w:p>
    <w:sectPr w:rsidR="00E2607E" w:rsidRPr="00FF55BF" w:rsidSect="00E516D2">
      <w:headerReference w:type="default" r:id="rId28"/>
      <w:footerReference w:type="even" r:id="rId29"/>
      <w:footerReference w:type="default" r:id="rId30"/>
      <w:footerReference w:type="first" r:id="rId3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69" w:rsidRDefault="00204169">
      <w:r>
        <w:separator/>
      </w:r>
    </w:p>
  </w:endnote>
  <w:endnote w:type="continuationSeparator" w:id="0">
    <w:p w:rsidR="00204169" w:rsidRDefault="0020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69" w:rsidRDefault="00204169"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169" w:rsidRDefault="00204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69" w:rsidRDefault="00204169">
    <w:pPr>
      <w:pStyle w:val="Footer"/>
      <w:jc w:val="center"/>
    </w:pPr>
    <w:r w:rsidRPr="00A45461">
      <w:rPr>
        <w:rFonts w:ascii="Calibri" w:hAnsi="Calibri"/>
        <w:sz w:val="16"/>
      </w:rPr>
      <w:fldChar w:fldCharType="begin"/>
    </w:r>
    <w:r w:rsidRPr="00A45461">
      <w:rPr>
        <w:rFonts w:ascii="Calibri" w:hAnsi="Calibri"/>
        <w:sz w:val="16"/>
      </w:rPr>
      <w:instrText xml:space="preserve"> PAGE   \* MERGEFORMAT </w:instrText>
    </w:r>
    <w:r w:rsidRPr="00A45461">
      <w:rPr>
        <w:rFonts w:ascii="Calibri" w:hAnsi="Calibri"/>
        <w:sz w:val="16"/>
      </w:rPr>
      <w:fldChar w:fldCharType="separate"/>
    </w:r>
    <w:r w:rsidR="005103E3">
      <w:rPr>
        <w:rFonts w:ascii="Calibri" w:hAnsi="Calibri"/>
        <w:noProof/>
        <w:sz w:val="16"/>
      </w:rPr>
      <w:t>2</w:t>
    </w:r>
    <w:r w:rsidRPr="00A45461">
      <w:rPr>
        <w:rFonts w:ascii="Calibri" w:hAnsi="Calibri"/>
        <w:noProof/>
        <w:sz w:val="16"/>
      </w:rPr>
      <w:fldChar w:fldCharType="end"/>
    </w:r>
  </w:p>
  <w:p w:rsidR="00204169" w:rsidRPr="00974CF8" w:rsidRDefault="00204169" w:rsidP="008D7C48">
    <w:pPr>
      <w:pStyle w:val="Footer"/>
      <w:tabs>
        <w:tab w:val="left" w:pos="49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69" w:rsidRPr="00AF18FE" w:rsidRDefault="00204169" w:rsidP="001F3600">
    <w:pPr>
      <w:pStyle w:val="Footer"/>
      <w:jc w:val="center"/>
      <w:rPr>
        <w:rFonts w:asciiTheme="minorHAnsi" w:hAnsiTheme="minorHAnsi"/>
        <w:sz w:val="16"/>
        <w:szCs w:val="16"/>
      </w:rPr>
    </w:pPr>
    <w:r w:rsidRPr="00AF18FE">
      <w:rPr>
        <w:rFonts w:asciiTheme="minorHAnsi" w:hAnsiTheme="minorHAnsi"/>
        <w:sz w:val="16"/>
        <w:szCs w:val="16"/>
      </w:rPr>
      <w:fldChar w:fldCharType="begin"/>
    </w:r>
    <w:r w:rsidRPr="00AF18FE">
      <w:rPr>
        <w:rFonts w:asciiTheme="minorHAnsi" w:hAnsiTheme="minorHAnsi"/>
        <w:sz w:val="16"/>
        <w:szCs w:val="16"/>
      </w:rPr>
      <w:instrText xml:space="preserve"> PAGE   \* MERGEFORMAT </w:instrText>
    </w:r>
    <w:r w:rsidRPr="00AF18FE">
      <w:rPr>
        <w:rFonts w:asciiTheme="minorHAnsi" w:hAnsiTheme="minorHAnsi"/>
        <w:sz w:val="16"/>
        <w:szCs w:val="16"/>
      </w:rPr>
      <w:fldChar w:fldCharType="separate"/>
    </w:r>
    <w:r w:rsidR="005103E3">
      <w:rPr>
        <w:rFonts w:asciiTheme="minorHAnsi" w:hAnsiTheme="minorHAnsi"/>
        <w:noProof/>
        <w:sz w:val="16"/>
        <w:szCs w:val="16"/>
      </w:rPr>
      <w:t>1</w:t>
    </w:r>
    <w:r w:rsidRPr="00AF18FE">
      <w:rPr>
        <w:rFonts w:asciiTheme="minorHAnsi" w:hAnsiTheme="minorHAnsi"/>
        <w:sz w:val="16"/>
        <w:szCs w:val="16"/>
      </w:rPr>
      <w:fldChar w:fldCharType="end"/>
    </w:r>
  </w:p>
  <w:p w:rsidR="00204169" w:rsidRDefault="00204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69" w:rsidRDefault="00204169">
      <w:r>
        <w:separator/>
      </w:r>
    </w:p>
  </w:footnote>
  <w:footnote w:type="continuationSeparator" w:id="0">
    <w:p w:rsidR="00204169" w:rsidRDefault="00204169">
      <w:r>
        <w:continuationSeparator/>
      </w:r>
    </w:p>
  </w:footnote>
  <w:footnote w:id="1">
    <w:p w:rsidR="00204169" w:rsidRPr="0013705B" w:rsidRDefault="00204169">
      <w:pPr>
        <w:pStyle w:val="FootnoteText"/>
        <w:rPr>
          <w:rFonts w:asciiTheme="minorHAnsi" w:hAnsiTheme="minorHAnsi" w:cstheme="minorHAnsi"/>
        </w:rPr>
      </w:pPr>
      <w:r w:rsidRPr="0013705B">
        <w:rPr>
          <w:rStyle w:val="FootnoteReference"/>
          <w:rFonts w:asciiTheme="minorHAnsi" w:hAnsiTheme="minorHAnsi" w:cstheme="minorHAnsi"/>
        </w:rPr>
        <w:footnoteRef/>
      </w:r>
      <w:r w:rsidRPr="0013705B">
        <w:rPr>
          <w:rFonts w:asciiTheme="minorHAnsi" w:hAnsiTheme="minorHAnsi" w:cstheme="minorHAnsi"/>
        </w:rPr>
        <w:t xml:space="preserve"> Of the 95 data elements for TB disease, 59 were previously approved under OMB # 0920-0036 and 36 were not previously approved under OMB # 0920-0036. See attachment 12, p. 2.</w:t>
      </w:r>
    </w:p>
  </w:footnote>
  <w:footnote w:id="2">
    <w:p w:rsidR="00204169" w:rsidRPr="008D08AF" w:rsidRDefault="00204169" w:rsidP="00E30E7D">
      <w:pPr>
        <w:pStyle w:val="FootnoteText"/>
        <w:rPr>
          <w:rFonts w:asciiTheme="minorHAnsi" w:hAnsiTheme="minorHAnsi" w:cstheme="minorHAnsi"/>
          <w:sz w:val="16"/>
          <w:szCs w:val="16"/>
        </w:rPr>
      </w:pPr>
      <w:r>
        <w:rPr>
          <w:rStyle w:val="FootnoteReference"/>
        </w:rPr>
        <w:footnoteRef/>
      </w:r>
      <w:r>
        <w:t xml:space="preserve"> </w:t>
      </w:r>
      <w:r w:rsidRPr="008D08AF">
        <w:rPr>
          <w:rFonts w:asciiTheme="minorHAnsi" w:hAnsiTheme="minorHAnsi" w:cstheme="minorHAnsi"/>
          <w:sz w:val="16"/>
          <w:szCs w:val="16"/>
        </w:rPr>
        <w:t>Koo, D., &amp; Wetterhall S. (1996). History and Current Status of the National Notifiable Diseases Surveillance System. Journal of Public Health Management and Practice, 2(4), 4-10.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69" w:rsidRPr="00974CF8" w:rsidRDefault="00204169"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204169" w:rsidRDefault="00204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FE"/>
    <w:multiLevelType w:val="singleLevel"/>
    <w:tmpl w:val="A86A7F00"/>
    <w:lvl w:ilvl="0">
      <w:numFmt w:val="bullet"/>
      <w:lvlText w:val="*"/>
      <w:lvlJc w:val="left"/>
    </w:lvl>
  </w:abstractNum>
  <w:abstractNum w:abstractNumId="1">
    <w:nsid w:val="03C1403A"/>
    <w:multiLevelType w:val="hybridMultilevel"/>
    <w:tmpl w:val="63CCEDE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F53299"/>
    <w:multiLevelType w:val="hybridMultilevel"/>
    <w:tmpl w:val="CB701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9487A"/>
    <w:multiLevelType w:val="hybridMultilevel"/>
    <w:tmpl w:val="28DC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A4D20"/>
    <w:multiLevelType w:val="hybridMultilevel"/>
    <w:tmpl w:val="1602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63F7C"/>
    <w:multiLevelType w:val="multilevel"/>
    <w:tmpl w:val="5F72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1D742C77"/>
    <w:multiLevelType w:val="hybridMultilevel"/>
    <w:tmpl w:val="011AB3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421479"/>
    <w:multiLevelType w:val="hybridMultilevel"/>
    <w:tmpl w:val="102CA8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376D2263"/>
    <w:multiLevelType w:val="hybridMultilevel"/>
    <w:tmpl w:val="2E1C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D429D1"/>
    <w:multiLevelType w:val="hybridMultilevel"/>
    <w:tmpl w:val="2570C6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B6980"/>
    <w:multiLevelType w:val="hybridMultilevel"/>
    <w:tmpl w:val="657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27">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5F45F1"/>
    <w:multiLevelType w:val="hybridMultilevel"/>
    <w:tmpl w:val="514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nsid w:val="6D4659E4"/>
    <w:multiLevelType w:val="hybridMultilevel"/>
    <w:tmpl w:val="913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1831F0"/>
    <w:multiLevelType w:val="hybridMultilevel"/>
    <w:tmpl w:val="F86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497D63"/>
    <w:multiLevelType w:val="hybridMultilevel"/>
    <w:tmpl w:val="0D166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E27867"/>
    <w:multiLevelType w:val="hybridMultilevel"/>
    <w:tmpl w:val="C6D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
  </w:num>
  <w:num w:numId="3">
    <w:abstractNumId w:val="10"/>
  </w:num>
  <w:num w:numId="4">
    <w:abstractNumId w:val="17"/>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3"/>
  </w:num>
  <w:num w:numId="7">
    <w:abstractNumId w:val="3"/>
  </w:num>
  <w:num w:numId="8">
    <w:abstractNumId w:val="9"/>
  </w:num>
  <w:num w:numId="9">
    <w:abstractNumId w:val="41"/>
  </w:num>
  <w:num w:numId="10">
    <w:abstractNumId w:val="29"/>
  </w:num>
  <w:num w:numId="11">
    <w:abstractNumId w:val="11"/>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2"/>
  </w:num>
  <w:num w:numId="15">
    <w:abstractNumId w:val="26"/>
  </w:num>
  <w:num w:numId="16">
    <w:abstractNumId w:val="34"/>
  </w:num>
  <w:num w:numId="17">
    <w:abstractNumId w:val="2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6"/>
  </w:num>
  <w:num w:numId="21">
    <w:abstractNumId w:val="38"/>
  </w:num>
  <w:num w:numId="22">
    <w:abstractNumId w:val="37"/>
  </w:num>
  <w:num w:numId="23">
    <w:abstractNumId w:val="30"/>
  </w:num>
  <w:num w:numId="24">
    <w:abstractNumId w:val="1"/>
  </w:num>
  <w:num w:numId="25">
    <w:abstractNumId w:val="21"/>
  </w:num>
  <w:num w:numId="26">
    <w:abstractNumId w:val="13"/>
  </w:num>
  <w:num w:numId="27">
    <w:abstractNumId w:val="39"/>
  </w:num>
  <w:num w:numId="28">
    <w:abstractNumId w:val="4"/>
  </w:num>
  <w:num w:numId="29">
    <w:abstractNumId w:val="14"/>
  </w:num>
  <w:num w:numId="30">
    <w:abstractNumId w:val="19"/>
  </w:num>
  <w:num w:numId="31">
    <w:abstractNumId w:val="20"/>
  </w:num>
  <w:num w:numId="32">
    <w:abstractNumId w:val="31"/>
  </w:num>
  <w:num w:numId="33">
    <w:abstractNumId w:val="35"/>
  </w:num>
  <w:num w:numId="34">
    <w:abstractNumId w:val="5"/>
  </w:num>
  <w:num w:numId="35">
    <w:abstractNumId w:val="25"/>
  </w:num>
  <w:num w:numId="36">
    <w:abstractNumId w:val="36"/>
  </w:num>
  <w:num w:numId="37">
    <w:abstractNumId w:val="12"/>
  </w:num>
  <w:num w:numId="38">
    <w:abstractNumId w:val="6"/>
  </w:num>
  <w:num w:numId="39">
    <w:abstractNumId w:val="28"/>
  </w:num>
  <w:num w:numId="40">
    <w:abstractNumId w:val="7"/>
  </w:num>
  <w:num w:numId="41">
    <w:abstractNumId w:val="40"/>
  </w:num>
  <w:num w:numId="42">
    <w:abstractNumId w:val="1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1B5D"/>
    <w:rsid w:val="00011BDE"/>
    <w:rsid w:val="00011FD7"/>
    <w:rsid w:val="000125C2"/>
    <w:rsid w:val="00014E27"/>
    <w:rsid w:val="00015138"/>
    <w:rsid w:val="00017080"/>
    <w:rsid w:val="00017559"/>
    <w:rsid w:val="00017C44"/>
    <w:rsid w:val="0002060D"/>
    <w:rsid w:val="00020A64"/>
    <w:rsid w:val="00021536"/>
    <w:rsid w:val="000223F7"/>
    <w:rsid w:val="00022C3D"/>
    <w:rsid w:val="00024759"/>
    <w:rsid w:val="00024C7B"/>
    <w:rsid w:val="00024F62"/>
    <w:rsid w:val="0002511E"/>
    <w:rsid w:val="0002516C"/>
    <w:rsid w:val="0002630B"/>
    <w:rsid w:val="00026B1B"/>
    <w:rsid w:val="00026C77"/>
    <w:rsid w:val="00026DFB"/>
    <w:rsid w:val="00030B89"/>
    <w:rsid w:val="000318C7"/>
    <w:rsid w:val="00031ACB"/>
    <w:rsid w:val="000328B3"/>
    <w:rsid w:val="0003397D"/>
    <w:rsid w:val="00033DC5"/>
    <w:rsid w:val="000344FF"/>
    <w:rsid w:val="0003463A"/>
    <w:rsid w:val="00034745"/>
    <w:rsid w:val="000377BB"/>
    <w:rsid w:val="0004076F"/>
    <w:rsid w:val="00040884"/>
    <w:rsid w:val="000409C7"/>
    <w:rsid w:val="00040B9D"/>
    <w:rsid w:val="00041101"/>
    <w:rsid w:val="000413F1"/>
    <w:rsid w:val="00041E85"/>
    <w:rsid w:val="00042173"/>
    <w:rsid w:val="00044089"/>
    <w:rsid w:val="000441EB"/>
    <w:rsid w:val="00044AB4"/>
    <w:rsid w:val="000455E5"/>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113E"/>
    <w:rsid w:val="000628A5"/>
    <w:rsid w:val="00062C5E"/>
    <w:rsid w:val="00063648"/>
    <w:rsid w:val="00063E46"/>
    <w:rsid w:val="00064877"/>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3F2D"/>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42D"/>
    <w:rsid w:val="000A7B87"/>
    <w:rsid w:val="000A7F54"/>
    <w:rsid w:val="000B013D"/>
    <w:rsid w:val="000B082C"/>
    <w:rsid w:val="000B0B17"/>
    <w:rsid w:val="000B0C54"/>
    <w:rsid w:val="000B0CBF"/>
    <w:rsid w:val="000B1100"/>
    <w:rsid w:val="000B1440"/>
    <w:rsid w:val="000B19D8"/>
    <w:rsid w:val="000B2109"/>
    <w:rsid w:val="000B2257"/>
    <w:rsid w:val="000B22CD"/>
    <w:rsid w:val="000B440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B2"/>
    <w:rsid w:val="000C6F59"/>
    <w:rsid w:val="000C71FE"/>
    <w:rsid w:val="000C7924"/>
    <w:rsid w:val="000C7CA5"/>
    <w:rsid w:val="000C7DFC"/>
    <w:rsid w:val="000D0C0A"/>
    <w:rsid w:val="000D0E72"/>
    <w:rsid w:val="000D0FBA"/>
    <w:rsid w:val="000D1294"/>
    <w:rsid w:val="000D16C8"/>
    <w:rsid w:val="000D3B2F"/>
    <w:rsid w:val="000D3CFB"/>
    <w:rsid w:val="000D4C98"/>
    <w:rsid w:val="000D4D32"/>
    <w:rsid w:val="000D52C5"/>
    <w:rsid w:val="000D5CCA"/>
    <w:rsid w:val="000D7FF2"/>
    <w:rsid w:val="000E0146"/>
    <w:rsid w:val="000E09EA"/>
    <w:rsid w:val="000E1B64"/>
    <w:rsid w:val="000E23CB"/>
    <w:rsid w:val="000E2E19"/>
    <w:rsid w:val="000E4564"/>
    <w:rsid w:val="000E520A"/>
    <w:rsid w:val="000E7498"/>
    <w:rsid w:val="000E78C2"/>
    <w:rsid w:val="000E78EE"/>
    <w:rsid w:val="000F2758"/>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C70"/>
    <w:rsid w:val="001179DA"/>
    <w:rsid w:val="0012036C"/>
    <w:rsid w:val="0012142A"/>
    <w:rsid w:val="00121A62"/>
    <w:rsid w:val="001221D9"/>
    <w:rsid w:val="00122AEE"/>
    <w:rsid w:val="00122C6B"/>
    <w:rsid w:val="00122E08"/>
    <w:rsid w:val="00123A15"/>
    <w:rsid w:val="00123E5F"/>
    <w:rsid w:val="00123FA2"/>
    <w:rsid w:val="0012437B"/>
    <w:rsid w:val="00124F24"/>
    <w:rsid w:val="00124F5C"/>
    <w:rsid w:val="00124FF2"/>
    <w:rsid w:val="00126FA9"/>
    <w:rsid w:val="00130203"/>
    <w:rsid w:val="0013114C"/>
    <w:rsid w:val="001321D1"/>
    <w:rsid w:val="00132F2F"/>
    <w:rsid w:val="0013393E"/>
    <w:rsid w:val="00134AAD"/>
    <w:rsid w:val="001356B9"/>
    <w:rsid w:val="00135AF8"/>
    <w:rsid w:val="00136291"/>
    <w:rsid w:val="0013688B"/>
    <w:rsid w:val="00136D3A"/>
    <w:rsid w:val="00136F07"/>
    <w:rsid w:val="0013705B"/>
    <w:rsid w:val="00137109"/>
    <w:rsid w:val="001375EB"/>
    <w:rsid w:val="00137B94"/>
    <w:rsid w:val="00140272"/>
    <w:rsid w:val="00140295"/>
    <w:rsid w:val="001404B7"/>
    <w:rsid w:val="0014112F"/>
    <w:rsid w:val="00142641"/>
    <w:rsid w:val="00143F0B"/>
    <w:rsid w:val="00144310"/>
    <w:rsid w:val="00145367"/>
    <w:rsid w:val="001459FD"/>
    <w:rsid w:val="00145AA3"/>
    <w:rsid w:val="00146733"/>
    <w:rsid w:val="0014779F"/>
    <w:rsid w:val="00150502"/>
    <w:rsid w:val="00150BAD"/>
    <w:rsid w:val="00150EA6"/>
    <w:rsid w:val="0015129D"/>
    <w:rsid w:val="001512A8"/>
    <w:rsid w:val="00151DCE"/>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475A"/>
    <w:rsid w:val="00184C52"/>
    <w:rsid w:val="0018591E"/>
    <w:rsid w:val="00185AE4"/>
    <w:rsid w:val="001861C4"/>
    <w:rsid w:val="0018659D"/>
    <w:rsid w:val="0018669A"/>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314B"/>
    <w:rsid w:val="001B3B76"/>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A92"/>
    <w:rsid w:val="001C7CB2"/>
    <w:rsid w:val="001C7F47"/>
    <w:rsid w:val="001D00DB"/>
    <w:rsid w:val="001D115F"/>
    <w:rsid w:val="001D138C"/>
    <w:rsid w:val="001D3024"/>
    <w:rsid w:val="001D40DD"/>
    <w:rsid w:val="001D5415"/>
    <w:rsid w:val="001D70C6"/>
    <w:rsid w:val="001D7D63"/>
    <w:rsid w:val="001E0B9D"/>
    <w:rsid w:val="001E0E5F"/>
    <w:rsid w:val="001E1042"/>
    <w:rsid w:val="001E1338"/>
    <w:rsid w:val="001E175B"/>
    <w:rsid w:val="001E203D"/>
    <w:rsid w:val="001E260A"/>
    <w:rsid w:val="001E2647"/>
    <w:rsid w:val="001E2EEF"/>
    <w:rsid w:val="001E39BE"/>
    <w:rsid w:val="001E3AF9"/>
    <w:rsid w:val="001E461F"/>
    <w:rsid w:val="001E484B"/>
    <w:rsid w:val="001E5289"/>
    <w:rsid w:val="001E5445"/>
    <w:rsid w:val="001E58A8"/>
    <w:rsid w:val="001E5A64"/>
    <w:rsid w:val="001E7EB4"/>
    <w:rsid w:val="001F0CF0"/>
    <w:rsid w:val="001F14A2"/>
    <w:rsid w:val="001F151C"/>
    <w:rsid w:val="001F18D0"/>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6377"/>
    <w:rsid w:val="00256AA2"/>
    <w:rsid w:val="00257346"/>
    <w:rsid w:val="0026043A"/>
    <w:rsid w:val="0026074D"/>
    <w:rsid w:val="0026118D"/>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3811"/>
    <w:rsid w:val="00293886"/>
    <w:rsid w:val="002939C7"/>
    <w:rsid w:val="0029412A"/>
    <w:rsid w:val="002941AA"/>
    <w:rsid w:val="00294230"/>
    <w:rsid w:val="00294580"/>
    <w:rsid w:val="00294CBF"/>
    <w:rsid w:val="002953DC"/>
    <w:rsid w:val="002957C4"/>
    <w:rsid w:val="0029629C"/>
    <w:rsid w:val="002A1076"/>
    <w:rsid w:val="002A1EAD"/>
    <w:rsid w:val="002A1FFD"/>
    <w:rsid w:val="002A3378"/>
    <w:rsid w:val="002A3C5B"/>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C065D"/>
    <w:rsid w:val="002C0D14"/>
    <w:rsid w:val="002C1BFD"/>
    <w:rsid w:val="002C2EE1"/>
    <w:rsid w:val="002C3958"/>
    <w:rsid w:val="002C3BFE"/>
    <w:rsid w:val="002C471F"/>
    <w:rsid w:val="002C4C63"/>
    <w:rsid w:val="002C5ED3"/>
    <w:rsid w:val="002C6409"/>
    <w:rsid w:val="002C6709"/>
    <w:rsid w:val="002C7501"/>
    <w:rsid w:val="002C7F58"/>
    <w:rsid w:val="002D094B"/>
    <w:rsid w:val="002D1140"/>
    <w:rsid w:val="002D1222"/>
    <w:rsid w:val="002D2835"/>
    <w:rsid w:val="002D40C7"/>
    <w:rsid w:val="002D48F8"/>
    <w:rsid w:val="002D55DC"/>
    <w:rsid w:val="002D7414"/>
    <w:rsid w:val="002D7B52"/>
    <w:rsid w:val="002E000C"/>
    <w:rsid w:val="002E2289"/>
    <w:rsid w:val="002E45F2"/>
    <w:rsid w:val="002E5815"/>
    <w:rsid w:val="002E6BDF"/>
    <w:rsid w:val="002E6DE2"/>
    <w:rsid w:val="002E709C"/>
    <w:rsid w:val="002E72EE"/>
    <w:rsid w:val="002E783F"/>
    <w:rsid w:val="002E7DEE"/>
    <w:rsid w:val="002F32E6"/>
    <w:rsid w:val="002F3A9F"/>
    <w:rsid w:val="002F4746"/>
    <w:rsid w:val="002F525E"/>
    <w:rsid w:val="002F52D3"/>
    <w:rsid w:val="002F5510"/>
    <w:rsid w:val="002F662F"/>
    <w:rsid w:val="002F7FDE"/>
    <w:rsid w:val="003010DF"/>
    <w:rsid w:val="003011C1"/>
    <w:rsid w:val="00301E76"/>
    <w:rsid w:val="00301E80"/>
    <w:rsid w:val="00302086"/>
    <w:rsid w:val="003034F9"/>
    <w:rsid w:val="00305200"/>
    <w:rsid w:val="0030534B"/>
    <w:rsid w:val="00307609"/>
    <w:rsid w:val="00307D43"/>
    <w:rsid w:val="00307DB6"/>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3054"/>
    <w:rsid w:val="00323589"/>
    <w:rsid w:val="00323A6A"/>
    <w:rsid w:val="0032427F"/>
    <w:rsid w:val="00324ADC"/>
    <w:rsid w:val="00324C86"/>
    <w:rsid w:val="00325553"/>
    <w:rsid w:val="00326CBE"/>
    <w:rsid w:val="003277AF"/>
    <w:rsid w:val="00327AD0"/>
    <w:rsid w:val="00327DD6"/>
    <w:rsid w:val="00330997"/>
    <w:rsid w:val="00330B13"/>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63F"/>
    <w:rsid w:val="00357035"/>
    <w:rsid w:val="00357101"/>
    <w:rsid w:val="0036001D"/>
    <w:rsid w:val="003608F0"/>
    <w:rsid w:val="003612F8"/>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22F7"/>
    <w:rsid w:val="00372DA6"/>
    <w:rsid w:val="00372EC7"/>
    <w:rsid w:val="00374037"/>
    <w:rsid w:val="00375254"/>
    <w:rsid w:val="00375FA2"/>
    <w:rsid w:val="00377904"/>
    <w:rsid w:val="00377E0F"/>
    <w:rsid w:val="0038026C"/>
    <w:rsid w:val="00380DEB"/>
    <w:rsid w:val="003819F7"/>
    <w:rsid w:val="00381C30"/>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F85"/>
    <w:rsid w:val="00392020"/>
    <w:rsid w:val="003921EB"/>
    <w:rsid w:val="00392BFF"/>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9AA"/>
    <w:rsid w:val="003D3A4D"/>
    <w:rsid w:val="003D3D12"/>
    <w:rsid w:val="003D4508"/>
    <w:rsid w:val="003D456E"/>
    <w:rsid w:val="003D5853"/>
    <w:rsid w:val="003D594D"/>
    <w:rsid w:val="003D67A8"/>
    <w:rsid w:val="003D6F6D"/>
    <w:rsid w:val="003D70F7"/>
    <w:rsid w:val="003D75FE"/>
    <w:rsid w:val="003D7E09"/>
    <w:rsid w:val="003E0112"/>
    <w:rsid w:val="003E0475"/>
    <w:rsid w:val="003E192B"/>
    <w:rsid w:val="003E1BB0"/>
    <w:rsid w:val="003E2324"/>
    <w:rsid w:val="003E2333"/>
    <w:rsid w:val="003E244E"/>
    <w:rsid w:val="003E2E31"/>
    <w:rsid w:val="003E3753"/>
    <w:rsid w:val="003E3991"/>
    <w:rsid w:val="003E3B99"/>
    <w:rsid w:val="003E3F66"/>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FF0"/>
    <w:rsid w:val="00440503"/>
    <w:rsid w:val="004406C0"/>
    <w:rsid w:val="00440788"/>
    <w:rsid w:val="00440F87"/>
    <w:rsid w:val="00442337"/>
    <w:rsid w:val="00443832"/>
    <w:rsid w:val="004444BB"/>
    <w:rsid w:val="00444BF1"/>
    <w:rsid w:val="00445056"/>
    <w:rsid w:val="0044681D"/>
    <w:rsid w:val="00447192"/>
    <w:rsid w:val="00447BBA"/>
    <w:rsid w:val="00450B03"/>
    <w:rsid w:val="00450BB7"/>
    <w:rsid w:val="00451EB5"/>
    <w:rsid w:val="0045221E"/>
    <w:rsid w:val="00452FCB"/>
    <w:rsid w:val="004531A3"/>
    <w:rsid w:val="00453318"/>
    <w:rsid w:val="00454D93"/>
    <w:rsid w:val="00454FA9"/>
    <w:rsid w:val="0045552B"/>
    <w:rsid w:val="0045573E"/>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7D2"/>
    <w:rsid w:val="004A3D90"/>
    <w:rsid w:val="004A46CE"/>
    <w:rsid w:val="004A491E"/>
    <w:rsid w:val="004A62EC"/>
    <w:rsid w:val="004A6378"/>
    <w:rsid w:val="004A744E"/>
    <w:rsid w:val="004A7D30"/>
    <w:rsid w:val="004B0C01"/>
    <w:rsid w:val="004B1BF8"/>
    <w:rsid w:val="004B2230"/>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5D2"/>
    <w:rsid w:val="004D6CE1"/>
    <w:rsid w:val="004D6F74"/>
    <w:rsid w:val="004D73DD"/>
    <w:rsid w:val="004E0777"/>
    <w:rsid w:val="004E0B81"/>
    <w:rsid w:val="004E1B69"/>
    <w:rsid w:val="004E1E45"/>
    <w:rsid w:val="004E25C4"/>
    <w:rsid w:val="004E382A"/>
    <w:rsid w:val="004E394C"/>
    <w:rsid w:val="004E536E"/>
    <w:rsid w:val="004E54CF"/>
    <w:rsid w:val="004E75F0"/>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AE"/>
    <w:rsid w:val="005021C1"/>
    <w:rsid w:val="00502253"/>
    <w:rsid w:val="005032A2"/>
    <w:rsid w:val="00503ECE"/>
    <w:rsid w:val="0050425E"/>
    <w:rsid w:val="00504953"/>
    <w:rsid w:val="0050610C"/>
    <w:rsid w:val="00506442"/>
    <w:rsid w:val="00506B3C"/>
    <w:rsid w:val="0050761C"/>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30037"/>
    <w:rsid w:val="00530F0B"/>
    <w:rsid w:val="0053115D"/>
    <w:rsid w:val="0053132F"/>
    <w:rsid w:val="005314E9"/>
    <w:rsid w:val="00534114"/>
    <w:rsid w:val="00534B97"/>
    <w:rsid w:val="005355CB"/>
    <w:rsid w:val="005358B6"/>
    <w:rsid w:val="005360E7"/>
    <w:rsid w:val="00536E58"/>
    <w:rsid w:val="00537053"/>
    <w:rsid w:val="005378E7"/>
    <w:rsid w:val="005403C9"/>
    <w:rsid w:val="005409A1"/>
    <w:rsid w:val="00541A6B"/>
    <w:rsid w:val="00541B8D"/>
    <w:rsid w:val="00544465"/>
    <w:rsid w:val="00544D9D"/>
    <w:rsid w:val="00544F0D"/>
    <w:rsid w:val="005453E1"/>
    <w:rsid w:val="005456E1"/>
    <w:rsid w:val="0054726E"/>
    <w:rsid w:val="0054768D"/>
    <w:rsid w:val="00547B22"/>
    <w:rsid w:val="00550446"/>
    <w:rsid w:val="00550485"/>
    <w:rsid w:val="00550B2C"/>
    <w:rsid w:val="00551166"/>
    <w:rsid w:val="005512C2"/>
    <w:rsid w:val="005513D5"/>
    <w:rsid w:val="00551B7E"/>
    <w:rsid w:val="0055281F"/>
    <w:rsid w:val="00553B3A"/>
    <w:rsid w:val="00553C1D"/>
    <w:rsid w:val="00554245"/>
    <w:rsid w:val="005542A3"/>
    <w:rsid w:val="005547C0"/>
    <w:rsid w:val="00555036"/>
    <w:rsid w:val="00555416"/>
    <w:rsid w:val="005568B0"/>
    <w:rsid w:val="00560ABC"/>
    <w:rsid w:val="0056116D"/>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C81"/>
    <w:rsid w:val="00571C0A"/>
    <w:rsid w:val="005728AF"/>
    <w:rsid w:val="00572BEA"/>
    <w:rsid w:val="005733BC"/>
    <w:rsid w:val="005743E9"/>
    <w:rsid w:val="00574774"/>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E80"/>
    <w:rsid w:val="005B12B8"/>
    <w:rsid w:val="005B1D55"/>
    <w:rsid w:val="005B36A5"/>
    <w:rsid w:val="005B3D1E"/>
    <w:rsid w:val="005B3F90"/>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E40"/>
    <w:rsid w:val="005C52E0"/>
    <w:rsid w:val="005C67DA"/>
    <w:rsid w:val="005C7604"/>
    <w:rsid w:val="005D11F4"/>
    <w:rsid w:val="005D171D"/>
    <w:rsid w:val="005D1E6C"/>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724A"/>
    <w:rsid w:val="00607F76"/>
    <w:rsid w:val="00607FE0"/>
    <w:rsid w:val="006105E3"/>
    <w:rsid w:val="00610801"/>
    <w:rsid w:val="00610D55"/>
    <w:rsid w:val="00611488"/>
    <w:rsid w:val="00611F38"/>
    <w:rsid w:val="00611F71"/>
    <w:rsid w:val="0061200B"/>
    <w:rsid w:val="006123CD"/>
    <w:rsid w:val="00612456"/>
    <w:rsid w:val="006129BB"/>
    <w:rsid w:val="0061300B"/>
    <w:rsid w:val="006135EE"/>
    <w:rsid w:val="006136AA"/>
    <w:rsid w:val="00613D7E"/>
    <w:rsid w:val="0061443A"/>
    <w:rsid w:val="006156F7"/>
    <w:rsid w:val="00616147"/>
    <w:rsid w:val="00616E82"/>
    <w:rsid w:val="006178B5"/>
    <w:rsid w:val="006178FC"/>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D2C"/>
    <w:rsid w:val="00654663"/>
    <w:rsid w:val="006547FD"/>
    <w:rsid w:val="00654D70"/>
    <w:rsid w:val="00655D4F"/>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31A5"/>
    <w:rsid w:val="006748B1"/>
    <w:rsid w:val="006754BC"/>
    <w:rsid w:val="006756B6"/>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F04"/>
    <w:rsid w:val="00693AB9"/>
    <w:rsid w:val="006956ED"/>
    <w:rsid w:val="0069658E"/>
    <w:rsid w:val="00696F59"/>
    <w:rsid w:val="00696F5F"/>
    <w:rsid w:val="00696F85"/>
    <w:rsid w:val="006A0091"/>
    <w:rsid w:val="006A07AC"/>
    <w:rsid w:val="006A111D"/>
    <w:rsid w:val="006A1199"/>
    <w:rsid w:val="006A136C"/>
    <w:rsid w:val="006A1BA5"/>
    <w:rsid w:val="006A2444"/>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5B15"/>
    <w:rsid w:val="006B6060"/>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BF1"/>
    <w:rsid w:val="006D1E53"/>
    <w:rsid w:val="006D21A0"/>
    <w:rsid w:val="006D2BD7"/>
    <w:rsid w:val="006D2DA6"/>
    <w:rsid w:val="006D2DBB"/>
    <w:rsid w:val="006D362B"/>
    <w:rsid w:val="006D6381"/>
    <w:rsid w:val="006D760D"/>
    <w:rsid w:val="006D7A1B"/>
    <w:rsid w:val="006D7C4D"/>
    <w:rsid w:val="006E4E5E"/>
    <w:rsid w:val="006F0A73"/>
    <w:rsid w:val="006F0CD9"/>
    <w:rsid w:val="006F0EB7"/>
    <w:rsid w:val="006F0FC9"/>
    <w:rsid w:val="006F134B"/>
    <w:rsid w:val="006F1501"/>
    <w:rsid w:val="006F1883"/>
    <w:rsid w:val="006F1B9A"/>
    <w:rsid w:val="006F2027"/>
    <w:rsid w:val="006F220E"/>
    <w:rsid w:val="006F2C7D"/>
    <w:rsid w:val="006F2DCD"/>
    <w:rsid w:val="006F3116"/>
    <w:rsid w:val="006F3D3E"/>
    <w:rsid w:val="006F420F"/>
    <w:rsid w:val="006F53FD"/>
    <w:rsid w:val="006F54E3"/>
    <w:rsid w:val="006F5986"/>
    <w:rsid w:val="006F5F29"/>
    <w:rsid w:val="006F6203"/>
    <w:rsid w:val="006F7189"/>
    <w:rsid w:val="006F7C7B"/>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33A0"/>
    <w:rsid w:val="00723804"/>
    <w:rsid w:val="007266CD"/>
    <w:rsid w:val="007267D8"/>
    <w:rsid w:val="00726C78"/>
    <w:rsid w:val="00726F4A"/>
    <w:rsid w:val="00727750"/>
    <w:rsid w:val="00727B5C"/>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2EE"/>
    <w:rsid w:val="00755B5C"/>
    <w:rsid w:val="0075607D"/>
    <w:rsid w:val="00756733"/>
    <w:rsid w:val="00756E4E"/>
    <w:rsid w:val="00756EBA"/>
    <w:rsid w:val="0075700A"/>
    <w:rsid w:val="00757856"/>
    <w:rsid w:val="00757ED8"/>
    <w:rsid w:val="0076001B"/>
    <w:rsid w:val="007613BD"/>
    <w:rsid w:val="00761EFA"/>
    <w:rsid w:val="0076246E"/>
    <w:rsid w:val="00762DD5"/>
    <w:rsid w:val="00762DE7"/>
    <w:rsid w:val="007665D8"/>
    <w:rsid w:val="00766C3A"/>
    <w:rsid w:val="00767301"/>
    <w:rsid w:val="00767698"/>
    <w:rsid w:val="007678AB"/>
    <w:rsid w:val="007701BD"/>
    <w:rsid w:val="007702BC"/>
    <w:rsid w:val="00770CA9"/>
    <w:rsid w:val="007715E5"/>
    <w:rsid w:val="00771A62"/>
    <w:rsid w:val="00771D72"/>
    <w:rsid w:val="0077372B"/>
    <w:rsid w:val="007739CF"/>
    <w:rsid w:val="00773CF7"/>
    <w:rsid w:val="0077476A"/>
    <w:rsid w:val="00775CC8"/>
    <w:rsid w:val="007770B0"/>
    <w:rsid w:val="00777C53"/>
    <w:rsid w:val="007815FC"/>
    <w:rsid w:val="007819D9"/>
    <w:rsid w:val="00781B28"/>
    <w:rsid w:val="00781F1A"/>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4BE6"/>
    <w:rsid w:val="00794D1E"/>
    <w:rsid w:val="00795545"/>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D0562"/>
    <w:rsid w:val="007D0DCA"/>
    <w:rsid w:val="007D1054"/>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2467"/>
    <w:rsid w:val="007F3B41"/>
    <w:rsid w:val="007F3BD1"/>
    <w:rsid w:val="007F3D63"/>
    <w:rsid w:val="007F453C"/>
    <w:rsid w:val="007F4B43"/>
    <w:rsid w:val="007F5199"/>
    <w:rsid w:val="007F7850"/>
    <w:rsid w:val="007F79EC"/>
    <w:rsid w:val="00800234"/>
    <w:rsid w:val="00800E6D"/>
    <w:rsid w:val="00801265"/>
    <w:rsid w:val="008016E6"/>
    <w:rsid w:val="00801EDD"/>
    <w:rsid w:val="00801FCC"/>
    <w:rsid w:val="00802197"/>
    <w:rsid w:val="008023BE"/>
    <w:rsid w:val="008028EF"/>
    <w:rsid w:val="008038EB"/>
    <w:rsid w:val="00804F6D"/>
    <w:rsid w:val="0080597A"/>
    <w:rsid w:val="0080627A"/>
    <w:rsid w:val="008072EB"/>
    <w:rsid w:val="00807BAF"/>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1E03"/>
    <w:rsid w:val="00822400"/>
    <w:rsid w:val="00822EFF"/>
    <w:rsid w:val="0082363F"/>
    <w:rsid w:val="0082415E"/>
    <w:rsid w:val="00824167"/>
    <w:rsid w:val="00826255"/>
    <w:rsid w:val="008269E6"/>
    <w:rsid w:val="00827C61"/>
    <w:rsid w:val="0083019A"/>
    <w:rsid w:val="0083327C"/>
    <w:rsid w:val="00833834"/>
    <w:rsid w:val="00833EED"/>
    <w:rsid w:val="008340C0"/>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4192"/>
    <w:rsid w:val="00855568"/>
    <w:rsid w:val="0085624C"/>
    <w:rsid w:val="008564FB"/>
    <w:rsid w:val="00856CDE"/>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747"/>
    <w:rsid w:val="00867BCF"/>
    <w:rsid w:val="00867EC1"/>
    <w:rsid w:val="008709CE"/>
    <w:rsid w:val="00870CE0"/>
    <w:rsid w:val="008718EE"/>
    <w:rsid w:val="00871A6C"/>
    <w:rsid w:val="00871A86"/>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405E"/>
    <w:rsid w:val="0088556A"/>
    <w:rsid w:val="00885FC6"/>
    <w:rsid w:val="00886449"/>
    <w:rsid w:val="00886B61"/>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2756"/>
    <w:rsid w:val="008A2A79"/>
    <w:rsid w:val="008A42E8"/>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529"/>
    <w:rsid w:val="008C1C2A"/>
    <w:rsid w:val="008C253E"/>
    <w:rsid w:val="008C2DA9"/>
    <w:rsid w:val="008C3D8D"/>
    <w:rsid w:val="008C4C9C"/>
    <w:rsid w:val="008C4E2A"/>
    <w:rsid w:val="008C6061"/>
    <w:rsid w:val="008C66F3"/>
    <w:rsid w:val="008C69D7"/>
    <w:rsid w:val="008C76E9"/>
    <w:rsid w:val="008D08AF"/>
    <w:rsid w:val="008D0AF5"/>
    <w:rsid w:val="008D115C"/>
    <w:rsid w:val="008D168B"/>
    <w:rsid w:val="008D2BB9"/>
    <w:rsid w:val="008D3708"/>
    <w:rsid w:val="008D383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DBD"/>
    <w:rsid w:val="008F2060"/>
    <w:rsid w:val="008F2588"/>
    <w:rsid w:val="008F3581"/>
    <w:rsid w:val="008F3803"/>
    <w:rsid w:val="008F3C2A"/>
    <w:rsid w:val="008F700F"/>
    <w:rsid w:val="00900134"/>
    <w:rsid w:val="009016DD"/>
    <w:rsid w:val="00901701"/>
    <w:rsid w:val="00902EFD"/>
    <w:rsid w:val="009031DF"/>
    <w:rsid w:val="009033B2"/>
    <w:rsid w:val="00904263"/>
    <w:rsid w:val="00904DF8"/>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347D"/>
    <w:rsid w:val="0094389F"/>
    <w:rsid w:val="00943BB5"/>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FA0"/>
    <w:rsid w:val="00962794"/>
    <w:rsid w:val="00962C65"/>
    <w:rsid w:val="00963182"/>
    <w:rsid w:val="0096396B"/>
    <w:rsid w:val="00967FA4"/>
    <w:rsid w:val="00970ADC"/>
    <w:rsid w:val="0097116E"/>
    <w:rsid w:val="00971177"/>
    <w:rsid w:val="00971753"/>
    <w:rsid w:val="00971758"/>
    <w:rsid w:val="009717F1"/>
    <w:rsid w:val="009725B6"/>
    <w:rsid w:val="0097261C"/>
    <w:rsid w:val="00973F7A"/>
    <w:rsid w:val="00973FD7"/>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9050C"/>
    <w:rsid w:val="0099082C"/>
    <w:rsid w:val="0099090A"/>
    <w:rsid w:val="0099130E"/>
    <w:rsid w:val="00992974"/>
    <w:rsid w:val="00992AC4"/>
    <w:rsid w:val="009932ED"/>
    <w:rsid w:val="0099358E"/>
    <w:rsid w:val="00993E60"/>
    <w:rsid w:val="0099423A"/>
    <w:rsid w:val="0099551B"/>
    <w:rsid w:val="009956F4"/>
    <w:rsid w:val="0099570C"/>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B000F"/>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112"/>
    <w:rsid w:val="009E378D"/>
    <w:rsid w:val="009E394D"/>
    <w:rsid w:val="009E3F30"/>
    <w:rsid w:val="009E48D3"/>
    <w:rsid w:val="009E4B15"/>
    <w:rsid w:val="009E52B2"/>
    <w:rsid w:val="009E5494"/>
    <w:rsid w:val="009E69BB"/>
    <w:rsid w:val="009E72BD"/>
    <w:rsid w:val="009E7A62"/>
    <w:rsid w:val="009E7F4F"/>
    <w:rsid w:val="009F0FD8"/>
    <w:rsid w:val="009F10B1"/>
    <w:rsid w:val="009F10FD"/>
    <w:rsid w:val="009F22FB"/>
    <w:rsid w:val="009F2AC1"/>
    <w:rsid w:val="009F2F6A"/>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42"/>
    <w:rsid w:val="00A208F3"/>
    <w:rsid w:val="00A20BCC"/>
    <w:rsid w:val="00A20D62"/>
    <w:rsid w:val="00A221EC"/>
    <w:rsid w:val="00A226D1"/>
    <w:rsid w:val="00A22F34"/>
    <w:rsid w:val="00A23142"/>
    <w:rsid w:val="00A23636"/>
    <w:rsid w:val="00A24443"/>
    <w:rsid w:val="00A25697"/>
    <w:rsid w:val="00A25BA3"/>
    <w:rsid w:val="00A2641A"/>
    <w:rsid w:val="00A26F3B"/>
    <w:rsid w:val="00A27048"/>
    <w:rsid w:val="00A271DE"/>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579"/>
    <w:rsid w:val="00A411E9"/>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7058E"/>
    <w:rsid w:val="00A706D7"/>
    <w:rsid w:val="00A72281"/>
    <w:rsid w:val="00A72CD6"/>
    <w:rsid w:val="00A7385C"/>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7432"/>
    <w:rsid w:val="00AA0678"/>
    <w:rsid w:val="00AA085F"/>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C40"/>
    <w:rsid w:val="00AB413E"/>
    <w:rsid w:val="00AB5F0F"/>
    <w:rsid w:val="00AB5F18"/>
    <w:rsid w:val="00AB622B"/>
    <w:rsid w:val="00AB64D2"/>
    <w:rsid w:val="00AB6730"/>
    <w:rsid w:val="00AB69FC"/>
    <w:rsid w:val="00AB7132"/>
    <w:rsid w:val="00AB753D"/>
    <w:rsid w:val="00AB7AB9"/>
    <w:rsid w:val="00AC0105"/>
    <w:rsid w:val="00AC07CA"/>
    <w:rsid w:val="00AC0EE9"/>
    <w:rsid w:val="00AC11EB"/>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A3B"/>
    <w:rsid w:val="00AD4A29"/>
    <w:rsid w:val="00AD563F"/>
    <w:rsid w:val="00AD63F4"/>
    <w:rsid w:val="00AD6854"/>
    <w:rsid w:val="00AD7EFF"/>
    <w:rsid w:val="00AE01A9"/>
    <w:rsid w:val="00AE0F14"/>
    <w:rsid w:val="00AE0FD5"/>
    <w:rsid w:val="00AE12BE"/>
    <w:rsid w:val="00AE198B"/>
    <w:rsid w:val="00AE2BDD"/>
    <w:rsid w:val="00AE31E6"/>
    <w:rsid w:val="00AE678A"/>
    <w:rsid w:val="00AF03BB"/>
    <w:rsid w:val="00AF05E9"/>
    <w:rsid w:val="00AF0B2B"/>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4210"/>
    <w:rsid w:val="00B04418"/>
    <w:rsid w:val="00B04E17"/>
    <w:rsid w:val="00B04F04"/>
    <w:rsid w:val="00B05A7D"/>
    <w:rsid w:val="00B05EAA"/>
    <w:rsid w:val="00B06DE6"/>
    <w:rsid w:val="00B06FC1"/>
    <w:rsid w:val="00B07C20"/>
    <w:rsid w:val="00B1084A"/>
    <w:rsid w:val="00B12048"/>
    <w:rsid w:val="00B12F58"/>
    <w:rsid w:val="00B137D9"/>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F27"/>
    <w:rsid w:val="00B55606"/>
    <w:rsid w:val="00B57228"/>
    <w:rsid w:val="00B5763A"/>
    <w:rsid w:val="00B605B0"/>
    <w:rsid w:val="00B60959"/>
    <w:rsid w:val="00B6165A"/>
    <w:rsid w:val="00B62D83"/>
    <w:rsid w:val="00B6398E"/>
    <w:rsid w:val="00B64960"/>
    <w:rsid w:val="00B652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5352"/>
    <w:rsid w:val="00B954DD"/>
    <w:rsid w:val="00B96552"/>
    <w:rsid w:val="00B9656A"/>
    <w:rsid w:val="00B96AD7"/>
    <w:rsid w:val="00B96C21"/>
    <w:rsid w:val="00B97139"/>
    <w:rsid w:val="00B97CF0"/>
    <w:rsid w:val="00BA0BAF"/>
    <w:rsid w:val="00BA0C6D"/>
    <w:rsid w:val="00BA1875"/>
    <w:rsid w:val="00BA2D1A"/>
    <w:rsid w:val="00BA30F0"/>
    <w:rsid w:val="00BA39DB"/>
    <w:rsid w:val="00BA3ACE"/>
    <w:rsid w:val="00BA4299"/>
    <w:rsid w:val="00BA47AC"/>
    <w:rsid w:val="00BA4887"/>
    <w:rsid w:val="00BA4C0E"/>
    <w:rsid w:val="00BA541D"/>
    <w:rsid w:val="00BA55C3"/>
    <w:rsid w:val="00BA751B"/>
    <w:rsid w:val="00BA75B4"/>
    <w:rsid w:val="00BA7B77"/>
    <w:rsid w:val="00BB1415"/>
    <w:rsid w:val="00BB2034"/>
    <w:rsid w:val="00BB22DF"/>
    <w:rsid w:val="00BB2D80"/>
    <w:rsid w:val="00BB3883"/>
    <w:rsid w:val="00BB399C"/>
    <w:rsid w:val="00BB444B"/>
    <w:rsid w:val="00BB45AE"/>
    <w:rsid w:val="00BB5408"/>
    <w:rsid w:val="00BB56A6"/>
    <w:rsid w:val="00BB5807"/>
    <w:rsid w:val="00BB67F5"/>
    <w:rsid w:val="00BB6E08"/>
    <w:rsid w:val="00BB6F11"/>
    <w:rsid w:val="00BB798F"/>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C72"/>
    <w:rsid w:val="00BE75FD"/>
    <w:rsid w:val="00BF12C5"/>
    <w:rsid w:val="00BF259A"/>
    <w:rsid w:val="00BF27B2"/>
    <w:rsid w:val="00BF31A0"/>
    <w:rsid w:val="00BF36E4"/>
    <w:rsid w:val="00BF4BF9"/>
    <w:rsid w:val="00BF5537"/>
    <w:rsid w:val="00BF5C23"/>
    <w:rsid w:val="00BF5EA7"/>
    <w:rsid w:val="00BF6248"/>
    <w:rsid w:val="00BF6A19"/>
    <w:rsid w:val="00BF7A39"/>
    <w:rsid w:val="00C005BF"/>
    <w:rsid w:val="00C00ACD"/>
    <w:rsid w:val="00C00EEF"/>
    <w:rsid w:val="00C01819"/>
    <w:rsid w:val="00C03048"/>
    <w:rsid w:val="00C037FB"/>
    <w:rsid w:val="00C039A9"/>
    <w:rsid w:val="00C04B96"/>
    <w:rsid w:val="00C04D08"/>
    <w:rsid w:val="00C05BFA"/>
    <w:rsid w:val="00C06274"/>
    <w:rsid w:val="00C0694A"/>
    <w:rsid w:val="00C07D68"/>
    <w:rsid w:val="00C106D7"/>
    <w:rsid w:val="00C12487"/>
    <w:rsid w:val="00C124CC"/>
    <w:rsid w:val="00C1269D"/>
    <w:rsid w:val="00C12F0B"/>
    <w:rsid w:val="00C13B08"/>
    <w:rsid w:val="00C13CB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EE8"/>
    <w:rsid w:val="00C404D9"/>
    <w:rsid w:val="00C40836"/>
    <w:rsid w:val="00C41F7A"/>
    <w:rsid w:val="00C431D1"/>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E35"/>
    <w:rsid w:val="00C65FD4"/>
    <w:rsid w:val="00C67147"/>
    <w:rsid w:val="00C67154"/>
    <w:rsid w:val="00C6792C"/>
    <w:rsid w:val="00C7025D"/>
    <w:rsid w:val="00C70B58"/>
    <w:rsid w:val="00C71C33"/>
    <w:rsid w:val="00C720C4"/>
    <w:rsid w:val="00C72590"/>
    <w:rsid w:val="00C727E9"/>
    <w:rsid w:val="00C72818"/>
    <w:rsid w:val="00C72ECB"/>
    <w:rsid w:val="00C73591"/>
    <w:rsid w:val="00C7403B"/>
    <w:rsid w:val="00C759FE"/>
    <w:rsid w:val="00C75C65"/>
    <w:rsid w:val="00C75DF3"/>
    <w:rsid w:val="00C75EE9"/>
    <w:rsid w:val="00C769BE"/>
    <w:rsid w:val="00C76AE3"/>
    <w:rsid w:val="00C76DC4"/>
    <w:rsid w:val="00C76FDC"/>
    <w:rsid w:val="00C7755D"/>
    <w:rsid w:val="00C8074C"/>
    <w:rsid w:val="00C80E57"/>
    <w:rsid w:val="00C818F1"/>
    <w:rsid w:val="00C81A93"/>
    <w:rsid w:val="00C82453"/>
    <w:rsid w:val="00C827B2"/>
    <w:rsid w:val="00C8440F"/>
    <w:rsid w:val="00C84AFE"/>
    <w:rsid w:val="00C84BF5"/>
    <w:rsid w:val="00C8536B"/>
    <w:rsid w:val="00C862E2"/>
    <w:rsid w:val="00C90254"/>
    <w:rsid w:val="00C9040E"/>
    <w:rsid w:val="00C905D1"/>
    <w:rsid w:val="00C9064B"/>
    <w:rsid w:val="00C91991"/>
    <w:rsid w:val="00C91BAA"/>
    <w:rsid w:val="00C93804"/>
    <w:rsid w:val="00C93BE6"/>
    <w:rsid w:val="00C93EBF"/>
    <w:rsid w:val="00C94552"/>
    <w:rsid w:val="00C94B91"/>
    <w:rsid w:val="00C94D43"/>
    <w:rsid w:val="00C95251"/>
    <w:rsid w:val="00C95414"/>
    <w:rsid w:val="00C9568D"/>
    <w:rsid w:val="00C95E2C"/>
    <w:rsid w:val="00C96FDA"/>
    <w:rsid w:val="00C97B54"/>
    <w:rsid w:val="00CA0A5E"/>
    <w:rsid w:val="00CA1805"/>
    <w:rsid w:val="00CA1B72"/>
    <w:rsid w:val="00CA2E50"/>
    <w:rsid w:val="00CA3926"/>
    <w:rsid w:val="00CA3F3E"/>
    <w:rsid w:val="00CA40DF"/>
    <w:rsid w:val="00CA4A21"/>
    <w:rsid w:val="00CA66BA"/>
    <w:rsid w:val="00CA6860"/>
    <w:rsid w:val="00CA7580"/>
    <w:rsid w:val="00CB082E"/>
    <w:rsid w:val="00CB237A"/>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258A"/>
    <w:rsid w:val="00D630BB"/>
    <w:rsid w:val="00D6316A"/>
    <w:rsid w:val="00D632FB"/>
    <w:rsid w:val="00D63318"/>
    <w:rsid w:val="00D638F5"/>
    <w:rsid w:val="00D63FAC"/>
    <w:rsid w:val="00D640B7"/>
    <w:rsid w:val="00D642B4"/>
    <w:rsid w:val="00D64DB6"/>
    <w:rsid w:val="00D65131"/>
    <w:rsid w:val="00D656E0"/>
    <w:rsid w:val="00D66160"/>
    <w:rsid w:val="00D66C5C"/>
    <w:rsid w:val="00D67515"/>
    <w:rsid w:val="00D67645"/>
    <w:rsid w:val="00D67DE4"/>
    <w:rsid w:val="00D70AA9"/>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B44"/>
    <w:rsid w:val="00D956B5"/>
    <w:rsid w:val="00D95C68"/>
    <w:rsid w:val="00D96442"/>
    <w:rsid w:val="00D96A47"/>
    <w:rsid w:val="00D97759"/>
    <w:rsid w:val="00DA0CF6"/>
    <w:rsid w:val="00DA1534"/>
    <w:rsid w:val="00DA1593"/>
    <w:rsid w:val="00DA2A31"/>
    <w:rsid w:val="00DA2E26"/>
    <w:rsid w:val="00DA34E5"/>
    <w:rsid w:val="00DA3E26"/>
    <w:rsid w:val="00DA4387"/>
    <w:rsid w:val="00DA4DA5"/>
    <w:rsid w:val="00DA5380"/>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6100"/>
    <w:rsid w:val="00DB6DED"/>
    <w:rsid w:val="00DB7201"/>
    <w:rsid w:val="00DB7321"/>
    <w:rsid w:val="00DB7BC0"/>
    <w:rsid w:val="00DC00DC"/>
    <w:rsid w:val="00DC0561"/>
    <w:rsid w:val="00DC166C"/>
    <w:rsid w:val="00DC236C"/>
    <w:rsid w:val="00DC2DBA"/>
    <w:rsid w:val="00DC3F70"/>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2D5A"/>
    <w:rsid w:val="00DE2DFF"/>
    <w:rsid w:val="00DE3C0A"/>
    <w:rsid w:val="00DE3CD1"/>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53C8"/>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4D1A"/>
    <w:rsid w:val="00E04F46"/>
    <w:rsid w:val="00E05573"/>
    <w:rsid w:val="00E06EB0"/>
    <w:rsid w:val="00E07193"/>
    <w:rsid w:val="00E078A5"/>
    <w:rsid w:val="00E10180"/>
    <w:rsid w:val="00E101C6"/>
    <w:rsid w:val="00E10B40"/>
    <w:rsid w:val="00E11521"/>
    <w:rsid w:val="00E11C89"/>
    <w:rsid w:val="00E12676"/>
    <w:rsid w:val="00E13070"/>
    <w:rsid w:val="00E15800"/>
    <w:rsid w:val="00E1599C"/>
    <w:rsid w:val="00E15FDB"/>
    <w:rsid w:val="00E165C7"/>
    <w:rsid w:val="00E21958"/>
    <w:rsid w:val="00E220C3"/>
    <w:rsid w:val="00E22A82"/>
    <w:rsid w:val="00E22B5B"/>
    <w:rsid w:val="00E22C34"/>
    <w:rsid w:val="00E2320A"/>
    <w:rsid w:val="00E23951"/>
    <w:rsid w:val="00E243B3"/>
    <w:rsid w:val="00E24D2C"/>
    <w:rsid w:val="00E25B66"/>
    <w:rsid w:val="00E2607E"/>
    <w:rsid w:val="00E2633C"/>
    <w:rsid w:val="00E26446"/>
    <w:rsid w:val="00E27C42"/>
    <w:rsid w:val="00E27F18"/>
    <w:rsid w:val="00E30E7D"/>
    <w:rsid w:val="00E316BF"/>
    <w:rsid w:val="00E31A46"/>
    <w:rsid w:val="00E32817"/>
    <w:rsid w:val="00E32968"/>
    <w:rsid w:val="00E33CA6"/>
    <w:rsid w:val="00E35604"/>
    <w:rsid w:val="00E35B58"/>
    <w:rsid w:val="00E363E9"/>
    <w:rsid w:val="00E36732"/>
    <w:rsid w:val="00E3783F"/>
    <w:rsid w:val="00E4016A"/>
    <w:rsid w:val="00E42BC5"/>
    <w:rsid w:val="00E42D3E"/>
    <w:rsid w:val="00E42D76"/>
    <w:rsid w:val="00E46F46"/>
    <w:rsid w:val="00E5060A"/>
    <w:rsid w:val="00E5166D"/>
    <w:rsid w:val="00E516D2"/>
    <w:rsid w:val="00E51BFE"/>
    <w:rsid w:val="00E5208B"/>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1709"/>
    <w:rsid w:val="00E724D1"/>
    <w:rsid w:val="00E74DC2"/>
    <w:rsid w:val="00E759C9"/>
    <w:rsid w:val="00E761B3"/>
    <w:rsid w:val="00E763AB"/>
    <w:rsid w:val="00E76AF8"/>
    <w:rsid w:val="00E805E5"/>
    <w:rsid w:val="00E8081D"/>
    <w:rsid w:val="00E80B68"/>
    <w:rsid w:val="00E81A0A"/>
    <w:rsid w:val="00E81B91"/>
    <w:rsid w:val="00E81C0D"/>
    <w:rsid w:val="00E81F69"/>
    <w:rsid w:val="00E8204B"/>
    <w:rsid w:val="00E82533"/>
    <w:rsid w:val="00E83AA9"/>
    <w:rsid w:val="00E83DAD"/>
    <w:rsid w:val="00E84999"/>
    <w:rsid w:val="00E851FA"/>
    <w:rsid w:val="00E86485"/>
    <w:rsid w:val="00E9060B"/>
    <w:rsid w:val="00E90C7E"/>
    <w:rsid w:val="00E90C96"/>
    <w:rsid w:val="00E91399"/>
    <w:rsid w:val="00E91EDC"/>
    <w:rsid w:val="00E92A1E"/>
    <w:rsid w:val="00E93BC8"/>
    <w:rsid w:val="00E940D8"/>
    <w:rsid w:val="00E9430C"/>
    <w:rsid w:val="00E94B17"/>
    <w:rsid w:val="00E95957"/>
    <w:rsid w:val="00E96FAE"/>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85"/>
    <w:rsid w:val="00EB1FA5"/>
    <w:rsid w:val="00EB2BC3"/>
    <w:rsid w:val="00EB2D63"/>
    <w:rsid w:val="00EB3883"/>
    <w:rsid w:val="00EB3CB9"/>
    <w:rsid w:val="00EB3F49"/>
    <w:rsid w:val="00EB3F5E"/>
    <w:rsid w:val="00EB441B"/>
    <w:rsid w:val="00EB49FE"/>
    <w:rsid w:val="00EB5494"/>
    <w:rsid w:val="00EB594C"/>
    <w:rsid w:val="00EB78A7"/>
    <w:rsid w:val="00EB7A71"/>
    <w:rsid w:val="00EC08B6"/>
    <w:rsid w:val="00EC21CD"/>
    <w:rsid w:val="00EC273C"/>
    <w:rsid w:val="00EC27DC"/>
    <w:rsid w:val="00EC2A81"/>
    <w:rsid w:val="00EC3B34"/>
    <w:rsid w:val="00EC4345"/>
    <w:rsid w:val="00EC4C4A"/>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A3F"/>
    <w:rsid w:val="00EE3D29"/>
    <w:rsid w:val="00EE4DDC"/>
    <w:rsid w:val="00EE53BD"/>
    <w:rsid w:val="00EE5470"/>
    <w:rsid w:val="00EE5860"/>
    <w:rsid w:val="00EE5AE1"/>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F00B6E"/>
    <w:rsid w:val="00F00CE2"/>
    <w:rsid w:val="00F03E58"/>
    <w:rsid w:val="00F042C9"/>
    <w:rsid w:val="00F04C97"/>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318BE"/>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F4F"/>
    <w:rsid w:val="00F470A8"/>
    <w:rsid w:val="00F47291"/>
    <w:rsid w:val="00F47647"/>
    <w:rsid w:val="00F47D2A"/>
    <w:rsid w:val="00F5068B"/>
    <w:rsid w:val="00F507D1"/>
    <w:rsid w:val="00F5111C"/>
    <w:rsid w:val="00F51F54"/>
    <w:rsid w:val="00F52051"/>
    <w:rsid w:val="00F53309"/>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54A2"/>
    <w:rsid w:val="00F87EAE"/>
    <w:rsid w:val="00F90556"/>
    <w:rsid w:val="00F91AA5"/>
    <w:rsid w:val="00F9246C"/>
    <w:rsid w:val="00F924FD"/>
    <w:rsid w:val="00F93ABD"/>
    <w:rsid w:val="00F94DED"/>
    <w:rsid w:val="00F94E82"/>
    <w:rsid w:val="00F95609"/>
    <w:rsid w:val="00F968BE"/>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apcc.s3.amazonaws.com/pdfs/annual_reports/2014_AAPCC_NPDS_Annual_Report.pdf" TargetMode="External"/><Relationship Id="rId18" Type="http://schemas.openxmlformats.org/officeDocument/2006/relationships/hyperlink" Target="https://cdn.ymaws.com/www.cste.org/resource/resmgr/2018_position_statements/18-ID-01.pdf" TargetMode="External"/><Relationship Id="rId26" Type="http://schemas.openxmlformats.org/officeDocument/2006/relationships/hyperlink" Target="https://www.bls.gov/oes/current/oes_nat.htm" TargetMode="External"/><Relationship Id="rId3" Type="http://schemas.openxmlformats.org/officeDocument/2006/relationships/styles" Target="styles.xml"/><Relationship Id="rId21" Type="http://schemas.openxmlformats.org/officeDocument/2006/relationships/hyperlink" Target="http://www.cdc.gov/ophss/docs/cdc-surveillance-strategy-final.pdf" TargetMode="External"/><Relationship Id="rId7" Type="http://schemas.openxmlformats.org/officeDocument/2006/relationships/footnotes" Target="footnotes.xml"/><Relationship Id="rId12" Type="http://schemas.openxmlformats.org/officeDocument/2006/relationships/hyperlink" Target="http://c.ymcdn.com/sites/www.cste.org/resource/resmgr/PS/13-EH-01.pdf" TargetMode="External"/><Relationship Id="rId17" Type="http://schemas.openxmlformats.org/officeDocument/2006/relationships/hyperlink" Target="http://c.ymcdn.com/sites/www.cste.org/resource/resmgr/2017PS/2017PSFinal/17-ID-09.pdf" TargetMode="External"/><Relationship Id="rId25" Type="http://schemas.openxmlformats.org/officeDocument/2006/relationships/hyperlink" Target="http://www.dat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nfo.gov/public/do/PRAViewICR?ref_nbr=201610-0920-012" TargetMode="External"/><Relationship Id="rId20" Type="http://schemas.openxmlformats.org/officeDocument/2006/relationships/hyperlink" Target="https://data.cdc.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dn.ymaws.com/www.cste.org/resource/resmgr/2018_position_statements/18-ID-08.pdf" TargetMode="External"/><Relationship Id="rId24" Type="http://schemas.openxmlformats.org/officeDocument/2006/relationships/hyperlink" Target="https://data.cdc.go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ymcdn.com/sites/www.cste.org/resource/resmgr/PS/09-ID-65.pdf" TargetMode="External"/><Relationship Id="rId23" Type="http://schemas.openxmlformats.org/officeDocument/2006/relationships/hyperlink" Target="http://wonder.cdc.gov/" TargetMode="External"/><Relationship Id="rId28" Type="http://schemas.openxmlformats.org/officeDocument/2006/relationships/header" Target="header1.xml"/><Relationship Id="rId10" Type="http://schemas.openxmlformats.org/officeDocument/2006/relationships/hyperlink" Target="https://cdn.ymaws.com/www.cste.org/resource/resmgr/2018_position_statements/18-ID-08.pdf" TargetMode="External"/><Relationship Id="rId19" Type="http://schemas.openxmlformats.org/officeDocument/2006/relationships/hyperlink" Target="http://wonder.cdc.gov/"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c.ymcdn.com/sites/www.cste.org/resource/resmgr/2017PS/2017PSFinal/17-ID-04.pdf" TargetMode="External"/><Relationship Id="rId14" Type="http://schemas.openxmlformats.org/officeDocument/2006/relationships/hyperlink" Target="https://cdn.ymaws.com/www.cste.org/resource/resmgr/2018_position_statements/18-EH-01.pdf" TargetMode="External"/><Relationship Id="rId22" Type="http://schemas.openxmlformats.org/officeDocument/2006/relationships/hyperlink" Target="https://www.cdc.gov/ncezid/dpei/epidemiology-laboratory-capacity.html" TargetMode="External"/><Relationship Id="rId27" Type="http://schemas.openxmlformats.org/officeDocument/2006/relationships/hyperlink" Target="http://www.bls.gov/oes/current/oes_nat.ht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75B2-8F7C-472E-BC33-D51DE826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12108</Words>
  <Characters>69022</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80969</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2019-04-29T16:26:00Z</dcterms:created>
  <dcterms:modified xsi:type="dcterms:W3CDTF">2019-04-29T16:26:00Z</dcterms:modified>
</cp:coreProperties>
</file>