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A1" w:rsidRDefault="00956EA1" w:rsidP="00956EA1">
      <w:pPr>
        <w:pStyle w:val="Heading1"/>
      </w:pPr>
      <w:bookmarkStart w:id="0" w:name="_GoBack"/>
      <w:bookmarkEnd w:id="0"/>
    </w:p>
    <w:p w:rsidR="00956EA1" w:rsidRDefault="00956EA1" w:rsidP="00956EA1">
      <w:pPr>
        <w:pStyle w:val="StyleTitleLeft"/>
        <w:jc w:val="center"/>
        <w:rPr>
          <w:szCs w:val="24"/>
        </w:rPr>
      </w:pPr>
      <w:r>
        <w:rPr>
          <w:szCs w:val="24"/>
        </w:rPr>
        <w:t>S</w:t>
      </w:r>
      <w:r w:rsidRPr="00B5373D">
        <w:rPr>
          <w:szCs w:val="24"/>
        </w:rPr>
        <w:t>UPPORTING STATEMENT</w:t>
      </w:r>
    </w:p>
    <w:p w:rsidR="00956EA1" w:rsidRDefault="00956EA1" w:rsidP="00956EA1">
      <w:pPr>
        <w:pStyle w:val="StyleTitleLeft"/>
        <w:jc w:val="center"/>
        <w:rPr>
          <w:szCs w:val="24"/>
        </w:rPr>
      </w:pPr>
      <w:r>
        <w:rPr>
          <w:szCs w:val="24"/>
        </w:rPr>
        <w:t>WEST COAST FISHERIES PARTICIPATION SURVEY</w:t>
      </w:r>
    </w:p>
    <w:p w:rsidR="00956EA1" w:rsidRDefault="001524FB" w:rsidP="00956EA1">
      <w:pPr>
        <w:pStyle w:val="StyleTitleLeft"/>
        <w:jc w:val="center"/>
        <w:rPr>
          <w:szCs w:val="24"/>
        </w:rPr>
      </w:pPr>
      <w:r>
        <w:rPr>
          <w:szCs w:val="24"/>
        </w:rPr>
        <w:t xml:space="preserve">OMB CONTROL NO. </w:t>
      </w:r>
      <w:r w:rsidRPr="006A39B7">
        <w:rPr>
          <w:szCs w:val="24"/>
        </w:rPr>
        <w:t>0648-0749</w:t>
      </w:r>
    </w:p>
    <w:p w:rsidR="00956EA1" w:rsidRDefault="00956EA1" w:rsidP="00956EA1">
      <w:pPr>
        <w:pStyle w:val="Heading1"/>
      </w:pPr>
    </w:p>
    <w:p w:rsidR="00956EA1" w:rsidRDefault="00956EA1" w:rsidP="00956EA1">
      <w:pPr>
        <w:pStyle w:val="Heading1"/>
      </w:pPr>
    </w:p>
    <w:p w:rsidR="00956EA1" w:rsidRDefault="00956EA1" w:rsidP="00956EA1">
      <w:pPr>
        <w:pStyle w:val="Heading1"/>
      </w:pPr>
      <w:r>
        <w:t>B.  COLLECTIONS OF INFORMATION EMPLOYING STATISTICAL METHODS</w:t>
      </w:r>
    </w:p>
    <w:p w:rsidR="00956EA1" w:rsidRDefault="00956EA1" w:rsidP="00956EA1">
      <w:pPr>
        <w:rPr>
          <w:sz w:val="24"/>
        </w:rPr>
      </w:pPr>
    </w:p>
    <w:p w:rsidR="00956EA1" w:rsidRDefault="00956EA1" w:rsidP="00956EA1">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767"/>
        <w:gridCol w:w="1618"/>
        <w:gridCol w:w="1270"/>
        <w:gridCol w:w="1467"/>
        <w:gridCol w:w="1270"/>
      </w:tblGrid>
      <w:tr w:rsidR="00FF3EE1" w:rsidTr="00FF3EE1">
        <w:tc>
          <w:tcPr>
            <w:tcW w:w="1713" w:type="dxa"/>
            <w:tcBorders>
              <w:bottom w:val="single" w:sz="4" w:space="0" w:color="auto"/>
            </w:tcBorders>
          </w:tcPr>
          <w:p w:rsidR="00FF3EE1" w:rsidRDefault="00FF3EE1" w:rsidP="005C22D8">
            <w:pPr>
              <w:rPr>
                <w:b/>
                <w:color w:val="000000"/>
                <w:sz w:val="24"/>
              </w:rPr>
            </w:pPr>
            <w:r>
              <w:rPr>
                <w:b/>
                <w:color w:val="000000"/>
                <w:sz w:val="24"/>
              </w:rPr>
              <w:t>Region</w:t>
            </w:r>
          </w:p>
        </w:tc>
        <w:tc>
          <w:tcPr>
            <w:tcW w:w="1784" w:type="dxa"/>
            <w:tcBorders>
              <w:bottom w:val="single" w:sz="4" w:space="0" w:color="auto"/>
            </w:tcBorders>
          </w:tcPr>
          <w:p w:rsidR="00FF3EE1" w:rsidRDefault="00785DB1" w:rsidP="005C22D8">
            <w:pPr>
              <w:rPr>
                <w:b/>
                <w:color w:val="000000"/>
                <w:sz w:val="24"/>
              </w:rPr>
            </w:pPr>
            <w:r>
              <w:rPr>
                <w:b/>
                <w:color w:val="000000"/>
                <w:sz w:val="24"/>
              </w:rPr>
              <w:t>Respondent Universe</w:t>
            </w:r>
            <w:r w:rsidR="00FF3EE1">
              <w:rPr>
                <w:b/>
                <w:color w:val="000000"/>
                <w:sz w:val="24"/>
              </w:rPr>
              <w:t>*</w:t>
            </w:r>
          </w:p>
        </w:tc>
        <w:tc>
          <w:tcPr>
            <w:tcW w:w="1635" w:type="dxa"/>
            <w:tcBorders>
              <w:bottom w:val="single" w:sz="4" w:space="0" w:color="auto"/>
            </w:tcBorders>
          </w:tcPr>
          <w:p w:rsidR="00FF3EE1" w:rsidRDefault="00FF3EE1" w:rsidP="005C22D8">
            <w:pPr>
              <w:rPr>
                <w:b/>
                <w:color w:val="000000"/>
                <w:sz w:val="24"/>
              </w:rPr>
            </w:pPr>
            <w:r>
              <w:rPr>
                <w:b/>
                <w:color w:val="000000"/>
                <w:sz w:val="24"/>
              </w:rPr>
              <w:t>Total Desired Responses</w:t>
            </w:r>
          </w:p>
        </w:tc>
        <w:tc>
          <w:tcPr>
            <w:tcW w:w="1184" w:type="dxa"/>
            <w:tcBorders>
              <w:bottom w:val="single" w:sz="4" w:space="0" w:color="auto"/>
            </w:tcBorders>
          </w:tcPr>
          <w:p w:rsidR="00FF3EE1" w:rsidRDefault="00785DB1" w:rsidP="005C22D8">
            <w:pPr>
              <w:rPr>
                <w:b/>
                <w:color w:val="000000"/>
                <w:sz w:val="24"/>
              </w:rPr>
            </w:pPr>
            <w:r>
              <w:rPr>
                <w:b/>
                <w:color w:val="000000"/>
                <w:sz w:val="24"/>
              </w:rPr>
              <w:t>Responses</w:t>
            </w:r>
          </w:p>
        </w:tc>
        <w:tc>
          <w:tcPr>
            <w:tcW w:w="1482" w:type="dxa"/>
            <w:tcBorders>
              <w:bottom w:val="single" w:sz="4" w:space="0" w:color="auto"/>
            </w:tcBorders>
          </w:tcPr>
          <w:p w:rsidR="00FF3EE1" w:rsidRDefault="00FF3EE1" w:rsidP="005C22D8">
            <w:pPr>
              <w:rPr>
                <w:b/>
                <w:color w:val="000000"/>
                <w:sz w:val="24"/>
              </w:rPr>
            </w:pPr>
            <w:r>
              <w:rPr>
                <w:b/>
                <w:color w:val="000000"/>
                <w:sz w:val="24"/>
              </w:rPr>
              <w:t>Response Rate (Est.) **</w:t>
            </w:r>
          </w:p>
        </w:tc>
        <w:tc>
          <w:tcPr>
            <w:tcW w:w="1270" w:type="dxa"/>
            <w:tcBorders>
              <w:bottom w:val="single" w:sz="4" w:space="0" w:color="auto"/>
            </w:tcBorders>
          </w:tcPr>
          <w:p w:rsidR="00FF3EE1" w:rsidRDefault="00FF3EE1" w:rsidP="005C22D8">
            <w:pPr>
              <w:rPr>
                <w:b/>
                <w:color w:val="000000"/>
                <w:sz w:val="24"/>
              </w:rPr>
            </w:pPr>
            <w:r>
              <w:rPr>
                <w:b/>
                <w:color w:val="000000"/>
                <w:sz w:val="24"/>
              </w:rPr>
              <w:t>Number Contacted</w:t>
            </w:r>
          </w:p>
        </w:tc>
      </w:tr>
      <w:tr w:rsidR="00FF3EE1" w:rsidTr="00FF3EE1">
        <w:tc>
          <w:tcPr>
            <w:tcW w:w="1713" w:type="dxa"/>
            <w:tcBorders>
              <w:bottom w:val="nil"/>
            </w:tcBorders>
          </w:tcPr>
          <w:p w:rsidR="00FF3EE1" w:rsidRDefault="00FF3EE1" w:rsidP="005C22D8">
            <w:pPr>
              <w:rPr>
                <w:color w:val="000000"/>
                <w:sz w:val="24"/>
              </w:rPr>
            </w:pPr>
            <w:r>
              <w:rPr>
                <w:color w:val="000000"/>
                <w:sz w:val="24"/>
              </w:rPr>
              <w:t>U.S. West Coast Region</w:t>
            </w:r>
          </w:p>
        </w:tc>
        <w:tc>
          <w:tcPr>
            <w:tcW w:w="1784" w:type="dxa"/>
            <w:tcBorders>
              <w:bottom w:val="nil"/>
            </w:tcBorders>
          </w:tcPr>
          <w:p w:rsidR="00FF3EE1" w:rsidRDefault="00785DB1" w:rsidP="005C22D8">
            <w:pPr>
              <w:rPr>
                <w:color w:val="000000"/>
                <w:sz w:val="24"/>
              </w:rPr>
            </w:pPr>
            <w:r>
              <w:rPr>
                <w:color w:val="000000"/>
                <w:sz w:val="24"/>
              </w:rPr>
              <w:t>2,842</w:t>
            </w:r>
          </w:p>
        </w:tc>
        <w:tc>
          <w:tcPr>
            <w:tcW w:w="1635" w:type="dxa"/>
            <w:tcBorders>
              <w:bottom w:val="nil"/>
            </w:tcBorders>
          </w:tcPr>
          <w:p w:rsidR="00FF3EE1" w:rsidRDefault="00FF3EE1" w:rsidP="005C22D8">
            <w:pPr>
              <w:rPr>
                <w:color w:val="000000"/>
                <w:sz w:val="24"/>
              </w:rPr>
            </w:pPr>
            <w:r>
              <w:rPr>
                <w:color w:val="000000"/>
                <w:sz w:val="24"/>
              </w:rPr>
              <w:t>1,771</w:t>
            </w:r>
          </w:p>
        </w:tc>
        <w:tc>
          <w:tcPr>
            <w:tcW w:w="1184" w:type="dxa"/>
            <w:tcBorders>
              <w:bottom w:val="nil"/>
            </w:tcBorders>
          </w:tcPr>
          <w:p w:rsidR="00FF3EE1" w:rsidRDefault="00785DB1" w:rsidP="005C22D8">
            <w:pPr>
              <w:rPr>
                <w:color w:val="000000"/>
                <w:sz w:val="24"/>
              </w:rPr>
            </w:pPr>
            <w:r>
              <w:rPr>
                <w:color w:val="000000"/>
                <w:sz w:val="24"/>
              </w:rPr>
              <w:t>1</w:t>
            </w:r>
            <w:r w:rsidR="00156D61">
              <w:rPr>
                <w:color w:val="000000"/>
                <w:sz w:val="24"/>
              </w:rPr>
              <w:t>,</w:t>
            </w:r>
            <w:r>
              <w:rPr>
                <w:color w:val="000000"/>
                <w:sz w:val="24"/>
              </w:rPr>
              <w:t>444</w:t>
            </w:r>
          </w:p>
        </w:tc>
        <w:tc>
          <w:tcPr>
            <w:tcW w:w="1482" w:type="dxa"/>
            <w:tcBorders>
              <w:bottom w:val="nil"/>
            </w:tcBorders>
          </w:tcPr>
          <w:p w:rsidR="00FF3EE1" w:rsidRDefault="00FF3EE1" w:rsidP="005C22D8">
            <w:pPr>
              <w:rPr>
                <w:color w:val="000000"/>
                <w:sz w:val="24"/>
              </w:rPr>
            </w:pPr>
            <w:r>
              <w:rPr>
                <w:color w:val="000000"/>
                <w:sz w:val="24"/>
              </w:rPr>
              <w:t>50</w:t>
            </w:r>
            <w:r w:rsidR="00785DB1">
              <w:rPr>
                <w:color w:val="000000"/>
                <w:sz w:val="24"/>
              </w:rPr>
              <w:t>.8</w:t>
            </w:r>
            <w:r>
              <w:rPr>
                <w:color w:val="000000"/>
                <w:sz w:val="24"/>
              </w:rPr>
              <w:t>%</w:t>
            </w:r>
          </w:p>
          <w:p w:rsidR="00FF3EE1" w:rsidRDefault="00FF3EE1" w:rsidP="005C22D8">
            <w:pPr>
              <w:rPr>
                <w:color w:val="000000"/>
                <w:sz w:val="24"/>
              </w:rPr>
            </w:pPr>
          </w:p>
        </w:tc>
        <w:tc>
          <w:tcPr>
            <w:tcW w:w="1270" w:type="dxa"/>
            <w:tcBorders>
              <w:bottom w:val="nil"/>
            </w:tcBorders>
          </w:tcPr>
          <w:p w:rsidR="00FF3EE1" w:rsidRDefault="00785DB1" w:rsidP="005C22D8">
            <w:pPr>
              <w:rPr>
                <w:color w:val="000000"/>
                <w:sz w:val="24"/>
              </w:rPr>
            </w:pPr>
            <w:r>
              <w:rPr>
                <w:color w:val="000000"/>
                <w:sz w:val="24"/>
              </w:rPr>
              <w:t>2,842</w:t>
            </w:r>
          </w:p>
        </w:tc>
      </w:tr>
    </w:tbl>
    <w:p w:rsidR="00956EA1" w:rsidRDefault="00956EA1" w:rsidP="00956EA1">
      <w:pPr>
        <w:rPr>
          <w:color w:val="000000"/>
          <w:sz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*Respondent universe is equal to the total number of fishing permit holders for the U.S. West Coast region, for which the</w:t>
      </w:r>
      <w:r w:rsidR="00785DB1">
        <w:rPr>
          <w:sz w:val="24"/>
          <w:szCs w:val="24"/>
        </w:rPr>
        <w:t>re were 2842</w:t>
      </w:r>
      <w:r>
        <w:rPr>
          <w:sz w:val="24"/>
          <w:szCs w:val="24"/>
        </w:rPr>
        <w:t>.</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956EA1" w:rsidRDefault="00785DB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**Actual</w:t>
      </w:r>
      <w:r w:rsidR="00956EA1">
        <w:rPr>
          <w:sz w:val="24"/>
          <w:szCs w:val="24"/>
        </w:rPr>
        <w:t xml:space="preserve"> response</w:t>
      </w:r>
      <w:r>
        <w:rPr>
          <w:sz w:val="24"/>
          <w:szCs w:val="24"/>
        </w:rPr>
        <w:t xml:space="preserve"> rate based upon prior </w:t>
      </w:r>
      <w:r w:rsidR="00FF3EE1">
        <w:rPr>
          <w:sz w:val="24"/>
          <w:szCs w:val="24"/>
        </w:rPr>
        <w:t>work</w:t>
      </w:r>
      <w:r>
        <w:rPr>
          <w:sz w:val="24"/>
          <w:szCs w:val="24"/>
        </w:rPr>
        <w:t xml:space="preserve"> by Norman, et al. in 2017 (Holland, et al. in press).  This was in keeping with similar work</w:t>
      </w:r>
      <w:r w:rsidR="00FF3EE1">
        <w:rPr>
          <w:sz w:val="24"/>
          <w:szCs w:val="24"/>
        </w:rPr>
        <w:t xml:space="preserve"> conducted by Lew</w:t>
      </w:r>
      <w:r w:rsidR="00956EA1">
        <w:rPr>
          <w:sz w:val="24"/>
          <w:szCs w:val="24"/>
        </w:rPr>
        <w:t>, et al. (2010</w:t>
      </w:r>
      <w:r>
        <w:rPr>
          <w:sz w:val="24"/>
          <w:szCs w:val="24"/>
        </w:rPr>
        <w:t>).</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Rather than sample potential respondents, this research will be a census, directed at surveying the universe of West Coast fisheries participants, as identified by their </w:t>
      </w:r>
      <w:r w:rsidR="001524FB">
        <w:rPr>
          <w:sz w:val="24"/>
          <w:szCs w:val="24"/>
        </w:rPr>
        <w:t>fishing permits.  In 2017, 2,842</w:t>
      </w:r>
      <w:r>
        <w:rPr>
          <w:sz w:val="24"/>
          <w:szCs w:val="24"/>
        </w:rPr>
        <w:t xml:space="preserve"> of these fishing permit holders were identified, and the survey will</w:t>
      </w:r>
      <w:r w:rsidR="001524FB">
        <w:rPr>
          <w:sz w:val="24"/>
          <w:szCs w:val="24"/>
        </w:rPr>
        <w:t xml:space="preserve"> once again</w:t>
      </w:r>
      <w:r>
        <w:rPr>
          <w:sz w:val="24"/>
          <w:szCs w:val="24"/>
        </w:rPr>
        <w:t xml:space="preserve"> be distributed to each one of them.  For this reason, additional methodologies aimed at stratifying and selecting samples from this population are not required.  No specialized sampling procedures will be required, and the surve</w:t>
      </w:r>
      <w:r w:rsidR="001524FB">
        <w:rPr>
          <w:sz w:val="24"/>
          <w:szCs w:val="24"/>
        </w:rPr>
        <w:t>y is intended as a biennial</w:t>
      </w:r>
      <w:r>
        <w:rPr>
          <w:sz w:val="24"/>
          <w:szCs w:val="24"/>
        </w:rPr>
        <w:t xml:space="preserve"> collection effort </w:t>
      </w:r>
      <w:r w:rsidR="001524FB">
        <w:rPr>
          <w:sz w:val="24"/>
          <w:szCs w:val="24"/>
        </w:rPr>
        <w:t>to reduce bu</w:t>
      </w:r>
      <w:r w:rsidR="0071675B">
        <w:rPr>
          <w:sz w:val="24"/>
          <w:szCs w:val="24"/>
        </w:rPr>
        <w:t xml:space="preserve">rden on the universe </w:t>
      </w:r>
      <w:r w:rsidR="001524FB">
        <w:rPr>
          <w:sz w:val="24"/>
          <w:szCs w:val="24"/>
        </w:rPr>
        <w:t xml:space="preserve">of potential </w:t>
      </w:r>
      <w:r w:rsidR="0071675B">
        <w:rPr>
          <w:sz w:val="24"/>
          <w:szCs w:val="24"/>
        </w:rPr>
        <w:t>respondents from within the U.S. West Coast’s commercial fishing population</w:t>
      </w:r>
      <w:r>
        <w:rPr>
          <w:sz w:val="24"/>
          <w:szCs w:val="24"/>
        </w:rPr>
        <w:t>.</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56EA1" w:rsidRDefault="00956EA1">
      <w:pPr>
        <w:widowControl/>
        <w:spacing w:after="200" w:line="276" w:lineRule="auto"/>
        <w:rPr>
          <w:b/>
          <w:bCs/>
          <w:sz w:val="24"/>
          <w:szCs w:val="24"/>
        </w:rPr>
      </w:pPr>
      <w:r>
        <w:rPr>
          <w:b/>
          <w:bCs/>
          <w:sz w:val="24"/>
          <w:szCs w:val="24"/>
        </w:rPr>
        <w:br w:type="page"/>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pStyle w:val="HTMLPreformatted"/>
        <w:rPr>
          <w:rFonts w:ascii="Times New Roman" w:hAnsi="Times New Roman"/>
          <w:sz w:val="24"/>
          <w:szCs w:val="24"/>
        </w:rPr>
      </w:pPr>
      <w:r>
        <w:rPr>
          <w:rFonts w:ascii="Times New Roman" w:hAnsi="Times New Roman"/>
          <w:sz w:val="24"/>
          <w:szCs w:val="24"/>
        </w:rPr>
        <w:t>Given the proposed survey partners and contractors’ prior experiences implementing very similar surveys both in the West Coast region and in other regions,</w:t>
      </w:r>
      <w:r w:rsidR="006B714A">
        <w:rPr>
          <w:rFonts w:ascii="Times New Roman" w:hAnsi="Times New Roman"/>
          <w:sz w:val="24"/>
          <w:szCs w:val="24"/>
        </w:rPr>
        <w:t xml:space="preserve"> and our own experience implementing this survey in 2017,</w:t>
      </w:r>
      <w:r>
        <w:rPr>
          <w:rFonts w:ascii="Times New Roman" w:hAnsi="Times New Roman"/>
          <w:sz w:val="24"/>
          <w:szCs w:val="24"/>
        </w:rPr>
        <w:t xml:space="preserve"> we anticipate</w:t>
      </w:r>
      <w:r w:rsidRPr="00A26833">
        <w:rPr>
          <w:rFonts w:ascii="Times New Roman" w:hAnsi="Times New Roman"/>
          <w:sz w:val="24"/>
          <w:szCs w:val="24"/>
        </w:rPr>
        <w:t xml:space="preserve"> a</w:t>
      </w:r>
      <w:r>
        <w:rPr>
          <w:rFonts w:ascii="Times New Roman" w:hAnsi="Times New Roman"/>
          <w:sz w:val="24"/>
          <w:szCs w:val="24"/>
        </w:rPr>
        <w:t xml:space="preserve">n estimated </w:t>
      </w:r>
      <w:r w:rsidRPr="00A26833">
        <w:rPr>
          <w:rFonts w:ascii="Times New Roman" w:hAnsi="Times New Roman"/>
          <w:sz w:val="24"/>
          <w:szCs w:val="24"/>
        </w:rPr>
        <w:t>response rate</w:t>
      </w:r>
      <w:r>
        <w:rPr>
          <w:rFonts w:ascii="Times New Roman" w:hAnsi="Times New Roman"/>
          <w:sz w:val="24"/>
          <w:szCs w:val="24"/>
        </w:rPr>
        <w:t xml:space="preserve"> of 50%</w:t>
      </w:r>
      <w:r w:rsidRPr="00A26833">
        <w:rPr>
          <w:rFonts w:ascii="Times New Roman" w:hAnsi="Times New Roman"/>
          <w:sz w:val="24"/>
          <w:szCs w:val="24"/>
        </w:rPr>
        <w:t>.</w:t>
      </w:r>
      <w:r>
        <w:rPr>
          <w:rFonts w:ascii="Times New Roman" w:hAnsi="Times New Roman"/>
          <w:sz w:val="24"/>
          <w:szCs w:val="24"/>
        </w:rPr>
        <w:t xml:space="preserve"> </w:t>
      </w:r>
    </w:p>
    <w:p w:rsidR="00956EA1" w:rsidRDefault="00956EA1" w:rsidP="00956EA1">
      <w:pPr>
        <w:pStyle w:val="HTMLPreformatted"/>
        <w:rPr>
          <w:rFonts w:ascii="Times New Roman" w:hAnsi="Times New Roman"/>
          <w:sz w:val="24"/>
          <w:szCs w:val="24"/>
        </w:rPr>
      </w:pPr>
    </w:p>
    <w:p w:rsidR="00956EA1" w:rsidRDefault="00956EA1" w:rsidP="00956EA1">
      <w:pPr>
        <w:rPr>
          <w:sz w:val="24"/>
          <w:szCs w:val="24"/>
        </w:rPr>
      </w:pPr>
      <w:r>
        <w:rPr>
          <w:sz w:val="24"/>
          <w:szCs w:val="24"/>
        </w:rPr>
        <w:t xml:space="preserve">Using a survey questionnaire developed in conjunction with the NOAA/Washington Sea Grant/ University of Washington/University of Arizona </w:t>
      </w:r>
      <w:r w:rsidRPr="00ED6B85">
        <w:rPr>
          <w:sz w:val="24"/>
          <w:szCs w:val="24"/>
        </w:rPr>
        <w:t>proj</w:t>
      </w:r>
      <w:r>
        <w:rPr>
          <w:sz w:val="24"/>
          <w:szCs w:val="24"/>
        </w:rPr>
        <w:t xml:space="preserve">ect team, the proposed survey contractor </w:t>
      </w:r>
      <w:r w:rsidRPr="00ED6B85">
        <w:rPr>
          <w:sz w:val="24"/>
          <w:szCs w:val="24"/>
        </w:rPr>
        <w:t xml:space="preserve">will </w:t>
      </w:r>
      <w:r>
        <w:rPr>
          <w:sz w:val="24"/>
          <w:szCs w:val="24"/>
        </w:rPr>
        <w:t>carry out distribution of all mail surveys</w:t>
      </w:r>
      <w:r w:rsidRPr="00ED6B85">
        <w:rPr>
          <w:sz w:val="24"/>
          <w:szCs w:val="24"/>
        </w:rPr>
        <w:t xml:space="preserve">, and provide an SPSS data file including all variable </w:t>
      </w:r>
      <w:r>
        <w:rPr>
          <w:sz w:val="24"/>
          <w:szCs w:val="24"/>
        </w:rPr>
        <w:t xml:space="preserve">and value labels.  The survey will be provided to the proposed mail survey contractor by University of Washington, and will have received, in addition to Office of Management and Budget (OMB) level approvals, approval from the University of Washington’s Institutional Review Board (IRB)’s Human Subjects Division (HSD).  </w:t>
      </w:r>
      <w:r w:rsidRPr="00ED6B85">
        <w:rPr>
          <w:sz w:val="24"/>
          <w:szCs w:val="24"/>
        </w:rPr>
        <w:t xml:space="preserve">All of these procedures are designed to ensure </w:t>
      </w:r>
      <w:r>
        <w:rPr>
          <w:sz w:val="24"/>
          <w:szCs w:val="24"/>
        </w:rPr>
        <w:t>commitment to human research ethics and h</w:t>
      </w:r>
      <w:r w:rsidRPr="00ED6B85">
        <w:rPr>
          <w:sz w:val="24"/>
          <w:szCs w:val="24"/>
        </w:rPr>
        <w:t xml:space="preserve">igh completion rates.  </w:t>
      </w:r>
      <w:r w:rsidRPr="00015587">
        <w:rPr>
          <w:sz w:val="24"/>
          <w:szCs w:val="24"/>
        </w:rPr>
        <w:t xml:space="preserve">Prior research has shown that response rates are higher when a research project has university sponsorship </w:t>
      </w:r>
      <w:r>
        <w:rPr>
          <w:sz w:val="24"/>
          <w:szCs w:val="24"/>
        </w:rPr>
        <w:t>than when conducted</w:t>
      </w:r>
      <w:r w:rsidRPr="00015587">
        <w:rPr>
          <w:sz w:val="24"/>
          <w:szCs w:val="24"/>
        </w:rPr>
        <w:t xml:space="preserve"> solely </w:t>
      </w:r>
      <w:r w:rsidR="00BA756B">
        <w:rPr>
          <w:sz w:val="24"/>
          <w:szCs w:val="24"/>
        </w:rPr>
        <w:t xml:space="preserve">by a </w:t>
      </w:r>
      <w:r w:rsidRPr="00015587">
        <w:rPr>
          <w:sz w:val="24"/>
          <w:szCs w:val="24"/>
        </w:rPr>
        <w:t>commercial organization</w:t>
      </w:r>
      <w:r>
        <w:rPr>
          <w:sz w:val="24"/>
          <w:szCs w:val="24"/>
        </w:rPr>
        <w:t xml:space="preserve"> (even with NOAA sponsorship as well)</w:t>
      </w:r>
      <w:r w:rsidRPr="00015587">
        <w:rPr>
          <w:sz w:val="24"/>
          <w:szCs w:val="24"/>
        </w:rPr>
        <w:t>.</w:t>
      </w:r>
      <w:r>
        <w:rPr>
          <w:sz w:val="24"/>
          <w:szCs w:val="24"/>
        </w:rPr>
        <w:t xml:space="preserve"> All involved parties will</w:t>
      </w:r>
      <w:r w:rsidRPr="00ED6B85">
        <w:rPr>
          <w:sz w:val="24"/>
          <w:szCs w:val="24"/>
        </w:rPr>
        <w:t xml:space="preserve"> have signed confidentiality statements about sharing survey data with other people and the entire process will be </w:t>
      </w:r>
      <w:r>
        <w:rPr>
          <w:sz w:val="24"/>
          <w:szCs w:val="24"/>
        </w:rPr>
        <w:t>reviewed and approved by the University of Washington</w:t>
      </w:r>
      <w:r w:rsidRPr="00ED6B85">
        <w:rPr>
          <w:sz w:val="24"/>
          <w:szCs w:val="24"/>
        </w:rPr>
        <w:t xml:space="preserve"> Institutional</w:t>
      </w:r>
      <w:r>
        <w:rPr>
          <w:sz w:val="24"/>
          <w:szCs w:val="24"/>
        </w:rPr>
        <w:t xml:space="preserve"> Review Board (IRB).</w:t>
      </w:r>
    </w:p>
    <w:p w:rsidR="00956EA1" w:rsidRDefault="00956EA1" w:rsidP="00956EA1">
      <w:pPr>
        <w:rPr>
          <w:sz w:val="24"/>
          <w:szCs w:val="24"/>
        </w:rPr>
      </w:pPr>
    </w:p>
    <w:p w:rsidR="00956EA1" w:rsidRDefault="00956EA1" w:rsidP="00956EA1">
      <w:pPr>
        <w:rPr>
          <w:sz w:val="24"/>
          <w:szCs w:val="24"/>
        </w:rPr>
      </w:pPr>
      <w:r>
        <w:rPr>
          <w:sz w:val="24"/>
          <w:szCs w:val="24"/>
        </w:rPr>
        <w:t>The proposed survey contractor, Hardwick Research, has suggested several steps to obtain a 50% response rate.  The first involves the use of a $5 incentive to foster survey responses.  James and Bolstein (1992) have indicated that $5 incentives at first mailing are associated with response rates at or near 50%. Additionally, the survey contractor would implement a multi-part mailing process that would include a p</w:t>
      </w:r>
      <w:r w:rsidRPr="00153081">
        <w:rPr>
          <w:sz w:val="24"/>
          <w:szCs w:val="24"/>
        </w:rPr>
        <w:t>ostcard announcement notifying participants that a questionnaire will be coming and a t</w:t>
      </w:r>
      <w:r>
        <w:rPr>
          <w:sz w:val="24"/>
          <w:szCs w:val="24"/>
        </w:rPr>
        <w:t xml:space="preserve">hank you gift will be enclosed.  This would be followed by the initial mailing of the survey with </w:t>
      </w:r>
      <w:r w:rsidRPr="00153081">
        <w:rPr>
          <w:sz w:val="24"/>
          <w:szCs w:val="24"/>
        </w:rPr>
        <w:t>incentive</w:t>
      </w:r>
      <w:r>
        <w:rPr>
          <w:sz w:val="24"/>
          <w:szCs w:val="24"/>
        </w:rPr>
        <w:t xml:space="preserve"> included</w:t>
      </w:r>
      <w:r w:rsidRPr="00153081">
        <w:rPr>
          <w:sz w:val="24"/>
          <w:szCs w:val="24"/>
        </w:rPr>
        <w:t xml:space="preserve"> and return postage</w:t>
      </w:r>
      <w:r>
        <w:rPr>
          <w:sz w:val="24"/>
          <w:szCs w:val="24"/>
        </w:rPr>
        <w:t>-paid envelope enclosed, a second p</w:t>
      </w:r>
      <w:r w:rsidRPr="00153081">
        <w:rPr>
          <w:sz w:val="24"/>
          <w:szCs w:val="24"/>
        </w:rPr>
        <w:t>ost</w:t>
      </w:r>
      <w:r>
        <w:rPr>
          <w:sz w:val="24"/>
          <w:szCs w:val="24"/>
        </w:rPr>
        <w:t>card reminder, and a follow-up postcard reminder to all non-responders. Prior research suggests that the inclusion of cash incentives not only increases response rates overall, but also induces demographic groups that are frequently underrepresented to respond, thereby reducing nonresponse error (Singer and Ye 2013).  Taking steps toward maximizing response rate is the first means by which we intend to prevent nonresponse error.</w:t>
      </w:r>
    </w:p>
    <w:p w:rsidR="00956EA1" w:rsidRDefault="00956EA1" w:rsidP="00956EA1">
      <w:pPr>
        <w:rPr>
          <w:sz w:val="24"/>
          <w:szCs w:val="24"/>
        </w:rPr>
      </w:pPr>
    </w:p>
    <w:p w:rsidR="00956EA1" w:rsidRDefault="00956EA1" w:rsidP="00956EA1">
      <w:pPr>
        <w:rPr>
          <w:sz w:val="24"/>
          <w:szCs w:val="24"/>
        </w:rPr>
      </w:pPr>
      <w:r>
        <w:rPr>
          <w:sz w:val="24"/>
          <w:szCs w:val="24"/>
        </w:rPr>
        <w:t>Additionally, because we are interested in accounting for and correcting any nonresponse error, we will analyze for nonresponse bias in terms of distinctive demographic or geographic profiles of survey respondents as compared to non-respondents.  Analyzing for these biases will be aided in part by the research design, insofar as we are surveying the universe of West Coast fisheries permit holders and will have some of these demographic and geographic data available via the permits database</w:t>
      </w:r>
      <w:r w:rsidRPr="00717E8A">
        <w:rPr>
          <w:sz w:val="24"/>
          <w:szCs w:val="24"/>
        </w:rPr>
        <w:t>.  Finally, the data should be weighted to correct for potentia</w:t>
      </w:r>
      <w:r>
        <w:rPr>
          <w:sz w:val="24"/>
          <w:szCs w:val="24"/>
        </w:rPr>
        <w:t xml:space="preserve">l nonresponse biases related to the income and age of </w:t>
      </w:r>
      <w:r w:rsidRPr="00717E8A">
        <w:rPr>
          <w:sz w:val="24"/>
          <w:szCs w:val="24"/>
        </w:rPr>
        <w:t>the respondent</w:t>
      </w:r>
      <w:r>
        <w:rPr>
          <w:sz w:val="24"/>
          <w:szCs w:val="24"/>
        </w:rPr>
        <w:t>s,</w:t>
      </w:r>
      <w:r w:rsidRPr="00717E8A">
        <w:rPr>
          <w:sz w:val="24"/>
          <w:szCs w:val="24"/>
        </w:rPr>
        <w:t xml:space="preserve"> </w:t>
      </w:r>
      <w:r>
        <w:rPr>
          <w:sz w:val="24"/>
          <w:szCs w:val="24"/>
        </w:rPr>
        <w:t>using 2010 U.S. Census figures.</w:t>
      </w:r>
      <w:r w:rsidR="006B714A">
        <w:rPr>
          <w:sz w:val="24"/>
          <w:szCs w:val="24"/>
        </w:rPr>
        <w:t xml:space="preserve">  Our analyses in 2017 did n</w:t>
      </w:r>
      <w:r w:rsidR="0071675B">
        <w:rPr>
          <w:sz w:val="24"/>
          <w:szCs w:val="24"/>
        </w:rPr>
        <w:t xml:space="preserve">ot indicate any significant </w:t>
      </w:r>
      <w:r w:rsidR="006B714A">
        <w:rPr>
          <w:sz w:val="24"/>
          <w:szCs w:val="24"/>
        </w:rPr>
        <w:t>non-response bias based upon demo</w:t>
      </w:r>
      <w:r w:rsidR="0071675B">
        <w:rPr>
          <w:sz w:val="24"/>
          <w:szCs w:val="24"/>
        </w:rPr>
        <w:t xml:space="preserve">graphic or geographic variables, so we do not anticipate a non-response bias in this second iteration of the </w:t>
      </w:r>
      <w:r w:rsidR="0071675B">
        <w:rPr>
          <w:sz w:val="24"/>
          <w:szCs w:val="24"/>
        </w:rPr>
        <w:lastRenderedPageBreak/>
        <w:t>survey.</w:t>
      </w:r>
    </w:p>
    <w:p w:rsidR="00956EA1" w:rsidRDefault="00956EA1" w:rsidP="00956EA1">
      <w:pPr>
        <w:rPr>
          <w:sz w:val="24"/>
          <w:szCs w:val="24"/>
        </w:rPr>
      </w:pPr>
    </w:p>
    <w:p w:rsidR="00956EA1" w:rsidRDefault="00956EA1" w:rsidP="00956EA1">
      <w:pPr>
        <w:rPr>
          <w:b/>
          <w:bCs/>
          <w:sz w:val="24"/>
          <w:szCs w:val="24"/>
        </w:rPr>
      </w:pPr>
    </w:p>
    <w:p w:rsidR="00956EA1" w:rsidRDefault="00956EA1" w:rsidP="00956EA1">
      <w:pPr>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B714A"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During the development of the survey, the survey instrument was distributed to seven individuals working within West Coast fisheries, in order to determine whether the questions were appropriate and intelligible given their backgrounds as fishermen and fisheries permit holders.  This period of survey feedback also allowed for the research partners to test and complete the survey themselves with the aim of accounting for the estimated burden hours that would be attributed to the survey.  All test respondents found the survey to require 15-20 minutes for completion, and the final versions of the questions were deemed appropriate and intelligible for the target popu</w:t>
      </w:r>
      <w:r w:rsidR="006B714A">
        <w:rPr>
          <w:sz w:val="24"/>
          <w:szCs w:val="24"/>
        </w:rPr>
        <w:t>lation of commercial fishermen.  Further, when the survey was implemented in 2017, survey respondents reported that the time to completion was also 15-20 minutes.</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56EA1" w:rsidRPr="00D629E3" w:rsidRDefault="00956EA1" w:rsidP="00956EA1">
      <w:pPr>
        <w:contextualSpacing/>
        <w:rPr>
          <w:sz w:val="24"/>
          <w:szCs w:val="24"/>
        </w:rPr>
      </w:pPr>
    </w:p>
    <w:p w:rsidR="00956EA1" w:rsidRPr="00BC7AC7" w:rsidRDefault="00956EA1" w:rsidP="00956EA1">
      <w:pPr>
        <w:contextualSpacing/>
        <w:rPr>
          <w:sz w:val="24"/>
          <w:szCs w:val="24"/>
        </w:rPr>
      </w:pPr>
      <w:r w:rsidRPr="00BC7AC7">
        <w:rPr>
          <w:sz w:val="24"/>
          <w:szCs w:val="24"/>
        </w:rPr>
        <w:t>Karma Norman</w:t>
      </w:r>
      <w:r>
        <w:rPr>
          <w:sz w:val="24"/>
          <w:szCs w:val="24"/>
        </w:rPr>
        <w:t xml:space="preserve"> *</w:t>
      </w:r>
    </w:p>
    <w:p w:rsidR="00956EA1" w:rsidRDefault="00956EA1" w:rsidP="00956EA1">
      <w:pPr>
        <w:contextualSpacing/>
        <w:rPr>
          <w:sz w:val="24"/>
          <w:szCs w:val="24"/>
        </w:rPr>
      </w:pPr>
      <w:r>
        <w:rPr>
          <w:sz w:val="24"/>
          <w:szCs w:val="24"/>
        </w:rPr>
        <w:t>Social Scientist</w:t>
      </w:r>
    </w:p>
    <w:p w:rsidR="00956EA1" w:rsidRDefault="00956EA1" w:rsidP="00956EA1">
      <w:pPr>
        <w:contextualSpacing/>
        <w:rPr>
          <w:sz w:val="24"/>
          <w:szCs w:val="24"/>
        </w:rPr>
      </w:pPr>
      <w:r w:rsidRPr="00BC7AC7">
        <w:rPr>
          <w:rStyle w:val="Emphasis"/>
          <w:sz w:val="24"/>
          <w:szCs w:val="24"/>
        </w:rPr>
        <w:t>Northwest Fisheries Science Center</w:t>
      </w:r>
      <w:hyperlink r:id="rId9" w:tgtFrame="_blank" w:history="1">
        <w:r w:rsidRPr="00BC7AC7">
          <w:rPr>
            <w:color w:val="0000FF"/>
            <w:sz w:val="24"/>
            <w:szCs w:val="24"/>
            <w:u w:val="single"/>
          </w:rPr>
          <w:br/>
        </w:r>
      </w:hyperlink>
      <w:r w:rsidRPr="00BC7AC7">
        <w:rPr>
          <w:sz w:val="24"/>
          <w:szCs w:val="24"/>
        </w:rPr>
        <w:t>2725 Montlake Blvd East</w:t>
      </w:r>
    </w:p>
    <w:p w:rsidR="00956EA1" w:rsidRPr="00BC7AC7" w:rsidRDefault="00956EA1" w:rsidP="00956EA1">
      <w:pPr>
        <w:contextualSpacing/>
        <w:rPr>
          <w:rStyle w:val="Emphasis"/>
          <w:i w:val="0"/>
          <w:iCs w:val="0"/>
          <w:sz w:val="24"/>
          <w:szCs w:val="24"/>
        </w:rPr>
      </w:pPr>
      <w:r>
        <w:rPr>
          <w:sz w:val="24"/>
          <w:szCs w:val="24"/>
        </w:rPr>
        <w:t>Seattle, WA 98112-2097</w:t>
      </w:r>
    </w:p>
    <w:p w:rsidR="00956EA1" w:rsidRPr="00BC7AC7" w:rsidRDefault="00956EA1" w:rsidP="00956EA1">
      <w:pPr>
        <w:pStyle w:val="NormalWeb"/>
        <w:spacing w:before="0" w:beforeAutospacing="0" w:after="0" w:afterAutospacing="0"/>
        <w:contextualSpacing/>
      </w:pPr>
      <w:r w:rsidRPr="00BC7AC7">
        <w:t>Phone: (</w:t>
      </w:r>
      <w:r>
        <w:t>206) 302-2418</w:t>
      </w:r>
      <w:r w:rsidRPr="00BC7AC7">
        <w:br/>
        <w:t xml:space="preserve">E-mail: </w:t>
      </w:r>
      <w:r>
        <w:t>karma.norman</w:t>
      </w:r>
      <w:r w:rsidRPr="00BC7AC7">
        <w:t>@noaa.gov</w:t>
      </w:r>
    </w:p>
    <w:p w:rsidR="00956EA1" w:rsidRDefault="00956EA1" w:rsidP="00956EA1">
      <w:pPr>
        <w:contextualSpacing/>
        <w:rPr>
          <w:sz w:val="24"/>
          <w:szCs w:val="24"/>
        </w:rPr>
      </w:pPr>
    </w:p>
    <w:p w:rsidR="00956EA1" w:rsidRDefault="00956EA1" w:rsidP="00956EA1">
      <w:pPr>
        <w:contextualSpacing/>
        <w:rPr>
          <w:sz w:val="24"/>
          <w:szCs w:val="24"/>
        </w:rPr>
      </w:pPr>
    </w:p>
    <w:p w:rsidR="00956EA1" w:rsidRPr="00D629E3" w:rsidRDefault="00956EA1" w:rsidP="00956EA1">
      <w:pPr>
        <w:contextualSpacing/>
        <w:rPr>
          <w:sz w:val="24"/>
          <w:szCs w:val="24"/>
        </w:rPr>
      </w:pPr>
      <w:r w:rsidRPr="00D629E3">
        <w:rPr>
          <w:sz w:val="24"/>
          <w:szCs w:val="24"/>
        </w:rPr>
        <w:t>Hardwick Research</w:t>
      </w:r>
    </w:p>
    <w:p w:rsidR="00956EA1" w:rsidRPr="00D629E3" w:rsidRDefault="00956EA1" w:rsidP="00956EA1">
      <w:pPr>
        <w:contextualSpacing/>
        <w:rPr>
          <w:sz w:val="24"/>
          <w:szCs w:val="24"/>
        </w:rPr>
      </w:pPr>
      <w:r w:rsidRPr="00D629E3">
        <w:rPr>
          <w:sz w:val="24"/>
          <w:szCs w:val="24"/>
        </w:rPr>
        <w:t>8720 SE 45th Street</w:t>
      </w:r>
    </w:p>
    <w:p w:rsidR="00956EA1" w:rsidRPr="00D629E3" w:rsidRDefault="00956EA1" w:rsidP="00956EA1">
      <w:pPr>
        <w:contextualSpacing/>
        <w:rPr>
          <w:sz w:val="24"/>
          <w:szCs w:val="24"/>
        </w:rPr>
      </w:pPr>
      <w:r w:rsidRPr="00D629E3">
        <w:rPr>
          <w:sz w:val="24"/>
          <w:szCs w:val="24"/>
        </w:rPr>
        <w:t>Mercer Island, WA 98040</w:t>
      </w:r>
    </w:p>
    <w:p w:rsidR="00956EA1" w:rsidRPr="00D629E3" w:rsidRDefault="00956EA1" w:rsidP="00956EA1">
      <w:pPr>
        <w:contextualSpacing/>
        <w:rPr>
          <w:sz w:val="24"/>
          <w:szCs w:val="24"/>
        </w:rPr>
      </w:pPr>
      <w:r>
        <w:rPr>
          <w:sz w:val="24"/>
          <w:szCs w:val="24"/>
        </w:rPr>
        <w:t>Phone: (206) 232-</w:t>
      </w:r>
      <w:r w:rsidRPr="00D629E3">
        <w:rPr>
          <w:sz w:val="24"/>
          <w:szCs w:val="24"/>
        </w:rPr>
        <w:t>9400</w:t>
      </w:r>
    </w:p>
    <w:p w:rsidR="00956EA1" w:rsidRDefault="00956EA1" w:rsidP="00956EA1">
      <w:pPr>
        <w:contextualSpacing/>
        <w:rPr>
          <w:sz w:val="24"/>
          <w:szCs w:val="24"/>
        </w:rPr>
      </w:pPr>
      <w:r w:rsidRPr="00D629E3">
        <w:rPr>
          <w:sz w:val="24"/>
          <w:szCs w:val="24"/>
        </w:rPr>
        <w:t xml:space="preserve">Fax: </w:t>
      </w:r>
      <w:r>
        <w:rPr>
          <w:sz w:val="24"/>
          <w:szCs w:val="24"/>
        </w:rPr>
        <w:t>(</w:t>
      </w:r>
      <w:r w:rsidRPr="00D629E3">
        <w:rPr>
          <w:sz w:val="24"/>
          <w:szCs w:val="24"/>
        </w:rPr>
        <w:t>206</w:t>
      </w:r>
      <w:r>
        <w:rPr>
          <w:sz w:val="24"/>
          <w:szCs w:val="24"/>
        </w:rPr>
        <w:t>) 232-</w:t>
      </w:r>
      <w:r w:rsidRPr="00D629E3">
        <w:rPr>
          <w:sz w:val="24"/>
          <w:szCs w:val="24"/>
        </w:rPr>
        <w:t>9402</w:t>
      </w:r>
    </w:p>
    <w:p w:rsidR="00956EA1" w:rsidRDefault="00956EA1" w:rsidP="00956EA1">
      <w:pPr>
        <w:contextualSpacing/>
        <w:rPr>
          <w:sz w:val="24"/>
          <w:szCs w:val="24"/>
        </w:rPr>
      </w:pPr>
    </w:p>
    <w:p w:rsidR="00956EA1" w:rsidRDefault="00956EA1" w:rsidP="00956EA1">
      <w:pPr>
        <w:contextualSpacing/>
        <w:rPr>
          <w:sz w:val="24"/>
          <w:szCs w:val="24"/>
        </w:rPr>
      </w:pPr>
      <w:r>
        <w:rPr>
          <w:sz w:val="24"/>
          <w:szCs w:val="24"/>
        </w:rPr>
        <w:t>Melissa Poe</w:t>
      </w:r>
    </w:p>
    <w:p w:rsidR="00956EA1" w:rsidRDefault="00956EA1" w:rsidP="00956EA1">
      <w:pPr>
        <w:contextualSpacing/>
        <w:rPr>
          <w:sz w:val="24"/>
          <w:szCs w:val="24"/>
        </w:rPr>
      </w:pPr>
      <w:r>
        <w:rPr>
          <w:sz w:val="24"/>
          <w:szCs w:val="24"/>
        </w:rPr>
        <w:t>University of Washington</w:t>
      </w:r>
    </w:p>
    <w:p w:rsidR="00956EA1" w:rsidRDefault="00956EA1" w:rsidP="00956EA1">
      <w:pPr>
        <w:contextualSpacing/>
        <w:rPr>
          <w:sz w:val="24"/>
          <w:szCs w:val="24"/>
        </w:rPr>
      </w:pPr>
      <w:r w:rsidRPr="00D629E3">
        <w:rPr>
          <w:sz w:val="24"/>
          <w:szCs w:val="24"/>
        </w:rPr>
        <w:t>Washington Sea Grant</w:t>
      </w:r>
      <w:r w:rsidRPr="00D629E3">
        <w:rPr>
          <w:sz w:val="24"/>
          <w:szCs w:val="24"/>
        </w:rPr>
        <w:br/>
        <w:t>3716 Brooklyn Avenue NE</w:t>
      </w:r>
      <w:r w:rsidRPr="00D629E3">
        <w:rPr>
          <w:sz w:val="24"/>
          <w:szCs w:val="24"/>
        </w:rPr>
        <w:br/>
        <w:t>Box 355060</w:t>
      </w:r>
      <w:r w:rsidRPr="00D629E3">
        <w:rPr>
          <w:sz w:val="24"/>
          <w:szCs w:val="24"/>
        </w:rPr>
        <w:br/>
        <w:t>Seattle, WA 98105-6716</w:t>
      </w:r>
    </w:p>
    <w:p w:rsidR="00956EA1" w:rsidRDefault="00956EA1" w:rsidP="00956EA1">
      <w:pPr>
        <w:contextualSpacing/>
        <w:rPr>
          <w:sz w:val="24"/>
          <w:szCs w:val="24"/>
        </w:rPr>
      </w:pPr>
      <w:r>
        <w:rPr>
          <w:sz w:val="24"/>
          <w:szCs w:val="24"/>
        </w:rPr>
        <w:t>Phone: (206) 685-</w:t>
      </w:r>
      <w:r w:rsidRPr="00FB0C80">
        <w:rPr>
          <w:sz w:val="24"/>
          <w:szCs w:val="24"/>
        </w:rPr>
        <w:t>8209</w:t>
      </w:r>
    </w:p>
    <w:p w:rsidR="00956EA1" w:rsidRDefault="00956EA1" w:rsidP="00956EA1">
      <w:pPr>
        <w:contextualSpacing/>
        <w:rPr>
          <w:sz w:val="24"/>
          <w:szCs w:val="24"/>
        </w:rPr>
      </w:pPr>
      <w:r>
        <w:rPr>
          <w:sz w:val="24"/>
          <w:szCs w:val="24"/>
        </w:rPr>
        <w:t xml:space="preserve">Email:  </w:t>
      </w:r>
      <w:r w:rsidRPr="00876ED1">
        <w:rPr>
          <w:sz w:val="24"/>
          <w:szCs w:val="24"/>
        </w:rPr>
        <w:t>mpoe@uw.edu</w:t>
      </w:r>
    </w:p>
    <w:p w:rsidR="00956EA1" w:rsidRDefault="00956EA1" w:rsidP="00956EA1">
      <w:pPr>
        <w:contextualSpacing/>
        <w:rPr>
          <w:sz w:val="24"/>
          <w:szCs w:val="24"/>
        </w:rPr>
      </w:pPr>
    </w:p>
    <w:p w:rsidR="00956EA1" w:rsidRDefault="00956EA1" w:rsidP="00956EA1">
      <w:pPr>
        <w:pStyle w:val="NormalWeb"/>
        <w:contextualSpacing/>
        <w:rPr>
          <w:rStyle w:val="Emphasis"/>
          <w:i w:val="0"/>
        </w:rPr>
      </w:pPr>
    </w:p>
    <w:p w:rsidR="00956EA1" w:rsidRDefault="00956EA1" w:rsidP="00956EA1">
      <w:pPr>
        <w:pStyle w:val="NormalWeb"/>
        <w:contextualSpacing/>
        <w:rPr>
          <w:rStyle w:val="Emphasis"/>
          <w:i w:val="0"/>
        </w:rPr>
      </w:pPr>
    </w:p>
    <w:p w:rsidR="00956EA1" w:rsidRDefault="00956EA1">
      <w:pPr>
        <w:widowControl/>
        <w:spacing w:after="200" w:line="276" w:lineRule="auto"/>
        <w:rPr>
          <w:rStyle w:val="Emphasis"/>
          <w:i w:val="0"/>
          <w:sz w:val="24"/>
          <w:szCs w:val="24"/>
        </w:rPr>
      </w:pPr>
    </w:p>
    <w:p w:rsidR="00956EA1" w:rsidRPr="00956EA1" w:rsidRDefault="00956EA1" w:rsidP="00956EA1">
      <w:pPr>
        <w:pStyle w:val="NormalWeb"/>
        <w:contextualSpacing/>
        <w:rPr>
          <w:rStyle w:val="Emphasis"/>
          <w:i w:val="0"/>
        </w:rPr>
      </w:pPr>
      <w:r w:rsidRPr="00956EA1">
        <w:rPr>
          <w:rStyle w:val="Emphasis"/>
          <w:i w:val="0"/>
        </w:rPr>
        <w:t>Dan Holland</w:t>
      </w:r>
    </w:p>
    <w:p w:rsidR="00956EA1" w:rsidRPr="00956EA1" w:rsidRDefault="00956EA1" w:rsidP="00956EA1">
      <w:pPr>
        <w:pStyle w:val="NormalWeb"/>
        <w:contextualSpacing/>
        <w:rPr>
          <w:rStyle w:val="Emphasis"/>
          <w:i w:val="0"/>
        </w:rPr>
      </w:pPr>
      <w:r w:rsidRPr="00956EA1">
        <w:rPr>
          <w:rStyle w:val="Emphasis"/>
          <w:i w:val="0"/>
        </w:rPr>
        <w:t>Economist</w:t>
      </w:r>
    </w:p>
    <w:p w:rsidR="00956EA1" w:rsidRDefault="00956EA1" w:rsidP="00956EA1">
      <w:pPr>
        <w:pStyle w:val="NormalWeb"/>
        <w:contextualSpacing/>
      </w:pPr>
      <w:r>
        <w:rPr>
          <w:rStyle w:val="Emphasis"/>
        </w:rPr>
        <w:t>Northwest Fisheries Science Center</w:t>
      </w:r>
      <w:hyperlink r:id="rId10" w:tgtFrame="_blank" w:history="1">
        <w:r>
          <w:rPr>
            <w:color w:val="0000FF"/>
            <w:u w:val="single"/>
          </w:rPr>
          <w:br/>
        </w:r>
      </w:hyperlink>
      <w:r>
        <w:t>2725 Montlake Blvd East</w:t>
      </w:r>
    </w:p>
    <w:p w:rsidR="00956EA1" w:rsidRPr="00BC7AC7" w:rsidRDefault="00956EA1" w:rsidP="00956EA1">
      <w:pPr>
        <w:pStyle w:val="NormalWeb"/>
        <w:contextualSpacing/>
        <w:rPr>
          <w:rStyle w:val="Emphasis"/>
          <w:i w:val="0"/>
          <w:iCs w:val="0"/>
        </w:rPr>
      </w:pPr>
      <w:r>
        <w:t>Seattle, WA 98112-2097</w:t>
      </w:r>
    </w:p>
    <w:p w:rsidR="00956EA1" w:rsidRDefault="00956EA1" w:rsidP="00956EA1">
      <w:pPr>
        <w:pStyle w:val="NormalWeb"/>
        <w:contextualSpacing/>
      </w:pPr>
      <w:r>
        <w:t>Phone: (206) 302-1752</w:t>
      </w:r>
      <w:r w:rsidRPr="00863D13">
        <w:br/>
        <w:t xml:space="preserve">E-mail: </w:t>
      </w:r>
      <w:r>
        <w:t>Dan.Holland@noaa.gov</w:t>
      </w:r>
    </w:p>
    <w:p w:rsidR="00956EA1" w:rsidRDefault="00956EA1" w:rsidP="00956EA1">
      <w:pPr>
        <w:pStyle w:val="NormalWeb"/>
        <w:contextualSpacing/>
      </w:pPr>
    </w:p>
    <w:p w:rsidR="00956EA1" w:rsidRDefault="00956EA1" w:rsidP="00956EA1">
      <w:pPr>
        <w:pStyle w:val="NormalWeb"/>
        <w:contextualSpacing/>
      </w:pPr>
      <w:r>
        <w:t>*PRA/OMB process point of contact</w:t>
      </w:r>
    </w:p>
    <w:p w:rsidR="00956EA1" w:rsidRDefault="00956EA1" w:rsidP="00956EA1">
      <w:pPr>
        <w:pStyle w:val="NormalWeb"/>
        <w:contextualSpacing/>
      </w:pPr>
    </w:p>
    <w:p w:rsidR="00956EA1" w:rsidRDefault="00956EA1" w:rsidP="00956EA1">
      <w:pPr>
        <w:pStyle w:val="NormalWeb"/>
        <w:contextualSpacing/>
        <w:rPr>
          <w:b/>
        </w:rPr>
      </w:pPr>
    </w:p>
    <w:p w:rsidR="00956EA1" w:rsidRDefault="00956EA1" w:rsidP="00956EA1">
      <w:pPr>
        <w:pStyle w:val="NormalWeb"/>
        <w:contextualSpacing/>
        <w:rPr>
          <w:b/>
        </w:rPr>
      </w:pPr>
    </w:p>
    <w:p w:rsidR="00956EA1" w:rsidRPr="00BC7AC7" w:rsidRDefault="00956EA1" w:rsidP="00956EA1">
      <w:pPr>
        <w:widowControl/>
        <w:rPr>
          <w:b/>
        </w:rPr>
      </w:pPr>
      <w:r>
        <w:rPr>
          <w:b/>
        </w:rPr>
        <w:t>R</w:t>
      </w:r>
      <w:r w:rsidRPr="00BC7AC7">
        <w:rPr>
          <w:b/>
        </w:rPr>
        <w:t>eferences</w:t>
      </w:r>
    </w:p>
    <w:p w:rsidR="00956EA1" w:rsidRDefault="00956EA1" w:rsidP="00956EA1">
      <w:pPr>
        <w:pStyle w:val="NormalWeb"/>
        <w:contextualSpacing/>
      </w:pPr>
    </w:p>
    <w:p w:rsidR="00785DB1" w:rsidRDefault="00956EA1" w:rsidP="00956EA1">
      <w:pPr>
        <w:pStyle w:val="NormalWeb"/>
        <w:contextualSpacing/>
      </w:pPr>
      <w:r>
        <w:t xml:space="preserve">Dillman, D., Jolene D. Smyth, Leah M. Christian. 2014.  </w:t>
      </w:r>
      <w:r w:rsidRPr="00BD5864">
        <w:rPr>
          <w:i/>
        </w:rPr>
        <w:t>Internet, Phone, Mail and Mixed-Mode Surveys:  The Tailored Design Method</w:t>
      </w:r>
      <w:r>
        <w:t>.  John Wiley and Sons:  Hoboken, NJ.</w:t>
      </w:r>
    </w:p>
    <w:p w:rsidR="00785DB1" w:rsidRDefault="00785DB1" w:rsidP="00956EA1">
      <w:pPr>
        <w:pStyle w:val="NormalWeb"/>
        <w:contextualSpacing/>
      </w:pPr>
    </w:p>
    <w:p w:rsidR="00956EA1" w:rsidRDefault="00785DB1" w:rsidP="00956EA1">
      <w:pPr>
        <w:pStyle w:val="NormalWeb"/>
        <w:contextualSpacing/>
      </w:pPr>
      <w:r w:rsidRPr="00785DB1">
        <w:t xml:space="preserve">Holland, D.S., J. Abbott, and K. Norman. Fishing to Live or Living to Fish: Job Satisfaction and Identity of West Coast Fishermen. </w:t>
      </w:r>
      <w:r w:rsidRPr="00785DB1">
        <w:rPr>
          <w:i/>
        </w:rPr>
        <w:t>Ambio</w:t>
      </w:r>
      <w:r>
        <w:t>, in press</w:t>
      </w:r>
      <w:r w:rsidRPr="00785DB1">
        <w:t>.</w:t>
      </w:r>
    </w:p>
    <w:p w:rsidR="00785DB1" w:rsidRDefault="00785DB1" w:rsidP="00956EA1">
      <w:pPr>
        <w:pStyle w:val="NormalWeb"/>
        <w:contextualSpacing/>
      </w:pPr>
    </w:p>
    <w:p w:rsidR="00956EA1" w:rsidRDefault="00956EA1" w:rsidP="00956EA1">
      <w:pPr>
        <w:pStyle w:val="NormalWeb"/>
        <w:contextualSpacing/>
      </w:pPr>
      <w:r w:rsidRPr="00E26059">
        <w:t>James</w:t>
      </w:r>
      <w:r>
        <w:t>, J.M.</w:t>
      </w:r>
      <w:r w:rsidRPr="00E26059">
        <w:t xml:space="preserve"> and R</w:t>
      </w:r>
      <w:r>
        <w:t xml:space="preserve">. </w:t>
      </w:r>
      <w:r w:rsidRPr="00E26059">
        <w:t>Bolstein</w:t>
      </w:r>
      <w:r>
        <w:t xml:space="preserve">. 1992. Large Monetary Incentives and Their Effect on Mail Survey Response Rates. </w:t>
      </w:r>
      <w:r w:rsidRPr="00E26059">
        <w:rPr>
          <w:i/>
        </w:rPr>
        <w:t>Public Opinion Quarterly</w:t>
      </w:r>
      <w:r>
        <w:t xml:space="preserve"> Volume 56:442-453.</w:t>
      </w:r>
    </w:p>
    <w:p w:rsidR="00956EA1" w:rsidRDefault="00956EA1" w:rsidP="00956EA1">
      <w:pPr>
        <w:pStyle w:val="NormalWeb"/>
        <w:contextualSpacing/>
      </w:pPr>
    </w:p>
    <w:p w:rsidR="00956EA1" w:rsidRDefault="00956EA1" w:rsidP="00956EA1">
      <w:pPr>
        <w:pStyle w:val="NormalWeb"/>
        <w:contextualSpacing/>
      </w:pPr>
      <w:r>
        <w:rPr>
          <w:rStyle w:val="citation"/>
        </w:rPr>
        <w:t>Lesser V., Dillman D.A., Lorenz F.O., Carlson J., and Brown T.L. 1999.  The influence of financial incentives on mail questionnaire response rates.</w:t>
      </w:r>
      <w:r>
        <w:rPr>
          <w:rStyle w:val="ref-journal"/>
        </w:rPr>
        <w:t xml:space="preserve"> Paper presented at the meeting of the Rural Sociological Society.</w:t>
      </w:r>
      <w:r>
        <w:rPr>
          <w:rStyle w:val="citation"/>
        </w:rPr>
        <w:t xml:space="preserve"> Portland, OR.</w:t>
      </w:r>
    </w:p>
    <w:p w:rsidR="00956EA1" w:rsidRDefault="00956EA1" w:rsidP="00956EA1">
      <w:pPr>
        <w:pStyle w:val="NormalWeb"/>
        <w:contextualSpacing/>
      </w:pPr>
    </w:p>
    <w:p w:rsidR="00956EA1" w:rsidRDefault="00956EA1" w:rsidP="00956EA1">
      <w:pPr>
        <w:pStyle w:val="NormalWeb"/>
        <w:contextualSpacing/>
      </w:pPr>
      <w:r>
        <w:t>Levin, P. S., F. B. Schwing. (e</w:t>
      </w:r>
      <w:r w:rsidRPr="00CB6255">
        <w:t>ds.) 2011. Technical background for an integrated ecosystem assessment of the California Current: Groundfish, salmon, green sturgeon, and ecosystem health. U.S. Dept. of Commerce, NOAA Tech. Memo., NMFS-NWFSC-109, 330 p</w:t>
      </w:r>
    </w:p>
    <w:p w:rsidR="00956EA1" w:rsidRPr="00785DB1" w:rsidRDefault="00956EA1" w:rsidP="00785DB1">
      <w:pPr>
        <w:autoSpaceDE w:val="0"/>
        <w:autoSpaceDN w:val="0"/>
        <w:adjustRightInd w:val="0"/>
        <w:rPr>
          <w:color w:val="000000"/>
          <w:sz w:val="24"/>
          <w:szCs w:val="24"/>
        </w:rPr>
      </w:pPr>
      <w:r w:rsidRPr="008C2ECF">
        <w:rPr>
          <w:color w:val="000000"/>
          <w:sz w:val="24"/>
          <w:szCs w:val="24"/>
        </w:rPr>
        <w:t xml:space="preserve">Levin, P. S., </w:t>
      </w:r>
      <w:r>
        <w:rPr>
          <w:color w:val="000000"/>
          <w:sz w:val="24"/>
          <w:szCs w:val="24"/>
        </w:rPr>
        <w:t>B. K. Wells, and Sheer M. B.. (e</w:t>
      </w:r>
      <w:r w:rsidRPr="008C2ECF">
        <w:rPr>
          <w:color w:val="000000"/>
          <w:sz w:val="24"/>
          <w:szCs w:val="24"/>
        </w:rPr>
        <w:t>ds.). 2013. California current i</w:t>
      </w:r>
      <w:r>
        <w:rPr>
          <w:color w:val="000000"/>
          <w:sz w:val="24"/>
          <w:szCs w:val="24"/>
        </w:rPr>
        <w:t xml:space="preserve">ntegrated ecosystem assessment: </w:t>
      </w:r>
      <w:r w:rsidRPr="008C2ECF">
        <w:rPr>
          <w:color w:val="000000"/>
          <w:sz w:val="24"/>
          <w:szCs w:val="24"/>
        </w:rPr>
        <w:t xml:space="preserve">Phase II report. </w:t>
      </w:r>
      <w:r w:rsidRPr="00CB6255">
        <w:rPr>
          <w:sz w:val="24"/>
          <w:szCs w:val="24"/>
        </w:rPr>
        <w:t>http://www.noaa.gov/iea/CCIEA</w:t>
      </w:r>
    </w:p>
    <w:p w:rsidR="00956EA1" w:rsidRDefault="00956EA1" w:rsidP="00956EA1">
      <w:pPr>
        <w:pStyle w:val="NormalWeb"/>
        <w:contextualSpacing/>
      </w:pPr>
      <w:r w:rsidRPr="00FA73C9">
        <w:t xml:space="preserve">Lew, D. K., J. Lee, and D. M. Larson. </w:t>
      </w:r>
      <w:r>
        <w:t xml:space="preserve">2010. Saltwater sportfishing in </w:t>
      </w:r>
      <w:r w:rsidRPr="00FA73C9">
        <w:t>Alaska: A summary and description of the Alaska saltwater sportfishi</w:t>
      </w:r>
      <w:r>
        <w:t xml:space="preserve">ng </w:t>
      </w:r>
      <w:r w:rsidRPr="00FA73C9">
        <w:t>economic survey, 2007. U.S.</w:t>
      </w:r>
      <w:r>
        <w:t xml:space="preserve"> Dep. Commerce, NOAA Tech. Memo. </w:t>
      </w:r>
      <w:r w:rsidRPr="00FA73C9">
        <w:t>NMFS-AFSC-214, 229 p.</w:t>
      </w:r>
    </w:p>
    <w:p w:rsidR="00956EA1" w:rsidRDefault="00956EA1" w:rsidP="00956EA1">
      <w:pPr>
        <w:pStyle w:val="NormalWeb"/>
        <w:contextualSpacing/>
      </w:pPr>
    </w:p>
    <w:p w:rsidR="00956EA1" w:rsidRDefault="00956EA1" w:rsidP="00956EA1">
      <w:pPr>
        <w:pStyle w:val="NormalWeb"/>
        <w:contextualSpacing/>
      </w:pPr>
      <w:r>
        <w:t>Singer, E. 2002</w:t>
      </w:r>
      <w:r w:rsidRPr="00CB3CCF">
        <w:t xml:space="preserve">. </w:t>
      </w:r>
      <w:r>
        <w:t>“</w:t>
      </w:r>
      <w:r w:rsidRPr="00CB3CCF">
        <w:t>The Use of Ince</w:t>
      </w:r>
      <w:r>
        <w:t xml:space="preserve">ntives to Reduce Nonresponse in </w:t>
      </w:r>
      <w:r w:rsidRPr="00CB3CCF">
        <w:t>Household Surveys</w:t>
      </w:r>
      <w:r>
        <w:t xml:space="preserve">.” In </w:t>
      </w:r>
      <w:r w:rsidRPr="00CB6255">
        <w:t>Groves, R., Dillman, D., Eltinge, J. and Little, R. (eds) Survey Non Response. New York: Wiley.</w:t>
      </w:r>
    </w:p>
    <w:p w:rsidR="00956EA1" w:rsidRDefault="00956EA1" w:rsidP="00956EA1">
      <w:pPr>
        <w:pStyle w:val="NormalWeb"/>
        <w:contextualSpacing/>
      </w:pPr>
    </w:p>
    <w:p w:rsidR="00956EA1" w:rsidRPr="00BC7AC7" w:rsidRDefault="00956EA1" w:rsidP="00956EA1">
      <w:pPr>
        <w:pStyle w:val="NormalWeb"/>
        <w:contextualSpacing/>
      </w:pPr>
      <w:r>
        <w:t xml:space="preserve">Singer E. and C. Ye. 2013.  The use and effects of incentives in surveys.  </w:t>
      </w:r>
      <w:r w:rsidRPr="005204DF">
        <w:rPr>
          <w:i/>
        </w:rPr>
        <w:t>Annals of the American Academy of Political and Social Science</w:t>
      </w:r>
      <w:r>
        <w:t xml:space="preserve"> 645(1): 112-141.</w:t>
      </w:r>
    </w:p>
    <w:p w:rsidR="009D4E17" w:rsidRDefault="009D4E17"/>
    <w:sectPr w:rsidR="009D4E17" w:rsidSect="00263538">
      <w:footerReference w:type="even" r:id="rId11"/>
      <w:footerReference w:type="default" r:id="rId12"/>
      <w:footnotePr>
        <w:numRestart w:val="eachSect"/>
      </w:footnotePr>
      <w:endnotePr>
        <w:numFmt w:val="decimal"/>
      </w:endnotePr>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A6" w:rsidRDefault="007707A6">
      <w:r>
        <w:separator/>
      </w:r>
    </w:p>
  </w:endnote>
  <w:endnote w:type="continuationSeparator" w:id="0">
    <w:p w:rsidR="007707A6" w:rsidRDefault="0077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FD" w:rsidRDefault="00956EA1">
    <w:pPr>
      <w:framePr w:w="9360" w:h="280" w:hRule="exact" w:wrap="notBeside" w:vAnchor="page" w:hAnchor="text" w:y="14400"/>
      <w:spacing w:line="0" w:lineRule="atLeast"/>
      <w:jc w:val="center"/>
      <w:rPr>
        <w:vanish/>
      </w:rPr>
    </w:pPr>
    <w:r>
      <w:rPr>
        <w:color w:val="000000"/>
        <w:sz w:val="24"/>
      </w:rPr>
      <w:pgNum/>
    </w:r>
  </w:p>
  <w:p w:rsidR="00172EFD" w:rsidRDefault="00FD15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FD" w:rsidRDefault="00956EA1">
    <w:pPr>
      <w:framePr w:w="9360" w:h="280" w:hRule="exact" w:wrap="notBeside" w:vAnchor="page" w:hAnchor="text" w:y="14400"/>
      <w:spacing w:line="0" w:lineRule="atLeast"/>
      <w:jc w:val="center"/>
      <w:rPr>
        <w:vanish/>
      </w:rPr>
    </w:pPr>
    <w:r>
      <w:rPr>
        <w:color w:val="000000"/>
        <w:sz w:val="24"/>
      </w:rPr>
      <w:pgNum/>
    </w:r>
  </w:p>
  <w:p w:rsidR="00172EFD" w:rsidRDefault="00FD15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A6" w:rsidRDefault="007707A6">
      <w:r>
        <w:separator/>
      </w:r>
    </w:p>
  </w:footnote>
  <w:footnote w:type="continuationSeparator" w:id="0">
    <w:p w:rsidR="007707A6" w:rsidRDefault="00770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A1"/>
    <w:rsid w:val="001524FB"/>
    <w:rsid w:val="00156D61"/>
    <w:rsid w:val="006B714A"/>
    <w:rsid w:val="0071675B"/>
    <w:rsid w:val="007707A6"/>
    <w:rsid w:val="00785DB1"/>
    <w:rsid w:val="00956EA1"/>
    <w:rsid w:val="009D4E17"/>
    <w:rsid w:val="00A6779F"/>
    <w:rsid w:val="00BA756B"/>
    <w:rsid w:val="00FD1549"/>
    <w:rsid w:val="00FF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A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6EA1"/>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EA1"/>
    <w:rPr>
      <w:rFonts w:ascii="Times New Roman" w:eastAsia="Times New Roman" w:hAnsi="Times New Roman" w:cs="Times New Roman"/>
      <w:b/>
      <w:sz w:val="24"/>
      <w:szCs w:val="20"/>
    </w:rPr>
  </w:style>
  <w:style w:type="character" w:styleId="Emphasis">
    <w:name w:val="Emphasis"/>
    <w:uiPriority w:val="20"/>
    <w:qFormat/>
    <w:rsid w:val="00956EA1"/>
    <w:rPr>
      <w:i/>
      <w:iCs/>
    </w:rPr>
  </w:style>
  <w:style w:type="paragraph" w:styleId="NormalWeb">
    <w:name w:val="Normal (Web)"/>
    <w:basedOn w:val="Normal"/>
    <w:uiPriority w:val="99"/>
    <w:rsid w:val="00956EA1"/>
    <w:pPr>
      <w:widowControl/>
      <w:spacing w:before="100" w:beforeAutospacing="1" w:after="100" w:afterAutospacing="1"/>
    </w:pPr>
    <w:rPr>
      <w:sz w:val="24"/>
      <w:szCs w:val="24"/>
    </w:rPr>
  </w:style>
  <w:style w:type="character" w:styleId="Hyperlink">
    <w:name w:val="Hyperlink"/>
    <w:uiPriority w:val="99"/>
    <w:unhideWhenUsed/>
    <w:rsid w:val="00956EA1"/>
    <w:rPr>
      <w:color w:val="0000FF"/>
      <w:u w:val="single"/>
    </w:rPr>
  </w:style>
  <w:style w:type="paragraph" w:styleId="HTMLPreformatted">
    <w:name w:val="HTML Preformatted"/>
    <w:basedOn w:val="Normal"/>
    <w:link w:val="HTMLPreformattedChar"/>
    <w:uiPriority w:val="99"/>
    <w:unhideWhenUsed/>
    <w:rsid w:val="00956E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956EA1"/>
    <w:rPr>
      <w:rFonts w:ascii="Courier New" w:eastAsia="Times New Roman" w:hAnsi="Courier New" w:cs="Times New Roman"/>
      <w:sz w:val="20"/>
      <w:szCs w:val="20"/>
    </w:rPr>
  </w:style>
  <w:style w:type="character" w:customStyle="1" w:styleId="citation">
    <w:name w:val="citation"/>
    <w:basedOn w:val="DefaultParagraphFont"/>
    <w:rsid w:val="00956EA1"/>
  </w:style>
  <w:style w:type="character" w:customStyle="1" w:styleId="ref-journal">
    <w:name w:val="ref-journal"/>
    <w:basedOn w:val="DefaultParagraphFont"/>
    <w:rsid w:val="00956EA1"/>
  </w:style>
  <w:style w:type="paragraph" w:customStyle="1" w:styleId="StyleTitleLeft">
    <w:name w:val="Style Title + Left"/>
    <w:basedOn w:val="Title"/>
    <w:rsid w:val="00956EA1"/>
    <w:pPr>
      <w:pBdr>
        <w:bottom w:val="none" w:sz="0" w:space="0" w:color="auto"/>
      </w:pBdr>
      <w:spacing w:after="0"/>
      <w:contextualSpacing w:val="0"/>
    </w:pPr>
    <w:rPr>
      <w:rFonts w:ascii="Times New Roman" w:eastAsia="Times New Roman" w:hAnsi="Times New Roman" w:cs="Times New Roman"/>
      <w:b/>
      <w:bCs/>
      <w:color w:val="auto"/>
      <w:spacing w:val="0"/>
      <w:kern w:val="0"/>
      <w:sz w:val="24"/>
      <w:szCs w:val="20"/>
    </w:rPr>
  </w:style>
  <w:style w:type="paragraph" w:styleId="Title">
    <w:name w:val="Title"/>
    <w:basedOn w:val="Normal"/>
    <w:next w:val="Normal"/>
    <w:link w:val="TitleChar"/>
    <w:uiPriority w:val="10"/>
    <w:qFormat/>
    <w:rsid w:val="00956E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6EA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A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6EA1"/>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EA1"/>
    <w:rPr>
      <w:rFonts w:ascii="Times New Roman" w:eastAsia="Times New Roman" w:hAnsi="Times New Roman" w:cs="Times New Roman"/>
      <w:b/>
      <w:sz w:val="24"/>
      <w:szCs w:val="20"/>
    </w:rPr>
  </w:style>
  <w:style w:type="character" w:styleId="Emphasis">
    <w:name w:val="Emphasis"/>
    <w:uiPriority w:val="20"/>
    <w:qFormat/>
    <w:rsid w:val="00956EA1"/>
    <w:rPr>
      <w:i/>
      <w:iCs/>
    </w:rPr>
  </w:style>
  <w:style w:type="paragraph" w:styleId="NormalWeb">
    <w:name w:val="Normal (Web)"/>
    <w:basedOn w:val="Normal"/>
    <w:uiPriority w:val="99"/>
    <w:rsid w:val="00956EA1"/>
    <w:pPr>
      <w:widowControl/>
      <w:spacing w:before="100" w:beforeAutospacing="1" w:after="100" w:afterAutospacing="1"/>
    </w:pPr>
    <w:rPr>
      <w:sz w:val="24"/>
      <w:szCs w:val="24"/>
    </w:rPr>
  </w:style>
  <w:style w:type="character" w:styleId="Hyperlink">
    <w:name w:val="Hyperlink"/>
    <w:uiPriority w:val="99"/>
    <w:unhideWhenUsed/>
    <w:rsid w:val="00956EA1"/>
    <w:rPr>
      <w:color w:val="0000FF"/>
      <w:u w:val="single"/>
    </w:rPr>
  </w:style>
  <w:style w:type="paragraph" w:styleId="HTMLPreformatted">
    <w:name w:val="HTML Preformatted"/>
    <w:basedOn w:val="Normal"/>
    <w:link w:val="HTMLPreformattedChar"/>
    <w:uiPriority w:val="99"/>
    <w:unhideWhenUsed/>
    <w:rsid w:val="00956E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956EA1"/>
    <w:rPr>
      <w:rFonts w:ascii="Courier New" w:eastAsia="Times New Roman" w:hAnsi="Courier New" w:cs="Times New Roman"/>
      <w:sz w:val="20"/>
      <w:szCs w:val="20"/>
    </w:rPr>
  </w:style>
  <w:style w:type="character" w:customStyle="1" w:styleId="citation">
    <w:name w:val="citation"/>
    <w:basedOn w:val="DefaultParagraphFont"/>
    <w:rsid w:val="00956EA1"/>
  </w:style>
  <w:style w:type="character" w:customStyle="1" w:styleId="ref-journal">
    <w:name w:val="ref-journal"/>
    <w:basedOn w:val="DefaultParagraphFont"/>
    <w:rsid w:val="00956EA1"/>
  </w:style>
  <w:style w:type="paragraph" w:customStyle="1" w:styleId="StyleTitleLeft">
    <w:name w:val="Style Title + Left"/>
    <w:basedOn w:val="Title"/>
    <w:rsid w:val="00956EA1"/>
    <w:pPr>
      <w:pBdr>
        <w:bottom w:val="none" w:sz="0" w:space="0" w:color="auto"/>
      </w:pBdr>
      <w:spacing w:after="0"/>
      <w:contextualSpacing w:val="0"/>
    </w:pPr>
    <w:rPr>
      <w:rFonts w:ascii="Times New Roman" w:eastAsia="Times New Roman" w:hAnsi="Times New Roman" w:cs="Times New Roman"/>
      <w:b/>
      <w:bCs/>
      <w:color w:val="auto"/>
      <w:spacing w:val="0"/>
      <w:kern w:val="0"/>
      <w:sz w:val="24"/>
      <w:szCs w:val="20"/>
    </w:rPr>
  </w:style>
  <w:style w:type="paragraph" w:styleId="Title">
    <w:name w:val="Title"/>
    <w:basedOn w:val="Normal"/>
    <w:next w:val="Normal"/>
    <w:link w:val="TitleChar"/>
    <w:uiPriority w:val="10"/>
    <w:qFormat/>
    <w:rsid w:val="00956E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6E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unh.edu" TargetMode="External"/><Relationship Id="rId4" Type="http://schemas.microsoft.com/office/2007/relationships/stylesWithEffects" Target="stylesWithEffects.xml"/><Relationship Id="rId9" Type="http://schemas.openxmlformats.org/officeDocument/2006/relationships/hyperlink" Target="http://un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1D9F-E881-4F8E-9B0C-EE5506BE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2019-06-27T20:14:00Z</dcterms:created>
  <dcterms:modified xsi:type="dcterms:W3CDTF">2019-06-27T20:14:00Z</dcterms:modified>
</cp:coreProperties>
</file>