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71B4C" w14:textId="77777777" w:rsidR="00A4644B" w:rsidRPr="00E47E0B" w:rsidRDefault="00A4644B" w:rsidP="00A4644B">
      <w:pPr>
        <w:jc w:val="center"/>
        <w:outlineLvl w:val="0"/>
        <w:rPr>
          <w:rFonts w:asciiTheme="minorHAnsi" w:hAnsiTheme="minorHAnsi"/>
          <w:b/>
          <w:sz w:val="22"/>
          <w:szCs w:val="22"/>
        </w:rPr>
      </w:pPr>
      <w:bookmarkStart w:id="0" w:name="_GoBack"/>
      <w:bookmarkEnd w:id="0"/>
      <w:r>
        <w:rPr>
          <w:rFonts w:asciiTheme="minorHAnsi" w:hAnsiTheme="minorHAnsi"/>
          <w:b/>
          <w:sz w:val="22"/>
          <w:szCs w:val="22"/>
        </w:rPr>
        <w:t xml:space="preserve">Appendix </w:t>
      </w:r>
      <w:r w:rsidR="00BD049C">
        <w:rPr>
          <w:rFonts w:asciiTheme="minorHAnsi" w:hAnsiTheme="minorHAnsi"/>
          <w:b/>
          <w:sz w:val="22"/>
          <w:szCs w:val="22"/>
        </w:rPr>
        <w:t>D</w:t>
      </w:r>
      <w:r w:rsidR="009C307C">
        <w:rPr>
          <w:rFonts w:asciiTheme="minorHAnsi" w:hAnsiTheme="minorHAnsi"/>
          <w:b/>
          <w:sz w:val="22"/>
          <w:szCs w:val="22"/>
        </w:rPr>
        <w:t>.</w:t>
      </w:r>
      <w:r w:rsidRPr="00E47E0B">
        <w:rPr>
          <w:rFonts w:asciiTheme="minorHAnsi" w:hAnsiTheme="minorHAnsi"/>
          <w:b/>
          <w:sz w:val="22"/>
          <w:szCs w:val="22"/>
        </w:rPr>
        <w:t xml:space="preserve"> EFNEP Burden </w:t>
      </w:r>
      <w:r w:rsidR="008C3EC9">
        <w:rPr>
          <w:rFonts w:asciiTheme="minorHAnsi" w:hAnsiTheme="minorHAnsi"/>
          <w:b/>
          <w:sz w:val="22"/>
          <w:szCs w:val="22"/>
        </w:rPr>
        <w:t>Calculations</w:t>
      </w:r>
    </w:p>
    <w:p w14:paraId="4F4F155D" w14:textId="77777777" w:rsidR="00A4644B" w:rsidRPr="00E47E0B" w:rsidRDefault="00A4644B" w:rsidP="00A4644B">
      <w:pPr>
        <w:rPr>
          <w:rFonts w:asciiTheme="minorHAnsi" w:hAnsiTheme="minorHAnsi"/>
          <w:sz w:val="22"/>
          <w:szCs w:val="22"/>
        </w:rPr>
      </w:pPr>
    </w:p>
    <w:p w14:paraId="27F37A10" w14:textId="77777777" w:rsidR="004F1B2B" w:rsidRDefault="004F1B2B" w:rsidP="00A4644B">
      <w:pPr>
        <w:rPr>
          <w:rFonts w:asciiTheme="minorHAnsi" w:hAnsiTheme="minorHAnsi"/>
          <w:sz w:val="22"/>
          <w:szCs w:val="22"/>
        </w:rPr>
      </w:pPr>
    </w:p>
    <w:p w14:paraId="429E7328" w14:textId="77777777" w:rsidR="00A4644B" w:rsidRDefault="00A4644B" w:rsidP="00A4644B">
      <w:pPr>
        <w:rPr>
          <w:rFonts w:asciiTheme="minorHAnsi" w:hAnsiTheme="minorHAnsi"/>
          <w:sz w:val="22"/>
          <w:szCs w:val="22"/>
        </w:rPr>
      </w:pPr>
      <w:r w:rsidRPr="00E47E0B">
        <w:rPr>
          <w:rFonts w:asciiTheme="minorHAnsi" w:hAnsiTheme="minorHAnsi"/>
          <w:sz w:val="22"/>
          <w:szCs w:val="22"/>
        </w:rPr>
        <w:t xml:space="preserve">The burden for respondents was estimated through feedback from a survey sent to </w:t>
      </w:r>
      <w:r>
        <w:rPr>
          <w:rFonts w:asciiTheme="minorHAnsi" w:hAnsiTheme="minorHAnsi"/>
          <w:sz w:val="22"/>
          <w:szCs w:val="22"/>
        </w:rPr>
        <w:t>13</w:t>
      </w:r>
      <w:r w:rsidRPr="00E47E0B">
        <w:rPr>
          <w:rFonts w:asciiTheme="minorHAnsi" w:hAnsiTheme="minorHAnsi"/>
          <w:sz w:val="22"/>
          <w:szCs w:val="22"/>
        </w:rPr>
        <w:t xml:space="preserve"> EFNEP Coordinators and their data managers</w:t>
      </w:r>
      <w:r>
        <w:rPr>
          <w:rFonts w:asciiTheme="minorHAnsi" w:hAnsiTheme="minorHAnsi"/>
          <w:sz w:val="22"/>
          <w:szCs w:val="22"/>
        </w:rPr>
        <w:t>.  All tiers (funding levels) and NIFA geographic regions, were represented, as were 1862, 1890 and insular area institutions.  Ten</w:t>
      </w:r>
      <w:r w:rsidRPr="00E47E0B">
        <w:rPr>
          <w:rFonts w:asciiTheme="minorHAnsi" w:hAnsiTheme="minorHAnsi"/>
          <w:sz w:val="22"/>
          <w:szCs w:val="22"/>
        </w:rPr>
        <w:t xml:space="preserve"> surveys were returned</w:t>
      </w:r>
      <w:r w:rsidR="00915C57">
        <w:rPr>
          <w:rFonts w:asciiTheme="minorHAnsi" w:hAnsiTheme="minorHAnsi"/>
          <w:sz w:val="22"/>
          <w:szCs w:val="22"/>
        </w:rPr>
        <w:t>; nine contained aggregatable data</w:t>
      </w:r>
      <w:r>
        <w:rPr>
          <w:rFonts w:asciiTheme="minorHAnsi" w:hAnsiTheme="minorHAnsi"/>
          <w:sz w:val="22"/>
          <w:szCs w:val="22"/>
        </w:rPr>
        <w:t xml:space="preserve">. </w:t>
      </w:r>
    </w:p>
    <w:p w14:paraId="53B499F9" w14:textId="77777777" w:rsidR="00265E4F" w:rsidRDefault="00265E4F" w:rsidP="00A4644B">
      <w:pPr>
        <w:rPr>
          <w:rFonts w:asciiTheme="minorHAnsi" w:hAnsiTheme="minorHAnsi"/>
          <w:sz w:val="22"/>
          <w:szCs w:val="22"/>
        </w:rPr>
      </w:pPr>
    </w:p>
    <w:p w14:paraId="5283DA7F" w14:textId="77777777" w:rsidR="00265E4F" w:rsidRPr="0088397A" w:rsidRDefault="00265E4F" w:rsidP="00A4644B">
      <w:pPr>
        <w:rPr>
          <w:rFonts w:asciiTheme="minorHAnsi" w:hAnsiTheme="minorHAnsi"/>
          <w:b/>
          <w:sz w:val="22"/>
          <w:szCs w:val="22"/>
        </w:rPr>
      </w:pPr>
      <w:r w:rsidRPr="0088397A">
        <w:rPr>
          <w:rFonts w:asciiTheme="minorHAnsi" w:hAnsiTheme="minorHAnsi"/>
          <w:b/>
          <w:sz w:val="22"/>
          <w:szCs w:val="22"/>
        </w:rPr>
        <w:t>Total Estimated Burden</w:t>
      </w:r>
      <w:r>
        <w:rPr>
          <w:rFonts w:asciiTheme="minorHAnsi" w:hAnsiTheme="minorHAnsi"/>
          <w:b/>
          <w:sz w:val="22"/>
          <w:szCs w:val="22"/>
        </w:rPr>
        <w:t xml:space="preserve"> - Hours</w:t>
      </w:r>
    </w:p>
    <w:p w14:paraId="27620956" w14:textId="77777777" w:rsidR="00A4644B" w:rsidRPr="00E47E0B" w:rsidRDefault="00A4644B" w:rsidP="00A4644B">
      <w:pPr>
        <w:rPr>
          <w:rFonts w:asciiTheme="minorHAnsi" w:hAnsiTheme="minorHAnsi"/>
          <w:sz w:val="22"/>
          <w:szCs w:val="22"/>
        </w:rPr>
      </w:pPr>
    </w:p>
    <w:tbl>
      <w:tblPr>
        <w:tblW w:w="8694" w:type="dxa"/>
        <w:tblInd w:w="81" w:type="dxa"/>
        <w:tblLayout w:type="fixed"/>
        <w:tblCellMar>
          <w:left w:w="81" w:type="dxa"/>
          <w:right w:w="81" w:type="dxa"/>
        </w:tblCellMar>
        <w:tblLook w:val="04A0" w:firstRow="1" w:lastRow="0" w:firstColumn="1" w:lastColumn="0" w:noHBand="0" w:noVBand="1"/>
      </w:tblPr>
      <w:tblGrid>
        <w:gridCol w:w="2124"/>
        <w:gridCol w:w="2160"/>
        <w:gridCol w:w="2250"/>
        <w:gridCol w:w="2160"/>
      </w:tblGrid>
      <w:tr w:rsidR="00A4644B" w:rsidRPr="00E47E0B" w14:paraId="2D4D58A1" w14:textId="77777777" w:rsidTr="00DD1EDB">
        <w:trPr>
          <w:cantSplit/>
          <w:tblHeader/>
        </w:trPr>
        <w:tc>
          <w:tcPr>
            <w:tcW w:w="2124" w:type="dxa"/>
            <w:tcBorders>
              <w:top w:val="double" w:sz="12" w:space="0" w:color="000000"/>
              <w:left w:val="double" w:sz="12" w:space="0" w:color="000000"/>
              <w:bottom w:val="double" w:sz="12" w:space="0" w:color="000000"/>
              <w:right w:val="nil"/>
            </w:tcBorders>
            <w:hideMark/>
          </w:tcPr>
          <w:p w14:paraId="770D01DA" w14:textId="77777777" w:rsidR="00A4644B" w:rsidRPr="00E47E0B" w:rsidRDefault="00A4644B" w:rsidP="00DD1EDB">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Collection Activity</w:t>
            </w:r>
          </w:p>
        </w:tc>
        <w:tc>
          <w:tcPr>
            <w:tcW w:w="2160" w:type="dxa"/>
            <w:tcBorders>
              <w:top w:val="double" w:sz="12" w:space="0" w:color="000000"/>
              <w:left w:val="single" w:sz="6" w:space="0" w:color="000000"/>
              <w:bottom w:val="double" w:sz="12" w:space="0" w:color="000000"/>
              <w:right w:val="nil"/>
            </w:tcBorders>
            <w:hideMark/>
          </w:tcPr>
          <w:p w14:paraId="490D11B0" w14:textId="77777777" w:rsidR="00A4644B" w:rsidRPr="00E47E0B" w:rsidRDefault="00A4644B" w:rsidP="00DD1EDB">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Number of Respondents</w:t>
            </w:r>
          </w:p>
        </w:tc>
        <w:tc>
          <w:tcPr>
            <w:tcW w:w="2250" w:type="dxa"/>
            <w:tcBorders>
              <w:top w:val="double" w:sz="12" w:space="0" w:color="000000"/>
              <w:left w:val="single" w:sz="6" w:space="0" w:color="000000"/>
              <w:bottom w:val="double" w:sz="12" w:space="0" w:color="000000"/>
              <w:right w:val="nil"/>
            </w:tcBorders>
            <w:hideMark/>
          </w:tcPr>
          <w:p w14:paraId="156C72C5" w14:textId="77777777" w:rsidR="00A4644B" w:rsidRPr="00E47E0B" w:rsidRDefault="00A4644B" w:rsidP="00DD1EDB">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Estimated Hours per response</w:t>
            </w:r>
          </w:p>
        </w:tc>
        <w:tc>
          <w:tcPr>
            <w:tcW w:w="2160" w:type="dxa"/>
            <w:tcBorders>
              <w:top w:val="double" w:sz="12" w:space="0" w:color="000000"/>
              <w:left w:val="single" w:sz="6" w:space="0" w:color="000000"/>
              <w:bottom w:val="double" w:sz="12" w:space="0" w:color="000000"/>
              <w:right w:val="double" w:sz="12" w:space="0" w:color="000000"/>
            </w:tcBorders>
            <w:hideMark/>
          </w:tcPr>
          <w:p w14:paraId="7C7B9D45" w14:textId="77777777" w:rsidR="00A4644B" w:rsidRPr="00E47E0B" w:rsidRDefault="00A4644B" w:rsidP="00DD1EDB">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Total Annual Burden Hours</w:t>
            </w:r>
          </w:p>
        </w:tc>
      </w:tr>
      <w:tr w:rsidR="00A4644B" w:rsidRPr="00E47E0B" w14:paraId="34543811" w14:textId="77777777" w:rsidTr="00DD1EDB">
        <w:trPr>
          <w:cantSplit/>
        </w:trPr>
        <w:tc>
          <w:tcPr>
            <w:tcW w:w="2124" w:type="dxa"/>
            <w:tcBorders>
              <w:top w:val="double" w:sz="12" w:space="0" w:color="000000"/>
              <w:left w:val="double" w:sz="12" w:space="0" w:color="000000"/>
              <w:bottom w:val="double" w:sz="12" w:space="0" w:color="000000"/>
              <w:right w:val="nil"/>
            </w:tcBorders>
            <w:vAlign w:val="center"/>
            <w:hideMark/>
          </w:tcPr>
          <w:p w14:paraId="0B4DD602" w14:textId="77777777" w:rsidR="00A4644B" w:rsidRPr="00E47E0B" w:rsidRDefault="00A4644B" w:rsidP="00DD1EDB">
            <w:pPr>
              <w:numPr>
                <w:ilvl w:val="12"/>
                <w:numId w:val="0"/>
              </w:numPr>
              <w:spacing w:before="98" w:after="46"/>
              <w:jc w:val="center"/>
              <w:rPr>
                <w:rFonts w:asciiTheme="minorHAnsi" w:hAnsiTheme="minorHAnsi"/>
                <w:sz w:val="22"/>
                <w:szCs w:val="22"/>
              </w:rPr>
            </w:pPr>
            <w:r w:rsidRPr="00E47E0B">
              <w:rPr>
                <w:rFonts w:asciiTheme="minorHAnsi" w:hAnsiTheme="minorHAnsi"/>
                <w:sz w:val="22"/>
                <w:szCs w:val="22"/>
              </w:rPr>
              <w:t>EFNEP</w:t>
            </w:r>
          </w:p>
        </w:tc>
        <w:tc>
          <w:tcPr>
            <w:tcW w:w="2160" w:type="dxa"/>
            <w:tcBorders>
              <w:top w:val="double" w:sz="12" w:space="0" w:color="000000"/>
              <w:left w:val="single" w:sz="6" w:space="0" w:color="000000"/>
              <w:bottom w:val="double" w:sz="12" w:space="0" w:color="000000"/>
              <w:right w:val="nil"/>
            </w:tcBorders>
            <w:vAlign w:val="center"/>
            <w:hideMark/>
          </w:tcPr>
          <w:p w14:paraId="4417C313" w14:textId="77777777" w:rsidR="00A4644B" w:rsidRPr="00E47E0B" w:rsidRDefault="00A4644B" w:rsidP="00DD1EDB">
            <w:pPr>
              <w:numPr>
                <w:ilvl w:val="12"/>
                <w:numId w:val="0"/>
              </w:numPr>
              <w:spacing w:after="46"/>
              <w:jc w:val="center"/>
              <w:rPr>
                <w:rFonts w:asciiTheme="minorHAnsi" w:hAnsiTheme="minorHAnsi"/>
                <w:sz w:val="22"/>
                <w:szCs w:val="22"/>
              </w:rPr>
            </w:pPr>
            <w:r w:rsidRPr="00E47E0B">
              <w:rPr>
                <w:rFonts w:asciiTheme="minorHAnsi" w:hAnsiTheme="minorHAnsi"/>
                <w:sz w:val="22"/>
                <w:szCs w:val="22"/>
              </w:rPr>
              <w:t>7</w:t>
            </w:r>
            <w:r>
              <w:rPr>
                <w:rFonts w:asciiTheme="minorHAnsi" w:hAnsiTheme="minorHAnsi"/>
                <w:sz w:val="22"/>
                <w:szCs w:val="22"/>
              </w:rPr>
              <w:t>6</w:t>
            </w:r>
          </w:p>
        </w:tc>
        <w:tc>
          <w:tcPr>
            <w:tcW w:w="2250" w:type="dxa"/>
            <w:tcBorders>
              <w:top w:val="double" w:sz="12" w:space="0" w:color="000000"/>
              <w:left w:val="single" w:sz="6" w:space="0" w:color="000000"/>
              <w:bottom w:val="double" w:sz="12" w:space="0" w:color="000000"/>
              <w:right w:val="nil"/>
            </w:tcBorders>
            <w:vAlign w:val="center"/>
            <w:hideMark/>
          </w:tcPr>
          <w:p w14:paraId="5EA37A28" w14:textId="77777777" w:rsidR="00A4644B" w:rsidRDefault="00A4644B" w:rsidP="00DD1EDB">
            <w:pPr>
              <w:numPr>
                <w:ilvl w:val="12"/>
                <w:numId w:val="0"/>
              </w:numPr>
              <w:spacing w:after="46"/>
              <w:jc w:val="center"/>
              <w:rPr>
                <w:rFonts w:asciiTheme="minorHAnsi" w:hAnsiTheme="minorHAnsi"/>
                <w:sz w:val="22"/>
                <w:szCs w:val="22"/>
              </w:rPr>
            </w:pPr>
          </w:p>
          <w:p w14:paraId="40922A98" w14:textId="77777777" w:rsidR="00A4644B" w:rsidRDefault="00B81344" w:rsidP="00DD1EDB">
            <w:pPr>
              <w:numPr>
                <w:ilvl w:val="12"/>
                <w:numId w:val="0"/>
              </w:numPr>
              <w:spacing w:after="46"/>
              <w:jc w:val="center"/>
              <w:rPr>
                <w:rFonts w:asciiTheme="minorHAnsi" w:hAnsiTheme="minorHAnsi"/>
                <w:sz w:val="22"/>
                <w:szCs w:val="22"/>
              </w:rPr>
            </w:pPr>
            <w:r>
              <w:rPr>
                <w:rFonts w:asciiTheme="minorHAnsi" w:hAnsiTheme="minorHAnsi"/>
                <w:sz w:val="22"/>
                <w:szCs w:val="22"/>
              </w:rPr>
              <w:t>1,060</w:t>
            </w:r>
          </w:p>
          <w:p w14:paraId="4278EFCC" w14:textId="77777777" w:rsidR="00A4644B" w:rsidRPr="00E47E0B" w:rsidRDefault="00A4644B" w:rsidP="00DD1EDB">
            <w:pPr>
              <w:numPr>
                <w:ilvl w:val="12"/>
                <w:numId w:val="0"/>
              </w:numPr>
              <w:spacing w:after="46"/>
              <w:jc w:val="center"/>
              <w:rPr>
                <w:rFonts w:asciiTheme="minorHAnsi" w:hAnsiTheme="minorHAnsi"/>
                <w:sz w:val="22"/>
                <w:szCs w:val="22"/>
              </w:rPr>
            </w:pPr>
          </w:p>
        </w:tc>
        <w:tc>
          <w:tcPr>
            <w:tcW w:w="2160" w:type="dxa"/>
            <w:tcBorders>
              <w:top w:val="double" w:sz="12" w:space="0" w:color="000000"/>
              <w:left w:val="single" w:sz="6" w:space="0" w:color="000000"/>
              <w:bottom w:val="double" w:sz="12" w:space="0" w:color="000000"/>
              <w:right w:val="double" w:sz="12" w:space="0" w:color="000000"/>
            </w:tcBorders>
            <w:vAlign w:val="center"/>
            <w:hideMark/>
          </w:tcPr>
          <w:p w14:paraId="34943223" w14:textId="77777777" w:rsidR="00A4644B" w:rsidRPr="00E47E0B" w:rsidRDefault="00F155B6" w:rsidP="00DD1EDB">
            <w:pPr>
              <w:numPr>
                <w:ilvl w:val="12"/>
                <w:numId w:val="0"/>
              </w:numPr>
              <w:spacing w:after="46"/>
              <w:jc w:val="center"/>
              <w:rPr>
                <w:rFonts w:asciiTheme="minorHAnsi" w:hAnsiTheme="minorHAnsi"/>
                <w:sz w:val="22"/>
                <w:szCs w:val="22"/>
              </w:rPr>
            </w:pPr>
            <w:r>
              <w:rPr>
                <w:rFonts w:asciiTheme="minorHAnsi" w:hAnsiTheme="minorHAnsi"/>
                <w:sz w:val="22"/>
                <w:szCs w:val="22"/>
              </w:rPr>
              <w:t>80,564</w:t>
            </w:r>
          </w:p>
        </w:tc>
      </w:tr>
    </w:tbl>
    <w:p w14:paraId="1DF7A55E" w14:textId="77777777" w:rsidR="00A4644B" w:rsidRDefault="00A4644B" w:rsidP="00A4644B">
      <w:pPr>
        <w:rPr>
          <w:rFonts w:asciiTheme="minorHAnsi" w:hAnsiTheme="minorHAnsi"/>
          <w:sz w:val="22"/>
          <w:szCs w:val="22"/>
        </w:rPr>
      </w:pPr>
    </w:p>
    <w:p w14:paraId="408FBBAC" w14:textId="77777777" w:rsidR="00265E4F" w:rsidRDefault="00265E4F" w:rsidP="00265E4F">
      <w:pPr>
        <w:rPr>
          <w:rFonts w:asciiTheme="minorHAnsi" w:hAnsiTheme="minorHAnsi"/>
          <w:sz w:val="22"/>
          <w:szCs w:val="22"/>
        </w:rPr>
      </w:pPr>
      <w:r>
        <w:rPr>
          <w:rFonts w:asciiTheme="minorHAnsi" w:hAnsiTheme="minorHAnsi"/>
          <w:sz w:val="22"/>
          <w:szCs w:val="22"/>
        </w:rPr>
        <w:t>Regional and Institution level figures (below) were added together to determine the total annual burden hours (</w:t>
      </w:r>
      <w:r w:rsidR="00915C57">
        <w:rPr>
          <w:rFonts w:asciiTheme="minorHAnsi" w:hAnsiTheme="minorHAnsi"/>
          <w:sz w:val="22"/>
          <w:szCs w:val="22"/>
        </w:rPr>
        <w:t>80,563.7</w:t>
      </w:r>
      <w:r>
        <w:rPr>
          <w:rFonts w:asciiTheme="minorHAnsi" w:hAnsiTheme="minorHAnsi"/>
          <w:sz w:val="22"/>
          <w:szCs w:val="22"/>
        </w:rPr>
        <w:t>) and divided by the total number of respondents (76) to estimate the number of burden hours per response (1,</w:t>
      </w:r>
      <w:r w:rsidR="00915C57">
        <w:rPr>
          <w:rFonts w:asciiTheme="minorHAnsi" w:hAnsiTheme="minorHAnsi"/>
          <w:sz w:val="22"/>
          <w:szCs w:val="22"/>
        </w:rPr>
        <w:t>060.1</w:t>
      </w:r>
      <w:r>
        <w:rPr>
          <w:rFonts w:asciiTheme="minorHAnsi" w:hAnsiTheme="minorHAnsi"/>
          <w:sz w:val="22"/>
          <w:szCs w:val="22"/>
        </w:rPr>
        <w:t>).</w:t>
      </w:r>
    </w:p>
    <w:p w14:paraId="651F9BFC" w14:textId="77777777" w:rsidR="00265E4F" w:rsidRDefault="00265E4F" w:rsidP="00A4644B">
      <w:pPr>
        <w:rPr>
          <w:rFonts w:asciiTheme="minorHAnsi" w:hAnsiTheme="minorHAnsi"/>
          <w:sz w:val="22"/>
          <w:szCs w:val="22"/>
        </w:rPr>
      </w:pPr>
    </w:p>
    <w:p w14:paraId="08AFFEF9" w14:textId="77777777" w:rsidR="00265E4F" w:rsidRPr="0088397A" w:rsidRDefault="00265E4F" w:rsidP="00A4644B">
      <w:pPr>
        <w:rPr>
          <w:rFonts w:asciiTheme="minorHAnsi" w:hAnsiTheme="minorHAnsi"/>
          <w:b/>
          <w:sz w:val="22"/>
          <w:szCs w:val="22"/>
        </w:rPr>
      </w:pPr>
      <w:r w:rsidRPr="0088397A">
        <w:rPr>
          <w:rFonts w:asciiTheme="minorHAnsi" w:hAnsiTheme="minorHAnsi"/>
          <w:b/>
          <w:sz w:val="22"/>
          <w:szCs w:val="22"/>
        </w:rPr>
        <w:t>Regional Burden Calculations - Minutes</w:t>
      </w:r>
    </w:p>
    <w:p w14:paraId="62D54390" w14:textId="77777777" w:rsidR="00265E4F" w:rsidRDefault="00265E4F" w:rsidP="00A4644B">
      <w:pPr>
        <w:rPr>
          <w:rFonts w:asciiTheme="minorHAnsi" w:hAnsiTheme="minorHAnsi"/>
          <w:sz w:val="22"/>
          <w:szCs w:val="22"/>
        </w:rPr>
      </w:pPr>
    </w:p>
    <w:p w14:paraId="2A8DD27E" w14:textId="77777777" w:rsidR="00A4644B" w:rsidRDefault="00A4644B" w:rsidP="00A4644B">
      <w:pPr>
        <w:rPr>
          <w:rFonts w:asciiTheme="minorHAnsi" w:hAnsiTheme="minorHAnsi"/>
          <w:sz w:val="22"/>
          <w:szCs w:val="22"/>
        </w:rPr>
      </w:pPr>
      <w:r>
        <w:rPr>
          <w:rFonts w:asciiTheme="minorHAnsi" w:hAnsiTheme="minorHAnsi"/>
          <w:sz w:val="22"/>
          <w:szCs w:val="22"/>
        </w:rPr>
        <w:t xml:space="preserve">To calculate </w:t>
      </w:r>
      <w:r w:rsidR="000E0026">
        <w:rPr>
          <w:rFonts w:asciiTheme="minorHAnsi" w:hAnsiTheme="minorHAnsi"/>
          <w:sz w:val="22"/>
          <w:szCs w:val="22"/>
        </w:rPr>
        <w:t xml:space="preserve">the regional burden, </w:t>
      </w:r>
      <w:r>
        <w:rPr>
          <w:rFonts w:asciiTheme="minorHAnsi" w:hAnsiTheme="minorHAnsi"/>
          <w:sz w:val="22"/>
          <w:szCs w:val="22"/>
        </w:rPr>
        <w:t xml:space="preserve">each university responded to a survey with data on the total number of minutes it took regional </w:t>
      </w:r>
      <w:r w:rsidR="000E0026">
        <w:rPr>
          <w:rFonts w:asciiTheme="minorHAnsi" w:hAnsiTheme="minorHAnsi"/>
          <w:sz w:val="22"/>
          <w:szCs w:val="22"/>
        </w:rPr>
        <w:t xml:space="preserve">(i.e. county) </w:t>
      </w:r>
      <w:r>
        <w:rPr>
          <w:rFonts w:asciiTheme="minorHAnsi" w:hAnsiTheme="minorHAnsi"/>
          <w:sz w:val="22"/>
          <w:szCs w:val="22"/>
        </w:rPr>
        <w:t>users to enter one adult graduate (includ</w:t>
      </w:r>
      <w:r w:rsidR="000E0026">
        <w:rPr>
          <w:rFonts w:asciiTheme="minorHAnsi" w:hAnsiTheme="minorHAnsi"/>
          <w:sz w:val="22"/>
          <w:szCs w:val="22"/>
        </w:rPr>
        <w:t xml:space="preserve">ing demographic entry and exit data, food recalls, and behavior </w:t>
      </w:r>
      <w:r>
        <w:rPr>
          <w:rFonts w:asciiTheme="minorHAnsi" w:hAnsiTheme="minorHAnsi"/>
          <w:sz w:val="22"/>
          <w:szCs w:val="22"/>
        </w:rPr>
        <w:t>questionnaires), one adult non-graduate (demographics only), one youth group (demographic</w:t>
      </w:r>
      <w:r w:rsidR="00265E4F">
        <w:rPr>
          <w:rFonts w:asciiTheme="minorHAnsi" w:hAnsiTheme="minorHAnsi"/>
          <w:sz w:val="22"/>
          <w:szCs w:val="22"/>
        </w:rPr>
        <w:t xml:space="preserve"> entry and exit data</w:t>
      </w:r>
      <w:r>
        <w:rPr>
          <w:rFonts w:asciiTheme="minorHAnsi" w:hAnsiTheme="minorHAnsi"/>
          <w:sz w:val="22"/>
          <w:szCs w:val="22"/>
        </w:rPr>
        <w:t>) and one youth individual (</w:t>
      </w:r>
      <w:r w:rsidR="000E0026">
        <w:rPr>
          <w:rFonts w:asciiTheme="minorHAnsi" w:hAnsiTheme="minorHAnsi"/>
          <w:sz w:val="22"/>
          <w:szCs w:val="22"/>
        </w:rPr>
        <w:t xml:space="preserve">behavior </w:t>
      </w:r>
      <w:r>
        <w:rPr>
          <w:rFonts w:asciiTheme="minorHAnsi" w:hAnsiTheme="minorHAnsi"/>
          <w:sz w:val="22"/>
          <w:szCs w:val="22"/>
        </w:rPr>
        <w:t xml:space="preserve">questionnaire).  The responses from each university were averaged together and then multiplied by the total number of adult graduates, adult non-graduates, youth groups, and youth individuals in the FY2018 Federal Data set.  </w:t>
      </w:r>
    </w:p>
    <w:p w14:paraId="1DD0E3D2" w14:textId="77777777" w:rsidR="00A4644B" w:rsidRDefault="00A4644B" w:rsidP="00A4644B">
      <w:pPr>
        <w:rPr>
          <w:rFonts w:asciiTheme="minorHAnsi" w:hAnsiTheme="minorHAnsi"/>
          <w:sz w:val="22"/>
          <w:szCs w:val="22"/>
        </w:rPr>
      </w:pPr>
    </w:p>
    <w:tbl>
      <w:tblPr>
        <w:tblStyle w:val="TableGrid"/>
        <w:tblW w:w="0" w:type="auto"/>
        <w:tblLook w:val="04A0" w:firstRow="1" w:lastRow="0" w:firstColumn="1" w:lastColumn="0" w:noHBand="0" w:noVBand="1"/>
      </w:tblPr>
      <w:tblGrid>
        <w:gridCol w:w="1705"/>
        <w:gridCol w:w="1440"/>
        <w:gridCol w:w="1800"/>
        <w:gridCol w:w="1530"/>
        <w:gridCol w:w="1980"/>
      </w:tblGrid>
      <w:tr w:rsidR="00A4644B" w14:paraId="21673F53" w14:textId="77777777" w:rsidTr="00DD1EDB">
        <w:tc>
          <w:tcPr>
            <w:tcW w:w="1705" w:type="dxa"/>
          </w:tcPr>
          <w:p w14:paraId="71C0C408" w14:textId="77777777" w:rsidR="00A4644B" w:rsidRDefault="00A4644B" w:rsidP="00DD1EDB">
            <w:pPr>
              <w:rPr>
                <w:rFonts w:asciiTheme="minorHAnsi" w:hAnsiTheme="minorHAnsi"/>
                <w:sz w:val="22"/>
                <w:szCs w:val="22"/>
              </w:rPr>
            </w:pPr>
          </w:p>
        </w:tc>
        <w:tc>
          <w:tcPr>
            <w:tcW w:w="1440" w:type="dxa"/>
          </w:tcPr>
          <w:p w14:paraId="0B2D5175"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Adult Grad</w:t>
            </w:r>
          </w:p>
        </w:tc>
        <w:tc>
          <w:tcPr>
            <w:tcW w:w="1800" w:type="dxa"/>
          </w:tcPr>
          <w:p w14:paraId="649AB45E"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Adult Non-Grad</w:t>
            </w:r>
          </w:p>
        </w:tc>
        <w:tc>
          <w:tcPr>
            <w:tcW w:w="1530" w:type="dxa"/>
          </w:tcPr>
          <w:p w14:paraId="1E066333"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Youth Group</w:t>
            </w:r>
          </w:p>
        </w:tc>
        <w:tc>
          <w:tcPr>
            <w:tcW w:w="1980" w:type="dxa"/>
          </w:tcPr>
          <w:p w14:paraId="76186853" w14:textId="77777777" w:rsidR="00A4644B" w:rsidRPr="00110329" w:rsidRDefault="00A4644B" w:rsidP="00DD1EDB">
            <w:pPr>
              <w:rPr>
                <w:rFonts w:asciiTheme="minorHAnsi" w:hAnsiTheme="minorHAnsi"/>
                <w:b/>
                <w:sz w:val="22"/>
                <w:szCs w:val="22"/>
              </w:rPr>
            </w:pPr>
            <w:r>
              <w:rPr>
                <w:rFonts w:asciiTheme="minorHAnsi" w:hAnsiTheme="minorHAnsi"/>
                <w:b/>
                <w:sz w:val="22"/>
                <w:szCs w:val="22"/>
              </w:rPr>
              <w:t>Youth Individual</w:t>
            </w:r>
          </w:p>
        </w:tc>
      </w:tr>
      <w:tr w:rsidR="00A4644B" w14:paraId="4E82477F" w14:textId="77777777" w:rsidTr="00DD1EDB">
        <w:tc>
          <w:tcPr>
            <w:tcW w:w="1705" w:type="dxa"/>
          </w:tcPr>
          <w:p w14:paraId="10F520B5" w14:textId="77777777" w:rsidR="00A4644B" w:rsidRDefault="00A4644B" w:rsidP="00DD1EDB">
            <w:pPr>
              <w:rPr>
                <w:rFonts w:asciiTheme="minorHAnsi" w:hAnsiTheme="minorHAnsi"/>
                <w:sz w:val="22"/>
                <w:szCs w:val="22"/>
              </w:rPr>
            </w:pPr>
            <w:r>
              <w:rPr>
                <w:rFonts w:asciiTheme="minorHAnsi" w:hAnsiTheme="minorHAnsi"/>
                <w:sz w:val="22"/>
                <w:szCs w:val="22"/>
              </w:rPr>
              <w:t>Average of Reported Values</w:t>
            </w:r>
            <w:r w:rsidR="008A2B3B">
              <w:rPr>
                <w:rFonts w:asciiTheme="minorHAnsi" w:hAnsiTheme="minorHAnsi"/>
                <w:sz w:val="22"/>
                <w:szCs w:val="22"/>
              </w:rPr>
              <w:t xml:space="preserve"> (minutes)</w:t>
            </w:r>
          </w:p>
        </w:tc>
        <w:tc>
          <w:tcPr>
            <w:tcW w:w="1440" w:type="dxa"/>
          </w:tcPr>
          <w:p w14:paraId="26F47328" w14:textId="77777777" w:rsidR="00A4644B" w:rsidRDefault="00DB1D68" w:rsidP="00DD1EDB">
            <w:pPr>
              <w:rPr>
                <w:rFonts w:asciiTheme="minorHAnsi" w:hAnsiTheme="minorHAnsi"/>
                <w:sz w:val="22"/>
                <w:szCs w:val="22"/>
              </w:rPr>
            </w:pPr>
            <w:r>
              <w:rPr>
                <w:rFonts w:asciiTheme="minorHAnsi" w:hAnsiTheme="minorHAnsi"/>
                <w:sz w:val="22"/>
                <w:szCs w:val="22"/>
              </w:rPr>
              <w:t>39.7</w:t>
            </w:r>
          </w:p>
        </w:tc>
        <w:tc>
          <w:tcPr>
            <w:tcW w:w="1800" w:type="dxa"/>
          </w:tcPr>
          <w:p w14:paraId="0AF2903D" w14:textId="77777777" w:rsidR="00A4644B" w:rsidRDefault="00DB1D68" w:rsidP="00DD1EDB">
            <w:pPr>
              <w:rPr>
                <w:rFonts w:asciiTheme="minorHAnsi" w:hAnsiTheme="minorHAnsi"/>
                <w:sz w:val="22"/>
                <w:szCs w:val="22"/>
              </w:rPr>
            </w:pPr>
            <w:r>
              <w:rPr>
                <w:rFonts w:asciiTheme="minorHAnsi" w:hAnsiTheme="minorHAnsi"/>
                <w:sz w:val="22"/>
                <w:szCs w:val="22"/>
              </w:rPr>
              <w:t>6.6</w:t>
            </w:r>
          </w:p>
        </w:tc>
        <w:tc>
          <w:tcPr>
            <w:tcW w:w="1530" w:type="dxa"/>
          </w:tcPr>
          <w:p w14:paraId="16942B4F" w14:textId="77777777" w:rsidR="00A4644B" w:rsidRDefault="00DB1D68" w:rsidP="00DD1EDB">
            <w:pPr>
              <w:rPr>
                <w:rFonts w:asciiTheme="minorHAnsi" w:hAnsiTheme="minorHAnsi"/>
                <w:sz w:val="22"/>
                <w:szCs w:val="22"/>
              </w:rPr>
            </w:pPr>
            <w:r>
              <w:rPr>
                <w:rFonts w:asciiTheme="minorHAnsi" w:hAnsiTheme="minorHAnsi"/>
                <w:sz w:val="22"/>
                <w:szCs w:val="22"/>
              </w:rPr>
              <w:t>24.1</w:t>
            </w:r>
          </w:p>
        </w:tc>
        <w:tc>
          <w:tcPr>
            <w:tcW w:w="1980" w:type="dxa"/>
          </w:tcPr>
          <w:p w14:paraId="4D4E438D" w14:textId="77777777" w:rsidR="00A4644B" w:rsidRDefault="00DB1D68" w:rsidP="00DD1EDB">
            <w:pPr>
              <w:rPr>
                <w:rFonts w:asciiTheme="minorHAnsi" w:hAnsiTheme="minorHAnsi"/>
                <w:sz w:val="22"/>
                <w:szCs w:val="22"/>
              </w:rPr>
            </w:pPr>
            <w:r>
              <w:rPr>
                <w:rFonts w:asciiTheme="minorHAnsi" w:hAnsiTheme="minorHAnsi"/>
                <w:sz w:val="22"/>
                <w:szCs w:val="22"/>
              </w:rPr>
              <w:t>6.1</w:t>
            </w:r>
          </w:p>
        </w:tc>
      </w:tr>
      <w:tr w:rsidR="00A4644B" w14:paraId="3F629FEC" w14:textId="77777777" w:rsidTr="00DD1EDB">
        <w:tc>
          <w:tcPr>
            <w:tcW w:w="1705" w:type="dxa"/>
          </w:tcPr>
          <w:p w14:paraId="76FDB3B7" w14:textId="77777777" w:rsidR="00A4644B" w:rsidRDefault="00A4644B" w:rsidP="00DD1EDB">
            <w:pPr>
              <w:rPr>
                <w:rFonts w:asciiTheme="minorHAnsi" w:hAnsiTheme="minorHAnsi"/>
                <w:sz w:val="22"/>
                <w:szCs w:val="22"/>
              </w:rPr>
            </w:pPr>
            <w:r>
              <w:rPr>
                <w:rFonts w:asciiTheme="minorHAnsi" w:hAnsiTheme="minorHAnsi"/>
                <w:sz w:val="22"/>
                <w:szCs w:val="22"/>
              </w:rPr>
              <w:t>Multiplier</w:t>
            </w:r>
          </w:p>
        </w:tc>
        <w:tc>
          <w:tcPr>
            <w:tcW w:w="1440" w:type="dxa"/>
          </w:tcPr>
          <w:p w14:paraId="7DE478D9" w14:textId="77777777" w:rsidR="00A4644B" w:rsidRDefault="00A4644B" w:rsidP="00DD1EDB">
            <w:pPr>
              <w:rPr>
                <w:rFonts w:asciiTheme="minorHAnsi" w:hAnsiTheme="minorHAnsi"/>
                <w:sz w:val="22"/>
                <w:szCs w:val="22"/>
              </w:rPr>
            </w:pPr>
            <w:r>
              <w:rPr>
                <w:rFonts w:asciiTheme="minorHAnsi" w:hAnsiTheme="minorHAnsi"/>
                <w:sz w:val="22"/>
                <w:szCs w:val="22"/>
              </w:rPr>
              <w:t>61,845 Adult Grads (FY18)</w:t>
            </w:r>
          </w:p>
        </w:tc>
        <w:tc>
          <w:tcPr>
            <w:tcW w:w="1800" w:type="dxa"/>
          </w:tcPr>
          <w:p w14:paraId="40FD2953" w14:textId="77777777" w:rsidR="00A4644B" w:rsidRDefault="00A4644B" w:rsidP="00DD1EDB">
            <w:pPr>
              <w:rPr>
                <w:rFonts w:asciiTheme="minorHAnsi" w:hAnsiTheme="minorHAnsi"/>
                <w:sz w:val="22"/>
                <w:szCs w:val="22"/>
              </w:rPr>
            </w:pPr>
            <w:r>
              <w:rPr>
                <w:rFonts w:asciiTheme="minorHAnsi" w:hAnsiTheme="minorHAnsi"/>
                <w:sz w:val="22"/>
                <w:szCs w:val="22"/>
              </w:rPr>
              <w:t>28,480 Adult Non-Grads (FY18)</w:t>
            </w:r>
          </w:p>
        </w:tc>
        <w:tc>
          <w:tcPr>
            <w:tcW w:w="1530" w:type="dxa"/>
          </w:tcPr>
          <w:p w14:paraId="4B271ECE" w14:textId="77777777" w:rsidR="00A4644B" w:rsidRDefault="00A4644B" w:rsidP="00DD1EDB">
            <w:pPr>
              <w:rPr>
                <w:rFonts w:asciiTheme="minorHAnsi" w:hAnsiTheme="minorHAnsi"/>
                <w:sz w:val="22"/>
                <w:szCs w:val="22"/>
              </w:rPr>
            </w:pPr>
            <w:r>
              <w:rPr>
                <w:rFonts w:asciiTheme="minorHAnsi" w:hAnsiTheme="minorHAnsi"/>
                <w:sz w:val="22"/>
                <w:szCs w:val="22"/>
              </w:rPr>
              <w:t>14,395 Youth Groups (FY18)</w:t>
            </w:r>
          </w:p>
        </w:tc>
        <w:tc>
          <w:tcPr>
            <w:tcW w:w="1980" w:type="dxa"/>
          </w:tcPr>
          <w:p w14:paraId="36D5B3E1" w14:textId="77777777" w:rsidR="00A4644B" w:rsidRDefault="00A4644B" w:rsidP="00DD1EDB">
            <w:pPr>
              <w:rPr>
                <w:rFonts w:asciiTheme="minorHAnsi" w:hAnsiTheme="minorHAnsi"/>
                <w:sz w:val="22"/>
                <w:szCs w:val="22"/>
              </w:rPr>
            </w:pPr>
            <w:r>
              <w:rPr>
                <w:rFonts w:asciiTheme="minorHAnsi" w:hAnsiTheme="minorHAnsi"/>
                <w:sz w:val="22"/>
                <w:szCs w:val="22"/>
              </w:rPr>
              <w:t>274,742 (youth individuals (FY18)</w:t>
            </w:r>
          </w:p>
        </w:tc>
      </w:tr>
      <w:tr w:rsidR="00A4644B" w14:paraId="4B41BDD6" w14:textId="77777777" w:rsidTr="00DD1EDB">
        <w:tc>
          <w:tcPr>
            <w:tcW w:w="1705" w:type="dxa"/>
          </w:tcPr>
          <w:p w14:paraId="459DEAC3" w14:textId="77777777" w:rsidR="00A4644B" w:rsidRDefault="00A4644B" w:rsidP="00DD1EDB">
            <w:pPr>
              <w:rPr>
                <w:rFonts w:asciiTheme="minorHAnsi" w:hAnsiTheme="minorHAnsi"/>
                <w:sz w:val="22"/>
                <w:szCs w:val="22"/>
              </w:rPr>
            </w:pPr>
            <w:r>
              <w:rPr>
                <w:rFonts w:asciiTheme="minorHAnsi" w:hAnsiTheme="minorHAnsi"/>
                <w:sz w:val="22"/>
                <w:szCs w:val="22"/>
              </w:rPr>
              <w:t>Burden</w:t>
            </w:r>
            <w:r w:rsidR="008A2B3B">
              <w:rPr>
                <w:rFonts w:asciiTheme="minorHAnsi" w:hAnsiTheme="minorHAnsi"/>
                <w:sz w:val="22"/>
                <w:szCs w:val="22"/>
              </w:rPr>
              <w:t xml:space="preserve"> (minutes)</w:t>
            </w:r>
          </w:p>
        </w:tc>
        <w:tc>
          <w:tcPr>
            <w:tcW w:w="1440" w:type="dxa"/>
          </w:tcPr>
          <w:p w14:paraId="5644265C" w14:textId="77777777" w:rsidR="00A4644B" w:rsidRDefault="00DB1D68" w:rsidP="00DD1EDB">
            <w:pPr>
              <w:rPr>
                <w:rFonts w:asciiTheme="minorHAnsi" w:hAnsiTheme="minorHAnsi"/>
                <w:sz w:val="22"/>
                <w:szCs w:val="22"/>
              </w:rPr>
            </w:pPr>
            <w:r>
              <w:rPr>
                <w:rFonts w:asciiTheme="minorHAnsi" w:hAnsiTheme="minorHAnsi"/>
                <w:sz w:val="22"/>
                <w:szCs w:val="22"/>
              </w:rPr>
              <w:t>2,455,246</w:t>
            </w:r>
            <w:r w:rsidR="00A4644B">
              <w:rPr>
                <w:rFonts w:asciiTheme="minorHAnsi" w:hAnsiTheme="minorHAnsi"/>
                <w:sz w:val="22"/>
                <w:szCs w:val="22"/>
              </w:rPr>
              <w:t>.5</w:t>
            </w:r>
          </w:p>
        </w:tc>
        <w:tc>
          <w:tcPr>
            <w:tcW w:w="1800" w:type="dxa"/>
          </w:tcPr>
          <w:p w14:paraId="0F808A5D" w14:textId="77777777" w:rsidR="00A4644B" w:rsidRDefault="00DB1D68" w:rsidP="00DD1EDB">
            <w:pPr>
              <w:rPr>
                <w:rFonts w:asciiTheme="minorHAnsi" w:hAnsiTheme="minorHAnsi"/>
                <w:sz w:val="22"/>
                <w:szCs w:val="22"/>
              </w:rPr>
            </w:pPr>
            <w:r>
              <w:rPr>
                <w:rFonts w:asciiTheme="minorHAnsi" w:hAnsiTheme="minorHAnsi"/>
                <w:sz w:val="22"/>
                <w:szCs w:val="22"/>
              </w:rPr>
              <w:t>187,968</w:t>
            </w:r>
            <w:r w:rsidR="00A4644B">
              <w:rPr>
                <w:rFonts w:asciiTheme="minorHAnsi" w:hAnsiTheme="minorHAnsi"/>
                <w:sz w:val="22"/>
                <w:szCs w:val="22"/>
              </w:rPr>
              <w:t>.0</w:t>
            </w:r>
          </w:p>
        </w:tc>
        <w:tc>
          <w:tcPr>
            <w:tcW w:w="1530" w:type="dxa"/>
          </w:tcPr>
          <w:p w14:paraId="5148DDB0" w14:textId="77777777" w:rsidR="00A4644B" w:rsidRDefault="00DB1D68" w:rsidP="00DD1EDB">
            <w:pPr>
              <w:rPr>
                <w:rFonts w:asciiTheme="minorHAnsi" w:hAnsiTheme="minorHAnsi"/>
                <w:sz w:val="22"/>
                <w:szCs w:val="22"/>
              </w:rPr>
            </w:pPr>
            <w:r>
              <w:rPr>
                <w:rFonts w:asciiTheme="minorHAnsi" w:hAnsiTheme="minorHAnsi"/>
                <w:sz w:val="22"/>
                <w:szCs w:val="22"/>
              </w:rPr>
              <w:t>346,919</w:t>
            </w:r>
            <w:r w:rsidR="00A4644B">
              <w:rPr>
                <w:rFonts w:asciiTheme="minorHAnsi" w:hAnsiTheme="minorHAnsi"/>
                <w:sz w:val="22"/>
                <w:szCs w:val="22"/>
              </w:rPr>
              <w:t>.5</w:t>
            </w:r>
          </w:p>
        </w:tc>
        <w:tc>
          <w:tcPr>
            <w:tcW w:w="1980" w:type="dxa"/>
          </w:tcPr>
          <w:p w14:paraId="736D82D9" w14:textId="77777777" w:rsidR="00A4644B" w:rsidRDefault="00DB1D68" w:rsidP="00DD1EDB">
            <w:pPr>
              <w:rPr>
                <w:rFonts w:asciiTheme="minorHAnsi" w:hAnsiTheme="minorHAnsi"/>
                <w:sz w:val="22"/>
                <w:szCs w:val="22"/>
              </w:rPr>
            </w:pPr>
            <w:r>
              <w:rPr>
                <w:rFonts w:asciiTheme="minorHAnsi" w:hAnsiTheme="minorHAnsi"/>
                <w:sz w:val="22"/>
                <w:szCs w:val="22"/>
              </w:rPr>
              <w:t>1,675,926.2</w:t>
            </w:r>
          </w:p>
        </w:tc>
      </w:tr>
    </w:tbl>
    <w:p w14:paraId="341C9016" w14:textId="77777777" w:rsidR="00A4644B" w:rsidRDefault="00A4644B" w:rsidP="00A4644B">
      <w:pPr>
        <w:rPr>
          <w:rFonts w:asciiTheme="minorHAnsi" w:hAnsiTheme="minorHAnsi"/>
          <w:sz w:val="22"/>
          <w:szCs w:val="22"/>
        </w:rPr>
      </w:pPr>
    </w:p>
    <w:p w14:paraId="46D0718F" w14:textId="77777777" w:rsidR="00A4644B" w:rsidRDefault="00A4644B" w:rsidP="0088397A">
      <w:pPr>
        <w:ind w:left="720"/>
        <w:rPr>
          <w:rFonts w:asciiTheme="minorHAnsi" w:hAnsiTheme="minorHAnsi"/>
          <w:b/>
          <w:sz w:val="22"/>
          <w:szCs w:val="22"/>
        </w:rPr>
      </w:pPr>
      <w:r w:rsidRPr="00110329">
        <w:rPr>
          <w:rFonts w:asciiTheme="minorHAnsi" w:hAnsiTheme="minorHAnsi"/>
          <w:b/>
          <w:sz w:val="22"/>
          <w:szCs w:val="22"/>
        </w:rPr>
        <w:t xml:space="preserve">TOTAL REGIONAL BURDEN </w:t>
      </w:r>
      <w:r w:rsidR="008A2B3B">
        <w:rPr>
          <w:rFonts w:asciiTheme="minorHAnsi" w:hAnsiTheme="minorHAnsi"/>
          <w:b/>
          <w:sz w:val="22"/>
          <w:szCs w:val="22"/>
        </w:rPr>
        <w:t xml:space="preserve">HOURS </w:t>
      </w:r>
      <w:r w:rsidRPr="00110329">
        <w:rPr>
          <w:rFonts w:asciiTheme="minorHAnsi" w:hAnsiTheme="minorHAnsi"/>
          <w:b/>
          <w:sz w:val="22"/>
          <w:szCs w:val="22"/>
        </w:rPr>
        <w:t xml:space="preserve">= </w:t>
      </w:r>
      <w:r w:rsidR="00DB1D68">
        <w:rPr>
          <w:rFonts w:asciiTheme="minorHAnsi" w:hAnsiTheme="minorHAnsi"/>
          <w:b/>
          <w:sz w:val="22"/>
          <w:szCs w:val="22"/>
        </w:rPr>
        <w:t>4,666,060.2</w:t>
      </w:r>
      <w:r w:rsidRPr="00110329">
        <w:rPr>
          <w:rFonts w:asciiTheme="minorHAnsi" w:hAnsiTheme="minorHAnsi"/>
          <w:b/>
          <w:sz w:val="22"/>
          <w:szCs w:val="22"/>
        </w:rPr>
        <w:t xml:space="preserve"> minutes / 60 minutes = </w:t>
      </w:r>
      <w:r w:rsidR="00DB1D68">
        <w:rPr>
          <w:rFonts w:asciiTheme="minorHAnsi" w:hAnsiTheme="minorHAnsi"/>
          <w:b/>
          <w:sz w:val="22"/>
          <w:szCs w:val="22"/>
        </w:rPr>
        <w:t>77,767.7</w:t>
      </w:r>
      <w:r w:rsidRPr="00110329">
        <w:rPr>
          <w:rFonts w:asciiTheme="minorHAnsi" w:hAnsiTheme="minorHAnsi"/>
          <w:b/>
          <w:sz w:val="22"/>
          <w:szCs w:val="22"/>
        </w:rPr>
        <w:t xml:space="preserve"> hours</w:t>
      </w:r>
    </w:p>
    <w:p w14:paraId="45A1656C" w14:textId="77777777" w:rsidR="00265E4F" w:rsidRDefault="00265E4F" w:rsidP="00A4644B">
      <w:pPr>
        <w:rPr>
          <w:rFonts w:asciiTheme="minorHAnsi" w:hAnsiTheme="minorHAnsi"/>
          <w:b/>
          <w:sz w:val="22"/>
          <w:szCs w:val="22"/>
        </w:rPr>
      </w:pPr>
    </w:p>
    <w:p w14:paraId="5BBCBE58" w14:textId="77777777" w:rsidR="00265E4F" w:rsidRDefault="00265E4F" w:rsidP="00A4644B">
      <w:pPr>
        <w:rPr>
          <w:rFonts w:asciiTheme="minorHAnsi" w:hAnsiTheme="minorHAnsi"/>
          <w:b/>
          <w:sz w:val="22"/>
          <w:szCs w:val="22"/>
        </w:rPr>
      </w:pPr>
      <w:r>
        <w:rPr>
          <w:rFonts w:asciiTheme="minorHAnsi" w:hAnsiTheme="minorHAnsi"/>
          <w:b/>
          <w:sz w:val="22"/>
          <w:szCs w:val="22"/>
        </w:rPr>
        <w:t>Institutional Burden Calculations - Minutes</w:t>
      </w:r>
    </w:p>
    <w:p w14:paraId="72DF1533" w14:textId="77777777" w:rsidR="00A4644B" w:rsidRPr="00110329" w:rsidRDefault="00A4644B" w:rsidP="00A4644B">
      <w:pPr>
        <w:rPr>
          <w:rFonts w:asciiTheme="minorHAnsi" w:hAnsiTheme="minorHAnsi"/>
          <w:b/>
          <w:sz w:val="22"/>
          <w:szCs w:val="22"/>
        </w:rPr>
      </w:pPr>
    </w:p>
    <w:p w14:paraId="733D408F" w14:textId="77777777" w:rsidR="00A4644B" w:rsidRDefault="00A4644B" w:rsidP="00A4644B">
      <w:pPr>
        <w:rPr>
          <w:rFonts w:asciiTheme="minorHAnsi" w:hAnsiTheme="minorHAnsi"/>
          <w:sz w:val="22"/>
          <w:szCs w:val="22"/>
        </w:rPr>
      </w:pPr>
      <w:r>
        <w:rPr>
          <w:rFonts w:asciiTheme="minorHAnsi" w:hAnsiTheme="minorHAnsi"/>
          <w:sz w:val="22"/>
          <w:szCs w:val="22"/>
        </w:rPr>
        <w:t>Since institutions</w:t>
      </w:r>
      <w:r w:rsidR="009C307C">
        <w:rPr>
          <w:rFonts w:asciiTheme="minorHAnsi" w:hAnsiTheme="minorHAnsi"/>
          <w:sz w:val="22"/>
          <w:szCs w:val="22"/>
        </w:rPr>
        <w:t xml:space="preserve"> (i.e. universities) </w:t>
      </w:r>
      <w:r>
        <w:rPr>
          <w:rFonts w:asciiTheme="minorHAnsi" w:hAnsiTheme="minorHAnsi"/>
          <w:sz w:val="22"/>
          <w:szCs w:val="22"/>
        </w:rPr>
        <w:t xml:space="preserve">are responsible for ensuring that staff data (all staff as opposed to one staff member) is current and correct, staff calculations were incorporated into the institutional staff review data calculations.  The survey also collected the total number of minutes it took institution level </w:t>
      </w:r>
      <w:r>
        <w:rPr>
          <w:rFonts w:asciiTheme="minorHAnsi" w:hAnsiTheme="minorHAnsi"/>
          <w:sz w:val="22"/>
          <w:szCs w:val="22"/>
        </w:rPr>
        <w:lastRenderedPageBreak/>
        <w:t>users to review the data, submit the data, prepare the program plan, submit the program plan, prepare the budget, and submit the budget.  These values were averaged and multiplied out by the total number of reporting institutions given that there is one submission per institution.</w:t>
      </w:r>
    </w:p>
    <w:p w14:paraId="0FE291AF" w14:textId="77777777" w:rsidR="00A4644B" w:rsidRDefault="00A4644B" w:rsidP="00A4644B">
      <w:pPr>
        <w:rPr>
          <w:rFonts w:asciiTheme="minorHAnsi" w:hAnsiTheme="minorHAnsi"/>
          <w:sz w:val="22"/>
          <w:szCs w:val="22"/>
        </w:rPr>
      </w:pPr>
    </w:p>
    <w:tbl>
      <w:tblPr>
        <w:tblStyle w:val="TableGrid"/>
        <w:tblW w:w="0" w:type="auto"/>
        <w:tblLayout w:type="fixed"/>
        <w:tblLook w:val="04A0" w:firstRow="1" w:lastRow="0" w:firstColumn="1" w:lastColumn="0" w:noHBand="0" w:noVBand="1"/>
      </w:tblPr>
      <w:tblGrid>
        <w:gridCol w:w="1705"/>
        <w:gridCol w:w="1260"/>
        <w:gridCol w:w="1350"/>
        <w:gridCol w:w="1260"/>
        <w:gridCol w:w="1260"/>
        <w:gridCol w:w="1257"/>
        <w:gridCol w:w="1258"/>
      </w:tblGrid>
      <w:tr w:rsidR="00A4644B" w14:paraId="63B3DEC3" w14:textId="77777777" w:rsidTr="00A4644B">
        <w:tc>
          <w:tcPr>
            <w:tcW w:w="1705" w:type="dxa"/>
          </w:tcPr>
          <w:p w14:paraId="01FB9110" w14:textId="77777777" w:rsidR="00A4644B" w:rsidRDefault="00A4644B" w:rsidP="00DD1EDB">
            <w:pPr>
              <w:rPr>
                <w:rFonts w:asciiTheme="minorHAnsi" w:hAnsiTheme="minorHAnsi"/>
                <w:sz w:val="22"/>
                <w:szCs w:val="22"/>
              </w:rPr>
            </w:pPr>
          </w:p>
        </w:tc>
        <w:tc>
          <w:tcPr>
            <w:tcW w:w="1260" w:type="dxa"/>
          </w:tcPr>
          <w:p w14:paraId="2AF8C5EA"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Data Review</w:t>
            </w:r>
          </w:p>
        </w:tc>
        <w:tc>
          <w:tcPr>
            <w:tcW w:w="1350" w:type="dxa"/>
          </w:tcPr>
          <w:p w14:paraId="24CD7735"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Data Submission</w:t>
            </w:r>
          </w:p>
        </w:tc>
        <w:tc>
          <w:tcPr>
            <w:tcW w:w="1260" w:type="dxa"/>
          </w:tcPr>
          <w:p w14:paraId="7962E486"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Plan Prep</w:t>
            </w:r>
          </w:p>
        </w:tc>
        <w:tc>
          <w:tcPr>
            <w:tcW w:w="1260" w:type="dxa"/>
          </w:tcPr>
          <w:p w14:paraId="61E5D254"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Plan Submission</w:t>
            </w:r>
          </w:p>
        </w:tc>
        <w:tc>
          <w:tcPr>
            <w:tcW w:w="1257" w:type="dxa"/>
          </w:tcPr>
          <w:p w14:paraId="48C2BEDA"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Budget Prep</w:t>
            </w:r>
          </w:p>
        </w:tc>
        <w:tc>
          <w:tcPr>
            <w:tcW w:w="1258" w:type="dxa"/>
          </w:tcPr>
          <w:p w14:paraId="72207EF8" w14:textId="77777777" w:rsidR="00A4644B" w:rsidRPr="00110329" w:rsidRDefault="00A4644B" w:rsidP="00DD1EDB">
            <w:pPr>
              <w:rPr>
                <w:rFonts w:asciiTheme="minorHAnsi" w:hAnsiTheme="minorHAnsi"/>
                <w:b/>
                <w:sz w:val="22"/>
                <w:szCs w:val="22"/>
              </w:rPr>
            </w:pPr>
            <w:r w:rsidRPr="00110329">
              <w:rPr>
                <w:rFonts w:asciiTheme="minorHAnsi" w:hAnsiTheme="minorHAnsi"/>
                <w:b/>
                <w:sz w:val="22"/>
                <w:szCs w:val="22"/>
              </w:rPr>
              <w:t>Budget Submission</w:t>
            </w:r>
          </w:p>
        </w:tc>
      </w:tr>
      <w:tr w:rsidR="00A4644B" w14:paraId="40277BD2" w14:textId="77777777" w:rsidTr="00A4644B">
        <w:tc>
          <w:tcPr>
            <w:tcW w:w="1705" w:type="dxa"/>
          </w:tcPr>
          <w:p w14:paraId="0675C39F" w14:textId="77777777" w:rsidR="00A4644B" w:rsidRDefault="00A4644B" w:rsidP="00A4644B">
            <w:pPr>
              <w:rPr>
                <w:rFonts w:asciiTheme="minorHAnsi" w:hAnsiTheme="minorHAnsi"/>
                <w:sz w:val="22"/>
                <w:szCs w:val="22"/>
              </w:rPr>
            </w:pPr>
            <w:r>
              <w:rPr>
                <w:rFonts w:asciiTheme="minorHAnsi" w:hAnsiTheme="minorHAnsi"/>
                <w:sz w:val="22"/>
                <w:szCs w:val="22"/>
              </w:rPr>
              <w:t>Average of Reported Values</w:t>
            </w:r>
            <w:r w:rsidR="00D542EC">
              <w:rPr>
                <w:rFonts w:asciiTheme="minorHAnsi" w:hAnsiTheme="minorHAnsi"/>
                <w:sz w:val="22"/>
                <w:szCs w:val="22"/>
              </w:rPr>
              <w:t xml:space="preserve"> (minutes)</w:t>
            </w:r>
          </w:p>
        </w:tc>
        <w:tc>
          <w:tcPr>
            <w:tcW w:w="1260" w:type="dxa"/>
          </w:tcPr>
          <w:p w14:paraId="6EDE6A00" w14:textId="77777777" w:rsidR="00A4644B" w:rsidRDefault="00DB1D68" w:rsidP="00DB1D68">
            <w:pPr>
              <w:rPr>
                <w:rFonts w:asciiTheme="minorHAnsi" w:hAnsiTheme="minorHAnsi"/>
                <w:sz w:val="22"/>
                <w:szCs w:val="22"/>
              </w:rPr>
            </w:pPr>
            <w:r>
              <w:rPr>
                <w:rFonts w:asciiTheme="minorHAnsi" w:hAnsiTheme="minorHAnsi"/>
                <w:sz w:val="22"/>
                <w:szCs w:val="22"/>
              </w:rPr>
              <w:t>788.3</w:t>
            </w:r>
          </w:p>
        </w:tc>
        <w:tc>
          <w:tcPr>
            <w:tcW w:w="1350" w:type="dxa"/>
          </w:tcPr>
          <w:p w14:paraId="65956787" w14:textId="77777777" w:rsidR="00A4644B" w:rsidRDefault="00DB1D68" w:rsidP="00DD1EDB">
            <w:pPr>
              <w:rPr>
                <w:rFonts w:asciiTheme="minorHAnsi" w:hAnsiTheme="minorHAnsi"/>
                <w:sz w:val="22"/>
                <w:szCs w:val="22"/>
              </w:rPr>
            </w:pPr>
            <w:r>
              <w:rPr>
                <w:rFonts w:asciiTheme="minorHAnsi" w:hAnsiTheme="minorHAnsi"/>
                <w:sz w:val="22"/>
                <w:szCs w:val="22"/>
              </w:rPr>
              <w:t>71.1</w:t>
            </w:r>
          </w:p>
        </w:tc>
        <w:tc>
          <w:tcPr>
            <w:tcW w:w="1260" w:type="dxa"/>
          </w:tcPr>
          <w:p w14:paraId="2FB184AE" w14:textId="77777777" w:rsidR="00A4644B" w:rsidRDefault="00DB1D68" w:rsidP="00DD1EDB">
            <w:pPr>
              <w:rPr>
                <w:rFonts w:asciiTheme="minorHAnsi" w:hAnsiTheme="minorHAnsi"/>
                <w:sz w:val="22"/>
                <w:szCs w:val="22"/>
              </w:rPr>
            </w:pPr>
            <w:r>
              <w:rPr>
                <w:rFonts w:asciiTheme="minorHAnsi" w:hAnsiTheme="minorHAnsi"/>
                <w:sz w:val="22"/>
                <w:szCs w:val="22"/>
              </w:rPr>
              <w:t>740.0</w:t>
            </w:r>
          </w:p>
        </w:tc>
        <w:tc>
          <w:tcPr>
            <w:tcW w:w="1260" w:type="dxa"/>
          </w:tcPr>
          <w:p w14:paraId="483BCA7F" w14:textId="77777777" w:rsidR="00A4644B" w:rsidRDefault="00B81344" w:rsidP="00DD1EDB">
            <w:pPr>
              <w:rPr>
                <w:rFonts w:asciiTheme="minorHAnsi" w:hAnsiTheme="minorHAnsi"/>
                <w:sz w:val="22"/>
                <w:szCs w:val="22"/>
              </w:rPr>
            </w:pPr>
            <w:r>
              <w:rPr>
                <w:rFonts w:asciiTheme="minorHAnsi" w:hAnsiTheme="minorHAnsi"/>
                <w:sz w:val="22"/>
                <w:szCs w:val="22"/>
              </w:rPr>
              <w:t>65.1</w:t>
            </w:r>
          </w:p>
        </w:tc>
        <w:tc>
          <w:tcPr>
            <w:tcW w:w="1257" w:type="dxa"/>
          </w:tcPr>
          <w:p w14:paraId="38D44853" w14:textId="77777777" w:rsidR="00A4644B" w:rsidRDefault="00B81344" w:rsidP="00DD1EDB">
            <w:pPr>
              <w:rPr>
                <w:rFonts w:asciiTheme="minorHAnsi" w:hAnsiTheme="minorHAnsi"/>
                <w:sz w:val="22"/>
                <w:szCs w:val="22"/>
              </w:rPr>
            </w:pPr>
            <w:r>
              <w:rPr>
                <w:rFonts w:asciiTheme="minorHAnsi" w:hAnsiTheme="minorHAnsi"/>
                <w:sz w:val="22"/>
                <w:szCs w:val="22"/>
              </w:rPr>
              <w:t>510.</w:t>
            </w:r>
            <w:r w:rsidR="00A4644B">
              <w:rPr>
                <w:rFonts w:asciiTheme="minorHAnsi" w:hAnsiTheme="minorHAnsi"/>
                <w:sz w:val="22"/>
                <w:szCs w:val="22"/>
              </w:rPr>
              <w:t>0</w:t>
            </w:r>
          </w:p>
        </w:tc>
        <w:tc>
          <w:tcPr>
            <w:tcW w:w="1258" w:type="dxa"/>
          </w:tcPr>
          <w:p w14:paraId="42E757FE" w14:textId="77777777" w:rsidR="00A4644B" w:rsidRDefault="00B81344" w:rsidP="00DD1EDB">
            <w:pPr>
              <w:rPr>
                <w:rFonts w:asciiTheme="minorHAnsi" w:hAnsiTheme="minorHAnsi"/>
                <w:sz w:val="22"/>
                <w:szCs w:val="22"/>
              </w:rPr>
            </w:pPr>
            <w:r>
              <w:rPr>
                <w:rFonts w:asciiTheme="minorHAnsi" w:hAnsiTheme="minorHAnsi"/>
                <w:sz w:val="22"/>
                <w:szCs w:val="22"/>
              </w:rPr>
              <w:t>32.9</w:t>
            </w:r>
          </w:p>
        </w:tc>
      </w:tr>
      <w:tr w:rsidR="00A4644B" w14:paraId="1F97F4F0" w14:textId="77777777" w:rsidTr="00A4644B">
        <w:tc>
          <w:tcPr>
            <w:tcW w:w="1705" w:type="dxa"/>
          </w:tcPr>
          <w:p w14:paraId="45C60B3E" w14:textId="77777777" w:rsidR="00A4644B" w:rsidRDefault="00A4644B" w:rsidP="00DD1EDB">
            <w:pPr>
              <w:rPr>
                <w:rFonts w:asciiTheme="minorHAnsi" w:hAnsiTheme="minorHAnsi"/>
                <w:sz w:val="22"/>
                <w:szCs w:val="22"/>
              </w:rPr>
            </w:pPr>
            <w:r>
              <w:rPr>
                <w:rFonts w:asciiTheme="minorHAnsi" w:hAnsiTheme="minorHAnsi"/>
                <w:sz w:val="22"/>
                <w:szCs w:val="22"/>
              </w:rPr>
              <w:t>Multiplier</w:t>
            </w:r>
          </w:p>
        </w:tc>
        <w:tc>
          <w:tcPr>
            <w:tcW w:w="1260" w:type="dxa"/>
          </w:tcPr>
          <w:p w14:paraId="59AA2F33" w14:textId="77777777" w:rsidR="00A4644B" w:rsidRDefault="00A4644B" w:rsidP="00DD1EDB">
            <w:pPr>
              <w:rPr>
                <w:rFonts w:asciiTheme="minorHAnsi" w:hAnsiTheme="minorHAnsi"/>
                <w:sz w:val="22"/>
                <w:szCs w:val="22"/>
              </w:rPr>
            </w:pPr>
            <w:r>
              <w:rPr>
                <w:rFonts w:asciiTheme="minorHAnsi" w:hAnsiTheme="minorHAnsi"/>
                <w:sz w:val="22"/>
                <w:szCs w:val="22"/>
              </w:rPr>
              <w:t>76 universities</w:t>
            </w:r>
          </w:p>
        </w:tc>
        <w:tc>
          <w:tcPr>
            <w:tcW w:w="1350" w:type="dxa"/>
          </w:tcPr>
          <w:p w14:paraId="70E1A405" w14:textId="77777777" w:rsidR="00A4644B" w:rsidRDefault="00A4644B" w:rsidP="00DD1EDB">
            <w:pPr>
              <w:rPr>
                <w:rFonts w:asciiTheme="minorHAnsi" w:hAnsiTheme="minorHAnsi"/>
                <w:sz w:val="22"/>
                <w:szCs w:val="22"/>
              </w:rPr>
            </w:pPr>
            <w:r>
              <w:rPr>
                <w:rFonts w:asciiTheme="minorHAnsi" w:hAnsiTheme="minorHAnsi"/>
                <w:sz w:val="22"/>
                <w:szCs w:val="22"/>
              </w:rPr>
              <w:t>76 universities</w:t>
            </w:r>
          </w:p>
        </w:tc>
        <w:tc>
          <w:tcPr>
            <w:tcW w:w="1260" w:type="dxa"/>
          </w:tcPr>
          <w:p w14:paraId="1B5E549F" w14:textId="77777777" w:rsidR="00A4644B" w:rsidRDefault="00A4644B" w:rsidP="00DD1EDB">
            <w:pPr>
              <w:rPr>
                <w:rFonts w:asciiTheme="minorHAnsi" w:hAnsiTheme="minorHAnsi"/>
                <w:sz w:val="22"/>
                <w:szCs w:val="22"/>
              </w:rPr>
            </w:pPr>
            <w:r>
              <w:rPr>
                <w:rFonts w:asciiTheme="minorHAnsi" w:hAnsiTheme="minorHAnsi"/>
                <w:sz w:val="22"/>
                <w:szCs w:val="22"/>
              </w:rPr>
              <w:t>76 universities</w:t>
            </w:r>
          </w:p>
        </w:tc>
        <w:tc>
          <w:tcPr>
            <w:tcW w:w="1260" w:type="dxa"/>
          </w:tcPr>
          <w:p w14:paraId="0CE11488" w14:textId="77777777" w:rsidR="00A4644B" w:rsidRDefault="00A4644B" w:rsidP="00DD1EDB">
            <w:pPr>
              <w:rPr>
                <w:rFonts w:asciiTheme="minorHAnsi" w:hAnsiTheme="minorHAnsi"/>
                <w:sz w:val="22"/>
                <w:szCs w:val="22"/>
              </w:rPr>
            </w:pPr>
            <w:r>
              <w:rPr>
                <w:rFonts w:asciiTheme="minorHAnsi" w:hAnsiTheme="minorHAnsi"/>
                <w:sz w:val="22"/>
                <w:szCs w:val="22"/>
              </w:rPr>
              <w:t>76 universities</w:t>
            </w:r>
          </w:p>
        </w:tc>
        <w:tc>
          <w:tcPr>
            <w:tcW w:w="1257" w:type="dxa"/>
          </w:tcPr>
          <w:p w14:paraId="31DD64CC" w14:textId="77777777" w:rsidR="00A4644B" w:rsidRDefault="00A4644B" w:rsidP="00DD1EDB">
            <w:pPr>
              <w:rPr>
                <w:rFonts w:asciiTheme="minorHAnsi" w:hAnsiTheme="minorHAnsi"/>
                <w:sz w:val="22"/>
                <w:szCs w:val="22"/>
              </w:rPr>
            </w:pPr>
            <w:r>
              <w:rPr>
                <w:rFonts w:asciiTheme="minorHAnsi" w:hAnsiTheme="minorHAnsi"/>
                <w:sz w:val="22"/>
                <w:szCs w:val="22"/>
              </w:rPr>
              <w:t>76 universities</w:t>
            </w:r>
          </w:p>
        </w:tc>
        <w:tc>
          <w:tcPr>
            <w:tcW w:w="1258" w:type="dxa"/>
          </w:tcPr>
          <w:p w14:paraId="1570B337" w14:textId="77777777" w:rsidR="00A4644B" w:rsidRDefault="00A4644B" w:rsidP="00DD1EDB">
            <w:pPr>
              <w:rPr>
                <w:rFonts w:asciiTheme="minorHAnsi" w:hAnsiTheme="minorHAnsi"/>
                <w:sz w:val="22"/>
                <w:szCs w:val="22"/>
              </w:rPr>
            </w:pPr>
            <w:r>
              <w:rPr>
                <w:rFonts w:asciiTheme="minorHAnsi" w:hAnsiTheme="minorHAnsi"/>
                <w:sz w:val="22"/>
                <w:szCs w:val="22"/>
              </w:rPr>
              <w:t>76 universities</w:t>
            </w:r>
          </w:p>
        </w:tc>
      </w:tr>
      <w:tr w:rsidR="00A4644B" w14:paraId="18DF9920" w14:textId="77777777" w:rsidTr="00A4644B">
        <w:tc>
          <w:tcPr>
            <w:tcW w:w="1705" w:type="dxa"/>
          </w:tcPr>
          <w:p w14:paraId="239C5842" w14:textId="77777777" w:rsidR="00A4644B" w:rsidRDefault="00A4644B" w:rsidP="00DD1EDB">
            <w:pPr>
              <w:rPr>
                <w:rFonts w:asciiTheme="minorHAnsi" w:hAnsiTheme="minorHAnsi"/>
                <w:sz w:val="22"/>
                <w:szCs w:val="22"/>
              </w:rPr>
            </w:pPr>
            <w:r>
              <w:rPr>
                <w:rFonts w:asciiTheme="minorHAnsi" w:hAnsiTheme="minorHAnsi"/>
                <w:sz w:val="22"/>
                <w:szCs w:val="22"/>
              </w:rPr>
              <w:t>Burden</w:t>
            </w:r>
            <w:r w:rsidR="00D542EC">
              <w:rPr>
                <w:rFonts w:asciiTheme="minorHAnsi" w:hAnsiTheme="minorHAnsi"/>
                <w:sz w:val="22"/>
                <w:szCs w:val="22"/>
              </w:rPr>
              <w:t xml:space="preserve"> (minutes)</w:t>
            </w:r>
          </w:p>
        </w:tc>
        <w:tc>
          <w:tcPr>
            <w:tcW w:w="1260" w:type="dxa"/>
          </w:tcPr>
          <w:p w14:paraId="3FF290E0" w14:textId="77777777" w:rsidR="00A4644B" w:rsidRDefault="00DB1D68" w:rsidP="00DD1EDB">
            <w:pPr>
              <w:rPr>
                <w:rFonts w:asciiTheme="minorHAnsi" w:hAnsiTheme="minorHAnsi"/>
                <w:sz w:val="22"/>
                <w:szCs w:val="22"/>
              </w:rPr>
            </w:pPr>
            <w:r>
              <w:rPr>
                <w:rFonts w:asciiTheme="minorHAnsi" w:hAnsiTheme="minorHAnsi"/>
                <w:sz w:val="22"/>
                <w:szCs w:val="22"/>
              </w:rPr>
              <w:t>59,910.8</w:t>
            </w:r>
          </w:p>
        </w:tc>
        <w:tc>
          <w:tcPr>
            <w:tcW w:w="1350" w:type="dxa"/>
          </w:tcPr>
          <w:p w14:paraId="57ACC45B" w14:textId="77777777" w:rsidR="00A4644B" w:rsidRDefault="00DB1D68" w:rsidP="00DD1EDB">
            <w:pPr>
              <w:rPr>
                <w:rFonts w:asciiTheme="minorHAnsi" w:hAnsiTheme="minorHAnsi"/>
                <w:sz w:val="22"/>
                <w:szCs w:val="22"/>
              </w:rPr>
            </w:pPr>
            <w:r>
              <w:rPr>
                <w:rFonts w:asciiTheme="minorHAnsi" w:hAnsiTheme="minorHAnsi"/>
                <w:sz w:val="22"/>
                <w:szCs w:val="22"/>
              </w:rPr>
              <w:t>5,403.6</w:t>
            </w:r>
          </w:p>
        </w:tc>
        <w:tc>
          <w:tcPr>
            <w:tcW w:w="1260" w:type="dxa"/>
          </w:tcPr>
          <w:p w14:paraId="19F5AEE1" w14:textId="77777777" w:rsidR="00A4644B" w:rsidRDefault="00A4644B" w:rsidP="00B81344">
            <w:pPr>
              <w:rPr>
                <w:rFonts w:asciiTheme="minorHAnsi" w:hAnsiTheme="minorHAnsi"/>
                <w:sz w:val="22"/>
                <w:szCs w:val="22"/>
              </w:rPr>
            </w:pPr>
            <w:r>
              <w:rPr>
                <w:rFonts w:asciiTheme="minorHAnsi" w:hAnsiTheme="minorHAnsi"/>
                <w:sz w:val="22"/>
                <w:szCs w:val="22"/>
              </w:rPr>
              <w:t>5</w:t>
            </w:r>
            <w:r w:rsidR="00B81344">
              <w:rPr>
                <w:rFonts w:asciiTheme="minorHAnsi" w:hAnsiTheme="minorHAnsi"/>
                <w:sz w:val="22"/>
                <w:szCs w:val="22"/>
              </w:rPr>
              <w:t>6,240.0</w:t>
            </w:r>
          </w:p>
        </w:tc>
        <w:tc>
          <w:tcPr>
            <w:tcW w:w="1260" w:type="dxa"/>
          </w:tcPr>
          <w:p w14:paraId="01429CB9" w14:textId="77777777" w:rsidR="00A4644B" w:rsidRDefault="00B81344" w:rsidP="00DD1EDB">
            <w:pPr>
              <w:rPr>
                <w:rFonts w:asciiTheme="minorHAnsi" w:hAnsiTheme="minorHAnsi"/>
                <w:sz w:val="22"/>
                <w:szCs w:val="22"/>
              </w:rPr>
            </w:pPr>
            <w:r>
              <w:rPr>
                <w:rFonts w:asciiTheme="minorHAnsi" w:hAnsiTheme="minorHAnsi"/>
                <w:sz w:val="22"/>
                <w:szCs w:val="22"/>
              </w:rPr>
              <w:t>4,947.6</w:t>
            </w:r>
          </w:p>
        </w:tc>
        <w:tc>
          <w:tcPr>
            <w:tcW w:w="1257" w:type="dxa"/>
          </w:tcPr>
          <w:p w14:paraId="73831469" w14:textId="77777777" w:rsidR="00A4644B" w:rsidRDefault="00B81344" w:rsidP="00DD1EDB">
            <w:pPr>
              <w:rPr>
                <w:rFonts w:asciiTheme="minorHAnsi" w:hAnsiTheme="minorHAnsi"/>
                <w:sz w:val="22"/>
                <w:szCs w:val="22"/>
              </w:rPr>
            </w:pPr>
            <w:r>
              <w:rPr>
                <w:rFonts w:asciiTheme="minorHAnsi" w:hAnsiTheme="minorHAnsi"/>
                <w:sz w:val="22"/>
                <w:szCs w:val="22"/>
              </w:rPr>
              <w:t>38,760</w:t>
            </w:r>
            <w:r w:rsidR="00A4644B">
              <w:rPr>
                <w:rFonts w:asciiTheme="minorHAnsi" w:hAnsiTheme="minorHAnsi"/>
                <w:sz w:val="22"/>
                <w:szCs w:val="22"/>
              </w:rPr>
              <w:t>.0</w:t>
            </w:r>
          </w:p>
        </w:tc>
        <w:tc>
          <w:tcPr>
            <w:tcW w:w="1258" w:type="dxa"/>
          </w:tcPr>
          <w:p w14:paraId="06B2EA9F" w14:textId="77777777" w:rsidR="00A4644B" w:rsidRDefault="00A4644B" w:rsidP="00B81344">
            <w:pPr>
              <w:rPr>
                <w:rFonts w:asciiTheme="minorHAnsi" w:hAnsiTheme="minorHAnsi"/>
                <w:sz w:val="22"/>
                <w:szCs w:val="22"/>
              </w:rPr>
            </w:pPr>
            <w:r>
              <w:rPr>
                <w:rFonts w:asciiTheme="minorHAnsi" w:hAnsiTheme="minorHAnsi"/>
                <w:sz w:val="22"/>
                <w:szCs w:val="22"/>
              </w:rPr>
              <w:t>2,</w:t>
            </w:r>
            <w:r w:rsidR="00B81344">
              <w:rPr>
                <w:rFonts w:asciiTheme="minorHAnsi" w:hAnsiTheme="minorHAnsi"/>
                <w:sz w:val="22"/>
                <w:szCs w:val="22"/>
              </w:rPr>
              <w:t>500.4</w:t>
            </w:r>
          </w:p>
        </w:tc>
      </w:tr>
    </w:tbl>
    <w:p w14:paraId="55021F6A" w14:textId="77777777" w:rsidR="00A4644B" w:rsidRDefault="00E77F93" w:rsidP="00A4644B">
      <w:pPr>
        <w:rPr>
          <w:rFonts w:asciiTheme="minorHAnsi" w:hAnsiTheme="minorHAnsi"/>
          <w:sz w:val="22"/>
          <w:szCs w:val="22"/>
        </w:rPr>
      </w:pPr>
      <w:r>
        <w:rPr>
          <w:rFonts w:asciiTheme="minorHAnsi" w:hAnsiTheme="minorHAnsi"/>
          <w:sz w:val="22"/>
          <w:szCs w:val="22"/>
        </w:rPr>
        <w:t>*Central State University became eligible for EFNEP in 2016, resulting in 76 institutions now conducting EFNEP.</w:t>
      </w:r>
    </w:p>
    <w:p w14:paraId="4D7C0797" w14:textId="77777777" w:rsidR="00E77F93" w:rsidRDefault="00E77F93" w:rsidP="00A4644B">
      <w:pPr>
        <w:rPr>
          <w:rFonts w:asciiTheme="minorHAnsi" w:hAnsiTheme="minorHAnsi"/>
          <w:sz w:val="22"/>
          <w:szCs w:val="22"/>
        </w:rPr>
      </w:pPr>
    </w:p>
    <w:p w14:paraId="2A3BFCC8" w14:textId="77777777" w:rsidR="00A4644B" w:rsidRPr="00110329" w:rsidRDefault="00A4644B" w:rsidP="0088397A">
      <w:pPr>
        <w:ind w:left="720"/>
        <w:rPr>
          <w:rFonts w:asciiTheme="minorHAnsi" w:hAnsiTheme="minorHAnsi"/>
          <w:b/>
          <w:sz w:val="22"/>
          <w:szCs w:val="22"/>
        </w:rPr>
      </w:pPr>
      <w:r w:rsidRPr="00110329">
        <w:rPr>
          <w:rFonts w:asciiTheme="minorHAnsi" w:hAnsiTheme="minorHAnsi"/>
          <w:b/>
          <w:sz w:val="22"/>
          <w:szCs w:val="22"/>
        </w:rPr>
        <w:t xml:space="preserve">TOTAL </w:t>
      </w:r>
      <w:r>
        <w:rPr>
          <w:rFonts w:asciiTheme="minorHAnsi" w:hAnsiTheme="minorHAnsi"/>
          <w:b/>
          <w:sz w:val="22"/>
          <w:szCs w:val="22"/>
        </w:rPr>
        <w:t>INSTITUTION</w:t>
      </w:r>
      <w:r w:rsidRPr="00110329">
        <w:rPr>
          <w:rFonts w:asciiTheme="minorHAnsi" w:hAnsiTheme="minorHAnsi"/>
          <w:b/>
          <w:sz w:val="22"/>
          <w:szCs w:val="22"/>
        </w:rPr>
        <w:t xml:space="preserve"> BURDEN </w:t>
      </w:r>
      <w:r w:rsidR="00D542EC">
        <w:rPr>
          <w:rFonts w:asciiTheme="minorHAnsi" w:hAnsiTheme="minorHAnsi"/>
          <w:b/>
          <w:sz w:val="22"/>
          <w:szCs w:val="22"/>
        </w:rPr>
        <w:t xml:space="preserve">HOURS </w:t>
      </w:r>
      <w:r w:rsidRPr="00110329">
        <w:rPr>
          <w:rFonts w:asciiTheme="minorHAnsi" w:hAnsiTheme="minorHAnsi"/>
          <w:b/>
          <w:sz w:val="22"/>
          <w:szCs w:val="22"/>
        </w:rPr>
        <w:t xml:space="preserve">= </w:t>
      </w:r>
      <w:r w:rsidR="00B81344">
        <w:rPr>
          <w:rFonts w:asciiTheme="minorHAnsi" w:hAnsiTheme="minorHAnsi"/>
          <w:b/>
          <w:sz w:val="22"/>
          <w:szCs w:val="22"/>
        </w:rPr>
        <w:t>167,762.4</w:t>
      </w:r>
      <w:r>
        <w:rPr>
          <w:rFonts w:asciiTheme="minorHAnsi" w:hAnsiTheme="minorHAnsi"/>
          <w:b/>
          <w:sz w:val="22"/>
          <w:szCs w:val="22"/>
        </w:rPr>
        <w:t xml:space="preserve"> </w:t>
      </w:r>
      <w:r w:rsidRPr="00110329">
        <w:rPr>
          <w:rFonts w:asciiTheme="minorHAnsi" w:hAnsiTheme="minorHAnsi"/>
          <w:b/>
          <w:sz w:val="22"/>
          <w:szCs w:val="22"/>
        </w:rPr>
        <w:t xml:space="preserve">minutes / 60 minutes = </w:t>
      </w:r>
      <w:r>
        <w:rPr>
          <w:rFonts w:asciiTheme="minorHAnsi" w:hAnsiTheme="minorHAnsi"/>
          <w:b/>
          <w:sz w:val="22"/>
          <w:szCs w:val="22"/>
        </w:rPr>
        <w:t>2,</w:t>
      </w:r>
      <w:r w:rsidR="00B81344">
        <w:rPr>
          <w:rFonts w:asciiTheme="minorHAnsi" w:hAnsiTheme="minorHAnsi"/>
          <w:b/>
          <w:sz w:val="22"/>
          <w:szCs w:val="22"/>
        </w:rPr>
        <w:t>796.0</w:t>
      </w:r>
      <w:r w:rsidRPr="00110329">
        <w:rPr>
          <w:rFonts w:asciiTheme="minorHAnsi" w:hAnsiTheme="minorHAnsi"/>
          <w:b/>
          <w:sz w:val="22"/>
          <w:szCs w:val="22"/>
        </w:rPr>
        <w:t xml:space="preserve"> hours</w:t>
      </w:r>
    </w:p>
    <w:p w14:paraId="5A5D3EB9" w14:textId="77777777" w:rsidR="00D542EC" w:rsidRDefault="00D542EC" w:rsidP="00A4644B">
      <w:pPr>
        <w:rPr>
          <w:rFonts w:asciiTheme="minorHAnsi" w:hAnsiTheme="minorHAnsi"/>
          <w:sz w:val="22"/>
          <w:szCs w:val="22"/>
        </w:rPr>
      </w:pPr>
    </w:p>
    <w:p w14:paraId="463C36A5" w14:textId="77777777" w:rsidR="00A4644B" w:rsidRDefault="00A4644B" w:rsidP="00A4644B">
      <w:pPr>
        <w:rPr>
          <w:rFonts w:asciiTheme="minorHAnsi" w:hAnsiTheme="minorHAnsi"/>
          <w:b/>
          <w:sz w:val="22"/>
          <w:szCs w:val="22"/>
        </w:rPr>
      </w:pPr>
      <w:r w:rsidRPr="009920B0">
        <w:rPr>
          <w:rFonts w:asciiTheme="minorHAnsi" w:hAnsiTheme="minorHAnsi"/>
          <w:b/>
          <w:sz w:val="22"/>
          <w:szCs w:val="22"/>
        </w:rPr>
        <w:t xml:space="preserve">Difference in what was submitted </w:t>
      </w:r>
      <w:r>
        <w:rPr>
          <w:rFonts w:asciiTheme="minorHAnsi" w:hAnsiTheme="minorHAnsi"/>
          <w:b/>
          <w:sz w:val="22"/>
          <w:szCs w:val="22"/>
        </w:rPr>
        <w:t>in the current OMB approval package and previous OMB approval packages</w:t>
      </w:r>
    </w:p>
    <w:p w14:paraId="0F091FF3" w14:textId="77777777" w:rsidR="00A4644B" w:rsidRDefault="00A4644B" w:rsidP="00A4644B">
      <w:pPr>
        <w:rPr>
          <w:rFonts w:asciiTheme="minorHAnsi" w:hAnsiTheme="minorHAnsi"/>
          <w:b/>
          <w:sz w:val="22"/>
          <w:szCs w:val="22"/>
        </w:rPr>
      </w:pPr>
    </w:p>
    <w:p w14:paraId="6C1B761B" w14:textId="77777777" w:rsidR="008E4108" w:rsidRDefault="00A4644B" w:rsidP="00A4644B">
      <w:pPr>
        <w:rPr>
          <w:rFonts w:asciiTheme="minorHAnsi" w:hAnsiTheme="minorHAnsi"/>
          <w:sz w:val="22"/>
          <w:szCs w:val="22"/>
        </w:rPr>
      </w:pPr>
      <w:r>
        <w:rPr>
          <w:rFonts w:asciiTheme="minorHAnsi" w:hAnsiTheme="minorHAnsi"/>
          <w:sz w:val="22"/>
          <w:szCs w:val="22"/>
        </w:rPr>
        <w:t>This d</w:t>
      </w:r>
      <w:r w:rsidRPr="00DE64A6">
        <w:rPr>
          <w:rFonts w:asciiTheme="minorHAnsi" w:hAnsiTheme="minorHAnsi"/>
          <w:sz w:val="22"/>
          <w:szCs w:val="22"/>
        </w:rPr>
        <w:t>ata reveals that WebNEERS</w:t>
      </w:r>
      <w:r>
        <w:rPr>
          <w:rFonts w:asciiTheme="minorHAnsi" w:hAnsiTheme="minorHAnsi"/>
          <w:sz w:val="22"/>
          <w:szCs w:val="22"/>
        </w:rPr>
        <w:t>’</w:t>
      </w:r>
      <w:r w:rsidRPr="00DE64A6">
        <w:rPr>
          <w:rFonts w:asciiTheme="minorHAnsi" w:hAnsiTheme="minorHAnsi"/>
          <w:sz w:val="22"/>
          <w:szCs w:val="22"/>
        </w:rPr>
        <w:t xml:space="preserve"> </w:t>
      </w:r>
      <w:r>
        <w:rPr>
          <w:rFonts w:asciiTheme="minorHAnsi" w:hAnsiTheme="minorHAnsi"/>
          <w:sz w:val="22"/>
          <w:szCs w:val="22"/>
        </w:rPr>
        <w:t xml:space="preserve">overall time </w:t>
      </w:r>
      <w:r w:rsidRPr="00DE64A6">
        <w:rPr>
          <w:rFonts w:asciiTheme="minorHAnsi" w:hAnsiTheme="minorHAnsi"/>
          <w:sz w:val="22"/>
          <w:szCs w:val="22"/>
        </w:rPr>
        <w:t xml:space="preserve">burden for grantees </w:t>
      </w:r>
      <w:r w:rsidR="00F155B6">
        <w:rPr>
          <w:rFonts w:asciiTheme="minorHAnsi" w:hAnsiTheme="minorHAnsi"/>
          <w:sz w:val="22"/>
          <w:szCs w:val="22"/>
        </w:rPr>
        <w:t xml:space="preserve">decreased </w:t>
      </w:r>
      <w:r w:rsidRPr="00DE64A6">
        <w:rPr>
          <w:rFonts w:asciiTheme="minorHAnsi" w:hAnsiTheme="minorHAnsi"/>
          <w:sz w:val="22"/>
          <w:szCs w:val="22"/>
        </w:rPr>
        <w:t xml:space="preserve">by </w:t>
      </w:r>
      <w:r w:rsidR="00F155B6">
        <w:rPr>
          <w:rFonts w:asciiTheme="minorHAnsi" w:hAnsiTheme="minorHAnsi"/>
          <w:sz w:val="22"/>
          <w:szCs w:val="22"/>
        </w:rPr>
        <w:t>6,262</w:t>
      </w:r>
      <w:r w:rsidRPr="00DE64A6">
        <w:rPr>
          <w:rFonts w:asciiTheme="minorHAnsi" w:hAnsiTheme="minorHAnsi"/>
          <w:sz w:val="22"/>
          <w:szCs w:val="22"/>
        </w:rPr>
        <w:t xml:space="preserve"> hours</w:t>
      </w:r>
      <w:r>
        <w:rPr>
          <w:rFonts w:asciiTheme="minorHAnsi" w:hAnsiTheme="minorHAnsi"/>
          <w:sz w:val="22"/>
          <w:szCs w:val="22"/>
        </w:rPr>
        <w:t xml:space="preserve">, or an average of </w:t>
      </w:r>
      <w:r w:rsidR="00F155B6">
        <w:rPr>
          <w:rFonts w:asciiTheme="minorHAnsi" w:hAnsiTheme="minorHAnsi"/>
          <w:sz w:val="22"/>
          <w:szCs w:val="22"/>
        </w:rPr>
        <w:t>83</w:t>
      </w:r>
      <w:r>
        <w:rPr>
          <w:rFonts w:asciiTheme="minorHAnsi" w:hAnsiTheme="minorHAnsi"/>
          <w:sz w:val="22"/>
          <w:szCs w:val="22"/>
        </w:rPr>
        <w:t xml:space="preserve"> hours per institution </w:t>
      </w:r>
      <w:r w:rsidR="00DD41AF">
        <w:rPr>
          <w:rFonts w:asciiTheme="minorHAnsi" w:hAnsiTheme="minorHAnsi"/>
          <w:sz w:val="22"/>
          <w:szCs w:val="22"/>
        </w:rPr>
        <w:t>from the previous reporting period</w:t>
      </w:r>
      <w:r>
        <w:rPr>
          <w:rFonts w:asciiTheme="minorHAnsi" w:hAnsiTheme="minorHAnsi"/>
          <w:sz w:val="22"/>
          <w:szCs w:val="22"/>
        </w:rPr>
        <w:t xml:space="preserve">. </w:t>
      </w:r>
      <w:r w:rsidR="00F155B6">
        <w:rPr>
          <w:rFonts w:asciiTheme="minorHAnsi" w:hAnsiTheme="minorHAnsi"/>
          <w:sz w:val="22"/>
          <w:szCs w:val="22"/>
        </w:rPr>
        <w:t xml:space="preserve"> </w:t>
      </w:r>
      <w:r w:rsidR="00DD41AF" w:rsidRPr="00F42579">
        <w:rPr>
          <w:rFonts w:asciiTheme="minorHAnsi" w:hAnsiTheme="minorHAnsi"/>
          <w:sz w:val="22"/>
          <w:szCs w:val="22"/>
        </w:rPr>
        <w:t>This</w:t>
      </w:r>
      <w:r w:rsidR="00DD41AF">
        <w:rPr>
          <w:rFonts w:asciiTheme="minorHAnsi" w:hAnsiTheme="minorHAnsi"/>
          <w:sz w:val="22"/>
          <w:szCs w:val="22"/>
        </w:rPr>
        <w:t xml:space="preserve"> is impressive.  NIFA has given increased attention in recent years to improving programming through data, plans, and budgets submitted through WebNEERS.  </w:t>
      </w:r>
      <w:r w:rsidR="008E4108">
        <w:rPr>
          <w:rFonts w:asciiTheme="minorHAnsi" w:hAnsiTheme="minorHAnsi"/>
          <w:sz w:val="22"/>
          <w:szCs w:val="22"/>
        </w:rPr>
        <w:t>During FY 2017 and FY 2018 in particular, training and technical assistance were given to help universities provide more complete and accurate data, plans, and budgets.  Further, prior to 2015, not all universities were reporting behavioral change for youth.  That policy was changed to ensure more complete and accurate reporting, and better use of the data to guide programming nationally and within states.  U</w:t>
      </w:r>
      <w:r>
        <w:rPr>
          <w:rFonts w:asciiTheme="minorHAnsi" w:hAnsiTheme="minorHAnsi"/>
          <w:sz w:val="22"/>
          <w:szCs w:val="22"/>
        </w:rPr>
        <w:t>niversities clearly find value in the data collected through WebNEERS and are using WebNEERS to benefit program participants and guide programing, as intended (see Appendix B – WebNEERS use by states and counties).</w:t>
      </w:r>
      <w:r w:rsidR="008E4108">
        <w:rPr>
          <w:rFonts w:asciiTheme="minorHAnsi" w:hAnsiTheme="minorHAnsi"/>
          <w:sz w:val="22"/>
          <w:szCs w:val="22"/>
        </w:rPr>
        <w:t xml:space="preserve">  With the ongoing development of WebNEERS, universities continue to save time and money.</w:t>
      </w:r>
    </w:p>
    <w:p w14:paraId="748ED8ED" w14:textId="77777777" w:rsidR="0088397A" w:rsidRDefault="0088397A" w:rsidP="00A4644B">
      <w:pPr>
        <w:rPr>
          <w:rFonts w:asciiTheme="minorHAnsi" w:hAnsiTheme="minorHAnsi"/>
          <w:b/>
          <w:sz w:val="22"/>
          <w:szCs w:val="22"/>
        </w:rPr>
      </w:pPr>
    </w:p>
    <w:p w14:paraId="2724E453" w14:textId="77777777" w:rsidR="00A4644B" w:rsidRDefault="00A4644B" w:rsidP="00A4644B">
      <w:pPr>
        <w:rPr>
          <w:rFonts w:asciiTheme="minorHAnsi" w:hAnsiTheme="minorHAnsi"/>
          <w:b/>
          <w:sz w:val="22"/>
          <w:szCs w:val="22"/>
        </w:rPr>
      </w:pPr>
      <w:r w:rsidRPr="009920B0">
        <w:rPr>
          <w:rFonts w:asciiTheme="minorHAnsi" w:hAnsiTheme="minorHAnsi"/>
          <w:b/>
          <w:sz w:val="22"/>
          <w:szCs w:val="22"/>
        </w:rPr>
        <w:t>Difference in what was submitted for the Federal Register and burden reported in this justification</w:t>
      </w:r>
    </w:p>
    <w:p w14:paraId="4D58111A" w14:textId="77777777" w:rsidR="0051156E" w:rsidRPr="009920B0" w:rsidRDefault="0051156E" w:rsidP="00A4644B">
      <w:pPr>
        <w:rPr>
          <w:rFonts w:asciiTheme="minorHAnsi" w:hAnsiTheme="minorHAnsi"/>
          <w:b/>
          <w:sz w:val="22"/>
          <w:szCs w:val="22"/>
        </w:rPr>
      </w:pPr>
    </w:p>
    <w:p w14:paraId="46950130" w14:textId="77777777" w:rsidR="00BD049C" w:rsidRDefault="00A4644B">
      <w:pPr>
        <w:rPr>
          <w:rFonts w:asciiTheme="minorHAnsi" w:hAnsiTheme="minorHAnsi"/>
          <w:sz w:val="22"/>
          <w:szCs w:val="22"/>
        </w:rPr>
      </w:pPr>
      <w:r w:rsidRPr="00E77F93">
        <w:rPr>
          <w:rFonts w:asciiTheme="minorHAnsi" w:hAnsiTheme="minorHAnsi"/>
          <w:sz w:val="22"/>
          <w:szCs w:val="22"/>
        </w:rPr>
        <w:t xml:space="preserve">When the Federal Register announcement was due, raw data and calculations </w:t>
      </w:r>
      <w:r w:rsidR="009C307C" w:rsidRPr="00E77F93">
        <w:rPr>
          <w:rFonts w:asciiTheme="minorHAnsi" w:hAnsiTheme="minorHAnsi"/>
          <w:sz w:val="22"/>
          <w:szCs w:val="22"/>
        </w:rPr>
        <w:t>f</w:t>
      </w:r>
      <w:r w:rsidR="00E77F93">
        <w:rPr>
          <w:rFonts w:asciiTheme="minorHAnsi" w:hAnsiTheme="minorHAnsi"/>
          <w:sz w:val="22"/>
          <w:szCs w:val="22"/>
        </w:rPr>
        <w:t xml:space="preserve">rom </w:t>
      </w:r>
      <w:r w:rsidR="009C307C" w:rsidRPr="00E77F93">
        <w:rPr>
          <w:rFonts w:asciiTheme="minorHAnsi" w:hAnsiTheme="minorHAnsi"/>
          <w:sz w:val="22"/>
          <w:szCs w:val="22"/>
        </w:rPr>
        <w:t xml:space="preserve">the previous OMB approval package </w:t>
      </w:r>
      <w:r w:rsidRPr="00E77F93">
        <w:rPr>
          <w:rFonts w:asciiTheme="minorHAnsi" w:hAnsiTheme="minorHAnsi"/>
          <w:sz w:val="22"/>
          <w:szCs w:val="22"/>
        </w:rPr>
        <w:t>could not be found.  Staff who had developed the previous calculation process had left the agency</w:t>
      </w:r>
      <w:r w:rsidR="00081257" w:rsidRPr="00E77F93">
        <w:rPr>
          <w:rFonts w:asciiTheme="minorHAnsi" w:hAnsiTheme="minorHAnsi"/>
          <w:sz w:val="22"/>
          <w:szCs w:val="22"/>
        </w:rPr>
        <w:t>.</w:t>
      </w:r>
      <w:r w:rsidRPr="00E77F93">
        <w:rPr>
          <w:rFonts w:asciiTheme="minorHAnsi" w:hAnsiTheme="minorHAnsi"/>
          <w:sz w:val="22"/>
          <w:szCs w:val="22"/>
        </w:rPr>
        <w:t xml:space="preserve"> </w:t>
      </w:r>
      <w:r w:rsidR="00081257" w:rsidRPr="00E77F93">
        <w:rPr>
          <w:rFonts w:asciiTheme="minorHAnsi" w:hAnsiTheme="minorHAnsi"/>
          <w:sz w:val="22"/>
          <w:szCs w:val="22"/>
        </w:rPr>
        <w:t xml:space="preserve"> T</w:t>
      </w:r>
      <w:r w:rsidR="009C307C" w:rsidRPr="00E77F93">
        <w:rPr>
          <w:rFonts w:asciiTheme="minorHAnsi" w:hAnsiTheme="minorHAnsi"/>
          <w:sz w:val="22"/>
          <w:szCs w:val="22"/>
        </w:rPr>
        <w:t>his critical information was not available</w:t>
      </w:r>
      <w:r w:rsidRPr="00E77F93">
        <w:rPr>
          <w:rFonts w:asciiTheme="minorHAnsi" w:hAnsiTheme="minorHAnsi"/>
          <w:sz w:val="22"/>
          <w:szCs w:val="22"/>
        </w:rPr>
        <w:t xml:space="preserve">.  </w:t>
      </w:r>
    </w:p>
    <w:p w14:paraId="5D5B7A1C" w14:textId="77777777" w:rsidR="00BD049C" w:rsidRDefault="00BD049C">
      <w:pPr>
        <w:rPr>
          <w:rFonts w:asciiTheme="minorHAnsi" w:hAnsiTheme="minorHAnsi"/>
          <w:sz w:val="22"/>
          <w:szCs w:val="22"/>
        </w:rPr>
      </w:pPr>
    </w:p>
    <w:p w14:paraId="19685EB0" w14:textId="77777777" w:rsidR="00E77F93" w:rsidRPr="00E77F93" w:rsidRDefault="00A4644B">
      <w:pPr>
        <w:rPr>
          <w:rFonts w:asciiTheme="minorHAnsi" w:hAnsiTheme="minorHAnsi"/>
          <w:bCs/>
          <w:sz w:val="22"/>
          <w:szCs w:val="22"/>
        </w:rPr>
      </w:pPr>
      <w:r w:rsidRPr="00E77F93">
        <w:rPr>
          <w:rFonts w:asciiTheme="minorHAnsi" w:hAnsiTheme="minorHAnsi"/>
          <w:sz w:val="22"/>
          <w:szCs w:val="22"/>
        </w:rPr>
        <w:t>To meet deadlines, an alternate met</w:t>
      </w:r>
      <w:r w:rsidR="00E77F93" w:rsidRPr="00E77F93">
        <w:rPr>
          <w:rFonts w:asciiTheme="minorHAnsi" w:hAnsiTheme="minorHAnsi"/>
          <w:sz w:val="22"/>
          <w:szCs w:val="22"/>
        </w:rPr>
        <w:t xml:space="preserve">hodology was developed and used for the regional data </w:t>
      </w:r>
      <w:r w:rsidR="00E77F93">
        <w:rPr>
          <w:rFonts w:asciiTheme="minorHAnsi" w:hAnsiTheme="minorHAnsi"/>
          <w:sz w:val="22"/>
          <w:szCs w:val="22"/>
        </w:rPr>
        <w:t xml:space="preserve">burden </w:t>
      </w:r>
      <w:r w:rsidR="00E77F93" w:rsidRPr="00E77F93">
        <w:rPr>
          <w:rFonts w:asciiTheme="minorHAnsi" w:hAnsiTheme="minorHAnsi"/>
          <w:sz w:val="22"/>
          <w:szCs w:val="22"/>
        </w:rPr>
        <w:t xml:space="preserve">estimate, using technology to determine time stamp averages.  </w:t>
      </w:r>
      <w:r w:rsidR="00E77F93" w:rsidRPr="00E77F93">
        <w:rPr>
          <w:rFonts w:asciiTheme="minorHAnsi" w:hAnsiTheme="minorHAnsi"/>
          <w:bCs/>
          <w:sz w:val="22"/>
          <w:szCs w:val="22"/>
        </w:rPr>
        <w:t>All FY 2018 records were analyzed to identify those which involved a time lapse representing data entry and submission. Periodic samples (every 10,000 records) were then used to calculate the average length of time for each type of record. Averages were multiplied by the total number of records to get the final estimate.</w:t>
      </w:r>
      <w:r w:rsidR="00E77F93">
        <w:rPr>
          <w:rFonts w:asciiTheme="minorHAnsi" w:hAnsiTheme="minorHAnsi"/>
          <w:bCs/>
          <w:sz w:val="22"/>
          <w:szCs w:val="22"/>
        </w:rPr>
        <w:t xml:space="preserve">  </w:t>
      </w:r>
      <w:r>
        <w:rPr>
          <w:rFonts w:asciiTheme="minorHAnsi" w:hAnsiTheme="minorHAnsi"/>
          <w:sz w:val="22"/>
          <w:szCs w:val="22"/>
        </w:rPr>
        <w:t>That methodology was more accurate than estimates provided</w:t>
      </w:r>
      <w:r w:rsidR="00E77F93">
        <w:rPr>
          <w:rFonts w:asciiTheme="minorHAnsi" w:hAnsiTheme="minorHAnsi"/>
          <w:sz w:val="22"/>
          <w:szCs w:val="22"/>
        </w:rPr>
        <w:t xml:space="preserve"> in this package in that it averaged</w:t>
      </w:r>
      <w:r>
        <w:rPr>
          <w:rFonts w:asciiTheme="minorHAnsi" w:hAnsiTheme="minorHAnsi"/>
          <w:sz w:val="22"/>
          <w:szCs w:val="22"/>
        </w:rPr>
        <w:t xml:space="preserve"> the submission time of all data, and then sampled every 1</w:t>
      </w:r>
      <w:r w:rsidR="00E77F93">
        <w:rPr>
          <w:rFonts w:asciiTheme="minorHAnsi" w:hAnsiTheme="minorHAnsi"/>
          <w:sz w:val="22"/>
          <w:szCs w:val="22"/>
        </w:rPr>
        <w:t>0</w:t>
      </w:r>
      <w:r>
        <w:rPr>
          <w:rFonts w:asciiTheme="minorHAnsi" w:hAnsiTheme="minorHAnsi"/>
          <w:sz w:val="22"/>
          <w:szCs w:val="22"/>
        </w:rPr>
        <w:t>,000</w:t>
      </w:r>
      <w:r w:rsidRPr="00EE11EB">
        <w:rPr>
          <w:rFonts w:asciiTheme="minorHAnsi" w:hAnsiTheme="minorHAnsi"/>
          <w:sz w:val="22"/>
          <w:szCs w:val="22"/>
          <w:vertAlign w:val="superscript"/>
        </w:rPr>
        <w:t>th</w:t>
      </w:r>
      <w:r>
        <w:rPr>
          <w:rFonts w:asciiTheme="minorHAnsi" w:hAnsiTheme="minorHAnsi"/>
          <w:sz w:val="22"/>
          <w:szCs w:val="22"/>
        </w:rPr>
        <w:t xml:space="preserve"> record. </w:t>
      </w:r>
      <w:r w:rsidR="00E77F93">
        <w:rPr>
          <w:rFonts w:asciiTheme="minorHAnsi" w:hAnsiTheme="minorHAnsi"/>
          <w:sz w:val="22"/>
          <w:szCs w:val="22"/>
        </w:rPr>
        <w:t xml:space="preserve">  However, it was less complete </w:t>
      </w:r>
      <w:r>
        <w:rPr>
          <w:rFonts w:asciiTheme="minorHAnsi" w:hAnsiTheme="minorHAnsi"/>
          <w:sz w:val="22"/>
          <w:szCs w:val="22"/>
        </w:rPr>
        <w:t>in that it only was able to capture the time burden for staff as they were entering data into WebNEERS.  It did not capture the additional time universities spent</w:t>
      </w:r>
      <w:r w:rsidR="00BD049C">
        <w:rPr>
          <w:rFonts w:asciiTheme="minorHAnsi" w:hAnsiTheme="minorHAnsi"/>
          <w:sz w:val="22"/>
          <w:szCs w:val="22"/>
        </w:rPr>
        <w:t>, gathering,</w:t>
      </w:r>
      <w:r>
        <w:rPr>
          <w:rFonts w:asciiTheme="minorHAnsi" w:hAnsiTheme="minorHAnsi"/>
          <w:sz w:val="22"/>
          <w:szCs w:val="22"/>
        </w:rPr>
        <w:t xml:space="preserve"> </w:t>
      </w:r>
      <w:r w:rsidR="00081257">
        <w:rPr>
          <w:rFonts w:asciiTheme="minorHAnsi" w:hAnsiTheme="minorHAnsi"/>
          <w:sz w:val="22"/>
          <w:szCs w:val="22"/>
        </w:rPr>
        <w:t>cleaning</w:t>
      </w:r>
      <w:r w:rsidR="00BD049C">
        <w:rPr>
          <w:rFonts w:asciiTheme="minorHAnsi" w:hAnsiTheme="minorHAnsi"/>
          <w:sz w:val="22"/>
          <w:szCs w:val="22"/>
        </w:rPr>
        <w:t>,</w:t>
      </w:r>
      <w:r w:rsidR="00081257">
        <w:rPr>
          <w:rFonts w:asciiTheme="minorHAnsi" w:hAnsiTheme="minorHAnsi"/>
          <w:sz w:val="22"/>
          <w:szCs w:val="22"/>
        </w:rPr>
        <w:t xml:space="preserve"> and </w:t>
      </w:r>
      <w:r>
        <w:rPr>
          <w:rFonts w:asciiTheme="minorHAnsi" w:hAnsiTheme="minorHAnsi"/>
          <w:sz w:val="22"/>
          <w:szCs w:val="22"/>
        </w:rPr>
        <w:t>reviewing the data.</w:t>
      </w:r>
      <w:r w:rsidR="00E77F93">
        <w:rPr>
          <w:rFonts w:asciiTheme="minorHAnsi" w:hAnsiTheme="minorHAnsi"/>
          <w:sz w:val="22"/>
          <w:szCs w:val="22"/>
        </w:rPr>
        <w:t xml:space="preserve">  </w:t>
      </w:r>
    </w:p>
    <w:p w14:paraId="54054999" w14:textId="77777777" w:rsidR="00E77F93" w:rsidRDefault="00E77F93">
      <w:pPr>
        <w:rPr>
          <w:rFonts w:asciiTheme="minorHAnsi" w:hAnsiTheme="minorHAnsi"/>
          <w:sz w:val="22"/>
          <w:szCs w:val="22"/>
        </w:rPr>
      </w:pPr>
    </w:p>
    <w:p w14:paraId="69E54D3E" w14:textId="77777777" w:rsidR="00E77F93" w:rsidRPr="00F54364" w:rsidRDefault="00F54364" w:rsidP="00F54364">
      <w:pPr>
        <w:rPr>
          <w:rFonts w:asciiTheme="minorHAnsi" w:hAnsiTheme="minorHAnsi"/>
          <w:bCs/>
          <w:sz w:val="22"/>
          <w:szCs w:val="22"/>
        </w:rPr>
      </w:pPr>
      <w:r>
        <w:rPr>
          <w:rFonts w:asciiTheme="minorHAnsi" w:hAnsiTheme="minorHAnsi"/>
          <w:sz w:val="22"/>
          <w:szCs w:val="22"/>
        </w:rPr>
        <w:t xml:space="preserve">For the Federal Register </w:t>
      </w:r>
      <w:r w:rsidR="00BD049C">
        <w:rPr>
          <w:rFonts w:asciiTheme="minorHAnsi" w:hAnsiTheme="minorHAnsi"/>
          <w:sz w:val="22"/>
          <w:szCs w:val="22"/>
        </w:rPr>
        <w:t xml:space="preserve">institutional </w:t>
      </w:r>
      <w:r>
        <w:rPr>
          <w:rFonts w:asciiTheme="minorHAnsi" w:hAnsiTheme="minorHAnsi"/>
          <w:sz w:val="22"/>
          <w:szCs w:val="22"/>
        </w:rPr>
        <w:t xml:space="preserve">burden estimate, </w:t>
      </w:r>
      <w:r w:rsidR="00E77F93" w:rsidRPr="00F54364">
        <w:rPr>
          <w:rFonts w:asciiTheme="minorHAnsi" w:hAnsiTheme="minorHAnsi"/>
          <w:bCs/>
          <w:sz w:val="22"/>
          <w:szCs w:val="22"/>
        </w:rPr>
        <w:t xml:space="preserve">calculations </w:t>
      </w:r>
      <w:r>
        <w:rPr>
          <w:rFonts w:asciiTheme="minorHAnsi" w:hAnsiTheme="minorHAnsi"/>
          <w:bCs/>
          <w:sz w:val="22"/>
          <w:szCs w:val="22"/>
        </w:rPr>
        <w:t xml:space="preserve">were based on a </w:t>
      </w:r>
      <w:r w:rsidR="00E77F93" w:rsidRPr="00F54364">
        <w:rPr>
          <w:rFonts w:asciiTheme="minorHAnsi" w:hAnsiTheme="minorHAnsi"/>
          <w:bCs/>
          <w:sz w:val="22"/>
          <w:szCs w:val="22"/>
        </w:rPr>
        <w:t>previous survey sent by Clemson University to nine EFNEP Coordinators and their data managers, since the type of data collected remain</w:t>
      </w:r>
      <w:r w:rsidR="00BD049C">
        <w:rPr>
          <w:rFonts w:asciiTheme="minorHAnsi" w:hAnsiTheme="minorHAnsi"/>
          <w:bCs/>
          <w:sz w:val="22"/>
          <w:szCs w:val="22"/>
        </w:rPr>
        <w:t>ed</w:t>
      </w:r>
      <w:r w:rsidR="00E77F93" w:rsidRPr="00F54364">
        <w:rPr>
          <w:rFonts w:asciiTheme="minorHAnsi" w:hAnsiTheme="minorHAnsi"/>
          <w:bCs/>
          <w:sz w:val="22"/>
          <w:szCs w:val="22"/>
        </w:rPr>
        <w:t xml:space="preserve"> unchanged and since a time stamp process</w:t>
      </w:r>
      <w:r>
        <w:rPr>
          <w:rFonts w:asciiTheme="minorHAnsi" w:hAnsiTheme="minorHAnsi"/>
          <w:bCs/>
          <w:sz w:val="22"/>
          <w:szCs w:val="22"/>
        </w:rPr>
        <w:t xml:space="preserve"> could not be used to determine those </w:t>
      </w:r>
      <w:r w:rsidR="00E77F93" w:rsidRPr="00F54364">
        <w:rPr>
          <w:rFonts w:asciiTheme="minorHAnsi" w:hAnsiTheme="minorHAnsi"/>
          <w:bCs/>
          <w:sz w:val="22"/>
          <w:szCs w:val="22"/>
        </w:rPr>
        <w:t xml:space="preserve">calculations.  Seven institutions responded.  All extension regions (geographic locations) and tiers (level of funding) were represented.  Insular areas, which have technology infrastructure challenges were also represented. </w:t>
      </w:r>
    </w:p>
    <w:p w14:paraId="1CD13B7C" w14:textId="77777777" w:rsidR="00E77F93" w:rsidRDefault="00E77F93">
      <w:pPr>
        <w:rPr>
          <w:rFonts w:asciiTheme="minorHAnsi" w:hAnsiTheme="minorHAnsi"/>
          <w:sz w:val="22"/>
          <w:szCs w:val="22"/>
        </w:rPr>
      </w:pPr>
    </w:p>
    <w:p w14:paraId="21E3D678" w14:textId="77777777" w:rsidR="00A4644B" w:rsidRDefault="00A4644B">
      <w:r>
        <w:rPr>
          <w:rFonts w:asciiTheme="minorHAnsi" w:hAnsiTheme="minorHAnsi"/>
          <w:sz w:val="22"/>
          <w:szCs w:val="22"/>
        </w:rPr>
        <w:t>A continued search resulted in finding the previously used process</w:t>
      </w:r>
      <w:r w:rsidR="009C307C">
        <w:rPr>
          <w:rFonts w:asciiTheme="minorHAnsi" w:hAnsiTheme="minorHAnsi"/>
          <w:sz w:val="22"/>
          <w:szCs w:val="22"/>
        </w:rPr>
        <w:t xml:space="preserve"> following release of the announcement in the Federal Register.  Th</w:t>
      </w:r>
      <w:r w:rsidR="0088397A">
        <w:rPr>
          <w:rFonts w:asciiTheme="minorHAnsi" w:hAnsiTheme="minorHAnsi"/>
          <w:sz w:val="22"/>
          <w:szCs w:val="22"/>
        </w:rPr>
        <w:t>at</w:t>
      </w:r>
      <w:r w:rsidR="009C307C">
        <w:rPr>
          <w:rFonts w:asciiTheme="minorHAnsi" w:hAnsiTheme="minorHAnsi"/>
          <w:sz w:val="22"/>
          <w:szCs w:val="22"/>
        </w:rPr>
        <w:t xml:space="preserve"> process, </w:t>
      </w:r>
      <w:r w:rsidR="0088397A">
        <w:rPr>
          <w:rFonts w:asciiTheme="minorHAnsi" w:hAnsiTheme="minorHAnsi"/>
          <w:sz w:val="22"/>
          <w:szCs w:val="22"/>
        </w:rPr>
        <w:t>which had formerly been used, was used again</w:t>
      </w:r>
      <w:r w:rsidR="000E2E52">
        <w:rPr>
          <w:rFonts w:asciiTheme="minorHAnsi" w:hAnsiTheme="minorHAnsi"/>
          <w:sz w:val="22"/>
          <w:szCs w:val="22"/>
        </w:rPr>
        <w:t>, and is reported here.</w:t>
      </w:r>
      <w:r w:rsidR="00BD049C">
        <w:rPr>
          <w:rFonts w:asciiTheme="minorHAnsi" w:hAnsiTheme="minorHAnsi"/>
          <w:sz w:val="22"/>
          <w:szCs w:val="22"/>
        </w:rPr>
        <w:t xml:space="preserve">  As noted, it represents a more complete and current depiction of the burden than what could be retrieved and determined for the Federal Register notice.  It is also more in line with previous burden estimates.</w:t>
      </w:r>
    </w:p>
    <w:sectPr w:rsidR="00A464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14B6D" w14:textId="77777777" w:rsidR="00526B95" w:rsidRDefault="00526B95" w:rsidP="00A4644B">
      <w:r>
        <w:separator/>
      </w:r>
    </w:p>
  </w:endnote>
  <w:endnote w:type="continuationSeparator" w:id="0">
    <w:p w14:paraId="76FB8B12" w14:textId="77777777" w:rsidR="00526B95" w:rsidRDefault="00526B95" w:rsidP="00A4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78BF1" w14:textId="77777777" w:rsidR="00526B95" w:rsidRDefault="00526B95" w:rsidP="00A4644B">
      <w:r>
        <w:separator/>
      </w:r>
    </w:p>
  </w:footnote>
  <w:footnote w:type="continuationSeparator" w:id="0">
    <w:p w14:paraId="448FE4F6" w14:textId="77777777" w:rsidR="00526B95" w:rsidRDefault="00526B95" w:rsidP="00A46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977"/>
    <w:multiLevelType w:val="hybridMultilevel"/>
    <w:tmpl w:val="CBB2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E102C"/>
    <w:multiLevelType w:val="hybridMultilevel"/>
    <w:tmpl w:val="77AEBB8E"/>
    <w:lvl w:ilvl="0" w:tplc="5BE6F1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4B"/>
    <w:rsid w:val="00081257"/>
    <w:rsid w:val="000E0026"/>
    <w:rsid w:val="000E2E52"/>
    <w:rsid w:val="00265E4F"/>
    <w:rsid w:val="002E2E0D"/>
    <w:rsid w:val="004E51AC"/>
    <w:rsid w:val="004F1B2B"/>
    <w:rsid w:val="0051156E"/>
    <w:rsid w:val="00526B95"/>
    <w:rsid w:val="0084003B"/>
    <w:rsid w:val="0088397A"/>
    <w:rsid w:val="008A2B3B"/>
    <w:rsid w:val="008C3EC9"/>
    <w:rsid w:val="008E4108"/>
    <w:rsid w:val="00915C57"/>
    <w:rsid w:val="00997AA2"/>
    <w:rsid w:val="009C307C"/>
    <w:rsid w:val="00A06685"/>
    <w:rsid w:val="00A4644B"/>
    <w:rsid w:val="00A64CAB"/>
    <w:rsid w:val="00A87EB9"/>
    <w:rsid w:val="00B81344"/>
    <w:rsid w:val="00BD049C"/>
    <w:rsid w:val="00CD75CA"/>
    <w:rsid w:val="00D14E4F"/>
    <w:rsid w:val="00D542EC"/>
    <w:rsid w:val="00D64CD1"/>
    <w:rsid w:val="00DB1D68"/>
    <w:rsid w:val="00DB5384"/>
    <w:rsid w:val="00DD41AF"/>
    <w:rsid w:val="00E77F93"/>
    <w:rsid w:val="00EC5A94"/>
    <w:rsid w:val="00F155B6"/>
    <w:rsid w:val="00F5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4B"/>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64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4644B"/>
  </w:style>
  <w:style w:type="character" w:customStyle="1" w:styleId="EndnoteTextChar">
    <w:name w:val="Endnote Text Char"/>
    <w:basedOn w:val="DefaultParagraphFont"/>
    <w:link w:val="EndnoteText"/>
    <w:semiHidden/>
    <w:rsid w:val="00A4644B"/>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A4644B"/>
  </w:style>
  <w:style w:type="character" w:customStyle="1" w:styleId="FootnoteTextChar">
    <w:name w:val="Footnote Text Char"/>
    <w:basedOn w:val="DefaultParagraphFont"/>
    <w:link w:val="FootnoteText"/>
    <w:semiHidden/>
    <w:rsid w:val="00A4644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4644B"/>
    <w:rPr>
      <w:vertAlign w:val="superscript"/>
    </w:rPr>
  </w:style>
  <w:style w:type="character" w:styleId="EndnoteReference">
    <w:name w:val="endnote reference"/>
    <w:basedOn w:val="DefaultParagraphFont"/>
    <w:uiPriority w:val="99"/>
    <w:semiHidden/>
    <w:unhideWhenUsed/>
    <w:rsid w:val="00A4644B"/>
    <w:rPr>
      <w:vertAlign w:val="superscript"/>
    </w:rPr>
  </w:style>
  <w:style w:type="character" w:styleId="CommentReference">
    <w:name w:val="annotation reference"/>
    <w:basedOn w:val="DefaultParagraphFont"/>
    <w:uiPriority w:val="99"/>
    <w:semiHidden/>
    <w:unhideWhenUsed/>
    <w:rsid w:val="008A2B3B"/>
    <w:rPr>
      <w:sz w:val="16"/>
      <w:szCs w:val="16"/>
    </w:rPr>
  </w:style>
  <w:style w:type="paragraph" w:styleId="CommentText">
    <w:name w:val="annotation text"/>
    <w:basedOn w:val="Normal"/>
    <w:link w:val="CommentTextChar"/>
    <w:uiPriority w:val="99"/>
    <w:semiHidden/>
    <w:unhideWhenUsed/>
    <w:rsid w:val="008A2B3B"/>
  </w:style>
  <w:style w:type="character" w:customStyle="1" w:styleId="CommentTextChar">
    <w:name w:val="Comment Text Char"/>
    <w:basedOn w:val="DefaultParagraphFont"/>
    <w:link w:val="CommentText"/>
    <w:uiPriority w:val="99"/>
    <w:semiHidden/>
    <w:rsid w:val="008A2B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B3B"/>
    <w:rPr>
      <w:b/>
      <w:bCs/>
    </w:rPr>
  </w:style>
  <w:style w:type="character" w:customStyle="1" w:styleId="CommentSubjectChar">
    <w:name w:val="Comment Subject Char"/>
    <w:basedOn w:val="CommentTextChar"/>
    <w:link w:val="CommentSubject"/>
    <w:uiPriority w:val="99"/>
    <w:semiHidden/>
    <w:rsid w:val="008A2B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2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3B"/>
    <w:rPr>
      <w:rFonts w:ascii="Segoe UI" w:eastAsia="Times New Roman" w:hAnsi="Segoe UI" w:cs="Segoe UI"/>
      <w:sz w:val="18"/>
      <w:szCs w:val="18"/>
    </w:rPr>
  </w:style>
  <w:style w:type="paragraph" w:styleId="ListParagraph">
    <w:name w:val="List Paragraph"/>
    <w:basedOn w:val="Normal"/>
    <w:uiPriority w:val="1"/>
    <w:qFormat/>
    <w:rsid w:val="00E77F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4B"/>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64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4644B"/>
  </w:style>
  <w:style w:type="character" w:customStyle="1" w:styleId="EndnoteTextChar">
    <w:name w:val="Endnote Text Char"/>
    <w:basedOn w:val="DefaultParagraphFont"/>
    <w:link w:val="EndnoteText"/>
    <w:semiHidden/>
    <w:rsid w:val="00A4644B"/>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A4644B"/>
  </w:style>
  <w:style w:type="character" w:customStyle="1" w:styleId="FootnoteTextChar">
    <w:name w:val="Footnote Text Char"/>
    <w:basedOn w:val="DefaultParagraphFont"/>
    <w:link w:val="FootnoteText"/>
    <w:semiHidden/>
    <w:rsid w:val="00A4644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4644B"/>
    <w:rPr>
      <w:vertAlign w:val="superscript"/>
    </w:rPr>
  </w:style>
  <w:style w:type="character" w:styleId="EndnoteReference">
    <w:name w:val="endnote reference"/>
    <w:basedOn w:val="DefaultParagraphFont"/>
    <w:uiPriority w:val="99"/>
    <w:semiHidden/>
    <w:unhideWhenUsed/>
    <w:rsid w:val="00A4644B"/>
    <w:rPr>
      <w:vertAlign w:val="superscript"/>
    </w:rPr>
  </w:style>
  <w:style w:type="character" w:styleId="CommentReference">
    <w:name w:val="annotation reference"/>
    <w:basedOn w:val="DefaultParagraphFont"/>
    <w:uiPriority w:val="99"/>
    <w:semiHidden/>
    <w:unhideWhenUsed/>
    <w:rsid w:val="008A2B3B"/>
    <w:rPr>
      <w:sz w:val="16"/>
      <w:szCs w:val="16"/>
    </w:rPr>
  </w:style>
  <w:style w:type="paragraph" w:styleId="CommentText">
    <w:name w:val="annotation text"/>
    <w:basedOn w:val="Normal"/>
    <w:link w:val="CommentTextChar"/>
    <w:uiPriority w:val="99"/>
    <w:semiHidden/>
    <w:unhideWhenUsed/>
    <w:rsid w:val="008A2B3B"/>
  </w:style>
  <w:style w:type="character" w:customStyle="1" w:styleId="CommentTextChar">
    <w:name w:val="Comment Text Char"/>
    <w:basedOn w:val="DefaultParagraphFont"/>
    <w:link w:val="CommentText"/>
    <w:uiPriority w:val="99"/>
    <w:semiHidden/>
    <w:rsid w:val="008A2B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B3B"/>
    <w:rPr>
      <w:b/>
      <w:bCs/>
    </w:rPr>
  </w:style>
  <w:style w:type="character" w:customStyle="1" w:styleId="CommentSubjectChar">
    <w:name w:val="Comment Subject Char"/>
    <w:basedOn w:val="CommentTextChar"/>
    <w:link w:val="CommentSubject"/>
    <w:uiPriority w:val="99"/>
    <w:semiHidden/>
    <w:rsid w:val="008A2B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2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3B"/>
    <w:rPr>
      <w:rFonts w:ascii="Segoe UI" w:eastAsia="Times New Roman" w:hAnsi="Segoe UI" w:cs="Segoe UI"/>
      <w:sz w:val="18"/>
      <w:szCs w:val="18"/>
    </w:rPr>
  </w:style>
  <w:style w:type="paragraph" w:styleId="ListParagraph">
    <w:name w:val="List Paragraph"/>
    <w:basedOn w:val="Normal"/>
    <w:uiPriority w:val="1"/>
    <w:qFormat/>
    <w:rsid w:val="00E77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CB7A-0621-4120-A144-26B37567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Chipman, Helen - NIFA</dc:creator>
  <cp:keywords/>
  <dc:description/>
  <cp:lastModifiedBy>SYSTEM</cp:lastModifiedBy>
  <cp:revision>2</cp:revision>
  <dcterms:created xsi:type="dcterms:W3CDTF">2019-06-27T14:05:00Z</dcterms:created>
  <dcterms:modified xsi:type="dcterms:W3CDTF">2019-06-27T14:05:00Z</dcterms:modified>
</cp:coreProperties>
</file>