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42292" w14:textId="77777777" w:rsidR="00642B6A" w:rsidRPr="00642B6A" w:rsidRDefault="00642B6A" w:rsidP="00642B6A">
      <w:pPr>
        <w:suppressAutoHyphens/>
        <w:jc w:val="center"/>
        <w:rPr>
          <w:rFonts w:eastAsia="Times New Roman" w:cs="Times New Roman"/>
          <w:b/>
          <w:szCs w:val="24"/>
        </w:rPr>
      </w:pPr>
      <w:bookmarkStart w:id="0" w:name="_GoBack"/>
      <w:bookmarkEnd w:id="0"/>
      <w:r w:rsidRPr="00642B6A">
        <w:rPr>
          <w:rFonts w:eastAsia="Times New Roman" w:cs="Times New Roman"/>
          <w:b/>
          <w:szCs w:val="24"/>
        </w:rPr>
        <w:t>SUPPORTING STATEMENT FOR NEW AND</w:t>
      </w:r>
    </w:p>
    <w:p w14:paraId="50F42293" w14:textId="77777777"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14:paraId="50F42294" w14:textId="0AA9B906" w:rsidR="00642B6A" w:rsidRDefault="00642B6A" w:rsidP="00642B6A">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E54279">
        <w:rPr>
          <w:rFonts w:eastAsia="Times New Roman" w:cs="Times New Roman"/>
          <w:b/>
          <w:szCs w:val="24"/>
        </w:rPr>
        <w:t>0070</w:t>
      </w:r>
    </w:p>
    <w:p w14:paraId="50F42295" w14:textId="5C4214F5" w:rsidR="00D12FEB" w:rsidRPr="00642B6A" w:rsidRDefault="00E54279" w:rsidP="00642B6A">
      <w:pPr>
        <w:tabs>
          <w:tab w:val="center" w:pos="4680"/>
        </w:tabs>
        <w:suppressAutoHyphens/>
        <w:spacing w:after="240"/>
        <w:jc w:val="center"/>
        <w:rPr>
          <w:rFonts w:eastAsia="Times New Roman" w:cs="Times New Roman"/>
          <w:b/>
          <w:szCs w:val="24"/>
        </w:rPr>
      </w:pPr>
      <w:r>
        <w:rPr>
          <w:rFonts w:eastAsia="Times New Roman" w:cs="Times New Roman"/>
          <w:szCs w:val="24"/>
        </w:rPr>
        <w:t xml:space="preserve">Proposed Amendments to the Commission’s Regulations Related to </w:t>
      </w:r>
      <w:r w:rsidR="006F00A1">
        <w:rPr>
          <w:rFonts w:eastAsia="Times New Roman" w:cs="Times New Roman"/>
          <w:szCs w:val="24"/>
        </w:rPr>
        <w:t>Real-Time Public Reporting and Block Trades</w:t>
      </w:r>
    </w:p>
    <w:p w14:paraId="50F42296" w14:textId="77777777"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14:paraId="50F42297" w14:textId="5EAFA160" w:rsidR="00642B6A" w:rsidRPr="00642B6A" w:rsidRDefault="00642B6A" w:rsidP="00D945B5">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w:t>
      </w:r>
      <w:r w:rsidR="00C83EDF">
        <w:rPr>
          <w:rFonts w:eastAsia="Times New Roman" w:cs="Times New Roman"/>
          <w:b/>
          <w:szCs w:val="24"/>
        </w:rPr>
        <w:t>ction of information necessary.</w:t>
      </w:r>
      <w:r w:rsidRPr="00642B6A">
        <w:rPr>
          <w:rFonts w:eastAsia="Times New Roman" w:cs="Times New Roman"/>
          <w:b/>
          <w:szCs w:val="24"/>
        </w:rPr>
        <w:t xml:space="preserve"> Identify any legal or administrative requirements th</w:t>
      </w:r>
      <w:r w:rsidR="00C83EDF">
        <w:rPr>
          <w:rFonts w:eastAsia="Times New Roman" w:cs="Times New Roman"/>
          <w:b/>
          <w:szCs w:val="24"/>
        </w:rPr>
        <w:t xml:space="preserve">at necessitate the collection. </w:t>
      </w:r>
      <w:r w:rsidRPr="00642B6A">
        <w:rPr>
          <w:rFonts w:eastAsia="Times New Roman" w:cs="Times New Roman"/>
          <w:b/>
          <w:szCs w:val="24"/>
        </w:rPr>
        <w:t>Attach a copy of the appropriate section of each statute and regulation mandating or authorizing the collection of information.</w:t>
      </w:r>
    </w:p>
    <w:p w14:paraId="50F42298" w14:textId="49ABDA87" w:rsidR="00642B6A" w:rsidRPr="00E54279" w:rsidRDefault="00E54279" w:rsidP="00E54279">
      <w:pPr>
        <w:tabs>
          <w:tab w:val="left" w:pos="-720"/>
          <w:tab w:val="left" w:pos="0"/>
        </w:tabs>
        <w:spacing w:after="240"/>
        <w:ind w:firstLine="720"/>
        <w:rPr>
          <w:rFonts w:eastAsia="Times New Roman" w:cs="Times New Roman"/>
          <w:szCs w:val="20"/>
        </w:rPr>
      </w:pPr>
      <w:r w:rsidRPr="007F5DBF">
        <w:rPr>
          <w:rFonts w:eastAsia="Times New Roman" w:cs="Times New Roman"/>
          <w:szCs w:val="20"/>
        </w:rPr>
        <w:t>On July 21, 2010, the Dodd-Frank Wall Street Reform and Consumer Protection Act (“</w:t>
      </w:r>
      <w:r>
        <w:rPr>
          <w:rFonts w:eastAsia="Times New Roman" w:cs="Times New Roman"/>
          <w:szCs w:val="20"/>
        </w:rPr>
        <w:t xml:space="preserve">Dodd </w:t>
      </w:r>
      <w:r w:rsidRPr="007F5DBF">
        <w:rPr>
          <w:rFonts w:eastAsia="Times New Roman" w:cs="Times New Roman"/>
          <w:szCs w:val="20"/>
        </w:rPr>
        <w:t>Frank Act”) went into effect.</w:t>
      </w:r>
      <w:r w:rsidRPr="007F5DBF">
        <w:rPr>
          <w:rFonts w:eastAsia="Times New Roman" w:cs="Times New Roman"/>
          <w:szCs w:val="20"/>
          <w:vertAlign w:val="superscript"/>
        </w:rPr>
        <w:footnoteReference w:id="1"/>
      </w:r>
      <w:r w:rsidRPr="007F5DBF">
        <w:rPr>
          <w:rFonts w:eastAsia="Times New Roman" w:cs="Times New Roman"/>
          <w:szCs w:val="20"/>
        </w:rPr>
        <w:t xml:space="preserve"> Title VII of the Dodd-Frank Act amends the Commodity Exchange Act (“CEA”)</w:t>
      </w:r>
      <w:r w:rsidRPr="007F5DBF">
        <w:rPr>
          <w:rFonts w:eastAsia="Times New Roman" w:cs="Times New Roman"/>
          <w:szCs w:val="20"/>
          <w:vertAlign w:val="superscript"/>
        </w:rPr>
        <w:footnoteReference w:id="2"/>
      </w:r>
      <w:r w:rsidRPr="007F5DBF">
        <w:rPr>
          <w:rFonts w:eastAsia="Times New Roman" w:cs="Times New Roman"/>
          <w:szCs w:val="20"/>
        </w:rPr>
        <w:t xml:space="preserve"> to establish a comprehensive new regulatory framework for s</w:t>
      </w:r>
      <w:r>
        <w:rPr>
          <w:rFonts w:eastAsia="Times New Roman" w:cs="Times New Roman"/>
          <w:szCs w:val="20"/>
        </w:rPr>
        <w:t xml:space="preserve">waps and security-based swaps. </w:t>
      </w:r>
      <w:r w:rsidRPr="007F5DBF">
        <w:rPr>
          <w:rFonts w:eastAsia="Times New Roman" w:cs="Times New Roman"/>
          <w:szCs w:val="20"/>
        </w:rPr>
        <w:t>Section 728 of the Dodd-Frank Act specifically requires the Commodity Futures Trading Commission (“CFTC” or “Commission”) to establish certain standards</w:t>
      </w:r>
      <w:r>
        <w:rPr>
          <w:rFonts w:eastAsia="Times New Roman" w:cs="Times New Roman"/>
          <w:szCs w:val="20"/>
        </w:rPr>
        <w:t xml:space="preserve"> for the real-time public reporting of swap transaction and pricing data. Part 43 of the Commission’s regulations imposes certain reporting, public dissemination, and timestamping requirements on the following entities that vary depending on the method of execution, underlying asset, and the counterparties to the swap: swap execution facilities (“SEFs”), designated contract markets (“DCMs”), swap data repositories (“SDRs”), </w:t>
      </w:r>
      <w:r w:rsidR="004E0A52">
        <w:rPr>
          <w:rFonts w:eastAsia="Times New Roman" w:cs="Times New Roman"/>
          <w:szCs w:val="20"/>
        </w:rPr>
        <w:t>derivatives clearing organizations</w:t>
      </w:r>
      <w:r w:rsidR="006F00A1">
        <w:rPr>
          <w:rFonts w:eastAsia="Times New Roman" w:cs="Times New Roman"/>
          <w:szCs w:val="20"/>
        </w:rPr>
        <w:t xml:space="preserve"> (“DCOs”), </w:t>
      </w:r>
      <w:r>
        <w:rPr>
          <w:rFonts w:eastAsia="Times New Roman" w:cs="Times New Roman"/>
          <w:szCs w:val="20"/>
        </w:rPr>
        <w:t>swap dealers (“SDs”), major swap participants (“MSPs”), and non-SD/non-MSP</w:t>
      </w:r>
      <w:r w:rsidR="006F00A1">
        <w:rPr>
          <w:rFonts w:eastAsia="Times New Roman" w:cs="Times New Roman"/>
          <w:szCs w:val="20"/>
        </w:rPr>
        <w:t>/non-DCO</w:t>
      </w:r>
      <w:r>
        <w:rPr>
          <w:rFonts w:eastAsia="Times New Roman" w:cs="Times New Roman"/>
          <w:szCs w:val="20"/>
        </w:rPr>
        <w:t xml:space="preserve"> counterparties. </w:t>
      </w:r>
    </w:p>
    <w:p w14:paraId="7CC1F1F7" w14:textId="64E70C66" w:rsidR="00A02F67" w:rsidRDefault="00E54279" w:rsidP="00A02F67">
      <w:pPr>
        <w:autoSpaceDE w:val="0"/>
        <w:autoSpaceDN w:val="0"/>
        <w:adjustRightInd w:val="0"/>
        <w:rPr>
          <w:rFonts w:eastAsia="Times New Roman" w:cs="Times New Roman"/>
          <w:color w:val="000000"/>
          <w:szCs w:val="24"/>
        </w:rPr>
      </w:pPr>
      <w:r>
        <w:rPr>
          <w:rFonts w:eastAsia="Times New Roman" w:cs="Times New Roman"/>
          <w:color w:val="000000"/>
          <w:szCs w:val="24"/>
        </w:rPr>
        <w:tab/>
      </w:r>
      <w:r w:rsidRPr="00E54279">
        <w:rPr>
          <w:rFonts w:eastAsia="Times New Roman" w:cs="Times New Roman"/>
          <w:color w:val="000000"/>
          <w:szCs w:val="24"/>
        </w:rPr>
        <w:t>On July 10, 2017, Commission staff announced a comprehensive review of swap reporting regulations and released the Roadmap to Achieve High Quality Swap Data (“Roadmap”)</w:t>
      </w:r>
      <w:bookmarkStart w:id="1" w:name="_Ref498697230"/>
      <w:r w:rsidRPr="00E54279">
        <w:rPr>
          <w:rFonts w:eastAsia="Times New Roman" w:cs="Times New Roman"/>
          <w:color w:val="000000"/>
          <w:szCs w:val="24"/>
          <w:vertAlign w:val="superscript"/>
        </w:rPr>
        <w:footnoteReference w:id="3"/>
      </w:r>
      <w:bookmarkEnd w:id="1"/>
      <w:r w:rsidRPr="00E54279">
        <w:rPr>
          <w:rFonts w:eastAsia="Times New Roman" w:cs="Times New Roman"/>
          <w:color w:val="000000"/>
          <w:szCs w:val="24"/>
        </w:rPr>
        <w:t xml:space="preserve"> to solicit feedback on improvements to data reporting and how the Commission’s regulatory goals may be achieved without imposing unnecessary burdens on market participants. The Commission is now issuing a notice of proposed rulemaking as part of this Roadmap initiative that will address relevant feedback received and streamline</w:t>
      </w:r>
      <w:r w:rsidR="00A02F67">
        <w:rPr>
          <w:rFonts w:eastAsia="Times New Roman" w:cs="Times New Roman"/>
          <w:color w:val="000000"/>
          <w:szCs w:val="24"/>
        </w:rPr>
        <w:t xml:space="preserve"> data reporting requirements</w:t>
      </w:r>
      <w:r w:rsidRPr="00E54279">
        <w:rPr>
          <w:rFonts w:eastAsia="Times New Roman" w:cs="Times New Roman"/>
          <w:color w:val="000000"/>
          <w:szCs w:val="24"/>
        </w:rPr>
        <w:t>.</w:t>
      </w:r>
      <w:r w:rsidR="00A02F67">
        <w:rPr>
          <w:rFonts w:eastAsia="Calibri" w:cs="Times New Roman"/>
          <w:szCs w:val="24"/>
        </w:rPr>
        <w:t xml:space="preserve"> </w:t>
      </w:r>
      <w:r w:rsidR="00A02F67" w:rsidRPr="00A02F67">
        <w:rPr>
          <w:rFonts w:eastAsia="Times New Roman" w:cs="Times New Roman"/>
          <w:color w:val="000000"/>
          <w:szCs w:val="24"/>
        </w:rPr>
        <w:t>To the extent that th</w:t>
      </w:r>
      <w:r w:rsidR="00A02F67">
        <w:rPr>
          <w:rFonts w:eastAsia="Times New Roman" w:cs="Times New Roman"/>
          <w:color w:val="000000"/>
          <w:szCs w:val="24"/>
        </w:rPr>
        <w:t>e proposed amendments to part 43 in the proposal</w:t>
      </w:r>
      <w:r w:rsidR="00A02F67" w:rsidRPr="00A02F67">
        <w:rPr>
          <w:rFonts w:eastAsia="Times New Roman" w:cs="Times New Roman"/>
          <w:color w:val="000000"/>
          <w:szCs w:val="24"/>
        </w:rPr>
        <w:t xml:space="preserve"> would introduce new information collections that were not previously included in Information </w:t>
      </w:r>
      <w:r w:rsidR="00A02F67">
        <w:rPr>
          <w:rFonts w:eastAsia="Times New Roman" w:cs="Times New Roman"/>
          <w:color w:val="000000"/>
          <w:szCs w:val="24"/>
        </w:rPr>
        <w:t>Collection 3038-0070</w:t>
      </w:r>
      <w:r w:rsidR="00A02F67" w:rsidRPr="00A02F67">
        <w:rPr>
          <w:rFonts w:eastAsia="Times New Roman" w:cs="Times New Roman"/>
          <w:color w:val="000000"/>
          <w:szCs w:val="24"/>
        </w:rPr>
        <w:t xml:space="preserve"> or modify existing collections already included in </w:t>
      </w:r>
      <w:r w:rsidR="00A02F67">
        <w:rPr>
          <w:rFonts w:eastAsia="Times New Roman" w:cs="Times New Roman"/>
          <w:color w:val="000000"/>
          <w:szCs w:val="24"/>
        </w:rPr>
        <w:t>Information Collection 3038-0070</w:t>
      </w:r>
      <w:r w:rsidR="00A02F67" w:rsidRPr="00A02F67">
        <w:rPr>
          <w:rFonts w:eastAsia="Times New Roman" w:cs="Times New Roman"/>
          <w:color w:val="000000"/>
          <w:szCs w:val="24"/>
        </w:rPr>
        <w:t xml:space="preserve">, the Commission is proposing to revise </w:t>
      </w:r>
      <w:r w:rsidR="00A02F67">
        <w:rPr>
          <w:rFonts w:eastAsia="Times New Roman" w:cs="Times New Roman"/>
          <w:color w:val="000000"/>
          <w:szCs w:val="24"/>
        </w:rPr>
        <w:t>Information Collection 3038-0070</w:t>
      </w:r>
      <w:r w:rsidR="00A02F67" w:rsidRPr="00A02F67">
        <w:rPr>
          <w:rFonts w:eastAsia="Times New Roman" w:cs="Times New Roman"/>
          <w:color w:val="000000"/>
          <w:szCs w:val="24"/>
        </w:rPr>
        <w:t xml:space="preserve"> to account for these a</w:t>
      </w:r>
      <w:r w:rsidR="00A02F67">
        <w:rPr>
          <w:rFonts w:eastAsia="Times New Roman" w:cs="Times New Roman"/>
          <w:color w:val="000000"/>
          <w:szCs w:val="24"/>
        </w:rPr>
        <w:t>dditions and modifications. Most</w:t>
      </w:r>
      <w:r w:rsidR="00A02F67" w:rsidRPr="00A02F67">
        <w:rPr>
          <w:rFonts w:eastAsia="Times New Roman" w:cs="Times New Roman"/>
          <w:color w:val="000000"/>
          <w:szCs w:val="24"/>
        </w:rPr>
        <w:t xml:space="preserve"> information collections discussed in existing </w:t>
      </w:r>
      <w:r w:rsidR="00A02F67">
        <w:rPr>
          <w:rFonts w:eastAsia="Times New Roman" w:cs="Times New Roman"/>
          <w:color w:val="000000"/>
          <w:szCs w:val="24"/>
        </w:rPr>
        <w:t xml:space="preserve">Information </w:t>
      </w:r>
      <w:r w:rsidR="00A02F67">
        <w:rPr>
          <w:rFonts w:eastAsia="Times New Roman" w:cs="Times New Roman"/>
          <w:color w:val="000000"/>
          <w:szCs w:val="24"/>
        </w:rPr>
        <w:lastRenderedPageBreak/>
        <w:t>Collection 3038-0070</w:t>
      </w:r>
      <w:r w:rsidR="00A02F67" w:rsidRPr="00A02F67">
        <w:rPr>
          <w:rFonts w:eastAsia="Times New Roman" w:cs="Times New Roman"/>
          <w:color w:val="000000"/>
          <w:szCs w:val="24"/>
        </w:rPr>
        <w:t xml:space="preserve"> would not be impacted by the proposed revisions, and the Commission is not proposing to revise the estimated burdens ass</w:t>
      </w:r>
      <w:r w:rsidR="009E356F">
        <w:rPr>
          <w:rFonts w:eastAsia="Times New Roman" w:cs="Times New Roman"/>
          <w:color w:val="000000"/>
          <w:szCs w:val="24"/>
        </w:rPr>
        <w:t>ociated with those collections.</w:t>
      </w:r>
    </w:p>
    <w:p w14:paraId="69453790" w14:textId="77777777" w:rsidR="001D4BB9" w:rsidRDefault="001D4BB9" w:rsidP="009E356F">
      <w:pPr>
        <w:autoSpaceDE w:val="0"/>
        <w:autoSpaceDN w:val="0"/>
        <w:adjustRightInd w:val="0"/>
        <w:ind w:firstLine="720"/>
        <w:rPr>
          <w:rFonts w:eastAsia="Times New Roman" w:cs="Times New Roman"/>
          <w:color w:val="000000"/>
          <w:szCs w:val="24"/>
        </w:rPr>
      </w:pPr>
    </w:p>
    <w:p w14:paraId="43E5E09F" w14:textId="68AE4505" w:rsidR="009E356F" w:rsidRDefault="009E356F" w:rsidP="009E356F">
      <w:pPr>
        <w:autoSpaceDE w:val="0"/>
        <w:autoSpaceDN w:val="0"/>
        <w:adjustRightInd w:val="0"/>
        <w:ind w:firstLine="720"/>
        <w:rPr>
          <w:rFonts w:eastAsia="Times New Roman" w:cs="Times New Roman"/>
          <w:color w:val="000000"/>
          <w:szCs w:val="24"/>
        </w:rPr>
      </w:pPr>
      <w:r w:rsidRPr="009E356F">
        <w:rPr>
          <w:rFonts w:eastAsia="Times New Roman" w:cs="Times New Roman"/>
          <w:color w:val="000000"/>
          <w:szCs w:val="24"/>
        </w:rPr>
        <w:t xml:space="preserve">The proposed new or revised information collections </w:t>
      </w:r>
      <w:r>
        <w:rPr>
          <w:rFonts w:eastAsia="Times New Roman" w:cs="Times New Roman"/>
          <w:color w:val="000000"/>
          <w:szCs w:val="24"/>
        </w:rPr>
        <w:t xml:space="preserve">could affect SEFs, DCMs, SDRs, </w:t>
      </w:r>
      <w:r w:rsidR="004E0A52">
        <w:rPr>
          <w:rFonts w:eastAsia="Times New Roman" w:cs="Times New Roman"/>
          <w:color w:val="000000"/>
          <w:szCs w:val="24"/>
        </w:rPr>
        <w:t xml:space="preserve">DCOs, </w:t>
      </w:r>
      <w:r>
        <w:rPr>
          <w:rFonts w:eastAsia="Times New Roman" w:cs="Times New Roman"/>
          <w:color w:val="000000"/>
          <w:szCs w:val="24"/>
        </w:rPr>
        <w:t>SDs, MSPs, and other counterparties or entities that may become them in the future</w:t>
      </w:r>
      <w:r w:rsidRPr="009E356F">
        <w:rPr>
          <w:rFonts w:eastAsia="Times New Roman" w:cs="Times New Roman"/>
          <w:color w:val="000000"/>
          <w:szCs w:val="24"/>
        </w:rPr>
        <w:t>. The Commission is proposing to add or modify information collections for the following regulations:</w:t>
      </w:r>
    </w:p>
    <w:p w14:paraId="48C26C86" w14:textId="77777777" w:rsidR="009E356F" w:rsidRDefault="009E356F" w:rsidP="009E356F">
      <w:pPr>
        <w:autoSpaceDE w:val="0"/>
        <w:autoSpaceDN w:val="0"/>
        <w:adjustRightInd w:val="0"/>
        <w:ind w:firstLine="720"/>
        <w:rPr>
          <w:rFonts w:eastAsia="Times New Roman" w:cs="Times New Roman"/>
          <w:color w:val="000000"/>
          <w:szCs w:val="24"/>
        </w:rPr>
      </w:pPr>
    </w:p>
    <w:p w14:paraId="483A79C1" w14:textId="77777777" w:rsidR="00D10E69" w:rsidRDefault="00826F27" w:rsidP="00D10E69">
      <w:pPr>
        <w:autoSpaceDE w:val="0"/>
        <w:autoSpaceDN w:val="0"/>
        <w:adjustRightInd w:val="0"/>
        <w:ind w:firstLine="720"/>
        <w:rPr>
          <w:rFonts w:eastAsia="Times New Roman" w:cs="Times New Roman"/>
          <w:color w:val="000000"/>
          <w:szCs w:val="24"/>
        </w:rPr>
      </w:pPr>
      <w:r w:rsidRPr="00D10E69">
        <w:rPr>
          <w:rFonts w:eastAsia="Times New Roman" w:cs="Times New Roman"/>
          <w:color w:val="000000"/>
          <w:szCs w:val="24"/>
        </w:rPr>
        <w:t>Section 43.3 of the Commission’s regulations contains the requirements related to the methods and timing of real-time public reporting. Proposed § 43.3(e) would modify</w:t>
      </w:r>
      <w:r w:rsidR="00D10E69" w:rsidRPr="00D10E69">
        <w:rPr>
          <w:rFonts w:eastAsia="Times New Roman" w:cs="Times New Roman"/>
          <w:color w:val="000000"/>
          <w:szCs w:val="24"/>
        </w:rPr>
        <w:t xml:space="preserve"> some of </w:t>
      </w:r>
      <w:r w:rsidRPr="00D10E69">
        <w:rPr>
          <w:rFonts w:eastAsia="Times New Roman" w:cs="Times New Roman"/>
          <w:color w:val="000000"/>
          <w:szCs w:val="24"/>
        </w:rPr>
        <w:t>the existing requirements to correct errors or omissions in swap transaction and pricing data</w:t>
      </w:r>
      <w:r w:rsidR="00D10E69" w:rsidRPr="00D10E69">
        <w:rPr>
          <w:rFonts w:eastAsia="Times New Roman" w:cs="Times New Roman"/>
          <w:color w:val="000000"/>
          <w:szCs w:val="24"/>
        </w:rPr>
        <w:t>. Most of the proposed modifications do not have PRA implications, but the Commission is proposing to add a new requirement for SEFs, DCMs, and reporting counterparties to notify the director of</w:t>
      </w:r>
      <w:r w:rsidR="00D10E69">
        <w:rPr>
          <w:rFonts w:eastAsia="Times New Roman" w:cs="Times New Roman"/>
          <w:color w:val="000000"/>
          <w:szCs w:val="24"/>
        </w:rPr>
        <w:t xml:space="preserve"> the Commission’s</w:t>
      </w:r>
      <w:r w:rsidR="00D10E69" w:rsidRPr="00D10E69">
        <w:rPr>
          <w:rFonts w:eastAsia="Times New Roman" w:cs="Times New Roman"/>
          <w:color w:val="000000"/>
          <w:szCs w:val="24"/>
        </w:rPr>
        <w:t xml:space="preserve"> D</w:t>
      </w:r>
      <w:r w:rsidR="00D10E69">
        <w:rPr>
          <w:rFonts w:eastAsia="Times New Roman" w:cs="Times New Roman"/>
          <w:color w:val="000000"/>
          <w:szCs w:val="24"/>
        </w:rPr>
        <w:t xml:space="preserve">ivision of </w:t>
      </w:r>
      <w:r w:rsidR="00D10E69" w:rsidRPr="00D10E69">
        <w:rPr>
          <w:rFonts w:eastAsia="Times New Roman" w:cs="Times New Roman"/>
          <w:color w:val="000000"/>
          <w:szCs w:val="24"/>
        </w:rPr>
        <w:t>M</w:t>
      </w:r>
      <w:r w:rsidR="00D10E69">
        <w:rPr>
          <w:rFonts w:eastAsia="Times New Roman" w:cs="Times New Roman"/>
          <w:color w:val="000000"/>
          <w:szCs w:val="24"/>
        </w:rPr>
        <w:t xml:space="preserve">arket </w:t>
      </w:r>
      <w:r w:rsidR="00D10E69" w:rsidRPr="00D10E69">
        <w:rPr>
          <w:rFonts w:eastAsia="Times New Roman" w:cs="Times New Roman"/>
          <w:color w:val="000000"/>
          <w:szCs w:val="24"/>
        </w:rPr>
        <w:t>O</w:t>
      </w:r>
      <w:r w:rsidR="00D10E69">
        <w:rPr>
          <w:rFonts w:eastAsia="Times New Roman" w:cs="Times New Roman"/>
          <w:color w:val="000000"/>
          <w:szCs w:val="24"/>
        </w:rPr>
        <w:t>versight</w:t>
      </w:r>
      <w:r w:rsidR="00D10E69" w:rsidRPr="00D10E69">
        <w:rPr>
          <w:rFonts w:eastAsia="Times New Roman" w:cs="Times New Roman"/>
          <w:color w:val="000000"/>
          <w:szCs w:val="24"/>
        </w:rPr>
        <w:t xml:space="preserve"> when data errors or omissions cannot be corrected within three business days of discovery. In such case, proposed § 43.3(e) would require the SEF, DCM, or reporting counterparty </w:t>
      </w:r>
      <w:r w:rsidR="00D10E69">
        <w:rPr>
          <w:rFonts w:eastAsia="Times New Roman" w:cs="Times New Roman"/>
          <w:color w:val="000000"/>
          <w:szCs w:val="24"/>
        </w:rPr>
        <w:t>to provide the director of the Division of Market Oversight with an initial assessment of the errors and omissions and an initial remediation plan.</w:t>
      </w:r>
    </w:p>
    <w:p w14:paraId="53F9BE66" w14:textId="77777777" w:rsidR="00D10E69" w:rsidRDefault="00D10E69" w:rsidP="00D10E69">
      <w:pPr>
        <w:autoSpaceDE w:val="0"/>
        <w:autoSpaceDN w:val="0"/>
        <w:adjustRightInd w:val="0"/>
        <w:ind w:firstLine="720"/>
        <w:rPr>
          <w:rFonts w:eastAsia="Times New Roman" w:cs="Times New Roman"/>
          <w:color w:val="000000"/>
          <w:szCs w:val="24"/>
        </w:rPr>
      </w:pPr>
    </w:p>
    <w:p w14:paraId="3101AD95" w14:textId="41804160" w:rsidR="009E356F" w:rsidRPr="00D10E69" w:rsidRDefault="00241E30" w:rsidP="00D10E69">
      <w:pPr>
        <w:autoSpaceDE w:val="0"/>
        <w:autoSpaceDN w:val="0"/>
        <w:adjustRightInd w:val="0"/>
        <w:ind w:firstLine="720"/>
        <w:rPr>
          <w:rFonts w:eastAsia="Times New Roman" w:cs="Times New Roman"/>
          <w:color w:val="000000"/>
          <w:szCs w:val="24"/>
        </w:rPr>
      </w:pPr>
      <w:r>
        <w:rPr>
          <w:rFonts w:eastAsia="Times New Roman" w:cs="Times New Roman"/>
          <w:color w:val="000000"/>
          <w:szCs w:val="24"/>
        </w:rPr>
        <w:t>The Commission is also proposing to move the SDR operating hours requirements from current § 43.3(f) and (g) to proposed § 49.28. This move will include the transfer of the associated burden hours from Information Collection 3038-0070 to Information Collection 3038-0086, which is the information collection for part 49 of the Commission’s regulations. The Commission estimates the burden to be removed from 3038-0070 at 15 hours per SDR, for a total reduction of 45 burden hours annually</w:t>
      </w:r>
      <w:r w:rsidR="00F22FCB">
        <w:rPr>
          <w:rFonts w:eastAsia="Times New Roman" w:cs="Times New Roman"/>
          <w:color w:val="000000"/>
          <w:szCs w:val="24"/>
        </w:rPr>
        <w:t xml:space="preserve"> (15 burden hours per SDR x 3 SDRs)</w:t>
      </w:r>
      <w:r>
        <w:rPr>
          <w:rFonts w:eastAsia="Times New Roman" w:cs="Times New Roman"/>
          <w:color w:val="000000"/>
          <w:szCs w:val="24"/>
        </w:rPr>
        <w:t>.</w:t>
      </w:r>
    </w:p>
    <w:p w14:paraId="606FCFB3" w14:textId="6605BFB2" w:rsidR="00A02F67" w:rsidRPr="00B86819" w:rsidRDefault="00A02F67" w:rsidP="00642B6A">
      <w:pPr>
        <w:autoSpaceDE w:val="0"/>
        <w:autoSpaceDN w:val="0"/>
        <w:adjustRightInd w:val="0"/>
        <w:rPr>
          <w:rFonts w:eastAsia="Times New Roman" w:cs="Times New Roman"/>
          <w:color w:val="000000"/>
          <w:szCs w:val="24"/>
        </w:rPr>
      </w:pPr>
    </w:p>
    <w:p w14:paraId="50F4229A" w14:textId="313EBC04" w:rsidR="00642B6A" w:rsidRPr="00B86819" w:rsidRDefault="00642B6A" w:rsidP="00FE503D">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w:t>
      </w:r>
      <w:r w:rsidR="00C83EDF">
        <w:rPr>
          <w:rFonts w:eastAsia="Times New Roman" w:cs="Times New Roman"/>
          <w:b/>
          <w:szCs w:val="24"/>
        </w:rPr>
        <w:t xml:space="preserve">urpose the data would be used. </w:t>
      </w:r>
      <w:r w:rsidRPr="00B86819">
        <w:rPr>
          <w:rFonts w:eastAsia="Times New Roman" w:cs="Times New Roman"/>
          <w:b/>
          <w:szCs w:val="24"/>
        </w:rPr>
        <w:t>Except for a new collection, indicate the actual use the agency has made of the information received from the current collection.</w:t>
      </w:r>
    </w:p>
    <w:p w14:paraId="50F4229B" w14:textId="4F964D44" w:rsidR="00642B6A" w:rsidRDefault="009E356F" w:rsidP="001577B2">
      <w:pPr>
        <w:rPr>
          <w:rFonts w:eastAsia="Times New Roman" w:cs="Times New Roman"/>
          <w:color w:val="000000"/>
          <w:szCs w:val="24"/>
        </w:rPr>
      </w:pPr>
      <w:r>
        <w:rPr>
          <w:rFonts w:eastAsia="Times New Roman" w:cs="Times New Roman"/>
          <w:color w:val="000000"/>
          <w:szCs w:val="24"/>
        </w:rPr>
        <w:tab/>
        <w:t xml:space="preserve">The Commission’s regulations in part 43 require SEFs, DCMs, and reporting counterparties to report swap transaction and pricing data to SDRs and require SDRs to disseminate the swap transaction and pricing data to the public. The SDRs do not provide this data to the Commission directly. The Commission may, however, use the swap transaction and pricing data in connection with fulfilling any of its regulatory duties or for other purposes. This publicly-reported data is also available to all other regulators and to the </w:t>
      </w:r>
      <w:r w:rsidR="00B46731">
        <w:rPr>
          <w:rFonts w:eastAsia="Times New Roman" w:cs="Times New Roman"/>
          <w:color w:val="000000"/>
          <w:szCs w:val="24"/>
        </w:rPr>
        <w:t>public and they may use it for any purpose as they see fit. The swap transaction and pricing data is made public in order to increase the transparency of the swaps market for regulators and market participants.</w:t>
      </w:r>
    </w:p>
    <w:p w14:paraId="0E543588" w14:textId="77777777" w:rsidR="00B46731" w:rsidRPr="00B86819" w:rsidRDefault="00B46731" w:rsidP="001577B2">
      <w:pPr>
        <w:rPr>
          <w:rFonts w:eastAsia="Times New Roman" w:cs="Times New Roman"/>
          <w:color w:val="000000"/>
          <w:szCs w:val="24"/>
        </w:rPr>
      </w:pPr>
    </w:p>
    <w:p w14:paraId="50F4229C" w14:textId="01173A35"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w:t>
      </w:r>
      <w:r w:rsidR="00C83EDF">
        <w:rPr>
          <w:rFonts w:eastAsia="Times New Roman" w:cs="Times New Roman"/>
          <w:b/>
          <w:szCs w:val="24"/>
        </w:rPr>
        <w:t xml:space="preserve">ting this means of collection. </w:t>
      </w:r>
      <w:r w:rsidRPr="00642B6A">
        <w:rPr>
          <w:rFonts w:eastAsia="Times New Roman" w:cs="Times New Roman"/>
          <w:b/>
          <w:szCs w:val="24"/>
        </w:rPr>
        <w:t>Also describe any consideration of using information technology to reduce burden.</w:t>
      </w:r>
    </w:p>
    <w:p w14:paraId="50F4229D" w14:textId="0FB1DD25" w:rsidR="00642B6A" w:rsidRPr="00642B6A" w:rsidRDefault="00836741" w:rsidP="00AD0896">
      <w:pPr>
        <w:tabs>
          <w:tab w:val="left" w:pos="-720"/>
          <w:tab w:val="left" w:pos="0"/>
        </w:tabs>
        <w:spacing w:after="240"/>
        <w:rPr>
          <w:rFonts w:eastAsia="Times New Roman" w:cs="Times New Roman"/>
          <w:szCs w:val="24"/>
        </w:rPr>
      </w:pPr>
      <w:r>
        <w:rPr>
          <w:rFonts w:eastAsia="Times New Roman" w:cs="Times New Roman"/>
          <w:szCs w:val="24"/>
        </w:rPr>
        <w:tab/>
      </w:r>
      <w:r w:rsidR="002F1E80">
        <w:rPr>
          <w:rFonts w:eastAsia="Times New Roman" w:cs="Times New Roman"/>
          <w:szCs w:val="24"/>
        </w:rPr>
        <w:t xml:space="preserve"> </w:t>
      </w:r>
      <w:r w:rsidR="00B46731" w:rsidRPr="00B46731">
        <w:rPr>
          <w:rFonts w:eastAsia="Times New Roman" w:cs="Times New Roman"/>
          <w:szCs w:val="24"/>
        </w:rPr>
        <w:t xml:space="preserve">All of the current and proposed information collections within Information Collection </w:t>
      </w:r>
      <w:r w:rsidR="00B46731">
        <w:rPr>
          <w:rFonts w:eastAsia="Times New Roman" w:cs="Times New Roman"/>
          <w:szCs w:val="24"/>
        </w:rPr>
        <w:t>3038-0070</w:t>
      </w:r>
      <w:r w:rsidR="00B46731" w:rsidRPr="00B46731">
        <w:rPr>
          <w:rFonts w:eastAsia="Times New Roman" w:cs="Times New Roman"/>
          <w:szCs w:val="24"/>
        </w:rPr>
        <w:t xml:space="preserve"> involve the use of electronic collection protocols. All required data submissions to the Commission must be electronic.</w:t>
      </w:r>
    </w:p>
    <w:p w14:paraId="50F4229E" w14:textId="55961634"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4.</w:t>
      </w:r>
      <w:r w:rsidRPr="00642B6A">
        <w:rPr>
          <w:rFonts w:eastAsia="Times New Roman" w:cs="Times New Roman"/>
          <w:b/>
          <w:szCs w:val="24"/>
        </w:rPr>
        <w:tab/>
        <w:t>Describe ef</w:t>
      </w:r>
      <w:r w:rsidR="00C83EDF">
        <w:rPr>
          <w:rFonts w:eastAsia="Times New Roman" w:cs="Times New Roman"/>
          <w:b/>
          <w:szCs w:val="24"/>
        </w:rPr>
        <w:t xml:space="preserve">forts to identify duplication. </w:t>
      </w:r>
      <w:r w:rsidRPr="00642B6A">
        <w:rPr>
          <w:rFonts w:eastAsia="Times New Roman" w:cs="Times New Roman"/>
          <w:b/>
          <w:szCs w:val="24"/>
        </w:rPr>
        <w:t>Show specifically why any similar information already available cannot be used or modified for use for the purposes described in Item 2 above.</w:t>
      </w:r>
    </w:p>
    <w:p w14:paraId="50F4229F" w14:textId="32DFFE78" w:rsidR="00642B6A" w:rsidRPr="00AD0896" w:rsidRDefault="00642B6A" w:rsidP="00AD0896">
      <w:pPr>
        <w:tabs>
          <w:tab w:val="left" w:pos="-720"/>
        </w:tabs>
        <w:spacing w:after="240"/>
        <w:rPr>
          <w:rFonts w:eastAsia="Times New Roman" w:cs="Times New Roman"/>
          <w:b/>
          <w:szCs w:val="24"/>
        </w:rPr>
      </w:pPr>
      <w:r w:rsidRPr="00642B6A">
        <w:rPr>
          <w:rFonts w:eastAsia="Times New Roman" w:cs="Times New Roman"/>
          <w:szCs w:val="24"/>
        </w:rPr>
        <w:tab/>
      </w:r>
      <w:r w:rsidR="00AD0896" w:rsidRPr="00AD0896">
        <w:rPr>
          <w:rFonts w:eastAsia="Times New Roman" w:cs="Times New Roman"/>
          <w:szCs w:val="24"/>
        </w:rPr>
        <w:t xml:space="preserve">The information </w:t>
      </w:r>
      <w:r w:rsidR="00AD0896">
        <w:rPr>
          <w:rFonts w:eastAsia="Times New Roman" w:cs="Times New Roman"/>
          <w:szCs w:val="24"/>
        </w:rPr>
        <w:t>collected pursuant to part 43</w:t>
      </w:r>
      <w:r w:rsidR="00AD0896" w:rsidRPr="00AD0896">
        <w:rPr>
          <w:rFonts w:eastAsia="Times New Roman" w:cs="Times New Roman"/>
          <w:szCs w:val="24"/>
        </w:rPr>
        <w:t xml:space="preserve"> of the Commission’s regulations is not already collected by the Commission or other regulator for any other purpose and is not publicly available through </w:t>
      </w:r>
      <w:r w:rsidR="00AD0896">
        <w:rPr>
          <w:rFonts w:eastAsia="Times New Roman" w:cs="Times New Roman"/>
          <w:szCs w:val="24"/>
        </w:rPr>
        <w:t xml:space="preserve">another source. The swap transaction and pricing data </w:t>
      </w:r>
      <w:r w:rsidR="00AD0896" w:rsidRPr="00AD0896">
        <w:rPr>
          <w:rFonts w:eastAsia="Times New Roman" w:cs="Times New Roman"/>
          <w:szCs w:val="24"/>
        </w:rPr>
        <w:t>is unique and no other similar information is available. There are no other existing regulations that could be modified to serve a similar purpose in any practical way.</w:t>
      </w:r>
    </w:p>
    <w:p w14:paraId="50F422A0"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14:paraId="50F422A1" w14:textId="47F3FF40" w:rsidR="00642B6A" w:rsidRPr="00642B6A" w:rsidRDefault="00642B6A" w:rsidP="00AD0896">
      <w:pPr>
        <w:tabs>
          <w:tab w:val="left" w:pos="-720"/>
        </w:tabs>
        <w:spacing w:after="240"/>
        <w:rPr>
          <w:rFonts w:eastAsia="Times New Roman" w:cs="Times New Roman"/>
          <w:szCs w:val="24"/>
        </w:rPr>
      </w:pPr>
      <w:r w:rsidRPr="00642B6A">
        <w:rPr>
          <w:rFonts w:eastAsia="Times New Roman" w:cs="Times New Roman"/>
          <w:szCs w:val="24"/>
        </w:rPr>
        <w:tab/>
      </w:r>
      <w:r w:rsidR="00AD0896" w:rsidRPr="00AD0896">
        <w:rPr>
          <w:rFonts w:eastAsia="Times New Roman" w:cs="Times New Roman"/>
          <w:szCs w:val="24"/>
        </w:rPr>
        <w:t>This collection of information would not involve any small busines</w:t>
      </w:r>
      <w:r w:rsidR="00AD0896">
        <w:rPr>
          <w:rFonts w:eastAsia="Times New Roman" w:cs="Times New Roman"/>
          <w:szCs w:val="24"/>
        </w:rPr>
        <w:t>s or other small entities. The Commission has previously established that none of the entities that would be affected by this collection are small entities.</w:t>
      </w:r>
    </w:p>
    <w:p w14:paraId="50F422A2"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14:paraId="46B6C82E" w14:textId="0440E95A" w:rsidR="00AD0896" w:rsidRPr="00AD0896" w:rsidRDefault="00AD0896" w:rsidP="00AD0896">
      <w:pPr>
        <w:ind w:firstLine="720"/>
        <w:rPr>
          <w:rFonts w:eastAsia="Times New Roman" w:cs="Times New Roman"/>
          <w:color w:val="000000"/>
          <w:szCs w:val="24"/>
        </w:rPr>
      </w:pPr>
      <w:r>
        <w:rPr>
          <w:rFonts w:eastAsia="Times New Roman" w:cs="Times New Roman"/>
          <w:color w:val="000000"/>
          <w:szCs w:val="24"/>
        </w:rPr>
        <w:t>Section 727 of the Dodd-Frank Act provides that the purpose of the public reporting requirements that are the subject of Information Collection 3038-0070 is to make swap transaction and pricing data available to the public in order to enhance price discovery and market transparency. Without the required frequency of reporting set forth in the Commission’s regulations, the general public would not receive swap transaction and pricing data in a timely manner that would allow for meaningful price discovery, which would frustrate the purpose of the statute.</w:t>
      </w:r>
    </w:p>
    <w:p w14:paraId="50F422A3" w14:textId="77777777" w:rsidR="00642B6A" w:rsidRPr="00642B6A" w:rsidRDefault="00642B6A" w:rsidP="00642B6A">
      <w:pPr>
        <w:ind w:firstLine="720"/>
        <w:rPr>
          <w:rFonts w:eastAsia="Times New Roman" w:cs="Times New Roman"/>
          <w:color w:val="000000"/>
          <w:szCs w:val="24"/>
        </w:rPr>
      </w:pPr>
    </w:p>
    <w:p w14:paraId="50F422A4"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14:paraId="50F422A5"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14:paraId="50F422A6" w14:textId="2886949D"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3E1141" w:rsidRPr="003E1141">
        <w:rPr>
          <w:rFonts w:eastAsia="Times New Roman" w:cs="Times New Roman"/>
          <w:szCs w:val="24"/>
        </w:rPr>
        <w:t xml:space="preserve">The proposed amendments to </w:t>
      </w:r>
      <w:r w:rsidR="003E1141">
        <w:rPr>
          <w:rFonts w:eastAsia="Times New Roman" w:cs="Times New Roman"/>
          <w:szCs w:val="24"/>
        </w:rPr>
        <w:t>§ 43.3(e)</w:t>
      </w:r>
      <w:r w:rsidR="003E1141" w:rsidRPr="003E1141">
        <w:rPr>
          <w:rFonts w:eastAsia="Times New Roman" w:cs="Times New Roman"/>
          <w:szCs w:val="24"/>
        </w:rPr>
        <w:t xml:space="preserve"> do not specifically require the collection of information more than quarte</w:t>
      </w:r>
      <w:r w:rsidR="003E1141">
        <w:rPr>
          <w:rFonts w:eastAsia="Times New Roman" w:cs="Times New Roman"/>
          <w:szCs w:val="24"/>
        </w:rPr>
        <w:t>rly, as the required collection is event specific, but</w:t>
      </w:r>
      <w:r w:rsidR="003E1141" w:rsidRPr="003E1141">
        <w:rPr>
          <w:rFonts w:eastAsia="Times New Roman" w:cs="Times New Roman"/>
          <w:szCs w:val="24"/>
        </w:rPr>
        <w:t xml:space="preserve"> the collections could theoreti</w:t>
      </w:r>
      <w:r w:rsidR="003E1141">
        <w:rPr>
          <w:rFonts w:eastAsia="Times New Roman" w:cs="Times New Roman"/>
          <w:szCs w:val="24"/>
        </w:rPr>
        <w:t>cally occur more than quarterly. T</w:t>
      </w:r>
      <w:r w:rsidR="003E1141" w:rsidRPr="003E1141">
        <w:rPr>
          <w:rFonts w:eastAsia="Times New Roman" w:cs="Times New Roman"/>
          <w:szCs w:val="24"/>
        </w:rPr>
        <w:t>he Commission</w:t>
      </w:r>
      <w:r w:rsidR="003E1141">
        <w:rPr>
          <w:rFonts w:eastAsia="Times New Roman" w:cs="Times New Roman"/>
          <w:szCs w:val="24"/>
        </w:rPr>
        <w:t>, however,</w:t>
      </w:r>
      <w:r w:rsidR="003E1141" w:rsidRPr="003E1141">
        <w:rPr>
          <w:rFonts w:eastAsia="Times New Roman" w:cs="Times New Roman"/>
          <w:szCs w:val="24"/>
        </w:rPr>
        <w:t xml:space="preserve"> believes t</w:t>
      </w:r>
      <w:r w:rsidR="003E1141">
        <w:rPr>
          <w:rFonts w:eastAsia="Times New Roman" w:cs="Times New Roman"/>
          <w:szCs w:val="24"/>
        </w:rPr>
        <w:t>hat the collection will likely occur less than quarterly for each respondent. B</w:t>
      </w:r>
      <w:r w:rsidR="003E1141" w:rsidRPr="003E1141">
        <w:rPr>
          <w:rFonts w:eastAsia="Times New Roman" w:cs="Times New Roman"/>
          <w:szCs w:val="24"/>
        </w:rPr>
        <w:t>ased on the Commiss</w:t>
      </w:r>
      <w:r w:rsidR="003E1141">
        <w:rPr>
          <w:rFonts w:eastAsia="Times New Roman" w:cs="Times New Roman"/>
          <w:szCs w:val="24"/>
        </w:rPr>
        <w:t>ion’s experience with reporting errors and omissions by SEFs, DCMs, and reporting counterparties, errors and omissions that require more than three business day</w:t>
      </w:r>
      <w:r w:rsidR="00643925">
        <w:rPr>
          <w:rFonts w:eastAsia="Times New Roman" w:cs="Times New Roman"/>
          <w:szCs w:val="24"/>
        </w:rPr>
        <w:t xml:space="preserve">s to correct occur far less </w:t>
      </w:r>
      <w:r w:rsidR="0052742B">
        <w:rPr>
          <w:rFonts w:eastAsia="Times New Roman" w:cs="Times New Roman"/>
          <w:szCs w:val="24"/>
        </w:rPr>
        <w:t xml:space="preserve">often </w:t>
      </w:r>
      <w:r w:rsidR="00643925">
        <w:rPr>
          <w:rFonts w:eastAsia="Times New Roman" w:cs="Times New Roman"/>
          <w:szCs w:val="24"/>
        </w:rPr>
        <w:t>than once a quarter per respondent</w:t>
      </w:r>
      <w:r w:rsidR="003E1141" w:rsidRPr="003E1141">
        <w:rPr>
          <w:rFonts w:eastAsia="Times New Roman" w:cs="Times New Roman"/>
          <w:szCs w:val="24"/>
        </w:rPr>
        <w:t>.</w:t>
      </w:r>
    </w:p>
    <w:p w14:paraId="50F422A7"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14:paraId="50F422A8" w14:textId="3216BCC3"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00D5232E">
        <w:rPr>
          <w:rFonts w:eastAsia="Times New Roman" w:cs="Times New Roman"/>
          <w:szCs w:val="24"/>
        </w:rPr>
        <w:t>The p</w:t>
      </w:r>
      <w:r w:rsidR="009729E7" w:rsidRPr="009729E7">
        <w:rPr>
          <w:rFonts w:eastAsia="Times New Roman" w:cs="Times New Roman"/>
          <w:szCs w:val="24"/>
        </w:rPr>
        <w:t>roposed co</w:t>
      </w:r>
      <w:r w:rsidR="009729E7">
        <w:rPr>
          <w:rFonts w:eastAsia="Times New Roman" w:cs="Times New Roman"/>
          <w:szCs w:val="24"/>
        </w:rPr>
        <w:t xml:space="preserve">llections related to proposed § 43.3(e) </w:t>
      </w:r>
      <w:r w:rsidR="009729E7" w:rsidRPr="009729E7">
        <w:rPr>
          <w:rFonts w:eastAsia="Times New Roman" w:cs="Times New Roman"/>
          <w:szCs w:val="24"/>
        </w:rPr>
        <w:t>would req</w:t>
      </w:r>
      <w:r w:rsidR="00D5232E">
        <w:rPr>
          <w:rFonts w:eastAsia="Times New Roman" w:cs="Times New Roman"/>
          <w:szCs w:val="24"/>
        </w:rPr>
        <w:t>uire information</w:t>
      </w:r>
      <w:r w:rsidR="003C1CFA">
        <w:rPr>
          <w:rFonts w:eastAsia="Times New Roman" w:cs="Times New Roman"/>
          <w:szCs w:val="24"/>
        </w:rPr>
        <w:t xml:space="preserve"> to</w:t>
      </w:r>
      <w:r w:rsidR="00D5232E">
        <w:rPr>
          <w:rFonts w:eastAsia="Times New Roman" w:cs="Times New Roman"/>
          <w:szCs w:val="24"/>
        </w:rPr>
        <w:t xml:space="preserve"> be provided </w:t>
      </w:r>
      <w:r w:rsidR="009729E7" w:rsidRPr="009729E7">
        <w:rPr>
          <w:rFonts w:eastAsia="Times New Roman" w:cs="Times New Roman"/>
          <w:szCs w:val="24"/>
        </w:rPr>
        <w:t>fewer than 30 days after the triggering event for the collection.</w:t>
      </w:r>
      <w:r w:rsidR="00D5232E">
        <w:rPr>
          <w:rFonts w:eastAsia="Times New Roman" w:cs="Times New Roman"/>
          <w:szCs w:val="24"/>
        </w:rPr>
        <w:t xml:space="preserve"> This requirement is necessary to ensure that the Commission is aware of potentially large amounts of incorrect or omitted data in order to adjust its regulatory ini</w:t>
      </w:r>
      <w:r w:rsidR="00C83EDF">
        <w:rPr>
          <w:rFonts w:eastAsia="Times New Roman" w:cs="Times New Roman"/>
          <w:szCs w:val="24"/>
        </w:rPr>
        <w:t>ti</w:t>
      </w:r>
      <w:r w:rsidR="00D5232E">
        <w:rPr>
          <w:rFonts w:eastAsia="Times New Roman" w:cs="Times New Roman"/>
          <w:szCs w:val="24"/>
        </w:rPr>
        <w:t xml:space="preserve">atives to compensate and to more </w:t>
      </w:r>
      <w:r w:rsidR="00C83EDF">
        <w:rPr>
          <w:rFonts w:eastAsia="Times New Roman" w:cs="Times New Roman"/>
          <w:szCs w:val="24"/>
        </w:rPr>
        <w:t>efficiently</w:t>
      </w:r>
      <w:r w:rsidR="00D5232E">
        <w:rPr>
          <w:rFonts w:eastAsia="Times New Roman" w:cs="Times New Roman"/>
          <w:szCs w:val="24"/>
        </w:rPr>
        <w:t xml:space="preserve"> work with SEFs, DCMs, SDRs, and reporting counterparties to have the data corrected as soon as possible.</w:t>
      </w:r>
    </w:p>
    <w:p w14:paraId="50F422A9"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14:paraId="50F422AA" w14:textId="6EA1E273" w:rsidR="00642B6A" w:rsidRPr="00642B6A" w:rsidRDefault="00747BF5" w:rsidP="00AD0896">
      <w:pPr>
        <w:tabs>
          <w:tab w:val="left" w:pos="-720"/>
          <w:tab w:val="left" w:pos="0"/>
          <w:tab w:val="left" w:pos="720"/>
        </w:tabs>
        <w:spacing w:after="240"/>
        <w:rPr>
          <w:rFonts w:eastAsia="Times New Roman" w:cs="Times New Roman"/>
          <w:b/>
          <w:szCs w:val="24"/>
        </w:rPr>
      </w:pPr>
      <w:r>
        <w:rPr>
          <w:rFonts w:eastAsia="Times New Roman" w:cs="Times New Roman"/>
          <w:szCs w:val="24"/>
        </w:rPr>
        <w:tab/>
      </w:r>
      <w:r w:rsidR="00AD0896" w:rsidRPr="00AD0896">
        <w:rPr>
          <w:rFonts w:eastAsia="Times New Roman" w:cs="Times New Roman"/>
          <w:szCs w:val="24"/>
        </w:rPr>
        <w:t>Not applicable, respondents are not required to submit more than an original and two copies of any document.</w:t>
      </w:r>
    </w:p>
    <w:p w14:paraId="50F422AB" w14:textId="77777777" w:rsidR="00642B6A" w:rsidRPr="00642B6A" w:rsidRDefault="00642B6A" w:rsidP="00FE503D">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14:paraId="50F422AC" w14:textId="4F81660F"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00BA10C3" w:rsidRPr="00CE561C">
        <w:rPr>
          <w:rFonts w:eastAsia="Times New Roman" w:cs="Times New Roman"/>
          <w:szCs w:val="24"/>
        </w:rPr>
        <w:t>The proposed amendments to part 43 would not modify Information Collection 3038-0070 in regards to recordkeeping requirements</w:t>
      </w:r>
      <w:r w:rsidR="00666FBF">
        <w:rPr>
          <w:rFonts w:eastAsia="Times New Roman" w:cs="Times New Roman"/>
          <w:szCs w:val="24"/>
        </w:rPr>
        <w:t xml:space="preserve">. </w:t>
      </w:r>
      <w:r w:rsidR="00CE561C">
        <w:rPr>
          <w:rFonts w:eastAsia="Times New Roman" w:cs="Times New Roman"/>
          <w:szCs w:val="24"/>
        </w:rPr>
        <w:t xml:space="preserve">Other Commission regulations, including §§ 1.31, 45.2, and 49.12, would require records, including </w:t>
      </w:r>
      <w:r w:rsidR="00666FBF">
        <w:rPr>
          <w:rFonts w:eastAsia="Times New Roman" w:cs="Times New Roman"/>
          <w:szCs w:val="24"/>
        </w:rPr>
        <w:t xml:space="preserve">much of </w:t>
      </w:r>
      <w:r w:rsidR="00CE561C">
        <w:rPr>
          <w:rFonts w:eastAsia="Times New Roman" w:cs="Times New Roman"/>
          <w:szCs w:val="24"/>
        </w:rPr>
        <w:t>the information provided under Information Collection 3038-0070, to be kept for at least five years. Those recordkeeping requirements are discussed in the information collections for those other regulations.</w:t>
      </w:r>
    </w:p>
    <w:p w14:paraId="50F422AD"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14:paraId="50F422AE" w14:textId="23D50D6F" w:rsidR="00697065" w:rsidRDefault="00AD0896" w:rsidP="00AD0896">
      <w:pPr>
        <w:tabs>
          <w:tab w:val="left" w:pos="-720"/>
          <w:tab w:val="left" w:pos="0"/>
          <w:tab w:val="left" w:pos="720"/>
        </w:tabs>
        <w:spacing w:after="240"/>
        <w:ind w:firstLine="720"/>
        <w:contextualSpacing/>
        <w:rPr>
          <w:rFonts w:eastAsia="Times New Roman" w:cs="Times New Roman"/>
        </w:rPr>
      </w:pPr>
      <w:r w:rsidRPr="00AD0896">
        <w:rPr>
          <w:rFonts w:eastAsia="Times New Roman" w:cs="Times New Roman"/>
        </w:rPr>
        <w:t>Not applicable, the proposed collection is not connected or related to any statistical survey.</w:t>
      </w:r>
    </w:p>
    <w:p w14:paraId="6C30B678" w14:textId="77777777" w:rsidR="00AD0896" w:rsidRPr="00642B6A" w:rsidRDefault="00AD0896" w:rsidP="00AD0896">
      <w:pPr>
        <w:tabs>
          <w:tab w:val="left" w:pos="-720"/>
          <w:tab w:val="left" w:pos="0"/>
          <w:tab w:val="left" w:pos="720"/>
        </w:tabs>
        <w:spacing w:after="240"/>
        <w:contextualSpacing/>
        <w:rPr>
          <w:rFonts w:eastAsia="Times New Roman" w:cs="Times New Roman"/>
        </w:rPr>
      </w:pPr>
    </w:p>
    <w:p w14:paraId="50F422AF" w14:textId="77777777" w:rsidR="00642B6A" w:rsidRDefault="00642B6A" w:rsidP="004618A5">
      <w:pPr>
        <w:numPr>
          <w:ilvl w:val="0"/>
          <w:numId w:val="1"/>
        </w:numPr>
        <w:tabs>
          <w:tab w:val="clear" w:pos="936"/>
          <w:tab w:val="left" w:pos="-720"/>
          <w:tab w:val="left" w:pos="0"/>
          <w:tab w:val="left" w:pos="720"/>
          <w:tab w:val="num" w:pos="1080"/>
        </w:tabs>
        <w:spacing w:after="240"/>
        <w:ind w:left="1080" w:hanging="360"/>
        <w:jc w:val="both"/>
        <w:rPr>
          <w:rFonts w:eastAsia="Times New Roman" w:cs="Times New Roman"/>
          <w:szCs w:val="24"/>
        </w:rPr>
      </w:pPr>
      <w:r w:rsidRPr="004618A5">
        <w:rPr>
          <w:rFonts w:eastAsia="Times New Roman" w:cs="Times New Roman"/>
          <w:b/>
          <w:szCs w:val="24"/>
        </w:rPr>
        <w:t>requiring the use of a statistical data classification that has not been reviewed and approved by OMB;</w:t>
      </w:r>
      <w:r w:rsidRPr="004618A5">
        <w:rPr>
          <w:rFonts w:eastAsia="Times New Roman" w:cs="Times New Roman"/>
          <w:szCs w:val="24"/>
        </w:rPr>
        <w:tab/>
      </w:r>
    </w:p>
    <w:p w14:paraId="71BC1115" w14:textId="25FAE5A8" w:rsidR="00AD0896" w:rsidRPr="004618A5" w:rsidRDefault="00AD0896" w:rsidP="00AD0896">
      <w:pPr>
        <w:tabs>
          <w:tab w:val="left" w:pos="-720"/>
          <w:tab w:val="left" w:pos="0"/>
          <w:tab w:val="left" w:pos="720"/>
        </w:tabs>
        <w:spacing w:after="240"/>
        <w:ind w:firstLine="720"/>
        <w:rPr>
          <w:rFonts w:eastAsia="Times New Roman" w:cs="Times New Roman"/>
          <w:szCs w:val="24"/>
        </w:rPr>
      </w:pPr>
      <w:r w:rsidRPr="00AD0896">
        <w:rPr>
          <w:rFonts w:eastAsia="Times New Roman" w:cs="Times New Roman"/>
          <w:szCs w:val="24"/>
        </w:rPr>
        <w:t>Not applicable, the proposed collection does not involve the use of any statistical data classification.</w:t>
      </w:r>
    </w:p>
    <w:p w14:paraId="50F422B0" w14:textId="77777777"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14:paraId="28473775" w14:textId="2C849FD6" w:rsidR="00AD0896" w:rsidRDefault="00AD0896" w:rsidP="00AD0896">
      <w:pPr>
        <w:tabs>
          <w:tab w:val="left" w:pos="-720"/>
          <w:tab w:val="left" w:pos="0"/>
          <w:tab w:val="left" w:pos="720"/>
        </w:tabs>
        <w:spacing w:after="240"/>
        <w:ind w:firstLine="720"/>
        <w:rPr>
          <w:rFonts w:eastAsia="Times New Roman" w:cs="Times New Roman"/>
          <w:b/>
          <w:szCs w:val="24"/>
        </w:rPr>
      </w:pPr>
      <w:r>
        <w:rPr>
          <w:rFonts w:eastAsia="Times New Roman" w:cs="Times New Roman"/>
          <w:szCs w:val="24"/>
        </w:rPr>
        <w:t>Not applicable, the proposed collection does not include any pledges of confidentiality that are not supported by authority established in statute or regulation.</w:t>
      </w:r>
    </w:p>
    <w:p w14:paraId="50F422B1" w14:textId="77777777" w:rsidR="00642B6A" w:rsidRPr="00B86819"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50F422B2" w14:textId="064833E1" w:rsidR="00642B6A" w:rsidRPr="00C9497A" w:rsidRDefault="00AD0896" w:rsidP="00E42A80">
      <w:pPr>
        <w:tabs>
          <w:tab w:val="left" w:pos="-720"/>
          <w:tab w:val="left" w:pos="0"/>
          <w:tab w:val="left" w:pos="720"/>
        </w:tabs>
        <w:spacing w:after="240"/>
        <w:ind w:firstLine="720"/>
        <w:rPr>
          <w:rFonts w:eastAsia="Times New Roman" w:cs="Times New Roman"/>
          <w:b/>
          <w:szCs w:val="24"/>
        </w:rPr>
      </w:pPr>
      <w:r w:rsidRPr="00AD0896">
        <w:rPr>
          <w:rFonts w:eastAsia="Times New Roman" w:cs="Times New Roman"/>
          <w:szCs w:val="24"/>
        </w:rPr>
        <w:t xml:space="preserve">All current and proposed requirements to submit proprietary or other confidential information are subject to the Commission’s existing statutory, regulatory, and procedural requirements to protect the confidentiality of such information. This includes the requirements of sections 8(a) and 21(c)(6) of the Act as well as in §§ </w:t>
      </w:r>
      <w:r w:rsidR="007A1013">
        <w:rPr>
          <w:rFonts w:eastAsia="Times New Roman" w:cs="Times New Roman"/>
          <w:szCs w:val="24"/>
        </w:rPr>
        <w:t xml:space="preserve">43.4, </w:t>
      </w:r>
      <w:r w:rsidRPr="00AD0896">
        <w:rPr>
          <w:rFonts w:eastAsia="Times New Roman" w:cs="Times New Roman"/>
          <w:szCs w:val="24"/>
        </w:rPr>
        <w:t>49.16, 49.17, and 49.18, and parts 145 and 147 of the Commission’s regulations.</w:t>
      </w:r>
      <w:r>
        <w:rPr>
          <w:rFonts w:eastAsia="Times New Roman" w:cs="Times New Roman"/>
          <w:b/>
          <w:szCs w:val="24"/>
        </w:rPr>
        <w:t xml:space="preserve"> </w:t>
      </w:r>
      <w:r>
        <w:rPr>
          <w:rFonts w:eastAsia="Times New Roman" w:cs="Times New Roman"/>
          <w:szCs w:val="24"/>
        </w:rPr>
        <w:t>Most information required to be collected or reported under Information Collection 3038-0070 is made public.</w:t>
      </w:r>
    </w:p>
    <w:p w14:paraId="50F422B3" w14:textId="704971F2"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w:t>
      </w:r>
      <w:r w:rsidR="00C83EDF">
        <w:rPr>
          <w:rFonts w:eastAsia="Times New Roman" w:cs="Times New Roman"/>
          <w:b/>
          <w:szCs w:val="24"/>
        </w:rPr>
        <w:t xml:space="preserve">on prior to submission to OMB. </w:t>
      </w:r>
      <w:r w:rsidRPr="00642B6A">
        <w:rPr>
          <w:rFonts w:eastAsia="Times New Roman" w:cs="Times New Roman"/>
          <w:b/>
          <w:szCs w:val="24"/>
        </w:rPr>
        <w:t xml:space="preserve">Summarize public comments received in response to that notice and describe actions taken by the agency </w:t>
      </w:r>
      <w:r w:rsidR="00C83EDF">
        <w:rPr>
          <w:rFonts w:eastAsia="Times New Roman" w:cs="Times New Roman"/>
          <w:b/>
          <w:szCs w:val="24"/>
        </w:rPr>
        <w:t xml:space="preserve">in response to these comments. </w:t>
      </w:r>
      <w:r w:rsidRPr="00642B6A">
        <w:rPr>
          <w:rFonts w:eastAsia="Times New Roman" w:cs="Times New Roman"/>
          <w:b/>
          <w:szCs w:val="24"/>
        </w:rPr>
        <w:t>Specifically address comments received on cost and hour burden.</w:t>
      </w:r>
    </w:p>
    <w:p w14:paraId="50F422B4" w14:textId="2CFCB7AF" w:rsidR="00653547" w:rsidRPr="00642B6A" w:rsidRDefault="00B86819" w:rsidP="007A1013">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00AD0896" w:rsidRPr="00AD0896">
        <w:rPr>
          <w:rFonts w:eastAsia="Times New Roman" w:cs="Times New Roman"/>
          <w:szCs w:val="24"/>
        </w:rPr>
        <w:t>The Commission seeks public comment on any aspect of the proposed amendments to this collection of information in the proposing release for this proposed rulemaking</w:t>
      </w:r>
      <w:r w:rsidR="00A80B52">
        <w:rPr>
          <w:rFonts w:eastAsia="Times New Roman" w:cs="Times New Roman"/>
          <w:szCs w:val="24"/>
        </w:rPr>
        <w:t xml:space="preserve"> dated _____, 2019 beginning on page _____</w:t>
      </w:r>
      <w:r w:rsidR="00AD0896" w:rsidRPr="00AD0896">
        <w:rPr>
          <w:rFonts w:eastAsia="Times New Roman" w:cs="Times New Roman"/>
          <w:szCs w:val="24"/>
        </w:rPr>
        <w:t>.</w:t>
      </w:r>
    </w:p>
    <w:p w14:paraId="50F422B5"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14:paraId="50F422B6" w14:textId="002D470A" w:rsidR="0027708A" w:rsidRDefault="007A1013" w:rsidP="007A1013">
      <w:pPr>
        <w:tabs>
          <w:tab w:val="left" w:pos="-720"/>
          <w:tab w:val="left" w:pos="1305"/>
        </w:tabs>
        <w:spacing w:after="240"/>
        <w:ind w:firstLine="720"/>
        <w:rPr>
          <w:rFonts w:eastAsia="Times New Roman" w:cs="Times New Roman"/>
          <w:szCs w:val="24"/>
        </w:rPr>
      </w:pPr>
      <w:r w:rsidRPr="007A1013">
        <w:rPr>
          <w:rFonts w:eastAsia="Times New Roman" w:cs="Times New Roman"/>
          <w:szCs w:val="24"/>
        </w:rPr>
        <w:t>Not applicable, no payment or gift will be provided to respondents.</w:t>
      </w:r>
      <w:r>
        <w:rPr>
          <w:rFonts w:eastAsia="Times New Roman" w:cs="Times New Roman"/>
          <w:szCs w:val="24"/>
        </w:rPr>
        <w:tab/>
      </w:r>
    </w:p>
    <w:p w14:paraId="50F422B7"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14:paraId="50F422B8" w14:textId="2AEB39F8" w:rsidR="00D945B5" w:rsidRPr="007A1013" w:rsidRDefault="007A1013" w:rsidP="007A1013">
      <w:pPr>
        <w:tabs>
          <w:tab w:val="left" w:pos="-720"/>
        </w:tabs>
        <w:spacing w:after="240"/>
        <w:ind w:firstLine="720"/>
        <w:rPr>
          <w:rFonts w:eastAsia="Times New Roman" w:cs="Times New Roman"/>
          <w:szCs w:val="24"/>
        </w:rPr>
      </w:pPr>
      <w:r w:rsidRPr="007A1013">
        <w:rPr>
          <w:rFonts w:eastAsia="Times New Roman" w:cs="Times New Roman"/>
          <w:szCs w:val="24"/>
        </w:rPr>
        <w:t xml:space="preserve">All current and proposed requirements to submit proprietary or other confidential information are subject to the Commission’s existing statutory, regulatory, and procedural requirements to protect the confidentiality of such information. This includes the requirements of sections 8(a) and 21(c)(6) of the Act as well as in §§ </w:t>
      </w:r>
      <w:r>
        <w:rPr>
          <w:rFonts w:eastAsia="Times New Roman" w:cs="Times New Roman"/>
          <w:szCs w:val="24"/>
        </w:rPr>
        <w:t xml:space="preserve">43.4, </w:t>
      </w:r>
      <w:r w:rsidRPr="007A1013">
        <w:rPr>
          <w:rFonts w:eastAsia="Times New Roman" w:cs="Times New Roman"/>
          <w:szCs w:val="24"/>
        </w:rPr>
        <w:t>49.16, 49.17, and 49.18, and parts 145 and 147 of the Commission’s regulations.</w:t>
      </w:r>
      <w:r>
        <w:rPr>
          <w:rFonts w:eastAsia="Times New Roman" w:cs="Times New Roman"/>
          <w:szCs w:val="24"/>
        </w:rPr>
        <w:t xml:space="preserve"> Most information required to be collected or reported under Information Collection 3038-0070 is made public.</w:t>
      </w:r>
    </w:p>
    <w:p w14:paraId="50F422B9" w14:textId="78B0910F"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w:t>
      </w:r>
      <w:r w:rsidR="00C83EDF">
        <w:rPr>
          <w:rFonts w:eastAsia="Times New Roman" w:cs="Times New Roman"/>
          <w:b/>
          <w:szCs w:val="24"/>
        </w:rPr>
        <w:t xml:space="preserve">e commonly considered private. </w:t>
      </w:r>
      <w:r w:rsidRPr="00642B6A">
        <w:rPr>
          <w:rFonts w:eastAsia="Times New Roman" w:cs="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D0DBF20" w14:textId="77777777" w:rsidR="008F41C5" w:rsidRPr="008F41C5" w:rsidRDefault="008F41C5" w:rsidP="008F41C5">
      <w:pPr>
        <w:tabs>
          <w:tab w:val="left" w:pos="-720"/>
        </w:tabs>
        <w:suppressAutoHyphens/>
        <w:ind w:firstLine="720"/>
        <w:rPr>
          <w:rFonts w:eastAsia="Times New Roman" w:cs="Times New Roman"/>
          <w:szCs w:val="24"/>
        </w:rPr>
      </w:pPr>
      <w:r w:rsidRPr="008F41C5">
        <w:rPr>
          <w:rFonts w:eastAsia="Times New Roman" w:cs="Times New Roman"/>
          <w:szCs w:val="24"/>
        </w:rPr>
        <w:t>Not applicable, the collection does not involve any questions of a sensitive nature, as the term is used in this question.</w:t>
      </w:r>
    </w:p>
    <w:p w14:paraId="04A5B53A" w14:textId="77777777" w:rsidR="008F41C5" w:rsidRPr="00642B6A" w:rsidRDefault="008F41C5" w:rsidP="008F41C5">
      <w:pPr>
        <w:tabs>
          <w:tab w:val="left" w:pos="-720"/>
        </w:tabs>
        <w:suppressAutoHyphens/>
        <w:rPr>
          <w:rFonts w:eastAsia="Times New Roman" w:cs="Times New Roman"/>
          <w:szCs w:val="24"/>
        </w:rPr>
      </w:pPr>
    </w:p>
    <w:p w14:paraId="50F422BB" w14:textId="1D96D698" w:rsidR="00642B6A" w:rsidRPr="00642B6A" w:rsidRDefault="00642B6A" w:rsidP="00505251">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 xml:space="preserve">Provide estimates of the hour burden of </w:t>
      </w:r>
      <w:r w:rsidR="00C83EDF">
        <w:rPr>
          <w:rFonts w:eastAsia="Times New Roman" w:cs="Times New Roman"/>
          <w:b/>
          <w:szCs w:val="24"/>
        </w:rPr>
        <w:t xml:space="preserve">the collection of information. </w:t>
      </w:r>
      <w:r w:rsidRPr="00642B6A">
        <w:rPr>
          <w:rFonts w:eastAsia="Times New Roman" w:cs="Times New Roman"/>
          <w:b/>
          <w:szCs w:val="24"/>
        </w:rPr>
        <w:t>The Statement should:</w:t>
      </w:r>
    </w:p>
    <w:p w14:paraId="50F422BC" w14:textId="320B0D8D"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w:t>
      </w:r>
      <w:r w:rsidR="00C83EDF">
        <w:rPr>
          <w:rFonts w:eastAsia="Times New Roman" w:cs="Times New Roman"/>
          <w:b/>
          <w:szCs w:val="24"/>
        </w:rPr>
        <w:t xml:space="preserve"> how the burden was estimated. </w:t>
      </w:r>
      <w:r w:rsidRPr="00642B6A">
        <w:rPr>
          <w:rFonts w:eastAsia="Times New Roman" w:cs="Times New Roman"/>
          <w:b/>
          <w:szCs w:val="24"/>
        </w:rPr>
        <w:t>Unless directed to do so, agencies should not conduct special surveys to obtain information on which to base hour burden esti</w:t>
      </w:r>
      <w:r w:rsidR="00C83EDF">
        <w:rPr>
          <w:rFonts w:eastAsia="Times New Roman" w:cs="Times New Roman"/>
          <w:b/>
          <w:szCs w:val="24"/>
        </w:rPr>
        <w:t xml:space="preserve">mates. </w:t>
      </w:r>
      <w:r w:rsidRPr="00642B6A">
        <w:rPr>
          <w:rFonts w:eastAsia="Times New Roman" w:cs="Times New Roman"/>
          <w:b/>
          <w:szCs w:val="24"/>
        </w:rPr>
        <w:t>Consultation with a sample (fewer than ten) of poten</w:t>
      </w:r>
      <w:r w:rsidR="00C83EDF">
        <w:rPr>
          <w:rFonts w:eastAsia="Times New Roman" w:cs="Times New Roman"/>
          <w:b/>
          <w:szCs w:val="24"/>
        </w:rPr>
        <w:t xml:space="preserve">tial respondents is desirable. </w:t>
      </w:r>
      <w:r w:rsidRPr="00642B6A">
        <w:rPr>
          <w:rFonts w:eastAsia="Times New Roman" w:cs="Times New Roman"/>
          <w:b/>
          <w:szCs w:val="24"/>
        </w:rPr>
        <w:t>If the hour burden on respondents is expected to vary widely because of differences in activity, size or complexity, show the range of estimated hour burden, and explain</w:t>
      </w:r>
      <w:r w:rsidR="00C83EDF">
        <w:rPr>
          <w:rFonts w:eastAsia="Times New Roman" w:cs="Times New Roman"/>
          <w:b/>
          <w:szCs w:val="24"/>
        </w:rPr>
        <w:t xml:space="preserve"> the reasons for the variance. </w:t>
      </w:r>
      <w:r w:rsidRPr="00642B6A">
        <w:rPr>
          <w:rFonts w:eastAsia="Times New Roman" w:cs="Times New Roman"/>
          <w:b/>
          <w:szCs w:val="24"/>
        </w:rPr>
        <w:t>Generally, estimates should not include burden hours for customary and usual business practices.</w:t>
      </w:r>
    </w:p>
    <w:p w14:paraId="50F422BD"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14:paraId="50F422BE" w14:textId="5292C408"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w:t>
      </w:r>
      <w:r w:rsidR="00C83EDF">
        <w:rPr>
          <w:rFonts w:eastAsia="Times New Roman" w:cs="Times New Roman"/>
          <w:b/>
          <w:szCs w:val="24"/>
        </w:rPr>
        <w:t xml:space="preserve">ropriate wage rate categories. </w:t>
      </w:r>
      <w:r w:rsidRPr="00642B6A">
        <w:rPr>
          <w:rFonts w:eastAsia="Times New Roman" w:cs="Times New Roman"/>
          <w:b/>
          <w:szCs w:val="24"/>
        </w:rPr>
        <w:t>The cost of contracting out or paying outside parties for information collection activitie</w:t>
      </w:r>
      <w:r w:rsidR="00C83EDF">
        <w:rPr>
          <w:rFonts w:eastAsia="Times New Roman" w:cs="Times New Roman"/>
          <w:b/>
          <w:szCs w:val="24"/>
        </w:rPr>
        <w:t xml:space="preserve">s should not be included here. </w:t>
      </w:r>
      <w:r w:rsidRPr="00642B6A">
        <w:rPr>
          <w:rFonts w:eastAsia="Times New Roman" w:cs="Times New Roman"/>
          <w:b/>
          <w:szCs w:val="24"/>
        </w:rPr>
        <w:t>Instead, this cost should be included in Item 13.</w:t>
      </w:r>
    </w:p>
    <w:p w14:paraId="235558A2" w14:textId="77777777" w:rsidR="008F41C5" w:rsidRPr="008F41C5" w:rsidRDefault="008F41C5" w:rsidP="008F41C5">
      <w:pPr>
        <w:ind w:firstLine="720"/>
        <w:rPr>
          <w:rFonts w:eastAsia="Times New Roman" w:cs="Times New Roman"/>
          <w:color w:val="000000"/>
          <w:szCs w:val="24"/>
        </w:rPr>
      </w:pPr>
      <w:r w:rsidRPr="008F41C5">
        <w:rPr>
          <w:rFonts w:eastAsia="Times New Roman" w:cs="Times New Roman"/>
          <w:color w:val="000000"/>
          <w:szCs w:val="24"/>
        </w:rPr>
        <w:t>Please see attachment A for the estimated hour burden for the proposed collections of information discussed in this supporting statement.</w:t>
      </w:r>
    </w:p>
    <w:p w14:paraId="1C35FCBF" w14:textId="77777777" w:rsidR="008F41C5" w:rsidRPr="008F41C5" w:rsidRDefault="008F41C5" w:rsidP="008F41C5">
      <w:pPr>
        <w:ind w:firstLine="720"/>
        <w:jc w:val="both"/>
        <w:rPr>
          <w:rFonts w:eastAsia="Times New Roman" w:cs="Times New Roman"/>
          <w:color w:val="000000"/>
          <w:szCs w:val="24"/>
        </w:rPr>
      </w:pPr>
    </w:p>
    <w:p w14:paraId="50F422BF" w14:textId="7669EC0C" w:rsidR="00642B6A" w:rsidRPr="00642B6A" w:rsidRDefault="008F41C5" w:rsidP="008F41C5">
      <w:pPr>
        <w:ind w:firstLine="720"/>
        <w:rPr>
          <w:rFonts w:eastAsia="Times New Roman" w:cs="Times New Roman"/>
          <w:color w:val="000000"/>
          <w:szCs w:val="24"/>
        </w:rPr>
      </w:pPr>
      <w:r w:rsidRPr="008F41C5">
        <w:rPr>
          <w:rFonts w:eastAsia="Times New Roman" w:cs="Times New Roman"/>
          <w:color w:val="000000"/>
          <w:szCs w:val="24"/>
        </w:rPr>
        <w:t>In calculating this cost estimate, the Commission estimates the appropriate wage rate based on salary information for the securities industry compiled by the Department of Labor’s Bureau of Labor Statistics (“BLS”). Commission staff arrived at an hourly rate of $72.23 using figures from a weighted average of salaries and bonuses across different professions contained in the most recent BLS Occupational Employme</w:t>
      </w:r>
      <w:r w:rsidR="00755F59">
        <w:rPr>
          <w:rFonts w:eastAsia="Times New Roman" w:cs="Times New Roman"/>
          <w:color w:val="000000"/>
          <w:szCs w:val="24"/>
        </w:rPr>
        <w:t xml:space="preserve">nt and Wages Report (May 2018) </w:t>
      </w:r>
      <w:r w:rsidRPr="008F41C5">
        <w:rPr>
          <w:rFonts w:eastAsia="Times New Roman" w:cs="Times New Roman"/>
          <w:color w:val="000000"/>
          <w:szCs w:val="24"/>
        </w:rPr>
        <w:t>multiplied by 1.3 to account for overhead and other benefits. The Commission estimated appropriate wage rate is a weighted national average of mean hourly wages for the following occupations (and their relative weight): “computer programmer – industry: securities, commodity contracts, and other financial investment and related activities” (50% weight); “compliance officer – industry: securities, commodity contracts, and other financial investment and related activities” (25%); and “lawyer – legal services” (25%). Commission staff chose this methodology to account for the variance in skill sets that may be used to accomplish the collection of information.</w:t>
      </w:r>
    </w:p>
    <w:p w14:paraId="50F422C0" w14:textId="77777777" w:rsidR="00642B6A" w:rsidRPr="00642B6A" w:rsidRDefault="00642B6A" w:rsidP="00642B6A">
      <w:pPr>
        <w:ind w:firstLine="720"/>
        <w:rPr>
          <w:rFonts w:eastAsia="Times New Roman" w:cs="Times New Roman"/>
          <w:color w:val="000000"/>
          <w:szCs w:val="24"/>
        </w:rPr>
      </w:pPr>
    </w:p>
    <w:p w14:paraId="50F422C1" w14:textId="5F035295"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recordkeepers resulting from </w:t>
      </w:r>
      <w:r w:rsidR="00C83EDF">
        <w:rPr>
          <w:rFonts w:eastAsia="Times New Roman" w:cs="Times New Roman"/>
          <w:b/>
          <w:szCs w:val="24"/>
        </w:rPr>
        <w:t xml:space="preserve">the collection of information. </w:t>
      </w:r>
      <w:r w:rsidRPr="00642B6A">
        <w:rPr>
          <w:rFonts w:eastAsia="Times New Roman" w:cs="Times New Roman"/>
          <w:b/>
          <w:szCs w:val="24"/>
        </w:rPr>
        <w:t>(Do not include the cost of any hour burden shown in Items 12 and 14).</w:t>
      </w:r>
    </w:p>
    <w:p w14:paraId="50F422C2" w14:textId="1F35A16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The cost estimate should be split into two components; (a) a total capital and start-up cost component (annualized over its expected useful life) and (b) a total operation and maintenance and purchase of </w:t>
      </w:r>
      <w:r w:rsidR="00C83EDF">
        <w:rPr>
          <w:rFonts w:eastAsia="Times New Roman" w:cs="Times New Roman"/>
          <w:b/>
          <w:szCs w:val="24"/>
        </w:rPr>
        <w:t xml:space="preserve">services component. </w:t>
      </w:r>
      <w:r w:rsidRPr="00642B6A">
        <w:rPr>
          <w:rFonts w:eastAsia="Times New Roman" w:cs="Times New Roman"/>
          <w:b/>
          <w:szCs w:val="24"/>
        </w:rPr>
        <w:t>The estimates should take into account costs associated with generating, maintaining, and disclosing</w:t>
      </w:r>
      <w:r w:rsidR="00C83EDF">
        <w:rPr>
          <w:rFonts w:eastAsia="Times New Roman" w:cs="Times New Roman"/>
          <w:b/>
          <w:szCs w:val="24"/>
        </w:rPr>
        <w:t xml:space="preserve"> or providing the information. </w:t>
      </w:r>
      <w:r w:rsidRPr="00642B6A">
        <w:rPr>
          <w:rFonts w:eastAsia="Times New Roman" w:cs="Times New Roman"/>
          <w:b/>
          <w:szCs w:val="24"/>
        </w:rPr>
        <w:t>Include descriptions of methods used to estimate major costs factors including system and technology acquisition, expected useful life of capital equipment, the discount rate(s), and the time period over</w:t>
      </w:r>
      <w:r w:rsidR="00C83EDF">
        <w:rPr>
          <w:rFonts w:eastAsia="Times New Roman" w:cs="Times New Roman"/>
          <w:b/>
          <w:szCs w:val="24"/>
        </w:rPr>
        <w:t xml:space="preserve"> which costs will be incurred. </w:t>
      </w:r>
      <w:r w:rsidRPr="00642B6A">
        <w:rPr>
          <w:rFonts w:eastAsia="Times New Roman" w:cs="Times New Roman"/>
          <w:b/>
          <w:szCs w:val="24"/>
        </w:rPr>
        <w:t>Capital and start-up costs include, among other items, preparations for collecting information such as purchasing computers and software, monitoring, sampling, drilling and testing equipment, and record storage facilities.</w:t>
      </w:r>
    </w:p>
    <w:p w14:paraId="50F422C3" w14:textId="5AA257E5"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w:t>
      </w:r>
      <w:r w:rsidR="00C83EDF">
        <w:rPr>
          <w:rFonts w:eastAsia="Times New Roman" w:cs="Times New Roman"/>
          <w:b/>
          <w:szCs w:val="24"/>
        </w:rPr>
        <w:t xml:space="preserve"> the reasons for the variance. </w:t>
      </w:r>
      <w:r w:rsidRPr="00642B6A">
        <w:rPr>
          <w:rFonts w:eastAsia="Times New Roman" w:cs="Times New Roman"/>
          <w:b/>
          <w:szCs w:val="24"/>
        </w:rPr>
        <w:t>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50F422C4"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0F422C6" w14:textId="2F283F3C" w:rsidR="00637711" w:rsidRDefault="00347613" w:rsidP="00642B6A">
      <w:pPr>
        <w:ind w:firstLine="720"/>
        <w:rPr>
          <w:rFonts w:eastAsia="Times New Roman" w:cs="Times New Roman"/>
          <w:color w:val="000000"/>
          <w:szCs w:val="24"/>
        </w:rPr>
      </w:pPr>
      <w:r>
        <w:rPr>
          <w:rFonts w:eastAsia="Times New Roman" w:cs="Times New Roman"/>
          <w:color w:val="000000"/>
          <w:szCs w:val="24"/>
        </w:rPr>
        <w:t>The Commission does not expect that the proposed changes to part 43 will result in any start-up or maintenance c</w:t>
      </w:r>
      <w:r w:rsidR="00AD5FD4">
        <w:rPr>
          <w:rFonts w:eastAsia="Times New Roman" w:cs="Times New Roman"/>
          <w:color w:val="000000"/>
          <w:szCs w:val="24"/>
        </w:rPr>
        <w:t>osts for respondents in addition to what is discussed in the response to Question 12 above and in Attachment A.</w:t>
      </w:r>
    </w:p>
    <w:p w14:paraId="157A3524" w14:textId="77777777" w:rsidR="00347613" w:rsidRPr="00642B6A" w:rsidRDefault="00347613" w:rsidP="00642B6A">
      <w:pPr>
        <w:ind w:firstLine="720"/>
        <w:rPr>
          <w:rFonts w:eastAsia="Times New Roman" w:cs="Times New Roman"/>
          <w:color w:val="000000"/>
          <w:szCs w:val="24"/>
        </w:rPr>
      </w:pPr>
    </w:p>
    <w:p w14:paraId="50F422C7" w14:textId="3471EF54"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Provide estimates of the annualized co</w:t>
      </w:r>
      <w:r w:rsidR="00C83EDF">
        <w:rPr>
          <w:rFonts w:eastAsia="Times New Roman" w:cs="Times New Roman"/>
          <w:b/>
          <w:szCs w:val="24"/>
        </w:rPr>
        <w:t xml:space="preserve">sts to the Federal Government. </w:t>
      </w:r>
      <w:r w:rsidRPr="00642B6A">
        <w:rPr>
          <w:rFonts w:eastAsia="Times New Roman" w:cs="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00C83EDF">
        <w:rPr>
          <w:rFonts w:eastAsia="Times New Roman" w:cs="Times New Roman"/>
          <w:b/>
          <w:szCs w:val="24"/>
        </w:rPr>
        <w:t xml:space="preserve">his collection of information. </w:t>
      </w:r>
      <w:r w:rsidRPr="00642B6A">
        <w:rPr>
          <w:rFonts w:eastAsia="Times New Roman" w:cs="Times New Roman"/>
          <w:b/>
          <w:szCs w:val="24"/>
        </w:rPr>
        <w:t>Agencies may also aggregate cost estimates from Items 12,</w:t>
      </w:r>
      <w:r w:rsidR="00C83EDF">
        <w:rPr>
          <w:rFonts w:eastAsia="Times New Roman" w:cs="Times New Roman"/>
          <w:b/>
          <w:szCs w:val="24"/>
        </w:rPr>
        <w:t xml:space="preserve"> 13, and 14 in a single table.</w:t>
      </w:r>
    </w:p>
    <w:p w14:paraId="50F422C8" w14:textId="1F0D33F7" w:rsidR="00642B6A" w:rsidRPr="00642B6A" w:rsidRDefault="00642B6A" w:rsidP="007553BE">
      <w:pPr>
        <w:tabs>
          <w:tab w:val="left" w:pos="-720"/>
        </w:tabs>
        <w:spacing w:after="240"/>
        <w:rPr>
          <w:rFonts w:eastAsia="Times New Roman" w:cs="Times New Roman"/>
          <w:szCs w:val="24"/>
        </w:rPr>
      </w:pPr>
      <w:r w:rsidRPr="00642B6A">
        <w:rPr>
          <w:rFonts w:eastAsia="Times New Roman" w:cs="Times New Roman"/>
          <w:szCs w:val="24"/>
        </w:rPr>
        <w:tab/>
      </w:r>
      <w:r w:rsidR="007553BE">
        <w:rPr>
          <w:rFonts w:eastAsia="Times New Roman" w:cs="Times New Roman"/>
          <w:szCs w:val="24"/>
        </w:rPr>
        <w:t>The Commission does not</w:t>
      </w:r>
      <w:r w:rsidR="007553BE" w:rsidRPr="007553BE">
        <w:rPr>
          <w:rFonts w:eastAsia="Times New Roman" w:cs="Times New Roman"/>
          <w:szCs w:val="24"/>
        </w:rPr>
        <w:t xml:space="preserve"> anticipate that </w:t>
      </w:r>
      <w:r w:rsidR="007553BE">
        <w:rPr>
          <w:rFonts w:eastAsia="Times New Roman" w:cs="Times New Roman"/>
          <w:szCs w:val="24"/>
        </w:rPr>
        <w:t xml:space="preserve">the </w:t>
      </w:r>
      <w:r w:rsidR="007553BE" w:rsidRPr="007553BE">
        <w:rPr>
          <w:rFonts w:eastAsia="Times New Roman" w:cs="Times New Roman"/>
          <w:szCs w:val="24"/>
        </w:rPr>
        <w:t>proposed changes will require additional staff time or technology resources beyond what is already dedicated to this collection, as discussed in previous filings related to Information C</w:t>
      </w:r>
      <w:r w:rsidR="007553BE">
        <w:rPr>
          <w:rFonts w:eastAsia="Times New Roman" w:cs="Times New Roman"/>
          <w:szCs w:val="24"/>
        </w:rPr>
        <w:t>ollection 3038-0070</w:t>
      </w:r>
      <w:r w:rsidR="007553BE" w:rsidRPr="007553BE">
        <w:rPr>
          <w:rFonts w:eastAsia="Times New Roman" w:cs="Times New Roman"/>
          <w:szCs w:val="24"/>
        </w:rPr>
        <w:t>.</w:t>
      </w:r>
    </w:p>
    <w:p w14:paraId="50F422C9"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14:paraId="50F422CA" w14:textId="761F8797" w:rsidR="00642B6A" w:rsidRPr="00642B6A" w:rsidRDefault="00642B6A" w:rsidP="00BE76BF">
      <w:pPr>
        <w:tabs>
          <w:tab w:val="left" w:pos="-720"/>
        </w:tabs>
        <w:spacing w:after="240"/>
        <w:rPr>
          <w:rFonts w:eastAsia="Times New Roman" w:cs="Times New Roman"/>
          <w:szCs w:val="24"/>
        </w:rPr>
      </w:pPr>
      <w:r w:rsidRPr="00642B6A">
        <w:rPr>
          <w:rFonts w:eastAsia="Times New Roman" w:cs="Times New Roman"/>
          <w:szCs w:val="24"/>
        </w:rPr>
        <w:tab/>
      </w:r>
      <w:r w:rsidR="00752AE8" w:rsidRPr="00752AE8">
        <w:rPr>
          <w:rFonts w:eastAsia="Times New Roman" w:cs="Times New Roman"/>
          <w:szCs w:val="24"/>
        </w:rPr>
        <w:t>As discussed above, the Commission is</w:t>
      </w:r>
      <w:r w:rsidR="00752AE8">
        <w:rPr>
          <w:rFonts w:eastAsia="Times New Roman" w:cs="Times New Roman"/>
          <w:szCs w:val="24"/>
        </w:rPr>
        <w:t xml:space="preserve"> proposing amendments to part 43</w:t>
      </w:r>
      <w:r w:rsidR="00752AE8" w:rsidRPr="00752AE8">
        <w:rPr>
          <w:rFonts w:eastAsia="Times New Roman" w:cs="Times New Roman"/>
          <w:szCs w:val="24"/>
        </w:rPr>
        <w:t xml:space="preserve"> of the Commission</w:t>
      </w:r>
      <w:r w:rsidR="00AA013C">
        <w:rPr>
          <w:rFonts w:eastAsia="Times New Roman" w:cs="Times New Roman"/>
          <w:szCs w:val="24"/>
        </w:rPr>
        <w:t>’s</w:t>
      </w:r>
      <w:r w:rsidR="00752AE8" w:rsidRPr="00752AE8">
        <w:rPr>
          <w:rFonts w:eastAsia="Times New Roman" w:cs="Times New Roman"/>
          <w:szCs w:val="24"/>
        </w:rPr>
        <w:t xml:space="preserve"> regulations in order to improve the quality of swaps transaction</w:t>
      </w:r>
      <w:r w:rsidR="00752AE8">
        <w:rPr>
          <w:rFonts w:eastAsia="Times New Roman" w:cs="Times New Roman"/>
          <w:szCs w:val="24"/>
        </w:rPr>
        <w:t xml:space="preserve"> and pricing data available</w:t>
      </w:r>
      <w:r w:rsidR="00752AE8" w:rsidRPr="00752AE8">
        <w:rPr>
          <w:rFonts w:eastAsia="Times New Roman" w:cs="Times New Roman"/>
          <w:szCs w:val="24"/>
        </w:rPr>
        <w:t xml:space="preserve"> to the public as well as to streamline regulatory requirements govern</w:t>
      </w:r>
      <w:r w:rsidR="00752AE8">
        <w:rPr>
          <w:rFonts w:eastAsia="Times New Roman" w:cs="Times New Roman"/>
          <w:szCs w:val="24"/>
        </w:rPr>
        <w:t>ing data reporting</w:t>
      </w:r>
      <w:r w:rsidR="00752AE8" w:rsidRPr="00752AE8">
        <w:rPr>
          <w:rFonts w:eastAsia="Times New Roman" w:cs="Times New Roman"/>
          <w:szCs w:val="24"/>
        </w:rPr>
        <w:t xml:space="preserve">. This supporting statement discusses adjustments to burden hours calculations for </w:t>
      </w:r>
      <w:r w:rsidR="00752AE8">
        <w:rPr>
          <w:rFonts w:eastAsia="Times New Roman" w:cs="Times New Roman"/>
          <w:szCs w:val="24"/>
        </w:rPr>
        <w:t>Information Collection 3038-0070</w:t>
      </w:r>
      <w:r w:rsidR="00752AE8" w:rsidRPr="00752AE8">
        <w:rPr>
          <w:rFonts w:eastAsia="Times New Roman" w:cs="Times New Roman"/>
          <w:szCs w:val="24"/>
        </w:rPr>
        <w:t xml:space="preserve"> to account for modified and new burdens associated with the proposed changes to t</w:t>
      </w:r>
      <w:r w:rsidR="00752AE8">
        <w:rPr>
          <w:rFonts w:eastAsia="Times New Roman" w:cs="Times New Roman"/>
          <w:szCs w:val="24"/>
        </w:rPr>
        <w:t xml:space="preserve">he regulation. The Commission </w:t>
      </w:r>
      <w:r w:rsidR="00752AE8" w:rsidRPr="00752AE8">
        <w:rPr>
          <w:rFonts w:eastAsia="Times New Roman" w:cs="Times New Roman"/>
          <w:szCs w:val="24"/>
        </w:rPr>
        <w:t xml:space="preserve">is also updating the overall burden hours, collection volumes, and costs related to </w:t>
      </w:r>
      <w:r w:rsidR="00752AE8">
        <w:rPr>
          <w:rFonts w:eastAsia="Times New Roman" w:cs="Times New Roman"/>
          <w:szCs w:val="24"/>
        </w:rPr>
        <w:t>Information Collection 3038-0070</w:t>
      </w:r>
      <w:r w:rsidR="00752AE8" w:rsidRPr="00752AE8">
        <w:rPr>
          <w:rFonts w:eastAsia="Times New Roman" w:cs="Times New Roman"/>
          <w:szCs w:val="24"/>
        </w:rPr>
        <w:t xml:space="preserve">, based on updated information related to other collections within </w:t>
      </w:r>
      <w:r w:rsidR="00752AE8">
        <w:rPr>
          <w:rFonts w:eastAsia="Times New Roman" w:cs="Times New Roman"/>
          <w:szCs w:val="24"/>
        </w:rPr>
        <w:t>Information Collection 3038-0070</w:t>
      </w:r>
      <w:r w:rsidR="00752AE8" w:rsidRPr="00752AE8">
        <w:rPr>
          <w:rFonts w:eastAsia="Times New Roman" w:cs="Times New Roman"/>
          <w:szCs w:val="24"/>
        </w:rPr>
        <w:t xml:space="preserve"> that are not being modified by this proposal. For example, </w:t>
      </w:r>
      <w:r w:rsidR="00752AE8">
        <w:rPr>
          <w:rFonts w:eastAsia="Times New Roman" w:cs="Times New Roman"/>
          <w:szCs w:val="24"/>
        </w:rPr>
        <w:t>the Commission is updating the estimated numbers of each type of entity affected by this collection to accurately reflect the current number of each type of entity</w:t>
      </w:r>
      <w:r w:rsidR="00752AE8" w:rsidRPr="00752AE8">
        <w:rPr>
          <w:rFonts w:eastAsia="Times New Roman" w:cs="Times New Roman"/>
          <w:szCs w:val="24"/>
        </w:rPr>
        <w:t>.</w:t>
      </w:r>
      <w:r w:rsidR="00752AE8">
        <w:rPr>
          <w:rFonts w:eastAsia="Times New Roman" w:cs="Times New Roman"/>
          <w:szCs w:val="24"/>
        </w:rPr>
        <w:t xml:space="preserve"> This includes 24 SEFs (previously 25), 3 DCMs that allow execution of swaps (prev</w:t>
      </w:r>
      <w:r w:rsidR="007D7026">
        <w:rPr>
          <w:rFonts w:eastAsia="Times New Roman" w:cs="Times New Roman"/>
          <w:szCs w:val="24"/>
        </w:rPr>
        <w:t>iously 15), 3 SDRs (previously 4</w:t>
      </w:r>
      <w:r w:rsidR="00752AE8">
        <w:rPr>
          <w:rFonts w:eastAsia="Times New Roman" w:cs="Times New Roman"/>
          <w:szCs w:val="24"/>
        </w:rPr>
        <w:t xml:space="preserve">), </w:t>
      </w:r>
      <w:r w:rsidR="00A80B52">
        <w:rPr>
          <w:rFonts w:eastAsia="Times New Roman" w:cs="Times New Roman"/>
          <w:szCs w:val="24"/>
        </w:rPr>
        <w:t xml:space="preserve">14 DCOs that clear swaps (not previously included), </w:t>
      </w:r>
      <w:r w:rsidR="00752AE8">
        <w:rPr>
          <w:rFonts w:eastAsia="Times New Roman" w:cs="Times New Roman"/>
          <w:szCs w:val="24"/>
        </w:rPr>
        <w:t>103 SDs/MSPs (previously 125), and 1585 non-SD/non-MSP reporting counterparties (previously 703).</w:t>
      </w:r>
    </w:p>
    <w:p w14:paraId="50F422CB" w14:textId="0616E26F"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w:t>
      </w:r>
      <w:r w:rsidR="00C83EDF">
        <w:rPr>
          <w:rFonts w:eastAsia="Times New Roman" w:cs="Times New Roman"/>
          <w:b/>
          <w:szCs w:val="24"/>
        </w:rPr>
        <w:t xml:space="preserve">cal analysis, and publication. </w:t>
      </w:r>
      <w:r w:rsidRPr="00642B6A">
        <w:rPr>
          <w:rFonts w:eastAsia="Times New Roman" w:cs="Times New Roman"/>
          <w:b/>
          <w:szCs w:val="24"/>
        </w:rPr>
        <w:t>Provide the time schedule for the entire project, including beginning and ending dates of the collection of information, completion of report, publication dates, and other actions.</w:t>
      </w:r>
    </w:p>
    <w:p w14:paraId="50F422CC" w14:textId="0731BBEC"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BE76BF" w:rsidRPr="00BE76BF">
        <w:rPr>
          <w:rFonts w:eastAsia="Times New Roman" w:cs="Times New Roman"/>
          <w:szCs w:val="24"/>
        </w:rPr>
        <w:t>Not applicable, the results of this collection of information are not planned to be published for statistical use.</w:t>
      </w:r>
    </w:p>
    <w:p w14:paraId="50F422CD"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14:paraId="50F422CE" w14:textId="7D71A652"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BE76BF" w:rsidRPr="00BE76BF">
        <w:rPr>
          <w:rFonts w:eastAsia="Times New Roman" w:cs="Times New Roman"/>
          <w:szCs w:val="24"/>
        </w:rPr>
        <w:t>Not applicable, the Commission is not seeking such approval for this publication.</w:t>
      </w:r>
    </w:p>
    <w:p w14:paraId="50F422CF"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14:paraId="50F422D0" w14:textId="40F729D4" w:rsidR="009D00FB" w:rsidRDefault="00642B6A" w:rsidP="009D00FB">
      <w:pPr>
        <w:tabs>
          <w:tab w:val="left" w:pos="-720"/>
        </w:tabs>
        <w:spacing w:after="240"/>
        <w:rPr>
          <w:rFonts w:eastAsia="Times New Roman" w:cs="Times New Roman"/>
          <w:szCs w:val="24"/>
        </w:rPr>
      </w:pPr>
      <w:r w:rsidRPr="00642B6A">
        <w:rPr>
          <w:rFonts w:eastAsia="Times New Roman" w:cs="Times New Roman"/>
          <w:szCs w:val="24"/>
        </w:rPr>
        <w:tab/>
      </w:r>
      <w:r w:rsidR="00BE76BF" w:rsidRPr="00BE76BF">
        <w:rPr>
          <w:rFonts w:eastAsia="Times New Roman" w:cs="Times New Roman"/>
          <w:szCs w:val="24"/>
        </w:rPr>
        <w:t>Not applicable, there are no</w:t>
      </w:r>
      <w:r w:rsidR="00BE76BF">
        <w:rPr>
          <w:rFonts w:eastAsia="Times New Roman" w:cs="Times New Roman"/>
          <w:szCs w:val="24"/>
        </w:rPr>
        <w:t xml:space="preserve"> exceptions.</w:t>
      </w:r>
    </w:p>
    <w:p w14:paraId="50F422D1" w14:textId="77777777" w:rsidR="00B74CE1" w:rsidRDefault="00B74CE1">
      <w:pPr>
        <w:spacing w:after="200" w:line="276" w:lineRule="auto"/>
        <w:rPr>
          <w:rFonts w:eastAsia="Times New Roman" w:cs="Times New Roman"/>
          <w:szCs w:val="24"/>
        </w:rPr>
      </w:pPr>
      <w:r>
        <w:rPr>
          <w:rFonts w:eastAsia="Times New Roman" w:cs="Times New Roman"/>
          <w:szCs w:val="24"/>
        </w:rPr>
        <w:br w:type="page"/>
      </w:r>
    </w:p>
    <w:p w14:paraId="50F422D2" w14:textId="77777777" w:rsidR="009D00FB" w:rsidRDefault="009D00FB">
      <w:pPr>
        <w:spacing w:after="200" w:line="276" w:lineRule="auto"/>
        <w:rPr>
          <w:rFonts w:eastAsia="Times New Roman" w:cs="Times New Roman"/>
          <w:szCs w:val="24"/>
        </w:rPr>
      </w:pPr>
    </w:p>
    <w:p w14:paraId="50F422D3" w14:textId="77777777" w:rsidR="00642B6A" w:rsidRPr="00642B6A" w:rsidRDefault="00642B6A" w:rsidP="005E4E5C">
      <w:pPr>
        <w:tabs>
          <w:tab w:val="left" w:pos="-720"/>
        </w:tabs>
        <w:spacing w:after="240"/>
        <w:jc w:val="center"/>
        <w:rPr>
          <w:rFonts w:eastAsia="Times New Roman" w:cs="Times New Roman"/>
          <w:b/>
          <w:szCs w:val="24"/>
        </w:rPr>
      </w:pPr>
      <w:r w:rsidRPr="00642B6A">
        <w:rPr>
          <w:rFonts w:eastAsia="Times New Roman" w:cs="Times New Roman"/>
          <w:b/>
          <w:szCs w:val="24"/>
        </w:rPr>
        <w:t>Attachment A</w:t>
      </w:r>
    </w:p>
    <w:p w14:paraId="50F422D4" w14:textId="77777777" w:rsidR="00642B6A" w:rsidRPr="00642B6A" w:rsidRDefault="00642B6A" w:rsidP="00642B6A">
      <w:pPr>
        <w:jc w:val="center"/>
        <w:rPr>
          <w:rFonts w:eastAsia="Times New Roman" w:cs="Times New Roman"/>
          <w:b/>
          <w:szCs w:val="24"/>
        </w:rPr>
      </w:pPr>
    </w:p>
    <w:p w14:paraId="50F422D5" w14:textId="2E3C207A" w:rsidR="00642B6A" w:rsidRDefault="00357E35" w:rsidP="00642B6A">
      <w:pPr>
        <w:jc w:val="center"/>
        <w:rPr>
          <w:rFonts w:eastAsia="Times New Roman" w:cs="Times New Roman"/>
          <w:b/>
          <w:szCs w:val="24"/>
        </w:rPr>
      </w:pPr>
      <w:r>
        <w:rPr>
          <w:rFonts w:eastAsia="Times New Roman" w:cs="Times New Roman"/>
          <w:b/>
          <w:szCs w:val="24"/>
        </w:rPr>
        <w:t>OMB Control Number 3038-0070</w:t>
      </w:r>
    </w:p>
    <w:p w14:paraId="50F422D6" w14:textId="54EF7A0F" w:rsidR="00642B6A" w:rsidRDefault="00A80B52" w:rsidP="00357E35">
      <w:pPr>
        <w:jc w:val="center"/>
        <w:rPr>
          <w:rFonts w:eastAsia="Times New Roman" w:cs="Times New Roman"/>
          <w:szCs w:val="24"/>
        </w:rPr>
      </w:pPr>
      <w:r>
        <w:rPr>
          <w:rFonts w:eastAsia="Times New Roman" w:cs="Times New Roman"/>
          <w:szCs w:val="24"/>
        </w:rPr>
        <w:t>Real-Time Public Reporting and BlockTrades</w:t>
      </w:r>
    </w:p>
    <w:p w14:paraId="15AE25DE" w14:textId="77777777" w:rsidR="00A80B52" w:rsidRPr="00642B6A" w:rsidRDefault="00A80B52" w:rsidP="00357E35">
      <w:pPr>
        <w:jc w:val="center"/>
        <w:rPr>
          <w:rFonts w:eastAsia="Times New Roman" w:cs="Times New Roman"/>
          <w:b/>
          <w:szCs w:val="24"/>
        </w:rPr>
      </w:pPr>
    </w:p>
    <w:p w14:paraId="50F422D7" w14:textId="6BBAD2D3" w:rsidR="008F6D4A" w:rsidRPr="008F6D4A" w:rsidRDefault="008F6D4A" w:rsidP="008F6D4A">
      <w:pPr>
        <w:jc w:val="center"/>
        <w:rPr>
          <w:rFonts w:eastAsia="Times New Roman" w:cs="Times New Roman"/>
          <w:szCs w:val="24"/>
        </w:rPr>
      </w:pPr>
      <w:r w:rsidRPr="008F6D4A">
        <w:rPr>
          <w:rFonts w:eastAsia="Times New Roman" w:cs="Times New Roman"/>
          <w:szCs w:val="24"/>
        </w:rPr>
        <w:t>Reporting Burden</w:t>
      </w:r>
    </w:p>
    <w:p w14:paraId="50F422D8" w14:textId="77777777" w:rsidR="008F6D4A" w:rsidRPr="008F6D4A" w:rsidRDefault="008F6D4A" w:rsidP="008F6D4A">
      <w:pPr>
        <w:jc w:val="center"/>
        <w:rPr>
          <w:rFonts w:eastAsia="Times New Roman" w:cs="Times New Roman"/>
          <w:szCs w:val="24"/>
        </w:rPr>
      </w:pPr>
    </w:p>
    <w:tbl>
      <w:tblPr>
        <w:tblW w:w="5968"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3"/>
        <w:gridCol w:w="1260"/>
        <w:gridCol w:w="1173"/>
        <w:gridCol w:w="1170"/>
        <w:gridCol w:w="1170"/>
        <w:gridCol w:w="992"/>
        <w:gridCol w:w="1170"/>
        <w:gridCol w:w="1081"/>
        <w:gridCol w:w="894"/>
        <w:gridCol w:w="1257"/>
      </w:tblGrid>
      <w:tr w:rsidR="007D22E3" w:rsidRPr="008F6D4A" w:rsidDel="009C6DB4" w14:paraId="50F422F6" w14:textId="77777777" w:rsidTr="00771D97">
        <w:trPr>
          <w:trHeight w:val="1427"/>
        </w:trPr>
        <w:tc>
          <w:tcPr>
            <w:tcW w:w="552" w:type="pct"/>
          </w:tcPr>
          <w:p w14:paraId="50F422D9"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w:t>
            </w:r>
          </w:p>
          <w:p w14:paraId="50F422DA"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Regulation(s)</w:t>
            </w:r>
          </w:p>
        </w:tc>
        <w:tc>
          <w:tcPr>
            <w:tcW w:w="551" w:type="pct"/>
          </w:tcPr>
          <w:p w14:paraId="50F422DB"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w:t>
            </w:r>
          </w:p>
          <w:p w14:paraId="50F422DC"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 xml:space="preserve">Estimated Number of Respondents </w:t>
            </w:r>
          </w:p>
          <w:p w14:paraId="50F422DD"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p>
        </w:tc>
        <w:tc>
          <w:tcPr>
            <w:tcW w:w="513" w:type="pct"/>
          </w:tcPr>
          <w:p w14:paraId="50F422DE"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3.</w:t>
            </w:r>
          </w:p>
          <w:p w14:paraId="50F422DF"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 xml:space="preserve">Estimated </w:t>
            </w:r>
            <w:r w:rsidRPr="005E41B2">
              <w:rPr>
                <w:rFonts w:ascii="Arial" w:eastAsia="Times New Roman" w:hAnsi="Arial" w:cs="Times New Roman"/>
                <w:b/>
                <w:sz w:val="16"/>
                <w:szCs w:val="16"/>
              </w:rPr>
              <w:t>Number of Reports</w:t>
            </w:r>
          </w:p>
          <w:p w14:paraId="50F422E0"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by Each Respondent</w:t>
            </w:r>
          </w:p>
        </w:tc>
        <w:tc>
          <w:tcPr>
            <w:tcW w:w="512" w:type="pct"/>
          </w:tcPr>
          <w:p w14:paraId="50F422E1"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4.</w:t>
            </w:r>
          </w:p>
          <w:p w14:paraId="50F422E2"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Estimated Average Number of Burden Hours per Response</w:t>
            </w:r>
          </w:p>
        </w:tc>
        <w:tc>
          <w:tcPr>
            <w:tcW w:w="512" w:type="pct"/>
          </w:tcPr>
          <w:p w14:paraId="50F422E3"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5.</w:t>
            </w:r>
          </w:p>
          <w:p w14:paraId="50F422E4" w14:textId="22DD6C81" w:rsidR="007D22E3" w:rsidRDefault="00C83EDF"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 xml:space="preserve">Annual </w:t>
            </w:r>
            <w:r w:rsidR="007D22E3" w:rsidRPr="005E41B2">
              <w:rPr>
                <w:rFonts w:ascii="Arial" w:eastAsia="Times New Roman" w:hAnsi="Arial" w:cs="Times New Roman"/>
                <w:b/>
                <w:sz w:val="16"/>
                <w:szCs w:val="16"/>
              </w:rPr>
              <w:t>Number of Burden Hours per Respondent</w:t>
            </w:r>
          </w:p>
          <w:p w14:paraId="50F422E5"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(3 x 4)</w:t>
            </w:r>
          </w:p>
        </w:tc>
        <w:tc>
          <w:tcPr>
            <w:tcW w:w="434" w:type="pct"/>
          </w:tcPr>
          <w:p w14:paraId="50F422E6"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6.</w:t>
            </w:r>
            <w:r w:rsidRPr="005E41B2">
              <w:rPr>
                <w:rFonts w:ascii="Arial" w:eastAsia="Times New Roman" w:hAnsi="Arial" w:cs="Times New Roman"/>
                <w:b/>
                <w:sz w:val="16"/>
                <w:szCs w:val="16"/>
              </w:rPr>
              <w:t xml:space="preserve"> </w:t>
            </w:r>
          </w:p>
          <w:p w14:paraId="50F422E7"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 xml:space="preserve">Estimated </w:t>
            </w:r>
            <w:r w:rsidRPr="005E41B2">
              <w:rPr>
                <w:rFonts w:ascii="Arial" w:eastAsia="Times New Roman" w:hAnsi="Arial" w:cs="Times New Roman"/>
                <w:b/>
                <w:sz w:val="16"/>
                <w:szCs w:val="16"/>
              </w:rPr>
              <w:t>Average Burden Hour Cost</w:t>
            </w:r>
            <w:r w:rsidRPr="005E41B2">
              <w:rPr>
                <w:rFonts w:ascii="Arial" w:eastAsia="Times New Roman" w:hAnsi="Arial" w:cs="Times New Roman"/>
                <w:b/>
                <w:sz w:val="16"/>
                <w:szCs w:val="16"/>
                <w:vertAlign w:val="superscript"/>
              </w:rPr>
              <w:footnoteReference w:id="4"/>
            </w:r>
          </w:p>
          <w:p w14:paraId="50F422E8"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p>
        </w:tc>
        <w:tc>
          <w:tcPr>
            <w:tcW w:w="512" w:type="pct"/>
          </w:tcPr>
          <w:p w14:paraId="50F422E9" w14:textId="77777777" w:rsidR="007D22E3" w:rsidRDefault="007D22E3" w:rsidP="00A910FB">
            <w:pPr>
              <w:jc w:val="center"/>
              <w:rPr>
                <w:rFonts w:ascii="Arial" w:hAnsi="Arial" w:cs="Arial"/>
                <w:b/>
                <w:sz w:val="16"/>
                <w:szCs w:val="16"/>
              </w:rPr>
            </w:pPr>
            <w:r>
              <w:rPr>
                <w:rFonts w:ascii="Arial" w:hAnsi="Arial" w:cs="Arial"/>
                <w:b/>
                <w:sz w:val="16"/>
                <w:szCs w:val="16"/>
              </w:rPr>
              <w:t>7.</w:t>
            </w:r>
          </w:p>
          <w:p w14:paraId="50F422EA" w14:textId="77777777" w:rsidR="007D22E3" w:rsidRDefault="007D22E3" w:rsidP="00A910FB">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14:paraId="50F422EB" w14:textId="77777777" w:rsidR="007D22E3" w:rsidRPr="005E41B2" w:rsidRDefault="007D22E3" w:rsidP="00A910FB">
            <w:pPr>
              <w:jc w:val="center"/>
              <w:rPr>
                <w:rFonts w:ascii="Arial" w:hAnsi="Arial" w:cs="Arial"/>
                <w:b/>
                <w:sz w:val="16"/>
                <w:szCs w:val="16"/>
              </w:rPr>
            </w:pPr>
            <w:r>
              <w:rPr>
                <w:rFonts w:ascii="Arial" w:hAnsi="Arial" w:cs="Arial"/>
                <w:b/>
                <w:sz w:val="16"/>
                <w:szCs w:val="16"/>
              </w:rPr>
              <w:t>(5 x 6)</w:t>
            </w:r>
          </w:p>
        </w:tc>
        <w:tc>
          <w:tcPr>
            <w:tcW w:w="473" w:type="pct"/>
          </w:tcPr>
          <w:p w14:paraId="50F422EC"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8.</w:t>
            </w:r>
          </w:p>
          <w:p w14:paraId="50F422ED"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Total Annual</w:t>
            </w:r>
          </w:p>
          <w:p w14:paraId="50F422EE"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Responses</w:t>
            </w:r>
          </w:p>
          <w:p w14:paraId="50F422EF" w14:textId="77777777" w:rsidR="007D22E3" w:rsidRPr="005E41B2"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(2 x 3)</w:t>
            </w:r>
          </w:p>
        </w:tc>
        <w:tc>
          <w:tcPr>
            <w:tcW w:w="391" w:type="pct"/>
          </w:tcPr>
          <w:p w14:paraId="50F422F0" w14:textId="77777777" w:rsidR="007D22E3" w:rsidRPr="00C91CB5"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9</w:t>
            </w:r>
            <w:r w:rsidRPr="00C91CB5">
              <w:rPr>
                <w:rFonts w:ascii="Arial" w:eastAsia="Times New Roman" w:hAnsi="Arial" w:cs="Times New Roman"/>
                <w:b/>
                <w:sz w:val="16"/>
                <w:szCs w:val="16"/>
              </w:rPr>
              <w:t>.</w:t>
            </w:r>
          </w:p>
          <w:p w14:paraId="50F422F1" w14:textId="284493F5" w:rsidR="007D22E3" w:rsidRDefault="007D22E3" w:rsidP="00A910FB">
            <w:pPr>
              <w:tabs>
                <w:tab w:val="left" w:pos="-720"/>
                <w:tab w:val="left" w:pos="0"/>
              </w:tabs>
              <w:suppressAutoHyphens/>
              <w:jc w:val="center"/>
              <w:rPr>
                <w:rFonts w:ascii="Arial" w:eastAsia="Times New Roman" w:hAnsi="Arial" w:cs="Times New Roman"/>
                <w:b/>
                <w:sz w:val="16"/>
                <w:szCs w:val="16"/>
              </w:rPr>
            </w:pPr>
            <w:r w:rsidRPr="00C91CB5">
              <w:rPr>
                <w:rFonts w:ascii="Arial" w:eastAsia="Times New Roman" w:hAnsi="Arial" w:cs="Times New Roman"/>
                <w:b/>
                <w:sz w:val="16"/>
                <w:szCs w:val="16"/>
              </w:rPr>
              <w:t>Total Annual</w:t>
            </w:r>
            <w:r w:rsidR="00C83EDF">
              <w:rPr>
                <w:rFonts w:ascii="Arial" w:eastAsia="Times New Roman" w:hAnsi="Arial" w:cs="Times New Roman"/>
                <w:b/>
                <w:sz w:val="16"/>
                <w:szCs w:val="16"/>
              </w:rPr>
              <w:t xml:space="preserve"> </w:t>
            </w:r>
            <w:r w:rsidRPr="00C91CB5">
              <w:rPr>
                <w:rFonts w:ascii="Arial" w:eastAsia="Times New Roman" w:hAnsi="Arial" w:cs="Times New Roman"/>
                <w:b/>
                <w:sz w:val="16"/>
                <w:szCs w:val="16"/>
              </w:rPr>
              <w:t>Number of Burden Hours</w:t>
            </w:r>
          </w:p>
          <w:p w14:paraId="50F422F2"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 x 5)</w:t>
            </w:r>
          </w:p>
        </w:tc>
        <w:tc>
          <w:tcPr>
            <w:tcW w:w="551" w:type="pct"/>
          </w:tcPr>
          <w:p w14:paraId="50F422F3"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10.</w:t>
            </w:r>
          </w:p>
          <w:p w14:paraId="50F422F4" w14:textId="77777777" w:rsidR="007D22E3" w:rsidRDefault="007D22E3" w:rsidP="00A910FB">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 xml:space="preserve">Total Annual </w:t>
            </w:r>
            <w:r>
              <w:rPr>
                <w:rFonts w:ascii="Arial" w:eastAsia="Times New Roman" w:hAnsi="Arial" w:cs="Times New Roman"/>
                <w:b/>
                <w:sz w:val="16"/>
                <w:szCs w:val="16"/>
              </w:rPr>
              <w:t>Burden Hour Cost of A</w:t>
            </w:r>
            <w:r w:rsidRPr="005E41B2">
              <w:rPr>
                <w:rFonts w:ascii="Arial" w:eastAsia="Times New Roman" w:hAnsi="Arial" w:cs="Times New Roman"/>
                <w:b/>
                <w:sz w:val="16"/>
                <w:szCs w:val="16"/>
              </w:rPr>
              <w:t xml:space="preserve">ll </w:t>
            </w:r>
            <w:r>
              <w:rPr>
                <w:rFonts w:ascii="Arial" w:eastAsia="Times New Roman" w:hAnsi="Arial" w:cs="Times New Roman"/>
                <w:b/>
                <w:sz w:val="16"/>
                <w:szCs w:val="16"/>
              </w:rPr>
              <w:t>R</w:t>
            </w:r>
            <w:r w:rsidRPr="005E41B2">
              <w:rPr>
                <w:rFonts w:ascii="Arial" w:eastAsia="Times New Roman" w:hAnsi="Arial" w:cs="Times New Roman"/>
                <w:b/>
                <w:sz w:val="16"/>
                <w:szCs w:val="16"/>
              </w:rPr>
              <w:t>esponses</w:t>
            </w:r>
          </w:p>
          <w:p w14:paraId="50F422F5" w14:textId="77777777" w:rsidR="007D22E3" w:rsidRPr="005E41B2" w:rsidDel="009C6DB4" w:rsidRDefault="007D22E3" w:rsidP="00A910F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 x 7)</w:t>
            </w:r>
          </w:p>
        </w:tc>
      </w:tr>
      <w:tr w:rsidR="007D22E3" w:rsidRPr="008F6D4A" w14:paraId="50F42301" w14:textId="77777777" w:rsidTr="00771D97">
        <w:trPr>
          <w:trHeight w:val="977"/>
        </w:trPr>
        <w:tc>
          <w:tcPr>
            <w:tcW w:w="552" w:type="pct"/>
          </w:tcPr>
          <w:p w14:paraId="50F422F7" w14:textId="0917A696" w:rsidR="007D22E3" w:rsidRPr="00771D97" w:rsidRDefault="00357E35" w:rsidP="00771D97">
            <w:pPr>
              <w:tabs>
                <w:tab w:val="left" w:pos="-720"/>
                <w:tab w:val="left" w:pos="0"/>
              </w:tabs>
              <w:suppressAutoHyphens/>
              <w:jc w:val="center"/>
              <w:rPr>
                <w:rFonts w:ascii="Arial" w:eastAsia="Times New Roman" w:hAnsi="Arial" w:cs="Arial"/>
                <w:sz w:val="16"/>
                <w:szCs w:val="16"/>
              </w:rPr>
            </w:pPr>
            <w:r w:rsidRPr="00771D97">
              <w:rPr>
                <w:rFonts w:ascii="Arial" w:eastAsia="Times New Roman" w:hAnsi="Arial" w:cs="Arial"/>
                <w:sz w:val="16"/>
                <w:szCs w:val="16"/>
              </w:rPr>
              <w:t>43.3(e)</w:t>
            </w:r>
          </w:p>
        </w:tc>
        <w:tc>
          <w:tcPr>
            <w:tcW w:w="551" w:type="pct"/>
          </w:tcPr>
          <w:p w14:paraId="50F422F8" w14:textId="2836AD12" w:rsidR="007D22E3" w:rsidRPr="00771D97" w:rsidRDefault="00771D97" w:rsidP="00771D97">
            <w:pPr>
              <w:tabs>
                <w:tab w:val="left" w:pos="-720"/>
                <w:tab w:val="left" w:pos="0"/>
              </w:tabs>
              <w:suppressAutoHyphens/>
              <w:jc w:val="center"/>
              <w:rPr>
                <w:rFonts w:ascii="Arial" w:eastAsia="Times New Roman" w:hAnsi="Arial" w:cs="Arial"/>
                <w:sz w:val="16"/>
                <w:szCs w:val="16"/>
              </w:rPr>
            </w:pPr>
            <w:r w:rsidRPr="00771D97">
              <w:rPr>
                <w:rFonts w:ascii="Arial" w:eastAsia="Times New Roman" w:hAnsi="Arial" w:cs="Arial"/>
                <w:sz w:val="16"/>
                <w:szCs w:val="16"/>
              </w:rPr>
              <w:t>1729</w:t>
            </w:r>
          </w:p>
        </w:tc>
        <w:tc>
          <w:tcPr>
            <w:tcW w:w="513" w:type="pct"/>
          </w:tcPr>
          <w:p w14:paraId="50F422F9" w14:textId="549A5485" w:rsidR="007D22E3" w:rsidRPr="00771D97" w:rsidRDefault="00771D97" w:rsidP="00771D97">
            <w:pPr>
              <w:tabs>
                <w:tab w:val="left" w:pos="-720"/>
                <w:tab w:val="left" w:pos="0"/>
              </w:tabs>
              <w:suppressAutoHyphens/>
              <w:jc w:val="center"/>
              <w:rPr>
                <w:rFonts w:ascii="Arial" w:eastAsia="Times New Roman" w:hAnsi="Arial" w:cs="Arial"/>
                <w:sz w:val="16"/>
                <w:szCs w:val="16"/>
              </w:rPr>
            </w:pPr>
            <w:r w:rsidRPr="00771D97">
              <w:rPr>
                <w:rFonts w:ascii="Arial" w:eastAsia="Times New Roman" w:hAnsi="Arial" w:cs="Arial"/>
                <w:sz w:val="16"/>
                <w:szCs w:val="16"/>
              </w:rPr>
              <w:t>1</w:t>
            </w:r>
          </w:p>
        </w:tc>
        <w:tc>
          <w:tcPr>
            <w:tcW w:w="512" w:type="pct"/>
          </w:tcPr>
          <w:p w14:paraId="50F422FA" w14:textId="27283AC1" w:rsidR="007D22E3" w:rsidRPr="00771D97" w:rsidRDefault="00771D97" w:rsidP="00771D97">
            <w:pPr>
              <w:tabs>
                <w:tab w:val="left" w:pos="-720"/>
                <w:tab w:val="left" w:pos="0"/>
              </w:tabs>
              <w:suppressAutoHyphens/>
              <w:jc w:val="center"/>
              <w:rPr>
                <w:rFonts w:ascii="Arial" w:eastAsia="Times New Roman" w:hAnsi="Arial" w:cs="Arial"/>
                <w:sz w:val="16"/>
                <w:szCs w:val="16"/>
              </w:rPr>
            </w:pPr>
            <w:r w:rsidRPr="00771D97">
              <w:rPr>
                <w:rFonts w:ascii="Arial" w:eastAsia="Times New Roman" w:hAnsi="Arial" w:cs="Arial"/>
                <w:sz w:val="16"/>
                <w:szCs w:val="16"/>
              </w:rPr>
              <w:t>30</w:t>
            </w:r>
          </w:p>
        </w:tc>
        <w:tc>
          <w:tcPr>
            <w:tcW w:w="512" w:type="pct"/>
          </w:tcPr>
          <w:p w14:paraId="50F422FB" w14:textId="32FDA78D" w:rsidR="007D22E3" w:rsidRPr="00771D97" w:rsidRDefault="00771D97" w:rsidP="00771D97">
            <w:pPr>
              <w:tabs>
                <w:tab w:val="left" w:pos="-720"/>
                <w:tab w:val="left" w:pos="0"/>
              </w:tabs>
              <w:suppressAutoHyphens/>
              <w:jc w:val="center"/>
              <w:rPr>
                <w:rFonts w:ascii="Arial" w:eastAsia="Times New Roman" w:hAnsi="Arial" w:cs="Arial"/>
                <w:sz w:val="16"/>
                <w:szCs w:val="16"/>
              </w:rPr>
            </w:pPr>
            <w:r w:rsidRPr="00771D97">
              <w:rPr>
                <w:rFonts w:ascii="Arial" w:eastAsia="Times New Roman" w:hAnsi="Arial" w:cs="Arial"/>
                <w:sz w:val="16"/>
                <w:szCs w:val="16"/>
              </w:rPr>
              <w:t>30</w:t>
            </w:r>
          </w:p>
        </w:tc>
        <w:tc>
          <w:tcPr>
            <w:tcW w:w="434" w:type="pct"/>
          </w:tcPr>
          <w:p w14:paraId="50F422FC" w14:textId="22DF9207" w:rsidR="007D22E3" w:rsidRPr="00771D97" w:rsidRDefault="00771D97" w:rsidP="00771D97">
            <w:pPr>
              <w:tabs>
                <w:tab w:val="left" w:pos="-720"/>
                <w:tab w:val="left" w:pos="0"/>
              </w:tabs>
              <w:suppressAutoHyphens/>
              <w:jc w:val="center"/>
              <w:rPr>
                <w:rFonts w:ascii="Arial" w:eastAsia="Times New Roman" w:hAnsi="Arial" w:cs="Arial"/>
                <w:sz w:val="16"/>
                <w:szCs w:val="16"/>
              </w:rPr>
            </w:pPr>
            <w:r w:rsidRPr="00771D97">
              <w:rPr>
                <w:rFonts w:ascii="Arial" w:eastAsia="Times New Roman" w:hAnsi="Arial" w:cs="Arial"/>
                <w:sz w:val="16"/>
                <w:szCs w:val="16"/>
              </w:rPr>
              <w:t>$72.23</w:t>
            </w:r>
          </w:p>
        </w:tc>
        <w:tc>
          <w:tcPr>
            <w:tcW w:w="512" w:type="pct"/>
          </w:tcPr>
          <w:p w14:paraId="50F422FD" w14:textId="2F806EE6" w:rsidR="007D22E3" w:rsidRPr="00771D97" w:rsidRDefault="00771D97" w:rsidP="00771D97">
            <w:pPr>
              <w:jc w:val="center"/>
              <w:rPr>
                <w:rFonts w:ascii="Arial" w:hAnsi="Arial" w:cs="Arial"/>
                <w:sz w:val="16"/>
                <w:szCs w:val="16"/>
              </w:rPr>
            </w:pPr>
            <w:r w:rsidRPr="00771D97">
              <w:rPr>
                <w:rFonts w:ascii="Arial" w:hAnsi="Arial" w:cs="Arial"/>
                <w:sz w:val="16"/>
                <w:szCs w:val="16"/>
              </w:rPr>
              <w:t>$2,166.90</w:t>
            </w:r>
          </w:p>
        </w:tc>
        <w:tc>
          <w:tcPr>
            <w:tcW w:w="473" w:type="pct"/>
          </w:tcPr>
          <w:p w14:paraId="50F422FE" w14:textId="429FEC1B" w:rsidR="007D22E3" w:rsidRPr="00771D97" w:rsidRDefault="00771D97" w:rsidP="00771D97">
            <w:pPr>
              <w:tabs>
                <w:tab w:val="left" w:pos="-720"/>
                <w:tab w:val="left" w:pos="0"/>
              </w:tabs>
              <w:suppressAutoHyphens/>
              <w:jc w:val="center"/>
              <w:rPr>
                <w:rFonts w:ascii="Arial" w:eastAsia="Times New Roman" w:hAnsi="Arial" w:cs="Arial"/>
                <w:sz w:val="16"/>
                <w:szCs w:val="16"/>
              </w:rPr>
            </w:pPr>
            <w:r w:rsidRPr="00771D97">
              <w:rPr>
                <w:rFonts w:ascii="Arial" w:eastAsia="Times New Roman" w:hAnsi="Arial" w:cs="Arial"/>
                <w:sz w:val="16"/>
                <w:szCs w:val="16"/>
              </w:rPr>
              <w:t>1729</w:t>
            </w:r>
          </w:p>
        </w:tc>
        <w:tc>
          <w:tcPr>
            <w:tcW w:w="391" w:type="pct"/>
          </w:tcPr>
          <w:p w14:paraId="50F422FF" w14:textId="33A17106" w:rsidR="007D22E3" w:rsidRPr="00771D97" w:rsidRDefault="00771D97" w:rsidP="00771D97">
            <w:pPr>
              <w:tabs>
                <w:tab w:val="left" w:pos="-720"/>
                <w:tab w:val="left" w:pos="0"/>
              </w:tabs>
              <w:suppressAutoHyphens/>
              <w:jc w:val="center"/>
              <w:rPr>
                <w:rFonts w:ascii="Arial" w:eastAsia="Times New Roman" w:hAnsi="Arial" w:cs="Arial"/>
                <w:sz w:val="16"/>
                <w:szCs w:val="16"/>
              </w:rPr>
            </w:pPr>
            <w:r w:rsidRPr="00771D97">
              <w:rPr>
                <w:rFonts w:ascii="Arial" w:eastAsia="Times New Roman" w:hAnsi="Arial" w:cs="Arial"/>
                <w:sz w:val="16"/>
                <w:szCs w:val="16"/>
              </w:rPr>
              <w:t>51,870</w:t>
            </w:r>
          </w:p>
        </w:tc>
        <w:tc>
          <w:tcPr>
            <w:tcW w:w="551" w:type="pct"/>
          </w:tcPr>
          <w:p w14:paraId="50F42300" w14:textId="2F7BC69F" w:rsidR="007D22E3" w:rsidRPr="00771D97" w:rsidRDefault="00771D97" w:rsidP="00771D97">
            <w:pPr>
              <w:tabs>
                <w:tab w:val="left" w:pos="-720"/>
                <w:tab w:val="left" w:pos="0"/>
              </w:tabs>
              <w:suppressAutoHyphens/>
              <w:jc w:val="center"/>
              <w:rPr>
                <w:rFonts w:ascii="Arial" w:eastAsia="Times New Roman" w:hAnsi="Arial" w:cs="Arial"/>
                <w:sz w:val="16"/>
                <w:szCs w:val="16"/>
              </w:rPr>
            </w:pPr>
            <w:r w:rsidRPr="00771D97">
              <w:rPr>
                <w:rFonts w:ascii="Arial" w:eastAsia="Times New Roman" w:hAnsi="Arial" w:cs="Arial"/>
                <w:sz w:val="16"/>
                <w:szCs w:val="16"/>
              </w:rPr>
              <w:t>$3,746,570.10</w:t>
            </w:r>
          </w:p>
        </w:tc>
      </w:tr>
      <w:tr w:rsidR="007D22E3" w:rsidRPr="00DA5113" w14:paraId="50F4230C" w14:textId="77777777" w:rsidTr="00771D97">
        <w:trPr>
          <w:trHeight w:val="1222"/>
        </w:trPr>
        <w:tc>
          <w:tcPr>
            <w:tcW w:w="552" w:type="pct"/>
          </w:tcPr>
          <w:p w14:paraId="50F42302" w14:textId="172DADD9" w:rsidR="007D22E3" w:rsidRPr="00DA5113" w:rsidRDefault="00357E35" w:rsidP="00771D97">
            <w:pPr>
              <w:tabs>
                <w:tab w:val="left" w:pos="-720"/>
                <w:tab w:val="left" w:pos="0"/>
              </w:tabs>
              <w:suppressAutoHyphens/>
              <w:jc w:val="center"/>
              <w:rPr>
                <w:rFonts w:ascii="Arial" w:eastAsia="Times New Roman" w:hAnsi="Arial" w:cs="Arial"/>
                <w:sz w:val="16"/>
                <w:szCs w:val="16"/>
              </w:rPr>
            </w:pPr>
            <w:r w:rsidRPr="00A80B52">
              <w:rPr>
                <w:rFonts w:ascii="Arial" w:eastAsia="Times New Roman" w:hAnsi="Arial" w:cs="Arial"/>
                <w:sz w:val="16"/>
                <w:szCs w:val="16"/>
              </w:rPr>
              <w:t>43.3(f) and (g)</w:t>
            </w:r>
          </w:p>
        </w:tc>
        <w:tc>
          <w:tcPr>
            <w:tcW w:w="551" w:type="pct"/>
          </w:tcPr>
          <w:p w14:paraId="50F42303" w14:textId="4F538BA2" w:rsidR="007D22E3" w:rsidRPr="00DA5113" w:rsidRDefault="00771D97" w:rsidP="00771D97">
            <w:pPr>
              <w:tabs>
                <w:tab w:val="left" w:pos="-720"/>
                <w:tab w:val="left" w:pos="0"/>
              </w:tabs>
              <w:suppressAutoHyphens/>
              <w:jc w:val="center"/>
              <w:rPr>
                <w:rFonts w:ascii="Arial" w:eastAsia="Times New Roman" w:hAnsi="Arial" w:cs="Arial"/>
                <w:sz w:val="16"/>
                <w:szCs w:val="16"/>
              </w:rPr>
            </w:pPr>
            <w:r w:rsidRPr="00DA5113">
              <w:rPr>
                <w:rFonts w:ascii="Arial" w:eastAsia="Times New Roman" w:hAnsi="Arial" w:cs="Arial"/>
                <w:sz w:val="16"/>
                <w:szCs w:val="16"/>
              </w:rPr>
              <w:t>3</w:t>
            </w:r>
          </w:p>
        </w:tc>
        <w:tc>
          <w:tcPr>
            <w:tcW w:w="513" w:type="pct"/>
          </w:tcPr>
          <w:p w14:paraId="50F42304" w14:textId="1CFC0EA9" w:rsidR="007D22E3" w:rsidRPr="00DA5113" w:rsidRDefault="00DA5113" w:rsidP="00DA5113">
            <w:pPr>
              <w:tabs>
                <w:tab w:val="left" w:pos="-720"/>
                <w:tab w:val="left" w:pos="0"/>
              </w:tabs>
              <w:suppressAutoHyphens/>
              <w:ind w:left="405"/>
              <w:rPr>
                <w:rFonts w:ascii="Arial" w:eastAsia="Times New Roman" w:hAnsi="Arial" w:cs="Arial"/>
                <w:sz w:val="16"/>
                <w:szCs w:val="16"/>
              </w:rPr>
            </w:pPr>
            <w:r>
              <w:rPr>
                <w:rFonts w:ascii="Arial" w:hAnsi="Arial" w:cs="Arial"/>
                <w:sz w:val="16"/>
                <w:szCs w:val="16"/>
              </w:rPr>
              <w:t>(</w:t>
            </w:r>
            <w:r w:rsidR="00771D97" w:rsidRPr="00DA5113">
              <w:rPr>
                <w:rFonts w:ascii="Arial" w:eastAsia="Times New Roman" w:hAnsi="Arial" w:cs="Arial"/>
                <w:sz w:val="16"/>
                <w:szCs w:val="16"/>
              </w:rPr>
              <w:t>3</w:t>
            </w:r>
            <w:r>
              <w:rPr>
                <w:rFonts w:ascii="Arial" w:eastAsia="Times New Roman" w:hAnsi="Arial" w:cs="Arial"/>
                <w:sz w:val="16"/>
                <w:szCs w:val="16"/>
              </w:rPr>
              <w:t>)</w:t>
            </w:r>
          </w:p>
        </w:tc>
        <w:tc>
          <w:tcPr>
            <w:tcW w:w="512" w:type="pct"/>
          </w:tcPr>
          <w:p w14:paraId="50F42305" w14:textId="0521CBDA" w:rsidR="007D22E3" w:rsidRPr="00DA5113" w:rsidRDefault="00DA5113" w:rsidP="00771D97">
            <w:pPr>
              <w:tabs>
                <w:tab w:val="left" w:pos="-720"/>
                <w:tab w:val="left" w:pos="0"/>
              </w:tabs>
              <w:suppressAutoHyphens/>
              <w:jc w:val="center"/>
              <w:rPr>
                <w:rFonts w:ascii="Arial" w:eastAsia="Times New Roman" w:hAnsi="Arial" w:cs="Arial"/>
                <w:sz w:val="16"/>
                <w:szCs w:val="16"/>
              </w:rPr>
            </w:pPr>
            <w:r>
              <w:rPr>
                <w:rFonts w:ascii="Arial" w:eastAsia="Times New Roman" w:hAnsi="Arial" w:cs="Arial"/>
                <w:sz w:val="16"/>
                <w:szCs w:val="16"/>
              </w:rPr>
              <w:t>(</w:t>
            </w:r>
            <w:r w:rsidR="00771D97" w:rsidRPr="00DA5113">
              <w:rPr>
                <w:rFonts w:ascii="Arial" w:eastAsia="Times New Roman" w:hAnsi="Arial" w:cs="Arial"/>
                <w:sz w:val="16"/>
                <w:szCs w:val="16"/>
              </w:rPr>
              <w:t>5</w:t>
            </w:r>
            <w:r>
              <w:rPr>
                <w:rFonts w:ascii="Arial" w:eastAsia="Times New Roman" w:hAnsi="Arial" w:cs="Arial"/>
                <w:sz w:val="16"/>
                <w:szCs w:val="16"/>
              </w:rPr>
              <w:t>)</w:t>
            </w:r>
          </w:p>
        </w:tc>
        <w:tc>
          <w:tcPr>
            <w:tcW w:w="512" w:type="pct"/>
          </w:tcPr>
          <w:p w14:paraId="50F42306" w14:textId="0E549ABB" w:rsidR="007D22E3" w:rsidRPr="00DA5113" w:rsidRDefault="00DA5113" w:rsidP="00771D97">
            <w:pPr>
              <w:tabs>
                <w:tab w:val="left" w:pos="-720"/>
                <w:tab w:val="left" w:pos="0"/>
              </w:tabs>
              <w:suppressAutoHyphens/>
              <w:jc w:val="center"/>
              <w:rPr>
                <w:rFonts w:ascii="Arial" w:eastAsia="Times New Roman" w:hAnsi="Arial" w:cs="Arial"/>
                <w:sz w:val="16"/>
                <w:szCs w:val="16"/>
              </w:rPr>
            </w:pPr>
            <w:r>
              <w:rPr>
                <w:rFonts w:ascii="Arial" w:eastAsia="Times New Roman" w:hAnsi="Arial" w:cs="Arial"/>
                <w:sz w:val="16"/>
                <w:szCs w:val="16"/>
              </w:rPr>
              <w:t>(</w:t>
            </w:r>
            <w:r w:rsidR="00771D97" w:rsidRPr="00DA5113">
              <w:rPr>
                <w:rFonts w:ascii="Arial" w:eastAsia="Times New Roman" w:hAnsi="Arial" w:cs="Arial"/>
                <w:sz w:val="16"/>
                <w:szCs w:val="16"/>
              </w:rPr>
              <w:t>15</w:t>
            </w:r>
            <w:r>
              <w:rPr>
                <w:rFonts w:ascii="Arial" w:eastAsia="Times New Roman" w:hAnsi="Arial" w:cs="Arial"/>
                <w:sz w:val="16"/>
                <w:szCs w:val="16"/>
              </w:rPr>
              <w:t>)</w:t>
            </w:r>
          </w:p>
        </w:tc>
        <w:tc>
          <w:tcPr>
            <w:tcW w:w="434" w:type="pct"/>
          </w:tcPr>
          <w:p w14:paraId="50F42307" w14:textId="0C3EA075" w:rsidR="007D22E3" w:rsidRPr="00DA5113" w:rsidRDefault="00771D97" w:rsidP="00771D97">
            <w:pPr>
              <w:tabs>
                <w:tab w:val="left" w:pos="-720"/>
                <w:tab w:val="left" w:pos="0"/>
              </w:tabs>
              <w:suppressAutoHyphens/>
              <w:jc w:val="center"/>
              <w:rPr>
                <w:rFonts w:ascii="Arial" w:eastAsia="Times New Roman" w:hAnsi="Arial" w:cs="Arial"/>
                <w:sz w:val="16"/>
                <w:szCs w:val="16"/>
              </w:rPr>
            </w:pPr>
            <w:r w:rsidRPr="00DA5113">
              <w:rPr>
                <w:rFonts w:ascii="Arial" w:eastAsia="Times New Roman" w:hAnsi="Arial" w:cs="Arial"/>
                <w:sz w:val="16"/>
                <w:szCs w:val="16"/>
              </w:rPr>
              <w:t>$72.23</w:t>
            </w:r>
          </w:p>
        </w:tc>
        <w:tc>
          <w:tcPr>
            <w:tcW w:w="512" w:type="pct"/>
          </w:tcPr>
          <w:p w14:paraId="50F42308" w14:textId="1445AF4A" w:rsidR="007D22E3" w:rsidRPr="00DA5113" w:rsidRDefault="00DA5113" w:rsidP="00DA5113">
            <w:pPr>
              <w:jc w:val="center"/>
              <w:rPr>
                <w:rFonts w:ascii="Arial" w:hAnsi="Arial" w:cs="Arial"/>
                <w:sz w:val="16"/>
                <w:szCs w:val="16"/>
              </w:rPr>
            </w:pPr>
            <w:r>
              <w:rPr>
                <w:rFonts w:ascii="Arial" w:hAnsi="Arial" w:cs="Arial"/>
                <w:sz w:val="16"/>
                <w:szCs w:val="16"/>
              </w:rPr>
              <w:t>(</w:t>
            </w:r>
            <w:r w:rsidR="00771D97" w:rsidRPr="00DA5113">
              <w:rPr>
                <w:rFonts w:ascii="Arial" w:hAnsi="Arial" w:cs="Arial"/>
                <w:sz w:val="16"/>
                <w:szCs w:val="16"/>
              </w:rPr>
              <w:t>$1083.45</w:t>
            </w:r>
            <w:r>
              <w:rPr>
                <w:rFonts w:ascii="Arial" w:hAnsi="Arial" w:cs="Arial"/>
                <w:sz w:val="16"/>
                <w:szCs w:val="16"/>
              </w:rPr>
              <w:t>)</w:t>
            </w:r>
          </w:p>
        </w:tc>
        <w:tc>
          <w:tcPr>
            <w:tcW w:w="473" w:type="pct"/>
          </w:tcPr>
          <w:p w14:paraId="50F42309" w14:textId="211594A6" w:rsidR="007D22E3" w:rsidRPr="00DA5113" w:rsidRDefault="00DA5113" w:rsidP="00771D97">
            <w:pPr>
              <w:tabs>
                <w:tab w:val="left" w:pos="-720"/>
                <w:tab w:val="left" w:pos="0"/>
              </w:tabs>
              <w:suppressAutoHyphens/>
              <w:jc w:val="center"/>
              <w:rPr>
                <w:rFonts w:ascii="Arial" w:eastAsia="Times New Roman" w:hAnsi="Arial" w:cs="Arial"/>
                <w:sz w:val="16"/>
                <w:szCs w:val="16"/>
              </w:rPr>
            </w:pPr>
            <w:r>
              <w:rPr>
                <w:rFonts w:ascii="Arial" w:eastAsia="Times New Roman" w:hAnsi="Arial" w:cs="Arial"/>
                <w:sz w:val="16"/>
                <w:szCs w:val="16"/>
              </w:rPr>
              <w:t>(</w:t>
            </w:r>
            <w:r w:rsidR="00771D97" w:rsidRPr="00DA5113">
              <w:rPr>
                <w:rFonts w:ascii="Arial" w:eastAsia="Times New Roman" w:hAnsi="Arial" w:cs="Arial"/>
                <w:sz w:val="16"/>
                <w:szCs w:val="16"/>
              </w:rPr>
              <w:t>9</w:t>
            </w:r>
            <w:r>
              <w:rPr>
                <w:rFonts w:ascii="Arial" w:eastAsia="Times New Roman" w:hAnsi="Arial" w:cs="Arial"/>
                <w:sz w:val="16"/>
                <w:szCs w:val="16"/>
              </w:rPr>
              <w:t>)</w:t>
            </w:r>
          </w:p>
        </w:tc>
        <w:tc>
          <w:tcPr>
            <w:tcW w:w="391" w:type="pct"/>
          </w:tcPr>
          <w:p w14:paraId="50F4230A" w14:textId="1C4704C8" w:rsidR="007D22E3" w:rsidRPr="00DA5113" w:rsidRDefault="00DA5113" w:rsidP="00771D97">
            <w:pPr>
              <w:tabs>
                <w:tab w:val="left" w:pos="-720"/>
                <w:tab w:val="left" w:pos="0"/>
              </w:tabs>
              <w:suppressAutoHyphens/>
              <w:jc w:val="center"/>
              <w:rPr>
                <w:rFonts w:ascii="Arial" w:eastAsia="Times New Roman" w:hAnsi="Arial" w:cs="Arial"/>
                <w:sz w:val="16"/>
                <w:szCs w:val="16"/>
              </w:rPr>
            </w:pPr>
            <w:r>
              <w:rPr>
                <w:rFonts w:ascii="Arial" w:eastAsia="Times New Roman" w:hAnsi="Arial" w:cs="Arial"/>
                <w:sz w:val="16"/>
                <w:szCs w:val="16"/>
              </w:rPr>
              <w:t>(</w:t>
            </w:r>
            <w:r w:rsidR="00771D97" w:rsidRPr="00DA5113">
              <w:rPr>
                <w:rFonts w:ascii="Arial" w:eastAsia="Times New Roman" w:hAnsi="Arial" w:cs="Arial"/>
                <w:sz w:val="16"/>
                <w:szCs w:val="16"/>
              </w:rPr>
              <w:t>45</w:t>
            </w:r>
            <w:r>
              <w:rPr>
                <w:rFonts w:ascii="Arial" w:eastAsia="Times New Roman" w:hAnsi="Arial" w:cs="Arial"/>
                <w:sz w:val="16"/>
                <w:szCs w:val="16"/>
              </w:rPr>
              <w:t>)</w:t>
            </w:r>
          </w:p>
        </w:tc>
        <w:tc>
          <w:tcPr>
            <w:tcW w:w="551" w:type="pct"/>
          </w:tcPr>
          <w:p w14:paraId="50F4230B" w14:textId="267B701D" w:rsidR="007D22E3" w:rsidRPr="00DA5113" w:rsidRDefault="0007012C" w:rsidP="00771D97">
            <w:pPr>
              <w:tabs>
                <w:tab w:val="left" w:pos="-720"/>
                <w:tab w:val="left" w:pos="0"/>
              </w:tabs>
              <w:suppressAutoHyphens/>
              <w:jc w:val="center"/>
              <w:rPr>
                <w:rFonts w:ascii="Arial" w:eastAsia="Times New Roman" w:hAnsi="Arial" w:cs="Arial"/>
                <w:sz w:val="16"/>
                <w:szCs w:val="16"/>
              </w:rPr>
            </w:pPr>
            <w:r>
              <w:rPr>
                <w:rFonts w:ascii="Arial" w:eastAsia="Times New Roman" w:hAnsi="Arial" w:cs="Arial"/>
                <w:sz w:val="16"/>
                <w:szCs w:val="16"/>
              </w:rPr>
              <w:t>(</w:t>
            </w:r>
            <w:r w:rsidR="00DA5113" w:rsidRPr="00DA5113">
              <w:rPr>
                <w:rFonts w:ascii="Arial" w:eastAsia="Times New Roman" w:hAnsi="Arial" w:cs="Arial"/>
                <w:sz w:val="16"/>
                <w:szCs w:val="16"/>
              </w:rPr>
              <w:t>$3,250.35</w:t>
            </w:r>
            <w:r>
              <w:rPr>
                <w:rFonts w:ascii="Arial" w:eastAsia="Times New Roman" w:hAnsi="Arial" w:cs="Arial"/>
                <w:sz w:val="16"/>
                <w:szCs w:val="16"/>
              </w:rPr>
              <w:t>)</w:t>
            </w:r>
          </w:p>
        </w:tc>
      </w:tr>
    </w:tbl>
    <w:p w14:paraId="50F4237C" w14:textId="77777777" w:rsidR="00585718" w:rsidRDefault="00585718" w:rsidP="008F6D4A">
      <w:pPr>
        <w:tabs>
          <w:tab w:val="left" w:pos="-720"/>
          <w:tab w:val="left" w:pos="0"/>
        </w:tabs>
        <w:suppressAutoHyphens/>
        <w:ind w:left="720" w:hanging="720"/>
      </w:pPr>
    </w:p>
    <w:sectPr w:rsidR="00585718" w:rsidSect="00585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42384" w14:textId="77777777" w:rsidR="009C6DB4" w:rsidRDefault="009C6DB4" w:rsidP="009C6DB4">
      <w:r>
        <w:separator/>
      </w:r>
    </w:p>
  </w:endnote>
  <w:endnote w:type="continuationSeparator" w:id="0">
    <w:p w14:paraId="50F42385" w14:textId="77777777" w:rsidR="009C6DB4" w:rsidRDefault="009C6DB4" w:rsidP="009C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42382" w14:textId="77777777" w:rsidR="009C6DB4" w:rsidRDefault="009C6DB4" w:rsidP="009C6DB4">
      <w:r>
        <w:separator/>
      </w:r>
    </w:p>
  </w:footnote>
  <w:footnote w:type="continuationSeparator" w:id="0">
    <w:p w14:paraId="50F42383" w14:textId="77777777" w:rsidR="009C6DB4" w:rsidRDefault="009C6DB4" w:rsidP="009C6DB4">
      <w:r>
        <w:continuationSeparator/>
      </w:r>
    </w:p>
  </w:footnote>
  <w:footnote w:id="1">
    <w:p w14:paraId="60D32D49" w14:textId="77777777" w:rsidR="00E54279" w:rsidRPr="00414DBF" w:rsidRDefault="00E54279" w:rsidP="00E54279">
      <w:pPr>
        <w:pStyle w:val="PlainText"/>
        <w:spacing w:before="120" w:after="120"/>
        <w:rPr>
          <w:rFonts w:ascii="Times New Roman" w:hAnsi="Times New Roman"/>
          <w:sz w:val="20"/>
          <w:szCs w:val="20"/>
        </w:rPr>
      </w:pPr>
      <w:r w:rsidRPr="00414DBF">
        <w:rPr>
          <w:rStyle w:val="FootnoteReference"/>
          <w:rFonts w:ascii="Times New Roman" w:hAnsi="Times New Roman"/>
          <w:sz w:val="20"/>
          <w:szCs w:val="20"/>
        </w:rPr>
        <w:footnoteRef/>
      </w:r>
      <w:r w:rsidRPr="00414DBF">
        <w:rPr>
          <w:rFonts w:ascii="Times New Roman" w:hAnsi="Times New Roman"/>
          <w:sz w:val="20"/>
          <w:szCs w:val="20"/>
        </w:rPr>
        <w:t xml:space="preserve"> </w:t>
      </w:r>
      <w:r w:rsidRPr="00414DBF">
        <w:rPr>
          <w:rFonts w:ascii="Times New Roman" w:hAnsi="Times New Roman"/>
          <w:i/>
          <w:sz w:val="20"/>
          <w:szCs w:val="20"/>
        </w:rPr>
        <w:t>See</w:t>
      </w:r>
      <w:r w:rsidRPr="00414DBF">
        <w:rPr>
          <w:rFonts w:ascii="Times New Roman" w:hAnsi="Times New Roman"/>
          <w:sz w:val="20"/>
          <w:szCs w:val="20"/>
        </w:rPr>
        <w:t xml:space="preserve"> Dodd-Frank Wall Street Reform and Consumer Protection Act, Pub. L. No. 111-203, 124 Stat. 1376 (2010).</w:t>
      </w:r>
    </w:p>
  </w:footnote>
  <w:footnote w:id="2">
    <w:p w14:paraId="207D2E9A" w14:textId="77777777" w:rsidR="00E54279" w:rsidRPr="00414DBF" w:rsidRDefault="00E54279" w:rsidP="00E54279">
      <w:pPr>
        <w:pStyle w:val="FootnoteText"/>
        <w:spacing w:before="120" w:after="120"/>
        <w:rPr>
          <w:i/>
        </w:rPr>
      </w:pPr>
      <w:r w:rsidRPr="00414DBF">
        <w:rPr>
          <w:rStyle w:val="FootnoteReference"/>
        </w:rPr>
        <w:footnoteRef/>
      </w:r>
      <w:r w:rsidRPr="00414DBF">
        <w:t xml:space="preserve"> 7 U.S.C. 1 </w:t>
      </w:r>
      <w:r w:rsidRPr="00881B9B">
        <w:rPr>
          <w:i/>
        </w:rPr>
        <w:t>et seq.</w:t>
      </w:r>
    </w:p>
  </w:footnote>
  <w:footnote w:id="3">
    <w:p w14:paraId="097DF3E6" w14:textId="77777777" w:rsidR="00E54279" w:rsidRPr="009A6B18" w:rsidRDefault="00E54279" w:rsidP="00E54279">
      <w:pPr>
        <w:pStyle w:val="FootnoteText"/>
      </w:pPr>
      <w:r w:rsidRPr="00414DBF">
        <w:rPr>
          <w:rStyle w:val="FootnoteReference"/>
        </w:rPr>
        <w:footnoteRef/>
      </w:r>
      <w:r w:rsidRPr="00414DBF">
        <w:t xml:space="preserve"> </w:t>
      </w:r>
      <w:r w:rsidRPr="00414DBF">
        <w:rPr>
          <w:i/>
        </w:rPr>
        <w:t>See</w:t>
      </w:r>
      <w:r w:rsidRPr="00414DBF">
        <w:t xml:space="preserve"> CFTC Letter 17-33, Division of Market Oversight Announces Review of Swap Reporting Rules in Parts 43, 45, and 49 of Commission Regulations (July 10, 2017), </w:t>
      </w:r>
      <w:r w:rsidRPr="00414DBF">
        <w:rPr>
          <w:i/>
        </w:rPr>
        <w:t>available at</w:t>
      </w:r>
      <w:r w:rsidRPr="00414DBF">
        <w:t xml:space="preserve"> http://www.cftc.gov/idc/groups/public/@lrlettergeneral/documents/letter/17-33.pdf; Roadmap to Achieve High Quality Swap Data, </w:t>
      </w:r>
      <w:r w:rsidRPr="00414DBF">
        <w:rPr>
          <w:i/>
        </w:rPr>
        <w:t>available at</w:t>
      </w:r>
      <w:r w:rsidRPr="00414DBF">
        <w:t xml:space="preserve"> http://www.cftc.gov/idc/groups/public/@newsroom/documents/file/dmo_swapdataplan071017.pdf.</w:t>
      </w:r>
      <w:r w:rsidRPr="00C47600">
        <w:t xml:space="preserve"> </w:t>
      </w:r>
    </w:p>
  </w:footnote>
  <w:footnote w:id="4">
    <w:p w14:paraId="50F4238C" w14:textId="2D59EC11" w:rsidR="007D22E3" w:rsidRPr="00FE503D" w:rsidRDefault="007D22E3" w:rsidP="007D22E3">
      <w:pPr>
        <w:pStyle w:val="FootnoteText"/>
        <w:rPr>
          <w:sz w:val="16"/>
          <w:szCs w:val="16"/>
        </w:rPr>
      </w:pPr>
      <w:r>
        <w:rPr>
          <w:rStyle w:val="FootnoteReference"/>
        </w:rPr>
        <w:footnoteRef/>
      </w:r>
      <w:r>
        <w:t xml:space="preserve"> </w:t>
      </w:r>
      <w:r w:rsidR="00361683" w:rsidRPr="00361683">
        <w:rPr>
          <w:sz w:val="16"/>
          <w:szCs w:val="16"/>
        </w:rPr>
        <w:t>As described above in the answer to question 13, the Commission calculated the average wage rate to $72.23.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F079C"/>
    <w:multiLevelType w:val="hybridMultilevel"/>
    <w:tmpl w:val="1AFE0AF6"/>
    <w:lvl w:ilvl="0" w:tplc="7ECA6AE4">
      <w:start w:val="4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76532"/>
    <w:multiLevelType w:val="hybridMultilevel"/>
    <w:tmpl w:val="8C26F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ED6527"/>
    <w:multiLevelType w:val="hybridMultilevel"/>
    <w:tmpl w:val="C3228042"/>
    <w:lvl w:ilvl="0" w:tplc="5908128C">
      <w:start w:val="43"/>
      <w:numFmt w:val="bullet"/>
      <w:lvlText w:val="-"/>
      <w:lvlJc w:val="left"/>
      <w:pPr>
        <w:ind w:left="765" w:hanging="360"/>
      </w:pPr>
      <w:rPr>
        <w:rFonts w:ascii="Times New Roman" w:eastAsiaTheme="minorHAnsi" w:hAnsi="Times New Roman" w:cs="Times New Roman" w:hint="default"/>
        <w:sz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3567727A"/>
    <w:multiLevelType w:val="hybridMultilevel"/>
    <w:tmpl w:val="EA4E65CC"/>
    <w:lvl w:ilvl="0" w:tplc="A49EF17C">
      <w:start w:val="43"/>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576BF"/>
    <w:rsid w:val="0007012C"/>
    <w:rsid w:val="00072761"/>
    <w:rsid w:val="000803D6"/>
    <w:rsid w:val="000835FF"/>
    <w:rsid w:val="00083F72"/>
    <w:rsid w:val="000C2D0E"/>
    <w:rsid w:val="000C3307"/>
    <w:rsid w:val="000E0987"/>
    <w:rsid w:val="00101EA3"/>
    <w:rsid w:val="00116FC7"/>
    <w:rsid w:val="0012080B"/>
    <w:rsid w:val="001577B2"/>
    <w:rsid w:val="00176391"/>
    <w:rsid w:val="00180982"/>
    <w:rsid w:val="001D4BB9"/>
    <w:rsid w:val="001D7B90"/>
    <w:rsid w:val="00200207"/>
    <w:rsid w:val="00233D65"/>
    <w:rsid w:val="00241E30"/>
    <w:rsid w:val="00243435"/>
    <w:rsid w:val="002600FA"/>
    <w:rsid w:val="00260C07"/>
    <w:rsid w:val="0027708A"/>
    <w:rsid w:val="002879E8"/>
    <w:rsid w:val="002C7E70"/>
    <w:rsid w:val="002D0489"/>
    <w:rsid w:val="002E05BD"/>
    <w:rsid w:val="002F1E80"/>
    <w:rsid w:val="00307E70"/>
    <w:rsid w:val="00330DF8"/>
    <w:rsid w:val="00347613"/>
    <w:rsid w:val="00357E35"/>
    <w:rsid w:val="003607A6"/>
    <w:rsid w:val="00361683"/>
    <w:rsid w:val="003677B4"/>
    <w:rsid w:val="00370522"/>
    <w:rsid w:val="0037312F"/>
    <w:rsid w:val="0037421B"/>
    <w:rsid w:val="003755F4"/>
    <w:rsid w:val="003C1CFA"/>
    <w:rsid w:val="003E1141"/>
    <w:rsid w:val="00422FB0"/>
    <w:rsid w:val="00443D7B"/>
    <w:rsid w:val="0044799F"/>
    <w:rsid w:val="004618A5"/>
    <w:rsid w:val="00476AB6"/>
    <w:rsid w:val="004917AF"/>
    <w:rsid w:val="004A5F11"/>
    <w:rsid w:val="004A7924"/>
    <w:rsid w:val="004C2276"/>
    <w:rsid w:val="004D4BEA"/>
    <w:rsid w:val="004E0A52"/>
    <w:rsid w:val="004F4C42"/>
    <w:rsid w:val="00505251"/>
    <w:rsid w:val="00506FE2"/>
    <w:rsid w:val="00525395"/>
    <w:rsid w:val="0052742B"/>
    <w:rsid w:val="005503C6"/>
    <w:rsid w:val="00554929"/>
    <w:rsid w:val="00557EF2"/>
    <w:rsid w:val="00577F1F"/>
    <w:rsid w:val="00585718"/>
    <w:rsid w:val="005D34A0"/>
    <w:rsid w:val="005D492F"/>
    <w:rsid w:val="005E41B2"/>
    <w:rsid w:val="005E4E5C"/>
    <w:rsid w:val="005F316D"/>
    <w:rsid w:val="00607D38"/>
    <w:rsid w:val="006243BC"/>
    <w:rsid w:val="0063622E"/>
    <w:rsid w:val="00637711"/>
    <w:rsid w:val="00640784"/>
    <w:rsid w:val="00642B6A"/>
    <w:rsid w:val="00643925"/>
    <w:rsid w:val="00653547"/>
    <w:rsid w:val="00666FBF"/>
    <w:rsid w:val="00667CD6"/>
    <w:rsid w:val="00697065"/>
    <w:rsid w:val="006B2A40"/>
    <w:rsid w:val="006B5336"/>
    <w:rsid w:val="006F00A1"/>
    <w:rsid w:val="007029A9"/>
    <w:rsid w:val="00715F21"/>
    <w:rsid w:val="0074122B"/>
    <w:rsid w:val="00747BF5"/>
    <w:rsid w:val="00751B4D"/>
    <w:rsid w:val="00752AE8"/>
    <w:rsid w:val="007553BE"/>
    <w:rsid w:val="00755826"/>
    <w:rsid w:val="00755F59"/>
    <w:rsid w:val="00760311"/>
    <w:rsid w:val="0076443A"/>
    <w:rsid w:val="00771D97"/>
    <w:rsid w:val="007724B6"/>
    <w:rsid w:val="0078471A"/>
    <w:rsid w:val="007A1013"/>
    <w:rsid w:val="007B1735"/>
    <w:rsid w:val="007B7CE3"/>
    <w:rsid w:val="007C5B3F"/>
    <w:rsid w:val="007D22E3"/>
    <w:rsid w:val="007D7026"/>
    <w:rsid w:val="007E10D4"/>
    <w:rsid w:val="007F27F5"/>
    <w:rsid w:val="007F3179"/>
    <w:rsid w:val="00826F27"/>
    <w:rsid w:val="00833DC9"/>
    <w:rsid w:val="00836741"/>
    <w:rsid w:val="008435FA"/>
    <w:rsid w:val="00843603"/>
    <w:rsid w:val="00882745"/>
    <w:rsid w:val="008F2F98"/>
    <w:rsid w:val="008F41C5"/>
    <w:rsid w:val="008F6D4A"/>
    <w:rsid w:val="00902356"/>
    <w:rsid w:val="009138D7"/>
    <w:rsid w:val="009309EC"/>
    <w:rsid w:val="00963975"/>
    <w:rsid w:val="009729E7"/>
    <w:rsid w:val="0099690D"/>
    <w:rsid w:val="009B1E93"/>
    <w:rsid w:val="009B2F52"/>
    <w:rsid w:val="009C6DB4"/>
    <w:rsid w:val="009D00FB"/>
    <w:rsid w:val="009E356F"/>
    <w:rsid w:val="009E5AF5"/>
    <w:rsid w:val="00A014A3"/>
    <w:rsid w:val="00A02F67"/>
    <w:rsid w:val="00A257E3"/>
    <w:rsid w:val="00A34FBC"/>
    <w:rsid w:val="00A54471"/>
    <w:rsid w:val="00A708B1"/>
    <w:rsid w:val="00A80B52"/>
    <w:rsid w:val="00AA013C"/>
    <w:rsid w:val="00AA3183"/>
    <w:rsid w:val="00AB00BD"/>
    <w:rsid w:val="00AC2529"/>
    <w:rsid w:val="00AC59BE"/>
    <w:rsid w:val="00AD0896"/>
    <w:rsid w:val="00AD0B9F"/>
    <w:rsid w:val="00AD5FD4"/>
    <w:rsid w:val="00AF47B8"/>
    <w:rsid w:val="00B1090B"/>
    <w:rsid w:val="00B328FB"/>
    <w:rsid w:val="00B33652"/>
    <w:rsid w:val="00B46731"/>
    <w:rsid w:val="00B6776C"/>
    <w:rsid w:val="00B74CE1"/>
    <w:rsid w:val="00B86819"/>
    <w:rsid w:val="00B91704"/>
    <w:rsid w:val="00BA0A82"/>
    <w:rsid w:val="00BA10C3"/>
    <w:rsid w:val="00BE3923"/>
    <w:rsid w:val="00BE6AC8"/>
    <w:rsid w:val="00BE76BF"/>
    <w:rsid w:val="00C032F4"/>
    <w:rsid w:val="00C03FBF"/>
    <w:rsid w:val="00C173E1"/>
    <w:rsid w:val="00C2000F"/>
    <w:rsid w:val="00C23A3C"/>
    <w:rsid w:val="00C83EDF"/>
    <w:rsid w:val="00C91CB5"/>
    <w:rsid w:val="00C9497A"/>
    <w:rsid w:val="00CE561C"/>
    <w:rsid w:val="00CF1C34"/>
    <w:rsid w:val="00D0347F"/>
    <w:rsid w:val="00D10E69"/>
    <w:rsid w:val="00D12FEB"/>
    <w:rsid w:val="00D25BD2"/>
    <w:rsid w:val="00D27AE8"/>
    <w:rsid w:val="00D37F72"/>
    <w:rsid w:val="00D5232E"/>
    <w:rsid w:val="00D945B5"/>
    <w:rsid w:val="00DA5113"/>
    <w:rsid w:val="00DB00E1"/>
    <w:rsid w:val="00DB1AD1"/>
    <w:rsid w:val="00DB7297"/>
    <w:rsid w:val="00DC77C0"/>
    <w:rsid w:val="00DD36CC"/>
    <w:rsid w:val="00DD51EE"/>
    <w:rsid w:val="00E15E4F"/>
    <w:rsid w:val="00E42A80"/>
    <w:rsid w:val="00E446C6"/>
    <w:rsid w:val="00E54279"/>
    <w:rsid w:val="00E73A61"/>
    <w:rsid w:val="00E87F36"/>
    <w:rsid w:val="00E87F90"/>
    <w:rsid w:val="00EB0FA7"/>
    <w:rsid w:val="00EC238C"/>
    <w:rsid w:val="00F02CC0"/>
    <w:rsid w:val="00F21958"/>
    <w:rsid w:val="00F22FCB"/>
    <w:rsid w:val="00F378A6"/>
    <w:rsid w:val="00F4707F"/>
    <w:rsid w:val="00F568E5"/>
    <w:rsid w:val="00F825B7"/>
    <w:rsid w:val="00F860C4"/>
    <w:rsid w:val="00FA7B73"/>
    <w:rsid w:val="00FB0145"/>
    <w:rsid w:val="00FC54D4"/>
    <w:rsid w:val="00FD6D7D"/>
    <w:rsid w:val="00FE1133"/>
    <w:rsid w:val="00FE503D"/>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0F4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basedOn w:val="Normal"/>
    <w:link w:val="FootnoteTextChar"/>
    <w:uiPriority w:val="99"/>
    <w:semiHidden/>
    <w:unhideWhenUsed/>
    <w:rsid w:val="009C6DB4"/>
    <w:rPr>
      <w:sz w:val="20"/>
      <w:szCs w:val="20"/>
    </w:rPr>
  </w:style>
  <w:style w:type="character" w:customStyle="1" w:styleId="FootnoteTextChar">
    <w:name w:val="Footnote Tex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
    <w:uiPriority w:val="99"/>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basedOn w:val="Normal"/>
    <w:link w:val="FootnoteTextChar"/>
    <w:uiPriority w:val="99"/>
    <w:semiHidden/>
    <w:unhideWhenUsed/>
    <w:rsid w:val="009C6DB4"/>
    <w:rPr>
      <w:sz w:val="20"/>
      <w:szCs w:val="20"/>
    </w:rPr>
  </w:style>
  <w:style w:type="character" w:customStyle="1" w:styleId="FootnoteTextChar">
    <w:name w:val="Footnote Tex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
    <w:uiPriority w:val="99"/>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1C4C9D28765341810F01AEF36B1ED6" ma:contentTypeVersion="0" ma:contentTypeDescription="Create a new document." ma:contentTypeScope="" ma:versionID="23ed24135212c225ced1c5f027e1316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2.xml><?xml version="1.0" encoding="utf-8"?>
<ds:datastoreItem xmlns:ds="http://schemas.openxmlformats.org/officeDocument/2006/customXml" ds:itemID="{6214A2A5-244F-452E-A3A8-423A516FB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367CBB-B949-4A71-ACFE-8DD0396879C0}">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A66A96F5-9E0A-4EDF-920B-DB39A959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3269</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keywords>PRA Blank</cp:keywords>
  <cp:lastModifiedBy>SYSTEM</cp:lastModifiedBy>
  <cp:revision>2</cp:revision>
  <cp:lastPrinted>2013-09-19T13:07:00Z</cp:lastPrinted>
  <dcterms:created xsi:type="dcterms:W3CDTF">2019-05-13T22:06:00Z</dcterms:created>
  <dcterms:modified xsi:type="dcterms:W3CDTF">2019-05-13T22:06:00Z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0x010100941C4C9D28765341810F01AEF36B1ED6</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2268;#PRA Blank|bbbd82c5-0437-4006-80e0-1ee767fc1cab</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