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B9A0B" w14:textId="2B49E457" w:rsidR="00536C27" w:rsidRPr="005256A9" w:rsidRDefault="00536C27" w:rsidP="00536C27">
      <w:pPr>
        <w:tabs>
          <w:tab w:val="left" w:pos="547"/>
          <w:tab w:val="left" w:pos="1080"/>
          <w:tab w:val="left" w:pos="1627"/>
          <w:tab w:val="left" w:pos="2160"/>
          <w:tab w:val="left" w:pos="2880"/>
        </w:tabs>
        <w:jc w:val="center"/>
        <w:rPr>
          <w:b/>
          <w:bCs/>
        </w:rPr>
      </w:pPr>
      <w:bookmarkStart w:id="0" w:name="_GoBack"/>
      <w:bookmarkEnd w:id="0"/>
      <w:r w:rsidRPr="005256A9">
        <w:rPr>
          <w:rFonts w:ascii="Arial" w:hAnsi="Arial" w:cs="Arial"/>
          <w:b/>
        </w:rPr>
        <w:t xml:space="preserve">Creating Options for Veterans Expedited Recovery (COVER) Commission Veterans Focus Groups: Mental Health Services Preferences and Utilization </w:t>
      </w:r>
      <w:r w:rsidR="00BD770F" w:rsidRPr="005256A9">
        <w:rPr>
          <w:rFonts w:ascii="Arial" w:hAnsi="Arial" w:cs="Arial"/>
          <w:b/>
        </w:rPr>
        <w:t>D</w:t>
      </w:r>
      <w:r w:rsidRPr="005256A9">
        <w:rPr>
          <w:rFonts w:ascii="Arial" w:hAnsi="Arial" w:cs="Arial"/>
          <w:b/>
        </w:rPr>
        <w:t xml:space="preserve">ata </w:t>
      </w:r>
      <w:r w:rsidR="00BD770F" w:rsidRPr="005256A9">
        <w:rPr>
          <w:rFonts w:ascii="Arial" w:hAnsi="Arial" w:cs="Arial"/>
          <w:b/>
        </w:rPr>
        <w:t>C</w:t>
      </w:r>
      <w:r w:rsidRPr="005256A9">
        <w:rPr>
          <w:rFonts w:ascii="Arial" w:hAnsi="Arial" w:cs="Arial"/>
          <w:b/>
        </w:rPr>
        <w:t>ollection</w:t>
      </w:r>
    </w:p>
    <w:p w14:paraId="018AC6BE" w14:textId="77777777" w:rsidR="00E6326A" w:rsidRDefault="00E6326A" w:rsidP="007C23F0">
      <w:pPr>
        <w:tabs>
          <w:tab w:val="left" w:pos="547"/>
          <w:tab w:val="left" w:pos="1080"/>
          <w:tab w:val="left" w:pos="1627"/>
          <w:tab w:val="left" w:pos="2160"/>
          <w:tab w:val="left" w:pos="2880"/>
        </w:tabs>
        <w:jc w:val="center"/>
        <w:rPr>
          <w:b/>
          <w:bCs/>
          <w:color w:val="FF0000"/>
          <w:sz w:val="22"/>
          <w:szCs w:val="22"/>
        </w:rPr>
      </w:pPr>
    </w:p>
    <w:p w14:paraId="43F714CE" w14:textId="7BB1B7BA" w:rsidR="007C23F0" w:rsidRDefault="002D63BC" w:rsidP="007C23F0">
      <w:pPr>
        <w:tabs>
          <w:tab w:val="left" w:pos="547"/>
          <w:tab w:val="left" w:pos="1080"/>
          <w:tab w:val="left" w:pos="1627"/>
          <w:tab w:val="left" w:pos="2160"/>
          <w:tab w:val="left" w:pos="2880"/>
        </w:tabs>
        <w:jc w:val="center"/>
        <w:rPr>
          <w:b/>
          <w:bCs/>
        </w:rPr>
      </w:pPr>
      <w:r>
        <w:rPr>
          <w:b/>
          <w:bCs/>
        </w:rPr>
        <w:t>OMB</w:t>
      </w:r>
      <w:r w:rsidR="00722ADD">
        <w:rPr>
          <w:b/>
          <w:bCs/>
        </w:rPr>
        <w:t xml:space="preserve"> CONTROL NUMBER</w:t>
      </w:r>
      <w:r w:rsidR="005B3664">
        <w:rPr>
          <w:b/>
          <w:bCs/>
        </w:rPr>
        <w:t xml:space="preserve">: </w:t>
      </w:r>
      <w:r w:rsidR="00722ADD">
        <w:rPr>
          <w:b/>
          <w:bCs/>
        </w:rPr>
        <w:t xml:space="preserve"> 2900-N</w:t>
      </w:r>
      <w:r w:rsidR="00BD770F">
        <w:rPr>
          <w:b/>
          <w:bCs/>
        </w:rPr>
        <w:t>EW</w:t>
      </w:r>
    </w:p>
    <w:p w14:paraId="2A017726" w14:textId="77777777" w:rsidR="00536A11" w:rsidRDefault="00536A11" w:rsidP="007C23F0">
      <w:pPr>
        <w:tabs>
          <w:tab w:val="left" w:pos="547"/>
          <w:tab w:val="left" w:pos="1080"/>
          <w:tab w:val="left" w:pos="1627"/>
          <w:tab w:val="left" w:pos="2160"/>
          <w:tab w:val="left" w:pos="2880"/>
        </w:tabs>
        <w:jc w:val="center"/>
      </w:pPr>
    </w:p>
    <w:p w14:paraId="1544BD0E" w14:textId="77777777" w:rsidR="00536A11" w:rsidRPr="007B1194"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14:paraId="09158A2C" w14:textId="77777777" w:rsidR="00536A11" w:rsidRPr="007B1194" w:rsidRDefault="00536A11">
      <w:pPr>
        <w:tabs>
          <w:tab w:val="left" w:pos="547"/>
          <w:tab w:val="left" w:pos="1080"/>
          <w:tab w:val="left" w:pos="1627"/>
          <w:tab w:val="left" w:pos="2160"/>
          <w:tab w:val="left" w:pos="2880"/>
        </w:tabs>
        <w:rPr>
          <w:sz w:val="22"/>
          <w:szCs w:val="22"/>
        </w:rPr>
      </w:pPr>
    </w:p>
    <w:p w14:paraId="1A62636C" w14:textId="77777777"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14:paraId="4B8CEADE" w14:textId="77777777" w:rsidR="00536A11" w:rsidRPr="00DE03B5" w:rsidRDefault="00536A11">
      <w:pPr>
        <w:tabs>
          <w:tab w:val="left" w:pos="547"/>
          <w:tab w:val="left" w:pos="1080"/>
          <w:tab w:val="left" w:pos="1627"/>
          <w:tab w:val="left" w:pos="2160"/>
          <w:tab w:val="left" w:pos="2880"/>
        </w:tabs>
        <w:rPr>
          <w:sz w:val="22"/>
          <w:szCs w:val="22"/>
        </w:rPr>
      </w:pPr>
    </w:p>
    <w:p w14:paraId="781B2F2C" w14:textId="4CC12956" w:rsidR="00634ACA" w:rsidRPr="00DE03B5" w:rsidRDefault="00634ACA" w:rsidP="00634ACA">
      <w:pPr>
        <w:widowControl w:val="0"/>
        <w:rPr>
          <w:color w:val="0070C0"/>
          <w:sz w:val="22"/>
          <w:szCs w:val="22"/>
        </w:rPr>
      </w:pPr>
      <w:r w:rsidRPr="00DE03B5">
        <w:rPr>
          <w:color w:val="0070C0"/>
          <w:sz w:val="22"/>
          <w:szCs w:val="22"/>
        </w:rPr>
        <w:t xml:space="preserve">The COVER Commission, established as required by the Comprehensive Addiction and Recovery Act of 2016 (CARA), Section 931 (Public Law 114-198), is charged to meet the duties outlined within the legislation.  </w:t>
      </w:r>
      <w:r w:rsidR="00FB689B" w:rsidRPr="00DE03B5">
        <w:rPr>
          <w:color w:val="0070C0"/>
          <w:sz w:val="22"/>
          <w:szCs w:val="22"/>
        </w:rPr>
        <w:t>The l</w:t>
      </w:r>
      <w:r w:rsidR="00954586" w:rsidRPr="00DE03B5">
        <w:rPr>
          <w:color w:val="0070C0"/>
          <w:sz w:val="22"/>
          <w:szCs w:val="22"/>
        </w:rPr>
        <w:t>egislation</w:t>
      </w:r>
      <w:r w:rsidR="0055482F" w:rsidRPr="00DE03B5">
        <w:rPr>
          <w:color w:val="0070C0"/>
          <w:sz w:val="22"/>
          <w:szCs w:val="22"/>
        </w:rPr>
        <w:t>, Section 931</w:t>
      </w:r>
      <w:r w:rsidR="00954586" w:rsidRPr="00DE03B5">
        <w:rPr>
          <w:color w:val="0070C0"/>
          <w:sz w:val="22"/>
          <w:szCs w:val="22"/>
        </w:rPr>
        <w:t>(b)(2)</w:t>
      </w:r>
      <w:r w:rsidR="0055482F" w:rsidRPr="00DE03B5">
        <w:rPr>
          <w:color w:val="0070C0"/>
          <w:sz w:val="22"/>
          <w:szCs w:val="22"/>
        </w:rPr>
        <w:t>,</w:t>
      </w:r>
      <w:r w:rsidR="00954586" w:rsidRPr="00DE03B5">
        <w:rPr>
          <w:color w:val="0070C0"/>
          <w:sz w:val="22"/>
          <w:szCs w:val="22"/>
        </w:rPr>
        <w:t xml:space="preserve"> </w:t>
      </w:r>
      <w:r w:rsidRPr="00DE03B5">
        <w:rPr>
          <w:color w:val="0070C0"/>
          <w:sz w:val="22"/>
          <w:szCs w:val="22"/>
        </w:rPr>
        <w:t xml:space="preserve">specifically states that the COVER Commission is to conduct a patient-centered survey within each of the Veterans Integrated Service Networks. </w:t>
      </w:r>
      <w:r w:rsidR="004D1CA1" w:rsidRPr="00DE03B5">
        <w:rPr>
          <w:color w:val="0070C0"/>
          <w:sz w:val="22"/>
          <w:szCs w:val="22"/>
        </w:rPr>
        <w:t>(</w:t>
      </w:r>
      <w:r w:rsidR="0055482F" w:rsidRPr="00DE03B5">
        <w:rPr>
          <w:color w:val="0070C0"/>
          <w:sz w:val="22"/>
          <w:szCs w:val="22"/>
        </w:rPr>
        <w:t xml:space="preserve">See </w:t>
      </w:r>
      <w:r w:rsidR="004D1CA1" w:rsidRPr="00DE03B5">
        <w:rPr>
          <w:color w:val="0070C0"/>
          <w:sz w:val="22"/>
          <w:szCs w:val="22"/>
        </w:rPr>
        <w:t>Su</w:t>
      </w:r>
      <w:r w:rsidR="0055482F" w:rsidRPr="00DE03B5">
        <w:rPr>
          <w:color w:val="0070C0"/>
          <w:sz w:val="22"/>
          <w:szCs w:val="22"/>
        </w:rPr>
        <w:t>pport Document – Public Law 114-198, Section 931(b)(2)</w:t>
      </w:r>
      <w:r w:rsidR="00954586" w:rsidRPr="00DE03B5">
        <w:rPr>
          <w:color w:val="0070C0"/>
          <w:sz w:val="22"/>
          <w:szCs w:val="22"/>
        </w:rPr>
        <w:t>)</w:t>
      </w:r>
    </w:p>
    <w:p w14:paraId="45ED93BC" w14:textId="77777777" w:rsidR="001A05E0" w:rsidRPr="00DE03B5" w:rsidRDefault="001A05E0">
      <w:pPr>
        <w:tabs>
          <w:tab w:val="left" w:pos="547"/>
          <w:tab w:val="left" w:pos="1080"/>
          <w:tab w:val="left" w:pos="1627"/>
          <w:tab w:val="left" w:pos="2160"/>
          <w:tab w:val="left" w:pos="2880"/>
        </w:tabs>
        <w:rPr>
          <w:sz w:val="22"/>
          <w:szCs w:val="22"/>
        </w:rPr>
      </w:pPr>
    </w:p>
    <w:p w14:paraId="46496ABD" w14:textId="77777777" w:rsidR="00536A11" w:rsidRPr="00EA6F4F" w:rsidRDefault="00536A11">
      <w:pPr>
        <w:tabs>
          <w:tab w:val="left" w:pos="547"/>
          <w:tab w:val="left" w:pos="1080"/>
          <w:tab w:val="left" w:pos="1627"/>
          <w:tab w:val="left" w:pos="2160"/>
          <w:tab w:val="left" w:pos="2880"/>
        </w:tabs>
        <w:rPr>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14:paraId="0990AD87" w14:textId="77777777" w:rsidR="00954586" w:rsidRDefault="00954586" w:rsidP="00954586">
      <w:pPr>
        <w:rPr>
          <w:rFonts w:ascii="Cambria" w:hAnsi="Cambria" w:cs="Times New Roman (Body CS)"/>
          <w:sz w:val="22"/>
          <w:szCs w:val="22"/>
        </w:rPr>
      </w:pPr>
    </w:p>
    <w:p w14:paraId="0E5DD7DB" w14:textId="77777777" w:rsidR="00954586" w:rsidRPr="00DE03B5" w:rsidRDefault="00954586" w:rsidP="00954586">
      <w:pPr>
        <w:rPr>
          <w:color w:val="0070C0"/>
          <w:sz w:val="22"/>
          <w:szCs w:val="22"/>
        </w:rPr>
      </w:pPr>
      <w:r w:rsidRPr="00DE03B5">
        <w:rPr>
          <w:color w:val="0070C0"/>
          <w:sz w:val="22"/>
          <w:szCs w:val="22"/>
        </w:rPr>
        <w:t>The COVER Commission was established under the Comprehensive Addiction and Recovery Act of 2016 (CARA). The Commission’s purpose is to examine the evidence-based therapy treatment model used by the Secretary of Veterans Affairs for treating mental health conditions of Veterans and the potential benefits of incorporating complementary and integrative health treatments available in non-Department facilities.</w:t>
      </w:r>
    </w:p>
    <w:p w14:paraId="412EAECC" w14:textId="48663493" w:rsidR="00634ACA" w:rsidRPr="00DE03B5" w:rsidRDefault="00634ACA" w:rsidP="00634ACA">
      <w:pPr>
        <w:widowControl w:val="0"/>
        <w:rPr>
          <w:color w:val="0070C0"/>
          <w:sz w:val="22"/>
          <w:szCs w:val="22"/>
        </w:rPr>
      </w:pPr>
      <w:r w:rsidRPr="00DE03B5">
        <w:rPr>
          <w:color w:val="0070C0"/>
          <w:sz w:val="22"/>
          <w:szCs w:val="22"/>
        </w:rPr>
        <w:t>There are 5 identified duties that the Commission is tasked to evaluate and provide recommendations to the President of the United States, House and Senate Veterans Affairs Committees</w:t>
      </w:r>
      <w:r w:rsidR="00FB689B" w:rsidRPr="00DE03B5">
        <w:rPr>
          <w:color w:val="0070C0"/>
          <w:sz w:val="22"/>
          <w:szCs w:val="22"/>
        </w:rPr>
        <w:t>,</w:t>
      </w:r>
      <w:r w:rsidRPr="00DE03B5">
        <w:rPr>
          <w:color w:val="0070C0"/>
          <w:sz w:val="22"/>
          <w:szCs w:val="22"/>
        </w:rPr>
        <w:t xml:space="preserve"> and the Secretary of VA eighteen months after the establish of the Commission, which will be December 2019.  </w:t>
      </w:r>
      <w:r w:rsidRPr="00DE03B5">
        <w:rPr>
          <w:b/>
          <w:color w:val="0070C0"/>
          <w:sz w:val="22"/>
          <w:szCs w:val="22"/>
        </w:rPr>
        <w:t xml:space="preserve">The Commission is requesting approval from the Office of Management and Budget (OMB) for a focus group protocol to meet the charges outlined under Duty 2 in the legislation </w:t>
      </w:r>
      <w:r w:rsidRPr="00DE03B5">
        <w:rPr>
          <w:color w:val="0070C0"/>
          <w:sz w:val="22"/>
          <w:szCs w:val="22"/>
        </w:rPr>
        <w:t xml:space="preserve">(bolded in table below).  The instrument will collect qualitative information from Veterans seeking and utilizing mental health services through VA and non-VA facilities </w:t>
      </w:r>
      <w:r w:rsidRPr="00DE03B5">
        <w:rPr>
          <w:b/>
          <w:color w:val="0070C0"/>
          <w:sz w:val="22"/>
          <w:szCs w:val="22"/>
        </w:rPr>
        <w:t>that is not available anywhere else</w:t>
      </w:r>
      <w:r w:rsidRPr="00DE03B5">
        <w:rPr>
          <w:color w:val="0070C0"/>
          <w:sz w:val="22"/>
          <w:szCs w:val="22"/>
        </w:rPr>
        <w:t>.</w:t>
      </w:r>
    </w:p>
    <w:p w14:paraId="36F49177" w14:textId="77777777" w:rsidR="00536A11" w:rsidRPr="00EA6F4F"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14:paraId="5F7D5566" w14:textId="77777777" w:rsidR="00536A11" w:rsidRPr="007B1194"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B1194">
        <w:rPr>
          <w:b/>
          <w:sz w:val="22"/>
          <w:szCs w:val="22"/>
        </w:rPr>
        <w:t>.  Also describe any consideration of using information technology to reduce burden.</w:t>
      </w:r>
    </w:p>
    <w:p w14:paraId="66421BB8" w14:textId="77777777" w:rsidR="00536A11" w:rsidRPr="007B1194" w:rsidRDefault="00536A11">
      <w:pPr>
        <w:tabs>
          <w:tab w:val="left" w:pos="547"/>
          <w:tab w:val="left" w:pos="1080"/>
          <w:tab w:val="left" w:pos="1627"/>
          <w:tab w:val="left" w:pos="2160"/>
          <w:tab w:val="left" w:pos="2880"/>
        </w:tabs>
        <w:rPr>
          <w:sz w:val="22"/>
          <w:szCs w:val="22"/>
        </w:rPr>
      </w:pPr>
    </w:p>
    <w:p w14:paraId="112E50BE" w14:textId="2B30E250" w:rsidR="00536A11" w:rsidRPr="00DE03B5" w:rsidRDefault="00C92485">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70C0"/>
          <w:sz w:val="22"/>
          <w:szCs w:val="22"/>
        </w:rPr>
      </w:pPr>
      <w:r w:rsidRPr="00DE03B5">
        <w:rPr>
          <w:color w:val="0070C0"/>
          <w:sz w:val="22"/>
          <w:szCs w:val="22"/>
        </w:rPr>
        <w:t xml:space="preserve">This collection of information will use </w:t>
      </w:r>
      <w:r w:rsidR="00C341FA" w:rsidRPr="00DE03B5">
        <w:rPr>
          <w:color w:val="0070C0"/>
          <w:sz w:val="22"/>
          <w:szCs w:val="22"/>
        </w:rPr>
        <w:t>technology</w:t>
      </w:r>
      <w:r w:rsidR="00003C1D">
        <w:rPr>
          <w:color w:val="0070C0"/>
          <w:sz w:val="22"/>
          <w:szCs w:val="22"/>
        </w:rPr>
        <w:t xml:space="preserve"> only for the virtual Focus Groups</w:t>
      </w:r>
      <w:r w:rsidR="00C341FA" w:rsidRPr="00DE03B5">
        <w:rPr>
          <w:color w:val="0070C0"/>
          <w:sz w:val="22"/>
          <w:szCs w:val="22"/>
        </w:rPr>
        <w:t xml:space="preserve">. </w:t>
      </w:r>
      <w:r w:rsidR="00876E8B" w:rsidRPr="00DE03B5">
        <w:rPr>
          <w:color w:val="0070C0"/>
          <w:sz w:val="22"/>
          <w:szCs w:val="22"/>
        </w:rPr>
        <w:t xml:space="preserve">The survey will be conducted during </w:t>
      </w:r>
      <w:r w:rsidR="00003C1D">
        <w:rPr>
          <w:color w:val="0070C0"/>
          <w:sz w:val="22"/>
          <w:szCs w:val="22"/>
        </w:rPr>
        <w:t xml:space="preserve">in-person or virtual </w:t>
      </w:r>
      <w:r w:rsidR="00954586" w:rsidRPr="00DE03B5">
        <w:rPr>
          <w:color w:val="0070C0"/>
          <w:sz w:val="22"/>
          <w:szCs w:val="22"/>
        </w:rPr>
        <w:t xml:space="preserve">Focus Group sessions held in each VISN, with 8-10 participants in each session selected from Veterans who volunteer to participate. </w:t>
      </w:r>
      <w:r w:rsidR="00C341FA" w:rsidRPr="00DE03B5">
        <w:rPr>
          <w:color w:val="0070C0"/>
          <w:sz w:val="22"/>
          <w:szCs w:val="22"/>
        </w:rPr>
        <w:t>The main purpose of the Focus G</w:t>
      </w:r>
      <w:r w:rsidR="00954586" w:rsidRPr="00DE03B5">
        <w:rPr>
          <w:color w:val="0070C0"/>
          <w:sz w:val="22"/>
          <w:szCs w:val="22"/>
        </w:rPr>
        <w:t>roup discussions is to hear from Veterans about the kinds of outpatient, inpatient, residential, complementary and integrative health (CIH) treatments of mental health concerns (e.g., PTSD, depression, substance use disorder including opioid use, or any other mental health issues) they are receiving or have received in the past at VA or non-VA facilities. The participants will also be asked to discuss their experiences and</w:t>
      </w:r>
      <w:r w:rsidR="00954586" w:rsidRPr="00DE03B5">
        <w:rPr>
          <w:bCs/>
          <w:color w:val="0070C0"/>
          <w:sz w:val="22"/>
          <w:szCs w:val="22"/>
        </w:rPr>
        <w:t xml:space="preserve"> preferences regarding mental health treatment options, challenges related to seeking mental healthcare, and any suggestions for improvement of services. </w:t>
      </w:r>
      <w:r w:rsidR="00C341FA" w:rsidRPr="00DE03B5">
        <w:rPr>
          <w:bCs/>
          <w:color w:val="0070C0"/>
          <w:sz w:val="22"/>
          <w:szCs w:val="22"/>
        </w:rPr>
        <w:t xml:space="preserve">Participants will be asked to manually fill out </w:t>
      </w:r>
      <w:r w:rsidR="00003C1D">
        <w:rPr>
          <w:bCs/>
          <w:color w:val="0070C0"/>
          <w:sz w:val="22"/>
          <w:szCs w:val="22"/>
        </w:rPr>
        <w:t xml:space="preserve">a </w:t>
      </w:r>
      <w:r w:rsidR="001E61E5">
        <w:rPr>
          <w:bCs/>
          <w:color w:val="0070C0"/>
          <w:sz w:val="22"/>
          <w:szCs w:val="22"/>
        </w:rPr>
        <w:t>demographics</w:t>
      </w:r>
      <w:r w:rsidR="001E61E5" w:rsidRPr="00DE03B5">
        <w:rPr>
          <w:bCs/>
          <w:color w:val="0070C0"/>
          <w:sz w:val="22"/>
          <w:szCs w:val="22"/>
        </w:rPr>
        <w:t xml:space="preserve"> </w:t>
      </w:r>
      <w:r w:rsidR="00C341FA" w:rsidRPr="00DE03B5">
        <w:rPr>
          <w:bCs/>
          <w:color w:val="0070C0"/>
          <w:sz w:val="22"/>
          <w:szCs w:val="22"/>
        </w:rPr>
        <w:t xml:space="preserve">survey and hand it back to the Focus Group leader. </w:t>
      </w:r>
      <w:r w:rsidR="00954586" w:rsidRPr="00DE03B5">
        <w:rPr>
          <w:color w:val="0070C0"/>
          <w:sz w:val="22"/>
          <w:szCs w:val="22"/>
        </w:rPr>
        <w:t xml:space="preserve">Each </w:t>
      </w:r>
      <w:r w:rsidR="00C341FA" w:rsidRPr="00DE03B5">
        <w:rPr>
          <w:color w:val="0070C0"/>
          <w:sz w:val="22"/>
          <w:szCs w:val="22"/>
        </w:rPr>
        <w:t xml:space="preserve">Focus Group </w:t>
      </w:r>
      <w:r w:rsidR="00954586" w:rsidRPr="00DE03B5">
        <w:rPr>
          <w:color w:val="0070C0"/>
          <w:sz w:val="22"/>
          <w:szCs w:val="22"/>
        </w:rPr>
        <w:t>session will last approximately 2 hours.</w:t>
      </w:r>
    </w:p>
    <w:p w14:paraId="38DC35E8" w14:textId="77777777" w:rsidR="00536A11" w:rsidRPr="007B1194" w:rsidRDefault="00536A11">
      <w:pPr>
        <w:tabs>
          <w:tab w:val="left" w:pos="547"/>
          <w:tab w:val="left" w:pos="1080"/>
          <w:tab w:val="left" w:pos="1627"/>
          <w:tab w:val="left" w:pos="2160"/>
          <w:tab w:val="left" w:pos="2880"/>
        </w:tabs>
        <w:rPr>
          <w:sz w:val="22"/>
          <w:szCs w:val="22"/>
        </w:rPr>
      </w:pPr>
    </w:p>
    <w:p w14:paraId="730CD78D" w14:textId="77777777"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14:paraId="4EB626FF" w14:textId="77777777" w:rsidR="008C22C0" w:rsidRDefault="008C22C0">
      <w:pPr>
        <w:tabs>
          <w:tab w:val="left" w:pos="547"/>
          <w:tab w:val="left" w:pos="1080"/>
          <w:tab w:val="left" w:pos="1627"/>
          <w:tab w:val="left" w:pos="2160"/>
          <w:tab w:val="left" w:pos="2880"/>
        </w:tabs>
        <w:rPr>
          <w:b/>
          <w:color w:val="000000"/>
          <w:sz w:val="22"/>
          <w:szCs w:val="22"/>
        </w:rPr>
      </w:pPr>
    </w:p>
    <w:p w14:paraId="3D02D855" w14:textId="77777777" w:rsidR="008C22C0" w:rsidRPr="00B85D93" w:rsidRDefault="008C22C0">
      <w:pPr>
        <w:tabs>
          <w:tab w:val="left" w:pos="547"/>
          <w:tab w:val="left" w:pos="1080"/>
          <w:tab w:val="left" w:pos="1627"/>
          <w:tab w:val="left" w:pos="2160"/>
          <w:tab w:val="left" w:pos="2880"/>
        </w:tabs>
        <w:rPr>
          <w:color w:val="0070C0"/>
          <w:sz w:val="22"/>
          <w:szCs w:val="22"/>
        </w:rPr>
      </w:pPr>
      <w:r w:rsidRPr="00B85D93">
        <w:rPr>
          <w:color w:val="0070C0"/>
          <w:sz w:val="22"/>
          <w:szCs w:val="22"/>
        </w:rPr>
        <w:t xml:space="preserve">Search of existing survey data sources failed to identify data collected across each VISN from Veterans representing all eras of military service that address the mental health services and experiences of Veterans seeking care for mental health conditions both in the VA and in the private sector.  </w:t>
      </w:r>
    </w:p>
    <w:p w14:paraId="31320A99" w14:textId="77777777" w:rsidR="00536A11" w:rsidRPr="00EA6F4F"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14:paraId="67CD61A0" w14:textId="77777777" w:rsidR="00536A11" w:rsidRPr="007B1194" w:rsidRDefault="00536A11">
      <w:pPr>
        <w:tabs>
          <w:tab w:val="left" w:pos="547"/>
          <w:tab w:val="left" w:pos="1080"/>
          <w:tab w:val="left" w:pos="1627"/>
          <w:tab w:val="left" w:pos="2160"/>
          <w:tab w:val="left" w:pos="2880"/>
        </w:tabs>
        <w:rPr>
          <w:b/>
          <w:sz w:val="22"/>
          <w:szCs w:val="22"/>
        </w:rPr>
      </w:pPr>
      <w:r w:rsidRPr="00EA6F4F">
        <w:rPr>
          <w:b/>
          <w:color w:val="000000"/>
          <w:sz w:val="22"/>
          <w:szCs w:val="22"/>
        </w:rPr>
        <w:lastRenderedPageBreak/>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14:paraId="4D27335B" w14:textId="77777777" w:rsidR="00536A11" w:rsidRPr="007B1194" w:rsidRDefault="00536A11">
      <w:pPr>
        <w:pStyle w:val="Header"/>
        <w:tabs>
          <w:tab w:val="clear" w:pos="4320"/>
          <w:tab w:val="clear" w:pos="8640"/>
          <w:tab w:val="left" w:pos="547"/>
          <w:tab w:val="left" w:pos="1080"/>
          <w:tab w:val="left" w:pos="1627"/>
          <w:tab w:val="left" w:pos="2160"/>
          <w:tab w:val="left" w:pos="2880"/>
        </w:tabs>
        <w:rPr>
          <w:sz w:val="22"/>
          <w:szCs w:val="22"/>
        </w:rPr>
      </w:pPr>
    </w:p>
    <w:p w14:paraId="73EA0A0A" w14:textId="77777777" w:rsidR="008618F0" w:rsidRPr="00B85D93"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70C0"/>
          <w:sz w:val="22"/>
          <w:szCs w:val="22"/>
        </w:rPr>
      </w:pPr>
      <w:r w:rsidRPr="007B1194">
        <w:rPr>
          <w:color w:val="FF0000"/>
          <w:sz w:val="22"/>
          <w:szCs w:val="22"/>
        </w:rPr>
        <w:tab/>
      </w:r>
      <w:r w:rsidR="008C22C0" w:rsidRPr="00B85D93">
        <w:rPr>
          <w:color w:val="0070C0"/>
          <w:sz w:val="22"/>
          <w:szCs w:val="22"/>
        </w:rPr>
        <w:t>As this survey is focused on the experiences of Veterans seeking care for mental health conditions</w:t>
      </w:r>
      <w:r w:rsidRPr="00B85D93">
        <w:rPr>
          <w:color w:val="0070C0"/>
          <w:sz w:val="22"/>
          <w:szCs w:val="22"/>
        </w:rPr>
        <w:t>, no small businesses or other small entities are impacted by the information collection.</w:t>
      </w:r>
    </w:p>
    <w:p w14:paraId="7490159E" w14:textId="77777777" w:rsidR="008618F0" w:rsidRPr="007B1194"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14:paraId="569A557E" w14:textId="77777777"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Pr="007B1194">
        <w:rPr>
          <w:b/>
          <w:sz w:val="22"/>
          <w:szCs w:val="22"/>
        </w:rPr>
        <w:t xml:space="preserve"> as well as any technical or legal obstacles to reducing burden.</w:t>
      </w:r>
    </w:p>
    <w:p w14:paraId="79CEAFCA" w14:textId="77777777" w:rsidR="00536A11" w:rsidRPr="007B1194" w:rsidRDefault="00536A11">
      <w:pPr>
        <w:tabs>
          <w:tab w:val="left" w:pos="547"/>
          <w:tab w:val="left" w:pos="1080"/>
          <w:tab w:val="left" w:pos="1627"/>
          <w:tab w:val="left" w:pos="2160"/>
          <w:tab w:val="left" w:pos="2880"/>
        </w:tabs>
        <w:rPr>
          <w:sz w:val="22"/>
          <w:szCs w:val="22"/>
        </w:rPr>
      </w:pPr>
    </w:p>
    <w:p w14:paraId="093AE39A" w14:textId="1DD6A7CC" w:rsidR="00536A11" w:rsidRPr="008C22C0" w:rsidRDefault="00536A11">
      <w:pPr>
        <w:tabs>
          <w:tab w:val="left" w:pos="547"/>
          <w:tab w:val="left" w:pos="1080"/>
          <w:tab w:val="left" w:pos="1627"/>
          <w:tab w:val="left" w:pos="2160"/>
          <w:tab w:val="left" w:pos="2880"/>
        </w:tabs>
        <w:rPr>
          <w:sz w:val="22"/>
          <w:szCs w:val="22"/>
        </w:rPr>
      </w:pPr>
      <w:r w:rsidRPr="008C22C0">
        <w:rPr>
          <w:sz w:val="22"/>
          <w:szCs w:val="22"/>
        </w:rPr>
        <w:tab/>
      </w:r>
      <w:r w:rsidRPr="00B85D93">
        <w:rPr>
          <w:color w:val="0070C0"/>
          <w:sz w:val="22"/>
          <w:szCs w:val="22"/>
        </w:rPr>
        <w:t>VA woul</w:t>
      </w:r>
      <w:r w:rsidR="005904B5">
        <w:rPr>
          <w:color w:val="0070C0"/>
          <w:sz w:val="22"/>
          <w:szCs w:val="22"/>
        </w:rPr>
        <w:t>d not be responsive to the legislative</w:t>
      </w:r>
      <w:r w:rsidRPr="00B85D93">
        <w:rPr>
          <w:color w:val="0070C0"/>
          <w:sz w:val="22"/>
          <w:szCs w:val="22"/>
        </w:rPr>
        <w:t xml:space="preserve"> requirement to</w:t>
      </w:r>
      <w:r w:rsidR="008C22C0" w:rsidRPr="00B85D93">
        <w:rPr>
          <w:color w:val="0070C0"/>
          <w:sz w:val="22"/>
          <w:szCs w:val="22"/>
        </w:rPr>
        <w:t xml:space="preserve"> survey Veterans in every VISN regarding their experiences seeking care for mental health conditions</w:t>
      </w:r>
      <w:r w:rsidRPr="00B85D93">
        <w:rPr>
          <w:color w:val="0070C0"/>
          <w:sz w:val="22"/>
          <w:szCs w:val="22"/>
        </w:rPr>
        <w:t>.</w:t>
      </w:r>
    </w:p>
    <w:p w14:paraId="333A514E" w14:textId="77777777" w:rsidR="00536A11" w:rsidRPr="007B1194" w:rsidRDefault="00536A11">
      <w:pPr>
        <w:tabs>
          <w:tab w:val="left" w:pos="547"/>
          <w:tab w:val="left" w:pos="1080"/>
          <w:tab w:val="left" w:pos="1627"/>
          <w:tab w:val="left" w:pos="2160"/>
          <w:tab w:val="left" w:pos="2880"/>
        </w:tabs>
        <w:rPr>
          <w:color w:val="FF0000"/>
          <w:sz w:val="22"/>
          <w:szCs w:val="22"/>
        </w:rPr>
      </w:pPr>
    </w:p>
    <w:p w14:paraId="5F4DE651" w14:textId="77777777"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A89881E" w14:textId="77777777" w:rsidR="00536A11" w:rsidRPr="007B1194" w:rsidRDefault="00536A11">
      <w:pPr>
        <w:tabs>
          <w:tab w:val="left" w:pos="547"/>
          <w:tab w:val="left" w:pos="1080"/>
          <w:tab w:val="left" w:pos="1627"/>
          <w:tab w:val="left" w:pos="2160"/>
          <w:tab w:val="left" w:pos="2880"/>
        </w:tabs>
        <w:rPr>
          <w:sz w:val="22"/>
          <w:szCs w:val="22"/>
        </w:rPr>
      </w:pPr>
    </w:p>
    <w:p w14:paraId="1937C6CF" w14:textId="77777777" w:rsidR="00536A11" w:rsidRPr="008C22C0" w:rsidRDefault="00536A11">
      <w:pPr>
        <w:tabs>
          <w:tab w:val="left" w:pos="547"/>
          <w:tab w:val="left" w:pos="1080"/>
          <w:tab w:val="left" w:pos="1627"/>
          <w:tab w:val="left" w:pos="2160"/>
          <w:tab w:val="left" w:pos="2880"/>
        </w:tabs>
        <w:rPr>
          <w:sz w:val="22"/>
          <w:szCs w:val="22"/>
        </w:rPr>
      </w:pPr>
      <w:r w:rsidRPr="008C22C0">
        <w:rPr>
          <w:sz w:val="22"/>
          <w:szCs w:val="22"/>
        </w:rPr>
        <w:tab/>
      </w:r>
      <w:r w:rsidRPr="00B85D93">
        <w:rPr>
          <w:color w:val="0070C0"/>
          <w:sz w:val="22"/>
          <w:szCs w:val="22"/>
        </w:rPr>
        <w:t>There are no such special circumstances.</w:t>
      </w:r>
    </w:p>
    <w:p w14:paraId="0BD2B9DC" w14:textId="77777777" w:rsidR="00536A11" w:rsidRPr="007B1194" w:rsidRDefault="00536A11">
      <w:pPr>
        <w:tabs>
          <w:tab w:val="left" w:pos="547"/>
          <w:tab w:val="left" w:pos="1080"/>
          <w:tab w:val="left" w:pos="1627"/>
          <w:tab w:val="left" w:pos="2160"/>
          <w:tab w:val="left" w:pos="2880"/>
        </w:tabs>
        <w:rPr>
          <w:color w:val="FF0000"/>
          <w:sz w:val="22"/>
          <w:szCs w:val="22"/>
        </w:rPr>
      </w:pPr>
    </w:p>
    <w:p w14:paraId="2E30EB6A" w14:textId="77777777"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14:paraId="25C407B8" w14:textId="77777777" w:rsidR="001E33FD" w:rsidRPr="007B1194" w:rsidRDefault="001E33FD" w:rsidP="001E33FD">
      <w:pPr>
        <w:tabs>
          <w:tab w:val="left" w:pos="540"/>
          <w:tab w:val="left" w:pos="1080"/>
          <w:tab w:val="left" w:pos="1620"/>
          <w:tab w:val="left" w:pos="2160"/>
        </w:tabs>
        <w:rPr>
          <w:color w:val="FF0000"/>
          <w:sz w:val="22"/>
          <w:szCs w:val="22"/>
        </w:rPr>
      </w:pPr>
    </w:p>
    <w:p w14:paraId="5696B5F8" w14:textId="77777777" w:rsidR="00473B90" w:rsidRPr="00353ADD" w:rsidRDefault="001E33FD" w:rsidP="001E33FD">
      <w:pPr>
        <w:tabs>
          <w:tab w:val="left" w:pos="547"/>
          <w:tab w:val="left" w:pos="1080"/>
          <w:tab w:val="left" w:pos="1627"/>
          <w:tab w:val="left" w:pos="2160"/>
          <w:tab w:val="left" w:pos="2880"/>
        </w:tabs>
        <w:rPr>
          <w:color w:val="0070C0"/>
          <w:sz w:val="22"/>
          <w:szCs w:val="22"/>
        </w:rPr>
      </w:pPr>
      <w:r w:rsidRPr="007B1194">
        <w:rPr>
          <w:color w:val="FF0000"/>
          <w:sz w:val="22"/>
          <w:szCs w:val="22"/>
        </w:rPr>
        <w:tab/>
      </w:r>
      <w:r w:rsidRPr="00353ADD">
        <w:rPr>
          <w:color w:val="0070C0"/>
          <w:sz w:val="22"/>
          <w:szCs w:val="22"/>
        </w:rPr>
        <w:t xml:space="preserve">The </w:t>
      </w:r>
      <w:r w:rsidR="00473B90" w:rsidRPr="00353ADD">
        <w:rPr>
          <w:color w:val="0070C0"/>
          <w:sz w:val="22"/>
          <w:szCs w:val="22"/>
        </w:rPr>
        <w:t xml:space="preserve">60-day </w:t>
      </w:r>
      <w:r w:rsidRPr="00353ADD">
        <w:rPr>
          <w:color w:val="0070C0"/>
          <w:sz w:val="22"/>
          <w:szCs w:val="22"/>
        </w:rPr>
        <w:t xml:space="preserve">notice </w:t>
      </w:r>
      <w:r w:rsidR="00473B90" w:rsidRPr="00353ADD">
        <w:rPr>
          <w:color w:val="0070C0"/>
          <w:sz w:val="22"/>
          <w:szCs w:val="22"/>
        </w:rPr>
        <w:t xml:space="preserve">for the </w:t>
      </w:r>
      <w:r w:rsidRPr="00353ADD">
        <w:rPr>
          <w:color w:val="0070C0"/>
          <w:sz w:val="22"/>
          <w:szCs w:val="22"/>
        </w:rPr>
        <w:t>Proposed Information Collection Activity was published in the Federal Register o</w:t>
      </w:r>
      <w:r w:rsidR="00473B90" w:rsidRPr="00353ADD">
        <w:rPr>
          <w:color w:val="0070C0"/>
          <w:sz w:val="22"/>
          <w:szCs w:val="22"/>
        </w:rPr>
        <w:t>n March 6, 2019</w:t>
      </w:r>
      <w:r w:rsidRPr="00353ADD">
        <w:rPr>
          <w:color w:val="0070C0"/>
          <w:sz w:val="22"/>
          <w:szCs w:val="22"/>
        </w:rPr>
        <w:t xml:space="preserve"> (</w:t>
      </w:r>
      <w:r w:rsidR="00473B90" w:rsidRPr="00353ADD">
        <w:rPr>
          <w:color w:val="0070C0"/>
          <w:sz w:val="22"/>
          <w:szCs w:val="22"/>
        </w:rPr>
        <w:t>84 FR 8153</w:t>
      </w:r>
      <w:r w:rsidRPr="00353ADD">
        <w:rPr>
          <w:color w:val="0070C0"/>
          <w:sz w:val="22"/>
          <w:szCs w:val="22"/>
        </w:rPr>
        <w:t>).  We received no comments in response to this notice.</w:t>
      </w:r>
      <w:r w:rsidR="00473B90" w:rsidRPr="00353ADD">
        <w:rPr>
          <w:color w:val="0070C0"/>
          <w:sz w:val="22"/>
          <w:szCs w:val="22"/>
        </w:rPr>
        <w:t xml:space="preserve">  </w:t>
      </w:r>
    </w:p>
    <w:p w14:paraId="77C1747F" w14:textId="77777777" w:rsidR="00473B90" w:rsidRPr="00353ADD" w:rsidRDefault="00473B90" w:rsidP="001E33FD">
      <w:pPr>
        <w:tabs>
          <w:tab w:val="left" w:pos="547"/>
          <w:tab w:val="left" w:pos="1080"/>
          <w:tab w:val="left" w:pos="1627"/>
          <w:tab w:val="left" w:pos="2160"/>
          <w:tab w:val="left" w:pos="2880"/>
        </w:tabs>
        <w:rPr>
          <w:color w:val="0070C0"/>
          <w:sz w:val="22"/>
          <w:szCs w:val="22"/>
        </w:rPr>
      </w:pPr>
      <w:r w:rsidRPr="00353ADD">
        <w:rPr>
          <w:color w:val="0070C0"/>
          <w:sz w:val="22"/>
          <w:szCs w:val="22"/>
        </w:rPr>
        <w:tab/>
      </w:r>
    </w:p>
    <w:p w14:paraId="6C68D8E3" w14:textId="40E8EDE9" w:rsidR="00536A11" w:rsidRPr="00353ADD" w:rsidRDefault="00473B90" w:rsidP="001E33FD">
      <w:pPr>
        <w:tabs>
          <w:tab w:val="left" w:pos="547"/>
          <w:tab w:val="left" w:pos="1080"/>
          <w:tab w:val="left" w:pos="1627"/>
          <w:tab w:val="left" w:pos="2160"/>
          <w:tab w:val="left" w:pos="2880"/>
        </w:tabs>
        <w:rPr>
          <w:color w:val="0070C0"/>
          <w:sz w:val="22"/>
          <w:szCs w:val="22"/>
        </w:rPr>
      </w:pPr>
      <w:r w:rsidRPr="00353ADD">
        <w:rPr>
          <w:color w:val="0070C0"/>
          <w:sz w:val="22"/>
          <w:szCs w:val="22"/>
        </w:rPr>
        <w:tab/>
        <w:t xml:space="preserve">The 30-day notice was published on May 8, 2019 (84 FR 20205). To date, we have not received comments in response to this notice.  </w:t>
      </w:r>
    </w:p>
    <w:p w14:paraId="0D555B67" w14:textId="07545AF1" w:rsidR="00536A11" w:rsidRPr="00EB78DE" w:rsidRDefault="00536A11">
      <w:pPr>
        <w:tabs>
          <w:tab w:val="left" w:pos="547"/>
          <w:tab w:val="left" w:pos="1080"/>
          <w:tab w:val="left" w:pos="1627"/>
          <w:tab w:val="left" w:pos="2160"/>
          <w:tab w:val="left" w:pos="2880"/>
        </w:tabs>
        <w:rPr>
          <w:sz w:val="22"/>
          <w:szCs w:val="22"/>
        </w:rPr>
      </w:pPr>
    </w:p>
    <w:p w14:paraId="1EA0374A" w14:textId="77777777" w:rsidR="00536A11" w:rsidRPr="007B1194"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14:paraId="0375E68E" w14:textId="77777777" w:rsidR="00B47D0D" w:rsidRPr="007B1194" w:rsidRDefault="00B47D0D" w:rsidP="00B47D0D">
      <w:pPr>
        <w:tabs>
          <w:tab w:val="left" w:pos="547"/>
          <w:tab w:val="left" w:pos="1080"/>
          <w:tab w:val="left" w:pos="1627"/>
          <w:tab w:val="left" w:pos="2160"/>
          <w:tab w:val="left" w:pos="2880"/>
        </w:tabs>
        <w:rPr>
          <w:b/>
          <w:color w:val="FF0000"/>
          <w:sz w:val="22"/>
          <w:szCs w:val="22"/>
        </w:rPr>
      </w:pPr>
    </w:p>
    <w:p w14:paraId="5D1A92CD" w14:textId="77777777" w:rsidR="00B47D0D" w:rsidRPr="00B30898" w:rsidRDefault="00B47D0D" w:rsidP="00B47D0D">
      <w:pPr>
        <w:tabs>
          <w:tab w:val="left" w:pos="547"/>
          <w:tab w:val="left" w:pos="1080"/>
          <w:tab w:val="left" w:pos="1627"/>
          <w:tab w:val="left" w:pos="2160"/>
          <w:tab w:val="left" w:pos="2880"/>
        </w:tabs>
        <w:rPr>
          <w:color w:val="0070C0"/>
          <w:sz w:val="22"/>
          <w:szCs w:val="22"/>
        </w:rPr>
      </w:pPr>
      <w:r w:rsidRPr="00EA6F4F">
        <w:rPr>
          <w:color w:val="000000"/>
          <w:sz w:val="22"/>
          <w:szCs w:val="22"/>
        </w:rPr>
        <w:tab/>
      </w:r>
      <w:r w:rsidRPr="00B30898">
        <w:rPr>
          <w:color w:val="0070C0"/>
          <w:sz w:val="22"/>
          <w:szCs w:val="22"/>
        </w:rPr>
        <w:t>Outside consultation is conducted with the public through the 60- and 30-day Federal Register notices.</w:t>
      </w:r>
    </w:p>
    <w:p w14:paraId="5F7EABAC" w14:textId="77777777" w:rsidR="00B47D0D" w:rsidRPr="007B1194" w:rsidRDefault="00B47D0D" w:rsidP="00B47D0D">
      <w:pPr>
        <w:tabs>
          <w:tab w:val="left" w:pos="547"/>
          <w:tab w:val="left" w:pos="1080"/>
          <w:tab w:val="left" w:pos="1627"/>
          <w:tab w:val="left" w:pos="2160"/>
          <w:tab w:val="left" w:pos="2880"/>
        </w:tabs>
        <w:rPr>
          <w:b/>
          <w:color w:val="FF0000"/>
          <w:sz w:val="22"/>
          <w:szCs w:val="22"/>
        </w:rPr>
      </w:pPr>
    </w:p>
    <w:p w14:paraId="198CC03A" w14:textId="77777777" w:rsidR="00536A11" w:rsidRPr="00EA6F4F"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14:paraId="47B72346" w14:textId="77777777" w:rsidR="00536A11" w:rsidRPr="007B1194" w:rsidRDefault="00536A11">
      <w:pPr>
        <w:tabs>
          <w:tab w:val="left" w:pos="547"/>
          <w:tab w:val="left" w:pos="1080"/>
          <w:tab w:val="left" w:pos="1627"/>
          <w:tab w:val="left" w:pos="2160"/>
          <w:tab w:val="left" w:pos="2880"/>
        </w:tabs>
        <w:rPr>
          <w:sz w:val="22"/>
          <w:szCs w:val="22"/>
        </w:rPr>
      </w:pPr>
    </w:p>
    <w:p w14:paraId="57D102BB" w14:textId="77777777" w:rsidR="00407746" w:rsidRPr="00B85D93" w:rsidRDefault="00536A11" w:rsidP="00407746">
      <w:pPr>
        <w:tabs>
          <w:tab w:val="left" w:pos="547"/>
          <w:tab w:val="left" w:pos="1080"/>
          <w:tab w:val="left" w:pos="1627"/>
          <w:tab w:val="left" w:pos="2160"/>
          <w:tab w:val="left" w:pos="2880"/>
        </w:tabs>
        <w:rPr>
          <w:color w:val="0070C0"/>
          <w:sz w:val="22"/>
          <w:szCs w:val="22"/>
        </w:rPr>
      </w:pPr>
      <w:r w:rsidRPr="00B85D93">
        <w:rPr>
          <w:color w:val="0070C0"/>
          <w:sz w:val="22"/>
          <w:szCs w:val="22"/>
        </w:rPr>
        <w:tab/>
        <w:t>No payment or gift is provided to respondents.</w:t>
      </w:r>
      <w:r w:rsidR="00407746" w:rsidRPr="00B85D93">
        <w:rPr>
          <w:color w:val="0070C0"/>
          <w:sz w:val="22"/>
          <w:szCs w:val="22"/>
        </w:rPr>
        <w:t xml:space="preserve"> </w:t>
      </w:r>
    </w:p>
    <w:p w14:paraId="086292A8" w14:textId="77777777" w:rsidR="00536A11" w:rsidRPr="007B1194" w:rsidRDefault="00536A11">
      <w:pPr>
        <w:tabs>
          <w:tab w:val="left" w:pos="547"/>
          <w:tab w:val="left" w:pos="1080"/>
          <w:tab w:val="left" w:pos="1627"/>
          <w:tab w:val="left" w:pos="2160"/>
          <w:tab w:val="left" w:pos="2880"/>
        </w:tabs>
        <w:rPr>
          <w:sz w:val="22"/>
          <w:szCs w:val="22"/>
        </w:rPr>
      </w:pPr>
    </w:p>
    <w:p w14:paraId="48A0FEE3" w14:textId="77777777" w:rsidR="001E0EF2" w:rsidRPr="00EA6F4F"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00AE459B" w:rsidRPr="00EA6F4F">
        <w:rPr>
          <w:b/>
          <w:color w:val="000000"/>
          <w:sz w:val="22"/>
          <w:szCs w:val="22"/>
        </w:rPr>
        <w:t>privacy</w:t>
      </w:r>
      <w:r w:rsidR="00683DE2" w:rsidRPr="00EA6F4F">
        <w:rPr>
          <w:b/>
          <w:color w:val="000000"/>
          <w:sz w:val="22"/>
          <w:szCs w:val="22"/>
        </w:rPr>
        <w:t>,</w:t>
      </w:r>
      <w:r w:rsidR="00AE459B" w:rsidRPr="00EA6F4F">
        <w:rPr>
          <w:b/>
          <w:color w:val="000000"/>
          <w:sz w:val="22"/>
          <w:szCs w:val="22"/>
        </w:rPr>
        <w:t xml:space="preserve"> to the extent permitted by law</w:t>
      </w:r>
      <w:r w:rsidR="00683DE2" w:rsidRPr="00EA6F4F">
        <w:rPr>
          <w:b/>
          <w:color w:val="000000"/>
          <w:sz w:val="22"/>
          <w:szCs w:val="22"/>
        </w:rPr>
        <w:t>,</w:t>
      </w:r>
      <w:r w:rsidRPr="00EA6F4F">
        <w:rPr>
          <w:b/>
          <w:color w:val="000000"/>
          <w:sz w:val="22"/>
          <w:szCs w:val="22"/>
        </w:rPr>
        <w:t xml:space="preserve"> provided to respondents and the basis for the assurance in statu</w:t>
      </w:r>
      <w:r w:rsidR="00F6088C" w:rsidRPr="00EA6F4F">
        <w:rPr>
          <w:b/>
          <w:color w:val="000000"/>
          <w:sz w:val="22"/>
          <w:szCs w:val="22"/>
        </w:rPr>
        <w:t>t</w:t>
      </w:r>
      <w:r w:rsidRPr="00EA6F4F">
        <w:rPr>
          <w:b/>
          <w:color w:val="000000"/>
          <w:sz w:val="22"/>
          <w:szCs w:val="22"/>
        </w:rPr>
        <w:t>e, regulation, or agency policy.</w:t>
      </w:r>
    </w:p>
    <w:p w14:paraId="635F2BB8" w14:textId="77777777" w:rsidR="001E0EF2" w:rsidRPr="007B1194" w:rsidRDefault="001E0EF2">
      <w:pPr>
        <w:tabs>
          <w:tab w:val="left" w:pos="547"/>
          <w:tab w:val="left" w:pos="1080"/>
          <w:tab w:val="left" w:pos="1627"/>
          <w:tab w:val="left" w:pos="2160"/>
          <w:tab w:val="left" w:pos="2880"/>
        </w:tabs>
        <w:rPr>
          <w:sz w:val="22"/>
          <w:szCs w:val="22"/>
        </w:rPr>
      </w:pPr>
    </w:p>
    <w:p w14:paraId="551D2934" w14:textId="2783BA71" w:rsidR="0009405D" w:rsidRPr="0017498A" w:rsidRDefault="001E0EF2" w:rsidP="0009405D">
      <w:pPr>
        <w:tabs>
          <w:tab w:val="left" w:pos="547"/>
          <w:tab w:val="left" w:pos="1080"/>
          <w:tab w:val="left" w:pos="1627"/>
          <w:tab w:val="left" w:pos="2160"/>
          <w:tab w:val="left" w:pos="2880"/>
        </w:tabs>
        <w:rPr>
          <w:i/>
          <w:sz w:val="22"/>
          <w:szCs w:val="22"/>
        </w:rPr>
      </w:pPr>
      <w:r w:rsidRPr="007B1194">
        <w:rPr>
          <w:color w:val="FF0000"/>
          <w:sz w:val="22"/>
          <w:szCs w:val="22"/>
        </w:rPr>
        <w:tab/>
      </w:r>
      <w:r w:rsidRPr="0017498A">
        <w:rPr>
          <w:b/>
          <w:i/>
          <w:sz w:val="22"/>
          <w:szCs w:val="22"/>
        </w:rPr>
        <w:t>If filed in the medical record:</w:t>
      </w:r>
      <w:r w:rsidR="00871466" w:rsidRPr="0017498A">
        <w:rPr>
          <w:b/>
          <w:i/>
          <w:sz w:val="22"/>
          <w:szCs w:val="22"/>
        </w:rPr>
        <w:t xml:space="preserve"> </w:t>
      </w:r>
      <w:r w:rsidR="002426B8">
        <w:rPr>
          <w:b/>
          <w:i/>
          <w:sz w:val="22"/>
          <w:szCs w:val="22"/>
        </w:rPr>
        <w:t xml:space="preserve"> </w:t>
      </w:r>
      <w:r w:rsidR="00871466" w:rsidRPr="0017498A">
        <w:rPr>
          <w:color w:val="0070C0"/>
          <w:sz w:val="22"/>
          <w:szCs w:val="22"/>
        </w:rPr>
        <w:t>Not applicable</w:t>
      </w:r>
    </w:p>
    <w:p w14:paraId="5AC2974A" w14:textId="77777777" w:rsidR="0009405D" w:rsidRPr="0017498A" w:rsidRDefault="0009405D" w:rsidP="0009405D">
      <w:pPr>
        <w:widowControl w:val="0"/>
        <w:tabs>
          <w:tab w:val="left" w:pos="547"/>
          <w:tab w:val="left" w:pos="1080"/>
          <w:tab w:val="left" w:pos="1627"/>
          <w:tab w:val="left" w:pos="2160"/>
          <w:tab w:val="left" w:pos="2880"/>
        </w:tabs>
        <w:rPr>
          <w:snapToGrid w:val="0"/>
          <w:sz w:val="22"/>
          <w:szCs w:val="22"/>
        </w:rPr>
      </w:pPr>
    </w:p>
    <w:p w14:paraId="7632E532" w14:textId="0DCF94B7" w:rsidR="00536A11" w:rsidRPr="0017498A" w:rsidRDefault="00536A11">
      <w:pPr>
        <w:widowControl w:val="0"/>
        <w:tabs>
          <w:tab w:val="left" w:pos="547"/>
          <w:tab w:val="left" w:pos="1080"/>
          <w:tab w:val="left" w:pos="1627"/>
          <w:tab w:val="left" w:pos="2160"/>
          <w:tab w:val="left" w:pos="2880"/>
        </w:tabs>
        <w:rPr>
          <w:sz w:val="22"/>
          <w:szCs w:val="22"/>
        </w:rPr>
      </w:pPr>
      <w:r w:rsidRPr="0017498A">
        <w:rPr>
          <w:i/>
          <w:sz w:val="22"/>
          <w:szCs w:val="22"/>
        </w:rPr>
        <w:tab/>
      </w:r>
      <w:r w:rsidRPr="0017498A">
        <w:rPr>
          <w:b/>
          <w:i/>
          <w:sz w:val="22"/>
          <w:szCs w:val="22"/>
        </w:rPr>
        <w:t>If filed in research records:</w:t>
      </w:r>
      <w:r w:rsidRPr="0017498A">
        <w:rPr>
          <w:snapToGrid w:val="0"/>
          <w:sz w:val="22"/>
          <w:szCs w:val="22"/>
        </w:rPr>
        <w:t xml:space="preserve"> </w:t>
      </w:r>
      <w:r w:rsidR="002426B8">
        <w:rPr>
          <w:snapToGrid w:val="0"/>
          <w:sz w:val="22"/>
          <w:szCs w:val="22"/>
        </w:rPr>
        <w:t xml:space="preserve"> </w:t>
      </w:r>
      <w:r w:rsidR="00871466" w:rsidRPr="0017498A">
        <w:rPr>
          <w:snapToGrid w:val="0"/>
          <w:color w:val="0070C0"/>
          <w:sz w:val="22"/>
          <w:szCs w:val="22"/>
        </w:rPr>
        <w:t>Not applicable</w:t>
      </w:r>
    </w:p>
    <w:p w14:paraId="198F9DE9" w14:textId="77777777" w:rsidR="00536A11" w:rsidRPr="0017498A" w:rsidRDefault="00536A11">
      <w:pPr>
        <w:widowControl w:val="0"/>
        <w:tabs>
          <w:tab w:val="left" w:pos="547"/>
          <w:tab w:val="left" w:pos="1080"/>
          <w:tab w:val="left" w:pos="1627"/>
          <w:tab w:val="left" w:pos="2160"/>
          <w:tab w:val="left" w:pos="2880"/>
        </w:tabs>
        <w:rPr>
          <w:sz w:val="22"/>
          <w:szCs w:val="22"/>
        </w:rPr>
      </w:pPr>
    </w:p>
    <w:p w14:paraId="35A9B91B" w14:textId="77777777" w:rsidR="00407746" w:rsidRPr="0017498A" w:rsidRDefault="00407746" w:rsidP="00407746">
      <w:pPr>
        <w:tabs>
          <w:tab w:val="left" w:pos="540"/>
          <w:tab w:val="left" w:pos="1080"/>
          <w:tab w:val="left" w:pos="1620"/>
        </w:tabs>
        <w:rPr>
          <w:sz w:val="22"/>
          <w:szCs w:val="22"/>
        </w:rPr>
      </w:pPr>
      <w:r w:rsidRPr="0017498A">
        <w:rPr>
          <w:sz w:val="22"/>
          <w:szCs w:val="22"/>
        </w:rPr>
        <w:lastRenderedPageBreak/>
        <w:tab/>
      </w:r>
      <w:r w:rsidRPr="0017498A">
        <w:rPr>
          <w:b/>
          <w:i/>
          <w:sz w:val="22"/>
          <w:szCs w:val="22"/>
        </w:rPr>
        <w:t>If filed in CHAMPA VA records:</w:t>
      </w:r>
      <w:r w:rsidRPr="0017498A">
        <w:rPr>
          <w:b/>
          <w:snapToGrid w:val="0"/>
          <w:sz w:val="22"/>
          <w:szCs w:val="22"/>
        </w:rPr>
        <w:t xml:space="preserve">  </w:t>
      </w:r>
      <w:r w:rsidR="00871466" w:rsidRPr="0017498A">
        <w:rPr>
          <w:color w:val="0070C0"/>
          <w:sz w:val="22"/>
          <w:szCs w:val="22"/>
        </w:rPr>
        <w:t>Not applicable</w:t>
      </w:r>
    </w:p>
    <w:p w14:paraId="4B2F02E5" w14:textId="77777777" w:rsidR="00871466" w:rsidRDefault="00871466" w:rsidP="00407746">
      <w:pPr>
        <w:tabs>
          <w:tab w:val="left" w:pos="540"/>
          <w:tab w:val="left" w:pos="1080"/>
          <w:tab w:val="left" w:pos="1620"/>
        </w:tabs>
        <w:rPr>
          <w:color w:val="FF0000"/>
          <w:sz w:val="22"/>
          <w:szCs w:val="22"/>
        </w:rPr>
      </w:pPr>
    </w:p>
    <w:p w14:paraId="658EECF9" w14:textId="722179BE" w:rsidR="00871466" w:rsidRPr="006549D1" w:rsidRDefault="00871466" w:rsidP="00445ECA">
      <w:pPr>
        <w:tabs>
          <w:tab w:val="left" w:pos="540"/>
          <w:tab w:val="left" w:pos="1080"/>
          <w:tab w:val="left" w:pos="1620"/>
        </w:tabs>
        <w:ind w:left="540"/>
        <w:rPr>
          <w:color w:val="0070C0"/>
          <w:sz w:val="22"/>
          <w:szCs w:val="22"/>
        </w:rPr>
      </w:pPr>
      <w:r w:rsidRPr="006549D1">
        <w:rPr>
          <w:color w:val="0070C0"/>
          <w:sz w:val="22"/>
          <w:szCs w:val="22"/>
        </w:rPr>
        <w:t>Data collected will be aggregated.  Veterans are informed verbally and in writing that no information will be attributable to the individuals participating in the Focus Groups.</w:t>
      </w:r>
    </w:p>
    <w:p w14:paraId="3725E7DF" w14:textId="77777777" w:rsidR="001A05E0" w:rsidRPr="007B1194" w:rsidRDefault="001A05E0">
      <w:pPr>
        <w:widowControl w:val="0"/>
        <w:tabs>
          <w:tab w:val="left" w:pos="547"/>
          <w:tab w:val="left" w:pos="1080"/>
          <w:tab w:val="left" w:pos="1627"/>
          <w:tab w:val="left" w:pos="2160"/>
          <w:tab w:val="left" w:pos="2880"/>
        </w:tabs>
        <w:rPr>
          <w:color w:val="FF0000"/>
          <w:sz w:val="22"/>
          <w:szCs w:val="22"/>
        </w:rPr>
      </w:pPr>
    </w:p>
    <w:p w14:paraId="443D2091" w14:textId="77777777" w:rsidR="00536A11" w:rsidRPr="007B1194" w:rsidRDefault="00536A11" w:rsidP="005D5EF6">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005D5EF6" w:rsidRPr="00EA6F4F">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14:paraId="78172A3F" w14:textId="77777777" w:rsidR="00536A11" w:rsidRPr="007B119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14:paraId="2BBCAF58" w14:textId="77777777" w:rsidR="00536A11" w:rsidRPr="00871466" w:rsidRDefault="00536A11">
      <w:pPr>
        <w:tabs>
          <w:tab w:val="left" w:pos="547"/>
          <w:tab w:val="left" w:pos="1080"/>
          <w:tab w:val="left" w:pos="1627"/>
          <w:tab w:val="left" w:pos="2160"/>
          <w:tab w:val="left" w:pos="2880"/>
        </w:tabs>
        <w:rPr>
          <w:sz w:val="22"/>
          <w:szCs w:val="22"/>
        </w:rPr>
      </w:pPr>
      <w:r w:rsidRPr="006549D1">
        <w:rPr>
          <w:color w:val="0070C0"/>
          <w:sz w:val="22"/>
          <w:szCs w:val="22"/>
        </w:rPr>
        <w:tab/>
        <w:t>There are no questions of a sensitive nature.</w:t>
      </w:r>
    </w:p>
    <w:p w14:paraId="009F9193" w14:textId="77777777" w:rsidR="00536A11" w:rsidRPr="007B1194" w:rsidRDefault="00536A11">
      <w:pPr>
        <w:tabs>
          <w:tab w:val="left" w:pos="547"/>
          <w:tab w:val="left" w:pos="1080"/>
          <w:tab w:val="left" w:pos="1627"/>
          <w:tab w:val="left" w:pos="2160"/>
          <w:tab w:val="left" w:pos="2880"/>
        </w:tabs>
        <w:ind w:right="3744"/>
        <w:rPr>
          <w:color w:val="FF0000"/>
          <w:sz w:val="22"/>
          <w:szCs w:val="22"/>
        </w:rPr>
      </w:pPr>
    </w:p>
    <w:p w14:paraId="04A05646" w14:textId="77777777" w:rsidR="00536A11" w:rsidRPr="00EA6F4F"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14:paraId="161A72CE" w14:textId="77777777" w:rsidR="00536A11" w:rsidRPr="00EA6F4F" w:rsidRDefault="00536A11">
      <w:pPr>
        <w:tabs>
          <w:tab w:val="left" w:pos="547"/>
          <w:tab w:val="left" w:pos="1080"/>
          <w:tab w:val="left" w:pos="1627"/>
          <w:tab w:val="left" w:pos="2160"/>
          <w:tab w:val="left" w:pos="2880"/>
        </w:tabs>
        <w:rPr>
          <w:color w:val="000000"/>
          <w:sz w:val="22"/>
          <w:szCs w:val="22"/>
        </w:rPr>
      </w:pPr>
    </w:p>
    <w:p w14:paraId="0FB310BA" w14:textId="5A32A2B1" w:rsidR="0025306C" w:rsidRPr="007B1194"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EA6F4F">
        <w:rPr>
          <w:b/>
          <w:color w:val="000000"/>
          <w:sz w:val="22"/>
          <w:szCs w:val="22"/>
        </w:rPr>
        <w:tab/>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00C62BC4" w:rsidRPr="007B1194">
        <w:rPr>
          <w:b/>
          <w:sz w:val="22"/>
          <w:szCs w:val="22"/>
        </w:rPr>
        <w:t xml:space="preserve">  </w:t>
      </w:r>
    </w:p>
    <w:p w14:paraId="63957981" w14:textId="77777777"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3"/>
        <w:gridCol w:w="1620"/>
        <w:gridCol w:w="1440"/>
        <w:gridCol w:w="1440"/>
        <w:gridCol w:w="1080"/>
        <w:gridCol w:w="1710"/>
      </w:tblGrid>
      <w:tr w:rsidR="00683DE2" w:rsidRPr="00B37629" w14:paraId="2D603289" w14:textId="77777777" w:rsidTr="0015715E">
        <w:tc>
          <w:tcPr>
            <w:tcW w:w="2003" w:type="dxa"/>
            <w:vAlign w:val="center"/>
          </w:tcPr>
          <w:p w14:paraId="78633643"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15715E">
              <w:rPr>
                <w:b/>
                <w:sz w:val="22"/>
                <w:szCs w:val="22"/>
              </w:rPr>
              <w:t>VA Form</w:t>
            </w:r>
          </w:p>
          <w:p w14:paraId="1125AA0B"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2"/>
                <w:szCs w:val="22"/>
              </w:rPr>
            </w:pPr>
            <w:r w:rsidRPr="0015715E">
              <w:rPr>
                <w:b/>
                <w:color w:val="A6A6A6"/>
                <w:sz w:val="22"/>
                <w:szCs w:val="22"/>
              </w:rPr>
              <w:t>10-XXXX</w:t>
            </w:r>
            <w:r w:rsidR="004B4D29" w:rsidRPr="0015715E">
              <w:rPr>
                <w:b/>
                <w:color w:val="A6A6A6"/>
                <w:sz w:val="22"/>
                <w:szCs w:val="22"/>
              </w:rPr>
              <w:t>X</w:t>
            </w:r>
          </w:p>
        </w:tc>
        <w:tc>
          <w:tcPr>
            <w:tcW w:w="1620" w:type="dxa"/>
            <w:vAlign w:val="center"/>
          </w:tcPr>
          <w:p w14:paraId="6CF92BA7"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715E">
              <w:rPr>
                <w:b/>
                <w:sz w:val="22"/>
                <w:szCs w:val="22"/>
              </w:rPr>
              <w:t>No. of respondents</w:t>
            </w:r>
          </w:p>
        </w:tc>
        <w:tc>
          <w:tcPr>
            <w:tcW w:w="1440" w:type="dxa"/>
            <w:vAlign w:val="center"/>
          </w:tcPr>
          <w:p w14:paraId="2E0CA6B2" w14:textId="77777777" w:rsidR="00C62BC4" w:rsidRPr="0015715E"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715E">
              <w:rPr>
                <w:b/>
                <w:sz w:val="22"/>
                <w:szCs w:val="22"/>
              </w:rPr>
              <w:t>x No. of responses</w:t>
            </w:r>
          </w:p>
        </w:tc>
        <w:tc>
          <w:tcPr>
            <w:tcW w:w="1440" w:type="dxa"/>
            <w:vAlign w:val="center"/>
          </w:tcPr>
          <w:p w14:paraId="3663CC69" w14:textId="77777777" w:rsidR="00C62BC4" w:rsidRPr="0015715E"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715E">
              <w:rPr>
                <w:b/>
                <w:sz w:val="22"/>
                <w:szCs w:val="22"/>
              </w:rPr>
              <w:t>x No. of minutes</w:t>
            </w:r>
          </w:p>
        </w:tc>
        <w:tc>
          <w:tcPr>
            <w:tcW w:w="1080" w:type="dxa"/>
            <w:vMerge w:val="restart"/>
            <w:vAlign w:val="center"/>
          </w:tcPr>
          <w:p w14:paraId="2DA5B881"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715E">
              <w:rPr>
                <w:b/>
                <w:sz w:val="22"/>
                <w:szCs w:val="22"/>
              </w:rPr>
              <w:t>÷</w:t>
            </w:r>
          </w:p>
          <w:p w14:paraId="49A3F6F8"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715E">
              <w:rPr>
                <w:b/>
                <w:sz w:val="22"/>
                <w:szCs w:val="22"/>
              </w:rPr>
              <w:t>by 60</w:t>
            </w:r>
            <w:r w:rsidR="00664E16" w:rsidRPr="0015715E">
              <w:rPr>
                <w:b/>
                <w:sz w:val="22"/>
                <w:szCs w:val="22"/>
              </w:rPr>
              <w:t xml:space="preserve"> </w:t>
            </w:r>
            <w:r w:rsidRPr="0015715E">
              <w:rPr>
                <w:b/>
                <w:sz w:val="22"/>
                <w:szCs w:val="22"/>
              </w:rPr>
              <w:t>=</w:t>
            </w:r>
          </w:p>
          <w:p w14:paraId="32465439"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14:paraId="4F19D729" w14:textId="77777777" w:rsidR="00C62BC4" w:rsidRPr="0015715E"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15715E">
              <w:rPr>
                <w:b/>
                <w:sz w:val="22"/>
                <w:szCs w:val="22"/>
              </w:rPr>
              <w:t>Number of Hours</w:t>
            </w:r>
          </w:p>
        </w:tc>
      </w:tr>
      <w:tr w:rsidR="006549D1" w:rsidRPr="00BF6F10" w14:paraId="4207E360" w14:textId="77777777" w:rsidTr="0015715E">
        <w:trPr>
          <w:trHeight w:val="422"/>
        </w:trPr>
        <w:tc>
          <w:tcPr>
            <w:tcW w:w="2003" w:type="dxa"/>
            <w:vAlign w:val="center"/>
          </w:tcPr>
          <w:p w14:paraId="5E7F8829" w14:textId="67759BFE" w:rsidR="006549D1" w:rsidRPr="0015715E" w:rsidRDefault="0065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highlight w:val="yellow"/>
              </w:rPr>
            </w:pPr>
            <w:r w:rsidRPr="0015715E">
              <w:rPr>
                <w:color w:val="0070C0"/>
                <w:sz w:val="22"/>
                <w:szCs w:val="22"/>
              </w:rPr>
              <w:t>Application/Survey</w:t>
            </w:r>
          </w:p>
        </w:tc>
        <w:tc>
          <w:tcPr>
            <w:tcW w:w="1620" w:type="dxa"/>
            <w:vAlign w:val="center"/>
          </w:tcPr>
          <w:p w14:paraId="5D97774B" w14:textId="44AF1E8B" w:rsidR="006549D1" w:rsidRPr="0015715E" w:rsidRDefault="0065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highlight w:val="yellow"/>
              </w:rPr>
            </w:pPr>
            <w:r w:rsidRPr="0015715E">
              <w:rPr>
                <w:b/>
                <w:color w:val="0070C0"/>
                <w:sz w:val="22"/>
                <w:szCs w:val="22"/>
              </w:rPr>
              <w:t>200</w:t>
            </w:r>
          </w:p>
        </w:tc>
        <w:tc>
          <w:tcPr>
            <w:tcW w:w="1440" w:type="dxa"/>
            <w:vAlign w:val="center"/>
          </w:tcPr>
          <w:p w14:paraId="16C84F64" w14:textId="7C44963E" w:rsidR="006549D1" w:rsidRPr="0015715E" w:rsidRDefault="00E7646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highlight w:val="yellow"/>
              </w:rPr>
            </w:pPr>
            <w:r w:rsidRPr="0015715E">
              <w:rPr>
                <w:b/>
                <w:color w:val="0070C0"/>
                <w:sz w:val="22"/>
                <w:szCs w:val="22"/>
              </w:rPr>
              <w:t>1 = 200</w:t>
            </w:r>
            <w:r w:rsidR="006549D1" w:rsidRPr="0015715E">
              <w:rPr>
                <w:b/>
                <w:color w:val="0070C0"/>
                <w:sz w:val="22"/>
                <w:szCs w:val="22"/>
              </w:rPr>
              <w:t xml:space="preserve"> </w:t>
            </w:r>
          </w:p>
        </w:tc>
        <w:tc>
          <w:tcPr>
            <w:tcW w:w="1440" w:type="dxa"/>
            <w:vAlign w:val="center"/>
          </w:tcPr>
          <w:p w14:paraId="1D9A6C52" w14:textId="0348CE14" w:rsidR="006549D1" w:rsidRPr="0015715E" w:rsidRDefault="0065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highlight w:val="yellow"/>
              </w:rPr>
            </w:pPr>
            <w:r w:rsidRPr="0015715E">
              <w:rPr>
                <w:b/>
                <w:color w:val="0070C0"/>
                <w:sz w:val="22"/>
                <w:szCs w:val="22"/>
              </w:rPr>
              <w:t>120 = 24000</w:t>
            </w:r>
          </w:p>
        </w:tc>
        <w:tc>
          <w:tcPr>
            <w:tcW w:w="1080" w:type="dxa"/>
            <w:vMerge/>
            <w:vAlign w:val="center"/>
          </w:tcPr>
          <w:p w14:paraId="483A5A15" w14:textId="77777777" w:rsidR="006549D1" w:rsidRPr="0015715E" w:rsidRDefault="0065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highlight w:val="yellow"/>
              </w:rPr>
            </w:pPr>
          </w:p>
        </w:tc>
        <w:tc>
          <w:tcPr>
            <w:tcW w:w="1710" w:type="dxa"/>
            <w:vAlign w:val="center"/>
          </w:tcPr>
          <w:p w14:paraId="019EBEBC" w14:textId="48388D57" w:rsidR="006549D1" w:rsidRPr="0015715E" w:rsidRDefault="0065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15715E">
              <w:rPr>
                <w:b/>
                <w:color w:val="0070C0"/>
                <w:sz w:val="22"/>
                <w:szCs w:val="22"/>
              </w:rPr>
              <w:t>400</w:t>
            </w:r>
          </w:p>
        </w:tc>
      </w:tr>
    </w:tbl>
    <w:p w14:paraId="43AAB2BE" w14:textId="77777777"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0697F24D" w14:textId="77777777" w:rsidR="00536A11" w:rsidRDefault="00536A11">
      <w:pPr>
        <w:tabs>
          <w:tab w:val="left" w:pos="547"/>
          <w:tab w:val="left" w:pos="1080"/>
          <w:tab w:val="left" w:pos="1627"/>
          <w:tab w:val="left" w:pos="2160"/>
          <w:tab w:val="left" w:pos="2880"/>
        </w:tabs>
        <w:rPr>
          <w:color w:val="FF0000"/>
        </w:rPr>
      </w:pPr>
    </w:p>
    <w:p w14:paraId="0E372E32" w14:textId="77777777"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 of</w:t>
      </w:r>
      <w:r>
        <w:rPr>
          <w:b/>
        </w:rPr>
        <w:t xml:space="preserve"> OMB 83-I.</w:t>
      </w:r>
    </w:p>
    <w:p w14:paraId="75F3ECCF" w14:textId="77777777" w:rsidR="00536A11" w:rsidRDefault="00536A11">
      <w:pPr>
        <w:pStyle w:val="Header"/>
        <w:tabs>
          <w:tab w:val="clear" w:pos="4320"/>
          <w:tab w:val="clear" w:pos="8640"/>
          <w:tab w:val="left" w:pos="547"/>
          <w:tab w:val="left" w:pos="1080"/>
          <w:tab w:val="left" w:pos="1627"/>
          <w:tab w:val="left" w:pos="2160"/>
          <w:tab w:val="left" w:pos="2880"/>
        </w:tabs>
        <w:rPr>
          <w:sz w:val="24"/>
        </w:rPr>
      </w:pPr>
    </w:p>
    <w:p w14:paraId="29D0A754" w14:textId="0E8638C1" w:rsidR="00536A11" w:rsidRPr="00E52D47"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03DE2">
        <w:rPr>
          <w:color w:val="FF0000"/>
        </w:rPr>
        <w:tab/>
      </w:r>
      <w:r w:rsidRPr="00E52D47">
        <w:rPr>
          <w:color w:val="0070C0"/>
          <w:sz w:val="22"/>
          <w:szCs w:val="22"/>
        </w:rPr>
        <w:t>This request covers only one form</w:t>
      </w:r>
      <w:r w:rsidR="0081510E" w:rsidRPr="00E52D47">
        <w:rPr>
          <w:color w:val="0070C0"/>
          <w:sz w:val="22"/>
          <w:szCs w:val="22"/>
        </w:rPr>
        <w:t xml:space="preserve"> (one </w:t>
      </w:r>
      <w:r w:rsidR="00CD1CAA" w:rsidRPr="00E52D47">
        <w:rPr>
          <w:color w:val="0070C0"/>
          <w:sz w:val="22"/>
          <w:szCs w:val="22"/>
        </w:rPr>
        <w:t>2-hour</w:t>
      </w:r>
      <w:r w:rsidR="0081510E" w:rsidRPr="00E52D47">
        <w:rPr>
          <w:color w:val="0070C0"/>
          <w:sz w:val="22"/>
          <w:szCs w:val="22"/>
        </w:rPr>
        <w:t xml:space="preserve"> focus group session per participant)</w:t>
      </w:r>
      <w:r w:rsidR="00871466" w:rsidRPr="00E52D47">
        <w:rPr>
          <w:color w:val="0070C0"/>
          <w:sz w:val="22"/>
          <w:szCs w:val="22"/>
        </w:rPr>
        <w:t>.</w:t>
      </w:r>
      <w:r w:rsidR="001A468D" w:rsidRPr="00E52D47">
        <w:rPr>
          <w:sz w:val="22"/>
          <w:szCs w:val="22"/>
        </w:rPr>
        <w:t xml:space="preserve"> </w:t>
      </w:r>
    </w:p>
    <w:p w14:paraId="44B00B2C" w14:textId="77777777"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0A95FAB" w14:textId="5B307F7D"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r w:rsidR="00E5080E">
        <w:rPr>
          <w:b/>
        </w:rPr>
        <w:t xml:space="preserve"> </w:t>
      </w:r>
    </w:p>
    <w:p w14:paraId="12E4130E" w14:textId="77777777" w:rsidR="009D272A" w:rsidRDefault="009D272A" w:rsidP="009D272A">
      <w:pPr>
        <w:rPr>
          <w:rFonts w:ascii="Calisto MT" w:hAnsi="Calisto MT"/>
        </w:rPr>
      </w:pPr>
    </w:p>
    <w:p w14:paraId="2DC6BEF7" w14:textId="77777777" w:rsidR="007038F4" w:rsidRPr="007038F4" w:rsidRDefault="007038F4" w:rsidP="007038F4">
      <w:pPr>
        <w:ind w:left="720" w:right="684"/>
        <w:rPr>
          <w:color w:val="FF0000"/>
          <w:sz w:val="22"/>
          <w:szCs w:val="22"/>
          <w:u w:val="single"/>
        </w:rPr>
      </w:pPr>
      <w:bookmarkStart w:id="1" w:name="_Hlk8118801"/>
      <w:r w:rsidRPr="007038F4">
        <w:rPr>
          <w:color w:val="0070C0"/>
          <w:sz w:val="22"/>
          <w:szCs w:val="22"/>
        </w:rPr>
        <w:t xml:space="preserve">VHA uses general wage data to estimate the respondents’ costs associated with completing the information collection.  In accordance with the Bureau of Labor Statistics (BLS) May 2018 Occupational Wage Code Median Hourly, the mean hourly wage is $24.98 based on the BLS wage code – “00-0000 All Occupations.”  This information was taken from the following website: </w:t>
      </w:r>
      <w:hyperlink r:id="rId8" w:history="1">
        <w:r w:rsidRPr="0065662C">
          <w:rPr>
            <w:color w:val="0000FF"/>
            <w:sz w:val="22"/>
            <w:szCs w:val="22"/>
            <w:u w:val="single"/>
          </w:rPr>
          <w:t>https://www.bls.gov/oes/2018/may/oes_nat.htm</w:t>
        </w:r>
      </w:hyperlink>
      <w:r w:rsidRPr="007038F4">
        <w:rPr>
          <w:color w:val="FF0000"/>
          <w:sz w:val="22"/>
          <w:szCs w:val="22"/>
        </w:rPr>
        <w:t>.</w:t>
      </w:r>
    </w:p>
    <w:p w14:paraId="3C98DDA7" w14:textId="77777777" w:rsidR="007038F4" w:rsidRPr="007038F4" w:rsidRDefault="007038F4" w:rsidP="007038F4">
      <w:pPr>
        <w:ind w:left="720" w:right="54"/>
        <w:rPr>
          <w:color w:val="FF0000"/>
          <w:sz w:val="22"/>
          <w:szCs w:val="22"/>
        </w:rPr>
      </w:pPr>
    </w:p>
    <w:p w14:paraId="3EE9EA8C" w14:textId="77777777" w:rsidR="006343D4" w:rsidRPr="0065662C" w:rsidRDefault="007038F4" w:rsidP="007038F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color w:val="0070C0"/>
          <w:sz w:val="22"/>
          <w:szCs w:val="22"/>
        </w:rPr>
      </w:pPr>
      <w:r w:rsidRPr="007038F4">
        <w:rPr>
          <w:color w:val="0070C0"/>
          <w:sz w:val="22"/>
          <w:szCs w:val="22"/>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w:t>
      </w:r>
    </w:p>
    <w:p w14:paraId="292F0462" w14:textId="77777777" w:rsidR="006343D4" w:rsidRPr="0065662C" w:rsidRDefault="006343D4" w:rsidP="007038F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2"/>
          <w:szCs w:val="22"/>
        </w:rPr>
      </w:pPr>
    </w:p>
    <w:bookmarkEnd w:id="1"/>
    <w:p w14:paraId="39ADEE22" w14:textId="27641DE7" w:rsidR="004703B4" w:rsidRPr="00E52D47" w:rsidRDefault="009D272A" w:rsidP="00DD0525">
      <w:pPr>
        <w:ind w:left="720"/>
        <w:rPr>
          <w:color w:val="0070C0"/>
          <w:sz w:val="22"/>
          <w:szCs w:val="22"/>
        </w:rPr>
      </w:pPr>
      <w:r w:rsidRPr="0065662C">
        <w:rPr>
          <w:color w:val="0070C0"/>
          <w:sz w:val="22"/>
          <w:szCs w:val="22"/>
        </w:rPr>
        <w:t xml:space="preserve">VHA estimates the </w:t>
      </w:r>
      <w:r w:rsidR="004703B4" w:rsidRPr="0065662C">
        <w:rPr>
          <w:color w:val="0070C0"/>
          <w:sz w:val="22"/>
          <w:szCs w:val="22"/>
        </w:rPr>
        <w:t>individual</w:t>
      </w:r>
      <w:r w:rsidR="004703B4" w:rsidRPr="00E52D47">
        <w:rPr>
          <w:color w:val="0070C0"/>
          <w:sz w:val="22"/>
          <w:szCs w:val="22"/>
        </w:rPr>
        <w:t xml:space="preserve"> hour burden cost to respondents to be $4</w:t>
      </w:r>
      <w:r w:rsidR="0065662C">
        <w:rPr>
          <w:color w:val="0070C0"/>
          <w:sz w:val="22"/>
          <w:szCs w:val="22"/>
        </w:rPr>
        <w:t>9.96</w:t>
      </w:r>
    </w:p>
    <w:p w14:paraId="6C7CEFCA" w14:textId="08678323" w:rsidR="004703B4" w:rsidRPr="00E52D47" w:rsidRDefault="004703B4" w:rsidP="00DD0525">
      <w:pPr>
        <w:ind w:left="720"/>
        <w:rPr>
          <w:color w:val="0070C0"/>
          <w:sz w:val="22"/>
          <w:szCs w:val="22"/>
        </w:rPr>
      </w:pPr>
      <w:r w:rsidRPr="00E52D47">
        <w:rPr>
          <w:color w:val="0070C0"/>
          <w:sz w:val="22"/>
          <w:szCs w:val="22"/>
        </w:rPr>
        <w:t>(2 burden hours x $24.</w:t>
      </w:r>
      <w:r w:rsidR="0065662C">
        <w:rPr>
          <w:color w:val="0070C0"/>
          <w:sz w:val="22"/>
          <w:szCs w:val="22"/>
        </w:rPr>
        <w:t xml:space="preserve">98 </w:t>
      </w:r>
      <w:r w:rsidRPr="00E52D47">
        <w:rPr>
          <w:color w:val="0070C0"/>
          <w:sz w:val="22"/>
          <w:szCs w:val="22"/>
        </w:rPr>
        <w:t>per hour)</w:t>
      </w:r>
    </w:p>
    <w:p w14:paraId="037132E4" w14:textId="77777777" w:rsidR="004703B4" w:rsidRPr="00E52D47" w:rsidRDefault="004703B4" w:rsidP="00DD0525">
      <w:pPr>
        <w:ind w:left="720"/>
        <w:rPr>
          <w:color w:val="0070C0"/>
          <w:sz w:val="22"/>
          <w:szCs w:val="22"/>
        </w:rPr>
      </w:pPr>
    </w:p>
    <w:p w14:paraId="493A5034" w14:textId="656D7857" w:rsidR="00310484" w:rsidRPr="00E52D47" w:rsidRDefault="004703B4" w:rsidP="00DD0525">
      <w:pPr>
        <w:ind w:left="720"/>
        <w:rPr>
          <w:color w:val="0070C0"/>
          <w:sz w:val="22"/>
          <w:szCs w:val="22"/>
        </w:rPr>
      </w:pPr>
      <w:r w:rsidRPr="00E52D47">
        <w:rPr>
          <w:color w:val="0070C0"/>
          <w:sz w:val="22"/>
          <w:szCs w:val="22"/>
        </w:rPr>
        <w:t xml:space="preserve">The </w:t>
      </w:r>
      <w:r w:rsidR="009D272A" w:rsidRPr="00E52D47">
        <w:rPr>
          <w:color w:val="0070C0"/>
          <w:sz w:val="22"/>
          <w:szCs w:val="22"/>
        </w:rPr>
        <w:t xml:space="preserve">total </w:t>
      </w:r>
      <w:r w:rsidR="003D25ED" w:rsidRPr="00E52D47">
        <w:rPr>
          <w:color w:val="0070C0"/>
          <w:sz w:val="22"/>
          <w:szCs w:val="22"/>
        </w:rPr>
        <w:t xml:space="preserve">hour burden </w:t>
      </w:r>
      <w:r w:rsidR="009D272A" w:rsidRPr="00E52D47">
        <w:rPr>
          <w:color w:val="0070C0"/>
          <w:sz w:val="22"/>
          <w:szCs w:val="22"/>
        </w:rPr>
        <w:t>cost to all respondents to be $</w:t>
      </w:r>
      <w:r w:rsidR="006549D1" w:rsidRPr="00E52D47">
        <w:rPr>
          <w:color w:val="0070C0"/>
          <w:sz w:val="22"/>
          <w:szCs w:val="22"/>
        </w:rPr>
        <w:t>9,</w:t>
      </w:r>
      <w:r w:rsidR="0065662C">
        <w:rPr>
          <w:color w:val="0070C0"/>
          <w:sz w:val="22"/>
          <w:szCs w:val="22"/>
        </w:rPr>
        <w:t>992</w:t>
      </w:r>
      <w:r w:rsidR="006549D1" w:rsidRPr="00E52D47">
        <w:rPr>
          <w:color w:val="0070C0"/>
          <w:sz w:val="22"/>
          <w:szCs w:val="22"/>
        </w:rPr>
        <w:t>.00</w:t>
      </w:r>
      <w:r w:rsidR="009D272A" w:rsidRPr="00E52D47">
        <w:rPr>
          <w:color w:val="0070C0"/>
          <w:sz w:val="22"/>
          <w:szCs w:val="22"/>
        </w:rPr>
        <w:t xml:space="preserve"> </w:t>
      </w:r>
    </w:p>
    <w:p w14:paraId="177A16F4" w14:textId="061E7E68" w:rsidR="003D25ED" w:rsidRPr="00E52D47" w:rsidRDefault="009D272A" w:rsidP="003D25ED">
      <w:pPr>
        <w:ind w:left="720"/>
        <w:rPr>
          <w:color w:val="0070C0"/>
          <w:sz w:val="22"/>
          <w:szCs w:val="22"/>
        </w:rPr>
      </w:pPr>
      <w:r w:rsidRPr="00E52D47">
        <w:rPr>
          <w:color w:val="0070C0"/>
          <w:sz w:val="22"/>
          <w:szCs w:val="22"/>
        </w:rPr>
        <w:t>(</w:t>
      </w:r>
      <w:r w:rsidR="006549D1" w:rsidRPr="00E52D47">
        <w:rPr>
          <w:color w:val="0070C0"/>
          <w:sz w:val="22"/>
          <w:szCs w:val="22"/>
        </w:rPr>
        <w:t xml:space="preserve">400 </w:t>
      </w:r>
      <w:r w:rsidRPr="00E52D47">
        <w:rPr>
          <w:color w:val="0070C0"/>
          <w:sz w:val="22"/>
          <w:szCs w:val="22"/>
        </w:rPr>
        <w:t>burden hours x $24.</w:t>
      </w:r>
      <w:r w:rsidR="0065662C">
        <w:rPr>
          <w:color w:val="0070C0"/>
          <w:sz w:val="22"/>
          <w:szCs w:val="22"/>
        </w:rPr>
        <w:t>98</w:t>
      </w:r>
      <w:r w:rsidRPr="00E52D47">
        <w:rPr>
          <w:color w:val="0070C0"/>
          <w:sz w:val="22"/>
          <w:szCs w:val="22"/>
        </w:rPr>
        <w:t xml:space="preserve"> per hour)</w:t>
      </w:r>
    </w:p>
    <w:p w14:paraId="29F9E53C" w14:textId="78367BA7" w:rsidR="009D272A" w:rsidRPr="00E52D47" w:rsidRDefault="003D25ED" w:rsidP="0043761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70C0"/>
          <w:sz w:val="22"/>
          <w:szCs w:val="22"/>
        </w:rPr>
      </w:pPr>
      <w:r w:rsidRPr="00E52D47">
        <w:rPr>
          <w:color w:val="0070C0"/>
          <w:sz w:val="22"/>
          <w:szCs w:val="22"/>
        </w:rPr>
        <w:tab/>
      </w:r>
      <w:r w:rsidRPr="00E52D47">
        <w:rPr>
          <w:color w:val="0070C0"/>
          <w:sz w:val="22"/>
          <w:szCs w:val="22"/>
        </w:rPr>
        <w:tab/>
      </w:r>
    </w:p>
    <w:p w14:paraId="2C6D5C1A" w14:textId="7032EECA" w:rsidR="003D25ED" w:rsidRPr="00E52D47" w:rsidRDefault="003D25ED" w:rsidP="003D25ED">
      <w:pPr>
        <w:ind w:left="720"/>
        <w:rPr>
          <w:color w:val="0070C0"/>
          <w:sz w:val="22"/>
          <w:szCs w:val="22"/>
        </w:rPr>
      </w:pPr>
      <w:r w:rsidRPr="00E52D47">
        <w:rPr>
          <w:color w:val="0070C0"/>
          <w:sz w:val="22"/>
          <w:szCs w:val="22"/>
        </w:rPr>
        <w:t xml:space="preserve">Note that there are no actual costs </w:t>
      </w:r>
      <w:r w:rsidR="00D24C27" w:rsidRPr="00E52D47">
        <w:rPr>
          <w:color w:val="0070C0"/>
          <w:sz w:val="22"/>
          <w:szCs w:val="22"/>
        </w:rPr>
        <w:t xml:space="preserve">paid </w:t>
      </w:r>
      <w:r w:rsidRPr="00E52D47">
        <w:rPr>
          <w:color w:val="0070C0"/>
          <w:sz w:val="22"/>
          <w:szCs w:val="22"/>
        </w:rPr>
        <w:t>for respondents – participation is voluntary</w:t>
      </w:r>
      <w:r w:rsidR="00D24C27" w:rsidRPr="00E52D47">
        <w:rPr>
          <w:color w:val="0070C0"/>
          <w:sz w:val="22"/>
          <w:szCs w:val="22"/>
        </w:rPr>
        <w:t xml:space="preserve">. </w:t>
      </w:r>
    </w:p>
    <w:p w14:paraId="3121DC53" w14:textId="6F839A1F" w:rsidR="00A72935" w:rsidRDefault="00A72935" w:rsidP="00A729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2E98852" w14:textId="77777777" w:rsidR="001434CB" w:rsidRDefault="001434CB" w:rsidP="00A729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B0E316B"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14:paraId="3956AA6A" w14:textId="77777777" w:rsidR="00D45FBE" w:rsidRPr="00D45FBE" w:rsidRDefault="00D45FBE" w:rsidP="00D45FBE">
      <w:pPr>
        <w:tabs>
          <w:tab w:val="left" w:pos="547"/>
          <w:tab w:val="left" w:pos="1080"/>
          <w:tab w:val="left" w:pos="1627"/>
          <w:tab w:val="left" w:pos="2160"/>
          <w:tab w:val="left" w:pos="2880"/>
        </w:tabs>
        <w:rPr>
          <w:color w:val="0070C0"/>
          <w:sz w:val="22"/>
          <w:szCs w:val="22"/>
        </w:rPr>
      </w:pPr>
      <w:bookmarkStart w:id="2" w:name="_Hlk8119017"/>
    </w:p>
    <w:p w14:paraId="4CD4659F" w14:textId="77777777" w:rsidR="00D45FBE" w:rsidRPr="00D45FBE" w:rsidRDefault="00D45FBE" w:rsidP="00D45FB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70C0"/>
          <w:sz w:val="22"/>
          <w:szCs w:val="22"/>
        </w:rPr>
      </w:pPr>
      <w:r w:rsidRPr="00D45FBE">
        <w:rPr>
          <w:b w:val="0"/>
          <w:color w:val="0070C0"/>
          <w:sz w:val="22"/>
          <w:szCs w:val="22"/>
        </w:rPr>
        <w:tab/>
        <w:t>a.</w:t>
      </w:r>
      <w:r w:rsidRPr="00D45FBE">
        <w:rPr>
          <w:b w:val="0"/>
          <w:color w:val="0070C0"/>
          <w:sz w:val="22"/>
          <w:szCs w:val="22"/>
        </w:rPr>
        <w:tab/>
        <w:t>There are no capital, start-up, operation or maintenance costs.</w:t>
      </w:r>
    </w:p>
    <w:p w14:paraId="0B4B58AF" w14:textId="77777777" w:rsidR="00D45FBE" w:rsidRPr="00D45FBE" w:rsidRDefault="00D45FBE" w:rsidP="00D45FB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color w:val="0070C0"/>
          <w:sz w:val="22"/>
          <w:szCs w:val="22"/>
        </w:rPr>
      </w:pPr>
      <w:r w:rsidRPr="00D45FBE">
        <w:rPr>
          <w:b w:val="0"/>
          <w:color w:val="0070C0"/>
          <w:sz w:val="22"/>
          <w:szCs w:val="22"/>
        </w:rPr>
        <w:tab/>
        <w:t>b.</w:t>
      </w:r>
      <w:r w:rsidRPr="00D45FBE">
        <w:rPr>
          <w:b w:val="0"/>
          <w:color w:val="0070C0"/>
          <w:sz w:val="22"/>
          <w:szCs w:val="22"/>
        </w:rPr>
        <w:tab/>
        <w:t>Cost estimates are not expected to vary widely.  The only cost is that for the time of the respondent.</w:t>
      </w:r>
    </w:p>
    <w:p w14:paraId="6495F5D5" w14:textId="77777777" w:rsidR="00D45FBE" w:rsidRPr="00D45FBE" w:rsidRDefault="00D45FBE" w:rsidP="00D45FB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color w:val="0070C0"/>
          <w:sz w:val="22"/>
          <w:szCs w:val="22"/>
        </w:rPr>
      </w:pPr>
      <w:r w:rsidRPr="00D45FBE">
        <w:rPr>
          <w:b w:val="0"/>
          <w:color w:val="0070C0"/>
          <w:sz w:val="22"/>
          <w:szCs w:val="22"/>
        </w:rPr>
        <w:tab/>
        <w:t>c.</w:t>
      </w:r>
      <w:r w:rsidRPr="00D45FBE">
        <w:rPr>
          <w:b w:val="0"/>
          <w:color w:val="0070C0"/>
          <w:sz w:val="22"/>
          <w:szCs w:val="22"/>
        </w:rPr>
        <w:tab/>
        <w:t xml:space="preserve">There is no anticipated recordkeeping burden beyond that which is considered usual and customary. </w:t>
      </w:r>
    </w:p>
    <w:bookmarkEnd w:id="2"/>
    <w:p w14:paraId="6FB40785" w14:textId="77777777" w:rsidR="00D666AF" w:rsidRPr="00D666AF" w:rsidRDefault="00D666AF" w:rsidP="00D45FB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FF0000"/>
          <w:sz w:val="24"/>
          <w:highlight w:val="yellow"/>
        </w:rPr>
      </w:pPr>
    </w:p>
    <w:p w14:paraId="63BC9BDE"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23A1ABA" w14:textId="37F8D5B7" w:rsidR="00C03C49" w:rsidRDefault="00133C89" w:rsidP="00F4408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133C89">
        <w:rPr>
          <w:color w:val="FF0000"/>
          <w:sz w:val="24"/>
          <w:szCs w:val="24"/>
        </w:rPr>
        <w:tab/>
      </w:r>
    </w:p>
    <w:p w14:paraId="55D36A52" w14:textId="18915D7E" w:rsidR="00C03C49" w:rsidRPr="0015715E" w:rsidRDefault="00F44081" w:rsidP="00C03C49">
      <w:pPr>
        <w:widowControl w:val="0"/>
        <w:tabs>
          <w:tab w:val="left" w:pos="547"/>
          <w:tab w:val="left" w:pos="1080"/>
          <w:tab w:val="left" w:pos="1627"/>
          <w:tab w:val="left" w:pos="2160"/>
          <w:tab w:val="left" w:pos="2880"/>
        </w:tabs>
        <w:autoSpaceDE w:val="0"/>
        <w:autoSpaceDN w:val="0"/>
        <w:adjustRightInd w:val="0"/>
        <w:rPr>
          <w:b/>
          <w:color w:val="0070C0"/>
          <w:sz w:val="22"/>
          <w:szCs w:val="22"/>
        </w:rPr>
      </w:pPr>
      <w:r>
        <w:rPr>
          <w:b/>
          <w:color w:val="0070C0"/>
          <w:szCs w:val="26"/>
        </w:rPr>
        <w:tab/>
      </w:r>
      <w:r w:rsidR="00C03C49" w:rsidRPr="0015715E">
        <w:rPr>
          <w:b/>
          <w:color w:val="0070C0"/>
          <w:sz w:val="22"/>
          <w:szCs w:val="22"/>
        </w:rPr>
        <w:t>The estimated total cost to the Federal Government is $</w:t>
      </w:r>
      <w:r w:rsidR="00D666AF" w:rsidRPr="0015715E">
        <w:rPr>
          <w:b/>
          <w:color w:val="0070C0"/>
          <w:sz w:val="22"/>
          <w:szCs w:val="22"/>
        </w:rPr>
        <w:t>113,600</w:t>
      </w:r>
    </w:p>
    <w:p w14:paraId="1BBC5BB4" w14:textId="77777777" w:rsidR="00F44081" w:rsidRPr="0015715E" w:rsidRDefault="00F44081" w:rsidP="00C03C49">
      <w:pPr>
        <w:widowControl w:val="0"/>
        <w:tabs>
          <w:tab w:val="left" w:pos="547"/>
          <w:tab w:val="left" w:pos="1080"/>
          <w:tab w:val="left" w:pos="1627"/>
          <w:tab w:val="left" w:pos="2160"/>
          <w:tab w:val="left" w:pos="2880"/>
        </w:tabs>
        <w:autoSpaceDE w:val="0"/>
        <w:autoSpaceDN w:val="0"/>
        <w:adjustRightInd w:val="0"/>
        <w:rPr>
          <w:b/>
          <w:color w:val="0070C0"/>
          <w:sz w:val="22"/>
          <w:szCs w:val="22"/>
        </w:rPr>
      </w:pPr>
    </w:p>
    <w:p w14:paraId="2AA2B0A5" w14:textId="77777777" w:rsidR="00C03C49" w:rsidRPr="0015715E" w:rsidRDefault="00C03C49" w:rsidP="00C03C49">
      <w:pPr>
        <w:widowControl w:val="0"/>
        <w:tabs>
          <w:tab w:val="left" w:pos="547"/>
          <w:tab w:val="left" w:pos="1080"/>
          <w:tab w:val="left" w:pos="1627"/>
          <w:tab w:val="left" w:pos="2160"/>
          <w:tab w:val="left" w:pos="2880"/>
        </w:tabs>
        <w:autoSpaceDE w:val="0"/>
        <w:autoSpaceDN w:val="0"/>
        <w:adjustRightInd w:val="0"/>
        <w:rPr>
          <w:b/>
          <w:sz w:val="22"/>
          <w:szCs w:val="22"/>
        </w:rPr>
      </w:pPr>
      <w:r w:rsidRPr="0015715E">
        <w:rPr>
          <w:sz w:val="22"/>
          <w:szCs w:val="22"/>
        </w:rPr>
        <w:t xml:space="preserve">         Data Source:</w:t>
      </w:r>
      <w:r w:rsidRPr="0015715E">
        <w:rPr>
          <w:b/>
          <w:sz w:val="22"/>
          <w:szCs w:val="22"/>
        </w:rPr>
        <w:t xml:space="preserve">  </w:t>
      </w:r>
      <w:hyperlink r:id="rId9" w:history="1">
        <w:r w:rsidRPr="0015715E">
          <w:rPr>
            <w:rStyle w:val="Hyperlink"/>
            <w:sz w:val="22"/>
            <w:szCs w:val="22"/>
          </w:rPr>
          <w:t>http://www.fedsdatacenter.com/gs-pay-calculator/</w:t>
        </w:r>
      </w:hyperlink>
    </w:p>
    <w:p w14:paraId="3E5F7026" w14:textId="48271F14" w:rsidR="00C03C49" w:rsidRPr="0015715E" w:rsidRDefault="00C03C49" w:rsidP="00C03C49">
      <w:pPr>
        <w:widowControl w:val="0"/>
        <w:tabs>
          <w:tab w:val="left" w:pos="547"/>
          <w:tab w:val="left" w:pos="1080"/>
          <w:tab w:val="left" w:pos="1627"/>
          <w:tab w:val="left" w:pos="2160"/>
          <w:tab w:val="left" w:pos="2880"/>
        </w:tabs>
        <w:autoSpaceDE w:val="0"/>
        <w:autoSpaceDN w:val="0"/>
        <w:adjustRightInd w:val="0"/>
        <w:rPr>
          <w:sz w:val="22"/>
          <w:szCs w:val="22"/>
        </w:rPr>
      </w:pPr>
    </w:p>
    <w:p w14:paraId="1FE010B8" w14:textId="0D8DA7CF" w:rsidR="00D666AF" w:rsidRPr="0015715E" w:rsidRDefault="003865C4" w:rsidP="00D666AF">
      <w:pPr>
        <w:pStyle w:val="ListParagraph"/>
        <w:widowControl w:val="0"/>
        <w:numPr>
          <w:ilvl w:val="0"/>
          <w:numId w:val="5"/>
        </w:numPr>
        <w:tabs>
          <w:tab w:val="left" w:pos="547"/>
          <w:tab w:val="left" w:pos="1080"/>
          <w:tab w:val="left" w:pos="1627"/>
          <w:tab w:val="left" w:pos="2160"/>
          <w:tab w:val="left" w:pos="2880"/>
        </w:tabs>
        <w:autoSpaceDE w:val="0"/>
        <w:autoSpaceDN w:val="0"/>
        <w:adjustRightInd w:val="0"/>
        <w:rPr>
          <w:color w:val="0070C0"/>
          <w:sz w:val="22"/>
          <w:szCs w:val="22"/>
        </w:rPr>
      </w:pPr>
      <w:r w:rsidRPr="0015715E">
        <w:rPr>
          <w:color w:val="0070C0"/>
          <w:sz w:val="22"/>
          <w:szCs w:val="22"/>
        </w:rPr>
        <w:t xml:space="preserve"> </w:t>
      </w:r>
      <w:r w:rsidR="00D666AF" w:rsidRPr="0015715E">
        <w:rPr>
          <w:color w:val="0070C0"/>
          <w:sz w:val="22"/>
          <w:szCs w:val="22"/>
        </w:rPr>
        <w:t>Contractor Costs</w:t>
      </w:r>
      <w:r w:rsidR="004030B7" w:rsidRPr="0015715E">
        <w:rPr>
          <w:color w:val="0070C0"/>
          <w:sz w:val="22"/>
          <w:szCs w:val="22"/>
        </w:rPr>
        <w:t xml:space="preserve">: </w:t>
      </w:r>
      <w:r w:rsidR="00D666AF" w:rsidRPr="0015715E">
        <w:rPr>
          <w:color w:val="0070C0"/>
          <w:sz w:val="22"/>
          <w:szCs w:val="22"/>
        </w:rPr>
        <w:t xml:space="preserve"> $6600 x 16 focus group sessions = $105,600</w:t>
      </w:r>
    </w:p>
    <w:p w14:paraId="2385444F" w14:textId="77777777" w:rsidR="003865C4" w:rsidRPr="00F44081" w:rsidRDefault="003865C4" w:rsidP="003865C4">
      <w:pPr>
        <w:pStyle w:val="ListParagraph"/>
        <w:widowControl w:val="0"/>
        <w:tabs>
          <w:tab w:val="left" w:pos="547"/>
          <w:tab w:val="left" w:pos="1080"/>
          <w:tab w:val="left" w:pos="1627"/>
          <w:tab w:val="left" w:pos="2160"/>
          <w:tab w:val="left" w:pos="2880"/>
        </w:tabs>
        <w:autoSpaceDE w:val="0"/>
        <w:autoSpaceDN w:val="0"/>
        <w:adjustRightInd w:val="0"/>
        <w:rPr>
          <w:szCs w:val="26"/>
        </w:rPr>
      </w:pPr>
    </w:p>
    <w:tbl>
      <w:tblPr>
        <w:tblStyle w:val="TableGrid"/>
        <w:tblW w:w="0" w:type="auto"/>
        <w:tblLook w:val="04A0" w:firstRow="1" w:lastRow="0" w:firstColumn="1" w:lastColumn="0" w:noHBand="0" w:noVBand="1"/>
      </w:tblPr>
      <w:tblGrid>
        <w:gridCol w:w="5935"/>
        <w:gridCol w:w="1710"/>
        <w:gridCol w:w="1705"/>
      </w:tblGrid>
      <w:tr w:rsidR="00D666AF" w:rsidRPr="009711A4" w14:paraId="540BA291" w14:textId="77777777" w:rsidTr="00F677CA">
        <w:tc>
          <w:tcPr>
            <w:tcW w:w="5935" w:type="dxa"/>
            <w:shd w:val="clear" w:color="auto" w:fill="808080" w:themeFill="background1" w:themeFillShade="80"/>
          </w:tcPr>
          <w:p w14:paraId="72C75709" w14:textId="5CF0C4C5" w:rsidR="00D666AF" w:rsidRPr="009711A4" w:rsidRDefault="00D666AF" w:rsidP="00F677CA">
            <w:pPr>
              <w:rPr>
                <w:b/>
                <w:color w:val="FFFFFF" w:themeColor="background1"/>
                <w:sz w:val="20"/>
              </w:rPr>
            </w:pPr>
            <w:r>
              <w:rPr>
                <w:b/>
                <w:color w:val="FFFFFF" w:themeColor="background1"/>
                <w:sz w:val="20"/>
              </w:rPr>
              <w:t xml:space="preserve">Contractor </w:t>
            </w:r>
            <w:r w:rsidRPr="009711A4">
              <w:rPr>
                <w:b/>
                <w:color w:val="FFFFFF" w:themeColor="background1"/>
                <w:sz w:val="20"/>
              </w:rPr>
              <w:t>Task</w:t>
            </w:r>
            <w:r>
              <w:rPr>
                <w:b/>
                <w:color w:val="FFFFFF" w:themeColor="background1"/>
                <w:sz w:val="20"/>
              </w:rPr>
              <w:t>s</w:t>
            </w:r>
          </w:p>
        </w:tc>
        <w:tc>
          <w:tcPr>
            <w:tcW w:w="1710" w:type="dxa"/>
            <w:shd w:val="clear" w:color="auto" w:fill="808080" w:themeFill="background1" w:themeFillShade="80"/>
          </w:tcPr>
          <w:p w14:paraId="6462F3CC" w14:textId="77777777" w:rsidR="00D666AF" w:rsidRDefault="00D666AF" w:rsidP="00F677CA">
            <w:pPr>
              <w:rPr>
                <w:b/>
                <w:color w:val="FFFFFF" w:themeColor="background1"/>
                <w:sz w:val="20"/>
              </w:rPr>
            </w:pPr>
            <w:r w:rsidRPr="009711A4">
              <w:rPr>
                <w:b/>
                <w:color w:val="FFFFFF" w:themeColor="background1"/>
                <w:sz w:val="20"/>
              </w:rPr>
              <w:t xml:space="preserve">Estimated Hours </w:t>
            </w:r>
          </w:p>
          <w:p w14:paraId="432FB8F1" w14:textId="77777777" w:rsidR="00D666AF" w:rsidRPr="009711A4" w:rsidRDefault="00D666AF" w:rsidP="00F677CA">
            <w:pPr>
              <w:rPr>
                <w:b/>
                <w:color w:val="FFFFFF" w:themeColor="background1"/>
                <w:sz w:val="20"/>
              </w:rPr>
            </w:pPr>
            <w:r w:rsidRPr="009711A4">
              <w:rPr>
                <w:b/>
                <w:color w:val="FFFFFF" w:themeColor="background1"/>
                <w:sz w:val="20"/>
              </w:rPr>
              <w:t>Per Focus Group</w:t>
            </w:r>
          </w:p>
        </w:tc>
        <w:tc>
          <w:tcPr>
            <w:tcW w:w="1705" w:type="dxa"/>
            <w:shd w:val="clear" w:color="auto" w:fill="808080" w:themeFill="background1" w:themeFillShade="80"/>
          </w:tcPr>
          <w:p w14:paraId="18D6DB9B" w14:textId="77777777" w:rsidR="00D666AF" w:rsidRDefault="00D666AF" w:rsidP="00F677CA">
            <w:pPr>
              <w:rPr>
                <w:b/>
                <w:color w:val="FFFFFF" w:themeColor="background1"/>
                <w:sz w:val="20"/>
              </w:rPr>
            </w:pPr>
            <w:r w:rsidRPr="009711A4">
              <w:rPr>
                <w:b/>
                <w:color w:val="FFFFFF" w:themeColor="background1"/>
                <w:sz w:val="20"/>
              </w:rPr>
              <w:t xml:space="preserve">Estimated Cost </w:t>
            </w:r>
          </w:p>
          <w:p w14:paraId="05B38BEC" w14:textId="77777777" w:rsidR="00D666AF" w:rsidRPr="009711A4" w:rsidRDefault="00D666AF" w:rsidP="00F677CA">
            <w:pPr>
              <w:rPr>
                <w:b/>
                <w:color w:val="FFFFFF" w:themeColor="background1"/>
                <w:sz w:val="20"/>
              </w:rPr>
            </w:pPr>
            <w:r w:rsidRPr="009711A4">
              <w:rPr>
                <w:b/>
                <w:color w:val="FFFFFF" w:themeColor="background1"/>
                <w:sz w:val="20"/>
              </w:rPr>
              <w:t>Per Focus Group</w:t>
            </w:r>
          </w:p>
        </w:tc>
      </w:tr>
      <w:tr w:rsidR="00D666AF" w:rsidRPr="009711A4" w14:paraId="6E78E22F" w14:textId="77777777" w:rsidTr="00F677CA">
        <w:tc>
          <w:tcPr>
            <w:tcW w:w="5935" w:type="dxa"/>
          </w:tcPr>
          <w:p w14:paraId="5D68799A" w14:textId="77777777" w:rsidR="00D666AF" w:rsidRPr="009711A4" w:rsidRDefault="00D666AF" w:rsidP="00F677CA">
            <w:pPr>
              <w:rPr>
                <w:sz w:val="20"/>
              </w:rPr>
            </w:pPr>
            <w:r w:rsidRPr="009711A4">
              <w:rPr>
                <w:sz w:val="20"/>
              </w:rPr>
              <w:t>Tailoring of protocol for each site (flyer, background information for veterans, Recruiters, etc.)</w:t>
            </w:r>
          </w:p>
        </w:tc>
        <w:tc>
          <w:tcPr>
            <w:tcW w:w="1710" w:type="dxa"/>
          </w:tcPr>
          <w:p w14:paraId="0C0DFC7D" w14:textId="77777777" w:rsidR="00D666AF" w:rsidRPr="009711A4" w:rsidRDefault="00D666AF" w:rsidP="00F677CA">
            <w:pPr>
              <w:rPr>
                <w:sz w:val="20"/>
              </w:rPr>
            </w:pPr>
            <w:r w:rsidRPr="009711A4">
              <w:rPr>
                <w:sz w:val="20"/>
              </w:rPr>
              <w:t>4</w:t>
            </w:r>
          </w:p>
        </w:tc>
        <w:tc>
          <w:tcPr>
            <w:tcW w:w="1705" w:type="dxa"/>
          </w:tcPr>
          <w:p w14:paraId="0F9BFE56" w14:textId="77777777" w:rsidR="00D666AF" w:rsidRPr="009711A4" w:rsidRDefault="00D666AF" w:rsidP="00F677CA">
            <w:pPr>
              <w:rPr>
                <w:sz w:val="20"/>
              </w:rPr>
            </w:pPr>
            <w:r w:rsidRPr="009711A4">
              <w:rPr>
                <w:sz w:val="20"/>
              </w:rPr>
              <w:t>Normal labor cost</w:t>
            </w:r>
          </w:p>
        </w:tc>
      </w:tr>
      <w:tr w:rsidR="00D666AF" w:rsidRPr="009711A4" w14:paraId="76F25CBE" w14:textId="77777777" w:rsidTr="00F677CA">
        <w:tc>
          <w:tcPr>
            <w:tcW w:w="5935" w:type="dxa"/>
          </w:tcPr>
          <w:p w14:paraId="2E8A2714" w14:textId="77777777" w:rsidR="00D666AF" w:rsidRPr="009711A4" w:rsidRDefault="00D666AF" w:rsidP="00F677CA">
            <w:pPr>
              <w:rPr>
                <w:sz w:val="20"/>
              </w:rPr>
            </w:pPr>
            <w:r w:rsidRPr="009711A4">
              <w:rPr>
                <w:sz w:val="20"/>
              </w:rPr>
              <w:t>Participant recruitment activities (including screening of the potential participants)</w:t>
            </w:r>
          </w:p>
        </w:tc>
        <w:tc>
          <w:tcPr>
            <w:tcW w:w="1710" w:type="dxa"/>
          </w:tcPr>
          <w:p w14:paraId="0509E371" w14:textId="77777777" w:rsidR="00D666AF" w:rsidRPr="009711A4" w:rsidRDefault="00D666AF" w:rsidP="00F677CA">
            <w:pPr>
              <w:rPr>
                <w:sz w:val="20"/>
              </w:rPr>
            </w:pPr>
            <w:r w:rsidRPr="009711A4">
              <w:rPr>
                <w:sz w:val="20"/>
              </w:rPr>
              <w:t>6-14</w:t>
            </w:r>
          </w:p>
        </w:tc>
        <w:tc>
          <w:tcPr>
            <w:tcW w:w="1705" w:type="dxa"/>
          </w:tcPr>
          <w:p w14:paraId="676709DD" w14:textId="77777777" w:rsidR="00D666AF" w:rsidRPr="009711A4" w:rsidRDefault="00D666AF" w:rsidP="00F677CA">
            <w:pPr>
              <w:jc w:val="right"/>
              <w:rPr>
                <w:sz w:val="20"/>
              </w:rPr>
            </w:pPr>
            <w:r w:rsidRPr="009711A4">
              <w:rPr>
                <w:sz w:val="20"/>
              </w:rPr>
              <w:t>$1600</w:t>
            </w:r>
          </w:p>
        </w:tc>
      </w:tr>
      <w:tr w:rsidR="00D666AF" w:rsidRPr="009711A4" w14:paraId="53D31B8A" w14:textId="77777777" w:rsidTr="00F677CA">
        <w:tc>
          <w:tcPr>
            <w:tcW w:w="5935" w:type="dxa"/>
          </w:tcPr>
          <w:p w14:paraId="4ADCCFB9" w14:textId="77777777" w:rsidR="00D666AF" w:rsidRPr="009711A4" w:rsidRDefault="00D666AF" w:rsidP="00F677CA">
            <w:pPr>
              <w:rPr>
                <w:sz w:val="20"/>
              </w:rPr>
            </w:pPr>
            <w:r w:rsidRPr="009711A4">
              <w:rPr>
                <w:sz w:val="20"/>
              </w:rPr>
              <w:t>Conducting focus group discussions (moderator and note taker hours)</w:t>
            </w:r>
          </w:p>
        </w:tc>
        <w:tc>
          <w:tcPr>
            <w:tcW w:w="1710" w:type="dxa"/>
          </w:tcPr>
          <w:p w14:paraId="1419B8DD" w14:textId="77777777" w:rsidR="00D666AF" w:rsidRPr="009711A4" w:rsidRDefault="00D666AF" w:rsidP="00F677CA">
            <w:pPr>
              <w:rPr>
                <w:sz w:val="20"/>
              </w:rPr>
            </w:pPr>
            <w:r w:rsidRPr="009711A4">
              <w:rPr>
                <w:sz w:val="20"/>
              </w:rPr>
              <w:t>5</w:t>
            </w:r>
          </w:p>
        </w:tc>
        <w:tc>
          <w:tcPr>
            <w:tcW w:w="1705" w:type="dxa"/>
          </w:tcPr>
          <w:p w14:paraId="39D5A2CB" w14:textId="77777777" w:rsidR="00D666AF" w:rsidRPr="009711A4" w:rsidRDefault="00D666AF" w:rsidP="00F677CA">
            <w:pPr>
              <w:jc w:val="right"/>
              <w:rPr>
                <w:sz w:val="20"/>
              </w:rPr>
            </w:pPr>
            <w:r w:rsidRPr="009711A4">
              <w:rPr>
                <w:sz w:val="20"/>
              </w:rPr>
              <w:t>$600</w:t>
            </w:r>
          </w:p>
        </w:tc>
      </w:tr>
      <w:tr w:rsidR="00D666AF" w:rsidRPr="009711A4" w14:paraId="6939043B" w14:textId="77777777" w:rsidTr="00F677CA">
        <w:tc>
          <w:tcPr>
            <w:tcW w:w="5935" w:type="dxa"/>
          </w:tcPr>
          <w:p w14:paraId="64D45625" w14:textId="77777777" w:rsidR="00D666AF" w:rsidRPr="009711A4" w:rsidRDefault="00D666AF" w:rsidP="00F677CA">
            <w:pPr>
              <w:rPr>
                <w:sz w:val="20"/>
              </w:rPr>
            </w:pPr>
            <w:r w:rsidRPr="009711A4">
              <w:rPr>
                <w:sz w:val="20"/>
              </w:rPr>
              <w:t xml:space="preserve">Transcription of recordings/notes clean up – Sigma </w:t>
            </w:r>
          </w:p>
        </w:tc>
        <w:tc>
          <w:tcPr>
            <w:tcW w:w="1710" w:type="dxa"/>
          </w:tcPr>
          <w:p w14:paraId="40F9C18D" w14:textId="77777777" w:rsidR="00D666AF" w:rsidRPr="009711A4" w:rsidRDefault="00D666AF" w:rsidP="00F677CA">
            <w:pPr>
              <w:rPr>
                <w:sz w:val="20"/>
              </w:rPr>
            </w:pPr>
            <w:r w:rsidRPr="009711A4">
              <w:rPr>
                <w:sz w:val="20"/>
              </w:rPr>
              <w:t>6-8</w:t>
            </w:r>
          </w:p>
        </w:tc>
        <w:tc>
          <w:tcPr>
            <w:tcW w:w="1705" w:type="dxa"/>
          </w:tcPr>
          <w:p w14:paraId="48831E95" w14:textId="77777777" w:rsidR="00D666AF" w:rsidRPr="009711A4" w:rsidRDefault="00D666AF" w:rsidP="00F677CA">
            <w:pPr>
              <w:jc w:val="right"/>
              <w:rPr>
                <w:sz w:val="20"/>
              </w:rPr>
            </w:pPr>
            <w:r w:rsidRPr="009711A4">
              <w:rPr>
                <w:sz w:val="20"/>
              </w:rPr>
              <w:t>$500</w:t>
            </w:r>
          </w:p>
        </w:tc>
      </w:tr>
      <w:tr w:rsidR="00D666AF" w:rsidRPr="009711A4" w14:paraId="588AAF3F" w14:textId="77777777" w:rsidTr="00F677CA">
        <w:tc>
          <w:tcPr>
            <w:tcW w:w="5935" w:type="dxa"/>
          </w:tcPr>
          <w:p w14:paraId="4B643DEC" w14:textId="77777777" w:rsidR="00D666AF" w:rsidRPr="009711A4" w:rsidRDefault="00D666AF" w:rsidP="00F677CA">
            <w:pPr>
              <w:pStyle w:val="CommentText"/>
              <w:rPr>
                <w:szCs w:val="24"/>
              </w:rPr>
            </w:pPr>
            <w:r w:rsidRPr="009711A4">
              <w:rPr>
                <w:szCs w:val="24"/>
              </w:rPr>
              <w:t xml:space="preserve">Summary report development </w:t>
            </w:r>
          </w:p>
          <w:p w14:paraId="5FA8758D" w14:textId="77777777" w:rsidR="00D666AF" w:rsidRPr="009711A4" w:rsidRDefault="00D666AF" w:rsidP="00F677CA">
            <w:pPr>
              <w:rPr>
                <w:sz w:val="20"/>
                <w:highlight w:val="yellow"/>
              </w:rPr>
            </w:pPr>
          </w:p>
        </w:tc>
        <w:tc>
          <w:tcPr>
            <w:tcW w:w="1710" w:type="dxa"/>
          </w:tcPr>
          <w:p w14:paraId="5CB294DD" w14:textId="77777777" w:rsidR="00D666AF" w:rsidRPr="009711A4" w:rsidRDefault="00D666AF" w:rsidP="00F677CA">
            <w:pPr>
              <w:rPr>
                <w:sz w:val="20"/>
                <w:highlight w:val="yellow"/>
              </w:rPr>
            </w:pPr>
            <w:r w:rsidRPr="009711A4">
              <w:rPr>
                <w:sz w:val="20"/>
              </w:rPr>
              <w:t>16-20</w:t>
            </w:r>
          </w:p>
        </w:tc>
        <w:tc>
          <w:tcPr>
            <w:tcW w:w="1705" w:type="dxa"/>
          </w:tcPr>
          <w:p w14:paraId="4A05B8AD" w14:textId="77777777" w:rsidR="00D666AF" w:rsidRPr="009711A4" w:rsidRDefault="00D666AF" w:rsidP="00F677CA">
            <w:pPr>
              <w:jc w:val="right"/>
              <w:rPr>
                <w:sz w:val="20"/>
                <w:highlight w:val="yellow"/>
              </w:rPr>
            </w:pPr>
            <w:r w:rsidRPr="009711A4">
              <w:rPr>
                <w:sz w:val="20"/>
              </w:rPr>
              <w:t>$2,400</w:t>
            </w:r>
          </w:p>
        </w:tc>
      </w:tr>
      <w:tr w:rsidR="00D666AF" w:rsidRPr="009711A4" w14:paraId="38CFC9DA" w14:textId="77777777" w:rsidTr="00F677CA">
        <w:tc>
          <w:tcPr>
            <w:tcW w:w="5935" w:type="dxa"/>
          </w:tcPr>
          <w:p w14:paraId="5B71DB07" w14:textId="77777777" w:rsidR="00D666AF" w:rsidRPr="009711A4" w:rsidRDefault="00D666AF" w:rsidP="00F677CA">
            <w:pPr>
              <w:pStyle w:val="CommentText"/>
              <w:rPr>
                <w:szCs w:val="24"/>
              </w:rPr>
            </w:pPr>
            <w:r w:rsidRPr="009711A4">
              <w:rPr>
                <w:szCs w:val="24"/>
              </w:rPr>
              <w:t>Travel costs for moderator</w:t>
            </w:r>
          </w:p>
          <w:p w14:paraId="39EC7EE6" w14:textId="77777777" w:rsidR="00D666AF" w:rsidRDefault="00D666AF" w:rsidP="00F677CA">
            <w:pPr>
              <w:pStyle w:val="CommentText"/>
              <w:rPr>
                <w:szCs w:val="24"/>
              </w:rPr>
            </w:pPr>
            <w:r w:rsidRPr="009711A4">
              <w:rPr>
                <w:szCs w:val="24"/>
              </w:rPr>
              <w:t xml:space="preserve">(note taker costs covered in overall site visit costs) </w:t>
            </w:r>
          </w:p>
          <w:p w14:paraId="40CD11D9" w14:textId="77777777" w:rsidR="00D666AF" w:rsidRPr="009711A4" w:rsidRDefault="00D666AF" w:rsidP="00F677CA">
            <w:pPr>
              <w:pStyle w:val="CommentText"/>
            </w:pPr>
            <w:r>
              <w:rPr>
                <w:szCs w:val="24"/>
              </w:rPr>
              <w:t>*</w:t>
            </w:r>
            <w:r>
              <w:t>I</w:t>
            </w:r>
            <w:r w:rsidRPr="009711A4">
              <w:t>ncludes hotel, flights, MIE, ground transportation. Price dependent</w:t>
            </w:r>
            <w:r>
              <w:t xml:space="preserve"> </w:t>
            </w:r>
            <w:r w:rsidRPr="009711A4">
              <w:t>on location/travel distance</w:t>
            </w:r>
          </w:p>
        </w:tc>
        <w:tc>
          <w:tcPr>
            <w:tcW w:w="1710" w:type="dxa"/>
          </w:tcPr>
          <w:p w14:paraId="163298F0" w14:textId="77777777" w:rsidR="00D666AF" w:rsidRPr="009711A4" w:rsidRDefault="00D666AF" w:rsidP="00F677CA">
            <w:pPr>
              <w:rPr>
                <w:sz w:val="20"/>
                <w:highlight w:val="yellow"/>
              </w:rPr>
            </w:pPr>
            <w:r w:rsidRPr="009711A4">
              <w:rPr>
                <w:sz w:val="20"/>
              </w:rPr>
              <w:t>N/A</w:t>
            </w:r>
          </w:p>
        </w:tc>
        <w:tc>
          <w:tcPr>
            <w:tcW w:w="1705" w:type="dxa"/>
          </w:tcPr>
          <w:p w14:paraId="2E21E044" w14:textId="77777777" w:rsidR="00D666AF" w:rsidRPr="009711A4" w:rsidRDefault="00D666AF" w:rsidP="00F677CA">
            <w:pPr>
              <w:jc w:val="right"/>
              <w:rPr>
                <w:sz w:val="20"/>
              </w:rPr>
            </w:pPr>
            <w:r w:rsidRPr="009711A4">
              <w:rPr>
                <w:sz w:val="20"/>
              </w:rPr>
              <w:t>$1,500</w:t>
            </w:r>
            <w:r>
              <w:rPr>
                <w:sz w:val="20"/>
              </w:rPr>
              <w:t>*</w:t>
            </w:r>
          </w:p>
          <w:p w14:paraId="64A56991" w14:textId="77777777" w:rsidR="00D666AF" w:rsidRPr="009711A4" w:rsidRDefault="00D666AF" w:rsidP="00F677CA">
            <w:pPr>
              <w:rPr>
                <w:sz w:val="20"/>
                <w:highlight w:val="yellow"/>
              </w:rPr>
            </w:pPr>
          </w:p>
        </w:tc>
      </w:tr>
      <w:tr w:rsidR="00D666AF" w:rsidRPr="009711A4" w14:paraId="0D0645E8" w14:textId="77777777" w:rsidTr="00F677CA">
        <w:tc>
          <w:tcPr>
            <w:tcW w:w="5935" w:type="dxa"/>
          </w:tcPr>
          <w:p w14:paraId="167F726F" w14:textId="51D7B908" w:rsidR="00D666AF" w:rsidRPr="009711A4" w:rsidRDefault="00D666AF" w:rsidP="00F677CA">
            <w:pPr>
              <w:pStyle w:val="CommentText"/>
              <w:rPr>
                <w:b/>
                <w:szCs w:val="24"/>
              </w:rPr>
            </w:pPr>
            <w:r w:rsidRPr="009711A4">
              <w:rPr>
                <w:b/>
                <w:szCs w:val="24"/>
              </w:rPr>
              <w:t xml:space="preserve">Total </w:t>
            </w:r>
            <w:r>
              <w:rPr>
                <w:b/>
                <w:szCs w:val="24"/>
              </w:rPr>
              <w:t xml:space="preserve">Contract </w:t>
            </w:r>
            <w:r w:rsidR="00CD1CAA">
              <w:rPr>
                <w:b/>
                <w:szCs w:val="24"/>
              </w:rPr>
              <w:t>Costs</w:t>
            </w:r>
            <w:r>
              <w:rPr>
                <w:b/>
                <w:szCs w:val="24"/>
              </w:rPr>
              <w:t xml:space="preserve"> </w:t>
            </w:r>
            <w:r w:rsidRPr="009711A4">
              <w:rPr>
                <w:b/>
                <w:szCs w:val="24"/>
              </w:rPr>
              <w:t>Per Focus Group</w:t>
            </w:r>
          </w:p>
        </w:tc>
        <w:tc>
          <w:tcPr>
            <w:tcW w:w="1710" w:type="dxa"/>
          </w:tcPr>
          <w:p w14:paraId="3255D5AE" w14:textId="77777777" w:rsidR="00D666AF" w:rsidRPr="009711A4" w:rsidRDefault="00D666AF" w:rsidP="00F677CA">
            <w:pPr>
              <w:rPr>
                <w:b/>
                <w:sz w:val="20"/>
              </w:rPr>
            </w:pPr>
          </w:p>
        </w:tc>
        <w:tc>
          <w:tcPr>
            <w:tcW w:w="1705" w:type="dxa"/>
          </w:tcPr>
          <w:p w14:paraId="21F34762" w14:textId="77777777" w:rsidR="00D666AF" w:rsidRPr="009711A4" w:rsidRDefault="00D666AF" w:rsidP="00F677CA">
            <w:pPr>
              <w:jc w:val="right"/>
              <w:rPr>
                <w:b/>
                <w:sz w:val="20"/>
              </w:rPr>
            </w:pPr>
            <w:r w:rsidRPr="009711A4">
              <w:rPr>
                <w:b/>
                <w:sz w:val="20"/>
              </w:rPr>
              <w:t>$6,600</w:t>
            </w:r>
          </w:p>
        </w:tc>
      </w:tr>
    </w:tbl>
    <w:p w14:paraId="007E63EF" w14:textId="77777777" w:rsidR="00C03C49" w:rsidRPr="0015715E" w:rsidRDefault="00C03C49" w:rsidP="00C03C49">
      <w:pPr>
        <w:widowControl w:val="0"/>
        <w:tabs>
          <w:tab w:val="left" w:pos="547"/>
          <w:tab w:val="left" w:pos="1080"/>
          <w:tab w:val="left" w:pos="1627"/>
          <w:tab w:val="left" w:pos="2160"/>
          <w:tab w:val="left" w:pos="2880"/>
        </w:tabs>
        <w:autoSpaceDE w:val="0"/>
        <w:autoSpaceDN w:val="0"/>
        <w:adjustRightInd w:val="0"/>
        <w:rPr>
          <w:sz w:val="22"/>
          <w:szCs w:val="22"/>
          <w:highlight w:val="cyan"/>
        </w:rPr>
      </w:pPr>
    </w:p>
    <w:p w14:paraId="235D9DE7" w14:textId="772A200A" w:rsidR="00C03C49" w:rsidRPr="0015715E" w:rsidRDefault="003865C4" w:rsidP="00D666AF">
      <w:pPr>
        <w:pStyle w:val="ListParagraph"/>
        <w:widowControl w:val="0"/>
        <w:numPr>
          <w:ilvl w:val="0"/>
          <w:numId w:val="5"/>
        </w:numPr>
        <w:tabs>
          <w:tab w:val="left" w:pos="540"/>
          <w:tab w:val="left" w:pos="1080"/>
          <w:tab w:val="left" w:pos="1627"/>
          <w:tab w:val="left" w:pos="2160"/>
          <w:tab w:val="left" w:pos="2880"/>
        </w:tabs>
        <w:autoSpaceDE w:val="0"/>
        <w:autoSpaceDN w:val="0"/>
        <w:adjustRightInd w:val="0"/>
        <w:ind w:left="1080" w:hanging="720"/>
        <w:rPr>
          <w:sz w:val="22"/>
          <w:szCs w:val="22"/>
        </w:rPr>
      </w:pPr>
      <w:r w:rsidRPr="0015715E">
        <w:rPr>
          <w:sz w:val="22"/>
          <w:szCs w:val="22"/>
        </w:rPr>
        <w:t xml:space="preserve"> </w:t>
      </w:r>
      <w:r w:rsidR="00C03C49" w:rsidRPr="0015715E">
        <w:rPr>
          <w:color w:val="0070C0"/>
          <w:sz w:val="22"/>
          <w:szCs w:val="22"/>
        </w:rPr>
        <w:t xml:space="preserve">VA </w:t>
      </w:r>
      <w:r w:rsidR="004D1CA1" w:rsidRPr="0015715E">
        <w:rPr>
          <w:color w:val="0070C0"/>
          <w:sz w:val="22"/>
          <w:szCs w:val="22"/>
        </w:rPr>
        <w:t>Support Team oversight</w:t>
      </w:r>
      <w:r w:rsidR="004030B7" w:rsidRPr="0015715E">
        <w:rPr>
          <w:color w:val="0070C0"/>
          <w:sz w:val="22"/>
          <w:szCs w:val="22"/>
        </w:rPr>
        <w:t xml:space="preserve">: </w:t>
      </w:r>
      <w:r w:rsidR="00C03C49" w:rsidRPr="0015715E">
        <w:rPr>
          <w:color w:val="0070C0"/>
          <w:sz w:val="22"/>
          <w:szCs w:val="22"/>
        </w:rPr>
        <w:t xml:space="preserve"> </w:t>
      </w:r>
      <w:r w:rsidR="00D666AF" w:rsidRPr="0015715E">
        <w:rPr>
          <w:color w:val="0070C0"/>
          <w:sz w:val="22"/>
          <w:szCs w:val="22"/>
        </w:rPr>
        <w:t>80 hrs x $100 (GS15-5 hourly salary) = $8,000</w:t>
      </w:r>
    </w:p>
    <w:p w14:paraId="781805CF" w14:textId="22DBDE2E" w:rsidR="00C03C49" w:rsidRPr="0015715E" w:rsidRDefault="00C03C49">
      <w:pPr>
        <w:tabs>
          <w:tab w:val="left" w:pos="547"/>
          <w:tab w:val="left" w:pos="1080"/>
          <w:tab w:val="left" w:pos="1627"/>
          <w:tab w:val="left" w:pos="2160"/>
          <w:tab w:val="left" w:pos="2880"/>
        </w:tabs>
        <w:ind w:right="-396"/>
        <w:rPr>
          <w:color w:val="FF0000"/>
          <w:sz w:val="22"/>
          <w:szCs w:val="22"/>
        </w:rPr>
      </w:pPr>
    </w:p>
    <w:p w14:paraId="36156365" w14:textId="77777777" w:rsidR="00C03C49" w:rsidRPr="00246646" w:rsidRDefault="00C03C49">
      <w:pPr>
        <w:tabs>
          <w:tab w:val="left" w:pos="547"/>
          <w:tab w:val="left" w:pos="1080"/>
          <w:tab w:val="left" w:pos="1627"/>
          <w:tab w:val="left" w:pos="2160"/>
          <w:tab w:val="left" w:pos="2880"/>
        </w:tabs>
        <w:ind w:right="-396"/>
        <w:rPr>
          <w:color w:val="FF0000"/>
        </w:rPr>
      </w:pPr>
    </w:p>
    <w:p w14:paraId="79B3DD82" w14:textId="77777777"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14 of the OMB form 83-1</w:t>
      </w:r>
      <w:r>
        <w:rPr>
          <w:b/>
        </w:rPr>
        <w:t>.</w:t>
      </w:r>
    </w:p>
    <w:p w14:paraId="0445BA51" w14:textId="77777777" w:rsidR="00536A11" w:rsidRDefault="00536A11">
      <w:pPr>
        <w:tabs>
          <w:tab w:val="left" w:pos="547"/>
          <w:tab w:val="left" w:pos="1080"/>
          <w:tab w:val="left" w:pos="1627"/>
          <w:tab w:val="left" w:pos="2160"/>
          <w:tab w:val="left" w:pos="2880"/>
        </w:tabs>
      </w:pPr>
    </w:p>
    <w:p w14:paraId="02097319" w14:textId="3EB830FB" w:rsidR="00536A11" w:rsidRPr="0015715E" w:rsidRDefault="001F0046">
      <w:pPr>
        <w:tabs>
          <w:tab w:val="left" w:pos="547"/>
          <w:tab w:val="left" w:pos="1080"/>
          <w:tab w:val="left" w:pos="1627"/>
          <w:tab w:val="left" w:pos="2160"/>
          <w:tab w:val="left" w:pos="2880"/>
        </w:tabs>
        <w:rPr>
          <w:sz w:val="22"/>
          <w:szCs w:val="22"/>
        </w:rPr>
      </w:pPr>
      <w:r>
        <w:rPr>
          <w:color w:val="0070C0"/>
        </w:rPr>
        <w:tab/>
      </w:r>
      <w:r w:rsidR="00536A11" w:rsidRPr="0015715E">
        <w:rPr>
          <w:color w:val="0070C0"/>
          <w:sz w:val="22"/>
          <w:szCs w:val="22"/>
        </w:rPr>
        <w:t>This is a new collection and all burden hours are</w:t>
      </w:r>
      <w:r w:rsidR="00E60518" w:rsidRPr="0015715E">
        <w:rPr>
          <w:color w:val="0070C0"/>
          <w:sz w:val="22"/>
          <w:szCs w:val="22"/>
        </w:rPr>
        <w:t xml:space="preserve"> considered a program increase.</w:t>
      </w:r>
    </w:p>
    <w:p w14:paraId="3F912600" w14:textId="77777777" w:rsidR="00536A11" w:rsidRDefault="00536A11">
      <w:pPr>
        <w:tabs>
          <w:tab w:val="left" w:pos="547"/>
          <w:tab w:val="left" w:pos="1080"/>
          <w:tab w:val="left" w:pos="1627"/>
          <w:tab w:val="left" w:pos="2160"/>
          <w:tab w:val="left" w:pos="2880"/>
        </w:tabs>
      </w:pPr>
    </w:p>
    <w:p w14:paraId="3E6BB661" w14:textId="77777777" w:rsidR="00536A11" w:rsidRPr="007B119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54072B1" w14:textId="77777777" w:rsidR="00004530" w:rsidRPr="0015715E" w:rsidRDefault="00004530">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p>
    <w:p w14:paraId="547CC6C4" w14:textId="0247D4A1" w:rsidR="00DF69A8" w:rsidRPr="00D666AF" w:rsidRDefault="00004530" w:rsidP="001F0046">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547"/>
        <w:rPr>
          <w:color w:val="0070C0"/>
        </w:rPr>
      </w:pPr>
      <w:r w:rsidRPr="0015715E">
        <w:rPr>
          <w:color w:val="0070C0"/>
          <w:sz w:val="22"/>
          <w:szCs w:val="22"/>
        </w:rPr>
        <w:t>Focus Groups will be scheduled at various locations to ensure that Veterans are surveyed with each VISN.  This data collection process will begin within 3-4 weeks from the date OMB approval to proceed is obtained and will continue for approximately 5-6 months until Veterans in each VISN are surveyed</w:t>
      </w:r>
      <w:r w:rsidRPr="00D666AF">
        <w:rPr>
          <w:color w:val="0070C0"/>
        </w:rPr>
        <w:t xml:space="preserve">.  </w:t>
      </w:r>
    </w:p>
    <w:p w14:paraId="51E23E92" w14:textId="77777777" w:rsidR="00DF69A8" w:rsidRPr="00D666AF" w:rsidRDefault="00DF69A8">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70C0"/>
        </w:rPr>
      </w:pPr>
    </w:p>
    <w:p w14:paraId="6F873A0F" w14:textId="356E44C7" w:rsidR="00536A11" w:rsidRPr="0015715E" w:rsidRDefault="00004530" w:rsidP="001F0046">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547"/>
        <w:rPr>
          <w:color w:val="0070C0"/>
          <w:sz w:val="22"/>
          <w:szCs w:val="22"/>
        </w:rPr>
      </w:pPr>
      <w:r w:rsidRPr="0015715E">
        <w:rPr>
          <w:color w:val="0070C0"/>
          <w:sz w:val="22"/>
          <w:szCs w:val="22"/>
        </w:rPr>
        <w:t xml:space="preserve">Results will </w:t>
      </w:r>
      <w:r w:rsidR="00DF69A8" w:rsidRPr="0015715E">
        <w:rPr>
          <w:color w:val="0070C0"/>
          <w:sz w:val="22"/>
          <w:szCs w:val="22"/>
        </w:rPr>
        <w:t xml:space="preserve">then </w:t>
      </w:r>
      <w:r w:rsidRPr="0015715E">
        <w:rPr>
          <w:color w:val="0070C0"/>
          <w:sz w:val="22"/>
          <w:szCs w:val="22"/>
        </w:rPr>
        <w:t>be aggregated and summarized within 3-4 weeks after the final Focus Group has been completed. The summary report of findings will be provided to the COVER Commissioners, who will review and</w:t>
      </w:r>
      <w:r w:rsidR="00CD1CAA" w:rsidRPr="0015715E">
        <w:rPr>
          <w:color w:val="0070C0"/>
          <w:sz w:val="22"/>
          <w:szCs w:val="22"/>
        </w:rPr>
        <w:t xml:space="preserve"> discuss the findings </w:t>
      </w:r>
      <w:r w:rsidRPr="0015715E">
        <w:rPr>
          <w:color w:val="0070C0"/>
          <w:sz w:val="22"/>
          <w:szCs w:val="22"/>
        </w:rPr>
        <w:t>and determine if any specific recommendations will be made in the</w:t>
      </w:r>
      <w:r w:rsidR="00DF69A8" w:rsidRPr="0015715E">
        <w:rPr>
          <w:color w:val="0070C0"/>
          <w:sz w:val="22"/>
          <w:szCs w:val="22"/>
        </w:rPr>
        <w:t xml:space="preserve"> final report as a result of the survey results.</w:t>
      </w:r>
      <w:r w:rsidRPr="0015715E">
        <w:rPr>
          <w:color w:val="0070C0"/>
          <w:sz w:val="22"/>
          <w:szCs w:val="22"/>
        </w:rPr>
        <w:t xml:space="preserve"> </w:t>
      </w:r>
      <w:r w:rsidR="00DF69A8" w:rsidRPr="0015715E">
        <w:rPr>
          <w:color w:val="0070C0"/>
          <w:sz w:val="22"/>
          <w:szCs w:val="22"/>
        </w:rPr>
        <w:t xml:space="preserve">The results of the Focus Group survey will not be </w:t>
      </w:r>
      <w:r w:rsidRPr="0015715E">
        <w:rPr>
          <w:color w:val="0070C0"/>
          <w:sz w:val="22"/>
          <w:szCs w:val="22"/>
        </w:rPr>
        <w:t>a standalone publication</w:t>
      </w:r>
      <w:r w:rsidR="00E60518" w:rsidRPr="0015715E">
        <w:rPr>
          <w:color w:val="0070C0"/>
          <w:sz w:val="22"/>
          <w:szCs w:val="22"/>
        </w:rPr>
        <w:t>; however, the findings will be summarized</w:t>
      </w:r>
      <w:r w:rsidR="00DF69A8" w:rsidRPr="0015715E">
        <w:rPr>
          <w:color w:val="0070C0"/>
          <w:sz w:val="22"/>
          <w:szCs w:val="22"/>
        </w:rPr>
        <w:t xml:space="preserve"> as one component of the COVER</w:t>
      </w:r>
      <w:r w:rsidR="00CD1CAA" w:rsidRPr="0015715E">
        <w:rPr>
          <w:color w:val="0070C0"/>
          <w:sz w:val="22"/>
          <w:szCs w:val="22"/>
        </w:rPr>
        <w:t xml:space="preserve"> Commission’s final report that</w:t>
      </w:r>
      <w:r w:rsidR="00E60518" w:rsidRPr="0015715E">
        <w:rPr>
          <w:color w:val="0070C0"/>
          <w:sz w:val="22"/>
          <w:szCs w:val="22"/>
        </w:rPr>
        <w:t xml:space="preserve"> will </w:t>
      </w:r>
      <w:r w:rsidR="00DF69A8" w:rsidRPr="0015715E">
        <w:rPr>
          <w:color w:val="0070C0"/>
          <w:sz w:val="22"/>
          <w:szCs w:val="22"/>
        </w:rPr>
        <w:t xml:space="preserve">be </w:t>
      </w:r>
      <w:r w:rsidR="00E60518" w:rsidRPr="0015715E">
        <w:rPr>
          <w:color w:val="0070C0"/>
          <w:sz w:val="22"/>
          <w:szCs w:val="22"/>
        </w:rPr>
        <w:t>submit</w:t>
      </w:r>
      <w:r w:rsidR="00DF69A8" w:rsidRPr="0015715E">
        <w:rPr>
          <w:color w:val="0070C0"/>
          <w:sz w:val="22"/>
          <w:szCs w:val="22"/>
        </w:rPr>
        <w:t>ted</w:t>
      </w:r>
      <w:r w:rsidR="00E60518" w:rsidRPr="0015715E">
        <w:rPr>
          <w:color w:val="0070C0"/>
          <w:sz w:val="22"/>
          <w:szCs w:val="22"/>
        </w:rPr>
        <w:t xml:space="preserve"> to the POTUS, SECVA, and Veterans Affairs Committees with the House and Senate</w:t>
      </w:r>
      <w:r w:rsidR="00DF69A8" w:rsidRPr="0015715E">
        <w:rPr>
          <w:color w:val="0070C0"/>
          <w:sz w:val="22"/>
          <w:szCs w:val="22"/>
        </w:rPr>
        <w:t xml:space="preserve"> in December 2019</w:t>
      </w:r>
      <w:r w:rsidR="00E60518" w:rsidRPr="0015715E">
        <w:rPr>
          <w:color w:val="0070C0"/>
          <w:sz w:val="22"/>
          <w:szCs w:val="22"/>
        </w:rPr>
        <w:t xml:space="preserve">.  This report will be uploaded to the Federal Registry at the termination of the commission </w:t>
      </w:r>
      <w:r w:rsidR="00D17A7F" w:rsidRPr="0015715E">
        <w:rPr>
          <w:color w:val="0070C0"/>
          <w:sz w:val="22"/>
          <w:szCs w:val="22"/>
        </w:rPr>
        <w:t>in December 2019 or January 2020</w:t>
      </w:r>
      <w:r w:rsidR="00E60518" w:rsidRPr="0015715E">
        <w:rPr>
          <w:color w:val="0070C0"/>
          <w:sz w:val="22"/>
          <w:szCs w:val="22"/>
        </w:rPr>
        <w:t>.</w:t>
      </w:r>
    </w:p>
    <w:p w14:paraId="31CB352E" w14:textId="77777777" w:rsidR="00536A11" w:rsidRPr="0015715E" w:rsidRDefault="00536A11">
      <w:pPr>
        <w:tabs>
          <w:tab w:val="left" w:pos="547"/>
          <w:tab w:val="left" w:pos="1080"/>
          <w:tab w:val="left" w:pos="1627"/>
          <w:tab w:val="left" w:pos="2160"/>
          <w:tab w:val="left" w:pos="2880"/>
        </w:tabs>
        <w:rPr>
          <w:sz w:val="22"/>
          <w:szCs w:val="22"/>
        </w:rPr>
      </w:pPr>
    </w:p>
    <w:p w14:paraId="5BC3F68F"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14:paraId="07D6A56B" w14:textId="77777777" w:rsidR="00BA705D" w:rsidRPr="00D03A4A" w:rsidRDefault="00BA705D" w:rsidP="00BA705D">
      <w:pPr>
        <w:tabs>
          <w:tab w:val="left" w:pos="547"/>
          <w:tab w:val="left" w:pos="1080"/>
          <w:tab w:val="left" w:pos="1627"/>
          <w:tab w:val="left" w:pos="2160"/>
          <w:tab w:val="left" w:pos="2880"/>
        </w:tabs>
        <w:ind w:right="-108"/>
        <w:rPr>
          <w:b/>
          <w:color w:val="FF0000"/>
        </w:rPr>
      </w:pPr>
    </w:p>
    <w:p w14:paraId="5094A8B3" w14:textId="7405A377" w:rsidR="005661C6" w:rsidRPr="00D666AF" w:rsidRDefault="00BA705D" w:rsidP="005661C6">
      <w:pPr>
        <w:tabs>
          <w:tab w:val="left" w:pos="540"/>
          <w:tab w:val="left" w:pos="1080"/>
          <w:tab w:val="left" w:pos="1620"/>
          <w:tab w:val="left" w:pos="2160"/>
          <w:tab w:val="left" w:pos="2700"/>
          <w:tab w:val="left" w:pos="3240"/>
        </w:tabs>
        <w:rPr>
          <w:color w:val="0070C0"/>
        </w:rPr>
      </w:pPr>
      <w:r w:rsidRPr="00D666AF">
        <w:rPr>
          <w:b/>
          <w:color w:val="0070C0"/>
        </w:rPr>
        <w:tab/>
      </w:r>
      <w:r w:rsidR="00D666AF" w:rsidRPr="0015715E">
        <w:rPr>
          <w:color w:val="0070C0"/>
          <w:sz w:val="22"/>
          <w:szCs w:val="22"/>
        </w:rPr>
        <w:t>No preference</w:t>
      </w:r>
      <w:r w:rsidR="00D666AF" w:rsidRPr="00D666AF">
        <w:rPr>
          <w:color w:val="0070C0"/>
        </w:rPr>
        <w:t>.</w:t>
      </w:r>
    </w:p>
    <w:p w14:paraId="7218C905" w14:textId="77777777" w:rsidR="00BA705D" w:rsidRPr="00246646" w:rsidRDefault="00BA705D" w:rsidP="00BA705D">
      <w:pPr>
        <w:tabs>
          <w:tab w:val="left" w:pos="547"/>
          <w:tab w:val="left" w:pos="1080"/>
          <w:tab w:val="left" w:pos="1627"/>
          <w:tab w:val="left" w:pos="2160"/>
          <w:tab w:val="left" w:pos="2880"/>
        </w:tabs>
        <w:ind w:right="-108"/>
        <w:rPr>
          <w:b/>
          <w:color w:val="FF0000"/>
        </w:rPr>
      </w:pPr>
    </w:p>
    <w:p w14:paraId="3BE4B788"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14:paraId="5061B9D7" w14:textId="77777777" w:rsidR="00536A11" w:rsidRDefault="00536A11">
      <w:pPr>
        <w:tabs>
          <w:tab w:val="left" w:pos="547"/>
          <w:tab w:val="left" w:pos="1080"/>
          <w:tab w:val="left" w:pos="1627"/>
          <w:tab w:val="left" w:pos="2160"/>
          <w:tab w:val="left" w:pos="2880"/>
        </w:tabs>
      </w:pPr>
    </w:p>
    <w:p w14:paraId="298FFFC4" w14:textId="72661520" w:rsidR="00533B2D" w:rsidRPr="0015715E" w:rsidRDefault="00536A11">
      <w:pPr>
        <w:tabs>
          <w:tab w:val="left" w:pos="547"/>
          <w:tab w:val="left" w:pos="1080"/>
          <w:tab w:val="left" w:pos="1627"/>
          <w:tab w:val="left" w:pos="2160"/>
          <w:tab w:val="left" w:pos="2880"/>
        </w:tabs>
        <w:rPr>
          <w:b/>
          <w:color w:val="0070C0"/>
          <w:sz w:val="22"/>
          <w:szCs w:val="22"/>
        </w:rPr>
      </w:pPr>
      <w:r w:rsidRPr="00D666AF">
        <w:rPr>
          <w:color w:val="0070C0"/>
        </w:rPr>
        <w:tab/>
      </w:r>
      <w:r w:rsidRPr="0015715E">
        <w:rPr>
          <w:color w:val="0070C0"/>
          <w:sz w:val="22"/>
          <w:szCs w:val="22"/>
        </w:rPr>
        <w:t>There are no exceptions.</w:t>
      </w:r>
    </w:p>
    <w:sectPr w:rsidR="00533B2D" w:rsidRPr="0015715E">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B48BE" w14:textId="77777777" w:rsidR="00ED69BC" w:rsidRDefault="00ED69BC">
      <w:r>
        <w:separator/>
      </w:r>
    </w:p>
  </w:endnote>
  <w:endnote w:type="continuationSeparator" w:id="0">
    <w:p w14:paraId="7578F845" w14:textId="77777777" w:rsidR="00ED69BC" w:rsidRDefault="00ED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dy CS)">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71D20" w14:textId="77777777" w:rsidR="00FB3F7C" w:rsidRDefault="00FB3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6387E" w14:textId="71B8BE52"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D3F13">
      <w:rPr>
        <w:rStyle w:val="PageNumber"/>
        <w:b/>
        <w:bCs/>
        <w:noProof/>
        <w:sz w:val="24"/>
      </w:rPr>
      <w:t>2</w:t>
    </w:r>
    <w:r>
      <w:rPr>
        <w:rStyle w:val="PageNumber"/>
        <w:b/>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FFA3" w14:textId="4B11AF8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D3F13">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D5157" w14:textId="77777777" w:rsidR="00ED69BC" w:rsidRDefault="00ED69BC">
      <w:r>
        <w:separator/>
      </w:r>
    </w:p>
  </w:footnote>
  <w:footnote w:type="continuationSeparator" w:id="0">
    <w:p w14:paraId="415E0489" w14:textId="77777777" w:rsidR="00ED69BC" w:rsidRDefault="00ED6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064D8" w14:textId="77777777" w:rsidR="00FB3F7C" w:rsidRDefault="00FB3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BB44" w14:textId="7CAD4726" w:rsidR="00FB3F7C" w:rsidRDefault="00FB3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EBE8" w14:textId="3B7E09F4" w:rsidR="00FB3F7C" w:rsidRDefault="00FB3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D4928D4"/>
    <w:multiLevelType w:val="hybridMultilevel"/>
    <w:tmpl w:val="080CF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0A3438"/>
    <w:multiLevelType w:val="hybridMultilevel"/>
    <w:tmpl w:val="19148FA6"/>
    <w:lvl w:ilvl="0" w:tplc="90720EB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3C1D"/>
    <w:rsid w:val="00004530"/>
    <w:rsid w:val="0002119C"/>
    <w:rsid w:val="000315F1"/>
    <w:rsid w:val="00046A07"/>
    <w:rsid w:val="0009405D"/>
    <w:rsid w:val="00094C6E"/>
    <w:rsid w:val="00133C89"/>
    <w:rsid w:val="001434CB"/>
    <w:rsid w:val="001437A4"/>
    <w:rsid w:val="00155ED0"/>
    <w:rsid w:val="0015715E"/>
    <w:rsid w:val="0017498A"/>
    <w:rsid w:val="0018311E"/>
    <w:rsid w:val="00196DE0"/>
    <w:rsid w:val="001A05E0"/>
    <w:rsid w:val="001A0868"/>
    <w:rsid w:val="001A32BA"/>
    <w:rsid w:val="001A468D"/>
    <w:rsid w:val="001A64C7"/>
    <w:rsid w:val="001C5638"/>
    <w:rsid w:val="001D1D56"/>
    <w:rsid w:val="001E0EF2"/>
    <w:rsid w:val="001E33FD"/>
    <w:rsid w:val="001E61E5"/>
    <w:rsid w:val="001F0046"/>
    <w:rsid w:val="001F5BAF"/>
    <w:rsid w:val="00211386"/>
    <w:rsid w:val="00227CE8"/>
    <w:rsid w:val="002426B8"/>
    <w:rsid w:val="00244A6E"/>
    <w:rsid w:val="002454A0"/>
    <w:rsid w:val="00246572"/>
    <w:rsid w:val="00246646"/>
    <w:rsid w:val="0025306C"/>
    <w:rsid w:val="00257BE2"/>
    <w:rsid w:val="00257EB2"/>
    <w:rsid w:val="00282B0E"/>
    <w:rsid w:val="002A7CB3"/>
    <w:rsid w:val="002D63BC"/>
    <w:rsid w:val="002E3685"/>
    <w:rsid w:val="002F51D3"/>
    <w:rsid w:val="00301F6D"/>
    <w:rsid w:val="00305CE7"/>
    <w:rsid w:val="00306645"/>
    <w:rsid w:val="00310484"/>
    <w:rsid w:val="0032240F"/>
    <w:rsid w:val="00353971"/>
    <w:rsid w:val="00353ADD"/>
    <w:rsid w:val="003865C4"/>
    <w:rsid w:val="003A6E39"/>
    <w:rsid w:val="003B3B04"/>
    <w:rsid w:val="003C6AE4"/>
    <w:rsid w:val="003D25ED"/>
    <w:rsid w:val="003D64B9"/>
    <w:rsid w:val="004030B7"/>
    <w:rsid w:val="00407746"/>
    <w:rsid w:val="00435D66"/>
    <w:rsid w:val="0043761D"/>
    <w:rsid w:val="00444309"/>
    <w:rsid w:val="00445ECA"/>
    <w:rsid w:val="00467431"/>
    <w:rsid w:val="004703B4"/>
    <w:rsid w:val="00473B90"/>
    <w:rsid w:val="0048017B"/>
    <w:rsid w:val="00482F63"/>
    <w:rsid w:val="00483680"/>
    <w:rsid w:val="00490CB8"/>
    <w:rsid w:val="00493A54"/>
    <w:rsid w:val="004B4D29"/>
    <w:rsid w:val="004D1CA1"/>
    <w:rsid w:val="004F71FC"/>
    <w:rsid w:val="00503718"/>
    <w:rsid w:val="00503DE2"/>
    <w:rsid w:val="00505561"/>
    <w:rsid w:val="005115E5"/>
    <w:rsid w:val="00513E92"/>
    <w:rsid w:val="00513F4D"/>
    <w:rsid w:val="005256A9"/>
    <w:rsid w:val="00533B2D"/>
    <w:rsid w:val="00536A11"/>
    <w:rsid w:val="00536C27"/>
    <w:rsid w:val="00544F28"/>
    <w:rsid w:val="00553136"/>
    <w:rsid w:val="005546F1"/>
    <w:rsid w:val="0055482F"/>
    <w:rsid w:val="0056011D"/>
    <w:rsid w:val="005661C6"/>
    <w:rsid w:val="00585383"/>
    <w:rsid w:val="005904B5"/>
    <w:rsid w:val="005B3664"/>
    <w:rsid w:val="005D5EF6"/>
    <w:rsid w:val="005E4A3F"/>
    <w:rsid w:val="005F5044"/>
    <w:rsid w:val="00605E40"/>
    <w:rsid w:val="00621D71"/>
    <w:rsid w:val="006343D4"/>
    <w:rsid w:val="00634ACA"/>
    <w:rsid w:val="0064683C"/>
    <w:rsid w:val="006549D1"/>
    <w:rsid w:val="0065662C"/>
    <w:rsid w:val="00664E16"/>
    <w:rsid w:val="00683DE2"/>
    <w:rsid w:val="006A2997"/>
    <w:rsid w:val="006A5DBA"/>
    <w:rsid w:val="006E43AA"/>
    <w:rsid w:val="006F13CD"/>
    <w:rsid w:val="007038F4"/>
    <w:rsid w:val="007142A1"/>
    <w:rsid w:val="00722ADD"/>
    <w:rsid w:val="00736FAD"/>
    <w:rsid w:val="007561D7"/>
    <w:rsid w:val="007562EF"/>
    <w:rsid w:val="0077215D"/>
    <w:rsid w:val="00794751"/>
    <w:rsid w:val="007B1194"/>
    <w:rsid w:val="007C23F0"/>
    <w:rsid w:val="007C39AF"/>
    <w:rsid w:val="007E5426"/>
    <w:rsid w:val="007F1C5F"/>
    <w:rsid w:val="00800EC2"/>
    <w:rsid w:val="0081510E"/>
    <w:rsid w:val="008265DC"/>
    <w:rsid w:val="00837379"/>
    <w:rsid w:val="0084396F"/>
    <w:rsid w:val="008618F0"/>
    <w:rsid w:val="00871466"/>
    <w:rsid w:val="00876E8B"/>
    <w:rsid w:val="008C15FA"/>
    <w:rsid w:val="008C22C0"/>
    <w:rsid w:val="008D71E7"/>
    <w:rsid w:val="008E4A13"/>
    <w:rsid w:val="008E5550"/>
    <w:rsid w:val="008F3BE5"/>
    <w:rsid w:val="00953C6B"/>
    <w:rsid w:val="00954586"/>
    <w:rsid w:val="0097111E"/>
    <w:rsid w:val="0097571E"/>
    <w:rsid w:val="00987315"/>
    <w:rsid w:val="00990F35"/>
    <w:rsid w:val="009D272A"/>
    <w:rsid w:val="009D3F13"/>
    <w:rsid w:val="00A3577D"/>
    <w:rsid w:val="00A35E09"/>
    <w:rsid w:val="00A63C7F"/>
    <w:rsid w:val="00A65784"/>
    <w:rsid w:val="00A72935"/>
    <w:rsid w:val="00A9516A"/>
    <w:rsid w:val="00AB273F"/>
    <w:rsid w:val="00AC6772"/>
    <w:rsid w:val="00AE459B"/>
    <w:rsid w:val="00AF72C4"/>
    <w:rsid w:val="00B16AAF"/>
    <w:rsid w:val="00B208A9"/>
    <w:rsid w:val="00B30898"/>
    <w:rsid w:val="00B37629"/>
    <w:rsid w:val="00B47D0D"/>
    <w:rsid w:val="00B85D93"/>
    <w:rsid w:val="00B9026F"/>
    <w:rsid w:val="00BA65F1"/>
    <w:rsid w:val="00BA705D"/>
    <w:rsid w:val="00BB7778"/>
    <w:rsid w:val="00BD3EBB"/>
    <w:rsid w:val="00BD5C1C"/>
    <w:rsid w:val="00BD770F"/>
    <w:rsid w:val="00BF4E56"/>
    <w:rsid w:val="00C03C49"/>
    <w:rsid w:val="00C10B99"/>
    <w:rsid w:val="00C218A5"/>
    <w:rsid w:val="00C30DBB"/>
    <w:rsid w:val="00C341FA"/>
    <w:rsid w:val="00C36879"/>
    <w:rsid w:val="00C4319E"/>
    <w:rsid w:val="00C53083"/>
    <w:rsid w:val="00C62BC4"/>
    <w:rsid w:val="00C840EB"/>
    <w:rsid w:val="00C92485"/>
    <w:rsid w:val="00CD1CAA"/>
    <w:rsid w:val="00CD3D2F"/>
    <w:rsid w:val="00CD6329"/>
    <w:rsid w:val="00CE26AB"/>
    <w:rsid w:val="00D03A4A"/>
    <w:rsid w:val="00D167FC"/>
    <w:rsid w:val="00D17A7F"/>
    <w:rsid w:val="00D24C27"/>
    <w:rsid w:val="00D40265"/>
    <w:rsid w:val="00D411D1"/>
    <w:rsid w:val="00D44F57"/>
    <w:rsid w:val="00D45FBE"/>
    <w:rsid w:val="00D666AF"/>
    <w:rsid w:val="00D718BC"/>
    <w:rsid w:val="00D770C6"/>
    <w:rsid w:val="00D77E78"/>
    <w:rsid w:val="00D87E47"/>
    <w:rsid w:val="00D9769B"/>
    <w:rsid w:val="00DB5935"/>
    <w:rsid w:val="00DC4F2D"/>
    <w:rsid w:val="00DD0525"/>
    <w:rsid w:val="00DE03B5"/>
    <w:rsid w:val="00DE7D46"/>
    <w:rsid w:val="00DF69A8"/>
    <w:rsid w:val="00E10A39"/>
    <w:rsid w:val="00E348F6"/>
    <w:rsid w:val="00E5080E"/>
    <w:rsid w:val="00E52D47"/>
    <w:rsid w:val="00E60518"/>
    <w:rsid w:val="00E61871"/>
    <w:rsid w:val="00E6326A"/>
    <w:rsid w:val="00E76469"/>
    <w:rsid w:val="00E76F54"/>
    <w:rsid w:val="00EA6F4F"/>
    <w:rsid w:val="00EB78DE"/>
    <w:rsid w:val="00ED0B63"/>
    <w:rsid w:val="00ED69BC"/>
    <w:rsid w:val="00EE12CD"/>
    <w:rsid w:val="00F02429"/>
    <w:rsid w:val="00F328C4"/>
    <w:rsid w:val="00F36EDC"/>
    <w:rsid w:val="00F44081"/>
    <w:rsid w:val="00F47557"/>
    <w:rsid w:val="00F54D98"/>
    <w:rsid w:val="00F6088C"/>
    <w:rsid w:val="00F6294A"/>
    <w:rsid w:val="00F97A55"/>
    <w:rsid w:val="00FA2C10"/>
    <w:rsid w:val="00FB3F7C"/>
    <w:rsid w:val="00FB6120"/>
    <w:rsid w:val="00FB689B"/>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E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3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basedOn w:val="DefaultParagraphFont"/>
    <w:rsid w:val="00E60518"/>
    <w:rPr>
      <w:sz w:val="16"/>
      <w:szCs w:val="16"/>
    </w:rPr>
  </w:style>
  <w:style w:type="paragraph" w:styleId="CommentText">
    <w:name w:val="annotation text"/>
    <w:basedOn w:val="Normal"/>
    <w:link w:val="CommentTextChar"/>
    <w:uiPriority w:val="99"/>
    <w:rsid w:val="00E60518"/>
    <w:rPr>
      <w:sz w:val="20"/>
      <w:szCs w:val="20"/>
    </w:rPr>
  </w:style>
  <w:style w:type="character" w:customStyle="1" w:styleId="CommentTextChar">
    <w:name w:val="Comment Text Char"/>
    <w:basedOn w:val="DefaultParagraphFont"/>
    <w:link w:val="CommentText"/>
    <w:uiPriority w:val="99"/>
    <w:rsid w:val="00E60518"/>
  </w:style>
  <w:style w:type="paragraph" w:styleId="CommentSubject">
    <w:name w:val="annotation subject"/>
    <w:basedOn w:val="CommentText"/>
    <w:next w:val="CommentText"/>
    <w:link w:val="CommentSubjectChar"/>
    <w:rsid w:val="00E60518"/>
    <w:rPr>
      <w:b/>
      <w:bCs/>
    </w:rPr>
  </w:style>
  <w:style w:type="character" w:customStyle="1" w:styleId="CommentSubjectChar">
    <w:name w:val="Comment Subject Char"/>
    <w:basedOn w:val="CommentTextChar"/>
    <w:link w:val="CommentSubject"/>
    <w:rsid w:val="00E60518"/>
    <w:rPr>
      <w:b/>
      <w:bCs/>
    </w:rPr>
  </w:style>
  <w:style w:type="paragraph" w:styleId="BalloonText">
    <w:name w:val="Balloon Text"/>
    <w:basedOn w:val="Normal"/>
    <w:link w:val="BalloonTextChar"/>
    <w:rsid w:val="00E60518"/>
    <w:rPr>
      <w:rFonts w:ascii="Segoe UI" w:hAnsi="Segoe UI" w:cs="Segoe UI"/>
      <w:sz w:val="18"/>
      <w:szCs w:val="18"/>
    </w:rPr>
  </w:style>
  <w:style w:type="character" w:customStyle="1" w:styleId="BalloonTextChar">
    <w:name w:val="Balloon Text Char"/>
    <w:basedOn w:val="DefaultParagraphFont"/>
    <w:link w:val="BalloonText"/>
    <w:rsid w:val="00E60518"/>
    <w:rPr>
      <w:rFonts w:ascii="Segoe UI" w:hAnsi="Segoe UI" w:cs="Segoe UI"/>
      <w:sz w:val="18"/>
      <w:szCs w:val="18"/>
    </w:rPr>
  </w:style>
  <w:style w:type="paragraph" w:styleId="HTMLPreformatted">
    <w:name w:val="HTML Preformatted"/>
    <w:basedOn w:val="Normal"/>
    <w:link w:val="HTMLPreformattedChar"/>
    <w:uiPriority w:val="99"/>
    <w:rsid w:val="0053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33B2D"/>
    <w:rPr>
      <w:rFonts w:ascii="Courier New" w:hAnsi="Courier New" w:cs="Courier New"/>
    </w:rPr>
  </w:style>
  <w:style w:type="paragraph" w:styleId="ListParagraph">
    <w:name w:val="List Paragraph"/>
    <w:basedOn w:val="Normal"/>
    <w:uiPriority w:val="34"/>
    <w:qFormat/>
    <w:rsid w:val="00D66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3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basedOn w:val="DefaultParagraphFont"/>
    <w:rsid w:val="00E60518"/>
    <w:rPr>
      <w:sz w:val="16"/>
      <w:szCs w:val="16"/>
    </w:rPr>
  </w:style>
  <w:style w:type="paragraph" w:styleId="CommentText">
    <w:name w:val="annotation text"/>
    <w:basedOn w:val="Normal"/>
    <w:link w:val="CommentTextChar"/>
    <w:uiPriority w:val="99"/>
    <w:rsid w:val="00E60518"/>
    <w:rPr>
      <w:sz w:val="20"/>
      <w:szCs w:val="20"/>
    </w:rPr>
  </w:style>
  <w:style w:type="character" w:customStyle="1" w:styleId="CommentTextChar">
    <w:name w:val="Comment Text Char"/>
    <w:basedOn w:val="DefaultParagraphFont"/>
    <w:link w:val="CommentText"/>
    <w:uiPriority w:val="99"/>
    <w:rsid w:val="00E60518"/>
  </w:style>
  <w:style w:type="paragraph" w:styleId="CommentSubject">
    <w:name w:val="annotation subject"/>
    <w:basedOn w:val="CommentText"/>
    <w:next w:val="CommentText"/>
    <w:link w:val="CommentSubjectChar"/>
    <w:rsid w:val="00E60518"/>
    <w:rPr>
      <w:b/>
      <w:bCs/>
    </w:rPr>
  </w:style>
  <w:style w:type="character" w:customStyle="1" w:styleId="CommentSubjectChar">
    <w:name w:val="Comment Subject Char"/>
    <w:basedOn w:val="CommentTextChar"/>
    <w:link w:val="CommentSubject"/>
    <w:rsid w:val="00E60518"/>
    <w:rPr>
      <w:b/>
      <w:bCs/>
    </w:rPr>
  </w:style>
  <w:style w:type="paragraph" w:styleId="BalloonText">
    <w:name w:val="Balloon Text"/>
    <w:basedOn w:val="Normal"/>
    <w:link w:val="BalloonTextChar"/>
    <w:rsid w:val="00E60518"/>
    <w:rPr>
      <w:rFonts w:ascii="Segoe UI" w:hAnsi="Segoe UI" w:cs="Segoe UI"/>
      <w:sz w:val="18"/>
      <w:szCs w:val="18"/>
    </w:rPr>
  </w:style>
  <w:style w:type="character" w:customStyle="1" w:styleId="BalloonTextChar">
    <w:name w:val="Balloon Text Char"/>
    <w:basedOn w:val="DefaultParagraphFont"/>
    <w:link w:val="BalloonText"/>
    <w:rsid w:val="00E60518"/>
    <w:rPr>
      <w:rFonts w:ascii="Segoe UI" w:hAnsi="Segoe UI" w:cs="Segoe UI"/>
      <w:sz w:val="18"/>
      <w:szCs w:val="18"/>
    </w:rPr>
  </w:style>
  <w:style w:type="paragraph" w:styleId="HTMLPreformatted">
    <w:name w:val="HTML Preformatted"/>
    <w:basedOn w:val="Normal"/>
    <w:link w:val="HTMLPreformattedChar"/>
    <w:uiPriority w:val="99"/>
    <w:rsid w:val="0053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33B2D"/>
    <w:rPr>
      <w:rFonts w:ascii="Courier New" w:hAnsi="Courier New" w:cs="Courier New"/>
    </w:rPr>
  </w:style>
  <w:style w:type="paragraph" w:styleId="ListParagraph">
    <w:name w:val="List Paragraph"/>
    <w:basedOn w:val="Normal"/>
    <w:uiPriority w:val="34"/>
    <w:qFormat/>
    <w:rsid w:val="00D66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52447">
      <w:bodyDiv w:val="1"/>
      <w:marLeft w:val="0"/>
      <w:marRight w:val="0"/>
      <w:marTop w:val="0"/>
      <w:marBottom w:val="0"/>
      <w:divBdr>
        <w:top w:val="none" w:sz="0" w:space="0" w:color="auto"/>
        <w:left w:val="none" w:sz="0" w:space="0" w:color="auto"/>
        <w:bottom w:val="none" w:sz="0" w:space="0" w:color="auto"/>
        <w:right w:val="none" w:sz="0" w:space="0" w:color="auto"/>
      </w:divBdr>
    </w:div>
    <w:div w:id="1443960588">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dsdatacenter.com/gs-pay-calculato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13946</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SYSTEM</cp:lastModifiedBy>
  <cp:revision>2</cp:revision>
  <cp:lastPrinted>2009-07-20T17:27:00Z</cp:lastPrinted>
  <dcterms:created xsi:type="dcterms:W3CDTF">2019-06-17T19:48:00Z</dcterms:created>
  <dcterms:modified xsi:type="dcterms:W3CDTF">2019-06-17T19:48:00Z</dcterms:modified>
</cp:coreProperties>
</file>